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B012" w14:textId="77777777" w:rsidR="00505833" w:rsidRPr="000E079B" w:rsidRDefault="00505833" w:rsidP="00505833">
      <w:pPr>
        <w:rPr>
          <w:sz w:val="28"/>
        </w:rPr>
      </w:pPr>
      <w:r w:rsidRPr="000E079B">
        <w:rPr>
          <w:noProof/>
          <w:lang w:eastAsia="en-AU"/>
        </w:rPr>
        <w:drawing>
          <wp:inline distT="0" distB="0" distL="0" distR="0" wp14:anchorId="57D3166A" wp14:editId="02E9BBB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737A55E" w14:textId="77777777" w:rsidR="00505833" w:rsidRPr="000E079B" w:rsidRDefault="00505833" w:rsidP="00505833">
      <w:pPr>
        <w:rPr>
          <w:sz w:val="19"/>
        </w:rPr>
      </w:pPr>
    </w:p>
    <w:p w14:paraId="7CCFC051" w14:textId="77777777" w:rsidR="00505833" w:rsidRPr="000E079B" w:rsidRDefault="00505833" w:rsidP="00505833">
      <w:pPr>
        <w:pStyle w:val="ShortT"/>
      </w:pPr>
      <w:r w:rsidRPr="000E079B">
        <w:t xml:space="preserve">Intellectual Property Laws Amendment (Regulator Performance) </w:t>
      </w:r>
      <w:r w:rsidR="002C2002" w:rsidRPr="000E079B">
        <w:t>Regulations 2</w:t>
      </w:r>
      <w:r w:rsidRPr="000E079B">
        <w:t>024</w:t>
      </w:r>
    </w:p>
    <w:p w14:paraId="4911D3F8" w14:textId="1822D6C0" w:rsidR="00505833" w:rsidRPr="000E079B" w:rsidRDefault="00505833" w:rsidP="00505833">
      <w:pPr>
        <w:pStyle w:val="SignCoverPageStart"/>
        <w:spacing w:before="240"/>
        <w:rPr>
          <w:szCs w:val="22"/>
        </w:rPr>
      </w:pPr>
      <w:r w:rsidRPr="000E079B">
        <w:rPr>
          <w:szCs w:val="22"/>
        </w:rPr>
        <w:t>I, General the Honourable David Hurley AC DSC (Retd), Governor</w:t>
      </w:r>
      <w:r w:rsidR="000E079B">
        <w:rPr>
          <w:szCs w:val="22"/>
        </w:rPr>
        <w:noBreakHyphen/>
      </w:r>
      <w:r w:rsidRPr="000E079B">
        <w:rPr>
          <w:szCs w:val="22"/>
        </w:rPr>
        <w:t xml:space="preserve">General of the Commonwealth of Australia, acting with the advice of the Federal Executive Council, make the following </w:t>
      </w:r>
      <w:r w:rsidR="00A12473" w:rsidRPr="000E079B">
        <w:rPr>
          <w:szCs w:val="22"/>
        </w:rPr>
        <w:t>regulations</w:t>
      </w:r>
      <w:r w:rsidRPr="000E079B">
        <w:rPr>
          <w:szCs w:val="22"/>
        </w:rPr>
        <w:t>.</w:t>
      </w:r>
    </w:p>
    <w:p w14:paraId="4BFDA457" w14:textId="28D89C7D" w:rsidR="00505833" w:rsidRPr="000E079B" w:rsidRDefault="00505833" w:rsidP="00505833">
      <w:pPr>
        <w:keepNext/>
        <w:spacing w:before="720" w:line="240" w:lineRule="atLeast"/>
        <w:ind w:right="397"/>
        <w:jc w:val="both"/>
        <w:rPr>
          <w:szCs w:val="22"/>
        </w:rPr>
      </w:pPr>
      <w:r w:rsidRPr="000E079B">
        <w:rPr>
          <w:szCs w:val="22"/>
        </w:rPr>
        <w:t>Dated</w:t>
      </w:r>
      <w:r w:rsidRPr="000E079B">
        <w:rPr>
          <w:szCs w:val="22"/>
        </w:rPr>
        <w:tab/>
      </w:r>
      <w:r w:rsidRPr="000E079B">
        <w:rPr>
          <w:szCs w:val="22"/>
        </w:rPr>
        <w:tab/>
      </w:r>
      <w:r w:rsidR="00CF0132">
        <w:rPr>
          <w:szCs w:val="22"/>
        </w:rPr>
        <w:t>9 May</w:t>
      </w:r>
      <w:r w:rsidRPr="000E079B">
        <w:rPr>
          <w:szCs w:val="22"/>
        </w:rPr>
        <w:tab/>
      </w:r>
      <w:r w:rsidRPr="000E079B">
        <w:rPr>
          <w:szCs w:val="22"/>
        </w:rPr>
        <w:tab/>
      </w:r>
      <w:r w:rsidRPr="000E079B">
        <w:rPr>
          <w:szCs w:val="22"/>
        </w:rPr>
        <w:fldChar w:fldCharType="begin"/>
      </w:r>
      <w:r w:rsidRPr="000E079B">
        <w:rPr>
          <w:szCs w:val="22"/>
        </w:rPr>
        <w:instrText xml:space="preserve"> DOCPROPERTY  DateMade </w:instrText>
      </w:r>
      <w:r w:rsidRPr="000E079B">
        <w:rPr>
          <w:szCs w:val="22"/>
        </w:rPr>
        <w:fldChar w:fldCharType="separate"/>
      </w:r>
      <w:r w:rsidR="00882B29">
        <w:rPr>
          <w:szCs w:val="22"/>
        </w:rPr>
        <w:t>2024</w:t>
      </w:r>
      <w:r w:rsidRPr="000E079B">
        <w:rPr>
          <w:szCs w:val="22"/>
        </w:rPr>
        <w:fldChar w:fldCharType="end"/>
      </w:r>
    </w:p>
    <w:p w14:paraId="1E6C1A57" w14:textId="42F8A7CE" w:rsidR="003337D4" w:rsidRDefault="003337D4" w:rsidP="00505833">
      <w:pPr>
        <w:keepNext/>
        <w:tabs>
          <w:tab w:val="left" w:pos="3402"/>
        </w:tabs>
        <w:spacing w:before="1080" w:line="300" w:lineRule="atLeast"/>
        <w:ind w:left="397" w:right="397"/>
        <w:jc w:val="right"/>
        <w:rPr>
          <w:szCs w:val="22"/>
        </w:rPr>
      </w:pPr>
      <w:r>
        <w:rPr>
          <w:szCs w:val="22"/>
        </w:rPr>
        <w:t>Signed</w:t>
      </w:r>
    </w:p>
    <w:p w14:paraId="5C966FE0" w14:textId="0EEC685B" w:rsidR="00505833" w:rsidRPr="000E079B" w:rsidRDefault="00505833" w:rsidP="003337D4">
      <w:pPr>
        <w:keepNext/>
        <w:tabs>
          <w:tab w:val="left" w:pos="3402"/>
        </w:tabs>
        <w:spacing w:line="300" w:lineRule="atLeast"/>
        <w:ind w:left="397" w:right="397"/>
        <w:jc w:val="right"/>
        <w:rPr>
          <w:szCs w:val="22"/>
        </w:rPr>
      </w:pPr>
      <w:r w:rsidRPr="000E079B">
        <w:rPr>
          <w:szCs w:val="22"/>
        </w:rPr>
        <w:t>David Hurley</w:t>
      </w:r>
    </w:p>
    <w:p w14:paraId="124ECF27" w14:textId="43C81B0A" w:rsidR="00505833" w:rsidRPr="000E079B" w:rsidRDefault="00505833" w:rsidP="00505833">
      <w:pPr>
        <w:keepNext/>
        <w:tabs>
          <w:tab w:val="left" w:pos="3402"/>
        </w:tabs>
        <w:spacing w:line="300" w:lineRule="atLeast"/>
        <w:ind w:left="397" w:right="397"/>
        <w:jc w:val="right"/>
        <w:rPr>
          <w:szCs w:val="22"/>
        </w:rPr>
      </w:pPr>
      <w:r w:rsidRPr="000E079B">
        <w:rPr>
          <w:szCs w:val="22"/>
        </w:rPr>
        <w:t>Governor</w:t>
      </w:r>
      <w:r w:rsidR="000E079B">
        <w:rPr>
          <w:szCs w:val="22"/>
        </w:rPr>
        <w:noBreakHyphen/>
      </w:r>
      <w:r w:rsidRPr="000E079B">
        <w:rPr>
          <w:szCs w:val="22"/>
        </w:rPr>
        <w:t>General</w:t>
      </w:r>
    </w:p>
    <w:p w14:paraId="746DB86C" w14:textId="7C9690CE" w:rsidR="00505833" w:rsidRPr="000E079B" w:rsidRDefault="00505833" w:rsidP="00505833">
      <w:pPr>
        <w:keepNext/>
        <w:tabs>
          <w:tab w:val="left" w:pos="3402"/>
        </w:tabs>
        <w:spacing w:before="840" w:after="1080" w:line="300" w:lineRule="atLeast"/>
        <w:ind w:right="397"/>
        <w:rPr>
          <w:szCs w:val="22"/>
        </w:rPr>
      </w:pPr>
      <w:r w:rsidRPr="000E079B">
        <w:rPr>
          <w:szCs w:val="22"/>
        </w:rPr>
        <w:t>By His Excellency’s Command</w:t>
      </w:r>
    </w:p>
    <w:p w14:paraId="65BD3374" w14:textId="2A8F16FE" w:rsidR="008A110A" w:rsidRDefault="008A110A" w:rsidP="00505833">
      <w:pPr>
        <w:keepNext/>
        <w:tabs>
          <w:tab w:val="left" w:pos="3402"/>
        </w:tabs>
        <w:spacing w:before="480" w:line="300" w:lineRule="atLeast"/>
        <w:ind w:right="397"/>
        <w:rPr>
          <w:szCs w:val="22"/>
        </w:rPr>
      </w:pPr>
      <w:r>
        <w:rPr>
          <w:szCs w:val="22"/>
        </w:rPr>
        <w:t>Signed</w:t>
      </w:r>
    </w:p>
    <w:p w14:paraId="3048FC59" w14:textId="00AC1C10" w:rsidR="00505833" w:rsidRPr="000E079B" w:rsidRDefault="00505833" w:rsidP="008A110A">
      <w:pPr>
        <w:keepNext/>
        <w:tabs>
          <w:tab w:val="left" w:pos="3402"/>
        </w:tabs>
        <w:spacing w:line="300" w:lineRule="atLeast"/>
        <w:ind w:right="397"/>
        <w:rPr>
          <w:szCs w:val="22"/>
        </w:rPr>
      </w:pPr>
      <w:r w:rsidRPr="000E079B">
        <w:rPr>
          <w:szCs w:val="22"/>
        </w:rPr>
        <w:t>Ed Husic</w:t>
      </w:r>
    </w:p>
    <w:p w14:paraId="7B05B892" w14:textId="77777777" w:rsidR="00505833" w:rsidRPr="000E079B" w:rsidRDefault="00505833" w:rsidP="00505833">
      <w:pPr>
        <w:pStyle w:val="SignCoverPageEnd"/>
        <w:rPr>
          <w:szCs w:val="22"/>
        </w:rPr>
      </w:pPr>
      <w:r w:rsidRPr="000E079B">
        <w:rPr>
          <w:szCs w:val="22"/>
        </w:rPr>
        <w:t>Minister for Industry and Science</w:t>
      </w:r>
    </w:p>
    <w:p w14:paraId="2586BBDE" w14:textId="77777777" w:rsidR="00505833" w:rsidRPr="000E079B" w:rsidRDefault="00505833" w:rsidP="00505833"/>
    <w:p w14:paraId="3CE1ECD2" w14:textId="77777777" w:rsidR="00505833" w:rsidRPr="000E079B" w:rsidRDefault="00505833" w:rsidP="00505833"/>
    <w:p w14:paraId="4246FE78" w14:textId="77777777" w:rsidR="00505833" w:rsidRPr="000E079B" w:rsidRDefault="00505833" w:rsidP="00505833"/>
    <w:p w14:paraId="389D14B1" w14:textId="77777777" w:rsidR="00505833" w:rsidRPr="00B16D05" w:rsidRDefault="00505833" w:rsidP="00505833">
      <w:pPr>
        <w:pStyle w:val="Header"/>
        <w:tabs>
          <w:tab w:val="clear" w:pos="4150"/>
          <w:tab w:val="clear" w:pos="8307"/>
        </w:tabs>
      </w:pPr>
      <w:r w:rsidRPr="00B16D05">
        <w:rPr>
          <w:rStyle w:val="CharAmSchNo"/>
        </w:rPr>
        <w:t xml:space="preserve"> </w:t>
      </w:r>
      <w:r w:rsidRPr="00B16D05">
        <w:rPr>
          <w:rStyle w:val="CharAmSchText"/>
        </w:rPr>
        <w:t xml:space="preserve"> </w:t>
      </w:r>
    </w:p>
    <w:p w14:paraId="7D2F8EA2" w14:textId="77777777" w:rsidR="00505833" w:rsidRPr="00B16D05" w:rsidRDefault="00505833" w:rsidP="00505833">
      <w:pPr>
        <w:pStyle w:val="Header"/>
        <w:tabs>
          <w:tab w:val="clear" w:pos="4150"/>
          <w:tab w:val="clear" w:pos="8307"/>
        </w:tabs>
      </w:pPr>
      <w:r w:rsidRPr="00B16D05">
        <w:rPr>
          <w:rStyle w:val="CharAmPartNo"/>
        </w:rPr>
        <w:t xml:space="preserve"> </w:t>
      </w:r>
      <w:r w:rsidRPr="00B16D05">
        <w:rPr>
          <w:rStyle w:val="CharAmPartText"/>
        </w:rPr>
        <w:t xml:space="preserve"> </w:t>
      </w:r>
    </w:p>
    <w:p w14:paraId="247FCFDE" w14:textId="77777777" w:rsidR="00505833" w:rsidRPr="000E079B" w:rsidRDefault="00505833" w:rsidP="00505833">
      <w:pPr>
        <w:sectPr w:rsidR="00505833" w:rsidRPr="000E079B" w:rsidSect="00A910A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6564A98" w14:textId="77777777" w:rsidR="00505833" w:rsidRPr="000E079B" w:rsidRDefault="00505833" w:rsidP="00505833">
      <w:pPr>
        <w:rPr>
          <w:sz w:val="32"/>
        </w:rPr>
      </w:pPr>
      <w:r w:rsidRPr="000E079B">
        <w:rPr>
          <w:sz w:val="32"/>
        </w:rPr>
        <w:lastRenderedPageBreak/>
        <w:t>Contents</w:t>
      </w:r>
    </w:p>
    <w:p w14:paraId="477885FB" w14:textId="771D888E" w:rsidR="00505833" w:rsidRPr="000E079B" w:rsidRDefault="00505833" w:rsidP="00505833">
      <w:pPr>
        <w:pStyle w:val="TOC5"/>
        <w:rPr>
          <w:rFonts w:asciiTheme="minorHAnsi" w:eastAsiaTheme="minorEastAsia" w:hAnsiTheme="minorHAnsi" w:cstheme="minorBidi"/>
          <w:noProof/>
          <w:kern w:val="0"/>
          <w:sz w:val="22"/>
          <w:szCs w:val="22"/>
        </w:rPr>
      </w:pPr>
      <w:r w:rsidRPr="000E079B">
        <w:rPr>
          <w:sz w:val="32"/>
        </w:rPr>
        <w:fldChar w:fldCharType="begin"/>
      </w:r>
      <w:r w:rsidRPr="000E079B">
        <w:rPr>
          <w:sz w:val="32"/>
        </w:rPr>
        <w:instrText xml:space="preserve"> TOC \o "1-9" </w:instrText>
      </w:r>
      <w:r w:rsidRPr="000E079B">
        <w:rPr>
          <w:sz w:val="32"/>
        </w:rPr>
        <w:fldChar w:fldCharType="separate"/>
      </w:r>
      <w:r w:rsidRPr="000E079B">
        <w:rPr>
          <w:noProof/>
        </w:rPr>
        <w:t>1</w:t>
      </w:r>
      <w:r w:rsidRPr="000E079B">
        <w:rPr>
          <w:noProof/>
        </w:rPr>
        <w:tab/>
        <w:t>Name</w:t>
      </w:r>
      <w:r w:rsidRPr="000E079B">
        <w:rPr>
          <w:noProof/>
        </w:rPr>
        <w:tab/>
      </w:r>
      <w:r w:rsidRPr="000E079B">
        <w:rPr>
          <w:noProof/>
        </w:rPr>
        <w:fldChar w:fldCharType="begin"/>
      </w:r>
      <w:r w:rsidRPr="000E079B">
        <w:rPr>
          <w:noProof/>
        </w:rPr>
        <w:instrText xml:space="preserve"> PAGEREF _Toc161993706 \h </w:instrText>
      </w:r>
      <w:r w:rsidRPr="000E079B">
        <w:rPr>
          <w:noProof/>
        </w:rPr>
      </w:r>
      <w:r w:rsidRPr="000E079B">
        <w:rPr>
          <w:noProof/>
        </w:rPr>
        <w:fldChar w:fldCharType="separate"/>
      </w:r>
      <w:r w:rsidR="00882B29">
        <w:rPr>
          <w:noProof/>
        </w:rPr>
        <w:t>1</w:t>
      </w:r>
      <w:r w:rsidRPr="000E079B">
        <w:rPr>
          <w:noProof/>
        </w:rPr>
        <w:fldChar w:fldCharType="end"/>
      </w:r>
    </w:p>
    <w:p w14:paraId="75B8C313" w14:textId="5784785B" w:rsidR="00505833" w:rsidRPr="000E079B" w:rsidRDefault="00505833" w:rsidP="00505833">
      <w:pPr>
        <w:pStyle w:val="TOC5"/>
        <w:rPr>
          <w:rFonts w:asciiTheme="minorHAnsi" w:eastAsiaTheme="minorEastAsia" w:hAnsiTheme="minorHAnsi" w:cstheme="minorBidi"/>
          <w:noProof/>
          <w:kern w:val="0"/>
          <w:sz w:val="22"/>
          <w:szCs w:val="22"/>
        </w:rPr>
      </w:pPr>
      <w:r w:rsidRPr="000E079B">
        <w:rPr>
          <w:noProof/>
        </w:rPr>
        <w:t>2</w:t>
      </w:r>
      <w:r w:rsidRPr="000E079B">
        <w:rPr>
          <w:noProof/>
        </w:rPr>
        <w:tab/>
        <w:t>Commencement</w:t>
      </w:r>
      <w:r w:rsidRPr="000E079B">
        <w:rPr>
          <w:noProof/>
        </w:rPr>
        <w:tab/>
      </w:r>
      <w:r w:rsidRPr="000E079B">
        <w:rPr>
          <w:noProof/>
        </w:rPr>
        <w:fldChar w:fldCharType="begin"/>
      </w:r>
      <w:r w:rsidRPr="000E079B">
        <w:rPr>
          <w:noProof/>
        </w:rPr>
        <w:instrText xml:space="preserve"> PAGEREF _Toc161993707 \h </w:instrText>
      </w:r>
      <w:r w:rsidRPr="000E079B">
        <w:rPr>
          <w:noProof/>
        </w:rPr>
      </w:r>
      <w:r w:rsidRPr="000E079B">
        <w:rPr>
          <w:noProof/>
        </w:rPr>
        <w:fldChar w:fldCharType="separate"/>
      </w:r>
      <w:r w:rsidR="00882B29">
        <w:rPr>
          <w:noProof/>
        </w:rPr>
        <w:t>1</w:t>
      </w:r>
      <w:r w:rsidRPr="000E079B">
        <w:rPr>
          <w:noProof/>
        </w:rPr>
        <w:fldChar w:fldCharType="end"/>
      </w:r>
    </w:p>
    <w:p w14:paraId="4C20A863" w14:textId="6DBC6E21" w:rsidR="00505833" w:rsidRPr="000E079B" w:rsidRDefault="00505833" w:rsidP="00505833">
      <w:pPr>
        <w:pStyle w:val="TOC5"/>
        <w:rPr>
          <w:rFonts w:asciiTheme="minorHAnsi" w:eastAsiaTheme="minorEastAsia" w:hAnsiTheme="minorHAnsi" w:cstheme="minorBidi"/>
          <w:noProof/>
          <w:kern w:val="0"/>
          <w:sz w:val="22"/>
          <w:szCs w:val="22"/>
        </w:rPr>
      </w:pPr>
      <w:r w:rsidRPr="000E079B">
        <w:rPr>
          <w:noProof/>
        </w:rPr>
        <w:t>3</w:t>
      </w:r>
      <w:r w:rsidRPr="000E079B">
        <w:rPr>
          <w:noProof/>
        </w:rPr>
        <w:tab/>
        <w:t>Authority</w:t>
      </w:r>
      <w:r w:rsidRPr="000E079B">
        <w:rPr>
          <w:noProof/>
        </w:rPr>
        <w:tab/>
      </w:r>
      <w:r w:rsidRPr="000E079B">
        <w:rPr>
          <w:noProof/>
        </w:rPr>
        <w:fldChar w:fldCharType="begin"/>
      </w:r>
      <w:r w:rsidRPr="000E079B">
        <w:rPr>
          <w:noProof/>
        </w:rPr>
        <w:instrText xml:space="preserve"> PAGEREF _Toc161993708 \h </w:instrText>
      </w:r>
      <w:r w:rsidRPr="000E079B">
        <w:rPr>
          <w:noProof/>
        </w:rPr>
      </w:r>
      <w:r w:rsidRPr="000E079B">
        <w:rPr>
          <w:noProof/>
        </w:rPr>
        <w:fldChar w:fldCharType="separate"/>
      </w:r>
      <w:r w:rsidR="00882B29">
        <w:rPr>
          <w:noProof/>
        </w:rPr>
        <w:t>1</w:t>
      </w:r>
      <w:r w:rsidRPr="000E079B">
        <w:rPr>
          <w:noProof/>
        </w:rPr>
        <w:fldChar w:fldCharType="end"/>
      </w:r>
    </w:p>
    <w:p w14:paraId="1BE8BACE" w14:textId="712F22D2" w:rsidR="00505833" w:rsidRPr="000E079B" w:rsidRDefault="00505833" w:rsidP="00505833">
      <w:pPr>
        <w:pStyle w:val="TOC5"/>
        <w:rPr>
          <w:rFonts w:asciiTheme="minorHAnsi" w:eastAsiaTheme="minorEastAsia" w:hAnsiTheme="minorHAnsi" w:cstheme="minorBidi"/>
          <w:noProof/>
          <w:kern w:val="0"/>
          <w:sz w:val="22"/>
          <w:szCs w:val="22"/>
        </w:rPr>
      </w:pPr>
      <w:r w:rsidRPr="000E079B">
        <w:rPr>
          <w:noProof/>
        </w:rPr>
        <w:t>4</w:t>
      </w:r>
      <w:r w:rsidRPr="000E079B">
        <w:rPr>
          <w:noProof/>
        </w:rPr>
        <w:tab/>
        <w:t>Schedules</w:t>
      </w:r>
      <w:r w:rsidRPr="000E079B">
        <w:rPr>
          <w:noProof/>
        </w:rPr>
        <w:tab/>
      </w:r>
      <w:r w:rsidRPr="000E079B">
        <w:rPr>
          <w:noProof/>
        </w:rPr>
        <w:fldChar w:fldCharType="begin"/>
      </w:r>
      <w:r w:rsidRPr="000E079B">
        <w:rPr>
          <w:noProof/>
        </w:rPr>
        <w:instrText xml:space="preserve"> PAGEREF _Toc161993709 \h </w:instrText>
      </w:r>
      <w:r w:rsidRPr="000E079B">
        <w:rPr>
          <w:noProof/>
        </w:rPr>
      </w:r>
      <w:r w:rsidRPr="000E079B">
        <w:rPr>
          <w:noProof/>
        </w:rPr>
        <w:fldChar w:fldCharType="separate"/>
      </w:r>
      <w:r w:rsidR="00882B29">
        <w:rPr>
          <w:noProof/>
        </w:rPr>
        <w:t>1</w:t>
      </w:r>
      <w:r w:rsidRPr="000E079B">
        <w:rPr>
          <w:noProof/>
        </w:rPr>
        <w:fldChar w:fldCharType="end"/>
      </w:r>
    </w:p>
    <w:p w14:paraId="4A532656" w14:textId="1A221552" w:rsidR="00505833" w:rsidRPr="000E079B" w:rsidRDefault="00505833" w:rsidP="00505833">
      <w:pPr>
        <w:pStyle w:val="TOC6"/>
        <w:rPr>
          <w:rFonts w:asciiTheme="minorHAnsi" w:eastAsiaTheme="minorEastAsia" w:hAnsiTheme="minorHAnsi" w:cstheme="minorBidi"/>
          <w:b w:val="0"/>
          <w:noProof/>
          <w:kern w:val="0"/>
          <w:sz w:val="22"/>
          <w:szCs w:val="22"/>
        </w:rPr>
      </w:pPr>
      <w:r w:rsidRPr="000E079B">
        <w:rPr>
          <w:noProof/>
        </w:rPr>
        <w:t>Schedule 1—Amendments</w:t>
      </w:r>
      <w:r w:rsidRPr="000E079B">
        <w:rPr>
          <w:b w:val="0"/>
          <w:noProof/>
          <w:sz w:val="18"/>
        </w:rPr>
        <w:tab/>
      </w:r>
      <w:r w:rsidRPr="000E079B">
        <w:rPr>
          <w:b w:val="0"/>
          <w:noProof/>
          <w:sz w:val="18"/>
        </w:rPr>
        <w:fldChar w:fldCharType="begin"/>
      </w:r>
      <w:r w:rsidRPr="000E079B">
        <w:rPr>
          <w:b w:val="0"/>
          <w:noProof/>
          <w:sz w:val="18"/>
        </w:rPr>
        <w:instrText xml:space="preserve"> PAGEREF _Toc161993710 \h </w:instrText>
      </w:r>
      <w:r w:rsidRPr="000E079B">
        <w:rPr>
          <w:b w:val="0"/>
          <w:noProof/>
          <w:sz w:val="18"/>
        </w:rPr>
      </w:r>
      <w:r w:rsidRPr="000E079B">
        <w:rPr>
          <w:b w:val="0"/>
          <w:noProof/>
          <w:sz w:val="18"/>
        </w:rPr>
        <w:fldChar w:fldCharType="separate"/>
      </w:r>
      <w:r w:rsidR="00882B29">
        <w:rPr>
          <w:b w:val="0"/>
          <w:noProof/>
          <w:sz w:val="18"/>
        </w:rPr>
        <w:t>2</w:t>
      </w:r>
      <w:r w:rsidRPr="000E079B">
        <w:rPr>
          <w:b w:val="0"/>
          <w:noProof/>
          <w:sz w:val="18"/>
        </w:rPr>
        <w:fldChar w:fldCharType="end"/>
      </w:r>
    </w:p>
    <w:p w14:paraId="72F27F3D" w14:textId="019D8CA6"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1—Renewal of registration</w:t>
      </w:r>
      <w:r w:rsidRPr="000E079B">
        <w:rPr>
          <w:noProof/>
          <w:sz w:val="18"/>
        </w:rPr>
        <w:tab/>
      </w:r>
      <w:r w:rsidRPr="000E079B">
        <w:rPr>
          <w:noProof/>
          <w:sz w:val="18"/>
        </w:rPr>
        <w:fldChar w:fldCharType="begin"/>
      </w:r>
      <w:r w:rsidRPr="000E079B">
        <w:rPr>
          <w:noProof/>
          <w:sz w:val="18"/>
        </w:rPr>
        <w:instrText xml:space="preserve"> PAGEREF _Toc161993711 \h </w:instrText>
      </w:r>
      <w:r w:rsidRPr="000E079B">
        <w:rPr>
          <w:noProof/>
          <w:sz w:val="18"/>
        </w:rPr>
      </w:r>
      <w:r w:rsidRPr="000E079B">
        <w:rPr>
          <w:noProof/>
          <w:sz w:val="18"/>
        </w:rPr>
        <w:fldChar w:fldCharType="separate"/>
      </w:r>
      <w:r w:rsidR="00882B29">
        <w:rPr>
          <w:noProof/>
          <w:sz w:val="18"/>
        </w:rPr>
        <w:t>2</w:t>
      </w:r>
      <w:r w:rsidRPr="000E079B">
        <w:rPr>
          <w:noProof/>
          <w:sz w:val="18"/>
        </w:rPr>
        <w:fldChar w:fldCharType="end"/>
      </w:r>
    </w:p>
    <w:p w14:paraId="5C084ABC" w14:textId="12031C3E"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Trade Marks Regulations 1995</w:t>
      </w:r>
      <w:r w:rsidRPr="000E079B">
        <w:rPr>
          <w:i w:val="0"/>
          <w:noProof/>
          <w:sz w:val="18"/>
        </w:rPr>
        <w:tab/>
      </w:r>
      <w:r w:rsidRPr="000E079B">
        <w:rPr>
          <w:i w:val="0"/>
          <w:noProof/>
          <w:sz w:val="18"/>
        </w:rPr>
        <w:fldChar w:fldCharType="begin"/>
      </w:r>
      <w:r w:rsidRPr="000E079B">
        <w:rPr>
          <w:i w:val="0"/>
          <w:noProof/>
          <w:sz w:val="18"/>
        </w:rPr>
        <w:instrText xml:space="preserve"> PAGEREF _Toc161993712 \h </w:instrText>
      </w:r>
      <w:r w:rsidRPr="000E079B">
        <w:rPr>
          <w:i w:val="0"/>
          <w:noProof/>
          <w:sz w:val="18"/>
        </w:rPr>
      </w:r>
      <w:r w:rsidRPr="000E079B">
        <w:rPr>
          <w:i w:val="0"/>
          <w:noProof/>
          <w:sz w:val="18"/>
        </w:rPr>
        <w:fldChar w:fldCharType="separate"/>
      </w:r>
      <w:r w:rsidR="00882B29">
        <w:rPr>
          <w:i w:val="0"/>
          <w:noProof/>
          <w:sz w:val="18"/>
        </w:rPr>
        <w:t>2</w:t>
      </w:r>
      <w:r w:rsidRPr="000E079B">
        <w:rPr>
          <w:i w:val="0"/>
          <w:noProof/>
          <w:sz w:val="18"/>
        </w:rPr>
        <w:fldChar w:fldCharType="end"/>
      </w:r>
    </w:p>
    <w:p w14:paraId="4527E6A3" w14:textId="09A30633"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2—Restoration of trade mark to the Register</w:t>
      </w:r>
      <w:r w:rsidRPr="000E079B">
        <w:rPr>
          <w:noProof/>
          <w:sz w:val="18"/>
        </w:rPr>
        <w:tab/>
      </w:r>
      <w:r w:rsidRPr="000E079B">
        <w:rPr>
          <w:noProof/>
          <w:sz w:val="18"/>
        </w:rPr>
        <w:fldChar w:fldCharType="begin"/>
      </w:r>
      <w:r w:rsidRPr="000E079B">
        <w:rPr>
          <w:noProof/>
          <w:sz w:val="18"/>
        </w:rPr>
        <w:instrText xml:space="preserve"> PAGEREF _Toc161993713 \h </w:instrText>
      </w:r>
      <w:r w:rsidRPr="000E079B">
        <w:rPr>
          <w:noProof/>
          <w:sz w:val="18"/>
        </w:rPr>
      </w:r>
      <w:r w:rsidRPr="000E079B">
        <w:rPr>
          <w:noProof/>
          <w:sz w:val="18"/>
        </w:rPr>
        <w:fldChar w:fldCharType="separate"/>
      </w:r>
      <w:r w:rsidR="00882B29">
        <w:rPr>
          <w:noProof/>
          <w:sz w:val="18"/>
        </w:rPr>
        <w:t>3</w:t>
      </w:r>
      <w:r w:rsidRPr="000E079B">
        <w:rPr>
          <w:noProof/>
          <w:sz w:val="18"/>
        </w:rPr>
        <w:fldChar w:fldCharType="end"/>
      </w:r>
    </w:p>
    <w:p w14:paraId="26C7DAFA" w14:textId="5A88F1A5"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Trade Marks Regulations 1995</w:t>
      </w:r>
      <w:r w:rsidRPr="000E079B">
        <w:rPr>
          <w:i w:val="0"/>
          <w:noProof/>
          <w:sz w:val="18"/>
        </w:rPr>
        <w:tab/>
      </w:r>
      <w:r w:rsidRPr="000E079B">
        <w:rPr>
          <w:i w:val="0"/>
          <w:noProof/>
          <w:sz w:val="18"/>
        </w:rPr>
        <w:fldChar w:fldCharType="begin"/>
      </w:r>
      <w:r w:rsidRPr="000E079B">
        <w:rPr>
          <w:i w:val="0"/>
          <w:noProof/>
          <w:sz w:val="18"/>
        </w:rPr>
        <w:instrText xml:space="preserve"> PAGEREF _Toc161993714 \h </w:instrText>
      </w:r>
      <w:r w:rsidRPr="000E079B">
        <w:rPr>
          <w:i w:val="0"/>
          <w:noProof/>
          <w:sz w:val="18"/>
        </w:rPr>
      </w:r>
      <w:r w:rsidRPr="000E079B">
        <w:rPr>
          <w:i w:val="0"/>
          <w:noProof/>
          <w:sz w:val="18"/>
        </w:rPr>
        <w:fldChar w:fldCharType="separate"/>
      </w:r>
      <w:r w:rsidR="00882B29">
        <w:rPr>
          <w:i w:val="0"/>
          <w:noProof/>
          <w:sz w:val="18"/>
        </w:rPr>
        <w:t>3</w:t>
      </w:r>
      <w:r w:rsidRPr="000E079B">
        <w:rPr>
          <w:i w:val="0"/>
          <w:noProof/>
          <w:sz w:val="18"/>
        </w:rPr>
        <w:fldChar w:fldCharType="end"/>
      </w:r>
    </w:p>
    <w:p w14:paraId="5C28618A" w14:textId="0C852E45"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3—Official Journal etc.</w:t>
      </w:r>
      <w:r w:rsidRPr="000E079B">
        <w:rPr>
          <w:noProof/>
          <w:sz w:val="18"/>
        </w:rPr>
        <w:tab/>
      </w:r>
      <w:r w:rsidRPr="000E079B">
        <w:rPr>
          <w:noProof/>
          <w:sz w:val="18"/>
        </w:rPr>
        <w:fldChar w:fldCharType="begin"/>
      </w:r>
      <w:r w:rsidRPr="000E079B">
        <w:rPr>
          <w:noProof/>
          <w:sz w:val="18"/>
        </w:rPr>
        <w:instrText xml:space="preserve"> PAGEREF _Toc161993716 \h </w:instrText>
      </w:r>
      <w:r w:rsidRPr="000E079B">
        <w:rPr>
          <w:noProof/>
          <w:sz w:val="18"/>
        </w:rPr>
      </w:r>
      <w:r w:rsidRPr="000E079B">
        <w:rPr>
          <w:noProof/>
          <w:sz w:val="18"/>
        </w:rPr>
        <w:fldChar w:fldCharType="separate"/>
      </w:r>
      <w:r w:rsidR="00882B29">
        <w:rPr>
          <w:noProof/>
          <w:sz w:val="18"/>
        </w:rPr>
        <w:t>4</w:t>
      </w:r>
      <w:r w:rsidRPr="000E079B">
        <w:rPr>
          <w:noProof/>
          <w:sz w:val="18"/>
        </w:rPr>
        <w:fldChar w:fldCharType="end"/>
      </w:r>
    </w:p>
    <w:p w14:paraId="1432D83B" w14:textId="55A91B81"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Trade Marks Regulations 1995</w:t>
      </w:r>
      <w:r w:rsidRPr="000E079B">
        <w:rPr>
          <w:i w:val="0"/>
          <w:noProof/>
          <w:sz w:val="18"/>
        </w:rPr>
        <w:tab/>
      </w:r>
      <w:r w:rsidRPr="000E079B">
        <w:rPr>
          <w:i w:val="0"/>
          <w:noProof/>
          <w:sz w:val="18"/>
        </w:rPr>
        <w:fldChar w:fldCharType="begin"/>
      </w:r>
      <w:r w:rsidRPr="000E079B">
        <w:rPr>
          <w:i w:val="0"/>
          <w:noProof/>
          <w:sz w:val="18"/>
        </w:rPr>
        <w:instrText xml:space="preserve"> PAGEREF _Toc161993717 \h </w:instrText>
      </w:r>
      <w:r w:rsidRPr="000E079B">
        <w:rPr>
          <w:i w:val="0"/>
          <w:noProof/>
          <w:sz w:val="18"/>
        </w:rPr>
      </w:r>
      <w:r w:rsidRPr="000E079B">
        <w:rPr>
          <w:i w:val="0"/>
          <w:noProof/>
          <w:sz w:val="18"/>
        </w:rPr>
        <w:fldChar w:fldCharType="separate"/>
      </w:r>
      <w:r w:rsidR="00882B29">
        <w:rPr>
          <w:i w:val="0"/>
          <w:noProof/>
          <w:sz w:val="18"/>
        </w:rPr>
        <w:t>4</w:t>
      </w:r>
      <w:r w:rsidRPr="000E079B">
        <w:rPr>
          <w:i w:val="0"/>
          <w:noProof/>
          <w:sz w:val="18"/>
        </w:rPr>
        <w:fldChar w:fldCharType="end"/>
      </w:r>
    </w:p>
    <w:p w14:paraId="7D9E14E4" w14:textId="007DC4BC"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4—Extension of time for Assisted Filing Service</w:t>
      </w:r>
      <w:r w:rsidRPr="000E079B">
        <w:rPr>
          <w:noProof/>
          <w:sz w:val="18"/>
        </w:rPr>
        <w:tab/>
      </w:r>
      <w:r w:rsidRPr="000E079B">
        <w:rPr>
          <w:noProof/>
          <w:sz w:val="18"/>
        </w:rPr>
        <w:fldChar w:fldCharType="begin"/>
      </w:r>
      <w:r w:rsidRPr="000E079B">
        <w:rPr>
          <w:noProof/>
          <w:sz w:val="18"/>
        </w:rPr>
        <w:instrText xml:space="preserve"> PAGEREF _Toc161993728 \h </w:instrText>
      </w:r>
      <w:r w:rsidRPr="000E079B">
        <w:rPr>
          <w:noProof/>
          <w:sz w:val="18"/>
        </w:rPr>
      </w:r>
      <w:r w:rsidRPr="000E079B">
        <w:rPr>
          <w:noProof/>
          <w:sz w:val="18"/>
        </w:rPr>
        <w:fldChar w:fldCharType="separate"/>
      </w:r>
      <w:r w:rsidR="00882B29">
        <w:rPr>
          <w:noProof/>
          <w:sz w:val="18"/>
        </w:rPr>
        <w:t>10</w:t>
      </w:r>
      <w:r w:rsidRPr="000E079B">
        <w:rPr>
          <w:noProof/>
          <w:sz w:val="18"/>
        </w:rPr>
        <w:fldChar w:fldCharType="end"/>
      </w:r>
    </w:p>
    <w:p w14:paraId="34945747" w14:textId="00AD7A55"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Trade Marks Regulations 1995</w:t>
      </w:r>
      <w:r w:rsidRPr="000E079B">
        <w:rPr>
          <w:i w:val="0"/>
          <w:noProof/>
          <w:sz w:val="18"/>
        </w:rPr>
        <w:tab/>
      </w:r>
      <w:r w:rsidRPr="000E079B">
        <w:rPr>
          <w:i w:val="0"/>
          <w:noProof/>
          <w:sz w:val="18"/>
        </w:rPr>
        <w:fldChar w:fldCharType="begin"/>
      </w:r>
      <w:r w:rsidRPr="000E079B">
        <w:rPr>
          <w:i w:val="0"/>
          <w:noProof/>
          <w:sz w:val="18"/>
        </w:rPr>
        <w:instrText xml:space="preserve"> PAGEREF _Toc161993729 \h </w:instrText>
      </w:r>
      <w:r w:rsidRPr="000E079B">
        <w:rPr>
          <w:i w:val="0"/>
          <w:noProof/>
          <w:sz w:val="18"/>
        </w:rPr>
      </w:r>
      <w:r w:rsidRPr="000E079B">
        <w:rPr>
          <w:i w:val="0"/>
          <w:noProof/>
          <w:sz w:val="18"/>
        </w:rPr>
        <w:fldChar w:fldCharType="separate"/>
      </w:r>
      <w:r w:rsidR="00882B29">
        <w:rPr>
          <w:i w:val="0"/>
          <w:noProof/>
          <w:sz w:val="18"/>
        </w:rPr>
        <w:t>10</w:t>
      </w:r>
      <w:r w:rsidRPr="000E079B">
        <w:rPr>
          <w:i w:val="0"/>
          <w:noProof/>
          <w:sz w:val="18"/>
        </w:rPr>
        <w:fldChar w:fldCharType="end"/>
      </w:r>
    </w:p>
    <w:p w14:paraId="39E520BA" w14:textId="5D2D587C"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5—NICE Classification</w:t>
      </w:r>
      <w:r w:rsidRPr="000E079B">
        <w:rPr>
          <w:noProof/>
          <w:sz w:val="18"/>
        </w:rPr>
        <w:tab/>
      </w:r>
      <w:r w:rsidRPr="000E079B">
        <w:rPr>
          <w:noProof/>
          <w:sz w:val="18"/>
        </w:rPr>
        <w:fldChar w:fldCharType="begin"/>
      </w:r>
      <w:r w:rsidRPr="000E079B">
        <w:rPr>
          <w:noProof/>
          <w:sz w:val="18"/>
        </w:rPr>
        <w:instrText xml:space="preserve"> PAGEREF _Toc161993732 \h </w:instrText>
      </w:r>
      <w:r w:rsidRPr="000E079B">
        <w:rPr>
          <w:noProof/>
          <w:sz w:val="18"/>
        </w:rPr>
      </w:r>
      <w:r w:rsidRPr="000E079B">
        <w:rPr>
          <w:noProof/>
          <w:sz w:val="18"/>
        </w:rPr>
        <w:fldChar w:fldCharType="separate"/>
      </w:r>
      <w:r w:rsidR="00882B29">
        <w:rPr>
          <w:noProof/>
          <w:sz w:val="18"/>
        </w:rPr>
        <w:t>11</w:t>
      </w:r>
      <w:r w:rsidRPr="000E079B">
        <w:rPr>
          <w:noProof/>
          <w:sz w:val="18"/>
        </w:rPr>
        <w:fldChar w:fldCharType="end"/>
      </w:r>
    </w:p>
    <w:p w14:paraId="2625428F" w14:textId="6F2A3E70"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Trade Marks Regulations 1995</w:t>
      </w:r>
      <w:r w:rsidRPr="000E079B">
        <w:rPr>
          <w:i w:val="0"/>
          <w:noProof/>
          <w:sz w:val="18"/>
        </w:rPr>
        <w:tab/>
      </w:r>
      <w:r w:rsidRPr="000E079B">
        <w:rPr>
          <w:i w:val="0"/>
          <w:noProof/>
          <w:sz w:val="18"/>
        </w:rPr>
        <w:fldChar w:fldCharType="begin"/>
      </w:r>
      <w:r w:rsidRPr="000E079B">
        <w:rPr>
          <w:i w:val="0"/>
          <w:noProof/>
          <w:sz w:val="18"/>
        </w:rPr>
        <w:instrText xml:space="preserve"> PAGEREF _Toc161993733 \h </w:instrText>
      </w:r>
      <w:r w:rsidRPr="000E079B">
        <w:rPr>
          <w:i w:val="0"/>
          <w:noProof/>
          <w:sz w:val="18"/>
        </w:rPr>
      </w:r>
      <w:r w:rsidRPr="000E079B">
        <w:rPr>
          <w:i w:val="0"/>
          <w:noProof/>
          <w:sz w:val="18"/>
        </w:rPr>
        <w:fldChar w:fldCharType="separate"/>
      </w:r>
      <w:r w:rsidR="00882B29">
        <w:rPr>
          <w:i w:val="0"/>
          <w:noProof/>
          <w:sz w:val="18"/>
        </w:rPr>
        <w:t>11</w:t>
      </w:r>
      <w:r w:rsidRPr="000E079B">
        <w:rPr>
          <w:i w:val="0"/>
          <w:noProof/>
          <w:sz w:val="18"/>
        </w:rPr>
        <w:fldChar w:fldCharType="end"/>
      </w:r>
    </w:p>
    <w:p w14:paraId="7E772A42" w14:textId="1770F74E"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6—Application and transitional provisions</w:t>
      </w:r>
      <w:r w:rsidRPr="000E079B">
        <w:rPr>
          <w:noProof/>
          <w:sz w:val="18"/>
        </w:rPr>
        <w:tab/>
      </w:r>
      <w:r w:rsidRPr="000E079B">
        <w:rPr>
          <w:noProof/>
          <w:sz w:val="18"/>
        </w:rPr>
        <w:fldChar w:fldCharType="begin"/>
      </w:r>
      <w:r w:rsidRPr="000E079B">
        <w:rPr>
          <w:noProof/>
          <w:sz w:val="18"/>
        </w:rPr>
        <w:instrText xml:space="preserve"> PAGEREF _Toc161993734 \h </w:instrText>
      </w:r>
      <w:r w:rsidRPr="000E079B">
        <w:rPr>
          <w:noProof/>
          <w:sz w:val="18"/>
        </w:rPr>
      </w:r>
      <w:r w:rsidRPr="000E079B">
        <w:rPr>
          <w:noProof/>
          <w:sz w:val="18"/>
        </w:rPr>
        <w:fldChar w:fldCharType="separate"/>
      </w:r>
      <w:r w:rsidR="00882B29">
        <w:rPr>
          <w:noProof/>
          <w:sz w:val="18"/>
        </w:rPr>
        <w:t>15</w:t>
      </w:r>
      <w:r w:rsidRPr="000E079B">
        <w:rPr>
          <w:noProof/>
          <w:sz w:val="18"/>
        </w:rPr>
        <w:fldChar w:fldCharType="end"/>
      </w:r>
    </w:p>
    <w:p w14:paraId="3C9D1CAA" w14:textId="2CAC565C"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Trade Marks Regulations 1995</w:t>
      </w:r>
      <w:r w:rsidRPr="000E079B">
        <w:rPr>
          <w:i w:val="0"/>
          <w:noProof/>
          <w:sz w:val="18"/>
        </w:rPr>
        <w:tab/>
      </w:r>
      <w:r w:rsidRPr="000E079B">
        <w:rPr>
          <w:i w:val="0"/>
          <w:noProof/>
          <w:sz w:val="18"/>
        </w:rPr>
        <w:fldChar w:fldCharType="begin"/>
      </w:r>
      <w:r w:rsidRPr="000E079B">
        <w:rPr>
          <w:i w:val="0"/>
          <w:noProof/>
          <w:sz w:val="18"/>
        </w:rPr>
        <w:instrText xml:space="preserve"> PAGEREF _Toc161993735 \h </w:instrText>
      </w:r>
      <w:r w:rsidRPr="000E079B">
        <w:rPr>
          <w:i w:val="0"/>
          <w:noProof/>
          <w:sz w:val="18"/>
        </w:rPr>
      </w:r>
      <w:r w:rsidRPr="000E079B">
        <w:rPr>
          <w:i w:val="0"/>
          <w:noProof/>
          <w:sz w:val="18"/>
        </w:rPr>
        <w:fldChar w:fldCharType="separate"/>
      </w:r>
      <w:r w:rsidR="00882B29">
        <w:rPr>
          <w:i w:val="0"/>
          <w:noProof/>
          <w:sz w:val="18"/>
        </w:rPr>
        <w:t>15</w:t>
      </w:r>
      <w:r w:rsidRPr="000E079B">
        <w:rPr>
          <w:i w:val="0"/>
          <w:noProof/>
          <w:sz w:val="18"/>
        </w:rPr>
        <w:fldChar w:fldCharType="end"/>
      </w:r>
    </w:p>
    <w:p w14:paraId="726174CE" w14:textId="5F1D0C05" w:rsidR="00505833" w:rsidRPr="000E079B" w:rsidRDefault="00505833" w:rsidP="00505833">
      <w:pPr>
        <w:pStyle w:val="TOC7"/>
        <w:rPr>
          <w:rFonts w:asciiTheme="minorHAnsi" w:eastAsiaTheme="minorEastAsia" w:hAnsiTheme="minorHAnsi" w:cstheme="minorBidi"/>
          <w:noProof/>
          <w:kern w:val="0"/>
          <w:sz w:val="22"/>
          <w:szCs w:val="22"/>
        </w:rPr>
      </w:pPr>
      <w:r w:rsidRPr="000E079B">
        <w:rPr>
          <w:noProof/>
        </w:rPr>
        <w:t>Part 7—Spent provisions</w:t>
      </w:r>
      <w:r w:rsidRPr="000E079B">
        <w:rPr>
          <w:noProof/>
          <w:sz w:val="18"/>
        </w:rPr>
        <w:tab/>
      </w:r>
      <w:r w:rsidRPr="000E079B">
        <w:rPr>
          <w:noProof/>
          <w:sz w:val="18"/>
        </w:rPr>
        <w:fldChar w:fldCharType="begin"/>
      </w:r>
      <w:r w:rsidRPr="000E079B">
        <w:rPr>
          <w:noProof/>
          <w:sz w:val="18"/>
        </w:rPr>
        <w:instrText xml:space="preserve"> PAGEREF _Toc161993742 \h </w:instrText>
      </w:r>
      <w:r w:rsidRPr="000E079B">
        <w:rPr>
          <w:noProof/>
          <w:sz w:val="18"/>
        </w:rPr>
      </w:r>
      <w:r w:rsidRPr="000E079B">
        <w:rPr>
          <w:noProof/>
          <w:sz w:val="18"/>
        </w:rPr>
        <w:fldChar w:fldCharType="separate"/>
      </w:r>
      <w:r w:rsidR="00882B29">
        <w:rPr>
          <w:noProof/>
          <w:sz w:val="18"/>
        </w:rPr>
        <w:t>19</w:t>
      </w:r>
      <w:r w:rsidRPr="000E079B">
        <w:rPr>
          <w:noProof/>
          <w:sz w:val="18"/>
        </w:rPr>
        <w:fldChar w:fldCharType="end"/>
      </w:r>
    </w:p>
    <w:p w14:paraId="1FCAF4E1" w14:textId="0BF1EC1B" w:rsidR="00505833" w:rsidRPr="000E079B" w:rsidRDefault="00505833" w:rsidP="00505833">
      <w:pPr>
        <w:pStyle w:val="TOC9"/>
        <w:rPr>
          <w:rFonts w:asciiTheme="minorHAnsi" w:eastAsiaTheme="minorEastAsia" w:hAnsiTheme="minorHAnsi" w:cstheme="minorBidi"/>
          <w:i w:val="0"/>
          <w:noProof/>
          <w:kern w:val="0"/>
          <w:sz w:val="22"/>
          <w:szCs w:val="22"/>
        </w:rPr>
      </w:pPr>
      <w:r w:rsidRPr="000E079B">
        <w:rPr>
          <w:noProof/>
        </w:rPr>
        <w:t>Patents Regulations 1991</w:t>
      </w:r>
      <w:r w:rsidRPr="000E079B">
        <w:rPr>
          <w:i w:val="0"/>
          <w:noProof/>
          <w:sz w:val="18"/>
        </w:rPr>
        <w:tab/>
      </w:r>
      <w:r w:rsidRPr="000E079B">
        <w:rPr>
          <w:i w:val="0"/>
          <w:noProof/>
          <w:sz w:val="18"/>
        </w:rPr>
        <w:fldChar w:fldCharType="begin"/>
      </w:r>
      <w:r w:rsidRPr="000E079B">
        <w:rPr>
          <w:i w:val="0"/>
          <w:noProof/>
          <w:sz w:val="18"/>
        </w:rPr>
        <w:instrText xml:space="preserve"> PAGEREF _Toc161993743 \h </w:instrText>
      </w:r>
      <w:r w:rsidRPr="000E079B">
        <w:rPr>
          <w:i w:val="0"/>
          <w:noProof/>
          <w:sz w:val="18"/>
        </w:rPr>
      </w:r>
      <w:r w:rsidRPr="000E079B">
        <w:rPr>
          <w:i w:val="0"/>
          <w:noProof/>
          <w:sz w:val="18"/>
        </w:rPr>
        <w:fldChar w:fldCharType="separate"/>
      </w:r>
      <w:r w:rsidR="00882B29">
        <w:rPr>
          <w:i w:val="0"/>
          <w:noProof/>
          <w:sz w:val="18"/>
        </w:rPr>
        <w:t>19</w:t>
      </w:r>
      <w:r w:rsidRPr="000E079B">
        <w:rPr>
          <w:i w:val="0"/>
          <w:noProof/>
          <w:sz w:val="18"/>
        </w:rPr>
        <w:fldChar w:fldCharType="end"/>
      </w:r>
    </w:p>
    <w:p w14:paraId="482120E6" w14:textId="77777777" w:rsidR="00505833" w:rsidRPr="000E079B" w:rsidRDefault="00505833" w:rsidP="00505833">
      <w:pPr>
        <w:rPr>
          <w:sz w:val="32"/>
        </w:rPr>
      </w:pPr>
      <w:r w:rsidRPr="000E079B">
        <w:rPr>
          <w:sz w:val="32"/>
        </w:rPr>
        <w:fldChar w:fldCharType="end"/>
      </w:r>
    </w:p>
    <w:p w14:paraId="39F7E422" w14:textId="77777777" w:rsidR="00505833" w:rsidRPr="000E079B" w:rsidRDefault="00505833" w:rsidP="00505833">
      <w:pPr>
        <w:sectPr w:rsidR="00505833" w:rsidRPr="000E079B" w:rsidSect="00A910A8">
          <w:headerReference w:type="even" r:id="rId15"/>
          <w:headerReference w:type="default" r:id="rId16"/>
          <w:footerReference w:type="even" r:id="rId17"/>
          <w:footerReference w:type="default" r:id="rId18"/>
          <w:headerReference w:type="first" r:id="rId19"/>
          <w:footerReference w:type="first" r:id="rId20"/>
          <w:pgSz w:w="11907" w:h="16839"/>
          <w:pgMar w:top="1675" w:right="1797" w:bottom="1440" w:left="1797" w:header="720" w:footer="709" w:gutter="0"/>
          <w:pgNumType w:start="1"/>
          <w:cols w:space="708"/>
          <w:docGrid w:linePitch="360"/>
        </w:sectPr>
      </w:pPr>
    </w:p>
    <w:p w14:paraId="75F7B840" w14:textId="77777777" w:rsidR="00505833" w:rsidRPr="000E079B" w:rsidRDefault="00505833" w:rsidP="00505833">
      <w:pPr>
        <w:pStyle w:val="ActHead5"/>
      </w:pPr>
      <w:bookmarkStart w:id="0" w:name="_Toc161993706"/>
      <w:r w:rsidRPr="00B16D05">
        <w:rPr>
          <w:rStyle w:val="CharSectno"/>
        </w:rPr>
        <w:lastRenderedPageBreak/>
        <w:t>1</w:t>
      </w:r>
      <w:r w:rsidRPr="000E079B">
        <w:t xml:space="preserve">  Name</w:t>
      </w:r>
      <w:bookmarkEnd w:id="0"/>
    </w:p>
    <w:p w14:paraId="3B646F87" w14:textId="77777777" w:rsidR="00505833" w:rsidRPr="000E079B" w:rsidRDefault="00505833" w:rsidP="00505833">
      <w:pPr>
        <w:pStyle w:val="subsection"/>
      </w:pPr>
      <w:r w:rsidRPr="000E079B">
        <w:tab/>
      </w:r>
      <w:r w:rsidRPr="000E079B">
        <w:tab/>
        <w:t xml:space="preserve">This instrument is the </w:t>
      </w:r>
      <w:r w:rsidR="002C2002" w:rsidRPr="000E079B">
        <w:rPr>
          <w:i/>
          <w:noProof/>
        </w:rPr>
        <w:t>Intellectual Property Laws Amendment (Regulator Performance) Regulations 2024</w:t>
      </w:r>
      <w:r w:rsidRPr="000E079B">
        <w:t>.</w:t>
      </w:r>
    </w:p>
    <w:p w14:paraId="171766B0" w14:textId="77777777" w:rsidR="00505833" w:rsidRPr="000E079B" w:rsidRDefault="00505833" w:rsidP="00505833">
      <w:pPr>
        <w:pStyle w:val="ActHead5"/>
      </w:pPr>
      <w:bookmarkStart w:id="1" w:name="_Toc161993707"/>
      <w:r w:rsidRPr="00B16D05">
        <w:rPr>
          <w:rStyle w:val="CharSectno"/>
        </w:rPr>
        <w:t>2</w:t>
      </w:r>
      <w:r w:rsidRPr="000E079B">
        <w:t xml:space="preserve">  Commencement</w:t>
      </w:r>
      <w:bookmarkEnd w:id="1"/>
    </w:p>
    <w:p w14:paraId="77CB1CD7" w14:textId="77777777" w:rsidR="00505833" w:rsidRPr="000E079B" w:rsidRDefault="00505833" w:rsidP="00505833">
      <w:pPr>
        <w:pStyle w:val="subsection"/>
      </w:pPr>
      <w:r w:rsidRPr="000E079B">
        <w:tab/>
        <w:t>(1)</w:t>
      </w:r>
      <w:r w:rsidRPr="000E079B">
        <w:tab/>
        <w:t>Each provision of this instrument specified in column 1 of the table commences, or is taken to have commenced, in accordance with column 2 of the table. Any other statement in column 2 has effect according to its terms.</w:t>
      </w:r>
    </w:p>
    <w:p w14:paraId="461E5912" w14:textId="77777777" w:rsidR="00505833" w:rsidRPr="000E079B" w:rsidRDefault="00505833" w:rsidP="0050583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05833" w:rsidRPr="000E079B" w14:paraId="1871762D" w14:textId="77777777" w:rsidTr="0087609D">
        <w:trPr>
          <w:tblHeader/>
        </w:trPr>
        <w:tc>
          <w:tcPr>
            <w:tcW w:w="8364" w:type="dxa"/>
            <w:gridSpan w:val="3"/>
            <w:tcBorders>
              <w:top w:val="single" w:sz="12" w:space="0" w:color="auto"/>
              <w:bottom w:val="single" w:sz="6" w:space="0" w:color="auto"/>
            </w:tcBorders>
            <w:shd w:val="clear" w:color="auto" w:fill="auto"/>
            <w:hideMark/>
          </w:tcPr>
          <w:p w14:paraId="154BCFD9" w14:textId="77777777" w:rsidR="00505833" w:rsidRPr="000E079B" w:rsidRDefault="00505833" w:rsidP="0087609D">
            <w:pPr>
              <w:pStyle w:val="TableHeading"/>
            </w:pPr>
            <w:r w:rsidRPr="000E079B">
              <w:t>Commencement information</w:t>
            </w:r>
          </w:p>
        </w:tc>
      </w:tr>
      <w:tr w:rsidR="00505833" w:rsidRPr="000E079B" w14:paraId="7193AFB2" w14:textId="77777777" w:rsidTr="0087609D">
        <w:trPr>
          <w:tblHeader/>
        </w:trPr>
        <w:tc>
          <w:tcPr>
            <w:tcW w:w="2127" w:type="dxa"/>
            <w:tcBorders>
              <w:top w:val="single" w:sz="6" w:space="0" w:color="auto"/>
              <w:bottom w:val="single" w:sz="6" w:space="0" w:color="auto"/>
            </w:tcBorders>
            <w:shd w:val="clear" w:color="auto" w:fill="auto"/>
            <w:hideMark/>
          </w:tcPr>
          <w:p w14:paraId="53CF549E" w14:textId="77777777" w:rsidR="00505833" w:rsidRPr="000E079B" w:rsidRDefault="00505833" w:rsidP="0087609D">
            <w:pPr>
              <w:pStyle w:val="TableHeading"/>
            </w:pPr>
            <w:r w:rsidRPr="000E079B">
              <w:t>Column 1</w:t>
            </w:r>
          </w:p>
        </w:tc>
        <w:tc>
          <w:tcPr>
            <w:tcW w:w="4394" w:type="dxa"/>
            <w:tcBorders>
              <w:top w:val="single" w:sz="6" w:space="0" w:color="auto"/>
              <w:bottom w:val="single" w:sz="6" w:space="0" w:color="auto"/>
            </w:tcBorders>
            <w:shd w:val="clear" w:color="auto" w:fill="auto"/>
            <w:hideMark/>
          </w:tcPr>
          <w:p w14:paraId="53EE1B0C" w14:textId="77777777" w:rsidR="00505833" w:rsidRPr="000E079B" w:rsidRDefault="00505833" w:rsidP="0087609D">
            <w:pPr>
              <w:pStyle w:val="TableHeading"/>
            </w:pPr>
            <w:r w:rsidRPr="000E079B">
              <w:t>Column 2</w:t>
            </w:r>
          </w:p>
        </w:tc>
        <w:tc>
          <w:tcPr>
            <w:tcW w:w="1843" w:type="dxa"/>
            <w:tcBorders>
              <w:top w:val="single" w:sz="6" w:space="0" w:color="auto"/>
              <w:bottom w:val="single" w:sz="6" w:space="0" w:color="auto"/>
            </w:tcBorders>
            <w:shd w:val="clear" w:color="auto" w:fill="auto"/>
            <w:hideMark/>
          </w:tcPr>
          <w:p w14:paraId="7090798B" w14:textId="77777777" w:rsidR="00505833" w:rsidRPr="000E079B" w:rsidRDefault="00505833" w:rsidP="0087609D">
            <w:pPr>
              <w:pStyle w:val="TableHeading"/>
            </w:pPr>
            <w:r w:rsidRPr="000E079B">
              <w:t>Column 3</w:t>
            </w:r>
          </w:p>
        </w:tc>
      </w:tr>
      <w:tr w:rsidR="00505833" w:rsidRPr="000E079B" w14:paraId="1A457BB0" w14:textId="77777777" w:rsidTr="0087609D">
        <w:trPr>
          <w:tblHeader/>
        </w:trPr>
        <w:tc>
          <w:tcPr>
            <w:tcW w:w="2127" w:type="dxa"/>
            <w:tcBorders>
              <w:top w:val="single" w:sz="6" w:space="0" w:color="auto"/>
              <w:bottom w:val="single" w:sz="12" w:space="0" w:color="auto"/>
            </w:tcBorders>
            <w:shd w:val="clear" w:color="auto" w:fill="auto"/>
            <w:hideMark/>
          </w:tcPr>
          <w:p w14:paraId="49C83693" w14:textId="77777777" w:rsidR="00505833" w:rsidRPr="000E079B" w:rsidRDefault="00505833" w:rsidP="0087609D">
            <w:pPr>
              <w:pStyle w:val="TableHeading"/>
            </w:pPr>
            <w:r w:rsidRPr="000E079B">
              <w:t>Provisions</w:t>
            </w:r>
          </w:p>
        </w:tc>
        <w:tc>
          <w:tcPr>
            <w:tcW w:w="4394" w:type="dxa"/>
            <w:tcBorders>
              <w:top w:val="single" w:sz="6" w:space="0" w:color="auto"/>
              <w:bottom w:val="single" w:sz="12" w:space="0" w:color="auto"/>
            </w:tcBorders>
            <w:shd w:val="clear" w:color="auto" w:fill="auto"/>
            <w:hideMark/>
          </w:tcPr>
          <w:p w14:paraId="20E2896F" w14:textId="77777777" w:rsidR="00505833" w:rsidRPr="000E079B" w:rsidRDefault="00505833" w:rsidP="0087609D">
            <w:pPr>
              <w:pStyle w:val="TableHeading"/>
            </w:pPr>
            <w:r w:rsidRPr="000E079B">
              <w:t>Commencement</w:t>
            </w:r>
          </w:p>
        </w:tc>
        <w:tc>
          <w:tcPr>
            <w:tcW w:w="1843" w:type="dxa"/>
            <w:tcBorders>
              <w:top w:val="single" w:sz="6" w:space="0" w:color="auto"/>
              <w:bottom w:val="single" w:sz="12" w:space="0" w:color="auto"/>
            </w:tcBorders>
            <w:shd w:val="clear" w:color="auto" w:fill="auto"/>
            <w:hideMark/>
          </w:tcPr>
          <w:p w14:paraId="2DBF2D9C" w14:textId="77777777" w:rsidR="00505833" w:rsidRPr="000E079B" w:rsidRDefault="00505833" w:rsidP="0087609D">
            <w:pPr>
              <w:pStyle w:val="TableHeading"/>
            </w:pPr>
            <w:r w:rsidRPr="000E079B">
              <w:t>Date/Details</w:t>
            </w:r>
          </w:p>
        </w:tc>
      </w:tr>
      <w:tr w:rsidR="00505833" w:rsidRPr="000E079B" w14:paraId="4F92CA40" w14:textId="77777777" w:rsidTr="0087609D">
        <w:tc>
          <w:tcPr>
            <w:tcW w:w="2127" w:type="dxa"/>
            <w:tcBorders>
              <w:top w:val="single" w:sz="12" w:space="0" w:color="auto"/>
              <w:bottom w:val="single" w:sz="12" w:space="0" w:color="auto"/>
            </w:tcBorders>
            <w:shd w:val="clear" w:color="auto" w:fill="auto"/>
          </w:tcPr>
          <w:p w14:paraId="76A6C362" w14:textId="77777777" w:rsidR="00505833" w:rsidRPr="000E079B" w:rsidRDefault="00505833" w:rsidP="00BA0589">
            <w:pPr>
              <w:pStyle w:val="Tabletext"/>
            </w:pPr>
            <w:r w:rsidRPr="000E079B">
              <w:t>1.  The whole of this instrument.</w:t>
            </w:r>
          </w:p>
        </w:tc>
        <w:tc>
          <w:tcPr>
            <w:tcW w:w="4394" w:type="dxa"/>
            <w:tcBorders>
              <w:top w:val="single" w:sz="12" w:space="0" w:color="auto"/>
              <w:bottom w:val="single" w:sz="12" w:space="0" w:color="auto"/>
            </w:tcBorders>
            <w:shd w:val="clear" w:color="auto" w:fill="auto"/>
          </w:tcPr>
          <w:p w14:paraId="76A28C7F" w14:textId="77777777" w:rsidR="00505833" w:rsidRPr="000E079B" w:rsidRDefault="00505833" w:rsidP="00BA0589">
            <w:pPr>
              <w:pStyle w:val="Tabletext"/>
            </w:pPr>
            <w:r w:rsidRPr="000E079B">
              <w:t>17 May 2024.</w:t>
            </w:r>
          </w:p>
        </w:tc>
        <w:tc>
          <w:tcPr>
            <w:tcW w:w="1843" w:type="dxa"/>
            <w:tcBorders>
              <w:top w:val="single" w:sz="12" w:space="0" w:color="auto"/>
              <w:bottom w:val="single" w:sz="12" w:space="0" w:color="auto"/>
            </w:tcBorders>
            <w:shd w:val="clear" w:color="auto" w:fill="auto"/>
          </w:tcPr>
          <w:p w14:paraId="54F4D4C1" w14:textId="77777777" w:rsidR="00505833" w:rsidRPr="000E079B" w:rsidRDefault="00505833" w:rsidP="00BA0589">
            <w:pPr>
              <w:pStyle w:val="Tabletext"/>
            </w:pPr>
            <w:r w:rsidRPr="000E079B">
              <w:t>17 May 2024</w:t>
            </w:r>
          </w:p>
        </w:tc>
      </w:tr>
    </w:tbl>
    <w:p w14:paraId="4D65E6CB" w14:textId="77777777" w:rsidR="00505833" w:rsidRPr="000E079B" w:rsidRDefault="00505833" w:rsidP="00505833">
      <w:pPr>
        <w:pStyle w:val="notetext"/>
      </w:pPr>
      <w:r w:rsidRPr="000E079B">
        <w:rPr>
          <w:snapToGrid w:val="0"/>
          <w:lang w:eastAsia="en-US"/>
        </w:rPr>
        <w:t>Note:</w:t>
      </w:r>
      <w:r w:rsidRPr="000E079B">
        <w:rPr>
          <w:snapToGrid w:val="0"/>
          <w:lang w:eastAsia="en-US"/>
        </w:rPr>
        <w:tab/>
        <w:t>This table relates only to the provisions of this instrument</w:t>
      </w:r>
      <w:r w:rsidRPr="000E079B">
        <w:t xml:space="preserve"> </w:t>
      </w:r>
      <w:r w:rsidRPr="000E079B">
        <w:rPr>
          <w:snapToGrid w:val="0"/>
          <w:lang w:eastAsia="en-US"/>
        </w:rPr>
        <w:t xml:space="preserve">as originally made. It will not be amended to deal with any later amendments of this </w:t>
      </w:r>
      <w:r w:rsidRPr="000E079B">
        <w:t>instrument</w:t>
      </w:r>
      <w:r w:rsidRPr="000E079B">
        <w:rPr>
          <w:snapToGrid w:val="0"/>
          <w:lang w:eastAsia="en-US"/>
        </w:rPr>
        <w:t>.</w:t>
      </w:r>
    </w:p>
    <w:p w14:paraId="5953E903" w14:textId="77777777" w:rsidR="00505833" w:rsidRPr="000E079B" w:rsidRDefault="00505833" w:rsidP="00505833">
      <w:pPr>
        <w:pStyle w:val="subsection"/>
      </w:pPr>
      <w:r w:rsidRPr="000E079B">
        <w:tab/>
        <w:t>(2)</w:t>
      </w:r>
      <w:r w:rsidRPr="000E079B">
        <w:tab/>
        <w:t>Any information in column 3 of the table is not part of this instrument. Information may be inserted in this column, or information in it may be edited, in any published version of this instrument.</w:t>
      </w:r>
    </w:p>
    <w:p w14:paraId="031F0E2E" w14:textId="77777777" w:rsidR="00505833" w:rsidRPr="000E079B" w:rsidRDefault="00505833" w:rsidP="00505833">
      <w:pPr>
        <w:pStyle w:val="ActHead5"/>
      </w:pPr>
      <w:bookmarkStart w:id="2" w:name="_Toc161993708"/>
      <w:r w:rsidRPr="00B16D05">
        <w:rPr>
          <w:rStyle w:val="CharSectno"/>
        </w:rPr>
        <w:t>3</w:t>
      </w:r>
      <w:r w:rsidRPr="000E079B">
        <w:t xml:space="preserve">  Authority</w:t>
      </w:r>
      <w:bookmarkEnd w:id="2"/>
    </w:p>
    <w:p w14:paraId="596FB860" w14:textId="77777777" w:rsidR="00505833" w:rsidRPr="000E079B" w:rsidRDefault="00505833" w:rsidP="00505833">
      <w:pPr>
        <w:pStyle w:val="subsection"/>
      </w:pPr>
      <w:r w:rsidRPr="000E079B">
        <w:tab/>
      </w:r>
      <w:r w:rsidRPr="000E079B">
        <w:tab/>
        <w:t>This instrument is made under the following:</w:t>
      </w:r>
    </w:p>
    <w:p w14:paraId="2E012786" w14:textId="77777777" w:rsidR="00505833" w:rsidRPr="000E079B" w:rsidRDefault="00505833" w:rsidP="00505833">
      <w:pPr>
        <w:pStyle w:val="paragraph"/>
      </w:pPr>
      <w:r w:rsidRPr="000E079B">
        <w:tab/>
        <w:t>(a)</w:t>
      </w:r>
      <w:r w:rsidRPr="000E079B">
        <w:tab/>
        <w:t xml:space="preserve">the </w:t>
      </w:r>
      <w:r w:rsidRPr="000E079B">
        <w:rPr>
          <w:i/>
        </w:rPr>
        <w:t>Patents Act 1990</w:t>
      </w:r>
      <w:r w:rsidRPr="000E079B">
        <w:t>;</w:t>
      </w:r>
    </w:p>
    <w:p w14:paraId="7D5618B1" w14:textId="77777777" w:rsidR="00505833" w:rsidRPr="000E079B" w:rsidRDefault="00505833" w:rsidP="00505833">
      <w:pPr>
        <w:pStyle w:val="paragraph"/>
      </w:pPr>
      <w:r w:rsidRPr="000E079B">
        <w:tab/>
        <w:t>(b)</w:t>
      </w:r>
      <w:r w:rsidRPr="000E079B">
        <w:tab/>
        <w:t xml:space="preserve">the </w:t>
      </w:r>
      <w:r w:rsidRPr="000E079B">
        <w:rPr>
          <w:i/>
        </w:rPr>
        <w:t>Trade Marks Act 1995</w:t>
      </w:r>
      <w:r w:rsidRPr="000E079B">
        <w:t>.</w:t>
      </w:r>
    </w:p>
    <w:p w14:paraId="6AFE3669" w14:textId="77777777" w:rsidR="00505833" w:rsidRPr="000E079B" w:rsidRDefault="00505833" w:rsidP="00505833">
      <w:pPr>
        <w:pStyle w:val="ActHead5"/>
      </w:pPr>
      <w:bookmarkStart w:id="3" w:name="_Toc161993709"/>
      <w:r w:rsidRPr="00B16D05">
        <w:rPr>
          <w:rStyle w:val="CharSectno"/>
        </w:rPr>
        <w:t>4</w:t>
      </w:r>
      <w:r w:rsidRPr="000E079B">
        <w:t xml:space="preserve">  Schedules</w:t>
      </w:r>
      <w:bookmarkEnd w:id="3"/>
    </w:p>
    <w:p w14:paraId="357A3A94" w14:textId="77777777" w:rsidR="00505833" w:rsidRPr="000E079B" w:rsidRDefault="00505833" w:rsidP="00505833">
      <w:pPr>
        <w:pStyle w:val="subsection"/>
      </w:pPr>
      <w:r w:rsidRPr="000E079B">
        <w:tab/>
      </w:r>
      <w:r w:rsidRPr="000E079B">
        <w:tab/>
        <w:t>Each instrument that is specified in a Schedule to this instrument is amended or repealed as set out in the applicable items in the Schedule concerned, and any other item in a Schedule to this instrument has effect according to its terms.</w:t>
      </w:r>
    </w:p>
    <w:p w14:paraId="2D2610EA" w14:textId="77777777" w:rsidR="00505833" w:rsidRPr="000E079B" w:rsidRDefault="00505833" w:rsidP="00505833">
      <w:pPr>
        <w:pStyle w:val="ActHead6"/>
        <w:pageBreakBefore/>
      </w:pPr>
      <w:bookmarkStart w:id="4" w:name="_Toc161993710"/>
      <w:bookmarkStart w:id="5" w:name="opcAmSched"/>
      <w:r w:rsidRPr="00B16D05">
        <w:rPr>
          <w:rStyle w:val="CharAmSchNo"/>
        </w:rPr>
        <w:lastRenderedPageBreak/>
        <w:t>Schedule 1</w:t>
      </w:r>
      <w:r w:rsidRPr="000E079B">
        <w:t>—</w:t>
      </w:r>
      <w:r w:rsidRPr="00B16D05">
        <w:rPr>
          <w:rStyle w:val="CharAmSchText"/>
        </w:rPr>
        <w:t>Amendments</w:t>
      </w:r>
      <w:bookmarkEnd w:id="4"/>
    </w:p>
    <w:p w14:paraId="2863AFFC" w14:textId="77777777" w:rsidR="00505833" w:rsidRPr="000E079B" w:rsidRDefault="00505833" w:rsidP="00505833">
      <w:pPr>
        <w:pStyle w:val="ActHead7"/>
      </w:pPr>
      <w:bookmarkStart w:id="6" w:name="_Toc161993711"/>
      <w:bookmarkEnd w:id="5"/>
      <w:r w:rsidRPr="00B16D05">
        <w:rPr>
          <w:rStyle w:val="CharAmPartNo"/>
        </w:rPr>
        <w:t>Part 1</w:t>
      </w:r>
      <w:r w:rsidRPr="000E079B">
        <w:t>—</w:t>
      </w:r>
      <w:r w:rsidRPr="00B16D05">
        <w:rPr>
          <w:rStyle w:val="CharAmPartText"/>
        </w:rPr>
        <w:t>Renewal of registration</w:t>
      </w:r>
      <w:bookmarkEnd w:id="6"/>
    </w:p>
    <w:p w14:paraId="13631B42" w14:textId="77777777" w:rsidR="00505833" w:rsidRPr="000E079B" w:rsidRDefault="00505833" w:rsidP="00505833">
      <w:pPr>
        <w:pStyle w:val="ActHead9"/>
      </w:pPr>
      <w:bookmarkStart w:id="7" w:name="_Toc161993712"/>
      <w:r w:rsidRPr="000E079B">
        <w:t>Trade Marks Regulations 1995</w:t>
      </w:r>
      <w:bookmarkEnd w:id="7"/>
    </w:p>
    <w:p w14:paraId="5C197C1B" w14:textId="77777777" w:rsidR="00505833" w:rsidRPr="000E079B" w:rsidRDefault="00505833" w:rsidP="00505833">
      <w:pPr>
        <w:pStyle w:val="ItemHead"/>
      </w:pPr>
      <w:r w:rsidRPr="000E079B">
        <w:t>1  Subregulation 21.21(6)</w:t>
      </w:r>
    </w:p>
    <w:p w14:paraId="58BAFC70" w14:textId="77777777" w:rsidR="00505833" w:rsidRPr="000E079B" w:rsidRDefault="00505833" w:rsidP="00505833">
      <w:pPr>
        <w:pStyle w:val="Item"/>
      </w:pPr>
      <w:r w:rsidRPr="000E079B">
        <w:t>Omit “10 months”, substitute “6 months”.</w:t>
      </w:r>
    </w:p>
    <w:p w14:paraId="18732C5B" w14:textId="77777777" w:rsidR="00505833" w:rsidRPr="000E079B" w:rsidRDefault="00505833" w:rsidP="00505833">
      <w:pPr>
        <w:pStyle w:val="ItemHead"/>
      </w:pPr>
      <w:r w:rsidRPr="000E079B">
        <w:t xml:space="preserve">2  </w:t>
      </w:r>
      <w:r w:rsidRPr="000E079B">
        <w:rPr>
          <w:shd w:val="clear" w:color="auto" w:fill="FFFFFF"/>
        </w:rPr>
        <w:t>Clause 1 of Schedule 9 (table item 12</w:t>
      </w:r>
      <w:r w:rsidR="00600082" w:rsidRPr="000E079B">
        <w:rPr>
          <w:shd w:val="clear" w:color="auto" w:fill="FFFFFF"/>
        </w:rPr>
        <w:t>, column headed “Matter”</w:t>
      </w:r>
      <w:r w:rsidRPr="000E079B">
        <w:rPr>
          <w:shd w:val="clear" w:color="auto" w:fill="FFFFFF"/>
        </w:rPr>
        <w:t>)</w:t>
      </w:r>
    </w:p>
    <w:p w14:paraId="15796678" w14:textId="77777777" w:rsidR="00505833" w:rsidRPr="000E079B" w:rsidRDefault="00505833" w:rsidP="00505833">
      <w:pPr>
        <w:pStyle w:val="Item"/>
      </w:pPr>
      <w:r w:rsidRPr="000E079B">
        <w:t>Omit “10 months”, substitute “6 months”.</w:t>
      </w:r>
    </w:p>
    <w:p w14:paraId="6D5CC10A" w14:textId="77777777" w:rsidR="00505833" w:rsidRPr="000E079B" w:rsidRDefault="00505833" w:rsidP="00505833">
      <w:pPr>
        <w:pStyle w:val="ActHead7"/>
        <w:pageBreakBefore/>
      </w:pPr>
      <w:bookmarkStart w:id="8" w:name="_Toc161993713"/>
      <w:r w:rsidRPr="00B16D05">
        <w:rPr>
          <w:rStyle w:val="CharAmPartNo"/>
        </w:rPr>
        <w:lastRenderedPageBreak/>
        <w:t>Part 2</w:t>
      </w:r>
      <w:r w:rsidRPr="000E079B">
        <w:t>—</w:t>
      </w:r>
      <w:r w:rsidRPr="00B16D05">
        <w:rPr>
          <w:rStyle w:val="CharAmPartText"/>
        </w:rPr>
        <w:t>Restoration of trade mark to the Register</w:t>
      </w:r>
      <w:bookmarkEnd w:id="8"/>
    </w:p>
    <w:p w14:paraId="1A66865C" w14:textId="77777777" w:rsidR="00505833" w:rsidRPr="000E079B" w:rsidRDefault="00505833" w:rsidP="00505833">
      <w:pPr>
        <w:pStyle w:val="ActHead9"/>
      </w:pPr>
      <w:bookmarkStart w:id="9" w:name="_Toc161993714"/>
      <w:r w:rsidRPr="000E079B">
        <w:t>Trade Marks Regulations 1995</w:t>
      </w:r>
      <w:bookmarkEnd w:id="9"/>
    </w:p>
    <w:p w14:paraId="6A3D3649" w14:textId="77777777" w:rsidR="00505833" w:rsidRPr="000E079B" w:rsidRDefault="00505833" w:rsidP="00505833">
      <w:pPr>
        <w:pStyle w:val="ItemHead"/>
      </w:pPr>
      <w:r w:rsidRPr="000E079B">
        <w:t>3  At the end of Division 3 of Part 9</w:t>
      </w:r>
    </w:p>
    <w:p w14:paraId="49587792" w14:textId="77777777" w:rsidR="00505833" w:rsidRPr="000E079B" w:rsidRDefault="00505833" w:rsidP="00505833">
      <w:pPr>
        <w:pStyle w:val="Item"/>
      </w:pPr>
      <w:r w:rsidRPr="000E079B">
        <w:t>Add:</w:t>
      </w:r>
    </w:p>
    <w:p w14:paraId="61EFE8D7" w14:textId="77777777" w:rsidR="00505833" w:rsidRPr="000E079B" w:rsidRDefault="00505833" w:rsidP="00505833">
      <w:pPr>
        <w:pStyle w:val="ActHead5"/>
      </w:pPr>
      <w:bookmarkStart w:id="10" w:name="_Toc161993715"/>
      <w:r w:rsidRPr="00B16D05">
        <w:rPr>
          <w:rStyle w:val="CharSectno"/>
        </w:rPr>
        <w:t>9.18A</w:t>
      </w:r>
      <w:r w:rsidRPr="000E079B">
        <w:t xml:space="preserve">  Trade mark restored to Register in certain circumstances</w:t>
      </w:r>
      <w:bookmarkEnd w:id="10"/>
    </w:p>
    <w:p w14:paraId="4BC460EA" w14:textId="77777777" w:rsidR="00505833" w:rsidRPr="000E079B" w:rsidRDefault="00505833" w:rsidP="00505833">
      <w:pPr>
        <w:pStyle w:val="subsection"/>
        <w:rPr>
          <w:lang w:eastAsia="en-US"/>
        </w:rPr>
      </w:pPr>
      <w:r w:rsidRPr="000E079B">
        <w:tab/>
      </w:r>
      <w:r w:rsidRPr="000E079B">
        <w:tab/>
        <w:t xml:space="preserve">For the purposes of subparagraph 98(2)(b)(ii) of the Act (which deals with restoration of trade marks), </w:t>
      </w:r>
      <w:r w:rsidRPr="000E079B">
        <w:rPr>
          <w:lang w:eastAsia="en-US"/>
        </w:rPr>
        <w:t>a thing referred to in paragraph 98(2)(b) of the Act is:</w:t>
      </w:r>
    </w:p>
    <w:p w14:paraId="47C6BE8F" w14:textId="77777777" w:rsidR="00505833" w:rsidRPr="000E079B" w:rsidRDefault="00505833" w:rsidP="00505833">
      <w:pPr>
        <w:pStyle w:val="paragraph"/>
      </w:pPr>
      <w:r w:rsidRPr="000E079B">
        <w:tab/>
        <w:t>(a)</w:t>
      </w:r>
      <w:r w:rsidRPr="000E079B">
        <w:tab/>
        <w:t>filing evidence in support in accordance with subregulation 9.16(3); or</w:t>
      </w:r>
    </w:p>
    <w:p w14:paraId="2E894DB7" w14:textId="77777777" w:rsidR="00505833" w:rsidRPr="000E079B" w:rsidRDefault="00505833" w:rsidP="00505833">
      <w:pPr>
        <w:pStyle w:val="paragraph"/>
      </w:pPr>
      <w:r w:rsidRPr="000E079B">
        <w:tab/>
        <w:t>(b)</w:t>
      </w:r>
      <w:r w:rsidRPr="000E079B">
        <w:tab/>
        <w:t>requesting a hearing in accordance with subregulation 9.17(1).</w:t>
      </w:r>
    </w:p>
    <w:p w14:paraId="6477302F" w14:textId="77777777" w:rsidR="00505833" w:rsidRPr="000E079B" w:rsidRDefault="00505833" w:rsidP="00505833">
      <w:pPr>
        <w:pStyle w:val="ActHead7"/>
        <w:pageBreakBefore/>
      </w:pPr>
      <w:bookmarkStart w:id="11" w:name="_Toc161993716"/>
      <w:r w:rsidRPr="00B16D05">
        <w:rPr>
          <w:rStyle w:val="CharAmPartNo"/>
        </w:rPr>
        <w:lastRenderedPageBreak/>
        <w:t>Part 3</w:t>
      </w:r>
      <w:r w:rsidRPr="000E079B">
        <w:t>—</w:t>
      </w:r>
      <w:r w:rsidRPr="00B16D05">
        <w:rPr>
          <w:rStyle w:val="CharAmPartText"/>
        </w:rPr>
        <w:t>Official Journal etc.</w:t>
      </w:r>
      <w:bookmarkEnd w:id="11"/>
    </w:p>
    <w:p w14:paraId="4B805896" w14:textId="77777777" w:rsidR="00505833" w:rsidRPr="000E079B" w:rsidRDefault="00505833" w:rsidP="00505833">
      <w:pPr>
        <w:pStyle w:val="ActHead9"/>
      </w:pPr>
      <w:bookmarkStart w:id="12" w:name="_Toc161993717"/>
      <w:r w:rsidRPr="000E079B">
        <w:t>Trade Marks Regulations 1995</w:t>
      </w:r>
      <w:bookmarkEnd w:id="12"/>
    </w:p>
    <w:p w14:paraId="15D34058" w14:textId="77777777" w:rsidR="00505833" w:rsidRPr="000E079B" w:rsidRDefault="00505833" w:rsidP="00505833">
      <w:pPr>
        <w:pStyle w:val="ItemHead"/>
      </w:pPr>
      <w:bookmarkStart w:id="13" w:name="_Hlk161503048"/>
      <w:r w:rsidRPr="000E079B">
        <w:t>4  Paragraph 3A.3(3)(f)</w:t>
      </w:r>
    </w:p>
    <w:p w14:paraId="64583F3E" w14:textId="77777777" w:rsidR="00505833" w:rsidRPr="000E079B" w:rsidRDefault="00505833" w:rsidP="00505833">
      <w:pPr>
        <w:pStyle w:val="Item"/>
      </w:pPr>
      <w:r w:rsidRPr="000E079B">
        <w:t xml:space="preserve">Omit “notified by the Registrar in the </w:t>
      </w:r>
      <w:r w:rsidRPr="000E079B">
        <w:rPr>
          <w:i/>
        </w:rPr>
        <w:t>Official Journal</w:t>
      </w:r>
      <w:r w:rsidRPr="000E079B">
        <w:t>”, substitute “published by the Registrar on the IP Australia website”.</w:t>
      </w:r>
    </w:p>
    <w:bookmarkEnd w:id="13"/>
    <w:p w14:paraId="287F0E1C" w14:textId="77777777" w:rsidR="00505833" w:rsidRPr="000E079B" w:rsidRDefault="00505833" w:rsidP="00505833">
      <w:pPr>
        <w:pStyle w:val="ItemHead"/>
      </w:pPr>
      <w:r w:rsidRPr="000E079B">
        <w:t>5  Paragraph 3A.3(3)(g)</w:t>
      </w:r>
    </w:p>
    <w:p w14:paraId="2D4D00D2" w14:textId="77777777" w:rsidR="00505833" w:rsidRPr="000E079B" w:rsidRDefault="00505833" w:rsidP="00505833">
      <w:pPr>
        <w:pStyle w:val="Item"/>
      </w:pPr>
      <w:r w:rsidRPr="000E079B">
        <w:t xml:space="preserve">Omit “notified conditions in the </w:t>
      </w:r>
      <w:r w:rsidRPr="000E079B">
        <w:rPr>
          <w:i/>
        </w:rPr>
        <w:t>Official Journal</w:t>
      </w:r>
      <w:r w:rsidRPr="000E079B">
        <w:t>”, substitute “published conditions on the IP Australia website”.</w:t>
      </w:r>
    </w:p>
    <w:p w14:paraId="7E25380D" w14:textId="77777777" w:rsidR="00505833" w:rsidRPr="000E079B" w:rsidRDefault="00505833" w:rsidP="00505833">
      <w:pPr>
        <w:pStyle w:val="ItemHead"/>
      </w:pPr>
      <w:r w:rsidRPr="000E079B">
        <w:t>6  Subregulation 4.7(2)</w:t>
      </w:r>
    </w:p>
    <w:p w14:paraId="74E43AAA" w14:textId="77777777" w:rsidR="00505833" w:rsidRPr="000E079B" w:rsidRDefault="00505833" w:rsidP="00505833">
      <w:pPr>
        <w:pStyle w:val="Item"/>
      </w:pPr>
      <w:r w:rsidRPr="000E079B">
        <w:t>Repeal the subregulation, substitute:</w:t>
      </w:r>
    </w:p>
    <w:p w14:paraId="72AB73FB" w14:textId="77777777" w:rsidR="00505833" w:rsidRPr="000E079B" w:rsidRDefault="00505833" w:rsidP="00505833">
      <w:pPr>
        <w:pStyle w:val="subsection"/>
      </w:pPr>
      <w:r w:rsidRPr="000E079B">
        <w:tab/>
        <w:t>(2)</w:t>
      </w:r>
      <w:r w:rsidRPr="000E079B">
        <w:tab/>
        <w:t xml:space="preserve">The particulars must be published </w:t>
      </w:r>
      <w:r w:rsidR="00C3658F" w:rsidRPr="000E079B">
        <w:t>in</w:t>
      </w:r>
      <w:r w:rsidRPr="000E079B">
        <w:t xml:space="preserve"> a computer database maintained by the Trade Marks Office.</w:t>
      </w:r>
    </w:p>
    <w:p w14:paraId="368D5780" w14:textId="77777777" w:rsidR="00505833" w:rsidRPr="000E079B" w:rsidRDefault="00505833" w:rsidP="00505833">
      <w:pPr>
        <w:pStyle w:val="ItemHead"/>
      </w:pPr>
      <w:r w:rsidRPr="000E079B">
        <w:t>7  After regulation 4.11</w:t>
      </w:r>
    </w:p>
    <w:p w14:paraId="676291F4" w14:textId="77777777" w:rsidR="00505833" w:rsidRPr="000E079B" w:rsidRDefault="00505833" w:rsidP="00505833">
      <w:pPr>
        <w:pStyle w:val="Item"/>
      </w:pPr>
      <w:r w:rsidRPr="000E079B">
        <w:t>Insert:</w:t>
      </w:r>
    </w:p>
    <w:p w14:paraId="4B863048" w14:textId="77777777" w:rsidR="00505833" w:rsidRPr="000E079B" w:rsidRDefault="00505833" w:rsidP="00505833">
      <w:pPr>
        <w:pStyle w:val="ActHead5"/>
      </w:pPr>
      <w:bookmarkStart w:id="14" w:name="_Toc161993718"/>
      <w:r w:rsidRPr="00B16D05">
        <w:rPr>
          <w:rStyle w:val="CharSectno"/>
        </w:rPr>
        <w:t>4.11A</w:t>
      </w:r>
      <w:r w:rsidRPr="000E079B">
        <w:t xml:space="preserve">  Publication of decision</w:t>
      </w:r>
      <w:bookmarkEnd w:id="14"/>
    </w:p>
    <w:p w14:paraId="75F7108C" w14:textId="77777777" w:rsidR="00505833" w:rsidRPr="000E079B" w:rsidRDefault="00505833" w:rsidP="00505833">
      <w:pPr>
        <w:pStyle w:val="subsection"/>
      </w:pPr>
      <w:r w:rsidRPr="000E079B">
        <w:tab/>
      </w:r>
      <w:r w:rsidRPr="000E079B">
        <w:tab/>
        <w:t xml:space="preserve">For the purposes of paragraph 34(b) of the Act, the decision must be published </w:t>
      </w:r>
      <w:r w:rsidR="00C3658F" w:rsidRPr="000E079B">
        <w:t>in</w:t>
      </w:r>
      <w:r w:rsidRPr="000E079B">
        <w:t xml:space="preserve"> a computer database maintained by the Trade Marks Office.</w:t>
      </w:r>
    </w:p>
    <w:p w14:paraId="2242B542" w14:textId="77777777" w:rsidR="00505833" w:rsidRPr="000E079B" w:rsidRDefault="00505833" w:rsidP="00505833">
      <w:pPr>
        <w:pStyle w:val="ItemHead"/>
      </w:pPr>
      <w:r w:rsidRPr="000E079B">
        <w:t>8  Subregulation 5.6(1)</w:t>
      </w:r>
    </w:p>
    <w:p w14:paraId="74307C1E" w14:textId="77777777" w:rsidR="00505833" w:rsidRPr="000E079B" w:rsidRDefault="00505833" w:rsidP="00505833">
      <w:pPr>
        <w:pStyle w:val="Item"/>
      </w:pPr>
      <w:r w:rsidRPr="000E079B">
        <w:t xml:space="preserve">Omit “advertised in the </w:t>
      </w:r>
      <w:r w:rsidRPr="000E079B">
        <w:rPr>
          <w:i/>
        </w:rPr>
        <w:t>Official Journal</w:t>
      </w:r>
      <w:r w:rsidRPr="000E079B">
        <w:t xml:space="preserve"> under paragraph 34(b) of the Act”, substitute “published </w:t>
      </w:r>
      <w:r w:rsidR="00C3658F" w:rsidRPr="000E079B">
        <w:t>in</w:t>
      </w:r>
      <w:r w:rsidRPr="000E079B">
        <w:t xml:space="preserve"> </w:t>
      </w:r>
      <w:bookmarkStart w:id="15" w:name="_Hlk161589141"/>
      <w:r w:rsidRPr="000E079B">
        <w:t>a computer database maintained by the Trade Marks Office</w:t>
      </w:r>
      <w:bookmarkEnd w:id="15"/>
      <w:r w:rsidRPr="000E079B">
        <w:t xml:space="preserve"> in accordance with regulation 4.11A”.</w:t>
      </w:r>
    </w:p>
    <w:p w14:paraId="03166E42" w14:textId="77777777" w:rsidR="00505833" w:rsidRPr="000E079B" w:rsidRDefault="00505833" w:rsidP="00505833">
      <w:pPr>
        <w:pStyle w:val="ItemHead"/>
      </w:pPr>
      <w:r w:rsidRPr="000E079B">
        <w:t>9  After regulation 6.3</w:t>
      </w:r>
    </w:p>
    <w:p w14:paraId="0E908810" w14:textId="77777777" w:rsidR="00505833" w:rsidRPr="000E079B" w:rsidRDefault="00505833" w:rsidP="00505833">
      <w:pPr>
        <w:pStyle w:val="Item"/>
      </w:pPr>
      <w:r w:rsidRPr="000E079B">
        <w:t>Insert:</w:t>
      </w:r>
    </w:p>
    <w:p w14:paraId="59C07620" w14:textId="77777777" w:rsidR="00505833" w:rsidRPr="000E079B" w:rsidRDefault="00505833" w:rsidP="00505833">
      <w:pPr>
        <w:pStyle w:val="ActHead5"/>
      </w:pPr>
      <w:bookmarkStart w:id="16" w:name="_Toc161993719"/>
      <w:r w:rsidRPr="00B16D05">
        <w:rPr>
          <w:rStyle w:val="CharSectno"/>
        </w:rPr>
        <w:t>6.3A</w:t>
      </w:r>
      <w:r w:rsidRPr="000E079B">
        <w:t xml:space="preserve">  Publication of request for amendment</w:t>
      </w:r>
      <w:bookmarkEnd w:id="16"/>
    </w:p>
    <w:p w14:paraId="47808FD4" w14:textId="77777777" w:rsidR="00505833" w:rsidRPr="000E079B" w:rsidRDefault="00505833" w:rsidP="00505833">
      <w:pPr>
        <w:pStyle w:val="subsection"/>
      </w:pPr>
      <w:r w:rsidRPr="000E079B">
        <w:tab/>
      </w:r>
      <w:r w:rsidRPr="000E079B">
        <w:tab/>
        <w:t xml:space="preserve">For the purposes of subsection 65A(3) of the Act, the request for the amendment must be published </w:t>
      </w:r>
      <w:r w:rsidR="00CC3F72" w:rsidRPr="000E079B">
        <w:t>in</w:t>
      </w:r>
      <w:r w:rsidRPr="000E079B">
        <w:t xml:space="preserve"> </w:t>
      </w:r>
      <w:bookmarkStart w:id="17" w:name="_Hlk160121607"/>
      <w:r w:rsidRPr="000E079B">
        <w:t>a computer database maintained by the Trade Marks Office.</w:t>
      </w:r>
      <w:bookmarkEnd w:id="17"/>
    </w:p>
    <w:p w14:paraId="2A1A8891" w14:textId="77777777" w:rsidR="00505833" w:rsidRPr="000E079B" w:rsidRDefault="00505833" w:rsidP="00505833">
      <w:pPr>
        <w:pStyle w:val="ItemHead"/>
      </w:pPr>
      <w:r w:rsidRPr="000E079B">
        <w:t>10  Subregulation 6.6(1)</w:t>
      </w:r>
    </w:p>
    <w:p w14:paraId="56F5E044" w14:textId="77777777" w:rsidR="00505833" w:rsidRPr="000E079B" w:rsidRDefault="00505833" w:rsidP="00505833">
      <w:pPr>
        <w:pStyle w:val="Item"/>
      </w:pPr>
      <w:r w:rsidRPr="000E079B">
        <w:t xml:space="preserve">Omit “advertisement of the request for amendment in the </w:t>
      </w:r>
      <w:r w:rsidRPr="000E079B">
        <w:rPr>
          <w:i/>
        </w:rPr>
        <w:t xml:space="preserve">Official Journal </w:t>
      </w:r>
      <w:r w:rsidRPr="000E079B">
        <w:t xml:space="preserve">under subsection 65A(3) of the Act”, substitute “publication of the request for the amendment </w:t>
      </w:r>
      <w:r w:rsidR="00CC3F72" w:rsidRPr="000E079B">
        <w:t>in</w:t>
      </w:r>
      <w:r w:rsidRPr="000E079B">
        <w:t xml:space="preserve"> a computer database maintained by the Trade Marks Office in accordance with regulation 6.3A”.</w:t>
      </w:r>
    </w:p>
    <w:p w14:paraId="31A97662" w14:textId="77777777" w:rsidR="00505833" w:rsidRPr="000E079B" w:rsidRDefault="00505833" w:rsidP="00505833">
      <w:pPr>
        <w:pStyle w:val="ItemHead"/>
      </w:pPr>
      <w:r w:rsidRPr="000E079B">
        <w:t>11  Paragraph 7.1(1)(a)</w:t>
      </w:r>
    </w:p>
    <w:p w14:paraId="4D2F53BC" w14:textId="77777777" w:rsidR="00505833" w:rsidRPr="000E079B" w:rsidRDefault="00505833" w:rsidP="00505833">
      <w:pPr>
        <w:pStyle w:val="Item"/>
      </w:pPr>
      <w:r w:rsidRPr="000E079B">
        <w:t xml:space="preserve">Omit “advertised in the </w:t>
      </w:r>
      <w:r w:rsidRPr="000E079B">
        <w:rPr>
          <w:i/>
        </w:rPr>
        <w:t>Official Journal</w:t>
      </w:r>
      <w:r w:rsidRPr="000E079B">
        <w:t xml:space="preserve">”, substitute “published </w:t>
      </w:r>
      <w:r w:rsidR="00CC3F72" w:rsidRPr="000E079B">
        <w:t>in</w:t>
      </w:r>
      <w:r w:rsidRPr="000E079B">
        <w:t xml:space="preserve"> a computer database maintained by the Trade Marks Office in accordance with regulation 4.11A”.</w:t>
      </w:r>
    </w:p>
    <w:p w14:paraId="2BAC2DBD" w14:textId="77777777" w:rsidR="00505833" w:rsidRPr="000E079B" w:rsidRDefault="00505833" w:rsidP="00505833">
      <w:pPr>
        <w:pStyle w:val="ItemHead"/>
      </w:pPr>
      <w:r w:rsidRPr="000E079B">
        <w:lastRenderedPageBreak/>
        <w:t xml:space="preserve">12  </w:t>
      </w:r>
      <w:r w:rsidR="00B95330" w:rsidRPr="000E079B">
        <w:t>At the end of Division</w:t>
      </w:r>
      <w:r w:rsidR="00395622" w:rsidRPr="000E079B">
        <w:t> 1 of Part 7</w:t>
      </w:r>
    </w:p>
    <w:p w14:paraId="0763685B" w14:textId="77777777" w:rsidR="00505833" w:rsidRPr="000E079B" w:rsidRDefault="00395622" w:rsidP="00505833">
      <w:pPr>
        <w:pStyle w:val="Item"/>
      </w:pPr>
      <w:r w:rsidRPr="000E079B">
        <w:t>Add</w:t>
      </w:r>
      <w:r w:rsidR="00505833" w:rsidRPr="000E079B">
        <w:t>:</w:t>
      </w:r>
    </w:p>
    <w:p w14:paraId="0BA7237C" w14:textId="77777777" w:rsidR="00505833" w:rsidRPr="000E079B" w:rsidRDefault="00505833" w:rsidP="00505833">
      <w:pPr>
        <w:pStyle w:val="ActHead5"/>
      </w:pPr>
      <w:bookmarkStart w:id="18" w:name="_Toc161993720"/>
      <w:r w:rsidRPr="00B16D05">
        <w:rPr>
          <w:rStyle w:val="CharSectno"/>
        </w:rPr>
        <w:t>7.2A</w:t>
      </w:r>
      <w:r w:rsidRPr="000E079B">
        <w:t xml:space="preserve">  Publication of registration</w:t>
      </w:r>
      <w:bookmarkEnd w:id="18"/>
    </w:p>
    <w:p w14:paraId="2608F6E8" w14:textId="77777777" w:rsidR="00505833" w:rsidRPr="000E079B" w:rsidRDefault="00505833" w:rsidP="00505833">
      <w:pPr>
        <w:pStyle w:val="subsection"/>
      </w:pPr>
      <w:r w:rsidRPr="000E079B">
        <w:tab/>
      </w:r>
      <w:r w:rsidRPr="000E079B">
        <w:tab/>
        <w:t xml:space="preserve">For the purposes of paragraph 71(a) of the Act, the registration must be published </w:t>
      </w:r>
      <w:r w:rsidR="00CC3F72" w:rsidRPr="000E079B">
        <w:t>in</w:t>
      </w:r>
      <w:r w:rsidRPr="000E079B">
        <w:t xml:space="preserve"> a computer database maintained by the Trade Marks Office.</w:t>
      </w:r>
    </w:p>
    <w:p w14:paraId="40F4F839" w14:textId="77777777" w:rsidR="00505833" w:rsidRPr="000E079B" w:rsidRDefault="00505833" w:rsidP="00505833">
      <w:pPr>
        <w:pStyle w:val="ItemHead"/>
      </w:pPr>
      <w:r w:rsidRPr="000E079B">
        <w:t>13  After regulation 8.3</w:t>
      </w:r>
    </w:p>
    <w:p w14:paraId="10E389A9" w14:textId="77777777" w:rsidR="00505833" w:rsidRPr="000E079B" w:rsidRDefault="00505833" w:rsidP="00505833">
      <w:pPr>
        <w:pStyle w:val="Item"/>
      </w:pPr>
      <w:r w:rsidRPr="000E079B">
        <w:t>Insert:</w:t>
      </w:r>
    </w:p>
    <w:p w14:paraId="0424E1E7" w14:textId="77777777" w:rsidR="00505833" w:rsidRPr="000E079B" w:rsidRDefault="00505833" w:rsidP="00505833">
      <w:pPr>
        <w:pStyle w:val="ActHead5"/>
      </w:pPr>
      <w:bookmarkStart w:id="19" w:name="_Toc161993721"/>
      <w:r w:rsidRPr="00B16D05">
        <w:rPr>
          <w:rStyle w:val="CharSectno"/>
        </w:rPr>
        <w:t>8.3A</w:t>
      </w:r>
      <w:r w:rsidRPr="000E079B">
        <w:t xml:space="preserve">  Amendment because of inconsistency with international agreements—publication of request</w:t>
      </w:r>
      <w:bookmarkEnd w:id="19"/>
    </w:p>
    <w:p w14:paraId="15FB15AA" w14:textId="77777777" w:rsidR="00505833" w:rsidRPr="000E079B" w:rsidRDefault="00505833" w:rsidP="00505833">
      <w:pPr>
        <w:pStyle w:val="subsection"/>
      </w:pPr>
      <w:r w:rsidRPr="000E079B">
        <w:tab/>
      </w:r>
      <w:r w:rsidRPr="000E079B">
        <w:tab/>
        <w:t xml:space="preserve">For the purposes of subsection 83A(3) of the Act, the request for the amendment must be published </w:t>
      </w:r>
      <w:r w:rsidR="00CC3F72" w:rsidRPr="000E079B">
        <w:t>in</w:t>
      </w:r>
      <w:r w:rsidRPr="000E079B">
        <w:t xml:space="preserve"> a computer database maintained by the Trade Marks Office.</w:t>
      </w:r>
    </w:p>
    <w:p w14:paraId="5C7ADDD1" w14:textId="77777777" w:rsidR="00505833" w:rsidRPr="000E079B" w:rsidRDefault="00505833" w:rsidP="00505833">
      <w:pPr>
        <w:pStyle w:val="ItemHead"/>
      </w:pPr>
      <w:r w:rsidRPr="000E079B">
        <w:t>14  Paragraph 8.4(2)(b)</w:t>
      </w:r>
    </w:p>
    <w:p w14:paraId="709C8A91" w14:textId="77777777" w:rsidR="00505833" w:rsidRPr="000E079B" w:rsidRDefault="00505833" w:rsidP="00505833">
      <w:pPr>
        <w:pStyle w:val="Item"/>
      </w:pPr>
      <w:r w:rsidRPr="000E079B">
        <w:t xml:space="preserve">Omit “advertised in the </w:t>
      </w:r>
      <w:r w:rsidRPr="000E079B">
        <w:rPr>
          <w:i/>
        </w:rPr>
        <w:t>Official Journal</w:t>
      </w:r>
      <w:r w:rsidRPr="000E079B">
        <w:t xml:space="preserve">”, substitute “published </w:t>
      </w:r>
      <w:r w:rsidR="00CC3F72" w:rsidRPr="000E079B">
        <w:t>in</w:t>
      </w:r>
      <w:r w:rsidRPr="000E079B">
        <w:t xml:space="preserve"> a computer database maintained by the Trade Marks Office in accordance with regulation 8.3A”.</w:t>
      </w:r>
    </w:p>
    <w:p w14:paraId="407CCF3E" w14:textId="77777777" w:rsidR="00505833" w:rsidRPr="000E079B" w:rsidRDefault="00505833" w:rsidP="00505833">
      <w:pPr>
        <w:pStyle w:val="ItemHead"/>
      </w:pPr>
      <w:bookmarkStart w:id="20" w:name="_Hlk160444978"/>
      <w:r w:rsidRPr="000E079B">
        <w:t>15  Regulation 9.6</w:t>
      </w:r>
    </w:p>
    <w:p w14:paraId="0F274D07" w14:textId="77777777" w:rsidR="00505833" w:rsidRPr="000E079B" w:rsidRDefault="00505833" w:rsidP="00505833">
      <w:pPr>
        <w:pStyle w:val="Item"/>
      </w:pPr>
      <w:r w:rsidRPr="000E079B">
        <w:t>Before “For”, insert “(1)”.</w:t>
      </w:r>
    </w:p>
    <w:p w14:paraId="71C2AE4D" w14:textId="77777777" w:rsidR="00505833" w:rsidRPr="000E079B" w:rsidRDefault="00505833" w:rsidP="00505833">
      <w:pPr>
        <w:pStyle w:val="ItemHead"/>
      </w:pPr>
      <w:r w:rsidRPr="000E079B">
        <w:t>16  At the end of regulation 9.6</w:t>
      </w:r>
    </w:p>
    <w:p w14:paraId="54A5B8FB" w14:textId="77777777" w:rsidR="00505833" w:rsidRPr="000E079B" w:rsidRDefault="00505833" w:rsidP="00505833">
      <w:pPr>
        <w:pStyle w:val="Item"/>
      </w:pPr>
      <w:r w:rsidRPr="000E079B">
        <w:t>Add:</w:t>
      </w:r>
    </w:p>
    <w:p w14:paraId="74B65C82" w14:textId="77777777" w:rsidR="00505833" w:rsidRPr="000E079B" w:rsidRDefault="00505833" w:rsidP="00505833">
      <w:pPr>
        <w:pStyle w:val="subsection"/>
      </w:pPr>
      <w:r w:rsidRPr="000E079B">
        <w:tab/>
      </w:r>
      <w:bookmarkStart w:id="21" w:name="_Hlk161654563"/>
      <w:r w:rsidRPr="000E079B">
        <w:t>(2)</w:t>
      </w:r>
      <w:r w:rsidRPr="000E079B">
        <w:tab/>
        <w:t xml:space="preserve">For the purposes of subsections 95(2) and (3) of the Act, the application must be published </w:t>
      </w:r>
      <w:r w:rsidR="00CC3F72" w:rsidRPr="000E079B">
        <w:t>in</w:t>
      </w:r>
      <w:r w:rsidRPr="000E079B">
        <w:t xml:space="preserve"> a computer database maintained by the Trade Marks Office.</w:t>
      </w:r>
      <w:bookmarkEnd w:id="21"/>
    </w:p>
    <w:bookmarkEnd w:id="20"/>
    <w:p w14:paraId="1307D393" w14:textId="77777777" w:rsidR="00505833" w:rsidRPr="000E079B" w:rsidRDefault="00505833" w:rsidP="00505833">
      <w:pPr>
        <w:pStyle w:val="ItemHead"/>
      </w:pPr>
      <w:r w:rsidRPr="000E079B">
        <w:t>17  Subregulation 9.8(1)</w:t>
      </w:r>
    </w:p>
    <w:p w14:paraId="2E4C7B0E" w14:textId="77777777" w:rsidR="00505833" w:rsidRPr="000E079B" w:rsidRDefault="00505833" w:rsidP="00505833">
      <w:pPr>
        <w:pStyle w:val="Item"/>
      </w:pPr>
      <w:r w:rsidRPr="000E079B">
        <w:t xml:space="preserve">Omit “advertised in the </w:t>
      </w:r>
      <w:r w:rsidRPr="000E079B">
        <w:rPr>
          <w:i/>
        </w:rPr>
        <w:t>Official Journal</w:t>
      </w:r>
      <w:r w:rsidRPr="000E079B">
        <w:t xml:space="preserve">”, substitute “published </w:t>
      </w:r>
      <w:r w:rsidR="00CC3F72" w:rsidRPr="000E079B">
        <w:t>in</w:t>
      </w:r>
      <w:r w:rsidRPr="000E079B">
        <w:t xml:space="preserve"> a computer database maintained by the Trade Marks Office”.</w:t>
      </w:r>
    </w:p>
    <w:p w14:paraId="47199AF5" w14:textId="77777777" w:rsidR="00505833" w:rsidRPr="000E079B" w:rsidRDefault="00505833" w:rsidP="00505833">
      <w:pPr>
        <w:pStyle w:val="ItemHead"/>
      </w:pPr>
      <w:r w:rsidRPr="000E079B">
        <w:t>18  At the end of regulation 10.4</w:t>
      </w:r>
    </w:p>
    <w:p w14:paraId="3C5A7ECC" w14:textId="77777777" w:rsidR="00505833" w:rsidRPr="000E079B" w:rsidRDefault="00505833" w:rsidP="00505833">
      <w:pPr>
        <w:pStyle w:val="Item"/>
      </w:pPr>
      <w:r w:rsidRPr="000E079B">
        <w:t>Add:</w:t>
      </w:r>
    </w:p>
    <w:p w14:paraId="76BF311F" w14:textId="77777777" w:rsidR="00505833" w:rsidRPr="000E079B" w:rsidRDefault="00505833" w:rsidP="00505833">
      <w:pPr>
        <w:pStyle w:val="subsection"/>
      </w:pPr>
      <w:r w:rsidRPr="000E079B">
        <w:tab/>
        <w:t>(5)</w:t>
      </w:r>
      <w:r w:rsidRPr="000E079B">
        <w:tab/>
        <w:t xml:space="preserve">For the purposes of subsection 110(3) of the Act, the recording or registration must be published </w:t>
      </w:r>
      <w:r w:rsidR="00CC3F72" w:rsidRPr="000E079B">
        <w:t>in</w:t>
      </w:r>
      <w:r w:rsidRPr="000E079B">
        <w:t xml:space="preserve"> a computer database maintained by the Trade Marks Office.</w:t>
      </w:r>
    </w:p>
    <w:p w14:paraId="1FCC6A60" w14:textId="77777777" w:rsidR="00505833" w:rsidRPr="000E079B" w:rsidRDefault="00505833" w:rsidP="00505833">
      <w:pPr>
        <w:pStyle w:val="ItemHead"/>
      </w:pPr>
      <w:r w:rsidRPr="000E079B">
        <w:t>19  Paragraph 16.3(2)(b)</w:t>
      </w:r>
    </w:p>
    <w:p w14:paraId="00199EF3" w14:textId="77777777" w:rsidR="00505833" w:rsidRPr="000E079B" w:rsidRDefault="00505833" w:rsidP="00505833">
      <w:pPr>
        <w:pStyle w:val="Item"/>
      </w:pPr>
      <w:r w:rsidRPr="000E079B">
        <w:t xml:space="preserve">Omit “advertised in the </w:t>
      </w:r>
      <w:r w:rsidRPr="000E079B">
        <w:rPr>
          <w:i/>
        </w:rPr>
        <w:t>Official Journal</w:t>
      </w:r>
      <w:r w:rsidRPr="000E079B">
        <w:t xml:space="preserve">”, substitute “published </w:t>
      </w:r>
      <w:r w:rsidR="00CC3F72" w:rsidRPr="000E079B">
        <w:t>in</w:t>
      </w:r>
      <w:r w:rsidRPr="000E079B">
        <w:t xml:space="preserve"> a computer database maintained by the Trade Marks Office in accordance with subregulation (3)”.</w:t>
      </w:r>
    </w:p>
    <w:p w14:paraId="71F37AFC" w14:textId="77777777" w:rsidR="00505833" w:rsidRPr="000E079B" w:rsidRDefault="00505833" w:rsidP="00505833">
      <w:pPr>
        <w:pStyle w:val="ItemHead"/>
      </w:pPr>
      <w:r w:rsidRPr="000E079B">
        <w:t>20  Paragraph 16.3(2)(c)</w:t>
      </w:r>
    </w:p>
    <w:p w14:paraId="24C203EB" w14:textId="77777777" w:rsidR="00505833" w:rsidRPr="000E079B" w:rsidRDefault="00505833" w:rsidP="00505833">
      <w:pPr>
        <w:pStyle w:val="Item"/>
      </w:pPr>
      <w:r w:rsidRPr="000E079B">
        <w:t xml:space="preserve">Omit “publication of the </w:t>
      </w:r>
      <w:r w:rsidRPr="000E079B">
        <w:rPr>
          <w:i/>
        </w:rPr>
        <w:t xml:space="preserve">Official Journal </w:t>
      </w:r>
      <w:r w:rsidRPr="000E079B">
        <w:t xml:space="preserve">in which the advertisement is published”, substitute “the publication </w:t>
      </w:r>
      <w:r w:rsidR="00E72709" w:rsidRPr="000E079B">
        <w:t>i</w:t>
      </w:r>
      <w:r w:rsidRPr="000E079B">
        <w:t>n the computer database maintained by the Trade Marks Office”.</w:t>
      </w:r>
    </w:p>
    <w:p w14:paraId="421D24EA" w14:textId="77777777" w:rsidR="00505833" w:rsidRPr="000E079B" w:rsidRDefault="00505833" w:rsidP="00505833">
      <w:pPr>
        <w:pStyle w:val="ItemHead"/>
      </w:pPr>
      <w:r w:rsidRPr="000E079B">
        <w:lastRenderedPageBreak/>
        <w:t>21  Paragraph 16.3(3)(a)</w:t>
      </w:r>
    </w:p>
    <w:p w14:paraId="731DF6FA" w14:textId="77777777" w:rsidR="00505833" w:rsidRPr="000E079B" w:rsidRDefault="00505833" w:rsidP="00505833">
      <w:pPr>
        <w:pStyle w:val="Item"/>
      </w:pPr>
      <w:r w:rsidRPr="000E079B">
        <w:t>Repeal the paragraph, substitute:</w:t>
      </w:r>
    </w:p>
    <w:p w14:paraId="5F98CA15" w14:textId="77777777" w:rsidR="00505833" w:rsidRPr="000E079B" w:rsidRDefault="00505833" w:rsidP="00505833">
      <w:pPr>
        <w:pStyle w:val="paragraph"/>
      </w:pPr>
      <w:r w:rsidRPr="000E079B">
        <w:tab/>
        <w:t>(a)</w:t>
      </w:r>
      <w:r w:rsidRPr="000E079B">
        <w:tab/>
        <w:t xml:space="preserve">publish the initial assessment </w:t>
      </w:r>
      <w:r w:rsidR="00E42945" w:rsidRPr="000E079B">
        <w:t>i</w:t>
      </w:r>
      <w:r w:rsidRPr="000E079B">
        <w:t>n a computer database maintained by the Trade Marks Office; and</w:t>
      </w:r>
    </w:p>
    <w:p w14:paraId="038D6BD0" w14:textId="77777777" w:rsidR="00505833" w:rsidRPr="000E079B" w:rsidRDefault="00505833" w:rsidP="00505833">
      <w:pPr>
        <w:pStyle w:val="ItemHead"/>
      </w:pPr>
      <w:r w:rsidRPr="000E079B">
        <w:t>22  Paragraph 16.3(3)(b)</w:t>
      </w:r>
    </w:p>
    <w:p w14:paraId="636DB86B" w14:textId="77777777" w:rsidR="00505833" w:rsidRPr="000E079B" w:rsidRDefault="00505833" w:rsidP="00505833">
      <w:pPr>
        <w:pStyle w:val="Item"/>
      </w:pPr>
      <w:r w:rsidRPr="000E079B">
        <w:t>Omit “advertisement”, substitute “publication”.</w:t>
      </w:r>
    </w:p>
    <w:p w14:paraId="0348C102" w14:textId="77777777" w:rsidR="00505833" w:rsidRPr="000E079B" w:rsidRDefault="00505833" w:rsidP="00505833">
      <w:pPr>
        <w:pStyle w:val="ItemHead"/>
      </w:pPr>
      <w:r w:rsidRPr="000E079B">
        <w:t>23  Subregulation 16.3(4)</w:t>
      </w:r>
    </w:p>
    <w:p w14:paraId="19211EEE" w14:textId="77777777" w:rsidR="00505833" w:rsidRPr="000E079B" w:rsidRDefault="00505833" w:rsidP="00505833">
      <w:pPr>
        <w:pStyle w:val="Item"/>
      </w:pPr>
      <w:r w:rsidRPr="000E079B">
        <w:t xml:space="preserve">Omit “of the advertisement in the </w:t>
      </w:r>
      <w:r w:rsidRPr="000E079B">
        <w:rPr>
          <w:i/>
        </w:rPr>
        <w:t xml:space="preserve">Official Journal </w:t>
      </w:r>
      <w:r w:rsidRPr="000E079B">
        <w:t xml:space="preserve">of an initial assessment”, substitute “the initial assessment is published </w:t>
      </w:r>
      <w:r w:rsidR="00E42945" w:rsidRPr="000E079B">
        <w:t>i</w:t>
      </w:r>
      <w:r w:rsidRPr="000E079B">
        <w:t>n a computer database maintained by the Trade Marks Office in accordance with subregulation (3)”.</w:t>
      </w:r>
    </w:p>
    <w:p w14:paraId="26AC4298" w14:textId="77777777" w:rsidR="00505833" w:rsidRPr="000E079B" w:rsidRDefault="00505833" w:rsidP="00505833">
      <w:pPr>
        <w:pStyle w:val="ItemHead"/>
      </w:pPr>
      <w:r w:rsidRPr="000E079B">
        <w:t>24  Paragraph 16.3(4)(a)</w:t>
      </w:r>
    </w:p>
    <w:p w14:paraId="39837931" w14:textId="77777777" w:rsidR="00505833" w:rsidRPr="000E079B" w:rsidRDefault="00505833" w:rsidP="00505833">
      <w:pPr>
        <w:pStyle w:val="Item"/>
      </w:pPr>
      <w:r w:rsidRPr="000E079B">
        <w:t>Omit “an advertisement”, substitute “a publication”.</w:t>
      </w:r>
    </w:p>
    <w:p w14:paraId="03CD1A95" w14:textId="77777777" w:rsidR="00505833" w:rsidRPr="000E079B" w:rsidRDefault="00505833" w:rsidP="00505833">
      <w:pPr>
        <w:pStyle w:val="ItemHead"/>
      </w:pPr>
      <w:r w:rsidRPr="000E079B">
        <w:t>25  Subregulation 16.4(1)</w:t>
      </w:r>
    </w:p>
    <w:p w14:paraId="6E816812" w14:textId="77777777" w:rsidR="00505833" w:rsidRPr="000E079B" w:rsidRDefault="00505833" w:rsidP="00505833">
      <w:pPr>
        <w:pStyle w:val="Item"/>
      </w:pPr>
      <w:r w:rsidRPr="000E079B">
        <w:t xml:space="preserve">Omit “of the advertisement in the </w:t>
      </w:r>
      <w:r w:rsidRPr="000E079B">
        <w:rPr>
          <w:i/>
        </w:rPr>
        <w:t xml:space="preserve">Official Journal </w:t>
      </w:r>
      <w:r w:rsidRPr="000E079B">
        <w:t xml:space="preserve">of an initial assessment”, substitute “the initial assessment is published </w:t>
      </w:r>
      <w:r w:rsidR="00E42945" w:rsidRPr="000E079B">
        <w:t>i</w:t>
      </w:r>
      <w:r w:rsidRPr="000E079B">
        <w:t>n a computer database maintained by the Trade Marks Office in accordance with subregulation 16.3(3)”.</w:t>
      </w:r>
    </w:p>
    <w:p w14:paraId="75825F3D" w14:textId="77777777" w:rsidR="00505833" w:rsidRPr="000E079B" w:rsidRDefault="00505833" w:rsidP="00505833">
      <w:pPr>
        <w:pStyle w:val="ItemHead"/>
      </w:pPr>
      <w:r w:rsidRPr="000E079B">
        <w:t>26  Paragraph 16.4(1)(b)</w:t>
      </w:r>
    </w:p>
    <w:p w14:paraId="258CAC29" w14:textId="77777777" w:rsidR="00505833" w:rsidRPr="000E079B" w:rsidRDefault="00505833" w:rsidP="00505833">
      <w:pPr>
        <w:pStyle w:val="Item"/>
      </w:pPr>
      <w:r w:rsidRPr="000E079B">
        <w:t>Omit “an advertisement”, substitute “a publication”.</w:t>
      </w:r>
    </w:p>
    <w:p w14:paraId="20B56442" w14:textId="77777777" w:rsidR="00505833" w:rsidRPr="000E079B" w:rsidRDefault="00505833" w:rsidP="00505833">
      <w:pPr>
        <w:pStyle w:val="ItemHead"/>
      </w:pPr>
      <w:r w:rsidRPr="000E079B">
        <w:t>27  Subregulation 16.4(3)</w:t>
      </w:r>
    </w:p>
    <w:p w14:paraId="69D3F6C4" w14:textId="77777777" w:rsidR="00505833" w:rsidRPr="000E079B" w:rsidRDefault="00505833" w:rsidP="00505833">
      <w:pPr>
        <w:pStyle w:val="Item"/>
      </w:pPr>
      <w:r w:rsidRPr="000E079B">
        <w:t xml:space="preserve">Omit “of the advertisement in the </w:t>
      </w:r>
      <w:r w:rsidRPr="000E079B">
        <w:rPr>
          <w:i/>
        </w:rPr>
        <w:t xml:space="preserve">Official Journal </w:t>
      </w:r>
      <w:r w:rsidRPr="000E079B">
        <w:t xml:space="preserve">of an initial assessment”, substitute “the initial assessment is published </w:t>
      </w:r>
      <w:r w:rsidR="00E42945" w:rsidRPr="000E079B">
        <w:t>i</w:t>
      </w:r>
      <w:r w:rsidRPr="000E079B">
        <w:t>n a computer database maintained by the Trade Marks Office in accordance with subregulation 16.3(3)”.</w:t>
      </w:r>
    </w:p>
    <w:p w14:paraId="03AE9F4A" w14:textId="77777777" w:rsidR="00505833" w:rsidRPr="000E079B" w:rsidRDefault="00505833" w:rsidP="00505833">
      <w:pPr>
        <w:pStyle w:val="ItemHead"/>
      </w:pPr>
      <w:r w:rsidRPr="000E079B">
        <w:t>28  Paragraph 16.4(3)(b)</w:t>
      </w:r>
    </w:p>
    <w:p w14:paraId="5D218471" w14:textId="77777777" w:rsidR="00505833" w:rsidRPr="000E079B" w:rsidRDefault="00505833" w:rsidP="00505833">
      <w:pPr>
        <w:pStyle w:val="Item"/>
      </w:pPr>
      <w:r w:rsidRPr="000E079B">
        <w:t>Omit “an advertisement”, substitute “a publication”.</w:t>
      </w:r>
    </w:p>
    <w:p w14:paraId="69E2C37B" w14:textId="77777777" w:rsidR="00505833" w:rsidRPr="000E079B" w:rsidRDefault="00505833" w:rsidP="00505833">
      <w:pPr>
        <w:pStyle w:val="ItemHead"/>
      </w:pPr>
      <w:r w:rsidRPr="000E079B">
        <w:t>29  Paragraph 16.5(2)(b)</w:t>
      </w:r>
    </w:p>
    <w:p w14:paraId="3B723D1F" w14:textId="77777777" w:rsidR="00505833" w:rsidRPr="000E079B" w:rsidRDefault="00505833" w:rsidP="00505833">
      <w:pPr>
        <w:pStyle w:val="Item"/>
      </w:pPr>
      <w:r w:rsidRPr="000E079B">
        <w:t>Omit “an advertisement”, substitute “a publication”.</w:t>
      </w:r>
    </w:p>
    <w:p w14:paraId="289F9645" w14:textId="77777777" w:rsidR="00505833" w:rsidRPr="000E079B" w:rsidRDefault="00505833" w:rsidP="00505833">
      <w:pPr>
        <w:pStyle w:val="ItemHead"/>
      </w:pPr>
      <w:r w:rsidRPr="000E079B">
        <w:t>30  Regulation 16.7</w:t>
      </w:r>
    </w:p>
    <w:p w14:paraId="0D549DE6" w14:textId="77777777" w:rsidR="00505833" w:rsidRPr="000E079B" w:rsidRDefault="00505833" w:rsidP="00505833">
      <w:pPr>
        <w:pStyle w:val="Item"/>
      </w:pPr>
      <w:r w:rsidRPr="000E079B">
        <w:t>Repeal the regulation, substitute:</w:t>
      </w:r>
    </w:p>
    <w:p w14:paraId="023A4950" w14:textId="77777777" w:rsidR="00505833" w:rsidRPr="000E079B" w:rsidRDefault="00505833" w:rsidP="00505833">
      <w:pPr>
        <w:pStyle w:val="ActHead5"/>
      </w:pPr>
      <w:bookmarkStart w:id="22" w:name="_Toc161993722"/>
      <w:r w:rsidRPr="00B16D05">
        <w:rPr>
          <w:rStyle w:val="CharSectno"/>
        </w:rPr>
        <w:t>16.7</w:t>
      </w:r>
      <w:r w:rsidRPr="000E079B">
        <w:t xml:space="preserve">  Matters to be included in publication of adverse decision</w:t>
      </w:r>
      <w:bookmarkEnd w:id="22"/>
    </w:p>
    <w:p w14:paraId="111B43DA" w14:textId="77777777" w:rsidR="00505833" w:rsidRPr="000E079B" w:rsidRDefault="00505833" w:rsidP="00505833">
      <w:pPr>
        <w:pStyle w:val="subsection"/>
      </w:pPr>
      <w:r w:rsidRPr="000E079B">
        <w:tab/>
      </w:r>
      <w:r w:rsidRPr="000E079B">
        <w:tab/>
        <w:t xml:space="preserve">For the purposes of paragraph 175(4)(b) of the Act (which deals with publication of a decision of the Commission not to give a certificate), the </w:t>
      </w:r>
      <w:r w:rsidR="002C1398" w:rsidRPr="000E079B">
        <w:t xml:space="preserve">publication of the </w:t>
      </w:r>
      <w:r w:rsidRPr="000E079B">
        <w:t>matter must:</w:t>
      </w:r>
    </w:p>
    <w:p w14:paraId="5E06C81B" w14:textId="77777777" w:rsidR="00505833" w:rsidRPr="000E079B" w:rsidRDefault="00505833" w:rsidP="00505833">
      <w:pPr>
        <w:pStyle w:val="paragraph"/>
      </w:pPr>
      <w:r w:rsidRPr="000E079B">
        <w:tab/>
        <w:t>(a)</w:t>
      </w:r>
      <w:r w:rsidRPr="000E079B">
        <w:tab/>
        <w:t xml:space="preserve">be </w:t>
      </w:r>
      <w:r w:rsidR="00E34267" w:rsidRPr="000E079B">
        <w:t>i</w:t>
      </w:r>
      <w:r w:rsidRPr="000E079B">
        <w:t>n a computer database maintained by the Trade Marks Office; and</w:t>
      </w:r>
    </w:p>
    <w:p w14:paraId="45379058" w14:textId="77777777" w:rsidR="00505833" w:rsidRPr="000E079B" w:rsidRDefault="00505833" w:rsidP="00505833">
      <w:pPr>
        <w:pStyle w:val="paragraph"/>
      </w:pPr>
      <w:r w:rsidRPr="000E079B">
        <w:tab/>
        <w:t>(b)</w:t>
      </w:r>
      <w:r w:rsidRPr="000E079B">
        <w:tab/>
        <w:t xml:space="preserve">include a statement to the effect that, subject to the </w:t>
      </w:r>
      <w:r w:rsidRPr="000E079B">
        <w:rPr>
          <w:i/>
        </w:rPr>
        <w:t>Administrative Appeals Tribunal Act 1975</w:t>
      </w:r>
      <w:r w:rsidRPr="000E079B">
        <w:t>, application may be made to the AAT for the review of the decision to which the publication relates.</w:t>
      </w:r>
    </w:p>
    <w:p w14:paraId="7FA96651" w14:textId="77777777" w:rsidR="00505833" w:rsidRPr="000E079B" w:rsidRDefault="00505833" w:rsidP="00505833">
      <w:pPr>
        <w:pStyle w:val="ItemHead"/>
      </w:pPr>
      <w:r w:rsidRPr="000E079B">
        <w:t>31  After regulation 16.7</w:t>
      </w:r>
    </w:p>
    <w:p w14:paraId="20C73647" w14:textId="77777777" w:rsidR="00505833" w:rsidRPr="000E079B" w:rsidRDefault="00505833" w:rsidP="00505833">
      <w:pPr>
        <w:pStyle w:val="Item"/>
      </w:pPr>
      <w:r w:rsidRPr="000E079B">
        <w:t>Insert:</w:t>
      </w:r>
    </w:p>
    <w:p w14:paraId="1579F738" w14:textId="77777777" w:rsidR="00505833" w:rsidRPr="000E079B" w:rsidRDefault="00505833" w:rsidP="00505833">
      <w:pPr>
        <w:pStyle w:val="ActHead5"/>
      </w:pPr>
      <w:bookmarkStart w:id="23" w:name="_Toc161993723"/>
      <w:r w:rsidRPr="00B16D05">
        <w:rPr>
          <w:rStyle w:val="CharSectno"/>
        </w:rPr>
        <w:lastRenderedPageBreak/>
        <w:t>16.7A</w:t>
      </w:r>
      <w:r w:rsidRPr="000E079B">
        <w:t xml:space="preserve">  Publication of decision to accept or reject application</w:t>
      </w:r>
      <w:bookmarkEnd w:id="23"/>
    </w:p>
    <w:p w14:paraId="030DE661" w14:textId="77777777" w:rsidR="00505833" w:rsidRPr="000E079B" w:rsidRDefault="00505833" w:rsidP="00505833">
      <w:pPr>
        <w:pStyle w:val="subsection"/>
      </w:pPr>
      <w:r w:rsidRPr="000E079B">
        <w:tab/>
      </w:r>
      <w:r w:rsidRPr="000E079B">
        <w:tab/>
        <w:t xml:space="preserve">For the purposes of paragraph 176(3)(b) of the Act, the decision must be published </w:t>
      </w:r>
      <w:r w:rsidR="00E34267" w:rsidRPr="000E079B">
        <w:t>i</w:t>
      </w:r>
      <w:r w:rsidRPr="000E079B">
        <w:t>n a computer database maintained by the Trade Marks Office.</w:t>
      </w:r>
    </w:p>
    <w:p w14:paraId="474BD235" w14:textId="77777777" w:rsidR="00505833" w:rsidRPr="000E079B" w:rsidRDefault="00505833" w:rsidP="00505833">
      <w:pPr>
        <w:pStyle w:val="ItemHead"/>
      </w:pPr>
      <w:r w:rsidRPr="000E079B">
        <w:t>32  Subregulation 16.10(4)</w:t>
      </w:r>
    </w:p>
    <w:p w14:paraId="42CC1339" w14:textId="77777777" w:rsidR="00505833" w:rsidRPr="000E079B" w:rsidRDefault="00505833" w:rsidP="00505833">
      <w:pPr>
        <w:pStyle w:val="Item"/>
      </w:pPr>
      <w:r w:rsidRPr="000E079B">
        <w:t>Omit “</w:t>
      </w:r>
      <w:r w:rsidRPr="000E079B">
        <w:rPr>
          <w:rFonts w:eastAsia="MS Mincho"/>
        </w:rPr>
        <w:t xml:space="preserve">in the </w:t>
      </w:r>
      <w:r w:rsidRPr="000E079B">
        <w:rPr>
          <w:rFonts w:eastAsia="MS Mincho"/>
          <w:i/>
        </w:rPr>
        <w:t>Official Journal</w:t>
      </w:r>
      <w:r w:rsidRPr="000E079B">
        <w:t>”, substitute “</w:t>
      </w:r>
      <w:r w:rsidR="003D5D86" w:rsidRPr="000E079B">
        <w:t>i</w:t>
      </w:r>
      <w:r w:rsidRPr="000E079B">
        <w:t>n a computer database maintained by the Trade Marks Office”.</w:t>
      </w:r>
    </w:p>
    <w:p w14:paraId="2A0A45A1" w14:textId="77777777" w:rsidR="00505833" w:rsidRPr="000E079B" w:rsidRDefault="00505833" w:rsidP="00505833">
      <w:pPr>
        <w:pStyle w:val="ItemHead"/>
      </w:pPr>
      <w:r w:rsidRPr="000E079B">
        <w:t>33  Subregulation 16.10(5)</w:t>
      </w:r>
    </w:p>
    <w:p w14:paraId="671DF5BF" w14:textId="77777777" w:rsidR="00505833" w:rsidRPr="000E079B" w:rsidRDefault="00505833" w:rsidP="00505833">
      <w:pPr>
        <w:pStyle w:val="Item"/>
      </w:pPr>
      <w:r w:rsidRPr="000E079B">
        <w:t xml:space="preserve">Omit “to be published </w:t>
      </w:r>
      <w:r w:rsidRPr="000E079B">
        <w:rPr>
          <w:rFonts w:eastAsia="MS Mincho"/>
        </w:rPr>
        <w:t xml:space="preserve">in the </w:t>
      </w:r>
      <w:r w:rsidRPr="000E079B">
        <w:rPr>
          <w:rFonts w:eastAsia="MS Mincho"/>
          <w:i/>
        </w:rPr>
        <w:t>Official Journal</w:t>
      </w:r>
      <w:r w:rsidRPr="000E079B">
        <w:t>”, substitute “published under subregulation (4)”.</w:t>
      </w:r>
    </w:p>
    <w:p w14:paraId="03698C70" w14:textId="77777777" w:rsidR="00505833" w:rsidRPr="000E079B" w:rsidRDefault="00505833" w:rsidP="00505833">
      <w:pPr>
        <w:pStyle w:val="ItemHead"/>
      </w:pPr>
      <w:r w:rsidRPr="000E079B">
        <w:t>34  Subregulation 16.12(2)</w:t>
      </w:r>
    </w:p>
    <w:p w14:paraId="033D5552" w14:textId="77777777" w:rsidR="00505833" w:rsidRPr="000E079B" w:rsidRDefault="00505833" w:rsidP="00505833">
      <w:pPr>
        <w:pStyle w:val="Item"/>
      </w:pPr>
      <w:r w:rsidRPr="000E079B">
        <w:t xml:space="preserve">Omit “advertises acceptance of the application in the </w:t>
      </w:r>
      <w:r w:rsidRPr="000E079B">
        <w:rPr>
          <w:i/>
        </w:rPr>
        <w:t xml:space="preserve">Official Journal </w:t>
      </w:r>
      <w:r w:rsidRPr="000E079B">
        <w:t xml:space="preserve">in accordance with paragraph 176(3)(b) of the Act”, substitute “publishes acceptance of the application </w:t>
      </w:r>
      <w:r w:rsidR="003D5D86" w:rsidRPr="000E079B">
        <w:t>i</w:t>
      </w:r>
      <w:r w:rsidRPr="000E079B">
        <w:t>n a computer database maintained by the Trade Marks Office in accordance with regulation 16.7A”.</w:t>
      </w:r>
    </w:p>
    <w:p w14:paraId="62FED9D8" w14:textId="77777777" w:rsidR="00505833" w:rsidRPr="000E079B" w:rsidRDefault="00505833" w:rsidP="00505833">
      <w:pPr>
        <w:pStyle w:val="ItemHead"/>
      </w:pPr>
      <w:r w:rsidRPr="000E079B">
        <w:t>35  Paragraph 17A.25(1)(a)</w:t>
      </w:r>
    </w:p>
    <w:p w14:paraId="65F81001" w14:textId="77777777" w:rsidR="00505833" w:rsidRPr="000E079B" w:rsidRDefault="00505833" w:rsidP="00505833">
      <w:pPr>
        <w:pStyle w:val="Item"/>
      </w:pPr>
      <w:r w:rsidRPr="000E079B">
        <w:t xml:space="preserve">Omit “notify the decision in the </w:t>
      </w:r>
      <w:r w:rsidRPr="000E079B">
        <w:rPr>
          <w:i/>
        </w:rPr>
        <w:t>Official Journal</w:t>
      </w:r>
      <w:r w:rsidRPr="000E079B">
        <w:t xml:space="preserve">”, substitute “publish the decision </w:t>
      </w:r>
      <w:r w:rsidR="003D5D86" w:rsidRPr="000E079B">
        <w:t>i</w:t>
      </w:r>
      <w:r w:rsidRPr="000E079B">
        <w:t>n a computer database maintained by the Trade Marks Office”.</w:t>
      </w:r>
    </w:p>
    <w:p w14:paraId="788AF3B7" w14:textId="77777777" w:rsidR="00505833" w:rsidRPr="000E079B" w:rsidRDefault="00505833" w:rsidP="00505833">
      <w:pPr>
        <w:pStyle w:val="ItemHead"/>
      </w:pPr>
      <w:r w:rsidRPr="000E079B">
        <w:t>36  Paragraph 17A.25(2)(c)</w:t>
      </w:r>
    </w:p>
    <w:p w14:paraId="05B4AF44" w14:textId="77777777" w:rsidR="00505833" w:rsidRPr="000E079B" w:rsidRDefault="00505833" w:rsidP="00505833">
      <w:pPr>
        <w:pStyle w:val="Item"/>
      </w:pPr>
      <w:r w:rsidRPr="000E079B">
        <w:t xml:space="preserve">Omit “notify the decision in the </w:t>
      </w:r>
      <w:r w:rsidRPr="000E079B">
        <w:rPr>
          <w:i/>
        </w:rPr>
        <w:t>Official Journal</w:t>
      </w:r>
      <w:r w:rsidRPr="000E079B">
        <w:t xml:space="preserve">”, substitute “publish the decision </w:t>
      </w:r>
      <w:r w:rsidR="003D5D86" w:rsidRPr="000E079B">
        <w:t>i</w:t>
      </w:r>
      <w:r w:rsidRPr="000E079B">
        <w:t>n a computer database maintained by the Trade Marks Office”.</w:t>
      </w:r>
    </w:p>
    <w:p w14:paraId="7FB479DF" w14:textId="77777777" w:rsidR="00505833" w:rsidRPr="000E079B" w:rsidRDefault="00505833" w:rsidP="00505833">
      <w:pPr>
        <w:pStyle w:val="ItemHead"/>
      </w:pPr>
      <w:r w:rsidRPr="000E079B">
        <w:t>37  Subregulation 17A.33(1)</w:t>
      </w:r>
    </w:p>
    <w:p w14:paraId="49B46CBA" w14:textId="77777777" w:rsidR="00505833" w:rsidRPr="000E079B" w:rsidRDefault="00505833" w:rsidP="00505833">
      <w:pPr>
        <w:pStyle w:val="Item"/>
      </w:pPr>
      <w:r w:rsidRPr="000E079B">
        <w:t>Repeal the subregulation, substitute:</w:t>
      </w:r>
    </w:p>
    <w:p w14:paraId="29BBFA35" w14:textId="77777777" w:rsidR="00505833" w:rsidRPr="000E079B" w:rsidRDefault="00505833" w:rsidP="00505833">
      <w:pPr>
        <w:pStyle w:val="subsection"/>
      </w:pPr>
      <w:r w:rsidRPr="000E079B">
        <w:tab/>
        <w:t>(1)</w:t>
      </w:r>
      <w:r w:rsidRPr="000E079B">
        <w:tab/>
        <w:t xml:space="preserve">If the Registrar publishes the acceptance of an IRDA </w:t>
      </w:r>
      <w:r w:rsidR="003D5D86" w:rsidRPr="000E079B">
        <w:t>i</w:t>
      </w:r>
      <w:r w:rsidRPr="000E079B">
        <w:t>n a computer database maintained by the Trade Marks Office in accordance with regulation 17A.25, a person may oppose the extension of protection by filing a notice of intention to oppose within 2 months from the publication of the acceptance.</w:t>
      </w:r>
    </w:p>
    <w:p w14:paraId="2B7A868B" w14:textId="77777777" w:rsidR="00505833" w:rsidRPr="000E079B" w:rsidRDefault="00505833" w:rsidP="00505833">
      <w:pPr>
        <w:pStyle w:val="ItemHead"/>
      </w:pPr>
      <w:r w:rsidRPr="000E079B">
        <w:t>38  Paragraph 17A.37(1)(a)</w:t>
      </w:r>
    </w:p>
    <w:p w14:paraId="16883A52" w14:textId="77777777" w:rsidR="00505833" w:rsidRPr="000E079B" w:rsidRDefault="00505833" w:rsidP="00505833">
      <w:pPr>
        <w:pStyle w:val="Item"/>
      </w:pPr>
      <w:r w:rsidRPr="000E079B">
        <w:t>Repeal the paragraph, substitute:</w:t>
      </w:r>
    </w:p>
    <w:p w14:paraId="03321BA2" w14:textId="77777777" w:rsidR="00505833" w:rsidRPr="000E079B" w:rsidRDefault="00505833" w:rsidP="00505833">
      <w:pPr>
        <w:pStyle w:val="paragraph"/>
      </w:pPr>
      <w:r w:rsidRPr="000E079B">
        <w:tab/>
        <w:t>(a)</w:t>
      </w:r>
      <w:r w:rsidRPr="000E079B">
        <w:tab/>
        <w:t xml:space="preserve">publish that fact </w:t>
      </w:r>
      <w:r w:rsidR="003D5D86" w:rsidRPr="000E079B">
        <w:t>i</w:t>
      </w:r>
      <w:r w:rsidRPr="000E079B">
        <w:t>n a computer database maintained by the Trade Marks Office; and</w:t>
      </w:r>
    </w:p>
    <w:p w14:paraId="345AC00A" w14:textId="77777777" w:rsidR="00505833" w:rsidRPr="000E079B" w:rsidRDefault="00505833" w:rsidP="00505833">
      <w:pPr>
        <w:pStyle w:val="ItemHead"/>
      </w:pPr>
      <w:r w:rsidRPr="000E079B">
        <w:t>39  Regulation 17A.48E</w:t>
      </w:r>
    </w:p>
    <w:p w14:paraId="1885FD3B" w14:textId="77777777" w:rsidR="00505833" w:rsidRPr="000E079B" w:rsidRDefault="00505833" w:rsidP="00505833">
      <w:pPr>
        <w:pStyle w:val="Item"/>
      </w:pPr>
      <w:r w:rsidRPr="000E079B">
        <w:t>Before “For”, insert “(1)”.</w:t>
      </w:r>
    </w:p>
    <w:p w14:paraId="67507063" w14:textId="77777777" w:rsidR="00505833" w:rsidRPr="000E079B" w:rsidRDefault="00505833" w:rsidP="00505833">
      <w:pPr>
        <w:pStyle w:val="ItemHead"/>
      </w:pPr>
      <w:r w:rsidRPr="000E079B">
        <w:t>40  At the end of regulation 17A.48E</w:t>
      </w:r>
    </w:p>
    <w:p w14:paraId="13F46966" w14:textId="77777777" w:rsidR="00505833" w:rsidRPr="000E079B" w:rsidRDefault="00505833" w:rsidP="00505833">
      <w:pPr>
        <w:pStyle w:val="Item"/>
      </w:pPr>
      <w:r w:rsidRPr="000E079B">
        <w:t>Add:</w:t>
      </w:r>
    </w:p>
    <w:p w14:paraId="227C22F5" w14:textId="77777777" w:rsidR="00505833" w:rsidRPr="000E079B" w:rsidRDefault="00505833" w:rsidP="00505833">
      <w:pPr>
        <w:pStyle w:val="subsection"/>
      </w:pPr>
      <w:r w:rsidRPr="000E079B">
        <w:tab/>
        <w:t>(2)</w:t>
      </w:r>
      <w:r w:rsidRPr="000E079B">
        <w:tab/>
        <w:t xml:space="preserve">For the purposes of subsections 95(2) and (3) of the Act, the application must be published </w:t>
      </w:r>
      <w:r w:rsidR="003D5D86" w:rsidRPr="000E079B">
        <w:t>i</w:t>
      </w:r>
      <w:r w:rsidRPr="000E079B">
        <w:t>n a computer database maintained by the Trade Marks Office.</w:t>
      </w:r>
    </w:p>
    <w:p w14:paraId="0F55CDA0" w14:textId="77777777" w:rsidR="00505833" w:rsidRPr="000E079B" w:rsidRDefault="00505833" w:rsidP="00505833">
      <w:pPr>
        <w:pStyle w:val="ItemHead"/>
      </w:pPr>
      <w:r w:rsidRPr="000E079B">
        <w:lastRenderedPageBreak/>
        <w:t>41  Subregulation 17A.48G(1)</w:t>
      </w:r>
    </w:p>
    <w:p w14:paraId="69BE2493" w14:textId="77777777" w:rsidR="00505833" w:rsidRPr="000E079B" w:rsidRDefault="00505833" w:rsidP="00505833">
      <w:pPr>
        <w:pStyle w:val="Item"/>
      </w:pPr>
      <w:r w:rsidRPr="000E079B">
        <w:t xml:space="preserve">Omit “is advertised in the </w:t>
      </w:r>
      <w:r w:rsidRPr="000E079B">
        <w:rPr>
          <w:i/>
        </w:rPr>
        <w:t>Official Journal</w:t>
      </w:r>
      <w:r w:rsidRPr="000E079B">
        <w:t xml:space="preserve">”, substitute “is published </w:t>
      </w:r>
      <w:r w:rsidR="003D5D86" w:rsidRPr="000E079B">
        <w:t>i</w:t>
      </w:r>
      <w:r w:rsidRPr="000E079B">
        <w:t>n a computer database maintained by the Trade Marks Office in accordance with subregulation 17A.48E(2)”.</w:t>
      </w:r>
    </w:p>
    <w:p w14:paraId="3E8E171C" w14:textId="77777777" w:rsidR="00505833" w:rsidRPr="000E079B" w:rsidRDefault="00505833" w:rsidP="00505833">
      <w:pPr>
        <w:pStyle w:val="ItemHead"/>
      </w:pPr>
      <w:r w:rsidRPr="000E079B">
        <w:t>42  Paragraph 20A.19(1)(c)</w:t>
      </w:r>
    </w:p>
    <w:p w14:paraId="6C1962BD" w14:textId="77777777" w:rsidR="00505833" w:rsidRPr="000E079B" w:rsidRDefault="00505833" w:rsidP="00505833">
      <w:pPr>
        <w:pStyle w:val="Item"/>
      </w:pPr>
      <w:r w:rsidRPr="000E079B">
        <w:t xml:space="preserve">Omit “in the </w:t>
      </w:r>
      <w:r w:rsidRPr="000E079B">
        <w:rPr>
          <w:i/>
          <w:iCs/>
        </w:rPr>
        <w:t>Official Journal</w:t>
      </w:r>
      <w:r w:rsidRPr="000E079B">
        <w:t>”, substitute “on the Trans</w:t>
      </w:r>
      <w:r w:rsidR="000E079B">
        <w:noBreakHyphen/>
      </w:r>
      <w:r w:rsidRPr="000E079B">
        <w:t>Tasman IP Attorneys website”.</w:t>
      </w:r>
    </w:p>
    <w:p w14:paraId="24EDD723" w14:textId="77777777" w:rsidR="00505833" w:rsidRPr="000E079B" w:rsidRDefault="00505833" w:rsidP="00505833">
      <w:pPr>
        <w:pStyle w:val="ItemHead"/>
      </w:pPr>
      <w:r w:rsidRPr="000E079B">
        <w:t>43  After regulation 21.3</w:t>
      </w:r>
    </w:p>
    <w:p w14:paraId="53631189" w14:textId="77777777" w:rsidR="00505833" w:rsidRPr="000E079B" w:rsidRDefault="00505833" w:rsidP="00505833">
      <w:pPr>
        <w:pStyle w:val="Item"/>
      </w:pPr>
      <w:r w:rsidRPr="000E079B">
        <w:t>Insert:</w:t>
      </w:r>
    </w:p>
    <w:p w14:paraId="1AA49AF9" w14:textId="77777777" w:rsidR="00505833" w:rsidRPr="000E079B" w:rsidRDefault="00505833" w:rsidP="00505833">
      <w:pPr>
        <w:pStyle w:val="ActHead5"/>
      </w:pPr>
      <w:bookmarkStart w:id="24" w:name="_Toc161993724"/>
      <w:r w:rsidRPr="00B16D05">
        <w:rPr>
          <w:rStyle w:val="CharSectno"/>
        </w:rPr>
        <w:t>21.3A</w:t>
      </w:r>
      <w:r w:rsidRPr="000E079B">
        <w:t xml:space="preserve">  Approved means of filing documents</w:t>
      </w:r>
      <w:bookmarkEnd w:id="24"/>
    </w:p>
    <w:p w14:paraId="37DA1301" w14:textId="77777777" w:rsidR="00505833" w:rsidRPr="000E079B" w:rsidRDefault="00505833" w:rsidP="00505833">
      <w:pPr>
        <w:pStyle w:val="subsection"/>
      </w:pPr>
      <w:r w:rsidRPr="000E079B">
        <w:tab/>
      </w:r>
      <w:r w:rsidRPr="000E079B">
        <w:tab/>
        <w:t>For the purposes of sub</w:t>
      </w:r>
      <w:r w:rsidR="006267CE" w:rsidRPr="000E079B">
        <w:t>section 2</w:t>
      </w:r>
      <w:r w:rsidRPr="000E079B">
        <w:t>13A(3) of the Act, the determination must be published on the IP Australia website.</w:t>
      </w:r>
    </w:p>
    <w:p w14:paraId="4417F151" w14:textId="77777777" w:rsidR="00505833" w:rsidRPr="000E079B" w:rsidRDefault="00505833" w:rsidP="00505833">
      <w:pPr>
        <w:pStyle w:val="ActHead5"/>
      </w:pPr>
      <w:bookmarkStart w:id="25" w:name="_Toc161993725"/>
      <w:r w:rsidRPr="00B16D05">
        <w:rPr>
          <w:rStyle w:val="CharSectno"/>
        </w:rPr>
        <w:t>21.3B</w:t>
      </w:r>
      <w:r w:rsidRPr="000E079B">
        <w:t xml:space="preserve">  Directions by Registrar for filing of documents</w:t>
      </w:r>
      <w:bookmarkEnd w:id="25"/>
    </w:p>
    <w:p w14:paraId="6591961A" w14:textId="77777777" w:rsidR="00505833" w:rsidRPr="000E079B" w:rsidRDefault="00505833" w:rsidP="00505833">
      <w:pPr>
        <w:pStyle w:val="subsection"/>
      </w:pPr>
      <w:r w:rsidRPr="000E079B">
        <w:tab/>
      </w:r>
      <w:r w:rsidRPr="000E079B">
        <w:tab/>
        <w:t>For the purposes of sub</w:t>
      </w:r>
      <w:r w:rsidR="006267CE" w:rsidRPr="000E079B">
        <w:t>section 2</w:t>
      </w:r>
      <w:r w:rsidRPr="000E079B">
        <w:t>13B(3) of the Act, the direction must be published on the IP Australia website.</w:t>
      </w:r>
    </w:p>
    <w:p w14:paraId="1D384FF2" w14:textId="77777777" w:rsidR="00505833" w:rsidRPr="000E079B" w:rsidRDefault="00505833" w:rsidP="00505833">
      <w:pPr>
        <w:pStyle w:val="ActHead5"/>
      </w:pPr>
      <w:bookmarkStart w:id="26" w:name="_Toc161993726"/>
      <w:r w:rsidRPr="00B16D05">
        <w:rPr>
          <w:rStyle w:val="CharSectno"/>
        </w:rPr>
        <w:t>21.3C</w:t>
      </w:r>
      <w:r w:rsidRPr="000E079B">
        <w:t xml:space="preserve">  Directions by Registrar for filing of evidence</w:t>
      </w:r>
      <w:bookmarkEnd w:id="26"/>
    </w:p>
    <w:p w14:paraId="145FAAFE" w14:textId="77777777" w:rsidR="00505833" w:rsidRPr="000E079B" w:rsidRDefault="00505833" w:rsidP="00505833">
      <w:pPr>
        <w:pStyle w:val="subsection"/>
      </w:pPr>
      <w:r w:rsidRPr="000E079B">
        <w:tab/>
      </w:r>
      <w:r w:rsidRPr="000E079B">
        <w:tab/>
        <w:t>For the purposes of sub</w:t>
      </w:r>
      <w:r w:rsidR="006267CE" w:rsidRPr="000E079B">
        <w:t>section 2</w:t>
      </w:r>
      <w:r w:rsidRPr="000E079B">
        <w:t>13C(4) of the Act, the direction must be published on the IP Australia website.</w:t>
      </w:r>
    </w:p>
    <w:p w14:paraId="352F8EF7" w14:textId="77777777" w:rsidR="00505833" w:rsidRPr="000E079B" w:rsidRDefault="00505833" w:rsidP="00505833">
      <w:pPr>
        <w:pStyle w:val="ItemHead"/>
      </w:pPr>
      <w:r w:rsidRPr="000E079B">
        <w:t>44  Regulation 21.10</w:t>
      </w:r>
    </w:p>
    <w:p w14:paraId="7C8C7883" w14:textId="77777777" w:rsidR="00505833" w:rsidRPr="000E079B" w:rsidRDefault="00505833" w:rsidP="00505833">
      <w:pPr>
        <w:pStyle w:val="Item"/>
      </w:pPr>
      <w:r w:rsidRPr="000E079B">
        <w:t xml:space="preserve">Omit “advertise the withdrawal in the Official Journal”, substitute “publish the withdrawal </w:t>
      </w:r>
      <w:r w:rsidR="003D5D86" w:rsidRPr="000E079B">
        <w:t>i</w:t>
      </w:r>
      <w:r w:rsidRPr="000E079B">
        <w:t>n a computer database maintained by the Trade Marks Office”.</w:t>
      </w:r>
    </w:p>
    <w:p w14:paraId="33F8312D" w14:textId="77777777" w:rsidR="00505833" w:rsidRPr="000E079B" w:rsidRDefault="00505833" w:rsidP="00505833">
      <w:pPr>
        <w:pStyle w:val="ItemHead"/>
      </w:pPr>
      <w:r w:rsidRPr="000E079B">
        <w:t>45  After regulation 21.20A</w:t>
      </w:r>
    </w:p>
    <w:p w14:paraId="5383614A" w14:textId="77777777" w:rsidR="00505833" w:rsidRPr="000E079B" w:rsidRDefault="00505833" w:rsidP="00505833">
      <w:pPr>
        <w:pStyle w:val="Item"/>
      </w:pPr>
      <w:r w:rsidRPr="000E079B">
        <w:t>Insert:</w:t>
      </w:r>
    </w:p>
    <w:p w14:paraId="72383AD5" w14:textId="77777777" w:rsidR="00505833" w:rsidRPr="000E079B" w:rsidRDefault="00505833" w:rsidP="00505833">
      <w:pPr>
        <w:pStyle w:val="ActHead5"/>
      </w:pPr>
      <w:bookmarkStart w:id="27" w:name="_Toc161993727"/>
      <w:r w:rsidRPr="00B16D05">
        <w:rPr>
          <w:rStyle w:val="CharSectno"/>
        </w:rPr>
        <w:t>21.20AA</w:t>
      </w:r>
      <w:r w:rsidRPr="000E079B">
        <w:t xml:space="preserve">  Publication of application for extension of time</w:t>
      </w:r>
      <w:bookmarkEnd w:id="27"/>
    </w:p>
    <w:p w14:paraId="7235ED3E" w14:textId="77777777" w:rsidR="00505833" w:rsidRPr="000E079B" w:rsidRDefault="00505833" w:rsidP="00505833">
      <w:pPr>
        <w:pStyle w:val="subsection"/>
      </w:pPr>
      <w:r w:rsidRPr="000E079B">
        <w:tab/>
      </w:r>
      <w:r w:rsidRPr="000E079B">
        <w:tab/>
        <w:t>For the purposes of sub</w:t>
      </w:r>
      <w:r w:rsidR="006267CE" w:rsidRPr="000E079B">
        <w:t>section 2</w:t>
      </w:r>
      <w:r w:rsidRPr="000E079B">
        <w:t xml:space="preserve">24(5) of the Act, the application must be published </w:t>
      </w:r>
      <w:r w:rsidR="003D5D86" w:rsidRPr="000E079B">
        <w:t>i</w:t>
      </w:r>
      <w:r w:rsidRPr="000E079B">
        <w:t>n a computer database maintained by the Trade Marks Office.</w:t>
      </w:r>
    </w:p>
    <w:p w14:paraId="19DB6B12" w14:textId="77777777" w:rsidR="00505833" w:rsidRPr="000E079B" w:rsidRDefault="00505833" w:rsidP="00505833">
      <w:pPr>
        <w:pStyle w:val="ItemHead"/>
      </w:pPr>
      <w:r w:rsidRPr="000E079B">
        <w:t>46  Subregulation 21.20B(1)</w:t>
      </w:r>
    </w:p>
    <w:p w14:paraId="11A75BA5" w14:textId="77777777" w:rsidR="00505833" w:rsidRPr="000E079B" w:rsidRDefault="00505833" w:rsidP="00505833">
      <w:pPr>
        <w:pStyle w:val="Item"/>
      </w:pPr>
      <w:r w:rsidRPr="000E079B">
        <w:t xml:space="preserve">Omit “the advertisement of the request for the extensions in the </w:t>
      </w:r>
      <w:r w:rsidRPr="000E079B">
        <w:rPr>
          <w:i/>
        </w:rPr>
        <w:t xml:space="preserve">Official Journal </w:t>
      </w:r>
      <w:r w:rsidRPr="000E079B">
        <w:t>under sub</w:t>
      </w:r>
      <w:r w:rsidR="006267CE" w:rsidRPr="000E079B">
        <w:t>section 2</w:t>
      </w:r>
      <w:r w:rsidRPr="000E079B">
        <w:t xml:space="preserve">24(5) of the Act”, substitute “the publication of the request for the extension </w:t>
      </w:r>
      <w:r w:rsidR="00DA6225" w:rsidRPr="000E079B">
        <w:t>i</w:t>
      </w:r>
      <w:r w:rsidRPr="000E079B">
        <w:t>n a computer database maintained by the Trade Marks Office under regulation 21.20AA</w:t>
      </w:r>
      <w:r w:rsidR="00983CB5">
        <w:t>”</w:t>
      </w:r>
      <w:r w:rsidRPr="000E079B">
        <w:t>.</w:t>
      </w:r>
    </w:p>
    <w:p w14:paraId="5C739511" w14:textId="77777777" w:rsidR="00505833" w:rsidRPr="000E079B" w:rsidRDefault="00505833" w:rsidP="00505833">
      <w:pPr>
        <w:pStyle w:val="ItemHead"/>
      </w:pPr>
      <w:r w:rsidRPr="000E079B">
        <w:t>47  After subregulation 21.22(1)</w:t>
      </w:r>
    </w:p>
    <w:p w14:paraId="592A9BFE" w14:textId="77777777" w:rsidR="00505833" w:rsidRPr="000E079B" w:rsidRDefault="00505833" w:rsidP="00505833">
      <w:pPr>
        <w:pStyle w:val="Item"/>
      </w:pPr>
      <w:r w:rsidRPr="000E079B">
        <w:t>Insert:</w:t>
      </w:r>
    </w:p>
    <w:p w14:paraId="52AF51EA" w14:textId="77777777" w:rsidR="00505833" w:rsidRPr="000E079B" w:rsidRDefault="00505833" w:rsidP="00505833">
      <w:pPr>
        <w:pStyle w:val="subsection"/>
      </w:pPr>
      <w:r w:rsidRPr="000E079B">
        <w:tab/>
        <w:t>(1A)</w:t>
      </w:r>
      <w:r w:rsidRPr="000E079B">
        <w:tab/>
        <w:t>For the purposes of sub</w:t>
      </w:r>
      <w:r w:rsidR="006267CE" w:rsidRPr="000E079B">
        <w:t>section 2</w:t>
      </w:r>
      <w:r w:rsidRPr="000E079B">
        <w:t xml:space="preserve">23AA(3) of the Act, the Registrar must publish the determination on </w:t>
      </w:r>
      <w:bookmarkStart w:id="28" w:name="_Hlk161578018"/>
      <w:r w:rsidRPr="000E079B">
        <w:t>the IP Australia website.</w:t>
      </w:r>
      <w:bookmarkEnd w:id="28"/>
    </w:p>
    <w:p w14:paraId="2AE65467" w14:textId="77777777" w:rsidR="00505833" w:rsidRPr="000E079B" w:rsidRDefault="00505833" w:rsidP="00505833">
      <w:pPr>
        <w:pStyle w:val="ItemHead"/>
      </w:pPr>
      <w:r w:rsidRPr="000E079B">
        <w:lastRenderedPageBreak/>
        <w:t>48  Subregulation 21.24B(3)</w:t>
      </w:r>
    </w:p>
    <w:p w14:paraId="6140B773" w14:textId="77777777" w:rsidR="00505833" w:rsidRPr="000E079B" w:rsidRDefault="00505833" w:rsidP="001945C1">
      <w:pPr>
        <w:pStyle w:val="Item"/>
      </w:pPr>
      <w:r w:rsidRPr="000E079B">
        <w:t>Omit “in the Official Journal of Trade Marks”, substitute “on the IP Australia website”.</w:t>
      </w:r>
    </w:p>
    <w:p w14:paraId="0ACAB449" w14:textId="77777777" w:rsidR="00505833" w:rsidRPr="000E079B" w:rsidRDefault="00505833" w:rsidP="00505833">
      <w:pPr>
        <w:pStyle w:val="ItemHead"/>
      </w:pPr>
      <w:r w:rsidRPr="000E079B">
        <w:t>49  Paragraph 21.28(1)(q)</w:t>
      </w:r>
    </w:p>
    <w:p w14:paraId="1D731183" w14:textId="77777777" w:rsidR="00505833" w:rsidRPr="000E079B" w:rsidRDefault="00505833" w:rsidP="00505833">
      <w:pPr>
        <w:pStyle w:val="Item"/>
      </w:pPr>
      <w:r w:rsidRPr="000E079B">
        <w:t>Omit “an advertisement”, substitute “a publication”.</w:t>
      </w:r>
    </w:p>
    <w:p w14:paraId="6273A2E2" w14:textId="77777777" w:rsidR="00505833" w:rsidRPr="000E079B" w:rsidRDefault="00505833" w:rsidP="00505833">
      <w:pPr>
        <w:pStyle w:val="ActHead7"/>
        <w:pageBreakBefore/>
      </w:pPr>
      <w:bookmarkStart w:id="29" w:name="_Toc161993728"/>
      <w:r w:rsidRPr="00B16D05">
        <w:rPr>
          <w:rStyle w:val="CharAmPartNo"/>
        </w:rPr>
        <w:lastRenderedPageBreak/>
        <w:t>Part 4</w:t>
      </w:r>
      <w:r w:rsidRPr="000E079B">
        <w:t>—</w:t>
      </w:r>
      <w:r w:rsidRPr="00B16D05">
        <w:rPr>
          <w:rStyle w:val="CharAmPartText"/>
        </w:rPr>
        <w:t>Extension of time for Assisted Filing Service</w:t>
      </w:r>
      <w:bookmarkEnd w:id="29"/>
    </w:p>
    <w:p w14:paraId="093C9F35" w14:textId="77777777" w:rsidR="00505833" w:rsidRPr="000E079B" w:rsidRDefault="00505833" w:rsidP="00505833">
      <w:pPr>
        <w:pStyle w:val="ActHead9"/>
      </w:pPr>
      <w:bookmarkStart w:id="30" w:name="_Toc161993729"/>
      <w:r w:rsidRPr="000E079B">
        <w:t>Trade Marks Regulations 1995</w:t>
      </w:r>
      <w:bookmarkEnd w:id="30"/>
    </w:p>
    <w:p w14:paraId="75B46554" w14:textId="77777777" w:rsidR="00505833" w:rsidRPr="000E079B" w:rsidRDefault="00505833" w:rsidP="00505833">
      <w:pPr>
        <w:pStyle w:val="ItemHead"/>
      </w:pPr>
      <w:r w:rsidRPr="000E079B">
        <w:t>50  Subregulation 3A.5(1)</w:t>
      </w:r>
    </w:p>
    <w:p w14:paraId="24A046BF" w14:textId="77777777" w:rsidR="00505833" w:rsidRPr="000E079B" w:rsidRDefault="00505833" w:rsidP="00505833">
      <w:pPr>
        <w:pStyle w:val="Item"/>
      </w:pPr>
      <w:r w:rsidRPr="000E079B">
        <w:t xml:space="preserve">After “under </w:t>
      </w:r>
      <w:r w:rsidR="00D94FA4" w:rsidRPr="000E079B">
        <w:t>subregulation 3</w:t>
      </w:r>
      <w:r w:rsidRPr="000E079B">
        <w:t>A.4(2)”, insert “, or within an extended period as decided by the Registrar under regulation 3A.7”.</w:t>
      </w:r>
    </w:p>
    <w:p w14:paraId="33C6D159" w14:textId="77777777" w:rsidR="00505833" w:rsidRPr="000E079B" w:rsidRDefault="00505833" w:rsidP="00505833">
      <w:pPr>
        <w:pStyle w:val="ItemHead"/>
      </w:pPr>
      <w:r w:rsidRPr="000E079B">
        <w:t>51  At the end of Part 3A</w:t>
      </w:r>
    </w:p>
    <w:p w14:paraId="6D5A1381" w14:textId="77777777" w:rsidR="00505833" w:rsidRPr="000E079B" w:rsidRDefault="00505833" w:rsidP="00505833">
      <w:pPr>
        <w:pStyle w:val="Item"/>
      </w:pPr>
      <w:r w:rsidRPr="000E079B">
        <w:t>Add:</w:t>
      </w:r>
    </w:p>
    <w:p w14:paraId="33AB2357" w14:textId="77777777" w:rsidR="00505833" w:rsidRPr="000E079B" w:rsidRDefault="00505833" w:rsidP="00505833">
      <w:pPr>
        <w:pStyle w:val="ActHead5"/>
      </w:pPr>
      <w:bookmarkStart w:id="31" w:name="_Toc161993730"/>
      <w:r w:rsidRPr="00B16D05">
        <w:rPr>
          <w:rStyle w:val="CharSectno"/>
        </w:rPr>
        <w:t>3A.6</w:t>
      </w:r>
      <w:r w:rsidRPr="000E079B">
        <w:t xml:space="preserve">  AFS request—application for extension of time</w:t>
      </w:r>
      <w:bookmarkEnd w:id="31"/>
    </w:p>
    <w:p w14:paraId="4777949A" w14:textId="77777777" w:rsidR="00505833" w:rsidRPr="000E079B" w:rsidRDefault="00505833" w:rsidP="00505833">
      <w:pPr>
        <w:pStyle w:val="subsection"/>
      </w:pPr>
      <w:r w:rsidRPr="000E079B">
        <w:tab/>
        <w:t>(1)</w:t>
      </w:r>
      <w:r w:rsidRPr="000E079B">
        <w:tab/>
        <w:t xml:space="preserve">A requester may apply to the Registrar to extend the period for amending or submitting an AFS request under </w:t>
      </w:r>
      <w:r w:rsidR="00D94FA4" w:rsidRPr="000E079B">
        <w:t>subregulation 3</w:t>
      </w:r>
      <w:r w:rsidRPr="000E079B">
        <w:t>A.5(1).</w:t>
      </w:r>
    </w:p>
    <w:p w14:paraId="518CA32C" w14:textId="77777777" w:rsidR="00505833" w:rsidRPr="000E079B" w:rsidRDefault="00505833" w:rsidP="00505833">
      <w:pPr>
        <w:pStyle w:val="subsection"/>
      </w:pPr>
      <w:r w:rsidRPr="000E079B">
        <w:tab/>
      </w:r>
      <w:bookmarkStart w:id="32" w:name="_Hlk161916602"/>
      <w:r w:rsidRPr="000E079B">
        <w:t>(2)</w:t>
      </w:r>
      <w:r w:rsidRPr="000E079B">
        <w:tab/>
        <w:t xml:space="preserve">The application must be made within the period of 2 months beginning immediately after the end of the period of 5 working days after the requester is informed by the Registrar under </w:t>
      </w:r>
      <w:r w:rsidR="00D94FA4" w:rsidRPr="000E079B">
        <w:t>subregulation 3</w:t>
      </w:r>
      <w:r w:rsidRPr="000E079B">
        <w:t>A.4(2).</w:t>
      </w:r>
      <w:bookmarkEnd w:id="32"/>
    </w:p>
    <w:p w14:paraId="1B5CB6EA" w14:textId="77777777" w:rsidR="00505833" w:rsidRPr="000E079B" w:rsidRDefault="00505833" w:rsidP="00505833">
      <w:pPr>
        <w:pStyle w:val="subsection"/>
      </w:pPr>
      <w:r w:rsidRPr="000E079B">
        <w:tab/>
        <w:t>(3)</w:t>
      </w:r>
      <w:r w:rsidRPr="000E079B">
        <w:tab/>
        <w:t>The application must:</w:t>
      </w:r>
    </w:p>
    <w:p w14:paraId="4EE1E003" w14:textId="77777777" w:rsidR="00505833" w:rsidRPr="000E079B" w:rsidRDefault="00505833" w:rsidP="00505833">
      <w:pPr>
        <w:pStyle w:val="paragraph"/>
      </w:pPr>
      <w:r w:rsidRPr="000E079B">
        <w:tab/>
        <w:t>(a)</w:t>
      </w:r>
      <w:r w:rsidRPr="000E079B">
        <w:tab/>
        <w:t>be in the approved form; and</w:t>
      </w:r>
    </w:p>
    <w:p w14:paraId="4A5BA4FC" w14:textId="77777777" w:rsidR="00505833" w:rsidRPr="000E079B" w:rsidRDefault="00505833" w:rsidP="00505833">
      <w:pPr>
        <w:pStyle w:val="paragraph"/>
      </w:pPr>
      <w:r w:rsidRPr="000E079B">
        <w:tab/>
        <w:t>(b)</w:t>
      </w:r>
      <w:r w:rsidRPr="000E079B">
        <w:tab/>
        <w:t>be accompanied by a declaration stating the facts and circumstances forming the basis for the grounds for making the application.</w:t>
      </w:r>
    </w:p>
    <w:p w14:paraId="38D545D8" w14:textId="77777777" w:rsidR="00505833" w:rsidRPr="000E079B" w:rsidRDefault="00505833" w:rsidP="00505833">
      <w:pPr>
        <w:pStyle w:val="notetext"/>
      </w:pPr>
      <w:r w:rsidRPr="000E079B">
        <w:t>Note:</w:t>
      </w:r>
      <w:r w:rsidRPr="000E079B">
        <w:tab/>
      </w:r>
      <w:r w:rsidR="002C2002" w:rsidRPr="000E079B">
        <w:t>Regulations 2</w:t>
      </w:r>
      <w:r w:rsidRPr="000E079B">
        <w:t>1.6 and 21.7 deal with making and filing declarations.</w:t>
      </w:r>
    </w:p>
    <w:p w14:paraId="68E53154" w14:textId="77777777" w:rsidR="00505833" w:rsidRPr="000E079B" w:rsidRDefault="00505833" w:rsidP="00505833">
      <w:pPr>
        <w:pStyle w:val="subsection"/>
      </w:pPr>
      <w:r w:rsidRPr="000E079B">
        <w:tab/>
        <w:t>(4)</w:t>
      </w:r>
      <w:r w:rsidRPr="000E079B">
        <w:tab/>
        <w:t>The application may be made only on any of the following grounds:</w:t>
      </w:r>
    </w:p>
    <w:p w14:paraId="3BA256C2" w14:textId="77777777" w:rsidR="00505833" w:rsidRPr="000E079B" w:rsidRDefault="00505833" w:rsidP="00505833">
      <w:pPr>
        <w:pStyle w:val="paragraph"/>
      </w:pPr>
      <w:r w:rsidRPr="000E079B">
        <w:tab/>
        <w:t>(a)</w:t>
      </w:r>
      <w:r w:rsidRPr="000E079B">
        <w:tab/>
        <w:t>an error or omission by the requester, the requester’s agent, the Registrar or an employee;</w:t>
      </w:r>
    </w:p>
    <w:p w14:paraId="5DE711E3" w14:textId="77777777" w:rsidR="00505833" w:rsidRPr="000E079B" w:rsidRDefault="00505833" w:rsidP="00505833">
      <w:pPr>
        <w:pStyle w:val="paragraph"/>
      </w:pPr>
      <w:r w:rsidRPr="000E079B">
        <w:tab/>
        <w:t>(b)</w:t>
      </w:r>
      <w:r w:rsidRPr="000E079B">
        <w:tab/>
        <w:t>circumstances beyond the control of the requester, other than an error or omission by the requester, the requester’s agent, the Registrar or an employee;</w:t>
      </w:r>
    </w:p>
    <w:p w14:paraId="04A62143" w14:textId="77777777" w:rsidR="00505833" w:rsidRPr="000E079B" w:rsidRDefault="00505833" w:rsidP="00505833">
      <w:pPr>
        <w:pStyle w:val="paragraph"/>
      </w:pPr>
      <w:r w:rsidRPr="000E079B">
        <w:tab/>
        <w:t>(c)</w:t>
      </w:r>
      <w:r w:rsidRPr="000E079B">
        <w:tab/>
        <w:t>special circumstances exist that justify an extension of the period.</w:t>
      </w:r>
    </w:p>
    <w:p w14:paraId="7456BB1D" w14:textId="77777777" w:rsidR="00505833" w:rsidRPr="000E079B" w:rsidRDefault="00505833" w:rsidP="00505833">
      <w:pPr>
        <w:pStyle w:val="ActHead5"/>
      </w:pPr>
      <w:bookmarkStart w:id="33" w:name="_Toc161993731"/>
      <w:r w:rsidRPr="00B16D05">
        <w:rPr>
          <w:rStyle w:val="CharSectno"/>
        </w:rPr>
        <w:t>3A.7</w:t>
      </w:r>
      <w:r w:rsidRPr="000E079B">
        <w:t xml:space="preserve">  AFS request—grant of extension of time</w:t>
      </w:r>
      <w:bookmarkEnd w:id="33"/>
    </w:p>
    <w:p w14:paraId="3E553515" w14:textId="77777777" w:rsidR="00505833" w:rsidRPr="000E079B" w:rsidRDefault="00505833" w:rsidP="00505833">
      <w:pPr>
        <w:pStyle w:val="subsection"/>
      </w:pPr>
      <w:r w:rsidRPr="000E079B">
        <w:tab/>
        <w:t>(1)</w:t>
      </w:r>
      <w:r w:rsidRPr="000E079B">
        <w:tab/>
        <w:t>The Registrar may grant the application only if the Registrar is satisfied that the grounds set out in the application justify the extension.</w:t>
      </w:r>
    </w:p>
    <w:p w14:paraId="65E22FAF" w14:textId="77777777" w:rsidR="00505833" w:rsidRPr="000E079B" w:rsidRDefault="00505833" w:rsidP="00505833">
      <w:pPr>
        <w:pStyle w:val="subsection"/>
      </w:pPr>
      <w:r w:rsidRPr="000E079B">
        <w:tab/>
        <w:t>(2)</w:t>
      </w:r>
      <w:r w:rsidRPr="000E079B">
        <w:tab/>
        <w:t>The Registrar must decide the length of the extended period having regard to what is reasonable in the circumstances.</w:t>
      </w:r>
    </w:p>
    <w:p w14:paraId="314C2A3C" w14:textId="77777777" w:rsidR="00505833" w:rsidRPr="000E079B" w:rsidRDefault="00505833" w:rsidP="00505833">
      <w:pPr>
        <w:pStyle w:val="subsection"/>
      </w:pPr>
      <w:r w:rsidRPr="000E079B">
        <w:tab/>
        <w:t>(3)</w:t>
      </w:r>
      <w:r w:rsidRPr="000E079B">
        <w:tab/>
        <w:t>The Registrar must not grant more than one extension</w:t>
      </w:r>
      <w:r w:rsidR="00316968" w:rsidRPr="000E079B">
        <w:t xml:space="preserve"> for a</w:t>
      </w:r>
      <w:r w:rsidR="00C245F9" w:rsidRPr="000E079B">
        <w:t>n AFS request</w:t>
      </w:r>
      <w:r w:rsidRPr="000E079B">
        <w:t>.</w:t>
      </w:r>
    </w:p>
    <w:p w14:paraId="51FD1B95" w14:textId="77777777" w:rsidR="00505833" w:rsidRPr="000E079B" w:rsidRDefault="00505833" w:rsidP="00505833">
      <w:pPr>
        <w:pStyle w:val="ItemHead"/>
      </w:pPr>
      <w:r w:rsidRPr="000E079B">
        <w:t>52  Regulation 4.2A</w:t>
      </w:r>
    </w:p>
    <w:p w14:paraId="76181085" w14:textId="77777777" w:rsidR="00505833" w:rsidRPr="000E079B" w:rsidRDefault="00505833" w:rsidP="00505833">
      <w:pPr>
        <w:pStyle w:val="Item"/>
      </w:pPr>
      <w:r w:rsidRPr="000E079B">
        <w:t xml:space="preserve">After “the period of 5 working days mentioned in </w:t>
      </w:r>
      <w:r w:rsidR="00D94FA4" w:rsidRPr="000E079B">
        <w:t>subregulation 3</w:t>
      </w:r>
      <w:r w:rsidRPr="000E079B">
        <w:t>A.5(1)”, insert “, or such extended period as decided by the Registrar under regulation 3A.7”.</w:t>
      </w:r>
    </w:p>
    <w:p w14:paraId="143EC604" w14:textId="77777777" w:rsidR="00505833" w:rsidRPr="000E079B" w:rsidRDefault="00505833" w:rsidP="00505833">
      <w:pPr>
        <w:pStyle w:val="ActHead7"/>
        <w:pageBreakBefore/>
      </w:pPr>
      <w:bookmarkStart w:id="34" w:name="opcCurrentFind"/>
      <w:bookmarkStart w:id="35" w:name="_Toc161993732"/>
      <w:r w:rsidRPr="00B16D05">
        <w:rPr>
          <w:rStyle w:val="CharAmPartNo"/>
        </w:rPr>
        <w:lastRenderedPageBreak/>
        <w:t>Part 5</w:t>
      </w:r>
      <w:r w:rsidRPr="000E079B">
        <w:t>—</w:t>
      </w:r>
      <w:r w:rsidRPr="00B16D05">
        <w:rPr>
          <w:rStyle w:val="CharAmPartText"/>
        </w:rPr>
        <w:t>NICE Classification</w:t>
      </w:r>
      <w:bookmarkEnd w:id="34"/>
      <w:bookmarkEnd w:id="35"/>
    </w:p>
    <w:p w14:paraId="473F3921" w14:textId="77777777" w:rsidR="00505833" w:rsidRPr="000E079B" w:rsidRDefault="00505833" w:rsidP="00505833">
      <w:pPr>
        <w:pStyle w:val="ActHead9"/>
      </w:pPr>
      <w:bookmarkStart w:id="36" w:name="_Toc161993733"/>
      <w:r w:rsidRPr="000E079B">
        <w:t>Trade Marks Regulations 1995</w:t>
      </w:r>
      <w:bookmarkEnd w:id="36"/>
    </w:p>
    <w:p w14:paraId="5F7F913C" w14:textId="77777777" w:rsidR="00505833" w:rsidRPr="000E079B" w:rsidRDefault="00505833" w:rsidP="00505833">
      <w:pPr>
        <w:pStyle w:val="ItemHead"/>
      </w:pPr>
      <w:r w:rsidRPr="000E079B">
        <w:t>53  Part 1 of Schedule 1 (table items 1 to 11)</w:t>
      </w:r>
    </w:p>
    <w:p w14:paraId="3BF39A5E" w14:textId="77777777" w:rsidR="00505833" w:rsidRPr="000E079B" w:rsidRDefault="00505833" w:rsidP="00505833">
      <w:pPr>
        <w:pStyle w:val="Item"/>
      </w:pPr>
      <w:r w:rsidRPr="000E079B">
        <w:t>Repeal the items, substitute:</w:t>
      </w:r>
    </w:p>
    <w:p w14:paraId="0B75CD63" w14:textId="77777777" w:rsidR="00505833" w:rsidRPr="000E079B" w:rsidRDefault="00505833" w:rsidP="0050583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1"/>
        <w:gridCol w:w="6508"/>
      </w:tblGrid>
      <w:tr w:rsidR="00505833" w:rsidRPr="000E079B" w14:paraId="3C9525C8" w14:textId="77777777" w:rsidTr="0087609D">
        <w:tc>
          <w:tcPr>
            <w:tcW w:w="1185" w:type="pct"/>
            <w:tcBorders>
              <w:top w:val="nil"/>
            </w:tcBorders>
            <w:shd w:val="clear" w:color="auto" w:fill="auto"/>
          </w:tcPr>
          <w:p w14:paraId="4154FC26" w14:textId="77777777" w:rsidR="00505833" w:rsidRPr="000E079B" w:rsidRDefault="00505833" w:rsidP="00BA0589">
            <w:pPr>
              <w:pStyle w:val="Tabletext"/>
            </w:pPr>
            <w:r w:rsidRPr="000E079B">
              <w:t>1</w:t>
            </w:r>
          </w:p>
        </w:tc>
        <w:tc>
          <w:tcPr>
            <w:tcW w:w="3815" w:type="pct"/>
            <w:tcBorders>
              <w:top w:val="nil"/>
            </w:tcBorders>
            <w:shd w:val="clear" w:color="auto" w:fill="auto"/>
          </w:tcPr>
          <w:p w14:paraId="745A0595" w14:textId="77777777" w:rsidR="00505833" w:rsidRPr="000E079B" w:rsidRDefault="00505833" w:rsidP="00BA0589">
            <w:pPr>
              <w:pStyle w:val="Tabletext"/>
            </w:pPr>
            <w:r w:rsidRPr="000E079B">
              <w:t>Chemicals for use in industry, science and photography, as well as in agriculture, horticulture and forestry; unprocessed artificial resins, unprocessed plastics; fire extinguishing and fire prevention compositions; tempering and soldering preparations; substances for tanning animal skins and hides; adhesives for use in industry; putties and other paste fillers; compost, manures, fertilisers; biological preparations for use in industry and science</w:t>
            </w:r>
          </w:p>
        </w:tc>
      </w:tr>
      <w:tr w:rsidR="00505833" w:rsidRPr="000E079B" w14:paraId="4D60A95E" w14:textId="77777777" w:rsidTr="0087609D">
        <w:tc>
          <w:tcPr>
            <w:tcW w:w="1185" w:type="pct"/>
            <w:shd w:val="clear" w:color="auto" w:fill="auto"/>
          </w:tcPr>
          <w:p w14:paraId="40D73EDA" w14:textId="77777777" w:rsidR="00505833" w:rsidRPr="000E079B" w:rsidRDefault="00505833" w:rsidP="00BA0589">
            <w:pPr>
              <w:pStyle w:val="Tabletext"/>
            </w:pPr>
            <w:r w:rsidRPr="000E079B">
              <w:t>2</w:t>
            </w:r>
          </w:p>
        </w:tc>
        <w:tc>
          <w:tcPr>
            <w:tcW w:w="3815" w:type="pct"/>
            <w:shd w:val="clear" w:color="auto" w:fill="auto"/>
          </w:tcPr>
          <w:p w14:paraId="1C92F8D4" w14:textId="77777777" w:rsidR="00505833" w:rsidRPr="000E079B" w:rsidRDefault="00505833" w:rsidP="00BA0589">
            <w:pPr>
              <w:pStyle w:val="Tabletext"/>
            </w:pPr>
            <w:r w:rsidRPr="000E079B">
              <w:t>Paints, varnishes, lacquers; preservatives against rust and against deterioration of wood; colourants, dyes; inks for printing, marking and engraving; raw natural resins; metals in foil and powder form for use in painting, decorating, printing and art</w:t>
            </w:r>
          </w:p>
        </w:tc>
      </w:tr>
      <w:tr w:rsidR="00505833" w:rsidRPr="000E079B" w14:paraId="10C48162" w14:textId="77777777" w:rsidTr="0087609D">
        <w:tc>
          <w:tcPr>
            <w:tcW w:w="1185" w:type="pct"/>
            <w:shd w:val="clear" w:color="auto" w:fill="auto"/>
          </w:tcPr>
          <w:p w14:paraId="104E5883" w14:textId="77777777" w:rsidR="00505833" w:rsidRPr="000E079B" w:rsidRDefault="00505833" w:rsidP="00BA0589">
            <w:pPr>
              <w:pStyle w:val="Tabletext"/>
            </w:pPr>
            <w:r w:rsidRPr="000E079B">
              <w:t>3</w:t>
            </w:r>
          </w:p>
        </w:tc>
        <w:tc>
          <w:tcPr>
            <w:tcW w:w="3815" w:type="pct"/>
            <w:shd w:val="clear" w:color="auto" w:fill="auto"/>
          </w:tcPr>
          <w:p w14:paraId="28A65981" w14:textId="77777777" w:rsidR="00505833" w:rsidRPr="000E079B" w:rsidRDefault="00505833" w:rsidP="00BA0589">
            <w:pPr>
              <w:pStyle w:val="Tabletext"/>
            </w:pPr>
            <w:r w:rsidRPr="000E079B">
              <w:t>Non</w:t>
            </w:r>
            <w:r w:rsidR="000E079B">
              <w:noBreakHyphen/>
            </w:r>
            <w:r w:rsidRPr="000E079B">
              <w:t>medicated cosmetics and toiletry preparations; non</w:t>
            </w:r>
            <w:r w:rsidR="000E079B">
              <w:noBreakHyphen/>
            </w:r>
            <w:r w:rsidRPr="000E079B">
              <w:t>medicated dentifrices; perfumery, essential oils; bleaching preparations and other substances for laundry use; cleaning, polishing and abrasive preparations</w:t>
            </w:r>
          </w:p>
        </w:tc>
      </w:tr>
      <w:tr w:rsidR="00505833" w:rsidRPr="000E079B" w14:paraId="4806B7D4" w14:textId="77777777" w:rsidTr="0087609D">
        <w:tc>
          <w:tcPr>
            <w:tcW w:w="1185" w:type="pct"/>
            <w:shd w:val="clear" w:color="auto" w:fill="auto"/>
          </w:tcPr>
          <w:p w14:paraId="5DA44612" w14:textId="77777777" w:rsidR="00505833" w:rsidRPr="000E079B" w:rsidRDefault="00505833" w:rsidP="00BA0589">
            <w:pPr>
              <w:pStyle w:val="Tabletext"/>
            </w:pPr>
            <w:r w:rsidRPr="000E079B">
              <w:t>4</w:t>
            </w:r>
          </w:p>
        </w:tc>
        <w:tc>
          <w:tcPr>
            <w:tcW w:w="3815" w:type="pct"/>
            <w:shd w:val="clear" w:color="auto" w:fill="auto"/>
          </w:tcPr>
          <w:p w14:paraId="02210698" w14:textId="77777777" w:rsidR="00505833" w:rsidRPr="000E079B" w:rsidRDefault="00505833" w:rsidP="00BA0589">
            <w:pPr>
              <w:pStyle w:val="Tabletext"/>
            </w:pPr>
            <w:r w:rsidRPr="000E079B">
              <w:t xml:space="preserve">Industrial oils and greases, wax; lubricants; dust absorbing, wetting and binding compositions; fuels and </w:t>
            </w:r>
            <w:proofErr w:type="spellStart"/>
            <w:r w:rsidRPr="000E079B">
              <w:t>illuminants</w:t>
            </w:r>
            <w:proofErr w:type="spellEnd"/>
            <w:r w:rsidRPr="000E079B">
              <w:t>; candles and wicks for lighting</w:t>
            </w:r>
          </w:p>
        </w:tc>
      </w:tr>
      <w:tr w:rsidR="00505833" w:rsidRPr="000E079B" w:rsidDel="001C1534" w14:paraId="72795854" w14:textId="77777777" w:rsidTr="0087609D">
        <w:tc>
          <w:tcPr>
            <w:tcW w:w="1185" w:type="pct"/>
            <w:shd w:val="clear" w:color="auto" w:fill="auto"/>
          </w:tcPr>
          <w:p w14:paraId="44C72C37" w14:textId="77777777" w:rsidR="00505833" w:rsidRPr="000E079B" w:rsidDel="001C1534" w:rsidRDefault="00505833" w:rsidP="00BA0589">
            <w:pPr>
              <w:pStyle w:val="Tabletext"/>
            </w:pPr>
            <w:r w:rsidRPr="000E079B">
              <w:t>5</w:t>
            </w:r>
          </w:p>
        </w:tc>
        <w:tc>
          <w:tcPr>
            <w:tcW w:w="3815" w:type="pct"/>
            <w:shd w:val="clear" w:color="auto" w:fill="auto"/>
          </w:tcPr>
          <w:p w14:paraId="27F80F8D" w14:textId="77777777" w:rsidR="00505833" w:rsidRPr="000E079B" w:rsidDel="001C1534" w:rsidRDefault="00505833" w:rsidP="00BA0589">
            <w:pPr>
              <w:pStyle w:val="Tabletext"/>
            </w:pPr>
            <w:r w:rsidRPr="000E079B">
              <w:t>Pharmaceuticals, medical and veterinary preparations; sanitary preparations for medical purposes; dietetic food and substances adapted for medical or veterinary use, food for babies; dietary supplements for human beings and animals; plasters, materials for dressings; material for stopping teeth, dental wax; disinfectants; preparations for destroying vermin; fungicides, herbicides</w:t>
            </w:r>
          </w:p>
        </w:tc>
      </w:tr>
      <w:tr w:rsidR="00505833" w:rsidRPr="000E079B" w14:paraId="2B46071D" w14:textId="77777777" w:rsidTr="0087609D">
        <w:tc>
          <w:tcPr>
            <w:tcW w:w="1185" w:type="pct"/>
            <w:shd w:val="clear" w:color="auto" w:fill="auto"/>
          </w:tcPr>
          <w:p w14:paraId="343E92FD" w14:textId="77777777" w:rsidR="00505833" w:rsidRPr="000E079B" w:rsidRDefault="00505833" w:rsidP="00BA0589">
            <w:pPr>
              <w:pStyle w:val="Tabletext"/>
            </w:pPr>
            <w:r w:rsidRPr="000E079B">
              <w:t>6</w:t>
            </w:r>
          </w:p>
        </w:tc>
        <w:tc>
          <w:tcPr>
            <w:tcW w:w="3815" w:type="pct"/>
            <w:shd w:val="clear" w:color="auto" w:fill="auto"/>
          </w:tcPr>
          <w:p w14:paraId="5F99D324" w14:textId="77777777" w:rsidR="00505833" w:rsidRPr="000E079B" w:rsidRDefault="00505833" w:rsidP="00BA0589">
            <w:pPr>
              <w:pStyle w:val="Tabletext"/>
            </w:pPr>
            <w:r w:rsidRPr="000E079B">
              <w:t>Common metals and their alloys, ores; metal materials for building and construction; transportable buildings of metal; non</w:t>
            </w:r>
            <w:r w:rsidR="000E079B">
              <w:noBreakHyphen/>
            </w:r>
            <w:r w:rsidRPr="000E079B">
              <w:t>electric cables and wires of common metal; small items of metal hardware; metal containers for storage or transport; safes</w:t>
            </w:r>
          </w:p>
        </w:tc>
      </w:tr>
      <w:tr w:rsidR="00505833" w:rsidRPr="000E079B" w14:paraId="03EA1B05" w14:textId="77777777" w:rsidTr="0087609D">
        <w:tc>
          <w:tcPr>
            <w:tcW w:w="1185" w:type="pct"/>
            <w:shd w:val="clear" w:color="auto" w:fill="auto"/>
          </w:tcPr>
          <w:p w14:paraId="388BA0C1" w14:textId="77777777" w:rsidR="00505833" w:rsidRPr="000E079B" w:rsidRDefault="00505833" w:rsidP="00BA0589">
            <w:pPr>
              <w:pStyle w:val="Tabletext"/>
            </w:pPr>
            <w:r w:rsidRPr="000E079B">
              <w:t>7</w:t>
            </w:r>
          </w:p>
        </w:tc>
        <w:tc>
          <w:tcPr>
            <w:tcW w:w="3815" w:type="pct"/>
            <w:shd w:val="clear" w:color="auto" w:fill="auto"/>
          </w:tcPr>
          <w:p w14:paraId="5FA2CEF3" w14:textId="77777777" w:rsidR="00505833" w:rsidRPr="000E079B" w:rsidRDefault="00505833" w:rsidP="00BA0589">
            <w:pPr>
              <w:pStyle w:val="Tabletext"/>
            </w:pPr>
            <w:r w:rsidRPr="000E079B">
              <w:t>Machines, machine tools, power</w:t>
            </w:r>
            <w:r w:rsidR="000E079B">
              <w:noBreakHyphen/>
            </w:r>
            <w:r w:rsidRPr="000E079B">
              <w:t>operated tools; motors and engines, except for land vehicles; machine coupling and transmission components, except for land vehicles; agricultural implements, other than hand</w:t>
            </w:r>
            <w:r w:rsidR="000E079B">
              <w:noBreakHyphen/>
            </w:r>
            <w:r w:rsidRPr="000E079B">
              <w:t>operated hand tools; incubators for eggs; automatic vending machines</w:t>
            </w:r>
          </w:p>
        </w:tc>
      </w:tr>
      <w:tr w:rsidR="00505833" w:rsidRPr="000E079B" w14:paraId="6474F09E" w14:textId="77777777" w:rsidTr="0087609D">
        <w:tc>
          <w:tcPr>
            <w:tcW w:w="1185" w:type="pct"/>
            <w:shd w:val="clear" w:color="auto" w:fill="auto"/>
          </w:tcPr>
          <w:p w14:paraId="471B4105" w14:textId="77777777" w:rsidR="00505833" w:rsidRPr="000E079B" w:rsidRDefault="00505833" w:rsidP="00BA0589">
            <w:pPr>
              <w:pStyle w:val="Tabletext"/>
            </w:pPr>
            <w:r w:rsidRPr="000E079B">
              <w:t>8</w:t>
            </w:r>
          </w:p>
        </w:tc>
        <w:tc>
          <w:tcPr>
            <w:tcW w:w="3815" w:type="pct"/>
            <w:shd w:val="clear" w:color="auto" w:fill="auto"/>
          </w:tcPr>
          <w:p w14:paraId="7B9A2B1D" w14:textId="77777777" w:rsidR="00505833" w:rsidRPr="000E079B" w:rsidRDefault="00505833" w:rsidP="00BA0589">
            <w:pPr>
              <w:pStyle w:val="Tabletext"/>
            </w:pPr>
            <w:r w:rsidRPr="000E079B">
              <w:t>Hand tools and implements, hand</w:t>
            </w:r>
            <w:r w:rsidR="000E079B">
              <w:noBreakHyphen/>
            </w:r>
            <w:r w:rsidRPr="000E079B">
              <w:t>operated; cutlery; side arms, except firearms; razors</w:t>
            </w:r>
          </w:p>
        </w:tc>
      </w:tr>
      <w:tr w:rsidR="00505833" w:rsidRPr="000E079B" w:rsidDel="001C1534" w14:paraId="0176F72F" w14:textId="77777777" w:rsidTr="0087609D">
        <w:tc>
          <w:tcPr>
            <w:tcW w:w="1185" w:type="pct"/>
            <w:shd w:val="clear" w:color="auto" w:fill="auto"/>
          </w:tcPr>
          <w:p w14:paraId="753FCB9D" w14:textId="77777777" w:rsidR="00505833" w:rsidRPr="000E079B" w:rsidDel="001C1534" w:rsidRDefault="00505833" w:rsidP="00BA0589">
            <w:pPr>
              <w:pStyle w:val="Tabletext"/>
            </w:pPr>
            <w:r w:rsidRPr="000E079B">
              <w:t>9</w:t>
            </w:r>
          </w:p>
        </w:tc>
        <w:tc>
          <w:tcPr>
            <w:tcW w:w="3815" w:type="pct"/>
            <w:shd w:val="clear" w:color="auto" w:fill="auto"/>
          </w:tcPr>
          <w:p w14:paraId="2B734DA8" w14:textId="77777777" w:rsidR="00505833" w:rsidRPr="000E079B" w:rsidDel="001C1534" w:rsidRDefault="00505833" w:rsidP="00BA0589">
            <w:pPr>
              <w:pStyle w:val="Tabletext"/>
            </w:pPr>
            <w:r w:rsidRPr="000E079B">
              <w:t>Scientific, research, navigation, surveying, photographic, cinematographic, audiovisual, optical, weighing, measuring, signalling, detecting, testing, inspecting, life</w:t>
            </w:r>
            <w:r w:rsidR="000E079B">
              <w:noBreakHyphen/>
            </w:r>
            <w:r w:rsidRPr="000E079B">
              <w:t>saving and teaching apparatus and instruments; apparatus and instruments for conducting, switching, transforming, accumulating, regulating or controlling the distribution or use of electricity; apparatus and instruments for recording, transmitting, reproducing or processing sound, images or data; recorded and downloadable media, computer software, blank digital or analogue recording and storage media; mechanisms for coin</w:t>
            </w:r>
            <w:r w:rsidR="000E079B">
              <w:noBreakHyphen/>
            </w:r>
            <w:r w:rsidRPr="000E079B">
              <w:t>operated apparatus; cash registers, calculating devices; computers and computer peripheral devices; diving suits, divers’ masks, ear plugs for divers, nose clips for divers and swimmers, gloves for divers, breathing apparatus for underwater swimming; fire</w:t>
            </w:r>
            <w:r w:rsidR="000E079B">
              <w:noBreakHyphen/>
            </w:r>
            <w:r w:rsidRPr="000E079B">
              <w:t>extinguishing apparatus</w:t>
            </w:r>
          </w:p>
        </w:tc>
      </w:tr>
      <w:tr w:rsidR="00505833" w:rsidRPr="000E079B" w14:paraId="2F9F26E6" w14:textId="77777777" w:rsidTr="0087609D">
        <w:tc>
          <w:tcPr>
            <w:tcW w:w="1185" w:type="pct"/>
            <w:tcBorders>
              <w:bottom w:val="single" w:sz="2" w:space="0" w:color="auto"/>
            </w:tcBorders>
            <w:shd w:val="clear" w:color="auto" w:fill="auto"/>
          </w:tcPr>
          <w:p w14:paraId="4BF56EAF" w14:textId="77777777" w:rsidR="00505833" w:rsidRPr="000E079B" w:rsidRDefault="00505833" w:rsidP="00BA0589">
            <w:pPr>
              <w:pStyle w:val="Tabletext"/>
            </w:pPr>
            <w:r w:rsidRPr="000E079B">
              <w:t>10</w:t>
            </w:r>
          </w:p>
        </w:tc>
        <w:tc>
          <w:tcPr>
            <w:tcW w:w="3815" w:type="pct"/>
            <w:tcBorders>
              <w:bottom w:val="single" w:sz="2" w:space="0" w:color="auto"/>
            </w:tcBorders>
            <w:shd w:val="clear" w:color="auto" w:fill="auto"/>
          </w:tcPr>
          <w:p w14:paraId="21A41AA6" w14:textId="77777777" w:rsidR="00505833" w:rsidRPr="000E079B" w:rsidRDefault="00505833" w:rsidP="00BA0589">
            <w:pPr>
              <w:pStyle w:val="Tabletext"/>
            </w:pPr>
            <w:r w:rsidRPr="000E079B">
              <w:t xml:space="preserve">Surgical, medical, dental and veterinary apparatus and instruments; artificial limbs, eyes and teeth; orthopaedic articles; suture materials; therapeutic and </w:t>
            </w:r>
            <w:r w:rsidRPr="000E079B">
              <w:lastRenderedPageBreak/>
              <w:t>assistive devices adapted for persons with disabilities; massage apparatus; apparatus, devices and articles for nursing infants; sexual activity apparatus, devices and articles</w:t>
            </w:r>
          </w:p>
        </w:tc>
      </w:tr>
      <w:tr w:rsidR="00505833" w:rsidRPr="000E079B" w14:paraId="56671221" w14:textId="77777777" w:rsidTr="0087609D">
        <w:tc>
          <w:tcPr>
            <w:tcW w:w="1185" w:type="pct"/>
            <w:tcBorders>
              <w:top w:val="single" w:sz="2" w:space="0" w:color="auto"/>
              <w:bottom w:val="nil"/>
            </w:tcBorders>
            <w:shd w:val="clear" w:color="auto" w:fill="auto"/>
          </w:tcPr>
          <w:p w14:paraId="07A4222B" w14:textId="77777777" w:rsidR="00505833" w:rsidRPr="000E079B" w:rsidRDefault="00505833" w:rsidP="00BA0589">
            <w:pPr>
              <w:pStyle w:val="Tabletext"/>
            </w:pPr>
            <w:r w:rsidRPr="000E079B">
              <w:lastRenderedPageBreak/>
              <w:t>11</w:t>
            </w:r>
          </w:p>
        </w:tc>
        <w:tc>
          <w:tcPr>
            <w:tcW w:w="3815" w:type="pct"/>
            <w:tcBorders>
              <w:top w:val="single" w:sz="2" w:space="0" w:color="auto"/>
              <w:bottom w:val="nil"/>
            </w:tcBorders>
            <w:shd w:val="clear" w:color="auto" w:fill="auto"/>
          </w:tcPr>
          <w:p w14:paraId="3EBF9294" w14:textId="77777777" w:rsidR="00505833" w:rsidRPr="000E079B" w:rsidRDefault="00505833" w:rsidP="00BA0589">
            <w:pPr>
              <w:pStyle w:val="Tabletext"/>
            </w:pPr>
            <w:r w:rsidRPr="000E079B">
              <w:t>Apparatus and installations for lighting, heating, cooling, steam generating, cooking, drying, ventilating, water supply and sanitary purposes</w:t>
            </w:r>
          </w:p>
        </w:tc>
      </w:tr>
    </w:tbl>
    <w:p w14:paraId="4B2F5813" w14:textId="77777777" w:rsidR="00505833" w:rsidRPr="000E079B" w:rsidRDefault="00505833" w:rsidP="00505833">
      <w:pPr>
        <w:pStyle w:val="ItemHead"/>
      </w:pPr>
      <w:r w:rsidRPr="000E079B">
        <w:t>54  Part 1 of Schedule 1 (table items 13 to 34)</w:t>
      </w:r>
    </w:p>
    <w:p w14:paraId="7252B3CE" w14:textId="77777777" w:rsidR="00505833" w:rsidRPr="000E079B" w:rsidRDefault="00505833" w:rsidP="00505833">
      <w:pPr>
        <w:pStyle w:val="Item"/>
      </w:pPr>
      <w:r w:rsidRPr="000E079B">
        <w:t>Repeal the items, substitute:</w:t>
      </w:r>
    </w:p>
    <w:p w14:paraId="69C8DD0B" w14:textId="77777777" w:rsidR="00505833" w:rsidRPr="000E079B" w:rsidRDefault="00505833" w:rsidP="0050583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1"/>
        <w:gridCol w:w="6508"/>
      </w:tblGrid>
      <w:tr w:rsidR="00505833" w:rsidRPr="000E079B" w14:paraId="4F905B5B" w14:textId="77777777" w:rsidTr="0087609D">
        <w:tc>
          <w:tcPr>
            <w:tcW w:w="1185" w:type="pct"/>
            <w:tcBorders>
              <w:top w:val="nil"/>
            </w:tcBorders>
            <w:shd w:val="clear" w:color="auto" w:fill="auto"/>
          </w:tcPr>
          <w:p w14:paraId="59D4EEE6" w14:textId="77777777" w:rsidR="00505833" w:rsidRPr="000E079B" w:rsidRDefault="00505833" w:rsidP="00BA0589">
            <w:pPr>
              <w:pStyle w:val="Tabletext"/>
            </w:pPr>
            <w:r w:rsidRPr="000E079B">
              <w:t>13</w:t>
            </w:r>
          </w:p>
        </w:tc>
        <w:tc>
          <w:tcPr>
            <w:tcW w:w="3815" w:type="pct"/>
            <w:tcBorders>
              <w:top w:val="nil"/>
            </w:tcBorders>
            <w:shd w:val="clear" w:color="auto" w:fill="auto"/>
          </w:tcPr>
          <w:p w14:paraId="58DDC9B7" w14:textId="77777777" w:rsidR="00505833" w:rsidRPr="000E079B" w:rsidRDefault="00505833" w:rsidP="00BA0589">
            <w:pPr>
              <w:pStyle w:val="Tabletext"/>
            </w:pPr>
            <w:r w:rsidRPr="000E079B">
              <w:t>Firearms; ammunition and projectiles; explosives; fireworks</w:t>
            </w:r>
          </w:p>
        </w:tc>
      </w:tr>
      <w:tr w:rsidR="00505833" w:rsidRPr="000E079B" w14:paraId="4D37CFAB" w14:textId="77777777" w:rsidTr="0087609D">
        <w:tc>
          <w:tcPr>
            <w:tcW w:w="1185" w:type="pct"/>
            <w:shd w:val="clear" w:color="auto" w:fill="auto"/>
          </w:tcPr>
          <w:p w14:paraId="700D7EC8" w14:textId="77777777" w:rsidR="00505833" w:rsidRPr="000E079B" w:rsidRDefault="00505833" w:rsidP="00BA0589">
            <w:pPr>
              <w:pStyle w:val="Tabletext"/>
            </w:pPr>
            <w:r w:rsidRPr="000E079B">
              <w:t>14</w:t>
            </w:r>
          </w:p>
        </w:tc>
        <w:tc>
          <w:tcPr>
            <w:tcW w:w="3815" w:type="pct"/>
            <w:shd w:val="clear" w:color="auto" w:fill="auto"/>
          </w:tcPr>
          <w:p w14:paraId="50C5BEDC" w14:textId="77777777" w:rsidR="00505833" w:rsidRPr="000E079B" w:rsidRDefault="00505833" w:rsidP="00BA0589">
            <w:pPr>
              <w:pStyle w:val="Tabletext"/>
            </w:pPr>
            <w:r w:rsidRPr="000E079B">
              <w:t>Precious metals and their alloys; jewellery, precious and semi</w:t>
            </w:r>
            <w:r w:rsidR="000E079B">
              <w:noBreakHyphen/>
            </w:r>
            <w:r w:rsidRPr="000E079B">
              <w:t>precious stones; horological and chronometric instruments</w:t>
            </w:r>
          </w:p>
        </w:tc>
      </w:tr>
      <w:tr w:rsidR="00505833" w:rsidRPr="000E079B" w14:paraId="0E5BF497" w14:textId="77777777" w:rsidTr="0087609D">
        <w:tc>
          <w:tcPr>
            <w:tcW w:w="1185" w:type="pct"/>
            <w:shd w:val="clear" w:color="auto" w:fill="auto"/>
          </w:tcPr>
          <w:p w14:paraId="7126B37A" w14:textId="77777777" w:rsidR="00505833" w:rsidRPr="000E079B" w:rsidRDefault="00505833" w:rsidP="00BA0589">
            <w:pPr>
              <w:pStyle w:val="Tabletext"/>
            </w:pPr>
            <w:r w:rsidRPr="000E079B">
              <w:t>15</w:t>
            </w:r>
          </w:p>
        </w:tc>
        <w:tc>
          <w:tcPr>
            <w:tcW w:w="3815" w:type="pct"/>
            <w:shd w:val="clear" w:color="auto" w:fill="auto"/>
          </w:tcPr>
          <w:p w14:paraId="74C03FC9" w14:textId="77777777" w:rsidR="00505833" w:rsidRPr="000E079B" w:rsidRDefault="00505833" w:rsidP="00BA0589">
            <w:pPr>
              <w:pStyle w:val="Tabletext"/>
            </w:pPr>
            <w:r w:rsidRPr="000E079B">
              <w:t>Musical instruments; music stands and stands for musical instruments; conductors’ batons</w:t>
            </w:r>
          </w:p>
        </w:tc>
      </w:tr>
      <w:tr w:rsidR="00505833" w:rsidRPr="000E079B" w14:paraId="16B633B4" w14:textId="77777777" w:rsidTr="0087609D">
        <w:tc>
          <w:tcPr>
            <w:tcW w:w="1185" w:type="pct"/>
            <w:shd w:val="clear" w:color="auto" w:fill="auto"/>
          </w:tcPr>
          <w:p w14:paraId="78C2EDFD" w14:textId="77777777" w:rsidR="00505833" w:rsidRPr="000E079B" w:rsidRDefault="00505833" w:rsidP="00BA0589">
            <w:pPr>
              <w:pStyle w:val="Tabletext"/>
            </w:pPr>
            <w:r w:rsidRPr="000E079B">
              <w:t>16</w:t>
            </w:r>
          </w:p>
        </w:tc>
        <w:tc>
          <w:tcPr>
            <w:tcW w:w="3815" w:type="pct"/>
            <w:shd w:val="clear" w:color="auto" w:fill="auto"/>
          </w:tcPr>
          <w:p w14:paraId="6930F865" w14:textId="77777777" w:rsidR="00505833" w:rsidRPr="000E079B" w:rsidRDefault="00505833" w:rsidP="00BA0589">
            <w:pPr>
              <w:pStyle w:val="Tabletext"/>
            </w:pPr>
            <w:r w:rsidRPr="000E079B">
              <w:t>Paper and cardboard; printed matter; bookbinding material; photographs; stationery and office requisites, except furniture; adhesives for stationery or household purposes; drawing materials and materials for artists; paintbrushes; instructional and teaching materials; plastic sheets, films and bags for wrapping and packaging; printers’ type, printing blocks</w:t>
            </w:r>
          </w:p>
        </w:tc>
      </w:tr>
      <w:tr w:rsidR="00505833" w:rsidRPr="000E079B" w14:paraId="2FE0369C" w14:textId="77777777" w:rsidTr="0087609D">
        <w:tc>
          <w:tcPr>
            <w:tcW w:w="1185" w:type="pct"/>
            <w:shd w:val="clear" w:color="auto" w:fill="auto"/>
          </w:tcPr>
          <w:p w14:paraId="66EA4147" w14:textId="77777777" w:rsidR="00505833" w:rsidRPr="000E079B" w:rsidRDefault="00505833" w:rsidP="00BA0589">
            <w:pPr>
              <w:pStyle w:val="Tabletext"/>
            </w:pPr>
            <w:r w:rsidRPr="000E079B">
              <w:t>17</w:t>
            </w:r>
          </w:p>
        </w:tc>
        <w:tc>
          <w:tcPr>
            <w:tcW w:w="3815" w:type="pct"/>
            <w:shd w:val="clear" w:color="auto" w:fill="auto"/>
          </w:tcPr>
          <w:p w14:paraId="43D7262C" w14:textId="77777777" w:rsidR="00505833" w:rsidRPr="000E079B" w:rsidRDefault="00505833" w:rsidP="00BA0589">
            <w:pPr>
              <w:pStyle w:val="Tabletext"/>
            </w:pPr>
            <w:r w:rsidRPr="000E079B">
              <w:t>Unprocessed and semi</w:t>
            </w:r>
            <w:r w:rsidR="000E079B">
              <w:noBreakHyphen/>
            </w:r>
            <w:r w:rsidRPr="000E079B">
              <w:t>processed rubber, gutta</w:t>
            </w:r>
            <w:r w:rsidR="000E079B">
              <w:noBreakHyphen/>
            </w:r>
            <w:r w:rsidRPr="000E079B">
              <w:t>percha, gum, asbestos, mica and substitutes for all these materials; plastics and resins in extruded form for use in manufacture; packing, stopping and insulating materials; flexible pipes, tubes and hoses, not of metal</w:t>
            </w:r>
          </w:p>
        </w:tc>
      </w:tr>
      <w:tr w:rsidR="00505833" w:rsidRPr="000E079B" w:rsidDel="001C1534" w14:paraId="60A9C9C7" w14:textId="77777777" w:rsidTr="0087609D">
        <w:tc>
          <w:tcPr>
            <w:tcW w:w="1185" w:type="pct"/>
            <w:shd w:val="clear" w:color="auto" w:fill="auto"/>
          </w:tcPr>
          <w:p w14:paraId="479BC33B" w14:textId="77777777" w:rsidR="00505833" w:rsidRPr="000E079B" w:rsidDel="001C1534" w:rsidRDefault="00505833" w:rsidP="00BA0589">
            <w:pPr>
              <w:pStyle w:val="Tabletext"/>
            </w:pPr>
            <w:r w:rsidRPr="000E079B">
              <w:t>18</w:t>
            </w:r>
          </w:p>
        </w:tc>
        <w:tc>
          <w:tcPr>
            <w:tcW w:w="3815" w:type="pct"/>
            <w:shd w:val="clear" w:color="auto" w:fill="auto"/>
          </w:tcPr>
          <w:p w14:paraId="3D9D8FFE" w14:textId="77777777" w:rsidR="00505833" w:rsidRPr="000E079B" w:rsidDel="001C1534" w:rsidRDefault="00505833" w:rsidP="00BA0589">
            <w:pPr>
              <w:pStyle w:val="Tabletext"/>
            </w:pPr>
            <w:r w:rsidRPr="000E079B">
              <w:t>Leather and imitations of leather; animal skins and hides; luggage and carrying bags; umbrellas and parasols; walking sticks; whips, harness and saddlery; collars, leashes and clothing for animals</w:t>
            </w:r>
          </w:p>
        </w:tc>
      </w:tr>
      <w:tr w:rsidR="00505833" w:rsidRPr="000E079B" w14:paraId="363B60EE" w14:textId="77777777" w:rsidTr="0087609D">
        <w:tc>
          <w:tcPr>
            <w:tcW w:w="1185" w:type="pct"/>
            <w:shd w:val="clear" w:color="auto" w:fill="auto"/>
          </w:tcPr>
          <w:p w14:paraId="6CAED492" w14:textId="77777777" w:rsidR="00505833" w:rsidRPr="000E079B" w:rsidRDefault="00505833" w:rsidP="00BA0589">
            <w:pPr>
              <w:pStyle w:val="Tabletext"/>
            </w:pPr>
            <w:r w:rsidRPr="000E079B">
              <w:t>19</w:t>
            </w:r>
          </w:p>
        </w:tc>
        <w:tc>
          <w:tcPr>
            <w:tcW w:w="3815" w:type="pct"/>
            <w:shd w:val="clear" w:color="auto" w:fill="auto"/>
          </w:tcPr>
          <w:p w14:paraId="0A1DD9DB" w14:textId="77777777" w:rsidR="00505833" w:rsidRPr="000E079B" w:rsidRDefault="00505833" w:rsidP="00BA0589">
            <w:pPr>
              <w:pStyle w:val="Tabletext"/>
            </w:pPr>
            <w:r w:rsidRPr="000E079B">
              <w:t>Materials, not of metal, for building and construction; rigid pipes, not of metal, for building; asphalt, pitch, tar and bitumen; transportable buildings, not of metal; monuments, not of metal</w:t>
            </w:r>
          </w:p>
        </w:tc>
      </w:tr>
      <w:tr w:rsidR="00505833" w:rsidRPr="000E079B" w14:paraId="1484D86F" w14:textId="77777777" w:rsidTr="0087609D">
        <w:tc>
          <w:tcPr>
            <w:tcW w:w="1185" w:type="pct"/>
            <w:shd w:val="clear" w:color="auto" w:fill="auto"/>
          </w:tcPr>
          <w:p w14:paraId="1F02510C" w14:textId="77777777" w:rsidR="00505833" w:rsidRPr="000E079B" w:rsidRDefault="00505833" w:rsidP="00BA0589">
            <w:pPr>
              <w:pStyle w:val="Tabletext"/>
            </w:pPr>
            <w:r w:rsidRPr="000E079B">
              <w:t>20</w:t>
            </w:r>
          </w:p>
        </w:tc>
        <w:tc>
          <w:tcPr>
            <w:tcW w:w="3815" w:type="pct"/>
            <w:shd w:val="clear" w:color="auto" w:fill="auto"/>
          </w:tcPr>
          <w:p w14:paraId="36EBF0E2" w14:textId="77777777" w:rsidR="00505833" w:rsidRPr="000E079B" w:rsidRDefault="00505833" w:rsidP="00BA0589">
            <w:pPr>
              <w:pStyle w:val="Tabletext"/>
            </w:pPr>
            <w:r w:rsidRPr="000E079B">
              <w:t>Furniture, mirrors, picture frames; containers, not of metal, for storage or transport; unworked or semi</w:t>
            </w:r>
            <w:r w:rsidR="000E079B">
              <w:noBreakHyphen/>
            </w:r>
            <w:r w:rsidRPr="000E079B">
              <w:t>worked bone, horn, whalebone or mother</w:t>
            </w:r>
            <w:r w:rsidR="000E079B">
              <w:noBreakHyphen/>
            </w:r>
            <w:r w:rsidRPr="000E079B">
              <w:t>of</w:t>
            </w:r>
            <w:r w:rsidR="000E079B">
              <w:noBreakHyphen/>
            </w:r>
            <w:r w:rsidRPr="000E079B">
              <w:t>pearl; shells; meerschaum; yellow amber</w:t>
            </w:r>
          </w:p>
        </w:tc>
      </w:tr>
      <w:tr w:rsidR="00505833" w:rsidRPr="000E079B" w14:paraId="5EE83155" w14:textId="77777777" w:rsidTr="0087609D">
        <w:tc>
          <w:tcPr>
            <w:tcW w:w="1185" w:type="pct"/>
            <w:shd w:val="clear" w:color="auto" w:fill="auto"/>
          </w:tcPr>
          <w:p w14:paraId="476FD4FE" w14:textId="77777777" w:rsidR="00505833" w:rsidRPr="000E079B" w:rsidRDefault="00505833" w:rsidP="00BA0589">
            <w:pPr>
              <w:pStyle w:val="Tabletext"/>
            </w:pPr>
            <w:r w:rsidRPr="000E079B">
              <w:t>21</w:t>
            </w:r>
          </w:p>
        </w:tc>
        <w:tc>
          <w:tcPr>
            <w:tcW w:w="3815" w:type="pct"/>
            <w:shd w:val="clear" w:color="auto" w:fill="auto"/>
          </w:tcPr>
          <w:p w14:paraId="284AF6BB" w14:textId="77777777" w:rsidR="00505833" w:rsidRPr="000E079B" w:rsidRDefault="00505833" w:rsidP="00BA0589">
            <w:pPr>
              <w:pStyle w:val="Tabletext"/>
            </w:pPr>
            <w:r w:rsidRPr="000E079B">
              <w:t>Household or kitchen utensils and containers; cookware and tableware, except forks, knives and spoons; combs and sponges; brushes, except paintbrushes; brush</w:t>
            </w:r>
            <w:r w:rsidR="000E079B">
              <w:noBreakHyphen/>
            </w:r>
            <w:r w:rsidRPr="000E079B">
              <w:t>making materials; articles for cleaning purposes; unworked or semi</w:t>
            </w:r>
            <w:r w:rsidR="000E079B">
              <w:noBreakHyphen/>
            </w:r>
            <w:r w:rsidRPr="000E079B">
              <w:t>worked glass, except building glass; glassware, porcelain and earthenware</w:t>
            </w:r>
          </w:p>
        </w:tc>
      </w:tr>
      <w:tr w:rsidR="00505833" w:rsidRPr="000E079B" w14:paraId="2FAF1ECF" w14:textId="77777777" w:rsidTr="0087609D">
        <w:tc>
          <w:tcPr>
            <w:tcW w:w="1185" w:type="pct"/>
            <w:shd w:val="clear" w:color="auto" w:fill="auto"/>
          </w:tcPr>
          <w:p w14:paraId="0CB97C13" w14:textId="77777777" w:rsidR="00505833" w:rsidRPr="000E079B" w:rsidRDefault="00505833" w:rsidP="00BA0589">
            <w:pPr>
              <w:pStyle w:val="Tabletext"/>
            </w:pPr>
            <w:r w:rsidRPr="000E079B">
              <w:t>22</w:t>
            </w:r>
          </w:p>
        </w:tc>
        <w:tc>
          <w:tcPr>
            <w:tcW w:w="3815" w:type="pct"/>
            <w:shd w:val="clear" w:color="auto" w:fill="auto"/>
          </w:tcPr>
          <w:p w14:paraId="42D9917C" w14:textId="77777777" w:rsidR="00505833" w:rsidRPr="000E079B" w:rsidRDefault="00505833" w:rsidP="00BA0589">
            <w:pPr>
              <w:pStyle w:val="Tabletext"/>
            </w:pPr>
            <w:r w:rsidRPr="000E079B">
              <w:t>Ropes and string; nets; tents and tarpaulins; awnings of textile or synthetic materials; sails; sacks for the transport and storage of materials in bulk; padding, cushioning and stuffing materials, except of paper, cardboard, rubber or plastics; raw fibrous textile materials and substitutes therefor</w:t>
            </w:r>
          </w:p>
        </w:tc>
      </w:tr>
      <w:tr w:rsidR="00505833" w:rsidRPr="000E079B" w14:paraId="331B56F1" w14:textId="77777777" w:rsidTr="0087609D">
        <w:tc>
          <w:tcPr>
            <w:tcW w:w="1185" w:type="pct"/>
            <w:shd w:val="clear" w:color="auto" w:fill="auto"/>
          </w:tcPr>
          <w:p w14:paraId="6C3DC017" w14:textId="77777777" w:rsidR="00505833" w:rsidRPr="000E079B" w:rsidRDefault="00505833" w:rsidP="00BA0589">
            <w:pPr>
              <w:pStyle w:val="Tabletext"/>
            </w:pPr>
            <w:r w:rsidRPr="000E079B">
              <w:t>23</w:t>
            </w:r>
          </w:p>
        </w:tc>
        <w:tc>
          <w:tcPr>
            <w:tcW w:w="3815" w:type="pct"/>
            <w:shd w:val="clear" w:color="auto" w:fill="auto"/>
          </w:tcPr>
          <w:p w14:paraId="17FF2AD8" w14:textId="77777777" w:rsidR="00505833" w:rsidRPr="000E079B" w:rsidRDefault="00505833" w:rsidP="00BA0589">
            <w:pPr>
              <w:pStyle w:val="Tabletext"/>
            </w:pPr>
            <w:r w:rsidRPr="000E079B">
              <w:t>Yarns and threads for textile use</w:t>
            </w:r>
          </w:p>
        </w:tc>
      </w:tr>
      <w:tr w:rsidR="00505833" w:rsidRPr="000E079B" w:rsidDel="001C1534" w14:paraId="3BAD7770" w14:textId="77777777" w:rsidTr="0087609D">
        <w:tc>
          <w:tcPr>
            <w:tcW w:w="1185" w:type="pct"/>
            <w:shd w:val="clear" w:color="auto" w:fill="auto"/>
          </w:tcPr>
          <w:p w14:paraId="3AE3376A" w14:textId="77777777" w:rsidR="00505833" w:rsidRPr="000E079B" w:rsidDel="001C1534" w:rsidRDefault="00505833" w:rsidP="00BA0589">
            <w:pPr>
              <w:pStyle w:val="Tabletext"/>
            </w:pPr>
            <w:r w:rsidRPr="000E079B">
              <w:t>24</w:t>
            </w:r>
          </w:p>
        </w:tc>
        <w:tc>
          <w:tcPr>
            <w:tcW w:w="3815" w:type="pct"/>
            <w:shd w:val="clear" w:color="auto" w:fill="auto"/>
          </w:tcPr>
          <w:p w14:paraId="39D1AB82" w14:textId="77777777" w:rsidR="00505833" w:rsidRPr="000E079B" w:rsidDel="001C1534" w:rsidRDefault="00505833" w:rsidP="00BA0589">
            <w:pPr>
              <w:pStyle w:val="Tabletext"/>
            </w:pPr>
            <w:r w:rsidRPr="000E079B">
              <w:t>Textiles and substitutes for textiles; household linen; curtains of textile or plastic</w:t>
            </w:r>
          </w:p>
        </w:tc>
      </w:tr>
      <w:tr w:rsidR="00505833" w:rsidRPr="000E079B" w14:paraId="0DAAE10F" w14:textId="77777777" w:rsidTr="0087609D">
        <w:tc>
          <w:tcPr>
            <w:tcW w:w="1185" w:type="pct"/>
            <w:shd w:val="clear" w:color="auto" w:fill="auto"/>
          </w:tcPr>
          <w:p w14:paraId="08CBDC08" w14:textId="77777777" w:rsidR="00505833" w:rsidRPr="000E079B" w:rsidRDefault="00505833" w:rsidP="00BA0589">
            <w:pPr>
              <w:pStyle w:val="Tabletext"/>
            </w:pPr>
            <w:r w:rsidRPr="000E079B">
              <w:t>25</w:t>
            </w:r>
          </w:p>
        </w:tc>
        <w:tc>
          <w:tcPr>
            <w:tcW w:w="3815" w:type="pct"/>
            <w:shd w:val="clear" w:color="auto" w:fill="auto"/>
          </w:tcPr>
          <w:p w14:paraId="0FC4D84E" w14:textId="77777777" w:rsidR="00505833" w:rsidRPr="000E079B" w:rsidRDefault="00505833" w:rsidP="00BA0589">
            <w:pPr>
              <w:pStyle w:val="Tabletext"/>
            </w:pPr>
            <w:r w:rsidRPr="000E079B">
              <w:t>Clothing, footwear, headwear</w:t>
            </w:r>
          </w:p>
        </w:tc>
      </w:tr>
      <w:tr w:rsidR="00505833" w:rsidRPr="000E079B" w14:paraId="698BF4EE" w14:textId="77777777" w:rsidTr="0087609D">
        <w:tc>
          <w:tcPr>
            <w:tcW w:w="1185" w:type="pct"/>
            <w:shd w:val="clear" w:color="auto" w:fill="auto"/>
          </w:tcPr>
          <w:p w14:paraId="6F88C32E" w14:textId="77777777" w:rsidR="00505833" w:rsidRPr="000E079B" w:rsidRDefault="00505833" w:rsidP="00BA0589">
            <w:pPr>
              <w:pStyle w:val="Tabletext"/>
            </w:pPr>
            <w:r w:rsidRPr="000E079B">
              <w:t>26</w:t>
            </w:r>
          </w:p>
        </w:tc>
        <w:tc>
          <w:tcPr>
            <w:tcW w:w="3815" w:type="pct"/>
            <w:shd w:val="clear" w:color="auto" w:fill="auto"/>
          </w:tcPr>
          <w:p w14:paraId="6CB4A788" w14:textId="77777777" w:rsidR="00505833" w:rsidRPr="000E079B" w:rsidRDefault="00505833" w:rsidP="00BA0589">
            <w:pPr>
              <w:pStyle w:val="Tabletext"/>
            </w:pPr>
            <w:r w:rsidRPr="000E079B">
              <w:t>Lace, braid and embroidery, and haberdashery ribbons and bows; buttons, hooks and eyes, pins and needles; artificial flowers; hair decorations; false hair</w:t>
            </w:r>
          </w:p>
        </w:tc>
      </w:tr>
      <w:tr w:rsidR="00505833" w:rsidRPr="000E079B" w14:paraId="606AC476" w14:textId="77777777" w:rsidTr="0087609D">
        <w:tc>
          <w:tcPr>
            <w:tcW w:w="1185" w:type="pct"/>
            <w:shd w:val="clear" w:color="auto" w:fill="auto"/>
          </w:tcPr>
          <w:p w14:paraId="39403749" w14:textId="77777777" w:rsidR="00505833" w:rsidRPr="000E079B" w:rsidRDefault="00505833" w:rsidP="00BA0589">
            <w:pPr>
              <w:pStyle w:val="Tabletext"/>
            </w:pPr>
            <w:r w:rsidRPr="000E079B">
              <w:t>27</w:t>
            </w:r>
          </w:p>
        </w:tc>
        <w:tc>
          <w:tcPr>
            <w:tcW w:w="3815" w:type="pct"/>
            <w:shd w:val="clear" w:color="auto" w:fill="auto"/>
          </w:tcPr>
          <w:p w14:paraId="6F95C9C7" w14:textId="77777777" w:rsidR="00505833" w:rsidRPr="000E079B" w:rsidRDefault="00505833" w:rsidP="00BA0589">
            <w:pPr>
              <w:pStyle w:val="Tabletext"/>
            </w:pPr>
            <w:r w:rsidRPr="000E079B">
              <w:t>Carpets, rugs, mats and matting, linoleum and other materials for covering existing floors; wall hangings, not of textile</w:t>
            </w:r>
          </w:p>
        </w:tc>
      </w:tr>
      <w:tr w:rsidR="00505833" w:rsidRPr="000E079B" w14:paraId="6ADA7F77" w14:textId="77777777" w:rsidTr="0087609D">
        <w:tc>
          <w:tcPr>
            <w:tcW w:w="1185" w:type="pct"/>
            <w:shd w:val="clear" w:color="auto" w:fill="auto"/>
          </w:tcPr>
          <w:p w14:paraId="7AFFD5BB" w14:textId="77777777" w:rsidR="00505833" w:rsidRPr="000E079B" w:rsidRDefault="00505833" w:rsidP="00BA0589">
            <w:pPr>
              <w:pStyle w:val="Tabletext"/>
            </w:pPr>
            <w:r w:rsidRPr="000E079B">
              <w:t>28</w:t>
            </w:r>
          </w:p>
        </w:tc>
        <w:tc>
          <w:tcPr>
            <w:tcW w:w="3815" w:type="pct"/>
            <w:shd w:val="clear" w:color="auto" w:fill="auto"/>
          </w:tcPr>
          <w:p w14:paraId="43B7523B" w14:textId="77777777" w:rsidR="00505833" w:rsidRPr="000E079B" w:rsidRDefault="00505833" w:rsidP="00BA0589">
            <w:pPr>
              <w:pStyle w:val="Tabletext"/>
            </w:pPr>
            <w:r w:rsidRPr="000E079B">
              <w:t xml:space="preserve">Games, toys and playthings; video game apparatus; gymnastic and sporting </w:t>
            </w:r>
            <w:r w:rsidRPr="000E079B">
              <w:lastRenderedPageBreak/>
              <w:t>articles; decorations for Christmas trees</w:t>
            </w:r>
          </w:p>
        </w:tc>
      </w:tr>
      <w:tr w:rsidR="00505833" w:rsidRPr="000E079B" w:rsidDel="00F604B4" w14:paraId="38299F10" w14:textId="77777777" w:rsidTr="0087609D">
        <w:tc>
          <w:tcPr>
            <w:tcW w:w="1185" w:type="pct"/>
            <w:shd w:val="clear" w:color="auto" w:fill="auto"/>
          </w:tcPr>
          <w:p w14:paraId="5B58F6DC" w14:textId="77777777" w:rsidR="00505833" w:rsidRPr="000E079B" w:rsidDel="00F604B4" w:rsidRDefault="00505833" w:rsidP="00BA0589">
            <w:pPr>
              <w:pStyle w:val="Tabletext"/>
            </w:pPr>
            <w:r w:rsidRPr="000E079B">
              <w:lastRenderedPageBreak/>
              <w:t>29</w:t>
            </w:r>
          </w:p>
        </w:tc>
        <w:tc>
          <w:tcPr>
            <w:tcW w:w="3815" w:type="pct"/>
            <w:shd w:val="clear" w:color="auto" w:fill="auto"/>
          </w:tcPr>
          <w:p w14:paraId="7F032EDC" w14:textId="77777777" w:rsidR="00505833" w:rsidRPr="000E079B" w:rsidDel="00F604B4" w:rsidRDefault="00505833" w:rsidP="00BA0589">
            <w:pPr>
              <w:pStyle w:val="Tabletext"/>
            </w:pPr>
            <w:r w:rsidRPr="000E079B">
              <w:t>Meat, fish, poultry and game; meat extracts; preserved, frozen, dried and cooked fruits and vegetables; jellies, jams, compotes; eggs; milk, cheese, butter, yogurt and other milk products; oils and fats for food</w:t>
            </w:r>
          </w:p>
        </w:tc>
      </w:tr>
      <w:tr w:rsidR="00505833" w:rsidRPr="000E079B" w:rsidDel="00F604B4" w14:paraId="49087D40" w14:textId="77777777" w:rsidTr="0087609D">
        <w:tc>
          <w:tcPr>
            <w:tcW w:w="1185" w:type="pct"/>
            <w:shd w:val="clear" w:color="auto" w:fill="auto"/>
          </w:tcPr>
          <w:p w14:paraId="2FC80D71" w14:textId="77777777" w:rsidR="00505833" w:rsidRPr="000E079B" w:rsidDel="00F604B4" w:rsidRDefault="00505833" w:rsidP="00BA0589">
            <w:pPr>
              <w:pStyle w:val="Tabletext"/>
            </w:pPr>
            <w:r w:rsidRPr="000E079B">
              <w:t>30</w:t>
            </w:r>
          </w:p>
        </w:tc>
        <w:tc>
          <w:tcPr>
            <w:tcW w:w="3815" w:type="pct"/>
            <w:shd w:val="clear" w:color="auto" w:fill="auto"/>
          </w:tcPr>
          <w:p w14:paraId="28B87FB8" w14:textId="77777777" w:rsidR="00505833" w:rsidRPr="000E079B" w:rsidDel="00F604B4" w:rsidRDefault="00505833" w:rsidP="00BA0589">
            <w:pPr>
              <w:pStyle w:val="Tabletext"/>
            </w:pPr>
            <w:r w:rsidRPr="000E079B">
              <w:t>Coffee, tea, cocoa and substitutes therefor; rice, pasta and noodles; tapioca and sago; flour and preparations made from cereals; bread, pastries and confectionery; chocolate; ice cream, sorbets and other edible ices; sugar, honey, treacle; yeast, baking powder; salt, seasonings, spices, preserved herbs; vinegar, sauces and other condiments; ice (frozen water)</w:t>
            </w:r>
          </w:p>
        </w:tc>
      </w:tr>
      <w:tr w:rsidR="00505833" w:rsidRPr="000E079B" w:rsidDel="00F604B4" w14:paraId="6980B023" w14:textId="77777777" w:rsidTr="0087609D">
        <w:tc>
          <w:tcPr>
            <w:tcW w:w="1185" w:type="pct"/>
            <w:shd w:val="clear" w:color="auto" w:fill="auto"/>
          </w:tcPr>
          <w:p w14:paraId="65B9DE0F" w14:textId="77777777" w:rsidR="00505833" w:rsidRPr="000E079B" w:rsidDel="00F604B4" w:rsidRDefault="00505833" w:rsidP="00BA0589">
            <w:pPr>
              <w:pStyle w:val="Tabletext"/>
            </w:pPr>
            <w:r w:rsidRPr="000E079B">
              <w:t>31</w:t>
            </w:r>
          </w:p>
        </w:tc>
        <w:tc>
          <w:tcPr>
            <w:tcW w:w="3815" w:type="pct"/>
            <w:shd w:val="clear" w:color="auto" w:fill="auto"/>
          </w:tcPr>
          <w:p w14:paraId="2688CF2D" w14:textId="77777777" w:rsidR="00505833" w:rsidRPr="000E079B" w:rsidDel="00F604B4" w:rsidRDefault="00505833" w:rsidP="00BA0589">
            <w:pPr>
              <w:pStyle w:val="Tabletext"/>
            </w:pPr>
            <w:r w:rsidRPr="000E079B">
              <w:t>Raw and unprocessed agricultural, aquacultural, horticultural and forestry products; raw and unprocessed grains and seeds; fresh fruits and vegetables, fresh herbs; natural plants and flowers; bulbs, seedlings and seeds for planting; live animals; foodstuffs and beverages for animals; malt</w:t>
            </w:r>
          </w:p>
        </w:tc>
      </w:tr>
      <w:tr w:rsidR="00505833" w:rsidRPr="000E079B" w:rsidDel="00F604B4" w14:paraId="16619A58" w14:textId="77777777" w:rsidTr="0087609D">
        <w:tc>
          <w:tcPr>
            <w:tcW w:w="1185" w:type="pct"/>
            <w:shd w:val="clear" w:color="auto" w:fill="auto"/>
          </w:tcPr>
          <w:p w14:paraId="08F210CD" w14:textId="77777777" w:rsidR="00505833" w:rsidRPr="000E079B" w:rsidDel="00F604B4" w:rsidRDefault="00505833" w:rsidP="00BA0589">
            <w:pPr>
              <w:pStyle w:val="Tabletext"/>
            </w:pPr>
            <w:r w:rsidRPr="000E079B">
              <w:t>32</w:t>
            </w:r>
          </w:p>
        </w:tc>
        <w:tc>
          <w:tcPr>
            <w:tcW w:w="3815" w:type="pct"/>
            <w:shd w:val="clear" w:color="auto" w:fill="auto"/>
          </w:tcPr>
          <w:p w14:paraId="497B3308" w14:textId="77777777" w:rsidR="00505833" w:rsidRPr="000E079B" w:rsidDel="00F604B4" w:rsidRDefault="00505833" w:rsidP="00BA0589">
            <w:pPr>
              <w:pStyle w:val="Tabletext"/>
            </w:pPr>
            <w:r w:rsidRPr="000E079B">
              <w:t>Beers; non</w:t>
            </w:r>
            <w:r w:rsidR="000E079B">
              <w:noBreakHyphen/>
            </w:r>
            <w:r w:rsidRPr="000E079B">
              <w:t>alcoholic beverages; mineral and aerated waters; fruit beverages and fruit juices; syrups and other preparations for making non</w:t>
            </w:r>
            <w:r w:rsidR="000E079B">
              <w:noBreakHyphen/>
            </w:r>
            <w:r w:rsidRPr="000E079B">
              <w:t>alcoholic beverages</w:t>
            </w:r>
          </w:p>
        </w:tc>
      </w:tr>
      <w:tr w:rsidR="00505833" w:rsidRPr="000E079B" w14:paraId="5E2AE82C" w14:textId="77777777" w:rsidTr="0087609D">
        <w:tc>
          <w:tcPr>
            <w:tcW w:w="1185" w:type="pct"/>
            <w:tcBorders>
              <w:bottom w:val="single" w:sz="2" w:space="0" w:color="auto"/>
            </w:tcBorders>
            <w:shd w:val="clear" w:color="auto" w:fill="auto"/>
          </w:tcPr>
          <w:p w14:paraId="396ACCAE" w14:textId="77777777" w:rsidR="00505833" w:rsidRPr="000E079B" w:rsidRDefault="00505833" w:rsidP="00BA0589">
            <w:pPr>
              <w:pStyle w:val="Tabletext"/>
            </w:pPr>
            <w:r w:rsidRPr="000E079B">
              <w:t>33</w:t>
            </w:r>
          </w:p>
        </w:tc>
        <w:tc>
          <w:tcPr>
            <w:tcW w:w="3815" w:type="pct"/>
            <w:tcBorders>
              <w:bottom w:val="single" w:sz="2" w:space="0" w:color="auto"/>
            </w:tcBorders>
            <w:shd w:val="clear" w:color="auto" w:fill="auto"/>
          </w:tcPr>
          <w:p w14:paraId="513AF737" w14:textId="77777777" w:rsidR="00505833" w:rsidRPr="000E079B" w:rsidRDefault="00505833" w:rsidP="00BA0589">
            <w:pPr>
              <w:pStyle w:val="Tabletext"/>
            </w:pPr>
            <w:r w:rsidRPr="000E079B">
              <w:t>Alcoholic beverages, except beers; alcoholic preparations for making beverages</w:t>
            </w:r>
          </w:p>
        </w:tc>
      </w:tr>
      <w:tr w:rsidR="00505833" w:rsidRPr="000E079B" w14:paraId="68C2B37D" w14:textId="77777777" w:rsidTr="0087609D">
        <w:tc>
          <w:tcPr>
            <w:tcW w:w="1185" w:type="pct"/>
            <w:tcBorders>
              <w:top w:val="single" w:sz="2" w:space="0" w:color="auto"/>
              <w:bottom w:val="nil"/>
            </w:tcBorders>
            <w:shd w:val="clear" w:color="auto" w:fill="auto"/>
          </w:tcPr>
          <w:p w14:paraId="2F19CF1B" w14:textId="77777777" w:rsidR="00505833" w:rsidRPr="000E079B" w:rsidRDefault="00505833" w:rsidP="00BA0589">
            <w:pPr>
              <w:pStyle w:val="Tabletext"/>
            </w:pPr>
            <w:r w:rsidRPr="000E079B">
              <w:t>34</w:t>
            </w:r>
          </w:p>
        </w:tc>
        <w:tc>
          <w:tcPr>
            <w:tcW w:w="3815" w:type="pct"/>
            <w:tcBorders>
              <w:top w:val="single" w:sz="2" w:space="0" w:color="auto"/>
              <w:bottom w:val="nil"/>
            </w:tcBorders>
            <w:shd w:val="clear" w:color="auto" w:fill="auto"/>
          </w:tcPr>
          <w:p w14:paraId="0C2B0099" w14:textId="77777777" w:rsidR="00505833" w:rsidRPr="000E079B" w:rsidRDefault="00505833" w:rsidP="00BA0589">
            <w:pPr>
              <w:pStyle w:val="Tabletext"/>
            </w:pPr>
            <w:r w:rsidRPr="000E079B">
              <w:t>Tobacco and tobacco substitutes; cigarettes and cigars; electronic cigarettes and oral vaporisers for smokers; smokers’ articles; matches</w:t>
            </w:r>
          </w:p>
        </w:tc>
      </w:tr>
    </w:tbl>
    <w:p w14:paraId="106CAE4F" w14:textId="77777777" w:rsidR="00505833" w:rsidRPr="000E079B" w:rsidRDefault="00505833" w:rsidP="00505833">
      <w:pPr>
        <w:pStyle w:val="ItemHead"/>
      </w:pPr>
      <w:r w:rsidRPr="000E079B">
        <w:t>55  Part 2 of Schedule 1 (table items 35 to 38)</w:t>
      </w:r>
    </w:p>
    <w:p w14:paraId="3467D5C1" w14:textId="77777777" w:rsidR="00505833" w:rsidRPr="000E079B" w:rsidRDefault="00505833" w:rsidP="00505833">
      <w:pPr>
        <w:pStyle w:val="Item"/>
      </w:pPr>
      <w:r w:rsidRPr="000E079B">
        <w:t>Repeal the items, substitute:</w:t>
      </w:r>
    </w:p>
    <w:p w14:paraId="0E802AC7" w14:textId="77777777" w:rsidR="00505833" w:rsidRPr="000E079B" w:rsidRDefault="00505833" w:rsidP="0050583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8"/>
        <w:gridCol w:w="6501"/>
      </w:tblGrid>
      <w:tr w:rsidR="00505833" w:rsidRPr="000E079B" w14:paraId="706C98B4" w14:textId="77777777" w:rsidTr="0087609D">
        <w:tc>
          <w:tcPr>
            <w:tcW w:w="1189" w:type="pct"/>
            <w:tcBorders>
              <w:top w:val="nil"/>
            </w:tcBorders>
            <w:shd w:val="clear" w:color="auto" w:fill="auto"/>
          </w:tcPr>
          <w:p w14:paraId="65F5C9B7" w14:textId="77777777" w:rsidR="00505833" w:rsidRPr="000E079B" w:rsidRDefault="00505833" w:rsidP="00BA0589">
            <w:pPr>
              <w:pStyle w:val="Tabletext"/>
            </w:pPr>
            <w:r w:rsidRPr="000E079B">
              <w:t>35</w:t>
            </w:r>
          </w:p>
        </w:tc>
        <w:tc>
          <w:tcPr>
            <w:tcW w:w="3811" w:type="pct"/>
            <w:tcBorders>
              <w:top w:val="nil"/>
            </w:tcBorders>
            <w:shd w:val="clear" w:color="auto" w:fill="auto"/>
          </w:tcPr>
          <w:p w14:paraId="21485EE1" w14:textId="77777777" w:rsidR="00505833" w:rsidRPr="000E079B" w:rsidRDefault="00505833" w:rsidP="00BA0589">
            <w:pPr>
              <w:pStyle w:val="Tabletext"/>
            </w:pPr>
            <w:r w:rsidRPr="000E079B">
              <w:t>Advertising; business management, organisation and administration; office functions</w:t>
            </w:r>
          </w:p>
        </w:tc>
      </w:tr>
      <w:tr w:rsidR="00505833" w:rsidRPr="000E079B" w14:paraId="67E91DB1" w14:textId="77777777" w:rsidTr="0087609D">
        <w:tc>
          <w:tcPr>
            <w:tcW w:w="1189" w:type="pct"/>
            <w:shd w:val="clear" w:color="auto" w:fill="auto"/>
          </w:tcPr>
          <w:p w14:paraId="112B2FB9" w14:textId="77777777" w:rsidR="00505833" w:rsidRPr="000E079B" w:rsidRDefault="00505833" w:rsidP="00BA0589">
            <w:pPr>
              <w:pStyle w:val="Tabletext"/>
            </w:pPr>
            <w:r w:rsidRPr="000E079B">
              <w:t>36</w:t>
            </w:r>
          </w:p>
        </w:tc>
        <w:tc>
          <w:tcPr>
            <w:tcW w:w="3811" w:type="pct"/>
            <w:shd w:val="clear" w:color="auto" w:fill="auto"/>
          </w:tcPr>
          <w:p w14:paraId="40D28946" w14:textId="77777777" w:rsidR="00505833" w:rsidRPr="000E079B" w:rsidRDefault="00505833" w:rsidP="00BA0589">
            <w:pPr>
              <w:pStyle w:val="Tabletext"/>
            </w:pPr>
            <w:r w:rsidRPr="000E079B">
              <w:t>Financial, monetary and banking services; insurance services; real estate services</w:t>
            </w:r>
          </w:p>
        </w:tc>
      </w:tr>
      <w:tr w:rsidR="00505833" w:rsidRPr="000E079B" w14:paraId="4359A4CD" w14:textId="77777777" w:rsidTr="0087609D">
        <w:tc>
          <w:tcPr>
            <w:tcW w:w="1189" w:type="pct"/>
            <w:tcBorders>
              <w:bottom w:val="single" w:sz="2" w:space="0" w:color="auto"/>
            </w:tcBorders>
            <w:shd w:val="clear" w:color="auto" w:fill="auto"/>
          </w:tcPr>
          <w:p w14:paraId="7524F247" w14:textId="77777777" w:rsidR="00505833" w:rsidRPr="000E079B" w:rsidRDefault="00505833" w:rsidP="00BA0589">
            <w:pPr>
              <w:pStyle w:val="Tabletext"/>
            </w:pPr>
            <w:r w:rsidRPr="000E079B">
              <w:t>37</w:t>
            </w:r>
          </w:p>
        </w:tc>
        <w:tc>
          <w:tcPr>
            <w:tcW w:w="3811" w:type="pct"/>
            <w:tcBorders>
              <w:bottom w:val="single" w:sz="2" w:space="0" w:color="auto"/>
            </w:tcBorders>
            <w:shd w:val="clear" w:color="auto" w:fill="auto"/>
          </w:tcPr>
          <w:p w14:paraId="256F8BF9" w14:textId="77777777" w:rsidR="00505833" w:rsidRPr="000E079B" w:rsidRDefault="00505833" w:rsidP="00BA0589">
            <w:pPr>
              <w:pStyle w:val="Tabletext"/>
            </w:pPr>
            <w:r w:rsidRPr="000E079B">
              <w:t>Construction services; installation and repair services; mining extraction, oil and gas drilling</w:t>
            </w:r>
          </w:p>
        </w:tc>
      </w:tr>
      <w:tr w:rsidR="00505833" w:rsidRPr="000E079B" w14:paraId="06F21DEC" w14:textId="77777777" w:rsidTr="0087609D">
        <w:trPr>
          <w:trHeight w:val="60"/>
        </w:trPr>
        <w:tc>
          <w:tcPr>
            <w:tcW w:w="1189" w:type="pct"/>
            <w:tcBorders>
              <w:top w:val="single" w:sz="2" w:space="0" w:color="auto"/>
              <w:bottom w:val="nil"/>
            </w:tcBorders>
            <w:shd w:val="clear" w:color="auto" w:fill="auto"/>
          </w:tcPr>
          <w:p w14:paraId="6114220A" w14:textId="77777777" w:rsidR="00505833" w:rsidRPr="000E079B" w:rsidRDefault="00505833" w:rsidP="00BA0589">
            <w:pPr>
              <w:pStyle w:val="Tabletext"/>
            </w:pPr>
            <w:r w:rsidRPr="000E079B">
              <w:t>38</w:t>
            </w:r>
          </w:p>
        </w:tc>
        <w:tc>
          <w:tcPr>
            <w:tcW w:w="3811" w:type="pct"/>
            <w:tcBorders>
              <w:top w:val="single" w:sz="2" w:space="0" w:color="auto"/>
              <w:bottom w:val="nil"/>
            </w:tcBorders>
            <w:shd w:val="clear" w:color="auto" w:fill="auto"/>
          </w:tcPr>
          <w:p w14:paraId="5C6AC41B" w14:textId="77777777" w:rsidR="00505833" w:rsidRPr="000E079B" w:rsidRDefault="00505833" w:rsidP="00BA0589">
            <w:pPr>
              <w:pStyle w:val="Tabletext"/>
            </w:pPr>
            <w:r w:rsidRPr="000E079B">
              <w:t>Telecommunications services</w:t>
            </w:r>
          </w:p>
        </w:tc>
      </w:tr>
    </w:tbl>
    <w:p w14:paraId="11729F9C" w14:textId="77777777" w:rsidR="00505833" w:rsidRPr="000E079B" w:rsidRDefault="00505833" w:rsidP="00505833">
      <w:pPr>
        <w:pStyle w:val="ItemHead"/>
      </w:pPr>
      <w:r w:rsidRPr="000E079B">
        <w:t>56  Part 2 of Schedule 1 (table item 40)</w:t>
      </w:r>
    </w:p>
    <w:p w14:paraId="7561D1FA" w14:textId="77777777" w:rsidR="00505833" w:rsidRPr="000E079B" w:rsidRDefault="00505833" w:rsidP="00505833">
      <w:pPr>
        <w:pStyle w:val="Item"/>
      </w:pPr>
      <w:r w:rsidRPr="000E079B">
        <w:t>Repeal the item, substitute:</w:t>
      </w:r>
    </w:p>
    <w:p w14:paraId="44C14766" w14:textId="77777777" w:rsidR="00505833" w:rsidRPr="000E079B" w:rsidRDefault="00505833" w:rsidP="00505833">
      <w:pPr>
        <w:pStyle w:val="Tabletext"/>
      </w:pPr>
    </w:p>
    <w:tbl>
      <w:tblPr>
        <w:tblW w:w="5000" w:type="pct"/>
        <w:tblLook w:val="0000" w:firstRow="0" w:lastRow="0" w:firstColumn="0" w:lastColumn="0" w:noHBand="0" w:noVBand="0"/>
      </w:tblPr>
      <w:tblGrid>
        <w:gridCol w:w="2028"/>
        <w:gridCol w:w="6501"/>
      </w:tblGrid>
      <w:tr w:rsidR="00505833" w:rsidRPr="000E079B" w14:paraId="7F719C26" w14:textId="77777777" w:rsidTr="0087609D">
        <w:tc>
          <w:tcPr>
            <w:tcW w:w="1189" w:type="pct"/>
            <w:shd w:val="clear" w:color="auto" w:fill="auto"/>
          </w:tcPr>
          <w:p w14:paraId="45DCFD54" w14:textId="77777777" w:rsidR="00505833" w:rsidRPr="000E079B" w:rsidRDefault="00505833" w:rsidP="00BA0589">
            <w:pPr>
              <w:pStyle w:val="Tabletext"/>
            </w:pPr>
            <w:r w:rsidRPr="000E079B">
              <w:t>40</w:t>
            </w:r>
          </w:p>
        </w:tc>
        <w:tc>
          <w:tcPr>
            <w:tcW w:w="3811" w:type="pct"/>
            <w:shd w:val="clear" w:color="auto" w:fill="auto"/>
          </w:tcPr>
          <w:p w14:paraId="49EF6139" w14:textId="77777777" w:rsidR="00505833" w:rsidRPr="000E079B" w:rsidRDefault="00505833" w:rsidP="00BA0589">
            <w:pPr>
              <w:pStyle w:val="Tabletext"/>
            </w:pPr>
            <w:r w:rsidRPr="000E079B">
              <w:t>Treatment of materials; recycling of waste and trash; air purification and treatment of water; printing services; food and drink preservation</w:t>
            </w:r>
          </w:p>
        </w:tc>
      </w:tr>
    </w:tbl>
    <w:p w14:paraId="448052D8" w14:textId="77777777" w:rsidR="00505833" w:rsidRPr="000E079B" w:rsidRDefault="00505833" w:rsidP="00505833">
      <w:pPr>
        <w:pStyle w:val="ItemHead"/>
      </w:pPr>
      <w:r w:rsidRPr="000E079B">
        <w:t>57  Part 2 of Schedule 1 (table item 42)</w:t>
      </w:r>
    </w:p>
    <w:p w14:paraId="09F6F7D2" w14:textId="77777777" w:rsidR="00505833" w:rsidRPr="000E079B" w:rsidRDefault="00505833" w:rsidP="00505833">
      <w:pPr>
        <w:pStyle w:val="Item"/>
      </w:pPr>
      <w:r w:rsidRPr="000E079B">
        <w:t>Repeal the item, substitute:</w:t>
      </w:r>
    </w:p>
    <w:p w14:paraId="628DF47A" w14:textId="77777777" w:rsidR="00505833" w:rsidRPr="000E079B" w:rsidRDefault="00505833" w:rsidP="00505833">
      <w:pPr>
        <w:pStyle w:val="Tabletext"/>
      </w:pPr>
    </w:p>
    <w:tbl>
      <w:tblPr>
        <w:tblW w:w="5000" w:type="pct"/>
        <w:tblLook w:val="0000" w:firstRow="0" w:lastRow="0" w:firstColumn="0" w:lastColumn="0" w:noHBand="0" w:noVBand="0"/>
      </w:tblPr>
      <w:tblGrid>
        <w:gridCol w:w="2028"/>
        <w:gridCol w:w="6501"/>
      </w:tblGrid>
      <w:tr w:rsidR="00505833" w:rsidRPr="000E079B" w14:paraId="5E553288" w14:textId="77777777" w:rsidTr="0087609D">
        <w:tc>
          <w:tcPr>
            <w:tcW w:w="1189" w:type="pct"/>
            <w:shd w:val="clear" w:color="auto" w:fill="auto"/>
          </w:tcPr>
          <w:p w14:paraId="7AE8C734" w14:textId="77777777" w:rsidR="00505833" w:rsidRPr="000E079B" w:rsidRDefault="00505833" w:rsidP="00BA0589">
            <w:pPr>
              <w:pStyle w:val="Tabletext"/>
            </w:pPr>
            <w:r w:rsidRPr="000E079B">
              <w:t>42</w:t>
            </w:r>
          </w:p>
        </w:tc>
        <w:tc>
          <w:tcPr>
            <w:tcW w:w="3811" w:type="pct"/>
            <w:shd w:val="clear" w:color="auto" w:fill="auto"/>
          </w:tcPr>
          <w:p w14:paraId="4F2F22C1" w14:textId="77777777" w:rsidR="00505833" w:rsidRPr="000E079B" w:rsidRDefault="00505833" w:rsidP="00BA0589">
            <w:pPr>
              <w:pStyle w:val="Tabletext"/>
            </w:pPr>
            <w:r w:rsidRPr="000E079B">
              <w:t>Scientific and technological services and research and design relating thereto; industrial analysis, industrial research and industrial design services; quality control and authentication services; design and development of computer hardware and software</w:t>
            </w:r>
          </w:p>
        </w:tc>
      </w:tr>
    </w:tbl>
    <w:p w14:paraId="0580853E" w14:textId="77777777" w:rsidR="00505833" w:rsidRPr="000E079B" w:rsidRDefault="00505833" w:rsidP="00505833">
      <w:pPr>
        <w:pStyle w:val="ItemHead"/>
      </w:pPr>
      <w:r w:rsidRPr="000E079B">
        <w:t>58  Part 2 of Schedule 1 (table items 44 and 45)</w:t>
      </w:r>
    </w:p>
    <w:p w14:paraId="2E845C56" w14:textId="77777777" w:rsidR="00505833" w:rsidRPr="000E079B" w:rsidRDefault="00505833" w:rsidP="00505833">
      <w:pPr>
        <w:pStyle w:val="Item"/>
      </w:pPr>
      <w:r w:rsidRPr="000E079B">
        <w:t>Repeal the items, substitute:</w:t>
      </w:r>
    </w:p>
    <w:p w14:paraId="26D72DA7" w14:textId="77777777" w:rsidR="00505833" w:rsidRPr="000E079B" w:rsidRDefault="00505833" w:rsidP="0050583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8"/>
        <w:gridCol w:w="6501"/>
      </w:tblGrid>
      <w:tr w:rsidR="00505833" w:rsidRPr="000E079B" w14:paraId="51F78D61" w14:textId="77777777" w:rsidTr="0087609D">
        <w:tc>
          <w:tcPr>
            <w:tcW w:w="1189" w:type="pct"/>
            <w:tcBorders>
              <w:top w:val="nil"/>
              <w:bottom w:val="single" w:sz="2" w:space="0" w:color="auto"/>
            </w:tcBorders>
            <w:shd w:val="clear" w:color="auto" w:fill="auto"/>
          </w:tcPr>
          <w:p w14:paraId="27FF346A" w14:textId="77777777" w:rsidR="00505833" w:rsidRPr="000E079B" w:rsidRDefault="00505833" w:rsidP="00BA0589">
            <w:pPr>
              <w:pStyle w:val="Tabletext"/>
            </w:pPr>
            <w:r w:rsidRPr="000E079B">
              <w:t>44</w:t>
            </w:r>
          </w:p>
        </w:tc>
        <w:tc>
          <w:tcPr>
            <w:tcW w:w="3811" w:type="pct"/>
            <w:tcBorders>
              <w:top w:val="nil"/>
              <w:bottom w:val="single" w:sz="2" w:space="0" w:color="auto"/>
            </w:tcBorders>
            <w:shd w:val="clear" w:color="auto" w:fill="auto"/>
          </w:tcPr>
          <w:p w14:paraId="048A8AB2" w14:textId="77777777" w:rsidR="00505833" w:rsidRPr="000E079B" w:rsidRDefault="00505833" w:rsidP="00BA0589">
            <w:pPr>
              <w:pStyle w:val="Tabletext"/>
            </w:pPr>
            <w:r w:rsidRPr="000E079B">
              <w:t xml:space="preserve">Medical services; veterinary services; hygienic and beauty care for human </w:t>
            </w:r>
            <w:r w:rsidRPr="000E079B">
              <w:lastRenderedPageBreak/>
              <w:t>beings or animals; agriculture, aquaculture, horticulture and forestry services</w:t>
            </w:r>
          </w:p>
        </w:tc>
      </w:tr>
      <w:tr w:rsidR="00505833" w:rsidRPr="000E079B" w14:paraId="3011E4B8" w14:textId="77777777" w:rsidTr="0087609D">
        <w:tc>
          <w:tcPr>
            <w:tcW w:w="1189" w:type="pct"/>
            <w:tcBorders>
              <w:top w:val="single" w:sz="2" w:space="0" w:color="auto"/>
              <w:bottom w:val="nil"/>
            </w:tcBorders>
            <w:shd w:val="clear" w:color="auto" w:fill="auto"/>
          </w:tcPr>
          <w:p w14:paraId="20F79D5A" w14:textId="77777777" w:rsidR="00505833" w:rsidRPr="000E079B" w:rsidRDefault="00505833" w:rsidP="00BA0589">
            <w:pPr>
              <w:pStyle w:val="Tabletext"/>
            </w:pPr>
            <w:r w:rsidRPr="000E079B">
              <w:lastRenderedPageBreak/>
              <w:t>45</w:t>
            </w:r>
          </w:p>
        </w:tc>
        <w:tc>
          <w:tcPr>
            <w:tcW w:w="3811" w:type="pct"/>
            <w:tcBorders>
              <w:top w:val="single" w:sz="2" w:space="0" w:color="auto"/>
              <w:bottom w:val="nil"/>
            </w:tcBorders>
            <w:shd w:val="clear" w:color="auto" w:fill="auto"/>
          </w:tcPr>
          <w:p w14:paraId="565C5ABD" w14:textId="77777777" w:rsidR="00505833" w:rsidRPr="000E079B" w:rsidRDefault="00505833" w:rsidP="00BA0589">
            <w:pPr>
              <w:pStyle w:val="Tabletext"/>
            </w:pPr>
            <w:r w:rsidRPr="000E079B">
              <w:t>Legal services; security services for the physical protection of tangible property and individuals; dating services, online social networking services; funerary services; babysitting</w:t>
            </w:r>
          </w:p>
        </w:tc>
      </w:tr>
    </w:tbl>
    <w:p w14:paraId="39803B70" w14:textId="77777777" w:rsidR="00505833" w:rsidRPr="000E079B" w:rsidRDefault="00505833" w:rsidP="00505833">
      <w:pPr>
        <w:pStyle w:val="ActHead7"/>
        <w:pageBreakBefore/>
      </w:pPr>
      <w:bookmarkStart w:id="37" w:name="_Toc161993734"/>
      <w:r w:rsidRPr="00B16D05">
        <w:rPr>
          <w:rStyle w:val="CharAmPartNo"/>
        </w:rPr>
        <w:lastRenderedPageBreak/>
        <w:t>Part 6</w:t>
      </w:r>
      <w:r w:rsidRPr="000E079B">
        <w:t>—</w:t>
      </w:r>
      <w:r w:rsidRPr="00B16D05">
        <w:rPr>
          <w:rStyle w:val="CharAmPartText"/>
        </w:rPr>
        <w:t>Application and transitional provisions</w:t>
      </w:r>
      <w:bookmarkEnd w:id="37"/>
    </w:p>
    <w:p w14:paraId="0775144D" w14:textId="77777777" w:rsidR="00505833" w:rsidRPr="000E079B" w:rsidRDefault="00505833" w:rsidP="00505833">
      <w:pPr>
        <w:pStyle w:val="ActHead9"/>
      </w:pPr>
      <w:bookmarkStart w:id="38" w:name="_Toc161993735"/>
      <w:r w:rsidRPr="000E079B">
        <w:t>Trade Marks Regulations 1995</w:t>
      </w:r>
      <w:bookmarkEnd w:id="38"/>
    </w:p>
    <w:p w14:paraId="319894EE" w14:textId="77777777" w:rsidR="00505833" w:rsidRPr="000E079B" w:rsidRDefault="00505833" w:rsidP="00505833">
      <w:pPr>
        <w:pStyle w:val="ItemHead"/>
      </w:pPr>
      <w:r w:rsidRPr="000E079B">
        <w:t>59  In the appropriate position in Part 22</w:t>
      </w:r>
    </w:p>
    <w:p w14:paraId="459648D3" w14:textId="77777777" w:rsidR="00505833" w:rsidRPr="000E079B" w:rsidRDefault="00505833" w:rsidP="00505833">
      <w:pPr>
        <w:pStyle w:val="Item"/>
      </w:pPr>
      <w:r w:rsidRPr="000E079B">
        <w:t>Insert:</w:t>
      </w:r>
    </w:p>
    <w:p w14:paraId="3174A2BE" w14:textId="77777777" w:rsidR="00505833" w:rsidRPr="000E079B" w:rsidRDefault="00505833" w:rsidP="00505833">
      <w:pPr>
        <w:pStyle w:val="ActHead3"/>
      </w:pPr>
      <w:bookmarkStart w:id="39" w:name="_Toc161993736"/>
      <w:r w:rsidRPr="00B16D05">
        <w:rPr>
          <w:rStyle w:val="CharDivNo"/>
        </w:rPr>
        <w:t>Division 6</w:t>
      </w:r>
      <w:r w:rsidRPr="000E079B">
        <w:t>—</w:t>
      </w:r>
      <w:r w:rsidRPr="00B16D05">
        <w:rPr>
          <w:rStyle w:val="CharDivText"/>
        </w:rPr>
        <w:t xml:space="preserve">Amendments made by the Intellectual Property Laws Amendment (Regulator Performance) </w:t>
      </w:r>
      <w:r w:rsidR="002C2002" w:rsidRPr="00B16D05">
        <w:rPr>
          <w:rStyle w:val="CharDivText"/>
        </w:rPr>
        <w:t>Regulations 2</w:t>
      </w:r>
      <w:r w:rsidRPr="00B16D05">
        <w:rPr>
          <w:rStyle w:val="CharDivText"/>
        </w:rPr>
        <w:t>024</w:t>
      </w:r>
      <w:bookmarkEnd w:id="39"/>
    </w:p>
    <w:p w14:paraId="62940F90" w14:textId="77777777" w:rsidR="00505833" w:rsidRPr="000E079B" w:rsidRDefault="00505833" w:rsidP="00505833">
      <w:pPr>
        <w:pStyle w:val="ActHead5"/>
      </w:pPr>
      <w:bookmarkStart w:id="40" w:name="_Toc161993737"/>
      <w:r w:rsidRPr="00B16D05">
        <w:rPr>
          <w:rStyle w:val="CharSectno"/>
        </w:rPr>
        <w:t>22.26</w:t>
      </w:r>
      <w:r w:rsidRPr="000E079B">
        <w:t xml:space="preserve">  Amendments made by Part 1 of Schedule 1</w:t>
      </w:r>
      <w:bookmarkEnd w:id="40"/>
    </w:p>
    <w:p w14:paraId="6525FE85" w14:textId="77777777" w:rsidR="00505833" w:rsidRPr="000E079B" w:rsidRDefault="00505833" w:rsidP="00505833">
      <w:pPr>
        <w:pStyle w:val="subsection"/>
      </w:pPr>
      <w:r w:rsidRPr="000E079B">
        <w:tab/>
      </w:r>
      <w:bookmarkStart w:id="41" w:name="_Hlk155959371"/>
      <w:r w:rsidRPr="000E079B">
        <w:tab/>
        <w:t xml:space="preserve">Despite the amendments of regulation 21.21 and clause 1 of Schedule 9 made by Part 1 of Schedule 1 to the </w:t>
      </w:r>
      <w:r w:rsidRPr="000E079B">
        <w:rPr>
          <w:i/>
        </w:rPr>
        <w:t xml:space="preserve">Intellectual Property Laws Amendment (Regulator Performance) </w:t>
      </w:r>
      <w:r w:rsidR="002C2002" w:rsidRPr="000E079B">
        <w:rPr>
          <w:i/>
        </w:rPr>
        <w:t>Regulations 2</w:t>
      </w:r>
      <w:r w:rsidRPr="000E079B">
        <w:rPr>
          <w:i/>
        </w:rPr>
        <w:t>024</w:t>
      </w:r>
      <w:r w:rsidRPr="000E079B">
        <w:t>, those provisions, as in force immediately before the commencement of that Part, continue to apply in relation to a trade mark for which particulars were entered in the Register under section 69 of the Act before that commencement.</w:t>
      </w:r>
      <w:bookmarkEnd w:id="41"/>
    </w:p>
    <w:p w14:paraId="7DA23424" w14:textId="77777777" w:rsidR="00505833" w:rsidRPr="000E079B" w:rsidRDefault="00505833" w:rsidP="00505833">
      <w:pPr>
        <w:pStyle w:val="ActHead5"/>
      </w:pPr>
      <w:bookmarkStart w:id="42" w:name="_Toc161993738"/>
      <w:r w:rsidRPr="00B16D05">
        <w:rPr>
          <w:rStyle w:val="CharSectno"/>
        </w:rPr>
        <w:t>22.27</w:t>
      </w:r>
      <w:r w:rsidRPr="000E079B">
        <w:t xml:space="preserve">  Amendments made by Part 2 of Schedule 1</w:t>
      </w:r>
      <w:bookmarkEnd w:id="42"/>
    </w:p>
    <w:p w14:paraId="52B744A2" w14:textId="77777777" w:rsidR="00505833" w:rsidRPr="000E079B" w:rsidRDefault="00505833" w:rsidP="00505833">
      <w:pPr>
        <w:pStyle w:val="subsection"/>
      </w:pPr>
      <w:r w:rsidRPr="000E079B">
        <w:tab/>
      </w:r>
      <w:r w:rsidRPr="000E079B">
        <w:tab/>
        <w:t xml:space="preserve">Regulation 9.18A, as inserted by Part 2 of Schedule 1 </w:t>
      </w:r>
      <w:r w:rsidR="00CB606A" w:rsidRPr="000E079B">
        <w:t>to</w:t>
      </w:r>
      <w:r w:rsidRPr="000E079B">
        <w:t xml:space="preserve"> the </w:t>
      </w:r>
      <w:r w:rsidRPr="000E079B">
        <w:rPr>
          <w:i/>
        </w:rPr>
        <w:t xml:space="preserve">Intellectual Property Laws Amendment (Regulator Performance) </w:t>
      </w:r>
      <w:r w:rsidR="002C2002" w:rsidRPr="000E079B">
        <w:rPr>
          <w:i/>
        </w:rPr>
        <w:t>Regulations 2</w:t>
      </w:r>
      <w:r w:rsidRPr="000E079B">
        <w:rPr>
          <w:i/>
        </w:rPr>
        <w:t>024</w:t>
      </w:r>
      <w:r w:rsidRPr="000E079B">
        <w:t>, applies in relation to a trade mark removed from the Register under paragraph 97(1)(a) of the Act after the commencement of that Part.</w:t>
      </w:r>
    </w:p>
    <w:p w14:paraId="5BD0E8EB" w14:textId="77777777" w:rsidR="00505833" w:rsidRPr="000E079B" w:rsidRDefault="00505833" w:rsidP="00505833">
      <w:pPr>
        <w:pStyle w:val="ActHead5"/>
      </w:pPr>
      <w:bookmarkStart w:id="43" w:name="_Toc161993739"/>
      <w:r w:rsidRPr="00B16D05">
        <w:rPr>
          <w:rStyle w:val="CharSectno"/>
        </w:rPr>
        <w:t>22.28</w:t>
      </w:r>
      <w:r w:rsidRPr="000E079B">
        <w:t xml:space="preserve">  Amendments made by Part 3 of Schedule 1</w:t>
      </w:r>
      <w:bookmarkEnd w:id="43"/>
    </w:p>
    <w:p w14:paraId="7884790D" w14:textId="77777777" w:rsidR="00505833" w:rsidRPr="000E079B" w:rsidRDefault="00505833" w:rsidP="00505833">
      <w:pPr>
        <w:pStyle w:val="subsection"/>
      </w:pPr>
      <w:r w:rsidRPr="000E079B">
        <w:tab/>
      </w:r>
      <w:r w:rsidRPr="000E079B">
        <w:tab/>
        <w:t xml:space="preserve">The amendments made by Part 3 of Schedule 1 to the </w:t>
      </w:r>
      <w:r w:rsidRPr="000E079B">
        <w:rPr>
          <w:i/>
        </w:rPr>
        <w:t xml:space="preserve">Intellectual Property Laws Amendment (Regulator Performance) </w:t>
      </w:r>
      <w:r w:rsidR="002C2002" w:rsidRPr="000E079B">
        <w:rPr>
          <w:i/>
        </w:rPr>
        <w:t>Regulations 2</w:t>
      </w:r>
      <w:r w:rsidRPr="000E079B">
        <w:rPr>
          <w:i/>
        </w:rPr>
        <w:t>024</w:t>
      </w:r>
      <w:r w:rsidRPr="000E079B">
        <w:t xml:space="preserve"> apply as set out in the following table.</w:t>
      </w:r>
    </w:p>
    <w:p w14:paraId="0D24E754" w14:textId="77777777" w:rsidR="00505833" w:rsidRPr="000E079B" w:rsidRDefault="00505833" w:rsidP="00505833">
      <w:pPr>
        <w:pStyle w:val="Tabletext"/>
      </w:pPr>
    </w:p>
    <w:tbl>
      <w:tblPr>
        <w:tblW w:w="4875"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2584"/>
        <w:gridCol w:w="5116"/>
      </w:tblGrid>
      <w:tr w:rsidR="00505833" w:rsidRPr="000E079B" w14:paraId="1FAB2FB4" w14:textId="77777777" w:rsidTr="00F22062">
        <w:trPr>
          <w:tblHeader/>
        </w:trPr>
        <w:tc>
          <w:tcPr>
            <w:tcW w:w="5000" w:type="pct"/>
            <w:gridSpan w:val="3"/>
            <w:tcBorders>
              <w:top w:val="single" w:sz="12" w:space="0" w:color="auto"/>
              <w:bottom w:val="single" w:sz="6" w:space="0" w:color="auto"/>
            </w:tcBorders>
            <w:shd w:val="clear" w:color="auto" w:fill="auto"/>
          </w:tcPr>
          <w:p w14:paraId="5BCB41E1" w14:textId="77777777" w:rsidR="00505833" w:rsidRPr="000E079B" w:rsidRDefault="00505833" w:rsidP="00BA0589">
            <w:pPr>
              <w:pStyle w:val="TableHeading"/>
            </w:pPr>
            <w:r w:rsidRPr="000E079B">
              <w:t>Transitional provisions</w:t>
            </w:r>
          </w:p>
        </w:tc>
      </w:tr>
      <w:tr w:rsidR="00505833" w:rsidRPr="000E079B" w14:paraId="327E1704" w14:textId="77777777" w:rsidTr="00F22062">
        <w:trPr>
          <w:tblHeader/>
        </w:trPr>
        <w:tc>
          <w:tcPr>
            <w:tcW w:w="370" w:type="pct"/>
            <w:tcBorders>
              <w:top w:val="single" w:sz="6" w:space="0" w:color="auto"/>
              <w:bottom w:val="single" w:sz="12" w:space="0" w:color="auto"/>
            </w:tcBorders>
            <w:shd w:val="clear" w:color="auto" w:fill="auto"/>
          </w:tcPr>
          <w:p w14:paraId="0551D380" w14:textId="77777777" w:rsidR="00505833" w:rsidRPr="000E079B" w:rsidRDefault="00505833" w:rsidP="00BA0589">
            <w:pPr>
              <w:pStyle w:val="TableHeading"/>
            </w:pPr>
            <w:r w:rsidRPr="000E079B">
              <w:t>Item</w:t>
            </w:r>
          </w:p>
        </w:tc>
        <w:tc>
          <w:tcPr>
            <w:tcW w:w="1554" w:type="pct"/>
            <w:tcBorders>
              <w:top w:val="single" w:sz="6" w:space="0" w:color="auto"/>
              <w:bottom w:val="single" w:sz="12" w:space="0" w:color="auto"/>
            </w:tcBorders>
            <w:shd w:val="clear" w:color="auto" w:fill="auto"/>
          </w:tcPr>
          <w:p w14:paraId="2F2B9770" w14:textId="77777777" w:rsidR="00505833" w:rsidRPr="000E079B" w:rsidRDefault="00505833" w:rsidP="00BA0589">
            <w:pPr>
              <w:pStyle w:val="TableHeading"/>
            </w:pPr>
            <w:r w:rsidRPr="000E079B">
              <w:t>Column 1</w:t>
            </w:r>
          </w:p>
          <w:p w14:paraId="365D7788" w14:textId="77777777" w:rsidR="00505833" w:rsidRPr="000E079B" w:rsidRDefault="00505833" w:rsidP="00BA0589">
            <w:pPr>
              <w:pStyle w:val="TableHeading"/>
            </w:pPr>
            <w:r w:rsidRPr="000E079B">
              <w:t>The amendments made by:</w:t>
            </w:r>
          </w:p>
        </w:tc>
        <w:tc>
          <w:tcPr>
            <w:tcW w:w="3075" w:type="pct"/>
            <w:tcBorders>
              <w:top w:val="single" w:sz="6" w:space="0" w:color="auto"/>
              <w:bottom w:val="single" w:sz="12" w:space="0" w:color="auto"/>
            </w:tcBorders>
            <w:shd w:val="clear" w:color="auto" w:fill="auto"/>
          </w:tcPr>
          <w:p w14:paraId="3ABF8010" w14:textId="77777777" w:rsidR="00505833" w:rsidRPr="000E079B" w:rsidRDefault="00505833" w:rsidP="00BA0589">
            <w:pPr>
              <w:pStyle w:val="TableHeading"/>
            </w:pPr>
            <w:r w:rsidRPr="000E079B">
              <w:t>Column 2</w:t>
            </w:r>
          </w:p>
          <w:p w14:paraId="5FA0AF9E" w14:textId="77777777" w:rsidR="00505833" w:rsidRPr="000E079B" w:rsidRDefault="00505833" w:rsidP="00BA0589">
            <w:pPr>
              <w:pStyle w:val="TableHeading"/>
            </w:pPr>
            <w:r w:rsidRPr="000E079B">
              <w:t>apply in relation to:</w:t>
            </w:r>
          </w:p>
        </w:tc>
      </w:tr>
      <w:tr w:rsidR="00505833" w:rsidRPr="000E079B" w14:paraId="20A9E190" w14:textId="77777777" w:rsidTr="00F22062">
        <w:tc>
          <w:tcPr>
            <w:tcW w:w="370" w:type="pct"/>
            <w:tcBorders>
              <w:top w:val="single" w:sz="12" w:space="0" w:color="auto"/>
            </w:tcBorders>
            <w:shd w:val="clear" w:color="auto" w:fill="auto"/>
          </w:tcPr>
          <w:p w14:paraId="2A45CD65" w14:textId="77777777" w:rsidR="00505833" w:rsidRPr="000E079B" w:rsidRDefault="00505833" w:rsidP="00BA0589">
            <w:pPr>
              <w:pStyle w:val="Tabletext"/>
            </w:pPr>
            <w:r w:rsidRPr="000E079B">
              <w:t>1</w:t>
            </w:r>
          </w:p>
        </w:tc>
        <w:tc>
          <w:tcPr>
            <w:tcW w:w="1554" w:type="pct"/>
            <w:tcBorders>
              <w:top w:val="single" w:sz="12" w:space="0" w:color="auto"/>
            </w:tcBorders>
            <w:shd w:val="clear" w:color="auto" w:fill="auto"/>
          </w:tcPr>
          <w:p w14:paraId="52E56678" w14:textId="77777777" w:rsidR="00505833" w:rsidRPr="000E079B" w:rsidRDefault="00505833" w:rsidP="00BA0589">
            <w:pPr>
              <w:pStyle w:val="Tabletext"/>
            </w:pPr>
            <w:r w:rsidRPr="000E079B">
              <w:t>items 4 and 5</w:t>
            </w:r>
          </w:p>
        </w:tc>
        <w:tc>
          <w:tcPr>
            <w:tcW w:w="3075" w:type="pct"/>
            <w:tcBorders>
              <w:top w:val="single" w:sz="12" w:space="0" w:color="auto"/>
            </w:tcBorders>
            <w:shd w:val="clear" w:color="auto" w:fill="auto"/>
          </w:tcPr>
          <w:p w14:paraId="4598EE13" w14:textId="77777777" w:rsidR="00505833" w:rsidRPr="000E079B" w:rsidRDefault="003107DD" w:rsidP="00BA0589">
            <w:pPr>
              <w:pStyle w:val="Tabletext"/>
            </w:pPr>
            <w:r w:rsidRPr="000E079B">
              <w:t xml:space="preserve">an AFS request </w:t>
            </w:r>
            <w:r w:rsidR="00505833" w:rsidRPr="000E079B">
              <w:t>made under regulation 3A.3 if the request is:</w:t>
            </w:r>
          </w:p>
          <w:p w14:paraId="16F218A2" w14:textId="77777777" w:rsidR="00505833" w:rsidRPr="000E079B" w:rsidRDefault="00505833" w:rsidP="00BA0589">
            <w:pPr>
              <w:pStyle w:val="Tablea"/>
            </w:pPr>
            <w:r w:rsidRPr="000E079B">
              <w:t>(a)</w:t>
            </w:r>
            <w:r w:rsidR="00402A46" w:rsidRPr="000E079B">
              <w:t xml:space="preserve"> </w:t>
            </w:r>
            <w:r w:rsidRPr="000E079B">
              <w:t xml:space="preserve">submitted after the commencement of this </w:t>
            </w:r>
            <w:r w:rsidR="00A23A6D" w:rsidRPr="000E079B">
              <w:t>regulation</w:t>
            </w:r>
            <w:r w:rsidRPr="000E079B">
              <w:t>; or</w:t>
            </w:r>
          </w:p>
          <w:p w14:paraId="60A7CE80" w14:textId="77777777" w:rsidR="00505833" w:rsidRPr="000E079B" w:rsidRDefault="00505833" w:rsidP="00BA0589">
            <w:pPr>
              <w:pStyle w:val="Tablea"/>
            </w:pPr>
            <w:r w:rsidRPr="000E079B">
              <w:t>(b)</w:t>
            </w:r>
            <w:r w:rsidR="00402A46" w:rsidRPr="000E079B">
              <w:t xml:space="preserve"> </w:t>
            </w:r>
            <w:r w:rsidRPr="000E079B">
              <w:t xml:space="preserve">amended after the commencement of this </w:t>
            </w:r>
            <w:r w:rsidR="00A23A6D" w:rsidRPr="000E079B">
              <w:t>regulation</w:t>
            </w:r>
          </w:p>
        </w:tc>
      </w:tr>
      <w:tr w:rsidR="00505833" w:rsidRPr="000E079B" w14:paraId="66CB95CB" w14:textId="77777777" w:rsidTr="00F22062">
        <w:tc>
          <w:tcPr>
            <w:tcW w:w="370" w:type="pct"/>
            <w:shd w:val="clear" w:color="auto" w:fill="auto"/>
          </w:tcPr>
          <w:p w14:paraId="303F1BB8" w14:textId="77777777" w:rsidR="00505833" w:rsidRPr="000E079B" w:rsidRDefault="00505833" w:rsidP="00BA0589">
            <w:pPr>
              <w:pStyle w:val="Tabletext"/>
            </w:pPr>
            <w:r w:rsidRPr="000E079B">
              <w:t>2</w:t>
            </w:r>
          </w:p>
        </w:tc>
        <w:tc>
          <w:tcPr>
            <w:tcW w:w="1554" w:type="pct"/>
            <w:shd w:val="clear" w:color="auto" w:fill="auto"/>
          </w:tcPr>
          <w:p w14:paraId="0017237C" w14:textId="77777777" w:rsidR="00505833" w:rsidRPr="000E079B" w:rsidRDefault="00505833" w:rsidP="00BA0589">
            <w:pPr>
              <w:pStyle w:val="Tabletext"/>
            </w:pPr>
            <w:r w:rsidRPr="000E079B">
              <w:t>item 6</w:t>
            </w:r>
          </w:p>
        </w:tc>
        <w:tc>
          <w:tcPr>
            <w:tcW w:w="3075" w:type="pct"/>
            <w:shd w:val="clear" w:color="auto" w:fill="auto"/>
          </w:tcPr>
          <w:p w14:paraId="12B90405" w14:textId="77777777" w:rsidR="00505833" w:rsidRPr="000E079B" w:rsidRDefault="00505833" w:rsidP="00BA0589">
            <w:pPr>
              <w:pStyle w:val="Tabletext"/>
            </w:pPr>
            <w:r w:rsidRPr="000E079B">
              <w:t xml:space="preserve">an application made under </w:t>
            </w:r>
            <w:r w:rsidR="006267CE" w:rsidRPr="000E079B">
              <w:t>section 2</w:t>
            </w:r>
            <w:r w:rsidRPr="000E079B">
              <w:t>7 of the Act if the application:</w:t>
            </w:r>
          </w:p>
          <w:p w14:paraId="5EDC0198" w14:textId="77777777" w:rsidR="00505833" w:rsidRPr="000E079B" w:rsidRDefault="00505833" w:rsidP="00BA0589">
            <w:pPr>
              <w:pStyle w:val="Tablea"/>
            </w:pPr>
            <w:r w:rsidRPr="000E079B">
              <w:t>(a)</w:t>
            </w:r>
            <w:r w:rsidR="00402A46" w:rsidRPr="000E079B">
              <w:t xml:space="preserve"> </w:t>
            </w:r>
            <w:r w:rsidRPr="000E079B">
              <w:t xml:space="preserve">is filed after the commencement of this </w:t>
            </w:r>
            <w:r w:rsidR="00921384" w:rsidRPr="000E079B">
              <w:t>regulation</w:t>
            </w:r>
            <w:r w:rsidRPr="000E079B">
              <w:t>; or</w:t>
            </w:r>
          </w:p>
          <w:p w14:paraId="3935FA2E" w14:textId="77777777" w:rsidR="00505833" w:rsidRPr="000E079B" w:rsidRDefault="00505833" w:rsidP="00BA0589">
            <w:pPr>
              <w:pStyle w:val="Tablea"/>
            </w:pPr>
            <w:r w:rsidRPr="000E079B">
              <w:t>(b)</w:t>
            </w:r>
            <w:r w:rsidR="00402A46" w:rsidRPr="000E079B">
              <w:t xml:space="preserve"> </w:t>
            </w:r>
            <w:r w:rsidRPr="000E079B">
              <w:t xml:space="preserve">was filed before the commencement of this </w:t>
            </w:r>
            <w:r w:rsidR="00921384" w:rsidRPr="000E079B">
              <w:t>regulation</w:t>
            </w:r>
            <w:r w:rsidRPr="000E079B">
              <w:t>, but has not been published as at that commencement</w:t>
            </w:r>
          </w:p>
        </w:tc>
      </w:tr>
      <w:tr w:rsidR="00505833" w:rsidRPr="000E079B" w14:paraId="381440D4" w14:textId="77777777" w:rsidTr="00F22062">
        <w:tc>
          <w:tcPr>
            <w:tcW w:w="370" w:type="pct"/>
            <w:shd w:val="clear" w:color="auto" w:fill="auto"/>
          </w:tcPr>
          <w:p w14:paraId="2B3E79D8" w14:textId="77777777" w:rsidR="00505833" w:rsidRPr="000E079B" w:rsidRDefault="00505833" w:rsidP="00BA0589">
            <w:pPr>
              <w:pStyle w:val="Tabletext"/>
            </w:pPr>
            <w:r w:rsidRPr="000E079B">
              <w:t>3</w:t>
            </w:r>
          </w:p>
        </w:tc>
        <w:tc>
          <w:tcPr>
            <w:tcW w:w="1554" w:type="pct"/>
            <w:shd w:val="clear" w:color="auto" w:fill="auto"/>
          </w:tcPr>
          <w:p w14:paraId="16D518EE" w14:textId="77777777" w:rsidR="00505833" w:rsidRPr="000E079B" w:rsidRDefault="00505833" w:rsidP="00BA0589">
            <w:pPr>
              <w:pStyle w:val="Tabletext"/>
            </w:pPr>
            <w:r w:rsidRPr="000E079B">
              <w:t>items 7, 8 and 11</w:t>
            </w:r>
          </w:p>
        </w:tc>
        <w:tc>
          <w:tcPr>
            <w:tcW w:w="3075" w:type="pct"/>
            <w:shd w:val="clear" w:color="auto" w:fill="auto"/>
          </w:tcPr>
          <w:p w14:paraId="082A248D" w14:textId="77777777" w:rsidR="00505833" w:rsidRPr="000E079B" w:rsidRDefault="00505833" w:rsidP="00BA0589">
            <w:pPr>
              <w:pStyle w:val="Tabletext"/>
            </w:pPr>
            <w:r w:rsidRPr="000E079B">
              <w:t xml:space="preserve">a decision made under section 33 of the Act in relation to an application made under </w:t>
            </w:r>
            <w:r w:rsidR="006267CE" w:rsidRPr="000E079B">
              <w:t>section 2</w:t>
            </w:r>
            <w:r w:rsidRPr="000E079B">
              <w:t>7 of the Act, if the decision:</w:t>
            </w:r>
          </w:p>
          <w:p w14:paraId="53C8F0A4" w14:textId="77777777" w:rsidR="00505833" w:rsidRPr="000E079B" w:rsidRDefault="00505833" w:rsidP="00BA0589">
            <w:pPr>
              <w:pStyle w:val="Tablea"/>
            </w:pPr>
            <w:r w:rsidRPr="000E079B">
              <w:t>(a)</w:t>
            </w:r>
            <w:r w:rsidR="00402A46" w:rsidRPr="000E079B">
              <w:t xml:space="preserve"> </w:t>
            </w:r>
            <w:r w:rsidRPr="000E079B">
              <w:t xml:space="preserve">is made after the commencement of this </w:t>
            </w:r>
            <w:r w:rsidR="00921384" w:rsidRPr="000E079B">
              <w:t xml:space="preserve">regulation </w:t>
            </w:r>
            <w:r w:rsidRPr="000E079B">
              <w:t>(whether the application is made before, on or after that commencement); or</w:t>
            </w:r>
          </w:p>
          <w:p w14:paraId="5EC49EFD" w14:textId="77777777" w:rsidR="00505833" w:rsidRPr="000E079B" w:rsidRDefault="00505833" w:rsidP="00BA0589">
            <w:pPr>
              <w:pStyle w:val="Tablea"/>
            </w:pPr>
            <w:r w:rsidRPr="000E079B">
              <w:t>(b)</w:t>
            </w:r>
            <w:r w:rsidR="00402A46" w:rsidRPr="000E079B">
              <w:t xml:space="preserve"> </w:t>
            </w:r>
            <w:r w:rsidRPr="000E079B">
              <w:t xml:space="preserve">was made before the commencement of this </w:t>
            </w:r>
            <w:r w:rsidR="00921384" w:rsidRPr="000E079B">
              <w:t>regulation</w:t>
            </w:r>
            <w:r w:rsidRPr="000E079B">
              <w:t xml:space="preserve">, </w:t>
            </w:r>
            <w:r w:rsidRPr="000E079B">
              <w:lastRenderedPageBreak/>
              <w:t>but has not been advertised as at that commencement</w:t>
            </w:r>
          </w:p>
        </w:tc>
      </w:tr>
      <w:tr w:rsidR="00505833" w:rsidRPr="000E079B" w14:paraId="171CA1F9" w14:textId="77777777" w:rsidTr="00F22062">
        <w:tc>
          <w:tcPr>
            <w:tcW w:w="370" w:type="pct"/>
            <w:shd w:val="clear" w:color="auto" w:fill="auto"/>
          </w:tcPr>
          <w:p w14:paraId="7C07D496" w14:textId="77777777" w:rsidR="00505833" w:rsidRPr="000E079B" w:rsidRDefault="00505833" w:rsidP="00BA0589">
            <w:pPr>
              <w:pStyle w:val="Tabletext"/>
            </w:pPr>
            <w:r w:rsidRPr="000E079B">
              <w:lastRenderedPageBreak/>
              <w:t>4</w:t>
            </w:r>
          </w:p>
        </w:tc>
        <w:tc>
          <w:tcPr>
            <w:tcW w:w="1554" w:type="pct"/>
            <w:shd w:val="clear" w:color="auto" w:fill="auto"/>
          </w:tcPr>
          <w:p w14:paraId="53737AF2" w14:textId="77777777" w:rsidR="00505833" w:rsidRPr="000E079B" w:rsidRDefault="00505833" w:rsidP="00BA0589">
            <w:pPr>
              <w:pStyle w:val="Tabletext"/>
            </w:pPr>
            <w:r w:rsidRPr="000E079B">
              <w:t>item</w:t>
            </w:r>
            <w:r w:rsidR="00497C68" w:rsidRPr="000E079B">
              <w:t>s</w:t>
            </w:r>
            <w:r w:rsidRPr="000E079B">
              <w:t> 9 and 10</w:t>
            </w:r>
          </w:p>
        </w:tc>
        <w:tc>
          <w:tcPr>
            <w:tcW w:w="3075" w:type="pct"/>
            <w:shd w:val="clear" w:color="auto" w:fill="auto"/>
          </w:tcPr>
          <w:p w14:paraId="10408AE1" w14:textId="77777777" w:rsidR="00505833" w:rsidRPr="000E079B" w:rsidRDefault="00505833" w:rsidP="00BA0589">
            <w:pPr>
              <w:pStyle w:val="Tabletext"/>
            </w:pPr>
            <w:r w:rsidRPr="000E079B">
              <w:t xml:space="preserve">a request for amendment made under section 65A of the Act if the request is made after the commencement of this </w:t>
            </w:r>
            <w:r w:rsidR="00921384" w:rsidRPr="000E079B">
              <w:t>regulation</w:t>
            </w:r>
          </w:p>
        </w:tc>
      </w:tr>
      <w:tr w:rsidR="00505833" w:rsidRPr="000E079B" w14:paraId="11DDC2D1" w14:textId="77777777" w:rsidTr="00F22062">
        <w:tc>
          <w:tcPr>
            <w:tcW w:w="370" w:type="pct"/>
            <w:shd w:val="clear" w:color="auto" w:fill="auto"/>
          </w:tcPr>
          <w:p w14:paraId="407E84D4" w14:textId="77777777" w:rsidR="00505833" w:rsidRPr="000E079B" w:rsidRDefault="00505833" w:rsidP="00BA0589">
            <w:pPr>
              <w:pStyle w:val="Tabletext"/>
            </w:pPr>
            <w:r w:rsidRPr="000E079B">
              <w:t>5</w:t>
            </w:r>
          </w:p>
        </w:tc>
        <w:tc>
          <w:tcPr>
            <w:tcW w:w="1554" w:type="pct"/>
            <w:shd w:val="clear" w:color="auto" w:fill="auto"/>
          </w:tcPr>
          <w:p w14:paraId="50BA9BC5" w14:textId="77777777" w:rsidR="00505833" w:rsidRPr="000E079B" w:rsidRDefault="00505833" w:rsidP="00BA0589">
            <w:pPr>
              <w:pStyle w:val="Tabletext"/>
            </w:pPr>
            <w:r w:rsidRPr="000E079B">
              <w:t>item 12</w:t>
            </w:r>
          </w:p>
        </w:tc>
        <w:tc>
          <w:tcPr>
            <w:tcW w:w="3075" w:type="pct"/>
            <w:shd w:val="clear" w:color="auto" w:fill="auto"/>
          </w:tcPr>
          <w:p w14:paraId="21F6BDD8" w14:textId="77777777" w:rsidR="00505833" w:rsidRPr="000E079B" w:rsidRDefault="00505833" w:rsidP="00BA0589">
            <w:pPr>
              <w:pStyle w:val="Tabletext"/>
            </w:pPr>
            <w:r w:rsidRPr="000E079B">
              <w:t xml:space="preserve">a trade mark registered under section 68 of the Act if the trade mark is registered after the commencement of this </w:t>
            </w:r>
            <w:r w:rsidR="00921384" w:rsidRPr="000E079B">
              <w:t>regulation</w:t>
            </w:r>
          </w:p>
        </w:tc>
      </w:tr>
      <w:tr w:rsidR="00505833" w:rsidRPr="000E079B" w14:paraId="2BC9A217" w14:textId="77777777" w:rsidTr="00F22062">
        <w:tc>
          <w:tcPr>
            <w:tcW w:w="370" w:type="pct"/>
            <w:shd w:val="clear" w:color="auto" w:fill="auto"/>
          </w:tcPr>
          <w:p w14:paraId="03877A03" w14:textId="77777777" w:rsidR="00505833" w:rsidRPr="000E079B" w:rsidRDefault="00505833" w:rsidP="00BA0589">
            <w:pPr>
              <w:pStyle w:val="Tabletext"/>
            </w:pPr>
            <w:r w:rsidRPr="000E079B">
              <w:t>6</w:t>
            </w:r>
          </w:p>
        </w:tc>
        <w:tc>
          <w:tcPr>
            <w:tcW w:w="1554" w:type="pct"/>
            <w:shd w:val="clear" w:color="auto" w:fill="auto"/>
          </w:tcPr>
          <w:p w14:paraId="7F606D66" w14:textId="77777777" w:rsidR="00505833" w:rsidRPr="000E079B" w:rsidRDefault="00505833" w:rsidP="00BA0589">
            <w:pPr>
              <w:pStyle w:val="Tabletext"/>
            </w:pPr>
            <w:r w:rsidRPr="000E079B">
              <w:t>items 13 and 14</w:t>
            </w:r>
          </w:p>
        </w:tc>
        <w:tc>
          <w:tcPr>
            <w:tcW w:w="3075" w:type="pct"/>
            <w:shd w:val="clear" w:color="auto" w:fill="auto"/>
          </w:tcPr>
          <w:p w14:paraId="3151D79E" w14:textId="77777777" w:rsidR="00505833" w:rsidRPr="000E079B" w:rsidRDefault="00505833" w:rsidP="00BA0589">
            <w:pPr>
              <w:pStyle w:val="Tabletext"/>
            </w:pPr>
            <w:r w:rsidRPr="000E079B">
              <w:t xml:space="preserve">a request for amendment made under section 83A of the Act if the request is made after the commencement of this </w:t>
            </w:r>
            <w:r w:rsidR="00921384" w:rsidRPr="000E079B">
              <w:t>regulation</w:t>
            </w:r>
          </w:p>
        </w:tc>
      </w:tr>
      <w:tr w:rsidR="00505833" w:rsidRPr="000E079B" w14:paraId="11197EB6" w14:textId="77777777" w:rsidTr="00F22062">
        <w:tc>
          <w:tcPr>
            <w:tcW w:w="370" w:type="pct"/>
            <w:shd w:val="clear" w:color="auto" w:fill="auto"/>
          </w:tcPr>
          <w:p w14:paraId="715C1017" w14:textId="77777777" w:rsidR="00505833" w:rsidRPr="000E079B" w:rsidRDefault="00505833" w:rsidP="00BA0589">
            <w:pPr>
              <w:pStyle w:val="Tabletext"/>
            </w:pPr>
            <w:r w:rsidRPr="000E079B">
              <w:t>7</w:t>
            </w:r>
          </w:p>
        </w:tc>
        <w:tc>
          <w:tcPr>
            <w:tcW w:w="1554" w:type="pct"/>
            <w:shd w:val="clear" w:color="auto" w:fill="auto"/>
          </w:tcPr>
          <w:p w14:paraId="73E223FC" w14:textId="77777777" w:rsidR="00505833" w:rsidRPr="000E079B" w:rsidRDefault="00505833" w:rsidP="00BA0589">
            <w:pPr>
              <w:pStyle w:val="Tabletext"/>
            </w:pPr>
            <w:r w:rsidRPr="000E079B">
              <w:t>items 16, 17, 40 and 41</w:t>
            </w:r>
          </w:p>
        </w:tc>
        <w:tc>
          <w:tcPr>
            <w:tcW w:w="3075" w:type="pct"/>
            <w:shd w:val="clear" w:color="auto" w:fill="auto"/>
          </w:tcPr>
          <w:p w14:paraId="458B6E76" w14:textId="77777777" w:rsidR="00505833" w:rsidRPr="000E079B" w:rsidRDefault="00505833" w:rsidP="00BA0589">
            <w:pPr>
              <w:pStyle w:val="Tabletext"/>
            </w:pPr>
            <w:r w:rsidRPr="000E079B">
              <w:t xml:space="preserve">an application made under section 92 of the Act if the application is made after the commencement of this </w:t>
            </w:r>
            <w:r w:rsidR="00921384" w:rsidRPr="000E079B">
              <w:t>regulation</w:t>
            </w:r>
          </w:p>
        </w:tc>
      </w:tr>
      <w:tr w:rsidR="00505833" w:rsidRPr="000E079B" w14:paraId="013F9379" w14:textId="77777777" w:rsidTr="00F22062">
        <w:tc>
          <w:tcPr>
            <w:tcW w:w="370" w:type="pct"/>
            <w:shd w:val="clear" w:color="auto" w:fill="auto"/>
          </w:tcPr>
          <w:p w14:paraId="1A1EB76E" w14:textId="77777777" w:rsidR="00505833" w:rsidRPr="000E079B" w:rsidRDefault="00505833" w:rsidP="00BA0589">
            <w:pPr>
              <w:pStyle w:val="Tabletext"/>
            </w:pPr>
            <w:r w:rsidRPr="000E079B">
              <w:t>8</w:t>
            </w:r>
          </w:p>
        </w:tc>
        <w:tc>
          <w:tcPr>
            <w:tcW w:w="1554" w:type="pct"/>
            <w:shd w:val="clear" w:color="auto" w:fill="auto"/>
          </w:tcPr>
          <w:p w14:paraId="276FA9FD" w14:textId="77777777" w:rsidR="00505833" w:rsidRPr="000E079B" w:rsidRDefault="00505833" w:rsidP="00BA0589">
            <w:pPr>
              <w:pStyle w:val="Tabletext"/>
            </w:pPr>
            <w:r w:rsidRPr="000E079B">
              <w:t>item 18</w:t>
            </w:r>
          </w:p>
        </w:tc>
        <w:tc>
          <w:tcPr>
            <w:tcW w:w="3075" w:type="pct"/>
            <w:shd w:val="clear" w:color="auto" w:fill="auto"/>
          </w:tcPr>
          <w:p w14:paraId="01D91D24" w14:textId="77777777" w:rsidR="00505833" w:rsidRPr="000E079B" w:rsidRDefault="00505833" w:rsidP="00BA0589">
            <w:pPr>
              <w:pStyle w:val="Tabletext"/>
            </w:pPr>
            <w:r w:rsidRPr="000E079B">
              <w:t xml:space="preserve">a recording or registration made under section 110 of the Act in relation to an application made under section 109 of the Act, if the recording or registration is made after the commencement of this </w:t>
            </w:r>
            <w:r w:rsidR="00921384" w:rsidRPr="000E079B">
              <w:t xml:space="preserve">regulation </w:t>
            </w:r>
            <w:r w:rsidRPr="000E079B">
              <w:t>(whether the application is made before, on or after that commencement)</w:t>
            </w:r>
          </w:p>
        </w:tc>
      </w:tr>
      <w:tr w:rsidR="00505833" w:rsidRPr="000E079B" w14:paraId="46605D0A" w14:textId="77777777" w:rsidTr="00F22062">
        <w:tc>
          <w:tcPr>
            <w:tcW w:w="370" w:type="pct"/>
            <w:shd w:val="clear" w:color="auto" w:fill="auto"/>
          </w:tcPr>
          <w:p w14:paraId="7F092E92" w14:textId="77777777" w:rsidR="00505833" w:rsidRPr="000E079B" w:rsidRDefault="00505833" w:rsidP="00BA0589">
            <w:pPr>
              <w:pStyle w:val="Tabletext"/>
            </w:pPr>
            <w:r w:rsidRPr="000E079B">
              <w:t>9</w:t>
            </w:r>
          </w:p>
        </w:tc>
        <w:tc>
          <w:tcPr>
            <w:tcW w:w="1554" w:type="pct"/>
            <w:shd w:val="clear" w:color="auto" w:fill="auto"/>
          </w:tcPr>
          <w:p w14:paraId="1E4C8EEC" w14:textId="77777777" w:rsidR="00505833" w:rsidRPr="000E079B" w:rsidRDefault="00505833" w:rsidP="00CE0950">
            <w:pPr>
              <w:pStyle w:val="Tabletext"/>
            </w:pPr>
            <w:r w:rsidRPr="000E079B">
              <w:t>items 19 to 29 and 49</w:t>
            </w:r>
          </w:p>
        </w:tc>
        <w:tc>
          <w:tcPr>
            <w:tcW w:w="3075" w:type="pct"/>
            <w:shd w:val="clear" w:color="auto" w:fill="auto"/>
          </w:tcPr>
          <w:p w14:paraId="7A13AC27" w14:textId="77777777" w:rsidR="00505833" w:rsidRPr="000E079B" w:rsidRDefault="00505833" w:rsidP="00BA0589">
            <w:pPr>
              <w:pStyle w:val="Tabletext"/>
            </w:pPr>
            <w:r w:rsidRPr="000E079B">
              <w:t xml:space="preserve">an initial assessment made under regulation 16.3 </w:t>
            </w:r>
            <w:r w:rsidR="001D4570" w:rsidRPr="000E079B">
              <w:t>in relation to a</w:t>
            </w:r>
            <w:r w:rsidR="006146FD" w:rsidRPr="000E079B">
              <w:t>n application</w:t>
            </w:r>
            <w:r w:rsidR="009F11D1" w:rsidRPr="000E079B">
              <w:t xml:space="preserve"> under </w:t>
            </w:r>
            <w:r w:rsidR="006267CE" w:rsidRPr="000E079B">
              <w:t>section 2</w:t>
            </w:r>
            <w:r w:rsidR="009F11D1" w:rsidRPr="000E079B">
              <w:t>7 of the Act,</w:t>
            </w:r>
            <w:r w:rsidR="006146FD" w:rsidRPr="000E079B">
              <w:t xml:space="preserve"> </w:t>
            </w:r>
            <w:r w:rsidRPr="000E079B">
              <w:t>if the initial assessment:</w:t>
            </w:r>
          </w:p>
          <w:p w14:paraId="5FC04BC0" w14:textId="77777777" w:rsidR="00505833" w:rsidRPr="000E079B" w:rsidRDefault="00505833" w:rsidP="00BA0589">
            <w:pPr>
              <w:pStyle w:val="Tablea"/>
            </w:pPr>
            <w:r w:rsidRPr="000E079B">
              <w:t>(a)</w:t>
            </w:r>
            <w:r w:rsidR="00402A46" w:rsidRPr="000E079B">
              <w:t xml:space="preserve"> </w:t>
            </w:r>
            <w:r w:rsidRPr="000E079B">
              <w:t xml:space="preserve">is made after the commencement of this </w:t>
            </w:r>
            <w:r w:rsidR="006E0B1D" w:rsidRPr="000E079B">
              <w:t xml:space="preserve">regulation </w:t>
            </w:r>
            <w:r w:rsidR="00570FFB" w:rsidRPr="000E079B">
              <w:t>(whether the application is made before, on or after that commencement)</w:t>
            </w:r>
            <w:r w:rsidRPr="000E079B">
              <w:t>; or</w:t>
            </w:r>
          </w:p>
          <w:p w14:paraId="6F27010E" w14:textId="77777777" w:rsidR="00505833" w:rsidRPr="000E079B" w:rsidRDefault="00505833" w:rsidP="00BA0589">
            <w:pPr>
              <w:pStyle w:val="Tablea"/>
            </w:pPr>
            <w:r w:rsidRPr="000E079B">
              <w:t>(b)</w:t>
            </w:r>
            <w:r w:rsidR="00402A46" w:rsidRPr="000E079B">
              <w:t xml:space="preserve"> </w:t>
            </w:r>
            <w:r w:rsidRPr="000E079B">
              <w:t xml:space="preserve">was made before the commencement of this </w:t>
            </w:r>
            <w:r w:rsidR="006E0B1D" w:rsidRPr="000E079B">
              <w:t>regulation</w:t>
            </w:r>
            <w:r w:rsidRPr="000E079B">
              <w:t>, but has not been advertised as at that commencement</w:t>
            </w:r>
          </w:p>
        </w:tc>
      </w:tr>
      <w:tr w:rsidR="00505833" w:rsidRPr="000E079B" w14:paraId="68E0E7A3" w14:textId="77777777" w:rsidTr="00F22062">
        <w:tc>
          <w:tcPr>
            <w:tcW w:w="370" w:type="pct"/>
            <w:shd w:val="clear" w:color="auto" w:fill="auto"/>
          </w:tcPr>
          <w:p w14:paraId="79DE1249" w14:textId="77777777" w:rsidR="00505833" w:rsidRPr="000E079B" w:rsidRDefault="00505833" w:rsidP="00BA0589">
            <w:pPr>
              <w:pStyle w:val="Tabletext"/>
            </w:pPr>
            <w:r w:rsidRPr="000E079B">
              <w:t>10</w:t>
            </w:r>
          </w:p>
        </w:tc>
        <w:tc>
          <w:tcPr>
            <w:tcW w:w="1554" w:type="pct"/>
            <w:shd w:val="clear" w:color="auto" w:fill="auto"/>
          </w:tcPr>
          <w:p w14:paraId="57706990" w14:textId="77777777" w:rsidR="00505833" w:rsidRPr="000E079B" w:rsidRDefault="00505833" w:rsidP="00BA0589">
            <w:pPr>
              <w:pStyle w:val="Tabletext"/>
            </w:pPr>
            <w:r w:rsidRPr="000E079B">
              <w:t>item 30</w:t>
            </w:r>
          </w:p>
        </w:tc>
        <w:tc>
          <w:tcPr>
            <w:tcW w:w="3075" w:type="pct"/>
            <w:shd w:val="clear" w:color="auto" w:fill="auto"/>
          </w:tcPr>
          <w:p w14:paraId="0E8E9AA6" w14:textId="77777777" w:rsidR="00505833" w:rsidRPr="000E079B" w:rsidRDefault="00505833" w:rsidP="00BA0589">
            <w:pPr>
              <w:pStyle w:val="Tabletext"/>
            </w:pPr>
            <w:r w:rsidRPr="000E079B">
              <w:t>a decision made under section 175 of the Act in relation to an application</w:t>
            </w:r>
            <w:r w:rsidR="00702FA1" w:rsidRPr="000E079B">
              <w:t xml:space="preserve"> </w:t>
            </w:r>
            <w:r w:rsidRPr="000E079B">
              <w:t xml:space="preserve">made under </w:t>
            </w:r>
            <w:r w:rsidR="006267CE" w:rsidRPr="000E079B">
              <w:t>section 2</w:t>
            </w:r>
            <w:r w:rsidRPr="000E079B">
              <w:t>7 of the Act, if the decision:</w:t>
            </w:r>
          </w:p>
          <w:p w14:paraId="0FCF83E9" w14:textId="77777777" w:rsidR="00505833" w:rsidRPr="000E079B" w:rsidRDefault="00505833" w:rsidP="00BA0589">
            <w:pPr>
              <w:pStyle w:val="Tablea"/>
            </w:pPr>
            <w:r w:rsidRPr="000E079B">
              <w:t>(a)</w:t>
            </w:r>
            <w:r w:rsidR="00402A46" w:rsidRPr="000E079B">
              <w:t xml:space="preserve"> </w:t>
            </w:r>
            <w:r w:rsidRPr="000E079B">
              <w:t xml:space="preserve">is given after the commencement of this </w:t>
            </w:r>
            <w:r w:rsidR="006E0B1D" w:rsidRPr="000E079B">
              <w:t xml:space="preserve">regulation </w:t>
            </w:r>
            <w:r w:rsidRPr="000E079B">
              <w:t>(whether the application is made before, on or after that commencement); or</w:t>
            </w:r>
          </w:p>
          <w:p w14:paraId="27043E90" w14:textId="77777777" w:rsidR="00505833" w:rsidRPr="000E079B" w:rsidRDefault="00505833" w:rsidP="00BA0589">
            <w:pPr>
              <w:pStyle w:val="Tablea"/>
            </w:pPr>
            <w:r w:rsidRPr="000E079B">
              <w:t>(b)</w:t>
            </w:r>
            <w:r w:rsidR="00402A46" w:rsidRPr="000E079B">
              <w:t xml:space="preserve"> </w:t>
            </w:r>
            <w:r w:rsidRPr="000E079B">
              <w:t xml:space="preserve">was given before the commencement of this </w:t>
            </w:r>
            <w:r w:rsidR="006E0B1D" w:rsidRPr="000E079B">
              <w:t>regulation</w:t>
            </w:r>
            <w:r w:rsidRPr="000E079B">
              <w:t>, but has not been advertised as at that commencement</w:t>
            </w:r>
          </w:p>
        </w:tc>
      </w:tr>
      <w:tr w:rsidR="00505833" w:rsidRPr="000E079B" w14:paraId="51E43642" w14:textId="77777777" w:rsidTr="00F22062">
        <w:tc>
          <w:tcPr>
            <w:tcW w:w="370" w:type="pct"/>
            <w:shd w:val="clear" w:color="auto" w:fill="auto"/>
          </w:tcPr>
          <w:p w14:paraId="17234371" w14:textId="77777777" w:rsidR="00505833" w:rsidRPr="000E079B" w:rsidRDefault="00505833" w:rsidP="00BA0589">
            <w:pPr>
              <w:pStyle w:val="Tabletext"/>
              <w:rPr>
                <w:highlight w:val="yellow"/>
              </w:rPr>
            </w:pPr>
            <w:r w:rsidRPr="000E079B">
              <w:t>11</w:t>
            </w:r>
          </w:p>
        </w:tc>
        <w:tc>
          <w:tcPr>
            <w:tcW w:w="1554" w:type="pct"/>
            <w:shd w:val="clear" w:color="auto" w:fill="auto"/>
          </w:tcPr>
          <w:p w14:paraId="3EDEF6C1" w14:textId="77777777" w:rsidR="00505833" w:rsidRPr="000E079B" w:rsidRDefault="00505833" w:rsidP="00BA0589">
            <w:pPr>
              <w:pStyle w:val="Tabletext"/>
            </w:pPr>
            <w:r w:rsidRPr="000E079B">
              <w:t>item</w:t>
            </w:r>
            <w:r w:rsidR="00A543AC" w:rsidRPr="000E079B">
              <w:t>s</w:t>
            </w:r>
            <w:r w:rsidRPr="000E079B">
              <w:t> 31 and 34</w:t>
            </w:r>
          </w:p>
        </w:tc>
        <w:tc>
          <w:tcPr>
            <w:tcW w:w="3075" w:type="pct"/>
            <w:shd w:val="clear" w:color="auto" w:fill="auto"/>
          </w:tcPr>
          <w:p w14:paraId="0AAD2681" w14:textId="77777777" w:rsidR="00505833" w:rsidRPr="000E079B" w:rsidRDefault="00505833" w:rsidP="00BA0589">
            <w:pPr>
              <w:pStyle w:val="Tabletext"/>
            </w:pPr>
            <w:r w:rsidRPr="000E079B">
              <w:t xml:space="preserve">a decision made under section 176 of the Act in relation to an application made under </w:t>
            </w:r>
            <w:r w:rsidR="006267CE" w:rsidRPr="000E079B">
              <w:t>section 2</w:t>
            </w:r>
            <w:r w:rsidRPr="000E079B">
              <w:t>7 of the Act, if the decision:</w:t>
            </w:r>
          </w:p>
          <w:p w14:paraId="2FAAD4EB" w14:textId="77777777" w:rsidR="00505833" w:rsidRPr="000E079B" w:rsidRDefault="00505833" w:rsidP="00BA0589">
            <w:pPr>
              <w:pStyle w:val="Tablea"/>
            </w:pPr>
            <w:r w:rsidRPr="000E079B">
              <w:t>(a)</w:t>
            </w:r>
            <w:r w:rsidR="00402A46" w:rsidRPr="000E079B">
              <w:t xml:space="preserve"> </w:t>
            </w:r>
            <w:r w:rsidRPr="000E079B">
              <w:t xml:space="preserve">is made after the commencement of this </w:t>
            </w:r>
            <w:r w:rsidR="006E0B1D" w:rsidRPr="000E079B">
              <w:t xml:space="preserve">regulation </w:t>
            </w:r>
            <w:r w:rsidRPr="000E079B">
              <w:t>(whether the application is made before, on or after that commencement); or</w:t>
            </w:r>
          </w:p>
          <w:p w14:paraId="47B6FBBC" w14:textId="77777777" w:rsidR="00505833" w:rsidRPr="000E079B" w:rsidRDefault="00505833" w:rsidP="00BA0589">
            <w:pPr>
              <w:pStyle w:val="Tablea"/>
            </w:pPr>
            <w:r w:rsidRPr="000E079B">
              <w:t>(b)</w:t>
            </w:r>
            <w:r w:rsidR="00402A46" w:rsidRPr="000E079B">
              <w:t xml:space="preserve"> </w:t>
            </w:r>
            <w:r w:rsidRPr="000E079B">
              <w:t xml:space="preserve">was made before the commencement of this </w:t>
            </w:r>
            <w:r w:rsidR="006E0B1D" w:rsidRPr="000E079B">
              <w:t>regulation</w:t>
            </w:r>
            <w:r w:rsidRPr="000E079B">
              <w:t>, but has not been advertised as at that commencement</w:t>
            </w:r>
          </w:p>
        </w:tc>
      </w:tr>
      <w:tr w:rsidR="00505833" w:rsidRPr="000E079B" w14:paraId="4BAEEAFB" w14:textId="77777777" w:rsidTr="00F22062">
        <w:tc>
          <w:tcPr>
            <w:tcW w:w="370" w:type="pct"/>
            <w:shd w:val="clear" w:color="auto" w:fill="auto"/>
          </w:tcPr>
          <w:p w14:paraId="3B026F73" w14:textId="77777777" w:rsidR="00505833" w:rsidRPr="000E079B" w:rsidRDefault="00505833" w:rsidP="00BA0589">
            <w:pPr>
              <w:pStyle w:val="Tabletext"/>
            </w:pPr>
            <w:r w:rsidRPr="000E079B">
              <w:t>12</w:t>
            </w:r>
          </w:p>
        </w:tc>
        <w:tc>
          <w:tcPr>
            <w:tcW w:w="1554" w:type="pct"/>
            <w:shd w:val="clear" w:color="auto" w:fill="auto"/>
          </w:tcPr>
          <w:p w14:paraId="677A50B6" w14:textId="77777777" w:rsidR="00505833" w:rsidRPr="000E079B" w:rsidRDefault="00505833" w:rsidP="00BA0589">
            <w:pPr>
              <w:pStyle w:val="Tabletext"/>
            </w:pPr>
            <w:r w:rsidRPr="000E079B">
              <w:t>items 32 and 33</w:t>
            </w:r>
          </w:p>
        </w:tc>
        <w:tc>
          <w:tcPr>
            <w:tcW w:w="3075" w:type="pct"/>
            <w:shd w:val="clear" w:color="auto" w:fill="auto"/>
          </w:tcPr>
          <w:p w14:paraId="5A775053" w14:textId="77777777" w:rsidR="00505833" w:rsidRPr="000E079B" w:rsidRDefault="00505833" w:rsidP="00BA0589">
            <w:pPr>
              <w:pStyle w:val="Tabletext"/>
            </w:pPr>
            <w:r w:rsidRPr="000E079B">
              <w:t>a decision made under section 178 of the Act in relation to an application made under regulation 16.8, if the decision:</w:t>
            </w:r>
          </w:p>
          <w:p w14:paraId="2E5163CF" w14:textId="77777777" w:rsidR="00505833" w:rsidRPr="000E079B" w:rsidRDefault="00505833" w:rsidP="00BA0589">
            <w:pPr>
              <w:pStyle w:val="Tablea"/>
            </w:pPr>
            <w:r w:rsidRPr="000E079B">
              <w:t>(a)</w:t>
            </w:r>
            <w:r w:rsidR="00402A46" w:rsidRPr="000E079B">
              <w:t xml:space="preserve"> </w:t>
            </w:r>
            <w:r w:rsidRPr="000E079B">
              <w:t xml:space="preserve">is made after the commencement of this </w:t>
            </w:r>
            <w:r w:rsidR="006E0B1D" w:rsidRPr="000E079B">
              <w:t xml:space="preserve">regulation </w:t>
            </w:r>
            <w:r w:rsidRPr="000E079B">
              <w:t>(whether the application is made before, on or after that commencement); or</w:t>
            </w:r>
          </w:p>
          <w:p w14:paraId="036EC602" w14:textId="77777777" w:rsidR="00505833" w:rsidRPr="000E079B" w:rsidRDefault="00505833" w:rsidP="00BA0589">
            <w:pPr>
              <w:pStyle w:val="Tablea"/>
            </w:pPr>
            <w:r w:rsidRPr="000E079B">
              <w:t>(b)</w:t>
            </w:r>
            <w:r w:rsidR="00402A46" w:rsidRPr="000E079B">
              <w:t xml:space="preserve"> </w:t>
            </w:r>
            <w:r w:rsidRPr="000E079B">
              <w:t xml:space="preserve">was made before the commencement of this </w:t>
            </w:r>
            <w:r w:rsidR="006E0B1D" w:rsidRPr="000E079B">
              <w:t>regulation</w:t>
            </w:r>
            <w:r w:rsidRPr="000E079B">
              <w:t>, but has not been published as at that commencement</w:t>
            </w:r>
          </w:p>
        </w:tc>
      </w:tr>
      <w:tr w:rsidR="00505833" w:rsidRPr="000E079B" w14:paraId="35FA44C2" w14:textId="77777777" w:rsidTr="00F22062">
        <w:tc>
          <w:tcPr>
            <w:tcW w:w="370" w:type="pct"/>
            <w:shd w:val="clear" w:color="auto" w:fill="auto"/>
          </w:tcPr>
          <w:p w14:paraId="10797820" w14:textId="77777777" w:rsidR="00505833" w:rsidRPr="000E079B" w:rsidRDefault="00505833" w:rsidP="00BA0589">
            <w:pPr>
              <w:pStyle w:val="Tabletext"/>
            </w:pPr>
            <w:r w:rsidRPr="000E079B">
              <w:lastRenderedPageBreak/>
              <w:t>13</w:t>
            </w:r>
          </w:p>
        </w:tc>
        <w:tc>
          <w:tcPr>
            <w:tcW w:w="1554" w:type="pct"/>
            <w:shd w:val="clear" w:color="auto" w:fill="auto"/>
          </w:tcPr>
          <w:p w14:paraId="1F022E68" w14:textId="77777777" w:rsidR="00505833" w:rsidRPr="000E079B" w:rsidRDefault="00505833" w:rsidP="00BA0589">
            <w:pPr>
              <w:pStyle w:val="Tabletext"/>
            </w:pPr>
            <w:r w:rsidRPr="000E079B">
              <w:t>items 35 to 37</w:t>
            </w:r>
          </w:p>
        </w:tc>
        <w:tc>
          <w:tcPr>
            <w:tcW w:w="3075" w:type="pct"/>
            <w:shd w:val="clear" w:color="auto" w:fill="auto"/>
          </w:tcPr>
          <w:p w14:paraId="31BB09E6" w14:textId="77777777" w:rsidR="00505833" w:rsidRPr="000E079B" w:rsidRDefault="00505833" w:rsidP="00BA0589">
            <w:pPr>
              <w:pStyle w:val="Tabletext"/>
            </w:pPr>
            <w:r w:rsidRPr="000E079B">
              <w:t>a decision made under regulation 17A.24, if the decision:</w:t>
            </w:r>
          </w:p>
          <w:p w14:paraId="6F778648" w14:textId="77777777" w:rsidR="00505833" w:rsidRPr="000E079B" w:rsidRDefault="00505833" w:rsidP="00BA0589">
            <w:pPr>
              <w:pStyle w:val="Tablea"/>
            </w:pPr>
            <w:r w:rsidRPr="000E079B">
              <w:t>(a)</w:t>
            </w:r>
            <w:r w:rsidR="00402A46" w:rsidRPr="000E079B">
              <w:t xml:space="preserve"> </w:t>
            </w:r>
            <w:r w:rsidRPr="000E079B">
              <w:t xml:space="preserve">is made after the commencement of this </w:t>
            </w:r>
            <w:r w:rsidR="006E0B1D" w:rsidRPr="000E079B">
              <w:t xml:space="preserve">regulation </w:t>
            </w:r>
            <w:r w:rsidRPr="000E079B">
              <w:t>(whether the application is made before, on or after that commencement); or</w:t>
            </w:r>
          </w:p>
          <w:p w14:paraId="57676E2B" w14:textId="77777777" w:rsidR="00505833" w:rsidRPr="000E079B" w:rsidRDefault="00505833" w:rsidP="00BA0589">
            <w:pPr>
              <w:pStyle w:val="Tablea"/>
            </w:pPr>
            <w:r w:rsidRPr="000E079B">
              <w:t>(b)</w:t>
            </w:r>
            <w:r w:rsidR="00402A46" w:rsidRPr="000E079B">
              <w:t xml:space="preserve"> </w:t>
            </w:r>
            <w:r w:rsidRPr="000E079B">
              <w:t xml:space="preserve">was made before the commencement of this </w:t>
            </w:r>
            <w:r w:rsidR="006E0B1D" w:rsidRPr="000E079B">
              <w:t>regulation</w:t>
            </w:r>
            <w:r w:rsidRPr="000E079B">
              <w:t>, but the decision has not been notified as at that commencement</w:t>
            </w:r>
          </w:p>
        </w:tc>
      </w:tr>
      <w:tr w:rsidR="00505833" w:rsidRPr="000E079B" w14:paraId="7F5F3E44" w14:textId="77777777" w:rsidTr="00F22062">
        <w:tc>
          <w:tcPr>
            <w:tcW w:w="370" w:type="pct"/>
            <w:shd w:val="clear" w:color="auto" w:fill="auto"/>
          </w:tcPr>
          <w:p w14:paraId="5D2C97D9" w14:textId="77777777" w:rsidR="00505833" w:rsidRPr="000E079B" w:rsidRDefault="00505833" w:rsidP="00BA0589">
            <w:pPr>
              <w:pStyle w:val="Tabletext"/>
            </w:pPr>
            <w:r w:rsidRPr="000E079B">
              <w:t>14</w:t>
            </w:r>
          </w:p>
        </w:tc>
        <w:tc>
          <w:tcPr>
            <w:tcW w:w="1554" w:type="pct"/>
            <w:shd w:val="clear" w:color="auto" w:fill="auto"/>
          </w:tcPr>
          <w:p w14:paraId="12CA43B7" w14:textId="77777777" w:rsidR="00505833" w:rsidRPr="000E079B" w:rsidRDefault="00505833" w:rsidP="00BA0589">
            <w:pPr>
              <w:pStyle w:val="Tabletext"/>
            </w:pPr>
            <w:r w:rsidRPr="000E079B">
              <w:t>item 38</w:t>
            </w:r>
          </w:p>
        </w:tc>
        <w:tc>
          <w:tcPr>
            <w:tcW w:w="3075" w:type="pct"/>
            <w:shd w:val="clear" w:color="auto" w:fill="auto"/>
          </w:tcPr>
          <w:p w14:paraId="74947BD3" w14:textId="77777777" w:rsidR="00A75693" w:rsidRPr="000E079B" w:rsidRDefault="00505833" w:rsidP="00F9734C">
            <w:pPr>
              <w:pStyle w:val="Tabletext"/>
            </w:pPr>
            <w:r w:rsidRPr="000E079B">
              <w:t>a trade mark that becomes a protected international trade mark under regulation 17A.36 if the trade mar</w:t>
            </w:r>
            <w:r w:rsidR="00F9734C" w:rsidRPr="000E079B">
              <w:t xml:space="preserve">k </w:t>
            </w:r>
            <w:r w:rsidRPr="000E079B">
              <w:t xml:space="preserve">becomes protected after the commencement of this </w:t>
            </w:r>
            <w:r w:rsidR="006E0B1D" w:rsidRPr="000E079B">
              <w:t>regulation</w:t>
            </w:r>
          </w:p>
        </w:tc>
      </w:tr>
      <w:tr w:rsidR="00505833" w:rsidRPr="000E079B" w14:paraId="2CE5406F" w14:textId="77777777" w:rsidTr="00F22062">
        <w:tc>
          <w:tcPr>
            <w:tcW w:w="370" w:type="pct"/>
            <w:shd w:val="clear" w:color="auto" w:fill="auto"/>
          </w:tcPr>
          <w:p w14:paraId="03E4B736" w14:textId="77777777" w:rsidR="00505833" w:rsidRPr="000E079B" w:rsidRDefault="00505833" w:rsidP="00BA0589">
            <w:pPr>
              <w:pStyle w:val="Tabletext"/>
            </w:pPr>
            <w:r w:rsidRPr="000E079B">
              <w:t>15</w:t>
            </w:r>
          </w:p>
        </w:tc>
        <w:tc>
          <w:tcPr>
            <w:tcW w:w="1554" w:type="pct"/>
            <w:shd w:val="clear" w:color="auto" w:fill="auto"/>
          </w:tcPr>
          <w:p w14:paraId="78553382" w14:textId="77777777" w:rsidR="00505833" w:rsidRPr="000E079B" w:rsidRDefault="00505833" w:rsidP="00BA0589">
            <w:pPr>
              <w:pStyle w:val="Tabletext"/>
            </w:pPr>
            <w:r w:rsidRPr="000E079B">
              <w:t>item 42</w:t>
            </w:r>
          </w:p>
        </w:tc>
        <w:tc>
          <w:tcPr>
            <w:tcW w:w="3075" w:type="pct"/>
            <w:shd w:val="clear" w:color="auto" w:fill="auto"/>
          </w:tcPr>
          <w:p w14:paraId="77A5F876" w14:textId="77777777" w:rsidR="00505833" w:rsidRPr="000E079B" w:rsidRDefault="00505833" w:rsidP="00BA0589">
            <w:pPr>
              <w:pStyle w:val="Tabletext"/>
            </w:pPr>
            <w:r w:rsidRPr="000E079B">
              <w:t>a decision made under regulation 20A.18 in relation to an application made under 20A.10, if the decision:</w:t>
            </w:r>
          </w:p>
          <w:p w14:paraId="3539B8FC" w14:textId="77777777" w:rsidR="00505833" w:rsidRPr="000E079B" w:rsidRDefault="00505833" w:rsidP="00BA0589">
            <w:pPr>
              <w:pStyle w:val="Tablea"/>
            </w:pPr>
            <w:r w:rsidRPr="000E079B">
              <w:t>(a)</w:t>
            </w:r>
            <w:r w:rsidR="00402A46" w:rsidRPr="000E079B">
              <w:t xml:space="preserve"> </w:t>
            </w:r>
            <w:r w:rsidRPr="000E079B">
              <w:t xml:space="preserve">is made after the commencement of this </w:t>
            </w:r>
            <w:r w:rsidR="006E0B1D" w:rsidRPr="000E079B">
              <w:t xml:space="preserve">regulation </w:t>
            </w:r>
            <w:r w:rsidRPr="000E079B">
              <w:t>(whether the application is made before, on or after that commencement); or</w:t>
            </w:r>
          </w:p>
          <w:p w14:paraId="027A679A" w14:textId="77777777" w:rsidR="00505833" w:rsidRPr="000E079B" w:rsidRDefault="00505833" w:rsidP="00BA0589">
            <w:pPr>
              <w:pStyle w:val="Tablea"/>
            </w:pPr>
            <w:r w:rsidRPr="000E079B">
              <w:t>(b)</w:t>
            </w:r>
            <w:r w:rsidR="00402A46" w:rsidRPr="000E079B">
              <w:t xml:space="preserve"> </w:t>
            </w:r>
            <w:r w:rsidRPr="000E079B">
              <w:t xml:space="preserve">was made before the commencement of this </w:t>
            </w:r>
            <w:r w:rsidR="006E0B1D" w:rsidRPr="000E079B">
              <w:t>regulation</w:t>
            </w:r>
            <w:r w:rsidRPr="000E079B">
              <w:t>, but has not been published as at that commencement</w:t>
            </w:r>
          </w:p>
        </w:tc>
      </w:tr>
      <w:tr w:rsidR="00505833" w:rsidRPr="000E079B" w14:paraId="382D1B2D" w14:textId="77777777" w:rsidTr="00F22062">
        <w:tc>
          <w:tcPr>
            <w:tcW w:w="370" w:type="pct"/>
            <w:shd w:val="clear" w:color="auto" w:fill="auto"/>
          </w:tcPr>
          <w:p w14:paraId="71E5B2B9" w14:textId="77777777" w:rsidR="00505833" w:rsidRPr="000E079B" w:rsidRDefault="00505833" w:rsidP="00BA0589">
            <w:pPr>
              <w:pStyle w:val="Tabletext"/>
            </w:pPr>
            <w:r w:rsidRPr="000E079B">
              <w:t>16</w:t>
            </w:r>
          </w:p>
        </w:tc>
        <w:tc>
          <w:tcPr>
            <w:tcW w:w="1554" w:type="pct"/>
            <w:shd w:val="clear" w:color="auto" w:fill="auto"/>
          </w:tcPr>
          <w:p w14:paraId="1406503B" w14:textId="77777777" w:rsidR="00505833" w:rsidRPr="000E079B" w:rsidRDefault="00505833" w:rsidP="00BA0589">
            <w:pPr>
              <w:pStyle w:val="Tabletext"/>
            </w:pPr>
            <w:r w:rsidRPr="000E079B">
              <w:t>item 43 (new regulation 21.3A)</w:t>
            </w:r>
          </w:p>
        </w:tc>
        <w:tc>
          <w:tcPr>
            <w:tcW w:w="3075" w:type="pct"/>
            <w:shd w:val="clear" w:color="auto" w:fill="auto"/>
          </w:tcPr>
          <w:p w14:paraId="5140A5FF" w14:textId="77777777" w:rsidR="00505833" w:rsidRPr="000E079B" w:rsidRDefault="00505833" w:rsidP="00BA0589">
            <w:pPr>
              <w:pStyle w:val="Tabletext"/>
            </w:pPr>
            <w:r w:rsidRPr="000E079B">
              <w:t xml:space="preserve">a determination made under </w:t>
            </w:r>
            <w:r w:rsidR="006267CE" w:rsidRPr="000E079B">
              <w:t>section 2</w:t>
            </w:r>
            <w:r w:rsidRPr="000E079B">
              <w:t xml:space="preserve">13A of the Act if the determination is made after the commencement of this </w:t>
            </w:r>
            <w:r w:rsidR="006E0B1D" w:rsidRPr="000E079B">
              <w:t>regulation</w:t>
            </w:r>
          </w:p>
        </w:tc>
      </w:tr>
      <w:tr w:rsidR="00505833" w:rsidRPr="000E079B" w14:paraId="566B28DD" w14:textId="77777777" w:rsidTr="00F22062">
        <w:tc>
          <w:tcPr>
            <w:tcW w:w="370" w:type="pct"/>
            <w:shd w:val="clear" w:color="auto" w:fill="auto"/>
          </w:tcPr>
          <w:p w14:paraId="35786AA2" w14:textId="77777777" w:rsidR="00505833" w:rsidRPr="000E079B" w:rsidRDefault="00505833" w:rsidP="00BA0589">
            <w:pPr>
              <w:pStyle w:val="Tabletext"/>
            </w:pPr>
            <w:r w:rsidRPr="000E079B">
              <w:t>17</w:t>
            </w:r>
          </w:p>
        </w:tc>
        <w:tc>
          <w:tcPr>
            <w:tcW w:w="1554" w:type="pct"/>
            <w:shd w:val="clear" w:color="auto" w:fill="auto"/>
          </w:tcPr>
          <w:p w14:paraId="679FA829" w14:textId="77777777" w:rsidR="00505833" w:rsidRPr="000E079B" w:rsidRDefault="00505833" w:rsidP="00BA0589">
            <w:pPr>
              <w:pStyle w:val="Tabletext"/>
            </w:pPr>
            <w:r w:rsidRPr="000E079B">
              <w:t>item 43 (new regulation 21.3B)</w:t>
            </w:r>
          </w:p>
        </w:tc>
        <w:tc>
          <w:tcPr>
            <w:tcW w:w="3075" w:type="pct"/>
            <w:shd w:val="clear" w:color="auto" w:fill="auto"/>
          </w:tcPr>
          <w:p w14:paraId="73030887" w14:textId="77777777" w:rsidR="00505833" w:rsidRPr="000E079B" w:rsidRDefault="00505833" w:rsidP="00BA0589">
            <w:pPr>
              <w:pStyle w:val="Tabletext"/>
            </w:pPr>
            <w:r w:rsidRPr="000E079B">
              <w:t xml:space="preserve">a direction </w:t>
            </w:r>
            <w:r w:rsidR="00962E7E" w:rsidRPr="000E079B">
              <w:t>given</w:t>
            </w:r>
            <w:r w:rsidRPr="000E079B">
              <w:t xml:space="preserve"> under </w:t>
            </w:r>
            <w:r w:rsidR="006267CE" w:rsidRPr="000E079B">
              <w:t>section 2</w:t>
            </w:r>
            <w:r w:rsidRPr="000E079B">
              <w:t xml:space="preserve">13B of the Act if the direction is </w:t>
            </w:r>
            <w:r w:rsidR="00C26A15" w:rsidRPr="000E079B">
              <w:t>given</w:t>
            </w:r>
            <w:r w:rsidRPr="000E079B">
              <w:t xml:space="preserve"> after the commencement of this </w:t>
            </w:r>
            <w:r w:rsidR="006E0B1D" w:rsidRPr="000E079B">
              <w:t>regulation</w:t>
            </w:r>
          </w:p>
        </w:tc>
      </w:tr>
      <w:tr w:rsidR="00505833" w:rsidRPr="000E079B" w14:paraId="30122737" w14:textId="77777777" w:rsidTr="00F22062">
        <w:tc>
          <w:tcPr>
            <w:tcW w:w="370" w:type="pct"/>
            <w:shd w:val="clear" w:color="auto" w:fill="auto"/>
          </w:tcPr>
          <w:p w14:paraId="680B9002" w14:textId="77777777" w:rsidR="00505833" w:rsidRPr="000E079B" w:rsidRDefault="00505833" w:rsidP="00BA0589">
            <w:pPr>
              <w:pStyle w:val="Tabletext"/>
            </w:pPr>
            <w:r w:rsidRPr="000E079B">
              <w:t>18</w:t>
            </w:r>
          </w:p>
        </w:tc>
        <w:tc>
          <w:tcPr>
            <w:tcW w:w="1554" w:type="pct"/>
            <w:shd w:val="clear" w:color="auto" w:fill="auto"/>
          </w:tcPr>
          <w:p w14:paraId="1EA081E2" w14:textId="77777777" w:rsidR="00505833" w:rsidRPr="000E079B" w:rsidRDefault="00505833" w:rsidP="00BA0589">
            <w:pPr>
              <w:pStyle w:val="Tabletext"/>
            </w:pPr>
            <w:r w:rsidRPr="000E079B">
              <w:t>item 43 (new regulation 21.3C)</w:t>
            </w:r>
          </w:p>
        </w:tc>
        <w:tc>
          <w:tcPr>
            <w:tcW w:w="3075" w:type="pct"/>
            <w:shd w:val="clear" w:color="auto" w:fill="auto"/>
          </w:tcPr>
          <w:p w14:paraId="0EA376D3" w14:textId="77777777" w:rsidR="00505833" w:rsidRPr="000E079B" w:rsidRDefault="00505833" w:rsidP="00BA0589">
            <w:pPr>
              <w:pStyle w:val="Tabletext"/>
            </w:pPr>
            <w:r w:rsidRPr="000E079B">
              <w:t xml:space="preserve">a direction </w:t>
            </w:r>
            <w:r w:rsidR="00962E7E" w:rsidRPr="000E079B">
              <w:t>given</w:t>
            </w:r>
            <w:r w:rsidRPr="000E079B">
              <w:t xml:space="preserve"> under </w:t>
            </w:r>
            <w:r w:rsidR="006267CE" w:rsidRPr="000E079B">
              <w:t>section 2</w:t>
            </w:r>
            <w:r w:rsidRPr="000E079B">
              <w:t xml:space="preserve">13C of the Act if the direction is </w:t>
            </w:r>
            <w:r w:rsidR="00962E7E" w:rsidRPr="000E079B">
              <w:t>given</w:t>
            </w:r>
            <w:r w:rsidRPr="000E079B">
              <w:t xml:space="preserve"> after the commencement of this </w:t>
            </w:r>
            <w:r w:rsidR="006E0B1D" w:rsidRPr="000E079B">
              <w:t>regulation</w:t>
            </w:r>
          </w:p>
        </w:tc>
      </w:tr>
      <w:tr w:rsidR="00505833" w:rsidRPr="000E079B" w14:paraId="3B343917" w14:textId="77777777" w:rsidTr="00F22062">
        <w:tc>
          <w:tcPr>
            <w:tcW w:w="370" w:type="pct"/>
            <w:shd w:val="clear" w:color="auto" w:fill="auto"/>
          </w:tcPr>
          <w:p w14:paraId="4377230D" w14:textId="77777777" w:rsidR="00505833" w:rsidRPr="000E079B" w:rsidRDefault="00505833" w:rsidP="00BA0589">
            <w:pPr>
              <w:pStyle w:val="Tabletext"/>
            </w:pPr>
            <w:r w:rsidRPr="000E079B">
              <w:t>19</w:t>
            </w:r>
          </w:p>
        </w:tc>
        <w:tc>
          <w:tcPr>
            <w:tcW w:w="1554" w:type="pct"/>
            <w:shd w:val="clear" w:color="auto" w:fill="auto"/>
          </w:tcPr>
          <w:p w14:paraId="4C887ACB" w14:textId="77777777" w:rsidR="00505833" w:rsidRPr="000E079B" w:rsidRDefault="00505833" w:rsidP="00BA0589">
            <w:pPr>
              <w:pStyle w:val="Tabletext"/>
            </w:pPr>
            <w:r w:rsidRPr="000E079B">
              <w:t>item 44</w:t>
            </w:r>
          </w:p>
        </w:tc>
        <w:tc>
          <w:tcPr>
            <w:tcW w:w="3075" w:type="pct"/>
            <w:shd w:val="clear" w:color="auto" w:fill="auto"/>
          </w:tcPr>
          <w:p w14:paraId="2ADBAC1E" w14:textId="77777777" w:rsidR="00505833" w:rsidRPr="000E079B" w:rsidRDefault="00505833" w:rsidP="00BA0589">
            <w:pPr>
              <w:pStyle w:val="Tabletext"/>
            </w:pPr>
            <w:r w:rsidRPr="000E079B">
              <w:t>an application, notice or request withdrawn in accordance with regulation 21.9, if the application, notice or request:</w:t>
            </w:r>
          </w:p>
          <w:p w14:paraId="4866C3BB" w14:textId="77777777" w:rsidR="00505833" w:rsidRPr="000E079B" w:rsidRDefault="00505833" w:rsidP="00BA0589">
            <w:pPr>
              <w:pStyle w:val="Tablea"/>
            </w:pPr>
            <w:r w:rsidRPr="000E079B">
              <w:t>(a)</w:t>
            </w:r>
            <w:r w:rsidR="00402A46" w:rsidRPr="000E079B">
              <w:t xml:space="preserve"> </w:t>
            </w:r>
            <w:r w:rsidRPr="000E079B">
              <w:t xml:space="preserve">is withdrawn after the commencement of this </w:t>
            </w:r>
            <w:r w:rsidR="00C9184A" w:rsidRPr="000E079B">
              <w:t>regulation</w:t>
            </w:r>
            <w:r w:rsidRPr="000E079B">
              <w:t>; or</w:t>
            </w:r>
          </w:p>
          <w:p w14:paraId="296FA5B1" w14:textId="77777777" w:rsidR="00505833" w:rsidRPr="000E079B" w:rsidRDefault="00505833" w:rsidP="00BA0589">
            <w:pPr>
              <w:pStyle w:val="Tablea"/>
            </w:pPr>
            <w:r w:rsidRPr="000E079B">
              <w:t>(b)</w:t>
            </w:r>
            <w:r w:rsidR="00402A46" w:rsidRPr="000E079B">
              <w:t xml:space="preserve"> </w:t>
            </w:r>
            <w:r w:rsidRPr="000E079B">
              <w:t xml:space="preserve">was withdrawn before the commencement of this </w:t>
            </w:r>
            <w:r w:rsidR="00C9184A" w:rsidRPr="000E079B">
              <w:t>regulation</w:t>
            </w:r>
            <w:r w:rsidRPr="000E079B">
              <w:t xml:space="preserve">, but </w:t>
            </w:r>
            <w:r w:rsidR="000F41A3" w:rsidRPr="000E079B">
              <w:t xml:space="preserve">the withdrawal </w:t>
            </w:r>
            <w:r w:rsidRPr="000E079B">
              <w:t>has not been advertised as at that commencement</w:t>
            </w:r>
          </w:p>
        </w:tc>
      </w:tr>
      <w:tr w:rsidR="00505833" w:rsidRPr="000E079B" w14:paraId="4981FBA4" w14:textId="77777777" w:rsidTr="00F22062">
        <w:tc>
          <w:tcPr>
            <w:tcW w:w="370" w:type="pct"/>
            <w:shd w:val="clear" w:color="auto" w:fill="auto"/>
          </w:tcPr>
          <w:p w14:paraId="5D7EED43" w14:textId="77777777" w:rsidR="00505833" w:rsidRPr="000E079B" w:rsidRDefault="00505833" w:rsidP="00BA0589">
            <w:pPr>
              <w:pStyle w:val="Tabletext"/>
            </w:pPr>
            <w:r w:rsidRPr="000E079B">
              <w:t>20</w:t>
            </w:r>
          </w:p>
        </w:tc>
        <w:tc>
          <w:tcPr>
            <w:tcW w:w="1554" w:type="pct"/>
            <w:shd w:val="clear" w:color="auto" w:fill="auto"/>
          </w:tcPr>
          <w:p w14:paraId="69610F3C" w14:textId="77777777" w:rsidR="00505833" w:rsidRPr="000E079B" w:rsidRDefault="00505833" w:rsidP="00BA0589">
            <w:pPr>
              <w:pStyle w:val="Tabletext"/>
            </w:pPr>
            <w:r w:rsidRPr="000E079B">
              <w:t>item</w:t>
            </w:r>
            <w:r w:rsidR="00FA17B3" w:rsidRPr="000E079B">
              <w:t>s</w:t>
            </w:r>
            <w:r w:rsidRPr="000E079B">
              <w:t> 45 and 46</w:t>
            </w:r>
          </w:p>
        </w:tc>
        <w:tc>
          <w:tcPr>
            <w:tcW w:w="3075" w:type="pct"/>
            <w:shd w:val="clear" w:color="auto" w:fill="auto"/>
          </w:tcPr>
          <w:p w14:paraId="4B926037" w14:textId="77777777" w:rsidR="00505833" w:rsidRPr="000E079B" w:rsidRDefault="00505833" w:rsidP="00BA0589">
            <w:pPr>
              <w:pStyle w:val="Tabletext"/>
            </w:pPr>
            <w:r w:rsidRPr="000E079B">
              <w:t xml:space="preserve">an application made under </w:t>
            </w:r>
            <w:r w:rsidR="006267CE" w:rsidRPr="000E079B">
              <w:t>section 2</w:t>
            </w:r>
            <w:r w:rsidRPr="000E079B">
              <w:t xml:space="preserve">24 of the Act if the application is made after the commencement of this </w:t>
            </w:r>
            <w:r w:rsidR="00C9184A" w:rsidRPr="000E079B">
              <w:t>regulation</w:t>
            </w:r>
          </w:p>
        </w:tc>
      </w:tr>
      <w:tr w:rsidR="00505833" w:rsidRPr="000E079B" w14:paraId="53700709" w14:textId="77777777" w:rsidTr="00F22062">
        <w:tc>
          <w:tcPr>
            <w:tcW w:w="370" w:type="pct"/>
            <w:tcBorders>
              <w:bottom w:val="single" w:sz="2" w:space="0" w:color="auto"/>
            </w:tcBorders>
            <w:shd w:val="clear" w:color="auto" w:fill="auto"/>
          </w:tcPr>
          <w:p w14:paraId="1A9F9E5E" w14:textId="77777777" w:rsidR="00505833" w:rsidRPr="000E079B" w:rsidRDefault="00505833" w:rsidP="00BA0589">
            <w:pPr>
              <w:pStyle w:val="Tabletext"/>
            </w:pPr>
            <w:r w:rsidRPr="000E079B">
              <w:t>21</w:t>
            </w:r>
          </w:p>
        </w:tc>
        <w:tc>
          <w:tcPr>
            <w:tcW w:w="1554" w:type="pct"/>
            <w:tcBorders>
              <w:bottom w:val="single" w:sz="2" w:space="0" w:color="auto"/>
            </w:tcBorders>
            <w:shd w:val="clear" w:color="auto" w:fill="auto"/>
          </w:tcPr>
          <w:p w14:paraId="788B432D" w14:textId="77777777" w:rsidR="00505833" w:rsidRPr="000E079B" w:rsidRDefault="00505833" w:rsidP="00BA0589">
            <w:pPr>
              <w:pStyle w:val="Tabletext"/>
            </w:pPr>
            <w:r w:rsidRPr="000E079B">
              <w:t>item 47</w:t>
            </w:r>
          </w:p>
        </w:tc>
        <w:tc>
          <w:tcPr>
            <w:tcW w:w="3075" w:type="pct"/>
            <w:tcBorders>
              <w:bottom w:val="single" w:sz="2" w:space="0" w:color="auto"/>
            </w:tcBorders>
            <w:shd w:val="clear" w:color="auto" w:fill="auto"/>
          </w:tcPr>
          <w:p w14:paraId="119D1D0C" w14:textId="77777777" w:rsidR="00505833" w:rsidRPr="000E079B" w:rsidRDefault="00505833" w:rsidP="00BA0589">
            <w:pPr>
              <w:pStyle w:val="Tabletext"/>
            </w:pPr>
            <w:r w:rsidRPr="000E079B">
              <w:t xml:space="preserve">a determination made under </w:t>
            </w:r>
            <w:r w:rsidR="006267CE" w:rsidRPr="000E079B">
              <w:t>section 2</w:t>
            </w:r>
            <w:r w:rsidRPr="000E079B">
              <w:t xml:space="preserve">23AA of the Act if the determination is made after the commencement of this </w:t>
            </w:r>
            <w:r w:rsidR="00C9184A" w:rsidRPr="000E079B">
              <w:t>regulation</w:t>
            </w:r>
          </w:p>
        </w:tc>
      </w:tr>
      <w:tr w:rsidR="00505833" w:rsidRPr="000E079B" w14:paraId="49056E8D" w14:textId="77777777" w:rsidTr="00F22062">
        <w:tc>
          <w:tcPr>
            <w:tcW w:w="370" w:type="pct"/>
            <w:tcBorders>
              <w:top w:val="single" w:sz="2" w:space="0" w:color="auto"/>
              <w:bottom w:val="single" w:sz="12" w:space="0" w:color="auto"/>
            </w:tcBorders>
            <w:shd w:val="clear" w:color="auto" w:fill="auto"/>
          </w:tcPr>
          <w:p w14:paraId="0BCACE85" w14:textId="77777777" w:rsidR="00505833" w:rsidRPr="000E079B" w:rsidRDefault="00505833" w:rsidP="00BA0589">
            <w:pPr>
              <w:pStyle w:val="Tabletext"/>
            </w:pPr>
            <w:r w:rsidRPr="000E079B">
              <w:t>22</w:t>
            </w:r>
          </w:p>
        </w:tc>
        <w:tc>
          <w:tcPr>
            <w:tcW w:w="1554" w:type="pct"/>
            <w:tcBorders>
              <w:top w:val="single" w:sz="2" w:space="0" w:color="auto"/>
              <w:bottom w:val="single" w:sz="12" w:space="0" w:color="auto"/>
            </w:tcBorders>
            <w:shd w:val="clear" w:color="auto" w:fill="auto"/>
          </w:tcPr>
          <w:p w14:paraId="7E618D85" w14:textId="77777777" w:rsidR="00505833" w:rsidRPr="000E079B" w:rsidRDefault="00505833" w:rsidP="00BA0589">
            <w:pPr>
              <w:pStyle w:val="Tabletext"/>
            </w:pPr>
            <w:r w:rsidRPr="000E079B">
              <w:t>item 48</w:t>
            </w:r>
          </w:p>
        </w:tc>
        <w:tc>
          <w:tcPr>
            <w:tcW w:w="3075" w:type="pct"/>
            <w:tcBorders>
              <w:top w:val="single" w:sz="2" w:space="0" w:color="auto"/>
              <w:bottom w:val="single" w:sz="12" w:space="0" w:color="auto"/>
            </w:tcBorders>
            <w:shd w:val="clear" w:color="auto" w:fill="auto"/>
          </w:tcPr>
          <w:p w14:paraId="7F7F12E9" w14:textId="77777777" w:rsidR="00505833" w:rsidRPr="000E079B" w:rsidRDefault="00505833" w:rsidP="00BA0589">
            <w:pPr>
              <w:pStyle w:val="Tabletext"/>
            </w:pPr>
            <w:r w:rsidRPr="000E079B">
              <w:t xml:space="preserve">a declaration made under </w:t>
            </w:r>
            <w:r w:rsidR="006267CE" w:rsidRPr="000E079B">
              <w:t>section 2</w:t>
            </w:r>
            <w:r w:rsidRPr="000E079B">
              <w:t xml:space="preserve">23A of the Act if the declaration is made after the commencement of this </w:t>
            </w:r>
            <w:r w:rsidR="00C9184A" w:rsidRPr="000E079B">
              <w:t>regulation</w:t>
            </w:r>
          </w:p>
        </w:tc>
      </w:tr>
    </w:tbl>
    <w:p w14:paraId="706F0571" w14:textId="77777777" w:rsidR="00505833" w:rsidRPr="000E079B" w:rsidRDefault="00505833" w:rsidP="00505833">
      <w:pPr>
        <w:pStyle w:val="ActHead5"/>
      </w:pPr>
      <w:bookmarkStart w:id="44" w:name="_Toc161993741"/>
      <w:r w:rsidRPr="00B16D05">
        <w:rPr>
          <w:rStyle w:val="CharSectno"/>
        </w:rPr>
        <w:t>22.29</w:t>
      </w:r>
      <w:r w:rsidRPr="000E079B">
        <w:t xml:space="preserve">  Amendments made by Part 4 of Schedule 1</w:t>
      </w:r>
      <w:bookmarkEnd w:id="44"/>
    </w:p>
    <w:p w14:paraId="6E30A14E" w14:textId="77777777" w:rsidR="00982EBA" w:rsidRPr="000E079B" w:rsidRDefault="00505833" w:rsidP="00505833">
      <w:pPr>
        <w:pStyle w:val="subsection"/>
      </w:pPr>
      <w:r w:rsidRPr="000E079B">
        <w:tab/>
        <w:t>(1)</w:t>
      </w:r>
      <w:r w:rsidRPr="000E079B">
        <w:tab/>
        <w:t>The amendments of regulations 3A.5 and 4.2A</w:t>
      </w:r>
      <w:r w:rsidR="00533A7B" w:rsidRPr="000E079B">
        <w:t>,</w:t>
      </w:r>
      <w:r w:rsidRPr="000E079B">
        <w:t xml:space="preserve"> made by Part 4 of Schedule 1 </w:t>
      </w:r>
      <w:r w:rsidR="009B0AB1" w:rsidRPr="000E079B">
        <w:t>to</w:t>
      </w:r>
      <w:r w:rsidRPr="000E079B">
        <w:t xml:space="preserve"> the </w:t>
      </w:r>
      <w:r w:rsidRPr="000E079B">
        <w:rPr>
          <w:i/>
        </w:rPr>
        <w:t xml:space="preserve">Intellectual Property Laws Amendment (Regulator Performance) </w:t>
      </w:r>
      <w:r w:rsidR="002C2002" w:rsidRPr="000E079B">
        <w:rPr>
          <w:i/>
        </w:rPr>
        <w:t>Regulations 2</w:t>
      </w:r>
      <w:r w:rsidRPr="000E079B">
        <w:rPr>
          <w:i/>
        </w:rPr>
        <w:t>024</w:t>
      </w:r>
      <w:r w:rsidR="007B45DD" w:rsidRPr="000E079B">
        <w:t>,</w:t>
      </w:r>
      <w:r w:rsidRPr="000E079B">
        <w:t xml:space="preserve"> apply in relation to</w:t>
      </w:r>
      <w:r w:rsidR="00EC33AB" w:rsidRPr="000E079B">
        <w:t xml:space="preserve"> an opinion formed </w:t>
      </w:r>
      <w:r w:rsidR="000937C5" w:rsidRPr="000E079B">
        <w:t xml:space="preserve">under </w:t>
      </w:r>
      <w:r w:rsidR="00D94FA4" w:rsidRPr="000E079B">
        <w:t>subregulation 3</w:t>
      </w:r>
      <w:r w:rsidR="000937C5" w:rsidRPr="000E079B">
        <w:t>A.4(</w:t>
      </w:r>
      <w:r w:rsidR="00E24401" w:rsidRPr="000E079B">
        <w:t>1</w:t>
      </w:r>
      <w:r w:rsidR="000937C5" w:rsidRPr="000E079B">
        <w:t xml:space="preserve">) </w:t>
      </w:r>
      <w:r w:rsidR="00EC33AB" w:rsidRPr="000E079B">
        <w:t>in relation to an AFS request</w:t>
      </w:r>
      <w:r w:rsidR="009156CA" w:rsidRPr="000E079B">
        <w:t>, if the opinion:</w:t>
      </w:r>
    </w:p>
    <w:p w14:paraId="5AA924D8" w14:textId="77777777" w:rsidR="00982EBA" w:rsidRPr="000E079B" w:rsidRDefault="00982EBA" w:rsidP="00982EBA">
      <w:pPr>
        <w:pStyle w:val="paragraph"/>
      </w:pPr>
      <w:r w:rsidRPr="000E079B">
        <w:tab/>
        <w:t>(a)</w:t>
      </w:r>
      <w:r w:rsidRPr="000E079B">
        <w:tab/>
      </w:r>
      <w:r w:rsidR="009156CA" w:rsidRPr="000E079B">
        <w:t>is formed</w:t>
      </w:r>
      <w:r w:rsidRPr="000E079B">
        <w:t xml:space="preserve"> </w:t>
      </w:r>
      <w:r w:rsidR="006D797E" w:rsidRPr="000E079B">
        <w:t xml:space="preserve">after the commencement of that Part; </w:t>
      </w:r>
      <w:r w:rsidR="00DF286A" w:rsidRPr="000E079B">
        <w:t>or</w:t>
      </w:r>
    </w:p>
    <w:p w14:paraId="25F767E2" w14:textId="77777777" w:rsidR="006D797E" w:rsidRPr="000E079B" w:rsidRDefault="006D797E" w:rsidP="00982EBA">
      <w:pPr>
        <w:pStyle w:val="paragraph"/>
      </w:pPr>
      <w:r w:rsidRPr="000E079B">
        <w:lastRenderedPageBreak/>
        <w:tab/>
        <w:t>(b)</w:t>
      </w:r>
      <w:r w:rsidRPr="000E079B">
        <w:tab/>
      </w:r>
      <w:r w:rsidR="007B45DD" w:rsidRPr="000E079B">
        <w:t>was</w:t>
      </w:r>
      <w:r w:rsidR="009156CA" w:rsidRPr="000E079B">
        <w:t xml:space="preserve"> formed</w:t>
      </w:r>
      <w:r w:rsidR="00EC33AB" w:rsidRPr="000E079B">
        <w:t xml:space="preserve"> </w:t>
      </w:r>
      <w:r w:rsidRPr="000E079B">
        <w:t xml:space="preserve">before the commencement of that Part </w:t>
      </w:r>
      <w:r w:rsidR="009156CA" w:rsidRPr="000E079B">
        <w:t xml:space="preserve">but </w:t>
      </w:r>
      <w:r w:rsidRPr="000E079B">
        <w:t xml:space="preserve">for which the Registrar has not informed the requester </w:t>
      </w:r>
      <w:r w:rsidR="00E24401" w:rsidRPr="000E079B">
        <w:t xml:space="preserve">under </w:t>
      </w:r>
      <w:r w:rsidR="00D94FA4" w:rsidRPr="000E079B">
        <w:t>subregulation 3</w:t>
      </w:r>
      <w:r w:rsidR="00E24401" w:rsidRPr="000E079B">
        <w:t xml:space="preserve">A.4(2) </w:t>
      </w:r>
      <w:r w:rsidRPr="000E079B">
        <w:t>a</w:t>
      </w:r>
      <w:r w:rsidR="0015121B" w:rsidRPr="000E079B">
        <w:t>s at that commencement.</w:t>
      </w:r>
    </w:p>
    <w:p w14:paraId="1F5914C8" w14:textId="77777777" w:rsidR="00D502C6" w:rsidRPr="000E079B" w:rsidRDefault="00505833" w:rsidP="00D502C6">
      <w:pPr>
        <w:pStyle w:val="subsection"/>
      </w:pPr>
      <w:r w:rsidRPr="000E079B">
        <w:tab/>
        <w:t>(2)</w:t>
      </w:r>
      <w:r w:rsidRPr="000E079B">
        <w:tab/>
        <w:t xml:space="preserve">Regulations 3A.6 and 3A.7, as added by Part 4 of Schedule 1 </w:t>
      </w:r>
      <w:r w:rsidR="00533A7B" w:rsidRPr="000E079B">
        <w:t>to</w:t>
      </w:r>
      <w:r w:rsidRPr="000E079B">
        <w:t xml:space="preserve"> the </w:t>
      </w:r>
      <w:r w:rsidRPr="000E079B">
        <w:rPr>
          <w:i/>
        </w:rPr>
        <w:t xml:space="preserve">Intellectual Property Laws Amendment (Regulator Performance) </w:t>
      </w:r>
      <w:r w:rsidR="002C2002" w:rsidRPr="000E079B">
        <w:rPr>
          <w:i/>
        </w:rPr>
        <w:t>Regulations 2</w:t>
      </w:r>
      <w:r w:rsidRPr="000E079B">
        <w:rPr>
          <w:i/>
        </w:rPr>
        <w:t>024</w:t>
      </w:r>
      <w:r w:rsidRPr="000E079B">
        <w:t xml:space="preserve">, </w:t>
      </w:r>
      <w:r w:rsidR="00D502C6" w:rsidRPr="000E079B">
        <w:t xml:space="preserve">apply in relation to an opinion formed under </w:t>
      </w:r>
      <w:r w:rsidR="00D94FA4" w:rsidRPr="000E079B">
        <w:t>subregulation 3</w:t>
      </w:r>
      <w:r w:rsidR="00D502C6" w:rsidRPr="000E079B">
        <w:t>A.4(1) in relation to an AFS request, if the opinion:</w:t>
      </w:r>
    </w:p>
    <w:p w14:paraId="377F01AB" w14:textId="77777777" w:rsidR="00D502C6" w:rsidRPr="000E079B" w:rsidRDefault="00D502C6" w:rsidP="00D502C6">
      <w:pPr>
        <w:pStyle w:val="paragraph"/>
      </w:pPr>
      <w:r w:rsidRPr="000E079B">
        <w:tab/>
        <w:t>(a)</w:t>
      </w:r>
      <w:r w:rsidRPr="000E079B">
        <w:tab/>
        <w:t>is formed after the commencement of that Part; or</w:t>
      </w:r>
    </w:p>
    <w:p w14:paraId="1E6FBBC3" w14:textId="77777777" w:rsidR="00505833" w:rsidRPr="000E079B" w:rsidRDefault="00D502C6" w:rsidP="00D502C6">
      <w:pPr>
        <w:pStyle w:val="paragraph"/>
      </w:pPr>
      <w:r w:rsidRPr="000E079B">
        <w:tab/>
        <w:t>(b)</w:t>
      </w:r>
      <w:r w:rsidRPr="000E079B">
        <w:tab/>
      </w:r>
      <w:r w:rsidR="007B45DD" w:rsidRPr="000E079B">
        <w:t>was</w:t>
      </w:r>
      <w:r w:rsidRPr="000E079B">
        <w:t xml:space="preserve"> formed before the commencement of that Part but for which the Registrar has not informed the requester under </w:t>
      </w:r>
      <w:r w:rsidR="00D94FA4" w:rsidRPr="000E079B">
        <w:t>subregulation 3</w:t>
      </w:r>
      <w:r w:rsidRPr="000E079B">
        <w:t>A.4(2) as at that commencement.</w:t>
      </w:r>
    </w:p>
    <w:p w14:paraId="3F82FBFC" w14:textId="77777777" w:rsidR="00505833" w:rsidRPr="000E079B" w:rsidRDefault="00505833" w:rsidP="00505833">
      <w:pPr>
        <w:pStyle w:val="ActHead7"/>
        <w:pageBreakBefore/>
      </w:pPr>
      <w:bookmarkStart w:id="45" w:name="_Toc161993742"/>
      <w:r w:rsidRPr="00B16D05">
        <w:rPr>
          <w:rStyle w:val="CharAmPartNo"/>
        </w:rPr>
        <w:lastRenderedPageBreak/>
        <w:t>Part 7</w:t>
      </w:r>
      <w:r w:rsidRPr="000E079B">
        <w:t>—</w:t>
      </w:r>
      <w:r w:rsidRPr="00B16D05">
        <w:rPr>
          <w:rStyle w:val="CharAmPartText"/>
        </w:rPr>
        <w:t>Spent provisions</w:t>
      </w:r>
      <w:bookmarkEnd w:id="45"/>
    </w:p>
    <w:p w14:paraId="1F09CBB7" w14:textId="77777777" w:rsidR="00505833" w:rsidRPr="000E079B" w:rsidRDefault="00505833" w:rsidP="00505833">
      <w:pPr>
        <w:pStyle w:val="ActHead9"/>
      </w:pPr>
      <w:bookmarkStart w:id="46" w:name="_Toc161993743"/>
      <w:r w:rsidRPr="000E079B">
        <w:t>Patents Regulations 1991</w:t>
      </w:r>
      <w:bookmarkEnd w:id="46"/>
    </w:p>
    <w:p w14:paraId="55D8E4CD" w14:textId="77777777" w:rsidR="00505833" w:rsidRPr="000E079B" w:rsidRDefault="00505833" w:rsidP="00505833">
      <w:pPr>
        <w:pStyle w:val="ItemHead"/>
      </w:pPr>
      <w:r w:rsidRPr="000E079B">
        <w:t xml:space="preserve">60  Regulation 1.3 (definition of </w:t>
      </w:r>
      <w:r w:rsidRPr="000E079B">
        <w:rPr>
          <w:i/>
        </w:rPr>
        <w:t>former patents Regulations</w:t>
      </w:r>
      <w:r w:rsidRPr="000E079B">
        <w:t>)</w:t>
      </w:r>
    </w:p>
    <w:p w14:paraId="7CCE6496" w14:textId="77777777" w:rsidR="00505833" w:rsidRPr="000E079B" w:rsidRDefault="00505833" w:rsidP="00505833">
      <w:pPr>
        <w:pStyle w:val="Item"/>
      </w:pPr>
      <w:r w:rsidRPr="000E079B">
        <w:t>Repeal the definition.</w:t>
      </w:r>
    </w:p>
    <w:p w14:paraId="14F5BFB6" w14:textId="77777777" w:rsidR="00505833" w:rsidRPr="000E079B" w:rsidRDefault="00505833" w:rsidP="00505833">
      <w:pPr>
        <w:pStyle w:val="ItemHead"/>
      </w:pPr>
      <w:r w:rsidRPr="000E079B">
        <w:t xml:space="preserve">61  </w:t>
      </w:r>
      <w:r w:rsidR="002C2002" w:rsidRPr="000E079B">
        <w:t>Regulations 2</w:t>
      </w:r>
      <w:r w:rsidRPr="000E079B">
        <w:t>3.2 to 23.26</w:t>
      </w:r>
    </w:p>
    <w:p w14:paraId="32C86E47" w14:textId="77777777" w:rsidR="00505833" w:rsidRPr="000E079B" w:rsidRDefault="00505833" w:rsidP="00505833">
      <w:pPr>
        <w:pStyle w:val="Item"/>
      </w:pPr>
      <w:r w:rsidRPr="000E079B">
        <w:t>Repeal the regulations.</w:t>
      </w:r>
    </w:p>
    <w:p w14:paraId="4E3B665F" w14:textId="77777777" w:rsidR="00C0685E" w:rsidRPr="000E079B" w:rsidRDefault="00C0685E" w:rsidP="00505833"/>
    <w:sectPr w:rsidR="00C0685E" w:rsidRPr="000E079B" w:rsidSect="00A910A8">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596A" w14:textId="77777777" w:rsidR="00A910A8" w:rsidRDefault="00A910A8" w:rsidP="0048364F">
      <w:pPr>
        <w:spacing w:line="240" w:lineRule="auto"/>
      </w:pPr>
      <w:r>
        <w:separator/>
      </w:r>
    </w:p>
  </w:endnote>
  <w:endnote w:type="continuationSeparator" w:id="0">
    <w:p w14:paraId="536288E7" w14:textId="77777777" w:rsidR="00A910A8" w:rsidRDefault="00A910A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5EB5" w14:textId="77777777" w:rsidR="002C2002" w:rsidRPr="003309F9" w:rsidRDefault="003309F9" w:rsidP="003309F9">
    <w:pPr>
      <w:pStyle w:val="Footer"/>
      <w:tabs>
        <w:tab w:val="clear" w:pos="4153"/>
        <w:tab w:val="clear" w:pos="8306"/>
        <w:tab w:val="center" w:pos="4150"/>
        <w:tab w:val="right" w:pos="8307"/>
      </w:tabs>
      <w:spacing w:before="120"/>
      <w:rPr>
        <w:i/>
        <w:sz w:val="18"/>
      </w:rPr>
    </w:pPr>
    <w:r w:rsidRPr="003309F9">
      <w:rPr>
        <w:i/>
        <w:noProof/>
        <w:sz w:val="18"/>
      </w:rPr>
      <w:t>OPC66000 -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7662" w14:textId="77777777" w:rsidR="002C2002" w:rsidRDefault="002C2002" w:rsidP="00E97334"/>
  <w:p w14:paraId="55638782" w14:textId="77777777" w:rsidR="002C2002" w:rsidRPr="003309F9" w:rsidRDefault="003309F9" w:rsidP="003309F9">
    <w:pPr>
      <w:rPr>
        <w:rFonts w:cs="Times New Roman"/>
        <w:i/>
        <w:sz w:val="18"/>
      </w:rPr>
    </w:pPr>
    <w:r w:rsidRPr="003309F9">
      <w:rPr>
        <w:rFonts w:cs="Times New Roman"/>
        <w:i/>
        <w:sz w:val="18"/>
      </w:rPr>
      <w:t>OPC66000 -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9B16" w14:textId="77777777" w:rsidR="002C2002" w:rsidRPr="003309F9" w:rsidRDefault="003309F9" w:rsidP="003309F9">
    <w:pPr>
      <w:pStyle w:val="Footer"/>
      <w:tabs>
        <w:tab w:val="clear" w:pos="4153"/>
        <w:tab w:val="clear" w:pos="8306"/>
        <w:tab w:val="center" w:pos="4150"/>
        <w:tab w:val="right" w:pos="8307"/>
      </w:tabs>
      <w:spacing w:before="120"/>
      <w:rPr>
        <w:i/>
        <w:sz w:val="18"/>
      </w:rPr>
    </w:pPr>
    <w:r w:rsidRPr="003309F9">
      <w:rPr>
        <w:i/>
        <w:sz w:val="18"/>
      </w:rPr>
      <w:t>OPC66000 -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D0C1" w14:textId="77777777" w:rsidR="002C2002" w:rsidRPr="00E33C1C" w:rsidRDefault="002C200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C2002" w14:paraId="34689891" w14:textId="77777777" w:rsidTr="00227315">
      <w:tc>
        <w:tcPr>
          <w:tcW w:w="709" w:type="dxa"/>
          <w:tcBorders>
            <w:top w:val="nil"/>
            <w:left w:val="nil"/>
            <w:bottom w:val="nil"/>
            <w:right w:val="nil"/>
          </w:tcBorders>
        </w:tcPr>
        <w:p w14:paraId="492B63BD" w14:textId="77777777" w:rsidR="002C2002" w:rsidRDefault="002C2002" w:rsidP="00177AA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09E2B98" w14:textId="77777777" w:rsidR="002C2002" w:rsidRDefault="002C2002" w:rsidP="00177AAB">
          <w:pPr>
            <w:spacing w:line="0" w:lineRule="atLeast"/>
            <w:jc w:val="center"/>
            <w:rPr>
              <w:sz w:val="18"/>
            </w:rPr>
          </w:pPr>
          <w:r w:rsidRPr="000D4C79">
            <w:rPr>
              <w:i/>
              <w:sz w:val="18"/>
            </w:rPr>
            <w:t>Intellectual Property Laws Amendment (Regulator Performance) Regulations 2024</w:t>
          </w:r>
        </w:p>
      </w:tc>
      <w:tc>
        <w:tcPr>
          <w:tcW w:w="1384" w:type="dxa"/>
          <w:tcBorders>
            <w:top w:val="nil"/>
            <w:left w:val="nil"/>
            <w:bottom w:val="nil"/>
            <w:right w:val="nil"/>
          </w:tcBorders>
        </w:tcPr>
        <w:p w14:paraId="6EFB2934" w14:textId="77777777" w:rsidR="002C2002" w:rsidRDefault="002C2002" w:rsidP="00177AAB">
          <w:pPr>
            <w:spacing w:line="0" w:lineRule="atLeast"/>
            <w:jc w:val="right"/>
            <w:rPr>
              <w:sz w:val="18"/>
            </w:rPr>
          </w:pPr>
        </w:p>
      </w:tc>
    </w:tr>
  </w:tbl>
  <w:p w14:paraId="2BB1C313" w14:textId="77777777" w:rsidR="002C2002" w:rsidRPr="003309F9" w:rsidRDefault="003309F9" w:rsidP="003309F9">
    <w:pPr>
      <w:rPr>
        <w:rFonts w:cs="Times New Roman"/>
        <w:i/>
        <w:sz w:val="18"/>
      </w:rPr>
    </w:pPr>
    <w:r w:rsidRPr="003309F9">
      <w:rPr>
        <w:rFonts w:cs="Times New Roman"/>
        <w:i/>
        <w:sz w:val="18"/>
      </w:rPr>
      <w:t>OPC66000 -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764A" w14:textId="77777777" w:rsidR="002C2002" w:rsidRPr="00E33C1C" w:rsidRDefault="002C200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2002" w14:paraId="42B8ADAD" w14:textId="77777777" w:rsidTr="00177AAB">
      <w:tc>
        <w:tcPr>
          <w:tcW w:w="1384" w:type="dxa"/>
          <w:tcBorders>
            <w:top w:val="nil"/>
            <w:left w:val="nil"/>
            <w:bottom w:val="nil"/>
            <w:right w:val="nil"/>
          </w:tcBorders>
        </w:tcPr>
        <w:p w14:paraId="39A9E0A1" w14:textId="77777777" w:rsidR="002C2002" w:rsidRDefault="002C2002" w:rsidP="00177AAB">
          <w:pPr>
            <w:spacing w:line="0" w:lineRule="atLeast"/>
            <w:rPr>
              <w:sz w:val="18"/>
            </w:rPr>
          </w:pPr>
        </w:p>
      </w:tc>
      <w:tc>
        <w:tcPr>
          <w:tcW w:w="6379" w:type="dxa"/>
          <w:tcBorders>
            <w:top w:val="nil"/>
            <w:left w:val="nil"/>
            <w:bottom w:val="nil"/>
            <w:right w:val="nil"/>
          </w:tcBorders>
        </w:tcPr>
        <w:p w14:paraId="451B61F8" w14:textId="77777777" w:rsidR="002C2002" w:rsidRDefault="002C2002" w:rsidP="00177AAB">
          <w:pPr>
            <w:spacing w:line="0" w:lineRule="atLeast"/>
            <w:jc w:val="center"/>
            <w:rPr>
              <w:sz w:val="18"/>
            </w:rPr>
          </w:pPr>
          <w:r w:rsidRPr="000D4C79">
            <w:rPr>
              <w:i/>
              <w:sz w:val="18"/>
            </w:rPr>
            <w:t>Intellectual Property Laws Amendment (Regulator Performance) Regulations 2024</w:t>
          </w:r>
        </w:p>
      </w:tc>
      <w:tc>
        <w:tcPr>
          <w:tcW w:w="709" w:type="dxa"/>
          <w:tcBorders>
            <w:top w:val="nil"/>
            <w:left w:val="nil"/>
            <w:bottom w:val="nil"/>
            <w:right w:val="nil"/>
          </w:tcBorders>
        </w:tcPr>
        <w:p w14:paraId="468A4CFF" w14:textId="77777777" w:rsidR="002C2002" w:rsidRDefault="00B35137" w:rsidP="00177AAB">
          <w:pPr>
            <w:spacing w:line="0" w:lineRule="atLeast"/>
            <w:jc w:val="right"/>
            <w:rPr>
              <w:sz w:val="18"/>
            </w:rPr>
          </w:pPr>
          <w:r>
            <w:rPr>
              <w:i/>
              <w:sz w:val="18"/>
            </w:rPr>
            <w:fldChar w:fldCharType="begin"/>
          </w:r>
          <w:r>
            <w:rPr>
              <w:i/>
              <w:sz w:val="18"/>
            </w:rPr>
            <w:instrText xml:space="preserve"> PAGE  \* roman </w:instrText>
          </w:r>
          <w:r>
            <w:rPr>
              <w:i/>
              <w:sz w:val="18"/>
            </w:rPr>
            <w:fldChar w:fldCharType="separate"/>
          </w:r>
          <w:r>
            <w:rPr>
              <w:i/>
              <w:noProof/>
              <w:sz w:val="18"/>
            </w:rPr>
            <w:t>i</w:t>
          </w:r>
          <w:r>
            <w:rPr>
              <w:i/>
              <w:sz w:val="18"/>
            </w:rPr>
            <w:fldChar w:fldCharType="end"/>
          </w:r>
        </w:p>
      </w:tc>
    </w:tr>
  </w:tbl>
  <w:p w14:paraId="41EB93EC" w14:textId="77777777" w:rsidR="002C2002" w:rsidRPr="003309F9" w:rsidRDefault="003309F9" w:rsidP="003309F9">
    <w:pPr>
      <w:rPr>
        <w:rFonts w:cs="Times New Roman"/>
        <w:i/>
        <w:sz w:val="18"/>
      </w:rPr>
    </w:pPr>
    <w:r w:rsidRPr="003309F9">
      <w:rPr>
        <w:rFonts w:cs="Times New Roman"/>
        <w:i/>
        <w:sz w:val="18"/>
      </w:rPr>
      <w:t>OPC66000 -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6886" w14:textId="77777777" w:rsidR="002C2002" w:rsidRPr="00E33C1C" w:rsidRDefault="002C200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2002" w14:paraId="785B6F00" w14:textId="77777777" w:rsidTr="007A6863">
      <w:tc>
        <w:tcPr>
          <w:tcW w:w="1384" w:type="dxa"/>
          <w:tcBorders>
            <w:top w:val="nil"/>
            <w:left w:val="nil"/>
            <w:bottom w:val="nil"/>
            <w:right w:val="nil"/>
          </w:tcBorders>
        </w:tcPr>
        <w:p w14:paraId="40AFE280" w14:textId="77777777" w:rsidR="002C2002" w:rsidRDefault="002C2002" w:rsidP="00177AAB">
          <w:pPr>
            <w:spacing w:line="0" w:lineRule="atLeast"/>
            <w:rPr>
              <w:sz w:val="18"/>
            </w:rPr>
          </w:pPr>
        </w:p>
      </w:tc>
      <w:tc>
        <w:tcPr>
          <w:tcW w:w="6379" w:type="dxa"/>
          <w:tcBorders>
            <w:top w:val="nil"/>
            <w:left w:val="nil"/>
            <w:bottom w:val="nil"/>
            <w:right w:val="nil"/>
          </w:tcBorders>
        </w:tcPr>
        <w:p w14:paraId="3691323A" w14:textId="5B21722B" w:rsidR="002C2002" w:rsidRDefault="002C2002" w:rsidP="00177A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2B29">
            <w:rPr>
              <w:i/>
              <w:sz w:val="18"/>
            </w:rPr>
            <w:t>Intellectual Property Laws Amendment (Regulator Performance) Regulations 2024</w:t>
          </w:r>
          <w:r w:rsidRPr="007A1328">
            <w:rPr>
              <w:i/>
              <w:sz w:val="18"/>
            </w:rPr>
            <w:fldChar w:fldCharType="end"/>
          </w:r>
        </w:p>
      </w:tc>
      <w:tc>
        <w:tcPr>
          <w:tcW w:w="709" w:type="dxa"/>
          <w:tcBorders>
            <w:top w:val="nil"/>
            <w:left w:val="nil"/>
            <w:bottom w:val="nil"/>
            <w:right w:val="nil"/>
          </w:tcBorders>
        </w:tcPr>
        <w:p w14:paraId="7B4099DB" w14:textId="77777777" w:rsidR="002C2002" w:rsidRDefault="002C2002" w:rsidP="00177A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2C2002" w14:paraId="2D3792E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6BE4A5C" w14:textId="77777777" w:rsidR="002C2002" w:rsidRDefault="002C2002" w:rsidP="00177AAB">
          <w:pPr>
            <w:rPr>
              <w:sz w:val="18"/>
            </w:rPr>
          </w:pPr>
          <w:r>
            <w:rPr>
              <w:i/>
              <w:noProof/>
              <w:sz w:val="18"/>
            </w:rPr>
            <w:t>I24RQ103.v09.docx</w:t>
          </w:r>
          <w:r w:rsidRPr="00ED79B6">
            <w:rPr>
              <w:i/>
              <w:sz w:val="18"/>
            </w:rPr>
            <w:t xml:space="preserve"> </w:t>
          </w:r>
          <w:r>
            <w:rPr>
              <w:i/>
              <w:noProof/>
              <w:sz w:val="18"/>
            </w:rPr>
            <w:t>22/3/2024 9:55 AM</w:t>
          </w:r>
        </w:p>
      </w:tc>
    </w:tr>
  </w:tbl>
  <w:p w14:paraId="480B5579" w14:textId="77777777" w:rsidR="002C2002" w:rsidRPr="003309F9" w:rsidRDefault="003309F9" w:rsidP="003309F9">
    <w:pPr>
      <w:rPr>
        <w:rFonts w:cs="Times New Roman"/>
        <w:i/>
        <w:sz w:val="18"/>
      </w:rPr>
    </w:pPr>
    <w:r w:rsidRPr="003309F9">
      <w:rPr>
        <w:rFonts w:cs="Times New Roman"/>
        <w:i/>
        <w:sz w:val="18"/>
      </w:rPr>
      <w:t>OPC66000 -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48C8" w14:textId="77777777" w:rsidR="002C2002" w:rsidRPr="00E33C1C" w:rsidRDefault="002C200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C2002" w14:paraId="1413CBD3" w14:textId="77777777" w:rsidTr="00227315">
      <w:tc>
        <w:tcPr>
          <w:tcW w:w="709" w:type="dxa"/>
          <w:tcBorders>
            <w:top w:val="nil"/>
            <w:left w:val="nil"/>
            <w:bottom w:val="nil"/>
            <w:right w:val="nil"/>
          </w:tcBorders>
        </w:tcPr>
        <w:p w14:paraId="28D4D868" w14:textId="77777777" w:rsidR="002C2002" w:rsidRDefault="002C2002" w:rsidP="00177AA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87EC6A8" w14:textId="77777777" w:rsidR="002C2002" w:rsidRDefault="002C2002" w:rsidP="00177AAB">
          <w:pPr>
            <w:spacing w:line="0" w:lineRule="atLeast"/>
            <w:jc w:val="center"/>
            <w:rPr>
              <w:sz w:val="18"/>
            </w:rPr>
          </w:pPr>
          <w:r w:rsidRPr="000D4C79">
            <w:rPr>
              <w:i/>
              <w:sz w:val="18"/>
            </w:rPr>
            <w:t>Intellectual Property Laws Amendment (Regulator Performance) Regulations 2024</w:t>
          </w:r>
        </w:p>
      </w:tc>
      <w:tc>
        <w:tcPr>
          <w:tcW w:w="1384" w:type="dxa"/>
          <w:tcBorders>
            <w:top w:val="nil"/>
            <w:left w:val="nil"/>
            <w:bottom w:val="nil"/>
            <w:right w:val="nil"/>
          </w:tcBorders>
        </w:tcPr>
        <w:p w14:paraId="0297C957" w14:textId="77777777" w:rsidR="002C2002" w:rsidRDefault="002C2002" w:rsidP="00177AAB">
          <w:pPr>
            <w:spacing w:line="0" w:lineRule="atLeast"/>
            <w:jc w:val="right"/>
            <w:rPr>
              <w:sz w:val="18"/>
            </w:rPr>
          </w:pPr>
        </w:p>
      </w:tc>
    </w:tr>
  </w:tbl>
  <w:p w14:paraId="567F207D" w14:textId="77777777" w:rsidR="002C2002" w:rsidRPr="003309F9" w:rsidRDefault="003309F9" w:rsidP="003309F9">
    <w:pPr>
      <w:rPr>
        <w:rFonts w:cs="Times New Roman"/>
        <w:i/>
        <w:sz w:val="18"/>
      </w:rPr>
    </w:pPr>
    <w:r w:rsidRPr="003309F9">
      <w:rPr>
        <w:rFonts w:cs="Times New Roman"/>
        <w:i/>
        <w:sz w:val="18"/>
      </w:rPr>
      <w:t>OPC66000 -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0AB" w14:textId="77777777" w:rsidR="002C2002" w:rsidRPr="00E33C1C" w:rsidRDefault="002C200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2002" w14:paraId="708BA08E" w14:textId="77777777" w:rsidTr="00177AAB">
      <w:tc>
        <w:tcPr>
          <w:tcW w:w="1384" w:type="dxa"/>
          <w:tcBorders>
            <w:top w:val="nil"/>
            <w:left w:val="nil"/>
            <w:bottom w:val="nil"/>
            <w:right w:val="nil"/>
          </w:tcBorders>
        </w:tcPr>
        <w:p w14:paraId="58CA8F3F" w14:textId="77777777" w:rsidR="002C2002" w:rsidRDefault="002C2002" w:rsidP="00177AAB">
          <w:pPr>
            <w:spacing w:line="0" w:lineRule="atLeast"/>
            <w:rPr>
              <w:sz w:val="18"/>
            </w:rPr>
          </w:pPr>
        </w:p>
      </w:tc>
      <w:tc>
        <w:tcPr>
          <w:tcW w:w="6379" w:type="dxa"/>
          <w:tcBorders>
            <w:top w:val="nil"/>
            <w:left w:val="nil"/>
            <w:bottom w:val="nil"/>
            <w:right w:val="nil"/>
          </w:tcBorders>
        </w:tcPr>
        <w:p w14:paraId="6DE63688" w14:textId="77777777" w:rsidR="002C2002" w:rsidRDefault="002C2002" w:rsidP="00177AAB">
          <w:pPr>
            <w:spacing w:line="0" w:lineRule="atLeast"/>
            <w:jc w:val="center"/>
            <w:rPr>
              <w:sz w:val="18"/>
            </w:rPr>
          </w:pPr>
          <w:r w:rsidRPr="000D4C79">
            <w:rPr>
              <w:i/>
              <w:sz w:val="18"/>
            </w:rPr>
            <w:t>Intellectual Property Laws Amendment (Regulator Performance) Regulations 2024</w:t>
          </w:r>
        </w:p>
      </w:tc>
      <w:tc>
        <w:tcPr>
          <w:tcW w:w="709" w:type="dxa"/>
          <w:tcBorders>
            <w:top w:val="nil"/>
            <w:left w:val="nil"/>
            <w:bottom w:val="nil"/>
            <w:right w:val="nil"/>
          </w:tcBorders>
        </w:tcPr>
        <w:p w14:paraId="33C6E6A9" w14:textId="77777777" w:rsidR="002C2002" w:rsidRDefault="002C2002" w:rsidP="00177A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79B6C82" w14:textId="77777777" w:rsidR="002C2002" w:rsidRPr="003309F9" w:rsidRDefault="003309F9" w:rsidP="003309F9">
    <w:pPr>
      <w:rPr>
        <w:rFonts w:cs="Times New Roman"/>
        <w:i/>
        <w:sz w:val="18"/>
      </w:rPr>
    </w:pPr>
    <w:r w:rsidRPr="003309F9">
      <w:rPr>
        <w:rFonts w:cs="Times New Roman"/>
        <w:i/>
        <w:sz w:val="18"/>
      </w:rPr>
      <w:t>OPC66000 -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F145" w14:textId="77777777" w:rsidR="002C2002" w:rsidRPr="00E33C1C" w:rsidRDefault="002C200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2002" w14:paraId="268F6193" w14:textId="77777777" w:rsidTr="007A6863">
      <w:tc>
        <w:tcPr>
          <w:tcW w:w="1384" w:type="dxa"/>
          <w:tcBorders>
            <w:top w:val="nil"/>
            <w:left w:val="nil"/>
            <w:bottom w:val="nil"/>
            <w:right w:val="nil"/>
          </w:tcBorders>
        </w:tcPr>
        <w:p w14:paraId="2C2B88DC" w14:textId="77777777" w:rsidR="002C2002" w:rsidRDefault="002C2002" w:rsidP="00177AAB">
          <w:pPr>
            <w:spacing w:line="0" w:lineRule="atLeast"/>
            <w:rPr>
              <w:sz w:val="18"/>
            </w:rPr>
          </w:pPr>
        </w:p>
      </w:tc>
      <w:tc>
        <w:tcPr>
          <w:tcW w:w="6379" w:type="dxa"/>
          <w:tcBorders>
            <w:top w:val="nil"/>
            <w:left w:val="nil"/>
            <w:bottom w:val="nil"/>
            <w:right w:val="nil"/>
          </w:tcBorders>
        </w:tcPr>
        <w:p w14:paraId="1D2E1A85" w14:textId="47A40C91" w:rsidR="002C2002" w:rsidRDefault="002C2002" w:rsidP="00177A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2B29">
            <w:rPr>
              <w:i/>
              <w:sz w:val="18"/>
            </w:rPr>
            <w:t>Intellectual Property Laws Amendment (Regulator Performance) Regulations 2024</w:t>
          </w:r>
          <w:r w:rsidRPr="007A1328">
            <w:rPr>
              <w:i/>
              <w:sz w:val="18"/>
            </w:rPr>
            <w:fldChar w:fldCharType="end"/>
          </w:r>
        </w:p>
      </w:tc>
      <w:tc>
        <w:tcPr>
          <w:tcW w:w="709" w:type="dxa"/>
          <w:tcBorders>
            <w:top w:val="nil"/>
            <w:left w:val="nil"/>
            <w:bottom w:val="nil"/>
            <w:right w:val="nil"/>
          </w:tcBorders>
        </w:tcPr>
        <w:p w14:paraId="0CBC1572" w14:textId="77777777" w:rsidR="002C2002" w:rsidRDefault="002C2002" w:rsidP="00177A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59F0FDA" w14:textId="77777777" w:rsidR="002C2002" w:rsidRPr="003309F9" w:rsidRDefault="003309F9" w:rsidP="003309F9">
    <w:pPr>
      <w:rPr>
        <w:rFonts w:cs="Times New Roman"/>
        <w:i/>
        <w:sz w:val="18"/>
      </w:rPr>
    </w:pPr>
    <w:r w:rsidRPr="003309F9">
      <w:rPr>
        <w:rFonts w:cs="Times New Roman"/>
        <w:i/>
        <w:sz w:val="18"/>
      </w:rPr>
      <w:t>OPC66000 -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AE18" w14:textId="77777777" w:rsidR="00A910A8" w:rsidRDefault="00A910A8" w:rsidP="0048364F">
      <w:pPr>
        <w:spacing w:line="240" w:lineRule="auto"/>
      </w:pPr>
      <w:r>
        <w:separator/>
      </w:r>
    </w:p>
  </w:footnote>
  <w:footnote w:type="continuationSeparator" w:id="0">
    <w:p w14:paraId="7E50095F" w14:textId="77777777" w:rsidR="00A910A8" w:rsidRDefault="00A910A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2B49" w14:textId="77777777" w:rsidR="002C2002" w:rsidRPr="005F1388" w:rsidRDefault="002C200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7035" w14:textId="77777777" w:rsidR="002C2002" w:rsidRPr="005F1388" w:rsidRDefault="002C200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1AAD" w14:textId="77777777" w:rsidR="002C2002" w:rsidRPr="005F1388" w:rsidRDefault="002C200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774C" w14:textId="307C0010" w:rsidR="002C2002" w:rsidRPr="00A961C4" w:rsidRDefault="002C2002"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52CD6411" w14:textId="06B36A83" w:rsidR="002C2002" w:rsidRPr="00A961C4" w:rsidRDefault="002C200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C84C8A1" w14:textId="77777777" w:rsidR="002C2002" w:rsidRPr="00A961C4" w:rsidRDefault="002C2002"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36B2" w14:textId="2B712D26" w:rsidR="002C2002" w:rsidRPr="00A961C4" w:rsidRDefault="002C200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A851537" w14:textId="22C1A88F" w:rsidR="002C2002" w:rsidRPr="00A961C4" w:rsidRDefault="002C200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E8BD4EC" w14:textId="77777777" w:rsidR="002C2002" w:rsidRPr="00A961C4" w:rsidRDefault="002C2002" w:rsidP="007F48ED">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ED39" w14:textId="77777777" w:rsidR="002C2002" w:rsidRPr="00A961C4" w:rsidRDefault="002C2002" w:rsidP="0048364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32CF" w14:textId="5318636B" w:rsidR="002C2002" w:rsidRPr="00A961C4" w:rsidRDefault="002C2002" w:rsidP="0048364F">
    <w:pPr>
      <w:rPr>
        <w:b/>
        <w:sz w:val="20"/>
      </w:rPr>
    </w:pPr>
    <w:r>
      <w:rPr>
        <w:b/>
        <w:sz w:val="20"/>
      </w:rPr>
      <w:fldChar w:fldCharType="begin"/>
    </w:r>
    <w:r>
      <w:rPr>
        <w:b/>
        <w:sz w:val="20"/>
      </w:rPr>
      <w:instrText xml:space="preserve"> STYLEREF CharAmSchNo </w:instrText>
    </w:r>
    <w:r>
      <w:rPr>
        <w:b/>
        <w:sz w:val="20"/>
      </w:rPr>
      <w:fldChar w:fldCharType="separate"/>
    </w:r>
    <w:r w:rsidR="0021059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10592">
      <w:rPr>
        <w:noProof/>
        <w:sz w:val="20"/>
      </w:rPr>
      <w:t>Amendments</w:t>
    </w:r>
    <w:r>
      <w:rPr>
        <w:sz w:val="20"/>
      </w:rPr>
      <w:fldChar w:fldCharType="end"/>
    </w:r>
  </w:p>
  <w:p w14:paraId="297F2CB5" w14:textId="3488C95B" w:rsidR="002C2002" w:rsidRPr="00A961C4" w:rsidRDefault="002C2002" w:rsidP="0048364F">
    <w:pPr>
      <w:rPr>
        <w:b/>
        <w:sz w:val="20"/>
      </w:rPr>
    </w:pPr>
    <w:r>
      <w:rPr>
        <w:b/>
        <w:sz w:val="20"/>
      </w:rPr>
      <w:fldChar w:fldCharType="begin"/>
    </w:r>
    <w:r>
      <w:rPr>
        <w:b/>
        <w:sz w:val="20"/>
      </w:rPr>
      <w:instrText xml:space="preserve"> STYLEREF CharAmPartNo </w:instrText>
    </w:r>
    <w:r>
      <w:rPr>
        <w:b/>
        <w:sz w:val="20"/>
      </w:rPr>
      <w:fldChar w:fldCharType="separate"/>
    </w:r>
    <w:r w:rsidR="00210592">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210592">
      <w:rPr>
        <w:noProof/>
        <w:sz w:val="20"/>
      </w:rPr>
      <w:t>Application and transitional provisions</w:t>
    </w:r>
    <w:r>
      <w:rPr>
        <w:sz w:val="20"/>
      </w:rPr>
      <w:fldChar w:fldCharType="end"/>
    </w:r>
  </w:p>
  <w:p w14:paraId="0EE2D8D3" w14:textId="77777777" w:rsidR="002C2002" w:rsidRPr="00A961C4" w:rsidRDefault="002C200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C334" w14:textId="701FB7D5" w:rsidR="002C2002" w:rsidRPr="00A961C4" w:rsidRDefault="002C2002" w:rsidP="0048364F">
    <w:pPr>
      <w:jc w:val="right"/>
      <w:rPr>
        <w:sz w:val="20"/>
      </w:rPr>
    </w:pPr>
    <w:r w:rsidRPr="00A961C4">
      <w:rPr>
        <w:sz w:val="20"/>
      </w:rPr>
      <w:fldChar w:fldCharType="begin"/>
    </w:r>
    <w:r w:rsidRPr="00A961C4">
      <w:rPr>
        <w:sz w:val="20"/>
      </w:rPr>
      <w:instrText xml:space="preserve"> STYLEREF CharAmSchText </w:instrText>
    </w:r>
    <w:r w:rsidR="00210592">
      <w:rPr>
        <w:sz w:val="20"/>
      </w:rPr>
      <w:fldChar w:fldCharType="separate"/>
    </w:r>
    <w:r w:rsidR="00210592">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10592">
      <w:rPr>
        <w:b/>
        <w:sz w:val="20"/>
      </w:rPr>
      <w:fldChar w:fldCharType="separate"/>
    </w:r>
    <w:r w:rsidR="00210592">
      <w:rPr>
        <w:b/>
        <w:noProof/>
        <w:sz w:val="20"/>
      </w:rPr>
      <w:t>Schedule 1</w:t>
    </w:r>
    <w:r>
      <w:rPr>
        <w:b/>
        <w:sz w:val="20"/>
      </w:rPr>
      <w:fldChar w:fldCharType="end"/>
    </w:r>
  </w:p>
  <w:p w14:paraId="0A4A79B6" w14:textId="75ADFDE9" w:rsidR="002C2002" w:rsidRPr="00A961C4" w:rsidRDefault="002C2002" w:rsidP="0048364F">
    <w:pPr>
      <w:jc w:val="right"/>
      <w:rPr>
        <w:b/>
        <w:sz w:val="20"/>
      </w:rPr>
    </w:pPr>
    <w:r w:rsidRPr="00A961C4">
      <w:rPr>
        <w:sz w:val="20"/>
      </w:rPr>
      <w:fldChar w:fldCharType="begin"/>
    </w:r>
    <w:r w:rsidRPr="00A961C4">
      <w:rPr>
        <w:sz w:val="20"/>
      </w:rPr>
      <w:instrText xml:space="preserve"> STYLEREF CharAmPartText </w:instrText>
    </w:r>
    <w:r w:rsidR="00210592">
      <w:rPr>
        <w:sz w:val="20"/>
      </w:rPr>
      <w:fldChar w:fldCharType="separate"/>
    </w:r>
    <w:r w:rsidR="00210592">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10592">
      <w:rPr>
        <w:b/>
        <w:sz w:val="20"/>
      </w:rPr>
      <w:fldChar w:fldCharType="separate"/>
    </w:r>
    <w:r w:rsidR="00210592">
      <w:rPr>
        <w:b/>
        <w:noProof/>
        <w:sz w:val="20"/>
      </w:rPr>
      <w:t>Part 6</w:t>
    </w:r>
    <w:r w:rsidRPr="00A961C4">
      <w:rPr>
        <w:b/>
        <w:sz w:val="20"/>
      </w:rPr>
      <w:fldChar w:fldCharType="end"/>
    </w:r>
  </w:p>
  <w:p w14:paraId="662BEA18" w14:textId="77777777" w:rsidR="002C2002" w:rsidRPr="00A961C4" w:rsidRDefault="002C200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FB54" w14:textId="77777777" w:rsidR="002C2002" w:rsidRPr="00A961C4" w:rsidRDefault="002C200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76741435">
    <w:abstractNumId w:val="9"/>
  </w:num>
  <w:num w:numId="2" w16cid:durableId="248319887">
    <w:abstractNumId w:val="7"/>
  </w:num>
  <w:num w:numId="3" w16cid:durableId="1816800848">
    <w:abstractNumId w:val="6"/>
  </w:num>
  <w:num w:numId="4" w16cid:durableId="393358084">
    <w:abstractNumId w:val="5"/>
  </w:num>
  <w:num w:numId="5" w16cid:durableId="267809177">
    <w:abstractNumId w:val="4"/>
  </w:num>
  <w:num w:numId="6" w16cid:durableId="1844122230">
    <w:abstractNumId w:val="8"/>
  </w:num>
  <w:num w:numId="7" w16cid:durableId="1881092038">
    <w:abstractNumId w:val="3"/>
  </w:num>
  <w:num w:numId="8" w16cid:durableId="509175091">
    <w:abstractNumId w:val="2"/>
  </w:num>
  <w:num w:numId="9" w16cid:durableId="1843811370">
    <w:abstractNumId w:val="1"/>
  </w:num>
  <w:num w:numId="10" w16cid:durableId="942689673">
    <w:abstractNumId w:val="0"/>
  </w:num>
  <w:num w:numId="11" w16cid:durableId="353657095">
    <w:abstractNumId w:val="15"/>
  </w:num>
  <w:num w:numId="12" w16cid:durableId="213467357">
    <w:abstractNumId w:val="11"/>
  </w:num>
  <w:num w:numId="13" w16cid:durableId="1934363272">
    <w:abstractNumId w:val="12"/>
  </w:num>
  <w:num w:numId="14" w16cid:durableId="251857148">
    <w:abstractNumId w:val="14"/>
  </w:num>
  <w:num w:numId="15" w16cid:durableId="1087265125">
    <w:abstractNumId w:val="13"/>
  </w:num>
  <w:num w:numId="16" w16cid:durableId="644118567">
    <w:abstractNumId w:val="10"/>
  </w:num>
  <w:num w:numId="17" w16cid:durableId="311100096">
    <w:abstractNumId w:val="17"/>
  </w:num>
  <w:num w:numId="18" w16cid:durableId="1277638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44E9"/>
    <w:rsid w:val="00000263"/>
    <w:rsid w:val="000006FA"/>
    <w:rsid w:val="000027F8"/>
    <w:rsid w:val="00006500"/>
    <w:rsid w:val="000074CC"/>
    <w:rsid w:val="0000796E"/>
    <w:rsid w:val="0001049C"/>
    <w:rsid w:val="000113BC"/>
    <w:rsid w:val="000136AF"/>
    <w:rsid w:val="00027AE3"/>
    <w:rsid w:val="00034337"/>
    <w:rsid w:val="000349A0"/>
    <w:rsid w:val="00036E24"/>
    <w:rsid w:val="00037EE7"/>
    <w:rsid w:val="0004044E"/>
    <w:rsid w:val="000413AC"/>
    <w:rsid w:val="00044411"/>
    <w:rsid w:val="00046F47"/>
    <w:rsid w:val="0005120E"/>
    <w:rsid w:val="0005402C"/>
    <w:rsid w:val="000540C4"/>
    <w:rsid w:val="00054577"/>
    <w:rsid w:val="00055E34"/>
    <w:rsid w:val="0005635B"/>
    <w:rsid w:val="0005794A"/>
    <w:rsid w:val="00057A7E"/>
    <w:rsid w:val="000602F8"/>
    <w:rsid w:val="000614BF"/>
    <w:rsid w:val="00064D99"/>
    <w:rsid w:val="00065C8C"/>
    <w:rsid w:val="00067D27"/>
    <w:rsid w:val="000704CC"/>
    <w:rsid w:val="0007169C"/>
    <w:rsid w:val="000736EE"/>
    <w:rsid w:val="00077593"/>
    <w:rsid w:val="0007781C"/>
    <w:rsid w:val="00083F2D"/>
    <w:rsid w:val="00083F48"/>
    <w:rsid w:val="00084D33"/>
    <w:rsid w:val="00085835"/>
    <w:rsid w:val="000937C5"/>
    <w:rsid w:val="000A41BC"/>
    <w:rsid w:val="000A739F"/>
    <w:rsid w:val="000A7DF9"/>
    <w:rsid w:val="000B107B"/>
    <w:rsid w:val="000B239F"/>
    <w:rsid w:val="000C2334"/>
    <w:rsid w:val="000D05EF"/>
    <w:rsid w:val="000D4C79"/>
    <w:rsid w:val="000D5485"/>
    <w:rsid w:val="000D583A"/>
    <w:rsid w:val="000D6831"/>
    <w:rsid w:val="000E079B"/>
    <w:rsid w:val="000E4CFD"/>
    <w:rsid w:val="000F1EC8"/>
    <w:rsid w:val="000F21C1"/>
    <w:rsid w:val="000F41A3"/>
    <w:rsid w:val="000F74D8"/>
    <w:rsid w:val="00105D72"/>
    <w:rsid w:val="0010745C"/>
    <w:rsid w:val="0011095B"/>
    <w:rsid w:val="00111D28"/>
    <w:rsid w:val="001163CA"/>
    <w:rsid w:val="00117277"/>
    <w:rsid w:val="00130EEF"/>
    <w:rsid w:val="00131256"/>
    <w:rsid w:val="00132AB7"/>
    <w:rsid w:val="0015121B"/>
    <w:rsid w:val="001544D3"/>
    <w:rsid w:val="00155873"/>
    <w:rsid w:val="00160BD7"/>
    <w:rsid w:val="00163437"/>
    <w:rsid w:val="001643C9"/>
    <w:rsid w:val="00165568"/>
    <w:rsid w:val="00166082"/>
    <w:rsid w:val="001669FE"/>
    <w:rsid w:val="00166C2F"/>
    <w:rsid w:val="00167184"/>
    <w:rsid w:val="001716C9"/>
    <w:rsid w:val="00172106"/>
    <w:rsid w:val="00173C56"/>
    <w:rsid w:val="00173F0D"/>
    <w:rsid w:val="00177AAB"/>
    <w:rsid w:val="00184261"/>
    <w:rsid w:val="00184E82"/>
    <w:rsid w:val="00190BA1"/>
    <w:rsid w:val="00190DF5"/>
    <w:rsid w:val="00193461"/>
    <w:rsid w:val="001939E1"/>
    <w:rsid w:val="001945C1"/>
    <w:rsid w:val="00195382"/>
    <w:rsid w:val="0019671A"/>
    <w:rsid w:val="001A0D37"/>
    <w:rsid w:val="001A3589"/>
    <w:rsid w:val="001A3B9F"/>
    <w:rsid w:val="001A4302"/>
    <w:rsid w:val="001A65C0"/>
    <w:rsid w:val="001B6456"/>
    <w:rsid w:val="001B7A5D"/>
    <w:rsid w:val="001C0BD8"/>
    <w:rsid w:val="001C6463"/>
    <w:rsid w:val="001C6611"/>
    <w:rsid w:val="001C69C4"/>
    <w:rsid w:val="001C70D9"/>
    <w:rsid w:val="001D0A4F"/>
    <w:rsid w:val="001D371F"/>
    <w:rsid w:val="001D4570"/>
    <w:rsid w:val="001D6C0E"/>
    <w:rsid w:val="001E0A8D"/>
    <w:rsid w:val="001E3590"/>
    <w:rsid w:val="001E557C"/>
    <w:rsid w:val="001E7407"/>
    <w:rsid w:val="001E7D1B"/>
    <w:rsid w:val="001F1BDB"/>
    <w:rsid w:val="001F369B"/>
    <w:rsid w:val="001F5480"/>
    <w:rsid w:val="001F7188"/>
    <w:rsid w:val="002005A7"/>
    <w:rsid w:val="00201D27"/>
    <w:rsid w:val="00202698"/>
    <w:rsid w:val="0020300C"/>
    <w:rsid w:val="00204322"/>
    <w:rsid w:val="00205B03"/>
    <w:rsid w:val="00210592"/>
    <w:rsid w:val="002133D0"/>
    <w:rsid w:val="0021350C"/>
    <w:rsid w:val="00220699"/>
    <w:rsid w:val="00220A0C"/>
    <w:rsid w:val="00223035"/>
    <w:rsid w:val="00223E4A"/>
    <w:rsid w:val="00226BFB"/>
    <w:rsid w:val="00227315"/>
    <w:rsid w:val="002302EA"/>
    <w:rsid w:val="00232F53"/>
    <w:rsid w:val="00235846"/>
    <w:rsid w:val="00240749"/>
    <w:rsid w:val="00243690"/>
    <w:rsid w:val="002468D7"/>
    <w:rsid w:val="002538F3"/>
    <w:rsid w:val="00255BA0"/>
    <w:rsid w:val="00256B9F"/>
    <w:rsid w:val="002570E5"/>
    <w:rsid w:val="00261535"/>
    <w:rsid w:val="00261E48"/>
    <w:rsid w:val="00263427"/>
    <w:rsid w:val="00263731"/>
    <w:rsid w:val="00263886"/>
    <w:rsid w:val="00274F15"/>
    <w:rsid w:val="00283209"/>
    <w:rsid w:val="00285CDD"/>
    <w:rsid w:val="002900A6"/>
    <w:rsid w:val="00291167"/>
    <w:rsid w:val="0029198C"/>
    <w:rsid w:val="00295B46"/>
    <w:rsid w:val="00297ECB"/>
    <w:rsid w:val="002A1ABC"/>
    <w:rsid w:val="002B0648"/>
    <w:rsid w:val="002C1398"/>
    <w:rsid w:val="002C152A"/>
    <w:rsid w:val="002C2002"/>
    <w:rsid w:val="002C267B"/>
    <w:rsid w:val="002C5265"/>
    <w:rsid w:val="002C6B9D"/>
    <w:rsid w:val="002D029A"/>
    <w:rsid w:val="002D043A"/>
    <w:rsid w:val="002D0566"/>
    <w:rsid w:val="002D4E6D"/>
    <w:rsid w:val="002D744E"/>
    <w:rsid w:val="002E1FC6"/>
    <w:rsid w:val="002E6433"/>
    <w:rsid w:val="002E6C58"/>
    <w:rsid w:val="002F02C5"/>
    <w:rsid w:val="002F06A6"/>
    <w:rsid w:val="002F7CCE"/>
    <w:rsid w:val="003000D5"/>
    <w:rsid w:val="003107DD"/>
    <w:rsid w:val="00311578"/>
    <w:rsid w:val="00312246"/>
    <w:rsid w:val="00316968"/>
    <w:rsid w:val="0031713F"/>
    <w:rsid w:val="003173B2"/>
    <w:rsid w:val="00321913"/>
    <w:rsid w:val="00324EE6"/>
    <w:rsid w:val="003274D2"/>
    <w:rsid w:val="003309F9"/>
    <w:rsid w:val="003316DC"/>
    <w:rsid w:val="0033194F"/>
    <w:rsid w:val="00332E0D"/>
    <w:rsid w:val="00332FEC"/>
    <w:rsid w:val="003337D4"/>
    <w:rsid w:val="00337CE7"/>
    <w:rsid w:val="003415D3"/>
    <w:rsid w:val="00346335"/>
    <w:rsid w:val="00352B0F"/>
    <w:rsid w:val="00353326"/>
    <w:rsid w:val="003561B0"/>
    <w:rsid w:val="00367960"/>
    <w:rsid w:val="00374D5E"/>
    <w:rsid w:val="00382407"/>
    <w:rsid w:val="00382E69"/>
    <w:rsid w:val="00386A3A"/>
    <w:rsid w:val="003946B7"/>
    <w:rsid w:val="00395622"/>
    <w:rsid w:val="003A15AC"/>
    <w:rsid w:val="003A3A67"/>
    <w:rsid w:val="003A45E6"/>
    <w:rsid w:val="003A56EB"/>
    <w:rsid w:val="003B0627"/>
    <w:rsid w:val="003B45DB"/>
    <w:rsid w:val="003C2993"/>
    <w:rsid w:val="003C5F2B"/>
    <w:rsid w:val="003D0BFE"/>
    <w:rsid w:val="003D5700"/>
    <w:rsid w:val="003D5D86"/>
    <w:rsid w:val="003E397C"/>
    <w:rsid w:val="003E504A"/>
    <w:rsid w:val="003F0F5A"/>
    <w:rsid w:val="00400A30"/>
    <w:rsid w:val="004022CA"/>
    <w:rsid w:val="00402A46"/>
    <w:rsid w:val="0040689E"/>
    <w:rsid w:val="00410246"/>
    <w:rsid w:val="004102DE"/>
    <w:rsid w:val="0041118A"/>
    <w:rsid w:val="004115FD"/>
    <w:rsid w:val="004116CD"/>
    <w:rsid w:val="00414ADE"/>
    <w:rsid w:val="004242A3"/>
    <w:rsid w:val="0042443F"/>
    <w:rsid w:val="00424CA9"/>
    <w:rsid w:val="004257BB"/>
    <w:rsid w:val="004261D9"/>
    <w:rsid w:val="00434D21"/>
    <w:rsid w:val="0044291A"/>
    <w:rsid w:val="004575FB"/>
    <w:rsid w:val="00460499"/>
    <w:rsid w:val="0046076C"/>
    <w:rsid w:val="00470227"/>
    <w:rsid w:val="00474835"/>
    <w:rsid w:val="004819C7"/>
    <w:rsid w:val="0048364F"/>
    <w:rsid w:val="00490F2E"/>
    <w:rsid w:val="004912EF"/>
    <w:rsid w:val="0049141A"/>
    <w:rsid w:val="00491592"/>
    <w:rsid w:val="004919FA"/>
    <w:rsid w:val="00496DB3"/>
    <w:rsid w:val="00496F97"/>
    <w:rsid w:val="00497C68"/>
    <w:rsid w:val="004A0D0B"/>
    <w:rsid w:val="004A53EA"/>
    <w:rsid w:val="004A5E59"/>
    <w:rsid w:val="004B65CD"/>
    <w:rsid w:val="004B6D25"/>
    <w:rsid w:val="004C160E"/>
    <w:rsid w:val="004C17E7"/>
    <w:rsid w:val="004D473C"/>
    <w:rsid w:val="004D5DA0"/>
    <w:rsid w:val="004E01AD"/>
    <w:rsid w:val="004E38F3"/>
    <w:rsid w:val="004E4C22"/>
    <w:rsid w:val="004F1FAC"/>
    <w:rsid w:val="004F48AA"/>
    <w:rsid w:val="004F676E"/>
    <w:rsid w:val="00504714"/>
    <w:rsid w:val="00505833"/>
    <w:rsid w:val="00511237"/>
    <w:rsid w:val="00512F35"/>
    <w:rsid w:val="00513558"/>
    <w:rsid w:val="00516ACA"/>
    <w:rsid w:val="00516B8D"/>
    <w:rsid w:val="00517F82"/>
    <w:rsid w:val="005201B5"/>
    <w:rsid w:val="0052353F"/>
    <w:rsid w:val="005238AC"/>
    <w:rsid w:val="00523D8D"/>
    <w:rsid w:val="0052686F"/>
    <w:rsid w:val="0052756C"/>
    <w:rsid w:val="005276CC"/>
    <w:rsid w:val="00530230"/>
    <w:rsid w:val="00530BE6"/>
    <w:rsid w:val="00530CC9"/>
    <w:rsid w:val="00533A7B"/>
    <w:rsid w:val="00534D61"/>
    <w:rsid w:val="00536B46"/>
    <w:rsid w:val="00537FBC"/>
    <w:rsid w:val="00541D73"/>
    <w:rsid w:val="00543469"/>
    <w:rsid w:val="00545037"/>
    <w:rsid w:val="005452CC"/>
    <w:rsid w:val="00546FA3"/>
    <w:rsid w:val="00554243"/>
    <w:rsid w:val="00554531"/>
    <w:rsid w:val="00556B3B"/>
    <w:rsid w:val="00557C7A"/>
    <w:rsid w:val="00561A84"/>
    <w:rsid w:val="005620CB"/>
    <w:rsid w:val="00562A58"/>
    <w:rsid w:val="00563E1E"/>
    <w:rsid w:val="00564DD4"/>
    <w:rsid w:val="00570FFB"/>
    <w:rsid w:val="005807C3"/>
    <w:rsid w:val="00580C0E"/>
    <w:rsid w:val="00581211"/>
    <w:rsid w:val="00584811"/>
    <w:rsid w:val="0059218A"/>
    <w:rsid w:val="00593AA6"/>
    <w:rsid w:val="00594161"/>
    <w:rsid w:val="00594512"/>
    <w:rsid w:val="00594749"/>
    <w:rsid w:val="005953DB"/>
    <w:rsid w:val="005A0535"/>
    <w:rsid w:val="005A12CA"/>
    <w:rsid w:val="005A482B"/>
    <w:rsid w:val="005A6DF5"/>
    <w:rsid w:val="005B4067"/>
    <w:rsid w:val="005C36E0"/>
    <w:rsid w:val="005C3F41"/>
    <w:rsid w:val="005D168D"/>
    <w:rsid w:val="005D5EA1"/>
    <w:rsid w:val="005D769B"/>
    <w:rsid w:val="005D7C4F"/>
    <w:rsid w:val="005E41E7"/>
    <w:rsid w:val="005E56F6"/>
    <w:rsid w:val="005E5959"/>
    <w:rsid w:val="005E61D3"/>
    <w:rsid w:val="005F3068"/>
    <w:rsid w:val="005F38E3"/>
    <w:rsid w:val="005F4840"/>
    <w:rsid w:val="005F4E5B"/>
    <w:rsid w:val="005F7738"/>
    <w:rsid w:val="00600082"/>
    <w:rsid w:val="00600219"/>
    <w:rsid w:val="006047B1"/>
    <w:rsid w:val="00605A80"/>
    <w:rsid w:val="00612AF9"/>
    <w:rsid w:val="00613EAD"/>
    <w:rsid w:val="006146FD"/>
    <w:rsid w:val="006158AC"/>
    <w:rsid w:val="006168DE"/>
    <w:rsid w:val="006267CE"/>
    <w:rsid w:val="006303C8"/>
    <w:rsid w:val="00635D4B"/>
    <w:rsid w:val="00636C8F"/>
    <w:rsid w:val="00637968"/>
    <w:rsid w:val="00640402"/>
    <w:rsid w:val="00640F78"/>
    <w:rsid w:val="00646E7B"/>
    <w:rsid w:val="00650541"/>
    <w:rsid w:val="006509AF"/>
    <w:rsid w:val="0065321A"/>
    <w:rsid w:val="0065554A"/>
    <w:rsid w:val="00655787"/>
    <w:rsid w:val="00655D6A"/>
    <w:rsid w:val="00656DE9"/>
    <w:rsid w:val="00667072"/>
    <w:rsid w:val="00667C24"/>
    <w:rsid w:val="00677CC2"/>
    <w:rsid w:val="00685ADA"/>
    <w:rsid w:val="00685F42"/>
    <w:rsid w:val="006866A1"/>
    <w:rsid w:val="00686D2C"/>
    <w:rsid w:val="006905E4"/>
    <w:rsid w:val="0069207B"/>
    <w:rsid w:val="006A4309"/>
    <w:rsid w:val="006B0E55"/>
    <w:rsid w:val="006B7006"/>
    <w:rsid w:val="006C7F8C"/>
    <w:rsid w:val="006D2E4F"/>
    <w:rsid w:val="006D797E"/>
    <w:rsid w:val="006D7AB9"/>
    <w:rsid w:val="006E0B1D"/>
    <w:rsid w:val="006E1567"/>
    <w:rsid w:val="006E5FAB"/>
    <w:rsid w:val="006E71EE"/>
    <w:rsid w:val="00700B2C"/>
    <w:rsid w:val="00702FA1"/>
    <w:rsid w:val="00704828"/>
    <w:rsid w:val="00713084"/>
    <w:rsid w:val="00714043"/>
    <w:rsid w:val="0071515C"/>
    <w:rsid w:val="007154A7"/>
    <w:rsid w:val="00720FC2"/>
    <w:rsid w:val="00731E00"/>
    <w:rsid w:val="00732E9D"/>
    <w:rsid w:val="0073491A"/>
    <w:rsid w:val="00742D48"/>
    <w:rsid w:val="007434CB"/>
    <w:rsid w:val="007440B7"/>
    <w:rsid w:val="00745AFD"/>
    <w:rsid w:val="007473C5"/>
    <w:rsid w:val="00747993"/>
    <w:rsid w:val="0075773C"/>
    <w:rsid w:val="00757EEC"/>
    <w:rsid w:val="0076021B"/>
    <w:rsid w:val="007634AD"/>
    <w:rsid w:val="00763626"/>
    <w:rsid w:val="0076404E"/>
    <w:rsid w:val="00764349"/>
    <w:rsid w:val="0076545C"/>
    <w:rsid w:val="0076708F"/>
    <w:rsid w:val="007715C9"/>
    <w:rsid w:val="00772A1E"/>
    <w:rsid w:val="00773BC4"/>
    <w:rsid w:val="00774EDD"/>
    <w:rsid w:val="007757EC"/>
    <w:rsid w:val="00783CDB"/>
    <w:rsid w:val="00792FDB"/>
    <w:rsid w:val="007A115D"/>
    <w:rsid w:val="007A35E6"/>
    <w:rsid w:val="007A366E"/>
    <w:rsid w:val="007A6863"/>
    <w:rsid w:val="007B41B3"/>
    <w:rsid w:val="007B45DD"/>
    <w:rsid w:val="007B6495"/>
    <w:rsid w:val="007D45C1"/>
    <w:rsid w:val="007D6270"/>
    <w:rsid w:val="007E7D4A"/>
    <w:rsid w:val="007F0096"/>
    <w:rsid w:val="007F1A5E"/>
    <w:rsid w:val="007F3E3A"/>
    <w:rsid w:val="007F3E75"/>
    <w:rsid w:val="007F48ED"/>
    <w:rsid w:val="007F7947"/>
    <w:rsid w:val="00801CD8"/>
    <w:rsid w:val="00802A0F"/>
    <w:rsid w:val="00803D8E"/>
    <w:rsid w:val="00803E24"/>
    <w:rsid w:val="00804B1B"/>
    <w:rsid w:val="008073F6"/>
    <w:rsid w:val="00812E7B"/>
    <w:rsid w:val="00812F45"/>
    <w:rsid w:val="00821F17"/>
    <w:rsid w:val="00823B55"/>
    <w:rsid w:val="00824005"/>
    <w:rsid w:val="008314FA"/>
    <w:rsid w:val="00833846"/>
    <w:rsid w:val="0084172C"/>
    <w:rsid w:val="00843BC2"/>
    <w:rsid w:val="008479E3"/>
    <w:rsid w:val="00853A52"/>
    <w:rsid w:val="0085589B"/>
    <w:rsid w:val="00856A31"/>
    <w:rsid w:val="00862016"/>
    <w:rsid w:val="008719D9"/>
    <w:rsid w:val="008754D0"/>
    <w:rsid w:val="0087609D"/>
    <w:rsid w:val="00877D48"/>
    <w:rsid w:val="008816F0"/>
    <w:rsid w:val="00882B29"/>
    <w:rsid w:val="0088345B"/>
    <w:rsid w:val="00891A03"/>
    <w:rsid w:val="00897C48"/>
    <w:rsid w:val="008A110A"/>
    <w:rsid w:val="008A16A5"/>
    <w:rsid w:val="008A254E"/>
    <w:rsid w:val="008A64D1"/>
    <w:rsid w:val="008B00F8"/>
    <w:rsid w:val="008B11F0"/>
    <w:rsid w:val="008B23A0"/>
    <w:rsid w:val="008B5D42"/>
    <w:rsid w:val="008B7626"/>
    <w:rsid w:val="008C2B48"/>
    <w:rsid w:val="008C2B5D"/>
    <w:rsid w:val="008C5108"/>
    <w:rsid w:val="008D0EE0"/>
    <w:rsid w:val="008D528C"/>
    <w:rsid w:val="008D5B99"/>
    <w:rsid w:val="008D7A27"/>
    <w:rsid w:val="008E4702"/>
    <w:rsid w:val="008E69AA"/>
    <w:rsid w:val="008F4F1C"/>
    <w:rsid w:val="00906F76"/>
    <w:rsid w:val="00911310"/>
    <w:rsid w:val="009156CA"/>
    <w:rsid w:val="0091579F"/>
    <w:rsid w:val="009167C1"/>
    <w:rsid w:val="00920C30"/>
    <w:rsid w:val="00920F9E"/>
    <w:rsid w:val="00921384"/>
    <w:rsid w:val="00922764"/>
    <w:rsid w:val="00922A33"/>
    <w:rsid w:val="0092493B"/>
    <w:rsid w:val="00930A86"/>
    <w:rsid w:val="00931658"/>
    <w:rsid w:val="00932377"/>
    <w:rsid w:val="00937E81"/>
    <w:rsid w:val="009408EA"/>
    <w:rsid w:val="00941963"/>
    <w:rsid w:val="00943102"/>
    <w:rsid w:val="0094523D"/>
    <w:rsid w:val="009559E6"/>
    <w:rsid w:val="0096124F"/>
    <w:rsid w:val="00962E7E"/>
    <w:rsid w:val="00976A63"/>
    <w:rsid w:val="009817A7"/>
    <w:rsid w:val="00982EBA"/>
    <w:rsid w:val="00983419"/>
    <w:rsid w:val="00983CB5"/>
    <w:rsid w:val="009845AF"/>
    <w:rsid w:val="00985B86"/>
    <w:rsid w:val="00994821"/>
    <w:rsid w:val="00995C24"/>
    <w:rsid w:val="009A016D"/>
    <w:rsid w:val="009A4BB9"/>
    <w:rsid w:val="009B0AB1"/>
    <w:rsid w:val="009B1380"/>
    <w:rsid w:val="009C3431"/>
    <w:rsid w:val="009C4C35"/>
    <w:rsid w:val="009C5989"/>
    <w:rsid w:val="009D08DA"/>
    <w:rsid w:val="009D0A6A"/>
    <w:rsid w:val="009F11D1"/>
    <w:rsid w:val="009F467F"/>
    <w:rsid w:val="00A06860"/>
    <w:rsid w:val="00A12473"/>
    <w:rsid w:val="00A1354D"/>
    <w:rsid w:val="00A136F5"/>
    <w:rsid w:val="00A15F55"/>
    <w:rsid w:val="00A231E2"/>
    <w:rsid w:val="00A23A6D"/>
    <w:rsid w:val="00A24307"/>
    <w:rsid w:val="00A2550D"/>
    <w:rsid w:val="00A33AEC"/>
    <w:rsid w:val="00A35CAF"/>
    <w:rsid w:val="00A4169B"/>
    <w:rsid w:val="00A445F2"/>
    <w:rsid w:val="00A45761"/>
    <w:rsid w:val="00A50D55"/>
    <w:rsid w:val="00A5165B"/>
    <w:rsid w:val="00A52FDA"/>
    <w:rsid w:val="00A543AC"/>
    <w:rsid w:val="00A55F69"/>
    <w:rsid w:val="00A64912"/>
    <w:rsid w:val="00A666BA"/>
    <w:rsid w:val="00A70A74"/>
    <w:rsid w:val="00A71304"/>
    <w:rsid w:val="00A74D74"/>
    <w:rsid w:val="00A75693"/>
    <w:rsid w:val="00A7786B"/>
    <w:rsid w:val="00A8766B"/>
    <w:rsid w:val="00A90EA8"/>
    <w:rsid w:val="00A910A8"/>
    <w:rsid w:val="00AA0343"/>
    <w:rsid w:val="00AA2A5C"/>
    <w:rsid w:val="00AA67F5"/>
    <w:rsid w:val="00AB78E9"/>
    <w:rsid w:val="00AC5134"/>
    <w:rsid w:val="00AD11E1"/>
    <w:rsid w:val="00AD1904"/>
    <w:rsid w:val="00AD3467"/>
    <w:rsid w:val="00AD5641"/>
    <w:rsid w:val="00AD69BD"/>
    <w:rsid w:val="00AD7252"/>
    <w:rsid w:val="00AE0F9B"/>
    <w:rsid w:val="00AF3A7E"/>
    <w:rsid w:val="00AF3B47"/>
    <w:rsid w:val="00AF55FF"/>
    <w:rsid w:val="00B029CB"/>
    <w:rsid w:val="00B032D8"/>
    <w:rsid w:val="00B04244"/>
    <w:rsid w:val="00B04A49"/>
    <w:rsid w:val="00B062F4"/>
    <w:rsid w:val="00B07077"/>
    <w:rsid w:val="00B07E13"/>
    <w:rsid w:val="00B10546"/>
    <w:rsid w:val="00B144E9"/>
    <w:rsid w:val="00B16D05"/>
    <w:rsid w:val="00B1797C"/>
    <w:rsid w:val="00B20C9D"/>
    <w:rsid w:val="00B33B3C"/>
    <w:rsid w:val="00B35137"/>
    <w:rsid w:val="00B40D74"/>
    <w:rsid w:val="00B42A21"/>
    <w:rsid w:val="00B43FE4"/>
    <w:rsid w:val="00B47196"/>
    <w:rsid w:val="00B52663"/>
    <w:rsid w:val="00B56DCB"/>
    <w:rsid w:val="00B66125"/>
    <w:rsid w:val="00B66F2E"/>
    <w:rsid w:val="00B7647E"/>
    <w:rsid w:val="00B770D2"/>
    <w:rsid w:val="00B77AD0"/>
    <w:rsid w:val="00B94F68"/>
    <w:rsid w:val="00B951C8"/>
    <w:rsid w:val="00B95330"/>
    <w:rsid w:val="00BA0589"/>
    <w:rsid w:val="00BA1765"/>
    <w:rsid w:val="00BA1BC7"/>
    <w:rsid w:val="00BA47A3"/>
    <w:rsid w:val="00BA5026"/>
    <w:rsid w:val="00BA52D4"/>
    <w:rsid w:val="00BA6518"/>
    <w:rsid w:val="00BB495A"/>
    <w:rsid w:val="00BB6E79"/>
    <w:rsid w:val="00BC2AE2"/>
    <w:rsid w:val="00BD396B"/>
    <w:rsid w:val="00BD5A24"/>
    <w:rsid w:val="00BE3B31"/>
    <w:rsid w:val="00BE719A"/>
    <w:rsid w:val="00BE720A"/>
    <w:rsid w:val="00BF6650"/>
    <w:rsid w:val="00C03F60"/>
    <w:rsid w:val="00C0432F"/>
    <w:rsid w:val="00C044BA"/>
    <w:rsid w:val="00C067E5"/>
    <w:rsid w:val="00C0685E"/>
    <w:rsid w:val="00C07D73"/>
    <w:rsid w:val="00C1027D"/>
    <w:rsid w:val="00C10AC8"/>
    <w:rsid w:val="00C1238B"/>
    <w:rsid w:val="00C164CA"/>
    <w:rsid w:val="00C167C5"/>
    <w:rsid w:val="00C245F9"/>
    <w:rsid w:val="00C26A15"/>
    <w:rsid w:val="00C30427"/>
    <w:rsid w:val="00C31D75"/>
    <w:rsid w:val="00C3240E"/>
    <w:rsid w:val="00C3658F"/>
    <w:rsid w:val="00C42BF8"/>
    <w:rsid w:val="00C44D10"/>
    <w:rsid w:val="00C460AE"/>
    <w:rsid w:val="00C50043"/>
    <w:rsid w:val="00C50A0F"/>
    <w:rsid w:val="00C56672"/>
    <w:rsid w:val="00C60F24"/>
    <w:rsid w:val="00C65FB5"/>
    <w:rsid w:val="00C73D9D"/>
    <w:rsid w:val="00C746C8"/>
    <w:rsid w:val="00C7573B"/>
    <w:rsid w:val="00C76620"/>
    <w:rsid w:val="00C76CF3"/>
    <w:rsid w:val="00C82015"/>
    <w:rsid w:val="00C9184A"/>
    <w:rsid w:val="00C970D7"/>
    <w:rsid w:val="00CA3A9A"/>
    <w:rsid w:val="00CA7844"/>
    <w:rsid w:val="00CB4ADE"/>
    <w:rsid w:val="00CB58EF"/>
    <w:rsid w:val="00CB606A"/>
    <w:rsid w:val="00CC3F72"/>
    <w:rsid w:val="00CC5B0B"/>
    <w:rsid w:val="00CD7C13"/>
    <w:rsid w:val="00CE0950"/>
    <w:rsid w:val="00CE4750"/>
    <w:rsid w:val="00CE5570"/>
    <w:rsid w:val="00CE701F"/>
    <w:rsid w:val="00CE7D64"/>
    <w:rsid w:val="00CF0132"/>
    <w:rsid w:val="00CF0BB2"/>
    <w:rsid w:val="00CF1DD9"/>
    <w:rsid w:val="00CF324E"/>
    <w:rsid w:val="00CF3C60"/>
    <w:rsid w:val="00D10B02"/>
    <w:rsid w:val="00D13441"/>
    <w:rsid w:val="00D13ED3"/>
    <w:rsid w:val="00D20665"/>
    <w:rsid w:val="00D24079"/>
    <w:rsid w:val="00D243A3"/>
    <w:rsid w:val="00D3200B"/>
    <w:rsid w:val="00D33440"/>
    <w:rsid w:val="00D451C0"/>
    <w:rsid w:val="00D467EF"/>
    <w:rsid w:val="00D502C6"/>
    <w:rsid w:val="00D50EE7"/>
    <w:rsid w:val="00D52EFE"/>
    <w:rsid w:val="00D544AD"/>
    <w:rsid w:val="00D54B9C"/>
    <w:rsid w:val="00D54CC3"/>
    <w:rsid w:val="00D56121"/>
    <w:rsid w:val="00D56A0D"/>
    <w:rsid w:val="00D5767F"/>
    <w:rsid w:val="00D63EF6"/>
    <w:rsid w:val="00D66518"/>
    <w:rsid w:val="00D66AFE"/>
    <w:rsid w:val="00D70DFB"/>
    <w:rsid w:val="00D71EEA"/>
    <w:rsid w:val="00D72524"/>
    <w:rsid w:val="00D735CD"/>
    <w:rsid w:val="00D73B54"/>
    <w:rsid w:val="00D73EB7"/>
    <w:rsid w:val="00D766DF"/>
    <w:rsid w:val="00D8160B"/>
    <w:rsid w:val="00D858CC"/>
    <w:rsid w:val="00D94FA4"/>
    <w:rsid w:val="00D95225"/>
    <w:rsid w:val="00D95891"/>
    <w:rsid w:val="00D96A95"/>
    <w:rsid w:val="00DA1F11"/>
    <w:rsid w:val="00DA6225"/>
    <w:rsid w:val="00DA6A97"/>
    <w:rsid w:val="00DB5CB4"/>
    <w:rsid w:val="00DB6449"/>
    <w:rsid w:val="00DC1468"/>
    <w:rsid w:val="00DC4E8C"/>
    <w:rsid w:val="00DC669D"/>
    <w:rsid w:val="00DD13AA"/>
    <w:rsid w:val="00DD1E4A"/>
    <w:rsid w:val="00DD2120"/>
    <w:rsid w:val="00DE149E"/>
    <w:rsid w:val="00DE72AA"/>
    <w:rsid w:val="00DE72E6"/>
    <w:rsid w:val="00DF1860"/>
    <w:rsid w:val="00DF286A"/>
    <w:rsid w:val="00DF5BC1"/>
    <w:rsid w:val="00DF6CFE"/>
    <w:rsid w:val="00E04190"/>
    <w:rsid w:val="00E05704"/>
    <w:rsid w:val="00E12DF4"/>
    <w:rsid w:val="00E12F1A"/>
    <w:rsid w:val="00E15561"/>
    <w:rsid w:val="00E17619"/>
    <w:rsid w:val="00E21CFB"/>
    <w:rsid w:val="00E22935"/>
    <w:rsid w:val="00E23EE0"/>
    <w:rsid w:val="00E24401"/>
    <w:rsid w:val="00E24CD1"/>
    <w:rsid w:val="00E32605"/>
    <w:rsid w:val="00E34267"/>
    <w:rsid w:val="00E37978"/>
    <w:rsid w:val="00E42945"/>
    <w:rsid w:val="00E44E47"/>
    <w:rsid w:val="00E4756D"/>
    <w:rsid w:val="00E54213"/>
    <w:rsid w:val="00E54292"/>
    <w:rsid w:val="00E5655A"/>
    <w:rsid w:val="00E60191"/>
    <w:rsid w:val="00E723A7"/>
    <w:rsid w:val="00E72709"/>
    <w:rsid w:val="00E74DC7"/>
    <w:rsid w:val="00E87699"/>
    <w:rsid w:val="00E906A5"/>
    <w:rsid w:val="00E92007"/>
    <w:rsid w:val="00E92E27"/>
    <w:rsid w:val="00E9586B"/>
    <w:rsid w:val="00E97334"/>
    <w:rsid w:val="00EA0D36"/>
    <w:rsid w:val="00EA7704"/>
    <w:rsid w:val="00EB00A1"/>
    <w:rsid w:val="00EC1469"/>
    <w:rsid w:val="00EC33AB"/>
    <w:rsid w:val="00EC4B1A"/>
    <w:rsid w:val="00EC6BA1"/>
    <w:rsid w:val="00ED027D"/>
    <w:rsid w:val="00ED38C9"/>
    <w:rsid w:val="00ED4928"/>
    <w:rsid w:val="00EE0706"/>
    <w:rsid w:val="00EE3749"/>
    <w:rsid w:val="00EE6190"/>
    <w:rsid w:val="00EE7F7B"/>
    <w:rsid w:val="00EF0CFA"/>
    <w:rsid w:val="00EF2E3A"/>
    <w:rsid w:val="00EF6402"/>
    <w:rsid w:val="00F02061"/>
    <w:rsid w:val="00F025DF"/>
    <w:rsid w:val="00F02F7A"/>
    <w:rsid w:val="00F047E2"/>
    <w:rsid w:val="00F04D57"/>
    <w:rsid w:val="00F053A1"/>
    <w:rsid w:val="00F05409"/>
    <w:rsid w:val="00F076D8"/>
    <w:rsid w:val="00F078DC"/>
    <w:rsid w:val="00F07F1F"/>
    <w:rsid w:val="00F1039B"/>
    <w:rsid w:val="00F13E86"/>
    <w:rsid w:val="00F17178"/>
    <w:rsid w:val="00F179EB"/>
    <w:rsid w:val="00F22062"/>
    <w:rsid w:val="00F220F4"/>
    <w:rsid w:val="00F30416"/>
    <w:rsid w:val="00F32FCB"/>
    <w:rsid w:val="00F37024"/>
    <w:rsid w:val="00F42E0D"/>
    <w:rsid w:val="00F613D6"/>
    <w:rsid w:val="00F61856"/>
    <w:rsid w:val="00F6512D"/>
    <w:rsid w:val="00F6709F"/>
    <w:rsid w:val="00F677A9"/>
    <w:rsid w:val="00F707D9"/>
    <w:rsid w:val="00F71295"/>
    <w:rsid w:val="00F723BD"/>
    <w:rsid w:val="00F72715"/>
    <w:rsid w:val="00F732EA"/>
    <w:rsid w:val="00F73896"/>
    <w:rsid w:val="00F768EA"/>
    <w:rsid w:val="00F77316"/>
    <w:rsid w:val="00F84CF5"/>
    <w:rsid w:val="00F8612E"/>
    <w:rsid w:val="00F9734C"/>
    <w:rsid w:val="00FA17B3"/>
    <w:rsid w:val="00FA420B"/>
    <w:rsid w:val="00FB2144"/>
    <w:rsid w:val="00FB4F5A"/>
    <w:rsid w:val="00FD095D"/>
    <w:rsid w:val="00FD77EC"/>
    <w:rsid w:val="00FE0781"/>
    <w:rsid w:val="00FE1233"/>
    <w:rsid w:val="00FE3477"/>
    <w:rsid w:val="00FE3F70"/>
    <w:rsid w:val="00FE49F8"/>
    <w:rsid w:val="00FF2507"/>
    <w:rsid w:val="00FF39DE"/>
    <w:rsid w:val="00FF5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E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C2002"/>
    <w:pPr>
      <w:spacing w:line="260" w:lineRule="atLeast"/>
    </w:pPr>
    <w:rPr>
      <w:sz w:val="22"/>
    </w:rPr>
  </w:style>
  <w:style w:type="paragraph" w:styleId="Heading1">
    <w:name w:val="heading 1"/>
    <w:basedOn w:val="Normal"/>
    <w:next w:val="Normal"/>
    <w:link w:val="Heading1Char"/>
    <w:uiPriority w:val="9"/>
    <w:qFormat/>
    <w:rsid w:val="002C200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200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200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200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C200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C200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C200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C200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C200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C2002"/>
  </w:style>
  <w:style w:type="paragraph" w:customStyle="1" w:styleId="OPCParaBase">
    <w:name w:val="OPCParaBase"/>
    <w:qFormat/>
    <w:rsid w:val="002C2002"/>
    <w:pPr>
      <w:spacing w:line="260" w:lineRule="atLeast"/>
    </w:pPr>
    <w:rPr>
      <w:rFonts w:eastAsia="Times New Roman" w:cs="Times New Roman"/>
      <w:sz w:val="22"/>
      <w:lang w:eastAsia="en-AU"/>
    </w:rPr>
  </w:style>
  <w:style w:type="paragraph" w:customStyle="1" w:styleId="ShortT">
    <w:name w:val="ShortT"/>
    <w:basedOn w:val="OPCParaBase"/>
    <w:next w:val="Normal"/>
    <w:qFormat/>
    <w:rsid w:val="002C2002"/>
    <w:pPr>
      <w:spacing w:line="240" w:lineRule="auto"/>
    </w:pPr>
    <w:rPr>
      <w:b/>
      <w:sz w:val="40"/>
    </w:rPr>
  </w:style>
  <w:style w:type="paragraph" w:customStyle="1" w:styleId="ActHead1">
    <w:name w:val="ActHead 1"/>
    <w:aliases w:val="c"/>
    <w:basedOn w:val="OPCParaBase"/>
    <w:next w:val="Normal"/>
    <w:qFormat/>
    <w:rsid w:val="002C20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C20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C20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C20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C200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C20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C200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C20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C200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C2002"/>
  </w:style>
  <w:style w:type="paragraph" w:customStyle="1" w:styleId="Blocks">
    <w:name w:val="Blocks"/>
    <w:aliases w:val="bb"/>
    <w:basedOn w:val="OPCParaBase"/>
    <w:qFormat/>
    <w:rsid w:val="002C2002"/>
    <w:pPr>
      <w:spacing w:line="240" w:lineRule="auto"/>
    </w:pPr>
    <w:rPr>
      <w:sz w:val="24"/>
    </w:rPr>
  </w:style>
  <w:style w:type="paragraph" w:customStyle="1" w:styleId="BoxText">
    <w:name w:val="BoxText"/>
    <w:aliases w:val="bt"/>
    <w:basedOn w:val="OPCParaBase"/>
    <w:qFormat/>
    <w:rsid w:val="002C20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C2002"/>
    <w:rPr>
      <w:b/>
    </w:rPr>
  </w:style>
  <w:style w:type="paragraph" w:customStyle="1" w:styleId="BoxHeadItalic">
    <w:name w:val="BoxHeadItalic"/>
    <w:aliases w:val="bhi"/>
    <w:basedOn w:val="BoxText"/>
    <w:next w:val="BoxStep"/>
    <w:qFormat/>
    <w:rsid w:val="002C2002"/>
    <w:rPr>
      <w:i/>
    </w:rPr>
  </w:style>
  <w:style w:type="paragraph" w:customStyle="1" w:styleId="BoxList">
    <w:name w:val="BoxList"/>
    <w:aliases w:val="bl"/>
    <w:basedOn w:val="BoxText"/>
    <w:qFormat/>
    <w:rsid w:val="002C2002"/>
    <w:pPr>
      <w:ind w:left="1559" w:hanging="425"/>
    </w:pPr>
  </w:style>
  <w:style w:type="paragraph" w:customStyle="1" w:styleId="BoxNote">
    <w:name w:val="BoxNote"/>
    <w:aliases w:val="bn"/>
    <w:basedOn w:val="BoxText"/>
    <w:qFormat/>
    <w:rsid w:val="002C2002"/>
    <w:pPr>
      <w:tabs>
        <w:tab w:val="left" w:pos="1985"/>
      </w:tabs>
      <w:spacing w:before="122" w:line="198" w:lineRule="exact"/>
      <w:ind w:left="2948" w:hanging="1814"/>
    </w:pPr>
    <w:rPr>
      <w:sz w:val="18"/>
    </w:rPr>
  </w:style>
  <w:style w:type="paragraph" w:customStyle="1" w:styleId="BoxPara">
    <w:name w:val="BoxPara"/>
    <w:aliases w:val="bp"/>
    <w:basedOn w:val="BoxText"/>
    <w:qFormat/>
    <w:rsid w:val="002C2002"/>
    <w:pPr>
      <w:tabs>
        <w:tab w:val="right" w:pos="2268"/>
      </w:tabs>
      <w:ind w:left="2552" w:hanging="1418"/>
    </w:pPr>
  </w:style>
  <w:style w:type="paragraph" w:customStyle="1" w:styleId="BoxStep">
    <w:name w:val="BoxStep"/>
    <w:aliases w:val="bs"/>
    <w:basedOn w:val="BoxText"/>
    <w:qFormat/>
    <w:rsid w:val="002C2002"/>
    <w:pPr>
      <w:ind w:left="1985" w:hanging="851"/>
    </w:pPr>
  </w:style>
  <w:style w:type="character" w:customStyle="1" w:styleId="CharAmPartNo">
    <w:name w:val="CharAmPartNo"/>
    <w:basedOn w:val="OPCCharBase"/>
    <w:qFormat/>
    <w:rsid w:val="002C2002"/>
  </w:style>
  <w:style w:type="character" w:customStyle="1" w:styleId="CharAmPartText">
    <w:name w:val="CharAmPartText"/>
    <w:basedOn w:val="OPCCharBase"/>
    <w:qFormat/>
    <w:rsid w:val="002C2002"/>
  </w:style>
  <w:style w:type="character" w:customStyle="1" w:styleId="CharAmSchNo">
    <w:name w:val="CharAmSchNo"/>
    <w:basedOn w:val="OPCCharBase"/>
    <w:qFormat/>
    <w:rsid w:val="002C2002"/>
  </w:style>
  <w:style w:type="character" w:customStyle="1" w:styleId="CharAmSchText">
    <w:name w:val="CharAmSchText"/>
    <w:basedOn w:val="OPCCharBase"/>
    <w:qFormat/>
    <w:rsid w:val="002C2002"/>
  </w:style>
  <w:style w:type="character" w:customStyle="1" w:styleId="CharBoldItalic">
    <w:name w:val="CharBoldItalic"/>
    <w:basedOn w:val="OPCCharBase"/>
    <w:uiPriority w:val="1"/>
    <w:qFormat/>
    <w:rsid w:val="002C2002"/>
    <w:rPr>
      <w:b/>
      <w:i/>
    </w:rPr>
  </w:style>
  <w:style w:type="character" w:customStyle="1" w:styleId="CharChapNo">
    <w:name w:val="CharChapNo"/>
    <w:basedOn w:val="OPCCharBase"/>
    <w:uiPriority w:val="1"/>
    <w:qFormat/>
    <w:rsid w:val="002C2002"/>
  </w:style>
  <w:style w:type="character" w:customStyle="1" w:styleId="CharChapText">
    <w:name w:val="CharChapText"/>
    <w:basedOn w:val="OPCCharBase"/>
    <w:uiPriority w:val="1"/>
    <w:qFormat/>
    <w:rsid w:val="002C2002"/>
  </w:style>
  <w:style w:type="character" w:customStyle="1" w:styleId="CharDivNo">
    <w:name w:val="CharDivNo"/>
    <w:basedOn w:val="OPCCharBase"/>
    <w:uiPriority w:val="1"/>
    <w:qFormat/>
    <w:rsid w:val="002C2002"/>
  </w:style>
  <w:style w:type="character" w:customStyle="1" w:styleId="CharDivText">
    <w:name w:val="CharDivText"/>
    <w:basedOn w:val="OPCCharBase"/>
    <w:uiPriority w:val="1"/>
    <w:qFormat/>
    <w:rsid w:val="002C2002"/>
  </w:style>
  <w:style w:type="character" w:customStyle="1" w:styleId="CharItalic">
    <w:name w:val="CharItalic"/>
    <w:basedOn w:val="OPCCharBase"/>
    <w:uiPriority w:val="1"/>
    <w:qFormat/>
    <w:rsid w:val="002C2002"/>
    <w:rPr>
      <w:i/>
    </w:rPr>
  </w:style>
  <w:style w:type="character" w:customStyle="1" w:styleId="CharPartNo">
    <w:name w:val="CharPartNo"/>
    <w:basedOn w:val="OPCCharBase"/>
    <w:uiPriority w:val="1"/>
    <w:qFormat/>
    <w:rsid w:val="002C2002"/>
  </w:style>
  <w:style w:type="character" w:customStyle="1" w:styleId="CharPartText">
    <w:name w:val="CharPartText"/>
    <w:basedOn w:val="OPCCharBase"/>
    <w:uiPriority w:val="1"/>
    <w:qFormat/>
    <w:rsid w:val="002C2002"/>
  </w:style>
  <w:style w:type="character" w:customStyle="1" w:styleId="CharSectno">
    <w:name w:val="CharSectno"/>
    <w:basedOn w:val="OPCCharBase"/>
    <w:qFormat/>
    <w:rsid w:val="002C2002"/>
  </w:style>
  <w:style w:type="character" w:customStyle="1" w:styleId="CharSubdNo">
    <w:name w:val="CharSubdNo"/>
    <w:basedOn w:val="OPCCharBase"/>
    <w:uiPriority w:val="1"/>
    <w:qFormat/>
    <w:rsid w:val="002C2002"/>
  </w:style>
  <w:style w:type="character" w:customStyle="1" w:styleId="CharSubdText">
    <w:name w:val="CharSubdText"/>
    <w:basedOn w:val="OPCCharBase"/>
    <w:uiPriority w:val="1"/>
    <w:qFormat/>
    <w:rsid w:val="002C2002"/>
  </w:style>
  <w:style w:type="paragraph" w:customStyle="1" w:styleId="CTA--">
    <w:name w:val="CTA --"/>
    <w:basedOn w:val="OPCParaBase"/>
    <w:next w:val="Normal"/>
    <w:rsid w:val="002C2002"/>
    <w:pPr>
      <w:spacing w:before="60" w:line="240" w:lineRule="atLeast"/>
      <w:ind w:left="142" w:hanging="142"/>
    </w:pPr>
    <w:rPr>
      <w:sz w:val="20"/>
    </w:rPr>
  </w:style>
  <w:style w:type="paragraph" w:customStyle="1" w:styleId="CTA-">
    <w:name w:val="CTA -"/>
    <w:basedOn w:val="OPCParaBase"/>
    <w:rsid w:val="002C2002"/>
    <w:pPr>
      <w:spacing w:before="60" w:line="240" w:lineRule="atLeast"/>
      <w:ind w:left="85" w:hanging="85"/>
    </w:pPr>
    <w:rPr>
      <w:sz w:val="20"/>
    </w:rPr>
  </w:style>
  <w:style w:type="paragraph" w:customStyle="1" w:styleId="CTA---">
    <w:name w:val="CTA ---"/>
    <w:basedOn w:val="OPCParaBase"/>
    <w:next w:val="Normal"/>
    <w:rsid w:val="002C2002"/>
    <w:pPr>
      <w:spacing w:before="60" w:line="240" w:lineRule="atLeast"/>
      <w:ind w:left="198" w:hanging="198"/>
    </w:pPr>
    <w:rPr>
      <w:sz w:val="20"/>
    </w:rPr>
  </w:style>
  <w:style w:type="paragraph" w:customStyle="1" w:styleId="CTA----">
    <w:name w:val="CTA ----"/>
    <w:basedOn w:val="OPCParaBase"/>
    <w:next w:val="Normal"/>
    <w:rsid w:val="002C2002"/>
    <w:pPr>
      <w:spacing w:before="60" w:line="240" w:lineRule="atLeast"/>
      <w:ind w:left="255" w:hanging="255"/>
    </w:pPr>
    <w:rPr>
      <w:sz w:val="20"/>
    </w:rPr>
  </w:style>
  <w:style w:type="paragraph" w:customStyle="1" w:styleId="CTA1a">
    <w:name w:val="CTA 1(a)"/>
    <w:basedOn w:val="OPCParaBase"/>
    <w:rsid w:val="002C2002"/>
    <w:pPr>
      <w:tabs>
        <w:tab w:val="right" w:pos="414"/>
      </w:tabs>
      <w:spacing w:before="40" w:line="240" w:lineRule="atLeast"/>
      <w:ind w:left="675" w:hanging="675"/>
    </w:pPr>
    <w:rPr>
      <w:sz w:val="20"/>
    </w:rPr>
  </w:style>
  <w:style w:type="paragraph" w:customStyle="1" w:styleId="CTA1ai">
    <w:name w:val="CTA 1(a)(i)"/>
    <w:basedOn w:val="OPCParaBase"/>
    <w:rsid w:val="002C2002"/>
    <w:pPr>
      <w:tabs>
        <w:tab w:val="right" w:pos="1004"/>
      </w:tabs>
      <w:spacing w:before="40" w:line="240" w:lineRule="atLeast"/>
      <w:ind w:left="1253" w:hanging="1253"/>
    </w:pPr>
    <w:rPr>
      <w:sz w:val="20"/>
    </w:rPr>
  </w:style>
  <w:style w:type="paragraph" w:customStyle="1" w:styleId="CTA2a">
    <w:name w:val="CTA 2(a)"/>
    <w:basedOn w:val="OPCParaBase"/>
    <w:rsid w:val="002C2002"/>
    <w:pPr>
      <w:tabs>
        <w:tab w:val="right" w:pos="482"/>
      </w:tabs>
      <w:spacing w:before="40" w:line="240" w:lineRule="atLeast"/>
      <w:ind w:left="748" w:hanging="748"/>
    </w:pPr>
    <w:rPr>
      <w:sz w:val="20"/>
    </w:rPr>
  </w:style>
  <w:style w:type="paragraph" w:customStyle="1" w:styleId="CTA2ai">
    <w:name w:val="CTA 2(a)(i)"/>
    <w:basedOn w:val="OPCParaBase"/>
    <w:rsid w:val="002C2002"/>
    <w:pPr>
      <w:tabs>
        <w:tab w:val="right" w:pos="1089"/>
      </w:tabs>
      <w:spacing w:before="40" w:line="240" w:lineRule="atLeast"/>
      <w:ind w:left="1327" w:hanging="1327"/>
    </w:pPr>
    <w:rPr>
      <w:sz w:val="20"/>
    </w:rPr>
  </w:style>
  <w:style w:type="paragraph" w:customStyle="1" w:styleId="CTA3a">
    <w:name w:val="CTA 3(a)"/>
    <w:basedOn w:val="OPCParaBase"/>
    <w:rsid w:val="002C2002"/>
    <w:pPr>
      <w:tabs>
        <w:tab w:val="right" w:pos="556"/>
      </w:tabs>
      <w:spacing w:before="40" w:line="240" w:lineRule="atLeast"/>
      <w:ind w:left="805" w:hanging="805"/>
    </w:pPr>
    <w:rPr>
      <w:sz w:val="20"/>
    </w:rPr>
  </w:style>
  <w:style w:type="paragraph" w:customStyle="1" w:styleId="CTA3ai">
    <w:name w:val="CTA 3(a)(i)"/>
    <w:basedOn w:val="OPCParaBase"/>
    <w:rsid w:val="002C2002"/>
    <w:pPr>
      <w:tabs>
        <w:tab w:val="right" w:pos="1140"/>
      </w:tabs>
      <w:spacing w:before="40" w:line="240" w:lineRule="atLeast"/>
      <w:ind w:left="1361" w:hanging="1361"/>
    </w:pPr>
    <w:rPr>
      <w:sz w:val="20"/>
    </w:rPr>
  </w:style>
  <w:style w:type="paragraph" w:customStyle="1" w:styleId="CTA4a">
    <w:name w:val="CTA 4(a)"/>
    <w:basedOn w:val="OPCParaBase"/>
    <w:rsid w:val="002C2002"/>
    <w:pPr>
      <w:tabs>
        <w:tab w:val="right" w:pos="624"/>
      </w:tabs>
      <w:spacing w:before="40" w:line="240" w:lineRule="atLeast"/>
      <w:ind w:left="873" w:hanging="873"/>
    </w:pPr>
    <w:rPr>
      <w:sz w:val="20"/>
    </w:rPr>
  </w:style>
  <w:style w:type="paragraph" w:customStyle="1" w:styleId="CTA4ai">
    <w:name w:val="CTA 4(a)(i)"/>
    <w:basedOn w:val="OPCParaBase"/>
    <w:rsid w:val="002C2002"/>
    <w:pPr>
      <w:tabs>
        <w:tab w:val="right" w:pos="1213"/>
      </w:tabs>
      <w:spacing w:before="40" w:line="240" w:lineRule="atLeast"/>
      <w:ind w:left="1452" w:hanging="1452"/>
    </w:pPr>
    <w:rPr>
      <w:sz w:val="20"/>
    </w:rPr>
  </w:style>
  <w:style w:type="paragraph" w:customStyle="1" w:styleId="CTACAPS">
    <w:name w:val="CTA CAPS"/>
    <w:basedOn w:val="OPCParaBase"/>
    <w:rsid w:val="002C2002"/>
    <w:pPr>
      <w:spacing w:before="60" w:line="240" w:lineRule="atLeast"/>
    </w:pPr>
    <w:rPr>
      <w:sz w:val="20"/>
    </w:rPr>
  </w:style>
  <w:style w:type="paragraph" w:customStyle="1" w:styleId="CTAright">
    <w:name w:val="CTA right"/>
    <w:basedOn w:val="OPCParaBase"/>
    <w:rsid w:val="002C2002"/>
    <w:pPr>
      <w:spacing w:before="60" w:line="240" w:lineRule="auto"/>
      <w:jc w:val="right"/>
    </w:pPr>
    <w:rPr>
      <w:sz w:val="20"/>
    </w:rPr>
  </w:style>
  <w:style w:type="paragraph" w:customStyle="1" w:styleId="subsection">
    <w:name w:val="subsection"/>
    <w:aliases w:val="ss"/>
    <w:basedOn w:val="OPCParaBase"/>
    <w:link w:val="subsectionChar"/>
    <w:rsid w:val="002C2002"/>
    <w:pPr>
      <w:tabs>
        <w:tab w:val="right" w:pos="1021"/>
      </w:tabs>
      <w:spacing w:before="180" w:line="240" w:lineRule="auto"/>
      <w:ind w:left="1134" w:hanging="1134"/>
    </w:pPr>
  </w:style>
  <w:style w:type="paragraph" w:customStyle="1" w:styleId="Definition">
    <w:name w:val="Definition"/>
    <w:aliases w:val="dd"/>
    <w:basedOn w:val="OPCParaBase"/>
    <w:rsid w:val="002C2002"/>
    <w:pPr>
      <w:spacing w:before="180" w:line="240" w:lineRule="auto"/>
      <w:ind w:left="1134"/>
    </w:pPr>
  </w:style>
  <w:style w:type="paragraph" w:customStyle="1" w:styleId="ETAsubitem">
    <w:name w:val="ETA(subitem)"/>
    <w:basedOn w:val="OPCParaBase"/>
    <w:rsid w:val="002C2002"/>
    <w:pPr>
      <w:tabs>
        <w:tab w:val="right" w:pos="340"/>
      </w:tabs>
      <w:spacing w:before="60" w:line="240" w:lineRule="auto"/>
      <w:ind w:left="454" w:hanging="454"/>
    </w:pPr>
    <w:rPr>
      <w:sz w:val="20"/>
    </w:rPr>
  </w:style>
  <w:style w:type="paragraph" w:customStyle="1" w:styleId="ETApara">
    <w:name w:val="ETA(para)"/>
    <w:basedOn w:val="OPCParaBase"/>
    <w:rsid w:val="002C2002"/>
    <w:pPr>
      <w:tabs>
        <w:tab w:val="right" w:pos="754"/>
      </w:tabs>
      <w:spacing w:before="60" w:line="240" w:lineRule="auto"/>
      <w:ind w:left="828" w:hanging="828"/>
    </w:pPr>
    <w:rPr>
      <w:sz w:val="20"/>
    </w:rPr>
  </w:style>
  <w:style w:type="paragraph" w:customStyle="1" w:styleId="ETAsubpara">
    <w:name w:val="ETA(subpara)"/>
    <w:basedOn w:val="OPCParaBase"/>
    <w:rsid w:val="002C2002"/>
    <w:pPr>
      <w:tabs>
        <w:tab w:val="right" w:pos="1083"/>
      </w:tabs>
      <w:spacing w:before="60" w:line="240" w:lineRule="auto"/>
      <w:ind w:left="1191" w:hanging="1191"/>
    </w:pPr>
    <w:rPr>
      <w:sz w:val="20"/>
    </w:rPr>
  </w:style>
  <w:style w:type="paragraph" w:customStyle="1" w:styleId="ETAsub-subpara">
    <w:name w:val="ETA(sub-subpara)"/>
    <w:basedOn w:val="OPCParaBase"/>
    <w:rsid w:val="002C2002"/>
    <w:pPr>
      <w:tabs>
        <w:tab w:val="right" w:pos="1412"/>
      </w:tabs>
      <w:spacing w:before="60" w:line="240" w:lineRule="auto"/>
      <w:ind w:left="1525" w:hanging="1525"/>
    </w:pPr>
    <w:rPr>
      <w:sz w:val="20"/>
    </w:rPr>
  </w:style>
  <w:style w:type="paragraph" w:customStyle="1" w:styleId="Formula">
    <w:name w:val="Formula"/>
    <w:basedOn w:val="OPCParaBase"/>
    <w:rsid w:val="002C2002"/>
    <w:pPr>
      <w:spacing w:line="240" w:lineRule="auto"/>
      <w:ind w:left="1134"/>
    </w:pPr>
    <w:rPr>
      <w:sz w:val="20"/>
    </w:rPr>
  </w:style>
  <w:style w:type="paragraph" w:styleId="Header">
    <w:name w:val="header"/>
    <w:basedOn w:val="OPCParaBase"/>
    <w:link w:val="HeaderChar"/>
    <w:unhideWhenUsed/>
    <w:rsid w:val="002C20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C2002"/>
    <w:rPr>
      <w:rFonts w:eastAsia="Times New Roman" w:cs="Times New Roman"/>
      <w:sz w:val="16"/>
      <w:lang w:eastAsia="en-AU"/>
    </w:rPr>
  </w:style>
  <w:style w:type="paragraph" w:customStyle="1" w:styleId="House">
    <w:name w:val="House"/>
    <w:basedOn w:val="OPCParaBase"/>
    <w:rsid w:val="002C2002"/>
    <w:pPr>
      <w:spacing w:line="240" w:lineRule="auto"/>
    </w:pPr>
    <w:rPr>
      <w:sz w:val="28"/>
    </w:rPr>
  </w:style>
  <w:style w:type="paragraph" w:customStyle="1" w:styleId="Item">
    <w:name w:val="Item"/>
    <w:aliases w:val="i"/>
    <w:basedOn w:val="OPCParaBase"/>
    <w:next w:val="ItemHead"/>
    <w:rsid w:val="002C2002"/>
    <w:pPr>
      <w:keepLines/>
      <w:spacing w:before="80" w:line="240" w:lineRule="auto"/>
      <w:ind w:left="709"/>
    </w:pPr>
  </w:style>
  <w:style w:type="paragraph" w:customStyle="1" w:styleId="ItemHead">
    <w:name w:val="ItemHead"/>
    <w:aliases w:val="ih"/>
    <w:basedOn w:val="OPCParaBase"/>
    <w:next w:val="Item"/>
    <w:link w:val="ItemHeadChar"/>
    <w:rsid w:val="002C200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C2002"/>
    <w:pPr>
      <w:spacing w:line="240" w:lineRule="auto"/>
    </w:pPr>
    <w:rPr>
      <w:b/>
      <w:sz w:val="32"/>
    </w:rPr>
  </w:style>
  <w:style w:type="paragraph" w:customStyle="1" w:styleId="notedraft">
    <w:name w:val="note(draft)"/>
    <w:aliases w:val="nd"/>
    <w:basedOn w:val="OPCParaBase"/>
    <w:rsid w:val="002C2002"/>
    <w:pPr>
      <w:spacing w:before="240" w:line="240" w:lineRule="auto"/>
      <w:ind w:left="284" w:hanging="284"/>
    </w:pPr>
    <w:rPr>
      <w:i/>
      <w:sz w:val="24"/>
    </w:rPr>
  </w:style>
  <w:style w:type="paragraph" w:customStyle="1" w:styleId="notemargin">
    <w:name w:val="note(margin)"/>
    <w:aliases w:val="nm"/>
    <w:basedOn w:val="OPCParaBase"/>
    <w:rsid w:val="002C2002"/>
    <w:pPr>
      <w:tabs>
        <w:tab w:val="left" w:pos="709"/>
      </w:tabs>
      <w:spacing w:before="122" w:line="198" w:lineRule="exact"/>
      <w:ind w:left="709" w:hanging="709"/>
    </w:pPr>
    <w:rPr>
      <w:sz w:val="18"/>
    </w:rPr>
  </w:style>
  <w:style w:type="paragraph" w:customStyle="1" w:styleId="noteToPara">
    <w:name w:val="noteToPara"/>
    <w:aliases w:val="ntp"/>
    <w:basedOn w:val="OPCParaBase"/>
    <w:rsid w:val="002C2002"/>
    <w:pPr>
      <w:spacing w:before="122" w:line="198" w:lineRule="exact"/>
      <w:ind w:left="2353" w:hanging="709"/>
    </w:pPr>
    <w:rPr>
      <w:sz w:val="18"/>
    </w:rPr>
  </w:style>
  <w:style w:type="paragraph" w:customStyle="1" w:styleId="noteParlAmend">
    <w:name w:val="note(ParlAmend)"/>
    <w:aliases w:val="npp"/>
    <w:basedOn w:val="OPCParaBase"/>
    <w:next w:val="ParlAmend"/>
    <w:rsid w:val="002C2002"/>
    <w:pPr>
      <w:spacing w:line="240" w:lineRule="auto"/>
      <w:jc w:val="right"/>
    </w:pPr>
    <w:rPr>
      <w:rFonts w:ascii="Arial" w:hAnsi="Arial"/>
      <w:b/>
      <w:i/>
    </w:rPr>
  </w:style>
  <w:style w:type="paragraph" w:customStyle="1" w:styleId="Page1">
    <w:name w:val="Page1"/>
    <w:basedOn w:val="OPCParaBase"/>
    <w:rsid w:val="002C2002"/>
    <w:pPr>
      <w:spacing w:before="5600" w:line="240" w:lineRule="auto"/>
    </w:pPr>
    <w:rPr>
      <w:b/>
      <w:sz w:val="32"/>
    </w:rPr>
  </w:style>
  <w:style w:type="paragraph" w:customStyle="1" w:styleId="PageBreak">
    <w:name w:val="PageBreak"/>
    <w:aliases w:val="pb"/>
    <w:basedOn w:val="OPCParaBase"/>
    <w:rsid w:val="002C2002"/>
    <w:pPr>
      <w:spacing w:line="240" w:lineRule="auto"/>
    </w:pPr>
    <w:rPr>
      <w:sz w:val="20"/>
    </w:rPr>
  </w:style>
  <w:style w:type="paragraph" w:customStyle="1" w:styleId="paragraphsub">
    <w:name w:val="paragraph(sub)"/>
    <w:aliases w:val="aa"/>
    <w:basedOn w:val="OPCParaBase"/>
    <w:rsid w:val="002C2002"/>
    <w:pPr>
      <w:tabs>
        <w:tab w:val="right" w:pos="1985"/>
      </w:tabs>
      <w:spacing w:before="40" w:line="240" w:lineRule="auto"/>
      <w:ind w:left="2098" w:hanging="2098"/>
    </w:pPr>
  </w:style>
  <w:style w:type="paragraph" w:customStyle="1" w:styleId="paragraphsub-sub">
    <w:name w:val="paragraph(sub-sub)"/>
    <w:aliases w:val="aaa"/>
    <w:basedOn w:val="OPCParaBase"/>
    <w:rsid w:val="002C2002"/>
    <w:pPr>
      <w:tabs>
        <w:tab w:val="right" w:pos="2722"/>
      </w:tabs>
      <w:spacing w:before="40" w:line="240" w:lineRule="auto"/>
      <w:ind w:left="2835" w:hanging="2835"/>
    </w:pPr>
  </w:style>
  <w:style w:type="paragraph" w:customStyle="1" w:styleId="paragraph">
    <w:name w:val="paragraph"/>
    <w:aliases w:val="a"/>
    <w:basedOn w:val="OPCParaBase"/>
    <w:link w:val="paragraphChar"/>
    <w:rsid w:val="002C2002"/>
    <w:pPr>
      <w:tabs>
        <w:tab w:val="right" w:pos="1531"/>
      </w:tabs>
      <w:spacing w:before="40" w:line="240" w:lineRule="auto"/>
      <w:ind w:left="1644" w:hanging="1644"/>
    </w:pPr>
  </w:style>
  <w:style w:type="paragraph" w:customStyle="1" w:styleId="ParlAmend">
    <w:name w:val="ParlAmend"/>
    <w:aliases w:val="pp"/>
    <w:basedOn w:val="OPCParaBase"/>
    <w:rsid w:val="002C2002"/>
    <w:pPr>
      <w:spacing w:before="240" w:line="240" w:lineRule="atLeast"/>
      <w:ind w:hanging="567"/>
    </w:pPr>
    <w:rPr>
      <w:sz w:val="24"/>
    </w:rPr>
  </w:style>
  <w:style w:type="paragraph" w:customStyle="1" w:styleId="Penalty">
    <w:name w:val="Penalty"/>
    <w:basedOn w:val="OPCParaBase"/>
    <w:rsid w:val="002C2002"/>
    <w:pPr>
      <w:tabs>
        <w:tab w:val="left" w:pos="2977"/>
      </w:tabs>
      <w:spacing w:before="180" w:line="240" w:lineRule="auto"/>
      <w:ind w:left="1985" w:hanging="851"/>
    </w:pPr>
  </w:style>
  <w:style w:type="paragraph" w:customStyle="1" w:styleId="Portfolio">
    <w:name w:val="Portfolio"/>
    <w:basedOn w:val="OPCParaBase"/>
    <w:rsid w:val="002C2002"/>
    <w:pPr>
      <w:spacing w:line="240" w:lineRule="auto"/>
    </w:pPr>
    <w:rPr>
      <w:i/>
      <w:sz w:val="20"/>
    </w:rPr>
  </w:style>
  <w:style w:type="paragraph" w:customStyle="1" w:styleId="Preamble">
    <w:name w:val="Preamble"/>
    <w:basedOn w:val="OPCParaBase"/>
    <w:next w:val="Normal"/>
    <w:rsid w:val="002C20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C2002"/>
    <w:pPr>
      <w:spacing w:line="240" w:lineRule="auto"/>
    </w:pPr>
    <w:rPr>
      <w:i/>
      <w:sz w:val="20"/>
    </w:rPr>
  </w:style>
  <w:style w:type="paragraph" w:customStyle="1" w:styleId="Session">
    <w:name w:val="Session"/>
    <w:basedOn w:val="OPCParaBase"/>
    <w:rsid w:val="002C2002"/>
    <w:pPr>
      <w:spacing w:line="240" w:lineRule="auto"/>
    </w:pPr>
    <w:rPr>
      <w:sz w:val="28"/>
    </w:rPr>
  </w:style>
  <w:style w:type="paragraph" w:customStyle="1" w:styleId="Sponsor">
    <w:name w:val="Sponsor"/>
    <w:basedOn w:val="OPCParaBase"/>
    <w:rsid w:val="002C2002"/>
    <w:pPr>
      <w:spacing w:line="240" w:lineRule="auto"/>
    </w:pPr>
    <w:rPr>
      <w:i/>
    </w:rPr>
  </w:style>
  <w:style w:type="paragraph" w:customStyle="1" w:styleId="Subitem">
    <w:name w:val="Subitem"/>
    <w:aliases w:val="iss"/>
    <w:basedOn w:val="OPCParaBase"/>
    <w:rsid w:val="002C2002"/>
    <w:pPr>
      <w:spacing w:before="180" w:line="240" w:lineRule="auto"/>
      <w:ind w:left="709" w:hanging="709"/>
    </w:pPr>
  </w:style>
  <w:style w:type="paragraph" w:customStyle="1" w:styleId="SubitemHead">
    <w:name w:val="SubitemHead"/>
    <w:aliases w:val="issh"/>
    <w:basedOn w:val="OPCParaBase"/>
    <w:rsid w:val="002C20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C2002"/>
    <w:pPr>
      <w:spacing w:before="40" w:line="240" w:lineRule="auto"/>
      <w:ind w:left="1134"/>
    </w:pPr>
  </w:style>
  <w:style w:type="paragraph" w:customStyle="1" w:styleId="SubsectionHead">
    <w:name w:val="SubsectionHead"/>
    <w:aliases w:val="ssh"/>
    <w:basedOn w:val="OPCParaBase"/>
    <w:next w:val="subsection"/>
    <w:rsid w:val="002C2002"/>
    <w:pPr>
      <w:keepNext/>
      <w:keepLines/>
      <w:spacing w:before="240" w:line="240" w:lineRule="auto"/>
      <w:ind w:left="1134"/>
    </w:pPr>
    <w:rPr>
      <w:i/>
    </w:rPr>
  </w:style>
  <w:style w:type="paragraph" w:customStyle="1" w:styleId="Tablea">
    <w:name w:val="Table(a)"/>
    <w:aliases w:val="ta"/>
    <w:basedOn w:val="OPCParaBase"/>
    <w:rsid w:val="002C2002"/>
    <w:pPr>
      <w:spacing w:before="60" w:line="240" w:lineRule="auto"/>
      <w:ind w:left="284" w:hanging="284"/>
    </w:pPr>
    <w:rPr>
      <w:sz w:val="20"/>
    </w:rPr>
  </w:style>
  <w:style w:type="paragraph" w:customStyle="1" w:styleId="TableAA">
    <w:name w:val="Table(AA)"/>
    <w:aliases w:val="taaa"/>
    <w:basedOn w:val="OPCParaBase"/>
    <w:rsid w:val="002C20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C20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C2002"/>
    <w:pPr>
      <w:spacing w:before="60" w:line="240" w:lineRule="atLeast"/>
    </w:pPr>
    <w:rPr>
      <w:sz w:val="20"/>
    </w:rPr>
  </w:style>
  <w:style w:type="paragraph" w:customStyle="1" w:styleId="TLPBoxTextnote">
    <w:name w:val="TLPBoxText(note"/>
    <w:aliases w:val="right)"/>
    <w:basedOn w:val="OPCParaBase"/>
    <w:rsid w:val="002C20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C20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C2002"/>
    <w:pPr>
      <w:spacing w:before="122" w:line="198" w:lineRule="exact"/>
      <w:ind w:left="1985" w:hanging="851"/>
      <w:jc w:val="right"/>
    </w:pPr>
    <w:rPr>
      <w:sz w:val="18"/>
    </w:rPr>
  </w:style>
  <w:style w:type="paragraph" w:customStyle="1" w:styleId="TLPTableBullet">
    <w:name w:val="TLPTableBullet"/>
    <w:aliases w:val="ttb"/>
    <w:basedOn w:val="OPCParaBase"/>
    <w:rsid w:val="002C2002"/>
    <w:pPr>
      <w:spacing w:line="240" w:lineRule="exact"/>
      <w:ind w:left="284" w:hanging="284"/>
    </w:pPr>
    <w:rPr>
      <w:sz w:val="20"/>
    </w:rPr>
  </w:style>
  <w:style w:type="paragraph" w:styleId="TOC1">
    <w:name w:val="toc 1"/>
    <w:basedOn w:val="Normal"/>
    <w:next w:val="Normal"/>
    <w:uiPriority w:val="39"/>
    <w:unhideWhenUsed/>
    <w:rsid w:val="002C200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C200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C200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C200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C200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C200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C200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C200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C200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C2002"/>
    <w:pPr>
      <w:keepLines/>
      <w:spacing w:before="240" w:after="120" w:line="240" w:lineRule="auto"/>
      <w:ind w:left="794"/>
    </w:pPr>
    <w:rPr>
      <w:b/>
      <w:kern w:val="28"/>
      <w:sz w:val="20"/>
    </w:rPr>
  </w:style>
  <w:style w:type="paragraph" w:customStyle="1" w:styleId="TofSectsHeading">
    <w:name w:val="TofSects(Heading)"/>
    <w:basedOn w:val="OPCParaBase"/>
    <w:rsid w:val="002C2002"/>
    <w:pPr>
      <w:spacing w:before="240" w:after="120" w:line="240" w:lineRule="auto"/>
    </w:pPr>
    <w:rPr>
      <w:b/>
      <w:sz w:val="24"/>
    </w:rPr>
  </w:style>
  <w:style w:type="paragraph" w:customStyle="1" w:styleId="TofSectsSection">
    <w:name w:val="TofSects(Section)"/>
    <w:basedOn w:val="OPCParaBase"/>
    <w:rsid w:val="002C2002"/>
    <w:pPr>
      <w:keepLines/>
      <w:spacing w:before="40" w:line="240" w:lineRule="auto"/>
      <w:ind w:left="1588" w:hanging="794"/>
    </w:pPr>
    <w:rPr>
      <w:kern w:val="28"/>
      <w:sz w:val="18"/>
    </w:rPr>
  </w:style>
  <w:style w:type="paragraph" w:customStyle="1" w:styleId="TofSectsSubdiv">
    <w:name w:val="TofSects(Subdiv)"/>
    <w:basedOn w:val="OPCParaBase"/>
    <w:rsid w:val="002C2002"/>
    <w:pPr>
      <w:keepLines/>
      <w:spacing w:before="80" w:line="240" w:lineRule="auto"/>
      <w:ind w:left="1588" w:hanging="794"/>
    </w:pPr>
    <w:rPr>
      <w:kern w:val="28"/>
    </w:rPr>
  </w:style>
  <w:style w:type="paragraph" w:customStyle="1" w:styleId="WRStyle">
    <w:name w:val="WR Style"/>
    <w:aliases w:val="WR"/>
    <w:basedOn w:val="OPCParaBase"/>
    <w:rsid w:val="002C2002"/>
    <w:pPr>
      <w:spacing w:before="240" w:line="240" w:lineRule="auto"/>
      <w:ind w:left="284" w:hanging="284"/>
    </w:pPr>
    <w:rPr>
      <w:b/>
      <w:i/>
      <w:kern w:val="28"/>
      <w:sz w:val="24"/>
    </w:rPr>
  </w:style>
  <w:style w:type="paragraph" w:customStyle="1" w:styleId="notepara">
    <w:name w:val="note(para)"/>
    <w:aliases w:val="na"/>
    <w:basedOn w:val="OPCParaBase"/>
    <w:rsid w:val="002C2002"/>
    <w:pPr>
      <w:spacing w:before="40" w:line="198" w:lineRule="exact"/>
      <w:ind w:left="2354" w:hanging="369"/>
    </w:pPr>
    <w:rPr>
      <w:sz w:val="18"/>
    </w:rPr>
  </w:style>
  <w:style w:type="paragraph" w:styleId="Footer">
    <w:name w:val="footer"/>
    <w:link w:val="FooterChar"/>
    <w:rsid w:val="002C20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C2002"/>
    <w:rPr>
      <w:rFonts w:eastAsia="Times New Roman" w:cs="Times New Roman"/>
      <w:sz w:val="22"/>
      <w:szCs w:val="24"/>
      <w:lang w:eastAsia="en-AU"/>
    </w:rPr>
  </w:style>
  <w:style w:type="character" w:styleId="LineNumber">
    <w:name w:val="line number"/>
    <w:basedOn w:val="OPCCharBase"/>
    <w:uiPriority w:val="99"/>
    <w:unhideWhenUsed/>
    <w:rsid w:val="002C2002"/>
    <w:rPr>
      <w:sz w:val="16"/>
    </w:rPr>
  </w:style>
  <w:style w:type="table" w:customStyle="1" w:styleId="CFlag">
    <w:name w:val="CFlag"/>
    <w:basedOn w:val="TableNormal"/>
    <w:uiPriority w:val="99"/>
    <w:rsid w:val="002C2002"/>
    <w:rPr>
      <w:rFonts w:eastAsia="Times New Roman" w:cs="Times New Roman"/>
      <w:lang w:eastAsia="en-AU"/>
    </w:rPr>
    <w:tblPr/>
  </w:style>
  <w:style w:type="paragraph" w:styleId="BalloonText">
    <w:name w:val="Balloon Text"/>
    <w:basedOn w:val="Normal"/>
    <w:link w:val="BalloonTextChar"/>
    <w:uiPriority w:val="99"/>
    <w:unhideWhenUsed/>
    <w:rsid w:val="002C20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C2002"/>
    <w:rPr>
      <w:rFonts w:ascii="Tahoma" w:hAnsi="Tahoma" w:cs="Tahoma"/>
      <w:sz w:val="16"/>
      <w:szCs w:val="16"/>
    </w:rPr>
  </w:style>
  <w:style w:type="table" w:styleId="TableGrid">
    <w:name w:val="Table Grid"/>
    <w:basedOn w:val="TableNormal"/>
    <w:uiPriority w:val="59"/>
    <w:rsid w:val="002C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C2002"/>
    <w:rPr>
      <w:b/>
      <w:sz w:val="28"/>
      <w:szCs w:val="32"/>
    </w:rPr>
  </w:style>
  <w:style w:type="paragraph" w:customStyle="1" w:styleId="LegislationMadeUnder">
    <w:name w:val="LegislationMadeUnder"/>
    <w:basedOn w:val="OPCParaBase"/>
    <w:next w:val="Normal"/>
    <w:rsid w:val="002C2002"/>
    <w:rPr>
      <w:i/>
      <w:sz w:val="32"/>
      <w:szCs w:val="32"/>
    </w:rPr>
  </w:style>
  <w:style w:type="paragraph" w:customStyle="1" w:styleId="SignCoverPageEnd">
    <w:name w:val="SignCoverPageEnd"/>
    <w:basedOn w:val="OPCParaBase"/>
    <w:next w:val="Normal"/>
    <w:rsid w:val="002C20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C2002"/>
    <w:pPr>
      <w:pBdr>
        <w:top w:val="single" w:sz="4" w:space="1" w:color="auto"/>
      </w:pBdr>
      <w:spacing w:before="360"/>
      <w:ind w:right="397"/>
      <w:jc w:val="both"/>
    </w:pPr>
  </w:style>
  <w:style w:type="paragraph" w:customStyle="1" w:styleId="NotesHeading1">
    <w:name w:val="NotesHeading 1"/>
    <w:basedOn w:val="OPCParaBase"/>
    <w:next w:val="Normal"/>
    <w:rsid w:val="002C2002"/>
    <w:rPr>
      <w:b/>
      <w:sz w:val="28"/>
      <w:szCs w:val="28"/>
    </w:rPr>
  </w:style>
  <w:style w:type="paragraph" w:customStyle="1" w:styleId="NotesHeading2">
    <w:name w:val="NotesHeading 2"/>
    <w:basedOn w:val="OPCParaBase"/>
    <w:next w:val="Normal"/>
    <w:rsid w:val="002C2002"/>
    <w:rPr>
      <w:b/>
      <w:sz w:val="28"/>
      <w:szCs w:val="28"/>
    </w:rPr>
  </w:style>
  <w:style w:type="paragraph" w:customStyle="1" w:styleId="ENotesText">
    <w:name w:val="ENotesText"/>
    <w:aliases w:val="Ent"/>
    <w:basedOn w:val="OPCParaBase"/>
    <w:next w:val="Normal"/>
    <w:rsid w:val="002C2002"/>
    <w:pPr>
      <w:spacing w:before="120"/>
    </w:pPr>
  </w:style>
  <w:style w:type="paragraph" w:customStyle="1" w:styleId="CompiledActNo">
    <w:name w:val="CompiledActNo"/>
    <w:basedOn w:val="OPCParaBase"/>
    <w:next w:val="Normal"/>
    <w:rsid w:val="002C2002"/>
    <w:rPr>
      <w:b/>
      <w:sz w:val="24"/>
      <w:szCs w:val="24"/>
    </w:rPr>
  </w:style>
  <w:style w:type="paragraph" w:customStyle="1" w:styleId="CompiledMadeUnder">
    <w:name w:val="CompiledMadeUnder"/>
    <w:basedOn w:val="OPCParaBase"/>
    <w:next w:val="Normal"/>
    <w:rsid w:val="002C2002"/>
    <w:rPr>
      <w:i/>
      <w:sz w:val="24"/>
      <w:szCs w:val="24"/>
    </w:rPr>
  </w:style>
  <w:style w:type="paragraph" w:customStyle="1" w:styleId="Paragraphsub-sub-sub">
    <w:name w:val="Paragraph(sub-sub-sub)"/>
    <w:aliases w:val="aaaa"/>
    <w:basedOn w:val="OPCParaBase"/>
    <w:rsid w:val="002C20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C200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C200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C20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C200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C2002"/>
    <w:pPr>
      <w:spacing w:before="60" w:line="240" w:lineRule="auto"/>
    </w:pPr>
    <w:rPr>
      <w:rFonts w:cs="Arial"/>
      <w:sz w:val="20"/>
      <w:szCs w:val="22"/>
    </w:rPr>
  </w:style>
  <w:style w:type="paragraph" w:customStyle="1" w:styleId="NoteToSubpara">
    <w:name w:val="NoteToSubpara"/>
    <w:aliases w:val="nts"/>
    <w:basedOn w:val="OPCParaBase"/>
    <w:rsid w:val="002C2002"/>
    <w:pPr>
      <w:spacing w:before="40" w:line="198" w:lineRule="exact"/>
      <w:ind w:left="2835" w:hanging="709"/>
    </w:pPr>
    <w:rPr>
      <w:sz w:val="18"/>
    </w:rPr>
  </w:style>
  <w:style w:type="paragraph" w:customStyle="1" w:styleId="ENoteTableHeading">
    <w:name w:val="ENoteTableHeading"/>
    <w:aliases w:val="enth"/>
    <w:basedOn w:val="OPCParaBase"/>
    <w:rsid w:val="002C2002"/>
    <w:pPr>
      <w:keepNext/>
      <w:spacing w:before="60" w:line="240" w:lineRule="atLeast"/>
    </w:pPr>
    <w:rPr>
      <w:rFonts w:ascii="Arial" w:hAnsi="Arial"/>
      <w:b/>
      <w:sz w:val="16"/>
    </w:rPr>
  </w:style>
  <w:style w:type="paragraph" w:customStyle="1" w:styleId="ENoteTTi">
    <w:name w:val="ENoteTTi"/>
    <w:aliases w:val="entti"/>
    <w:basedOn w:val="OPCParaBase"/>
    <w:rsid w:val="002C2002"/>
    <w:pPr>
      <w:keepNext/>
      <w:spacing w:before="60" w:line="240" w:lineRule="atLeast"/>
      <w:ind w:left="170"/>
    </w:pPr>
    <w:rPr>
      <w:sz w:val="16"/>
    </w:rPr>
  </w:style>
  <w:style w:type="paragraph" w:customStyle="1" w:styleId="ENotesHeading1">
    <w:name w:val="ENotesHeading 1"/>
    <w:aliases w:val="Enh1"/>
    <w:basedOn w:val="OPCParaBase"/>
    <w:next w:val="Normal"/>
    <w:rsid w:val="002C2002"/>
    <w:pPr>
      <w:spacing w:before="120"/>
      <w:outlineLvl w:val="1"/>
    </w:pPr>
    <w:rPr>
      <w:b/>
      <w:sz w:val="28"/>
      <w:szCs w:val="28"/>
    </w:rPr>
  </w:style>
  <w:style w:type="paragraph" w:customStyle="1" w:styleId="ENotesHeading2">
    <w:name w:val="ENotesHeading 2"/>
    <w:aliases w:val="Enh2"/>
    <w:basedOn w:val="OPCParaBase"/>
    <w:next w:val="Normal"/>
    <w:rsid w:val="002C2002"/>
    <w:pPr>
      <w:spacing w:before="120" w:after="120"/>
      <w:outlineLvl w:val="2"/>
    </w:pPr>
    <w:rPr>
      <w:b/>
      <w:sz w:val="24"/>
      <w:szCs w:val="28"/>
    </w:rPr>
  </w:style>
  <w:style w:type="paragraph" w:customStyle="1" w:styleId="ENoteTTIndentHeading">
    <w:name w:val="ENoteTTIndentHeading"/>
    <w:aliases w:val="enTTHi"/>
    <w:basedOn w:val="OPCParaBase"/>
    <w:rsid w:val="002C200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C2002"/>
    <w:pPr>
      <w:spacing w:before="60" w:line="240" w:lineRule="atLeast"/>
    </w:pPr>
    <w:rPr>
      <w:sz w:val="16"/>
    </w:rPr>
  </w:style>
  <w:style w:type="paragraph" w:customStyle="1" w:styleId="MadeunderText">
    <w:name w:val="MadeunderText"/>
    <w:basedOn w:val="OPCParaBase"/>
    <w:next w:val="Normal"/>
    <w:rsid w:val="002C2002"/>
    <w:pPr>
      <w:spacing w:before="240"/>
    </w:pPr>
    <w:rPr>
      <w:sz w:val="24"/>
      <w:szCs w:val="24"/>
    </w:rPr>
  </w:style>
  <w:style w:type="paragraph" w:customStyle="1" w:styleId="ENotesHeading3">
    <w:name w:val="ENotesHeading 3"/>
    <w:aliases w:val="Enh3"/>
    <w:basedOn w:val="OPCParaBase"/>
    <w:next w:val="Normal"/>
    <w:rsid w:val="002C2002"/>
    <w:pPr>
      <w:keepNext/>
      <w:spacing w:before="120" w:line="240" w:lineRule="auto"/>
      <w:outlineLvl w:val="4"/>
    </w:pPr>
    <w:rPr>
      <w:b/>
      <w:szCs w:val="24"/>
    </w:rPr>
  </w:style>
  <w:style w:type="character" w:customStyle="1" w:styleId="CharSubPartTextCASA">
    <w:name w:val="CharSubPartText(CASA)"/>
    <w:basedOn w:val="OPCCharBase"/>
    <w:uiPriority w:val="1"/>
    <w:rsid w:val="002C2002"/>
  </w:style>
  <w:style w:type="character" w:customStyle="1" w:styleId="CharSubPartNoCASA">
    <w:name w:val="CharSubPartNo(CASA)"/>
    <w:basedOn w:val="OPCCharBase"/>
    <w:uiPriority w:val="1"/>
    <w:rsid w:val="002C2002"/>
  </w:style>
  <w:style w:type="paragraph" w:customStyle="1" w:styleId="ENoteTTIndentHeadingSub">
    <w:name w:val="ENoteTTIndentHeadingSub"/>
    <w:aliases w:val="enTTHis"/>
    <w:basedOn w:val="OPCParaBase"/>
    <w:rsid w:val="002C2002"/>
    <w:pPr>
      <w:keepNext/>
      <w:spacing w:before="60" w:line="240" w:lineRule="atLeast"/>
      <w:ind w:left="340"/>
    </w:pPr>
    <w:rPr>
      <w:b/>
      <w:sz w:val="16"/>
    </w:rPr>
  </w:style>
  <w:style w:type="paragraph" w:customStyle="1" w:styleId="ENoteTTiSub">
    <w:name w:val="ENoteTTiSub"/>
    <w:aliases w:val="enttis"/>
    <w:basedOn w:val="OPCParaBase"/>
    <w:rsid w:val="002C2002"/>
    <w:pPr>
      <w:keepNext/>
      <w:spacing w:before="60" w:line="240" w:lineRule="atLeast"/>
      <w:ind w:left="340"/>
    </w:pPr>
    <w:rPr>
      <w:sz w:val="16"/>
    </w:rPr>
  </w:style>
  <w:style w:type="paragraph" w:customStyle="1" w:styleId="SubDivisionMigration">
    <w:name w:val="SubDivisionMigration"/>
    <w:aliases w:val="sdm"/>
    <w:basedOn w:val="OPCParaBase"/>
    <w:rsid w:val="002C20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C200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C2002"/>
    <w:pPr>
      <w:spacing w:before="122" w:line="240" w:lineRule="auto"/>
      <w:ind w:left="1985" w:hanging="851"/>
    </w:pPr>
    <w:rPr>
      <w:sz w:val="18"/>
    </w:rPr>
  </w:style>
  <w:style w:type="paragraph" w:customStyle="1" w:styleId="FreeForm">
    <w:name w:val="FreeForm"/>
    <w:rsid w:val="002C2002"/>
    <w:rPr>
      <w:rFonts w:ascii="Arial" w:hAnsi="Arial"/>
      <w:sz w:val="22"/>
    </w:rPr>
  </w:style>
  <w:style w:type="paragraph" w:customStyle="1" w:styleId="SOText">
    <w:name w:val="SO Text"/>
    <w:aliases w:val="sot"/>
    <w:link w:val="SOTextChar"/>
    <w:rsid w:val="002C200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C2002"/>
    <w:rPr>
      <w:sz w:val="22"/>
    </w:rPr>
  </w:style>
  <w:style w:type="paragraph" w:customStyle="1" w:styleId="SOTextNote">
    <w:name w:val="SO TextNote"/>
    <w:aliases w:val="sont"/>
    <w:basedOn w:val="SOText"/>
    <w:qFormat/>
    <w:rsid w:val="002C2002"/>
    <w:pPr>
      <w:spacing w:before="122" w:line="198" w:lineRule="exact"/>
      <w:ind w:left="1843" w:hanging="709"/>
    </w:pPr>
    <w:rPr>
      <w:sz w:val="18"/>
    </w:rPr>
  </w:style>
  <w:style w:type="paragraph" w:customStyle="1" w:styleId="SOPara">
    <w:name w:val="SO Para"/>
    <w:aliases w:val="soa"/>
    <w:basedOn w:val="SOText"/>
    <w:link w:val="SOParaChar"/>
    <w:qFormat/>
    <w:rsid w:val="002C2002"/>
    <w:pPr>
      <w:tabs>
        <w:tab w:val="right" w:pos="1786"/>
      </w:tabs>
      <w:spacing w:before="40"/>
      <w:ind w:left="2070" w:hanging="936"/>
    </w:pPr>
  </w:style>
  <w:style w:type="character" w:customStyle="1" w:styleId="SOParaChar">
    <w:name w:val="SO Para Char"/>
    <w:aliases w:val="soa Char"/>
    <w:basedOn w:val="DefaultParagraphFont"/>
    <w:link w:val="SOPara"/>
    <w:rsid w:val="002C2002"/>
    <w:rPr>
      <w:sz w:val="22"/>
    </w:rPr>
  </w:style>
  <w:style w:type="paragraph" w:customStyle="1" w:styleId="FileName">
    <w:name w:val="FileName"/>
    <w:basedOn w:val="Normal"/>
    <w:rsid w:val="002C2002"/>
  </w:style>
  <w:style w:type="paragraph" w:customStyle="1" w:styleId="TableHeading">
    <w:name w:val="TableHeading"/>
    <w:aliases w:val="th"/>
    <w:basedOn w:val="OPCParaBase"/>
    <w:next w:val="Tabletext"/>
    <w:rsid w:val="002C2002"/>
    <w:pPr>
      <w:keepNext/>
      <w:spacing w:before="60" w:line="240" w:lineRule="atLeast"/>
    </w:pPr>
    <w:rPr>
      <w:b/>
      <w:sz w:val="20"/>
    </w:rPr>
  </w:style>
  <w:style w:type="paragraph" w:customStyle="1" w:styleId="SOHeadBold">
    <w:name w:val="SO HeadBold"/>
    <w:aliases w:val="sohb"/>
    <w:basedOn w:val="SOText"/>
    <w:next w:val="SOText"/>
    <w:link w:val="SOHeadBoldChar"/>
    <w:qFormat/>
    <w:rsid w:val="002C2002"/>
    <w:rPr>
      <w:b/>
    </w:rPr>
  </w:style>
  <w:style w:type="character" w:customStyle="1" w:styleId="SOHeadBoldChar">
    <w:name w:val="SO HeadBold Char"/>
    <w:aliases w:val="sohb Char"/>
    <w:basedOn w:val="DefaultParagraphFont"/>
    <w:link w:val="SOHeadBold"/>
    <w:rsid w:val="002C2002"/>
    <w:rPr>
      <w:b/>
      <w:sz w:val="22"/>
    </w:rPr>
  </w:style>
  <w:style w:type="paragraph" w:customStyle="1" w:styleId="SOHeadItalic">
    <w:name w:val="SO HeadItalic"/>
    <w:aliases w:val="sohi"/>
    <w:basedOn w:val="SOText"/>
    <w:next w:val="SOText"/>
    <w:link w:val="SOHeadItalicChar"/>
    <w:qFormat/>
    <w:rsid w:val="002C2002"/>
    <w:rPr>
      <w:i/>
    </w:rPr>
  </w:style>
  <w:style w:type="character" w:customStyle="1" w:styleId="SOHeadItalicChar">
    <w:name w:val="SO HeadItalic Char"/>
    <w:aliases w:val="sohi Char"/>
    <w:basedOn w:val="DefaultParagraphFont"/>
    <w:link w:val="SOHeadItalic"/>
    <w:rsid w:val="002C2002"/>
    <w:rPr>
      <w:i/>
      <w:sz w:val="22"/>
    </w:rPr>
  </w:style>
  <w:style w:type="paragraph" w:customStyle="1" w:styleId="SOBullet">
    <w:name w:val="SO Bullet"/>
    <w:aliases w:val="sotb"/>
    <w:basedOn w:val="SOText"/>
    <w:link w:val="SOBulletChar"/>
    <w:qFormat/>
    <w:rsid w:val="002C2002"/>
    <w:pPr>
      <w:ind w:left="1559" w:hanging="425"/>
    </w:pPr>
  </w:style>
  <w:style w:type="character" w:customStyle="1" w:styleId="SOBulletChar">
    <w:name w:val="SO Bullet Char"/>
    <w:aliases w:val="sotb Char"/>
    <w:basedOn w:val="DefaultParagraphFont"/>
    <w:link w:val="SOBullet"/>
    <w:rsid w:val="002C2002"/>
    <w:rPr>
      <w:sz w:val="22"/>
    </w:rPr>
  </w:style>
  <w:style w:type="paragraph" w:customStyle="1" w:styleId="SOBulletNote">
    <w:name w:val="SO BulletNote"/>
    <w:aliases w:val="sonb"/>
    <w:basedOn w:val="SOTextNote"/>
    <w:link w:val="SOBulletNoteChar"/>
    <w:qFormat/>
    <w:rsid w:val="002C2002"/>
    <w:pPr>
      <w:tabs>
        <w:tab w:val="left" w:pos="1560"/>
      </w:tabs>
      <w:ind w:left="2268" w:hanging="1134"/>
    </w:pPr>
  </w:style>
  <w:style w:type="character" w:customStyle="1" w:styleId="SOBulletNoteChar">
    <w:name w:val="SO BulletNote Char"/>
    <w:aliases w:val="sonb Char"/>
    <w:basedOn w:val="DefaultParagraphFont"/>
    <w:link w:val="SOBulletNote"/>
    <w:rsid w:val="002C2002"/>
    <w:rPr>
      <w:sz w:val="18"/>
    </w:rPr>
  </w:style>
  <w:style w:type="paragraph" w:customStyle="1" w:styleId="SOText2">
    <w:name w:val="SO Text2"/>
    <w:aliases w:val="sot2"/>
    <w:basedOn w:val="Normal"/>
    <w:next w:val="SOText"/>
    <w:link w:val="SOText2Char"/>
    <w:rsid w:val="002C200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C2002"/>
    <w:rPr>
      <w:sz w:val="22"/>
    </w:rPr>
  </w:style>
  <w:style w:type="paragraph" w:customStyle="1" w:styleId="SubPartCASA">
    <w:name w:val="SubPart(CASA)"/>
    <w:aliases w:val="csp"/>
    <w:basedOn w:val="OPCParaBase"/>
    <w:next w:val="ActHead3"/>
    <w:rsid w:val="002C200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C2002"/>
    <w:rPr>
      <w:rFonts w:eastAsia="Times New Roman" w:cs="Times New Roman"/>
      <w:sz w:val="22"/>
      <w:lang w:eastAsia="en-AU"/>
    </w:rPr>
  </w:style>
  <w:style w:type="character" w:customStyle="1" w:styleId="notetextChar">
    <w:name w:val="note(text) Char"/>
    <w:aliases w:val="n Char"/>
    <w:basedOn w:val="DefaultParagraphFont"/>
    <w:link w:val="notetext"/>
    <w:rsid w:val="002C2002"/>
    <w:rPr>
      <w:rFonts w:eastAsia="Times New Roman" w:cs="Times New Roman"/>
      <w:sz w:val="18"/>
      <w:lang w:eastAsia="en-AU"/>
    </w:rPr>
  </w:style>
  <w:style w:type="character" w:customStyle="1" w:styleId="Heading1Char">
    <w:name w:val="Heading 1 Char"/>
    <w:basedOn w:val="DefaultParagraphFont"/>
    <w:link w:val="Heading1"/>
    <w:uiPriority w:val="9"/>
    <w:rsid w:val="002C20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20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200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C200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C200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C200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C200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C200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C200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C2002"/>
  </w:style>
  <w:style w:type="character" w:customStyle="1" w:styleId="charlegsubtitle1">
    <w:name w:val="charlegsubtitle1"/>
    <w:basedOn w:val="DefaultParagraphFont"/>
    <w:rsid w:val="002C2002"/>
    <w:rPr>
      <w:rFonts w:ascii="Arial" w:hAnsi="Arial" w:cs="Arial" w:hint="default"/>
      <w:b/>
      <w:bCs/>
      <w:sz w:val="28"/>
      <w:szCs w:val="28"/>
    </w:rPr>
  </w:style>
  <w:style w:type="paragraph" w:styleId="Index1">
    <w:name w:val="index 1"/>
    <w:basedOn w:val="Normal"/>
    <w:next w:val="Normal"/>
    <w:autoRedefine/>
    <w:rsid w:val="002C2002"/>
    <w:pPr>
      <w:ind w:left="240" w:hanging="240"/>
    </w:pPr>
  </w:style>
  <w:style w:type="paragraph" w:styleId="Index2">
    <w:name w:val="index 2"/>
    <w:basedOn w:val="Normal"/>
    <w:next w:val="Normal"/>
    <w:autoRedefine/>
    <w:rsid w:val="002C2002"/>
    <w:pPr>
      <w:ind w:left="480" w:hanging="240"/>
    </w:pPr>
  </w:style>
  <w:style w:type="paragraph" w:styleId="Index3">
    <w:name w:val="index 3"/>
    <w:basedOn w:val="Normal"/>
    <w:next w:val="Normal"/>
    <w:autoRedefine/>
    <w:rsid w:val="002C2002"/>
    <w:pPr>
      <w:ind w:left="720" w:hanging="240"/>
    </w:pPr>
  </w:style>
  <w:style w:type="paragraph" w:styleId="Index4">
    <w:name w:val="index 4"/>
    <w:basedOn w:val="Normal"/>
    <w:next w:val="Normal"/>
    <w:autoRedefine/>
    <w:rsid w:val="002C2002"/>
    <w:pPr>
      <w:ind w:left="960" w:hanging="240"/>
    </w:pPr>
  </w:style>
  <w:style w:type="paragraph" w:styleId="Index5">
    <w:name w:val="index 5"/>
    <w:basedOn w:val="Normal"/>
    <w:next w:val="Normal"/>
    <w:autoRedefine/>
    <w:rsid w:val="002C2002"/>
    <w:pPr>
      <w:ind w:left="1200" w:hanging="240"/>
    </w:pPr>
  </w:style>
  <w:style w:type="paragraph" w:styleId="Index6">
    <w:name w:val="index 6"/>
    <w:basedOn w:val="Normal"/>
    <w:next w:val="Normal"/>
    <w:autoRedefine/>
    <w:rsid w:val="002C2002"/>
    <w:pPr>
      <w:ind w:left="1440" w:hanging="240"/>
    </w:pPr>
  </w:style>
  <w:style w:type="paragraph" w:styleId="Index7">
    <w:name w:val="index 7"/>
    <w:basedOn w:val="Normal"/>
    <w:next w:val="Normal"/>
    <w:autoRedefine/>
    <w:rsid w:val="002C2002"/>
    <w:pPr>
      <w:ind w:left="1680" w:hanging="240"/>
    </w:pPr>
  </w:style>
  <w:style w:type="paragraph" w:styleId="Index8">
    <w:name w:val="index 8"/>
    <w:basedOn w:val="Normal"/>
    <w:next w:val="Normal"/>
    <w:autoRedefine/>
    <w:rsid w:val="002C2002"/>
    <w:pPr>
      <w:ind w:left="1920" w:hanging="240"/>
    </w:pPr>
  </w:style>
  <w:style w:type="paragraph" w:styleId="Index9">
    <w:name w:val="index 9"/>
    <w:basedOn w:val="Normal"/>
    <w:next w:val="Normal"/>
    <w:autoRedefine/>
    <w:rsid w:val="002C2002"/>
    <w:pPr>
      <w:ind w:left="2160" w:hanging="240"/>
    </w:pPr>
  </w:style>
  <w:style w:type="paragraph" w:styleId="NormalIndent">
    <w:name w:val="Normal Indent"/>
    <w:basedOn w:val="Normal"/>
    <w:rsid w:val="002C2002"/>
    <w:pPr>
      <w:ind w:left="720"/>
    </w:pPr>
  </w:style>
  <w:style w:type="paragraph" w:styleId="FootnoteText">
    <w:name w:val="footnote text"/>
    <w:basedOn w:val="Normal"/>
    <w:link w:val="FootnoteTextChar"/>
    <w:rsid w:val="002C2002"/>
    <w:rPr>
      <w:sz w:val="20"/>
    </w:rPr>
  </w:style>
  <w:style w:type="character" w:customStyle="1" w:styleId="FootnoteTextChar">
    <w:name w:val="Footnote Text Char"/>
    <w:basedOn w:val="DefaultParagraphFont"/>
    <w:link w:val="FootnoteText"/>
    <w:rsid w:val="002C2002"/>
  </w:style>
  <w:style w:type="paragraph" w:styleId="CommentText">
    <w:name w:val="annotation text"/>
    <w:basedOn w:val="Normal"/>
    <w:link w:val="CommentTextChar"/>
    <w:rsid w:val="002C2002"/>
    <w:rPr>
      <w:sz w:val="20"/>
    </w:rPr>
  </w:style>
  <w:style w:type="character" w:customStyle="1" w:styleId="CommentTextChar">
    <w:name w:val="Comment Text Char"/>
    <w:basedOn w:val="DefaultParagraphFont"/>
    <w:link w:val="CommentText"/>
    <w:rsid w:val="002C2002"/>
  </w:style>
  <w:style w:type="paragraph" w:styleId="IndexHeading">
    <w:name w:val="index heading"/>
    <w:basedOn w:val="Normal"/>
    <w:next w:val="Index1"/>
    <w:rsid w:val="002C2002"/>
    <w:rPr>
      <w:rFonts w:ascii="Arial" w:hAnsi="Arial" w:cs="Arial"/>
      <w:b/>
      <w:bCs/>
    </w:rPr>
  </w:style>
  <w:style w:type="paragraph" w:styleId="Caption">
    <w:name w:val="caption"/>
    <w:basedOn w:val="Normal"/>
    <w:next w:val="Normal"/>
    <w:qFormat/>
    <w:rsid w:val="002C2002"/>
    <w:pPr>
      <w:spacing w:before="120" w:after="120"/>
    </w:pPr>
    <w:rPr>
      <w:b/>
      <w:bCs/>
      <w:sz w:val="20"/>
    </w:rPr>
  </w:style>
  <w:style w:type="paragraph" w:styleId="TableofFigures">
    <w:name w:val="table of figures"/>
    <w:basedOn w:val="Normal"/>
    <w:next w:val="Normal"/>
    <w:rsid w:val="002C2002"/>
    <w:pPr>
      <w:ind w:left="480" w:hanging="480"/>
    </w:pPr>
  </w:style>
  <w:style w:type="paragraph" w:styleId="EnvelopeAddress">
    <w:name w:val="envelope address"/>
    <w:basedOn w:val="Normal"/>
    <w:rsid w:val="002C200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C2002"/>
    <w:rPr>
      <w:rFonts w:ascii="Arial" w:hAnsi="Arial" w:cs="Arial"/>
      <w:sz w:val="20"/>
    </w:rPr>
  </w:style>
  <w:style w:type="character" w:styleId="FootnoteReference">
    <w:name w:val="footnote reference"/>
    <w:basedOn w:val="DefaultParagraphFont"/>
    <w:rsid w:val="002C2002"/>
    <w:rPr>
      <w:rFonts w:ascii="Times New Roman" w:hAnsi="Times New Roman"/>
      <w:sz w:val="20"/>
      <w:vertAlign w:val="superscript"/>
    </w:rPr>
  </w:style>
  <w:style w:type="character" w:styleId="CommentReference">
    <w:name w:val="annotation reference"/>
    <w:basedOn w:val="DefaultParagraphFont"/>
    <w:rsid w:val="002C2002"/>
    <w:rPr>
      <w:sz w:val="16"/>
      <w:szCs w:val="16"/>
    </w:rPr>
  </w:style>
  <w:style w:type="character" w:styleId="PageNumber">
    <w:name w:val="page number"/>
    <w:basedOn w:val="DefaultParagraphFont"/>
    <w:rsid w:val="002C2002"/>
  </w:style>
  <w:style w:type="character" w:styleId="EndnoteReference">
    <w:name w:val="endnote reference"/>
    <w:basedOn w:val="DefaultParagraphFont"/>
    <w:rsid w:val="002C2002"/>
    <w:rPr>
      <w:vertAlign w:val="superscript"/>
    </w:rPr>
  </w:style>
  <w:style w:type="paragraph" w:styleId="EndnoteText">
    <w:name w:val="endnote text"/>
    <w:basedOn w:val="Normal"/>
    <w:link w:val="EndnoteTextChar"/>
    <w:rsid w:val="002C2002"/>
    <w:rPr>
      <w:sz w:val="20"/>
    </w:rPr>
  </w:style>
  <w:style w:type="character" w:customStyle="1" w:styleId="EndnoteTextChar">
    <w:name w:val="Endnote Text Char"/>
    <w:basedOn w:val="DefaultParagraphFont"/>
    <w:link w:val="EndnoteText"/>
    <w:rsid w:val="002C2002"/>
  </w:style>
  <w:style w:type="paragraph" w:styleId="TableofAuthorities">
    <w:name w:val="table of authorities"/>
    <w:basedOn w:val="Normal"/>
    <w:next w:val="Normal"/>
    <w:rsid w:val="002C2002"/>
    <w:pPr>
      <w:ind w:left="240" w:hanging="240"/>
    </w:pPr>
  </w:style>
  <w:style w:type="paragraph" w:styleId="MacroText">
    <w:name w:val="macro"/>
    <w:link w:val="MacroTextChar"/>
    <w:rsid w:val="002C200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C2002"/>
    <w:rPr>
      <w:rFonts w:ascii="Courier New" w:eastAsia="Times New Roman" w:hAnsi="Courier New" w:cs="Courier New"/>
      <w:lang w:eastAsia="en-AU"/>
    </w:rPr>
  </w:style>
  <w:style w:type="paragraph" w:styleId="TOAHeading">
    <w:name w:val="toa heading"/>
    <w:basedOn w:val="Normal"/>
    <w:next w:val="Normal"/>
    <w:rsid w:val="002C2002"/>
    <w:pPr>
      <w:spacing w:before="120"/>
    </w:pPr>
    <w:rPr>
      <w:rFonts w:ascii="Arial" w:hAnsi="Arial" w:cs="Arial"/>
      <w:b/>
      <w:bCs/>
    </w:rPr>
  </w:style>
  <w:style w:type="paragraph" w:styleId="List">
    <w:name w:val="List"/>
    <w:basedOn w:val="Normal"/>
    <w:rsid w:val="002C2002"/>
    <w:pPr>
      <w:ind w:left="283" w:hanging="283"/>
    </w:pPr>
  </w:style>
  <w:style w:type="paragraph" w:styleId="ListBullet">
    <w:name w:val="List Bullet"/>
    <w:basedOn w:val="Normal"/>
    <w:autoRedefine/>
    <w:rsid w:val="002C2002"/>
    <w:pPr>
      <w:tabs>
        <w:tab w:val="num" w:pos="360"/>
      </w:tabs>
      <w:ind w:left="360" w:hanging="360"/>
    </w:pPr>
  </w:style>
  <w:style w:type="paragraph" w:styleId="ListNumber">
    <w:name w:val="List Number"/>
    <w:basedOn w:val="Normal"/>
    <w:rsid w:val="002C2002"/>
    <w:pPr>
      <w:tabs>
        <w:tab w:val="num" w:pos="360"/>
      </w:tabs>
      <w:ind w:left="360" w:hanging="360"/>
    </w:pPr>
  </w:style>
  <w:style w:type="paragraph" w:styleId="List2">
    <w:name w:val="List 2"/>
    <w:basedOn w:val="Normal"/>
    <w:rsid w:val="002C2002"/>
    <w:pPr>
      <w:ind w:left="566" w:hanging="283"/>
    </w:pPr>
  </w:style>
  <w:style w:type="paragraph" w:styleId="List3">
    <w:name w:val="List 3"/>
    <w:basedOn w:val="Normal"/>
    <w:rsid w:val="002C2002"/>
    <w:pPr>
      <w:ind w:left="849" w:hanging="283"/>
    </w:pPr>
  </w:style>
  <w:style w:type="paragraph" w:styleId="List4">
    <w:name w:val="List 4"/>
    <w:basedOn w:val="Normal"/>
    <w:rsid w:val="002C2002"/>
    <w:pPr>
      <w:ind w:left="1132" w:hanging="283"/>
    </w:pPr>
  </w:style>
  <w:style w:type="paragraph" w:styleId="List5">
    <w:name w:val="List 5"/>
    <w:basedOn w:val="Normal"/>
    <w:rsid w:val="002C2002"/>
    <w:pPr>
      <w:ind w:left="1415" w:hanging="283"/>
    </w:pPr>
  </w:style>
  <w:style w:type="paragraph" w:styleId="ListBullet2">
    <w:name w:val="List Bullet 2"/>
    <w:basedOn w:val="Normal"/>
    <w:autoRedefine/>
    <w:rsid w:val="002C2002"/>
    <w:pPr>
      <w:tabs>
        <w:tab w:val="num" w:pos="360"/>
      </w:tabs>
    </w:pPr>
  </w:style>
  <w:style w:type="paragraph" w:styleId="ListBullet3">
    <w:name w:val="List Bullet 3"/>
    <w:basedOn w:val="Normal"/>
    <w:autoRedefine/>
    <w:rsid w:val="002C2002"/>
    <w:pPr>
      <w:tabs>
        <w:tab w:val="num" w:pos="926"/>
      </w:tabs>
      <w:ind w:left="926" w:hanging="360"/>
    </w:pPr>
  </w:style>
  <w:style w:type="paragraph" w:styleId="ListBullet4">
    <w:name w:val="List Bullet 4"/>
    <w:basedOn w:val="Normal"/>
    <w:autoRedefine/>
    <w:rsid w:val="002C2002"/>
    <w:pPr>
      <w:tabs>
        <w:tab w:val="num" w:pos="1209"/>
      </w:tabs>
      <w:ind w:left="1209" w:hanging="360"/>
    </w:pPr>
  </w:style>
  <w:style w:type="paragraph" w:styleId="ListBullet5">
    <w:name w:val="List Bullet 5"/>
    <w:basedOn w:val="Normal"/>
    <w:autoRedefine/>
    <w:rsid w:val="002C2002"/>
    <w:pPr>
      <w:tabs>
        <w:tab w:val="num" w:pos="1492"/>
      </w:tabs>
      <w:ind w:left="1492" w:hanging="360"/>
    </w:pPr>
  </w:style>
  <w:style w:type="paragraph" w:styleId="ListNumber2">
    <w:name w:val="List Number 2"/>
    <w:basedOn w:val="Normal"/>
    <w:rsid w:val="002C2002"/>
    <w:pPr>
      <w:tabs>
        <w:tab w:val="num" w:pos="643"/>
      </w:tabs>
      <w:ind w:left="643" w:hanging="360"/>
    </w:pPr>
  </w:style>
  <w:style w:type="paragraph" w:styleId="ListNumber3">
    <w:name w:val="List Number 3"/>
    <w:basedOn w:val="Normal"/>
    <w:rsid w:val="002C2002"/>
    <w:pPr>
      <w:tabs>
        <w:tab w:val="num" w:pos="926"/>
      </w:tabs>
      <w:ind w:left="926" w:hanging="360"/>
    </w:pPr>
  </w:style>
  <w:style w:type="paragraph" w:styleId="ListNumber4">
    <w:name w:val="List Number 4"/>
    <w:basedOn w:val="Normal"/>
    <w:rsid w:val="002C2002"/>
    <w:pPr>
      <w:tabs>
        <w:tab w:val="num" w:pos="1209"/>
      </w:tabs>
      <w:ind w:left="1209" w:hanging="360"/>
    </w:pPr>
  </w:style>
  <w:style w:type="paragraph" w:styleId="ListNumber5">
    <w:name w:val="List Number 5"/>
    <w:basedOn w:val="Normal"/>
    <w:rsid w:val="002C2002"/>
    <w:pPr>
      <w:tabs>
        <w:tab w:val="num" w:pos="1492"/>
      </w:tabs>
      <w:ind w:left="1492" w:hanging="360"/>
    </w:pPr>
  </w:style>
  <w:style w:type="paragraph" w:styleId="Title">
    <w:name w:val="Title"/>
    <w:basedOn w:val="Normal"/>
    <w:link w:val="TitleChar"/>
    <w:qFormat/>
    <w:rsid w:val="002C2002"/>
    <w:pPr>
      <w:spacing w:before="240" w:after="60"/>
    </w:pPr>
    <w:rPr>
      <w:rFonts w:ascii="Arial" w:hAnsi="Arial" w:cs="Arial"/>
      <w:b/>
      <w:bCs/>
      <w:sz w:val="40"/>
      <w:szCs w:val="40"/>
    </w:rPr>
  </w:style>
  <w:style w:type="character" w:customStyle="1" w:styleId="TitleChar">
    <w:name w:val="Title Char"/>
    <w:basedOn w:val="DefaultParagraphFont"/>
    <w:link w:val="Title"/>
    <w:rsid w:val="002C2002"/>
    <w:rPr>
      <w:rFonts w:ascii="Arial" w:hAnsi="Arial" w:cs="Arial"/>
      <w:b/>
      <w:bCs/>
      <w:sz w:val="40"/>
      <w:szCs w:val="40"/>
    </w:rPr>
  </w:style>
  <w:style w:type="paragraph" w:styleId="Closing">
    <w:name w:val="Closing"/>
    <w:basedOn w:val="Normal"/>
    <w:link w:val="ClosingChar"/>
    <w:rsid w:val="002C2002"/>
    <w:pPr>
      <w:ind w:left="4252"/>
    </w:pPr>
  </w:style>
  <w:style w:type="character" w:customStyle="1" w:styleId="ClosingChar">
    <w:name w:val="Closing Char"/>
    <w:basedOn w:val="DefaultParagraphFont"/>
    <w:link w:val="Closing"/>
    <w:rsid w:val="002C2002"/>
    <w:rPr>
      <w:sz w:val="22"/>
    </w:rPr>
  </w:style>
  <w:style w:type="paragraph" w:styleId="Signature">
    <w:name w:val="Signature"/>
    <w:basedOn w:val="Normal"/>
    <w:link w:val="SignatureChar"/>
    <w:rsid w:val="002C2002"/>
    <w:pPr>
      <w:ind w:left="4252"/>
    </w:pPr>
  </w:style>
  <w:style w:type="character" w:customStyle="1" w:styleId="SignatureChar">
    <w:name w:val="Signature Char"/>
    <w:basedOn w:val="DefaultParagraphFont"/>
    <w:link w:val="Signature"/>
    <w:rsid w:val="002C2002"/>
    <w:rPr>
      <w:sz w:val="22"/>
    </w:rPr>
  </w:style>
  <w:style w:type="paragraph" w:styleId="BodyText">
    <w:name w:val="Body Text"/>
    <w:basedOn w:val="Normal"/>
    <w:link w:val="BodyTextChar"/>
    <w:rsid w:val="002C2002"/>
    <w:pPr>
      <w:spacing w:after="120"/>
    </w:pPr>
  </w:style>
  <w:style w:type="character" w:customStyle="1" w:styleId="BodyTextChar">
    <w:name w:val="Body Text Char"/>
    <w:basedOn w:val="DefaultParagraphFont"/>
    <w:link w:val="BodyText"/>
    <w:rsid w:val="002C2002"/>
    <w:rPr>
      <w:sz w:val="22"/>
    </w:rPr>
  </w:style>
  <w:style w:type="paragraph" w:styleId="BodyTextIndent">
    <w:name w:val="Body Text Indent"/>
    <w:basedOn w:val="Normal"/>
    <w:link w:val="BodyTextIndentChar"/>
    <w:rsid w:val="002C2002"/>
    <w:pPr>
      <w:spacing w:after="120"/>
      <w:ind w:left="283"/>
    </w:pPr>
  </w:style>
  <w:style w:type="character" w:customStyle="1" w:styleId="BodyTextIndentChar">
    <w:name w:val="Body Text Indent Char"/>
    <w:basedOn w:val="DefaultParagraphFont"/>
    <w:link w:val="BodyTextIndent"/>
    <w:rsid w:val="002C2002"/>
    <w:rPr>
      <w:sz w:val="22"/>
    </w:rPr>
  </w:style>
  <w:style w:type="paragraph" w:styleId="ListContinue">
    <w:name w:val="List Continue"/>
    <w:basedOn w:val="Normal"/>
    <w:rsid w:val="002C2002"/>
    <w:pPr>
      <w:spacing w:after="120"/>
      <w:ind w:left="283"/>
    </w:pPr>
  </w:style>
  <w:style w:type="paragraph" w:styleId="ListContinue2">
    <w:name w:val="List Continue 2"/>
    <w:basedOn w:val="Normal"/>
    <w:rsid w:val="002C2002"/>
    <w:pPr>
      <w:spacing w:after="120"/>
      <w:ind w:left="566"/>
    </w:pPr>
  </w:style>
  <w:style w:type="paragraph" w:styleId="ListContinue3">
    <w:name w:val="List Continue 3"/>
    <w:basedOn w:val="Normal"/>
    <w:rsid w:val="002C2002"/>
    <w:pPr>
      <w:spacing w:after="120"/>
      <w:ind w:left="849"/>
    </w:pPr>
  </w:style>
  <w:style w:type="paragraph" w:styleId="ListContinue4">
    <w:name w:val="List Continue 4"/>
    <w:basedOn w:val="Normal"/>
    <w:rsid w:val="002C2002"/>
    <w:pPr>
      <w:spacing w:after="120"/>
      <w:ind w:left="1132"/>
    </w:pPr>
  </w:style>
  <w:style w:type="paragraph" w:styleId="ListContinue5">
    <w:name w:val="List Continue 5"/>
    <w:basedOn w:val="Normal"/>
    <w:rsid w:val="002C2002"/>
    <w:pPr>
      <w:spacing w:after="120"/>
      <w:ind w:left="1415"/>
    </w:pPr>
  </w:style>
  <w:style w:type="paragraph" w:styleId="MessageHeader">
    <w:name w:val="Message Header"/>
    <w:basedOn w:val="Normal"/>
    <w:link w:val="MessageHeaderChar"/>
    <w:rsid w:val="002C20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C2002"/>
    <w:rPr>
      <w:rFonts w:ascii="Arial" w:hAnsi="Arial" w:cs="Arial"/>
      <w:sz w:val="22"/>
      <w:shd w:val="pct20" w:color="auto" w:fill="auto"/>
    </w:rPr>
  </w:style>
  <w:style w:type="paragraph" w:styleId="Subtitle">
    <w:name w:val="Subtitle"/>
    <w:basedOn w:val="Normal"/>
    <w:link w:val="SubtitleChar"/>
    <w:qFormat/>
    <w:rsid w:val="002C2002"/>
    <w:pPr>
      <w:spacing w:after="60"/>
      <w:jc w:val="center"/>
      <w:outlineLvl w:val="1"/>
    </w:pPr>
    <w:rPr>
      <w:rFonts w:ascii="Arial" w:hAnsi="Arial" w:cs="Arial"/>
    </w:rPr>
  </w:style>
  <w:style w:type="character" w:customStyle="1" w:styleId="SubtitleChar">
    <w:name w:val="Subtitle Char"/>
    <w:basedOn w:val="DefaultParagraphFont"/>
    <w:link w:val="Subtitle"/>
    <w:rsid w:val="002C2002"/>
    <w:rPr>
      <w:rFonts w:ascii="Arial" w:hAnsi="Arial" w:cs="Arial"/>
      <w:sz w:val="22"/>
    </w:rPr>
  </w:style>
  <w:style w:type="paragraph" w:styleId="Salutation">
    <w:name w:val="Salutation"/>
    <w:basedOn w:val="Normal"/>
    <w:next w:val="Normal"/>
    <w:link w:val="SalutationChar"/>
    <w:rsid w:val="002C2002"/>
  </w:style>
  <w:style w:type="character" w:customStyle="1" w:styleId="SalutationChar">
    <w:name w:val="Salutation Char"/>
    <w:basedOn w:val="DefaultParagraphFont"/>
    <w:link w:val="Salutation"/>
    <w:rsid w:val="002C2002"/>
    <w:rPr>
      <w:sz w:val="22"/>
    </w:rPr>
  </w:style>
  <w:style w:type="paragraph" w:styleId="Date">
    <w:name w:val="Date"/>
    <w:basedOn w:val="Normal"/>
    <w:next w:val="Normal"/>
    <w:link w:val="DateChar"/>
    <w:rsid w:val="002C2002"/>
  </w:style>
  <w:style w:type="character" w:customStyle="1" w:styleId="DateChar">
    <w:name w:val="Date Char"/>
    <w:basedOn w:val="DefaultParagraphFont"/>
    <w:link w:val="Date"/>
    <w:rsid w:val="002C2002"/>
    <w:rPr>
      <w:sz w:val="22"/>
    </w:rPr>
  </w:style>
  <w:style w:type="paragraph" w:styleId="BodyTextFirstIndent">
    <w:name w:val="Body Text First Indent"/>
    <w:basedOn w:val="BodyText"/>
    <w:link w:val="BodyTextFirstIndentChar"/>
    <w:rsid w:val="002C2002"/>
    <w:pPr>
      <w:ind w:firstLine="210"/>
    </w:pPr>
  </w:style>
  <w:style w:type="character" w:customStyle="1" w:styleId="BodyTextFirstIndentChar">
    <w:name w:val="Body Text First Indent Char"/>
    <w:basedOn w:val="BodyTextChar"/>
    <w:link w:val="BodyTextFirstIndent"/>
    <w:rsid w:val="002C2002"/>
    <w:rPr>
      <w:sz w:val="22"/>
    </w:rPr>
  </w:style>
  <w:style w:type="paragraph" w:styleId="BodyTextFirstIndent2">
    <w:name w:val="Body Text First Indent 2"/>
    <w:basedOn w:val="BodyTextIndent"/>
    <w:link w:val="BodyTextFirstIndent2Char"/>
    <w:rsid w:val="002C2002"/>
    <w:pPr>
      <w:ind w:firstLine="210"/>
    </w:pPr>
  </w:style>
  <w:style w:type="character" w:customStyle="1" w:styleId="BodyTextFirstIndent2Char">
    <w:name w:val="Body Text First Indent 2 Char"/>
    <w:basedOn w:val="BodyTextIndentChar"/>
    <w:link w:val="BodyTextFirstIndent2"/>
    <w:rsid w:val="002C2002"/>
    <w:rPr>
      <w:sz w:val="22"/>
    </w:rPr>
  </w:style>
  <w:style w:type="paragraph" w:styleId="BodyText2">
    <w:name w:val="Body Text 2"/>
    <w:basedOn w:val="Normal"/>
    <w:link w:val="BodyText2Char"/>
    <w:rsid w:val="002C2002"/>
    <w:pPr>
      <w:spacing w:after="120" w:line="480" w:lineRule="auto"/>
    </w:pPr>
  </w:style>
  <w:style w:type="character" w:customStyle="1" w:styleId="BodyText2Char">
    <w:name w:val="Body Text 2 Char"/>
    <w:basedOn w:val="DefaultParagraphFont"/>
    <w:link w:val="BodyText2"/>
    <w:rsid w:val="002C2002"/>
    <w:rPr>
      <w:sz w:val="22"/>
    </w:rPr>
  </w:style>
  <w:style w:type="paragraph" w:styleId="BodyText3">
    <w:name w:val="Body Text 3"/>
    <w:basedOn w:val="Normal"/>
    <w:link w:val="BodyText3Char"/>
    <w:rsid w:val="002C2002"/>
    <w:pPr>
      <w:spacing w:after="120"/>
    </w:pPr>
    <w:rPr>
      <w:sz w:val="16"/>
      <w:szCs w:val="16"/>
    </w:rPr>
  </w:style>
  <w:style w:type="character" w:customStyle="1" w:styleId="BodyText3Char">
    <w:name w:val="Body Text 3 Char"/>
    <w:basedOn w:val="DefaultParagraphFont"/>
    <w:link w:val="BodyText3"/>
    <w:rsid w:val="002C2002"/>
    <w:rPr>
      <w:sz w:val="16"/>
      <w:szCs w:val="16"/>
    </w:rPr>
  </w:style>
  <w:style w:type="paragraph" w:styleId="BodyTextIndent2">
    <w:name w:val="Body Text Indent 2"/>
    <w:basedOn w:val="Normal"/>
    <w:link w:val="BodyTextIndent2Char"/>
    <w:rsid w:val="002C2002"/>
    <w:pPr>
      <w:spacing w:after="120" w:line="480" w:lineRule="auto"/>
      <w:ind w:left="283"/>
    </w:pPr>
  </w:style>
  <w:style w:type="character" w:customStyle="1" w:styleId="BodyTextIndent2Char">
    <w:name w:val="Body Text Indent 2 Char"/>
    <w:basedOn w:val="DefaultParagraphFont"/>
    <w:link w:val="BodyTextIndent2"/>
    <w:rsid w:val="002C2002"/>
    <w:rPr>
      <w:sz w:val="22"/>
    </w:rPr>
  </w:style>
  <w:style w:type="paragraph" w:styleId="BodyTextIndent3">
    <w:name w:val="Body Text Indent 3"/>
    <w:basedOn w:val="Normal"/>
    <w:link w:val="BodyTextIndent3Char"/>
    <w:rsid w:val="002C2002"/>
    <w:pPr>
      <w:spacing w:after="120"/>
      <w:ind w:left="283"/>
    </w:pPr>
    <w:rPr>
      <w:sz w:val="16"/>
      <w:szCs w:val="16"/>
    </w:rPr>
  </w:style>
  <w:style w:type="character" w:customStyle="1" w:styleId="BodyTextIndent3Char">
    <w:name w:val="Body Text Indent 3 Char"/>
    <w:basedOn w:val="DefaultParagraphFont"/>
    <w:link w:val="BodyTextIndent3"/>
    <w:rsid w:val="002C2002"/>
    <w:rPr>
      <w:sz w:val="16"/>
      <w:szCs w:val="16"/>
    </w:rPr>
  </w:style>
  <w:style w:type="paragraph" w:styleId="BlockText">
    <w:name w:val="Block Text"/>
    <w:basedOn w:val="Normal"/>
    <w:rsid w:val="002C2002"/>
    <w:pPr>
      <w:spacing w:after="120"/>
      <w:ind w:left="1440" w:right="1440"/>
    </w:pPr>
  </w:style>
  <w:style w:type="character" w:styleId="Hyperlink">
    <w:name w:val="Hyperlink"/>
    <w:basedOn w:val="DefaultParagraphFont"/>
    <w:rsid w:val="002C2002"/>
    <w:rPr>
      <w:color w:val="0000FF"/>
      <w:u w:val="single"/>
    </w:rPr>
  </w:style>
  <w:style w:type="character" w:styleId="FollowedHyperlink">
    <w:name w:val="FollowedHyperlink"/>
    <w:basedOn w:val="DefaultParagraphFont"/>
    <w:rsid w:val="002C2002"/>
    <w:rPr>
      <w:color w:val="800080"/>
      <w:u w:val="single"/>
    </w:rPr>
  </w:style>
  <w:style w:type="character" w:styleId="Strong">
    <w:name w:val="Strong"/>
    <w:basedOn w:val="DefaultParagraphFont"/>
    <w:qFormat/>
    <w:rsid w:val="002C2002"/>
    <w:rPr>
      <w:b/>
      <w:bCs/>
    </w:rPr>
  </w:style>
  <w:style w:type="character" w:styleId="Emphasis">
    <w:name w:val="Emphasis"/>
    <w:basedOn w:val="DefaultParagraphFont"/>
    <w:qFormat/>
    <w:rsid w:val="002C2002"/>
    <w:rPr>
      <w:i/>
      <w:iCs/>
    </w:rPr>
  </w:style>
  <w:style w:type="paragraph" w:styleId="DocumentMap">
    <w:name w:val="Document Map"/>
    <w:basedOn w:val="Normal"/>
    <w:link w:val="DocumentMapChar"/>
    <w:rsid w:val="002C2002"/>
    <w:pPr>
      <w:shd w:val="clear" w:color="auto" w:fill="000080"/>
    </w:pPr>
    <w:rPr>
      <w:rFonts w:ascii="Tahoma" w:hAnsi="Tahoma" w:cs="Tahoma"/>
    </w:rPr>
  </w:style>
  <w:style w:type="character" w:customStyle="1" w:styleId="DocumentMapChar">
    <w:name w:val="Document Map Char"/>
    <w:basedOn w:val="DefaultParagraphFont"/>
    <w:link w:val="DocumentMap"/>
    <w:rsid w:val="002C2002"/>
    <w:rPr>
      <w:rFonts w:ascii="Tahoma" w:hAnsi="Tahoma" w:cs="Tahoma"/>
      <w:sz w:val="22"/>
      <w:shd w:val="clear" w:color="auto" w:fill="000080"/>
    </w:rPr>
  </w:style>
  <w:style w:type="paragraph" w:styleId="PlainText">
    <w:name w:val="Plain Text"/>
    <w:basedOn w:val="Normal"/>
    <w:link w:val="PlainTextChar"/>
    <w:rsid w:val="002C2002"/>
    <w:rPr>
      <w:rFonts w:ascii="Courier New" w:hAnsi="Courier New" w:cs="Courier New"/>
      <w:sz w:val="20"/>
    </w:rPr>
  </w:style>
  <w:style w:type="character" w:customStyle="1" w:styleId="PlainTextChar">
    <w:name w:val="Plain Text Char"/>
    <w:basedOn w:val="DefaultParagraphFont"/>
    <w:link w:val="PlainText"/>
    <w:rsid w:val="002C2002"/>
    <w:rPr>
      <w:rFonts w:ascii="Courier New" w:hAnsi="Courier New" w:cs="Courier New"/>
    </w:rPr>
  </w:style>
  <w:style w:type="paragraph" w:styleId="E-mailSignature">
    <w:name w:val="E-mail Signature"/>
    <w:basedOn w:val="Normal"/>
    <w:link w:val="E-mailSignatureChar"/>
    <w:rsid w:val="002C2002"/>
  </w:style>
  <w:style w:type="character" w:customStyle="1" w:styleId="E-mailSignatureChar">
    <w:name w:val="E-mail Signature Char"/>
    <w:basedOn w:val="DefaultParagraphFont"/>
    <w:link w:val="E-mailSignature"/>
    <w:rsid w:val="002C2002"/>
    <w:rPr>
      <w:sz w:val="22"/>
    </w:rPr>
  </w:style>
  <w:style w:type="paragraph" w:styleId="NormalWeb">
    <w:name w:val="Normal (Web)"/>
    <w:basedOn w:val="Normal"/>
    <w:rsid w:val="002C2002"/>
  </w:style>
  <w:style w:type="character" w:styleId="HTMLAcronym">
    <w:name w:val="HTML Acronym"/>
    <w:basedOn w:val="DefaultParagraphFont"/>
    <w:rsid w:val="002C2002"/>
  </w:style>
  <w:style w:type="paragraph" w:styleId="HTMLAddress">
    <w:name w:val="HTML Address"/>
    <w:basedOn w:val="Normal"/>
    <w:link w:val="HTMLAddressChar"/>
    <w:rsid w:val="002C2002"/>
    <w:rPr>
      <w:i/>
      <w:iCs/>
    </w:rPr>
  </w:style>
  <w:style w:type="character" w:customStyle="1" w:styleId="HTMLAddressChar">
    <w:name w:val="HTML Address Char"/>
    <w:basedOn w:val="DefaultParagraphFont"/>
    <w:link w:val="HTMLAddress"/>
    <w:rsid w:val="002C2002"/>
    <w:rPr>
      <w:i/>
      <w:iCs/>
      <w:sz w:val="22"/>
    </w:rPr>
  </w:style>
  <w:style w:type="character" w:styleId="HTMLCite">
    <w:name w:val="HTML Cite"/>
    <w:basedOn w:val="DefaultParagraphFont"/>
    <w:rsid w:val="002C2002"/>
    <w:rPr>
      <w:i/>
      <w:iCs/>
    </w:rPr>
  </w:style>
  <w:style w:type="character" w:styleId="HTMLCode">
    <w:name w:val="HTML Code"/>
    <w:basedOn w:val="DefaultParagraphFont"/>
    <w:rsid w:val="002C2002"/>
    <w:rPr>
      <w:rFonts w:ascii="Courier New" w:hAnsi="Courier New" w:cs="Courier New"/>
      <w:sz w:val="20"/>
      <w:szCs w:val="20"/>
    </w:rPr>
  </w:style>
  <w:style w:type="character" w:styleId="HTMLDefinition">
    <w:name w:val="HTML Definition"/>
    <w:basedOn w:val="DefaultParagraphFont"/>
    <w:rsid w:val="002C2002"/>
    <w:rPr>
      <w:i/>
      <w:iCs/>
    </w:rPr>
  </w:style>
  <w:style w:type="character" w:styleId="HTMLKeyboard">
    <w:name w:val="HTML Keyboard"/>
    <w:basedOn w:val="DefaultParagraphFont"/>
    <w:rsid w:val="002C2002"/>
    <w:rPr>
      <w:rFonts w:ascii="Courier New" w:hAnsi="Courier New" w:cs="Courier New"/>
      <w:sz w:val="20"/>
      <w:szCs w:val="20"/>
    </w:rPr>
  </w:style>
  <w:style w:type="paragraph" w:styleId="HTMLPreformatted">
    <w:name w:val="HTML Preformatted"/>
    <w:basedOn w:val="Normal"/>
    <w:link w:val="HTMLPreformattedChar"/>
    <w:rsid w:val="002C2002"/>
    <w:rPr>
      <w:rFonts w:ascii="Courier New" w:hAnsi="Courier New" w:cs="Courier New"/>
      <w:sz w:val="20"/>
    </w:rPr>
  </w:style>
  <w:style w:type="character" w:customStyle="1" w:styleId="HTMLPreformattedChar">
    <w:name w:val="HTML Preformatted Char"/>
    <w:basedOn w:val="DefaultParagraphFont"/>
    <w:link w:val="HTMLPreformatted"/>
    <w:rsid w:val="002C2002"/>
    <w:rPr>
      <w:rFonts w:ascii="Courier New" w:hAnsi="Courier New" w:cs="Courier New"/>
    </w:rPr>
  </w:style>
  <w:style w:type="character" w:styleId="HTMLSample">
    <w:name w:val="HTML Sample"/>
    <w:basedOn w:val="DefaultParagraphFont"/>
    <w:rsid w:val="002C2002"/>
    <w:rPr>
      <w:rFonts w:ascii="Courier New" w:hAnsi="Courier New" w:cs="Courier New"/>
    </w:rPr>
  </w:style>
  <w:style w:type="character" w:styleId="HTMLTypewriter">
    <w:name w:val="HTML Typewriter"/>
    <w:basedOn w:val="DefaultParagraphFont"/>
    <w:rsid w:val="002C2002"/>
    <w:rPr>
      <w:rFonts w:ascii="Courier New" w:hAnsi="Courier New" w:cs="Courier New"/>
      <w:sz w:val="20"/>
      <w:szCs w:val="20"/>
    </w:rPr>
  </w:style>
  <w:style w:type="character" w:styleId="HTMLVariable">
    <w:name w:val="HTML Variable"/>
    <w:basedOn w:val="DefaultParagraphFont"/>
    <w:rsid w:val="002C2002"/>
    <w:rPr>
      <w:i/>
      <w:iCs/>
    </w:rPr>
  </w:style>
  <w:style w:type="paragraph" w:styleId="CommentSubject">
    <w:name w:val="annotation subject"/>
    <w:basedOn w:val="CommentText"/>
    <w:next w:val="CommentText"/>
    <w:link w:val="CommentSubjectChar"/>
    <w:rsid w:val="002C2002"/>
    <w:rPr>
      <w:b/>
      <w:bCs/>
    </w:rPr>
  </w:style>
  <w:style w:type="character" w:customStyle="1" w:styleId="CommentSubjectChar">
    <w:name w:val="Comment Subject Char"/>
    <w:basedOn w:val="CommentTextChar"/>
    <w:link w:val="CommentSubject"/>
    <w:rsid w:val="002C2002"/>
    <w:rPr>
      <w:b/>
      <w:bCs/>
    </w:rPr>
  </w:style>
  <w:style w:type="numbering" w:styleId="1ai">
    <w:name w:val="Outline List 1"/>
    <w:basedOn w:val="NoList"/>
    <w:rsid w:val="002C2002"/>
    <w:pPr>
      <w:numPr>
        <w:numId w:val="14"/>
      </w:numPr>
    </w:pPr>
  </w:style>
  <w:style w:type="numbering" w:styleId="111111">
    <w:name w:val="Outline List 2"/>
    <w:basedOn w:val="NoList"/>
    <w:rsid w:val="002C2002"/>
    <w:pPr>
      <w:numPr>
        <w:numId w:val="15"/>
      </w:numPr>
    </w:pPr>
  </w:style>
  <w:style w:type="numbering" w:styleId="ArticleSection">
    <w:name w:val="Outline List 3"/>
    <w:basedOn w:val="NoList"/>
    <w:rsid w:val="002C2002"/>
    <w:pPr>
      <w:numPr>
        <w:numId w:val="17"/>
      </w:numPr>
    </w:pPr>
  </w:style>
  <w:style w:type="table" w:styleId="TableSimple1">
    <w:name w:val="Table Simple 1"/>
    <w:basedOn w:val="TableNormal"/>
    <w:rsid w:val="002C200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200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200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C200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200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200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200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200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200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200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200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200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200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200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200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C200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200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200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200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200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200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200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200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200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200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200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200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200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200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200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200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C200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200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200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C200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200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C200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200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200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C200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200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200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C200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C2002"/>
    <w:rPr>
      <w:rFonts w:eastAsia="Times New Roman" w:cs="Times New Roman"/>
      <w:b/>
      <w:kern w:val="28"/>
      <w:sz w:val="24"/>
      <w:lang w:eastAsia="en-AU"/>
    </w:rPr>
  </w:style>
  <w:style w:type="paragraph" w:styleId="Bibliography">
    <w:name w:val="Bibliography"/>
    <w:basedOn w:val="Normal"/>
    <w:next w:val="Normal"/>
    <w:uiPriority w:val="37"/>
    <w:semiHidden/>
    <w:unhideWhenUsed/>
    <w:rsid w:val="002C2002"/>
  </w:style>
  <w:style w:type="character" w:styleId="BookTitle">
    <w:name w:val="Book Title"/>
    <w:basedOn w:val="DefaultParagraphFont"/>
    <w:uiPriority w:val="33"/>
    <w:qFormat/>
    <w:rsid w:val="002C2002"/>
    <w:rPr>
      <w:b/>
      <w:bCs/>
      <w:i/>
      <w:iCs/>
      <w:spacing w:val="5"/>
    </w:rPr>
  </w:style>
  <w:style w:type="table" w:styleId="ColorfulGrid">
    <w:name w:val="Colorful Grid"/>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200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20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00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200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200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20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20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200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200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00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00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00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200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00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0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20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00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200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200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200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200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20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C20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00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200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200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200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200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200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0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200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200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200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200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200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200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20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20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20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20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20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20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20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20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20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20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20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20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20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20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20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20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20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20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20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20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20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20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20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20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20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20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20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20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20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C2002"/>
    <w:rPr>
      <w:color w:val="2B579A"/>
      <w:shd w:val="clear" w:color="auto" w:fill="E1DFDD"/>
    </w:rPr>
  </w:style>
  <w:style w:type="character" w:styleId="IntenseEmphasis">
    <w:name w:val="Intense Emphasis"/>
    <w:basedOn w:val="DefaultParagraphFont"/>
    <w:uiPriority w:val="21"/>
    <w:qFormat/>
    <w:rsid w:val="002C2002"/>
    <w:rPr>
      <w:i/>
      <w:iCs/>
      <w:color w:val="4F81BD" w:themeColor="accent1"/>
    </w:rPr>
  </w:style>
  <w:style w:type="paragraph" w:styleId="IntenseQuote">
    <w:name w:val="Intense Quote"/>
    <w:basedOn w:val="Normal"/>
    <w:next w:val="Normal"/>
    <w:link w:val="IntenseQuoteChar"/>
    <w:uiPriority w:val="30"/>
    <w:qFormat/>
    <w:rsid w:val="002C20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C2002"/>
    <w:rPr>
      <w:i/>
      <w:iCs/>
      <w:color w:val="4F81BD" w:themeColor="accent1"/>
      <w:sz w:val="22"/>
    </w:rPr>
  </w:style>
  <w:style w:type="character" w:styleId="IntenseReference">
    <w:name w:val="Intense Reference"/>
    <w:basedOn w:val="DefaultParagraphFont"/>
    <w:uiPriority w:val="32"/>
    <w:qFormat/>
    <w:rsid w:val="002C2002"/>
    <w:rPr>
      <w:b/>
      <w:bCs/>
      <w:smallCaps/>
      <w:color w:val="4F81BD" w:themeColor="accent1"/>
      <w:spacing w:val="5"/>
    </w:rPr>
  </w:style>
  <w:style w:type="table" w:styleId="LightGrid">
    <w:name w:val="Light Grid"/>
    <w:basedOn w:val="TableNormal"/>
    <w:uiPriority w:val="62"/>
    <w:semiHidden/>
    <w:unhideWhenUsed/>
    <w:rsid w:val="002C20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0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20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20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20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20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20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20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0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20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20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20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20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20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20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00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200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200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200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200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200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C2002"/>
    <w:pPr>
      <w:ind w:left="720"/>
      <w:contextualSpacing/>
    </w:pPr>
  </w:style>
  <w:style w:type="table" w:styleId="ListTable1Light">
    <w:name w:val="List Table 1 Light"/>
    <w:basedOn w:val="TableNormal"/>
    <w:uiPriority w:val="46"/>
    <w:rsid w:val="002C200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200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200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200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200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200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200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200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200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200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200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200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200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200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20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200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200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200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200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200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200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20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20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20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20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20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20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20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200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20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200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200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200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200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200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200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200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200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200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200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200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200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200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200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200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200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200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200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200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C20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0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20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20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20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20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20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20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20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00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200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200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200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200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200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0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0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0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0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0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0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0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0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0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2002"/>
    <w:rPr>
      <w:color w:val="2B579A"/>
      <w:shd w:val="clear" w:color="auto" w:fill="E1DFDD"/>
    </w:rPr>
  </w:style>
  <w:style w:type="paragraph" w:styleId="NoSpacing">
    <w:name w:val="No Spacing"/>
    <w:uiPriority w:val="1"/>
    <w:qFormat/>
    <w:rsid w:val="002C2002"/>
    <w:rPr>
      <w:sz w:val="22"/>
    </w:rPr>
  </w:style>
  <w:style w:type="paragraph" w:styleId="NoteHeading">
    <w:name w:val="Note Heading"/>
    <w:basedOn w:val="Normal"/>
    <w:next w:val="Normal"/>
    <w:link w:val="NoteHeadingChar"/>
    <w:uiPriority w:val="99"/>
    <w:semiHidden/>
    <w:unhideWhenUsed/>
    <w:rsid w:val="002C2002"/>
    <w:pPr>
      <w:spacing w:line="240" w:lineRule="auto"/>
    </w:pPr>
  </w:style>
  <w:style w:type="character" w:customStyle="1" w:styleId="NoteHeadingChar">
    <w:name w:val="Note Heading Char"/>
    <w:basedOn w:val="DefaultParagraphFont"/>
    <w:link w:val="NoteHeading"/>
    <w:uiPriority w:val="99"/>
    <w:semiHidden/>
    <w:rsid w:val="002C2002"/>
    <w:rPr>
      <w:sz w:val="22"/>
    </w:rPr>
  </w:style>
  <w:style w:type="character" w:styleId="PlaceholderText">
    <w:name w:val="Placeholder Text"/>
    <w:basedOn w:val="DefaultParagraphFont"/>
    <w:uiPriority w:val="99"/>
    <w:semiHidden/>
    <w:rsid w:val="002C2002"/>
    <w:rPr>
      <w:color w:val="808080"/>
    </w:rPr>
  </w:style>
  <w:style w:type="table" w:styleId="PlainTable1">
    <w:name w:val="Plain Table 1"/>
    <w:basedOn w:val="TableNormal"/>
    <w:uiPriority w:val="41"/>
    <w:rsid w:val="002C20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20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20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20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20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C20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2002"/>
    <w:rPr>
      <w:i/>
      <w:iCs/>
      <w:color w:val="404040" w:themeColor="text1" w:themeTint="BF"/>
      <w:sz w:val="22"/>
    </w:rPr>
  </w:style>
  <w:style w:type="character" w:styleId="SmartHyperlink">
    <w:name w:val="Smart Hyperlink"/>
    <w:basedOn w:val="DefaultParagraphFont"/>
    <w:uiPriority w:val="99"/>
    <w:semiHidden/>
    <w:unhideWhenUsed/>
    <w:rsid w:val="002C2002"/>
    <w:rPr>
      <w:u w:val="dotted"/>
    </w:rPr>
  </w:style>
  <w:style w:type="character" w:styleId="SubtleEmphasis">
    <w:name w:val="Subtle Emphasis"/>
    <w:basedOn w:val="DefaultParagraphFont"/>
    <w:uiPriority w:val="19"/>
    <w:qFormat/>
    <w:rsid w:val="002C2002"/>
    <w:rPr>
      <w:i/>
      <w:iCs/>
      <w:color w:val="404040" w:themeColor="text1" w:themeTint="BF"/>
    </w:rPr>
  </w:style>
  <w:style w:type="character" w:styleId="SubtleReference">
    <w:name w:val="Subtle Reference"/>
    <w:basedOn w:val="DefaultParagraphFont"/>
    <w:uiPriority w:val="31"/>
    <w:qFormat/>
    <w:rsid w:val="002C2002"/>
    <w:rPr>
      <w:smallCaps/>
      <w:color w:val="5A5A5A" w:themeColor="text1" w:themeTint="A5"/>
    </w:rPr>
  </w:style>
  <w:style w:type="table" w:styleId="TableGridLight">
    <w:name w:val="Grid Table Light"/>
    <w:basedOn w:val="TableNormal"/>
    <w:uiPriority w:val="40"/>
    <w:rsid w:val="002C20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C2002"/>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C2002"/>
    <w:rPr>
      <w:color w:val="605E5C"/>
      <w:shd w:val="clear" w:color="auto" w:fill="E1DFDD"/>
    </w:rPr>
  </w:style>
  <w:style w:type="character" w:customStyle="1" w:styleId="paragraphChar">
    <w:name w:val="paragraph Char"/>
    <w:aliases w:val="a Char"/>
    <w:link w:val="paragraph"/>
    <w:rsid w:val="005620CB"/>
    <w:rPr>
      <w:rFonts w:eastAsia="Times New Roman" w:cs="Times New Roman"/>
      <w:sz w:val="22"/>
      <w:lang w:eastAsia="en-AU"/>
    </w:rPr>
  </w:style>
  <w:style w:type="character" w:customStyle="1" w:styleId="ItemHeadChar">
    <w:name w:val="ItemHead Char"/>
    <w:aliases w:val="ih Char"/>
    <w:basedOn w:val="DefaultParagraphFont"/>
    <w:link w:val="ItemHead"/>
    <w:locked/>
    <w:rsid w:val="00F73896"/>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670">
      <w:bodyDiv w:val="1"/>
      <w:marLeft w:val="0"/>
      <w:marRight w:val="0"/>
      <w:marTop w:val="0"/>
      <w:marBottom w:val="0"/>
      <w:divBdr>
        <w:top w:val="none" w:sz="0" w:space="0" w:color="auto"/>
        <w:left w:val="none" w:sz="0" w:space="0" w:color="auto"/>
        <w:bottom w:val="none" w:sz="0" w:space="0" w:color="auto"/>
        <w:right w:val="none" w:sz="0" w:space="0" w:color="auto"/>
      </w:divBdr>
    </w:div>
    <w:div w:id="232543674">
      <w:bodyDiv w:val="1"/>
      <w:marLeft w:val="0"/>
      <w:marRight w:val="0"/>
      <w:marTop w:val="0"/>
      <w:marBottom w:val="0"/>
      <w:divBdr>
        <w:top w:val="none" w:sz="0" w:space="0" w:color="auto"/>
        <w:left w:val="none" w:sz="0" w:space="0" w:color="auto"/>
        <w:bottom w:val="none" w:sz="0" w:space="0" w:color="auto"/>
        <w:right w:val="none" w:sz="0" w:space="0" w:color="auto"/>
      </w:divBdr>
    </w:div>
    <w:div w:id="557016764">
      <w:bodyDiv w:val="1"/>
      <w:marLeft w:val="0"/>
      <w:marRight w:val="0"/>
      <w:marTop w:val="0"/>
      <w:marBottom w:val="0"/>
      <w:divBdr>
        <w:top w:val="none" w:sz="0" w:space="0" w:color="auto"/>
        <w:left w:val="none" w:sz="0" w:space="0" w:color="auto"/>
        <w:bottom w:val="none" w:sz="0" w:space="0" w:color="auto"/>
        <w:right w:val="none" w:sz="0" w:space="0" w:color="auto"/>
      </w:divBdr>
    </w:div>
    <w:div w:id="747731590">
      <w:bodyDiv w:val="1"/>
      <w:marLeft w:val="0"/>
      <w:marRight w:val="0"/>
      <w:marTop w:val="0"/>
      <w:marBottom w:val="0"/>
      <w:divBdr>
        <w:top w:val="none" w:sz="0" w:space="0" w:color="auto"/>
        <w:left w:val="none" w:sz="0" w:space="0" w:color="auto"/>
        <w:bottom w:val="none" w:sz="0" w:space="0" w:color="auto"/>
        <w:right w:val="none" w:sz="0" w:space="0" w:color="auto"/>
      </w:divBdr>
    </w:div>
    <w:div w:id="9105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1E63-54C1-4A0E-A711-6AC9935C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4681</Words>
  <Characters>26683</Characters>
  <Application>Microsoft Office Word</Application>
  <DocSecurity>0</DocSecurity>
  <PresentationFormat/>
  <Lines>222</Lines>
  <Paragraphs>62</Paragraphs>
  <ScaleCrop>false</ScaleCrop>
  <Manager/>
  <Company/>
  <LinksUpToDate>false</LinksUpToDate>
  <CharactersWithSpaces>31302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2024-05-09T04:24:00Z</dcterms:created>
  <dcterms:modified xsi:type="dcterms:W3CDTF">2024-05-09T04:25:00Z</dcterms:modified>
  <cp:category/>
  <cp:contentStatus/>
  <dc:language/>
  <cp:version/>
</cp:coreProperties>
</file>