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8857" w14:textId="508E76B4" w:rsidR="005211E9" w:rsidRDefault="004745DE" w:rsidP="00535B01">
      <w:pPr>
        <w:spacing w:before="62"/>
        <w:ind w:left="1" w:right="1633" w:firstLine="1275"/>
        <w:jc w:val="center"/>
        <w:rPr>
          <w:b/>
        </w:rPr>
      </w:pPr>
      <w:r>
        <w:rPr>
          <w:b/>
        </w:rPr>
        <w:t>SUPPLEMENTARY</w:t>
      </w:r>
      <w:r>
        <w:rPr>
          <w:b/>
          <w:spacing w:val="-13"/>
        </w:rPr>
        <w:t xml:space="preserve"> </w:t>
      </w:r>
      <w:r>
        <w:rPr>
          <w:b/>
        </w:rPr>
        <w:t>EXPLANATORY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STATEMENT</w:t>
      </w:r>
    </w:p>
    <w:p w14:paraId="1FC08858" w14:textId="77777777" w:rsidR="005211E9" w:rsidRDefault="004745DE" w:rsidP="00535B01">
      <w:pPr>
        <w:pStyle w:val="BodyText"/>
        <w:spacing w:before="120"/>
        <w:ind w:right="1633" w:firstLine="1275"/>
        <w:jc w:val="center"/>
      </w:pPr>
      <w:r>
        <w:rPr>
          <w:u w:val="single"/>
        </w:rPr>
        <w:t>Approved</w:t>
      </w:r>
      <w:r>
        <w:rPr>
          <w:spacing w:val="-7"/>
          <w:u w:val="single"/>
        </w:rPr>
        <w:t xml:space="preserve"> </w:t>
      </w:r>
      <w:r>
        <w:rPr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Assistant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Treasurer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Minister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Financial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Services</w:t>
      </w:r>
    </w:p>
    <w:p w14:paraId="1FC08859" w14:textId="77777777" w:rsidR="005211E9" w:rsidRDefault="004745DE" w:rsidP="00535B01">
      <w:pPr>
        <w:spacing w:before="121"/>
        <w:ind w:left="1" w:right="1633" w:firstLine="1275"/>
        <w:jc w:val="center"/>
        <w:rPr>
          <w:i/>
        </w:rPr>
      </w:pPr>
      <w:r>
        <w:rPr>
          <w:i/>
        </w:rPr>
        <w:t>Competition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Consumer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2010</w:t>
      </w:r>
    </w:p>
    <w:p w14:paraId="1FC0885A" w14:textId="77777777" w:rsidR="005211E9" w:rsidRDefault="004745DE" w:rsidP="00535B01">
      <w:pPr>
        <w:spacing w:before="119"/>
        <w:ind w:right="1629" w:firstLine="1275"/>
        <w:jc w:val="center"/>
        <w:rPr>
          <w:b/>
          <w:i/>
        </w:rPr>
      </w:pPr>
      <w:r>
        <w:rPr>
          <w:b/>
          <w:i/>
        </w:rPr>
        <w:t>Consumer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Goods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(Toppling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Furniture)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Standard</w:t>
      </w:r>
      <w:r>
        <w:rPr>
          <w:b/>
          <w:i/>
          <w:spacing w:val="-4"/>
        </w:rPr>
        <w:t xml:space="preserve"> 2024</w:t>
      </w:r>
    </w:p>
    <w:p w14:paraId="6CE1BFC4" w14:textId="4738230B" w:rsidR="00535B01" w:rsidRPr="00535B01" w:rsidRDefault="00535B01" w:rsidP="00535B01">
      <w:pPr>
        <w:pStyle w:val="Heading1"/>
        <w:ind w:left="100" w:firstLine="0"/>
        <w:rPr>
          <w:u w:val="none"/>
        </w:rPr>
      </w:pPr>
      <w:r>
        <w:rPr>
          <w:spacing w:val="-2"/>
          <w:u w:val="none"/>
        </w:rPr>
        <w:t>Authority</w:t>
      </w:r>
    </w:p>
    <w:p w14:paraId="1FC0885C" w14:textId="3F95B230" w:rsidR="005211E9" w:rsidRDefault="004745DE">
      <w:pPr>
        <w:spacing w:before="116"/>
        <w:ind w:left="100"/>
      </w:pPr>
      <w:r>
        <w:t xml:space="preserve">The Assistant Treasurer and Minister for Financial Services (the </w:t>
      </w:r>
      <w:r>
        <w:rPr>
          <w:b/>
        </w:rPr>
        <w:t>Minister</w:t>
      </w:r>
      <w:r>
        <w:t xml:space="preserve">) made the </w:t>
      </w:r>
      <w:r>
        <w:rPr>
          <w:i/>
        </w:rPr>
        <w:t xml:space="preserve">Consumer Goods (Toppling Furniture) Information Standard 2024 </w:t>
      </w:r>
      <w:r>
        <w:t>(</w:t>
      </w:r>
      <w:r>
        <w:rPr>
          <w:b/>
        </w:rPr>
        <w:t>the instrument</w:t>
      </w:r>
      <w:r>
        <w:t>) pursuant to subsection 134(1) of the Australian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rPr>
          <w:b/>
        </w:rPr>
        <w:t>ACL</w:t>
      </w:r>
      <w:r>
        <w:t>),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i/>
        </w:rPr>
        <w:t>Competition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Consumer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</w:rPr>
        <w:t>2010</w:t>
      </w:r>
      <w:r>
        <w:rPr>
          <w:i/>
          <w:spacing w:val="-1"/>
        </w:rPr>
        <w:t xml:space="preserve"> </w:t>
      </w:r>
      <w:r>
        <w:t xml:space="preserve">(Cth) (the </w:t>
      </w:r>
      <w:r>
        <w:rPr>
          <w:b/>
        </w:rPr>
        <w:t>CCA</w:t>
      </w:r>
      <w:r>
        <w:t>).</w:t>
      </w:r>
    </w:p>
    <w:p w14:paraId="1FC0885D" w14:textId="77777777" w:rsidR="005211E9" w:rsidRDefault="004745DE">
      <w:pPr>
        <w:pStyle w:val="BodyText"/>
        <w:spacing w:before="121"/>
        <w:ind w:left="100" w:right="75"/>
      </w:pPr>
      <w:r>
        <w:t>This</w:t>
      </w:r>
      <w:r>
        <w:rPr>
          <w:spacing w:val="-2"/>
        </w:rPr>
        <w:t xml:space="preserve"> </w:t>
      </w:r>
      <w:r>
        <w:t>supplementary</w:t>
      </w:r>
      <w:r>
        <w:rPr>
          <w:spacing w:val="-5"/>
        </w:rPr>
        <w:t xml:space="preserve"> </w:t>
      </w:r>
      <w:r>
        <w:t>explanatory</w:t>
      </w:r>
      <w:r>
        <w:rPr>
          <w:spacing w:val="-3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amends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explanatory</w:t>
      </w:r>
      <w:r>
        <w:rPr>
          <w:spacing w:val="-4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instrument as</w:t>
      </w:r>
      <w:r>
        <w:rPr>
          <w:spacing w:val="-4"/>
        </w:rPr>
        <w:t xml:space="preserve"> </w:t>
      </w:r>
      <w:r>
        <w:t>set out below.</w:t>
      </w:r>
    </w:p>
    <w:p w14:paraId="1FC0885E" w14:textId="77777777" w:rsidR="005211E9" w:rsidRDefault="004745DE">
      <w:pPr>
        <w:pStyle w:val="Heading1"/>
        <w:spacing w:before="121"/>
        <w:ind w:left="100" w:firstLine="0"/>
        <w:rPr>
          <w:u w:val="none"/>
        </w:rPr>
      </w:pPr>
      <w:r>
        <w:rPr>
          <w:u w:val="none"/>
        </w:rPr>
        <w:t>Attachment</w:t>
      </w:r>
      <w:r>
        <w:rPr>
          <w:spacing w:val="-8"/>
          <w:u w:val="none"/>
        </w:rPr>
        <w:t xml:space="preserve"> </w:t>
      </w:r>
      <w:r>
        <w:rPr>
          <w:spacing w:val="-10"/>
          <w:u w:val="none"/>
        </w:rPr>
        <w:t>A</w:t>
      </w:r>
    </w:p>
    <w:p w14:paraId="1FC0885F" w14:textId="77777777" w:rsidR="005211E9" w:rsidRDefault="004745DE">
      <w:pPr>
        <w:pStyle w:val="ListParagraph"/>
        <w:numPr>
          <w:ilvl w:val="0"/>
          <w:numId w:val="1"/>
        </w:numPr>
        <w:tabs>
          <w:tab w:val="left" w:pos="441"/>
        </w:tabs>
        <w:spacing w:before="201"/>
        <w:ind w:hanging="341"/>
        <w:rPr>
          <w:b/>
        </w:rPr>
      </w:pPr>
      <w:r>
        <w:rPr>
          <w:b/>
          <w:u w:val="single"/>
        </w:rPr>
        <w:t>Section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8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Display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supply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toppling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furniture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stores</w:t>
      </w:r>
    </w:p>
    <w:p w14:paraId="1FC08860" w14:textId="77777777" w:rsidR="005211E9" w:rsidRDefault="004745DE">
      <w:pPr>
        <w:pStyle w:val="BodyText"/>
        <w:spacing w:before="198"/>
        <w:ind w:left="441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subheading,</w:t>
      </w:r>
      <w:r>
        <w:rPr>
          <w:spacing w:val="-2"/>
        </w:rPr>
        <w:t xml:space="preserve"> </w:t>
      </w:r>
      <w:r>
        <w:t>omit</w:t>
      </w:r>
      <w:r>
        <w:rPr>
          <w:spacing w:val="-4"/>
        </w:rPr>
        <w:t xml:space="preserve"> </w:t>
      </w:r>
      <w:r>
        <w:t>‘The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subsection</w:t>
      </w:r>
      <w:r>
        <w:rPr>
          <w:spacing w:val="-2"/>
        </w:rPr>
        <w:t xml:space="preserve"> </w:t>
      </w:r>
      <w:r>
        <w:t>8(1)’, substitute ‘The note to subsection 8(2)’.</w:t>
      </w:r>
    </w:p>
    <w:p w14:paraId="1FC08861" w14:textId="77777777" w:rsidR="005211E9" w:rsidRDefault="004745DE">
      <w:pPr>
        <w:pStyle w:val="Heading1"/>
        <w:numPr>
          <w:ilvl w:val="0"/>
          <w:numId w:val="1"/>
        </w:numPr>
        <w:tabs>
          <w:tab w:val="left" w:pos="441"/>
        </w:tabs>
        <w:spacing w:before="202"/>
        <w:ind w:hanging="341"/>
        <w:rPr>
          <w:u w:val="none"/>
        </w:rPr>
      </w:pPr>
      <w:r>
        <w:t>Section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toppling</w:t>
      </w:r>
      <w:r>
        <w:rPr>
          <w:spacing w:val="-5"/>
        </w:rPr>
        <w:t xml:space="preserve"> </w:t>
      </w:r>
      <w:r>
        <w:t>furniture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stores</w:t>
      </w:r>
    </w:p>
    <w:p w14:paraId="1FC08862" w14:textId="77777777" w:rsidR="005211E9" w:rsidRDefault="004745DE">
      <w:pPr>
        <w:pStyle w:val="BodyText"/>
        <w:spacing w:before="198"/>
        <w:ind w:left="441"/>
      </w:pPr>
      <w:r>
        <w:rPr>
          <w:spacing w:val="-2"/>
        </w:rPr>
        <w:t>Omit:</w:t>
      </w:r>
    </w:p>
    <w:p w14:paraId="1FC08863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  <w:spacing w:before="120"/>
        <w:ind w:right="131"/>
      </w:pPr>
      <w:r>
        <w:t>‘The following is an example of a (not to scale) hang tag that is compliant with the requirements of subsections 8(3)</w:t>
      </w:r>
      <w:r>
        <w:rPr>
          <w:spacing w:val="-2"/>
        </w:rPr>
        <w:t xml:space="preserve"> </w:t>
      </w:r>
      <w:r>
        <w:t>and 8(4) (in relation to category 1</w:t>
      </w:r>
      <w:r>
        <w:rPr>
          <w:spacing w:val="-3"/>
        </w:rPr>
        <w:t xml:space="preserve"> </w:t>
      </w:r>
      <w:r>
        <w:t>furniture) The hang tag is also compliant</w:t>
      </w:r>
      <w:r>
        <w:rPr>
          <w:spacing w:val="-2"/>
        </w:rPr>
        <w:t xml:space="preserve"> </w:t>
      </w:r>
      <w:r>
        <w:t>in respect of subsections 9(3) and 9(6) (in relation to category 3 furniture). The inclusion of pictograms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toppling</w:t>
      </w:r>
      <w:r>
        <w:rPr>
          <w:spacing w:val="-2"/>
        </w:rPr>
        <w:t xml:space="preserve"> </w:t>
      </w:r>
      <w:r>
        <w:t>furniture</w:t>
      </w:r>
      <w:r>
        <w:rPr>
          <w:spacing w:val="-2"/>
        </w:rPr>
        <w:t xml:space="preserve"> </w:t>
      </w:r>
      <w:r>
        <w:t>anchored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wall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recommended.’,</w:t>
      </w:r>
    </w:p>
    <w:p w14:paraId="1FC08864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  <w:spacing w:before="120"/>
      </w:pPr>
      <w:r>
        <w:t>the</w:t>
      </w:r>
      <w:r>
        <w:rPr>
          <w:spacing w:val="-5"/>
        </w:rPr>
        <w:t xml:space="preserve"> </w:t>
      </w:r>
      <w:r>
        <w:t>‘</w:t>
      </w:r>
      <w:r>
        <w:rPr>
          <w:i/>
          <w:u w:val="single"/>
        </w:rPr>
        <w:t>Category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1 &amp;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3</w:t>
      </w:r>
      <w:r>
        <w:t>’</w:t>
      </w:r>
      <w:r>
        <w:rPr>
          <w:spacing w:val="-2"/>
        </w:rPr>
        <w:t xml:space="preserve"> subheading,</w:t>
      </w:r>
    </w:p>
    <w:p w14:paraId="1FC08865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  <w:spacing w:before="120"/>
      </w:pPr>
      <w:r>
        <w:t>the</w:t>
      </w:r>
      <w:r>
        <w:rPr>
          <w:spacing w:val="-4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</w:t>
      </w:r>
      <w:r>
        <w:rPr>
          <w:i/>
          <w:u w:val="single"/>
        </w:rPr>
        <w:t>Category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1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&amp;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3</w:t>
      </w:r>
      <w:r>
        <w:t>’</w:t>
      </w:r>
      <w:r>
        <w:rPr>
          <w:spacing w:val="-1"/>
        </w:rPr>
        <w:t xml:space="preserve"> </w:t>
      </w:r>
      <w:r>
        <w:rPr>
          <w:spacing w:val="-2"/>
        </w:rPr>
        <w:t>subheading,</w:t>
      </w:r>
    </w:p>
    <w:p w14:paraId="1FC08866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  <w:ind w:right="110"/>
      </w:pPr>
      <w:r>
        <w:t>‘The following is an example of a (not to scale) hang tag that is compliant with the requirements of</w:t>
      </w:r>
      <w:r>
        <w:rPr>
          <w:spacing w:val="-2"/>
        </w:rPr>
        <w:t xml:space="preserve"> </w:t>
      </w:r>
      <w:r>
        <w:t>subsections</w:t>
      </w:r>
      <w:r>
        <w:rPr>
          <w:spacing w:val="-2"/>
        </w:rPr>
        <w:t xml:space="preserve"> </w:t>
      </w:r>
      <w:r>
        <w:t>8(3)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8(5)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furniture). The</w:t>
      </w:r>
      <w:r>
        <w:rPr>
          <w:spacing w:val="-4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pictogram</w:t>
      </w:r>
      <w:r>
        <w:rPr>
          <w:spacing w:val="-1"/>
        </w:rPr>
        <w:t xml:space="preserve"> </w:t>
      </w:r>
      <w:r>
        <w:t xml:space="preserve">that shows the toppling furniture anchored to a wall with a green tick is not required, but is </w:t>
      </w:r>
      <w:r>
        <w:rPr>
          <w:spacing w:val="-2"/>
        </w:rPr>
        <w:t>recommended.’,</w:t>
      </w:r>
    </w:p>
    <w:p w14:paraId="1FC08867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</w:pPr>
      <w:r>
        <w:t>the</w:t>
      </w:r>
      <w:r>
        <w:rPr>
          <w:spacing w:val="-4"/>
        </w:rPr>
        <w:t xml:space="preserve"> </w:t>
      </w:r>
      <w:r>
        <w:t>‘</w:t>
      </w:r>
      <w:r>
        <w:rPr>
          <w:i/>
          <w:u w:val="single"/>
        </w:rPr>
        <w:t>Category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2</w:t>
      </w:r>
      <w:r>
        <w:t>’</w:t>
      </w:r>
      <w:r>
        <w:rPr>
          <w:spacing w:val="-1"/>
        </w:rPr>
        <w:t xml:space="preserve"> </w:t>
      </w:r>
      <w:r>
        <w:t>subheading,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FC08868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</w:pPr>
      <w:r>
        <w:t>the</w:t>
      </w:r>
      <w:r>
        <w:rPr>
          <w:spacing w:val="-5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</w:t>
      </w:r>
      <w:r>
        <w:rPr>
          <w:i/>
          <w:u w:val="single"/>
        </w:rPr>
        <w:t>Category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2</w:t>
      </w:r>
      <w:r>
        <w:t>’</w:t>
      </w:r>
      <w:r>
        <w:rPr>
          <w:spacing w:val="-2"/>
        </w:rPr>
        <w:t xml:space="preserve"> subheading,</w:t>
      </w:r>
    </w:p>
    <w:p w14:paraId="1FC08869" w14:textId="6687E6BA" w:rsidR="005211E9" w:rsidRDefault="004745DE">
      <w:pPr>
        <w:pStyle w:val="BodyText"/>
        <w:spacing w:before="200"/>
        <w:ind w:left="441" w:right="75"/>
      </w:pPr>
      <w:r>
        <w:t>substitute,</w:t>
      </w:r>
      <w:r>
        <w:rPr>
          <w:spacing w:val="-2"/>
        </w:rPr>
        <w:t xml:space="preserve"> </w:t>
      </w:r>
      <w:r>
        <w:t>‘Guidance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instrument,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 xml:space="preserve">of compliant warning labels, can be </w:t>
      </w:r>
      <w:r w:rsidRPr="004745DE">
        <w:t>accessed at: www.productsafety.gov.au.’</w:t>
      </w:r>
    </w:p>
    <w:p w14:paraId="1FC0886A" w14:textId="77777777" w:rsidR="005211E9" w:rsidRDefault="004745DE">
      <w:pPr>
        <w:pStyle w:val="Heading1"/>
        <w:numPr>
          <w:ilvl w:val="0"/>
          <w:numId w:val="1"/>
        </w:numPr>
        <w:tabs>
          <w:tab w:val="left" w:pos="441"/>
        </w:tabs>
        <w:spacing w:before="200"/>
        <w:ind w:hanging="341"/>
        <w:rPr>
          <w:u w:val="none"/>
        </w:rPr>
      </w:pPr>
      <w:r>
        <w:t>Section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toppling</w:t>
      </w:r>
      <w:r>
        <w:rPr>
          <w:spacing w:val="-5"/>
        </w:rPr>
        <w:t xml:space="preserve"> </w:t>
      </w:r>
      <w:r>
        <w:t>furniture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stores</w:t>
      </w:r>
    </w:p>
    <w:p w14:paraId="1FC0886B" w14:textId="77777777" w:rsidR="005211E9" w:rsidRDefault="004745DE">
      <w:pPr>
        <w:pStyle w:val="BodyText"/>
        <w:spacing w:before="201"/>
        <w:ind w:left="441"/>
      </w:pPr>
      <w:r>
        <w:rPr>
          <w:spacing w:val="-2"/>
        </w:rPr>
        <w:t>Omit:</w:t>
      </w:r>
    </w:p>
    <w:p w14:paraId="1FC0886C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  <w:spacing w:before="120"/>
        <w:ind w:right="268"/>
      </w:pPr>
      <w:r>
        <w:t>‘The following is an example of a (not to scale) warning label that is compliant with the requirements of subsections 9(3) and 9(4) (in relation to category 1 furniture). The label is also compliant in respect of subsections 9(3) and 9(6) (in relation to category 3 furniture). The inclusion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pictogram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toppling</w:t>
      </w:r>
      <w:r>
        <w:rPr>
          <w:spacing w:val="-5"/>
        </w:rPr>
        <w:t xml:space="preserve"> </w:t>
      </w:r>
      <w:r>
        <w:t>furniture</w:t>
      </w:r>
      <w:r>
        <w:rPr>
          <w:spacing w:val="-2"/>
        </w:rPr>
        <w:t xml:space="preserve"> </w:t>
      </w:r>
      <w:r>
        <w:t>anchored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is not required, but is recommended.’,</w:t>
      </w:r>
    </w:p>
    <w:p w14:paraId="1FC0886D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  <w:spacing w:before="118"/>
      </w:pPr>
      <w:r>
        <w:t>the</w:t>
      </w:r>
      <w:r>
        <w:rPr>
          <w:spacing w:val="-5"/>
        </w:rPr>
        <w:t xml:space="preserve"> </w:t>
      </w:r>
      <w:r>
        <w:t>‘</w:t>
      </w:r>
      <w:r>
        <w:rPr>
          <w:i/>
          <w:u w:val="single"/>
        </w:rPr>
        <w:t>Category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1 &amp;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3</w:t>
      </w:r>
      <w:r>
        <w:t>’</w:t>
      </w:r>
      <w:r>
        <w:rPr>
          <w:spacing w:val="-1"/>
        </w:rPr>
        <w:t xml:space="preserve"> </w:t>
      </w:r>
      <w:r>
        <w:rPr>
          <w:spacing w:val="-2"/>
        </w:rPr>
        <w:t>subheading,</w:t>
      </w:r>
    </w:p>
    <w:p w14:paraId="1FC0886E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</w:pPr>
      <w:r>
        <w:t>the</w:t>
      </w:r>
      <w:r>
        <w:rPr>
          <w:spacing w:val="-4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</w:t>
      </w:r>
      <w:r>
        <w:rPr>
          <w:i/>
          <w:u w:val="single"/>
        </w:rPr>
        <w:t>Category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1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&amp;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3</w:t>
      </w:r>
      <w:r>
        <w:t>’</w:t>
      </w:r>
      <w:r>
        <w:rPr>
          <w:spacing w:val="-2"/>
        </w:rPr>
        <w:t xml:space="preserve"> subheading,</w:t>
      </w:r>
    </w:p>
    <w:p w14:paraId="1FC0886F" w14:textId="77777777" w:rsidR="005211E9" w:rsidRDefault="005211E9">
      <w:pPr>
        <w:sectPr w:rsidR="005211E9">
          <w:type w:val="continuous"/>
          <w:pgSz w:w="11910" w:h="16840"/>
          <w:pgMar w:top="1480" w:right="1020" w:bottom="280" w:left="980" w:header="720" w:footer="720" w:gutter="0"/>
          <w:cols w:space="720"/>
        </w:sectPr>
      </w:pPr>
    </w:p>
    <w:p w14:paraId="1FC08870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  <w:spacing w:before="81"/>
        <w:ind w:right="241"/>
      </w:pPr>
      <w:r>
        <w:lastRenderedPageBreak/>
        <w:t>‘The following is an example of a (not to scale) warning label that is compliant with the 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subsections</w:t>
      </w:r>
      <w:r>
        <w:rPr>
          <w:spacing w:val="-4"/>
        </w:rPr>
        <w:t xml:space="preserve"> </w:t>
      </w:r>
      <w:r>
        <w:t>9(3)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9(5)</w:t>
      </w:r>
      <w:r>
        <w:rPr>
          <w:spacing w:val="-4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furniture).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pictogram that shows the toppling furniture anchored to a wall with a green tick is not required, but is recommended.’,</w:t>
      </w:r>
    </w:p>
    <w:p w14:paraId="1FC08871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</w:pPr>
      <w:r>
        <w:t>the</w:t>
      </w:r>
      <w:r>
        <w:rPr>
          <w:spacing w:val="-3"/>
        </w:rPr>
        <w:t xml:space="preserve"> </w:t>
      </w:r>
      <w:r>
        <w:t>‘</w:t>
      </w:r>
      <w:r>
        <w:rPr>
          <w:i/>
          <w:u w:val="single"/>
        </w:rPr>
        <w:t>Category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2</w:t>
      </w:r>
      <w:r>
        <w:t xml:space="preserve">’ </w:t>
      </w:r>
      <w:proofErr w:type="gramStart"/>
      <w:r>
        <w:rPr>
          <w:spacing w:val="-2"/>
        </w:rPr>
        <w:t>subheading;</w:t>
      </w:r>
      <w:proofErr w:type="gramEnd"/>
    </w:p>
    <w:p w14:paraId="1FC08872" w14:textId="77777777" w:rsidR="005211E9" w:rsidRDefault="004745DE">
      <w:pPr>
        <w:pStyle w:val="ListParagraph"/>
        <w:numPr>
          <w:ilvl w:val="1"/>
          <w:numId w:val="1"/>
        </w:numPr>
        <w:tabs>
          <w:tab w:val="left" w:pos="1161"/>
        </w:tabs>
      </w:pPr>
      <w:r>
        <w:t>the</w:t>
      </w:r>
      <w:r>
        <w:rPr>
          <w:spacing w:val="-5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</w:t>
      </w:r>
      <w:r>
        <w:rPr>
          <w:i/>
          <w:u w:val="single"/>
        </w:rPr>
        <w:t>Category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2</w:t>
      </w:r>
      <w:r>
        <w:t>’</w:t>
      </w:r>
      <w:r>
        <w:rPr>
          <w:spacing w:val="-1"/>
        </w:rPr>
        <w:t xml:space="preserve"> </w:t>
      </w:r>
      <w:r>
        <w:rPr>
          <w:spacing w:val="-2"/>
        </w:rPr>
        <w:t>subheading,</w:t>
      </w:r>
    </w:p>
    <w:p w14:paraId="1FC08873" w14:textId="798AF781" w:rsidR="005211E9" w:rsidRDefault="004745DE">
      <w:pPr>
        <w:pStyle w:val="BodyText"/>
        <w:spacing w:before="200"/>
        <w:ind w:left="441" w:right="75"/>
      </w:pPr>
      <w:r>
        <w:t>substitute</w:t>
      </w:r>
      <w:r>
        <w:rPr>
          <w:spacing w:val="-2"/>
        </w:rPr>
        <w:t xml:space="preserve"> </w:t>
      </w:r>
      <w:r>
        <w:t>‘Guidance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instrument,</w:t>
      </w:r>
      <w:r>
        <w:rPr>
          <w:spacing w:val="-5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 xml:space="preserve">of compliant warning labels, can be </w:t>
      </w:r>
      <w:r w:rsidRPr="004745DE">
        <w:t>accessed at: www.productsafety.gov.au.’</w:t>
      </w:r>
    </w:p>
    <w:sectPr w:rsidR="005211E9">
      <w:pgSz w:w="11910" w:h="16840"/>
      <w:pgMar w:top="13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B5B"/>
    <w:multiLevelType w:val="hybridMultilevel"/>
    <w:tmpl w:val="DB6A3370"/>
    <w:lvl w:ilvl="0" w:tplc="C616E730">
      <w:start w:val="1"/>
      <w:numFmt w:val="decimal"/>
      <w:lvlText w:val="%1"/>
      <w:lvlJc w:val="left"/>
      <w:pPr>
        <w:ind w:left="441" w:hanging="3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3271F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DDCDCAE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 w:tplc="81DC5AEE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4" w:tplc="CD20F2CE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 w:tplc="5CF8EEAC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030E900A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61241D3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907C8852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num w:numId="1" w16cid:durableId="30489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1E9"/>
    <w:rsid w:val="001C5381"/>
    <w:rsid w:val="004745DE"/>
    <w:rsid w:val="005211E9"/>
    <w:rsid w:val="00535B01"/>
    <w:rsid w:val="008D5FFD"/>
    <w:rsid w:val="00C3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8850"/>
  <w15:docId w15:val="{954440F7-D567-4A5F-A647-61E36C3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441" w:hanging="34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11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2626</Characters>
  <Application>Microsoft Office Word</Application>
  <DocSecurity>0</DocSecurity>
  <Lines>131</Lines>
  <Paragraphs>76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[subtitle]</dc:subject>
  <dc:creator>Ryan Pasaporte</dc:creator>
  <cp:lastModifiedBy>Keith Baz</cp:lastModifiedBy>
  <cp:revision>6</cp:revision>
  <dcterms:created xsi:type="dcterms:W3CDTF">2024-11-29T05:03:00Z</dcterms:created>
  <dcterms:modified xsi:type="dcterms:W3CDTF">2024-12-05T02:24:00Z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Adobe Acrobat Pro (64-bit) 24.4.20220</vt:lpwstr>
  </property>
  <property fmtid="{D5CDD505-2E9C-101B-9397-08002B2CF9AE}" pid="4" name="LastSaved">
    <vt:filetime>2024-11-29T00:00:00Z</vt:filetime>
  </property>
  <property fmtid="{D5CDD505-2E9C-101B-9397-08002B2CF9AE}" pid="5" name="Producer">
    <vt:lpwstr>Adobe Acrobat Pro (64-bit) 24.4.20220</vt:lpwstr>
  </property>
  <property fmtid="{D5CDD505-2E9C-101B-9397-08002B2CF9AE}" pid="6" name="MSIP_Label_d9d5a995-dfdf-4407-9a97-edbbc68c9f53_Enabled">
    <vt:lpwstr>true</vt:lpwstr>
  </property>
  <property fmtid="{D5CDD505-2E9C-101B-9397-08002B2CF9AE}" pid="7" name="MSIP_Label_d9d5a995-dfdf-4407-9a97-edbbc68c9f53_SetDate">
    <vt:lpwstr>2024-12-05T02:05:23Z</vt:lpwstr>
  </property>
  <property fmtid="{D5CDD505-2E9C-101B-9397-08002B2CF9AE}" pid="8" name="MSIP_Label_d9d5a995-dfdf-4407-9a97-edbbc68c9f53_Method">
    <vt:lpwstr>Privileged</vt:lpwstr>
  </property>
  <property fmtid="{D5CDD505-2E9C-101B-9397-08002B2CF9AE}" pid="9" name="MSIP_Label_d9d5a995-dfdf-4407-9a97-edbbc68c9f53_Name">
    <vt:lpwstr>OFFICIAL</vt:lpwstr>
  </property>
  <property fmtid="{D5CDD505-2E9C-101B-9397-08002B2CF9AE}" pid="10" name="MSIP_Label_d9d5a995-dfdf-4407-9a97-edbbc68c9f53_SiteId">
    <vt:lpwstr>b33e9e1a-e443-4edd-9789-24bed26d38d6</vt:lpwstr>
  </property>
  <property fmtid="{D5CDD505-2E9C-101B-9397-08002B2CF9AE}" pid="11" name="MSIP_Label_d9d5a995-dfdf-4407-9a97-edbbc68c9f53_ActionId">
    <vt:lpwstr>bc9c9d2d-1a64-4fbc-a78b-c131b3f65da3</vt:lpwstr>
  </property>
  <property fmtid="{D5CDD505-2E9C-101B-9397-08002B2CF9AE}" pid="12" name="MSIP_Label_d9d5a995-dfdf-4407-9a97-edbbc68c9f53_ContentBits">
    <vt:lpwstr>0</vt:lpwstr>
  </property>
</Properties>
</file>