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48F4" w14:textId="405D8CE8" w:rsidR="00167299" w:rsidRPr="00FF4325" w:rsidRDefault="00167299" w:rsidP="00A34323">
      <w:pPr>
        <w:shd w:val="clear" w:color="auto" w:fill="FFFFFF"/>
        <w:spacing w:before="120" w:after="120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en-AU"/>
        </w:rPr>
      </w:pPr>
      <w:bookmarkStart w:id="0" w:name="_Toc487439140"/>
      <w:r w:rsidRPr="00FF4325">
        <w:rPr>
          <w:rFonts w:ascii="Times New Roman" w:eastAsia="Times New Roman" w:hAnsi="Times New Roman" w:cs="Times New Roman"/>
          <w:b/>
          <w:bCs/>
          <w:color w:val="000000"/>
          <w:lang w:val="en-GB" w:eastAsia="en-AU"/>
        </w:rPr>
        <w:t>EXPLANATORY STATEMENT</w:t>
      </w:r>
      <w:bookmarkEnd w:id="0"/>
    </w:p>
    <w:p w14:paraId="5FF3740D" w14:textId="2F0A1C28" w:rsidR="00614956" w:rsidRPr="00FF4325" w:rsidRDefault="00614956" w:rsidP="00A34323">
      <w:pPr>
        <w:shd w:val="clear" w:color="auto" w:fill="FFFFFF"/>
        <w:spacing w:before="120" w:after="120"/>
        <w:ind w:right="3"/>
        <w:jc w:val="center"/>
        <w:rPr>
          <w:rFonts w:ascii="Times New Roman" w:eastAsia="Times New Roman" w:hAnsi="Times New Roman" w:cs="Times New Roman"/>
          <w:color w:val="000000"/>
          <w:u w:val="single"/>
          <w:lang w:val="en-GB" w:eastAsia="en-AU"/>
        </w:rPr>
      </w:pPr>
      <w:r w:rsidRPr="00FF4325">
        <w:rPr>
          <w:rFonts w:ascii="Times New Roman" w:eastAsia="Times New Roman" w:hAnsi="Times New Roman" w:cs="Times New Roman"/>
          <w:color w:val="000000"/>
          <w:u w:val="single"/>
          <w:lang w:val="en-GB" w:eastAsia="en-AU"/>
        </w:rPr>
        <w:t>Issued by authority of the Assistant Treasurer and Minister for Financial Services</w:t>
      </w:r>
    </w:p>
    <w:p w14:paraId="31E6FF47" w14:textId="336F966F" w:rsidR="00614956" w:rsidRPr="00FF4325" w:rsidRDefault="00614956" w:rsidP="00A34323">
      <w:pPr>
        <w:shd w:val="clear" w:color="auto" w:fill="FFFFFF"/>
        <w:spacing w:before="120" w:after="120"/>
        <w:ind w:right="3"/>
        <w:jc w:val="center"/>
        <w:rPr>
          <w:rFonts w:ascii="Times New Roman" w:eastAsia="Times New Roman" w:hAnsi="Times New Roman" w:cs="Times New Roman"/>
          <w:i/>
          <w:iCs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i/>
          <w:iCs/>
          <w:color w:val="000000"/>
          <w:lang w:val="en-GB" w:eastAsia="en-AU"/>
        </w:rPr>
        <w:t>Competition and Consumer Act 2010</w:t>
      </w:r>
    </w:p>
    <w:p w14:paraId="1766B0AE" w14:textId="23CBBDD9" w:rsidR="00167299" w:rsidRPr="00FF4325" w:rsidRDefault="00167299" w:rsidP="00A34323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lang w:eastAsia="en-AU"/>
        </w:rPr>
      </w:pPr>
      <w:bookmarkStart w:id="1" w:name="_Hlk127716276"/>
      <w:r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Consumer Goods (</w:t>
      </w:r>
      <w:r w:rsidR="00D95F77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Toppling </w:t>
      </w:r>
      <w:r w:rsidR="00F012E9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Furniture)</w:t>
      </w:r>
      <w:r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 </w:t>
      </w:r>
      <w:r w:rsidR="00F00DBA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Information</w:t>
      </w:r>
      <w:r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 Standard </w:t>
      </w:r>
      <w:r w:rsidR="00DB4278" w:rsidRPr="0056489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202</w:t>
      </w:r>
      <w:r w:rsidR="00124AF2" w:rsidRPr="00EC4F52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4</w:t>
      </w:r>
    </w:p>
    <w:bookmarkEnd w:id="1"/>
    <w:p w14:paraId="5994B63C" w14:textId="25EC3BD7" w:rsidR="00167299" w:rsidRPr="00FF4325" w:rsidRDefault="00F86233" w:rsidP="00A3432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Authority</w:t>
      </w:r>
    </w:p>
    <w:p w14:paraId="1E2171B8" w14:textId="3F0DF34E" w:rsidR="00167299" w:rsidRPr="00FF4325" w:rsidRDefault="00167299" w:rsidP="00A3432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val="en-GB"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The Assistant Treasurer</w:t>
      </w:r>
      <w:r w:rsidR="0000749A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 and Minister for Financial Services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 (the </w:t>
      </w:r>
      <w:r w:rsidRPr="00FF4325">
        <w:rPr>
          <w:rFonts w:ascii="Times New Roman" w:eastAsia="Times New Roman" w:hAnsi="Times New Roman" w:cs="Times New Roman"/>
          <w:b/>
          <w:bCs/>
          <w:color w:val="000000"/>
          <w:lang w:val="en-GB" w:eastAsia="en-AU"/>
        </w:rPr>
        <w:t>Minister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) has made </w:t>
      </w:r>
      <w:r w:rsidR="00EE6559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the</w:t>
      </w:r>
      <w:r w:rsidR="003B3B46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 </w:t>
      </w:r>
      <w:r w:rsidR="00EE6559" w:rsidRPr="00FF4325">
        <w:rPr>
          <w:rFonts w:ascii="Times New Roman" w:eastAsia="Times New Roman" w:hAnsi="Times New Roman" w:cs="Times New Roman"/>
          <w:i/>
          <w:iCs/>
          <w:color w:val="000000"/>
          <w:lang w:val="en-GB" w:eastAsia="en-AU"/>
        </w:rPr>
        <w:t xml:space="preserve">Consumer Goods (Toppling Furniture) Information Standard </w:t>
      </w:r>
      <w:r w:rsidR="00EE6559" w:rsidRPr="00564893">
        <w:rPr>
          <w:rFonts w:ascii="Times New Roman" w:eastAsia="Times New Roman" w:hAnsi="Times New Roman" w:cs="Times New Roman"/>
          <w:i/>
          <w:iCs/>
          <w:color w:val="000000"/>
          <w:lang w:val="en-GB" w:eastAsia="en-AU"/>
        </w:rPr>
        <w:t>202</w:t>
      </w:r>
      <w:r w:rsidR="00124AF2" w:rsidRPr="00564893">
        <w:rPr>
          <w:rFonts w:ascii="Times New Roman" w:eastAsia="Times New Roman" w:hAnsi="Times New Roman" w:cs="Times New Roman"/>
          <w:i/>
          <w:iCs/>
          <w:color w:val="000000"/>
          <w:lang w:val="en-GB" w:eastAsia="en-AU"/>
        </w:rPr>
        <w:t>4</w:t>
      </w:r>
      <w:r w:rsidR="00EE6559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 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(</w:t>
      </w:r>
      <w:r w:rsidR="00333F4C" w:rsidRPr="00FF4325">
        <w:rPr>
          <w:rFonts w:ascii="Times New Roman" w:eastAsia="Times New Roman" w:hAnsi="Times New Roman" w:cs="Times New Roman"/>
          <w:b/>
          <w:bCs/>
          <w:color w:val="000000"/>
          <w:lang w:val="en-GB" w:eastAsia="en-AU"/>
        </w:rPr>
        <w:t>the instrument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) pursuant to </w:t>
      </w:r>
      <w:r w:rsidR="00EA1C62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sub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section 1</w:t>
      </w:r>
      <w:r w:rsidR="00BE11BF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3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4</w:t>
      </w:r>
      <w:r w:rsidR="00EA1C62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(1)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 of the Australian Consumer Law (</w:t>
      </w:r>
      <w:r w:rsidR="00EA1C62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the </w:t>
      </w:r>
      <w:r w:rsidRPr="00FF4325">
        <w:rPr>
          <w:rFonts w:ascii="Times New Roman" w:eastAsia="Times New Roman" w:hAnsi="Times New Roman" w:cs="Times New Roman"/>
          <w:b/>
          <w:bCs/>
          <w:color w:val="000000"/>
          <w:lang w:val="en-GB" w:eastAsia="en-AU"/>
        </w:rPr>
        <w:t>ACL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), which is Schedule 2 of the </w:t>
      </w:r>
      <w:r w:rsidRPr="00FF4325">
        <w:rPr>
          <w:rFonts w:ascii="Times New Roman" w:eastAsia="Times New Roman" w:hAnsi="Times New Roman" w:cs="Times New Roman"/>
          <w:i/>
          <w:iCs/>
          <w:color w:val="000000"/>
          <w:lang w:val="en-GB" w:eastAsia="en-AU"/>
        </w:rPr>
        <w:t>Competition and Consumer Act 2010 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(Cth) (</w:t>
      </w:r>
      <w:r w:rsidR="00CE72EB"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 xml:space="preserve">the </w:t>
      </w:r>
      <w:r w:rsidRPr="00FF4325">
        <w:rPr>
          <w:rFonts w:ascii="Times New Roman" w:eastAsia="Times New Roman" w:hAnsi="Times New Roman" w:cs="Times New Roman"/>
          <w:b/>
          <w:bCs/>
          <w:color w:val="000000"/>
          <w:lang w:val="en-GB" w:eastAsia="en-AU"/>
        </w:rPr>
        <w:t>CCA</w:t>
      </w:r>
      <w:r w:rsidRPr="00FF4325">
        <w:rPr>
          <w:rFonts w:ascii="Times New Roman" w:eastAsia="Times New Roman" w:hAnsi="Times New Roman" w:cs="Times New Roman"/>
          <w:color w:val="000000"/>
          <w:lang w:val="en-GB" w:eastAsia="en-AU"/>
        </w:rPr>
        <w:t>).</w:t>
      </w:r>
    </w:p>
    <w:p w14:paraId="29D16FF3" w14:textId="179DE96B" w:rsidR="00B842D4" w:rsidRPr="00FF4325" w:rsidRDefault="00B842D4" w:rsidP="00B842D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Purpose</w:t>
      </w:r>
      <w:r w:rsidR="005807EE"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and operation</w:t>
      </w:r>
      <w:r w:rsidR="00E31F1B"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of the </w:t>
      </w:r>
      <w:r w:rsidR="00333F4C"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instrument</w:t>
      </w:r>
    </w:p>
    <w:p w14:paraId="15354B20" w14:textId="40C118AE" w:rsidR="00C64EFA" w:rsidRPr="00FF4325" w:rsidRDefault="00071B1F" w:rsidP="00C64EFA">
      <w:pPr>
        <w:spacing w:before="0"/>
        <w:rPr>
          <w:rFonts w:ascii="Times New Roman" w:hAnsi="Times New Roman" w:cs="Times New Roman"/>
        </w:rPr>
      </w:pPr>
      <w:r w:rsidRPr="00FF4325">
        <w:rPr>
          <w:rFonts w:ascii="Times New Roman" w:hAnsi="Times New Roman" w:cs="Times New Roman"/>
        </w:rPr>
        <w:t xml:space="preserve">There </w:t>
      </w:r>
      <w:r w:rsidR="003C7A20" w:rsidRPr="00FF4325">
        <w:rPr>
          <w:rFonts w:ascii="Times New Roman" w:hAnsi="Times New Roman" w:cs="Times New Roman"/>
        </w:rPr>
        <w:t>have</w:t>
      </w:r>
      <w:r w:rsidRPr="00FF4325">
        <w:rPr>
          <w:rFonts w:ascii="Times New Roman" w:hAnsi="Times New Roman" w:cs="Times New Roman"/>
        </w:rPr>
        <w:t xml:space="preserve"> bee</w:t>
      </w:r>
      <w:r w:rsidR="003E46E0" w:rsidRPr="00FF4325">
        <w:rPr>
          <w:rFonts w:ascii="Times New Roman" w:hAnsi="Times New Roman" w:cs="Times New Roman"/>
        </w:rPr>
        <w:t>n</w:t>
      </w:r>
      <w:r w:rsidR="00C64EFA" w:rsidRPr="00FF4325">
        <w:rPr>
          <w:rFonts w:ascii="Times New Roman" w:hAnsi="Times New Roman" w:cs="Times New Roman"/>
        </w:rPr>
        <w:t xml:space="preserve"> at least 28 deaths associated with toppling furniture reported in Australia between 2000 and 2022</w:t>
      </w:r>
      <w:r w:rsidR="00581337" w:rsidRPr="00FF4325">
        <w:rPr>
          <w:rFonts w:ascii="Times New Roman" w:hAnsi="Times New Roman" w:cs="Times New Roman"/>
        </w:rPr>
        <w:t>. Additionally,</w:t>
      </w:r>
      <w:r w:rsidR="00C64EFA" w:rsidRPr="00FF4325">
        <w:rPr>
          <w:rFonts w:ascii="Times New Roman" w:hAnsi="Times New Roman" w:cs="Times New Roman"/>
        </w:rPr>
        <w:t xml:space="preserve"> </w:t>
      </w:r>
      <w:r w:rsidR="00501E52" w:rsidRPr="00FF4325">
        <w:rPr>
          <w:rFonts w:ascii="Times New Roman" w:hAnsi="Times New Roman" w:cs="Times New Roman"/>
        </w:rPr>
        <w:t xml:space="preserve">toppling furniture </w:t>
      </w:r>
      <w:r w:rsidR="00A5160F" w:rsidRPr="00FF4325">
        <w:rPr>
          <w:rFonts w:ascii="Times New Roman" w:hAnsi="Times New Roman" w:cs="Times New Roman"/>
        </w:rPr>
        <w:t xml:space="preserve">incidents result in </w:t>
      </w:r>
      <w:r w:rsidR="00C64EFA" w:rsidRPr="00FF4325">
        <w:rPr>
          <w:rFonts w:ascii="Times New Roman" w:hAnsi="Times New Roman" w:cs="Times New Roman"/>
        </w:rPr>
        <w:t>approximately 900 injuries that require medical treatment</w:t>
      </w:r>
      <w:r w:rsidR="009D6DF0" w:rsidRPr="00FF4325">
        <w:rPr>
          <w:rFonts w:ascii="Times New Roman" w:hAnsi="Times New Roman" w:cs="Times New Roman"/>
        </w:rPr>
        <w:t xml:space="preserve"> each year</w:t>
      </w:r>
      <w:r w:rsidR="00C64EFA" w:rsidRPr="00FF4325">
        <w:rPr>
          <w:rFonts w:ascii="Times New Roman" w:hAnsi="Times New Roman" w:cs="Times New Roman"/>
        </w:rPr>
        <w:t xml:space="preserve">. </w:t>
      </w:r>
    </w:p>
    <w:p w14:paraId="7E2C153A" w14:textId="6AC4DB5B" w:rsidR="00C64EFA" w:rsidRPr="00FF4325" w:rsidRDefault="00C64EFA" w:rsidP="00091892">
      <w:pPr>
        <w:spacing w:before="120" w:after="120"/>
        <w:rPr>
          <w:rFonts w:ascii="Times New Roman" w:hAnsi="Times New Roman" w:cs="Times New Roman"/>
        </w:rPr>
      </w:pPr>
      <w:r w:rsidRPr="00FF4325">
        <w:rPr>
          <w:rFonts w:ascii="Times New Roman" w:hAnsi="Times New Roman" w:cs="Times New Roman"/>
        </w:rPr>
        <w:t>The most common cause of</w:t>
      </w:r>
      <w:r w:rsidR="00F94A57" w:rsidRPr="00FF4325">
        <w:rPr>
          <w:rFonts w:ascii="Times New Roman" w:hAnsi="Times New Roman" w:cs="Times New Roman"/>
        </w:rPr>
        <w:t xml:space="preserve"> toppling furniture related fatalities</w:t>
      </w:r>
      <w:r w:rsidRPr="00FF4325">
        <w:rPr>
          <w:rFonts w:ascii="Times New Roman" w:hAnsi="Times New Roman" w:cs="Times New Roman"/>
        </w:rPr>
        <w:t xml:space="preserve"> are head and crush related injuries and asphyxiation. Of the 28 fatalities attributed to toppling furniture</w:t>
      </w:r>
      <w:r w:rsidR="00195637" w:rsidRPr="00FF4325">
        <w:rPr>
          <w:rFonts w:ascii="Times New Roman" w:hAnsi="Times New Roman" w:cs="Times New Roman"/>
        </w:rPr>
        <w:t xml:space="preserve"> between 2000 and 2022</w:t>
      </w:r>
      <w:r w:rsidRPr="00FF4325">
        <w:rPr>
          <w:rFonts w:ascii="Times New Roman" w:hAnsi="Times New Roman" w:cs="Times New Roman"/>
        </w:rPr>
        <w:t>, 17 involve</w:t>
      </w:r>
      <w:r w:rsidR="00195637" w:rsidRPr="00FF4325">
        <w:rPr>
          <w:rFonts w:ascii="Times New Roman" w:hAnsi="Times New Roman" w:cs="Times New Roman"/>
        </w:rPr>
        <w:t>d</w:t>
      </w:r>
      <w:r w:rsidRPr="00FF4325">
        <w:rPr>
          <w:rFonts w:ascii="Times New Roman" w:hAnsi="Times New Roman" w:cs="Times New Roman"/>
        </w:rPr>
        <w:t xml:space="preserve"> children aged 4 years and under, </w:t>
      </w:r>
      <w:r w:rsidR="008510D8" w:rsidRPr="00FF4325">
        <w:rPr>
          <w:rFonts w:ascii="Times New Roman" w:hAnsi="Times New Roman" w:cs="Times New Roman"/>
        </w:rPr>
        <w:t>with another 4 fatalities involving</w:t>
      </w:r>
      <w:r w:rsidRPr="00FF4325">
        <w:rPr>
          <w:rFonts w:ascii="Times New Roman" w:hAnsi="Times New Roman" w:cs="Times New Roman"/>
        </w:rPr>
        <w:t xml:space="preserve"> older Australians (60</w:t>
      </w:r>
      <w:r w:rsidR="008510D8" w:rsidRPr="00FF4325">
        <w:rPr>
          <w:rFonts w:ascii="Times New Roman" w:hAnsi="Times New Roman" w:cs="Times New Roman"/>
        </w:rPr>
        <w:t xml:space="preserve"> years of age</w:t>
      </w:r>
      <w:r w:rsidRPr="00FF4325">
        <w:rPr>
          <w:rFonts w:ascii="Times New Roman" w:hAnsi="Times New Roman" w:cs="Times New Roman"/>
        </w:rPr>
        <w:t xml:space="preserve"> or older). </w:t>
      </w:r>
    </w:p>
    <w:p w14:paraId="637EB05E" w14:textId="7DCC89A3" w:rsidR="00C64EFA" w:rsidRPr="00091892" w:rsidRDefault="008510D8" w:rsidP="00091892">
      <w:pPr>
        <w:shd w:val="clear" w:color="auto" w:fill="FFFFFF"/>
        <w:spacing w:before="120" w:after="120"/>
        <w:rPr>
          <w:rFonts w:ascii="Times New Roman" w:hAnsi="Times New Roman" w:cs="Times New Roman"/>
        </w:rPr>
      </w:pPr>
      <w:r w:rsidRPr="00FF4325">
        <w:rPr>
          <w:rFonts w:ascii="Times New Roman" w:hAnsi="Times New Roman" w:cs="Times New Roman"/>
        </w:rPr>
        <w:t>T</w:t>
      </w:r>
      <w:r w:rsidR="00C64EFA" w:rsidRPr="00FF4325">
        <w:rPr>
          <w:rFonts w:ascii="Times New Roman" w:hAnsi="Times New Roman" w:cs="Times New Roman"/>
        </w:rPr>
        <w:t xml:space="preserve">he cost of </w:t>
      </w:r>
      <w:r w:rsidR="005807EE" w:rsidRPr="00FF4325">
        <w:rPr>
          <w:rFonts w:ascii="Times New Roman" w:hAnsi="Times New Roman" w:cs="Times New Roman"/>
        </w:rPr>
        <w:t>toppling furniture</w:t>
      </w:r>
      <w:r w:rsidR="00E31F1B" w:rsidRPr="00FF4325">
        <w:rPr>
          <w:rFonts w:ascii="Times New Roman" w:hAnsi="Times New Roman" w:cs="Times New Roman"/>
        </w:rPr>
        <w:t xml:space="preserve"> related</w:t>
      </w:r>
      <w:r w:rsidR="005807EE" w:rsidRPr="00FF4325">
        <w:rPr>
          <w:rFonts w:ascii="Times New Roman" w:hAnsi="Times New Roman" w:cs="Times New Roman"/>
        </w:rPr>
        <w:t xml:space="preserve"> </w:t>
      </w:r>
      <w:r w:rsidR="00C64EFA" w:rsidRPr="00FF4325">
        <w:rPr>
          <w:rFonts w:ascii="Times New Roman" w:hAnsi="Times New Roman" w:cs="Times New Roman"/>
        </w:rPr>
        <w:t xml:space="preserve">deaths and injuries </w:t>
      </w:r>
      <w:r w:rsidR="003A3AB7" w:rsidRPr="00FF4325">
        <w:rPr>
          <w:rFonts w:ascii="Times New Roman" w:hAnsi="Times New Roman" w:cs="Times New Roman"/>
        </w:rPr>
        <w:t>is estimated to be</w:t>
      </w:r>
      <w:r w:rsidR="00C64EFA" w:rsidRPr="00FF4325">
        <w:rPr>
          <w:rFonts w:ascii="Times New Roman" w:hAnsi="Times New Roman" w:cs="Times New Roman"/>
        </w:rPr>
        <w:t xml:space="preserve"> at least $8 million dollars </w:t>
      </w:r>
      <w:r w:rsidR="008E1C38" w:rsidRPr="00FF4325">
        <w:rPr>
          <w:rFonts w:ascii="Times New Roman" w:hAnsi="Times New Roman" w:cs="Times New Roman"/>
        </w:rPr>
        <w:t>per</w:t>
      </w:r>
      <w:r w:rsidR="00C64EFA" w:rsidRPr="00FF4325">
        <w:rPr>
          <w:rFonts w:ascii="Times New Roman" w:hAnsi="Times New Roman" w:cs="Times New Roman"/>
        </w:rPr>
        <w:t xml:space="preserve"> year </w:t>
      </w:r>
      <w:r w:rsidR="004E21E9" w:rsidRPr="00FF4325">
        <w:rPr>
          <w:rFonts w:ascii="Times New Roman" w:hAnsi="Times New Roman" w:cs="Times New Roman"/>
        </w:rPr>
        <w:t>but</w:t>
      </w:r>
      <w:r w:rsidR="00C64EFA" w:rsidRPr="00FF4325">
        <w:rPr>
          <w:rFonts w:ascii="Times New Roman" w:hAnsi="Times New Roman" w:cs="Times New Roman"/>
        </w:rPr>
        <w:t xml:space="preserve"> the true cost to families and communities is incalculable.</w:t>
      </w:r>
    </w:p>
    <w:p w14:paraId="58792A3D" w14:textId="4E71DD37" w:rsidR="00F86233" w:rsidRPr="00FF4325" w:rsidRDefault="00167299" w:rsidP="00652D24">
      <w:pPr>
        <w:spacing w:before="0"/>
        <w:rPr>
          <w:rFonts w:ascii="Times New Roman" w:hAnsi="Times New Roman" w:cs="Times New Roman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="00B842D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purpose of the </w:t>
      </w:r>
      <w:r w:rsidR="00333F4C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B842D4" w:rsidRPr="00FF4325">
        <w:rPr>
          <w:rFonts w:ascii="Times New Roman" w:eastAsia="Times New Roman" w:hAnsi="Times New Roman" w:cs="Times New Roman"/>
          <w:color w:val="000000"/>
          <w:lang w:eastAsia="en-AU"/>
        </w:rPr>
        <w:t>is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to reduce the risk of</w:t>
      </w:r>
      <w:r w:rsidR="00D95F7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death and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injur</w:t>
      </w:r>
      <w:r w:rsidR="00D95F7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y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associated with</w:t>
      </w:r>
      <w:r w:rsidR="00F118E6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toppling </w:t>
      </w:r>
      <w:r w:rsidR="001810D2" w:rsidRPr="00FF4325">
        <w:rPr>
          <w:rFonts w:ascii="Times New Roman" w:eastAsia="Times New Roman" w:hAnsi="Times New Roman" w:cs="Times New Roman"/>
          <w:color w:val="000000"/>
          <w:lang w:eastAsia="en-AU"/>
        </w:rPr>
        <w:t>furniture</w:t>
      </w:r>
      <w:r w:rsidR="00991A9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including</w:t>
      </w:r>
      <w:r w:rsidR="00B842D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by</w:t>
      </w:r>
      <w:r w:rsidR="00D10392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requiring</w:t>
      </w:r>
      <w:r w:rsidR="00F86233" w:rsidRPr="00FF4325">
        <w:rPr>
          <w:rFonts w:ascii="Times New Roman" w:hAnsi="Times New Roman" w:cs="Times New Roman"/>
        </w:rPr>
        <w:t>:</w:t>
      </w:r>
    </w:p>
    <w:p w14:paraId="3B565295" w14:textId="7AC4DB01" w:rsidR="00F86233" w:rsidRPr="00FF4325" w:rsidRDefault="00BA2CB5" w:rsidP="00F86233">
      <w:pPr>
        <w:pStyle w:val="Bulletpoint"/>
        <w:rPr>
          <w:rFonts w:ascii="Times New Roman" w:hAnsi="Times New Roman"/>
        </w:rPr>
      </w:pPr>
      <w:r w:rsidRPr="00FF4325">
        <w:rPr>
          <w:rFonts w:ascii="Times New Roman" w:hAnsi="Times New Roman"/>
        </w:rPr>
        <w:t xml:space="preserve">permanent </w:t>
      </w:r>
      <w:r w:rsidR="004903D3" w:rsidRPr="00FF4325">
        <w:rPr>
          <w:rFonts w:ascii="Times New Roman" w:hAnsi="Times New Roman"/>
        </w:rPr>
        <w:t xml:space="preserve">labels </w:t>
      </w:r>
      <w:r w:rsidRPr="00FF4325">
        <w:rPr>
          <w:rFonts w:ascii="Times New Roman" w:hAnsi="Times New Roman"/>
        </w:rPr>
        <w:t>to be affixed to toppling furnitur</w:t>
      </w:r>
      <w:r w:rsidR="00E7686B" w:rsidRPr="00FF4325">
        <w:rPr>
          <w:rFonts w:ascii="Times New Roman" w:hAnsi="Times New Roman"/>
        </w:rPr>
        <w:t>e</w:t>
      </w:r>
      <w:r w:rsidR="00F92DAB" w:rsidRPr="00FF4325">
        <w:rPr>
          <w:rFonts w:ascii="Times New Roman" w:hAnsi="Times New Roman"/>
        </w:rPr>
        <w:t xml:space="preserve"> made available for sale</w:t>
      </w:r>
      <w:r w:rsidR="00846A6A" w:rsidRPr="00FF4325">
        <w:rPr>
          <w:rFonts w:ascii="Times New Roman" w:hAnsi="Times New Roman"/>
        </w:rPr>
        <w:t xml:space="preserve"> </w:t>
      </w:r>
      <w:r w:rsidR="00B759DE" w:rsidRPr="00FF4325">
        <w:rPr>
          <w:rFonts w:ascii="Times New Roman" w:hAnsi="Times New Roman"/>
        </w:rPr>
        <w:t>which</w:t>
      </w:r>
      <w:r w:rsidR="00276B39" w:rsidRPr="00FF4325">
        <w:rPr>
          <w:rFonts w:ascii="Times New Roman" w:hAnsi="Times New Roman"/>
        </w:rPr>
        <w:t xml:space="preserve"> warn</w:t>
      </w:r>
      <w:r w:rsidR="00B04B44" w:rsidRPr="00FF4325">
        <w:rPr>
          <w:rFonts w:ascii="Times New Roman" w:hAnsi="Times New Roman"/>
        </w:rPr>
        <w:t xml:space="preserve"> </w:t>
      </w:r>
      <w:r w:rsidR="00F86233" w:rsidRPr="00FF4325">
        <w:rPr>
          <w:rFonts w:ascii="Times New Roman" w:hAnsi="Times New Roman"/>
        </w:rPr>
        <w:t xml:space="preserve">consumers </w:t>
      </w:r>
      <w:r w:rsidR="00E8107A" w:rsidRPr="00FF4325">
        <w:rPr>
          <w:rFonts w:ascii="Times New Roman" w:hAnsi="Times New Roman"/>
        </w:rPr>
        <w:t>as to</w:t>
      </w:r>
      <w:r w:rsidR="00B04B44" w:rsidRPr="00FF4325">
        <w:rPr>
          <w:rFonts w:ascii="Times New Roman" w:hAnsi="Times New Roman"/>
        </w:rPr>
        <w:t xml:space="preserve"> </w:t>
      </w:r>
      <w:r w:rsidR="002329B5" w:rsidRPr="00FF4325">
        <w:rPr>
          <w:rFonts w:ascii="Times New Roman" w:hAnsi="Times New Roman"/>
        </w:rPr>
        <w:t>the</w:t>
      </w:r>
      <w:r w:rsidR="00F86233" w:rsidRPr="00FF4325">
        <w:rPr>
          <w:rFonts w:ascii="Times New Roman" w:hAnsi="Times New Roman"/>
        </w:rPr>
        <w:t xml:space="preserve"> risks</w:t>
      </w:r>
      <w:r w:rsidR="002329B5" w:rsidRPr="00FF4325">
        <w:rPr>
          <w:rFonts w:ascii="Times New Roman" w:hAnsi="Times New Roman"/>
        </w:rPr>
        <w:t xml:space="preserve"> associated with topp</w:t>
      </w:r>
      <w:r w:rsidR="00276B39" w:rsidRPr="00FF4325">
        <w:rPr>
          <w:rFonts w:ascii="Times New Roman" w:hAnsi="Times New Roman"/>
        </w:rPr>
        <w:t>l</w:t>
      </w:r>
      <w:r w:rsidR="002329B5" w:rsidRPr="00FF4325">
        <w:rPr>
          <w:rFonts w:ascii="Times New Roman" w:hAnsi="Times New Roman"/>
        </w:rPr>
        <w:t xml:space="preserve">ing </w:t>
      </w:r>
      <w:r w:rsidR="00130C84" w:rsidRPr="00FF4325">
        <w:rPr>
          <w:rFonts w:ascii="Times New Roman" w:hAnsi="Times New Roman"/>
        </w:rPr>
        <w:t>furniture</w:t>
      </w:r>
      <w:r w:rsidR="002A6E24" w:rsidRPr="00FF4325">
        <w:rPr>
          <w:rFonts w:ascii="Times New Roman" w:hAnsi="Times New Roman"/>
        </w:rPr>
        <w:t xml:space="preserve"> </w:t>
      </w:r>
      <w:r w:rsidR="00C61C48" w:rsidRPr="00FF4325">
        <w:rPr>
          <w:rFonts w:ascii="Times New Roman" w:hAnsi="Times New Roman"/>
        </w:rPr>
        <w:t>a</w:t>
      </w:r>
      <w:r w:rsidR="00441711" w:rsidRPr="00FF4325">
        <w:rPr>
          <w:rFonts w:ascii="Times New Roman" w:hAnsi="Times New Roman"/>
        </w:rPr>
        <w:t>nd provid</w:t>
      </w:r>
      <w:r w:rsidR="00B759DE" w:rsidRPr="00FF4325">
        <w:rPr>
          <w:rFonts w:ascii="Times New Roman" w:hAnsi="Times New Roman"/>
        </w:rPr>
        <w:t>e</w:t>
      </w:r>
      <w:r w:rsidR="00441711" w:rsidRPr="00FF4325">
        <w:rPr>
          <w:rFonts w:ascii="Times New Roman" w:hAnsi="Times New Roman"/>
        </w:rPr>
        <w:t xml:space="preserve"> informa</w:t>
      </w:r>
      <w:r w:rsidR="002A6E24" w:rsidRPr="00FF4325">
        <w:rPr>
          <w:rFonts w:ascii="Times New Roman" w:hAnsi="Times New Roman"/>
        </w:rPr>
        <w:t>t</w:t>
      </w:r>
      <w:r w:rsidR="00441711" w:rsidRPr="00FF4325">
        <w:rPr>
          <w:rFonts w:ascii="Times New Roman" w:hAnsi="Times New Roman"/>
        </w:rPr>
        <w:t xml:space="preserve">ion </w:t>
      </w:r>
      <w:r w:rsidR="00276B39" w:rsidRPr="00FF4325">
        <w:rPr>
          <w:rFonts w:ascii="Times New Roman" w:hAnsi="Times New Roman"/>
        </w:rPr>
        <w:t>as to how such furniture can be used safely</w:t>
      </w:r>
      <w:r w:rsidR="00846A6A" w:rsidRPr="00FF4325">
        <w:rPr>
          <w:rFonts w:ascii="Times New Roman" w:hAnsi="Times New Roman"/>
        </w:rPr>
        <w:t>, and</w:t>
      </w:r>
    </w:p>
    <w:p w14:paraId="5AD04655" w14:textId="1A41CF31" w:rsidR="00B842D4" w:rsidRPr="00091892" w:rsidRDefault="00970E62" w:rsidP="00091892">
      <w:pPr>
        <w:pStyle w:val="Bulletpoint"/>
        <w:rPr>
          <w:rFonts w:ascii="Times New Roman" w:hAnsi="Times New Roman"/>
        </w:rPr>
      </w:pPr>
      <w:r w:rsidRPr="00FF4325">
        <w:rPr>
          <w:rFonts w:ascii="Times New Roman" w:hAnsi="Times New Roman"/>
        </w:rPr>
        <w:t>the display</w:t>
      </w:r>
      <w:r w:rsidR="00B771AE" w:rsidRPr="00FF4325">
        <w:rPr>
          <w:rFonts w:ascii="Times New Roman" w:hAnsi="Times New Roman"/>
        </w:rPr>
        <w:t xml:space="preserve"> of</w:t>
      </w:r>
      <w:r w:rsidRPr="00FF4325">
        <w:rPr>
          <w:rFonts w:ascii="Times New Roman" w:hAnsi="Times New Roman"/>
        </w:rPr>
        <w:t xml:space="preserve"> </w:t>
      </w:r>
      <w:r w:rsidR="00B771AE" w:rsidRPr="00FF4325">
        <w:rPr>
          <w:rFonts w:ascii="Times New Roman" w:hAnsi="Times New Roman"/>
        </w:rPr>
        <w:t xml:space="preserve">point of sale warnings, both instore and online, </w:t>
      </w:r>
      <w:r w:rsidR="00F86233" w:rsidRPr="00FF4325">
        <w:rPr>
          <w:rFonts w:ascii="Times New Roman" w:hAnsi="Times New Roman"/>
        </w:rPr>
        <w:t xml:space="preserve">to raise awareness </w:t>
      </w:r>
      <w:r w:rsidR="004A1A99" w:rsidRPr="00FF4325">
        <w:rPr>
          <w:rFonts w:ascii="Times New Roman" w:hAnsi="Times New Roman"/>
        </w:rPr>
        <w:t>about</w:t>
      </w:r>
      <w:r w:rsidR="00941617" w:rsidRPr="00FF4325">
        <w:rPr>
          <w:rFonts w:ascii="Times New Roman" w:hAnsi="Times New Roman"/>
        </w:rPr>
        <w:t xml:space="preserve"> the risks of toppling furniture</w:t>
      </w:r>
      <w:r w:rsidR="00084D9D" w:rsidRPr="00FF4325">
        <w:rPr>
          <w:rFonts w:ascii="Times New Roman" w:hAnsi="Times New Roman"/>
        </w:rPr>
        <w:t>.</w:t>
      </w:r>
    </w:p>
    <w:p w14:paraId="5751C8DD" w14:textId="5E557EB2" w:rsidR="00135F22" w:rsidRPr="00FF4325" w:rsidRDefault="00135F22" w:rsidP="00091892">
      <w:pPr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A provision</w:t>
      </w:r>
      <w:r w:rsidR="00F978B2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-by-provision description of the </w:t>
      </w:r>
      <w:r w:rsidR="00333F4C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="00F978B2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is set out</w:t>
      </w:r>
      <w:r w:rsidR="00F441FF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in the notes at </w:t>
      </w:r>
      <w:r w:rsidR="00F441FF"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Attachment A</w:t>
      </w:r>
      <w:r w:rsidR="00A733D5" w:rsidRPr="00FF4325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1D13D5A0" w14:textId="248F73D8" w:rsidR="00C6037A" w:rsidRPr="00FF4325" w:rsidRDefault="008A7C3E" w:rsidP="00ED331B">
      <w:pPr>
        <w:spacing w:before="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Pursuant to paragraph 131E(1)(</w:t>
      </w:r>
      <w:proofErr w:type="spellStart"/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i</w:t>
      </w:r>
      <w:proofErr w:type="spellEnd"/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) of the CCA, the </w:t>
      </w:r>
      <w:r w:rsidR="00350991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is a legi</w:t>
      </w:r>
      <w:r w:rsidR="00466E6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slative instrument for the purposes of the </w:t>
      </w:r>
      <w:r w:rsidR="00466E67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Legislation Act 2003</w:t>
      </w:r>
      <w:r w:rsidR="00466E67" w:rsidRPr="00FF4325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3E627CE2" w14:textId="33E85DE1" w:rsidR="00F86233" w:rsidRPr="00FF4325" w:rsidRDefault="00F57BB9" w:rsidP="00091892">
      <w:pPr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hAnsi="Times New Roman" w:cs="Times New Roman"/>
        </w:rPr>
        <w:t xml:space="preserve">By operation of subsections 44(1) and </w:t>
      </w:r>
      <w:r w:rsidRPr="00FF4325">
        <w:rPr>
          <w:rFonts w:ascii="Times New Roman" w:eastAsia="Calibri" w:hAnsi="Times New Roman" w:cs="Times New Roman"/>
        </w:rPr>
        <w:t xml:space="preserve">54(1) </w:t>
      </w:r>
      <w:r w:rsidRPr="00FF4325">
        <w:rPr>
          <w:rFonts w:ascii="Times New Roman" w:hAnsi="Times New Roman" w:cs="Times New Roman"/>
        </w:rPr>
        <w:t xml:space="preserve">of the </w:t>
      </w:r>
      <w:r w:rsidRPr="00FF4325">
        <w:rPr>
          <w:rFonts w:ascii="Times New Roman" w:hAnsi="Times New Roman" w:cs="Times New Roman"/>
          <w:i/>
          <w:iCs/>
        </w:rPr>
        <w:t>Legislation Act 2003</w:t>
      </w:r>
      <w:r w:rsidRPr="00FF4325">
        <w:rPr>
          <w:rFonts w:ascii="Times New Roman" w:hAnsi="Times New Roman" w:cs="Times New Roman"/>
        </w:rPr>
        <w:t xml:space="preserve">, the </w:t>
      </w:r>
      <w:r w:rsidR="00EA4000" w:rsidRPr="00FF4325">
        <w:rPr>
          <w:rFonts w:ascii="Times New Roman" w:hAnsi="Times New Roman" w:cs="Times New Roman"/>
        </w:rPr>
        <w:t>instrument</w:t>
      </w:r>
      <w:r w:rsidR="00C6037A" w:rsidRPr="00FF4325">
        <w:rPr>
          <w:rFonts w:ascii="Times New Roman" w:hAnsi="Times New Roman" w:cs="Times New Roman"/>
        </w:rPr>
        <w:t xml:space="preserve"> is not subject to disallowance or sunsetting because its enabling legislation, the </w:t>
      </w:r>
      <w:r w:rsidR="008E0ACD" w:rsidRPr="00FF4325">
        <w:rPr>
          <w:rFonts w:ascii="Times New Roman" w:hAnsi="Times New Roman" w:cs="Times New Roman"/>
        </w:rPr>
        <w:t>ACL</w:t>
      </w:r>
      <w:r w:rsidR="00C6037A" w:rsidRPr="00FF4325">
        <w:rPr>
          <w:rFonts w:ascii="Times New Roman" w:hAnsi="Times New Roman" w:cs="Times New Roman"/>
        </w:rPr>
        <w:t xml:space="preserve"> (</w:t>
      </w:r>
      <w:r w:rsidR="008E0ACD" w:rsidRPr="00FF4325">
        <w:rPr>
          <w:rFonts w:ascii="Times New Roman" w:hAnsi="Times New Roman" w:cs="Times New Roman"/>
        </w:rPr>
        <w:t xml:space="preserve">at </w:t>
      </w:r>
      <w:r w:rsidR="00C6037A" w:rsidRPr="00FF4325">
        <w:rPr>
          <w:rFonts w:ascii="Times New Roman" w:hAnsi="Times New Roman" w:cs="Times New Roman"/>
        </w:rPr>
        <w:t xml:space="preserve">Schedule 2 of the </w:t>
      </w:r>
      <w:r w:rsidR="008E0ACD" w:rsidRPr="00FF4325">
        <w:rPr>
          <w:rFonts w:ascii="Times New Roman" w:hAnsi="Times New Roman" w:cs="Times New Roman"/>
        </w:rPr>
        <w:t>CCA</w:t>
      </w:r>
      <w:r w:rsidR="00C6037A" w:rsidRPr="00FF4325">
        <w:rPr>
          <w:rFonts w:ascii="Times New Roman" w:hAnsi="Times New Roman" w:cs="Times New Roman"/>
        </w:rPr>
        <w:t xml:space="preserve">), facilitates the operation of an intergovernmental scheme involving the Commonwealth and all the States and Territories (the </w:t>
      </w:r>
      <w:r w:rsidR="00C6037A" w:rsidRPr="00FF4325">
        <w:rPr>
          <w:rFonts w:ascii="Times New Roman" w:hAnsi="Times New Roman" w:cs="Times New Roman"/>
          <w:i/>
          <w:iCs/>
        </w:rPr>
        <w:t>Intergovernmental Agreement for the Australian Consumer Law</w:t>
      </w:r>
      <w:r w:rsidR="00C6037A" w:rsidRPr="00FF4325">
        <w:rPr>
          <w:rFonts w:ascii="Times New Roman" w:hAnsi="Times New Roman" w:cs="Times New Roman"/>
        </w:rPr>
        <w:t xml:space="preserve">), and </w:t>
      </w:r>
      <w:r w:rsidR="00D44747" w:rsidRPr="00FF4325">
        <w:rPr>
          <w:rFonts w:ascii="Times New Roman" w:hAnsi="Times New Roman" w:cs="Times New Roman"/>
        </w:rPr>
        <w:t xml:space="preserve">the ACL </w:t>
      </w:r>
      <w:r w:rsidR="00C6037A" w:rsidRPr="00FF4325">
        <w:rPr>
          <w:rFonts w:ascii="Times New Roman" w:hAnsi="Times New Roman" w:cs="Times New Roman"/>
        </w:rPr>
        <w:t xml:space="preserve">authorises the making </w:t>
      </w:r>
      <w:r w:rsidR="007E149A" w:rsidRPr="00FF4325">
        <w:rPr>
          <w:rFonts w:ascii="Times New Roman" w:hAnsi="Times New Roman" w:cs="Times New Roman"/>
        </w:rPr>
        <w:t xml:space="preserve">of the </w:t>
      </w:r>
      <w:r w:rsidR="00B31CE0" w:rsidRPr="00FF4325">
        <w:rPr>
          <w:rFonts w:ascii="Times New Roman" w:hAnsi="Times New Roman" w:cs="Times New Roman"/>
        </w:rPr>
        <w:t>instrument</w:t>
      </w:r>
      <w:r w:rsidR="00C6037A" w:rsidRPr="00FF4325">
        <w:rPr>
          <w:rFonts w:ascii="Times New Roman" w:hAnsi="Times New Roman" w:cs="Times New Roman"/>
        </w:rPr>
        <w:t xml:space="preserve"> for the purposes of that scheme.</w:t>
      </w:r>
      <w:r w:rsidR="007E149A" w:rsidRPr="00FF4325">
        <w:rPr>
          <w:rFonts w:ascii="Times New Roman" w:hAnsi="Times New Roman" w:cs="Times New Roman"/>
        </w:rPr>
        <w:t xml:space="preserve"> </w:t>
      </w:r>
      <w:r w:rsidR="00885B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Item 16 in the table at section 12 of the </w:t>
      </w:r>
      <w:r w:rsidR="00885BC3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Legislation (Exemptions and Other Matters) Regulation 2015</w:t>
      </w:r>
      <w:r w:rsidR="00885B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also provides that the </w:t>
      </w:r>
      <w:r w:rsidR="00DC5DB1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="00885B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is not subject to the sunsetting provisions of the </w:t>
      </w:r>
      <w:r w:rsidR="00885BC3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Legislation Act 2003</w:t>
      </w:r>
      <w:r w:rsidR="00885BC3" w:rsidRPr="00FF4325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4B5D4AE9" w14:textId="77777777" w:rsidR="000D1349" w:rsidRPr="00FF4325" w:rsidRDefault="000D1349" w:rsidP="000D13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Consultation</w:t>
      </w:r>
    </w:p>
    <w:p w14:paraId="0F0EC78E" w14:textId="765E798D" w:rsidR="004F621E" w:rsidRPr="00FF4325" w:rsidRDefault="002D124F" w:rsidP="000D13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Before the </w:t>
      </w:r>
      <w:r w:rsidR="00B31CE0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was made, the Minister was </w:t>
      </w:r>
      <w:r w:rsidR="002B5BD3" w:rsidRPr="00FF4325">
        <w:rPr>
          <w:rFonts w:ascii="Times New Roman" w:eastAsia="Times New Roman" w:hAnsi="Times New Roman" w:cs="Times New Roman"/>
          <w:color w:val="000000"/>
          <w:lang w:eastAsia="en-AU"/>
        </w:rPr>
        <w:t>satisfied</w:t>
      </w:r>
      <w:r w:rsidR="00EE6D5D" w:rsidRPr="00FF4325">
        <w:rPr>
          <w:rFonts w:ascii="Times New Roman" w:hAnsi="Times New Roman" w:cs="Times New Roman"/>
        </w:rPr>
        <w:t xml:space="preserve"> </w:t>
      </w:r>
      <w:r w:rsidR="00EE6D5D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that consultation was undertaken to the extent appropriate and reasonably practicable, in accordance with section 17 of the </w:t>
      </w:r>
      <w:r w:rsidR="00EE6D5D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L</w:t>
      </w:r>
      <w:r w:rsidR="00AE3F05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egislation Act 2003</w:t>
      </w:r>
      <w:r w:rsidR="00AE3F05" w:rsidRPr="00FF4325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r w:rsidR="002B5BD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</w:p>
    <w:p w14:paraId="56E278A7" w14:textId="1C3D9FC5" w:rsidR="000D1349" w:rsidRPr="00FF4325" w:rsidRDefault="000D1349" w:rsidP="000D13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ACCC </w:t>
      </w:r>
      <w:r w:rsidR="00F61AE8">
        <w:rPr>
          <w:rFonts w:ascii="Times New Roman" w:eastAsia="Times New Roman" w:hAnsi="Times New Roman" w:cs="Times New Roman"/>
          <w:color w:val="000000"/>
          <w:lang w:eastAsia="en-AU"/>
        </w:rPr>
        <w:t>published</w:t>
      </w:r>
      <w:r w:rsidR="008E36AB">
        <w:rPr>
          <w:rFonts w:ascii="Times New Roman" w:eastAsia="Times New Roman" w:hAnsi="Times New Roman" w:cs="Times New Roman"/>
          <w:color w:val="000000"/>
          <w:lang w:eastAsia="en-AU"/>
        </w:rPr>
        <w:t>, on its website,</w:t>
      </w:r>
      <w:r w:rsidR="00F61AE8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="00FF4325" w:rsidRPr="00D47EA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Toppling Furniture and Televisions I</w:t>
      </w:r>
      <w:r w:rsidRPr="00D47EA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ssues Paper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8E36AB">
        <w:rPr>
          <w:rFonts w:ascii="Times New Roman" w:eastAsia="Times New Roman" w:hAnsi="Times New Roman" w:cs="Times New Roman"/>
          <w:color w:val="000000"/>
          <w:lang w:eastAsia="en-AU"/>
        </w:rPr>
        <w:t xml:space="preserve">for public consultation </w:t>
      </w:r>
      <w:r w:rsidR="00124B23">
        <w:rPr>
          <w:rFonts w:ascii="Times New Roman" w:eastAsia="Times New Roman" w:hAnsi="Times New Roman" w:cs="Times New Roman"/>
          <w:color w:val="000000"/>
          <w:lang w:eastAsia="en-AU"/>
        </w:rPr>
        <w:t xml:space="preserve">from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="00124B23">
        <w:rPr>
          <w:rFonts w:ascii="Times New Roman" w:eastAsia="Times New Roman" w:hAnsi="Times New Roman" w:cs="Times New Roman"/>
          <w:color w:val="000000"/>
          <w:lang w:eastAsia="en-AU"/>
        </w:rPr>
        <w:t xml:space="preserve"> - 30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August 2021</w:t>
      </w:r>
      <w:r w:rsid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. </w:t>
      </w:r>
      <w:r w:rsidR="00987D9F">
        <w:rPr>
          <w:rFonts w:ascii="Times New Roman" w:eastAsia="Times New Roman" w:hAnsi="Times New Roman" w:cs="Times New Roman"/>
          <w:color w:val="000000"/>
          <w:lang w:eastAsia="en-AU"/>
        </w:rPr>
        <w:t xml:space="preserve">Thirty submissions were received </w:t>
      </w:r>
      <w:r w:rsidR="004142C2" w:rsidRPr="00FF4325">
        <w:rPr>
          <w:rFonts w:ascii="Times New Roman" w:eastAsia="Times New Roman" w:hAnsi="Times New Roman" w:cs="Times New Roman"/>
          <w:color w:val="000000"/>
          <w:lang w:eastAsia="en-AU"/>
        </w:rPr>
        <w:t>respon</w:t>
      </w:r>
      <w:r w:rsidR="004142C2">
        <w:rPr>
          <w:rFonts w:ascii="Times New Roman" w:eastAsia="Times New Roman" w:hAnsi="Times New Roman" w:cs="Times New Roman"/>
          <w:color w:val="000000"/>
          <w:lang w:eastAsia="en-AU"/>
        </w:rPr>
        <w:t>ding</w:t>
      </w:r>
      <w:r w:rsidR="004142C2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to questions</w:t>
      </w:r>
      <w:r w:rsidR="00A602E4">
        <w:rPr>
          <w:rFonts w:ascii="Times New Roman" w:eastAsia="Times New Roman" w:hAnsi="Times New Roman" w:cs="Times New Roman"/>
          <w:color w:val="000000"/>
          <w:lang w:eastAsia="en-AU"/>
        </w:rPr>
        <w:t xml:space="preserve"> posed in the </w:t>
      </w:r>
      <w:r w:rsidR="005262F7">
        <w:rPr>
          <w:rFonts w:ascii="Times New Roman" w:eastAsia="Times New Roman" w:hAnsi="Times New Roman" w:cs="Times New Roman"/>
          <w:color w:val="000000"/>
          <w:lang w:eastAsia="en-AU"/>
        </w:rPr>
        <w:t>Issues Paper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about toppling furniture in Australia, perceived safety risks, </w:t>
      </w:r>
      <w:r w:rsidR="004142C2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regulatory environment, international standards, consumer information and product design.</w:t>
      </w:r>
      <w:r w:rsidR="004C4096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4C4096" w:rsidRPr="004C4096">
        <w:rPr>
          <w:rFonts w:ascii="Times New Roman" w:eastAsia="Times New Roman" w:hAnsi="Times New Roman" w:cs="Times New Roman"/>
          <w:color w:val="000000"/>
          <w:lang w:eastAsia="en-AU"/>
        </w:rPr>
        <w:t>Stakeholder</w:t>
      </w:r>
      <w:r w:rsidR="004C4096">
        <w:rPr>
          <w:rFonts w:ascii="Times New Roman" w:eastAsia="Times New Roman" w:hAnsi="Times New Roman" w:cs="Times New Roman"/>
          <w:color w:val="000000"/>
          <w:lang w:eastAsia="en-AU"/>
        </w:rPr>
        <w:t xml:space="preserve"> feedback </w:t>
      </w:r>
      <w:r w:rsidR="004C4096" w:rsidRPr="004C4096">
        <w:rPr>
          <w:rFonts w:ascii="Times New Roman" w:eastAsia="Times New Roman" w:hAnsi="Times New Roman" w:cs="Times New Roman"/>
          <w:color w:val="000000"/>
          <w:lang w:eastAsia="en-AU"/>
        </w:rPr>
        <w:t>broa</w:t>
      </w:r>
      <w:r w:rsidR="004C4096">
        <w:rPr>
          <w:rFonts w:ascii="Times New Roman" w:eastAsia="Times New Roman" w:hAnsi="Times New Roman" w:cs="Times New Roman"/>
          <w:color w:val="000000"/>
          <w:lang w:eastAsia="en-AU"/>
        </w:rPr>
        <w:t>d</w:t>
      </w:r>
      <w:r w:rsidR="001F074A">
        <w:rPr>
          <w:rFonts w:ascii="Times New Roman" w:eastAsia="Times New Roman" w:hAnsi="Times New Roman" w:cs="Times New Roman"/>
          <w:color w:val="000000"/>
          <w:lang w:eastAsia="en-AU"/>
        </w:rPr>
        <w:t>ly</w:t>
      </w:r>
      <w:r w:rsidR="004C4096" w:rsidRPr="004C4096">
        <w:rPr>
          <w:rFonts w:ascii="Times New Roman" w:eastAsia="Times New Roman" w:hAnsi="Times New Roman" w:cs="Times New Roman"/>
          <w:color w:val="000000"/>
          <w:lang w:eastAsia="en-AU"/>
        </w:rPr>
        <w:t xml:space="preserve"> supported </w:t>
      </w:r>
      <w:r w:rsidR="001F074A">
        <w:rPr>
          <w:rFonts w:ascii="Times New Roman" w:eastAsia="Times New Roman" w:hAnsi="Times New Roman" w:cs="Times New Roman"/>
          <w:color w:val="000000"/>
          <w:lang w:eastAsia="en-AU"/>
        </w:rPr>
        <w:t xml:space="preserve">some form of </w:t>
      </w:r>
      <w:r w:rsidR="004C4096" w:rsidRPr="004C4096">
        <w:rPr>
          <w:rFonts w:ascii="Times New Roman" w:eastAsia="Times New Roman" w:hAnsi="Times New Roman" w:cs="Times New Roman"/>
          <w:color w:val="000000"/>
          <w:lang w:eastAsia="en-AU"/>
        </w:rPr>
        <w:t>regulation</w:t>
      </w:r>
      <w:r w:rsidR="001F074A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2D1725">
        <w:rPr>
          <w:rFonts w:ascii="Times New Roman" w:eastAsia="Times New Roman" w:hAnsi="Times New Roman" w:cs="Times New Roman"/>
          <w:color w:val="000000"/>
          <w:lang w:eastAsia="en-AU"/>
        </w:rPr>
        <w:t>for</w:t>
      </w:r>
      <w:r w:rsidR="00BD2256">
        <w:rPr>
          <w:rFonts w:ascii="Times New Roman" w:eastAsia="Times New Roman" w:hAnsi="Times New Roman" w:cs="Times New Roman"/>
          <w:color w:val="000000"/>
          <w:lang w:eastAsia="en-AU"/>
        </w:rPr>
        <w:t xml:space="preserve"> toppling </w:t>
      </w:r>
      <w:r w:rsidR="005236F7">
        <w:rPr>
          <w:rFonts w:ascii="Times New Roman" w:eastAsia="Times New Roman" w:hAnsi="Times New Roman" w:cs="Times New Roman"/>
          <w:color w:val="000000"/>
          <w:lang w:eastAsia="en-AU"/>
        </w:rPr>
        <w:t>furniture and</w:t>
      </w:r>
      <w:r w:rsidR="001F074A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5236F7">
        <w:rPr>
          <w:rFonts w:ascii="Times New Roman" w:eastAsia="Times New Roman" w:hAnsi="Times New Roman" w:cs="Times New Roman"/>
          <w:color w:val="000000"/>
          <w:lang w:eastAsia="en-AU"/>
        </w:rPr>
        <w:t>confirmed</w:t>
      </w:r>
      <w:r w:rsidR="001F074A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5236F7">
        <w:rPr>
          <w:rFonts w:ascii="Times New Roman" w:eastAsia="Times New Roman" w:hAnsi="Times New Roman" w:cs="Times New Roman"/>
          <w:bCs/>
          <w:color w:val="000000"/>
          <w:lang w:eastAsia="en-AU"/>
        </w:rPr>
        <w:t xml:space="preserve">that there were </w:t>
      </w:r>
      <w:r w:rsidR="005236F7" w:rsidRPr="000D3B98">
        <w:rPr>
          <w:rFonts w:ascii="Times New Roman" w:eastAsia="Times New Roman" w:hAnsi="Times New Roman" w:cs="Times New Roman"/>
          <w:bCs/>
          <w:color w:val="000000"/>
          <w:lang w:eastAsia="en-AU"/>
        </w:rPr>
        <w:t xml:space="preserve">existing </w:t>
      </w:r>
      <w:r w:rsidR="005236F7" w:rsidRPr="000D3B98">
        <w:rPr>
          <w:rFonts w:ascii="Times New Roman" w:eastAsia="Times New Roman" w:hAnsi="Times New Roman" w:cs="Times New Roman"/>
          <w:color w:val="000000"/>
          <w:lang w:eastAsia="en-AU"/>
        </w:rPr>
        <w:t>safeguards, including requirements for mechanical stability and consumer information</w:t>
      </w:r>
      <w:r w:rsidR="005236F7">
        <w:rPr>
          <w:rFonts w:ascii="Times New Roman" w:eastAsia="Times New Roman" w:hAnsi="Times New Roman" w:cs="Times New Roman"/>
          <w:color w:val="000000"/>
          <w:lang w:eastAsia="en-AU"/>
        </w:rPr>
        <w:t xml:space="preserve"> for televisions.</w:t>
      </w:r>
    </w:p>
    <w:p w14:paraId="129859EE" w14:textId="463E9F9B" w:rsidR="00A14E05" w:rsidRPr="000D3B98" w:rsidRDefault="000D1349" w:rsidP="00A14E05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lastRenderedPageBreak/>
        <w:t xml:space="preserve">The ACCC </w:t>
      </w:r>
      <w:r w:rsidR="008157ED">
        <w:rPr>
          <w:rFonts w:ascii="Times New Roman" w:eastAsia="Times New Roman" w:hAnsi="Times New Roman" w:cs="Times New Roman"/>
          <w:color w:val="000000"/>
          <w:lang w:eastAsia="en-AU"/>
        </w:rPr>
        <w:t>published, on its website,</w:t>
      </w:r>
      <w:r w:rsidR="008157ED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="00FF4325" w:rsidRPr="00D47EA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Toppling Furniture </w:t>
      </w:r>
      <w:r w:rsidRPr="00D47EA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Consultation Regulatory Impact Statement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124B23">
        <w:rPr>
          <w:rFonts w:ascii="Times New Roman" w:eastAsia="Times New Roman" w:hAnsi="Times New Roman" w:cs="Times New Roman"/>
          <w:color w:val="000000"/>
          <w:lang w:eastAsia="en-AU"/>
        </w:rPr>
        <w:t>from</w:t>
      </w:r>
      <w:r w:rsidR="00124B2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13 </w:t>
      </w:r>
      <w:r w:rsidR="00124B2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May </w:t>
      </w:r>
      <w:r w:rsidR="00124B23">
        <w:rPr>
          <w:rFonts w:ascii="Times New Roman" w:eastAsia="Times New Roman" w:hAnsi="Times New Roman" w:cs="Times New Roman"/>
          <w:color w:val="000000"/>
          <w:lang w:eastAsia="en-AU"/>
        </w:rPr>
        <w:t xml:space="preserve">- 13 June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2022, inviting stakeholder feedback on policy options to improve the safety of storage furniture. </w:t>
      </w:r>
      <w:r w:rsidR="00A14E05" w:rsidRPr="000D3B98">
        <w:rPr>
          <w:rFonts w:ascii="Times New Roman" w:eastAsia="Times New Roman" w:hAnsi="Times New Roman" w:cs="Times New Roman"/>
          <w:bCs/>
          <w:color w:val="000000"/>
          <w:lang w:eastAsia="en-AU"/>
        </w:rPr>
        <w:t xml:space="preserve">Televisions </w:t>
      </w:r>
      <w:r w:rsidR="00A14E05">
        <w:rPr>
          <w:rFonts w:ascii="Times New Roman" w:eastAsia="Times New Roman" w:hAnsi="Times New Roman" w:cs="Times New Roman"/>
          <w:bCs/>
          <w:color w:val="000000"/>
          <w:lang w:eastAsia="en-AU"/>
        </w:rPr>
        <w:t xml:space="preserve">were not </w:t>
      </w:r>
      <w:r w:rsidR="00A14E05" w:rsidRPr="000D3B98">
        <w:rPr>
          <w:rFonts w:ascii="Times New Roman" w:eastAsia="Times New Roman" w:hAnsi="Times New Roman" w:cs="Times New Roman"/>
          <w:bCs/>
          <w:color w:val="000000"/>
          <w:lang w:eastAsia="en-AU"/>
        </w:rPr>
        <w:t>within the scope of the regulatory options proposed</w:t>
      </w:r>
      <w:r w:rsidR="005236F7">
        <w:rPr>
          <w:rFonts w:ascii="Times New Roman" w:eastAsia="Times New Roman" w:hAnsi="Times New Roman" w:cs="Times New Roman"/>
          <w:bCs/>
          <w:color w:val="000000"/>
          <w:lang w:eastAsia="en-AU"/>
        </w:rPr>
        <w:t>.</w:t>
      </w:r>
      <w:r w:rsidR="00A14E05">
        <w:rPr>
          <w:rFonts w:ascii="Times New Roman" w:eastAsia="Times New Roman" w:hAnsi="Times New Roman" w:cs="Times New Roman"/>
          <w:bCs/>
          <w:color w:val="000000"/>
          <w:lang w:eastAsia="en-AU"/>
        </w:rPr>
        <w:t xml:space="preserve"> </w:t>
      </w:r>
    </w:p>
    <w:p w14:paraId="5675428E" w14:textId="45851458" w:rsidR="005236F7" w:rsidRDefault="00AE7DE0" w:rsidP="00A14E05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In response, t</w:t>
      </w:r>
      <w:r w:rsidR="000D1349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he ACCC received 31 submissions from a range of stakeholders </w:t>
      </w:r>
      <w:r w:rsidR="000D1349" w:rsidRPr="00FF4325">
        <w:rPr>
          <w:rFonts w:ascii="Times New Roman" w:hAnsi="Times New Roman" w:cs="Times New Roman"/>
        </w:rPr>
        <w:t>including advocacy groups, state regulators, industry associations, manufacturers (large and small), medical practitioners, an overseas regulator, and members of the public</w:t>
      </w:r>
      <w:r w:rsidR="000D1349" w:rsidRPr="00FF4325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r w:rsidR="00A14E0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</w:p>
    <w:p w14:paraId="44EF6176" w14:textId="73E427C6" w:rsidR="00A14E05" w:rsidRDefault="00A14E05" w:rsidP="00A14E05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Stakeholders </w:t>
      </w:r>
      <w:r w:rsidRPr="00A14E05">
        <w:rPr>
          <w:rFonts w:ascii="Times New Roman" w:eastAsia="Times New Roman" w:hAnsi="Times New Roman" w:cs="Times New Roman"/>
          <w:color w:val="000000"/>
          <w:lang w:eastAsia="en-AU"/>
        </w:rPr>
        <w:t>unanimously agreed that educating consumers about the risks associated with toppling furniture would be beneficial.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 Consequently, the ACCC</w:t>
      </w:r>
      <w:r w:rsidR="006C3E19">
        <w:rPr>
          <w:rFonts w:ascii="Times New Roman" w:eastAsia="Times New Roman" w:hAnsi="Times New Roman" w:cs="Times New Roman"/>
          <w:color w:val="000000"/>
          <w:lang w:eastAsia="en-AU"/>
        </w:rPr>
        <w:t xml:space="preserve"> recommended that</w:t>
      </w:r>
      <w:r w:rsidR="009255ED">
        <w:rPr>
          <w:rFonts w:ascii="Times New Roman" w:eastAsia="Times New Roman" w:hAnsi="Times New Roman" w:cs="Times New Roman"/>
          <w:color w:val="000000"/>
          <w:lang w:eastAsia="en-AU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lang w:eastAsia="en-AU"/>
        </w:rPr>
        <w:t>Commonwealth Minister</w:t>
      </w:r>
      <w:r w:rsidR="00333916">
        <w:rPr>
          <w:rFonts w:ascii="Times New Roman" w:eastAsia="Times New Roman" w:hAnsi="Times New Roman" w:cs="Times New Roman"/>
          <w:color w:val="000000"/>
          <w:lang w:eastAsia="en-AU"/>
        </w:rPr>
        <w:t xml:space="preserve"> exercise his power under subsection 134(1) of the ACL to</w:t>
      </w:r>
      <w:r w:rsidR="009255ED">
        <w:rPr>
          <w:rFonts w:ascii="Times New Roman" w:eastAsia="Times New Roman" w:hAnsi="Times New Roman" w:cs="Times New Roman"/>
          <w:color w:val="000000"/>
          <w:lang w:eastAsia="en-AU"/>
        </w:rPr>
        <w:t xml:space="preserve"> make an </w:t>
      </w:r>
      <w:r w:rsidR="00492ECF">
        <w:rPr>
          <w:rFonts w:ascii="Times New Roman" w:eastAsia="Times New Roman" w:hAnsi="Times New Roman" w:cs="Times New Roman"/>
          <w:color w:val="000000"/>
          <w:lang w:eastAsia="en-AU"/>
        </w:rPr>
        <w:t>i</w:t>
      </w:r>
      <w:r w:rsidR="009255ED">
        <w:rPr>
          <w:rFonts w:ascii="Times New Roman" w:eastAsia="Times New Roman" w:hAnsi="Times New Roman" w:cs="Times New Roman"/>
          <w:color w:val="000000"/>
          <w:lang w:eastAsia="en-AU"/>
        </w:rPr>
        <w:t xml:space="preserve">nformation </w:t>
      </w:r>
      <w:r w:rsidR="00492ECF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="009255ED">
        <w:rPr>
          <w:rFonts w:ascii="Times New Roman" w:eastAsia="Times New Roman" w:hAnsi="Times New Roman" w:cs="Times New Roman"/>
          <w:color w:val="000000"/>
          <w:lang w:eastAsia="en-AU"/>
        </w:rPr>
        <w:t xml:space="preserve">tandard </w:t>
      </w:r>
      <w:r w:rsidR="00693145">
        <w:rPr>
          <w:rFonts w:ascii="Times New Roman" w:eastAsia="Times New Roman" w:hAnsi="Times New Roman" w:cs="Times New Roman"/>
          <w:color w:val="000000"/>
          <w:lang w:eastAsia="en-AU"/>
        </w:rPr>
        <w:t xml:space="preserve">in </w:t>
      </w:r>
      <w:r w:rsidR="006623E7">
        <w:rPr>
          <w:rFonts w:ascii="Times New Roman" w:eastAsia="Times New Roman" w:hAnsi="Times New Roman" w:cs="Times New Roman"/>
          <w:color w:val="000000"/>
          <w:lang w:eastAsia="en-AU"/>
        </w:rPr>
        <w:t>relation to</w:t>
      </w:r>
      <w:r w:rsidR="00F42A9B">
        <w:rPr>
          <w:rFonts w:ascii="Times New Roman" w:eastAsia="Times New Roman" w:hAnsi="Times New Roman" w:cs="Times New Roman"/>
          <w:color w:val="000000"/>
          <w:lang w:eastAsia="en-AU"/>
        </w:rPr>
        <w:t xml:space="preserve"> toppling</w:t>
      </w:r>
      <w:r w:rsidR="0069314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492ECF">
        <w:rPr>
          <w:rFonts w:ascii="Times New Roman" w:eastAsia="Times New Roman" w:hAnsi="Times New Roman" w:cs="Times New Roman"/>
          <w:color w:val="000000"/>
          <w:lang w:eastAsia="en-AU"/>
        </w:rPr>
        <w:t>f</w:t>
      </w:r>
      <w:r w:rsidR="009255ED">
        <w:rPr>
          <w:rFonts w:ascii="Times New Roman" w:eastAsia="Times New Roman" w:hAnsi="Times New Roman" w:cs="Times New Roman"/>
          <w:color w:val="000000"/>
          <w:lang w:eastAsia="en-AU"/>
        </w:rPr>
        <w:t xml:space="preserve">urniture </w:t>
      </w:r>
      <w:r w:rsidR="005677A6">
        <w:rPr>
          <w:rFonts w:ascii="Times New Roman" w:eastAsia="Times New Roman" w:hAnsi="Times New Roman" w:cs="Times New Roman"/>
          <w:color w:val="000000"/>
          <w:lang w:eastAsia="en-AU"/>
        </w:rPr>
        <w:t>to mitigate the identified</w:t>
      </w:r>
      <w:r w:rsidR="009255ED">
        <w:rPr>
          <w:rFonts w:ascii="Times New Roman" w:eastAsia="Times New Roman" w:hAnsi="Times New Roman" w:cs="Times New Roman"/>
          <w:color w:val="000000"/>
          <w:lang w:eastAsia="en-AU"/>
        </w:rPr>
        <w:t xml:space="preserve"> risks. </w:t>
      </w:r>
    </w:p>
    <w:p w14:paraId="669878BD" w14:textId="77777777" w:rsidR="00795851" w:rsidRDefault="000D1349" w:rsidP="0042539B">
      <w:pPr>
        <w:pStyle w:val="Bulletpoint"/>
        <w:numPr>
          <w:ilvl w:val="0"/>
          <w:numId w:val="0"/>
        </w:numPr>
        <w:tabs>
          <w:tab w:val="clear" w:pos="340"/>
        </w:tabs>
        <w:rPr>
          <w:rFonts w:ascii="Times New Roman" w:eastAsia="Times New Roman" w:hAnsi="Times New Roman"/>
          <w:color w:val="000000"/>
          <w:lang w:eastAsia="en-AU"/>
        </w:rPr>
      </w:pPr>
      <w:r w:rsidRPr="00FF4325">
        <w:rPr>
          <w:rFonts w:ascii="Times New Roman" w:eastAsia="Times New Roman" w:hAnsi="Times New Roman"/>
          <w:color w:val="000000"/>
          <w:lang w:val="en-GB" w:eastAsia="en-AU"/>
        </w:rPr>
        <w:t xml:space="preserve">The ACCC notified the World Trade Organization (WTO) of </w:t>
      </w:r>
      <w:r w:rsidR="005B3B02" w:rsidRPr="00FF4325">
        <w:rPr>
          <w:rFonts w:ascii="Times New Roman" w:eastAsia="Times New Roman" w:hAnsi="Times New Roman"/>
          <w:color w:val="000000"/>
          <w:lang w:val="en-GB" w:eastAsia="en-AU"/>
        </w:rPr>
        <w:t xml:space="preserve">a </w:t>
      </w:r>
      <w:r w:rsidRPr="00FF4325">
        <w:rPr>
          <w:rFonts w:ascii="Times New Roman" w:eastAsia="Times New Roman" w:hAnsi="Times New Roman"/>
          <w:color w:val="000000"/>
          <w:lang w:val="en-GB" w:eastAsia="en-AU"/>
        </w:rPr>
        <w:t xml:space="preserve">draft </w:t>
      </w:r>
      <w:r w:rsidR="005B3B02" w:rsidRPr="00FF4325">
        <w:rPr>
          <w:rFonts w:ascii="Times New Roman" w:eastAsia="Times New Roman" w:hAnsi="Times New Roman"/>
          <w:color w:val="000000"/>
          <w:lang w:val="en-GB" w:eastAsia="en-AU"/>
        </w:rPr>
        <w:t>version of the instrument</w:t>
      </w:r>
      <w:r w:rsidRPr="00FF4325">
        <w:rPr>
          <w:rFonts w:ascii="Times New Roman" w:eastAsia="Times New Roman" w:hAnsi="Times New Roman"/>
          <w:color w:val="000000"/>
          <w:lang w:val="en-GB" w:eastAsia="en-AU"/>
        </w:rPr>
        <w:t xml:space="preserve"> on </w:t>
      </w:r>
      <w:r w:rsidR="00603E59">
        <w:rPr>
          <w:rFonts w:ascii="Times New Roman" w:eastAsia="Times New Roman" w:hAnsi="Times New Roman"/>
          <w:color w:val="000000"/>
          <w:lang w:val="en-GB" w:eastAsia="en-AU"/>
        </w:rPr>
        <w:t>25 July 2023</w:t>
      </w:r>
      <w:r w:rsidR="00603E59" w:rsidRPr="00FF4325">
        <w:rPr>
          <w:rFonts w:ascii="Times New Roman" w:eastAsia="Times New Roman" w:hAnsi="Times New Roman"/>
          <w:color w:val="000000"/>
          <w:lang w:val="en-GB" w:eastAsia="en-AU"/>
        </w:rPr>
        <w:t> </w:t>
      </w:r>
      <w:r w:rsidRPr="00FF4325">
        <w:rPr>
          <w:rFonts w:ascii="Times New Roman" w:eastAsia="Times New Roman" w:hAnsi="Times New Roman"/>
          <w:color w:val="000000"/>
          <w:lang w:eastAsia="en-AU"/>
        </w:rPr>
        <w:t xml:space="preserve">under the WTO Agreement on Technical Barriers to Trade. </w:t>
      </w:r>
      <w:bookmarkStart w:id="2" w:name="_Hlk159317200"/>
      <w:r w:rsidR="004B1D69" w:rsidRPr="004B1D69">
        <w:rPr>
          <w:rFonts w:ascii="Times New Roman" w:eastAsia="Times New Roman" w:hAnsi="Times New Roman"/>
          <w:color w:val="000000"/>
          <w:lang w:eastAsia="en-AU"/>
        </w:rPr>
        <w:t>One submission was received from an industry participant outside of th</w:t>
      </w:r>
      <w:r w:rsidR="004B1D69">
        <w:rPr>
          <w:rFonts w:ascii="Times New Roman" w:eastAsia="Times New Roman" w:hAnsi="Times New Roman"/>
          <w:color w:val="000000"/>
          <w:lang w:eastAsia="en-AU"/>
        </w:rPr>
        <w:t>e WTO</w:t>
      </w:r>
      <w:r w:rsidR="004B1D69" w:rsidRPr="004B1D69">
        <w:rPr>
          <w:rFonts w:ascii="Times New Roman" w:eastAsia="Times New Roman" w:hAnsi="Times New Roman"/>
          <w:color w:val="000000"/>
          <w:lang w:eastAsia="en-AU"/>
        </w:rPr>
        <w:t xml:space="preserve"> consultation period. The submission provided feedback about the scope and labelling requirements of the draft instrument. The issues </w:t>
      </w:r>
      <w:r w:rsidR="00926716">
        <w:rPr>
          <w:rFonts w:ascii="Times New Roman" w:eastAsia="Times New Roman" w:hAnsi="Times New Roman"/>
          <w:color w:val="000000"/>
          <w:lang w:eastAsia="en-AU"/>
        </w:rPr>
        <w:t xml:space="preserve">raised by the submission </w:t>
      </w:r>
      <w:r w:rsidR="004B1D69" w:rsidRPr="004B1D69">
        <w:rPr>
          <w:rFonts w:ascii="Times New Roman" w:eastAsia="Times New Roman" w:hAnsi="Times New Roman"/>
          <w:color w:val="000000"/>
          <w:lang w:eastAsia="en-AU"/>
        </w:rPr>
        <w:t xml:space="preserve">were </w:t>
      </w:r>
      <w:r w:rsidR="00926716">
        <w:rPr>
          <w:rFonts w:ascii="Times New Roman" w:eastAsia="Times New Roman" w:hAnsi="Times New Roman"/>
          <w:color w:val="000000"/>
          <w:lang w:eastAsia="en-AU"/>
        </w:rPr>
        <w:t xml:space="preserve">of a kind previously </w:t>
      </w:r>
      <w:r w:rsidR="004B1D69" w:rsidRPr="004B1D69">
        <w:rPr>
          <w:rFonts w:ascii="Times New Roman" w:eastAsia="Times New Roman" w:hAnsi="Times New Roman"/>
          <w:color w:val="000000"/>
          <w:lang w:eastAsia="en-AU"/>
        </w:rPr>
        <w:t xml:space="preserve">considered by the ACCC </w:t>
      </w:r>
      <w:r w:rsidR="005318BA">
        <w:rPr>
          <w:rFonts w:ascii="Times New Roman" w:eastAsia="Times New Roman" w:hAnsi="Times New Roman"/>
          <w:color w:val="000000"/>
          <w:lang w:eastAsia="en-AU"/>
        </w:rPr>
        <w:t xml:space="preserve">in the course </w:t>
      </w:r>
      <w:r w:rsidR="00926716">
        <w:rPr>
          <w:rFonts w:ascii="Times New Roman" w:eastAsia="Times New Roman" w:hAnsi="Times New Roman"/>
          <w:color w:val="000000"/>
          <w:lang w:eastAsia="en-AU"/>
        </w:rPr>
        <w:t>of the two prior consultation processes</w:t>
      </w:r>
      <w:r w:rsidR="004B1D69">
        <w:rPr>
          <w:rFonts w:ascii="Times New Roman" w:eastAsia="Times New Roman" w:hAnsi="Times New Roman"/>
          <w:color w:val="000000"/>
          <w:lang w:eastAsia="en-AU"/>
        </w:rPr>
        <w:t xml:space="preserve">. </w:t>
      </w:r>
      <w:r w:rsidR="006B2FFF">
        <w:rPr>
          <w:rFonts w:ascii="Times New Roman" w:eastAsia="Times New Roman" w:hAnsi="Times New Roman"/>
          <w:color w:val="000000"/>
          <w:lang w:eastAsia="en-AU"/>
        </w:rPr>
        <w:t>The ACCC did not receive any</w:t>
      </w:r>
      <w:r w:rsidRPr="00A11261">
        <w:rPr>
          <w:rFonts w:ascii="Times New Roman" w:eastAsia="Times New Roman" w:hAnsi="Times New Roman"/>
          <w:color w:val="000000"/>
          <w:lang w:eastAsia="en-AU"/>
        </w:rPr>
        <w:t xml:space="preserve"> </w:t>
      </w:r>
      <w:r w:rsidRPr="00853549">
        <w:rPr>
          <w:rFonts w:ascii="Times New Roman" w:eastAsia="Times New Roman" w:hAnsi="Times New Roman"/>
          <w:color w:val="000000"/>
          <w:lang w:eastAsia="en-AU"/>
        </w:rPr>
        <w:t>submissions from Member nations</w:t>
      </w:r>
      <w:r w:rsidR="00CE7724">
        <w:rPr>
          <w:rFonts w:ascii="Times New Roman" w:eastAsia="Times New Roman" w:hAnsi="Times New Roman"/>
          <w:color w:val="000000"/>
          <w:lang w:eastAsia="en-AU"/>
        </w:rPr>
        <w:t xml:space="preserve"> or industry associations</w:t>
      </w:r>
      <w:r w:rsidRPr="00124AF2">
        <w:rPr>
          <w:rFonts w:ascii="Times New Roman" w:eastAsia="Times New Roman" w:hAnsi="Times New Roman"/>
          <w:color w:val="000000"/>
          <w:lang w:eastAsia="en-AU"/>
        </w:rPr>
        <w:t xml:space="preserve">. </w:t>
      </w:r>
      <w:bookmarkEnd w:id="2"/>
    </w:p>
    <w:p w14:paraId="6B932860" w14:textId="4C39F5D3" w:rsidR="00312CE1" w:rsidRPr="00FF4325" w:rsidRDefault="005B3B02" w:rsidP="0042539B">
      <w:pPr>
        <w:pStyle w:val="Bulletpoint"/>
        <w:numPr>
          <w:ilvl w:val="0"/>
          <w:numId w:val="0"/>
        </w:numPr>
        <w:tabs>
          <w:tab w:val="clear" w:pos="340"/>
        </w:tabs>
        <w:rPr>
          <w:rFonts w:ascii="Times New Roman" w:hAnsi="Times New Roman"/>
        </w:rPr>
      </w:pPr>
      <w:r w:rsidRPr="00FF4325">
        <w:rPr>
          <w:rFonts w:ascii="Times New Roman" w:hAnsi="Times New Roman"/>
        </w:rPr>
        <w:t xml:space="preserve">In accordance with </w:t>
      </w:r>
      <w:r w:rsidR="00565837" w:rsidRPr="00FF4325">
        <w:rPr>
          <w:rFonts w:ascii="Times New Roman" w:hAnsi="Times New Roman"/>
        </w:rPr>
        <w:t xml:space="preserve">clause 34 of the </w:t>
      </w:r>
      <w:r w:rsidR="00565837" w:rsidRPr="00FF4325">
        <w:rPr>
          <w:rFonts w:ascii="Times New Roman" w:hAnsi="Times New Roman"/>
          <w:i/>
          <w:iCs/>
        </w:rPr>
        <w:t>Intergovernmental Agreement for the Australian Consumer Law</w:t>
      </w:r>
      <w:r w:rsidR="00565837" w:rsidRPr="00FF4325">
        <w:rPr>
          <w:rFonts w:ascii="Times New Roman" w:hAnsi="Times New Roman"/>
        </w:rPr>
        <w:t xml:space="preserve"> the </w:t>
      </w:r>
      <w:r w:rsidRPr="00FF4325">
        <w:rPr>
          <w:rFonts w:ascii="Times New Roman" w:hAnsi="Times New Roman"/>
        </w:rPr>
        <w:t>M</w:t>
      </w:r>
      <w:r w:rsidR="00565837" w:rsidRPr="00FF4325">
        <w:rPr>
          <w:rFonts w:ascii="Times New Roman" w:hAnsi="Times New Roman"/>
        </w:rPr>
        <w:t xml:space="preserve">inister is required to consult with relevant state and territory Ministers before </w:t>
      </w:r>
      <w:r w:rsidRPr="00FF4325">
        <w:rPr>
          <w:rFonts w:ascii="Times New Roman" w:hAnsi="Times New Roman"/>
        </w:rPr>
        <w:t xml:space="preserve">making a </w:t>
      </w:r>
      <w:r w:rsidR="00565837" w:rsidRPr="00FF4325">
        <w:rPr>
          <w:rFonts w:ascii="Times New Roman" w:hAnsi="Times New Roman"/>
        </w:rPr>
        <w:t xml:space="preserve">mandatory information standard </w:t>
      </w:r>
      <w:r w:rsidR="00F2692E" w:rsidRPr="00FF4325">
        <w:rPr>
          <w:rFonts w:ascii="Times New Roman" w:hAnsi="Times New Roman"/>
        </w:rPr>
        <w:t>(</w:t>
      </w:r>
      <w:r w:rsidR="00F0241D" w:rsidRPr="00FF4325">
        <w:rPr>
          <w:rFonts w:ascii="Times New Roman" w:hAnsi="Times New Roman"/>
        </w:rPr>
        <w:t>such as the instrument)</w:t>
      </w:r>
      <w:r w:rsidR="00565837" w:rsidRPr="00FF4325">
        <w:rPr>
          <w:rFonts w:ascii="Times New Roman" w:hAnsi="Times New Roman"/>
        </w:rPr>
        <w:t>.</w:t>
      </w:r>
      <w:r w:rsidR="00565837" w:rsidRPr="00A11261" w:rsidDel="00B021F0">
        <w:rPr>
          <w:rFonts w:ascii="Times New Roman" w:eastAsia="Times New Roman" w:hAnsi="Times New Roman"/>
          <w:color w:val="000000"/>
          <w:lang w:eastAsia="en-AU"/>
        </w:rPr>
        <w:t xml:space="preserve"> </w:t>
      </w:r>
      <w:bookmarkStart w:id="3" w:name="_Hlk159316356"/>
      <w:r w:rsidR="00564893" w:rsidRPr="00A11261">
        <w:rPr>
          <w:rFonts w:ascii="Times New Roman" w:eastAsia="Times New Roman" w:hAnsi="Times New Roman"/>
          <w:color w:val="000000"/>
          <w:lang w:eastAsia="en-AU"/>
        </w:rPr>
        <w:t>5</w:t>
      </w:r>
      <w:r w:rsidR="00312CE1" w:rsidRPr="00A11261">
        <w:rPr>
          <w:rFonts w:ascii="Times New Roman" w:hAnsi="Times New Roman"/>
        </w:rPr>
        <w:t xml:space="preserve"> jurisdictions (including </w:t>
      </w:r>
      <w:r w:rsidR="00A11261" w:rsidRPr="00A11261">
        <w:rPr>
          <w:rFonts w:ascii="Times New Roman" w:hAnsi="Times New Roman"/>
        </w:rPr>
        <w:t>3</w:t>
      </w:r>
      <w:r w:rsidR="00312CE1" w:rsidRPr="00A11261">
        <w:rPr>
          <w:rFonts w:ascii="Times New Roman" w:hAnsi="Times New Roman"/>
        </w:rPr>
        <w:t xml:space="preserve"> states) voted in favour of the proposed </w:t>
      </w:r>
      <w:r w:rsidR="00AF3C42" w:rsidRPr="00A11261">
        <w:rPr>
          <w:rFonts w:ascii="Times New Roman" w:hAnsi="Times New Roman"/>
        </w:rPr>
        <w:t>instrument</w:t>
      </w:r>
      <w:r w:rsidR="00312CE1" w:rsidRPr="00A11261">
        <w:rPr>
          <w:rFonts w:ascii="Times New Roman" w:hAnsi="Times New Roman"/>
        </w:rPr>
        <w:t xml:space="preserve"> following a period of formal consultation.</w:t>
      </w:r>
      <w:r w:rsidR="00312CE1" w:rsidRPr="00FF4325">
        <w:rPr>
          <w:rFonts w:ascii="Times New Roman" w:hAnsi="Times New Roman"/>
        </w:rPr>
        <w:t xml:space="preserve"> </w:t>
      </w:r>
      <w:r w:rsidR="00A11261">
        <w:rPr>
          <w:rFonts w:ascii="Times New Roman" w:hAnsi="Times New Roman"/>
        </w:rPr>
        <w:t xml:space="preserve">The remaining 3 jurisdictions did not participate in the vote. </w:t>
      </w:r>
      <w:bookmarkEnd w:id="3"/>
    </w:p>
    <w:p w14:paraId="56B3A795" w14:textId="768B97A5" w:rsidR="00245A40" w:rsidRPr="00FF4325" w:rsidRDefault="00245A40" w:rsidP="00245A4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Regulatory impact assessment</w:t>
      </w:r>
    </w:p>
    <w:p w14:paraId="4530E6C1" w14:textId="3F67FB00" w:rsidR="00245A40" w:rsidRPr="00FF4325" w:rsidRDefault="00245A40" w:rsidP="00245A4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hAnsi="Times New Roman" w:cs="Times New Roman"/>
          <w:color w:val="000000"/>
          <w:shd w:val="clear" w:color="auto" w:fill="FFFFFF"/>
        </w:rPr>
        <w:t xml:space="preserve">A Regulation Impact Analysis has been undertaken by the ACCC and assessed by the Office of Impact Analysis </w:t>
      </w:r>
      <w:r w:rsidR="00C46F24">
        <w:rPr>
          <w:rFonts w:ascii="Times New Roman" w:hAnsi="Times New Roman" w:cs="Times New Roman"/>
          <w:color w:val="000000"/>
          <w:shd w:val="clear" w:color="auto" w:fill="FFFFFF"/>
        </w:rPr>
        <w:t xml:space="preserve">as </w:t>
      </w:r>
      <w:r w:rsidR="00C46F24" w:rsidRPr="0088767D">
        <w:rPr>
          <w:rFonts w:ascii="Times New Roman" w:hAnsi="Times New Roman" w:cs="Times New Roman"/>
          <w:color w:val="000000"/>
          <w:shd w:val="clear" w:color="auto" w:fill="FFFFFF"/>
        </w:rPr>
        <w:t>consistent with the six principles for Australian Government policy makers as specified in the Australian Government Guide to Regulatory Impact Analysis</w:t>
      </w:r>
      <w:r w:rsidR="005248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17915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217915" w:rsidRPr="00217915">
        <w:rPr>
          <w:rFonts w:ascii="Times New Roman" w:hAnsi="Times New Roman" w:cs="Times New Roman"/>
          <w:color w:val="000000"/>
          <w:shd w:val="clear" w:color="auto" w:fill="FFFFFF"/>
        </w:rPr>
        <w:t>OBPR21-01088</w:t>
      </w:r>
      <w:r w:rsidRPr="00217915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14:paraId="32080343" w14:textId="3365D651" w:rsidR="00167299" w:rsidRPr="00FF4325" w:rsidRDefault="00D06802" w:rsidP="00A3432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Documents incorporated by reference</w:t>
      </w:r>
    </w:p>
    <w:p w14:paraId="44DA0B0D" w14:textId="45A9637E" w:rsidR="00F50A50" w:rsidRPr="00FF4325" w:rsidRDefault="00D06802" w:rsidP="00A3432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="00AF3C42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does not incorporate any documents by reference.</w:t>
      </w:r>
    </w:p>
    <w:p w14:paraId="55E8529F" w14:textId="77777777" w:rsidR="00405ECF" w:rsidRPr="00FF4325" w:rsidRDefault="00405ECF">
      <w:pPr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br w:type="page"/>
      </w:r>
    </w:p>
    <w:p w14:paraId="6A7AEB2B" w14:textId="0F4B2B27" w:rsidR="002D0FF4" w:rsidRPr="00FF4325" w:rsidRDefault="008222E7" w:rsidP="001F41BF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Attachment A</w:t>
      </w:r>
    </w:p>
    <w:p w14:paraId="55E6F2B1" w14:textId="40CB6074" w:rsidR="00167299" w:rsidRPr="00FF4325" w:rsidRDefault="008222E7" w:rsidP="001F41BF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Notes to the</w:t>
      </w:r>
      <w:r w:rsidR="00167299" w:rsidRPr="00FF4325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 </w:t>
      </w:r>
      <w:r w:rsidR="00167299" w:rsidRPr="00FF432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Consumer Goods (</w:t>
      </w:r>
      <w:r w:rsidR="004F39E8" w:rsidRPr="00FF432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 xml:space="preserve">Toppling </w:t>
      </w:r>
      <w:r w:rsidR="005775CA" w:rsidRPr="00FF432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Furniture</w:t>
      </w:r>
      <w:r w:rsidR="00167299" w:rsidRPr="00FF432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 xml:space="preserve">) </w:t>
      </w:r>
      <w:r w:rsidR="000F2679" w:rsidRPr="00FF432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Information</w:t>
      </w:r>
      <w:r w:rsidR="00167299" w:rsidRPr="00FF432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 xml:space="preserve"> Standard </w:t>
      </w:r>
      <w:r w:rsidR="00124AF2" w:rsidRPr="005648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2024</w:t>
      </w:r>
    </w:p>
    <w:p w14:paraId="17F94952" w14:textId="77777777" w:rsidR="00167299" w:rsidRPr="00FF4325" w:rsidRDefault="00167299" w:rsidP="00A3432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  <w:t>Part 1 - Preliminary</w:t>
      </w:r>
    </w:p>
    <w:p w14:paraId="517E7A2C" w14:textId="77777777" w:rsidR="00167299" w:rsidRPr="00FF4325" w:rsidRDefault="0016729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u w:val="single"/>
          <w:lang w:eastAsia="en-AU"/>
        </w:rPr>
        <w:t>Section 1 – Name</w:t>
      </w:r>
    </w:p>
    <w:p w14:paraId="7C21CA57" w14:textId="5540141C" w:rsidR="00167299" w:rsidRPr="00FF4325" w:rsidRDefault="0016729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iCs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This section provides </w:t>
      </w:r>
      <w:r w:rsidR="004B7EF7" w:rsidRPr="00FF4325">
        <w:rPr>
          <w:rFonts w:ascii="Times New Roman" w:eastAsia="Times New Roman" w:hAnsi="Times New Roman" w:cs="Times New Roman"/>
          <w:color w:val="000000"/>
          <w:lang w:eastAsia="en-AU"/>
        </w:rPr>
        <w:t>for the</w:t>
      </w:r>
      <w:r w:rsidR="00333F4C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ED734F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="004B7EF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to be cited as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675A77" w:rsidRPr="00FF4325">
        <w:rPr>
          <w:rFonts w:ascii="Times New Roman" w:eastAsia="Times New Roman" w:hAnsi="Times New Roman" w:cs="Times New Roman"/>
          <w:color w:val="000000"/>
          <w:lang w:eastAsia="en-AU"/>
        </w:rPr>
        <w:t>the</w:t>
      </w:r>
      <w:r w:rsidR="00675A77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 Consumer Goods (Toppling Furniture) Information Standard </w:t>
      </w:r>
      <w:r w:rsidR="00675A77" w:rsidRPr="0056489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202</w:t>
      </w:r>
      <w:r w:rsidR="00124AF2" w:rsidRPr="0056489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4</w:t>
      </w:r>
      <w:r w:rsidR="00675A77" w:rsidRPr="0056489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.</w:t>
      </w:r>
    </w:p>
    <w:p w14:paraId="375C5C13" w14:textId="77777777" w:rsidR="00167299" w:rsidRPr="00FF4325" w:rsidRDefault="0016729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u w:val="single"/>
          <w:lang w:eastAsia="en-AU"/>
        </w:rPr>
        <w:t>Section 2 – Commencement</w:t>
      </w:r>
    </w:p>
    <w:p w14:paraId="6D45111A" w14:textId="176D83A8" w:rsidR="00167299" w:rsidRPr="00FF4325" w:rsidRDefault="00167299" w:rsidP="001E4B3C">
      <w:pPr>
        <w:shd w:val="clear" w:color="auto" w:fill="FFFFFF"/>
        <w:spacing w:before="120" w:after="120"/>
        <w:rPr>
          <w:rFonts w:ascii="Times New Roman" w:hAnsi="Times New Roman" w:cs="Times New Roman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This section provides </w:t>
      </w:r>
      <w:r w:rsidR="008E6C0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for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instrument </w:t>
      </w:r>
      <w:r w:rsidR="00ED734F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to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commence</w:t>
      </w:r>
      <w:r w:rsidR="00C72CBE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at the start of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675A77" w:rsidRPr="00FF4325">
        <w:rPr>
          <w:rFonts w:ascii="Times New Roman" w:hAnsi="Times New Roman" w:cs="Times New Roman"/>
        </w:rPr>
        <w:t>the day after the end of the period of 12 months begin</w:t>
      </w:r>
      <w:r w:rsidR="005463CA" w:rsidRPr="00FF4325">
        <w:rPr>
          <w:rFonts w:ascii="Times New Roman" w:hAnsi="Times New Roman" w:cs="Times New Roman"/>
        </w:rPr>
        <w:t xml:space="preserve">ning </w:t>
      </w:r>
      <w:r w:rsidR="00675A77" w:rsidRPr="00FF4325">
        <w:rPr>
          <w:rFonts w:ascii="Times New Roman" w:hAnsi="Times New Roman" w:cs="Times New Roman"/>
        </w:rPr>
        <w:t>on the day this instrument is registered</w:t>
      </w:r>
      <w:r w:rsidR="00A9442F" w:rsidRPr="00FF4325">
        <w:rPr>
          <w:rFonts w:ascii="Times New Roman" w:hAnsi="Times New Roman" w:cs="Times New Roman"/>
        </w:rPr>
        <w:t xml:space="preserve"> on the Federal Register of Legislation</w:t>
      </w:r>
      <w:r w:rsidR="00675A77" w:rsidRPr="00FF4325">
        <w:rPr>
          <w:rFonts w:ascii="Times New Roman" w:hAnsi="Times New Roman" w:cs="Times New Roman"/>
        </w:rPr>
        <w:t>.</w:t>
      </w:r>
    </w:p>
    <w:p w14:paraId="1359B6C0" w14:textId="0CBC208E" w:rsidR="00A9442F" w:rsidRPr="00FF4325" w:rsidRDefault="00A9442F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hAnsi="Times New Roman" w:cs="Times New Roman"/>
        </w:rPr>
        <w:t>The Federal Register of Legislation may be accessed free of charge at</w:t>
      </w:r>
      <w:r w:rsidR="00D84B6C" w:rsidRPr="00FF4325">
        <w:rPr>
          <w:rFonts w:ascii="Times New Roman" w:hAnsi="Times New Roman" w:cs="Times New Roman"/>
        </w:rPr>
        <w:t xml:space="preserve"> www.legislation.gov.au.</w:t>
      </w:r>
    </w:p>
    <w:p w14:paraId="0DAE083C" w14:textId="77777777" w:rsidR="00167299" w:rsidRPr="00FF4325" w:rsidRDefault="0016729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u w:val="single"/>
          <w:lang w:eastAsia="en-AU"/>
        </w:rPr>
        <w:t>Section 3 – Authority</w:t>
      </w:r>
    </w:p>
    <w:p w14:paraId="687EADF3" w14:textId="12850B86" w:rsidR="00167299" w:rsidRPr="00FF4325" w:rsidRDefault="0016729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This section provides that the </w:t>
      </w:r>
      <w:r w:rsidR="00111D7C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is made under </w:t>
      </w:r>
      <w:r w:rsidR="005D6D5C" w:rsidRPr="00FF4325">
        <w:rPr>
          <w:rFonts w:ascii="Times New Roman" w:eastAsia="Times New Roman" w:hAnsi="Times New Roman" w:cs="Times New Roman"/>
          <w:color w:val="000000"/>
          <w:lang w:eastAsia="en-AU"/>
        </w:rPr>
        <w:t>sub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section 1</w:t>
      </w:r>
      <w:r w:rsidR="00354C9E" w:rsidRPr="00FF4325">
        <w:rPr>
          <w:rFonts w:ascii="Times New Roman" w:eastAsia="Times New Roman" w:hAnsi="Times New Roman" w:cs="Times New Roman"/>
          <w:color w:val="000000"/>
          <w:lang w:eastAsia="en-AU"/>
        </w:rPr>
        <w:t>3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4</w:t>
      </w:r>
      <w:r w:rsidR="00091C51" w:rsidRPr="00FF4325">
        <w:rPr>
          <w:rFonts w:ascii="Times New Roman" w:eastAsia="Times New Roman" w:hAnsi="Times New Roman" w:cs="Times New Roman"/>
          <w:color w:val="000000"/>
          <w:lang w:eastAsia="en-AU"/>
        </w:rPr>
        <w:t>(1)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of the ACL.</w:t>
      </w:r>
    </w:p>
    <w:p w14:paraId="5EE44068" w14:textId="77777777" w:rsidR="00167299" w:rsidRPr="00FF4325" w:rsidRDefault="0016729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u w:val="single"/>
          <w:lang w:eastAsia="en-AU"/>
        </w:rPr>
        <w:t>Section 4 – Definitions</w:t>
      </w:r>
    </w:p>
    <w:p w14:paraId="7587BCA8" w14:textId="57D2223F" w:rsidR="00167299" w:rsidRPr="00FF4325" w:rsidRDefault="0016729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This section </w:t>
      </w:r>
      <w:r w:rsidR="005D6D5C" w:rsidRPr="00FF4325">
        <w:rPr>
          <w:rFonts w:ascii="Times New Roman" w:eastAsia="Times New Roman" w:hAnsi="Times New Roman" w:cs="Times New Roman"/>
          <w:color w:val="000000"/>
          <w:lang w:eastAsia="en-AU"/>
        </w:rPr>
        <w:t>defines</w:t>
      </w:r>
      <w:r w:rsidR="004B210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 number of key</w:t>
      </w:r>
      <w:r w:rsidR="005D6D5C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terms used </w:t>
      </w:r>
      <w:r w:rsidR="001973D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throughout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="00B55DAF" w:rsidRPr="00FF4325">
        <w:rPr>
          <w:rFonts w:ascii="Times New Roman" w:eastAsia="Times New Roman" w:hAnsi="Times New Roman" w:cs="Times New Roman"/>
          <w:color w:val="000000"/>
          <w:lang w:eastAsia="en-AU"/>
        </w:rPr>
        <w:t>instrument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. </w:t>
      </w:r>
      <w:r w:rsidR="000C014A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</w:p>
    <w:p w14:paraId="12BEDCAD" w14:textId="2DB7F581" w:rsidR="00936C76" w:rsidRPr="00FF4325" w:rsidRDefault="00936C76" w:rsidP="001F41BF">
      <w:pPr>
        <w:pStyle w:val="Definition0"/>
        <w:ind w:left="0"/>
      </w:pPr>
      <w:r w:rsidRPr="00FF4325">
        <w:t>A number of other expressions used in the instrument are defined in the CCA</w:t>
      </w:r>
      <w:r w:rsidR="00AD0D28" w:rsidRPr="00FF4325">
        <w:t>.</w:t>
      </w:r>
    </w:p>
    <w:p w14:paraId="2A178DFE" w14:textId="56FADC14" w:rsidR="000C014A" w:rsidRDefault="00D26037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="00F25FC9" w:rsidRPr="00FF4325">
        <w:rPr>
          <w:rFonts w:ascii="Times New Roman" w:eastAsia="Times New Roman" w:hAnsi="Times New Roman" w:cs="Times New Roman"/>
          <w:color w:val="000000"/>
          <w:lang w:eastAsia="en-AU"/>
        </w:rPr>
        <w:t>definitions</w:t>
      </w:r>
      <w:r w:rsidR="009C1DAB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given to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category 1, </w:t>
      </w:r>
      <w:r w:rsidR="009C1DAB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category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2 and</w:t>
      </w:r>
      <w:r w:rsidR="009C1DAB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category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3 </w:t>
      </w:r>
      <w:r w:rsidR="009C1DAB" w:rsidRPr="00FF4325">
        <w:rPr>
          <w:rFonts w:ascii="Times New Roman" w:eastAsia="Times New Roman" w:hAnsi="Times New Roman" w:cs="Times New Roman"/>
          <w:color w:val="000000"/>
          <w:lang w:eastAsia="en-AU"/>
        </w:rPr>
        <w:t>furn</w:t>
      </w:r>
      <w:r w:rsidR="00A62E1F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iture </w:t>
      </w:r>
      <w:r w:rsidR="00784666" w:rsidRPr="00FF4325">
        <w:rPr>
          <w:rFonts w:ascii="Times New Roman" w:eastAsia="Times New Roman" w:hAnsi="Times New Roman" w:cs="Times New Roman"/>
          <w:color w:val="000000"/>
          <w:lang w:eastAsia="en-AU"/>
        </w:rPr>
        <w:t>reference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2E0DD9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common names </w:t>
      </w:r>
      <w:r w:rsidR="00AD05CA" w:rsidRPr="00FF4325">
        <w:rPr>
          <w:rFonts w:ascii="Times New Roman" w:eastAsia="Times New Roman" w:hAnsi="Times New Roman" w:cs="Times New Roman"/>
          <w:color w:val="000000"/>
          <w:lang w:eastAsia="en-AU"/>
        </w:rPr>
        <w:t>of</w:t>
      </w:r>
      <w:r w:rsidR="002E0DD9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particular items of furniture</w:t>
      </w:r>
      <w:r w:rsidR="00784666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. </w:t>
      </w:r>
      <w:r w:rsidR="003E6F1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Where an item of furniture </w:t>
      </w:r>
      <w:r w:rsidR="00B90EB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may be commonly known </w:t>
      </w:r>
      <w:r w:rsidR="003C02E6" w:rsidRPr="00FF4325">
        <w:rPr>
          <w:rFonts w:ascii="Times New Roman" w:eastAsia="Times New Roman" w:hAnsi="Times New Roman" w:cs="Times New Roman"/>
          <w:color w:val="000000"/>
          <w:lang w:eastAsia="en-AU"/>
        </w:rPr>
        <w:t>by a number of name</w:t>
      </w:r>
      <w:r w:rsidR="00267DD2" w:rsidRPr="00FF4325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="003C02E6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, for example, a sideboard </w:t>
      </w:r>
      <w:r w:rsidR="003A4753" w:rsidRPr="00FF4325">
        <w:rPr>
          <w:rFonts w:ascii="Times New Roman" w:eastAsia="Times New Roman" w:hAnsi="Times New Roman" w:cs="Times New Roman"/>
          <w:color w:val="000000"/>
          <w:lang w:eastAsia="en-AU"/>
        </w:rPr>
        <w:t>m</w:t>
      </w:r>
      <w:r w:rsidR="00F44951" w:rsidRPr="00FF4325">
        <w:rPr>
          <w:rFonts w:ascii="Times New Roman" w:eastAsia="Times New Roman" w:hAnsi="Times New Roman" w:cs="Times New Roman"/>
          <w:color w:val="000000"/>
          <w:lang w:eastAsia="en-AU"/>
        </w:rPr>
        <w:t>ay</w:t>
      </w:r>
      <w:r w:rsidR="003A475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also be </w:t>
      </w:r>
      <w:r w:rsidR="00F44951" w:rsidRPr="00FF4325">
        <w:rPr>
          <w:rFonts w:ascii="Times New Roman" w:eastAsia="Times New Roman" w:hAnsi="Times New Roman" w:cs="Times New Roman"/>
          <w:color w:val="000000"/>
          <w:lang w:eastAsia="en-AU"/>
        </w:rPr>
        <w:t>referred to</w:t>
      </w:r>
      <w:r w:rsidR="003A475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as a </w:t>
      </w:r>
      <w:r w:rsidR="00217915" w:rsidRPr="00FF4325">
        <w:rPr>
          <w:rFonts w:ascii="Times New Roman" w:eastAsia="Times New Roman" w:hAnsi="Times New Roman" w:cs="Times New Roman"/>
          <w:color w:val="000000"/>
          <w:lang w:eastAsia="en-AU"/>
        </w:rPr>
        <w:t>credenza, the</w:t>
      </w:r>
      <w:r w:rsidR="0098333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definition of </w:t>
      </w:r>
      <w:r w:rsidR="00FF7868" w:rsidRPr="00FF4325">
        <w:rPr>
          <w:rFonts w:ascii="Times New Roman" w:eastAsia="Times New Roman" w:hAnsi="Times New Roman" w:cs="Times New Roman"/>
          <w:color w:val="000000"/>
          <w:lang w:eastAsia="en-AU"/>
        </w:rPr>
        <w:t>the relevant category of furniture</w:t>
      </w:r>
      <w:r w:rsidR="00FD464C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should be interpreted to include</w:t>
      </w:r>
      <w:r w:rsidR="00C13A86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that item of furniture </w:t>
      </w:r>
      <w:r w:rsidR="00422395" w:rsidRPr="00FF4325">
        <w:rPr>
          <w:rFonts w:ascii="Times New Roman" w:eastAsia="Times New Roman" w:hAnsi="Times New Roman" w:cs="Times New Roman"/>
          <w:color w:val="000000"/>
          <w:lang w:eastAsia="en-AU"/>
        </w:rPr>
        <w:t>regardless that</w:t>
      </w:r>
      <w:r w:rsidR="00C13A86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it may be referred to by a</w:t>
      </w:r>
      <w:r w:rsidR="00124875" w:rsidRPr="00FF4325">
        <w:rPr>
          <w:rFonts w:ascii="Times New Roman" w:eastAsia="Times New Roman" w:hAnsi="Times New Roman" w:cs="Times New Roman"/>
          <w:color w:val="000000"/>
          <w:lang w:eastAsia="en-AU"/>
        </w:rPr>
        <w:t>nother common name</w:t>
      </w:r>
      <w:r w:rsidR="0042239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not referenced in the definition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. </w:t>
      </w:r>
    </w:p>
    <w:p w14:paraId="794B8149" w14:textId="587F29E0" w:rsidR="00E55CCC" w:rsidRPr="00FF4325" w:rsidRDefault="00E55CCC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Category 1 and category 3 furniture are defined as </w:t>
      </w:r>
      <w:r w:rsidR="0015704F">
        <w:rPr>
          <w:rFonts w:ascii="Times New Roman" w:eastAsia="Times New Roman" w:hAnsi="Times New Roman" w:cs="Times New Roman"/>
          <w:color w:val="000000"/>
          <w:lang w:eastAsia="en-AU"/>
        </w:rPr>
        <w:t xml:space="preserve">certain </w:t>
      </w:r>
      <w:r w:rsidR="00927A62">
        <w:rPr>
          <w:rFonts w:ascii="Times New Roman" w:eastAsia="Times New Roman" w:hAnsi="Times New Roman" w:cs="Times New Roman"/>
          <w:color w:val="000000"/>
          <w:lang w:eastAsia="en-AU"/>
        </w:rPr>
        <w:t xml:space="preserve">furniture </w:t>
      </w:r>
      <w:r>
        <w:rPr>
          <w:rFonts w:ascii="Times New Roman" w:eastAsia="Times New Roman" w:hAnsi="Times New Roman" w:cs="Times New Roman"/>
          <w:color w:val="000000"/>
          <w:lang w:eastAsia="en-AU"/>
        </w:rPr>
        <w:t>686mm</w:t>
      </w:r>
      <w:r w:rsidR="00A61255">
        <w:rPr>
          <w:rFonts w:ascii="Times New Roman" w:eastAsia="Times New Roman" w:hAnsi="Times New Roman" w:cs="Times New Roman"/>
          <w:color w:val="000000"/>
          <w:lang w:eastAsia="en-AU"/>
        </w:rPr>
        <w:t xml:space="preserve"> or greater in height</w:t>
      </w:r>
      <w:r w:rsidR="0015704F">
        <w:rPr>
          <w:rFonts w:ascii="Times New Roman" w:eastAsia="Times New Roman" w:hAnsi="Times New Roman" w:cs="Times New Roman"/>
          <w:color w:val="000000"/>
          <w:lang w:eastAsia="en-AU"/>
        </w:rPr>
        <w:t xml:space="preserve">. That </w:t>
      </w:r>
      <w:r w:rsidR="0051711F">
        <w:rPr>
          <w:rFonts w:ascii="Times New Roman" w:eastAsia="Times New Roman" w:hAnsi="Times New Roman" w:cs="Times New Roman"/>
          <w:color w:val="000000"/>
          <w:lang w:eastAsia="en-AU"/>
        </w:rPr>
        <w:t xml:space="preserve">height aligns 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with the </w:t>
      </w:r>
      <w:r w:rsidR="00130DDE">
        <w:rPr>
          <w:rFonts w:ascii="Times New Roman" w:eastAsia="Times New Roman" w:hAnsi="Times New Roman" w:cs="Times New Roman"/>
          <w:color w:val="000000"/>
          <w:lang w:eastAsia="en-AU"/>
        </w:rPr>
        <w:t xml:space="preserve">height specified in </w:t>
      </w:r>
      <w:r w:rsidRPr="00E55CCC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ASTM F</w:t>
      </w:r>
      <w:r w:rsidR="00130DDE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2</w:t>
      </w:r>
      <w:r w:rsidRPr="00E55CCC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0</w:t>
      </w:r>
      <w:r w:rsidR="00130DDE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5</w:t>
      </w:r>
      <w:r w:rsidRPr="00E55CCC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7 – 23 Standard Safety Specification for Clothing Storage Units</w:t>
      </w:r>
      <w:r w:rsidR="00130DDE">
        <w:rPr>
          <w:rFonts w:ascii="Times New Roman" w:eastAsia="Times New Roman" w:hAnsi="Times New Roman" w:cs="Times New Roman"/>
          <w:color w:val="000000"/>
          <w:lang w:eastAsia="en-AU"/>
        </w:rPr>
        <w:t xml:space="preserve"> (ASTM F</w:t>
      </w:r>
      <w:r w:rsidR="0017544E"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="00130DDE">
        <w:rPr>
          <w:rFonts w:ascii="Times New Roman" w:eastAsia="Times New Roman" w:hAnsi="Times New Roman" w:cs="Times New Roman"/>
          <w:color w:val="000000"/>
          <w:lang w:eastAsia="en-AU"/>
        </w:rPr>
        <w:t>0</w:t>
      </w:r>
      <w:r w:rsidR="0017544E">
        <w:rPr>
          <w:rFonts w:ascii="Times New Roman" w:eastAsia="Times New Roman" w:hAnsi="Times New Roman" w:cs="Times New Roman"/>
          <w:color w:val="000000"/>
          <w:lang w:eastAsia="en-AU"/>
        </w:rPr>
        <w:t>5</w:t>
      </w:r>
      <w:r w:rsidR="00130DDE">
        <w:rPr>
          <w:rFonts w:ascii="Times New Roman" w:eastAsia="Times New Roman" w:hAnsi="Times New Roman" w:cs="Times New Roman"/>
          <w:color w:val="000000"/>
          <w:lang w:eastAsia="en-AU"/>
        </w:rPr>
        <w:t>7). ASTM</w:t>
      </w:r>
      <w:r w:rsidR="0017544E">
        <w:rPr>
          <w:rFonts w:ascii="Times New Roman" w:eastAsia="Times New Roman" w:hAnsi="Times New Roman" w:cs="Times New Roman"/>
          <w:color w:val="000000"/>
          <w:lang w:eastAsia="en-AU"/>
        </w:rPr>
        <w:t xml:space="preserve"> F2</w:t>
      </w:r>
      <w:r w:rsidR="00DA454B">
        <w:rPr>
          <w:rFonts w:ascii="Times New Roman" w:eastAsia="Times New Roman" w:hAnsi="Times New Roman" w:cs="Times New Roman"/>
          <w:color w:val="000000"/>
          <w:lang w:eastAsia="en-AU"/>
        </w:rPr>
        <w:t>0</w:t>
      </w:r>
      <w:r w:rsidR="0017544E">
        <w:rPr>
          <w:rFonts w:ascii="Times New Roman" w:eastAsia="Times New Roman" w:hAnsi="Times New Roman" w:cs="Times New Roman"/>
          <w:color w:val="000000"/>
          <w:lang w:eastAsia="en-AU"/>
        </w:rPr>
        <w:t xml:space="preserve">57 is a standard safety specification developed by </w:t>
      </w:r>
      <w:r w:rsidR="00BE4B71">
        <w:rPr>
          <w:rFonts w:ascii="Times New Roman" w:eastAsia="Times New Roman" w:hAnsi="Times New Roman" w:cs="Times New Roman"/>
          <w:color w:val="000000"/>
          <w:lang w:eastAsia="en-AU"/>
        </w:rPr>
        <w:t xml:space="preserve">American based standards body ASTM International and is intended to reduce injuries and death from hazards associated with the toppling over of furniture </w:t>
      </w:r>
      <w:r w:rsidR="00953483">
        <w:rPr>
          <w:rFonts w:ascii="Times New Roman" w:eastAsia="Times New Roman" w:hAnsi="Times New Roman" w:cs="Times New Roman"/>
          <w:color w:val="000000"/>
          <w:lang w:eastAsia="en-AU"/>
        </w:rPr>
        <w:t>such as</w:t>
      </w:r>
      <w:r w:rsidR="00BE4B71">
        <w:rPr>
          <w:rFonts w:ascii="Times New Roman" w:eastAsia="Times New Roman" w:hAnsi="Times New Roman" w:cs="Times New Roman"/>
          <w:color w:val="000000"/>
          <w:lang w:eastAsia="en-AU"/>
        </w:rPr>
        <w:t xml:space="preserve"> clothing storage units, chests of drawers and dressers.</w:t>
      </w:r>
      <w:r w:rsidR="00DA454B">
        <w:rPr>
          <w:rFonts w:ascii="Times New Roman" w:eastAsia="Times New Roman" w:hAnsi="Times New Roman" w:cs="Times New Roman"/>
          <w:color w:val="000000"/>
          <w:lang w:eastAsia="en-AU"/>
        </w:rPr>
        <w:t xml:space="preserve"> ASTM F02057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 applies to furniture 27 inches</w:t>
      </w:r>
      <w:r w:rsidR="00DA454B">
        <w:rPr>
          <w:rFonts w:ascii="Times New Roman" w:eastAsia="Times New Roman" w:hAnsi="Times New Roman" w:cs="Times New Roman"/>
          <w:color w:val="000000"/>
          <w:lang w:eastAsia="en-AU"/>
        </w:rPr>
        <w:t xml:space="preserve"> or greater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 in height</w:t>
      </w:r>
      <w:r w:rsidR="00DA454B">
        <w:rPr>
          <w:rFonts w:ascii="Times New Roman" w:eastAsia="Times New Roman" w:hAnsi="Times New Roman" w:cs="Times New Roman"/>
          <w:color w:val="000000"/>
          <w:lang w:eastAsia="en-AU"/>
        </w:rPr>
        <w:t>, which equates to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 686mm. </w:t>
      </w:r>
    </w:p>
    <w:p w14:paraId="4FDD0DAC" w14:textId="3206706C" w:rsidR="004B4131" w:rsidRPr="00FF4325" w:rsidRDefault="006445B7" w:rsidP="0042539B">
      <w:pPr>
        <w:pStyle w:val="Definition0"/>
        <w:ind w:left="0"/>
      </w:pPr>
      <w:r>
        <w:t>An</w:t>
      </w:r>
      <w:r w:rsidR="00632FA5" w:rsidRPr="00FF4325">
        <w:t xml:space="preserve"> </w:t>
      </w:r>
      <w:r w:rsidR="004C2DCA" w:rsidRPr="00FF4325">
        <w:t xml:space="preserve">‘electronic </w:t>
      </w:r>
      <w:r w:rsidR="004E36A2" w:rsidRPr="00FF4325">
        <w:t xml:space="preserve">platform’ </w:t>
      </w:r>
      <w:r w:rsidR="00FB223C">
        <w:t>is defined to mean a service that enables a business to supply, or offer to supply</w:t>
      </w:r>
      <w:r w:rsidR="0045526D">
        <w:t>, goods or services over the internet</w:t>
      </w:r>
      <w:r w:rsidR="00AF31A1">
        <w:t xml:space="preserve"> </w:t>
      </w:r>
      <w:r w:rsidR="00144D3E">
        <w:t xml:space="preserve">whether </w:t>
      </w:r>
      <w:r w:rsidR="00AF31A1">
        <w:t>by a website, an online marketplace</w:t>
      </w:r>
      <w:r w:rsidR="00EE4101">
        <w:t xml:space="preserve"> or other means. </w:t>
      </w:r>
      <w:r w:rsidR="00E936BE">
        <w:t>An electronic platform</w:t>
      </w:r>
      <w:r w:rsidR="00991FC2">
        <w:t xml:space="preserve"> will include a</w:t>
      </w:r>
      <w:r w:rsidR="00C24AF1">
        <w:t xml:space="preserve"> website operated by a particular furniture retailer </w:t>
      </w:r>
      <w:r w:rsidR="00D1504A">
        <w:t xml:space="preserve">to supply, or offer to supply, that retailer’s furniture. </w:t>
      </w:r>
      <w:r w:rsidR="009A3203">
        <w:t xml:space="preserve">An electronic platform will also include websites or online </w:t>
      </w:r>
      <w:proofErr w:type="gramStart"/>
      <w:r w:rsidR="009A3203">
        <w:t>market places</w:t>
      </w:r>
      <w:proofErr w:type="gramEnd"/>
      <w:r w:rsidR="009A3203">
        <w:t xml:space="preserve"> operated</w:t>
      </w:r>
      <w:r w:rsidR="004A6B28">
        <w:t xml:space="preserve"> by </w:t>
      </w:r>
      <w:r w:rsidR="00452791" w:rsidRPr="00FF4325">
        <w:t>third part</w:t>
      </w:r>
      <w:r w:rsidR="004A6B28">
        <w:t>ies</w:t>
      </w:r>
      <w:r w:rsidR="00452791" w:rsidRPr="00FF4325">
        <w:t xml:space="preserve"> such as Amazon or eBay</w:t>
      </w:r>
      <w:r w:rsidR="004A6B28">
        <w:t>, by which</w:t>
      </w:r>
      <w:r w:rsidR="00594858">
        <w:t xml:space="preserve"> a </w:t>
      </w:r>
      <w:r w:rsidR="005F727B">
        <w:t>number</w:t>
      </w:r>
      <w:r w:rsidR="00594858">
        <w:t xml:space="preserve"> of furniture retailers may supply, or offer to suppl</w:t>
      </w:r>
      <w:r w:rsidR="006A42AC">
        <w:t>y</w:t>
      </w:r>
      <w:r w:rsidR="005F727B">
        <w:t>,</w:t>
      </w:r>
      <w:r w:rsidR="006A42AC">
        <w:t xml:space="preserve"> their furniture</w:t>
      </w:r>
      <w:r w:rsidR="00452791" w:rsidRPr="00FF4325">
        <w:t>.</w:t>
      </w:r>
      <w:r w:rsidR="00E177D5">
        <w:t xml:space="preserve"> A website or other online service that does no more tha</w:t>
      </w:r>
      <w:r w:rsidR="00FD3786">
        <w:t>n carry</w:t>
      </w:r>
      <w:r w:rsidR="003D772E">
        <w:t xml:space="preserve"> or display</w:t>
      </w:r>
      <w:r w:rsidR="00FD3786">
        <w:t xml:space="preserve"> advertisements for </w:t>
      </w:r>
      <w:r w:rsidR="003E139F">
        <w:t>goods or services</w:t>
      </w:r>
      <w:r w:rsidR="00F36851">
        <w:t xml:space="preserve"> (but does not otherwise e</w:t>
      </w:r>
      <w:r w:rsidR="00CA0984">
        <w:t>nabl</w:t>
      </w:r>
      <w:r w:rsidR="00F36851">
        <w:t>e</w:t>
      </w:r>
      <w:r w:rsidR="00CA0984">
        <w:t xml:space="preserve"> </w:t>
      </w:r>
      <w:r w:rsidR="000E5467">
        <w:t>a business to supply, or offer to supply</w:t>
      </w:r>
      <w:r w:rsidR="0043552C">
        <w:t>, those goods or services</w:t>
      </w:r>
      <w:r w:rsidR="00C17652">
        <w:t>) will not be an electronic platform for the purposes of the instrument.</w:t>
      </w:r>
      <w:r w:rsidR="0043552C">
        <w:t xml:space="preserve"> </w:t>
      </w:r>
    </w:p>
    <w:p w14:paraId="735D61EE" w14:textId="57AC35C9" w:rsidR="00167299" w:rsidRPr="00FF4325" w:rsidRDefault="0016729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u w:val="single"/>
          <w:lang w:eastAsia="en-AU"/>
        </w:rPr>
        <w:t xml:space="preserve">Section 5 – Meaning of </w:t>
      </w:r>
      <w:r w:rsidR="00567C09" w:rsidRPr="00FF432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en-AU"/>
        </w:rPr>
        <w:t>toppling furniture</w:t>
      </w:r>
    </w:p>
    <w:p w14:paraId="27B2ADCF" w14:textId="05DC7827" w:rsidR="00854F45" w:rsidRPr="00FF4325" w:rsidRDefault="007564E7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This section defines ‘top</w:t>
      </w:r>
      <w:r w:rsidR="00915F41" w:rsidRPr="00FF4325">
        <w:rPr>
          <w:rFonts w:ascii="Times New Roman" w:eastAsia="Times New Roman" w:hAnsi="Times New Roman" w:cs="Times New Roman"/>
          <w:color w:val="000000"/>
          <w:lang w:eastAsia="en-AU"/>
        </w:rPr>
        <w:t>pling furniture’</w:t>
      </w:r>
      <w:r w:rsidR="00091C51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to mean</w:t>
      </w:r>
      <w:r w:rsidR="000C014A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an item of category 1, </w:t>
      </w:r>
      <w:r w:rsidR="00915F41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category </w:t>
      </w:r>
      <w:r w:rsidR="000C014A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2, or </w:t>
      </w:r>
      <w:r w:rsidR="00915F41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category </w:t>
      </w:r>
      <w:r w:rsidR="000C014A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3 furniture. </w:t>
      </w:r>
    </w:p>
    <w:p w14:paraId="5267DEE4" w14:textId="0189D181" w:rsidR="00855FE1" w:rsidRPr="00FF4325" w:rsidRDefault="00650223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To ensure that </w:t>
      </w:r>
      <w:r w:rsidR="00826E95" w:rsidRPr="00FF4325">
        <w:rPr>
          <w:rFonts w:ascii="Times New Roman" w:eastAsia="Times New Roman" w:hAnsi="Times New Roman" w:cs="Times New Roman"/>
          <w:color w:val="000000"/>
          <w:lang w:eastAsia="en-AU"/>
        </w:rPr>
        <w:t>‘built</w:t>
      </w:r>
      <w:r w:rsidR="001827DE" w:rsidRPr="00FF4325">
        <w:rPr>
          <w:rFonts w:ascii="Times New Roman" w:eastAsia="Times New Roman" w:hAnsi="Times New Roman" w:cs="Times New Roman"/>
          <w:color w:val="000000"/>
          <w:lang w:eastAsia="en-AU"/>
        </w:rPr>
        <w:t>-</w:t>
      </w:r>
      <w:r w:rsidR="00826E9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in’ items of furniture are not captured by </w:t>
      </w:r>
      <w:r w:rsidR="004D2BFE" w:rsidRPr="00FF4325">
        <w:rPr>
          <w:rFonts w:ascii="Times New Roman" w:eastAsia="Times New Roman" w:hAnsi="Times New Roman" w:cs="Times New Roman"/>
          <w:color w:val="000000"/>
          <w:lang w:eastAsia="en-AU"/>
        </w:rPr>
        <w:t>the definition of toppling furniture</w:t>
      </w:r>
      <w:r w:rsidR="00826E9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, </w:t>
      </w:r>
      <w:r w:rsidR="004D2BFE" w:rsidRPr="00FF4325">
        <w:rPr>
          <w:rFonts w:ascii="Times New Roman" w:eastAsia="Times New Roman" w:hAnsi="Times New Roman" w:cs="Times New Roman"/>
          <w:color w:val="000000"/>
          <w:lang w:eastAsia="en-AU"/>
        </w:rPr>
        <w:t>furniture</w:t>
      </w:r>
      <w:r w:rsidR="00826E9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items that are designed to be affixed to a wall or </w:t>
      </w:r>
      <w:r w:rsidR="003F07EE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other </w:t>
      </w:r>
      <w:r w:rsidR="0042539B" w:rsidRPr="00FF4325">
        <w:rPr>
          <w:rFonts w:ascii="Times New Roman" w:eastAsia="Times New Roman" w:hAnsi="Times New Roman" w:cs="Times New Roman"/>
          <w:color w:val="000000"/>
          <w:lang w:eastAsia="en-AU"/>
        </w:rPr>
        <w:t>structure and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3F07EE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which 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>cannot be properly used unless so affixed</w:t>
      </w:r>
      <w:r w:rsidR="000E292F" w:rsidRPr="00FF4325">
        <w:rPr>
          <w:rFonts w:ascii="Times New Roman" w:eastAsia="Times New Roman" w:hAnsi="Times New Roman" w:cs="Times New Roman"/>
          <w:color w:val="000000"/>
          <w:lang w:eastAsia="en-AU"/>
        </w:rPr>
        <w:t>, are excluded from the definition of toppling furniture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. </w:t>
      </w:r>
      <w:r w:rsidR="00E21A19">
        <w:rPr>
          <w:rFonts w:ascii="Times New Roman" w:eastAsia="Times New Roman" w:hAnsi="Times New Roman" w:cs="Times New Roman"/>
          <w:color w:val="000000"/>
          <w:lang w:eastAsia="en-AU"/>
        </w:rPr>
        <w:t xml:space="preserve">For example, in-built wardrobes and kitchen cabinets which are </w:t>
      </w:r>
      <w:r w:rsidR="005E4CF4">
        <w:rPr>
          <w:rFonts w:ascii="Times New Roman" w:eastAsia="Times New Roman" w:hAnsi="Times New Roman" w:cs="Times New Roman"/>
          <w:color w:val="000000"/>
          <w:lang w:eastAsia="en-AU"/>
        </w:rPr>
        <w:t>affixed</w:t>
      </w:r>
      <w:r w:rsidR="00E21A19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0E5748">
        <w:rPr>
          <w:rFonts w:ascii="Times New Roman" w:eastAsia="Times New Roman" w:hAnsi="Times New Roman" w:cs="Times New Roman"/>
          <w:color w:val="000000"/>
          <w:lang w:eastAsia="en-AU"/>
        </w:rPr>
        <w:t xml:space="preserve">to </w:t>
      </w:r>
      <w:r w:rsidR="001362AF">
        <w:rPr>
          <w:rFonts w:ascii="Times New Roman" w:eastAsia="Times New Roman" w:hAnsi="Times New Roman" w:cs="Times New Roman"/>
          <w:color w:val="000000"/>
          <w:lang w:eastAsia="en-AU"/>
        </w:rPr>
        <w:t>a wall or other structure</w:t>
      </w:r>
      <w:r w:rsidR="007761A0">
        <w:rPr>
          <w:rFonts w:ascii="Times New Roman" w:eastAsia="Times New Roman" w:hAnsi="Times New Roman" w:cs="Times New Roman"/>
          <w:color w:val="000000"/>
          <w:lang w:eastAsia="en-AU"/>
        </w:rPr>
        <w:t>,</w:t>
      </w:r>
      <w:r w:rsidR="00E70F38">
        <w:rPr>
          <w:rFonts w:ascii="Times New Roman" w:eastAsia="Times New Roman" w:hAnsi="Times New Roman" w:cs="Times New Roman"/>
          <w:color w:val="000000"/>
          <w:lang w:eastAsia="en-AU"/>
        </w:rPr>
        <w:t xml:space="preserve"> and which </w:t>
      </w:r>
      <w:r w:rsidR="00483A07">
        <w:rPr>
          <w:rFonts w:ascii="Times New Roman" w:eastAsia="Times New Roman" w:hAnsi="Times New Roman" w:cs="Times New Roman"/>
          <w:color w:val="000000"/>
          <w:lang w:eastAsia="en-AU"/>
        </w:rPr>
        <w:t xml:space="preserve">cannot be </w:t>
      </w:r>
      <w:r w:rsidR="00912BCF">
        <w:rPr>
          <w:rFonts w:ascii="Times New Roman" w:eastAsia="Times New Roman" w:hAnsi="Times New Roman" w:cs="Times New Roman"/>
          <w:color w:val="000000"/>
          <w:lang w:eastAsia="en-AU"/>
        </w:rPr>
        <w:t xml:space="preserve">used properly </w:t>
      </w:r>
      <w:r w:rsidR="00483A07">
        <w:rPr>
          <w:rFonts w:ascii="Times New Roman" w:eastAsia="Times New Roman" w:hAnsi="Times New Roman" w:cs="Times New Roman"/>
          <w:color w:val="000000"/>
          <w:lang w:eastAsia="en-AU"/>
        </w:rPr>
        <w:t>unless so affixed</w:t>
      </w:r>
      <w:r w:rsidR="007761A0">
        <w:rPr>
          <w:rFonts w:ascii="Times New Roman" w:eastAsia="Times New Roman" w:hAnsi="Times New Roman" w:cs="Times New Roman"/>
          <w:color w:val="000000"/>
          <w:lang w:eastAsia="en-AU"/>
        </w:rPr>
        <w:t>,</w:t>
      </w:r>
      <w:r w:rsidR="00E21A19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CC619B">
        <w:rPr>
          <w:rFonts w:ascii="Times New Roman" w:eastAsia="Times New Roman" w:hAnsi="Times New Roman" w:cs="Times New Roman"/>
          <w:color w:val="000000"/>
          <w:lang w:eastAsia="en-AU"/>
        </w:rPr>
        <w:t>do not fall within the definition of toppling furniture for the purposes of the instrument</w:t>
      </w:r>
      <w:r w:rsidR="00E21A19">
        <w:rPr>
          <w:rFonts w:ascii="Times New Roman" w:eastAsia="Times New Roman" w:hAnsi="Times New Roman" w:cs="Times New Roman"/>
          <w:color w:val="000000"/>
          <w:lang w:eastAsia="en-AU"/>
        </w:rPr>
        <w:t xml:space="preserve">. </w:t>
      </w:r>
    </w:p>
    <w:p w14:paraId="6B7230F6" w14:textId="75BCAABD" w:rsidR="00BB4898" w:rsidRPr="00FF4325" w:rsidRDefault="0042726C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However, where an 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>item</w:t>
      </w: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of furniture</w:t>
      </w:r>
      <w:r w:rsidR="00551BC6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is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designed </w:t>
      </w:r>
      <w:r w:rsidR="00551BC6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such </w:t>
      </w:r>
      <w:proofErr w:type="gramStart"/>
      <w:r w:rsidR="00551BC6" w:rsidRPr="00FF4325">
        <w:rPr>
          <w:rFonts w:ascii="Times New Roman" w:eastAsia="Times New Roman" w:hAnsi="Times New Roman" w:cs="Times New Roman"/>
          <w:color w:val="000000"/>
          <w:lang w:eastAsia="en-AU"/>
        </w:rPr>
        <w:t>that</w:t>
      </w:r>
      <w:proofErr w:type="gramEnd"/>
      <w:r w:rsidR="00551BC6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it can be affixed to a wall or other structure (</w:t>
      </w:r>
      <w:r w:rsidR="007C2F3F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with, for example, 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an anchoring </w:t>
      </w:r>
      <w:r w:rsidR="00854F45" w:rsidRPr="00FF4325">
        <w:rPr>
          <w:rFonts w:ascii="Times New Roman" w:eastAsia="Times New Roman" w:hAnsi="Times New Roman" w:cs="Times New Roman"/>
          <w:color w:val="000000"/>
          <w:lang w:eastAsia="en-AU"/>
        </w:rPr>
        <w:t>device</w:t>
      </w:r>
      <w:r w:rsidR="007C2F3F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) 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>but</w:t>
      </w:r>
      <w:r w:rsidR="007C2F3F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that item of furniture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can be used </w:t>
      </w:r>
      <w:r w:rsidR="0034660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properly </w:t>
      </w:r>
      <w:r w:rsidR="00221C24" w:rsidRPr="00FF4325">
        <w:rPr>
          <w:rFonts w:ascii="Times New Roman" w:eastAsia="Times New Roman" w:hAnsi="Times New Roman" w:cs="Times New Roman"/>
          <w:color w:val="000000"/>
          <w:lang w:eastAsia="en-AU"/>
        </w:rPr>
        <w:t>without</w:t>
      </w:r>
      <w:r w:rsidR="00826E95" w:rsidRPr="00FF4325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 </w:t>
      </w:r>
      <w:r w:rsidR="00B20B33" w:rsidRPr="00FF4325">
        <w:rPr>
          <w:rFonts w:ascii="Times New Roman" w:eastAsia="Times New Roman" w:hAnsi="Times New Roman" w:cs="Times New Roman"/>
          <w:color w:val="000000"/>
          <w:lang w:eastAsia="en-AU"/>
        </w:rPr>
        <w:t>affixing</w:t>
      </w:r>
      <w:r w:rsidR="00AC0D61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the furniture to a wall or structure</w:t>
      </w:r>
      <w:r w:rsidR="00854F4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, </w:t>
      </w:r>
      <w:r w:rsidR="00BB4898" w:rsidRPr="00FF4325">
        <w:rPr>
          <w:rFonts w:ascii="Times New Roman" w:eastAsia="Times New Roman" w:hAnsi="Times New Roman" w:cs="Times New Roman"/>
          <w:color w:val="000000"/>
          <w:lang w:eastAsia="en-AU"/>
        </w:rPr>
        <w:t>it will be captured by the definition of toppling furniture.</w:t>
      </w:r>
    </w:p>
    <w:p w14:paraId="0F73AE07" w14:textId="520B4709" w:rsidR="00567C09" w:rsidRPr="00FF4325" w:rsidRDefault="00BB4898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lastRenderedPageBreak/>
        <w:t>By way of example</w:t>
      </w:r>
      <w:r w:rsidR="00854F45" w:rsidRPr="00FF4325">
        <w:rPr>
          <w:rFonts w:ascii="Times New Roman" w:eastAsia="Times New Roman" w:hAnsi="Times New Roman" w:cs="Times New Roman"/>
          <w:color w:val="000000"/>
          <w:lang w:eastAsia="en-AU"/>
        </w:rPr>
        <w:t>, a book</w:t>
      </w:r>
      <w:r w:rsidR="00D31D03" w:rsidRPr="00FF4325">
        <w:rPr>
          <w:rFonts w:ascii="Times New Roman" w:eastAsia="Times New Roman" w:hAnsi="Times New Roman" w:cs="Times New Roman"/>
          <w:color w:val="000000"/>
          <w:lang w:eastAsia="en-AU"/>
        </w:rPr>
        <w:t>case</w:t>
      </w:r>
      <w:r w:rsidR="00663F7D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that is category 1 furniture for the purposes of the instrument</w:t>
      </w:r>
      <w:r w:rsidR="00854F4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may come with pre-drilled holes and anchor device</w:t>
      </w:r>
      <w:r w:rsidR="00965C14" w:rsidRPr="00FF4325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="00854F4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D31D03" w:rsidRPr="00FF4325">
        <w:rPr>
          <w:rFonts w:ascii="Times New Roman" w:eastAsia="Times New Roman" w:hAnsi="Times New Roman" w:cs="Times New Roman"/>
          <w:color w:val="000000"/>
          <w:lang w:eastAsia="en-AU"/>
        </w:rPr>
        <w:t>by which the bookcase can be affixed to a wall</w:t>
      </w:r>
      <w:r w:rsidR="00252F7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. But if the bookcase can </w:t>
      </w:r>
      <w:r w:rsidR="007A6E47" w:rsidRPr="00FF4325">
        <w:rPr>
          <w:rFonts w:ascii="Times New Roman" w:eastAsia="Times New Roman" w:hAnsi="Times New Roman" w:cs="Times New Roman"/>
          <w:color w:val="000000"/>
          <w:lang w:eastAsia="en-AU"/>
        </w:rPr>
        <w:t>be p</w:t>
      </w:r>
      <w:r w:rsidR="008C4698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roperly used </w:t>
      </w:r>
      <w:r w:rsidR="00854F4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without </w:t>
      </w:r>
      <w:r w:rsidR="00FB53C4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being affixed to a wall by </w:t>
      </w:r>
      <w:r w:rsidR="00854F4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use of the </w:t>
      </w:r>
      <w:r w:rsidR="007A6E4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anchor </w:t>
      </w:r>
      <w:r w:rsidR="00854F45" w:rsidRPr="00FF4325">
        <w:rPr>
          <w:rFonts w:ascii="Times New Roman" w:eastAsia="Times New Roman" w:hAnsi="Times New Roman" w:cs="Times New Roman"/>
          <w:color w:val="000000"/>
          <w:lang w:eastAsia="en-AU"/>
        </w:rPr>
        <w:t>device</w:t>
      </w:r>
      <w:r w:rsidR="007A6E47" w:rsidRPr="00FF4325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="005A364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9C006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(because, for </w:t>
      </w:r>
      <w:r w:rsidR="00D51B82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example, </w:t>
      </w:r>
      <w:r w:rsidR="00D875D2" w:rsidRPr="00FF4325">
        <w:rPr>
          <w:rFonts w:ascii="Times New Roman" w:eastAsia="Times New Roman" w:hAnsi="Times New Roman" w:cs="Times New Roman"/>
          <w:color w:val="000000"/>
          <w:lang w:eastAsia="en-AU"/>
        </w:rPr>
        <w:t>the bookcase remains up</w:t>
      </w:r>
      <w:r w:rsidR="00117597" w:rsidRPr="00FF4325">
        <w:rPr>
          <w:rFonts w:ascii="Times New Roman" w:eastAsia="Times New Roman" w:hAnsi="Times New Roman" w:cs="Times New Roman"/>
          <w:color w:val="000000"/>
          <w:lang w:eastAsia="en-AU"/>
        </w:rPr>
        <w:t>right without</w:t>
      </w:r>
      <w:r w:rsidR="00BE5EC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use of the anchor devices) it will</w:t>
      </w:r>
      <w:r w:rsidR="005A3645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be captured by the definition of toppling furniture. </w:t>
      </w:r>
    </w:p>
    <w:p w14:paraId="291AD480" w14:textId="14D4BA29" w:rsidR="00567C09" w:rsidRPr="00FF4325" w:rsidRDefault="00567C09" w:rsidP="00124AF2">
      <w:pPr>
        <w:keepNext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u w:val="single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u w:val="single"/>
          <w:lang w:eastAsia="en-AU"/>
        </w:rPr>
        <w:t>Section 6 – Application</w:t>
      </w:r>
    </w:p>
    <w:p w14:paraId="281620CC" w14:textId="39AD387F" w:rsidR="002105C3" w:rsidRPr="00FF4325" w:rsidRDefault="0002521C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 w:rsidRPr="00FF4325">
        <w:rPr>
          <w:rFonts w:ascii="Times New Roman" w:eastAsia="Times New Roman" w:hAnsi="Times New Roman" w:cs="Times New Roman"/>
          <w:color w:val="000000"/>
          <w:lang w:eastAsia="en-AU"/>
        </w:rPr>
        <w:t>T</w:t>
      </w:r>
      <w:r w:rsidR="00147B6B" w:rsidRPr="00FF4325">
        <w:rPr>
          <w:rFonts w:ascii="Times New Roman" w:eastAsia="Times New Roman" w:hAnsi="Times New Roman" w:cs="Times New Roman"/>
          <w:color w:val="000000"/>
          <w:lang w:eastAsia="en-AU"/>
        </w:rPr>
        <w:t>his</w:t>
      </w:r>
      <w:r w:rsidR="00D8439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section </w:t>
      </w:r>
      <w:r w:rsidR="00D17DE7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provides that </w:t>
      </w:r>
      <w:r w:rsidR="00D84397" w:rsidRPr="00FF4325">
        <w:rPr>
          <w:rFonts w:ascii="Times New Roman" w:eastAsia="Times New Roman" w:hAnsi="Times New Roman" w:cs="Times New Roman"/>
          <w:color w:val="000000"/>
          <w:lang w:eastAsia="en-AU"/>
        </w:rPr>
        <w:t>the</w:t>
      </w:r>
      <w:r w:rsidR="00147B6B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instrument applies to items of toppling furniture that are consumer goods</w:t>
      </w:r>
      <w:r w:rsidR="00D17DE7" w:rsidRPr="00FF4325">
        <w:rPr>
          <w:rFonts w:ascii="Times New Roman" w:eastAsia="Times New Roman" w:hAnsi="Times New Roman" w:cs="Times New Roman"/>
          <w:color w:val="000000"/>
          <w:lang w:eastAsia="en-AU"/>
        </w:rPr>
        <w:t>. The ACL defines consumer goods as</w:t>
      </w:r>
      <w:r w:rsidR="00147B6B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, </w:t>
      </w:r>
      <w:r w:rsidR="00FD7089" w:rsidRPr="00FF4325">
        <w:rPr>
          <w:rFonts w:ascii="Times New Roman" w:eastAsia="Times New Roman" w:hAnsi="Times New Roman" w:cs="Times New Roman"/>
          <w:color w:val="000000"/>
          <w:lang w:eastAsia="en-AU"/>
        </w:rPr>
        <w:t>‘</w:t>
      </w:r>
      <w:r w:rsidR="00147B6B" w:rsidRPr="00FF4325">
        <w:rPr>
          <w:rFonts w:ascii="Times New Roman" w:eastAsia="Times New Roman" w:hAnsi="Times New Roman" w:cs="Times New Roman"/>
          <w:color w:val="000000"/>
          <w:lang w:eastAsia="en-AU"/>
        </w:rPr>
        <w:t>goods that are intended to be us</w:t>
      </w:r>
      <w:r w:rsidR="002105C3" w:rsidRPr="00FF4325">
        <w:rPr>
          <w:rFonts w:ascii="Times New Roman" w:eastAsia="Times New Roman" w:hAnsi="Times New Roman" w:cs="Times New Roman"/>
          <w:color w:val="000000"/>
          <w:lang w:eastAsia="en-AU"/>
        </w:rPr>
        <w:t>ed, or are of a kind likely to be used for personal, domestic or household consumption</w:t>
      </w:r>
      <w:r w:rsidR="00F709AC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[…]’</w:t>
      </w:r>
      <w:r w:rsidR="00147B6B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. </w:t>
      </w:r>
      <w:r w:rsidR="002105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</w:p>
    <w:p w14:paraId="17D01DDF" w14:textId="1A599421" w:rsidR="002105C3" w:rsidRPr="00FF4325" w:rsidRDefault="004001F6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Paragraph 6(2)(a) provides that t</w:t>
      </w:r>
      <w:r w:rsidR="00F709AC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he </w:t>
      </w:r>
      <w:r w:rsidR="002105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instrument </w:t>
      </w:r>
      <w:r w:rsidR="005B2DDB" w:rsidRPr="00FF4325">
        <w:rPr>
          <w:rFonts w:ascii="Times New Roman" w:eastAsia="Times New Roman" w:hAnsi="Times New Roman" w:cs="Times New Roman"/>
          <w:color w:val="000000"/>
          <w:lang w:eastAsia="en-AU"/>
        </w:rPr>
        <w:t>does</w:t>
      </w:r>
      <w:r w:rsidR="002105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not apply</w:t>
      </w:r>
      <w:r w:rsidR="00D7579B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to an item of toppling furniture that</w:t>
      </w:r>
      <w:r w:rsidR="002105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has </w:t>
      </w:r>
      <w:r w:rsidR="00A86E7D">
        <w:rPr>
          <w:rFonts w:ascii="Times New Roman" w:eastAsia="Times New Roman" w:hAnsi="Times New Roman" w:cs="Times New Roman"/>
          <w:color w:val="000000"/>
          <w:lang w:eastAsia="en-AU"/>
        </w:rPr>
        <w:t>been</w:t>
      </w:r>
      <w:r w:rsidR="00A86E7D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2105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acquired </w:t>
      </w:r>
      <w:r w:rsidR="00A86E7D">
        <w:rPr>
          <w:rFonts w:ascii="Times New Roman" w:eastAsia="Times New Roman" w:hAnsi="Times New Roman" w:cs="Times New Roman"/>
          <w:color w:val="000000"/>
          <w:lang w:eastAsia="en-AU"/>
        </w:rPr>
        <w:t>by</w:t>
      </w:r>
      <w:r w:rsidR="002105C3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 a consumer </w:t>
      </w:r>
      <w:r w:rsidR="00FA642E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(within the meaning given by section 3 of the ACL) </w:t>
      </w:r>
      <w:r w:rsidR="00A86E7D" w:rsidRPr="00A86E7D">
        <w:rPr>
          <w:rFonts w:ascii="Times New Roman" w:eastAsia="Times New Roman" w:hAnsi="Times New Roman" w:cs="Times New Roman"/>
          <w:color w:val="000000"/>
          <w:lang w:eastAsia="en-AU"/>
        </w:rPr>
        <w:t>and is subsequently being supplied or offered for supply</w:t>
      </w:r>
      <w:r w:rsidR="006560B2" w:rsidRPr="00FF4325">
        <w:rPr>
          <w:rFonts w:ascii="Times New Roman" w:eastAsia="Times New Roman" w:hAnsi="Times New Roman" w:cs="Times New Roman"/>
          <w:color w:val="000000"/>
          <w:lang w:eastAsia="en-A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en-AU"/>
        </w:rPr>
        <w:t>Paragraph 6(2)(b) provides that</w:t>
      </w:r>
      <w:r w:rsidR="00FA50FD">
        <w:rPr>
          <w:rFonts w:ascii="Times New Roman" w:eastAsia="Times New Roman" w:hAnsi="Times New Roman" w:cs="Times New Roman"/>
          <w:color w:val="000000"/>
          <w:lang w:eastAsia="en-AU"/>
        </w:rPr>
        <w:t xml:space="preserve"> the instrument does not apply to a</w:t>
      </w:r>
      <w:r w:rsidR="001B7DDC">
        <w:rPr>
          <w:rFonts w:ascii="Times New Roman" w:eastAsia="Times New Roman" w:hAnsi="Times New Roman" w:cs="Times New Roman"/>
          <w:color w:val="000000"/>
          <w:lang w:eastAsia="en-AU"/>
        </w:rPr>
        <w:t xml:space="preserve"> second-hand </w:t>
      </w:r>
      <w:r w:rsidR="00FA50FD">
        <w:rPr>
          <w:rFonts w:ascii="Times New Roman" w:eastAsia="Times New Roman" w:hAnsi="Times New Roman" w:cs="Times New Roman"/>
          <w:color w:val="000000"/>
          <w:lang w:eastAsia="en-AU"/>
        </w:rPr>
        <w:t>item of toppling furniture.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 This is to ensure that an item of toppling furniture that was initially acquired other than for personal, domestic or household use (for example, for commercial use)</w:t>
      </w:r>
      <w:r w:rsidR="00CC48C5">
        <w:rPr>
          <w:rFonts w:ascii="Times New Roman" w:eastAsia="Times New Roman" w:hAnsi="Times New Roman" w:cs="Times New Roman"/>
          <w:color w:val="000000"/>
          <w:lang w:eastAsia="en-AU"/>
        </w:rPr>
        <w:t xml:space="preserve"> and that is </w:t>
      </w:r>
      <w:r w:rsidR="00CC48C5" w:rsidRPr="00A86E7D">
        <w:rPr>
          <w:rFonts w:ascii="Times New Roman" w:eastAsia="Times New Roman" w:hAnsi="Times New Roman" w:cs="Times New Roman"/>
          <w:color w:val="000000"/>
          <w:lang w:eastAsia="en-AU"/>
        </w:rPr>
        <w:t>subsequently being supplied or offered for supply</w:t>
      </w:r>
      <w:r w:rsidR="00CC48C5">
        <w:rPr>
          <w:rFonts w:ascii="Times New Roman" w:eastAsia="Times New Roman" w:hAnsi="Times New Roman" w:cs="Times New Roman"/>
          <w:color w:val="000000"/>
          <w:lang w:eastAsia="en-AU"/>
        </w:rPr>
        <w:t xml:space="preserve"> for personal, domestic or household use, is not subject to the operation of the instrument.</w:t>
      </w:r>
    </w:p>
    <w:p w14:paraId="6A13DEED" w14:textId="713C7BFD" w:rsidR="00567C09" w:rsidRPr="00FF4325" w:rsidRDefault="00567C09" w:rsidP="001E4B3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  <w:t xml:space="preserve">Part 2 – Requirements </w:t>
      </w:r>
    </w:p>
    <w:p w14:paraId="4F933D7B" w14:textId="1B722F09" w:rsidR="00B229DF" w:rsidRPr="00FF4325" w:rsidRDefault="00FC650B" w:rsidP="00765756">
      <w:pPr>
        <w:pStyle w:val="Default"/>
        <w:widowControl w:val="0"/>
        <w:spacing w:before="12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FF4325">
        <w:rPr>
          <w:rFonts w:ascii="Times New Roman" w:hAnsi="Times New Roman" w:cs="Times New Roman"/>
          <w:color w:val="auto"/>
          <w:sz w:val="22"/>
          <w:szCs w:val="22"/>
        </w:rPr>
        <w:t>Part 2 of the instrument</w:t>
      </w:r>
      <w:r w:rsidR="00AF183C" w:rsidRPr="00FF4325">
        <w:rPr>
          <w:rFonts w:ascii="Times New Roman" w:hAnsi="Times New Roman" w:cs="Times New Roman"/>
          <w:color w:val="auto"/>
          <w:sz w:val="22"/>
          <w:szCs w:val="22"/>
        </w:rPr>
        <w:t xml:space="preserve"> requires </w:t>
      </w:r>
      <w:r w:rsidR="00106DA0" w:rsidRPr="00FF4325">
        <w:rPr>
          <w:rFonts w:ascii="Times New Roman" w:hAnsi="Times New Roman" w:cs="Times New Roman"/>
          <w:color w:val="auto"/>
          <w:sz w:val="22"/>
          <w:szCs w:val="22"/>
        </w:rPr>
        <w:t xml:space="preserve">clear graphic and plain English </w:t>
      </w:r>
      <w:r w:rsidR="00AF183C" w:rsidRPr="00FF4325">
        <w:rPr>
          <w:rFonts w:ascii="Times New Roman" w:hAnsi="Times New Roman" w:cs="Times New Roman"/>
          <w:color w:val="auto"/>
          <w:sz w:val="22"/>
          <w:szCs w:val="22"/>
        </w:rPr>
        <w:t>warnings and safety information to be provided in connection with the supply of toppling furniture.</w:t>
      </w:r>
      <w:r w:rsidR="00B77D81" w:rsidRPr="00FF43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7D79" w:rsidRPr="00FF4325">
        <w:rPr>
          <w:rFonts w:ascii="Times New Roman" w:hAnsi="Times New Roman" w:cs="Times New Roman"/>
          <w:color w:val="auto"/>
          <w:sz w:val="22"/>
          <w:szCs w:val="22"/>
        </w:rPr>
        <w:t>Warnings required to be provided in accordance with Part 2 of the instrument</w:t>
      </w:r>
      <w:r w:rsidR="00EA624D" w:rsidRPr="00FF43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725C3" w:rsidRPr="00FF4325">
        <w:rPr>
          <w:rFonts w:ascii="Times New Roman" w:hAnsi="Times New Roman" w:cs="Times New Roman"/>
          <w:color w:val="auto"/>
          <w:sz w:val="22"/>
          <w:szCs w:val="22"/>
        </w:rPr>
        <w:t>include internationally recognised</w:t>
      </w:r>
      <w:r w:rsidR="00D704C3" w:rsidRPr="00FF4325">
        <w:rPr>
          <w:rFonts w:ascii="Times New Roman" w:hAnsi="Times New Roman" w:cs="Times New Roman"/>
          <w:color w:val="auto"/>
          <w:sz w:val="22"/>
          <w:szCs w:val="22"/>
        </w:rPr>
        <w:t xml:space="preserve"> safety alert symbols</w:t>
      </w:r>
      <w:r w:rsidR="00AD54BA" w:rsidRPr="00FF4325">
        <w:rPr>
          <w:rFonts w:ascii="Times New Roman" w:hAnsi="Times New Roman" w:cs="Times New Roman"/>
          <w:color w:val="auto"/>
          <w:sz w:val="22"/>
          <w:szCs w:val="22"/>
        </w:rPr>
        <w:t xml:space="preserve"> and pictograms </w:t>
      </w:r>
      <w:r w:rsidR="00B229DF" w:rsidRPr="00FF4325">
        <w:rPr>
          <w:rFonts w:ascii="Times New Roman" w:hAnsi="Times New Roman" w:cs="Times New Roman"/>
          <w:color w:val="auto"/>
          <w:sz w:val="22"/>
          <w:szCs w:val="22"/>
        </w:rPr>
        <w:t>depicting</w:t>
      </w:r>
      <w:r w:rsidR="00AF30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D2748" w:rsidRPr="00FF4325">
        <w:rPr>
          <w:rFonts w:ascii="Times New Roman" w:hAnsi="Times New Roman" w:cs="Times New Roman"/>
          <w:color w:val="auto"/>
          <w:sz w:val="22"/>
          <w:szCs w:val="22"/>
        </w:rPr>
        <w:t xml:space="preserve">a child standing or climbing on the toppling furniture, with a cross or </w:t>
      </w:r>
      <w:r w:rsidR="00217915" w:rsidRPr="00FF4325">
        <w:rPr>
          <w:rFonts w:ascii="Times New Roman" w:hAnsi="Times New Roman" w:cs="Times New Roman"/>
          <w:color w:val="auto"/>
          <w:sz w:val="22"/>
          <w:szCs w:val="22"/>
        </w:rPr>
        <w:t>strikethrough</w:t>
      </w:r>
    </w:p>
    <w:p w14:paraId="105FA738" w14:textId="439B1FE7" w:rsidR="00C02273" w:rsidRPr="00FF4325" w:rsidRDefault="00F6470B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>Compliant (but not to scale) e</w:t>
      </w:r>
      <w:r w:rsidR="00BA4B38" w:rsidRPr="00FF4325">
        <w:rPr>
          <w:rFonts w:ascii="Times New Roman" w:hAnsi="Times New Roman" w:cs="Times New Roman"/>
          <w:sz w:val="22"/>
          <w:szCs w:val="22"/>
        </w:rPr>
        <w:t xml:space="preserve">xamples of the symbols </w:t>
      </w:r>
      <w:r w:rsidRPr="00FF4325">
        <w:rPr>
          <w:rFonts w:ascii="Times New Roman" w:hAnsi="Times New Roman" w:cs="Times New Roman"/>
          <w:sz w:val="22"/>
          <w:szCs w:val="22"/>
        </w:rPr>
        <w:t xml:space="preserve">and pictograms </w:t>
      </w:r>
      <w:r w:rsidR="00BA4B38" w:rsidRPr="00FF4325">
        <w:rPr>
          <w:rFonts w:ascii="Times New Roman" w:hAnsi="Times New Roman" w:cs="Times New Roman"/>
          <w:sz w:val="22"/>
          <w:szCs w:val="22"/>
        </w:rPr>
        <w:t xml:space="preserve">referenced in the </w:t>
      </w:r>
      <w:r w:rsidR="00C02273" w:rsidRPr="00FF4325">
        <w:rPr>
          <w:rFonts w:ascii="Times New Roman" w:hAnsi="Times New Roman" w:cs="Times New Roman"/>
          <w:sz w:val="22"/>
          <w:szCs w:val="22"/>
        </w:rPr>
        <w:t>instrument</w:t>
      </w:r>
      <w:r w:rsidR="00BA4B38" w:rsidRPr="00FF4325">
        <w:rPr>
          <w:rFonts w:ascii="Times New Roman" w:hAnsi="Times New Roman" w:cs="Times New Roman"/>
          <w:sz w:val="22"/>
          <w:szCs w:val="22"/>
        </w:rPr>
        <w:t xml:space="preserve"> are </w:t>
      </w:r>
      <w:r w:rsidR="00C02273" w:rsidRPr="00FF4325">
        <w:rPr>
          <w:rFonts w:ascii="Times New Roman" w:hAnsi="Times New Roman" w:cs="Times New Roman"/>
          <w:sz w:val="22"/>
          <w:szCs w:val="22"/>
        </w:rPr>
        <w:t>set out</w:t>
      </w:r>
      <w:r w:rsidR="00BA4B38" w:rsidRPr="00FF4325">
        <w:rPr>
          <w:rFonts w:ascii="Times New Roman" w:hAnsi="Times New Roman" w:cs="Times New Roman"/>
          <w:sz w:val="22"/>
          <w:szCs w:val="22"/>
        </w:rPr>
        <w:t xml:space="preserve"> below. </w:t>
      </w:r>
    </w:p>
    <w:p w14:paraId="6730002B" w14:textId="05162F50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>F</w:t>
      </w:r>
      <w:r w:rsidR="00C02273" w:rsidRPr="00FF4325">
        <w:rPr>
          <w:rFonts w:ascii="Times New Roman" w:hAnsi="Times New Roman" w:cs="Times New Roman"/>
          <w:sz w:val="22"/>
          <w:szCs w:val="22"/>
        </w:rPr>
        <w:t>urther information about</w:t>
      </w:r>
      <w:r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="00C02273" w:rsidRPr="00FF4325">
        <w:rPr>
          <w:rFonts w:ascii="Times New Roman" w:hAnsi="Times New Roman" w:cs="Times New Roman"/>
          <w:sz w:val="22"/>
          <w:szCs w:val="22"/>
        </w:rPr>
        <w:t>internationally recognised</w:t>
      </w:r>
      <w:r w:rsidRPr="00FF4325">
        <w:rPr>
          <w:rFonts w:ascii="Times New Roman" w:hAnsi="Times New Roman" w:cs="Times New Roman"/>
          <w:sz w:val="22"/>
          <w:szCs w:val="22"/>
        </w:rPr>
        <w:t xml:space="preserve"> alert symbols can </w:t>
      </w:r>
      <w:r w:rsidR="00C02273" w:rsidRPr="00FF4325">
        <w:rPr>
          <w:rFonts w:ascii="Times New Roman" w:hAnsi="Times New Roman" w:cs="Times New Roman"/>
          <w:sz w:val="22"/>
          <w:szCs w:val="22"/>
        </w:rPr>
        <w:t>be found in</w:t>
      </w:r>
      <w:r w:rsidRPr="00FF4325">
        <w:rPr>
          <w:rFonts w:ascii="Times New Roman" w:hAnsi="Times New Roman" w:cs="Times New Roman"/>
          <w:sz w:val="22"/>
          <w:szCs w:val="22"/>
        </w:rPr>
        <w:t xml:space="preserve"> voluntary industry standard </w:t>
      </w:r>
      <w:r w:rsidRPr="00FF4325">
        <w:rPr>
          <w:rFonts w:ascii="Times New Roman" w:hAnsi="Times New Roman" w:cs="Times New Roman"/>
          <w:i/>
          <w:iCs/>
          <w:sz w:val="22"/>
          <w:szCs w:val="22"/>
        </w:rPr>
        <w:t>ISO 3864-2:2016 Graphical symbols—Safety colours and safety signs—Part 2: Design principles for product safety labels.</w:t>
      </w:r>
    </w:p>
    <w:p w14:paraId="47AA0939" w14:textId="77777777" w:rsidR="00BA4B38" w:rsidRPr="00FF4325" w:rsidRDefault="00BA4B38" w:rsidP="001F41BF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  <w:u w:val="single"/>
        </w:rPr>
      </w:pPr>
      <w:r w:rsidRPr="00FF4325">
        <w:rPr>
          <w:rFonts w:ascii="Times New Roman" w:hAnsi="Times New Roman" w:cs="Times New Roman"/>
          <w:sz w:val="22"/>
          <w:szCs w:val="22"/>
          <w:u w:val="single"/>
        </w:rPr>
        <w:t>Internationally recognised safety alert symbol</w:t>
      </w:r>
    </w:p>
    <w:p w14:paraId="5F82BB03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  <w:u w:val="single"/>
        </w:rPr>
      </w:pPr>
      <w:r w:rsidRPr="00FF4325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5655" behindDoc="1" locked="0" layoutInCell="1" allowOverlap="1" wp14:anchorId="110B98C7" wp14:editId="616A7406">
            <wp:simplePos x="0" y="0"/>
            <wp:positionH relativeFrom="column">
              <wp:posOffset>351790</wp:posOffset>
            </wp:positionH>
            <wp:positionV relativeFrom="paragraph">
              <wp:posOffset>123190</wp:posOffset>
            </wp:positionV>
            <wp:extent cx="106045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41" y="21409"/>
                <wp:lineTo x="21341" y="0"/>
                <wp:lineTo x="0" y="0"/>
              </wp:wrapPolygon>
            </wp:wrapTight>
            <wp:docPr id="26" name="Picture 2" descr="An exclamation mark inside a triangle, contained in a box">
              <a:extLst xmlns:a="http://schemas.openxmlformats.org/drawingml/2006/main">
                <a:ext uri="{FF2B5EF4-FFF2-40B4-BE49-F238E27FC236}">
                  <a16:creationId xmlns:a16="http://schemas.microsoft.com/office/drawing/2014/main" id="{E508B835-4FFE-43EF-BE8A-92BDC2005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" descr="An exclamation mark inside a triangle, contained in a box">
                      <a:extLst>
                        <a:ext uri="{FF2B5EF4-FFF2-40B4-BE49-F238E27FC236}">
                          <a16:creationId xmlns:a16="http://schemas.microsoft.com/office/drawing/2014/main" id="{E508B835-4FFE-43EF-BE8A-92BDC2005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1" t="2315" r="75464" b="88162"/>
                    <a:stretch/>
                  </pic:blipFill>
                  <pic:spPr>
                    <a:xfrm>
                      <a:off x="0" y="0"/>
                      <a:ext cx="1060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D3DF4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6F4E87A3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32B67BCA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DB7CCBA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F35B4F7" w14:textId="77777777" w:rsidR="00BA4B38" w:rsidRPr="00FF4325" w:rsidRDefault="00BA4B38" w:rsidP="00BA4B38">
      <w:pPr>
        <w:pStyle w:val="Default"/>
        <w:widowControl w:val="0"/>
        <w:spacing w:before="120" w:after="120"/>
        <w:ind w:left="340"/>
        <w:rPr>
          <w:rFonts w:ascii="Times New Roman" w:hAnsi="Times New Roman" w:cs="Times New Roman"/>
          <w:i/>
          <w:iCs/>
          <w:sz w:val="22"/>
          <w:szCs w:val="22"/>
        </w:rPr>
      </w:pPr>
    </w:p>
    <w:p w14:paraId="3A6C46D1" w14:textId="3C559103" w:rsidR="00BA4B38" w:rsidRPr="00FF4325" w:rsidRDefault="00BA4B38" w:rsidP="001F41BF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  <w:u w:val="single"/>
        </w:rPr>
      </w:pPr>
      <w:r w:rsidRPr="00FF4325">
        <w:rPr>
          <w:rFonts w:ascii="Times New Roman" w:hAnsi="Times New Roman" w:cs="Times New Roman"/>
          <w:sz w:val="22"/>
          <w:szCs w:val="22"/>
          <w:u w:val="single"/>
        </w:rPr>
        <w:t xml:space="preserve">A pictogram that shows a child standing or climbing on the consumer good with a </w:t>
      </w:r>
      <w:r w:rsidR="00B04223" w:rsidRPr="00FF4325">
        <w:rPr>
          <w:rFonts w:ascii="Times New Roman" w:hAnsi="Times New Roman" w:cs="Times New Roman"/>
          <w:sz w:val="22"/>
          <w:szCs w:val="22"/>
          <w:u w:val="single"/>
        </w:rPr>
        <w:t>strikethrough</w:t>
      </w:r>
      <w:r w:rsidR="00BE5E2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66E586A8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  <w:u w:val="single"/>
        </w:rPr>
      </w:pPr>
      <w:r w:rsidRPr="00FF4325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6679" behindDoc="1" locked="0" layoutInCell="1" allowOverlap="1" wp14:anchorId="25843F85" wp14:editId="62F295FB">
            <wp:simplePos x="0" y="0"/>
            <wp:positionH relativeFrom="column">
              <wp:posOffset>363855</wp:posOffset>
            </wp:positionH>
            <wp:positionV relativeFrom="paragraph">
              <wp:posOffset>8255</wp:posOffset>
            </wp:positionV>
            <wp:extent cx="1144270" cy="1152525"/>
            <wp:effectExtent l="0" t="0" r="0" b="0"/>
            <wp:wrapTight wrapText="bothSides">
              <wp:wrapPolygon edited="0">
                <wp:start x="0" y="0"/>
                <wp:lineTo x="0" y="21421"/>
                <wp:lineTo x="21216" y="21421"/>
                <wp:lineTo x="21216" y="0"/>
                <wp:lineTo x="0" y="0"/>
              </wp:wrapPolygon>
            </wp:wrapTight>
            <wp:docPr id="27" name="Picture 5" descr="A pictogram that shows a child standing or climbing on toppling furniture with a strikethrough">
              <a:extLst xmlns:a="http://schemas.openxmlformats.org/drawingml/2006/main">
                <a:ext uri="{FF2B5EF4-FFF2-40B4-BE49-F238E27FC236}">
                  <a16:creationId xmlns:a16="http://schemas.microsoft.com/office/drawing/2014/main" id="{C5E5E5B2-827E-437A-8EFB-C4B882DC60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" descr="A pictogram that shows a child standing or climbing on toppling furniture with a strikethrough">
                      <a:extLst>
                        <a:ext uri="{FF2B5EF4-FFF2-40B4-BE49-F238E27FC236}">
                          <a16:creationId xmlns:a16="http://schemas.microsoft.com/office/drawing/2014/main" id="{C5E5E5B2-827E-437A-8EFB-C4B882DC60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1"/>
                    <a:stretch/>
                  </pic:blipFill>
                  <pic:spPr bwMode="auto">
                    <a:xfrm>
                      <a:off x="0" y="0"/>
                      <a:ext cx="114427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BC6DB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  <w:u w:val="single"/>
        </w:rPr>
      </w:pPr>
    </w:p>
    <w:p w14:paraId="57B881A5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i/>
          <w:iCs/>
          <w:sz w:val="22"/>
          <w:szCs w:val="22"/>
        </w:rPr>
      </w:pPr>
    </w:p>
    <w:p w14:paraId="5C5278B9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i/>
          <w:iCs/>
          <w:sz w:val="22"/>
          <w:szCs w:val="22"/>
        </w:rPr>
      </w:pPr>
    </w:p>
    <w:p w14:paraId="62EE2C9E" w14:textId="77777777" w:rsidR="00BA4B38" w:rsidRPr="00FF4325" w:rsidRDefault="00BA4B38" w:rsidP="00BA4B38">
      <w:pPr>
        <w:pStyle w:val="Default"/>
        <w:widowControl w:val="0"/>
        <w:spacing w:before="120" w:after="120"/>
        <w:rPr>
          <w:rFonts w:ascii="Times New Roman" w:hAnsi="Times New Roman" w:cs="Times New Roman"/>
          <w:i/>
          <w:iCs/>
          <w:sz w:val="22"/>
          <w:szCs w:val="22"/>
        </w:rPr>
      </w:pPr>
    </w:p>
    <w:p w14:paraId="52A65D63" w14:textId="01CB3486" w:rsidR="00FA32F8" w:rsidRPr="00FF4325" w:rsidRDefault="003C45C8" w:rsidP="0031087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  <w:t>Division 1 – Warnings and point of sale</w:t>
      </w:r>
    </w:p>
    <w:p w14:paraId="7687AB8F" w14:textId="77777777" w:rsidR="0071685D" w:rsidRPr="00FF4325" w:rsidRDefault="00E065A5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  <w:u w:val="single"/>
        </w:rPr>
      </w:pPr>
      <w:r w:rsidRPr="00FF4325">
        <w:rPr>
          <w:rFonts w:ascii="Times New Roman" w:hAnsi="Times New Roman" w:cs="Times New Roman"/>
          <w:sz w:val="22"/>
          <w:szCs w:val="22"/>
          <w:u w:val="single"/>
        </w:rPr>
        <w:t>Section 7 – Display and supply of toppling furniture online</w:t>
      </w:r>
    </w:p>
    <w:p w14:paraId="4F1E149B" w14:textId="7515E8EF" w:rsidR="0032465C" w:rsidRPr="00FF4325" w:rsidRDefault="009A6021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>Sub</w:t>
      </w:r>
      <w:r w:rsidR="0071685D" w:rsidRPr="00FF4325">
        <w:rPr>
          <w:rFonts w:ascii="Times New Roman" w:hAnsi="Times New Roman" w:cs="Times New Roman"/>
          <w:sz w:val="22"/>
          <w:szCs w:val="22"/>
        </w:rPr>
        <w:t xml:space="preserve">section </w:t>
      </w:r>
      <w:r w:rsidRPr="00FF4325">
        <w:rPr>
          <w:rFonts w:ascii="Times New Roman" w:hAnsi="Times New Roman" w:cs="Times New Roman"/>
          <w:sz w:val="22"/>
          <w:szCs w:val="22"/>
        </w:rPr>
        <w:t xml:space="preserve">7(1) </w:t>
      </w:r>
      <w:r w:rsidR="00276DC2" w:rsidRPr="00FF4325">
        <w:rPr>
          <w:rFonts w:ascii="Times New Roman" w:hAnsi="Times New Roman" w:cs="Times New Roman"/>
          <w:sz w:val="22"/>
          <w:szCs w:val="22"/>
        </w:rPr>
        <w:t xml:space="preserve">provides that </w:t>
      </w:r>
      <w:r w:rsidR="006A10F5">
        <w:rPr>
          <w:rFonts w:ascii="Times New Roman" w:hAnsi="Times New Roman" w:cs="Times New Roman"/>
          <w:sz w:val="22"/>
          <w:szCs w:val="22"/>
        </w:rPr>
        <w:t xml:space="preserve">a </w:t>
      </w:r>
      <w:r w:rsidR="00276DC2" w:rsidRPr="00FF4325">
        <w:rPr>
          <w:rFonts w:ascii="Times New Roman" w:hAnsi="Times New Roman" w:cs="Times New Roman"/>
          <w:sz w:val="22"/>
          <w:szCs w:val="22"/>
        </w:rPr>
        <w:t xml:space="preserve">person who </w:t>
      </w:r>
      <w:r w:rsidR="00F82629">
        <w:rPr>
          <w:rFonts w:ascii="Times New Roman" w:hAnsi="Times New Roman" w:cs="Times New Roman"/>
          <w:sz w:val="22"/>
          <w:szCs w:val="22"/>
        </w:rPr>
        <w:t>carries on</w:t>
      </w:r>
      <w:r w:rsidR="00F82629"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="00FF7C13" w:rsidRPr="00FF4325">
        <w:rPr>
          <w:rFonts w:ascii="Times New Roman" w:hAnsi="Times New Roman" w:cs="Times New Roman"/>
          <w:sz w:val="22"/>
          <w:szCs w:val="22"/>
        </w:rPr>
        <w:t>a business</w:t>
      </w:r>
      <w:r w:rsidR="00C75A6A">
        <w:rPr>
          <w:rFonts w:ascii="Times New Roman" w:hAnsi="Times New Roman" w:cs="Times New Roman"/>
          <w:sz w:val="22"/>
          <w:szCs w:val="22"/>
        </w:rPr>
        <w:t xml:space="preserve"> that supplies toppling furniture</w:t>
      </w:r>
      <w:r w:rsidR="00F82629">
        <w:rPr>
          <w:rFonts w:ascii="Times New Roman" w:hAnsi="Times New Roman" w:cs="Times New Roman"/>
          <w:sz w:val="22"/>
          <w:szCs w:val="22"/>
        </w:rPr>
        <w:t xml:space="preserve"> and uses</w:t>
      </w:r>
      <w:r w:rsidR="00FF7C13" w:rsidRPr="00FF4325">
        <w:rPr>
          <w:rFonts w:ascii="Times New Roman" w:hAnsi="Times New Roman" w:cs="Times New Roman"/>
          <w:sz w:val="22"/>
          <w:szCs w:val="22"/>
        </w:rPr>
        <w:t xml:space="preserve"> an electronic platform </w:t>
      </w:r>
      <w:r w:rsidR="00CB58AA" w:rsidRPr="00FF4325">
        <w:rPr>
          <w:rFonts w:ascii="Times New Roman" w:hAnsi="Times New Roman" w:cs="Times New Roman"/>
          <w:sz w:val="22"/>
          <w:szCs w:val="22"/>
        </w:rPr>
        <w:t xml:space="preserve">to </w:t>
      </w:r>
      <w:r w:rsidR="00F82629">
        <w:rPr>
          <w:rFonts w:ascii="Times New Roman" w:hAnsi="Times New Roman" w:cs="Times New Roman"/>
          <w:sz w:val="22"/>
          <w:szCs w:val="22"/>
        </w:rPr>
        <w:t xml:space="preserve">offer to supply </w:t>
      </w:r>
      <w:r w:rsidR="00CB58AA" w:rsidRPr="00FF4325">
        <w:rPr>
          <w:rFonts w:ascii="Times New Roman" w:hAnsi="Times New Roman" w:cs="Times New Roman"/>
          <w:sz w:val="22"/>
          <w:szCs w:val="22"/>
        </w:rPr>
        <w:t>toppling furniture</w:t>
      </w:r>
      <w:r w:rsidR="00342750">
        <w:rPr>
          <w:rFonts w:ascii="Times New Roman" w:hAnsi="Times New Roman" w:cs="Times New Roman"/>
          <w:sz w:val="22"/>
          <w:szCs w:val="22"/>
        </w:rPr>
        <w:t xml:space="preserve"> to consumers</w:t>
      </w:r>
      <w:r w:rsidR="00B26496" w:rsidRPr="00FF4325">
        <w:rPr>
          <w:rFonts w:ascii="Times New Roman" w:hAnsi="Times New Roman" w:cs="Times New Roman"/>
          <w:sz w:val="22"/>
          <w:szCs w:val="22"/>
        </w:rPr>
        <w:t>,</w:t>
      </w:r>
      <w:r w:rsidR="00CB58AA"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="00B35869" w:rsidRPr="00FF4325">
        <w:rPr>
          <w:rFonts w:ascii="Times New Roman" w:hAnsi="Times New Roman" w:cs="Times New Roman"/>
          <w:sz w:val="22"/>
          <w:szCs w:val="22"/>
        </w:rPr>
        <w:t xml:space="preserve">must cause </w:t>
      </w:r>
      <w:r w:rsidR="007C17EB" w:rsidRPr="00FF4325">
        <w:rPr>
          <w:rFonts w:ascii="Times New Roman" w:hAnsi="Times New Roman" w:cs="Times New Roman"/>
          <w:sz w:val="22"/>
          <w:szCs w:val="22"/>
        </w:rPr>
        <w:t xml:space="preserve">a warning about the risk of tip overs and the importance of anchoring to be included in the description of the toppling furniture provided </w:t>
      </w:r>
      <w:r w:rsidR="007C17EB" w:rsidRPr="00FF4325">
        <w:rPr>
          <w:rFonts w:ascii="Times New Roman" w:hAnsi="Times New Roman" w:cs="Times New Roman"/>
          <w:sz w:val="22"/>
          <w:szCs w:val="22"/>
        </w:rPr>
        <w:lastRenderedPageBreak/>
        <w:t xml:space="preserve">by the </w:t>
      </w:r>
      <w:r w:rsidR="0032465C" w:rsidRPr="00FF4325">
        <w:rPr>
          <w:rFonts w:ascii="Times New Roman" w:hAnsi="Times New Roman" w:cs="Times New Roman"/>
          <w:sz w:val="22"/>
          <w:szCs w:val="22"/>
        </w:rPr>
        <w:t xml:space="preserve">electronic </w:t>
      </w:r>
      <w:r w:rsidR="007C17EB" w:rsidRPr="00FF4325">
        <w:rPr>
          <w:rFonts w:ascii="Times New Roman" w:hAnsi="Times New Roman" w:cs="Times New Roman"/>
          <w:sz w:val="22"/>
          <w:szCs w:val="22"/>
        </w:rPr>
        <w:t xml:space="preserve">platform. </w:t>
      </w:r>
    </w:p>
    <w:p w14:paraId="567F43C0" w14:textId="7F126320" w:rsidR="00795B44" w:rsidRDefault="009A6021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 xml:space="preserve">The </w:t>
      </w:r>
      <w:r w:rsidR="00835CD8" w:rsidRPr="00FF4325">
        <w:rPr>
          <w:rFonts w:ascii="Times New Roman" w:hAnsi="Times New Roman" w:cs="Times New Roman"/>
          <w:sz w:val="22"/>
          <w:szCs w:val="22"/>
        </w:rPr>
        <w:t xml:space="preserve">matters to be included </w:t>
      </w:r>
      <w:r w:rsidR="00747667" w:rsidRPr="00FF4325">
        <w:rPr>
          <w:rFonts w:ascii="Times New Roman" w:hAnsi="Times New Roman" w:cs="Times New Roman"/>
          <w:sz w:val="22"/>
          <w:szCs w:val="22"/>
        </w:rPr>
        <w:t xml:space="preserve">in such warnings are set out in </w:t>
      </w:r>
      <w:r w:rsidR="00586B65" w:rsidRPr="00FF4325">
        <w:rPr>
          <w:rFonts w:ascii="Times New Roman" w:hAnsi="Times New Roman" w:cs="Times New Roman"/>
          <w:sz w:val="22"/>
          <w:szCs w:val="22"/>
        </w:rPr>
        <w:t>subsection</w:t>
      </w:r>
      <w:r w:rsidR="004711DE"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="00CE50C1" w:rsidRPr="00FF4325">
        <w:rPr>
          <w:rFonts w:ascii="Times New Roman" w:hAnsi="Times New Roman" w:cs="Times New Roman"/>
          <w:sz w:val="22"/>
          <w:szCs w:val="22"/>
        </w:rPr>
        <w:t>7</w:t>
      </w:r>
      <w:r w:rsidR="00D038BF" w:rsidRPr="00FF4325">
        <w:rPr>
          <w:rFonts w:ascii="Times New Roman" w:hAnsi="Times New Roman" w:cs="Times New Roman"/>
          <w:sz w:val="22"/>
          <w:szCs w:val="22"/>
        </w:rPr>
        <w:t>(</w:t>
      </w:r>
      <w:r w:rsidR="008969EE">
        <w:rPr>
          <w:rFonts w:ascii="Times New Roman" w:hAnsi="Times New Roman" w:cs="Times New Roman"/>
          <w:sz w:val="22"/>
          <w:szCs w:val="22"/>
        </w:rPr>
        <w:t>3</w:t>
      </w:r>
      <w:r w:rsidR="00D038BF" w:rsidRPr="00FF4325">
        <w:rPr>
          <w:rFonts w:ascii="Times New Roman" w:hAnsi="Times New Roman" w:cs="Times New Roman"/>
          <w:sz w:val="22"/>
          <w:szCs w:val="22"/>
        </w:rPr>
        <w:t>)</w:t>
      </w:r>
      <w:r w:rsidR="00524BFB" w:rsidRPr="00FF4325">
        <w:rPr>
          <w:rFonts w:ascii="Times New Roman" w:hAnsi="Times New Roman" w:cs="Times New Roman"/>
          <w:sz w:val="22"/>
          <w:szCs w:val="22"/>
        </w:rPr>
        <w:t xml:space="preserve"> and</w:t>
      </w:r>
      <w:r w:rsidR="00A63866" w:rsidRPr="00FF4325">
        <w:rPr>
          <w:rFonts w:ascii="Times New Roman" w:hAnsi="Times New Roman" w:cs="Times New Roman"/>
          <w:sz w:val="22"/>
          <w:szCs w:val="22"/>
        </w:rPr>
        <w:t>,</w:t>
      </w:r>
      <w:r w:rsidR="00524BFB" w:rsidRPr="00FF4325">
        <w:rPr>
          <w:rFonts w:ascii="Times New Roman" w:hAnsi="Times New Roman" w:cs="Times New Roman"/>
          <w:sz w:val="22"/>
          <w:szCs w:val="22"/>
        </w:rPr>
        <w:t xml:space="preserve"> depending on whether the relevant</w:t>
      </w:r>
      <w:r w:rsidR="00A63866" w:rsidRPr="00FF4325">
        <w:rPr>
          <w:rFonts w:ascii="Times New Roman" w:hAnsi="Times New Roman" w:cs="Times New Roman"/>
          <w:sz w:val="22"/>
          <w:szCs w:val="22"/>
        </w:rPr>
        <w:t xml:space="preserve"> toppling</w:t>
      </w:r>
      <w:r w:rsidR="00524BFB" w:rsidRPr="00FF4325">
        <w:rPr>
          <w:rFonts w:ascii="Times New Roman" w:hAnsi="Times New Roman" w:cs="Times New Roman"/>
          <w:sz w:val="22"/>
          <w:szCs w:val="22"/>
        </w:rPr>
        <w:t xml:space="preserve"> furniture is category 1, category 2 o</w:t>
      </w:r>
      <w:r w:rsidR="00766345" w:rsidRPr="00FF4325">
        <w:rPr>
          <w:rFonts w:ascii="Times New Roman" w:hAnsi="Times New Roman" w:cs="Times New Roman"/>
          <w:sz w:val="22"/>
          <w:szCs w:val="22"/>
        </w:rPr>
        <w:t>r category 3 furniture</w:t>
      </w:r>
      <w:r w:rsidR="00D038BF" w:rsidRPr="00FF4325">
        <w:rPr>
          <w:rFonts w:ascii="Times New Roman" w:hAnsi="Times New Roman" w:cs="Times New Roman"/>
          <w:sz w:val="22"/>
          <w:szCs w:val="22"/>
        </w:rPr>
        <w:t>,</w:t>
      </w:r>
      <w:r w:rsidR="00766345" w:rsidRPr="00FF4325">
        <w:rPr>
          <w:rFonts w:ascii="Times New Roman" w:hAnsi="Times New Roman" w:cs="Times New Roman"/>
          <w:sz w:val="22"/>
          <w:szCs w:val="22"/>
        </w:rPr>
        <w:t xml:space="preserve"> subsection</w:t>
      </w:r>
      <w:r w:rsidR="00D038BF"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="00CE50C1" w:rsidRPr="00FF4325">
        <w:rPr>
          <w:rFonts w:ascii="Times New Roman" w:hAnsi="Times New Roman" w:cs="Times New Roman"/>
          <w:sz w:val="22"/>
          <w:szCs w:val="22"/>
        </w:rPr>
        <w:t>7</w:t>
      </w:r>
      <w:r w:rsidR="00D038BF" w:rsidRPr="00FF4325">
        <w:rPr>
          <w:rFonts w:ascii="Times New Roman" w:hAnsi="Times New Roman" w:cs="Times New Roman"/>
          <w:sz w:val="22"/>
          <w:szCs w:val="22"/>
        </w:rPr>
        <w:t>(</w:t>
      </w:r>
      <w:r w:rsidR="008969EE">
        <w:rPr>
          <w:rFonts w:ascii="Times New Roman" w:hAnsi="Times New Roman" w:cs="Times New Roman"/>
          <w:sz w:val="22"/>
          <w:szCs w:val="22"/>
        </w:rPr>
        <w:t>4</w:t>
      </w:r>
      <w:r w:rsidR="00D038BF" w:rsidRPr="00FF4325">
        <w:rPr>
          <w:rFonts w:ascii="Times New Roman" w:hAnsi="Times New Roman" w:cs="Times New Roman"/>
          <w:sz w:val="22"/>
          <w:szCs w:val="22"/>
        </w:rPr>
        <w:t xml:space="preserve">), </w:t>
      </w:r>
      <w:r w:rsidR="00CE50C1" w:rsidRPr="00FF4325">
        <w:rPr>
          <w:rFonts w:ascii="Times New Roman" w:hAnsi="Times New Roman" w:cs="Times New Roman"/>
          <w:sz w:val="22"/>
          <w:szCs w:val="22"/>
        </w:rPr>
        <w:t>7</w:t>
      </w:r>
      <w:r w:rsidR="00D038BF" w:rsidRPr="00FF4325">
        <w:rPr>
          <w:rFonts w:ascii="Times New Roman" w:hAnsi="Times New Roman" w:cs="Times New Roman"/>
          <w:sz w:val="22"/>
          <w:szCs w:val="22"/>
        </w:rPr>
        <w:t>(</w:t>
      </w:r>
      <w:r w:rsidR="008969EE">
        <w:rPr>
          <w:rFonts w:ascii="Times New Roman" w:hAnsi="Times New Roman" w:cs="Times New Roman"/>
          <w:sz w:val="22"/>
          <w:szCs w:val="22"/>
        </w:rPr>
        <w:t>5</w:t>
      </w:r>
      <w:r w:rsidR="00D038BF" w:rsidRPr="00FF4325">
        <w:rPr>
          <w:rFonts w:ascii="Times New Roman" w:hAnsi="Times New Roman" w:cs="Times New Roman"/>
          <w:sz w:val="22"/>
          <w:szCs w:val="22"/>
        </w:rPr>
        <w:t xml:space="preserve">) or </w:t>
      </w:r>
      <w:r w:rsidR="00CE50C1" w:rsidRPr="00FF4325">
        <w:rPr>
          <w:rFonts w:ascii="Times New Roman" w:hAnsi="Times New Roman" w:cs="Times New Roman"/>
          <w:sz w:val="22"/>
          <w:szCs w:val="22"/>
        </w:rPr>
        <w:t>7</w:t>
      </w:r>
      <w:r w:rsidR="00D038BF" w:rsidRPr="00FF4325">
        <w:rPr>
          <w:rFonts w:ascii="Times New Roman" w:hAnsi="Times New Roman" w:cs="Times New Roman"/>
          <w:sz w:val="22"/>
          <w:szCs w:val="22"/>
        </w:rPr>
        <w:t>(</w:t>
      </w:r>
      <w:r w:rsidR="008969EE">
        <w:rPr>
          <w:rFonts w:ascii="Times New Roman" w:hAnsi="Times New Roman" w:cs="Times New Roman"/>
          <w:sz w:val="22"/>
          <w:szCs w:val="22"/>
        </w:rPr>
        <w:t>6</w:t>
      </w:r>
      <w:r w:rsidR="00D038BF" w:rsidRPr="00FF4325">
        <w:rPr>
          <w:rFonts w:ascii="Times New Roman" w:hAnsi="Times New Roman" w:cs="Times New Roman"/>
          <w:sz w:val="22"/>
          <w:szCs w:val="22"/>
        </w:rPr>
        <w:t>).</w:t>
      </w:r>
    </w:p>
    <w:p w14:paraId="28220710" w14:textId="47F62BA9" w:rsidR="00E92231" w:rsidRPr="00FF4325" w:rsidRDefault="00945366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obligation</w:t>
      </w:r>
      <w:r w:rsidR="000B50F9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set out </w:t>
      </w:r>
      <w:r w:rsidR="000B50F9">
        <w:rPr>
          <w:rFonts w:ascii="Times New Roman" w:hAnsi="Times New Roman" w:cs="Times New Roman"/>
          <w:sz w:val="22"/>
          <w:szCs w:val="22"/>
        </w:rPr>
        <w:t xml:space="preserve">in </w:t>
      </w:r>
      <w:r>
        <w:rPr>
          <w:rFonts w:ascii="Times New Roman" w:hAnsi="Times New Roman" w:cs="Times New Roman"/>
          <w:sz w:val="22"/>
          <w:szCs w:val="22"/>
        </w:rPr>
        <w:t xml:space="preserve">section 7 do not apply </w:t>
      </w:r>
      <w:r w:rsidR="000978BF">
        <w:rPr>
          <w:rFonts w:ascii="Times New Roman" w:hAnsi="Times New Roman" w:cs="Times New Roman"/>
          <w:sz w:val="22"/>
          <w:szCs w:val="22"/>
        </w:rPr>
        <w:t>in circumstances where a website or other online service displays or carries advertisements</w:t>
      </w:r>
      <w:r w:rsidR="00E37E59">
        <w:rPr>
          <w:rFonts w:ascii="Times New Roman" w:hAnsi="Times New Roman" w:cs="Times New Roman"/>
          <w:sz w:val="22"/>
          <w:szCs w:val="22"/>
        </w:rPr>
        <w:t xml:space="preserve"> for toppling furniture because </w:t>
      </w:r>
      <w:r w:rsidR="0075488D">
        <w:rPr>
          <w:rFonts w:ascii="Times New Roman" w:hAnsi="Times New Roman" w:cs="Times New Roman"/>
          <w:sz w:val="22"/>
          <w:szCs w:val="22"/>
        </w:rPr>
        <w:t xml:space="preserve">advertisements </w:t>
      </w:r>
      <w:r w:rsidR="00FE77CB">
        <w:rPr>
          <w:rFonts w:ascii="Times New Roman" w:hAnsi="Times New Roman" w:cs="Times New Roman"/>
          <w:sz w:val="22"/>
          <w:szCs w:val="22"/>
        </w:rPr>
        <w:t>will not</w:t>
      </w:r>
      <w:r w:rsidR="005D5C80">
        <w:rPr>
          <w:rFonts w:ascii="Times New Roman" w:hAnsi="Times New Roman" w:cs="Times New Roman"/>
          <w:sz w:val="22"/>
          <w:szCs w:val="22"/>
        </w:rPr>
        <w:t>, typically,</w:t>
      </w:r>
      <w:r w:rsidR="00FE77CB">
        <w:rPr>
          <w:rFonts w:ascii="Times New Roman" w:hAnsi="Times New Roman" w:cs="Times New Roman"/>
          <w:sz w:val="22"/>
          <w:szCs w:val="22"/>
        </w:rPr>
        <w:t xml:space="preserve"> constitute an offer to supply</w:t>
      </w:r>
      <w:r w:rsidR="005D5C8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D24EBA" w14:textId="7FC3C7E6" w:rsidR="009F395E" w:rsidRPr="00FF4325" w:rsidRDefault="009F395E" w:rsidP="004D77C6">
      <w:pPr>
        <w:rPr>
          <w:rFonts w:ascii="Times New Roman" w:hAnsi="Times New Roman" w:cs="Times New Roman"/>
          <w:u w:val="single"/>
        </w:rPr>
      </w:pPr>
      <w:r w:rsidRPr="00FF4325">
        <w:rPr>
          <w:rFonts w:ascii="Times New Roman" w:hAnsi="Times New Roman" w:cs="Times New Roman"/>
          <w:u w:val="single"/>
        </w:rPr>
        <w:t>Section 8 – Display and supply of toppling furniture in stores</w:t>
      </w:r>
    </w:p>
    <w:p w14:paraId="4EA3FE98" w14:textId="29FC2DB0" w:rsidR="009F395E" w:rsidRPr="00FF4325" w:rsidRDefault="009F395E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 xml:space="preserve">Subsection 8(1) </w:t>
      </w:r>
      <w:r w:rsidR="00C21AB0" w:rsidRPr="00FF4325">
        <w:rPr>
          <w:rFonts w:ascii="Times New Roman" w:hAnsi="Times New Roman" w:cs="Times New Roman"/>
          <w:sz w:val="22"/>
          <w:szCs w:val="22"/>
        </w:rPr>
        <w:t>provides that persons who conduct a business that suppl</w:t>
      </w:r>
      <w:r w:rsidR="001C3A27" w:rsidRPr="00FF4325">
        <w:rPr>
          <w:rFonts w:ascii="Times New Roman" w:hAnsi="Times New Roman" w:cs="Times New Roman"/>
          <w:sz w:val="22"/>
          <w:szCs w:val="22"/>
        </w:rPr>
        <w:t>ies toppling furniture at retail premises (regardless that that person may also conduct a business supplying toppling furniture by use of an electronic platform)</w:t>
      </w:r>
      <w:r w:rsidR="00007D7D" w:rsidRPr="00FF4325">
        <w:rPr>
          <w:rFonts w:ascii="Times New Roman" w:hAnsi="Times New Roman" w:cs="Times New Roman"/>
          <w:sz w:val="22"/>
          <w:szCs w:val="22"/>
        </w:rPr>
        <w:t xml:space="preserve"> must cause a </w:t>
      </w:r>
      <w:r w:rsidR="00C1355F" w:rsidRPr="00FF4325">
        <w:rPr>
          <w:rFonts w:ascii="Times New Roman" w:hAnsi="Times New Roman" w:cs="Times New Roman"/>
          <w:sz w:val="22"/>
          <w:szCs w:val="22"/>
        </w:rPr>
        <w:t xml:space="preserve">clearly visible, </w:t>
      </w:r>
      <w:r w:rsidR="005A05FA" w:rsidRPr="00FF4325">
        <w:rPr>
          <w:rFonts w:ascii="Times New Roman" w:hAnsi="Times New Roman" w:cs="Times New Roman"/>
          <w:sz w:val="22"/>
          <w:szCs w:val="22"/>
        </w:rPr>
        <w:t xml:space="preserve">prominent and legible </w:t>
      </w:r>
      <w:r w:rsidR="00007D7D" w:rsidRPr="00FF4325">
        <w:rPr>
          <w:rFonts w:ascii="Times New Roman" w:hAnsi="Times New Roman" w:cs="Times New Roman"/>
          <w:sz w:val="22"/>
          <w:szCs w:val="22"/>
        </w:rPr>
        <w:t>warning about the risk of tip overs and the importance of anchoring to be displayed on or near relevant toppling furniture.</w:t>
      </w:r>
      <w:r w:rsidR="00BA3B0B" w:rsidRPr="00FF4325">
        <w:rPr>
          <w:rFonts w:ascii="Times New Roman" w:hAnsi="Times New Roman" w:cs="Times New Roman"/>
          <w:sz w:val="22"/>
          <w:szCs w:val="22"/>
        </w:rPr>
        <w:t xml:space="preserve"> The note to subsection</w:t>
      </w:r>
      <w:r w:rsidR="003E59D5" w:rsidRPr="00FF4325">
        <w:rPr>
          <w:rFonts w:ascii="Times New Roman" w:hAnsi="Times New Roman" w:cs="Times New Roman"/>
          <w:sz w:val="22"/>
          <w:szCs w:val="22"/>
        </w:rPr>
        <w:t xml:space="preserve"> 8(1) clarifies that a relevant warning can take the form of a hang or swing tag</w:t>
      </w:r>
      <w:r w:rsidR="00076FD1" w:rsidRPr="00FF4325">
        <w:rPr>
          <w:rFonts w:ascii="Times New Roman" w:hAnsi="Times New Roman" w:cs="Times New Roman"/>
          <w:sz w:val="22"/>
          <w:szCs w:val="22"/>
        </w:rPr>
        <w:t xml:space="preserve"> attached to the toppling furniture, a placard placed near or on top of the toppling furniture or a removable sticker affixed to the t</w:t>
      </w:r>
      <w:r w:rsidR="00D124A8" w:rsidRPr="00FF4325">
        <w:rPr>
          <w:rFonts w:ascii="Times New Roman" w:hAnsi="Times New Roman" w:cs="Times New Roman"/>
          <w:sz w:val="22"/>
          <w:szCs w:val="22"/>
        </w:rPr>
        <w:t>oppling furniture.</w:t>
      </w:r>
    </w:p>
    <w:p w14:paraId="54480AEB" w14:textId="5BAFCE60" w:rsidR="00007D7D" w:rsidRPr="00FF4325" w:rsidRDefault="00007D7D" w:rsidP="00007D7D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 xml:space="preserve">The matters to be included in such warnings are set out in subsection </w:t>
      </w:r>
      <w:r w:rsidR="00CE50C1" w:rsidRPr="00FF4325">
        <w:rPr>
          <w:rFonts w:ascii="Times New Roman" w:hAnsi="Times New Roman" w:cs="Times New Roman"/>
          <w:sz w:val="22"/>
          <w:szCs w:val="22"/>
        </w:rPr>
        <w:t>8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8969EE">
        <w:rPr>
          <w:rFonts w:ascii="Times New Roman" w:hAnsi="Times New Roman" w:cs="Times New Roman"/>
          <w:sz w:val="22"/>
          <w:szCs w:val="22"/>
        </w:rPr>
        <w:t>3</w:t>
      </w:r>
      <w:r w:rsidRPr="00FF4325">
        <w:rPr>
          <w:rFonts w:ascii="Times New Roman" w:hAnsi="Times New Roman" w:cs="Times New Roman"/>
          <w:sz w:val="22"/>
          <w:szCs w:val="22"/>
        </w:rPr>
        <w:t>) and</w:t>
      </w:r>
      <w:r w:rsidR="00395E08" w:rsidRPr="00FF4325">
        <w:rPr>
          <w:rFonts w:ascii="Times New Roman" w:hAnsi="Times New Roman" w:cs="Times New Roman"/>
          <w:sz w:val="22"/>
          <w:szCs w:val="22"/>
        </w:rPr>
        <w:t>,</w:t>
      </w:r>
      <w:r w:rsidRPr="00FF4325">
        <w:rPr>
          <w:rFonts w:ascii="Times New Roman" w:hAnsi="Times New Roman" w:cs="Times New Roman"/>
          <w:sz w:val="22"/>
          <w:szCs w:val="22"/>
        </w:rPr>
        <w:t xml:space="preserve"> depending on whether the relevant</w:t>
      </w:r>
      <w:r w:rsidR="00395E08" w:rsidRPr="00FF4325">
        <w:rPr>
          <w:rFonts w:ascii="Times New Roman" w:hAnsi="Times New Roman" w:cs="Times New Roman"/>
          <w:sz w:val="22"/>
          <w:szCs w:val="22"/>
        </w:rPr>
        <w:t xml:space="preserve"> toppling</w:t>
      </w:r>
      <w:r w:rsidRPr="00FF4325">
        <w:rPr>
          <w:rFonts w:ascii="Times New Roman" w:hAnsi="Times New Roman" w:cs="Times New Roman"/>
          <w:sz w:val="22"/>
          <w:szCs w:val="22"/>
        </w:rPr>
        <w:t xml:space="preserve"> furniture is category 1, category 2 or category 3 furniture, subsection </w:t>
      </w:r>
      <w:r w:rsidR="00CE50C1" w:rsidRPr="00FF4325">
        <w:rPr>
          <w:rFonts w:ascii="Times New Roman" w:hAnsi="Times New Roman" w:cs="Times New Roman"/>
          <w:sz w:val="22"/>
          <w:szCs w:val="22"/>
        </w:rPr>
        <w:t>8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8969EE">
        <w:rPr>
          <w:rFonts w:ascii="Times New Roman" w:hAnsi="Times New Roman" w:cs="Times New Roman"/>
          <w:sz w:val="22"/>
          <w:szCs w:val="22"/>
        </w:rPr>
        <w:t>4</w:t>
      </w:r>
      <w:r w:rsidRPr="00FF4325">
        <w:rPr>
          <w:rFonts w:ascii="Times New Roman" w:hAnsi="Times New Roman" w:cs="Times New Roman"/>
          <w:sz w:val="22"/>
          <w:szCs w:val="22"/>
        </w:rPr>
        <w:t xml:space="preserve">), </w:t>
      </w:r>
      <w:r w:rsidR="00CE50C1" w:rsidRPr="00FF4325">
        <w:rPr>
          <w:rFonts w:ascii="Times New Roman" w:hAnsi="Times New Roman" w:cs="Times New Roman"/>
          <w:sz w:val="22"/>
          <w:szCs w:val="22"/>
        </w:rPr>
        <w:t>8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8969EE">
        <w:rPr>
          <w:rFonts w:ascii="Times New Roman" w:hAnsi="Times New Roman" w:cs="Times New Roman"/>
          <w:sz w:val="22"/>
          <w:szCs w:val="22"/>
        </w:rPr>
        <w:t>5</w:t>
      </w:r>
      <w:r w:rsidRPr="00FF4325">
        <w:rPr>
          <w:rFonts w:ascii="Times New Roman" w:hAnsi="Times New Roman" w:cs="Times New Roman"/>
          <w:sz w:val="22"/>
          <w:szCs w:val="22"/>
        </w:rPr>
        <w:t xml:space="preserve">) or </w:t>
      </w:r>
      <w:r w:rsidR="00CE50C1" w:rsidRPr="00FF4325">
        <w:rPr>
          <w:rFonts w:ascii="Times New Roman" w:hAnsi="Times New Roman" w:cs="Times New Roman"/>
          <w:sz w:val="22"/>
          <w:szCs w:val="22"/>
        </w:rPr>
        <w:t>8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8969EE">
        <w:rPr>
          <w:rFonts w:ascii="Times New Roman" w:hAnsi="Times New Roman" w:cs="Times New Roman"/>
          <w:sz w:val="22"/>
          <w:szCs w:val="22"/>
        </w:rPr>
        <w:t>6</w:t>
      </w:r>
      <w:r w:rsidRPr="00FF4325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45864787" w14:textId="430EA553" w:rsidR="0099462B" w:rsidRDefault="003610A8" w:rsidP="0099462B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 xml:space="preserve">The following is an example of a (not to scale) </w:t>
      </w:r>
      <w:r w:rsidR="002C6C2D" w:rsidRPr="00FF4325">
        <w:rPr>
          <w:rFonts w:ascii="Times New Roman" w:hAnsi="Times New Roman" w:cs="Times New Roman"/>
          <w:sz w:val="22"/>
          <w:szCs w:val="22"/>
        </w:rPr>
        <w:t>hang tag</w:t>
      </w:r>
      <w:r w:rsidRPr="00FF4325">
        <w:rPr>
          <w:rFonts w:ascii="Times New Roman" w:hAnsi="Times New Roman" w:cs="Times New Roman"/>
          <w:sz w:val="22"/>
          <w:szCs w:val="22"/>
        </w:rPr>
        <w:t xml:space="preserve"> that is compliant with the requirements of subsections </w:t>
      </w:r>
      <w:r w:rsidR="00DC3789" w:rsidRPr="00FF4325">
        <w:rPr>
          <w:rFonts w:ascii="Times New Roman" w:hAnsi="Times New Roman" w:cs="Times New Roman"/>
          <w:sz w:val="22"/>
          <w:szCs w:val="22"/>
        </w:rPr>
        <w:t>8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2C33B3">
        <w:rPr>
          <w:rFonts w:ascii="Times New Roman" w:hAnsi="Times New Roman" w:cs="Times New Roman"/>
          <w:sz w:val="22"/>
          <w:szCs w:val="22"/>
        </w:rPr>
        <w:t>3</w:t>
      </w:r>
      <w:r w:rsidRPr="00FF4325">
        <w:rPr>
          <w:rFonts w:ascii="Times New Roman" w:hAnsi="Times New Roman" w:cs="Times New Roman"/>
          <w:sz w:val="22"/>
          <w:szCs w:val="22"/>
        </w:rPr>
        <w:t xml:space="preserve">) and </w:t>
      </w:r>
      <w:r w:rsidR="00DC3789" w:rsidRPr="00FF4325">
        <w:rPr>
          <w:rFonts w:ascii="Times New Roman" w:hAnsi="Times New Roman" w:cs="Times New Roman"/>
          <w:sz w:val="22"/>
          <w:szCs w:val="22"/>
        </w:rPr>
        <w:t>8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2C33B3">
        <w:rPr>
          <w:rFonts w:ascii="Times New Roman" w:hAnsi="Times New Roman" w:cs="Times New Roman"/>
          <w:sz w:val="22"/>
          <w:szCs w:val="22"/>
        </w:rPr>
        <w:t>4</w:t>
      </w:r>
      <w:r w:rsidRPr="00FF4325">
        <w:rPr>
          <w:rFonts w:ascii="Times New Roman" w:hAnsi="Times New Roman" w:cs="Times New Roman"/>
          <w:sz w:val="22"/>
          <w:szCs w:val="22"/>
        </w:rPr>
        <w:t xml:space="preserve">) (in relation to category </w:t>
      </w:r>
      <w:r w:rsidR="00DC3789" w:rsidRPr="00FF4325">
        <w:rPr>
          <w:rFonts w:ascii="Times New Roman" w:hAnsi="Times New Roman" w:cs="Times New Roman"/>
          <w:sz w:val="22"/>
          <w:szCs w:val="22"/>
        </w:rPr>
        <w:t xml:space="preserve">1 </w:t>
      </w:r>
      <w:r w:rsidRPr="00FF4325">
        <w:rPr>
          <w:rFonts w:ascii="Times New Roman" w:hAnsi="Times New Roman" w:cs="Times New Roman"/>
          <w:sz w:val="22"/>
          <w:szCs w:val="22"/>
        </w:rPr>
        <w:t>furniture)</w:t>
      </w:r>
      <w:r w:rsidR="00DC3789"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="0099462B">
        <w:rPr>
          <w:rFonts w:ascii="Times New Roman" w:hAnsi="Times New Roman" w:cs="Times New Roman"/>
          <w:sz w:val="22"/>
          <w:szCs w:val="22"/>
        </w:rPr>
        <w:t xml:space="preserve">The </w:t>
      </w:r>
      <w:r w:rsidR="00F028DE">
        <w:rPr>
          <w:rFonts w:ascii="Times New Roman" w:hAnsi="Times New Roman" w:cs="Times New Roman"/>
          <w:sz w:val="22"/>
          <w:szCs w:val="22"/>
        </w:rPr>
        <w:t>hang</w:t>
      </w:r>
      <w:r w:rsidR="00302220">
        <w:rPr>
          <w:rFonts w:ascii="Times New Roman" w:hAnsi="Times New Roman" w:cs="Times New Roman"/>
          <w:sz w:val="22"/>
          <w:szCs w:val="22"/>
        </w:rPr>
        <w:t xml:space="preserve"> </w:t>
      </w:r>
      <w:r w:rsidR="00F028DE">
        <w:rPr>
          <w:rFonts w:ascii="Times New Roman" w:hAnsi="Times New Roman" w:cs="Times New Roman"/>
          <w:sz w:val="22"/>
          <w:szCs w:val="22"/>
        </w:rPr>
        <w:t>tag</w:t>
      </w:r>
      <w:r w:rsidR="0099462B">
        <w:rPr>
          <w:rFonts w:ascii="Times New Roman" w:hAnsi="Times New Roman" w:cs="Times New Roman"/>
          <w:sz w:val="22"/>
          <w:szCs w:val="22"/>
        </w:rPr>
        <w:t xml:space="preserve"> </w:t>
      </w:r>
      <w:r w:rsidR="00F028DE">
        <w:rPr>
          <w:rFonts w:ascii="Times New Roman" w:hAnsi="Times New Roman" w:cs="Times New Roman"/>
          <w:sz w:val="22"/>
          <w:szCs w:val="22"/>
        </w:rPr>
        <w:t xml:space="preserve">is also </w:t>
      </w:r>
      <w:r w:rsidR="0099462B">
        <w:rPr>
          <w:rFonts w:ascii="Times New Roman" w:hAnsi="Times New Roman" w:cs="Times New Roman"/>
          <w:sz w:val="22"/>
          <w:szCs w:val="22"/>
        </w:rPr>
        <w:t xml:space="preserve">compliant in respect of </w:t>
      </w:r>
      <w:r w:rsidR="0099462B" w:rsidRPr="00FF4325">
        <w:rPr>
          <w:rFonts w:ascii="Times New Roman" w:hAnsi="Times New Roman" w:cs="Times New Roman"/>
          <w:sz w:val="22"/>
          <w:szCs w:val="22"/>
        </w:rPr>
        <w:t>subsections 9(</w:t>
      </w:r>
      <w:r w:rsidR="002C33B3">
        <w:rPr>
          <w:rFonts w:ascii="Times New Roman" w:hAnsi="Times New Roman" w:cs="Times New Roman"/>
          <w:sz w:val="22"/>
          <w:szCs w:val="22"/>
        </w:rPr>
        <w:t>3</w:t>
      </w:r>
      <w:r w:rsidR="0099462B" w:rsidRPr="00FF4325">
        <w:rPr>
          <w:rFonts w:ascii="Times New Roman" w:hAnsi="Times New Roman" w:cs="Times New Roman"/>
          <w:sz w:val="22"/>
          <w:szCs w:val="22"/>
        </w:rPr>
        <w:t>) and 9(</w:t>
      </w:r>
      <w:r w:rsidR="002C33B3">
        <w:rPr>
          <w:rFonts w:ascii="Times New Roman" w:hAnsi="Times New Roman" w:cs="Times New Roman"/>
          <w:sz w:val="22"/>
          <w:szCs w:val="22"/>
        </w:rPr>
        <w:t>6</w:t>
      </w:r>
      <w:r w:rsidR="0099462B" w:rsidRPr="00FF4325">
        <w:rPr>
          <w:rFonts w:ascii="Times New Roman" w:hAnsi="Times New Roman" w:cs="Times New Roman"/>
          <w:sz w:val="22"/>
          <w:szCs w:val="22"/>
        </w:rPr>
        <w:t>) (in relation to category 3 furniture).</w:t>
      </w:r>
      <w:r w:rsidR="0081019A">
        <w:rPr>
          <w:rFonts w:ascii="Times New Roman" w:hAnsi="Times New Roman" w:cs="Times New Roman"/>
          <w:sz w:val="22"/>
          <w:szCs w:val="22"/>
        </w:rPr>
        <w:t xml:space="preserve"> </w:t>
      </w:r>
      <w:r w:rsidR="003C67B6">
        <w:rPr>
          <w:rFonts w:ascii="Times New Roman" w:hAnsi="Times New Roman" w:cs="Times New Roman"/>
          <w:sz w:val="22"/>
          <w:szCs w:val="22"/>
        </w:rPr>
        <w:t xml:space="preserve">The inclusion of </w:t>
      </w:r>
      <w:r w:rsidR="0081019A">
        <w:rPr>
          <w:rFonts w:ascii="Times New Roman" w:hAnsi="Times New Roman" w:cs="Times New Roman"/>
          <w:sz w:val="22"/>
          <w:szCs w:val="22"/>
        </w:rPr>
        <w:t>pictogram</w:t>
      </w:r>
      <w:r w:rsidR="00EE2923">
        <w:rPr>
          <w:rFonts w:ascii="Times New Roman" w:hAnsi="Times New Roman" w:cs="Times New Roman"/>
          <w:sz w:val="22"/>
          <w:szCs w:val="22"/>
        </w:rPr>
        <w:t>s</w:t>
      </w:r>
      <w:r w:rsidR="0081019A">
        <w:rPr>
          <w:rFonts w:ascii="Times New Roman" w:hAnsi="Times New Roman" w:cs="Times New Roman"/>
          <w:sz w:val="22"/>
          <w:szCs w:val="22"/>
        </w:rPr>
        <w:t xml:space="preserve"> that show toppling furniture anchored to a wall with a green tick is not </w:t>
      </w:r>
      <w:proofErr w:type="gramStart"/>
      <w:r w:rsidR="0081019A">
        <w:rPr>
          <w:rFonts w:ascii="Times New Roman" w:hAnsi="Times New Roman" w:cs="Times New Roman"/>
          <w:sz w:val="22"/>
          <w:szCs w:val="22"/>
        </w:rPr>
        <w:t>required, but</w:t>
      </w:r>
      <w:proofErr w:type="gramEnd"/>
      <w:r w:rsidR="0081019A">
        <w:rPr>
          <w:rFonts w:ascii="Times New Roman" w:hAnsi="Times New Roman" w:cs="Times New Roman"/>
          <w:sz w:val="22"/>
          <w:szCs w:val="22"/>
        </w:rPr>
        <w:t xml:space="preserve"> is recommended. </w:t>
      </w:r>
    </w:p>
    <w:p w14:paraId="46CE0406" w14:textId="77777777" w:rsidR="00187881" w:rsidRDefault="00187881" w:rsidP="00A23AC7">
      <w:pPr>
        <w:pStyle w:val="Default"/>
        <w:spacing w:after="240"/>
        <w:rPr>
          <w:rFonts w:ascii="Times New Roman" w:hAnsi="Times New Roman" w:cs="Times New Roman"/>
          <w:i/>
          <w:iCs/>
          <w:u w:val="single"/>
        </w:rPr>
      </w:pPr>
      <w:r w:rsidRPr="00187881">
        <w:rPr>
          <w:rFonts w:ascii="Times New Roman" w:hAnsi="Times New Roman" w:cs="Times New Roman"/>
          <w:i/>
          <w:iCs/>
          <w:u w:val="single"/>
        </w:rPr>
        <w:t>Category 1 &amp; 3</w:t>
      </w:r>
      <w:r w:rsidRPr="004D77C6">
        <w:rPr>
          <w:rFonts w:ascii="Times New Roman" w:hAnsi="Times New Roman" w:cs="Times New Roman"/>
          <w:i/>
          <w:iCs/>
        </w:rPr>
        <w:tab/>
      </w:r>
    </w:p>
    <w:p w14:paraId="73CDB065" w14:textId="77777777" w:rsidR="00187881" w:rsidRPr="00187881" w:rsidRDefault="00187881" w:rsidP="00187881">
      <w:pPr>
        <w:pStyle w:val="Default"/>
        <w:rPr>
          <w:rFonts w:ascii="Times New Roman" w:hAnsi="Times New Roman" w:cs="Times New Roman"/>
          <w:i/>
          <w:iCs/>
          <w:u w:val="single"/>
        </w:rPr>
      </w:pPr>
      <w:r w:rsidRPr="00187881"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37E5B852" wp14:editId="0BF48618">
            <wp:extent cx="2082165" cy="4305300"/>
            <wp:effectExtent l="0" t="0" r="0" b="0"/>
            <wp:docPr id="11" name="Picture 11" descr="A hangtag containing text and pictograms warning about the risk of toppling furnitur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hangtag containing text and pictograms warning about the risk of toppling furniture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11" cy="44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8687" w14:textId="5BDAD965" w:rsidR="00842571" w:rsidRDefault="005E1205" w:rsidP="00842571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842571" w:rsidRPr="00FF4325">
        <w:rPr>
          <w:rFonts w:ascii="Times New Roman" w:hAnsi="Times New Roman" w:cs="Times New Roman"/>
          <w:sz w:val="22"/>
          <w:szCs w:val="22"/>
        </w:rPr>
        <w:t>he following is an example of a (not to scale) hang tag that is compliant with the requirements of subsections 8(</w:t>
      </w:r>
      <w:r w:rsidR="00C53D5B">
        <w:rPr>
          <w:rFonts w:ascii="Times New Roman" w:hAnsi="Times New Roman" w:cs="Times New Roman"/>
          <w:sz w:val="22"/>
          <w:szCs w:val="22"/>
        </w:rPr>
        <w:t>3</w:t>
      </w:r>
      <w:r w:rsidR="00842571" w:rsidRPr="00FF4325">
        <w:rPr>
          <w:rFonts w:ascii="Times New Roman" w:hAnsi="Times New Roman" w:cs="Times New Roman"/>
          <w:sz w:val="22"/>
          <w:szCs w:val="22"/>
        </w:rPr>
        <w:t>) and 8(</w:t>
      </w:r>
      <w:r w:rsidR="00C53D5B">
        <w:rPr>
          <w:rFonts w:ascii="Times New Roman" w:hAnsi="Times New Roman" w:cs="Times New Roman"/>
          <w:sz w:val="22"/>
          <w:szCs w:val="22"/>
        </w:rPr>
        <w:t>5</w:t>
      </w:r>
      <w:r w:rsidR="00842571" w:rsidRPr="00FF4325">
        <w:rPr>
          <w:rFonts w:ascii="Times New Roman" w:hAnsi="Times New Roman" w:cs="Times New Roman"/>
          <w:sz w:val="22"/>
          <w:szCs w:val="22"/>
        </w:rPr>
        <w:t>) (in relation to category 2 furniture</w:t>
      </w:r>
      <w:proofErr w:type="gramStart"/>
      <w:r w:rsidR="00842571" w:rsidRPr="00FF4325">
        <w:rPr>
          <w:rFonts w:ascii="Times New Roman" w:hAnsi="Times New Roman" w:cs="Times New Roman"/>
          <w:sz w:val="22"/>
          <w:szCs w:val="22"/>
        </w:rPr>
        <w:t>).</w:t>
      </w:r>
      <w:r w:rsidR="003C67B6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="003C67B6">
        <w:rPr>
          <w:rFonts w:ascii="Times New Roman" w:hAnsi="Times New Roman" w:cs="Times New Roman"/>
          <w:sz w:val="22"/>
          <w:szCs w:val="22"/>
        </w:rPr>
        <w:t xml:space="preserve"> inclusion of a</w:t>
      </w:r>
      <w:r w:rsidR="00765756">
        <w:rPr>
          <w:rFonts w:ascii="Times New Roman" w:hAnsi="Times New Roman" w:cs="Times New Roman"/>
          <w:sz w:val="22"/>
          <w:szCs w:val="22"/>
        </w:rPr>
        <w:t xml:space="preserve"> </w:t>
      </w:r>
      <w:r w:rsidR="00A50320">
        <w:rPr>
          <w:rFonts w:ascii="Times New Roman" w:hAnsi="Times New Roman" w:cs="Times New Roman"/>
          <w:sz w:val="22"/>
          <w:szCs w:val="22"/>
        </w:rPr>
        <w:t>pictogram that shows the toppling furniture anchored to a wall with a green tick is not required, but is recommended.</w:t>
      </w:r>
    </w:p>
    <w:p w14:paraId="4C13E6DA" w14:textId="32902D50" w:rsidR="00187881" w:rsidRPr="004D77C6" w:rsidRDefault="0099462B" w:rsidP="00842571">
      <w:pPr>
        <w:pStyle w:val="Default"/>
        <w:widowControl w:val="0"/>
        <w:spacing w:before="120" w:after="12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4D77C6">
        <w:rPr>
          <w:rFonts w:ascii="Times New Roman" w:hAnsi="Times New Roman" w:cs="Times New Roman"/>
          <w:i/>
          <w:iCs/>
          <w:u w:val="single"/>
        </w:rPr>
        <w:lastRenderedPageBreak/>
        <w:t>Category 2</w:t>
      </w:r>
    </w:p>
    <w:p w14:paraId="4BCC141B" w14:textId="68F1FC25" w:rsidR="00842571" w:rsidRDefault="00390DC7" w:rsidP="004D77C6">
      <w:pPr>
        <w:pStyle w:val="Default"/>
        <w:widowControl w:val="0"/>
        <w:spacing w:before="120" w:after="120"/>
      </w:pPr>
      <w:r>
        <w:rPr>
          <w:noProof/>
        </w:rPr>
        <w:drawing>
          <wp:inline distT="0" distB="0" distL="0" distR="0" wp14:anchorId="690D59B0" wp14:editId="6081557B">
            <wp:extent cx="1980805" cy="3571875"/>
            <wp:effectExtent l="0" t="0" r="635" b="0"/>
            <wp:docPr id="1" name="Picture 1" descr="A hangtag containing text and pictograms warning about the risk of toppling furniture and advising to secure televisions with an anchor dev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angtag containing text and pictograms warning about the risk of toppling furniture and advising to secure televisions with an anchor device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68" cy="361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0A02" w14:textId="77777777" w:rsidR="008168DD" w:rsidRPr="00FF4325" w:rsidRDefault="008168DD" w:rsidP="004D77C6">
      <w:pPr>
        <w:pStyle w:val="Default"/>
        <w:widowControl w:val="0"/>
        <w:spacing w:before="120" w:after="120"/>
      </w:pPr>
    </w:p>
    <w:p w14:paraId="58F61FCB" w14:textId="14036497" w:rsidR="003C45C8" w:rsidRPr="00FF4325" w:rsidRDefault="003C45C8" w:rsidP="003C45C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</w:pPr>
      <w:r w:rsidRPr="00FF4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  <w:t xml:space="preserve">Division </w:t>
      </w:r>
      <w:r w:rsidR="00D124A8" w:rsidRPr="00FF4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  <w:t>2</w:t>
      </w:r>
      <w:r w:rsidRPr="00FF4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  <w:t xml:space="preserve"> – Warnings </w:t>
      </w:r>
      <w:r w:rsidR="005648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AU"/>
        </w:rPr>
        <w:t>and safety information on furniture</w:t>
      </w:r>
    </w:p>
    <w:p w14:paraId="6B76C936" w14:textId="518A136E" w:rsidR="00007D7D" w:rsidRPr="00FF4325" w:rsidRDefault="003C45C8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  <w:u w:val="single"/>
        </w:rPr>
      </w:pPr>
      <w:r w:rsidRPr="00FF4325">
        <w:rPr>
          <w:rFonts w:ascii="Times New Roman" w:hAnsi="Times New Roman" w:cs="Times New Roman"/>
          <w:sz w:val="22"/>
          <w:szCs w:val="22"/>
          <w:u w:val="single"/>
        </w:rPr>
        <w:t xml:space="preserve">Section 9 – Warnings </w:t>
      </w:r>
      <w:r w:rsidR="00CE50C1" w:rsidRPr="00FF4325">
        <w:rPr>
          <w:rFonts w:ascii="Times New Roman" w:hAnsi="Times New Roman" w:cs="Times New Roman"/>
          <w:sz w:val="22"/>
          <w:szCs w:val="22"/>
          <w:u w:val="single"/>
        </w:rPr>
        <w:t xml:space="preserve">and safety information </w:t>
      </w:r>
      <w:r w:rsidR="00850262" w:rsidRPr="00FF4325">
        <w:rPr>
          <w:rFonts w:ascii="Times New Roman" w:hAnsi="Times New Roman" w:cs="Times New Roman"/>
          <w:sz w:val="22"/>
          <w:szCs w:val="22"/>
          <w:u w:val="single"/>
        </w:rPr>
        <w:t>to be affixed on toppling furniture</w:t>
      </w:r>
    </w:p>
    <w:p w14:paraId="70E8B8F3" w14:textId="37ED4FD7" w:rsidR="00396BB3" w:rsidRPr="00FF4325" w:rsidRDefault="002A2B49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>Subsection</w:t>
      </w:r>
      <w:r w:rsidR="005E01CC">
        <w:rPr>
          <w:rFonts w:ascii="Times New Roman" w:hAnsi="Times New Roman" w:cs="Times New Roman"/>
          <w:sz w:val="22"/>
          <w:szCs w:val="22"/>
        </w:rPr>
        <w:t>s</w:t>
      </w:r>
      <w:r w:rsidRPr="00FF4325">
        <w:rPr>
          <w:rFonts w:ascii="Times New Roman" w:hAnsi="Times New Roman" w:cs="Times New Roman"/>
          <w:sz w:val="22"/>
          <w:szCs w:val="22"/>
        </w:rPr>
        <w:t xml:space="preserve"> 9(1) </w:t>
      </w:r>
      <w:r w:rsidR="005E01CC">
        <w:rPr>
          <w:rFonts w:ascii="Times New Roman" w:hAnsi="Times New Roman" w:cs="Times New Roman"/>
          <w:sz w:val="22"/>
          <w:szCs w:val="22"/>
        </w:rPr>
        <w:t xml:space="preserve">and </w:t>
      </w:r>
      <w:r w:rsidR="00850CFF">
        <w:rPr>
          <w:rFonts w:ascii="Times New Roman" w:hAnsi="Times New Roman" w:cs="Times New Roman"/>
          <w:sz w:val="22"/>
          <w:szCs w:val="22"/>
        </w:rPr>
        <w:t xml:space="preserve">9(2) </w:t>
      </w:r>
      <w:r w:rsidRPr="00FF4325">
        <w:rPr>
          <w:rFonts w:ascii="Times New Roman" w:hAnsi="Times New Roman" w:cs="Times New Roman"/>
          <w:sz w:val="22"/>
          <w:szCs w:val="22"/>
        </w:rPr>
        <w:t>provide that</w:t>
      </w:r>
      <w:r w:rsidR="005A3805" w:rsidRPr="00FF4325">
        <w:rPr>
          <w:rFonts w:ascii="Times New Roman" w:hAnsi="Times New Roman" w:cs="Times New Roman"/>
          <w:sz w:val="22"/>
          <w:szCs w:val="22"/>
        </w:rPr>
        <w:t xml:space="preserve"> person</w:t>
      </w:r>
      <w:r w:rsidR="00C875F9" w:rsidRPr="00FF4325">
        <w:rPr>
          <w:rFonts w:ascii="Times New Roman" w:hAnsi="Times New Roman" w:cs="Times New Roman"/>
          <w:sz w:val="22"/>
          <w:szCs w:val="22"/>
        </w:rPr>
        <w:t>s who supply t</w:t>
      </w:r>
      <w:r w:rsidR="00357EDC" w:rsidRPr="00FF4325">
        <w:rPr>
          <w:rFonts w:ascii="Times New Roman" w:hAnsi="Times New Roman" w:cs="Times New Roman"/>
          <w:sz w:val="22"/>
          <w:szCs w:val="22"/>
        </w:rPr>
        <w:t xml:space="preserve">oppling furniture must cause a </w:t>
      </w:r>
      <w:r w:rsidR="00C2385E" w:rsidRPr="00FF4325">
        <w:rPr>
          <w:rFonts w:ascii="Times New Roman" w:hAnsi="Times New Roman" w:cs="Times New Roman"/>
          <w:sz w:val="22"/>
          <w:szCs w:val="22"/>
        </w:rPr>
        <w:t xml:space="preserve">clearly visible, prominent and legible </w:t>
      </w:r>
      <w:r w:rsidR="00357EDC" w:rsidRPr="00FF4325">
        <w:rPr>
          <w:rFonts w:ascii="Times New Roman" w:hAnsi="Times New Roman" w:cs="Times New Roman"/>
          <w:sz w:val="22"/>
          <w:szCs w:val="22"/>
        </w:rPr>
        <w:t>warning about the risk of tip overs</w:t>
      </w:r>
      <w:r w:rsidR="000652D3" w:rsidRPr="00FF4325">
        <w:rPr>
          <w:rFonts w:ascii="Times New Roman" w:hAnsi="Times New Roman" w:cs="Times New Roman"/>
          <w:color w:val="auto"/>
          <w:sz w:val="22"/>
          <w:szCs w:val="20"/>
        </w:rPr>
        <w:t xml:space="preserve"> </w:t>
      </w:r>
      <w:r w:rsidR="000652D3" w:rsidRPr="00FF4325">
        <w:rPr>
          <w:rFonts w:ascii="Times New Roman" w:hAnsi="Times New Roman" w:cs="Times New Roman"/>
          <w:sz w:val="22"/>
          <w:szCs w:val="22"/>
        </w:rPr>
        <w:t>and the importance of anchoring to be displayed on toppling furniture.</w:t>
      </w:r>
      <w:r w:rsidR="00694738" w:rsidRPr="00FF4325">
        <w:rPr>
          <w:rFonts w:ascii="Times New Roman" w:hAnsi="Times New Roman" w:cs="Times New Roman"/>
          <w:sz w:val="22"/>
          <w:szCs w:val="22"/>
        </w:rPr>
        <w:t xml:space="preserve"> The warning </w:t>
      </w:r>
      <w:r w:rsidR="0006435B" w:rsidRPr="00FF4325">
        <w:rPr>
          <w:rFonts w:ascii="Times New Roman" w:hAnsi="Times New Roman" w:cs="Times New Roman"/>
          <w:sz w:val="22"/>
          <w:szCs w:val="22"/>
        </w:rPr>
        <w:t xml:space="preserve">must be </w:t>
      </w:r>
      <w:r w:rsidR="00FD307E" w:rsidRPr="00FF4325">
        <w:rPr>
          <w:rFonts w:ascii="Times New Roman" w:hAnsi="Times New Roman" w:cs="Times New Roman"/>
          <w:sz w:val="22"/>
          <w:szCs w:val="22"/>
        </w:rPr>
        <w:t xml:space="preserve">included </w:t>
      </w:r>
      <w:r w:rsidR="0006435B" w:rsidRPr="00FF4325">
        <w:rPr>
          <w:rFonts w:ascii="Times New Roman" w:hAnsi="Times New Roman" w:cs="Times New Roman"/>
          <w:sz w:val="22"/>
          <w:szCs w:val="22"/>
        </w:rPr>
        <w:t xml:space="preserve">on an affixed permanent and durable </w:t>
      </w:r>
      <w:r w:rsidR="00694738" w:rsidRPr="00FF4325">
        <w:rPr>
          <w:rFonts w:ascii="Times New Roman" w:hAnsi="Times New Roman" w:cs="Times New Roman"/>
          <w:sz w:val="22"/>
          <w:szCs w:val="22"/>
        </w:rPr>
        <w:t xml:space="preserve">label </w:t>
      </w:r>
      <w:r w:rsidR="00FE40FE" w:rsidRPr="00FF4325">
        <w:rPr>
          <w:rFonts w:ascii="Times New Roman" w:hAnsi="Times New Roman" w:cs="Times New Roman"/>
          <w:sz w:val="22"/>
          <w:szCs w:val="22"/>
        </w:rPr>
        <w:t>that will last the lifetime of the product (assuming normal use) and</w:t>
      </w:r>
      <w:r w:rsidR="001E41E3" w:rsidRPr="00FF4325">
        <w:rPr>
          <w:rFonts w:ascii="Times New Roman" w:hAnsi="Times New Roman" w:cs="Times New Roman"/>
          <w:sz w:val="22"/>
          <w:szCs w:val="22"/>
        </w:rPr>
        <w:t xml:space="preserve"> in a location where it will be visible when the toppling furniture is empty.</w:t>
      </w:r>
      <w:r w:rsidR="00F11276" w:rsidRPr="00FF4325">
        <w:rPr>
          <w:rFonts w:ascii="Times New Roman" w:hAnsi="Times New Roman" w:cs="Times New Roman"/>
          <w:sz w:val="22"/>
          <w:szCs w:val="22"/>
        </w:rPr>
        <w:t xml:space="preserve"> The note to subsection 9(</w:t>
      </w:r>
      <w:r w:rsidR="00925A75">
        <w:rPr>
          <w:rFonts w:ascii="Times New Roman" w:hAnsi="Times New Roman" w:cs="Times New Roman"/>
          <w:sz w:val="22"/>
          <w:szCs w:val="22"/>
        </w:rPr>
        <w:t>2</w:t>
      </w:r>
      <w:r w:rsidR="00F11276" w:rsidRPr="00FF4325">
        <w:rPr>
          <w:rFonts w:ascii="Times New Roman" w:hAnsi="Times New Roman" w:cs="Times New Roman"/>
          <w:sz w:val="22"/>
          <w:szCs w:val="22"/>
        </w:rPr>
        <w:t>) clarifies, by way of ex</w:t>
      </w:r>
      <w:r w:rsidR="00204314" w:rsidRPr="00FF4325">
        <w:rPr>
          <w:rFonts w:ascii="Times New Roman" w:hAnsi="Times New Roman" w:cs="Times New Roman"/>
          <w:sz w:val="22"/>
          <w:szCs w:val="22"/>
        </w:rPr>
        <w:t xml:space="preserve">ample, that a warning label affixed to </w:t>
      </w:r>
      <w:r w:rsidR="00496AC5" w:rsidRPr="00FF4325">
        <w:rPr>
          <w:rFonts w:ascii="Times New Roman" w:hAnsi="Times New Roman" w:cs="Times New Roman"/>
          <w:sz w:val="22"/>
          <w:szCs w:val="22"/>
        </w:rPr>
        <w:t>the inside of a</w:t>
      </w:r>
      <w:r w:rsidR="002F61CA" w:rsidRPr="00FF4325">
        <w:rPr>
          <w:rFonts w:ascii="Times New Roman" w:hAnsi="Times New Roman" w:cs="Times New Roman"/>
          <w:sz w:val="22"/>
          <w:szCs w:val="22"/>
        </w:rPr>
        <w:t>n item</w:t>
      </w:r>
      <w:r w:rsidR="00496AC5"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="00204314" w:rsidRPr="00FF4325">
        <w:rPr>
          <w:rFonts w:ascii="Times New Roman" w:hAnsi="Times New Roman" w:cs="Times New Roman"/>
          <w:sz w:val="22"/>
          <w:szCs w:val="22"/>
        </w:rPr>
        <w:t>of toppling furniture’s door or</w:t>
      </w:r>
      <w:r w:rsidR="00496AC5" w:rsidRPr="00FF4325">
        <w:rPr>
          <w:rFonts w:ascii="Times New Roman" w:hAnsi="Times New Roman" w:cs="Times New Roman"/>
          <w:sz w:val="22"/>
          <w:szCs w:val="22"/>
        </w:rPr>
        <w:t xml:space="preserve"> drawer</w:t>
      </w:r>
      <w:r w:rsidR="00AB2F61" w:rsidRPr="00FF4325">
        <w:rPr>
          <w:rFonts w:ascii="Times New Roman" w:hAnsi="Times New Roman" w:cs="Times New Roman"/>
          <w:sz w:val="22"/>
          <w:szCs w:val="22"/>
        </w:rPr>
        <w:t xml:space="preserve"> will be visible when that piece of furniture </w:t>
      </w:r>
      <w:r w:rsidR="003C38A3" w:rsidRPr="00FF4325">
        <w:rPr>
          <w:rFonts w:ascii="Times New Roman" w:hAnsi="Times New Roman" w:cs="Times New Roman"/>
          <w:sz w:val="22"/>
          <w:szCs w:val="22"/>
        </w:rPr>
        <w:t>is empty.</w:t>
      </w:r>
    </w:p>
    <w:p w14:paraId="0D5A0B89" w14:textId="36239C38" w:rsidR="00396BB3" w:rsidRDefault="00103925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>The matters to be included in such warnings</w:t>
      </w:r>
      <w:r w:rsidR="00DD14E8"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Pr="00FF4325">
        <w:rPr>
          <w:rFonts w:ascii="Times New Roman" w:hAnsi="Times New Roman" w:cs="Times New Roman"/>
          <w:sz w:val="22"/>
          <w:szCs w:val="22"/>
        </w:rPr>
        <w:t>are set out in subsection 9(</w:t>
      </w:r>
      <w:r w:rsidR="00C53D5B">
        <w:rPr>
          <w:rFonts w:ascii="Times New Roman" w:hAnsi="Times New Roman" w:cs="Times New Roman"/>
          <w:sz w:val="22"/>
          <w:szCs w:val="22"/>
        </w:rPr>
        <w:t>3</w:t>
      </w:r>
      <w:r w:rsidRPr="00FF4325">
        <w:rPr>
          <w:rFonts w:ascii="Times New Roman" w:hAnsi="Times New Roman" w:cs="Times New Roman"/>
          <w:sz w:val="22"/>
          <w:szCs w:val="22"/>
        </w:rPr>
        <w:t xml:space="preserve">) and, depending on whether the relevant toppling furniture is category 1, category 2 or category 3 furniture, subsection </w:t>
      </w:r>
      <w:r w:rsidR="00AB1AC8" w:rsidRPr="00FF4325">
        <w:rPr>
          <w:rFonts w:ascii="Times New Roman" w:hAnsi="Times New Roman" w:cs="Times New Roman"/>
          <w:sz w:val="22"/>
          <w:szCs w:val="22"/>
        </w:rPr>
        <w:t>9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C53D5B">
        <w:rPr>
          <w:rFonts w:ascii="Times New Roman" w:hAnsi="Times New Roman" w:cs="Times New Roman"/>
          <w:sz w:val="22"/>
          <w:szCs w:val="22"/>
        </w:rPr>
        <w:t>4</w:t>
      </w:r>
      <w:r w:rsidRPr="00FF4325">
        <w:rPr>
          <w:rFonts w:ascii="Times New Roman" w:hAnsi="Times New Roman" w:cs="Times New Roman"/>
          <w:sz w:val="22"/>
          <w:szCs w:val="22"/>
        </w:rPr>
        <w:t xml:space="preserve">), </w:t>
      </w:r>
      <w:r w:rsidR="00AB1AC8" w:rsidRPr="00FF4325">
        <w:rPr>
          <w:rFonts w:ascii="Times New Roman" w:hAnsi="Times New Roman" w:cs="Times New Roman"/>
          <w:sz w:val="22"/>
          <w:szCs w:val="22"/>
        </w:rPr>
        <w:t>9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C53D5B">
        <w:rPr>
          <w:rFonts w:ascii="Times New Roman" w:hAnsi="Times New Roman" w:cs="Times New Roman"/>
          <w:sz w:val="22"/>
          <w:szCs w:val="22"/>
        </w:rPr>
        <w:t>5</w:t>
      </w:r>
      <w:r w:rsidRPr="00FF4325">
        <w:rPr>
          <w:rFonts w:ascii="Times New Roman" w:hAnsi="Times New Roman" w:cs="Times New Roman"/>
          <w:sz w:val="22"/>
          <w:szCs w:val="22"/>
        </w:rPr>
        <w:t xml:space="preserve">) or </w:t>
      </w:r>
      <w:r w:rsidR="00AB1AC8" w:rsidRPr="00FF4325">
        <w:rPr>
          <w:rFonts w:ascii="Times New Roman" w:hAnsi="Times New Roman" w:cs="Times New Roman"/>
          <w:sz w:val="22"/>
          <w:szCs w:val="22"/>
        </w:rPr>
        <w:t>9</w:t>
      </w:r>
      <w:r w:rsidRPr="00FF4325">
        <w:rPr>
          <w:rFonts w:ascii="Times New Roman" w:hAnsi="Times New Roman" w:cs="Times New Roman"/>
          <w:sz w:val="22"/>
          <w:szCs w:val="22"/>
        </w:rPr>
        <w:t>(</w:t>
      </w:r>
      <w:r w:rsidR="00C53D5B">
        <w:rPr>
          <w:rFonts w:ascii="Times New Roman" w:hAnsi="Times New Roman" w:cs="Times New Roman"/>
          <w:sz w:val="22"/>
          <w:szCs w:val="22"/>
        </w:rPr>
        <w:t>6</w:t>
      </w:r>
      <w:r w:rsidRPr="00FF4325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28EE6565" w14:textId="23ECE8B5" w:rsidR="004D77C6" w:rsidRDefault="004D77C6" w:rsidP="004D77C6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>The following is an example of a (not to scale) warning label that is compliant with the requirements of subsections 9(</w:t>
      </w:r>
      <w:r w:rsidR="00C53D5B">
        <w:rPr>
          <w:rFonts w:ascii="Times New Roman" w:hAnsi="Times New Roman" w:cs="Times New Roman"/>
          <w:sz w:val="22"/>
          <w:szCs w:val="22"/>
        </w:rPr>
        <w:t>3</w:t>
      </w:r>
      <w:r w:rsidRPr="00FF4325">
        <w:rPr>
          <w:rFonts w:ascii="Times New Roman" w:hAnsi="Times New Roman" w:cs="Times New Roman"/>
          <w:sz w:val="22"/>
          <w:szCs w:val="22"/>
        </w:rPr>
        <w:t>) and 9(</w:t>
      </w:r>
      <w:r w:rsidR="00C53D5B">
        <w:rPr>
          <w:rFonts w:ascii="Times New Roman" w:hAnsi="Times New Roman" w:cs="Times New Roman"/>
          <w:sz w:val="22"/>
          <w:szCs w:val="22"/>
        </w:rPr>
        <w:t>4</w:t>
      </w:r>
      <w:r w:rsidRPr="00FF4325">
        <w:rPr>
          <w:rFonts w:ascii="Times New Roman" w:hAnsi="Times New Roman" w:cs="Times New Roman"/>
          <w:sz w:val="22"/>
          <w:szCs w:val="22"/>
        </w:rPr>
        <w:t>) (in relation to category 1 furniture)</w:t>
      </w:r>
      <w:r>
        <w:rPr>
          <w:rFonts w:ascii="Times New Roman" w:hAnsi="Times New Roman" w:cs="Times New Roman"/>
          <w:sz w:val="22"/>
          <w:szCs w:val="22"/>
        </w:rPr>
        <w:t xml:space="preserve">. The label is also compliant in respect of </w:t>
      </w:r>
      <w:r w:rsidRPr="00FF4325">
        <w:rPr>
          <w:rFonts w:ascii="Times New Roman" w:hAnsi="Times New Roman" w:cs="Times New Roman"/>
          <w:sz w:val="22"/>
          <w:szCs w:val="22"/>
        </w:rPr>
        <w:t>subsections 9(</w:t>
      </w:r>
      <w:r w:rsidR="00C53D5B">
        <w:rPr>
          <w:rFonts w:ascii="Times New Roman" w:hAnsi="Times New Roman" w:cs="Times New Roman"/>
          <w:sz w:val="22"/>
          <w:szCs w:val="22"/>
        </w:rPr>
        <w:t>3</w:t>
      </w:r>
      <w:r w:rsidRPr="00FF4325">
        <w:rPr>
          <w:rFonts w:ascii="Times New Roman" w:hAnsi="Times New Roman" w:cs="Times New Roman"/>
          <w:sz w:val="22"/>
          <w:szCs w:val="22"/>
        </w:rPr>
        <w:t>) and 9(</w:t>
      </w:r>
      <w:r w:rsidR="00C53D5B">
        <w:rPr>
          <w:rFonts w:ascii="Times New Roman" w:hAnsi="Times New Roman" w:cs="Times New Roman"/>
          <w:sz w:val="22"/>
          <w:szCs w:val="22"/>
        </w:rPr>
        <w:t>6</w:t>
      </w:r>
      <w:r w:rsidRPr="00FF4325">
        <w:rPr>
          <w:rFonts w:ascii="Times New Roman" w:hAnsi="Times New Roman" w:cs="Times New Roman"/>
          <w:sz w:val="22"/>
          <w:szCs w:val="22"/>
        </w:rPr>
        <w:t>) (in relation to category 3 furniture).</w:t>
      </w:r>
      <w:r w:rsidR="00A50320">
        <w:rPr>
          <w:rFonts w:ascii="Times New Roman" w:hAnsi="Times New Roman" w:cs="Times New Roman"/>
          <w:sz w:val="22"/>
          <w:szCs w:val="22"/>
        </w:rPr>
        <w:t xml:space="preserve"> </w:t>
      </w:r>
      <w:r w:rsidR="003C67B6">
        <w:rPr>
          <w:rFonts w:ascii="Times New Roman" w:hAnsi="Times New Roman" w:cs="Times New Roman"/>
          <w:sz w:val="22"/>
          <w:szCs w:val="22"/>
        </w:rPr>
        <w:t>The inclusion of a</w:t>
      </w:r>
      <w:r w:rsidR="00A50320">
        <w:rPr>
          <w:rFonts w:ascii="Times New Roman" w:hAnsi="Times New Roman" w:cs="Times New Roman"/>
          <w:sz w:val="22"/>
          <w:szCs w:val="22"/>
        </w:rPr>
        <w:t xml:space="preserve"> pictogram that shows the toppling furniture anchored to a wall with a green tick is not </w:t>
      </w:r>
      <w:proofErr w:type="gramStart"/>
      <w:r w:rsidR="00A50320">
        <w:rPr>
          <w:rFonts w:ascii="Times New Roman" w:hAnsi="Times New Roman" w:cs="Times New Roman"/>
          <w:sz w:val="22"/>
          <w:szCs w:val="22"/>
        </w:rPr>
        <w:t>required, but</w:t>
      </w:r>
      <w:proofErr w:type="gramEnd"/>
      <w:r w:rsidR="00A50320">
        <w:rPr>
          <w:rFonts w:ascii="Times New Roman" w:hAnsi="Times New Roman" w:cs="Times New Roman"/>
          <w:sz w:val="22"/>
          <w:szCs w:val="22"/>
        </w:rPr>
        <w:t xml:space="preserve"> is recommended.</w:t>
      </w:r>
    </w:p>
    <w:p w14:paraId="21227FE8" w14:textId="2AF230F9" w:rsidR="00390DC7" w:rsidRPr="007537EE" w:rsidRDefault="00391AFA" w:rsidP="00046667">
      <w:pPr>
        <w:pStyle w:val="Default"/>
        <w:widowControl w:val="0"/>
        <w:spacing w:before="120" w:after="12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91AFA">
        <w:rPr>
          <w:rFonts w:ascii="Times New Roman" w:hAnsi="Times New Roman" w:cs="Times New Roman"/>
          <w:i/>
          <w:iCs/>
          <w:sz w:val="22"/>
          <w:szCs w:val="22"/>
          <w:u w:val="single"/>
        </w:rPr>
        <w:t>Category 1 &amp; 3</w:t>
      </w:r>
    </w:p>
    <w:p w14:paraId="3E146B61" w14:textId="284D8997" w:rsidR="00390DC7" w:rsidRDefault="008168DD" w:rsidP="00046667">
      <w:pPr>
        <w:pStyle w:val="Default"/>
        <w:widowControl w:val="0"/>
        <w:spacing w:before="120" w:after="120"/>
        <w:rPr>
          <w:noProof/>
        </w:rPr>
      </w:pPr>
      <w:r w:rsidRPr="00FF4325">
        <w:rPr>
          <w:rFonts w:ascii="Times New Roman" w:hAnsi="Times New Roman" w:cs="Times New Roman"/>
          <w:noProof/>
          <w:lang w:eastAsia="en-AU"/>
        </w:rPr>
        <w:lastRenderedPageBreak/>
        <w:drawing>
          <wp:anchor distT="0" distB="0" distL="114300" distR="114300" simplePos="0" relativeHeight="251681799" behindDoc="0" locked="0" layoutInCell="1" allowOverlap="1" wp14:anchorId="0FD88646" wp14:editId="26E66607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2266950" cy="3719195"/>
            <wp:effectExtent l="0" t="0" r="0" b="0"/>
            <wp:wrapSquare wrapText="bothSides"/>
            <wp:docPr id="2" name="Picture 2" descr="A label with text and pictograms warning about the risk of toppling furn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abel with text and pictograms warning about the risk of toppling furni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54" cy="372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971DA" w14:textId="12C1715E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2226ED54" w14:textId="4A6B829C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197E855F" w14:textId="25CF5A2A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1EC2D021" w14:textId="32B757C8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3EAF6CAC" w14:textId="6AE8D43B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0122BBCC" w14:textId="2C8B2500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71174B10" w14:textId="25A796E5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2954849E" w14:textId="2A70686F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3563254B" w14:textId="379A8636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3E1BA8E6" w14:textId="462B4CE1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06313EF7" w14:textId="2A493A6F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565390B6" w14:textId="5EE36E88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56143E22" w14:textId="61A07950" w:rsidR="00390DC7" w:rsidRDefault="00390DC7" w:rsidP="00046667">
      <w:pPr>
        <w:pStyle w:val="Default"/>
        <w:widowControl w:val="0"/>
        <w:spacing w:before="120" w:after="120"/>
        <w:rPr>
          <w:noProof/>
        </w:rPr>
      </w:pPr>
    </w:p>
    <w:p w14:paraId="7F40F888" w14:textId="77777777" w:rsidR="008168DD" w:rsidRDefault="008168DD" w:rsidP="004D77C6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382F1007" w14:textId="31976BA3" w:rsidR="004D77C6" w:rsidRPr="00FF4325" w:rsidRDefault="004D77C6" w:rsidP="004D77C6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>The following is an example of a (not to scale) warning label that is compliant with the requirements of subsections 9(</w:t>
      </w:r>
      <w:r w:rsidR="00C53D5B">
        <w:rPr>
          <w:rFonts w:ascii="Times New Roman" w:hAnsi="Times New Roman" w:cs="Times New Roman"/>
          <w:sz w:val="22"/>
          <w:szCs w:val="22"/>
        </w:rPr>
        <w:t>3</w:t>
      </w:r>
      <w:r w:rsidRPr="00FF4325">
        <w:rPr>
          <w:rFonts w:ascii="Times New Roman" w:hAnsi="Times New Roman" w:cs="Times New Roman"/>
          <w:sz w:val="22"/>
          <w:szCs w:val="22"/>
        </w:rPr>
        <w:t>) and 9(</w:t>
      </w:r>
      <w:r w:rsidR="00C53D5B">
        <w:rPr>
          <w:rFonts w:ascii="Times New Roman" w:hAnsi="Times New Roman" w:cs="Times New Roman"/>
          <w:sz w:val="22"/>
          <w:szCs w:val="22"/>
        </w:rPr>
        <w:t>5</w:t>
      </w:r>
      <w:r w:rsidRPr="00FF4325">
        <w:rPr>
          <w:rFonts w:ascii="Times New Roman" w:hAnsi="Times New Roman" w:cs="Times New Roman"/>
          <w:sz w:val="22"/>
          <w:szCs w:val="22"/>
        </w:rPr>
        <w:t>) (in relation to category 2 furniture).</w:t>
      </w:r>
      <w:r w:rsidR="00A50320">
        <w:rPr>
          <w:rFonts w:ascii="Times New Roman" w:hAnsi="Times New Roman" w:cs="Times New Roman"/>
          <w:sz w:val="22"/>
          <w:szCs w:val="22"/>
        </w:rPr>
        <w:t xml:space="preserve"> </w:t>
      </w:r>
      <w:r w:rsidR="003C67B6">
        <w:rPr>
          <w:rFonts w:ascii="Times New Roman" w:hAnsi="Times New Roman" w:cs="Times New Roman"/>
          <w:sz w:val="22"/>
          <w:szCs w:val="22"/>
        </w:rPr>
        <w:t>The inclusion of a</w:t>
      </w:r>
      <w:r w:rsidR="00A50320">
        <w:rPr>
          <w:rFonts w:ascii="Times New Roman" w:hAnsi="Times New Roman" w:cs="Times New Roman"/>
          <w:sz w:val="22"/>
          <w:szCs w:val="22"/>
        </w:rPr>
        <w:t xml:space="preserve"> pictogram that shows the toppling furniture anchored to a wall with a green tick is not </w:t>
      </w:r>
      <w:proofErr w:type="gramStart"/>
      <w:r w:rsidR="00A50320">
        <w:rPr>
          <w:rFonts w:ascii="Times New Roman" w:hAnsi="Times New Roman" w:cs="Times New Roman"/>
          <w:sz w:val="22"/>
          <w:szCs w:val="22"/>
        </w:rPr>
        <w:t>required, but</w:t>
      </w:r>
      <w:proofErr w:type="gramEnd"/>
      <w:r w:rsidR="00A50320">
        <w:rPr>
          <w:rFonts w:ascii="Times New Roman" w:hAnsi="Times New Roman" w:cs="Times New Roman"/>
          <w:sz w:val="22"/>
          <w:szCs w:val="22"/>
        </w:rPr>
        <w:t xml:space="preserve"> is recommended.</w:t>
      </w:r>
    </w:p>
    <w:p w14:paraId="0086A022" w14:textId="63A30A03" w:rsidR="004D77C6" w:rsidRDefault="004D77C6" w:rsidP="004D77C6">
      <w:pPr>
        <w:pStyle w:val="Default"/>
        <w:widowControl w:val="0"/>
        <w:spacing w:before="120" w:after="12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>Category 2</w:t>
      </w:r>
    </w:p>
    <w:p w14:paraId="23BB025A" w14:textId="49D2D76C" w:rsidR="00391AFA" w:rsidRDefault="00390DC7" w:rsidP="00391AFA">
      <w:pPr>
        <w:pStyle w:val="Default"/>
        <w:widowControl w:val="0"/>
        <w:spacing w:before="120" w:after="120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389F2A38" wp14:editId="2C62626A">
            <wp:extent cx="2295525" cy="3372236"/>
            <wp:effectExtent l="0" t="0" r="0" b="0"/>
            <wp:docPr id="17" name="Picture 17" descr="A label with text and pictograms warning about the risk of toppling furniture and advising to secure televisions with an anchor d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label with text and pictograms warning about the risk of toppling furniture and advising to secure televisions with an anchor devi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58" cy="345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7C0C5" w14:textId="136D736F" w:rsidR="00396BB3" w:rsidRPr="00FF4325" w:rsidRDefault="00396BB3" w:rsidP="00391AFA">
      <w:pPr>
        <w:pStyle w:val="Default"/>
        <w:widowControl w:val="0"/>
        <w:spacing w:before="120" w:after="120"/>
        <w:rPr>
          <w:rFonts w:ascii="Times New Roman" w:hAnsi="Times New Roman" w:cs="Times New Roman"/>
          <w:u w:val="single"/>
        </w:rPr>
      </w:pPr>
      <w:r w:rsidRPr="00FF4325">
        <w:rPr>
          <w:rFonts w:ascii="Times New Roman" w:hAnsi="Times New Roman" w:cs="Times New Roman"/>
          <w:u w:val="single"/>
        </w:rPr>
        <w:t>Section 10 – Warnings and safety information to be provided with instructions</w:t>
      </w:r>
    </w:p>
    <w:p w14:paraId="39185049" w14:textId="7BF5A1ED" w:rsidR="00850262" w:rsidRPr="00FF4325" w:rsidRDefault="000C4228" w:rsidP="00B91910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t xml:space="preserve">Subsection </w:t>
      </w:r>
      <w:r w:rsidR="00396BB3" w:rsidRPr="00FF4325">
        <w:rPr>
          <w:rFonts w:ascii="Times New Roman" w:hAnsi="Times New Roman" w:cs="Times New Roman"/>
          <w:sz w:val="22"/>
          <w:szCs w:val="22"/>
        </w:rPr>
        <w:t>10</w:t>
      </w:r>
      <w:r w:rsidRPr="00FF4325">
        <w:rPr>
          <w:rFonts w:ascii="Times New Roman" w:hAnsi="Times New Roman" w:cs="Times New Roman"/>
          <w:sz w:val="22"/>
          <w:szCs w:val="22"/>
        </w:rPr>
        <w:t xml:space="preserve">(1) provides </w:t>
      </w:r>
      <w:r w:rsidR="00D5398F" w:rsidRPr="00FF4325">
        <w:rPr>
          <w:rFonts w:ascii="Times New Roman" w:hAnsi="Times New Roman" w:cs="Times New Roman"/>
          <w:sz w:val="22"/>
          <w:szCs w:val="22"/>
        </w:rPr>
        <w:t>that person</w:t>
      </w:r>
      <w:r w:rsidR="00A97576" w:rsidRPr="00FF4325">
        <w:rPr>
          <w:rFonts w:ascii="Times New Roman" w:hAnsi="Times New Roman" w:cs="Times New Roman"/>
          <w:sz w:val="22"/>
          <w:szCs w:val="22"/>
        </w:rPr>
        <w:t>s</w:t>
      </w:r>
      <w:r w:rsidRPr="00FF4325">
        <w:rPr>
          <w:rFonts w:ascii="Times New Roman" w:hAnsi="Times New Roman" w:cs="Times New Roman"/>
          <w:sz w:val="22"/>
          <w:szCs w:val="22"/>
        </w:rPr>
        <w:t xml:space="preserve"> who suppl</w:t>
      </w:r>
      <w:r w:rsidR="00A97576" w:rsidRPr="00FF4325">
        <w:rPr>
          <w:rFonts w:ascii="Times New Roman" w:hAnsi="Times New Roman" w:cs="Times New Roman"/>
          <w:sz w:val="22"/>
          <w:szCs w:val="22"/>
        </w:rPr>
        <w:t>y</w:t>
      </w:r>
      <w:r w:rsidRPr="00FF4325">
        <w:rPr>
          <w:rFonts w:ascii="Times New Roman" w:hAnsi="Times New Roman" w:cs="Times New Roman"/>
          <w:sz w:val="22"/>
          <w:szCs w:val="22"/>
        </w:rPr>
        <w:t xml:space="preserve"> toppl</w:t>
      </w:r>
      <w:r w:rsidR="00A97576" w:rsidRPr="00FF4325">
        <w:rPr>
          <w:rFonts w:ascii="Times New Roman" w:hAnsi="Times New Roman" w:cs="Times New Roman"/>
          <w:sz w:val="22"/>
          <w:szCs w:val="22"/>
        </w:rPr>
        <w:t>ing</w:t>
      </w:r>
      <w:r w:rsidRPr="00FF4325">
        <w:rPr>
          <w:rFonts w:ascii="Times New Roman" w:hAnsi="Times New Roman" w:cs="Times New Roman"/>
          <w:sz w:val="22"/>
          <w:szCs w:val="22"/>
        </w:rPr>
        <w:t xml:space="preserve"> furniture</w:t>
      </w:r>
      <w:r w:rsidR="001170F0" w:rsidRPr="00FF4325">
        <w:rPr>
          <w:rFonts w:ascii="Times New Roman" w:hAnsi="Times New Roman" w:cs="Times New Roman"/>
          <w:sz w:val="22"/>
          <w:szCs w:val="22"/>
        </w:rPr>
        <w:t xml:space="preserve"> </w:t>
      </w:r>
      <w:r w:rsidR="00FA6B6C" w:rsidRPr="00FF4325">
        <w:rPr>
          <w:rFonts w:ascii="Times New Roman" w:hAnsi="Times New Roman" w:cs="Times New Roman"/>
          <w:sz w:val="22"/>
          <w:szCs w:val="22"/>
        </w:rPr>
        <w:t>must cause a warning about the risk of tip overs and the importance of anchoring to be included in the instructions (including assembly instructions) supplied with the toppling furniture (if any).</w:t>
      </w:r>
    </w:p>
    <w:p w14:paraId="2F712225" w14:textId="22472433" w:rsidR="00920B4E" w:rsidRPr="00FF4325" w:rsidRDefault="00920B4E" w:rsidP="00920B4E">
      <w:pPr>
        <w:pStyle w:val="Default"/>
        <w:widowControl w:val="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F4325">
        <w:rPr>
          <w:rFonts w:ascii="Times New Roman" w:hAnsi="Times New Roman" w:cs="Times New Roman"/>
          <w:sz w:val="22"/>
          <w:szCs w:val="22"/>
        </w:rPr>
        <w:lastRenderedPageBreak/>
        <w:t>The matters to be included in such warnings are set out in subsection 10(</w:t>
      </w:r>
      <w:r w:rsidR="00C53D5B">
        <w:rPr>
          <w:rFonts w:ascii="Times New Roman" w:hAnsi="Times New Roman" w:cs="Times New Roman"/>
          <w:sz w:val="22"/>
          <w:szCs w:val="22"/>
        </w:rPr>
        <w:t>3</w:t>
      </w:r>
      <w:r w:rsidRPr="00FF4325">
        <w:rPr>
          <w:rFonts w:ascii="Times New Roman" w:hAnsi="Times New Roman" w:cs="Times New Roman"/>
          <w:sz w:val="22"/>
          <w:szCs w:val="22"/>
        </w:rPr>
        <w:t>) and, depending on whether the relevant toppli</w:t>
      </w:r>
      <w:r w:rsidR="003C698C">
        <w:rPr>
          <w:rFonts w:ascii="Times New Roman" w:hAnsi="Times New Roman" w:cs="Times New Roman"/>
          <w:sz w:val="22"/>
          <w:szCs w:val="22"/>
        </w:rPr>
        <w:t>n</w:t>
      </w:r>
      <w:r w:rsidRPr="00FF4325">
        <w:rPr>
          <w:rFonts w:ascii="Times New Roman" w:hAnsi="Times New Roman" w:cs="Times New Roman"/>
          <w:sz w:val="22"/>
          <w:szCs w:val="22"/>
        </w:rPr>
        <w:t>g furniture is category 1, category 2 or category 3 furniture, subsection 10(</w:t>
      </w:r>
      <w:r w:rsidR="00C53D5B">
        <w:rPr>
          <w:rFonts w:ascii="Times New Roman" w:hAnsi="Times New Roman" w:cs="Times New Roman"/>
          <w:sz w:val="22"/>
          <w:szCs w:val="22"/>
        </w:rPr>
        <w:t>4</w:t>
      </w:r>
      <w:r w:rsidRPr="00FF4325">
        <w:rPr>
          <w:rFonts w:ascii="Times New Roman" w:hAnsi="Times New Roman" w:cs="Times New Roman"/>
          <w:sz w:val="22"/>
          <w:szCs w:val="22"/>
        </w:rPr>
        <w:t>), 10(</w:t>
      </w:r>
      <w:r w:rsidR="00C53D5B">
        <w:rPr>
          <w:rFonts w:ascii="Times New Roman" w:hAnsi="Times New Roman" w:cs="Times New Roman"/>
          <w:sz w:val="22"/>
          <w:szCs w:val="22"/>
        </w:rPr>
        <w:t>5</w:t>
      </w:r>
      <w:r w:rsidRPr="00FF4325">
        <w:rPr>
          <w:rFonts w:ascii="Times New Roman" w:hAnsi="Times New Roman" w:cs="Times New Roman"/>
          <w:sz w:val="22"/>
          <w:szCs w:val="22"/>
        </w:rPr>
        <w:t>) or 10(</w:t>
      </w:r>
      <w:r w:rsidR="00C53D5B">
        <w:rPr>
          <w:rFonts w:ascii="Times New Roman" w:hAnsi="Times New Roman" w:cs="Times New Roman"/>
          <w:sz w:val="22"/>
          <w:szCs w:val="22"/>
        </w:rPr>
        <w:t>6</w:t>
      </w:r>
      <w:r w:rsidRPr="00FF4325">
        <w:rPr>
          <w:rFonts w:ascii="Times New Roman" w:hAnsi="Times New Roman" w:cs="Times New Roman"/>
          <w:sz w:val="22"/>
          <w:szCs w:val="22"/>
        </w:rPr>
        <w:t xml:space="preserve">). </w:t>
      </w:r>
    </w:p>
    <w:sectPr w:rsidR="00920B4E" w:rsidRPr="00FF4325" w:rsidSect="001878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6F5C" w14:textId="77777777" w:rsidR="00DE12EA" w:rsidRDefault="00DE12EA" w:rsidP="004B4412">
      <w:pPr>
        <w:spacing w:before="0"/>
      </w:pPr>
      <w:r>
        <w:separator/>
      </w:r>
    </w:p>
  </w:endnote>
  <w:endnote w:type="continuationSeparator" w:id="0">
    <w:p w14:paraId="3DB7AE2C" w14:textId="77777777" w:rsidR="00DE12EA" w:rsidRDefault="00DE12EA" w:rsidP="004B4412">
      <w:pPr>
        <w:spacing w:before="0"/>
      </w:pPr>
      <w:r>
        <w:continuationSeparator/>
      </w:r>
    </w:p>
  </w:endnote>
  <w:endnote w:type="continuationNotice" w:id="1">
    <w:p w14:paraId="343A97A6" w14:textId="77777777" w:rsidR="00DE12EA" w:rsidRDefault="00DE12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5A40" w14:textId="77777777" w:rsidR="0057475E" w:rsidRDefault="00574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700" w14:textId="77777777" w:rsidR="0057475E" w:rsidRDefault="00574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06D2" w14:textId="77777777" w:rsidR="00691616" w:rsidRDefault="00691616">
    <w:pPr>
      <w:pStyle w:val="Footer"/>
    </w:pPr>
  </w:p>
  <w:p w14:paraId="4AF673EA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8EE1" w14:textId="77777777" w:rsidR="00DE12EA" w:rsidRDefault="00DE12EA" w:rsidP="004B4412">
      <w:pPr>
        <w:spacing w:before="0"/>
      </w:pPr>
      <w:r>
        <w:separator/>
      </w:r>
    </w:p>
  </w:footnote>
  <w:footnote w:type="continuationSeparator" w:id="0">
    <w:p w14:paraId="5180DCAC" w14:textId="77777777" w:rsidR="00DE12EA" w:rsidRDefault="00DE12EA" w:rsidP="004B4412">
      <w:pPr>
        <w:spacing w:before="0"/>
      </w:pPr>
      <w:r>
        <w:continuationSeparator/>
      </w:r>
    </w:p>
  </w:footnote>
  <w:footnote w:type="continuationNotice" w:id="1">
    <w:p w14:paraId="794074E6" w14:textId="77777777" w:rsidR="00DE12EA" w:rsidRDefault="00DE12E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CA77" w14:textId="77777777" w:rsidR="0057475E" w:rsidRDefault="00574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7DE9" w14:textId="26566D36" w:rsidR="00134788" w:rsidRDefault="00134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5E1D" w14:textId="77777777" w:rsidR="0057475E" w:rsidRDefault="00574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A31422"/>
    <w:multiLevelType w:val="hybridMultilevel"/>
    <w:tmpl w:val="056AF6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8D66A0"/>
    <w:multiLevelType w:val="hybridMultilevel"/>
    <w:tmpl w:val="1FA6792A"/>
    <w:lvl w:ilvl="0" w:tplc="A69E91FA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866B8"/>
    <w:multiLevelType w:val="hybridMultilevel"/>
    <w:tmpl w:val="D1AADC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590196C"/>
    <w:multiLevelType w:val="hybridMultilevel"/>
    <w:tmpl w:val="6BF87E52"/>
    <w:lvl w:ilvl="0" w:tplc="687A8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444F3D87"/>
    <w:multiLevelType w:val="hybridMultilevel"/>
    <w:tmpl w:val="44641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342"/>
    <w:multiLevelType w:val="hybridMultilevel"/>
    <w:tmpl w:val="B73AB4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43CCA"/>
    <w:multiLevelType w:val="hybridMultilevel"/>
    <w:tmpl w:val="84E6CD36"/>
    <w:lvl w:ilvl="0" w:tplc="50AEA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9C3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1CE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DAE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18E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4A9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8427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0A7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0B44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505B7DC8"/>
    <w:multiLevelType w:val="hybridMultilevel"/>
    <w:tmpl w:val="7DAA5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7" w15:restartNumberingAfterBreak="0">
    <w:nsid w:val="5B1D2D42"/>
    <w:multiLevelType w:val="hybridMultilevel"/>
    <w:tmpl w:val="EFB8E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9270F"/>
    <w:multiLevelType w:val="hybridMultilevel"/>
    <w:tmpl w:val="5DDA0A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80974F7"/>
    <w:multiLevelType w:val="hybridMultilevel"/>
    <w:tmpl w:val="D7CA0806"/>
    <w:lvl w:ilvl="0" w:tplc="27707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6EE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5CD2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B45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BA8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260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E81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0007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D83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5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6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7E2819EC"/>
    <w:multiLevelType w:val="multilevel"/>
    <w:tmpl w:val="E600348C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0852888">
    <w:abstractNumId w:val="11"/>
  </w:num>
  <w:num w:numId="2" w16cid:durableId="369840905">
    <w:abstractNumId w:val="37"/>
  </w:num>
  <w:num w:numId="3" w16cid:durableId="30810881">
    <w:abstractNumId w:val="7"/>
  </w:num>
  <w:num w:numId="4" w16cid:durableId="678044577">
    <w:abstractNumId w:val="6"/>
  </w:num>
  <w:num w:numId="5" w16cid:durableId="1560440807">
    <w:abstractNumId w:val="5"/>
  </w:num>
  <w:num w:numId="6" w16cid:durableId="1060831770">
    <w:abstractNumId w:val="4"/>
  </w:num>
  <w:num w:numId="7" w16cid:durableId="1975478737">
    <w:abstractNumId w:val="1"/>
  </w:num>
  <w:num w:numId="8" w16cid:durableId="867177708">
    <w:abstractNumId w:val="0"/>
  </w:num>
  <w:num w:numId="9" w16cid:durableId="1766267389">
    <w:abstractNumId w:val="31"/>
  </w:num>
  <w:num w:numId="10" w16cid:durableId="1804226021">
    <w:abstractNumId w:val="19"/>
  </w:num>
  <w:num w:numId="11" w16cid:durableId="488983493">
    <w:abstractNumId w:val="9"/>
  </w:num>
  <w:num w:numId="12" w16cid:durableId="1083911277">
    <w:abstractNumId w:val="14"/>
  </w:num>
  <w:num w:numId="13" w16cid:durableId="560604146">
    <w:abstractNumId w:val="18"/>
  </w:num>
  <w:num w:numId="14" w16cid:durableId="348413272">
    <w:abstractNumId w:val="2"/>
  </w:num>
  <w:num w:numId="15" w16cid:durableId="798914539">
    <w:abstractNumId w:val="33"/>
  </w:num>
  <w:num w:numId="16" w16cid:durableId="1299458567">
    <w:abstractNumId w:val="36"/>
  </w:num>
  <w:num w:numId="17" w16cid:durableId="809519387">
    <w:abstractNumId w:val="35"/>
  </w:num>
  <w:num w:numId="18" w16cid:durableId="1689603835">
    <w:abstractNumId w:val="26"/>
  </w:num>
  <w:num w:numId="19" w16cid:durableId="1023704801">
    <w:abstractNumId w:val="16"/>
  </w:num>
  <w:num w:numId="20" w16cid:durableId="1810198230">
    <w:abstractNumId w:val="20"/>
  </w:num>
  <w:num w:numId="21" w16cid:durableId="1398896781">
    <w:abstractNumId w:val="34"/>
  </w:num>
  <w:num w:numId="22" w16cid:durableId="2056348613">
    <w:abstractNumId w:val="29"/>
  </w:num>
  <w:num w:numId="23" w16cid:durableId="872573513">
    <w:abstractNumId w:val="8"/>
  </w:num>
  <w:num w:numId="24" w16cid:durableId="1077633931">
    <w:abstractNumId w:val="3"/>
  </w:num>
  <w:num w:numId="25" w16cid:durableId="552814485">
    <w:abstractNumId w:val="23"/>
  </w:num>
  <w:num w:numId="26" w16cid:durableId="1593471332">
    <w:abstractNumId w:val="13"/>
  </w:num>
  <w:num w:numId="27" w16cid:durableId="850215273">
    <w:abstractNumId w:val="30"/>
  </w:num>
  <w:num w:numId="28" w16cid:durableId="320892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9851731">
    <w:abstractNumId w:val="27"/>
  </w:num>
  <w:num w:numId="30" w16cid:durableId="1550923665">
    <w:abstractNumId w:val="28"/>
  </w:num>
  <w:num w:numId="31" w16cid:durableId="2070760387">
    <w:abstractNumId w:val="25"/>
  </w:num>
  <w:num w:numId="32" w16cid:durableId="779105184">
    <w:abstractNumId w:val="15"/>
  </w:num>
  <w:num w:numId="33" w16cid:durableId="460419340">
    <w:abstractNumId w:val="22"/>
  </w:num>
  <w:num w:numId="34" w16cid:durableId="127433750">
    <w:abstractNumId w:val="17"/>
  </w:num>
  <w:num w:numId="35" w16cid:durableId="618337152">
    <w:abstractNumId w:val="10"/>
  </w:num>
  <w:num w:numId="36" w16cid:durableId="1543860992">
    <w:abstractNumId w:val="21"/>
  </w:num>
  <w:num w:numId="37" w16cid:durableId="1348681576">
    <w:abstractNumId w:val="32"/>
  </w:num>
  <w:num w:numId="38" w16cid:durableId="126661885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NotTrackFormatting/>
  <w:defaultTabStop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\\homesharecl\HomeDrives\dsmit\Desktop\Normal.dotm"/>
  </w:docVars>
  <w:rsids>
    <w:rsidRoot w:val="00167299"/>
    <w:rsid w:val="00007143"/>
    <w:rsid w:val="000073E6"/>
    <w:rsid w:val="0000749A"/>
    <w:rsid w:val="00007D7D"/>
    <w:rsid w:val="0002115F"/>
    <w:rsid w:val="00021202"/>
    <w:rsid w:val="000225C4"/>
    <w:rsid w:val="0002508C"/>
    <w:rsid w:val="0002521C"/>
    <w:rsid w:val="00026A71"/>
    <w:rsid w:val="000302F9"/>
    <w:rsid w:val="00031110"/>
    <w:rsid w:val="0003578C"/>
    <w:rsid w:val="000436AD"/>
    <w:rsid w:val="00046667"/>
    <w:rsid w:val="000605AF"/>
    <w:rsid w:val="00063247"/>
    <w:rsid w:val="0006435B"/>
    <w:rsid w:val="000652D3"/>
    <w:rsid w:val="000660AA"/>
    <w:rsid w:val="00066ED9"/>
    <w:rsid w:val="00070F9F"/>
    <w:rsid w:val="0007137B"/>
    <w:rsid w:val="00071B1F"/>
    <w:rsid w:val="000723E7"/>
    <w:rsid w:val="00073CF5"/>
    <w:rsid w:val="000741AE"/>
    <w:rsid w:val="00075AA7"/>
    <w:rsid w:val="00075C15"/>
    <w:rsid w:val="00075E1A"/>
    <w:rsid w:val="00076A72"/>
    <w:rsid w:val="00076FD1"/>
    <w:rsid w:val="000803C9"/>
    <w:rsid w:val="000848C0"/>
    <w:rsid w:val="00084D9D"/>
    <w:rsid w:val="00085663"/>
    <w:rsid w:val="00085EBF"/>
    <w:rsid w:val="000909EF"/>
    <w:rsid w:val="00091892"/>
    <w:rsid w:val="00091954"/>
    <w:rsid w:val="00091C51"/>
    <w:rsid w:val="000932FB"/>
    <w:rsid w:val="00096CF3"/>
    <w:rsid w:val="000978BF"/>
    <w:rsid w:val="00097A2B"/>
    <w:rsid w:val="000A2B8B"/>
    <w:rsid w:val="000A591F"/>
    <w:rsid w:val="000B00A0"/>
    <w:rsid w:val="000B07B9"/>
    <w:rsid w:val="000B088D"/>
    <w:rsid w:val="000B3CEF"/>
    <w:rsid w:val="000B50F9"/>
    <w:rsid w:val="000B765B"/>
    <w:rsid w:val="000B7A92"/>
    <w:rsid w:val="000C014A"/>
    <w:rsid w:val="000C4228"/>
    <w:rsid w:val="000C5F26"/>
    <w:rsid w:val="000C5F7B"/>
    <w:rsid w:val="000D122C"/>
    <w:rsid w:val="000D1349"/>
    <w:rsid w:val="000D1913"/>
    <w:rsid w:val="000D3B98"/>
    <w:rsid w:val="000D3E46"/>
    <w:rsid w:val="000E1819"/>
    <w:rsid w:val="000E242D"/>
    <w:rsid w:val="000E292F"/>
    <w:rsid w:val="000E5467"/>
    <w:rsid w:val="000E5748"/>
    <w:rsid w:val="000E6C72"/>
    <w:rsid w:val="000E6F9D"/>
    <w:rsid w:val="000F10F3"/>
    <w:rsid w:val="000F2368"/>
    <w:rsid w:val="000F2679"/>
    <w:rsid w:val="00103925"/>
    <w:rsid w:val="001064B4"/>
    <w:rsid w:val="00106DA0"/>
    <w:rsid w:val="00111D7C"/>
    <w:rsid w:val="00116EB2"/>
    <w:rsid w:val="001170F0"/>
    <w:rsid w:val="00117597"/>
    <w:rsid w:val="00120997"/>
    <w:rsid w:val="00120E0A"/>
    <w:rsid w:val="00123C75"/>
    <w:rsid w:val="00124609"/>
    <w:rsid w:val="00124875"/>
    <w:rsid w:val="00124AF2"/>
    <w:rsid w:val="00124B23"/>
    <w:rsid w:val="00125549"/>
    <w:rsid w:val="0012704E"/>
    <w:rsid w:val="001305D4"/>
    <w:rsid w:val="00130C84"/>
    <w:rsid w:val="00130DDE"/>
    <w:rsid w:val="001331C4"/>
    <w:rsid w:val="00134788"/>
    <w:rsid w:val="00135F22"/>
    <w:rsid w:val="001362AF"/>
    <w:rsid w:val="00143922"/>
    <w:rsid w:val="00144D3E"/>
    <w:rsid w:val="00146AAF"/>
    <w:rsid w:val="00147B6B"/>
    <w:rsid w:val="001511EB"/>
    <w:rsid w:val="001513FD"/>
    <w:rsid w:val="0015704F"/>
    <w:rsid w:val="001573E4"/>
    <w:rsid w:val="001601B0"/>
    <w:rsid w:val="00160325"/>
    <w:rsid w:val="00160756"/>
    <w:rsid w:val="00160A7A"/>
    <w:rsid w:val="0016216E"/>
    <w:rsid w:val="00163CB9"/>
    <w:rsid w:val="00165AFA"/>
    <w:rsid w:val="00166410"/>
    <w:rsid w:val="00167299"/>
    <w:rsid w:val="0017232E"/>
    <w:rsid w:val="00174102"/>
    <w:rsid w:val="0017544E"/>
    <w:rsid w:val="00175757"/>
    <w:rsid w:val="00176639"/>
    <w:rsid w:val="00180157"/>
    <w:rsid w:val="001810D2"/>
    <w:rsid w:val="00181223"/>
    <w:rsid w:val="001827DE"/>
    <w:rsid w:val="0018546D"/>
    <w:rsid w:val="00186F77"/>
    <w:rsid w:val="0018737B"/>
    <w:rsid w:val="00187881"/>
    <w:rsid w:val="001926A4"/>
    <w:rsid w:val="00195637"/>
    <w:rsid w:val="001959BE"/>
    <w:rsid w:val="0019634A"/>
    <w:rsid w:val="001973D5"/>
    <w:rsid w:val="00197ADF"/>
    <w:rsid w:val="001A0A00"/>
    <w:rsid w:val="001A1361"/>
    <w:rsid w:val="001A3A19"/>
    <w:rsid w:val="001A77F4"/>
    <w:rsid w:val="001B246B"/>
    <w:rsid w:val="001B26C4"/>
    <w:rsid w:val="001B30D6"/>
    <w:rsid w:val="001B45A0"/>
    <w:rsid w:val="001B56B1"/>
    <w:rsid w:val="001B7DDC"/>
    <w:rsid w:val="001C18EE"/>
    <w:rsid w:val="001C1B2F"/>
    <w:rsid w:val="001C3A27"/>
    <w:rsid w:val="001D055E"/>
    <w:rsid w:val="001D0D38"/>
    <w:rsid w:val="001D519C"/>
    <w:rsid w:val="001D53BC"/>
    <w:rsid w:val="001D579D"/>
    <w:rsid w:val="001E41E3"/>
    <w:rsid w:val="001E4B3C"/>
    <w:rsid w:val="001E4F0D"/>
    <w:rsid w:val="001F074A"/>
    <w:rsid w:val="001F123D"/>
    <w:rsid w:val="001F27FF"/>
    <w:rsid w:val="001F41BF"/>
    <w:rsid w:val="001F492E"/>
    <w:rsid w:val="001F5220"/>
    <w:rsid w:val="001F60ED"/>
    <w:rsid w:val="001F6DA3"/>
    <w:rsid w:val="00201813"/>
    <w:rsid w:val="00204314"/>
    <w:rsid w:val="00205A4A"/>
    <w:rsid w:val="00205AE4"/>
    <w:rsid w:val="002105C3"/>
    <w:rsid w:val="00211450"/>
    <w:rsid w:val="00211DF3"/>
    <w:rsid w:val="002123E8"/>
    <w:rsid w:val="002125D8"/>
    <w:rsid w:val="00212737"/>
    <w:rsid w:val="00212E5B"/>
    <w:rsid w:val="00217915"/>
    <w:rsid w:val="0021798A"/>
    <w:rsid w:val="00217E81"/>
    <w:rsid w:val="00221298"/>
    <w:rsid w:val="00221C24"/>
    <w:rsid w:val="00224751"/>
    <w:rsid w:val="00224DB9"/>
    <w:rsid w:val="00224E1D"/>
    <w:rsid w:val="00227DB9"/>
    <w:rsid w:val="002329B5"/>
    <w:rsid w:val="00234267"/>
    <w:rsid w:val="00240C93"/>
    <w:rsid w:val="00243E60"/>
    <w:rsid w:val="00245A40"/>
    <w:rsid w:val="00246180"/>
    <w:rsid w:val="002468A8"/>
    <w:rsid w:val="00251745"/>
    <w:rsid w:val="002525B4"/>
    <w:rsid w:val="00252F75"/>
    <w:rsid w:val="00254519"/>
    <w:rsid w:val="00261258"/>
    <w:rsid w:val="00263AC0"/>
    <w:rsid w:val="0026574A"/>
    <w:rsid w:val="00266FE2"/>
    <w:rsid w:val="0026772D"/>
    <w:rsid w:val="00267DD2"/>
    <w:rsid w:val="00275EBC"/>
    <w:rsid w:val="00276B39"/>
    <w:rsid w:val="00276DC2"/>
    <w:rsid w:val="00277905"/>
    <w:rsid w:val="00282860"/>
    <w:rsid w:val="00285D7B"/>
    <w:rsid w:val="00286874"/>
    <w:rsid w:val="002923FF"/>
    <w:rsid w:val="00293140"/>
    <w:rsid w:val="0029428F"/>
    <w:rsid w:val="002954E4"/>
    <w:rsid w:val="00296B65"/>
    <w:rsid w:val="002A2B49"/>
    <w:rsid w:val="002A577A"/>
    <w:rsid w:val="002A5B21"/>
    <w:rsid w:val="002A68C6"/>
    <w:rsid w:val="002A6E24"/>
    <w:rsid w:val="002A7DEF"/>
    <w:rsid w:val="002B1E0C"/>
    <w:rsid w:val="002B2916"/>
    <w:rsid w:val="002B3B63"/>
    <w:rsid w:val="002B5BD3"/>
    <w:rsid w:val="002C30DF"/>
    <w:rsid w:val="002C33B3"/>
    <w:rsid w:val="002C44C1"/>
    <w:rsid w:val="002C6C2D"/>
    <w:rsid w:val="002C6F25"/>
    <w:rsid w:val="002C77ED"/>
    <w:rsid w:val="002D0FF4"/>
    <w:rsid w:val="002D124F"/>
    <w:rsid w:val="002D1725"/>
    <w:rsid w:val="002D1873"/>
    <w:rsid w:val="002D426A"/>
    <w:rsid w:val="002D5845"/>
    <w:rsid w:val="002E0DD9"/>
    <w:rsid w:val="002E43EC"/>
    <w:rsid w:val="002E79D0"/>
    <w:rsid w:val="002F1E52"/>
    <w:rsid w:val="002F5828"/>
    <w:rsid w:val="002F61CA"/>
    <w:rsid w:val="002F7986"/>
    <w:rsid w:val="00302220"/>
    <w:rsid w:val="00303C4A"/>
    <w:rsid w:val="00304536"/>
    <w:rsid w:val="00307F6D"/>
    <w:rsid w:val="00310878"/>
    <w:rsid w:val="00311B24"/>
    <w:rsid w:val="00312CE1"/>
    <w:rsid w:val="003177A2"/>
    <w:rsid w:val="0032465C"/>
    <w:rsid w:val="003271B5"/>
    <w:rsid w:val="003273BD"/>
    <w:rsid w:val="003275E3"/>
    <w:rsid w:val="003301BA"/>
    <w:rsid w:val="00330CA0"/>
    <w:rsid w:val="00331264"/>
    <w:rsid w:val="0033208C"/>
    <w:rsid w:val="00333916"/>
    <w:rsid w:val="00333B83"/>
    <w:rsid w:val="00333F4C"/>
    <w:rsid w:val="00334ABB"/>
    <w:rsid w:val="00334C8D"/>
    <w:rsid w:val="00336037"/>
    <w:rsid w:val="0033687C"/>
    <w:rsid w:val="00340655"/>
    <w:rsid w:val="0034159F"/>
    <w:rsid w:val="0034266D"/>
    <w:rsid w:val="00342750"/>
    <w:rsid w:val="00343B44"/>
    <w:rsid w:val="0034479B"/>
    <w:rsid w:val="00345412"/>
    <w:rsid w:val="003459E6"/>
    <w:rsid w:val="003465B6"/>
    <w:rsid w:val="00346607"/>
    <w:rsid w:val="00347B9F"/>
    <w:rsid w:val="00350991"/>
    <w:rsid w:val="003518B3"/>
    <w:rsid w:val="00354C9E"/>
    <w:rsid w:val="00354E0C"/>
    <w:rsid w:val="00354FD4"/>
    <w:rsid w:val="0035580E"/>
    <w:rsid w:val="00357EDC"/>
    <w:rsid w:val="003610A8"/>
    <w:rsid w:val="0036344B"/>
    <w:rsid w:val="003642E2"/>
    <w:rsid w:val="00371641"/>
    <w:rsid w:val="00377375"/>
    <w:rsid w:val="003816D7"/>
    <w:rsid w:val="003846F1"/>
    <w:rsid w:val="003869B5"/>
    <w:rsid w:val="00387C81"/>
    <w:rsid w:val="00390DC7"/>
    <w:rsid w:val="00391AFA"/>
    <w:rsid w:val="00391C4A"/>
    <w:rsid w:val="00395E08"/>
    <w:rsid w:val="00396BB3"/>
    <w:rsid w:val="003A0AC2"/>
    <w:rsid w:val="003A1123"/>
    <w:rsid w:val="003A3AB7"/>
    <w:rsid w:val="003A4753"/>
    <w:rsid w:val="003A5B93"/>
    <w:rsid w:val="003A673F"/>
    <w:rsid w:val="003B1605"/>
    <w:rsid w:val="003B2B90"/>
    <w:rsid w:val="003B3B46"/>
    <w:rsid w:val="003B5A70"/>
    <w:rsid w:val="003B7A28"/>
    <w:rsid w:val="003C02E6"/>
    <w:rsid w:val="003C186A"/>
    <w:rsid w:val="003C1B7A"/>
    <w:rsid w:val="003C1C67"/>
    <w:rsid w:val="003C38A3"/>
    <w:rsid w:val="003C45C8"/>
    <w:rsid w:val="003C67B6"/>
    <w:rsid w:val="003C698C"/>
    <w:rsid w:val="003C7A20"/>
    <w:rsid w:val="003D17A8"/>
    <w:rsid w:val="003D1F1E"/>
    <w:rsid w:val="003D28E4"/>
    <w:rsid w:val="003D3478"/>
    <w:rsid w:val="003D480A"/>
    <w:rsid w:val="003D51EA"/>
    <w:rsid w:val="003D5560"/>
    <w:rsid w:val="003D772E"/>
    <w:rsid w:val="003D7BC5"/>
    <w:rsid w:val="003E139F"/>
    <w:rsid w:val="003E24C3"/>
    <w:rsid w:val="003E33FC"/>
    <w:rsid w:val="003E46E0"/>
    <w:rsid w:val="003E504D"/>
    <w:rsid w:val="003E59D5"/>
    <w:rsid w:val="003E6F15"/>
    <w:rsid w:val="003E7CB0"/>
    <w:rsid w:val="003F07EE"/>
    <w:rsid w:val="003F5319"/>
    <w:rsid w:val="003F556C"/>
    <w:rsid w:val="003F69A8"/>
    <w:rsid w:val="004001F6"/>
    <w:rsid w:val="00405208"/>
    <w:rsid w:val="00405ECF"/>
    <w:rsid w:val="00405F15"/>
    <w:rsid w:val="00407031"/>
    <w:rsid w:val="00407347"/>
    <w:rsid w:val="0041199C"/>
    <w:rsid w:val="00411ECD"/>
    <w:rsid w:val="004142C2"/>
    <w:rsid w:val="0041638D"/>
    <w:rsid w:val="0041709F"/>
    <w:rsid w:val="00422395"/>
    <w:rsid w:val="0042539B"/>
    <w:rsid w:val="004255B1"/>
    <w:rsid w:val="00425640"/>
    <w:rsid w:val="0042726C"/>
    <w:rsid w:val="00427285"/>
    <w:rsid w:val="00430818"/>
    <w:rsid w:val="0043151D"/>
    <w:rsid w:val="0043444F"/>
    <w:rsid w:val="00435271"/>
    <w:rsid w:val="0043552C"/>
    <w:rsid w:val="004374B0"/>
    <w:rsid w:val="00441711"/>
    <w:rsid w:val="00441BE0"/>
    <w:rsid w:val="00452791"/>
    <w:rsid w:val="0045526D"/>
    <w:rsid w:val="00461578"/>
    <w:rsid w:val="004660F4"/>
    <w:rsid w:val="00466E67"/>
    <w:rsid w:val="00467288"/>
    <w:rsid w:val="00467C07"/>
    <w:rsid w:val="004711DE"/>
    <w:rsid w:val="004725C3"/>
    <w:rsid w:val="0047329D"/>
    <w:rsid w:val="00473C2B"/>
    <w:rsid w:val="00475DDE"/>
    <w:rsid w:val="00477BF5"/>
    <w:rsid w:val="00480B4B"/>
    <w:rsid w:val="00483938"/>
    <w:rsid w:val="00483A07"/>
    <w:rsid w:val="00485DC4"/>
    <w:rsid w:val="004866D3"/>
    <w:rsid w:val="00486EAB"/>
    <w:rsid w:val="00486F17"/>
    <w:rsid w:val="004903D3"/>
    <w:rsid w:val="0049052B"/>
    <w:rsid w:val="00492ECF"/>
    <w:rsid w:val="00495794"/>
    <w:rsid w:val="00496AC5"/>
    <w:rsid w:val="004A1805"/>
    <w:rsid w:val="004A1A99"/>
    <w:rsid w:val="004A5935"/>
    <w:rsid w:val="004A6637"/>
    <w:rsid w:val="004A6B28"/>
    <w:rsid w:val="004B1D69"/>
    <w:rsid w:val="004B2107"/>
    <w:rsid w:val="004B3778"/>
    <w:rsid w:val="004B3D00"/>
    <w:rsid w:val="004B4131"/>
    <w:rsid w:val="004B4412"/>
    <w:rsid w:val="004B5F4C"/>
    <w:rsid w:val="004B7EF7"/>
    <w:rsid w:val="004C0C21"/>
    <w:rsid w:val="004C2DCA"/>
    <w:rsid w:val="004C348C"/>
    <w:rsid w:val="004C4096"/>
    <w:rsid w:val="004C5A59"/>
    <w:rsid w:val="004C5ECF"/>
    <w:rsid w:val="004C6501"/>
    <w:rsid w:val="004D099D"/>
    <w:rsid w:val="004D1733"/>
    <w:rsid w:val="004D17A1"/>
    <w:rsid w:val="004D2BFE"/>
    <w:rsid w:val="004D55BA"/>
    <w:rsid w:val="004D6F01"/>
    <w:rsid w:val="004D77C6"/>
    <w:rsid w:val="004E21E9"/>
    <w:rsid w:val="004E36A2"/>
    <w:rsid w:val="004E5C7B"/>
    <w:rsid w:val="004E5EF2"/>
    <w:rsid w:val="004F12A3"/>
    <w:rsid w:val="004F2727"/>
    <w:rsid w:val="004F30A2"/>
    <w:rsid w:val="004F3196"/>
    <w:rsid w:val="004F39E8"/>
    <w:rsid w:val="004F4770"/>
    <w:rsid w:val="004F5AA8"/>
    <w:rsid w:val="004F621E"/>
    <w:rsid w:val="004F6A4A"/>
    <w:rsid w:val="00501CB5"/>
    <w:rsid w:val="00501E52"/>
    <w:rsid w:val="005037F1"/>
    <w:rsid w:val="005038DB"/>
    <w:rsid w:val="00504942"/>
    <w:rsid w:val="005153A4"/>
    <w:rsid w:val="0051711F"/>
    <w:rsid w:val="00517E90"/>
    <w:rsid w:val="005222DD"/>
    <w:rsid w:val="00523295"/>
    <w:rsid w:val="005236F7"/>
    <w:rsid w:val="0052379B"/>
    <w:rsid w:val="00523959"/>
    <w:rsid w:val="005248F5"/>
    <w:rsid w:val="00524BFB"/>
    <w:rsid w:val="005262F7"/>
    <w:rsid w:val="00527C53"/>
    <w:rsid w:val="00527F06"/>
    <w:rsid w:val="00530128"/>
    <w:rsid w:val="00530DAF"/>
    <w:rsid w:val="00531093"/>
    <w:rsid w:val="00531433"/>
    <w:rsid w:val="005318BA"/>
    <w:rsid w:val="00532467"/>
    <w:rsid w:val="005369F4"/>
    <w:rsid w:val="00541386"/>
    <w:rsid w:val="00542DCD"/>
    <w:rsid w:val="00545CDC"/>
    <w:rsid w:val="005463CA"/>
    <w:rsid w:val="00547BA2"/>
    <w:rsid w:val="00547CCF"/>
    <w:rsid w:val="00551BC6"/>
    <w:rsid w:val="005614B3"/>
    <w:rsid w:val="00561FC7"/>
    <w:rsid w:val="005634FC"/>
    <w:rsid w:val="00564893"/>
    <w:rsid w:val="00564A4D"/>
    <w:rsid w:val="00564FC4"/>
    <w:rsid w:val="00565837"/>
    <w:rsid w:val="005677A6"/>
    <w:rsid w:val="005679CA"/>
    <w:rsid w:val="00567C09"/>
    <w:rsid w:val="00570020"/>
    <w:rsid w:val="005702BC"/>
    <w:rsid w:val="00570D2D"/>
    <w:rsid w:val="005719AB"/>
    <w:rsid w:val="00571B35"/>
    <w:rsid w:val="00571C9F"/>
    <w:rsid w:val="00572277"/>
    <w:rsid w:val="0057475E"/>
    <w:rsid w:val="00574A83"/>
    <w:rsid w:val="00575210"/>
    <w:rsid w:val="00575607"/>
    <w:rsid w:val="00575F01"/>
    <w:rsid w:val="005775CA"/>
    <w:rsid w:val="00577A09"/>
    <w:rsid w:val="005807EE"/>
    <w:rsid w:val="00580B78"/>
    <w:rsid w:val="00581337"/>
    <w:rsid w:val="00582134"/>
    <w:rsid w:val="00584D8F"/>
    <w:rsid w:val="0058668B"/>
    <w:rsid w:val="00586B65"/>
    <w:rsid w:val="00592E43"/>
    <w:rsid w:val="00594858"/>
    <w:rsid w:val="005961B2"/>
    <w:rsid w:val="00596D42"/>
    <w:rsid w:val="005A05FA"/>
    <w:rsid w:val="005A1E7D"/>
    <w:rsid w:val="005A3645"/>
    <w:rsid w:val="005A3805"/>
    <w:rsid w:val="005A404D"/>
    <w:rsid w:val="005A78FE"/>
    <w:rsid w:val="005B1E3C"/>
    <w:rsid w:val="005B2DDB"/>
    <w:rsid w:val="005B3B02"/>
    <w:rsid w:val="005B4361"/>
    <w:rsid w:val="005C24AC"/>
    <w:rsid w:val="005C26CC"/>
    <w:rsid w:val="005C2D49"/>
    <w:rsid w:val="005C2FC5"/>
    <w:rsid w:val="005C3302"/>
    <w:rsid w:val="005D0AA3"/>
    <w:rsid w:val="005D0F44"/>
    <w:rsid w:val="005D2748"/>
    <w:rsid w:val="005D27C8"/>
    <w:rsid w:val="005D3DA7"/>
    <w:rsid w:val="005D5C80"/>
    <w:rsid w:val="005D6D5C"/>
    <w:rsid w:val="005E01CC"/>
    <w:rsid w:val="005E1205"/>
    <w:rsid w:val="005E26E4"/>
    <w:rsid w:val="005E4CF4"/>
    <w:rsid w:val="005E5CA0"/>
    <w:rsid w:val="005E6C0E"/>
    <w:rsid w:val="005E72E9"/>
    <w:rsid w:val="005E7BE7"/>
    <w:rsid w:val="005F32F3"/>
    <w:rsid w:val="005F331E"/>
    <w:rsid w:val="005F727B"/>
    <w:rsid w:val="005F7628"/>
    <w:rsid w:val="00600179"/>
    <w:rsid w:val="00600C0F"/>
    <w:rsid w:val="00602481"/>
    <w:rsid w:val="006026CA"/>
    <w:rsid w:val="00603E59"/>
    <w:rsid w:val="00605153"/>
    <w:rsid w:val="0060579F"/>
    <w:rsid w:val="0061023B"/>
    <w:rsid w:val="00614956"/>
    <w:rsid w:val="00614F6E"/>
    <w:rsid w:val="00615C6B"/>
    <w:rsid w:val="00631C2B"/>
    <w:rsid w:val="00631F3B"/>
    <w:rsid w:val="00632D6D"/>
    <w:rsid w:val="00632FA5"/>
    <w:rsid w:val="00642C3E"/>
    <w:rsid w:val="0064341D"/>
    <w:rsid w:val="00643E71"/>
    <w:rsid w:val="006445B7"/>
    <w:rsid w:val="00646025"/>
    <w:rsid w:val="00650223"/>
    <w:rsid w:val="00652D24"/>
    <w:rsid w:val="006560B2"/>
    <w:rsid w:val="00656EBC"/>
    <w:rsid w:val="00660EF1"/>
    <w:rsid w:val="006623E7"/>
    <w:rsid w:val="00663DAD"/>
    <w:rsid w:val="00663F7D"/>
    <w:rsid w:val="00674326"/>
    <w:rsid w:val="006758A9"/>
    <w:rsid w:val="00675A77"/>
    <w:rsid w:val="00676679"/>
    <w:rsid w:val="00676CAC"/>
    <w:rsid w:val="00685E48"/>
    <w:rsid w:val="00691616"/>
    <w:rsid w:val="00693145"/>
    <w:rsid w:val="00694738"/>
    <w:rsid w:val="00696AD4"/>
    <w:rsid w:val="00697D46"/>
    <w:rsid w:val="006A0DE4"/>
    <w:rsid w:val="006A10F5"/>
    <w:rsid w:val="006A2FD1"/>
    <w:rsid w:val="006A42AC"/>
    <w:rsid w:val="006A6284"/>
    <w:rsid w:val="006A6482"/>
    <w:rsid w:val="006B2347"/>
    <w:rsid w:val="006B2FFF"/>
    <w:rsid w:val="006B4CF9"/>
    <w:rsid w:val="006B6269"/>
    <w:rsid w:val="006B7AC8"/>
    <w:rsid w:val="006C3E19"/>
    <w:rsid w:val="006C4420"/>
    <w:rsid w:val="006C47F9"/>
    <w:rsid w:val="006C4BE6"/>
    <w:rsid w:val="006D0EC0"/>
    <w:rsid w:val="006D1660"/>
    <w:rsid w:val="006D2B9D"/>
    <w:rsid w:val="006D3F48"/>
    <w:rsid w:val="006D550F"/>
    <w:rsid w:val="006D5C2A"/>
    <w:rsid w:val="006D62CC"/>
    <w:rsid w:val="006D77F3"/>
    <w:rsid w:val="006E2375"/>
    <w:rsid w:val="006E4A08"/>
    <w:rsid w:val="006E589E"/>
    <w:rsid w:val="006E6618"/>
    <w:rsid w:val="006F377E"/>
    <w:rsid w:val="006F4CF6"/>
    <w:rsid w:val="006F6389"/>
    <w:rsid w:val="00701CAB"/>
    <w:rsid w:val="00707563"/>
    <w:rsid w:val="00707D9D"/>
    <w:rsid w:val="0071685D"/>
    <w:rsid w:val="00716D14"/>
    <w:rsid w:val="00720068"/>
    <w:rsid w:val="00720C5B"/>
    <w:rsid w:val="00720FA6"/>
    <w:rsid w:val="0072348C"/>
    <w:rsid w:val="00724A37"/>
    <w:rsid w:val="00726EDC"/>
    <w:rsid w:val="007303C3"/>
    <w:rsid w:val="00743223"/>
    <w:rsid w:val="00746E01"/>
    <w:rsid w:val="00747003"/>
    <w:rsid w:val="00747667"/>
    <w:rsid w:val="0075098D"/>
    <w:rsid w:val="0075304E"/>
    <w:rsid w:val="00753475"/>
    <w:rsid w:val="007537EE"/>
    <w:rsid w:val="0075488D"/>
    <w:rsid w:val="007564E7"/>
    <w:rsid w:val="007570A5"/>
    <w:rsid w:val="00760870"/>
    <w:rsid w:val="0076299F"/>
    <w:rsid w:val="00762AE1"/>
    <w:rsid w:val="00763E5D"/>
    <w:rsid w:val="007652BA"/>
    <w:rsid w:val="00765756"/>
    <w:rsid w:val="00766345"/>
    <w:rsid w:val="00767740"/>
    <w:rsid w:val="00770EC4"/>
    <w:rsid w:val="00772B0A"/>
    <w:rsid w:val="00775671"/>
    <w:rsid w:val="007761A0"/>
    <w:rsid w:val="0077653A"/>
    <w:rsid w:val="00777B78"/>
    <w:rsid w:val="00777EE6"/>
    <w:rsid w:val="00782ED0"/>
    <w:rsid w:val="00782EEA"/>
    <w:rsid w:val="00784666"/>
    <w:rsid w:val="00784EDC"/>
    <w:rsid w:val="00784F00"/>
    <w:rsid w:val="007856A9"/>
    <w:rsid w:val="00786258"/>
    <w:rsid w:val="007863FF"/>
    <w:rsid w:val="00791DA9"/>
    <w:rsid w:val="00795851"/>
    <w:rsid w:val="00795B44"/>
    <w:rsid w:val="007A0B5B"/>
    <w:rsid w:val="007A2425"/>
    <w:rsid w:val="007A3B80"/>
    <w:rsid w:val="007A6E47"/>
    <w:rsid w:val="007A7E7B"/>
    <w:rsid w:val="007A7FF6"/>
    <w:rsid w:val="007B16BA"/>
    <w:rsid w:val="007B2012"/>
    <w:rsid w:val="007B22C9"/>
    <w:rsid w:val="007B2C72"/>
    <w:rsid w:val="007B3433"/>
    <w:rsid w:val="007C17EB"/>
    <w:rsid w:val="007C1C53"/>
    <w:rsid w:val="007C22F4"/>
    <w:rsid w:val="007C2D1B"/>
    <w:rsid w:val="007C2F3F"/>
    <w:rsid w:val="007C4667"/>
    <w:rsid w:val="007C4A63"/>
    <w:rsid w:val="007C6B45"/>
    <w:rsid w:val="007C73DE"/>
    <w:rsid w:val="007D5DFF"/>
    <w:rsid w:val="007E025A"/>
    <w:rsid w:val="007E0ECF"/>
    <w:rsid w:val="007E149A"/>
    <w:rsid w:val="007E26A9"/>
    <w:rsid w:val="007E3959"/>
    <w:rsid w:val="007E4904"/>
    <w:rsid w:val="007E4CB5"/>
    <w:rsid w:val="007E7B19"/>
    <w:rsid w:val="007F066B"/>
    <w:rsid w:val="007F1799"/>
    <w:rsid w:val="007F766F"/>
    <w:rsid w:val="008033C4"/>
    <w:rsid w:val="00803F05"/>
    <w:rsid w:val="00804FAE"/>
    <w:rsid w:val="00806C88"/>
    <w:rsid w:val="00807A7A"/>
    <w:rsid w:val="0081019A"/>
    <w:rsid w:val="0081034E"/>
    <w:rsid w:val="00811C69"/>
    <w:rsid w:val="008154B3"/>
    <w:rsid w:val="008157ED"/>
    <w:rsid w:val="008168DD"/>
    <w:rsid w:val="00816E4C"/>
    <w:rsid w:val="008170CF"/>
    <w:rsid w:val="008175BB"/>
    <w:rsid w:val="00820DC4"/>
    <w:rsid w:val="00821197"/>
    <w:rsid w:val="008222E7"/>
    <w:rsid w:val="00822A20"/>
    <w:rsid w:val="00822AE6"/>
    <w:rsid w:val="00823315"/>
    <w:rsid w:val="008244D5"/>
    <w:rsid w:val="00826E95"/>
    <w:rsid w:val="0083173C"/>
    <w:rsid w:val="008344F6"/>
    <w:rsid w:val="0083510F"/>
    <w:rsid w:val="00835B78"/>
    <w:rsid w:val="00835CD8"/>
    <w:rsid w:val="00837203"/>
    <w:rsid w:val="00837CE7"/>
    <w:rsid w:val="0084105F"/>
    <w:rsid w:val="00842571"/>
    <w:rsid w:val="00842894"/>
    <w:rsid w:val="00842F3C"/>
    <w:rsid w:val="00846A6A"/>
    <w:rsid w:val="00850262"/>
    <w:rsid w:val="0085087F"/>
    <w:rsid w:val="00850CFF"/>
    <w:rsid w:val="008510D8"/>
    <w:rsid w:val="00851209"/>
    <w:rsid w:val="008531CD"/>
    <w:rsid w:val="00853549"/>
    <w:rsid w:val="00854F45"/>
    <w:rsid w:val="00855500"/>
    <w:rsid w:val="00855FE1"/>
    <w:rsid w:val="008622D8"/>
    <w:rsid w:val="00865CB8"/>
    <w:rsid w:val="00872BA0"/>
    <w:rsid w:val="008756AB"/>
    <w:rsid w:val="008756BD"/>
    <w:rsid w:val="0087664F"/>
    <w:rsid w:val="00876AA7"/>
    <w:rsid w:val="0088007E"/>
    <w:rsid w:val="008837AC"/>
    <w:rsid w:val="00884DE5"/>
    <w:rsid w:val="00885BC3"/>
    <w:rsid w:val="0088648B"/>
    <w:rsid w:val="0088679F"/>
    <w:rsid w:val="0088767D"/>
    <w:rsid w:val="008921DA"/>
    <w:rsid w:val="00892789"/>
    <w:rsid w:val="008945B4"/>
    <w:rsid w:val="0089537A"/>
    <w:rsid w:val="008969EE"/>
    <w:rsid w:val="008A2D0A"/>
    <w:rsid w:val="008A587D"/>
    <w:rsid w:val="008A7C3E"/>
    <w:rsid w:val="008B5DEE"/>
    <w:rsid w:val="008B651E"/>
    <w:rsid w:val="008B6F24"/>
    <w:rsid w:val="008B71DC"/>
    <w:rsid w:val="008C14A2"/>
    <w:rsid w:val="008C1591"/>
    <w:rsid w:val="008C23E1"/>
    <w:rsid w:val="008C4698"/>
    <w:rsid w:val="008C5486"/>
    <w:rsid w:val="008D2AA0"/>
    <w:rsid w:val="008D4020"/>
    <w:rsid w:val="008D4934"/>
    <w:rsid w:val="008D650D"/>
    <w:rsid w:val="008E07ED"/>
    <w:rsid w:val="008E0ACD"/>
    <w:rsid w:val="008E1C38"/>
    <w:rsid w:val="008E36AB"/>
    <w:rsid w:val="008E6C07"/>
    <w:rsid w:val="008E7031"/>
    <w:rsid w:val="008F030D"/>
    <w:rsid w:val="008F34B2"/>
    <w:rsid w:val="0090695B"/>
    <w:rsid w:val="00912BCF"/>
    <w:rsid w:val="009143E6"/>
    <w:rsid w:val="00915F41"/>
    <w:rsid w:val="00920B4E"/>
    <w:rsid w:val="00922843"/>
    <w:rsid w:val="00922C95"/>
    <w:rsid w:val="009233EE"/>
    <w:rsid w:val="00924E5E"/>
    <w:rsid w:val="009255ED"/>
    <w:rsid w:val="00925A75"/>
    <w:rsid w:val="00926716"/>
    <w:rsid w:val="00926C83"/>
    <w:rsid w:val="00926D2B"/>
    <w:rsid w:val="00927A62"/>
    <w:rsid w:val="00930502"/>
    <w:rsid w:val="00933D02"/>
    <w:rsid w:val="00934148"/>
    <w:rsid w:val="0093685A"/>
    <w:rsid w:val="00936C76"/>
    <w:rsid w:val="00941617"/>
    <w:rsid w:val="00945366"/>
    <w:rsid w:val="0094538C"/>
    <w:rsid w:val="00950823"/>
    <w:rsid w:val="00953483"/>
    <w:rsid w:val="009540CB"/>
    <w:rsid w:val="00965C14"/>
    <w:rsid w:val="009661DE"/>
    <w:rsid w:val="00970E62"/>
    <w:rsid w:val="009736CA"/>
    <w:rsid w:val="00973A80"/>
    <w:rsid w:val="00973FE2"/>
    <w:rsid w:val="0097628B"/>
    <w:rsid w:val="009778B1"/>
    <w:rsid w:val="00977EED"/>
    <w:rsid w:val="00980609"/>
    <w:rsid w:val="00983337"/>
    <w:rsid w:val="009856B7"/>
    <w:rsid w:val="0098602B"/>
    <w:rsid w:val="009872E2"/>
    <w:rsid w:val="00987D9F"/>
    <w:rsid w:val="00991A97"/>
    <w:rsid w:val="00991B3B"/>
    <w:rsid w:val="00991FC2"/>
    <w:rsid w:val="00993568"/>
    <w:rsid w:val="0099462B"/>
    <w:rsid w:val="00995A9F"/>
    <w:rsid w:val="009962BA"/>
    <w:rsid w:val="009A0469"/>
    <w:rsid w:val="009A3203"/>
    <w:rsid w:val="009A6021"/>
    <w:rsid w:val="009B4A4F"/>
    <w:rsid w:val="009B74B0"/>
    <w:rsid w:val="009C0067"/>
    <w:rsid w:val="009C088D"/>
    <w:rsid w:val="009C0C27"/>
    <w:rsid w:val="009C1DAB"/>
    <w:rsid w:val="009C3DF6"/>
    <w:rsid w:val="009C542C"/>
    <w:rsid w:val="009C5874"/>
    <w:rsid w:val="009D0CAA"/>
    <w:rsid w:val="009D28B8"/>
    <w:rsid w:val="009D4414"/>
    <w:rsid w:val="009D5178"/>
    <w:rsid w:val="009D6B46"/>
    <w:rsid w:val="009D6DF0"/>
    <w:rsid w:val="009D750C"/>
    <w:rsid w:val="009E26A2"/>
    <w:rsid w:val="009E60B8"/>
    <w:rsid w:val="009E68AD"/>
    <w:rsid w:val="009F32C2"/>
    <w:rsid w:val="009F395E"/>
    <w:rsid w:val="009F3F51"/>
    <w:rsid w:val="009F4793"/>
    <w:rsid w:val="009F4886"/>
    <w:rsid w:val="009F4940"/>
    <w:rsid w:val="009F7544"/>
    <w:rsid w:val="00A0248C"/>
    <w:rsid w:val="00A05A07"/>
    <w:rsid w:val="00A07D79"/>
    <w:rsid w:val="00A10DED"/>
    <w:rsid w:val="00A11261"/>
    <w:rsid w:val="00A126D1"/>
    <w:rsid w:val="00A14C77"/>
    <w:rsid w:val="00A14E05"/>
    <w:rsid w:val="00A1665B"/>
    <w:rsid w:val="00A221E3"/>
    <w:rsid w:val="00A23AC7"/>
    <w:rsid w:val="00A23E6F"/>
    <w:rsid w:val="00A248E7"/>
    <w:rsid w:val="00A26C62"/>
    <w:rsid w:val="00A30BC5"/>
    <w:rsid w:val="00A30F0E"/>
    <w:rsid w:val="00A3151D"/>
    <w:rsid w:val="00A321F3"/>
    <w:rsid w:val="00A323D2"/>
    <w:rsid w:val="00A323D9"/>
    <w:rsid w:val="00A32BCA"/>
    <w:rsid w:val="00A34106"/>
    <w:rsid w:val="00A34323"/>
    <w:rsid w:val="00A418F2"/>
    <w:rsid w:val="00A42E53"/>
    <w:rsid w:val="00A4478A"/>
    <w:rsid w:val="00A44852"/>
    <w:rsid w:val="00A45936"/>
    <w:rsid w:val="00A45F5E"/>
    <w:rsid w:val="00A471B1"/>
    <w:rsid w:val="00A50320"/>
    <w:rsid w:val="00A503CB"/>
    <w:rsid w:val="00A5160F"/>
    <w:rsid w:val="00A524EC"/>
    <w:rsid w:val="00A57D04"/>
    <w:rsid w:val="00A601CA"/>
    <w:rsid w:val="00A602E4"/>
    <w:rsid w:val="00A60A26"/>
    <w:rsid w:val="00A61255"/>
    <w:rsid w:val="00A61598"/>
    <w:rsid w:val="00A62E1F"/>
    <w:rsid w:val="00A63866"/>
    <w:rsid w:val="00A6460F"/>
    <w:rsid w:val="00A6590A"/>
    <w:rsid w:val="00A66623"/>
    <w:rsid w:val="00A70F47"/>
    <w:rsid w:val="00A71302"/>
    <w:rsid w:val="00A72440"/>
    <w:rsid w:val="00A72DB4"/>
    <w:rsid w:val="00A733D5"/>
    <w:rsid w:val="00A759D8"/>
    <w:rsid w:val="00A7724B"/>
    <w:rsid w:val="00A84F46"/>
    <w:rsid w:val="00A86E7D"/>
    <w:rsid w:val="00A871F4"/>
    <w:rsid w:val="00A9442F"/>
    <w:rsid w:val="00A97576"/>
    <w:rsid w:val="00A97E61"/>
    <w:rsid w:val="00AA1BAD"/>
    <w:rsid w:val="00AB17D6"/>
    <w:rsid w:val="00AB1AC8"/>
    <w:rsid w:val="00AB2A42"/>
    <w:rsid w:val="00AB2F61"/>
    <w:rsid w:val="00AB6A46"/>
    <w:rsid w:val="00AC0D61"/>
    <w:rsid w:val="00AC1318"/>
    <w:rsid w:val="00AC174A"/>
    <w:rsid w:val="00AC1B2C"/>
    <w:rsid w:val="00AC1FFC"/>
    <w:rsid w:val="00AC3264"/>
    <w:rsid w:val="00AC336C"/>
    <w:rsid w:val="00AC3E35"/>
    <w:rsid w:val="00AC6F01"/>
    <w:rsid w:val="00AD05CA"/>
    <w:rsid w:val="00AD0D28"/>
    <w:rsid w:val="00AD54BA"/>
    <w:rsid w:val="00AD5F83"/>
    <w:rsid w:val="00AD62A7"/>
    <w:rsid w:val="00AD7912"/>
    <w:rsid w:val="00AE0FE2"/>
    <w:rsid w:val="00AE1BF1"/>
    <w:rsid w:val="00AE2FA4"/>
    <w:rsid w:val="00AE3F05"/>
    <w:rsid w:val="00AE4AE9"/>
    <w:rsid w:val="00AE4BAE"/>
    <w:rsid w:val="00AE544A"/>
    <w:rsid w:val="00AE54F3"/>
    <w:rsid w:val="00AE6D99"/>
    <w:rsid w:val="00AE7DE0"/>
    <w:rsid w:val="00AF0DD2"/>
    <w:rsid w:val="00AF183C"/>
    <w:rsid w:val="00AF2CA4"/>
    <w:rsid w:val="00AF30D2"/>
    <w:rsid w:val="00AF3153"/>
    <w:rsid w:val="00AF31A1"/>
    <w:rsid w:val="00AF3C42"/>
    <w:rsid w:val="00AF6639"/>
    <w:rsid w:val="00AF7051"/>
    <w:rsid w:val="00B01BB7"/>
    <w:rsid w:val="00B021F0"/>
    <w:rsid w:val="00B04223"/>
    <w:rsid w:val="00B04B44"/>
    <w:rsid w:val="00B070B3"/>
    <w:rsid w:val="00B10136"/>
    <w:rsid w:val="00B10314"/>
    <w:rsid w:val="00B10A60"/>
    <w:rsid w:val="00B11691"/>
    <w:rsid w:val="00B13048"/>
    <w:rsid w:val="00B13A62"/>
    <w:rsid w:val="00B14D3A"/>
    <w:rsid w:val="00B15998"/>
    <w:rsid w:val="00B16A3E"/>
    <w:rsid w:val="00B1716D"/>
    <w:rsid w:val="00B17A1D"/>
    <w:rsid w:val="00B207A0"/>
    <w:rsid w:val="00B20B33"/>
    <w:rsid w:val="00B229DF"/>
    <w:rsid w:val="00B238A7"/>
    <w:rsid w:val="00B26496"/>
    <w:rsid w:val="00B26C00"/>
    <w:rsid w:val="00B31CE0"/>
    <w:rsid w:val="00B34DAD"/>
    <w:rsid w:val="00B34FEA"/>
    <w:rsid w:val="00B35869"/>
    <w:rsid w:val="00B358F7"/>
    <w:rsid w:val="00B359C6"/>
    <w:rsid w:val="00B46AB5"/>
    <w:rsid w:val="00B52896"/>
    <w:rsid w:val="00B52AFD"/>
    <w:rsid w:val="00B54BAF"/>
    <w:rsid w:val="00B54CB1"/>
    <w:rsid w:val="00B55DAF"/>
    <w:rsid w:val="00B56E03"/>
    <w:rsid w:val="00B57570"/>
    <w:rsid w:val="00B57A10"/>
    <w:rsid w:val="00B57F5B"/>
    <w:rsid w:val="00B60F5D"/>
    <w:rsid w:val="00B62438"/>
    <w:rsid w:val="00B6262D"/>
    <w:rsid w:val="00B64E78"/>
    <w:rsid w:val="00B64FB0"/>
    <w:rsid w:val="00B6607A"/>
    <w:rsid w:val="00B67E91"/>
    <w:rsid w:val="00B70B5F"/>
    <w:rsid w:val="00B730BB"/>
    <w:rsid w:val="00B75573"/>
    <w:rsid w:val="00B759DE"/>
    <w:rsid w:val="00B75F46"/>
    <w:rsid w:val="00B76340"/>
    <w:rsid w:val="00B771AE"/>
    <w:rsid w:val="00B77D81"/>
    <w:rsid w:val="00B8080B"/>
    <w:rsid w:val="00B823FA"/>
    <w:rsid w:val="00B842D4"/>
    <w:rsid w:val="00B87B97"/>
    <w:rsid w:val="00B87C39"/>
    <w:rsid w:val="00B87EF5"/>
    <w:rsid w:val="00B90110"/>
    <w:rsid w:val="00B90A19"/>
    <w:rsid w:val="00B90EB4"/>
    <w:rsid w:val="00B91910"/>
    <w:rsid w:val="00B93E9D"/>
    <w:rsid w:val="00B93EA4"/>
    <w:rsid w:val="00B958FA"/>
    <w:rsid w:val="00B97B0E"/>
    <w:rsid w:val="00BA1402"/>
    <w:rsid w:val="00BA2066"/>
    <w:rsid w:val="00BA2CB5"/>
    <w:rsid w:val="00BA3B0B"/>
    <w:rsid w:val="00BA4665"/>
    <w:rsid w:val="00BA4B38"/>
    <w:rsid w:val="00BA5A1A"/>
    <w:rsid w:val="00BB2FB2"/>
    <w:rsid w:val="00BB3304"/>
    <w:rsid w:val="00BB4898"/>
    <w:rsid w:val="00BB4D5B"/>
    <w:rsid w:val="00BC639F"/>
    <w:rsid w:val="00BD1B2B"/>
    <w:rsid w:val="00BD2256"/>
    <w:rsid w:val="00BD3446"/>
    <w:rsid w:val="00BE0328"/>
    <w:rsid w:val="00BE033E"/>
    <w:rsid w:val="00BE0738"/>
    <w:rsid w:val="00BE11BF"/>
    <w:rsid w:val="00BE1F1B"/>
    <w:rsid w:val="00BE212C"/>
    <w:rsid w:val="00BE47B5"/>
    <w:rsid w:val="00BE4B71"/>
    <w:rsid w:val="00BE4C99"/>
    <w:rsid w:val="00BE5E2C"/>
    <w:rsid w:val="00BE5EC7"/>
    <w:rsid w:val="00BE6EA9"/>
    <w:rsid w:val="00BE7FDF"/>
    <w:rsid w:val="00BF26BA"/>
    <w:rsid w:val="00BF3A7E"/>
    <w:rsid w:val="00BF6F21"/>
    <w:rsid w:val="00C01FFB"/>
    <w:rsid w:val="00C02273"/>
    <w:rsid w:val="00C0501E"/>
    <w:rsid w:val="00C058AB"/>
    <w:rsid w:val="00C06739"/>
    <w:rsid w:val="00C1080F"/>
    <w:rsid w:val="00C1355F"/>
    <w:rsid w:val="00C13A86"/>
    <w:rsid w:val="00C17652"/>
    <w:rsid w:val="00C17EA2"/>
    <w:rsid w:val="00C215A4"/>
    <w:rsid w:val="00C21AB0"/>
    <w:rsid w:val="00C2385E"/>
    <w:rsid w:val="00C24AF1"/>
    <w:rsid w:val="00C27B41"/>
    <w:rsid w:val="00C34707"/>
    <w:rsid w:val="00C4522F"/>
    <w:rsid w:val="00C4603F"/>
    <w:rsid w:val="00C46F24"/>
    <w:rsid w:val="00C50551"/>
    <w:rsid w:val="00C51119"/>
    <w:rsid w:val="00C5321F"/>
    <w:rsid w:val="00C538A9"/>
    <w:rsid w:val="00C53B5A"/>
    <w:rsid w:val="00C53D5B"/>
    <w:rsid w:val="00C54464"/>
    <w:rsid w:val="00C54F5A"/>
    <w:rsid w:val="00C55AFF"/>
    <w:rsid w:val="00C5645D"/>
    <w:rsid w:val="00C6037A"/>
    <w:rsid w:val="00C61998"/>
    <w:rsid w:val="00C61C48"/>
    <w:rsid w:val="00C62263"/>
    <w:rsid w:val="00C64EFA"/>
    <w:rsid w:val="00C678DD"/>
    <w:rsid w:val="00C72CBE"/>
    <w:rsid w:val="00C755AD"/>
    <w:rsid w:val="00C75A6A"/>
    <w:rsid w:val="00C75CFF"/>
    <w:rsid w:val="00C82C2B"/>
    <w:rsid w:val="00C84504"/>
    <w:rsid w:val="00C8590C"/>
    <w:rsid w:val="00C86679"/>
    <w:rsid w:val="00C875F9"/>
    <w:rsid w:val="00C90D2E"/>
    <w:rsid w:val="00CA002A"/>
    <w:rsid w:val="00CA0984"/>
    <w:rsid w:val="00CA63C4"/>
    <w:rsid w:val="00CB58AA"/>
    <w:rsid w:val="00CB666B"/>
    <w:rsid w:val="00CC00C4"/>
    <w:rsid w:val="00CC48C5"/>
    <w:rsid w:val="00CC619B"/>
    <w:rsid w:val="00CD147D"/>
    <w:rsid w:val="00CD6A5F"/>
    <w:rsid w:val="00CD73B7"/>
    <w:rsid w:val="00CE3C07"/>
    <w:rsid w:val="00CE50C1"/>
    <w:rsid w:val="00CE623D"/>
    <w:rsid w:val="00CE72EB"/>
    <w:rsid w:val="00CE7724"/>
    <w:rsid w:val="00CF1AE5"/>
    <w:rsid w:val="00CF22CE"/>
    <w:rsid w:val="00CF353E"/>
    <w:rsid w:val="00CF799E"/>
    <w:rsid w:val="00D01CF0"/>
    <w:rsid w:val="00D038BF"/>
    <w:rsid w:val="00D0442A"/>
    <w:rsid w:val="00D05817"/>
    <w:rsid w:val="00D06802"/>
    <w:rsid w:val="00D10392"/>
    <w:rsid w:val="00D124A8"/>
    <w:rsid w:val="00D1504A"/>
    <w:rsid w:val="00D15278"/>
    <w:rsid w:val="00D175B4"/>
    <w:rsid w:val="00D17DE7"/>
    <w:rsid w:val="00D203E1"/>
    <w:rsid w:val="00D2082B"/>
    <w:rsid w:val="00D23723"/>
    <w:rsid w:val="00D26037"/>
    <w:rsid w:val="00D26A6C"/>
    <w:rsid w:val="00D31D03"/>
    <w:rsid w:val="00D325CA"/>
    <w:rsid w:val="00D329DE"/>
    <w:rsid w:val="00D32F26"/>
    <w:rsid w:val="00D3348E"/>
    <w:rsid w:val="00D343CD"/>
    <w:rsid w:val="00D365DB"/>
    <w:rsid w:val="00D4357A"/>
    <w:rsid w:val="00D44747"/>
    <w:rsid w:val="00D47EAB"/>
    <w:rsid w:val="00D47F3C"/>
    <w:rsid w:val="00D51246"/>
    <w:rsid w:val="00D51B82"/>
    <w:rsid w:val="00D521D5"/>
    <w:rsid w:val="00D5398F"/>
    <w:rsid w:val="00D53C05"/>
    <w:rsid w:val="00D544B8"/>
    <w:rsid w:val="00D554B2"/>
    <w:rsid w:val="00D568EF"/>
    <w:rsid w:val="00D60C70"/>
    <w:rsid w:val="00D61388"/>
    <w:rsid w:val="00D61A54"/>
    <w:rsid w:val="00D63E06"/>
    <w:rsid w:val="00D64734"/>
    <w:rsid w:val="00D64DEA"/>
    <w:rsid w:val="00D66D8B"/>
    <w:rsid w:val="00D704C3"/>
    <w:rsid w:val="00D70AB8"/>
    <w:rsid w:val="00D73C8B"/>
    <w:rsid w:val="00D7579B"/>
    <w:rsid w:val="00D76242"/>
    <w:rsid w:val="00D767BC"/>
    <w:rsid w:val="00D80893"/>
    <w:rsid w:val="00D81B39"/>
    <w:rsid w:val="00D84397"/>
    <w:rsid w:val="00D84B6C"/>
    <w:rsid w:val="00D84C46"/>
    <w:rsid w:val="00D875D2"/>
    <w:rsid w:val="00D90421"/>
    <w:rsid w:val="00D92CF1"/>
    <w:rsid w:val="00D92D38"/>
    <w:rsid w:val="00D93E37"/>
    <w:rsid w:val="00D950F5"/>
    <w:rsid w:val="00D95259"/>
    <w:rsid w:val="00D95F77"/>
    <w:rsid w:val="00D96838"/>
    <w:rsid w:val="00D971B5"/>
    <w:rsid w:val="00DA454B"/>
    <w:rsid w:val="00DA5807"/>
    <w:rsid w:val="00DB0F93"/>
    <w:rsid w:val="00DB3B99"/>
    <w:rsid w:val="00DB4278"/>
    <w:rsid w:val="00DB6D5B"/>
    <w:rsid w:val="00DC0361"/>
    <w:rsid w:val="00DC0A74"/>
    <w:rsid w:val="00DC32CD"/>
    <w:rsid w:val="00DC3789"/>
    <w:rsid w:val="00DC542F"/>
    <w:rsid w:val="00DC5923"/>
    <w:rsid w:val="00DC5DB1"/>
    <w:rsid w:val="00DC7981"/>
    <w:rsid w:val="00DD14E8"/>
    <w:rsid w:val="00DD1DD9"/>
    <w:rsid w:val="00DD1F06"/>
    <w:rsid w:val="00DD29C7"/>
    <w:rsid w:val="00DE0605"/>
    <w:rsid w:val="00DE12EA"/>
    <w:rsid w:val="00DE295B"/>
    <w:rsid w:val="00DE4142"/>
    <w:rsid w:val="00DE4EFA"/>
    <w:rsid w:val="00DE5520"/>
    <w:rsid w:val="00DE57F8"/>
    <w:rsid w:val="00DE5AF4"/>
    <w:rsid w:val="00DF21DB"/>
    <w:rsid w:val="00DF2631"/>
    <w:rsid w:val="00DF27EB"/>
    <w:rsid w:val="00DF5190"/>
    <w:rsid w:val="00DF52F4"/>
    <w:rsid w:val="00DF76E9"/>
    <w:rsid w:val="00E03A2E"/>
    <w:rsid w:val="00E04818"/>
    <w:rsid w:val="00E04F7E"/>
    <w:rsid w:val="00E05F12"/>
    <w:rsid w:val="00E06442"/>
    <w:rsid w:val="00E065A5"/>
    <w:rsid w:val="00E10435"/>
    <w:rsid w:val="00E10D03"/>
    <w:rsid w:val="00E177D5"/>
    <w:rsid w:val="00E21A19"/>
    <w:rsid w:val="00E22F59"/>
    <w:rsid w:val="00E23379"/>
    <w:rsid w:val="00E23993"/>
    <w:rsid w:val="00E25B8C"/>
    <w:rsid w:val="00E25F11"/>
    <w:rsid w:val="00E27642"/>
    <w:rsid w:val="00E31F1B"/>
    <w:rsid w:val="00E32238"/>
    <w:rsid w:val="00E32946"/>
    <w:rsid w:val="00E32FC6"/>
    <w:rsid w:val="00E335EE"/>
    <w:rsid w:val="00E34374"/>
    <w:rsid w:val="00E36E05"/>
    <w:rsid w:val="00E37E59"/>
    <w:rsid w:val="00E40483"/>
    <w:rsid w:val="00E43495"/>
    <w:rsid w:val="00E4674F"/>
    <w:rsid w:val="00E509F2"/>
    <w:rsid w:val="00E55CCC"/>
    <w:rsid w:val="00E62EEF"/>
    <w:rsid w:val="00E65B93"/>
    <w:rsid w:val="00E65C85"/>
    <w:rsid w:val="00E66199"/>
    <w:rsid w:val="00E662EE"/>
    <w:rsid w:val="00E7023F"/>
    <w:rsid w:val="00E70566"/>
    <w:rsid w:val="00E70F38"/>
    <w:rsid w:val="00E755EC"/>
    <w:rsid w:val="00E7624D"/>
    <w:rsid w:val="00E7686B"/>
    <w:rsid w:val="00E77E1B"/>
    <w:rsid w:val="00E8107A"/>
    <w:rsid w:val="00E92231"/>
    <w:rsid w:val="00E9279B"/>
    <w:rsid w:val="00E930B9"/>
    <w:rsid w:val="00E93661"/>
    <w:rsid w:val="00E936BE"/>
    <w:rsid w:val="00E96857"/>
    <w:rsid w:val="00EA1C62"/>
    <w:rsid w:val="00EA3D42"/>
    <w:rsid w:val="00EA4000"/>
    <w:rsid w:val="00EA57D0"/>
    <w:rsid w:val="00EA624D"/>
    <w:rsid w:val="00EA680D"/>
    <w:rsid w:val="00EA6B1B"/>
    <w:rsid w:val="00EB2811"/>
    <w:rsid w:val="00EB6844"/>
    <w:rsid w:val="00EC033C"/>
    <w:rsid w:val="00EC6A47"/>
    <w:rsid w:val="00ED212F"/>
    <w:rsid w:val="00ED331B"/>
    <w:rsid w:val="00ED68FC"/>
    <w:rsid w:val="00ED6C92"/>
    <w:rsid w:val="00ED734F"/>
    <w:rsid w:val="00EE0043"/>
    <w:rsid w:val="00EE027F"/>
    <w:rsid w:val="00EE26D8"/>
    <w:rsid w:val="00EE28F3"/>
    <w:rsid w:val="00EE2923"/>
    <w:rsid w:val="00EE4101"/>
    <w:rsid w:val="00EE6559"/>
    <w:rsid w:val="00EE6D5D"/>
    <w:rsid w:val="00EE6E10"/>
    <w:rsid w:val="00EE6EBA"/>
    <w:rsid w:val="00EE7ABF"/>
    <w:rsid w:val="00EF010B"/>
    <w:rsid w:val="00EF3248"/>
    <w:rsid w:val="00EF366A"/>
    <w:rsid w:val="00EF3B1B"/>
    <w:rsid w:val="00EF4CF6"/>
    <w:rsid w:val="00EF5110"/>
    <w:rsid w:val="00F00DBA"/>
    <w:rsid w:val="00F012E9"/>
    <w:rsid w:val="00F0241D"/>
    <w:rsid w:val="00F028DE"/>
    <w:rsid w:val="00F033BB"/>
    <w:rsid w:val="00F0546C"/>
    <w:rsid w:val="00F11221"/>
    <w:rsid w:val="00F11276"/>
    <w:rsid w:val="00F114C8"/>
    <w:rsid w:val="00F118E6"/>
    <w:rsid w:val="00F120D1"/>
    <w:rsid w:val="00F133AC"/>
    <w:rsid w:val="00F13A71"/>
    <w:rsid w:val="00F14AD3"/>
    <w:rsid w:val="00F15882"/>
    <w:rsid w:val="00F20BD3"/>
    <w:rsid w:val="00F25FC9"/>
    <w:rsid w:val="00F2692E"/>
    <w:rsid w:val="00F27C83"/>
    <w:rsid w:val="00F36851"/>
    <w:rsid w:val="00F373A5"/>
    <w:rsid w:val="00F376A3"/>
    <w:rsid w:val="00F37782"/>
    <w:rsid w:val="00F42A9B"/>
    <w:rsid w:val="00F441FF"/>
    <w:rsid w:val="00F44951"/>
    <w:rsid w:val="00F470AA"/>
    <w:rsid w:val="00F47256"/>
    <w:rsid w:val="00F47559"/>
    <w:rsid w:val="00F50A50"/>
    <w:rsid w:val="00F564B9"/>
    <w:rsid w:val="00F57607"/>
    <w:rsid w:val="00F57BB9"/>
    <w:rsid w:val="00F60BE4"/>
    <w:rsid w:val="00F61AE8"/>
    <w:rsid w:val="00F61B84"/>
    <w:rsid w:val="00F6247C"/>
    <w:rsid w:val="00F642FD"/>
    <w:rsid w:val="00F6470B"/>
    <w:rsid w:val="00F64C7B"/>
    <w:rsid w:val="00F676DD"/>
    <w:rsid w:val="00F709AC"/>
    <w:rsid w:val="00F7113C"/>
    <w:rsid w:val="00F7158F"/>
    <w:rsid w:val="00F75A26"/>
    <w:rsid w:val="00F75E7B"/>
    <w:rsid w:val="00F80119"/>
    <w:rsid w:val="00F803D2"/>
    <w:rsid w:val="00F80AD3"/>
    <w:rsid w:val="00F82629"/>
    <w:rsid w:val="00F829B0"/>
    <w:rsid w:val="00F83FAD"/>
    <w:rsid w:val="00F86233"/>
    <w:rsid w:val="00F91DC6"/>
    <w:rsid w:val="00F9228F"/>
    <w:rsid w:val="00F92DAB"/>
    <w:rsid w:val="00F94A57"/>
    <w:rsid w:val="00F952A0"/>
    <w:rsid w:val="00F978B2"/>
    <w:rsid w:val="00FA01CC"/>
    <w:rsid w:val="00FA3091"/>
    <w:rsid w:val="00FA32F8"/>
    <w:rsid w:val="00FA3C7F"/>
    <w:rsid w:val="00FA4E09"/>
    <w:rsid w:val="00FA50FD"/>
    <w:rsid w:val="00FA642E"/>
    <w:rsid w:val="00FA6B6C"/>
    <w:rsid w:val="00FB223C"/>
    <w:rsid w:val="00FB52D7"/>
    <w:rsid w:val="00FB53C4"/>
    <w:rsid w:val="00FB7327"/>
    <w:rsid w:val="00FB74E2"/>
    <w:rsid w:val="00FC21F3"/>
    <w:rsid w:val="00FC29CD"/>
    <w:rsid w:val="00FC58DE"/>
    <w:rsid w:val="00FC5BA7"/>
    <w:rsid w:val="00FC650B"/>
    <w:rsid w:val="00FC6861"/>
    <w:rsid w:val="00FD2330"/>
    <w:rsid w:val="00FD2375"/>
    <w:rsid w:val="00FD307E"/>
    <w:rsid w:val="00FD3786"/>
    <w:rsid w:val="00FD464C"/>
    <w:rsid w:val="00FD55AF"/>
    <w:rsid w:val="00FD5614"/>
    <w:rsid w:val="00FD7089"/>
    <w:rsid w:val="00FE0BE1"/>
    <w:rsid w:val="00FE1DE9"/>
    <w:rsid w:val="00FE21A9"/>
    <w:rsid w:val="00FE39C2"/>
    <w:rsid w:val="00FE40FE"/>
    <w:rsid w:val="00FE64AE"/>
    <w:rsid w:val="00FE77CB"/>
    <w:rsid w:val="00FE7B71"/>
    <w:rsid w:val="00FF4325"/>
    <w:rsid w:val="00FF786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CCF3B"/>
  <w15:docId w15:val="{E7EA5455-4353-4D83-A9AF-941F6737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Bullet Point,L,List Bullet Cab,List Paragraph - bullets,List Paragraph1,List Paragraph11,NFP GP Bulleted List,Recommendation,Use Case List Paragraph,Content descriptions,CV text,F5 List Paragraph,Dot point list,List Paragraph2,FooterText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numberedparagraph110">
    <w:name w:val="numberedparagraph11"/>
    <w:basedOn w:val="Normal"/>
    <w:rsid w:val="00167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167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167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50">
    <w:name w:val="acthead50"/>
    <w:basedOn w:val="Normal"/>
    <w:rsid w:val="00167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0"/>
    <w:basedOn w:val="DefaultParagraphFont"/>
    <w:rsid w:val="00167299"/>
  </w:style>
  <w:style w:type="character" w:styleId="CommentReference">
    <w:name w:val="annotation reference"/>
    <w:basedOn w:val="DefaultParagraphFont"/>
    <w:uiPriority w:val="99"/>
    <w:semiHidden/>
    <w:unhideWhenUsed/>
    <w:rsid w:val="00AC1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74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4A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B3B63"/>
    <w:pPr>
      <w:autoSpaceDE w:val="0"/>
      <w:autoSpaceDN w:val="0"/>
      <w:adjustRightInd w:val="0"/>
      <w:spacing w:before="0"/>
    </w:pPr>
    <w:rPr>
      <w:rFonts w:ascii="Lucida Fax" w:hAnsi="Lucida Fax" w:cs="Lucida Fax"/>
      <w:color w:val="000000"/>
      <w:sz w:val="24"/>
      <w:szCs w:val="24"/>
    </w:rPr>
  </w:style>
  <w:style w:type="character" w:customStyle="1" w:styleId="ListParagraphChar">
    <w:name w:val="List Paragraph Char"/>
    <w:aliases w:val="Bullet Point Char,L Char,List Bullet Cab Char,List Paragraph - bullets Char,List Paragraph1 Char,List Paragraph11 Char,NFP GP Bulleted List Char,Recommendation Char,Use Case List Paragraph Char,Content descriptions Char,CV text Char"/>
    <w:basedOn w:val="DefaultParagraphFont"/>
    <w:link w:val="ListParagraph"/>
    <w:uiPriority w:val="34"/>
    <w:qFormat/>
    <w:locked/>
    <w:rsid w:val="00D47F3C"/>
    <w:rPr>
      <w:rFonts w:ascii="Arial" w:hAnsi="Arial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3C7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aliases w:val="dd"/>
    <w:basedOn w:val="Normal"/>
    <w:rsid w:val="00123C75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123C75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582134"/>
    <w:pPr>
      <w:spacing w:before="4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charlegsubtitle1">
    <w:name w:val="charlegsubtitle1"/>
    <w:basedOn w:val="DefaultParagraphFont"/>
    <w:rsid w:val="000741AE"/>
    <w:rPr>
      <w:rFonts w:ascii="Arial" w:hAnsi="Arial" w:cs="Arial" w:hint="default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E544A"/>
    <w:pPr>
      <w:spacing w:before="0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72D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E87ABB-2AD0-4E44-A927-EC1535B2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Hawrylko, Eva</dc:creator>
  <cp:keywords/>
  <dc:description/>
  <cp:lastModifiedBy>Keith Baz</cp:lastModifiedBy>
  <cp:revision>4</cp:revision>
  <dcterms:created xsi:type="dcterms:W3CDTF">2024-05-02T05:54:00Z</dcterms:created>
  <dcterms:modified xsi:type="dcterms:W3CDTF">2024-05-03T04:02:00Z</dcterms:modified>
</cp:coreProperties>
</file>