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BB996" w14:textId="77777777" w:rsidR="00473618" w:rsidRPr="00EE7DD8" w:rsidRDefault="00473618" w:rsidP="00473618">
      <w:pPr>
        <w:jc w:val="center"/>
        <w:rPr>
          <w:rFonts w:cs="Times New Roman"/>
          <w:b/>
          <w:bCs/>
          <w:i/>
          <w:iCs/>
          <w:szCs w:val="24"/>
        </w:rPr>
      </w:pPr>
    </w:p>
    <w:p w14:paraId="45DBA594" w14:textId="77777777" w:rsidR="00473618" w:rsidRPr="00EE7DD8" w:rsidRDefault="00473618" w:rsidP="00473618">
      <w:pPr>
        <w:jc w:val="center"/>
        <w:rPr>
          <w:rFonts w:cs="Times New Roman"/>
          <w:b/>
          <w:bCs/>
          <w:i/>
          <w:iCs/>
          <w:szCs w:val="24"/>
        </w:rPr>
      </w:pPr>
    </w:p>
    <w:p w14:paraId="166C02CC" w14:textId="77777777" w:rsidR="00473618" w:rsidRPr="00EE7DD8" w:rsidRDefault="00473618" w:rsidP="00473618">
      <w:pPr>
        <w:jc w:val="center"/>
        <w:rPr>
          <w:rFonts w:cs="Times New Roman"/>
          <w:b/>
          <w:bCs/>
          <w:i/>
          <w:iCs/>
          <w:szCs w:val="24"/>
        </w:rPr>
      </w:pPr>
    </w:p>
    <w:p w14:paraId="48B41264" w14:textId="77777777" w:rsidR="00473618" w:rsidRPr="00EE7DD8" w:rsidRDefault="00473618" w:rsidP="00473618">
      <w:pPr>
        <w:jc w:val="center"/>
        <w:rPr>
          <w:rFonts w:cs="Times New Roman"/>
          <w:b/>
          <w:bCs/>
          <w:i/>
          <w:iCs/>
          <w:szCs w:val="24"/>
        </w:rPr>
      </w:pPr>
    </w:p>
    <w:p w14:paraId="3F326EB4" w14:textId="77777777" w:rsidR="00473618" w:rsidRPr="00EE7DD8" w:rsidRDefault="00473618" w:rsidP="00473618">
      <w:pPr>
        <w:jc w:val="center"/>
        <w:rPr>
          <w:rFonts w:cs="Times New Roman"/>
          <w:b/>
          <w:bCs/>
          <w:i/>
          <w:iCs/>
          <w:szCs w:val="24"/>
        </w:rPr>
      </w:pPr>
    </w:p>
    <w:p w14:paraId="0CCDCA35" w14:textId="77777777" w:rsidR="00473618" w:rsidRPr="00EE7DD8" w:rsidRDefault="00473618" w:rsidP="00473618">
      <w:pPr>
        <w:jc w:val="center"/>
        <w:rPr>
          <w:rFonts w:cs="Times New Roman"/>
          <w:b/>
          <w:bCs/>
          <w:i/>
          <w:iCs/>
          <w:szCs w:val="24"/>
        </w:rPr>
      </w:pPr>
    </w:p>
    <w:p w14:paraId="4DD30C6C" w14:textId="77777777" w:rsidR="00473618" w:rsidRPr="00EE7DD8" w:rsidRDefault="00473618" w:rsidP="00473618">
      <w:pPr>
        <w:jc w:val="center"/>
        <w:rPr>
          <w:rFonts w:cs="Times New Roman"/>
          <w:b/>
          <w:bCs/>
          <w:i/>
          <w:iCs/>
          <w:szCs w:val="24"/>
        </w:rPr>
      </w:pPr>
    </w:p>
    <w:p w14:paraId="34907BC7" w14:textId="0EEA75DB" w:rsidR="00473618" w:rsidRPr="00EE7DD8" w:rsidRDefault="00473618" w:rsidP="00473618">
      <w:pPr>
        <w:jc w:val="center"/>
        <w:rPr>
          <w:rFonts w:cs="Times New Roman"/>
          <w:b/>
          <w:bCs/>
          <w:i/>
          <w:iCs/>
          <w:szCs w:val="24"/>
        </w:rPr>
      </w:pPr>
      <w:r w:rsidRPr="00EE7DD8">
        <w:rPr>
          <w:rFonts w:cs="Times New Roman"/>
          <w:b/>
          <w:bCs/>
          <w:i/>
          <w:iCs/>
          <w:szCs w:val="24"/>
        </w:rPr>
        <w:t>FEDERAL CIRCUIT AND FAMILY COURT OF AUSTRALIA</w:t>
      </w:r>
      <w:r w:rsidRPr="00EE7DD8">
        <w:rPr>
          <w:rFonts w:cs="Times New Roman"/>
          <w:b/>
          <w:bCs/>
          <w:i/>
          <w:iCs/>
          <w:szCs w:val="24"/>
        </w:rPr>
        <w:br/>
        <w:t xml:space="preserve"> (FAMILY LAW) AMENDMENT (202</w:t>
      </w:r>
      <w:r w:rsidR="002E77AB">
        <w:rPr>
          <w:rFonts w:cs="Times New Roman"/>
          <w:b/>
          <w:bCs/>
          <w:i/>
          <w:iCs/>
          <w:szCs w:val="24"/>
        </w:rPr>
        <w:t>4</w:t>
      </w:r>
      <w:r w:rsidRPr="00EE7DD8">
        <w:rPr>
          <w:rFonts w:cs="Times New Roman"/>
          <w:b/>
          <w:bCs/>
          <w:i/>
          <w:iCs/>
          <w:szCs w:val="24"/>
        </w:rPr>
        <w:t xml:space="preserve"> MEASURES NO.1) RULES 202</w:t>
      </w:r>
      <w:r w:rsidR="002E77AB">
        <w:rPr>
          <w:rFonts w:cs="Times New Roman"/>
          <w:b/>
          <w:bCs/>
          <w:i/>
          <w:iCs/>
          <w:szCs w:val="24"/>
        </w:rPr>
        <w:t>4</w:t>
      </w:r>
    </w:p>
    <w:p w14:paraId="25E95464" w14:textId="77777777" w:rsidR="00473618" w:rsidRPr="00EE7DD8" w:rsidRDefault="00473618" w:rsidP="00473618">
      <w:pPr>
        <w:jc w:val="center"/>
        <w:rPr>
          <w:rFonts w:cs="Times New Roman"/>
          <w:b/>
          <w:bCs/>
          <w:i/>
          <w:iCs/>
          <w:szCs w:val="24"/>
        </w:rPr>
      </w:pPr>
    </w:p>
    <w:p w14:paraId="035744AB" w14:textId="77777777" w:rsidR="00473618" w:rsidRPr="00EE7DD8" w:rsidRDefault="00473618" w:rsidP="00473618">
      <w:pPr>
        <w:jc w:val="center"/>
        <w:rPr>
          <w:rFonts w:cs="Times New Roman"/>
          <w:b/>
          <w:bCs/>
          <w:szCs w:val="24"/>
        </w:rPr>
      </w:pPr>
      <w:r w:rsidRPr="00EE7DD8">
        <w:rPr>
          <w:rFonts w:cs="Times New Roman"/>
          <w:b/>
          <w:bCs/>
          <w:szCs w:val="24"/>
        </w:rPr>
        <w:t>EXPLANATORY STATEMENT</w:t>
      </w:r>
    </w:p>
    <w:p w14:paraId="45F1FA69" w14:textId="77777777" w:rsidR="00473618" w:rsidRPr="00EE7DD8" w:rsidRDefault="00473618">
      <w:pPr>
        <w:spacing w:line="276" w:lineRule="auto"/>
        <w:rPr>
          <w:rFonts w:cs="Times New Roman"/>
          <w:b/>
          <w:bCs/>
          <w:szCs w:val="24"/>
        </w:rPr>
      </w:pPr>
      <w:r w:rsidRPr="00EE7DD8">
        <w:rPr>
          <w:rFonts w:cs="Times New Roman"/>
          <w:b/>
          <w:bCs/>
          <w:szCs w:val="24"/>
        </w:rPr>
        <w:br w:type="page"/>
      </w:r>
    </w:p>
    <w:p w14:paraId="6F206103" w14:textId="36860A55" w:rsidR="00473618" w:rsidRPr="00EE7DD8" w:rsidRDefault="00473618" w:rsidP="00473618">
      <w:pPr>
        <w:rPr>
          <w:rFonts w:cs="Times New Roman"/>
          <w:bCs/>
          <w:iCs/>
          <w:szCs w:val="24"/>
        </w:rPr>
      </w:pPr>
      <w:r w:rsidRPr="00EE7DD8">
        <w:rPr>
          <w:rFonts w:cs="Times New Roman"/>
          <w:bCs/>
          <w:iCs/>
          <w:szCs w:val="24"/>
        </w:rPr>
        <w:lastRenderedPageBreak/>
        <w:t>FEDERAL CIRCUIT AND FAMILY COURT OF AUSTRALIA (FAMILY LAW) AMENDMENT (202</w:t>
      </w:r>
      <w:r w:rsidR="002E77AB">
        <w:rPr>
          <w:rFonts w:cs="Times New Roman"/>
          <w:bCs/>
          <w:iCs/>
          <w:szCs w:val="24"/>
        </w:rPr>
        <w:t>4</w:t>
      </w:r>
      <w:r w:rsidRPr="00EE7DD8">
        <w:rPr>
          <w:rFonts w:cs="Times New Roman"/>
          <w:bCs/>
          <w:iCs/>
          <w:szCs w:val="24"/>
        </w:rPr>
        <w:t xml:space="preserve"> MEASURES NO.1) RULES 202</w:t>
      </w:r>
      <w:r w:rsidR="002E77AB">
        <w:rPr>
          <w:rFonts w:cs="Times New Roman"/>
          <w:bCs/>
          <w:iCs/>
          <w:szCs w:val="24"/>
        </w:rPr>
        <w:t>4</w:t>
      </w:r>
    </w:p>
    <w:p w14:paraId="4836AC3F" w14:textId="77777777" w:rsidR="00473618" w:rsidRPr="00EE7DD8" w:rsidRDefault="00473618" w:rsidP="00473618">
      <w:pPr>
        <w:rPr>
          <w:rFonts w:cs="Times New Roman"/>
          <w:b/>
          <w:bCs/>
          <w:szCs w:val="24"/>
        </w:rPr>
      </w:pPr>
    </w:p>
    <w:p w14:paraId="747AC5F9" w14:textId="77777777" w:rsidR="00473618" w:rsidRPr="00EE7DD8" w:rsidRDefault="00473618" w:rsidP="00473618">
      <w:pPr>
        <w:rPr>
          <w:rFonts w:cs="Times New Roman"/>
          <w:b/>
          <w:bCs/>
          <w:szCs w:val="24"/>
        </w:rPr>
      </w:pPr>
      <w:r w:rsidRPr="00EE7DD8">
        <w:rPr>
          <w:rFonts w:cs="Times New Roman"/>
          <w:b/>
          <w:bCs/>
          <w:szCs w:val="24"/>
        </w:rPr>
        <w:t>EXPLANATORY STATEMENT</w:t>
      </w:r>
    </w:p>
    <w:p w14:paraId="2509E08A" w14:textId="77777777" w:rsidR="00473618" w:rsidRPr="00EE7DD8" w:rsidRDefault="00473618" w:rsidP="00473618">
      <w:pPr>
        <w:rPr>
          <w:rFonts w:cs="Times New Roman"/>
          <w:b/>
          <w:bCs/>
          <w:szCs w:val="24"/>
        </w:rPr>
      </w:pPr>
    </w:p>
    <w:p w14:paraId="06F7C403" w14:textId="1BA48BD8" w:rsidR="00473618" w:rsidRPr="00EE7DD8" w:rsidRDefault="00473618" w:rsidP="00473618">
      <w:pPr>
        <w:rPr>
          <w:rFonts w:cs="Times New Roman"/>
          <w:b/>
          <w:bCs/>
          <w:szCs w:val="24"/>
        </w:rPr>
      </w:pPr>
      <w:r w:rsidRPr="00EE7DD8">
        <w:rPr>
          <w:rFonts w:cs="Times New Roman"/>
          <w:b/>
          <w:bCs/>
          <w:szCs w:val="24"/>
        </w:rPr>
        <w:t xml:space="preserve">Issued by the authority of the Chief Justice of the Federal Circuit and Family Court of Australia (Division </w:t>
      </w:r>
      <w:r w:rsidR="002E77AB">
        <w:rPr>
          <w:rFonts w:cs="Times New Roman"/>
          <w:b/>
          <w:bCs/>
          <w:szCs w:val="24"/>
        </w:rPr>
        <w:t>1</w:t>
      </w:r>
      <w:r w:rsidRPr="00EE7DD8">
        <w:rPr>
          <w:rFonts w:cs="Times New Roman"/>
          <w:b/>
          <w:bCs/>
          <w:szCs w:val="24"/>
        </w:rPr>
        <w:t>)</w:t>
      </w:r>
    </w:p>
    <w:p w14:paraId="6A274B34" w14:textId="77777777" w:rsidR="00473618" w:rsidRPr="00EE7DD8" w:rsidRDefault="00473618" w:rsidP="00C9045F">
      <w:pPr>
        <w:jc w:val="both"/>
        <w:rPr>
          <w:rFonts w:cs="Times New Roman"/>
          <w:szCs w:val="24"/>
        </w:rPr>
      </w:pPr>
      <w:r w:rsidRPr="00EE7DD8">
        <w:rPr>
          <w:rFonts w:cs="Times New Roman"/>
          <w:szCs w:val="24"/>
        </w:rPr>
        <w:t xml:space="preserve">Section 8 of the </w:t>
      </w:r>
      <w:r w:rsidRPr="00EE7DD8">
        <w:rPr>
          <w:rFonts w:cs="Times New Roman"/>
          <w:i/>
          <w:iCs/>
          <w:szCs w:val="24"/>
        </w:rPr>
        <w:t>Federal Circuit and Family Court of Australia Act 2021</w:t>
      </w:r>
      <w:r w:rsidRPr="00EE7DD8">
        <w:rPr>
          <w:rFonts w:cs="Times New Roman"/>
          <w:szCs w:val="24"/>
        </w:rPr>
        <w:t xml:space="preserve"> (‘the FCFCOA Act’) provides that, from the commencement day of the FCFCOA Act, the Family Court of Australia will be continued in existence as the Federal Circuit and Family Court of Australia (Division 1) (‘the FCFCOA (Division 1)’) and that the Federal Circuit Court of Australia will continue in existence as the Federal Circuit and Family Court of Australia (Division 2) (‘the FCFCOA (Division 2)’).</w:t>
      </w:r>
    </w:p>
    <w:p w14:paraId="007CF8DD" w14:textId="284CAC8B" w:rsidR="00473618" w:rsidRPr="00EE7DD8" w:rsidRDefault="00473618" w:rsidP="00C9045F">
      <w:pPr>
        <w:jc w:val="both"/>
        <w:rPr>
          <w:rFonts w:cs="Times New Roman"/>
          <w:szCs w:val="24"/>
        </w:rPr>
      </w:pPr>
      <w:r w:rsidRPr="00EE7DD8">
        <w:rPr>
          <w:rFonts w:cs="Times New Roman"/>
          <w:szCs w:val="24"/>
        </w:rPr>
        <w:t xml:space="preserve">Section 76 of the FCFCOA Act provides, among other things, that the </w:t>
      </w:r>
      <w:r w:rsidR="002E77AB">
        <w:rPr>
          <w:rFonts w:cs="Times New Roman"/>
          <w:szCs w:val="24"/>
        </w:rPr>
        <w:t>Judges</w:t>
      </w:r>
      <w:r w:rsidRPr="00EE7DD8">
        <w:rPr>
          <w:rFonts w:cs="Times New Roman"/>
          <w:szCs w:val="24"/>
        </w:rPr>
        <w:t xml:space="preserve"> of the FCFCOA (Division 1)</w:t>
      </w:r>
      <w:r w:rsidR="002E77AB">
        <w:rPr>
          <w:rFonts w:cs="Times New Roman"/>
          <w:szCs w:val="24"/>
        </w:rPr>
        <w:t>, or a majority of them,</w:t>
      </w:r>
      <w:r w:rsidRPr="00EE7DD8">
        <w:rPr>
          <w:rFonts w:cs="Times New Roman"/>
          <w:szCs w:val="24"/>
        </w:rPr>
        <w:t xml:space="preserve"> may make Rules of Court providing for, or in relation to, the practice and procedure to be followed in the FCFCOA (Division 1), as well as for all matters and things incidental to any such practice or procedure, and in relation to any matter or thing in respect of which Rules of Court may be made under the </w:t>
      </w:r>
      <w:r w:rsidRPr="00EE7DD8">
        <w:rPr>
          <w:rFonts w:cs="Times New Roman"/>
          <w:i/>
          <w:iCs/>
          <w:szCs w:val="24"/>
        </w:rPr>
        <w:t>Family Law Act 1975</w:t>
      </w:r>
      <w:r w:rsidRPr="00EE7DD8">
        <w:rPr>
          <w:rFonts w:cs="Times New Roman"/>
          <w:szCs w:val="24"/>
        </w:rPr>
        <w:t xml:space="preserve"> (Cth) (‘the Family Law Act’) for the purposes of their application to the FCFCOA (Division 1).</w:t>
      </w:r>
    </w:p>
    <w:p w14:paraId="5563EA22" w14:textId="54B87F24" w:rsidR="00473618" w:rsidRPr="00093172" w:rsidRDefault="00473618" w:rsidP="00C9045F">
      <w:pPr>
        <w:jc w:val="both"/>
        <w:rPr>
          <w:rFonts w:cs="Times New Roman"/>
          <w:szCs w:val="24"/>
        </w:rPr>
      </w:pPr>
      <w:r w:rsidRPr="00EE7DD8">
        <w:rPr>
          <w:rFonts w:cs="Times New Roman"/>
          <w:szCs w:val="24"/>
        </w:rPr>
        <w:t xml:space="preserve">The </w:t>
      </w:r>
      <w:r w:rsidRPr="00EE7DD8">
        <w:rPr>
          <w:rFonts w:cs="Times New Roman"/>
          <w:i/>
          <w:szCs w:val="24"/>
        </w:rPr>
        <w:t>Federal Circuit and Family Court of Australia (Family Law) Rules 2021</w:t>
      </w:r>
      <w:r w:rsidR="00C9045F" w:rsidRPr="00EE7DD8">
        <w:rPr>
          <w:rFonts w:cs="Times New Roman"/>
          <w:i/>
          <w:szCs w:val="24"/>
        </w:rPr>
        <w:t xml:space="preserve"> </w:t>
      </w:r>
      <w:r w:rsidR="00C9045F" w:rsidRPr="00EE7DD8">
        <w:rPr>
          <w:rFonts w:cs="Times New Roman"/>
          <w:szCs w:val="24"/>
        </w:rPr>
        <w:t>(‘the Rules’)</w:t>
      </w:r>
      <w:r w:rsidRPr="00EE7DD8">
        <w:rPr>
          <w:rFonts w:cs="Times New Roman"/>
          <w:szCs w:val="24"/>
        </w:rPr>
        <w:t xml:space="preserve"> </w:t>
      </w:r>
      <w:r w:rsidR="002E77AB">
        <w:rPr>
          <w:rFonts w:cs="Times New Roman"/>
          <w:szCs w:val="24"/>
        </w:rPr>
        <w:t xml:space="preserve">were made </w:t>
      </w:r>
      <w:r w:rsidRPr="00EE7DD8">
        <w:rPr>
          <w:rFonts w:cs="Times New Roman"/>
          <w:szCs w:val="24"/>
        </w:rPr>
        <w:t xml:space="preserve">on 26 August 2021. These amending rules, the </w:t>
      </w:r>
      <w:r w:rsidRPr="00EE7DD8">
        <w:rPr>
          <w:rFonts w:cs="Times New Roman"/>
          <w:i/>
          <w:szCs w:val="24"/>
        </w:rPr>
        <w:t>Federal Circuit and Family Court of Australia (Family Law) Amendment (202</w:t>
      </w:r>
      <w:r w:rsidR="002E77AB">
        <w:rPr>
          <w:rFonts w:cs="Times New Roman"/>
          <w:i/>
          <w:szCs w:val="24"/>
        </w:rPr>
        <w:t>4</w:t>
      </w:r>
      <w:r w:rsidRPr="00EE7DD8">
        <w:rPr>
          <w:rFonts w:cs="Times New Roman"/>
          <w:i/>
          <w:szCs w:val="24"/>
        </w:rPr>
        <w:t xml:space="preserve"> Measures No.1) Rules 202</w:t>
      </w:r>
      <w:r w:rsidR="002E77AB">
        <w:rPr>
          <w:rFonts w:cs="Times New Roman"/>
          <w:i/>
          <w:szCs w:val="24"/>
        </w:rPr>
        <w:t>4</w:t>
      </w:r>
      <w:r w:rsidRPr="00EE7DD8">
        <w:rPr>
          <w:rFonts w:cs="Times New Roman"/>
          <w:szCs w:val="24"/>
        </w:rPr>
        <w:t xml:space="preserve"> (‘the amendments’), have now been made to amend the Rules. </w:t>
      </w:r>
      <w:r w:rsidR="00093172">
        <w:rPr>
          <w:rFonts w:cs="Times New Roman"/>
          <w:szCs w:val="24"/>
        </w:rPr>
        <w:t xml:space="preserve">The amendments comprise changes to the Rules of Court necessary to align the practice and procedure of the Court with the legislative amendments contained in the </w:t>
      </w:r>
      <w:r w:rsidR="00093172">
        <w:rPr>
          <w:rFonts w:cs="Times New Roman"/>
          <w:i/>
          <w:iCs/>
          <w:szCs w:val="24"/>
        </w:rPr>
        <w:t xml:space="preserve">Family Law Amendment Act 2023 </w:t>
      </w:r>
      <w:r w:rsidR="00093172">
        <w:rPr>
          <w:rFonts w:cs="Times New Roman"/>
          <w:szCs w:val="24"/>
        </w:rPr>
        <w:t xml:space="preserve">and the </w:t>
      </w:r>
      <w:r w:rsidR="00093172">
        <w:rPr>
          <w:rFonts w:cs="Times New Roman"/>
          <w:i/>
          <w:iCs/>
          <w:szCs w:val="24"/>
        </w:rPr>
        <w:t>Family Law Amendment (Information Sharing) Act 2023</w:t>
      </w:r>
      <w:r w:rsidR="00093172">
        <w:rPr>
          <w:rFonts w:cs="Times New Roman"/>
          <w:szCs w:val="24"/>
        </w:rPr>
        <w:t>, as well as some broader updates.</w:t>
      </w:r>
    </w:p>
    <w:p w14:paraId="6C5AE2E9" w14:textId="193A0BCB" w:rsidR="002E77AB" w:rsidRDefault="00C9045F" w:rsidP="00C9045F">
      <w:pPr>
        <w:jc w:val="both"/>
        <w:rPr>
          <w:rFonts w:cs="Times New Roman"/>
          <w:szCs w:val="24"/>
        </w:rPr>
      </w:pPr>
      <w:r w:rsidRPr="00EE7DD8">
        <w:rPr>
          <w:rFonts w:cs="Times New Roman"/>
          <w:szCs w:val="24"/>
        </w:rPr>
        <w:t xml:space="preserve">Section 5 of the FCFCOA Act provides that one of the objects of the FCFCOA Act is to provide a framework to facilitate cooperation between the FCFCOA (Division 1) and the FCFCOA (Division 2), with the aim of ensuring common rules of court and forms, common practices and procedures, and common approaches to case management. </w:t>
      </w:r>
      <w:r w:rsidR="002E77AB">
        <w:rPr>
          <w:rFonts w:cs="Times New Roman"/>
          <w:szCs w:val="24"/>
        </w:rPr>
        <w:t xml:space="preserve">Subsection 76(1A) of the FCFCOA Act provides that proposed Rules of Court are not to be made if the Chief Justice considers they are not consistent with the aim mentioned in paragraph 75(a) of the Act of ensuring common rules of court and forms. </w:t>
      </w:r>
    </w:p>
    <w:p w14:paraId="751A0EDD" w14:textId="468B62D2" w:rsidR="00C9045F" w:rsidRPr="00EE7DD8" w:rsidRDefault="00C9045F" w:rsidP="00C9045F">
      <w:pPr>
        <w:jc w:val="both"/>
        <w:rPr>
          <w:rFonts w:cs="Times New Roman"/>
          <w:szCs w:val="24"/>
        </w:rPr>
      </w:pPr>
      <w:r w:rsidRPr="00EE7DD8">
        <w:rPr>
          <w:rFonts w:cs="Times New Roman"/>
          <w:szCs w:val="24"/>
        </w:rPr>
        <w:t xml:space="preserve">Common rules of court across the federal family law courts are achieved through the adoption of the Rules by the FCFCOA (Division 2) in Part 2 of the </w:t>
      </w:r>
      <w:r w:rsidRPr="00EE7DD8">
        <w:rPr>
          <w:rFonts w:cs="Times New Roman"/>
          <w:i/>
          <w:szCs w:val="24"/>
        </w:rPr>
        <w:t>Federal Circuit and Family Court of Australia (Division 2) (Family Law) Rules 2021</w:t>
      </w:r>
      <w:r w:rsidRPr="00EE7DD8">
        <w:rPr>
          <w:rFonts w:cs="Times New Roman"/>
          <w:szCs w:val="24"/>
        </w:rPr>
        <w:t>.</w:t>
      </w:r>
    </w:p>
    <w:p w14:paraId="03B92AE7" w14:textId="46B0FD2B" w:rsidR="00C9045F" w:rsidRPr="00EE7DD8" w:rsidRDefault="00C9045F" w:rsidP="00C9045F">
      <w:pPr>
        <w:jc w:val="both"/>
        <w:rPr>
          <w:rFonts w:cs="Times New Roman"/>
          <w:szCs w:val="24"/>
        </w:rPr>
      </w:pPr>
      <w:r w:rsidRPr="00EE7DD8">
        <w:rPr>
          <w:rFonts w:cs="Times New Roman"/>
          <w:szCs w:val="24"/>
        </w:rPr>
        <w:lastRenderedPageBreak/>
        <w:t xml:space="preserve">Subsection 76(4) of the FCFCOA Act provides that the </w:t>
      </w:r>
      <w:r w:rsidRPr="00EE7DD8">
        <w:rPr>
          <w:rFonts w:cs="Times New Roman"/>
          <w:i/>
          <w:iCs/>
          <w:szCs w:val="24"/>
        </w:rPr>
        <w:t>Legislation Act 2003</w:t>
      </w:r>
      <w:r w:rsidRPr="00EE7DD8">
        <w:rPr>
          <w:rFonts w:cs="Times New Roman"/>
          <w:szCs w:val="24"/>
        </w:rPr>
        <w:t xml:space="preserve"> (Cth) (other than sections 8, 9, 10, 16 and Part 4 of Chapter 3) applies to rules of court. In this application, a refere</w:t>
      </w:r>
      <w:r w:rsidR="00AF542A" w:rsidRPr="00EE7DD8">
        <w:rPr>
          <w:rFonts w:cs="Times New Roman"/>
          <w:szCs w:val="24"/>
        </w:rPr>
        <w:t xml:space="preserve">nce to a legislative instrument in the </w:t>
      </w:r>
      <w:r w:rsidR="00AF542A" w:rsidRPr="00EE7DD8">
        <w:rPr>
          <w:rFonts w:cs="Times New Roman"/>
          <w:i/>
          <w:szCs w:val="24"/>
        </w:rPr>
        <w:t xml:space="preserve">Legislation Act 2003 </w:t>
      </w:r>
      <w:r w:rsidR="00AF542A" w:rsidRPr="00EE7DD8">
        <w:rPr>
          <w:rFonts w:cs="Times New Roman"/>
          <w:szCs w:val="24"/>
        </w:rPr>
        <w:t xml:space="preserve">(Cth) </w:t>
      </w:r>
      <w:r w:rsidRPr="00EE7DD8">
        <w:rPr>
          <w:rFonts w:cs="Times New Roman"/>
          <w:szCs w:val="24"/>
        </w:rPr>
        <w:t>is to be read as a reference to a rule of court</w:t>
      </w:r>
      <w:r w:rsidR="00AF542A" w:rsidRPr="00EE7DD8">
        <w:rPr>
          <w:rFonts w:cs="Times New Roman"/>
          <w:szCs w:val="24"/>
        </w:rPr>
        <w:t xml:space="preserve"> and a reference to a rule-maker as a reference to the Chief Justice</w:t>
      </w:r>
      <w:r w:rsidR="002E77AB">
        <w:rPr>
          <w:rFonts w:cs="Times New Roman"/>
          <w:szCs w:val="24"/>
        </w:rPr>
        <w:t xml:space="preserve"> </w:t>
      </w:r>
      <w:r w:rsidR="002E77AB" w:rsidRPr="002E77AB">
        <w:rPr>
          <w:rFonts w:cs="Times New Roman"/>
          <w:szCs w:val="24"/>
        </w:rPr>
        <w:t>acting on behalf of the Judges of the Court</w:t>
      </w:r>
      <w:r w:rsidRPr="00EE7DD8">
        <w:rPr>
          <w:rFonts w:cs="Times New Roman"/>
          <w:szCs w:val="24"/>
        </w:rPr>
        <w:t xml:space="preserve">. </w:t>
      </w:r>
    </w:p>
    <w:p w14:paraId="71AF81B5" w14:textId="77777777" w:rsidR="00C9045F" w:rsidRPr="00EE7DD8" w:rsidRDefault="00C9045F" w:rsidP="00C9045F">
      <w:pPr>
        <w:jc w:val="both"/>
        <w:rPr>
          <w:rFonts w:cs="Times New Roman"/>
          <w:szCs w:val="24"/>
        </w:rPr>
      </w:pPr>
      <w:r w:rsidRPr="00EE7DD8">
        <w:rPr>
          <w:rFonts w:cs="Times New Roman"/>
          <w:szCs w:val="24"/>
        </w:rPr>
        <w:t xml:space="preserve">The Court has proceeded on the basis that a statement of compatibility with human rights is not required to be included in an explanatory statement to rules of court, as whilst the FCFCOA Act applies the </w:t>
      </w:r>
      <w:r w:rsidRPr="00EE7DD8">
        <w:rPr>
          <w:rFonts w:cs="Times New Roman"/>
          <w:i/>
          <w:iCs/>
          <w:szCs w:val="24"/>
        </w:rPr>
        <w:t>Legislation Act 2003</w:t>
      </w:r>
      <w:r w:rsidRPr="00EE7DD8">
        <w:rPr>
          <w:rFonts w:cs="Times New Roman"/>
          <w:szCs w:val="24"/>
        </w:rPr>
        <w:t xml:space="preserve"> (Cth) to rules of court, it does not expressly translate a reference to a legislative instrument in legislation other than the </w:t>
      </w:r>
      <w:r w:rsidRPr="00EE7DD8">
        <w:rPr>
          <w:rFonts w:cs="Times New Roman"/>
          <w:i/>
          <w:iCs/>
          <w:szCs w:val="24"/>
        </w:rPr>
        <w:t>Legislation Act 2003</w:t>
      </w:r>
      <w:r w:rsidRPr="00EE7DD8">
        <w:rPr>
          <w:rFonts w:cs="Times New Roman"/>
          <w:szCs w:val="24"/>
        </w:rPr>
        <w:t xml:space="preserve"> (Cth) into a reference to rules of court, such as in the </w:t>
      </w:r>
      <w:r w:rsidRPr="00EE7DD8">
        <w:rPr>
          <w:rFonts w:cs="Times New Roman"/>
          <w:i/>
          <w:iCs/>
          <w:szCs w:val="24"/>
        </w:rPr>
        <w:t xml:space="preserve">Human Rights (Parliamentary Scrutiny) Act 2011 </w:t>
      </w:r>
      <w:r w:rsidRPr="00EE7DD8">
        <w:rPr>
          <w:rFonts w:cs="Times New Roman"/>
          <w:szCs w:val="24"/>
        </w:rPr>
        <w:t>(Cth).</w:t>
      </w:r>
    </w:p>
    <w:p w14:paraId="750FF9E2" w14:textId="77777777" w:rsidR="00AF542A" w:rsidRPr="00EE7DD8" w:rsidRDefault="00C9045F" w:rsidP="00C9045F">
      <w:pPr>
        <w:jc w:val="both"/>
        <w:rPr>
          <w:rFonts w:cs="Times New Roman"/>
          <w:szCs w:val="24"/>
        </w:rPr>
      </w:pPr>
      <w:r w:rsidRPr="00EE7DD8">
        <w:rPr>
          <w:rFonts w:cs="Times New Roman"/>
          <w:szCs w:val="24"/>
        </w:rPr>
        <w:t xml:space="preserve">The Court notes that different views are held as to whether a statement of compatibility with human rights is formally required to be included in an explanatory statement to rules of court. However for the avoidance of doubt, a statement of compatibility with human rights is included below. </w:t>
      </w:r>
    </w:p>
    <w:p w14:paraId="00F23A22" w14:textId="77777777" w:rsidR="00AF542A" w:rsidRPr="00EE7DD8" w:rsidRDefault="00AF542A">
      <w:pPr>
        <w:spacing w:line="276" w:lineRule="auto"/>
        <w:rPr>
          <w:rFonts w:cs="Times New Roman"/>
          <w:szCs w:val="24"/>
        </w:rPr>
      </w:pPr>
      <w:r w:rsidRPr="00EE7DD8">
        <w:rPr>
          <w:rFonts w:cs="Times New Roman"/>
          <w:szCs w:val="24"/>
        </w:rPr>
        <w:br w:type="page"/>
      </w:r>
    </w:p>
    <w:p w14:paraId="67ACD489" w14:textId="77777777" w:rsidR="00AF542A" w:rsidRPr="00EE7DD8" w:rsidRDefault="00AF542A" w:rsidP="00AF542A">
      <w:pPr>
        <w:jc w:val="center"/>
        <w:rPr>
          <w:rFonts w:cs="Times New Roman"/>
          <w:b/>
          <w:szCs w:val="24"/>
        </w:rPr>
      </w:pPr>
      <w:r w:rsidRPr="00EE7DD8">
        <w:rPr>
          <w:rFonts w:cs="Times New Roman"/>
          <w:b/>
          <w:szCs w:val="24"/>
        </w:rPr>
        <w:lastRenderedPageBreak/>
        <w:t>Statement of Compatibility with Human Rights</w:t>
      </w:r>
    </w:p>
    <w:p w14:paraId="6C626FB9" w14:textId="4AAC1A75" w:rsidR="00AF542A" w:rsidRPr="00EE7DD8" w:rsidRDefault="00AF542A" w:rsidP="00AF542A">
      <w:pPr>
        <w:jc w:val="both"/>
        <w:rPr>
          <w:rFonts w:cs="Times New Roman"/>
          <w:b/>
          <w:szCs w:val="24"/>
        </w:rPr>
      </w:pPr>
      <w:r w:rsidRPr="00EE7DD8">
        <w:rPr>
          <w:rFonts w:cs="Times New Roman"/>
          <w:b/>
          <w:szCs w:val="24"/>
        </w:rPr>
        <w:t>Federal Circui</w:t>
      </w:r>
      <w:r w:rsidR="00452036" w:rsidRPr="00EE7DD8">
        <w:rPr>
          <w:rFonts w:cs="Times New Roman"/>
          <w:b/>
          <w:szCs w:val="24"/>
        </w:rPr>
        <w:t>t and Family Court of Australia</w:t>
      </w:r>
      <w:r w:rsidRPr="00EE7DD8">
        <w:rPr>
          <w:rFonts w:cs="Times New Roman"/>
          <w:b/>
          <w:szCs w:val="24"/>
        </w:rPr>
        <w:t xml:space="preserve"> (Family Law) </w:t>
      </w:r>
      <w:r w:rsidR="00452036" w:rsidRPr="00EE7DD8">
        <w:rPr>
          <w:rFonts w:cs="Times New Roman"/>
          <w:b/>
          <w:szCs w:val="24"/>
        </w:rPr>
        <w:t>Amendment (202</w:t>
      </w:r>
      <w:r w:rsidR="002E77AB">
        <w:rPr>
          <w:rFonts w:cs="Times New Roman"/>
          <w:b/>
          <w:szCs w:val="24"/>
        </w:rPr>
        <w:t>4</w:t>
      </w:r>
      <w:r w:rsidR="00452036" w:rsidRPr="00EE7DD8">
        <w:rPr>
          <w:rFonts w:cs="Times New Roman"/>
          <w:b/>
          <w:szCs w:val="24"/>
        </w:rPr>
        <w:t xml:space="preserve"> Measures No.1) Rules 202</w:t>
      </w:r>
      <w:r w:rsidR="002E77AB">
        <w:rPr>
          <w:rFonts w:cs="Times New Roman"/>
          <w:b/>
          <w:szCs w:val="24"/>
        </w:rPr>
        <w:t>4</w:t>
      </w:r>
    </w:p>
    <w:p w14:paraId="1764FD5A" w14:textId="77777777" w:rsidR="00AF542A" w:rsidRPr="00EE7DD8" w:rsidRDefault="00AF542A" w:rsidP="00AF542A">
      <w:pPr>
        <w:jc w:val="both"/>
        <w:rPr>
          <w:rFonts w:cs="Times New Roman"/>
          <w:szCs w:val="24"/>
        </w:rPr>
      </w:pPr>
      <w:r w:rsidRPr="00EE7DD8">
        <w:rPr>
          <w:rFonts w:cs="Times New Roman"/>
          <w:szCs w:val="24"/>
        </w:rPr>
        <w:t xml:space="preserve">This legislative instrument is compatible with the human rights and freedoms recognised or declared in the international instruments listed in section 3 of the </w:t>
      </w:r>
      <w:r w:rsidRPr="00EE7DD8">
        <w:rPr>
          <w:rFonts w:cs="Times New Roman"/>
          <w:i/>
          <w:szCs w:val="24"/>
        </w:rPr>
        <w:t xml:space="preserve">Human Rights (Parliamentary Scrutiny) Act 2011 </w:t>
      </w:r>
      <w:r w:rsidRPr="00EE7DD8">
        <w:rPr>
          <w:rFonts w:cs="Times New Roman"/>
          <w:szCs w:val="24"/>
        </w:rPr>
        <w:t>(Cth).</w:t>
      </w:r>
    </w:p>
    <w:p w14:paraId="185823F7" w14:textId="77777777" w:rsidR="00AF542A" w:rsidRPr="00EE7DD8" w:rsidRDefault="00AF542A" w:rsidP="00AF542A">
      <w:pPr>
        <w:spacing w:before="120" w:after="120" w:line="240" w:lineRule="auto"/>
        <w:rPr>
          <w:rFonts w:cs="Times New Roman"/>
          <w:szCs w:val="24"/>
        </w:rPr>
      </w:pPr>
    </w:p>
    <w:p w14:paraId="08686C09" w14:textId="77777777" w:rsidR="00AF542A" w:rsidRPr="00EE7DD8" w:rsidRDefault="00AF542A" w:rsidP="00AF542A">
      <w:pPr>
        <w:jc w:val="both"/>
        <w:rPr>
          <w:rFonts w:cs="Times New Roman"/>
          <w:b/>
          <w:szCs w:val="24"/>
        </w:rPr>
      </w:pPr>
      <w:r w:rsidRPr="00EE7DD8">
        <w:rPr>
          <w:rFonts w:cs="Times New Roman"/>
          <w:b/>
          <w:szCs w:val="24"/>
        </w:rPr>
        <w:t>Human rights implications</w:t>
      </w:r>
    </w:p>
    <w:p w14:paraId="29055CAE" w14:textId="77777777" w:rsidR="00AF542A" w:rsidRPr="00EE7DD8" w:rsidRDefault="00AF542A" w:rsidP="00AF542A">
      <w:pPr>
        <w:jc w:val="both"/>
        <w:rPr>
          <w:rFonts w:cs="Times New Roman"/>
          <w:szCs w:val="24"/>
        </w:rPr>
      </w:pPr>
      <w:r w:rsidRPr="00EE7DD8">
        <w:rPr>
          <w:rFonts w:cs="Times New Roman"/>
          <w:szCs w:val="24"/>
        </w:rPr>
        <w:t>This legislative instrument engages applicable human rights or freedoms, including the following:</w:t>
      </w:r>
    </w:p>
    <w:p w14:paraId="4DC136A8" w14:textId="77777777" w:rsidR="00AF542A" w:rsidRPr="00EE7DD8" w:rsidRDefault="00AF542A" w:rsidP="00AF542A">
      <w:pPr>
        <w:pStyle w:val="ListParagraph"/>
        <w:numPr>
          <w:ilvl w:val="0"/>
          <w:numId w:val="1"/>
        </w:numPr>
        <w:ind w:left="1071" w:hanging="357"/>
        <w:jc w:val="both"/>
        <w:rPr>
          <w:rFonts w:cs="Times New Roman"/>
          <w:szCs w:val="24"/>
        </w:rPr>
      </w:pPr>
      <w:r w:rsidRPr="00EE7DD8">
        <w:rPr>
          <w:rFonts w:cs="Times New Roman"/>
          <w:b/>
          <w:bCs/>
          <w:i/>
          <w:iCs/>
          <w:szCs w:val="24"/>
        </w:rPr>
        <w:t>The best interests of the child:</w:t>
      </w:r>
      <w:r w:rsidRPr="00EE7DD8">
        <w:rPr>
          <w:rFonts w:cs="Times New Roman"/>
          <w:szCs w:val="24"/>
        </w:rPr>
        <w:t xml:space="preserve"> </w:t>
      </w:r>
      <w:r w:rsidRPr="00EE7DD8">
        <w:rPr>
          <w:rFonts w:cs="Times New Roman"/>
          <w:bCs/>
          <w:iCs/>
          <w:szCs w:val="24"/>
        </w:rPr>
        <w:t xml:space="preserve">Article 3(1) of the </w:t>
      </w:r>
      <w:r w:rsidRPr="00EE7DD8">
        <w:rPr>
          <w:rFonts w:cs="Times New Roman"/>
          <w:bCs/>
          <w:i/>
          <w:iCs/>
          <w:szCs w:val="24"/>
        </w:rPr>
        <w:t xml:space="preserve">Convention on the Rights of the Child </w:t>
      </w:r>
      <w:r w:rsidRPr="00EE7DD8">
        <w:rPr>
          <w:rFonts w:cs="Times New Roman"/>
          <w:bCs/>
          <w:iCs/>
          <w:szCs w:val="24"/>
        </w:rPr>
        <w:t xml:space="preserve">(CRC) </w:t>
      </w:r>
      <w:r w:rsidRPr="00EE7DD8">
        <w:rPr>
          <w:rFonts w:cs="Times New Roman"/>
          <w:szCs w:val="24"/>
        </w:rPr>
        <w:t xml:space="preserve">provides that in all actions concerning children, including by courts, the best interests of the child shall be a primary consideration. Article 7(2) of the </w:t>
      </w:r>
      <w:r w:rsidRPr="00EE7DD8">
        <w:rPr>
          <w:rFonts w:cs="Times New Roman"/>
          <w:i/>
          <w:szCs w:val="24"/>
        </w:rPr>
        <w:t xml:space="preserve">Convention on the Rights of Persons with Disabilities </w:t>
      </w:r>
      <w:r w:rsidRPr="00EE7DD8">
        <w:rPr>
          <w:rFonts w:cs="Times New Roman"/>
          <w:szCs w:val="24"/>
        </w:rPr>
        <w:t>(CRPD) provides for this right in relation to children with disabilities. Article 3(2) of the CRC requires all legislative, administrative and judicial bodies and institutions to systematically consider how children’s rights and interests are or will be affected directly or indirectly by their decisions and actions. Article 9(1) of the CRC provides that a child shall not be separated from their parents against their will, except when competent authorities subject to judicial review determine, in accordance with applicable law and procedures, that such separation is necessary for the best interests of the child. Article 12(1) of the CRC provides that a child capable of forming their own views has a right to express those views in matters affecting the child and that those views should be given due weight in accordance with the child’s age and maturity.</w:t>
      </w:r>
    </w:p>
    <w:p w14:paraId="085AB4C2" w14:textId="77777777" w:rsidR="00AF542A" w:rsidRPr="00EE7DD8" w:rsidRDefault="00AF542A" w:rsidP="00AF542A">
      <w:pPr>
        <w:pStyle w:val="ListParagraph"/>
        <w:numPr>
          <w:ilvl w:val="0"/>
          <w:numId w:val="1"/>
        </w:numPr>
        <w:ind w:left="1071" w:hanging="357"/>
        <w:jc w:val="both"/>
        <w:rPr>
          <w:rFonts w:cs="Times New Roman"/>
          <w:szCs w:val="24"/>
        </w:rPr>
      </w:pPr>
      <w:r w:rsidRPr="00EE7DD8">
        <w:rPr>
          <w:rFonts w:cs="Times New Roman"/>
          <w:b/>
          <w:bCs/>
          <w:i/>
          <w:iCs/>
          <w:szCs w:val="24"/>
        </w:rPr>
        <w:t>The right to protection from exploitation, violence and abuse:</w:t>
      </w:r>
      <w:r w:rsidRPr="00EE7DD8">
        <w:rPr>
          <w:rFonts w:cs="Times New Roman"/>
          <w:szCs w:val="24"/>
        </w:rPr>
        <w:t xml:space="preserve"> </w:t>
      </w:r>
      <w:r w:rsidRPr="00EE7DD8">
        <w:rPr>
          <w:rFonts w:cs="Times New Roman"/>
          <w:bCs/>
          <w:iCs/>
          <w:szCs w:val="24"/>
        </w:rPr>
        <w:t xml:space="preserve">Article 20(2) of the </w:t>
      </w:r>
      <w:r w:rsidRPr="00EE7DD8">
        <w:rPr>
          <w:rFonts w:cs="Times New Roman"/>
          <w:bCs/>
          <w:i/>
          <w:iCs/>
          <w:szCs w:val="24"/>
        </w:rPr>
        <w:t xml:space="preserve">International Covenant on Civil and Political Rights </w:t>
      </w:r>
      <w:r w:rsidRPr="00EE7DD8">
        <w:rPr>
          <w:rFonts w:cs="Times New Roman"/>
          <w:bCs/>
          <w:iCs/>
          <w:szCs w:val="24"/>
        </w:rPr>
        <w:t xml:space="preserve">(ICCPR) provides for the right to protection from exploitation, violence and abuse. Article 16(1) of the CRPD provides for the same protection in relation to persons with disabilities. Article 24(1) of the ICCPR provides for the protection of all children, without discrimination, by virtue of their status as minors. Article 19(1) of the CRC provides for the right of children to be protected from exploitation, violence and abuse, and requires States to ‘take all appropriate legislative, administrative, social and educational measures to protect the child from all forms of physical or mental violence, injury or abuse, neglect or negligent treatment, maltreatment or exploitation, including sexual abuse, while in the care of </w:t>
      </w:r>
      <w:r w:rsidRPr="00EE7DD8">
        <w:rPr>
          <w:rFonts w:cs="Times New Roman"/>
          <w:szCs w:val="24"/>
        </w:rPr>
        <w:t>parent</w:t>
      </w:r>
      <w:r w:rsidRPr="00EE7DD8">
        <w:rPr>
          <w:rFonts w:cs="Times New Roman"/>
          <w:bCs/>
          <w:iCs/>
          <w:szCs w:val="24"/>
        </w:rPr>
        <w:t>(s), legal guardian(s) or any other person’. Article 34 of the CRC additionally provides for the right of children to be protected from all forms of sexual exploitation and sexual abuse.</w:t>
      </w:r>
    </w:p>
    <w:p w14:paraId="1AD53545" w14:textId="77777777" w:rsidR="00AF542A" w:rsidRPr="00EE7DD8" w:rsidRDefault="00AF542A" w:rsidP="00AF542A">
      <w:pPr>
        <w:pStyle w:val="ListParagraph"/>
        <w:numPr>
          <w:ilvl w:val="0"/>
          <w:numId w:val="1"/>
        </w:numPr>
        <w:ind w:left="1071" w:hanging="357"/>
        <w:jc w:val="both"/>
        <w:rPr>
          <w:rFonts w:cs="Times New Roman"/>
          <w:szCs w:val="24"/>
        </w:rPr>
      </w:pPr>
      <w:r w:rsidRPr="00EE7DD8">
        <w:rPr>
          <w:rFonts w:cs="Times New Roman"/>
          <w:b/>
          <w:bCs/>
          <w:i/>
          <w:iCs/>
          <w:szCs w:val="24"/>
        </w:rPr>
        <w:lastRenderedPageBreak/>
        <w:t xml:space="preserve">The rights of parents and children: </w:t>
      </w:r>
      <w:r w:rsidRPr="00EE7DD8">
        <w:rPr>
          <w:rFonts w:cs="Times New Roman"/>
          <w:szCs w:val="24"/>
        </w:rPr>
        <w:t>Article 5 of the CRC provides that States shall respect the responsibilities, rights and duties of parents, legal guardians or other persons legally responsible for a child to provide direction and guidance in the child’s exercise of the rights recognised in the CRC. Article 18 of the CRC provides for the recognition of the principle that both parents (or legal guardians) have common responsibilities for the upbringing and development of a child.</w:t>
      </w:r>
    </w:p>
    <w:p w14:paraId="006953CA" w14:textId="77777777" w:rsidR="00AF542A" w:rsidRPr="00EE7DD8" w:rsidRDefault="00AF542A" w:rsidP="00AF542A">
      <w:pPr>
        <w:pStyle w:val="ListParagraph"/>
        <w:numPr>
          <w:ilvl w:val="0"/>
          <w:numId w:val="1"/>
        </w:numPr>
        <w:ind w:left="1071" w:hanging="357"/>
        <w:jc w:val="both"/>
        <w:rPr>
          <w:rFonts w:cs="Times New Roman"/>
          <w:szCs w:val="24"/>
        </w:rPr>
      </w:pPr>
      <w:r w:rsidRPr="00EE7DD8">
        <w:rPr>
          <w:rFonts w:cs="Times New Roman"/>
          <w:b/>
          <w:bCs/>
          <w:i/>
          <w:iCs/>
          <w:szCs w:val="24"/>
        </w:rPr>
        <w:t xml:space="preserve">The right to respect for the family: </w:t>
      </w:r>
      <w:r w:rsidRPr="00EE7DD8">
        <w:rPr>
          <w:rFonts w:cs="Times New Roman"/>
          <w:szCs w:val="24"/>
        </w:rPr>
        <w:t>Article 23 of the ICCPR provides that the family is entitled to the protection of the State and that States shall take appropriate steps to ensure the equality of rights and responsibilities of spouses as to marriage, during marriage and at its dissolution. Article 10(1) of the</w:t>
      </w:r>
      <w:r w:rsidRPr="00EE7DD8">
        <w:rPr>
          <w:rFonts w:cs="Times New Roman"/>
          <w:i/>
          <w:iCs/>
          <w:szCs w:val="24"/>
        </w:rPr>
        <w:t xml:space="preserve"> International Covenant on Economic, Social and Cultural Rights</w:t>
      </w:r>
      <w:r w:rsidRPr="00EE7DD8">
        <w:rPr>
          <w:rFonts w:cs="Times New Roman"/>
          <w:szCs w:val="24"/>
        </w:rPr>
        <w:t xml:space="preserve"> (ICESCR) provides that the widest possible protection and assistance should be accorded to the family. Article 17(1) of the ICCPR provides that a person has a right not to be subjected to arbitrary or unlawful interference with their family. Article 16(1) of the CRC provides for this right in relation to children. Article 23(3) of the CRPD provides that children with disabilities have equal rights with respect to family life.</w:t>
      </w:r>
    </w:p>
    <w:p w14:paraId="63C016F1" w14:textId="77777777" w:rsidR="00AF542A" w:rsidRPr="00EE7DD8" w:rsidRDefault="00AF542A" w:rsidP="00AF542A">
      <w:pPr>
        <w:pStyle w:val="ListParagraph"/>
        <w:numPr>
          <w:ilvl w:val="0"/>
          <w:numId w:val="1"/>
        </w:numPr>
        <w:ind w:left="1071" w:hanging="357"/>
        <w:jc w:val="both"/>
        <w:rPr>
          <w:rFonts w:cs="Times New Roman"/>
          <w:szCs w:val="24"/>
        </w:rPr>
      </w:pPr>
      <w:r w:rsidRPr="00EE7DD8">
        <w:rPr>
          <w:rFonts w:cs="Times New Roman"/>
          <w:b/>
          <w:bCs/>
          <w:i/>
          <w:iCs/>
          <w:szCs w:val="24"/>
        </w:rPr>
        <w:t>The right to a fair hearing:</w:t>
      </w:r>
      <w:r w:rsidRPr="00EE7DD8">
        <w:rPr>
          <w:rFonts w:cs="Times New Roman"/>
          <w:szCs w:val="24"/>
        </w:rPr>
        <w:t xml:space="preserve"> Article 9(2) of the CRC provides that in proceedings involving the separation of a child from their parents in the best interests of the child, all interested parties shall be given the opportunity to participate in the proceedings and make their views known. Article 14(1) of the ICCPR provides that all persons shall be equal before the courts and that where their rights or obligations are to be determined in legal proceedings they shall be entitled to a fair and public hearing by a competent, independent and impartial tribunal established by law. Article 12(2) of the CRPD provides that persons with disabilities shall be recognised as enjoying legal capacity on an equal basis with others in all aspects of life and Article 12(3) provides that States shall take appropriate measures to provide access by persons with disabilities to the support they may require in exercising their legal capacity.</w:t>
      </w:r>
    </w:p>
    <w:p w14:paraId="5B3CFBFC" w14:textId="77777777" w:rsidR="00AF542A" w:rsidRPr="00EE7DD8" w:rsidRDefault="00452036" w:rsidP="00452036">
      <w:pPr>
        <w:jc w:val="both"/>
        <w:rPr>
          <w:rFonts w:cs="Times New Roman"/>
          <w:szCs w:val="24"/>
        </w:rPr>
      </w:pPr>
      <w:r w:rsidRPr="00EE7DD8">
        <w:rPr>
          <w:rFonts w:cs="Times New Roman"/>
          <w:szCs w:val="24"/>
        </w:rPr>
        <w:t>The amendments relate</w:t>
      </w:r>
      <w:r w:rsidR="00AF542A" w:rsidRPr="00EE7DD8">
        <w:rPr>
          <w:rFonts w:cs="Times New Roman"/>
          <w:szCs w:val="24"/>
        </w:rPr>
        <w:t xml:space="preserve"> to proceedings under the Family Law Act. In proceedings in which a parenting order is sought in relation to a child, section 60CA of the Family Law Act provides that the court must regard the best interests of the child as the paramount consideration. </w:t>
      </w:r>
    </w:p>
    <w:p w14:paraId="4D9BD201" w14:textId="7222DD84" w:rsidR="00AF542A" w:rsidRPr="007E055A" w:rsidRDefault="00AF542A" w:rsidP="00452036">
      <w:pPr>
        <w:jc w:val="both"/>
        <w:rPr>
          <w:rFonts w:cs="Times New Roman"/>
          <w:szCs w:val="24"/>
        </w:rPr>
      </w:pPr>
      <w:r w:rsidRPr="00EE7DD8">
        <w:rPr>
          <w:rFonts w:cs="Times New Roman"/>
          <w:szCs w:val="24"/>
        </w:rPr>
        <w:t xml:space="preserve">The </w:t>
      </w:r>
      <w:r w:rsidR="00452036" w:rsidRPr="00EE7DD8">
        <w:rPr>
          <w:rFonts w:cs="Times New Roman"/>
          <w:szCs w:val="24"/>
        </w:rPr>
        <w:t>amendments assist in protecting</w:t>
      </w:r>
      <w:r w:rsidRPr="00EE7DD8">
        <w:rPr>
          <w:rFonts w:cs="Times New Roman"/>
          <w:szCs w:val="24"/>
        </w:rPr>
        <w:t xml:space="preserve"> children from violence and abuse by </w:t>
      </w:r>
      <w:r w:rsidR="007E055A">
        <w:rPr>
          <w:rFonts w:cs="Times New Roman"/>
          <w:szCs w:val="24"/>
        </w:rPr>
        <w:t xml:space="preserve">inserting new rules in relation to harmful proceedings orders, which are established by the </w:t>
      </w:r>
      <w:r w:rsidR="007E055A">
        <w:rPr>
          <w:rFonts w:cs="Times New Roman"/>
          <w:i/>
          <w:iCs/>
          <w:szCs w:val="24"/>
        </w:rPr>
        <w:t>Family Law Amendment Act 2023</w:t>
      </w:r>
      <w:r w:rsidR="007E055A">
        <w:rPr>
          <w:rFonts w:cs="Times New Roman"/>
          <w:szCs w:val="24"/>
        </w:rPr>
        <w:t>.</w:t>
      </w:r>
    </w:p>
    <w:p w14:paraId="6DD459EF" w14:textId="695FB599" w:rsidR="00AF542A" w:rsidRPr="007E055A" w:rsidRDefault="007E055A" w:rsidP="00452036">
      <w:pPr>
        <w:jc w:val="both"/>
        <w:rPr>
          <w:rFonts w:cs="Times New Roman"/>
          <w:szCs w:val="24"/>
        </w:rPr>
      </w:pPr>
      <w:r>
        <w:rPr>
          <w:rFonts w:cs="Times New Roman"/>
          <w:szCs w:val="24"/>
        </w:rPr>
        <w:t xml:space="preserve">The amendments also include necessary changes to reflect other amendments in the </w:t>
      </w:r>
      <w:r>
        <w:rPr>
          <w:rFonts w:cs="Times New Roman"/>
          <w:i/>
          <w:iCs/>
          <w:szCs w:val="24"/>
        </w:rPr>
        <w:t xml:space="preserve">Family Law Amendment Act 2023 </w:t>
      </w:r>
      <w:r>
        <w:rPr>
          <w:rFonts w:cs="Times New Roman"/>
          <w:szCs w:val="24"/>
        </w:rPr>
        <w:t xml:space="preserve">and the </w:t>
      </w:r>
      <w:r>
        <w:rPr>
          <w:rFonts w:cs="Times New Roman"/>
          <w:i/>
          <w:iCs/>
          <w:szCs w:val="24"/>
        </w:rPr>
        <w:t>Family Law Amendment (Information Sharing) Act 2023</w:t>
      </w:r>
      <w:r>
        <w:rPr>
          <w:rFonts w:cs="Times New Roman"/>
          <w:szCs w:val="24"/>
        </w:rPr>
        <w:t>, including amendments to the rules relating to contravention applications.</w:t>
      </w:r>
    </w:p>
    <w:p w14:paraId="068B2368" w14:textId="015AEFE7" w:rsidR="00E11D8E" w:rsidRPr="00EE7DD8" w:rsidRDefault="00AF542A" w:rsidP="00AF542A">
      <w:pPr>
        <w:jc w:val="both"/>
        <w:rPr>
          <w:rFonts w:cs="Times New Roman"/>
          <w:szCs w:val="24"/>
        </w:rPr>
      </w:pPr>
      <w:r w:rsidRPr="00EE7DD8">
        <w:rPr>
          <w:rFonts w:cs="Times New Roman"/>
          <w:szCs w:val="24"/>
        </w:rPr>
        <w:t xml:space="preserve">The </w:t>
      </w:r>
      <w:r w:rsidR="00E11D8E" w:rsidRPr="00EE7DD8">
        <w:rPr>
          <w:rFonts w:cs="Times New Roman"/>
          <w:szCs w:val="24"/>
        </w:rPr>
        <w:t>amendments</w:t>
      </w:r>
      <w:r w:rsidRPr="00EE7DD8">
        <w:rPr>
          <w:rFonts w:cs="Times New Roman"/>
          <w:szCs w:val="24"/>
        </w:rPr>
        <w:t xml:space="preserve"> further facilitate the conduct of fair hearings by setting out the practices and procedures to be followed in family law proc</w:t>
      </w:r>
      <w:r w:rsidR="00E11D8E" w:rsidRPr="00EE7DD8">
        <w:rPr>
          <w:rFonts w:cs="Times New Roman"/>
          <w:szCs w:val="24"/>
        </w:rPr>
        <w:t xml:space="preserve">eedings, such as clarifying the rules in relation to </w:t>
      </w:r>
      <w:r w:rsidR="007E055A">
        <w:rPr>
          <w:rFonts w:cs="Times New Roman"/>
          <w:szCs w:val="24"/>
        </w:rPr>
        <w:lastRenderedPageBreak/>
        <w:t>when a document is taken to be filed, attendance at dispute resolution events, and undefended hearings when a party is in default.</w:t>
      </w:r>
    </w:p>
    <w:p w14:paraId="22DA10BE" w14:textId="53EB179B" w:rsidR="00E11D8E" w:rsidRPr="00EE7DD8" w:rsidRDefault="00E11D8E" w:rsidP="00AF542A">
      <w:pPr>
        <w:jc w:val="both"/>
        <w:rPr>
          <w:rFonts w:cs="Times New Roman"/>
          <w:szCs w:val="24"/>
        </w:rPr>
      </w:pPr>
      <w:r w:rsidRPr="00EE7DD8">
        <w:rPr>
          <w:rFonts w:cs="Times New Roman"/>
          <w:szCs w:val="24"/>
        </w:rPr>
        <w:t xml:space="preserve">Otherwise, as these amendments are minor and procedural only, </w:t>
      </w:r>
      <w:r w:rsidR="007E055A">
        <w:rPr>
          <w:rFonts w:cs="Times New Roman"/>
          <w:szCs w:val="24"/>
        </w:rPr>
        <w:t xml:space="preserve">such as updating references to sections of the Family Law Act that have changed in number, </w:t>
      </w:r>
      <w:r w:rsidRPr="00EE7DD8">
        <w:rPr>
          <w:rFonts w:cs="Times New Roman"/>
          <w:szCs w:val="24"/>
        </w:rPr>
        <w:t>they do not have any significant effect on human rights or freedoms.</w:t>
      </w:r>
    </w:p>
    <w:p w14:paraId="22C11933" w14:textId="77777777" w:rsidR="00AF542A" w:rsidRPr="00EE7DD8" w:rsidRDefault="00AF542A" w:rsidP="00AF542A">
      <w:pPr>
        <w:jc w:val="both"/>
        <w:rPr>
          <w:rFonts w:cs="Times New Roman"/>
          <w:b/>
          <w:szCs w:val="24"/>
        </w:rPr>
      </w:pPr>
      <w:r w:rsidRPr="00EE7DD8">
        <w:rPr>
          <w:rFonts w:cs="Times New Roman"/>
          <w:b/>
          <w:szCs w:val="24"/>
        </w:rPr>
        <w:t>Conclusion</w:t>
      </w:r>
    </w:p>
    <w:p w14:paraId="64F07AA3" w14:textId="7CF57716" w:rsidR="00AF542A" w:rsidRPr="00EE7DD8" w:rsidRDefault="00AF542A" w:rsidP="00AF542A">
      <w:pPr>
        <w:jc w:val="both"/>
        <w:rPr>
          <w:rFonts w:cs="Times New Roman"/>
          <w:szCs w:val="24"/>
        </w:rPr>
      </w:pPr>
      <w:r w:rsidRPr="00EE7DD8">
        <w:rPr>
          <w:rFonts w:cs="Times New Roman"/>
          <w:szCs w:val="24"/>
        </w:rPr>
        <w:t>This legislative instrument is compatible with human rights as it provides procedures which improve the Court’s capacity to make substantive decisions in the best interests of children. The legislative instrument also provides procedures which facilitate equality of access to court proceedings, participation by parents and other interested parties, and the fair and safe conduct of hearings.</w:t>
      </w:r>
    </w:p>
    <w:p w14:paraId="789DB97F" w14:textId="77777777" w:rsidR="00EB7D7E" w:rsidRPr="00EE7DD8" w:rsidRDefault="00EB7D7E">
      <w:pPr>
        <w:spacing w:line="276" w:lineRule="auto"/>
        <w:rPr>
          <w:rFonts w:cs="Times New Roman"/>
          <w:szCs w:val="24"/>
        </w:rPr>
      </w:pPr>
      <w:r w:rsidRPr="00EE7DD8">
        <w:rPr>
          <w:rFonts w:cs="Times New Roman"/>
          <w:szCs w:val="24"/>
        </w:rPr>
        <w:br w:type="page"/>
      </w:r>
    </w:p>
    <w:p w14:paraId="55E227C2" w14:textId="77777777" w:rsidR="00EB7D7E" w:rsidRPr="00EE7DD8" w:rsidRDefault="00EB7D7E" w:rsidP="00EB7D7E">
      <w:pPr>
        <w:pStyle w:val="ListParagraph"/>
        <w:numPr>
          <w:ilvl w:val="0"/>
          <w:numId w:val="2"/>
        </w:numPr>
        <w:jc w:val="both"/>
        <w:rPr>
          <w:rFonts w:cs="Times New Roman"/>
          <w:b/>
          <w:szCs w:val="24"/>
          <w:u w:val="single"/>
        </w:rPr>
      </w:pPr>
      <w:r w:rsidRPr="00EE7DD8">
        <w:rPr>
          <w:rFonts w:cs="Times New Roman"/>
          <w:b/>
          <w:szCs w:val="24"/>
          <w:u w:val="single"/>
        </w:rPr>
        <w:lastRenderedPageBreak/>
        <w:t>General Outline</w:t>
      </w:r>
    </w:p>
    <w:p w14:paraId="601C2999" w14:textId="64A8C107" w:rsidR="00EB7D7E" w:rsidRPr="00EE7DD8" w:rsidRDefault="00EB7D7E" w:rsidP="00EB7D7E">
      <w:pPr>
        <w:jc w:val="both"/>
        <w:rPr>
          <w:rFonts w:cs="Times New Roman"/>
          <w:b/>
          <w:szCs w:val="24"/>
        </w:rPr>
      </w:pPr>
      <w:r w:rsidRPr="00EE7DD8">
        <w:rPr>
          <w:rFonts w:cs="Times New Roman"/>
          <w:b/>
          <w:szCs w:val="24"/>
        </w:rPr>
        <w:t xml:space="preserve">Schedule 1 –Amendments </w:t>
      </w:r>
    </w:p>
    <w:p w14:paraId="3374B08B" w14:textId="39020D6C" w:rsidR="00EB7D7E" w:rsidRPr="00EE7DD8" w:rsidRDefault="00EB7D7E" w:rsidP="00EB7D7E">
      <w:pPr>
        <w:jc w:val="both"/>
        <w:rPr>
          <w:rFonts w:cs="Times New Roman"/>
          <w:szCs w:val="24"/>
        </w:rPr>
      </w:pPr>
      <w:r w:rsidRPr="00EE7DD8">
        <w:rPr>
          <w:rFonts w:cs="Times New Roman"/>
          <w:szCs w:val="24"/>
        </w:rPr>
        <w:t>Schedule 1 contains the amendments to the Rules, including the following:</w:t>
      </w:r>
    </w:p>
    <w:p w14:paraId="04BFA8FC" w14:textId="654A9BD8" w:rsidR="00607179" w:rsidRDefault="00B82AC8" w:rsidP="002E77AB">
      <w:pPr>
        <w:pStyle w:val="ListParagraph"/>
        <w:numPr>
          <w:ilvl w:val="0"/>
          <w:numId w:val="3"/>
        </w:numPr>
        <w:jc w:val="both"/>
        <w:rPr>
          <w:rFonts w:cs="Times New Roman"/>
          <w:szCs w:val="24"/>
        </w:rPr>
      </w:pPr>
      <w:r>
        <w:rPr>
          <w:rFonts w:cs="Times New Roman"/>
          <w:szCs w:val="24"/>
        </w:rPr>
        <w:t>Amending the definitions of child welfare record, conciliation and dispute resolution</w:t>
      </w:r>
    </w:p>
    <w:p w14:paraId="21AB7891" w14:textId="3D5DF0BB" w:rsidR="00093172" w:rsidRDefault="00093172" w:rsidP="002E77AB">
      <w:pPr>
        <w:pStyle w:val="ListParagraph"/>
        <w:numPr>
          <w:ilvl w:val="0"/>
          <w:numId w:val="3"/>
        </w:numPr>
        <w:jc w:val="both"/>
        <w:rPr>
          <w:rFonts w:cs="Times New Roman"/>
          <w:szCs w:val="24"/>
        </w:rPr>
      </w:pPr>
      <w:r>
        <w:rPr>
          <w:rFonts w:cs="Times New Roman"/>
          <w:szCs w:val="24"/>
        </w:rPr>
        <w:t>Amending rules 1.33 and 10.27 to remove uncertainty and duplication when a party is in default</w:t>
      </w:r>
    </w:p>
    <w:p w14:paraId="2290764B" w14:textId="46F9B57F" w:rsidR="00093172" w:rsidRDefault="00093172" w:rsidP="002E77AB">
      <w:pPr>
        <w:pStyle w:val="ListParagraph"/>
        <w:numPr>
          <w:ilvl w:val="0"/>
          <w:numId w:val="3"/>
        </w:numPr>
        <w:jc w:val="both"/>
        <w:rPr>
          <w:rFonts w:cs="Times New Roman"/>
          <w:szCs w:val="24"/>
        </w:rPr>
      </w:pPr>
      <w:r>
        <w:rPr>
          <w:rFonts w:cs="Times New Roman"/>
          <w:szCs w:val="24"/>
        </w:rPr>
        <w:t>Amending the rules to clarify that an application to vary or set aside a final order on the basis of fraud must be made by way of an Initiating Application, but that otherwise an application to vary or set aside an order may be made by way of an Application in a Proceeding</w:t>
      </w:r>
    </w:p>
    <w:p w14:paraId="4D78C5D3" w14:textId="57F17B47" w:rsidR="00093172" w:rsidRDefault="00093172" w:rsidP="002E77AB">
      <w:pPr>
        <w:pStyle w:val="ListParagraph"/>
        <w:numPr>
          <w:ilvl w:val="0"/>
          <w:numId w:val="3"/>
        </w:numPr>
        <w:jc w:val="both"/>
        <w:rPr>
          <w:rFonts w:cs="Times New Roman"/>
          <w:szCs w:val="24"/>
        </w:rPr>
      </w:pPr>
      <w:r>
        <w:rPr>
          <w:rFonts w:cs="Times New Roman"/>
          <w:szCs w:val="24"/>
        </w:rPr>
        <w:t>Amending the rule in relation to a report after court-ordered dispute resolution to better reflect current case management practices</w:t>
      </w:r>
    </w:p>
    <w:p w14:paraId="4421FB31" w14:textId="77777777" w:rsidR="00093172" w:rsidRDefault="00093172" w:rsidP="00093172">
      <w:pPr>
        <w:pStyle w:val="ListParagraph"/>
        <w:numPr>
          <w:ilvl w:val="0"/>
          <w:numId w:val="3"/>
        </w:numPr>
        <w:jc w:val="both"/>
        <w:rPr>
          <w:rFonts w:cs="Times New Roman"/>
          <w:szCs w:val="24"/>
        </w:rPr>
      </w:pPr>
      <w:r>
        <w:rPr>
          <w:rFonts w:cs="Times New Roman"/>
          <w:szCs w:val="24"/>
        </w:rPr>
        <w:t>Inserting rules for harmful proceedings, including a definition of a harmful proceedings order</w:t>
      </w:r>
    </w:p>
    <w:p w14:paraId="51923A58" w14:textId="78FAA7EF" w:rsidR="00093172" w:rsidRDefault="00093172" w:rsidP="002E77AB">
      <w:pPr>
        <w:pStyle w:val="ListParagraph"/>
        <w:numPr>
          <w:ilvl w:val="0"/>
          <w:numId w:val="3"/>
        </w:numPr>
        <w:jc w:val="both"/>
        <w:rPr>
          <w:rFonts w:cs="Times New Roman"/>
          <w:szCs w:val="24"/>
        </w:rPr>
      </w:pPr>
      <w:r>
        <w:rPr>
          <w:rFonts w:cs="Times New Roman"/>
          <w:szCs w:val="24"/>
        </w:rPr>
        <w:t>Amending Part 11.2 to remove the rules in relation to enforcement of parenting orders</w:t>
      </w:r>
    </w:p>
    <w:p w14:paraId="5BB483A3" w14:textId="0B07F28B" w:rsidR="00093172" w:rsidRDefault="00093172" w:rsidP="002E77AB">
      <w:pPr>
        <w:pStyle w:val="ListParagraph"/>
        <w:numPr>
          <w:ilvl w:val="0"/>
          <w:numId w:val="3"/>
        </w:numPr>
        <w:jc w:val="both"/>
        <w:rPr>
          <w:rFonts w:cs="Times New Roman"/>
          <w:szCs w:val="24"/>
        </w:rPr>
      </w:pPr>
      <w:r>
        <w:rPr>
          <w:rFonts w:cs="Times New Roman"/>
          <w:szCs w:val="24"/>
        </w:rPr>
        <w:t xml:space="preserve">Amending Part 11.2 to update references to the Family Law Act to the new </w:t>
      </w:r>
      <w:r w:rsidR="005E240E">
        <w:rPr>
          <w:rFonts w:cs="Times New Roman"/>
          <w:szCs w:val="24"/>
        </w:rPr>
        <w:t xml:space="preserve">contravention </w:t>
      </w:r>
      <w:r>
        <w:rPr>
          <w:rFonts w:cs="Times New Roman"/>
          <w:szCs w:val="24"/>
        </w:rPr>
        <w:t xml:space="preserve">sections as amended by the </w:t>
      </w:r>
      <w:r>
        <w:rPr>
          <w:rFonts w:cs="Times New Roman"/>
          <w:i/>
          <w:iCs/>
          <w:szCs w:val="24"/>
        </w:rPr>
        <w:t>Family Law Amendment Act 2023</w:t>
      </w:r>
    </w:p>
    <w:p w14:paraId="7EFC0AA3" w14:textId="757CE519" w:rsidR="00093172" w:rsidRDefault="005E240E" w:rsidP="002E77AB">
      <w:pPr>
        <w:pStyle w:val="ListParagraph"/>
        <w:numPr>
          <w:ilvl w:val="0"/>
          <w:numId w:val="3"/>
        </w:numPr>
        <w:jc w:val="both"/>
        <w:rPr>
          <w:rFonts w:cs="Times New Roman"/>
          <w:szCs w:val="24"/>
        </w:rPr>
      </w:pPr>
      <w:r>
        <w:rPr>
          <w:rFonts w:cs="Times New Roman"/>
          <w:szCs w:val="24"/>
        </w:rPr>
        <w:t>Amending Schedule 1 to refer to the amended section 60CC factors in the pre-action procedures</w:t>
      </w:r>
    </w:p>
    <w:p w14:paraId="3B8573D2" w14:textId="3EDC7033" w:rsidR="005E240E" w:rsidRDefault="005E240E" w:rsidP="002E77AB">
      <w:pPr>
        <w:pStyle w:val="ListParagraph"/>
        <w:numPr>
          <w:ilvl w:val="0"/>
          <w:numId w:val="3"/>
        </w:numPr>
        <w:jc w:val="both"/>
        <w:rPr>
          <w:rFonts w:cs="Times New Roman"/>
          <w:szCs w:val="24"/>
        </w:rPr>
      </w:pPr>
      <w:r>
        <w:rPr>
          <w:rFonts w:cs="Times New Roman"/>
          <w:szCs w:val="24"/>
        </w:rPr>
        <w:t>Amending Schedule 4 with consequential changes to the powers delegated to Senior Judicial Registrars and Judicial Registrars</w:t>
      </w:r>
    </w:p>
    <w:p w14:paraId="22C8C311" w14:textId="77777777" w:rsidR="005E240E" w:rsidRPr="00EE7DD8" w:rsidRDefault="005E240E" w:rsidP="005E240E">
      <w:pPr>
        <w:pStyle w:val="ListParagraph"/>
        <w:jc w:val="both"/>
        <w:rPr>
          <w:rFonts w:cs="Times New Roman"/>
          <w:szCs w:val="24"/>
        </w:rPr>
      </w:pPr>
    </w:p>
    <w:p w14:paraId="47C28C6F" w14:textId="77777777" w:rsidR="00EB7D7E" w:rsidRPr="00EE7DD8" w:rsidRDefault="00607179" w:rsidP="00EB7D7E">
      <w:pPr>
        <w:pStyle w:val="ListParagraph"/>
        <w:numPr>
          <w:ilvl w:val="0"/>
          <w:numId w:val="2"/>
        </w:numPr>
        <w:jc w:val="both"/>
        <w:rPr>
          <w:rFonts w:cs="Times New Roman"/>
          <w:b/>
          <w:szCs w:val="24"/>
          <w:u w:val="single"/>
        </w:rPr>
      </w:pPr>
      <w:r w:rsidRPr="00EE7DD8">
        <w:rPr>
          <w:rFonts w:cs="Times New Roman"/>
          <w:b/>
          <w:szCs w:val="24"/>
          <w:u w:val="single"/>
        </w:rPr>
        <w:t>Consultation</w:t>
      </w:r>
    </w:p>
    <w:p w14:paraId="0D9263B5" w14:textId="77777777" w:rsidR="00607179" w:rsidRPr="00EE7DD8" w:rsidRDefault="00607179" w:rsidP="00607179">
      <w:pPr>
        <w:jc w:val="both"/>
        <w:rPr>
          <w:rFonts w:cs="Times New Roman"/>
          <w:szCs w:val="24"/>
        </w:rPr>
      </w:pPr>
      <w:r w:rsidRPr="00EE7DD8">
        <w:rPr>
          <w:rFonts w:cs="Times New Roman"/>
          <w:szCs w:val="24"/>
        </w:rPr>
        <w:t xml:space="preserve">The </w:t>
      </w:r>
      <w:r w:rsidRPr="00EE7DD8">
        <w:rPr>
          <w:rFonts w:cs="Times New Roman"/>
          <w:i/>
          <w:iCs/>
          <w:szCs w:val="24"/>
        </w:rPr>
        <w:t>Legislation Act 2003</w:t>
      </w:r>
      <w:r w:rsidRPr="00EE7DD8">
        <w:rPr>
          <w:rFonts w:cs="Times New Roman"/>
          <w:szCs w:val="24"/>
        </w:rPr>
        <w:t xml:space="preserve"> (Cth) provides for certain consultation obligations when Rules are made.</w:t>
      </w:r>
    </w:p>
    <w:p w14:paraId="4407C103" w14:textId="1452829B" w:rsidR="00607179" w:rsidRPr="00EE7DD8" w:rsidRDefault="00607179" w:rsidP="00607179">
      <w:pPr>
        <w:jc w:val="both"/>
        <w:rPr>
          <w:rFonts w:cs="Times New Roman"/>
          <w:szCs w:val="24"/>
        </w:rPr>
      </w:pPr>
      <w:r w:rsidRPr="00EE7DD8">
        <w:rPr>
          <w:rFonts w:cs="Times New Roman"/>
          <w:szCs w:val="24"/>
        </w:rPr>
        <w:t xml:space="preserve">The </w:t>
      </w:r>
      <w:r w:rsidR="00F57B07" w:rsidRPr="00EE7DD8">
        <w:rPr>
          <w:rFonts w:cs="Times New Roman"/>
          <w:szCs w:val="24"/>
        </w:rPr>
        <w:t xml:space="preserve">Court undertook both internal and external consultation on the amendments. Internally, consultation took place with Judges of both Courts, and some other staff. Externally, consultation took place with </w:t>
      </w:r>
      <w:r w:rsidR="005E240E">
        <w:rPr>
          <w:rFonts w:cs="Times New Roman"/>
          <w:szCs w:val="24"/>
        </w:rPr>
        <w:t>the Family Law Section of the Law Council of Australia and the Australian Bar Association.</w:t>
      </w:r>
    </w:p>
    <w:p w14:paraId="78847B02" w14:textId="77777777" w:rsidR="00F57B07" w:rsidRPr="00EE7DD8" w:rsidRDefault="00F57B07" w:rsidP="00F57B07">
      <w:pPr>
        <w:pStyle w:val="ListParagraph"/>
        <w:numPr>
          <w:ilvl w:val="0"/>
          <w:numId w:val="2"/>
        </w:numPr>
        <w:jc w:val="both"/>
        <w:rPr>
          <w:rFonts w:cs="Times New Roman"/>
          <w:b/>
          <w:szCs w:val="24"/>
          <w:u w:val="single"/>
        </w:rPr>
      </w:pPr>
      <w:r w:rsidRPr="00EE7DD8">
        <w:rPr>
          <w:rFonts w:cs="Times New Roman"/>
          <w:b/>
          <w:szCs w:val="24"/>
          <w:u w:val="single"/>
        </w:rPr>
        <w:t>Details of rules</w:t>
      </w:r>
    </w:p>
    <w:p w14:paraId="0D7003A6" w14:textId="77777777" w:rsidR="00F57B07" w:rsidRPr="00EE7DD8" w:rsidRDefault="00F57B07" w:rsidP="00F57B07">
      <w:pPr>
        <w:jc w:val="both"/>
        <w:rPr>
          <w:rFonts w:cs="Times New Roman"/>
          <w:b/>
          <w:szCs w:val="24"/>
        </w:rPr>
      </w:pPr>
      <w:r w:rsidRPr="00EE7DD8">
        <w:rPr>
          <w:rFonts w:cs="Times New Roman"/>
          <w:b/>
          <w:szCs w:val="24"/>
        </w:rPr>
        <w:t>Preliminary items</w:t>
      </w:r>
    </w:p>
    <w:p w14:paraId="1D48BDF7" w14:textId="77777777" w:rsidR="00F57B07" w:rsidRPr="00EE7DD8" w:rsidRDefault="00F57B07" w:rsidP="00F57B07">
      <w:pPr>
        <w:jc w:val="both"/>
        <w:rPr>
          <w:rFonts w:cs="Times New Roman"/>
          <w:szCs w:val="24"/>
        </w:rPr>
      </w:pPr>
      <w:r w:rsidRPr="00EE7DD8">
        <w:rPr>
          <w:rFonts w:cs="Times New Roman"/>
          <w:szCs w:val="24"/>
        </w:rPr>
        <w:t>Item 1 states the name of the amendments.</w:t>
      </w:r>
    </w:p>
    <w:p w14:paraId="0AAC6B39" w14:textId="7AE80E84" w:rsidR="00F57B07" w:rsidRPr="00EE7DD8" w:rsidRDefault="00F57B07" w:rsidP="00F57B07">
      <w:pPr>
        <w:jc w:val="both"/>
        <w:rPr>
          <w:rFonts w:cs="Times New Roman"/>
          <w:szCs w:val="24"/>
        </w:rPr>
      </w:pPr>
      <w:r w:rsidRPr="00EE7DD8">
        <w:rPr>
          <w:rFonts w:cs="Times New Roman"/>
          <w:szCs w:val="24"/>
        </w:rPr>
        <w:t xml:space="preserve">Item 2 indicates the commencement of each Schedule. All of the amendments commence the </w:t>
      </w:r>
      <w:r w:rsidR="00C93A35">
        <w:rPr>
          <w:rFonts w:cs="Times New Roman"/>
          <w:szCs w:val="24"/>
        </w:rPr>
        <w:t>on 6 May 2024.</w:t>
      </w:r>
    </w:p>
    <w:p w14:paraId="139A2FEB" w14:textId="77777777" w:rsidR="00F57B07" w:rsidRPr="00EE7DD8" w:rsidRDefault="00F57B07" w:rsidP="00F57B07">
      <w:pPr>
        <w:jc w:val="both"/>
        <w:rPr>
          <w:rFonts w:cs="Times New Roman"/>
          <w:szCs w:val="24"/>
        </w:rPr>
      </w:pPr>
      <w:r w:rsidRPr="00EE7DD8">
        <w:rPr>
          <w:rFonts w:cs="Times New Roman"/>
          <w:szCs w:val="24"/>
        </w:rPr>
        <w:lastRenderedPageBreak/>
        <w:t xml:space="preserve">Item 3 indicates that the amendments are made under Chapter 3 of the </w:t>
      </w:r>
      <w:r w:rsidRPr="00EE7DD8">
        <w:rPr>
          <w:rFonts w:cs="Times New Roman"/>
          <w:i/>
          <w:szCs w:val="24"/>
        </w:rPr>
        <w:t>Federal Circuit and Family Court of Australia Act 2021</w:t>
      </w:r>
      <w:r w:rsidRPr="00EE7DD8">
        <w:rPr>
          <w:rFonts w:cs="Times New Roman"/>
          <w:szCs w:val="24"/>
        </w:rPr>
        <w:t>.</w:t>
      </w:r>
    </w:p>
    <w:p w14:paraId="1D2D056B" w14:textId="77777777" w:rsidR="00F57B07" w:rsidRPr="00EE7DD8" w:rsidRDefault="00F57B07" w:rsidP="00F57B07">
      <w:pPr>
        <w:jc w:val="both"/>
        <w:rPr>
          <w:rFonts w:cs="Times New Roman"/>
          <w:szCs w:val="24"/>
        </w:rPr>
      </w:pPr>
      <w:r w:rsidRPr="00EE7DD8">
        <w:rPr>
          <w:rFonts w:cs="Times New Roman"/>
          <w:szCs w:val="24"/>
        </w:rPr>
        <w:t xml:space="preserve">Item 4 states that each Schedule has effect according to its terms. </w:t>
      </w:r>
    </w:p>
    <w:p w14:paraId="63359271" w14:textId="3381E978" w:rsidR="00F57B07" w:rsidRPr="00EE7DD8" w:rsidRDefault="00F57B07" w:rsidP="00F57B07">
      <w:pPr>
        <w:jc w:val="both"/>
        <w:rPr>
          <w:rFonts w:cs="Times New Roman"/>
          <w:b/>
          <w:szCs w:val="24"/>
        </w:rPr>
      </w:pPr>
      <w:r w:rsidRPr="00EE7DD8">
        <w:rPr>
          <w:rFonts w:cs="Times New Roman"/>
          <w:b/>
          <w:szCs w:val="24"/>
        </w:rPr>
        <w:t>Schedule 1 –amendments</w:t>
      </w:r>
    </w:p>
    <w:p w14:paraId="193FD836" w14:textId="2080EF13" w:rsidR="00F57B07" w:rsidRDefault="00F57B07" w:rsidP="00F57B07">
      <w:pPr>
        <w:jc w:val="both"/>
        <w:rPr>
          <w:rFonts w:cs="Times New Roman"/>
          <w:b/>
          <w:szCs w:val="24"/>
        </w:rPr>
      </w:pPr>
      <w:r w:rsidRPr="00EE7DD8">
        <w:rPr>
          <w:rFonts w:cs="Times New Roman"/>
          <w:b/>
          <w:szCs w:val="24"/>
        </w:rPr>
        <w:t xml:space="preserve">Item 1 </w:t>
      </w:r>
      <w:r w:rsidR="00C93A35">
        <w:rPr>
          <w:rFonts w:cs="Times New Roman"/>
          <w:b/>
          <w:szCs w:val="24"/>
        </w:rPr>
        <w:t xml:space="preserve">Subrule 1.05(1) (definition of </w:t>
      </w:r>
      <w:r w:rsidR="00C93A35">
        <w:rPr>
          <w:rFonts w:cs="Times New Roman"/>
          <w:b/>
          <w:i/>
          <w:iCs/>
          <w:szCs w:val="24"/>
        </w:rPr>
        <w:t>child welfare record</w:t>
      </w:r>
      <w:r w:rsidR="00C93A35">
        <w:rPr>
          <w:rFonts w:cs="Times New Roman"/>
          <w:b/>
          <w:szCs w:val="24"/>
        </w:rPr>
        <w:t>)</w:t>
      </w:r>
    </w:p>
    <w:p w14:paraId="04E76708" w14:textId="5C1A9841" w:rsidR="00C34550" w:rsidRDefault="00C34550" w:rsidP="00F57B07">
      <w:pPr>
        <w:jc w:val="both"/>
        <w:rPr>
          <w:rFonts w:cs="Times New Roman"/>
          <w:bCs/>
          <w:szCs w:val="24"/>
        </w:rPr>
      </w:pPr>
      <w:r>
        <w:rPr>
          <w:rFonts w:cs="Times New Roman"/>
          <w:bCs/>
          <w:szCs w:val="24"/>
        </w:rPr>
        <w:t xml:space="preserve">This item amends the definition of child welfare record to reflect a change in the </w:t>
      </w:r>
      <w:r>
        <w:rPr>
          <w:rFonts w:cs="Times New Roman"/>
          <w:bCs/>
          <w:i/>
          <w:iCs/>
          <w:szCs w:val="24"/>
        </w:rPr>
        <w:t>Family Law Regulations 1984</w:t>
      </w:r>
      <w:r>
        <w:rPr>
          <w:rFonts w:cs="Times New Roman"/>
          <w:bCs/>
          <w:szCs w:val="24"/>
        </w:rPr>
        <w:t xml:space="preserve">. </w:t>
      </w:r>
    </w:p>
    <w:p w14:paraId="2C3A543F" w14:textId="432C1B0F" w:rsidR="00C34550" w:rsidRPr="00C34550" w:rsidRDefault="00C34550" w:rsidP="00F57B07">
      <w:pPr>
        <w:jc w:val="both"/>
        <w:rPr>
          <w:rFonts w:cs="Times New Roman"/>
          <w:b/>
          <w:szCs w:val="24"/>
        </w:rPr>
      </w:pPr>
      <w:r>
        <w:rPr>
          <w:rFonts w:cs="Times New Roman"/>
          <w:b/>
          <w:szCs w:val="24"/>
        </w:rPr>
        <w:t xml:space="preserve">Item 2 and Item 3 Subrule 1.05(1) (definition of </w:t>
      </w:r>
      <w:r>
        <w:rPr>
          <w:rFonts w:cs="Times New Roman"/>
          <w:b/>
          <w:i/>
          <w:iCs/>
          <w:szCs w:val="24"/>
        </w:rPr>
        <w:t>conciliation</w:t>
      </w:r>
      <w:r>
        <w:rPr>
          <w:rFonts w:cs="Times New Roman"/>
          <w:b/>
          <w:szCs w:val="24"/>
        </w:rPr>
        <w:t xml:space="preserve"> and definition of </w:t>
      </w:r>
      <w:r>
        <w:rPr>
          <w:rFonts w:cs="Times New Roman"/>
          <w:b/>
          <w:i/>
          <w:iCs/>
          <w:szCs w:val="24"/>
        </w:rPr>
        <w:t>conciliation conference</w:t>
      </w:r>
      <w:r>
        <w:rPr>
          <w:rFonts w:cs="Times New Roman"/>
          <w:b/>
          <w:szCs w:val="24"/>
        </w:rPr>
        <w:t>)</w:t>
      </w:r>
    </w:p>
    <w:p w14:paraId="45DA137F" w14:textId="71A675E4" w:rsidR="00C34550" w:rsidRDefault="00C34550" w:rsidP="00F57B07">
      <w:pPr>
        <w:jc w:val="both"/>
        <w:rPr>
          <w:rFonts w:cs="Times New Roman"/>
          <w:bCs/>
          <w:szCs w:val="24"/>
        </w:rPr>
      </w:pPr>
      <w:r>
        <w:rPr>
          <w:rFonts w:cs="Times New Roman"/>
          <w:bCs/>
          <w:szCs w:val="24"/>
        </w:rPr>
        <w:t xml:space="preserve">These items repeal the definition of conciliation and insert a definition of conciliation conference, being </w:t>
      </w:r>
      <w:r w:rsidR="00627451" w:rsidRPr="00627451">
        <w:rPr>
          <w:rFonts w:cs="Times New Roman"/>
          <w:bCs/>
          <w:szCs w:val="24"/>
        </w:rPr>
        <w:t>a dispute resolution process in which a judicial officer or an impartial third person assists the parties to the dispute to reach an agreement in the dispute.</w:t>
      </w:r>
    </w:p>
    <w:p w14:paraId="651BB272" w14:textId="690EEB50" w:rsidR="00627451" w:rsidRDefault="00627451" w:rsidP="00F57B07">
      <w:pPr>
        <w:jc w:val="both"/>
        <w:rPr>
          <w:rFonts w:cs="Times New Roman"/>
          <w:b/>
          <w:szCs w:val="24"/>
        </w:rPr>
      </w:pPr>
      <w:r>
        <w:rPr>
          <w:rFonts w:cs="Times New Roman"/>
          <w:b/>
          <w:szCs w:val="24"/>
        </w:rPr>
        <w:t xml:space="preserve">Item 4 </w:t>
      </w:r>
      <w:r w:rsidRPr="00627451">
        <w:rPr>
          <w:rFonts w:cs="Times New Roman"/>
          <w:b/>
          <w:szCs w:val="24"/>
        </w:rPr>
        <w:t xml:space="preserve">Subrule 1.05(1) (definition of </w:t>
      </w:r>
      <w:r w:rsidRPr="00627451">
        <w:rPr>
          <w:rFonts w:cs="Times New Roman"/>
          <w:b/>
          <w:i/>
          <w:szCs w:val="24"/>
        </w:rPr>
        <w:t>dispute resolution</w:t>
      </w:r>
      <w:r w:rsidRPr="00627451">
        <w:rPr>
          <w:rFonts w:cs="Times New Roman"/>
          <w:b/>
          <w:szCs w:val="24"/>
        </w:rPr>
        <w:t>)</w:t>
      </w:r>
    </w:p>
    <w:p w14:paraId="7AD1A360" w14:textId="30768602" w:rsidR="00627451" w:rsidRDefault="00627451" w:rsidP="00F57B07">
      <w:pPr>
        <w:jc w:val="both"/>
        <w:rPr>
          <w:rFonts w:cs="Times New Roman"/>
          <w:bCs/>
          <w:szCs w:val="24"/>
        </w:rPr>
      </w:pPr>
      <w:r>
        <w:rPr>
          <w:rFonts w:cs="Times New Roman"/>
          <w:bCs/>
          <w:szCs w:val="24"/>
        </w:rPr>
        <w:t>This item removes unnecessary punctuation (a comma).</w:t>
      </w:r>
    </w:p>
    <w:p w14:paraId="667CDF08" w14:textId="5FF7D789" w:rsidR="00627451" w:rsidRDefault="00627451" w:rsidP="00F57B07">
      <w:pPr>
        <w:jc w:val="both"/>
        <w:rPr>
          <w:rFonts w:cs="Times New Roman"/>
          <w:b/>
          <w:szCs w:val="24"/>
        </w:rPr>
      </w:pPr>
      <w:r>
        <w:rPr>
          <w:rFonts w:cs="Times New Roman"/>
          <w:b/>
          <w:szCs w:val="24"/>
        </w:rPr>
        <w:t xml:space="preserve">Item 5 </w:t>
      </w:r>
      <w:r w:rsidRPr="00627451">
        <w:rPr>
          <w:rFonts w:cs="Times New Roman"/>
          <w:b/>
          <w:szCs w:val="24"/>
        </w:rPr>
        <w:t>Subrule 1.05(1)</w:t>
      </w:r>
    </w:p>
    <w:p w14:paraId="26B84173" w14:textId="5F954F65" w:rsidR="00627451" w:rsidRDefault="00627451" w:rsidP="00F57B07">
      <w:pPr>
        <w:jc w:val="both"/>
        <w:rPr>
          <w:rFonts w:cs="Times New Roman"/>
          <w:bCs/>
          <w:szCs w:val="24"/>
        </w:rPr>
      </w:pPr>
      <w:r>
        <w:rPr>
          <w:rFonts w:cs="Times New Roman"/>
          <w:bCs/>
          <w:szCs w:val="24"/>
        </w:rPr>
        <w:t>This item inserts a definition of harmful proceedings order, which has the meaning given by subsection 102QAC(1) of the Family Law Act.</w:t>
      </w:r>
    </w:p>
    <w:p w14:paraId="59356D0B" w14:textId="560107E9" w:rsidR="00627451" w:rsidRDefault="00627451" w:rsidP="00F57B07">
      <w:pPr>
        <w:jc w:val="both"/>
        <w:rPr>
          <w:rFonts w:cs="Times New Roman"/>
          <w:b/>
          <w:szCs w:val="24"/>
        </w:rPr>
      </w:pPr>
      <w:r>
        <w:rPr>
          <w:rFonts w:cs="Times New Roman"/>
          <w:b/>
          <w:szCs w:val="24"/>
        </w:rPr>
        <w:t xml:space="preserve">Item 6 </w:t>
      </w:r>
      <w:r w:rsidRPr="00627451">
        <w:rPr>
          <w:rFonts w:cs="Times New Roman"/>
          <w:b/>
          <w:szCs w:val="24"/>
        </w:rPr>
        <w:t>Rule 1.06 (Table 1.1, table item 1, column headed “Power”, subparagraph (a)(ii))</w:t>
      </w:r>
    </w:p>
    <w:p w14:paraId="5A525694" w14:textId="778655B7" w:rsidR="00627451" w:rsidRDefault="00627451" w:rsidP="00F57B07">
      <w:pPr>
        <w:jc w:val="both"/>
        <w:rPr>
          <w:rFonts w:cs="Times New Roman"/>
          <w:bCs/>
          <w:szCs w:val="24"/>
        </w:rPr>
      </w:pPr>
      <w:r>
        <w:rPr>
          <w:rFonts w:cs="Times New Roman"/>
          <w:bCs/>
          <w:szCs w:val="24"/>
        </w:rPr>
        <w:t>This item clarifies that the conference referred to in Table 1.1, table item 1, is a conciliation conference, as defined by the definition in subrule 1.05 inserted by these amendments.</w:t>
      </w:r>
    </w:p>
    <w:p w14:paraId="67AAF4AB" w14:textId="1B1ACC8E" w:rsidR="00627451" w:rsidRDefault="00627451" w:rsidP="00F57B07">
      <w:pPr>
        <w:jc w:val="both"/>
        <w:rPr>
          <w:rFonts w:cs="Times New Roman"/>
          <w:b/>
          <w:szCs w:val="24"/>
        </w:rPr>
      </w:pPr>
      <w:r>
        <w:rPr>
          <w:rFonts w:cs="Times New Roman"/>
          <w:b/>
          <w:szCs w:val="24"/>
        </w:rPr>
        <w:t>Item 7 Rule 1.33</w:t>
      </w:r>
    </w:p>
    <w:p w14:paraId="493AF0DC" w14:textId="1799B386" w:rsidR="00627451" w:rsidRDefault="00627451" w:rsidP="00F57B07">
      <w:pPr>
        <w:jc w:val="both"/>
        <w:rPr>
          <w:rFonts w:cs="Times New Roman"/>
          <w:bCs/>
          <w:szCs w:val="24"/>
        </w:rPr>
      </w:pPr>
      <w:r>
        <w:rPr>
          <w:rFonts w:cs="Times New Roman"/>
          <w:bCs/>
          <w:szCs w:val="24"/>
        </w:rPr>
        <w:t>This item has the effect of removing existing subrule (2) from rule 1.33, such that the rule only relates to failure to comply with a specified time limit. The rules in relation to default and the steps the court may take if a party does not comply with the Rules, the Family Law Regulations or a</w:t>
      </w:r>
      <w:r w:rsidR="007F336A">
        <w:rPr>
          <w:rFonts w:cs="Times New Roman"/>
          <w:bCs/>
          <w:szCs w:val="24"/>
        </w:rPr>
        <w:t xml:space="preserve">n </w:t>
      </w:r>
      <w:r>
        <w:rPr>
          <w:rFonts w:cs="Times New Roman"/>
          <w:bCs/>
          <w:szCs w:val="24"/>
        </w:rPr>
        <w:t>order, are now found in rule 10.27.</w:t>
      </w:r>
    </w:p>
    <w:p w14:paraId="60FBC927" w14:textId="264A12F4" w:rsidR="007F336A" w:rsidRDefault="009768F8" w:rsidP="00F57B07">
      <w:pPr>
        <w:jc w:val="both"/>
        <w:rPr>
          <w:rFonts w:cs="Times New Roman"/>
          <w:b/>
          <w:szCs w:val="24"/>
        </w:rPr>
      </w:pPr>
      <w:r>
        <w:rPr>
          <w:rFonts w:cs="Times New Roman"/>
          <w:b/>
          <w:szCs w:val="24"/>
        </w:rPr>
        <w:t xml:space="preserve">Item 8 </w:t>
      </w:r>
      <w:r w:rsidRPr="009768F8">
        <w:rPr>
          <w:rFonts w:cs="Times New Roman"/>
          <w:b/>
          <w:szCs w:val="24"/>
        </w:rPr>
        <w:t>Rule 1.34 (heading)</w:t>
      </w:r>
      <w:r>
        <w:rPr>
          <w:rFonts w:cs="Times New Roman"/>
          <w:b/>
          <w:szCs w:val="24"/>
        </w:rPr>
        <w:t xml:space="preserve"> and Item 9 </w:t>
      </w:r>
      <w:r w:rsidRPr="009768F8">
        <w:rPr>
          <w:rFonts w:cs="Times New Roman"/>
          <w:b/>
          <w:szCs w:val="24"/>
        </w:rPr>
        <w:t>Subrule 1.34(1)</w:t>
      </w:r>
      <w:r>
        <w:rPr>
          <w:rFonts w:cs="Times New Roman"/>
          <w:b/>
          <w:szCs w:val="24"/>
        </w:rPr>
        <w:t xml:space="preserve"> and Item 10 </w:t>
      </w:r>
      <w:r w:rsidRPr="009768F8">
        <w:rPr>
          <w:rFonts w:cs="Times New Roman"/>
          <w:b/>
          <w:szCs w:val="24"/>
        </w:rPr>
        <w:t>Paragraph 1.34(2)(h)</w:t>
      </w:r>
    </w:p>
    <w:p w14:paraId="34B4B009" w14:textId="4460037C" w:rsidR="009768F8" w:rsidRDefault="009768F8" w:rsidP="00F57B07">
      <w:pPr>
        <w:jc w:val="both"/>
        <w:rPr>
          <w:rFonts w:cs="Times New Roman"/>
          <w:bCs/>
          <w:szCs w:val="24"/>
        </w:rPr>
      </w:pPr>
      <w:r>
        <w:rPr>
          <w:rFonts w:cs="Times New Roman"/>
          <w:bCs/>
          <w:szCs w:val="24"/>
        </w:rPr>
        <w:t xml:space="preserve">These items amend rule 1.34, which sets out relief from rule 1.33, which are consequential amendments given the narrower scope of rule 1.33 as a result of these amendments. </w:t>
      </w:r>
    </w:p>
    <w:p w14:paraId="6EBAE4CE" w14:textId="57E08726" w:rsidR="009768F8" w:rsidRDefault="009768F8" w:rsidP="00F57B07">
      <w:pPr>
        <w:jc w:val="both"/>
        <w:rPr>
          <w:rFonts w:cs="Times New Roman"/>
          <w:b/>
          <w:szCs w:val="24"/>
        </w:rPr>
      </w:pPr>
      <w:r>
        <w:rPr>
          <w:rFonts w:cs="Times New Roman"/>
          <w:b/>
          <w:szCs w:val="24"/>
        </w:rPr>
        <w:t xml:space="preserve">Item 11 </w:t>
      </w:r>
      <w:r w:rsidRPr="009768F8">
        <w:rPr>
          <w:rFonts w:cs="Times New Roman"/>
          <w:b/>
          <w:szCs w:val="24"/>
        </w:rPr>
        <w:t>subrule 2.01(3)</w:t>
      </w:r>
      <w:r w:rsidR="00C86C31">
        <w:rPr>
          <w:rFonts w:cs="Times New Roman"/>
          <w:b/>
          <w:szCs w:val="24"/>
        </w:rPr>
        <w:t>(c)</w:t>
      </w:r>
    </w:p>
    <w:p w14:paraId="414F8944" w14:textId="0F806C4C" w:rsidR="009768F8" w:rsidRDefault="009768F8" w:rsidP="00F57B07">
      <w:pPr>
        <w:jc w:val="both"/>
        <w:rPr>
          <w:rFonts w:cs="Times New Roman"/>
          <w:bCs/>
          <w:szCs w:val="24"/>
        </w:rPr>
      </w:pPr>
      <w:r>
        <w:rPr>
          <w:rFonts w:cs="Times New Roman"/>
          <w:bCs/>
          <w:szCs w:val="24"/>
        </w:rPr>
        <w:t>This item adds a new paragraph (c) to subrule 2.01(3) which clarifies that a person may file an application for interlocutory orders where it is permitted by rule 5.02</w:t>
      </w:r>
      <w:r w:rsidR="003F200F">
        <w:rPr>
          <w:rFonts w:cs="Times New Roman"/>
          <w:bCs/>
          <w:szCs w:val="24"/>
        </w:rPr>
        <w:t xml:space="preserve">, but otherwise not unless </w:t>
      </w:r>
      <w:r w:rsidR="003F200F">
        <w:rPr>
          <w:rFonts w:cs="Times New Roman"/>
          <w:bCs/>
          <w:szCs w:val="24"/>
        </w:rPr>
        <w:lastRenderedPageBreak/>
        <w:t>an application for final orders is current in the proceeding or the application includes an application for final orders.</w:t>
      </w:r>
    </w:p>
    <w:p w14:paraId="18800580" w14:textId="29FFE604" w:rsidR="003F200F" w:rsidRDefault="003F200F" w:rsidP="00F57B07">
      <w:pPr>
        <w:jc w:val="both"/>
        <w:rPr>
          <w:rFonts w:cs="Times New Roman"/>
          <w:b/>
          <w:szCs w:val="24"/>
        </w:rPr>
      </w:pPr>
      <w:r>
        <w:rPr>
          <w:rFonts w:cs="Times New Roman"/>
          <w:b/>
          <w:szCs w:val="24"/>
        </w:rPr>
        <w:t xml:space="preserve">Item 12 </w:t>
      </w:r>
      <w:r w:rsidRPr="003F200F">
        <w:rPr>
          <w:rFonts w:cs="Times New Roman"/>
          <w:b/>
          <w:szCs w:val="24"/>
        </w:rPr>
        <w:t>Subrule 2.01(6) (Table 2.1, item 2</w:t>
      </w:r>
      <w:r w:rsidR="00C86C31">
        <w:rPr>
          <w:rFonts w:cs="Times New Roman"/>
          <w:b/>
          <w:szCs w:val="24"/>
        </w:rPr>
        <w:t>A</w:t>
      </w:r>
      <w:r w:rsidRPr="003F200F">
        <w:rPr>
          <w:rFonts w:cs="Times New Roman"/>
          <w:b/>
          <w:szCs w:val="24"/>
        </w:rPr>
        <w:t>)</w:t>
      </w:r>
    </w:p>
    <w:p w14:paraId="73AE0E7B" w14:textId="0732C276" w:rsidR="002B0EA1" w:rsidRDefault="002B0EA1" w:rsidP="00F57B07">
      <w:pPr>
        <w:jc w:val="both"/>
        <w:rPr>
          <w:rFonts w:cs="Times New Roman"/>
          <w:bCs/>
          <w:szCs w:val="24"/>
        </w:rPr>
      </w:pPr>
      <w:r>
        <w:rPr>
          <w:rFonts w:cs="Times New Roman"/>
          <w:bCs/>
          <w:szCs w:val="24"/>
        </w:rPr>
        <w:t xml:space="preserve">This item inserts item 2A into the table which state that an application to vary or set aside a final order on the basis of fraud under paragraph 10.13(1)(b) of the Rules must be made by way of an Initiating Application (Family Law) and not an Application in a Proceeding. </w:t>
      </w:r>
    </w:p>
    <w:p w14:paraId="5598CF94" w14:textId="695BD206" w:rsidR="002B0EA1" w:rsidRDefault="002B0EA1" w:rsidP="00F57B07">
      <w:pPr>
        <w:jc w:val="both"/>
        <w:rPr>
          <w:rFonts w:cs="Times New Roman"/>
          <w:b/>
          <w:szCs w:val="24"/>
        </w:rPr>
      </w:pPr>
      <w:r>
        <w:rPr>
          <w:rFonts w:cs="Times New Roman"/>
          <w:b/>
          <w:szCs w:val="24"/>
        </w:rPr>
        <w:t xml:space="preserve">Item 13 </w:t>
      </w:r>
      <w:r w:rsidRPr="002B0EA1">
        <w:rPr>
          <w:rFonts w:cs="Times New Roman"/>
          <w:b/>
          <w:szCs w:val="24"/>
        </w:rPr>
        <w:t>Subrule 2.01(6)</w:t>
      </w:r>
    </w:p>
    <w:p w14:paraId="1F11C17E" w14:textId="77777777" w:rsidR="002B0EA1" w:rsidRDefault="002B0EA1" w:rsidP="00F57B07">
      <w:pPr>
        <w:jc w:val="both"/>
        <w:rPr>
          <w:rFonts w:cs="Times New Roman"/>
          <w:bCs/>
          <w:szCs w:val="24"/>
        </w:rPr>
      </w:pPr>
      <w:r>
        <w:rPr>
          <w:rFonts w:cs="Times New Roman"/>
          <w:bCs/>
          <w:szCs w:val="24"/>
        </w:rPr>
        <w:t>This item removes the words ‘parenting order’ from Table item 4. This reflects the decision to remove parenting enforcement applications from the Rules.</w:t>
      </w:r>
    </w:p>
    <w:p w14:paraId="24BDA692" w14:textId="45D34187" w:rsidR="00C86C31" w:rsidRDefault="002B0EA1" w:rsidP="00F57B07">
      <w:pPr>
        <w:jc w:val="both"/>
        <w:rPr>
          <w:rFonts w:cs="Times New Roman"/>
          <w:b/>
          <w:szCs w:val="24"/>
        </w:rPr>
      </w:pPr>
      <w:r>
        <w:rPr>
          <w:rFonts w:cs="Times New Roman"/>
          <w:b/>
          <w:szCs w:val="24"/>
        </w:rPr>
        <w:t xml:space="preserve">Item 14 </w:t>
      </w:r>
      <w:r w:rsidR="00C86C31">
        <w:rPr>
          <w:rFonts w:cs="Times New Roman"/>
          <w:b/>
          <w:szCs w:val="24"/>
        </w:rPr>
        <w:t>Rule 2.16(3)</w:t>
      </w:r>
    </w:p>
    <w:p w14:paraId="2FC738C7" w14:textId="40C15C61" w:rsidR="002B0EA1" w:rsidRDefault="00C86C31" w:rsidP="00F57B07">
      <w:pPr>
        <w:jc w:val="both"/>
        <w:rPr>
          <w:rFonts w:cs="Times New Roman"/>
          <w:bCs/>
          <w:szCs w:val="24"/>
        </w:rPr>
      </w:pPr>
      <w:r>
        <w:rPr>
          <w:rFonts w:cs="Times New Roman"/>
          <w:bCs/>
          <w:szCs w:val="24"/>
        </w:rPr>
        <w:t>This item inserts a new subrule 2.16(3) which clarifies that w</w:t>
      </w:r>
      <w:r w:rsidRPr="00C86C31">
        <w:rPr>
          <w:rFonts w:cs="Times New Roman"/>
          <w:bCs/>
          <w:szCs w:val="24"/>
        </w:rPr>
        <w:t xml:space="preserve">hen written notice of </w:t>
      </w:r>
      <w:r>
        <w:rPr>
          <w:rFonts w:cs="Times New Roman"/>
          <w:bCs/>
          <w:szCs w:val="24"/>
        </w:rPr>
        <w:t>a</w:t>
      </w:r>
      <w:r w:rsidRPr="00C86C31">
        <w:rPr>
          <w:rFonts w:cs="Times New Roman"/>
          <w:bCs/>
          <w:szCs w:val="24"/>
        </w:rPr>
        <w:t xml:space="preserve"> change of name is filed, the title of the proceeding is taken to have been amended accordingly.</w:t>
      </w:r>
    </w:p>
    <w:p w14:paraId="24F40FDC" w14:textId="606180D4" w:rsidR="00C86C31" w:rsidRDefault="00C86C31" w:rsidP="00F57B07">
      <w:pPr>
        <w:jc w:val="both"/>
        <w:rPr>
          <w:rFonts w:cs="Times New Roman"/>
          <w:b/>
          <w:szCs w:val="24"/>
        </w:rPr>
      </w:pPr>
      <w:r>
        <w:rPr>
          <w:rFonts w:cs="Times New Roman"/>
          <w:b/>
          <w:szCs w:val="24"/>
        </w:rPr>
        <w:t xml:space="preserve">Item 15 </w:t>
      </w:r>
      <w:r w:rsidRPr="00C86C31">
        <w:rPr>
          <w:rFonts w:cs="Times New Roman"/>
          <w:b/>
          <w:szCs w:val="24"/>
        </w:rPr>
        <w:t>Subrule 2.18(2) (note 3)</w:t>
      </w:r>
    </w:p>
    <w:p w14:paraId="365D8364" w14:textId="451A01DC" w:rsidR="00C86C31" w:rsidRDefault="00C86C31" w:rsidP="00F57B07">
      <w:pPr>
        <w:jc w:val="both"/>
        <w:rPr>
          <w:rFonts w:cs="Times New Roman"/>
          <w:bCs/>
          <w:szCs w:val="24"/>
        </w:rPr>
      </w:pPr>
      <w:r>
        <w:rPr>
          <w:rFonts w:cs="Times New Roman"/>
          <w:bCs/>
          <w:szCs w:val="24"/>
        </w:rPr>
        <w:t xml:space="preserve">This item omits reference to 1.33(2)(d) and inserts reference to paragraph 10.27(1)(d) in note 3, </w:t>
      </w:r>
      <w:bookmarkStart w:id="0" w:name="_Hlk164860770"/>
      <w:r>
        <w:rPr>
          <w:rFonts w:cs="Times New Roman"/>
          <w:bCs/>
          <w:szCs w:val="24"/>
        </w:rPr>
        <w:t xml:space="preserve">which is a consequential change necessary given the change to the rules regarding default explained above. </w:t>
      </w:r>
    </w:p>
    <w:bookmarkEnd w:id="0"/>
    <w:p w14:paraId="79815194" w14:textId="4B5B9894" w:rsidR="00C86C31" w:rsidRDefault="00C86C31" w:rsidP="00F57B07">
      <w:pPr>
        <w:jc w:val="both"/>
        <w:rPr>
          <w:rFonts w:cs="Times New Roman"/>
          <w:b/>
          <w:szCs w:val="24"/>
        </w:rPr>
      </w:pPr>
      <w:r>
        <w:rPr>
          <w:rFonts w:cs="Times New Roman"/>
          <w:b/>
          <w:szCs w:val="24"/>
        </w:rPr>
        <w:t xml:space="preserve">Item 16 </w:t>
      </w:r>
      <w:r w:rsidRPr="00C86C31">
        <w:rPr>
          <w:rFonts w:cs="Times New Roman"/>
          <w:b/>
          <w:szCs w:val="24"/>
        </w:rPr>
        <w:t>Subrules 2.23(3) and (4)</w:t>
      </w:r>
    </w:p>
    <w:p w14:paraId="5D4EC05D" w14:textId="647D2808" w:rsidR="00C86C31" w:rsidRDefault="00C86C31" w:rsidP="00F57B07">
      <w:pPr>
        <w:jc w:val="both"/>
        <w:rPr>
          <w:rFonts w:cs="Times New Roman"/>
          <w:bCs/>
          <w:szCs w:val="24"/>
        </w:rPr>
      </w:pPr>
      <w:r>
        <w:rPr>
          <w:rFonts w:cs="Times New Roman"/>
          <w:bCs/>
          <w:szCs w:val="24"/>
        </w:rPr>
        <w:t xml:space="preserve">This item amends the rules regarding when a document is taken to have been filed. The amendments ensure that a party is not prejudiced by any delay between when a document is lodged for filing and the time it is sealed, if manual sealing is required. Under the rule, a document is taken to be filed on the day it is lodged, if it is accepted by the Registry Manager by affixing the seal of the court or a court stamp, provided it is received before 4:30pm legal time in the location of the filing registry on a business day. </w:t>
      </w:r>
    </w:p>
    <w:p w14:paraId="2B762270" w14:textId="25F9CEAC" w:rsidR="00C86C31" w:rsidRDefault="00C86C31" w:rsidP="00F57B07">
      <w:pPr>
        <w:jc w:val="both"/>
        <w:rPr>
          <w:rFonts w:cs="Times New Roman"/>
          <w:b/>
          <w:szCs w:val="24"/>
        </w:rPr>
      </w:pPr>
      <w:r>
        <w:rPr>
          <w:rFonts w:cs="Times New Roman"/>
          <w:b/>
          <w:szCs w:val="24"/>
        </w:rPr>
        <w:t xml:space="preserve">Item 17 </w:t>
      </w:r>
      <w:r w:rsidRPr="00C86C31">
        <w:rPr>
          <w:rFonts w:cs="Times New Roman"/>
          <w:b/>
          <w:szCs w:val="24"/>
        </w:rPr>
        <w:t>Subrule 2.23(6) (note)</w:t>
      </w:r>
    </w:p>
    <w:p w14:paraId="248C6026" w14:textId="4BC8948F" w:rsidR="00C86C31" w:rsidRDefault="00C86C31" w:rsidP="00F57B07">
      <w:pPr>
        <w:jc w:val="both"/>
        <w:rPr>
          <w:rFonts w:cs="Times New Roman"/>
          <w:bCs/>
          <w:iCs/>
          <w:szCs w:val="24"/>
        </w:rPr>
      </w:pPr>
      <w:r>
        <w:rPr>
          <w:rFonts w:cs="Times New Roman"/>
          <w:bCs/>
          <w:szCs w:val="24"/>
        </w:rPr>
        <w:t xml:space="preserve">This item corrects a reference to the fee regulations, which are the </w:t>
      </w:r>
      <w:r w:rsidRPr="00C86C31">
        <w:rPr>
          <w:rFonts w:cs="Times New Roman"/>
          <w:bCs/>
          <w:i/>
          <w:szCs w:val="24"/>
        </w:rPr>
        <w:t>Family Law (Fees) Regulations 2022</w:t>
      </w:r>
      <w:r>
        <w:rPr>
          <w:rFonts w:cs="Times New Roman"/>
          <w:bCs/>
          <w:iCs/>
          <w:szCs w:val="24"/>
        </w:rPr>
        <w:t>.</w:t>
      </w:r>
    </w:p>
    <w:p w14:paraId="112DBBEF" w14:textId="316ECD99" w:rsidR="00C86C31" w:rsidRDefault="00C86C31" w:rsidP="00F57B07">
      <w:pPr>
        <w:jc w:val="both"/>
        <w:rPr>
          <w:rFonts w:cs="Times New Roman"/>
          <w:b/>
          <w:iCs/>
          <w:szCs w:val="24"/>
        </w:rPr>
      </w:pPr>
      <w:r>
        <w:rPr>
          <w:rFonts w:cs="Times New Roman"/>
          <w:b/>
          <w:iCs/>
          <w:szCs w:val="24"/>
        </w:rPr>
        <w:t xml:space="preserve">Item 18 </w:t>
      </w:r>
      <w:r w:rsidRPr="00C86C31">
        <w:rPr>
          <w:rFonts w:cs="Times New Roman"/>
          <w:b/>
          <w:iCs/>
          <w:szCs w:val="24"/>
        </w:rPr>
        <w:t>Paragraph 3.10(1)(b)</w:t>
      </w:r>
    </w:p>
    <w:p w14:paraId="785F7694" w14:textId="0C01D7FA" w:rsidR="00C86C31" w:rsidRDefault="00C86C31" w:rsidP="00F57B07">
      <w:pPr>
        <w:jc w:val="both"/>
        <w:rPr>
          <w:rFonts w:cs="Times New Roman"/>
          <w:bCs/>
          <w:iCs/>
          <w:szCs w:val="24"/>
        </w:rPr>
      </w:pPr>
      <w:r>
        <w:rPr>
          <w:rFonts w:cs="Times New Roman"/>
          <w:bCs/>
          <w:iCs/>
          <w:szCs w:val="24"/>
        </w:rPr>
        <w:t>This item replaces the words ‘court’s permission’ with ‘leave of the court’.</w:t>
      </w:r>
    </w:p>
    <w:p w14:paraId="098CC456" w14:textId="4251D3D0" w:rsidR="00C86C31" w:rsidRPr="00C86C31" w:rsidRDefault="00C86C31" w:rsidP="00C86C31">
      <w:pPr>
        <w:jc w:val="both"/>
        <w:rPr>
          <w:rFonts w:cs="Times New Roman"/>
          <w:b/>
          <w:iCs/>
          <w:szCs w:val="24"/>
        </w:rPr>
      </w:pPr>
      <w:r>
        <w:rPr>
          <w:rFonts w:cs="Times New Roman"/>
          <w:b/>
          <w:iCs/>
          <w:szCs w:val="24"/>
        </w:rPr>
        <w:t xml:space="preserve">Item 19 </w:t>
      </w:r>
      <w:r w:rsidRPr="00C86C31">
        <w:rPr>
          <w:rFonts w:cs="Times New Roman"/>
          <w:b/>
          <w:iCs/>
          <w:szCs w:val="24"/>
        </w:rPr>
        <w:t>subrule 3.10(1</w:t>
      </w:r>
      <w:r>
        <w:rPr>
          <w:rFonts w:cs="Times New Roman"/>
          <w:b/>
          <w:iCs/>
          <w:szCs w:val="24"/>
        </w:rPr>
        <w:t>A</w:t>
      </w:r>
      <w:r w:rsidRPr="00C86C31">
        <w:rPr>
          <w:rFonts w:cs="Times New Roman"/>
          <w:b/>
          <w:iCs/>
          <w:szCs w:val="24"/>
        </w:rPr>
        <w:t>)</w:t>
      </w:r>
    </w:p>
    <w:p w14:paraId="1F449719" w14:textId="726F9138" w:rsidR="00C86C31" w:rsidRDefault="00C86C31" w:rsidP="00F57B07">
      <w:pPr>
        <w:jc w:val="both"/>
        <w:rPr>
          <w:rFonts w:cs="Times New Roman"/>
          <w:bCs/>
          <w:iCs/>
          <w:szCs w:val="24"/>
        </w:rPr>
      </w:pPr>
      <w:r>
        <w:rPr>
          <w:rFonts w:cs="Times New Roman"/>
          <w:bCs/>
          <w:iCs/>
          <w:szCs w:val="24"/>
        </w:rPr>
        <w:t>This item inserts a new subrule 3.10(1A) that</w:t>
      </w:r>
      <w:r w:rsidR="007D729E">
        <w:rPr>
          <w:rFonts w:cs="Times New Roman"/>
          <w:bCs/>
          <w:iCs/>
          <w:szCs w:val="24"/>
        </w:rPr>
        <w:t xml:space="preserve"> restricts a lawyer from filing a Notice of Intention to Withdraw within 14 days before the day fixed for a final hearing without leave of the court, which must be sought in writing. This is intended to ensure that the court has sufficient notice </w:t>
      </w:r>
      <w:r w:rsidR="007D729E">
        <w:rPr>
          <w:rFonts w:cs="Times New Roman"/>
          <w:bCs/>
          <w:iCs/>
          <w:szCs w:val="24"/>
        </w:rPr>
        <w:lastRenderedPageBreak/>
        <w:t>of a lawyer seeking to withdraw from proceedings proximate to a final hearing, so that appropriate case management steps can be considered. Seeking leave in writing (which may be by written correspondence or by Application) allows the court to consider whether the matter ought to be listed for a procedural hearing.</w:t>
      </w:r>
    </w:p>
    <w:p w14:paraId="02207F2B" w14:textId="4080787D" w:rsidR="007D729E" w:rsidRDefault="007D729E" w:rsidP="00F57B07">
      <w:pPr>
        <w:jc w:val="both"/>
        <w:rPr>
          <w:rFonts w:cs="Times New Roman"/>
          <w:b/>
          <w:iCs/>
          <w:szCs w:val="24"/>
        </w:rPr>
      </w:pPr>
      <w:r>
        <w:rPr>
          <w:rFonts w:cs="Times New Roman"/>
          <w:b/>
          <w:iCs/>
          <w:szCs w:val="24"/>
        </w:rPr>
        <w:t xml:space="preserve">Item 20 </w:t>
      </w:r>
      <w:r w:rsidRPr="007D729E">
        <w:rPr>
          <w:rFonts w:cs="Times New Roman"/>
          <w:b/>
          <w:iCs/>
          <w:szCs w:val="24"/>
        </w:rPr>
        <w:t>Rule 3.11 (at the end of note 1)</w:t>
      </w:r>
    </w:p>
    <w:p w14:paraId="4262A72F" w14:textId="49B44B2B" w:rsidR="007D729E" w:rsidRDefault="007D729E" w:rsidP="00F57B07">
      <w:pPr>
        <w:jc w:val="both"/>
        <w:rPr>
          <w:rFonts w:cs="Times New Roman"/>
          <w:bCs/>
          <w:iCs/>
          <w:szCs w:val="24"/>
        </w:rPr>
      </w:pPr>
      <w:r>
        <w:rPr>
          <w:rFonts w:cs="Times New Roman"/>
          <w:bCs/>
          <w:iCs/>
          <w:szCs w:val="24"/>
        </w:rPr>
        <w:t>This item adds a clarification to note 1 that the role of an Independent Children’s Lawyer is set out in section 68LA of the Family Law Act.</w:t>
      </w:r>
    </w:p>
    <w:p w14:paraId="3ED44FA8" w14:textId="796EF22E" w:rsidR="007D729E" w:rsidRDefault="007D729E" w:rsidP="00F57B07">
      <w:pPr>
        <w:jc w:val="both"/>
        <w:rPr>
          <w:rFonts w:cs="Times New Roman"/>
          <w:b/>
          <w:iCs/>
          <w:szCs w:val="24"/>
        </w:rPr>
      </w:pPr>
      <w:r>
        <w:rPr>
          <w:rFonts w:cs="Times New Roman"/>
          <w:b/>
          <w:iCs/>
          <w:szCs w:val="24"/>
        </w:rPr>
        <w:t>Item 21 Rule 4.05</w:t>
      </w:r>
    </w:p>
    <w:p w14:paraId="33A31D35" w14:textId="12338C4B" w:rsidR="007D729E" w:rsidRPr="007D729E" w:rsidRDefault="007D729E" w:rsidP="00F57B07">
      <w:pPr>
        <w:jc w:val="both"/>
        <w:rPr>
          <w:rFonts w:cs="Times New Roman"/>
          <w:bCs/>
          <w:iCs/>
          <w:szCs w:val="24"/>
        </w:rPr>
      </w:pPr>
      <w:r>
        <w:rPr>
          <w:rFonts w:cs="Times New Roman"/>
          <w:bCs/>
          <w:iCs/>
          <w:szCs w:val="24"/>
        </w:rPr>
        <w:t xml:space="preserve">This item repeals rule 4.05 and inserts a new rule regarding dispute resolution events, which sets out that the court may order a party to attend a dispute resolution event and that a dispute resolution event may be conducted by a judicial officer. Dispute resolution and judicial officer are defined in the Rules. </w:t>
      </w:r>
    </w:p>
    <w:p w14:paraId="4351A3E4" w14:textId="1C63B87A" w:rsidR="007D729E" w:rsidRDefault="005478CE" w:rsidP="00F57B07">
      <w:pPr>
        <w:jc w:val="both"/>
        <w:rPr>
          <w:rFonts w:cs="Times New Roman"/>
          <w:b/>
          <w:iCs/>
          <w:szCs w:val="24"/>
        </w:rPr>
      </w:pPr>
      <w:r>
        <w:rPr>
          <w:rFonts w:cs="Times New Roman"/>
          <w:b/>
          <w:iCs/>
          <w:szCs w:val="24"/>
        </w:rPr>
        <w:t xml:space="preserve">Item 22 </w:t>
      </w:r>
      <w:r w:rsidRPr="005478CE">
        <w:rPr>
          <w:rFonts w:cs="Times New Roman"/>
          <w:b/>
          <w:iCs/>
          <w:szCs w:val="24"/>
        </w:rPr>
        <w:t>Subrule 4.11(3) (note 2)</w:t>
      </w:r>
    </w:p>
    <w:p w14:paraId="5DB1578C" w14:textId="77777777" w:rsidR="00846C28" w:rsidRDefault="005478CE" w:rsidP="005478CE">
      <w:pPr>
        <w:jc w:val="both"/>
        <w:rPr>
          <w:rFonts w:cs="Times New Roman"/>
          <w:bCs/>
          <w:iCs/>
          <w:szCs w:val="24"/>
        </w:rPr>
      </w:pPr>
      <w:r>
        <w:rPr>
          <w:rFonts w:cs="Times New Roman"/>
          <w:bCs/>
          <w:iCs/>
          <w:szCs w:val="24"/>
        </w:rPr>
        <w:t xml:space="preserve">This item substitutes a reference to rule 1.33 for rule 10.27 in note 2 </w:t>
      </w:r>
      <w:r w:rsidRPr="005478CE">
        <w:rPr>
          <w:rFonts w:cs="Times New Roman"/>
          <w:bCs/>
          <w:iCs/>
          <w:szCs w:val="24"/>
        </w:rPr>
        <w:t>which is a consequential change necessary given the change to the rules regarding default explained above.</w:t>
      </w:r>
    </w:p>
    <w:p w14:paraId="75AB9846" w14:textId="008E16A3" w:rsidR="005478CE" w:rsidRDefault="00846C28" w:rsidP="005478CE">
      <w:pPr>
        <w:jc w:val="both"/>
        <w:rPr>
          <w:rFonts w:cs="Times New Roman"/>
          <w:b/>
          <w:iCs/>
          <w:szCs w:val="24"/>
        </w:rPr>
      </w:pPr>
      <w:r>
        <w:rPr>
          <w:rFonts w:cs="Times New Roman"/>
          <w:b/>
          <w:iCs/>
          <w:szCs w:val="24"/>
        </w:rPr>
        <w:t xml:space="preserve">Item 23 </w:t>
      </w:r>
      <w:r w:rsidRPr="00846C28">
        <w:rPr>
          <w:rFonts w:cs="Times New Roman"/>
          <w:b/>
          <w:iCs/>
          <w:szCs w:val="24"/>
        </w:rPr>
        <w:t>Paragraph 5.02(2)(c)</w:t>
      </w:r>
    </w:p>
    <w:p w14:paraId="2FEA1C98" w14:textId="5A4A17A6" w:rsidR="00846C28" w:rsidRDefault="00846C28" w:rsidP="005478CE">
      <w:pPr>
        <w:jc w:val="both"/>
        <w:rPr>
          <w:rFonts w:cs="Times New Roman"/>
          <w:bCs/>
          <w:iCs/>
          <w:szCs w:val="24"/>
        </w:rPr>
      </w:pPr>
      <w:r>
        <w:rPr>
          <w:rFonts w:cs="Times New Roman"/>
          <w:bCs/>
          <w:iCs/>
          <w:szCs w:val="24"/>
        </w:rPr>
        <w:t>This item adds a new paragraph (c) which clarifies that an application for an interlocutory order may be sought if it does not relate to a current proceeding if a person is seeking to</w:t>
      </w:r>
      <w:r w:rsidRPr="00846C28">
        <w:rPr>
          <w:rFonts w:cs="Times New Roman"/>
          <w:bCs/>
          <w:iCs/>
          <w:szCs w:val="24"/>
        </w:rPr>
        <w:t xml:space="preserve"> vary or set aside an order under rule 10.13 (other than a final order under paragraph 10.13(1)(b))</w:t>
      </w:r>
      <w:r>
        <w:rPr>
          <w:rFonts w:cs="Times New Roman"/>
          <w:bCs/>
          <w:iCs/>
          <w:szCs w:val="24"/>
        </w:rPr>
        <w:t xml:space="preserve">. </w:t>
      </w:r>
    </w:p>
    <w:p w14:paraId="54C2F8FF" w14:textId="6BF37957" w:rsidR="00846C28" w:rsidRDefault="00846C28" w:rsidP="005478CE">
      <w:pPr>
        <w:jc w:val="both"/>
        <w:rPr>
          <w:rFonts w:cs="Times New Roman"/>
          <w:b/>
          <w:iCs/>
          <w:szCs w:val="24"/>
        </w:rPr>
      </w:pPr>
      <w:r>
        <w:rPr>
          <w:rFonts w:cs="Times New Roman"/>
          <w:b/>
          <w:iCs/>
          <w:szCs w:val="24"/>
        </w:rPr>
        <w:t>Item 24 Rule 5.27 (note)</w:t>
      </w:r>
    </w:p>
    <w:p w14:paraId="59261293" w14:textId="07489F21" w:rsidR="00846C28" w:rsidRDefault="00846C28" w:rsidP="005478CE">
      <w:pPr>
        <w:jc w:val="both"/>
        <w:rPr>
          <w:rFonts w:cs="Times New Roman"/>
          <w:bCs/>
          <w:iCs/>
          <w:szCs w:val="24"/>
        </w:rPr>
      </w:pPr>
      <w:r>
        <w:rPr>
          <w:rFonts w:cs="Times New Roman"/>
          <w:bCs/>
          <w:iCs/>
          <w:szCs w:val="24"/>
        </w:rPr>
        <w:t xml:space="preserve">This item replaces the note to refer to the replacement for section 121 of the Family Law Act, which in this instance is section 114Q of the Family Law Act. </w:t>
      </w:r>
    </w:p>
    <w:p w14:paraId="4DD8CAF1" w14:textId="77AA8CAA" w:rsidR="00846C28" w:rsidRPr="00846C28" w:rsidRDefault="00846C28" w:rsidP="005478CE">
      <w:pPr>
        <w:jc w:val="both"/>
        <w:rPr>
          <w:rFonts w:cs="Times New Roman"/>
          <w:b/>
          <w:i/>
          <w:szCs w:val="24"/>
        </w:rPr>
      </w:pPr>
      <w:r>
        <w:rPr>
          <w:rFonts w:cs="Times New Roman"/>
          <w:b/>
          <w:iCs/>
          <w:szCs w:val="24"/>
        </w:rPr>
        <w:t>Item 25 sub</w:t>
      </w:r>
      <w:r w:rsidRPr="00846C28">
        <w:rPr>
          <w:rFonts w:cs="Times New Roman"/>
          <w:b/>
          <w:iCs/>
          <w:szCs w:val="24"/>
        </w:rPr>
        <w:t>paragraph 8.11(5)(a)</w:t>
      </w:r>
      <w:r>
        <w:rPr>
          <w:rFonts w:cs="Times New Roman"/>
          <w:b/>
          <w:iCs/>
          <w:szCs w:val="24"/>
        </w:rPr>
        <w:t>(vi)</w:t>
      </w:r>
    </w:p>
    <w:p w14:paraId="2F219DAC" w14:textId="37BC0C94" w:rsidR="005478CE" w:rsidRDefault="00846C28" w:rsidP="00F57B07">
      <w:pPr>
        <w:jc w:val="both"/>
        <w:rPr>
          <w:rFonts w:cs="Times New Roman"/>
          <w:bCs/>
          <w:iCs/>
          <w:szCs w:val="24"/>
        </w:rPr>
      </w:pPr>
      <w:r>
        <w:rPr>
          <w:rFonts w:cs="Times New Roman"/>
          <w:bCs/>
          <w:iCs/>
          <w:szCs w:val="24"/>
        </w:rPr>
        <w:t>This item inserts a new subparagraph (vi) which clarifies that the court may provide a family consultant’s report to a member of the police force of a State or Territory.</w:t>
      </w:r>
    </w:p>
    <w:p w14:paraId="0AF7A022" w14:textId="086525A5" w:rsidR="00846C28" w:rsidRDefault="00846C28" w:rsidP="00F57B07">
      <w:pPr>
        <w:jc w:val="both"/>
        <w:rPr>
          <w:rFonts w:cs="Times New Roman"/>
          <w:b/>
          <w:iCs/>
          <w:szCs w:val="24"/>
        </w:rPr>
      </w:pPr>
      <w:r>
        <w:rPr>
          <w:rFonts w:cs="Times New Roman"/>
          <w:b/>
          <w:iCs/>
          <w:szCs w:val="24"/>
        </w:rPr>
        <w:t>Item 26</w:t>
      </w:r>
      <w:r>
        <w:rPr>
          <w:rFonts w:cs="Times New Roman"/>
          <w:bCs/>
          <w:iCs/>
          <w:szCs w:val="24"/>
        </w:rPr>
        <w:t xml:space="preserve"> </w:t>
      </w:r>
      <w:r>
        <w:rPr>
          <w:rFonts w:cs="Times New Roman"/>
          <w:b/>
          <w:iCs/>
          <w:szCs w:val="24"/>
        </w:rPr>
        <w:t>rule 8.12</w:t>
      </w:r>
    </w:p>
    <w:p w14:paraId="669869C8" w14:textId="6EFA7F75" w:rsidR="00846C28" w:rsidRDefault="00846C28" w:rsidP="00F57B07">
      <w:pPr>
        <w:jc w:val="both"/>
        <w:rPr>
          <w:rFonts w:cs="Times New Roman"/>
          <w:bCs/>
          <w:iCs/>
          <w:szCs w:val="24"/>
        </w:rPr>
      </w:pPr>
      <w:r>
        <w:rPr>
          <w:rFonts w:cs="Times New Roman"/>
          <w:bCs/>
          <w:iCs/>
          <w:szCs w:val="24"/>
        </w:rPr>
        <w:t xml:space="preserve">This item repeals and replaces rule 8.12 with respect to a report after dispute resolution so that the rule better reflects the reporting process as it is undertaken in practice. </w:t>
      </w:r>
      <w:r w:rsidR="000C252C">
        <w:rPr>
          <w:rFonts w:cs="Times New Roman"/>
          <w:bCs/>
          <w:iCs/>
          <w:szCs w:val="24"/>
        </w:rPr>
        <w:t>The rule clarifies that a Judge is not required to prepare or file a report after a dispute resolution event, such as a judicial settlement conference.</w:t>
      </w:r>
    </w:p>
    <w:p w14:paraId="60EC4847" w14:textId="5A660261" w:rsidR="00846C28" w:rsidRDefault="00846C28" w:rsidP="00F57B07">
      <w:pPr>
        <w:jc w:val="both"/>
        <w:rPr>
          <w:rFonts w:cs="Times New Roman"/>
          <w:b/>
          <w:iCs/>
          <w:szCs w:val="24"/>
        </w:rPr>
      </w:pPr>
      <w:r>
        <w:rPr>
          <w:rFonts w:cs="Times New Roman"/>
          <w:b/>
          <w:iCs/>
          <w:szCs w:val="24"/>
        </w:rPr>
        <w:t>Item 27 rule 10.13</w:t>
      </w:r>
    </w:p>
    <w:p w14:paraId="4DE44750" w14:textId="5EA29E72" w:rsidR="00846C28" w:rsidRDefault="00846C28" w:rsidP="00F57B07">
      <w:pPr>
        <w:jc w:val="both"/>
        <w:rPr>
          <w:rFonts w:cs="Times New Roman"/>
          <w:bCs/>
          <w:iCs/>
          <w:szCs w:val="24"/>
        </w:rPr>
      </w:pPr>
      <w:r>
        <w:rPr>
          <w:rFonts w:cs="Times New Roman"/>
          <w:bCs/>
          <w:iCs/>
          <w:szCs w:val="24"/>
        </w:rPr>
        <w:lastRenderedPageBreak/>
        <w:t xml:space="preserve">This item adds a new subrule (3) which states that </w:t>
      </w:r>
      <w:r w:rsidRPr="00846C28">
        <w:rPr>
          <w:rFonts w:cs="Times New Roman"/>
          <w:bCs/>
          <w:iCs/>
          <w:szCs w:val="24"/>
        </w:rPr>
        <w:t xml:space="preserve">An application to vary or set aside a final order </w:t>
      </w:r>
      <w:r>
        <w:rPr>
          <w:rFonts w:cs="Times New Roman"/>
          <w:bCs/>
          <w:iCs/>
          <w:szCs w:val="24"/>
        </w:rPr>
        <w:t xml:space="preserve">on the basis of fraud </w:t>
      </w:r>
      <w:r w:rsidRPr="00846C28">
        <w:rPr>
          <w:rFonts w:cs="Times New Roman"/>
          <w:bCs/>
          <w:iCs/>
          <w:szCs w:val="24"/>
        </w:rPr>
        <w:t>under paragraph </w:t>
      </w:r>
      <w:r>
        <w:rPr>
          <w:rFonts w:cs="Times New Roman"/>
          <w:bCs/>
          <w:iCs/>
          <w:szCs w:val="24"/>
        </w:rPr>
        <w:t>10.13</w:t>
      </w:r>
      <w:r w:rsidRPr="00846C28">
        <w:rPr>
          <w:rFonts w:cs="Times New Roman"/>
          <w:bCs/>
          <w:iCs/>
          <w:szCs w:val="24"/>
        </w:rPr>
        <w:t>(1)(b) must be made by filing an Initiating Application (Family Law)</w:t>
      </w:r>
      <w:r>
        <w:rPr>
          <w:rFonts w:cs="Times New Roman"/>
          <w:bCs/>
          <w:iCs/>
          <w:szCs w:val="24"/>
        </w:rPr>
        <w:t xml:space="preserve"> and not by way of an Application in a Proceeding</w:t>
      </w:r>
      <w:r w:rsidRPr="00846C28">
        <w:rPr>
          <w:rFonts w:cs="Times New Roman"/>
          <w:bCs/>
          <w:iCs/>
          <w:szCs w:val="24"/>
        </w:rPr>
        <w:t>.</w:t>
      </w:r>
    </w:p>
    <w:p w14:paraId="29285DB8" w14:textId="6E659B18" w:rsidR="00846C28" w:rsidRDefault="00846C28" w:rsidP="00F57B07">
      <w:pPr>
        <w:jc w:val="both"/>
        <w:rPr>
          <w:rFonts w:cs="Times New Roman"/>
          <w:b/>
          <w:iCs/>
          <w:szCs w:val="24"/>
        </w:rPr>
      </w:pPr>
      <w:r>
        <w:rPr>
          <w:rFonts w:cs="Times New Roman"/>
          <w:b/>
          <w:iCs/>
          <w:szCs w:val="24"/>
        </w:rPr>
        <w:t xml:space="preserve">Item 28 </w:t>
      </w:r>
      <w:r w:rsidRPr="00846C28">
        <w:rPr>
          <w:rFonts w:cs="Times New Roman"/>
          <w:b/>
          <w:iCs/>
          <w:szCs w:val="24"/>
        </w:rPr>
        <w:t>Rule 10.24 (at the end of the heading)</w:t>
      </w:r>
    </w:p>
    <w:p w14:paraId="1E498C53" w14:textId="221DE978" w:rsidR="00846C28" w:rsidRDefault="00846C28" w:rsidP="00F57B07">
      <w:pPr>
        <w:jc w:val="both"/>
        <w:rPr>
          <w:rFonts w:cs="Times New Roman"/>
          <w:bCs/>
          <w:iCs/>
          <w:szCs w:val="24"/>
        </w:rPr>
      </w:pPr>
      <w:r>
        <w:rPr>
          <w:rFonts w:cs="Times New Roman"/>
          <w:bCs/>
          <w:iCs/>
          <w:szCs w:val="24"/>
        </w:rPr>
        <w:t xml:space="preserve">This item amends the heading to rule 10.24 to clarify that it contains provisions that relate to each of </w:t>
      </w:r>
      <w:r w:rsidRPr="00846C28">
        <w:rPr>
          <w:rFonts w:cs="Times New Roman"/>
          <w:bCs/>
          <w:iCs/>
          <w:szCs w:val="24"/>
        </w:rPr>
        <w:t>vexatious proceedings orders and harmful proceedings orders</w:t>
      </w:r>
      <w:r>
        <w:rPr>
          <w:rFonts w:cs="Times New Roman"/>
          <w:bCs/>
          <w:iCs/>
          <w:szCs w:val="24"/>
        </w:rPr>
        <w:t>.</w:t>
      </w:r>
    </w:p>
    <w:p w14:paraId="3B92C6FA" w14:textId="065E30DB" w:rsidR="00846C28" w:rsidRDefault="00846C28" w:rsidP="00F57B07">
      <w:pPr>
        <w:jc w:val="both"/>
        <w:rPr>
          <w:rFonts w:cs="Times New Roman"/>
          <w:b/>
          <w:iCs/>
          <w:szCs w:val="24"/>
        </w:rPr>
      </w:pPr>
      <w:r>
        <w:rPr>
          <w:rFonts w:cs="Times New Roman"/>
          <w:b/>
          <w:iCs/>
          <w:szCs w:val="24"/>
        </w:rPr>
        <w:t>Item 29 rule 10.24</w:t>
      </w:r>
    </w:p>
    <w:p w14:paraId="2D5A6CCD" w14:textId="293EC217" w:rsidR="00846C28" w:rsidRDefault="00846C28" w:rsidP="00F57B07">
      <w:pPr>
        <w:jc w:val="both"/>
        <w:rPr>
          <w:rFonts w:cs="Times New Roman"/>
          <w:bCs/>
          <w:iCs/>
          <w:szCs w:val="24"/>
        </w:rPr>
      </w:pPr>
      <w:r>
        <w:rPr>
          <w:rFonts w:cs="Times New Roman"/>
          <w:bCs/>
          <w:iCs/>
          <w:szCs w:val="24"/>
        </w:rPr>
        <w:t>This item inserts a subheading for vexatious proceedings orders within rule 10.24 to indicate the subrules that apply to those orders.</w:t>
      </w:r>
    </w:p>
    <w:p w14:paraId="4F277096" w14:textId="07E741E6" w:rsidR="00846C28" w:rsidRDefault="00846C28" w:rsidP="00F57B07">
      <w:pPr>
        <w:jc w:val="both"/>
        <w:rPr>
          <w:rFonts w:cs="Times New Roman"/>
          <w:b/>
          <w:iCs/>
          <w:szCs w:val="24"/>
        </w:rPr>
      </w:pPr>
      <w:r>
        <w:rPr>
          <w:rFonts w:cs="Times New Roman"/>
          <w:b/>
          <w:iCs/>
          <w:szCs w:val="24"/>
        </w:rPr>
        <w:t xml:space="preserve">Item 30 </w:t>
      </w:r>
      <w:r w:rsidRPr="00846C28">
        <w:rPr>
          <w:rFonts w:cs="Times New Roman"/>
          <w:b/>
          <w:iCs/>
          <w:szCs w:val="24"/>
        </w:rPr>
        <w:t>Paragraph 10.24(2)(b)</w:t>
      </w:r>
    </w:p>
    <w:p w14:paraId="77E988C0" w14:textId="68ED7900" w:rsidR="00846C28" w:rsidRDefault="00846C28" w:rsidP="00F57B07">
      <w:pPr>
        <w:jc w:val="both"/>
        <w:rPr>
          <w:rFonts w:cs="Times New Roman"/>
          <w:bCs/>
          <w:iCs/>
          <w:szCs w:val="24"/>
        </w:rPr>
      </w:pPr>
      <w:r>
        <w:rPr>
          <w:rFonts w:cs="Times New Roman"/>
          <w:bCs/>
          <w:iCs/>
          <w:szCs w:val="24"/>
        </w:rPr>
        <w:t>This item corrects a numbering error in the existing rule.</w:t>
      </w:r>
    </w:p>
    <w:p w14:paraId="573ACD36" w14:textId="3594B769" w:rsidR="00846C28" w:rsidRDefault="00846C28" w:rsidP="00F57B07">
      <w:pPr>
        <w:jc w:val="both"/>
        <w:rPr>
          <w:rFonts w:cs="Times New Roman"/>
          <w:b/>
          <w:iCs/>
          <w:szCs w:val="24"/>
        </w:rPr>
      </w:pPr>
      <w:r>
        <w:rPr>
          <w:rFonts w:cs="Times New Roman"/>
          <w:b/>
          <w:iCs/>
          <w:szCs w:val="24"/>
        </w:rPr>
        <w:t>Item 31 rule 10.24</w:t>
      </w:r>
    </w:p>
    <w:p w14:paraId="18F040F4" w14:textId="17E228EE" w:rsidR="00846C28" w:rsidRDefault="00846C28" w:rsidP="00F57B07">
      <w:pPr>
        <w:jc w:val="both"/>
        <w:rPr>
          <w:rFonts w:cs="Times New Roman"/>
          <w:bCs/>
          <w:iCs/>
          <w:szCs w:val="24"/>
        </w:rPr>
      </w:pPr>
      <w:r>
        <w:rPr>
          <w:rFonts w:cs="Times New Roman"/>
          <w:bCs/>
          <w:iCs/>
          <w:szCs w:val="24"/>
        </w:rPr>
        <w:t xml:space="preserve">This item inserts procedural rules for applications for harmful proceedings orders, which have been inserted into the Family Law Act by the </w:t>
      </w:r>
      <w:r>
        <w:rPr>
          <w:rFonts w:cs="Times New Roman"/>
          <w:bCs/>
          <w:i/>
          <w:szCs w:val="24"/>
        </w:rPr>
        <w:t>Family Law Amendment Act 2023</w:t>
      </w:r>
      <w:r>
        <w:rPr>
          <w:rFonts w:cs="Times New Roman"/>
          <w:bCs/>
          <w:iCs/>
          <w:szCs w:val="24"/>
        </w:rPr>
        <w:t>.</w:t>
      </w:r>
    </w:p>
    <w:p w14:paraId="3906213B" w14:textId="6F695C83" w:rsidR="00846C28" w:rsidRDefault="00495082" w:rsidP="00F57B07">
      <w:pPr>
        <w:jc w:val="both"/>
        <w:rPr>
          <w:rFonts w:cs="Times New Roman"/>
          <w:b/>
          <w:iCs/>
          <w:szCs w:val="24"/>
        </w:rPr>
      </w:pPr>
      <w:r>
        <w:rPr>
          <w:rFonts w:cs="Times New Roman"/>
          <w:b/>
          <w:iCs/>
          <w:szCs w:val="24"/>
        </w:rPr>
        <w:t xml:space="preserve">Item 32 </w:t>
      </w:r>
      <w:r w:rsidRPr="00495082">
        <w:rPr>
          <w:rFonts w:cs="Times New Roman"/>
          <w:b/>
          <w:iCs/>
          <w:szCs w:val="24"/>
        </w:rPr>
        <w:t>Paragraphs 10.26(1)(d) and (2)(f)</w:t>
      </w:r>
    </w:p>
    <w:p w14:paraId="7D48A6D0" w14:textId="01DE9623" w:rsidR="00495082" w:rsidRDefault="00495082" w:rsidP="00F57B07">
      <w:pPr>
        <w:jc w:val="both"/>
        <w:rPr>
          <w:rFonts w:cs="Times New Roman"/>
          <w:bCs/>
          <w:iCs/>
          <w:szCs w:val="24"/>
        </w:rPr>
      </w:pPr>
      <w:r>
        <w:rPr>
          <w:rFonts w:cs="Times New Roman"/>
          <w:bCs/>
          <w:iCs/>
          <w:szCs w:val="24"/>
        </w:rPr>
        <w:t xml:space="preserve">This item includes references to a failure to do anything required by the Family Law Regulations as well as the Rules as to when a party may be in default, which reflects what rule 1.33 previously included. </w:t>
      </w:r>
    </w:p>
    <w:p w14:paraId="50F2BA61" w14:textId="3204F206" w:rsidR="00495082" w:rsidRDefault="00495082" w:rsidP="00F57B07">
      <w:pPr>
        <w:jc w:val="both"/>
        <w:rPr>
          <w:rFonts w:cs="Times New Roman"/>
          <w:b/>
          <w:iCs/>
          <w:szCs w:val="24"/>
        </w:rPr>
      </w:pPr>
      <w:r>
        <w:rPr>
          <w:rFonts w:cs="Times New Roman"/>
          <w:b/>
          <w:iCs/>
          <w:szCs w:val="24"/>
        </w:rPr>
        <w:t xml:space="preserve">Item 33 </w:t>
      </w:r>
      <w:r w:rsidRPr="00495082">
        <w:rPr>
          <w:rFonts w:cs="Times New Roman"/>
          <w:b/>
          <w:iCs/>
          <w:szCs w:val="24"/>
        </w:rPr>
        <w:t>Subrules 10.27(1) and (2)</w:t>
      </w:r>
    </w:p>
    <w:p w14:paraId="4BF58E65" w14:textId="0916654F" w:rsidR="00495082" w:rsidRPr="00495082" w:rsidRDefault="00495082" w:rsidP="00F57B07">
      <w:pPr>
        <w:jc w:val="both"/>
        <w:rPr>
          <w:rFonts w:cs="Times New Roman"/>
          <w:bCs/>
          <w:iCs/>
          <w:szCs w:val="24"/>
        </w:rPr>
      </w:pPr>
      <w:r>
        <w:rPr>
          <w:rFonts w:cs="Times New Roman"/>
          <w:bCs/>
          <w:iCs/>
          <w:szCs w:val="24"/>
        </w:rPr>
        <w:t xml:space="preserve">This item sets out more comprehensively what the court may do if a party is in default. It includes provision for how an undefended hearing may be conducted in (1)(g) and (h). It adopts some of the provisions of previous rule 1.33. </w:t>
      </w:r>
    </w:p>
    <w:p w14:paraId="00BAC490" w14:textId="69E47F7E" w:rsidR="002B0EA1" w:rsidRDefault="00831A15" w:rsidP="00F57B07">
      <w:pPr>
        <w:jc w:val="both"/>
        <w:rPr>
          <w:rFonts w:cs="Times New Roman"/>
          <w:b/>
          <w:szCs w:val="24"/>
        </w:rPr>
      </w:pPr>
      <w:r>
        <w:rPr>
          <w:rFonts w:cs="Times New Roman"/>
          <w:b/>
          <w:szCs w:val="24"/>
        </w:rPr>
        <w:t xml:space="preserve">Item 34 </w:t>
      </w:r>
      <w:r w:rsidRPr="00831A15">
        <w:rPr>
          <w:rFonts w:cs="Times New Roman"/>
          <w:b/>
          <w:szCs w:val="24"/>
        </w:rPr>
        <w:t>Subrule 10.27(3)</w:t>
      </w:r>
      <w:r>
        <w:rPr>
          <w:rFonts w:cs="Times New Roman"/>
          <w:b/>
          <w:szCs w:val="24"/>
        </w:rPr>
        <w:t xml:space="preserve"> and Item 35 </w:t>
      </w:r>
      <w:r w:rsidRPr="00831A15">
        <w:rPr>
          <w:rFonts w:cs="Times New Roman"/>
          <w:b/>
          <w:szCs w:val="24"/>
        </w:rPr>
        <w:t>Subrule 10.27(3)</w:t>
      </w:r>
    </w:p>
    <w:p w14:paraId="0C4977B6" w14:textId="7154C276" w:rsidR="00831A15" w:rsidRDefault="00831A15" w:rsidP="00F57B07">
      <w:pPr>
        <w:jc w:val="both"/>
        <w:rPr>
          <w:rFonts w:cs="Times New Roman"/>
          <w:bCs/>
          <w:szCs w:val="24"/>
        </w:rPr>
      </w:pPr>
      <w:r>
        <w:rPr>
          <w:rFonts w:cs="Times New Roman"/>
          <w:bCs/>
          <w:szCs w:val="24"/>
        </w:rPr>
        <w:t>These items make consequential changes to rule 10.27 given a change in numbering of the subrules.</w:t>
      </w:r>
    </w:p>
    <w:p w14:paraId="50F81DA5" w14:textId="00A7D4C0" w:rsidR="00831A15" w:rsidRDefault="00831A15" w:rsidP="00F57B07">
      <w:pPr>
        <w:jc w:val="both"/>
        <w:rPr>
          <w:rFonts w:cs="Times New Roman"/>
          <w:b/>
          <w:szCs w:val="24"/>
        </w:rPr>
      </w:pPr>
      <w:r>
        <w:rPr>
          <w:rFonts w:cs="Times New Roman"/>
          <w:b/>
          <w:szCs w:val="24"/>
        </w:rPr>
        <w:t>Item 36 – Chapter 11 outline</w:t>
      </w:r>
    </w:p>
    <w:p w14:paraId="392F22B1" w14:textId="67548392" w:rsidR="00831A15" w:rsidRDefault="00831A15" w:rsidP="00F57B07">
      <w:pPr>
        <w:jc w:val="both"/>
        <w:rPr>
          <w:rFonts w:cs="Times New Roman"/>
          <w:bCs/>
          <w:szCs w:val="24"/>
        </w:rPr>
      </w:pPr>
      <w:r>
        <w:rPr>
          <w:rFonts w:cs="Times New Roman"/>
          <w:bCs/>
          <w:szCs w:val="24"/>
        </w:rPr>
        <w:t>This item omits the diagram of Chapter 11 and replaces it with an updated diagram of the amended structure of the Chapter.</w:t>
      </w:r>
    </w:p>
    <w:p w14:paraId="6248ED19" w14:textId="63B174FB" w:rsidR="00831A15" w:rsidRPr="00C15889" w:rsidRDefault="00831A15" w:rsidP="00F57B07">
      <w:pPr>
        <w:jc w:val="both"/>
        <w:rPr>
          <w:rFonts w:cs="Times New Roman"/>
          <w:bCs/>
          <w:szCs w:val="24"/>
        </w:rPr>
      </w:pPr>
      <w:r>
        <w:rPr>
          <w:rFonts w:cs="Times New Roman"/>
          <w:b/>
          <w:szCs w:val="24"/>
        </w:rPr>
        <w:t xml:space="preserve">Item 37 </w:t>
      </w:r>
      <w:r w:rsidRPr="00831A15">
        <w:rPr>
          <w:rFonts w:cs="Times New Roman"/>
          <w:b/>
          <w:szCs w:val="24"/>
        </w:rPr>
        <w:t>Part 11.2 (heading)</w:t>
      </w:r>
      <w:r w:rsidR="00C15889">
        <w:rPr>
          <w:rFonts w:cs="Times New Roman"/>
          <w:b/>
          <w:szCs w:val="24"/>
        </w:rPr>
        <w:t>,</w:t>
      </w:r>
      <w:r>
        <w:rPr>
          <w:rFonts w:cs="Times New Roman"/>
          <w:b/>
          <w:szCs w:val="24"/>
        </w:rPr>
        <w:t xml:space="preserve"> Item 38 </w:t>
      </w:r>
      <w:r w:rsidRPr="00831A15">
        <w:rPr>
          <w:rFonts w:cs="Times New Roman"/>
          <w:b/>
          <w:szCs w:val="24"/>
        </w:rPr>
        <w:t>Division 11.2.1 (heading)</w:t>
      </w:r>
      <w:r w:rsidR="00C15889">
        <w:rPr>
          <w:rFonts w:cs="Times New Roman"/>
          <w:b/>
          <w:szCs w:val="24"/>
        </w:rPr>
        <w:t xml:space="preserve">, </w:t>
      </w:r>
      <w:r>
        <w:rPr>
          <w:rFonts w:cs="Times New Roman"/>
          <w:b/>
          <w:szCs w:val="24"/>
        </w:rPr>
        <w:t xml:space="preserve">Item 39 </w:t>
      </w:r>
      <w:r w:rsidRPr="00831A15">
        <w:rPr>
          <w:rFonts w:cs="Times New Roman"/>
          <w:b/>
          <w:szCs w:val="24"/>
        </w:rPr>
        <w:t>Rule 11.63 (not including the notes)</w:t>
      </w:r>
      <w:r w:rsidR="00C15889">
        <w:rPr>
          <w:rFonts w:cs="Times New Roman"/>
          <w:b/>
          <w:szCs w:val="24"/>
        </w:rPr>
        <w:t>,</w:t>
      </w:r>
      <w:r>
        <w:rPr>
          <w:rFonts w:cs="Times New Roman"/>
          <w:b/>
          <w:szCs w:val="24"/>
        </w:rPr>
        <w:t xml:space="preserve"> Item 42 </w:t>
      </w:r>
      <w:r w:rsidRPr="00831A15">
        <w:rPr>
          <w:rFonts w:cs="Times New Roman"/>
          <w:b/>
          <w:szCs w:val="24"/>
        </w:rPr>
        <w:t>Subrule 11.64(1) (Table 11.1, table heading)</w:t>
      </w:r>
      <w:r w:rsidR="00C15889">
        <w:rPr>
          <w:rFonts w:cs="Times New Roman"/>
          <w:b/>
          <w:szCs w:val="24"/>
        </w:rPr>
        <w:t>,</w:t>
      </w:r>
      <w:r>
        <w:rPr>
          <w:rFonts w:cs="Times New Roman"/>
          <w:b/>
          <w:szCs w:val="24"/>
        </w:rPr>
        <w:t xml:space="preserve"> Item 43 </w:t>
      </w:r>
      <w:r w:rsidRPr="00831A15">
        <w:rPr>
          <w:rFonts w:cs="Times New Roman"/>
          <w:b/>
          <w:szCs w:val="24"/>
        </w:rPr>
        <w:t>Subrule 11.64(1) (Table 11.1, table item 1)</w:t>
      </w:r>
      <w:r w:rsidR="00C15889">
        <w:rPr>
          <w:rFonts w:cs="Times New Roman"/>
          <w:b/>
          <w:szCs w:val="24"/>
        </w:rPr>
        <w:t xml:space="preserve">, Item 45 </w:t>
      </w:r>
      <w:r w:rsidR="00C15889" w:rsidRPr="00C15889">
        <w:rPr>
          <w:rFonts w:cs="Times New Roman"/>
          <w:b/>
          <w:szCs w:val="24"/>
        </w:rPr>
        <w:t>Subrule 11.64(1) (example)</w:t>
      </w:r>
      <w:r w:rsidR="00C15889">
        <w:rPr>
          <w:rFonts w:cs="Times New Roman"/>
          <w:b/>
          <w:szCs w:val="24"/>
        </w:rPr>
        <w:t xml:space="preserve">, Item 46 </w:t>
      </w:r>
      <w:r w:rsidR="00C15889" w:rsidRPr="00C15889">
        <w:rPr>
          <w:rFonts w:cs="Times New Roman"/>
          <w:b/>
          <w:szCs w:val="24"/>
        </w:rPr>
        <w:t>Paragraph 11.64(2)(b)</w:t>
      </w:r>
      <w:r w:rsidR="00C15889">
        <w:rPr>
          <w:rFonts w:cs="Times New Roman"/>
          <w:b/>
          <w:szCs w:val="24"/>
        </w:rPr>
        <w:t xml:space="preserve">, Item 47 </w:t>
      </w:r>
      <w:r w:rsidR="00C15889" w:rsidRPr="00C15889">
        <w:rPr>
          <w:rFonts w:cs="Times New Roman"/>
          <w:b/>
          <w:szCs w:val="24"/>
        </w:rPr>
        <w:t>Paragraph 11.64(2)(b)</w:t>
      </w:r>
    </w:p>
    <w:p w14:paraId="1F6036A1" w14:textId="1AD41EDC" w:rsidR="00831A15" w:rsidRDefault="00831A15" w:rsidP="00F57B07">
      <w:pPr>
        <w:jc w:val="both"/>
        <w:rPr>
          <w:rFonts w:cs="Times New Roman"/>
          <w:bCs/>
          <w:szCs w:val="24"/>
        </w:rPr>
      </w:pPr>
      <w:r>
        <w:rPr>
          <w:rFonts w:cs="Times New Roman"/>
          <w:bCs/>
          <w:szCs w:val="24"/>
        </w:rPr>
        <w:lastRenderedPageBreak/>
        <w:t>These items all remove references to the enforcement of a parenting order, which has been removed from the Rules</w:t>
      </w:r>
      <w:r w:rsidR="00C15889">
        <w:rPr>
          <w:rFonts w:cs="Times New Roman"/>
          <w:bCs/>
          <w:szCs w:val="24"/>
        </w:rPr>
        <w:t xml:space="preserve">, as a result an Application – Enforcement will no longer be able to be filed in relation to a parenting order. </w:t>
      </w:r>
    </w:p>
    <w:p w14:paraId="50B81CDB" w14:textId="15061D4D" w:rsidR="00C15889" w:rsidRDefault="00C15889" w:rsidP="00F57B07">
      <w:pPr>
        <w:jc w:val="both"/>
        <w:rPr>
          <w:rFonts w:cs="Times New Roman"/>
          <w:b/>
          <w:szCs w:val="24"/>
        </w:rPr>
      </w:pPr>
      <w:r>
        <w:rPr>
          <w:rFonts w:cs="Times New Roman"/>
          <w:b/>
          <w:szCs w:val="24"/>
        </w:rPr>
        <w:t>Items 40-41, Item 44, Items 48-52, Items 54-61</w:t>
      </w:r>
    </w:p>
    <w:p w14:paraId="546CED50" w14:textId="16132F86" w:rsidR="00C15889" w:rsidRDefault="00C15889" w:rsidP="00F57B07">
      <w:pPr>
        <w:jc w:val="both"/>
        <w:rPr>
          <w:rFonts w:cs="Times New Roman"/>
          <w:bCs/>
          <w:szCs w:val="24"/>
        </w:rPr>
      </w:pPr>
      <w:r>
        <w:rPr>
          <w:rFonts w:cs="Times New Roman"/>
          <w:bCs/>
          <w:szCs w:val="24"/>
        </w:rPr>
        <w:t>These amendments are consequential changes required due to the renumbering of Division 13A of the Family Law Act which relate to contraventions. These rules reference specific sections of the Family Law Act and so the section references have been updated accordingly.</w:t>
      </w:r>
    </w:p>
    <w:p w14:paraId="62EA2526" w14:textId="26112344" w:rsidR="00C15889" w:rsidRDefault="00C15889" w:rsidP="00F57B07">
      <w:pPr>
        <w:jc w:val="both"/>
        <w:rPr>
          <w:rFonts w:cs="Times New Roman"/>
          <w:b/>
          <w:szCs w:val="24"/>
        </w:rPr>
      </w:pPr>
      <w:r>
        <w:rPr>
          <w:rFonts w:cs="Times New Roman"/>
          <w:b/>
          <w:szCs w:val="24"/>
        </w:rPr>
        <w:t xml:space="preserve">Item 53 </w:t>
      </w:r>
      <w:r w:rsidRPr="00C15889">
        <w:rPr>
          <w:rFonts w:cs="Times New Roman"/>
          <w:b/>
          <w:szCs w:val="24"/>
        </w:rPr>
        <w:t>Subrule 11.71(4)</w:t>
      </w:r>
    </w:p>
    <w:p w14:paraId="28A623ED" w14:textId="2214C61A" w:rsidR="00C15889" w:rsidRDefault="00C15889" w:rsidP="00F57B07">
      <w:pPr>
        <w:jc w:val="both"/>
        <w:rPr>
          <w:rFonts w:cs="Times New Roman"/>
          <w:bCs/>
          <w:szCs w:val="24"/>
        </w:rPr>
      </w:pPr>
      <w:r>
        <w:rPr>
          <w:rFonts w:cs="Times New Roman"/>
          <w:bCs/>
          <w:szCs w:val="24"/>
        </w:rPr>
        <w:t xml:space="preserve">This item amends subrule (4) such that the Marshal may consider making an application for contempt rather than being required to make an application for contempt. </w:t>
      </w:r>
    </w:p>
    <w:p w14:paraId="3972DB56" w14:textId="6054622F" w:rsidR="00C15889" w:rsidRDefault="00C15889" w:rsidP="00F57B07">
      <w:pPr>
        <w:jc w:val="both"/>
        <w:rPr>
          <w:rFonts w:cs="Times New Roman"/>
          <w:b/>
          <w:szCs w:val="24"/>
        </w:rPr>
      </w:pPr>
      <w:r>
        <w:rPr>
          <w:rFonts w:cs="Times New Roman"/>
          <w:b/>
          <w:szCs w:val="24"/>
        </w:rPr>
        <w:t xml:space="preserve">Item 62 </w:t>
      </w:r>
      <w:r w:rsidRPr="00C15889">
        <w:rPr>
          <w:rFonts w:cs="Times New Roman"/>
          <w:b/>
          <w:szCs w:val="24"/>
        </w:rPr>
        <w:t>Subrule 13.02(1) (note 2)</w:t>
      </w:r>
    </w:p>
    <w:p w14:paraId="210C070C" w14:textId="32F07D87" w:rsidR="00C15889" w:rsidRDefault="00C15889" w:rsidP="00F57B07">
      <w:pPr>
        <w:jc w:val="both"/>
        <w:rPr>
          <w:rFonts w:cs="Times New Roman"/>
          <w:bCs/>
          <w:szCs w:val="24"/>
        </w:rPr>
      </w:pPr>
      <w:r>
        <w:rPr>
          <w:rFonts w:cs="Times New Roman"/>
          <w:bCs/>
          <w:szCs w:val="24"/>
        </w:rPr>
        <w:t>This item omits a reference to the rule regarding how a document may be filed that has changed due to the redrafting of rule 2.23.</w:t>
      </w:r>
    </w:p>
    <w:p w14:paraId="2A327C36" w14:textId="5D2D31C1" w:rsidR="00C15889" w:rsidRPr="0005283E" w:rsidRDefault="0005283E" w:rsidP="00F57B07">
      <w:pPr>
        <w:jc w:val="both"/>
        <w:rPr>
          <w:rFonts w:cs="Times New Roman"/>
          <w:b/>
          <w:szCs w:val="24"/>
        </w:rPr>
      </w:pPr>
      <w:r>
        <w:rPr>
          <w:rFonts w:cs="Times New Roman"/>
          <w:b/>
          <w:szCs w:val="24"/>
        </w:rPr>
        <w:t xml:space="preserve">Item 63 </w:t>
      </w:r>
      <w:r w:rsidRPr="0005283E">
        <w:rPr>
          <w:rFonts w:cs="Times New Roman"/>
          <w:b/>
          <w:szCs w:val="24"/>
        </w:rPr>
        <w:t>Rule 15.13 (note 1)</w:t>
      </w:r>
    </w:p>
    <w:p w14:paraId="5F674B62" w14:textId="59999409" w:rsidR="0005283E" w:rsidRDefault="0005283E" w:rsidP="0005283E">
      <w:pPr>
        <w:jc w:val="both"/>
        <w:rPr>
          <w:rFonts w:cs="Times New Roman"/>
          <w:bCs/>
          <w:iCs/>
          <w:szCs w:val="24"/>
        </w:rPr>
      </w:pPr>
      <w:r>
        <w:rPr>
          <w:rFonts w:cs="Times New Roman"/>
          <w:bCs/>
          <w:iCs/>
          <w:szCs w:val="24"/>
        </w:rPr>
        <w:t xml:space="preserve">This item replaces the note to refer to the replacement for section 121 of the Family Law Act, which in this instance are sections 114Q, 114R and 114S of the Family Law Act. </w:t>
      </w:r>
    </w:p>
    <w:p w14:paraId="0B7413F9" w14:textId="652A8D43" w:rsidR="00C15889" w:rsidRDefault="0005283E" w:rsidP="00F57B07">
      <w:pPr>
        <w:jc w:val="both"/>
        <w:rPr>
          <w:rFonts w:cs="Times New Roman"/>
          <w:b/>
          <w:szCs w:val="24"/>
        </w:rPr>
      </w:pPr>
      <w:r>
        <w:rPr>
          <w:rFonts w:cs="Times New Roman"/>
          <w:b/>
          <w:szCs w:val="24"/>
        </w:rPr>
        <w:t xml:space="preserve">Item 64 </w:t>
      </w:r>
      <w:r w:rsidRPr="0005283E">
        <w:rPr>
          <w:rFonts w:cs="Times New Roman"/>
          <w:b/>
          <w:szCs w:val="24"/>
        </w:rPr>
        <w:t>Subrule 15.19(2)</w:t>
      </w:r>
    </w:p>
    <w:p w14:paraId="47EE65F2" w14:textId="6D75269D" w:rsidR="0005283E" w:rsidRDefault="0005283E" w:rsidP="00F57B07">
      <w:pPr>
        <w:jc w:val="both"/>
        <w:rPr>
          <w:rFonts w:cs="Times New Roman"/>
          <w:bCs/>
          <w:szCs w:val="24"/>
        </w:rPr>
      </w:pPr>
      <w:r>
        <w:rPr>
          <w:rFonts w:cs="Times New Roman"/>
          <w:bCs/>
          <w:szCs w:val="24"/>
        </w:rPr>
        <w:t>This item removes a reference to subrule 10.27(2) which has been amended due to the redrafting of rule 10.27.</w:t>
      </w:r>
    </w:p>
    <w:p w14:paraId="3887EBEC" w14:textId="61F54504" w:rsidR="0005283E" w:rsidRPr="0005283E" w:rsidRDefault="0005283E" w:rsidP="0005283E">
      <w:pPr>
        <w:jc w:val="both"/>
        <w:rPr>
          <w:rFonts w:cs="Times New Roman"/>
          <w:b/>
          <w:szCs w:val="24"/>
        </w:rPr>
      </w:pPr>
      <w:r>
        <w:rPr>
          <w:rFonts w:cs="Times New Roman"/>
          <w:b/>
          <w:szCs w:val="24"/>
        </w:rPr>
        <w:t>Item 65 s</w:t>
      </w:r>
      <w:r w:rsidRPr="0005283E">
        <w:rPr>
          <w:rFonts w:cs="Times New Roman"/>
          <w:b/>
          <w:szCs w:val="24"/>
        </w:rPr>
        <w:t>ubrule 15.23(1) (note)</w:t>
      </w:r>
      <w:r>
        <w:rPr>
          <w:rFonts w:cs="Times New Roman"/>
          <w:b/>
          <w:szCs w:val="24"/>
        </w:rPr>
        <w:t xml:space="preserve"> and Item 66 </w:t>
      </w:r>
      <w:r w:rsidRPr="0005283E">
        <w:rPr>
          <w:rFonts w:cs="Times New Roman"/>
          <w:b/>
          <w:szCs w:val="24"/>
        </w:rPr>
        <w:t>Subrule 15.24(1) (note)</w:t>
      </w:r>
    </w:p>
    <w:p w14:paraId="66A11CD3" w14:textId="260DF3B2" w:rsidR="0005283E" w:rsidRDefault="0005283E" w:rsidP="0005283E">
      <w:pPr>
        <w:jc w:val="both"/>
        <w:rPr>
          <w:rFonts w:cs="Times New Roman"/>
          <w:bCs/>
          <w:iCs/>
          <w:szCs w:val="24"/>
        </w:rPr>
      </w:pPr>
      <w:r>
        <w:rPr>
          <w:rFonts w:cs="Times New Roman"/>
          <w:bCs/>
          <w:iCs/>
          <w:szCs w:val="24"/>
        </w:rPr>
        <w:t xml:space="preserve">These items replace the notes to refer to the replacement for section 121 of the Family Law Act, which in this instance are sections 114Q, 114R and 114S of the Family Law Act. </w:t>
      </w:r>
    </w:p>
    <w:p w14:paraId="27F87EBE" w14:textId="3B4B532B" w:rsidR="0005283E" w:rsidRDefault="0005283E" w:rsidP="00F57B07">
      <w:pPr>
        <w:jc w:val="both"/>
        <w:rPr>
          <w:rFonts w:cs="Times New Roman"/>
          <w:b/>
          <w:szCs w:val="24"/>
        </w:rPr>
      </w:pPr>
      <w:r>
        <w:rPr>
          <w:rFonts w:cs="Times New Roman"/>
          <w:b/>
          <w:szCs w:val="24"/>
        </w:rPr>
        <w:t xml:space="preserve">Item 67 </w:t>
      </w:r>
      <w:r w:rsidRPr="0005283E">
        <w:rPr>
          <w:rFonts w:cs="Times New Roman"/>
          <w:b/>
          <w:szCs w:val="24"/>
        </w:rPr>
        <w:t>Paragraph 1(5)(b) of Part 1 of Schedule 1</w:t>
      </w:r>
      <w:r>
        <w:rPr>
          <w:rFonts w:cs="Times New Roman"/>
          <w:b/>
          <w:szCs w:val="24"/>
        </w:rPr>
        <w:t xml:space="preserve"> and Item 69 </w:t>
      </w:r>
      <w:r w:rsidRPr="0005283E">
        <w:rPr>
          <w:rFonts w:cs="Times New Roman"/>
          <w:b/>
          <w:szCs w:val="24"/>
        </w:rPr>
        <w:t>Paragraph 1(5)(b) of Part 2 of Schedule 1</w:t>
      </w:r>
    </w:p>
    <w:p w14:paraId="6317A6DE" w14:textId="6CA7619E" w:rsidR="00390986" w:rsidRPr="00390986" w:rsidRDefault="00390986" w:rsidP="00F57B07">
      <w:pPr>
        <w:jc w:val="both"/>
        <w:rPr>
          <w:rFonts w:cs="Times New Roman"/>
          <w:bCs/>
          <w:szCs w:val="24"/>
        </w:rPr>
      </w:pPr>
      <w:r>
        <w:rPr>
          <w:rFonts w:cs="Times New Roman"/>
          <w:bCs/>
          <w:szCs w:val="24"/>
        </w:rPr>
        <w:t xml:space="preserve">These items amend the pre-action procedures </w:t>
      </w:r>
      <w:r w:rsidR="002C695B">
        <w:rPr>
          <w:rFonts w:cs="Times New Roman"/>
          <w:bCs/>
          <w:szCs w:val="24"/>
        </w:rPr>
        <w:t>to refer in general terms to the new section 60CC factors.</w:t>
      </w:r>
    </w:p>
    <w:p w14:paraId="0EA48223" w14:textId="49173295" w:rsidR="00831A15" w:rsidRDefault="002C695B" w:rsidP="00F57B07">
      <w:pPr>
        <w:jc w:val="both"/>
        <w:rPr>
          <w:rFonts w:cs="Times New Roman"/>
          <w:b/>
          <w:szCs w:val="24"/>
        </w:rPr>
      </w:pPr>
      <w:r>
        <w:rPr>
          <w:rFonts w:cs="Times New Roman"/>
          <w:b/>
          <w:szCs w:val="24"/>
        </w:rPr>
        <w:t xml:space="preserve">Item 68 </w:t>
      </w:r>
      <w:r w:rsidRPr="002C695B">
        <w:rPr>
          <w:rFonts w:cs="Times New Roman"/>
          <w:b/>
          <w:szCs w:val="24"/>
        </w:rPr>
        <w:t>Subclause 2(3) of Part 1 of Schedule 1</w:t>
      </w:r>
      <w:r>
        <w:rPr>
          <w:rFonts w:cs="Times New Roman"/>
          <w:b/>
          <w:szCs w:val="24"/>
        </w:rPr>
        <w:t xml:space="preserve"> and Item 70 </w:t>
      </w:r>
      <w:r w:rsidRPr="002C695B">
        <w:rPr>
          <w:rFonts w:cs="Times New Roman"/>
          <w:b/>
          <w:szCs w:val="24"/>
        </w:rPr>
        <w:t>Subclause 2(3) of Part 2 of Schedule 1</w:t>
      </w:r>
    </w:p>
    <w:p w14:paraId="46A8BB67" w14:textId="77939372" w:rsidR="002C695B" w:rsidRDefault="002C695B" w:rsidP="002C695B">
      <w:pPr>
        <w:jc w:val="both"/>
        <w:rPr>
          <w:rFonts w:cs="Times New Roman"/>
          <w:bCs/>
          <w:iCs/>
          <w:szCs w:val="24"/>
        </w:rPr>
      </w:pPr>
      <w:r w:rsidRPr="002C695B">
        <w:rPr>
          <w:rFonts w:cs="Times New Roman"/>
          <w:bCs/>
          <w:iCs/>
          <w:szCs w:val="24"/>
        </w:rPr>
        <w:t>Th</w:t>
      </w:r>
      <w:r>
        <w:rPr>
          <w:rFonts w:cs="Times New Roman"/>
          <w:bCs/>
          <w:iCs/>
          <w:szCs w:val="24"/>
        </w:rPr>
        <w:t>ese</w:t>
      </w:r>
      <w:r w:rsidRPr="002C695B">
        <w:rPr>
          <w:rFonts w:cs="Times New Roman"/>
          <w:bCs/>
          <w:iCs/>
          <w:szCs w:val="24"/>
        </w:rPr>
        <w:t xml:space="preserve"> item</w:t>
      </w:r>
      <w:r>
        <w:rPr>
          <w:rFonts w:cs="Times New Roman"/>
          <w:bCs/>
          <w:iCs/>
          <w:szCs w:val="24"/>
        </w:rPr>
        <w:t>s</w:t>
      </w:r>
      <w:r w:rsidRPr="002C695B">
        <w:rPr>
          <w:rFonts w:cs="Times New Roman"/>
          <w:bCs/>
          <w:iCs/>
          <w:szCs w:val="24"/>
        </w:rPr>
        <w:t xml:space="preserve"> substitute a reference to </w:t>
      </w:r>
      <w:r>
        <w:rPr>
          <w:rFonts w:cs="Times New Roman"/>
          <w:bCs/>
          <w:iCs/>
          <w:szCs w:val="24"/>
        </w:rPr>
        <w:t>sub</w:t>
      </w:r>
      <w:r w:rsidRPr="002C695B">
        <w:rPr>
          <w:rFonts w:cs="Times New Roman"/>
          <w:bCs/>
          <w:iCs/>
          <w:szCs w:val="24"/>
        </w:rPr>
        <w:t>rule 1.33</w:t>
      </w:r>
      <w:r>
        <w:rPr>
          <w:rFonts w:cs="Times New Roman"/>
          <w:bCs/>
          <w:iCs/>
          <w:szCs w:val="24"/>
        </w:rPr>
        <w:t>(2)</w:t>
      </w:r>
      <w:r w:rsidRPr="002C695B">
        <w:rPr>
          <w:rFonts w:cs="Times New Roman"/>
          <w:bCs/>
          <w:iCs/>
          <w:szCs w:val="24"/>
        </w:rPr>
        <w:t xml:space="preserve"> for rule 10.27 which is a consequential change necessary given the change to the rules regarding default explained above.</w:t>
      </w:r>
    </w:p>
    <w:p w14:paraId="32B06068" w14:textId="77777777" w:rsidR="002C695B" w:rsidRPr="002C695B" w:rsidRDefault="002C695B" w:rsidP="002C695B">
      <w:pPr>
        <w:jc w:val="both"/>
        <w:rPr>
          <w:rFonts w:cs="Times New Roman"/>
          <w:b/>
          <w:iCs/>
          <w:szCs w:val="24"/>
        </w:rPr>
      </w:pPr>
      <w:r>
        <w:rPr>
          <w:rFonts w:cs="Times New Roman"/>
          <w:b/>
          <w:iCs/>
          <w:szCs w:val="24"/>
        </w:rPr>
        <w:t xml:space="preserve">Item 71 </w:t>
      </w:r>
      <w:r w:rsidRPr="002C695B">
        <w:rPr>
          <w:rFonts w:cs="Times New Roman"/>
          <w:b/>
          <w:iCs/>
          <w:szCs w:val="24"/>
        </w:rPr>
        <w:t>Clause 2 of Schedule 4 (after table item 3.8)</w:t>
      </w:r>
    </w:p>
    <w:p w14:paraId="6E2BCB48" w14:textId="46122DED" w:rsidR="002C695B" w:rsidRDefault="002C695B" w:rsidP="002C695B">
      <w:pPr>
        <w:jc w:val="both"/>
        <w:rPr>
          <w:rFonts w:cs="Times New Roman"/>
          <w:bCs/>
          <w:iCs/>
          <w:szCs w:val="24"/>
        </w:rPr>
      </w:pPr>
      <w:r>
        <w:rPr>
          <w:rFonts w:cs="Times New Roman"/>
          <w:bCs/>
          <w:iCs/>
          <w:szCs w:val="24"/>
        </w:rPr>
        <w:lastRenderedPageBreak/>
        <w:t xml:space="preserve">To the extent that it is necessary, this item delegates power to a Senior Judicial Registrar to reconsider a final parenting order as set out in new section 65DAAA of the Family Law Act, if that Senior Judicial Registrar is approved to do so or if the order is made </w:t>
      </w:r>
      <w:r w:rsidRPr="002C695B">
        <w:rPr>
          <w:rFonts w:cs="Times New Roman"/>
          <w:bCs/>
          <w:iCs/>
          <w:szCs w:val="24"/>
        </w:rPr>
        <w:t>with the agreement or consent of all of the parties to the final parenting order</w:t>
      </w:r>
      <w:r>
        <w:rPr>
          <w:rFonts w:cs="Times New Roman"/>
          <w:bCs/>
          <w:iCs/>
          <w:szCs w:val="24"/>
        </w:rPr>
        <w:t>.</w:t>
      </w:r>
    </w:p>
    <w:p w14:paraId="2EB54857" w14:textId="555B14E2" w:rsidR="002C695B" w:rsidRDefault="002C695B" w:rsidP="002C695B">
      <w:pPr>
        <w:jc w:val="both"/>
        <w:rPr>
          <w:rFonts w:cs="Times New Roman"/>
          <w:b/>
          <w:iCs/>
          <w:szCs w:val="24"/>
        </w:rPr>
      </w:pPr>
      <w:r>
        <w:rPr>
          <w:rFonts w:cs="Times New Roman"/>
          <w:b/>
          <w:iCs/>
          <w:szCs w:val="24"/>
        </w:rPr>
        <w:t xml:space="preserve">Item 72 and 73 </w:t>
      </w:r>
      <w:r w:rsidRPr="002C695B">
        <w:rPr>
          <w:rFonts w:cs="Times New Roman"/>
          <w:b/>
          <w:iCs/>
          <w:szCs w:val="24"/>
        </w:rPr>
        <w:t>Clause 2 of Schedule 4 (table item 10.1</w:t>
      </w:r>
      <w:r>
        <w:rPr>
          <w:rFonts w:cs="Times New Roman"/>
          <w:b/>
          <w:iCs/>
          <w:szCs w:val="24"/>
        </w:rPr>
        <w:t xml:space="preserve"> and table item 10.2)</w:t>
      </w:r>
    </w:p>
    <w:p w14:paraId="19DC0FBE" w14:textId="70A4B548" w:rsidR="002C695B" w:rsidRDefault="002C695B" w:rsidP="002C695B">
      <w:pPr>
        <w:jc w:val="both"/>
        <w:rPr>
          <w:rFonts w:cs="Times New Roman"/>
          <w:bCs/>
          <w:iCs/>
          <w:szCs w:val="24"/>
        </w:rPr>
      </w:pPr>
      <w:r>
        <w:rPr>
          <w:rFonts w:cs="Times New Roman"/>
          <w:bCs/>
          <w:iCs/>
          <w:szCs w:val="24"/>
        </w:rPr>
        <w:t xml:space="preserve">These items make consequential amendments to the powers delegated to Senior Judicial Registrars and Judicial Registrars due </w:t>
      </w:r>
      <w:r w:rsidRPr="002C695B">
        <w:rPr>
          <w:rFonts w:cs="Times New Roman"/>
          <w:bCs/>
          <w:iCs/>
          <w:szCs w:val="24"/>
        </w:rPr>
        <w:t xml:space="preserve">to the renumbering of Division 13A of the Family Law Act which relate to contraventions. These </w:t>
      </w:r>
      <w:r>
        <w:rPr>
          <w:rFonts w:cs="Times New Roman"/>
          <w:bCs/>
          <w:iCs/>
          <w:szCs w:val="24"/>
        </w:rPr>
        <w:t>table items</w:t>
      </w:r>
      <w:r w:rsidRPr="002C695B">
        <w:rPr>
          <w:rFonts w:cs="Times New Roman"/>
          <w:bCs/>
          <w:iCs/>
          <w:szCs w:val="24"/>
        </w:rPr>
        <w:t xml:space="preserve"> reference specific sections of the Family Law Act and so the section references have been updated accordingly.</w:t>
      </w:r>
    </w:p>
    <w:p w14:paraId="0EDC6F1F" w14:textId="5918F005" w:rsidR="002C695B" w:rsidRDefault="002C695B" w:rsidP="002C695B">
      <w:pPr>
        <w:jc w:val="both"/>
        <w:rPr>
          <w:rFonts w:cs="Times New Roman"/>
          <w:b/>
          <w:iCs/>
          <w:szCs w:val="24"/>
        </w:rPr>
      </w:pPr>
      <w:r>
        <w:rPr>
          <w:rFonts w:cs="Times New Roman"/>
          <w:b/>
          <w:iCs/>
          <w:szCs w:val="24"/>
        </w:rPr>
        <w:t xml:space="preserve">Item 74 </w:t>
      </w:r>
      <w:r w:rsidRPr="002C695B">
        <w:rPr>
          <w:rFonts w:cs="Times New Roman"/>
          <w:b/>
          <w:iCs/>
          <w:szCs w:val="24"/>
        </w:rPr>
        <w:t>Clause 2 of Schedule 4 (table item 14.7)</w:t>
      </w:r>
    </w:p>
    <w:p w14:paraId="6B3D14D5" w14:textId="1ED8D768" w:rsidR="002C695B" w:rsidRDefault="002C695B" w:rsidP="002C695B">
      <w:pPr>
        <w:jc w:val="both"/>
        <w:rPr>
          <w:rFonts w:cs="Times New Roman"/>
          <w:bCs/>
          <w:iCs/>
          <w:szCs w:val="24"/>
        </w:rPr>
      </w:pPr>
      <w:r>
        <w:rPr>
          <w:rFonts w:cs="Times New Roman"/>
          <w:bCs/>
          <w:iCs/>
          <w:szCs w:val="24"/>
        </w:rPr>
        <w:t xml:space="preserve">This item reflects </w:t>
      </w:r>
      <w:r w:rsidRPr="002C695B">
        <w:rPr>
          <w:rFonts w:cs="Times New Roman"/>
          <w:bCs/>
          <w:iCs/>
          <w:szCs w:val="24"/>
        </w:rPr>
        <w:t>a consequential change necessary given the change to the rules regarding default explained above</w:t>
      </w:r>
      <w:r>
        <w:rPr>
          <w:rFonts w:cs="Times New Roman"/>
          <w:bCs/>
          <w:iCs/>
          <w:szCs w:val="24"/>
        </w:rPr>
        <w:t xml:space="preserve">, such that power under rule 10.27 is delegated rather than rule 1.33. </w:t>
      </w:r>
    </w:p>
    <w:p w14:paraId="77230817" w14:textId="5ACE3BEB" w:rsidR="00C10B7C" w:rsidRDefault="00C10B7C" w:rsidP="002C695B">
      <w:pPr>
        <w:jc w:val="both"/>
        <w:rPr>
          <w:rFonts w:cs="Times New Roman"/>
          <w:b/>
          <w:iCs/>
          <w:szCs w:val="24"/>
        </w:rPr>
      </w:pPr>
      <w:r>
        <w:rPr>
          <w:rFonts w:cs="Times New Roman"/>
          <w:b/>
          <w:iCs/>
          <w:szCs w:val="24"/>
        </w:rPr>
        <w:t xml:space="preserve">Item 75 </w:t>
      </w:r>
      <w:r w:rsidRPr="00C10B7C">
        <w:rPr>
          <w:rFonts w:cs="Times New Roman"/>
          <w:b/>
          <w:iCs/>
          <w:szCs w:val="24"/>
        </w:rPr>
        <w:t>Clause 2 of Schedule 4 (table item 14.8, column 2)</w:t>
      </w:r>
    </w:p>
    <w:p w14:paraId="05D82A76" w14:textId="0065F6BB" w:rsidR="00C10B7C" w:rsidRDefault="00C10B7C" w:rsidP="002C695B">
      <w:pPr>
        <w:jc w:val="both"/>
        <w:rPr>
          <w:rFonts w:cs="Times New Roman"/>
          <w:bCs/>
          <w:iCs/>
          <w:szCs w:val="24"/>
        </w:rPr>
      </w:pPr>
      <w:r>
        <w:rPr>
          <w:rFonts w:cs="Times New Roman"/>
          <w:bCs/>
          <w:iCs/>
          <w:szCs w:val="24"/>
        </w:rPr>
        <w:t xml:space="preserve">This item </w:t>
      </w:r>
      <w:r w:rsidRPr="00C10B7C">
        <w:rPr>
          <w:rFonts w:cs="Times New Roman"/>
          <w:bCs/>
          <w:iCs/>
          <w:szCs w:val="24"/>
        </w:rPr>
        <w:t>reflects a consequential change necessary given the change to the rules regarding default explained above</w:t>
      </w:r>
      <w:r>
        <w:rPr>
          <w:rFonts w:cs="Times New Roman"/>
          <w:bCs/>
          <w:iCs/>
          <w:szCs w:val="24"/>
        </w:rPr>
        <w:t>. The description relates to rule 1.33 rather than subrule 1.33(1).</w:t>
      </w:r>
    </w:p>
    <w:p w14:paraId="44474A73" w14:textId="391F6E57" w:rsidR="00C10B7C" w:rsidRPr="002C695B" w:rsidRDefault="00C10B7C" w:rsidP="002C695B">
      <w:pPr>
        <w:jc w:val="both"/>
        <w:rPr>
          <w:rFonts w:cs="Times New Roman"/>
          <w:b/>
          <w:iCs/>
          <w:szCs w:val="24"/>
        </w:rPr>
      </w:pPr>
      <w:r>
        <w:rPr>
          <w:rFonts w:cs="Times New Roman"/>
          <w:b/>
          <w:iCs/>
          <w:szCs w:val="24"/>
        </w:rPr>
        <w:t xml:space="preserve">Item 76 </w:t>
      </w:r>
      <w:r w:rsidRPr="00C10B7C">
        <w:rPr>
          <w:rFonts w:cs="Times New Roman"/>
          <w:b/>
          <w:iCs/>
          <w:szCs w:val="24"/>
        </w:rPr>
        <w:t>Clause 2 of Schedule 4 (after table item 19.3)</w:t>
      </w:r>
    </w:p>
    <w:p w14:paraId="753B5D87" w14:textId="3FC4EC49" w:rsidR="002C695B" w:rsidRDefault="00C10B7C" w:rsidP="002C695B">
      <w:pPr>
        <w:jc w:val="both"/>
        <w:rPr>
          <w:rFonts w:cs="Times New Roman"/>
          <w:bCs/>
          <w:szCs w:val="24"/>
        </w:rPr>
      </w:pPr>
      <w:r>
        <w:rPr>
          <w:rFonts w:cs="Times New Roman"/>
          <w:bCs/>
          <w:szCs w:val="24"/>
        </w:rPr>
        <w:t xml:space="preserve">This item delegates power to </w:t>
      </w:r>
      <w:r w:rsidRPr="00C10B7C">
        <w:rPr>
          <w:rFonts w:cs="Times New Roman"/>
          <w:bCs/>
          <w:szCs w:val="24"/>
        </w:rPr>
        <w:t>determine whether exceptional circumstances exist that justify an independent children’s lawyer not performing a duty</w:t>
      </w:r>
      <w:r>
        <w:rPr>
          <w:rFonts w:cs="Times New Roman"/>
          <w:bCs/>
          <w:szCs w:val="24"/>
        </w:rPr>
        <w:t>,</w:t>
      </w:r>
      <w:r w:rsidRPr="00C10B7C">
        <w:rPr>
          <w:rFonts w:cs="Times New Roman"/>
          <w:bCs/>
          <w:szCs w:val="24"/>
        </w:rPr>
        <w:t xml:space="preserve"> and to make an order requiring the independent children’s lawyer to perform a duty</w:t>
      </w:r>
      <w:r>
        <w:rPr>
          <w:rFonts w:cs="Times New Roman"/>
          <w:bCs/>
          <w:szCs w:val="24"/>
        </w:rPr>
        <w:t>, pursuant to both limbs of subsection 68LA(5D) of the Family Law Act.</w:t>
      </w:r>
    </w:p>
    <w:p w14:paraId="00D3DD46" w14:textId="24D1E6FE" w:rsidR="00C10B7C" w:rsidRDefault="00C10B7C" w:rsidP="002C695B">
      <w:pPr>
        <w:jc w:val="both"/>
        <w:rPr>
          <w:rFonts w:cs="Times New Roman"/>
          <w:b/>
          <w:szCs w:val="24"/>
        </w:rPr>
      </w:pPr>
      <w:r>
        <w:rPr>
          <w:rFonts w:cs="Times New Roman"/>
          <w:b/>
          <w:szCs w:val="24"/>
        </w:rPr>
        <w:t xml:space="preserve">Item 77 </w:t>
      </w:r>
      <w:r w:rsidRPr="00C10B7C">
        <w:rPr>
          <w:rFonts w:cs="Times New Roman"/>
          <w:b/>
          <w:szCs w:val="24"/>
        </w:rPr>
        <w:t>Clause 2 of Schedule 4 (table item 24.1)</w:t>
      </w:r>
    </w:p>
    <w:p w14:paraId="31F98591" w14:textId="3AF20110" w:rsidR="00C10B7C" w:rsidRDefault="00C10B7C" w:rsidP="002C695B">
      <w:pPr>
        <w:jc w:val="both"/>
        <w:rPr>
          <w:rFonts w:cs="Times New Roman"/>
          <w:bCs/>
          <w:szCs w:val="24"/>
        </w:rPr>
      </w:pPr>
      <w:r>
        <w:rPr>
          <w:rFonts w:cs="Times New Roman"/>
          <w:bCs/>
          <w:szCs w:val="24"/>
        </w:rPr>
        <w:t xml:space="preserve">This item delegates power to make information sharing orders under </w:t>
      </w:r>
      <w:r w:rsidRPr="00C10B7C">
        <w:rPr>
          <w:rFonts w:cs="Times New Roman"/>
          <w:bCs/>
          <w:szCs w:val="24"/>
        </w:rPr>
        <w:t>Subdivision DA of Division 8 of Part VII</w:t>
      </w:r>
      <w:r>
        <w:rPr>
          <w:rFonts w:cs="Times New Roman"/>
          <w:bCs/>
          <w:szCs w:val="24"/>
        </w:rPr>
        <w:t xml:space="preserve"> of the Family Law Act.</w:t>
      </w:r>
    </w:p>
    <w:p w14:paraId="64118C9D" w14:textId="611C5186" w:rsidR="00C10B7C" w:rsidRDefault="00C10B7C" w:rsidP="002C695B">
      <w:pPr>
        <w:jc w:val="both"/>
        <w:rPr>
          <w:rFonts w:cs="Times New Roman"/>
          <w:b/>
          <w:szCs w:val="24"/>
        </w:rPr>
      </w:pPr>
      <w:r>
        <w:rPr>
          <w:rFonts w:cs="Times New Roman"/>
          <w:b/>
          <w:szCs w:val="24"/>
        </w:rPr>
        <w:t xml:space="preserve">Item 78 </w:t>
      </w:r>
      <w:r w:rsidRPr="00C10B7C">
        <w:rPr>
          <w:rFonts w:cs="Times New Roman"/>
          <w:b/>
          <w:szCs w:val="24"/>
        </w:rPr>
        <w:t>Clause 2 of Schedule 4 (table item 31.1, column 1)</w:t>
      </w:r>
    </w:p>
    <w:p w14:paraId="2258A0FC" w14:textId="125999B4" w:rsidR="00C10B7C" w:rsidRDefault="00C10B7C" w:rsidP="002C695B">
      <w:pPr>
        <w:jc w:val="both"/>
        <w:rPr>
          <w:rFonts w:cs="Times New Roman"/>
          <w:bCs/>
          <w:szCs w:val="24"/>
        </w:rPr>
      </w:pPr>
      <w:r>
        <w:rPr>
          <w:rFonts w:cs="Times New Roman"/>
          <w:bCs/>
          <w:szCs w:val="24"/>
        </w:rPr>
        <w:t>This item reflects the repeal of section 45A of the Family Law Act and its replacement with section 102QAB of the Family Law Act.</w:t>
      </w:r>
    </w:p>
    <w:p w14:paraId="116AD374" w14:textId="3431767B" w:rsidR="00C10B7C" w:rsidRDefault="00C10B7C" w:rsidP="002C695B">
      <w:pPr>
        <w:jc w:val="both"/>
        <w:rPr>
          <w:rFonts w:cs="Times New Roman"/>
          <w:b/>
          <w:szCs w:val="24"/>
        </w:rPr>
      </w:pPr>
      <w:r>
        <w:rPr>
          <w:rFonts w:cs="Times New Roman"/>
          <w:b/>
          <w:szCs w:val="24"/>
        </w:rPr>
        <w:t xml:space="preserve">Item 79 </w:t>
      </w:r>
      <w:r w:rsidRPr="00C10B7C">
        <w:rPr>
          <w:rFonts w:cs="Times New Roman"/>
          <w:b/>
          <w:szCs w:val="24"/>
        </w:rPr>
        <w:t>Clause 2 of Schedule 4 (table item 32.1)</w:t>
      </w:r>
    </w:p>
    <w:p w14:paraId="5E935ABE" w14:textId="5AC5CBA2" w:rsidR="00C10B7C" w:rsidRDefault="00C10B7C" w:rsidP="002C695B">
      <w:pPr>
        <w:jc w:val="both"/>
        <w:rPr>
          <w:rFonts w:cs="Times New Roman"/>
          <w:bCs/>
          <w:szCs w:val="24"/>
        </w:rPr>
      </w:pPr>
      <w:r>
        <w:rPr>
          <w:rFonts w:cs="Times New Roman"/>
          <w:bCs/>
          <w:szCs w:val="24"/>
        </w:rPr>
        <w:t>This item removes the restriction on a Senior Judicial Registrar only being able to vary or set aside an order if it was made by a Senior Judicial Registrar or Judicial Registrar.</w:t>
      </w:r>
    </w:p>
    <w:p w14:paraId="3C641167" w14:textId="685773A0" w:rsidR="00C10B7C" w:rsidRDefault="00C10B7C" w:rsidP="002C695B">
      <w:pPr>
        <w:jc w:val="both"/>
        <w:rPr>
          <w:rFonts w:cs="Times New Roman"/>
          <w:b/>
          <w:szCs w:val="24"/>
        </w:rPr>
      </w:pPr>
      <w:r>
        <w:rPr>
          <w:rFonts w:cs="Times New Roman"/>
          <w:b/>
          <w:szCs w:val="24"/>
        </w:rPr>
        <w:t xml:space="preserve">Item 80 </w:t>
      </w:r>
      <w:r w:rsidRPr="00C10B7C">
        <w:rPr>
          <w:rFonts w:cs="Times New Roman"/>
          <w:b/>
          <w:szCs w:val="24"/>
        </w:rPr>
        <w:t>Clause 2 of Schedule 4 (table item 33.1, column 2)</w:t>
      </w:r>
    </w:p>
    <w:p w14:paraId="3669CD4D" w14:textId="3BE00BB6" w:rsidR="00C10B7C" w:rsidRDefault="00C10B7C" w:rsidP="002C695B">
      <w:pPr>
        <w:jc w:val="both"/>
        <w:rPr>
          <w:rFonts w:cs="Times New Roman"/>
          <w:bCs/>
          <w:szCs w:val="24"/>
        </w:rPr>
      </w:pPr>
      <w:r>
        <w:rPr>
          <w:rFonts w:cs="Times New Roman"/>
          <w:bCs/>
          <w:szCs w:val="24"/>
        </w:rPr>
        <w:t>This item corrects an error in table item 33.1, which referred to 1 year instead of 6 months in accordance with rule 10.22.</w:t>
      </w:r>
    </w:p>
    <w:p w14:paraId="0C8638C4" w14:textId="4B8CA927" w:rsidR="00C10B7C" w:rsidRDefault="00C10B7C" w:rsidP="002C695B">
      <w:pPr>
        <w:jc w:val="both"/>
        <w:rPr>
          <w:rFonts w:cs="Times New Roman"/>
          <w:b/>
          <w:szCs w:val="24"/>
        </w:rPr>
      </w:pPr>
      <w:r>
        <w:rPr>
          <w:rFonts w:cs="Times New Roman"/>
          <w:b/>
          <w:szCs w:val="24"/>
        </w:rPr>
        <w:lastRenderedPageBreak/>
        <w:t xml:space="preserve">Item 81 </w:t>
      </w:r>
      <w:r w:rsidRPr="00C10B7C">
        <w:rPr>
          <w:rFonts w:cs="Times New Roman"/>
          <w:b/>
          <w:szCs w:val="24"/>
        </w:rPr>
        <w:t>Clause 2 of Schedule 4 (at the end of the table)</w:t>
      </w:r>
    </w:p>
    <w:p w14:paraId="1185AE84" w14:textId="7FBE0EAD" w:rsidR="00C10B7C" w:rsidRPr="00C10B7C" w:rsidRDefault="00C10B7C" w:rsidP="002C695B">
      <w:pPr>
        <w:jc w:val="both"/>
        <w:rPr>
          <w:rFonts w:cs="Times New Roman"/>
          <w:bCs/>
          <w:szCs w:val="24"/>
        </w:rPr>
      </w:pPr>
      <w:r>
        <w:rPr>
          <w:rFonts w:cs="Times New Roman"/>
          <w:bCs/>
          <w:szCs w:val="24"/>
        </w:rPr>
        <w:t>This item delegates power to Senior Judicial Registrars and Judicial Registrars t</w:t>
      </w:r>
      <w:r w:rsidRPr="00C10B7C">
        <w:rPr>
          <w:rFonts w:cs="Times New Roman"/>
          <w:bCs/>
          <w:szCs w:val="24"/>
        </w:rPr>
        <w:t>o give a direction about, or approve, a communication to the public of an account of proceedings or a list of proceedings</w:t>
      </w:r>
      <w:r>
        <w:rPr>
          <w:rFonts w:cs="Times New Roman"/>
          <w:bCs/>
          <w:szCs w:val="24"/>
        </w:rPr>
        <w:t xml:space="preserve">. </w:t>
      </w:r>
    </w:p>
    <w:sectPr w:rsidR="00C10B7C" w:rsidRPr="00C10B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C200C"/>
    <w:multiLevelType w:val="hybridMultilevel"/>
    <w:tmpl w:val="61A2EE1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4FFE7E78"/>
    <w:multiLevelType w:val="hybridMultilevel"/>
    <w:tmpl w:val="1C6E14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1F204D4"/>
    <w:multiLevelType w:val="hybridMultilevel"/>
    <w:tmpl w:val="EC5623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DBD308C"/>
    <w:multiLevelType w:val="hybridMultilevel"/>
    <w:tmpl w:val="71B25C0C"/>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num w:numId="1" w16cid:durableId="1454250920">
    <w:abstractNumId w:val="3"/>
  </w:num>
  <w:num w:numId="2" w16cid:durableId="1855610976">
    <w:abstractNumId w:val="0"/>
  </w:num>
  <w:num w:numId="3" w16cid:durableId="955018084">
    <w:abstractNumId w:val="2"/>
  </w:num>
  <w:num w:numId="4" w16cid:durableId="6447034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618"/>
    <w:rsid w:val="0005283E"/>
    <w:rsid w:val="000839BB"/>
    <w:rsid w:val="00093172"/>
    <w:rsid w:val="000C252C"/>
    <w:rsid w:val="000E6CA8"/>
    <w:rsid w:val="000F2666"/>
    <w:rsid w:val="0010629B"/>
    <w:rsid w:val="001423C1"/>
    <w:rsid w:val="002B0EA1"/>
    <w:rsid w:val="002C695B"/>
    <w:rsid w:val="002E77AB"/>
    <w:rsid w:val="00390986"/>
    <w:rsid w:val="003E3779"/>
    <w:rsid w:val="003F200F"/>
    <w:rsid w:val="00443179"/>
    <w:rsid w:val="00452036"/>
    <w:rsid w:val="00473618"/>
    <w:rsid w:val="00495082"/>
    <w:rsid w:val="004B7131"/>
    <w:rsid w:val="004F08D2"/>
    <w:rsid w:val="005068C4"/>
    <w:rsid w:val="0054010C"/>
    <w:rsid w:val="005478CE"/>
    <w:rsid w:val="005B2DD9"/>
    <w:rsid w:val="005D57B0"/>
    <w:rsid w:val="005E240E"/>
    <w:rsid w:val="00607179"/>
    <w:rsid w:val="00613D3F"/>
    <w:rsid w:val="00627451"/>
    <w:rsid w:val="00745CCA"/>
    <w:rsid w:val="00766ECE"/>
    <w:rsid w:val="007A027D"/>
    <w:rsid w:val="007D729E"/>
    <w:rsid w:val="007E055A"/>
    <w:rsid w:val="007F336A"/>
    <w:rsid w:val="00831A15"/>
    <w:rsid w:val="00846C28"/>
    <w:rsid w:val="008D77D5"/>
    <w:rsid w:val="00916F57"/>
    <w:rsid w:val="009768F8"/>
    <w:rsid w:val="009E5FB8"/>
    <w:rsid w:val="00A35CD2"/>
    <w:rsid w:val="00A6746E"/>
    <w:rsid w:val="00AD19EB"/>
    <w:rsid w:val="00AF542A"/>
    <w:rsid w:val="00B571FB"/>
    <w:rsid w:val="00B82AC8"/>
    <w:rsid w:val="00C10B7C"/>
    <w:rsid w:val="00C15889"/>
    <w:rsid w:val="00C34550"/>
    <w:rsid w:val="00C86C31"/>
    <w:rsid w:val="00C9045F"/>
    <w:rsid w:val="00C93A35"/>
    <w:rsid w:val="00E11D8E"/>
    <w:rsid w:val="00E41D4D"/>
    <w:rsid w:val="00E44E2D"/>
    <w:rsid w:val="00E76357"/>
    <w:rsid w:val="00EB7D7E"/>
    <w:rsid w:val="00EE6A70"/>
    <w:rsid w:val="00EE7DD8"/>
    <w:rsid w:val="00F57671"/>
    <w:rsid w:val="00F57B07"/>
    <w:rsid w:val="00FE77A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E599D"/>
  <w15:chartTrackingRefBased/>
  <w15:docId w15:val="{25E1EA95-AEA9-4953-A5C0-3FD75B31E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618"/>
    <w:pPr>
      <w:spacing w:line="288"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List Paragraph1,List Paragraph11,CV text,Table text,F5 List Paragraph,Dot pt,List Paragraph111,Medium Grid 1 - Accent 21,List Paragraph2,NFP GP Bulleted List,FooterText,numbered,Paragraphe de liste1,列出段,List Bullet Cab"/>
    <w:basedOn w:val="Normal"/>
    <w:link w:val="ListParagraphChar"/>
    <w:uiPriority w:val="34"/>
    <w:qFormat/>
    <w:rsid w:val="00AF542A"/>
    <w:pPr>
      <w:ind w:left="720"/>
      <w:contextualSpacing/>
    </w:pPr>
  </w:style>
  <w:style w:type="character" w:customStyle="1" w:styleId="ListParagraphChar">
    <w:name w:val="List Paragraph Char"/>
    <w:aliases w:val="Recommendation Char,L Char,List Paragraph1 Char,List Paragraph11 Char,CV text Char,Table text Char,F5 List Paragraph Char,Dot pt Char,List Paragraph111 Char,Medium Grid 1 - Accent 21 Char,List Paragraph2 Char,FooterText Char,列出段 Char"/>
    <w:link w:val="ListParagraph"/>
    <w:uiPriority w:val="34"/>
    <w:qFormat/>
    <w:locked/>
    <w:rsid w:val="00AF542A"/>
    <w:rPr>
      <w:rFonts w:ascii="Times New Roman" w:hAnsi="Times New Roman"/>
      <w:sz w:val="24"/>
    </w:rPr>
  </w:style>
  <w:style w:type="paragraph" w:styleId="Revision">
    <w:name w:val="Revision"/>
    <w:hidden/>
    <w:uiPriority w:val="99"/>
    <w:semiHidden/>
    <w:rsid w:val="00443179"/>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7058FB-8293-4CDA-903E-B266E5A7D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14</Pages>
  <Words>3817</Words>
  <Characters>21759</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Federal Court of Australia</Company>
  <LinksUpToDate>false</LinksUpToDate>
  <CharactersWithSpaces>25525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Di Carlo</dc:creator>
  <cp:keywords/>
  <dc:description/>
  <cp:lastModifiedBy>Jordan Di Carlo</cp:lastModifiedBy>
  <cp:revision>12</cp:revision>
  <dcterms:created xsi:type="dcterms:W3CDTF">2024-04-24T00:00:00Z</dcterms:created>
  <dcterms:modified xsi:type="dcterms:W3CDTF">2024-05-01T23:43:00Z</dcterms:modified>
</cp:coreProperties>
</file>