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964B" w14:textId="77777777" w:rsidR="009A47CC" w:rsidRPr="009A47CC" w:rsidRDefault="009A47CC" w:rsidP="009A47CC">
      <w:pPr>
        <w:jc w:val="center"/>
        <w:textAlignment w:val="baseline"/>
        <w:rPr>
          <w:rFonts w:eastAsia="Times New Roman" w:cs="Arial"/>
          <w:sz w:val="18"/>
          <w:szCs w:val="18"/>
          <w:lang w:val="en-NZ" w:eastAsia="en-NZ"/>
        </w:rPr>
      </w:pPr>
      <w:bookmarkStart w:id="0" w:name="_GoBack"/>
      <w:bookmarkEnd w:id="0"/>
      <w:r w:rsidRPr="009A47CC">
        <w:rPr>
          <w:rFonts w:eastAsia="Times New Roman" w:cs="Arial"/>
          <w:b/>
          <w:bCs/>
          <w:caps/>
          <w:sz w:val="24"/>
          <w:szCs w:val="24"/>
          <w:u w:val="single"/>
          <w:lang w:eastAsia="en-NZ"/>
        </w:rPr>
        <w:t>EXPLANATORY STATEMENT</w:t>
      </w:r>
      <w:r w:rsidRPr="009A47CC">
        <w:rPr>
          <w:rFonts w:eastAsia="Times New Roman" w:cs="Arial"/>
          <w:sz w:val="24"/>
          <w:szCs w:val="24"/>
          <w:lang w:val="en-NZ" w:eastAsia="en-NZ"/>
        </w:rPr>
        <w:t> </w:t>
      </w:r>
    </w:p>
    <w:p w14:paraId="73FAAEDC" w14:textId="77777777" w:rsidR="009A47CC" w:rsidRPr="009A47CC" w:rsidRDefault="009A47CC" w:rsidP="009A47CC">
      <w:pPr>
        <w:textAlignment w:val="baseline"/>
        <w:rPr>
          <w:rFonts w:ascii="Segoe UI" w:eastAsia="Times New Roman" w:hAnsi="Segoe UI" w:cs="Segoe UI"/>
          <w:sz w:val="18"/>
          <w:szCs w:val="18"/>
          <w:lang w:val="en-NZ" w:eastAsia="en-NZ"/>
        </w:rPr>
      </w:pPr>
      <w:r w:rsidRPr="009A47CC">
        <w:rPr>
          <w:rFonts w:ascii="Times New Roman" w:eastAsia="Times New Roman" w:hAnsi="Times New Roman" w:cs="Arial"/>
          <w:sz w:val="24"/>
          <w:szCs w:val="24"/>
          <w:lang w:val="en-NZ" w:eastAsia="en-NZ"/>
        </w:rPr>
        <w:t> </w:t>
      </w:r>
    </w:p>
    <w:p w14:paraId="7313122C" w14:textId="77777777" w:rsidR="009A47CC" w:rsidRPr="009A47CC" w:rsidRDefault="009A47CC" w:rsidP="009A47CC">
      <w:pPr>
        <w:shd w:val="clear" w:color="auto" w:fill="FFFFFF"/>
        <w:jc w:val="center"/>
        <w:textAlignment w:val="baseline"/>
        <w:rPr>
          <w:rFonts w:eastAsia="Times New Roman" w:cs="Arial"/>
          <w:sz w:val="18"/>
          <w:szCs w:val="18"/>
          <w:lang w:val="en-NZ" w:eastAsia="en-NZ"/>
        </w:rPr>
      </w:pPr>
      <w:r w:rsidRPr="009A47CC">
        <w:rPr>
          <w:rFonts w:eastAsia="Times New Roman" w:cs="Arial"/>
          <w:i/>
          <w:iCs/>
          <w:color w:val="000000"/>
          <w:sz w:val="24"/>
          <w:szCs w:val="24"/>
          <w:lang w:val="en-AU" w:eastAsia="en-NZ"/>
        </w:rPr>
        <w:t>Food Standards Australia New Zealand Act 1991</w:t>
      </w:r>
      <w:r w:rsidRPr="009A47CC">
        <w:rPr>
          <w:rFonts w:eastAsia="Times New Roman" w:cs="Arial"/>
          <w:color w:val="000000"/>
          <w:sz w:val="24"/>
          <w:szCs w:val="24"/>
          <w:lang w:val="en-NZ" w:eastAsia="en-NZ"/>
        </w:rPr>
        <w:t> </w:t>
      </w:r>
    </w:p>
    <w:p w14:paraId="3DAD23B0" w14:textId="77777777" w:rsidR="009A47CC" w:rsidRPr="009A47CC" w:rsidRDefault="009A47CC" w:rsidP="009A47CC">
      <w:pPr>
        <w:widowControl w:val="0"/>
        <w:rPr>
          <w:rFonts w:eastAsia="Times New Roman" w:cs="Times New Roman"/>
          <w:szCs w:val="24"/>
        </w:rPr>
      </w:pPr>
    </w:p>
    <w:p w14:paraId="363EDA99" w14:textId="77777777" w:rsidR="009A47CC" w:rsidRPr="009A47CC" w:rsidRDefault="009A47CC" w:rsidP="009A47CC">
      <w:pPr>
        <w:jc w:val="center"/>
        <w:textAlignment w:val="baseline"/>
        <w:rPr>
          <w:rFonts w:eastAsia="Times New Roman" w:cs="Arial"/>
          <w:sz w:val="18"/>
          <w:szCs w:val="18"/>
          <w:lang w:val="en-NZ" w:eastAsia="en-NZ"/>
        </w:rPr>
      </w:pPr>
      <w:r w:rsidRPr="009A47CC">
        <w:rPr>
          <w:rFonts w:eastAsia="Times New Roman" w:cs="Arial"/>
          <w:b/>
          <w:bCs/>
          <w:i/>
          <w:iCs/>
          <w:sz w:val="24"/>
          <w:szCs w:val="24"/>
          <w:lang w:eastAsia="en-NZ"/>
        </w:rPr>
        <w:t>Food Standards (Application A1274 – Food derived from disease-resistant banana line QCAV-4) Variation</w:t>
      </w:r>
      <w:r w:rsidRPr="009A47CC">
        <w:rPr>
          <w:rFonts w:eastAsia="Times New Roman" w:cs="Arial"/>
          <w:b/>
          <w:bCs/>
          <w:i/>
          <w:iCs/>
          <w:sz w:val="20"/>
          <w:szCs w:val="20"/>
          <w:lang w:eastAsia="en-NZ"/>
        </w:rPr>
        <w:t xml:space="preserve"> </w:t>
      </w:r>
      <w:r w:rsidRPr="009A47CC">
        <w:rPr>
          <w:rFonts w:eastAsia="Times New Roman" w:cs="Arial"/>
          <w:sz w:val="20"/>
          <w:szCs w:val="20"/>
          <w:lang w:val="en-NZ" w:eastAsia="en-NZ"/>
        </w:rPr>
        <w:t> </w:t>
      </w:r>
    </w:p>
    <w:p w14:paraId="2454FA3F" w14:textId="77777777" w:rsidR="009A47CC" w:rsidRPr="009A47CC" w:rsidRDefault="009A47CC" w:rsidP="009A47CC">
      <w:pPr>
        <w:textAlignment w:val="baseline"/>
        <w:rPr>
          <w:rFonts w:ascii="Segoe UI" w:eastAsia="Times New Roman" w:hAnsi="Segoe UI" w:cs="Segoe UI"/>
          <w:sz w:val="18"/>
          <w:szCs w:val="18"/>
          <w:lang w:val="en-NZ" w:eastAsia="en-NZ"/>
        </w:rPr>
      </w:pPr>
      <w:r w:rsidRPr="009A47CC">
        <w:rPr>
          <w:rFonts w:ascii="Times New Roman" w:eastAsia="Times New Roman" w:hAnsi="Times New Roman" w:cs="Arial"/>
          <w:sz w:val="24"/>
          <w:szCs w:val="24"/>
          <w:lang w:val="en-NZ" w:eastAsia="en-NZ"/>
        </w:rPr>
        <w:t> </w:t>
      </w:r>
    </w:p>
    <w:p w14:paraId="6B11147B" w14:textId="77777777" w:rsidR="009A47CC" w:rsidRPr="009A47CC" w:rsidRDefault="009A47CC" w:rsidP="009A47CC">
      <w:pPr>
        <w:widowControl w:val="0"/>
        <w:rPr>
          <w:rFonts w:eastAsia="Times New Roman" w:cs="Times New Roman"/>
          <w:b/>
          <w:szCs w:val="24"/>
          <w:lang w:val="en-AU" w:eastAsia="en-GB"/>
        </w:rPr>
      </w:pPr>
      <w:r w:rsidRPr="009A47CC">
        <w:rPr>
          <w:rFonts w:eastAsia="Times New Roman" w:cs="Times New Roman"/>
          <w:b/>
          <w:szCs w:val="24"/>
          <w:lang w:val="en-AU" w:eastAsia="en-GB"/>
        </w:rPr>
        <w:t>1.</w:t>
      </w:r>
      <w:r w:rsidRPr="009A47CC">
        <w:rPr>
          <w:rFonts w:eastAsia="Times New Roman" w:cs="Times New Roman"/>
          <w:b/>
          <w:szCs w:val="24"/>
          <w:lang w:val="en-AU" w:eastAsia="en-GB"/>
        </w:rPr>
        <w:tab/>
        <w:t>Authority</w:t>
      </w:r>
    </w:p>
    <w:p w14:paraId="094BAB79" w14:textId="77777777" w:rsidR="009A47CC" w:rsidRPr="009A47CC" w:rsidRDefault="009A47CC" w:rsidP="009A47CC">
      <w:pPr>
        <w:autoSpaceDE w:val="0"/>
        <w:autoSpaceDN w:val="0"/>
        <w:adjustRightInd w:val="0"/>
        <w:spacing w:before="240"/>
        <w:rPr>
          <w:rFonts w:eastAsia="Calibri" w:cs="Arial"/>
          <w:bCs/>
          <w:lang w:val="en-AU"/>
        </w:rPr>
      </w:pPr>
      <w:r w:rsidRPr="009A47CC">
        <w:rPr>
          <w:rFonts w:eastAsia="Calibri" w:cs="Arial"/>
          <w:bCs/>
          <w:lang w:val="en-AU"/>
        </w:rPr>
        <w:t xml:space="preserve">Section 13 of the </w:t>
      </w:r>
      <w:r w:rsidRPr="009A47CC">
        <w:rPr>
          <w:rFonts w:eastAsia="Calibri" w:cs="Arial"/>
          <w:bCs/>
          <w:i/>
          <w:lang w:val="en-AU"/>
        </w:rPr>
        <w:t>Food Standards Australia New Zealand Act 1991</w:t>
      </w:r>
      <w:r w:rsidRPr="009A47CC">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9A47CC">
        <w:rPr>
          <w:rFonts w:eastAsia="Calibri" w:cs="Arial"/>
          <w:bCs/>
          <w:i/>
          <w:lang w:val="en-AU"/>
        </w:rPr>
        <w:t>Australia New Zealand Food Standards Code</w:t>
      </w:r>
      <w:r w:rsidRPr="009A47CC">
        <w:rPr>
          <w:rFonts w:eastAsia="Calibri" w:cs="Arial"/>
          <w:bCs/>
          <w:lang w:val="en-AU"/>
        </w:rPr>
        <w:t xml:space="preserve"> (the Code).</w:t>
      </w:r>
    </w:p>
    <w:p w14:paraId="36FDECF1" w14:textId="77777777" w:rsidR="009A47CC" w:rsidRPr="009A47CC" w:rsidRDefault="009A47CC" w:rsidP="009A47CC">
      <w:pPr>
        <w:autoSpaceDE w:val="0"/>
        <w:autoSpaceDN w:val="0"/>
        <w:adjustRightInd w:val="0"/>
        <w:spacing w:before="240"/>
        <w:rPr>
          <w:rFonts w:eastAsia="Calibri" w:cs="Arial"/>
          <w:bCs/>
          <w:lang w:val="en-AU"/>
        </w:rPr>
      </w:pPr>
      <w:r w:rsidRPr="009A47CC">
        <w:rPr>
          <w:rFonts w:eastAsia="Calibri" w:cs="Arial"/>
          <w:bCs/>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4677A4EE" w14:textId="77777777" w:rsidR="009A47CC" w:rsidRPr="009A47CC" w:rsidRDefault="009A47CC" w:rsidP="009A47CC">
      <w:pPr>
        <w:autoSpaceDE w:val="0"/>
        <w:autoSpaceDN w:val="0"/>
        <w:adjustRightInd w:val="0"/>
        <w:spacing w:before="240"/>
        <w:rPr>
          <w:rFonts w:eastAsia="Calibri" w:cs="Arial"/>
          <w:bCs/>
          <w:lang w:val="en-AU"/>
        </w:rPr>
      </w:pPr>
      <w:r w:rsidRPr="009A47CC">
        <w:rPr>
          <w:rFonts w:eastAsia="Calibri" w:cs="Arial"/>
          <w:bCs/>
          <w:lang w:val="en-AU"/>
        </w:rPr>
        <w:t xml:space="preserve">The Authority accepted Application A1274 which seeks to amend the Code to </w:t>
      </w:r>
      <w:r w:rsidRPr="009A47CC">
        <w:rPr>
          <w:rFonts w:eastAsia="Times New Roman" w:cs="Times New Roman"/>
          <w:szCs w:val="24"/>
        </w:rPr>
        <w:t xml:space="preserve">permit the sale and use of food derived from a new food produced using gene technology (GM food) - banana line QCAV-4. Banana line QCAV-4 has been genetically modified for resistance to the fungal disease Fusarium wilt tropical race 4 (TR4), also known as Panama disease. </w:t>
      </w:r>
      <w:r w:rsidRPr="009A47CC">
        <w:rPr>
          <w:rFonts w:eastAsia="Calibri" w:cs="Arial"/>
          <w:bCs/>
          <w:lang w:val="en-AU"/>
        </w:rPr>
        <w:t xml:space="preserve">The Authority considered the Application in accordance with Division 1 of Part 3 and has approved a draft variation – the </w:t>
      </w:r>
      <w:r w:rsidRPr="009A47CC">
        <w:rPr>
          <w:rFonts w:eastAsia="Calibri" w:cs="Arial"/>
          <w:bCs/>
          <w:i/>
          <w:iCs/>
          <w:lang w:val="en-AU"/>
        </w:rPr>
        <w:t>Food Standards</w:t>
      </w:r>
      <w:r w:rsidRPr="009A47CC">
        <w:rPr>
          <w:rFonts w:eastAsia="Calibri" w:cs="Arial"/>
          <w:bCs/>
          <w:lang w:val="en-AU"/>
        </w:rPr>
        <w:t xml:space="preserve"> (</w:t>
      </w:r>
      <w:r w:rsidRPr="009A47CC">
        <w:rPr>
          <w:rFonts w:eastAsia="Calibri" w:cs="Arial"/>
          <w:bCs/>
          <w:i/>
          <w:iCs/>
          <w:lang w:val="en-AU"/>
        </w:rPr>
        <w:t>Application A1274 – Food derived from disease-resistant banana line QCAV-4</w:t>
      </w:r>
      <w:r w:rsidRPr="009A47CC">
        <w:rPr>
          <w:rFonts w:eastAsia="Calibri" w:cs="Arial"/>
          <w:bCs/>
          <w:lang w:val="en-AU"/>
        </w:rPr>
        <w:t xml:space="preserve">) </w:t>
      </w:r>
      <w:r w:rsidRPr="009A47CC">
        <w:rPr>
          <w:rFonts w:eastAsia="Calibri" w:cs="Arial"/>
          <w:bCs/>
          <w:i/>
          <w:iCs/>
          <w:lang w:val="en-AU"/>
        </w:rPr>
        <w:t>Variation</w:t>
      </w:r>
      <w:r w:rsidRPr="009A47CC">
        <w:rPr>
          <w:rFonts w:eastAsia="Calibri" w:cs="Arial"/>
          <w:bCs/>
          <w:lang w:val="en-AU"/>
        </w:rPr>
        <w:t>.</w:t>
      </w:r>
    </w:p>
    <w:p w14:paraId="76FF0DF5" w14:textId="77777777" w:rsidR="009A47CC" w:rsidRPr="009A47CC" w:rsidRDefault="009A47CC" w:rsidP="009A47CC">
      <w:pPr>
        <w:autoSpaceDE w:val="0"/>
        <w:autoSpaceDN w:val="0"/>
        <w:adjustRightInd w:val="0"/>
        <w:spacing w:before="240" w:after="240"/>
        <w:rPr>
          <w:rFonts w:eastAsia="Calibri" w:cs="Arial"/>
          <w:bCs/>
          <w:lang w:val="en-AU"/>
        </w:rPr>
      </w:pPr>
      <w:r w:rsidRPr="009A47CC">
        <w:rPr>
          <w:rFonts w:eastAsia="Calibri" w:cs="Arial"/>
          <w:bCs/>
          <w:lang w:val="en-AU"/>
        </w:rPr>
        <w:t xml:space="preserve">Following consideration by the </w:t>
      </w:r>
      <w:r w:rsidRPr="009A47CC">
        <w:rPr>
          <w:rFonts w:eastAsia="Times New Roman" w:cs="Helvetica"/>
          <w:szCs w:val="24"/>
          <w:lang w:val="en-AU" w:bidi="en-US"/>
        </w:rPr>
        <w:t>Food Ministers’ Meeting (FMM)</w:t>
      </w:r>
      <w:r w:rsidRPr="009A47CC">
        <w:rPr>
          <w:rFonts w:eastAsia="Calibri" w:cs="Arial"/>
          <w:bCs/>
          <w:lang w:val="en-AU"/>
        </w:rPr>
        <w:t xml:space="preserve">, section 92 of the FSANZ Act stipulates that the Authority must publish a notice about the approved draft variation. </w:t>
      </w:r>
    </w:p>
    <w:p w14:paraId="31C7657E" w14:textId="77777777" w:rsidR="009A47CC" w:rsidRPr="009A47CC" w:rsidRDefault="009A47CC" w:rsidP="009A47CC">
      <w:pPr>
        <w:widowControl w:val="0"/>
        <w:rPr>
          <w:rFonts w:eastAsia="Times New Roman" w:cs="Times New Roman"/>
          <w:b/>
          <w:szCs w:val="24"/>
          <w:lang w:val="en-AU" w:eastAsia="en-GB"/>
        </w:rPr>
      </w:pPr>
      <w:r w:rsidRPr="009A47CC">
        <w:rPr>
          <w:rFonts w:eastAsia="Times New Roman" w:cs="Times New Roman"/>
          <w:b/>
          <w:szCs w:val="24"/>
          <w:lang w:val="en-AU" w:eastAsia="en-GB"/>
        </w:rPr>
        <w:t>2.</w:t>
      </w:r>
      <w:r w:rsidRPr="009A47CC">
        <w:rPr>
          <w:rFonts w:eastAsia="Times New Roman" w:cs="Times New Roman"/>
          <w:b/>
          <w:szCs w:val="24"/>
          <w:lang w:val="en-AU" w:eastAsia="en-GB"/>
        </w:rPr>
        <w:tab/>
        <w:t>Variation is a legislative instrument</w:t>
      </w:r>
    </w:p>
    <w:p w14:paraId="498D656B" w14:textId="77777777" w:rsidR="009A47CC" w:rsidRPr="009A47CC" w:rsidRDefault="009A47CC" w:rsidP="009A47CC">
      <w:pPr>
        <w:widowControl w:val="0"/>
        <w:spacing w:before="240"/>
        <w:rPr>
          <w:rFonts w:eastAsia="Times New Roman" w:cs="Arial"/>
        </w:rPr>
      </w:pPr>
      <w:r w:rsidRPr="009A47CC">
        <w:rPr>
          <w:rFonts w:eastAsia="Times New Roman" w:cs="Arial"/>
          <w:szCs w:val="24"/>
          <w:lang w:bidi="en-US"/>
        </w:rPr>
        <w:t xml:space="preserve">The approved draft variation is a legislative instrument for the purposes of the </w:t>
      </w:r>
      <w:r w:rsidRPr="009A47CC">
        <w:rPr>
          <w:rFonts w:eastAsia="Times New Roman" w:cs="Arial"/>
          <w:i/>
          <w:iCs/>
          <w:szCs w:val="24"/>
          <w:lang w:bidi="en-US"/>
        </w:rPr>
        <w:t>Legislation Act 2003</w:t>
      </w:r>
      <w:r w:rsidRPr="009A47CC">
        <w:rPr>
          <w:rFonts w:eastAsia="Times New Roman" w:cs="Arial"/>
          <w:szCs w:val="24"/>
          <w:lang w:bidi="en-US"/>
        </w:rPr>
        <w:t xml:space="preserve"> (see section 94 of the FSANZ Act) and is publicly available on the Federal Register of Legislation (</w:t>
      </w:r>
      <w:hyperlink r:id="rId8" w:history="1">
        <w:r w:rsidRPr="009A47CC">
          <w:rPr>
            <w:rFonts w:eastAsia="Times New Roman" w:cs="Arial"/>
            <w:color w:val="3333FF"/>
            <w:szCs w:val="24"/>
            <w:u w:val="single"/>
            <w:lang w:bidi="en-US"/>
          </w:rPr>
          <w:t>www.legislation.gov.au</w:t>
        </w:r>
      </w:hyperlink>
      <w:r w:rsidRPr="009A47CC">
        <w:rPr>
          <w:rFonts w:eastAsia="Times New Roman" w:cs="Arial"/>
          <w:szCs w:val="24"/>
          <w:lang w:bidi="en-US"/>
        </w:rPr>
        <w:t>).</w:t>
      </w:r>
    </w:p>
    <w:p w14:paraId="5078A11F" w14:textId="77777777" w:rsidR="009A47CC" w:rsidRPr="009A47CC" w:rsidRDefault="009A47CC" w:rsidP="009A47CC">
      <w:pPr>
        <w:widowControl w:val="0"/>
        <w:spacing w:before="240"/>
        <w:rPr>
          <w:rFonts w:eastAsia="Times New Roman" w:cs="Arial"/>
          <w:szCs w:val="24"/>
          <w:lang w:bidi="en-US"/>
        </w:rPr>
      </w:pPr>
      <w:r w:rsidRPr="009A47CC">
        <w:rPr>
          <w:rFonts w:eastAsia="Times New Roman" w:cs="Arial"/>
          <w:szCs w:val="24"/>
          <w:lang w:bidi="en-US"/>
        </w:rPr>
        <w:t xml:space="preserve">This instrument is not subject to the disallowance or sunsetting provisions of the </w:t>
      </w:r>
      <w:r w:rsidRPr="009A47CC">
        <w:rPr>
          <w:rFonts w:eastAsia="Times New Roman" w:cs="Arial"/>
          <w:i/>
          <w:iCs/>
          <w:szCs w:val="24"/>
          <w:lang w:bidi="en-US"/>
        </w:rPr>
        <w:t xml:space="preserve">Legislation Act 2003. </w:t>
      </w:r>
      <w:r w:rsidRPr="009A47CC">
        <w:rPr>
          <w:rFonts w:eastAsia="Times New Roman" w:cs="Arial"/>
          <w:szCs w:val="24"/>
          <w:lang w:bidi="en-US"/>
        </w:rPr>
        <w:t>Subsections</w:t>
      </w:r>
      <w:r w:rsidRPr="009A47CC">
        <w:rPr>
          <w:rFonts w:eastAsia="Times New Roman" w:cs="Arial"/>
          <w:i/>
          <w:iCs/>
          <w:szCs w:val="24"/>
          <w:lang w:bidi="en-US"/>
        </w:rPr>
        <w:t xml:space="preserve"> </w:t>
      </w:r>
      <w:r w:rsidRPr="009A47CC">
        <w:rPr>
          <w:rFonts w:eastAsia="Times New Roman" w:cs="Arial"/>
          <w:szCs w:val="24"/>
          <w:lang w:bidi="en-US"/>
        </w:rPr>
        <w:t>44(1) and 54(1) of that Act</w:t>
      </w:r>
      <w:r w:rsidRPr="009A47CC">
        <w:rPr>
          <w:rFonts w:eastAsia="Times New Roman" w:cs="Arial"/>
          <w:i/>
          <w:iCs/>
          <w:szCs w:val="24"/>
          <w:lang w:bidi="en-US"/>
        </w:rPr>
        <w:t xml:space="preserve"> </w:t>
      </w:r>
      <w:r w:rsidRPr="009A47CC">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9A47CC">
        <w:rPr>
          <w:rFonts w:eastAsia="Times New Roman" w:cs="Arial"/>
          <w:i/>
          <w:iCs/>
          <w:szCs w:val="24"/>
          <w:lang w:bidi="en-US"/>
        </w:rPr>
        <w:t>Legislation (Exemptions and other Matters) Regulation 2015</w:t>
      </w:r>
      <w:r w:rsidRPr="009A47CC">
        <w:rPr>
          <w:rFonts w:eastAsia="Times New Roman" w:cs="Arial"/>
          <w:szCs w:val="24"/>
          <w:lang w:bidi="en-US"/>
        </w:rPr>
        <w:t xml:space="preserve"> </w:t>
      </w:r>
      <w:r w:rsidRPr="009A47CC">
        <w:rPr>
          <w:rFonts w:eastAsia="Times New Roman" w:cs="Arial"/>
          <w:szCs w:val="24"/>
          <w:lang w:val="en" w:bidi="en-US"/>
        </w:rPr>
        <w:t xml:space="preserve">also exempts from sunsetting legislative instruments </w:t>
      </w:r>
      <w:r w:rsidRPr="009A47CC">
        <w:rPr>
          <w:rFonts w:eastAsia="Times New Roman" w:cs="Arial"/>
          <w:szCs w:val="24"/>
          <w:shd w:val="clear" w:color="auto" w:fill="FFFFFF"/>
          <w:lang w:bidi="en-US"/>
        </w:rPr>
        <w:t xml:space="preserve">a primary purpose of which is to </w:t>
      </w:r>
      <w:r w:rsidRPr="009A47CC">
        <w:rPr>
          <w:rFonts w:eastAsia="Times New Roman" w:cs="Arial"/>
          <w:szCs w:val="24"/>
          <w:lang w:bidi="en-US"/>
        </w:rPr>
        <w:t>give effect to an international obligation of Australia.</w:t>
      </w:r>
    </w:p>
    <w:p w14:paraId="3ECA07A4" w14:textId="77777777" w:rsidR="009A47CC" w:rsidRPr="009A47CC" w:rsidRDefault="009A47CC" w:rsidP="009A47CC">
      <w:pPr>
        <w:widowControl w:val="0"/>
        <w:spacing w:before="240" w:after="240"/>
        <w:rPr>
          <w:rFonts w:eastAsia="Times New Roman" w:cs="Times New Roman"/>
          <w:b/>
          <w:szCs w:val="24"/>
          <w:lang w:val="en-AU" w:eastAsia="en-GB"/>
        </w:rPr>
      </w:pPr>
      <w:r w:rsidRPr="009A47CC">
        <w:rPr>
          <w:rFonts w:eastAsia="Times New Roman" w:cs="Arial"/>
          <w:szCs w:val="24"/>
          <w:lang w:bidi="en-US"/>
        </w:rPr>
        <w:t xml:space="preserve">The </w:t>
      </w:r>
      <w:r w:rsidRPr="009A47CC">
        <w:rPr>
          <w:rFonts w:eastAsia="Times New Roman" w:cs="Arial"/>
          <w:szCs w:val="24"/>
          <w:lang w:val="en-AU" w:bidi="en-US"/>
        </w:rPr>
        <w:t>FSANZ Act</w:t>
      </w:r>
      <w:r w:rsidRPr="009A47CC">
        <w:rPr>
          <w:rFonts w:eastAsia="Times New Roman" w:cs="Arial"/>
          <w:i/>
          <w:iCs/>
          <w:szCs w:val="24"/>
          <w:lang w:val="en-AU" w:bidi="en-US"/>
        </w:rPr>
        <w:t xml:space="preserve"> </w:t>
      </w:r>
      <w:r w:rsidRPr="009A47CC">
        <w:rPr>
          <w:rFonts w:eastAsia="Times New Roman" w:cs="Arial"/>
          <w:szCs w:val="24"/>
          <w:lang w:val="en-AU" w:bidi="en-US"/>
        </w:rPr>
        <w:t xml:space="preserve">gives effect to </w:t>
      </w:r>
      <w:r w:rsidRPr="009A47CC">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9A47CC">
        <w:rPr>
          <w:rFonts w:eastAsia="Times New Roman" w:cs="Arial"/>
          <w:szCs w:val="24"/>
          <w:lang w:val="en-AU" w:bidi="en-US"/>
        </w:rPr>
        <w:t>That Act also</w:t>
      </w:r>
      <w:r w:rsidRPr="009A47CC">
        <w:rPr>
          <w:rFonts w:eastAsia="Times New Roman" w:cs="Arial"/>
          <w:i/>
          <w:iCs/>
          <w:szCs w:val="24"/>
          <w:lang w:val="en-AU" w:bidi="en-US"/>
        </w:rPr>
        <w:t xml:space="preserve"> </w:t>
      </w:r>
      <w:r w:rsidRPr="009A47CC">
        <w:rPr>
          <w:rFonts w:eastAsia="Times New Roman" w:cs="Arial"/>
          <w:szCs w:val="24"/>
          <w:lang w:val="en-AU" w:bidi="en-US"/>
        </w:rPr>
        <w:t xml:space="preserve">gives effect to Australia’s obligations under an international agreement between Australia and New Zealand. For these purposes, the Act </w:t>
      </w:r>
      <w:r w:rsidRPr="009A47CC">
        <w:rPr>
          <w:rFonts w:eastAsia="Times New Roman" w:cs="Arial"/>
          <w:szCs w:val="24"/>
          <w:lang w:bidi="en-US"/>
        </w:rPr>
        <w:t xml:space="preserve">establishes the Authority to </w:t>
      </w:r>
      <w:r w:rsidRPr="009A47CC">
        <w:rPr>
          <w:rFonts w:eastAsia="Times New Roman" w:cs="Arial"/>
          <w:szCs w:val="24"/>
          <w:lang w:val="en-AU" w:bidi="en-US"/>
        </w:rPr>
        <w:t xml:space="preserve">develop food standards </w:t>
      </w:r>
      <w:r w:rsidRPr="009A47CC">
        <w:rPr>
          <w:rFonts w:eastAsia="Times New Roman" w:cs="Arial"/>
          <w:szCs w:val="24"/>
          <w:lang w:bidi="en-US"/>
        </w:rPr>
        <w:t xml:space="preserve">for consideration and endorsement by the FMM. The FMM is established under the Food Regulation Agreement and the </w:t>
      </w:r>
      <w:r w:rsidRPr="009A47CC">
        <w:rPr>
          <w:rFonts w:eastAsia="Times New Roman" w:cs="Arial"/>
          <w:szCs w:val="24"/>
          <w:lang w:val="en-AU" w:bidi="en-US"/>
        </w:rPr>
        <w:t>international agreement between Australia and New Zealand</w:t>
      </w:r>
      <w:r w:rsidRPr="009A47CC">
        <w:rPr>
          <w:rFonts w:eastAsia="Times New Roman" w:cs="Arial"/>
          <w:szCs w:val="24"/>
          <w:lang w:bidi="en-US"/>
        </w:rPr>
        <w:t xml:space="preserve">, and consists of New Zealand, Commonwealth and State/Territory members. If endorsed by the FMM, </w:t>
      </w:r>
      <w:r w:rsidRPr="009A47CC">
        <w:rPr>
          <w:rFonts w:eastAsia="Times New Roman" w:cs="Arial"/>
          <w:szCs w:val="24"/>
          <w:lang w:val="en-AU" w:bidi="en-US"/>
        </w:rPr>
        <w:t xml:space="preserve">the food standards on gazettal and registration are incorporated into and become part of Commonwealth, State </w:t>
      </w:r>
      <w:r w:rsidRPr="009A47CC">
        <w:rPr>
          <w:rFonts w:eastAsia="Times New Roman" w:cs="Arial"/>
          <w:szCs w:val="24"/>
          <w:lang w:val="en-AU" w:bidi="en-US"/>
        </w:rPr>
        <w:lastRenderedPageBreak/>
        <w:t>and Territory and New Zealand food laws. These standards or instruments are then administered, applied and enforced by these jurisdictions’ regulators as part of those food laws.</w:t>
      </w:r>
    </w:p>
    <w:p w14:paraId="6793EF33" w14:textId="77777777" w:rsidR="009A47CC" w:rsidRPr="009A47CC" w:rsidRDefault="009A47CC" w:rsidP="009A47CC">
      <w:pPr>
        <w:widowControl w:val="0"/>
        <w:rPr>
          <w:rFonts w:eastAsia="Times New Roman" w:cs="Times New Roman"/>
          <w:b/>
          <w:szCs w:val="24"/>
          <w:lang w:val="en-AU" w:eastAsia="en-GB"/>
        </w:rPr>
      </w:pPr>
      <w:r w:rsidRPr="009A47CC">
        <w:rPr>
          <w:rFonts w:eastAsia="Times New Roman" w:cs="Times New Roman"/>
          <w:b/>
          <w:szCs w:val="24"/>
          <w:lang w:val="en-AU" w:eastAsia="en-GB"/>
        </w:rPr>
        <w:t>3.</w:t>
      </w:r>
      <w:r w:rsidRPr="009A47CC">
        <w:rPr>
          <w:rFonts w:eastAsia="Times New Roman" w:cs="Times New Roman"/>
          <w:b/>
          <w:szCs w:val="24"/>
          <w:lang w:val="en-AU" w:eastAsia="en-GB"/>
        </w:rPr>
        <w:tab/>
        <w:t xml:space="preserve">Purpose </w:t>
      </w:r>
    </w:p>
    <w:p w14:paraId="314C6274" w14:textId="77777777" w:rsidR="009A47CC" w:rsidRPr="009A47CC" w:rsidRDefault="009A47CC" w:rsidP="009A47CC">
      <w:pPr>
        <w:widowControl w:val="0"/>
        <w:spacing w:before="240"/>
        <w:rPr>
          <w:rFonts w:eastAsia="Times New Roman" w:cs="Times New Roman"/>
          <w:szCs w:val="24"/>
          <w:lang w:val="en-AU" w:eastAsia="en-GB"/>
        </w:rPr>
      </w:pPr>
      <w:r w:rsidRPr="009A47CC">
        <w:rPr>
          <w:rFonts w:eastAsia="Times New Roman" w:cs="Times New Roman"/>
          <w:szCs w:val="24"/>
          <w:lang w:val="en-AU" w:eastAsia="en-GB"/>
        </w:rPr>
        <w:t>The Authority has approved the draft variation to amend Schedule 26 and Standard 1.2.1 of the Code for the following purposes:</w:t>
      </w:r>
    </w:p>
    <w:p w14:paraId="5A69B755" w14:textId="77777777" w:rsidR="009A47CC" w:rsidRPr="009A47CC" w:rsidRDefault="009A47CC" w:rsidP="009A47CC">
      <w:pPr>
        <w:widowControl w:val="0"/>
        <w:numPr>
          <w:ilvl w:val="0"/>
          <w:numId w:val="14"/>
        </w:numPr>
        <w:spacing w:before="240"/>
        <w:contextualSpacing/>
        <w:rPr>
          <w:rFonts w:eastAsia="Times New Roman" w:cs="Times New Roman"/>
          <w:szCs w:val="24"/>
          <w:lang w:val="en-AU" w:eastAsia="en-GB"/>
        </w:rPr>
      </w:pPr>
      <w:r w:rsidRPr="009A47CC">
        <w:rPr>
          <w:rFonts w:eastAsia="Times New Roman" w:cs="Times New Roman"/>
          <w:szCs w:val="24"/>
          <w:lang w:val="en-AU" w:eastAsia="en-GB"/>
        </w:rPr>
        <w:t>to permit the sale and use of food derived from a new GM food – banana line QCAV-4, in accordance with the Code (banana line QCAV-4 has been genetically modified for resistance to the fungal disease Fusarium wilt tropical race 4 (TR4), also known as Panama disease); and</w:t>
      </w:r>
    </w:p>
    <w:p w14:paraId="24AB24C0" w14:textId="77777777" w:rsidR="009A47CC" w:rsidRPr="009A47CC" w:rsidRDefault="009A47CC" w:rsidP="009A47CC">
      <w:pPr>
        <w:widowControl w:val="0"/>
        <w:numPr>
          <w:ilvl w:val="0"/>
          <w:numId w:val="14"/>
        </w:numPr>
        <w:spacing w:before="240" w:after="240"/>
        <w:contextualSpacing/>
        <w:rPr>
          <w:rFonts w:eastAsia="Times New Roman" w:cs="Times New Roman"/>
          <w:szCs w:val="24"/>
          <w:lang w:val="en-AU" w:eastAsia="en-GB"/>
        </w:rPr>
      </w:pPr>
      <w:r w:rsidRPr="009A47CC">
        <w:rPr>
          <w:rFonts w:eastAsia="Times New Roman" w:cs="Times New Roman"/>
          <w:szCs w:val="24"/>
          <w:lang w:bidi="en-US"/>
        </w:rPr>
        <w:t>to require that information about GM food be provided in accordance with sections 1.5.2—4 and 1.2.1—9 where whole or cut fresh fruit and vegetables (other than seed sprouts or similar products), e.g. fresh whole and cut bananas from this banana line, are sold in a package that does not obscure the nature or quality of the food.</w:t>
      </w:r>
    </w:p>
    <w:p w14:paraId="54ADB0AA" w14:textId="77777777" w:rsidR="009A47CC" w:rsidRPr="009A47CC" w:rsidRDefault="009A47CC" w:rsidP="009A47CC">
      <w:pPr>
        <w:widowControl w:val="0"/>
        <w:rPr>
          <w:rFonts w:eastAsia="Times New Roman" w:cs="Times New Roman"/>
          <w:b/>
          <w:szCs w:val="24"/>
          <w:lang w:val="en-AU" w:eastAsia="en-GB"/>
        </w:rPr>
      </w:pPr>
      <w:r w:rsidRPr="009A47CC">
        <w:rPr>
          <w:rFonts w:eastAsia="Times New Roman" w:cs="Times New Roman"/>
          <w:b/>
          <w:szCs w:val="24"/>
          <w:lang w:val="en-AU" w:eastAsia="en-GB"/>
        </w:rPr>
        <w:t>4.</w:t>
      </w:r>
      <w:r w:rsidRPr="009A47CC">
        <w:rPr>
          <w:rFonts w:eastAsia="Times New Roman" w:cs="Times New Roman"/>
          <w:b/>
          <w:szCs w:val="24"/>
          <w:lang w:val="en-AU" w:eastAsia="en-GB"/>
        </w:rPr>
        <w:tab/>
        <w:t>Documents incorporated by reference</w:t>
      </w:r>
    </w:p>
    <w:p w14:paraId="265F5E93" w14:textId="77777777" w:rsidR="009A47CC" w:rsidRPr="009A47CC" w:rsidRDefault="009A47CC" w:rsidP="009A47CC">
      <w:pPr>
        <w:autoSpaceDE w:val="0"/>
        <w:autoSpaceDN w:val="0"/>
        <w:adjustRightInd w:val="0"/>
        <w:spacing w:before="240" w:after="240"/>
        <w:rPr>
          <w:rFonts w:eastAsia="Calibri" w:cs="Arial"/>
          <w:bCs/>
          <w:lang w:val="en-AU"/>
        </w:rPr>
      </w:pPr>
      <w:r w:rsidRPr="009A47CC">
        <w:rPr>
          <w:rFonts w:eastAsia="Calibri" w:cs="Arial"/>
          <w:bCs/>
          <w:lang w:val="en-AU"/>
        </w:rPr>
        <w:t>The approved draft variation does not incorporate any documents by reference.</w:t>
      </w:r>
    </w:p>
    <w:p w14:paraId="33BBE7B3" w14:textId="77777777" w:rsidR="009A47CC" w:rsidRPr="009A47CC" w:rsidRDefault="009A47CC" w:rsidP="009A47CC">
      <w:pPr>
        <w:widowControl w:val="0"/>
        <w:rPr>
          <w:rFonts w:eastAsia="Times New Roman" w:cs="Times New Roman"/>
          <w:b/>
          <w:szCs w:val="24"/>
          <w:lang w:val="en-AU" w:eastAsia="en-GB"/>
        </w:rPr>
      </w:pPr>
      <w:r w:rsidRPr="009A47CC">
        <w:rPr>
          <w:rFonts w:eastAsia="Times New Roman" w:cs="Times New Roman"/>
          <w:b/>
          <w:szCs w:val="24"/>
          <w:lang w:val="en-AU" w:eastAsia="en-GB"/>
        </w:rPr>
        <w:t>5.</w:t>
      </w:r>
      <w:r w:rsidRPr="009A47CC">
        <w:rPr>
          <w:rFonts w:eastAsia="Times New Roman" w:cs="Times New Roman"/>
          <w:b/>
          <w:szCs w:val="24"/>
          <w:lang w:val="en-AU" w:eastAsia="en-GB"/>
        </w:rPr>
        <w:tab/>
        <w:t>Consultation</w:t>
      </w:r>
    </w:p>
    <w:p w14:paraId="4AB47DA4" w14:textId="77777777" w:rsidR="009A47CC" w:rsidRPr="009A47CC" w:rsidRDefault="009A47CC" w:rsidP="009A47CC">
      <w:pPr>
        <w:widowControl w:val="0"/>
        <w:spacing w:before="240"/>
        <w:rPr>
          <w:rFonts w:eastAsia="Times New Roman" w:cs="Times New Roman"/>
          <w:lang w:bidi="en-US"/>
        </w:rPr>
      </w:pPr>
      <w:r w:rsidRPr="009A47CC">
        <w:rPr>
          <w:rFonts w:eastAsia="Times New Roman" w:cs="Times New Roman"/>
          <w:lang w:bidi="en-US"/>
        </w:rPr>
        <w:t xml:space="preserve">In accordance with the procedure in Division 1 of Part 3 of the FSANZ Act, </w:t>
      </w:r>
      <w:r w:rsidRPr="009A47CC">
        <w:rPr>
          <w:rFonts w:eastAsia="Calibri" w:cs="Arial"/>
          <w:bCs/>
          <w:lang w:val="en-AU"/>
        </w:rPr>
        <w:t>the Authority</w:t>
      </w:r>
      <w:r w:rsidRPr="009A47CC">
        <w:rPr>
          <w:rFonts w:eastAsia="Times New Roman" w:cs="Times New Roman"/>
          <w:lang w:bidi="en-US"/>
        </w:rPr>
        <w:t xml:space="preserve">’s consideration of application A1274 included one round of public consultation following an assessment and the preparation of a draft variation and associated report. Submissions were called for on 25 September 2023 for a six-week consultation period. </w:t>
      </w:r>
    </w:p>
    <w:p w14:paraId="0944DE97" w14:textId="77777777" w:rsidR="009A47CC" w:rsidRPr="009A47CC" w:rsidRDefault="009A47CC" w:rsidP="009A47CC">
      <w:pPr>
        <w:widowControl w:val="0"/>
        <w:spacing w:before="240"/>
        <w:rPr>
          <w:rFonts w:eastAsia="Times New Roman" w:cs="Times New Roman"/>
          <w:szCs w:val="24"/>
          <w:lang w:bidi="en-US"/>
        </w:rPr>
      </w:pPr>
      <w:r w:rsidRPr="009A47CC">
        <w:rPr>
          <w:rFonts w:eastAsia="Times New Roman" w:cs="Times New Roman"/>
          <w:szCs w:val="24"/>
          <w:lang w:bidi="en-US"/>
        </w:rPr>
        <w:t>Changes have been made to the Impact Analysis requirements by the Office of Impact Analysis (OIA)</w:t>
      </w:r>
      <w:r w:rsidRPr="009A47CC">
        <w:rPr>
          <w:rFonts w:eastAsia="Times New Roman" w:cs="Times New Roman"/>
          <w:szCs w:val="24"/>
          <w:vertAlign w:val="superscript"/>
          <w:lang w:bidi="en-US"/>
        </w:rPr>
        <w:t xml:space="preserve"> </w:t>
      </w:r>
      <w:r w:rsidRPr="009A47CC">
        <w:rPr>
          <w:rFonts w:eastAsia="Times New Roman" w:cs="Times New Roman"/>
          <w:szCs w:val="24"/>
          <w:vertAlign w:val="superscript"/>
          <w:lang w:bidi="en-US"/>
        </w:rPr>
        <w:footnoteReference w:id="1"/>
      </w:r>
      <w:r w:rsidRPr="009A47CC">
        <w:rPr>
          <w:rFonts w:eastAsia="Times New Roman" w:cs="Times New Roman"/>
          <w:szCs w:val="24"/>
          <w:lang w:bidi="en-US"/>
        </w:rPr>
        <w:t>. Impact analysis is no longer required to be finalised with the OIA. Prior to these changes, the OIA advised FSANZ that a Regulatory Impact Statement was not required for applications relating to GM foods. This is because applications relating to permitting the use of GM foods that have been determined to be safe are considered to be minor and deregulatory in nature, as the use of the GM food will be voluntary if the draft variation related to the application is approved. Under the new approach, FSANZ’s assessment is that a regulatory impact statement is not required for this application.</w:t>
      </w:r>
    </w:p>
    <w:p w14:paraId="321BEA73" w14:textId="77777777" w:rsidR="009A47CC" w:rsidRPr="009A47CC" w:rsidRDefault="009A47CC" w:rsidP="009A47CC">
      <w:pPr>
        <w:spacing w:before="240"/>
        <w:rPr>
          <w:rFonts w:eastAsia="Calibri" w:cs="Arial"/>
          <w:b/>
          <w:bCs/>
          <w:lang w:val="en-AU"/>
        </w:rPr>
      </w:pPr>
      <w:r w:rsidRPr="009A47CC">
        <w:rPr>
          <w:rFonts w:eastAsia="Calibri" w:cs="Arial"/>
          <w:b/>
          <w:bCs/>
          <w:lang w:val="en-AU"/>
        </w:rPr>
        <w:t>6.</w:t>
      </w:r>
      <w:r w:rsidRPr="009A47CC">
        <w:rPr>
          <w:rFonts w:eastAsia="Calibri" w:cs="Arial"/>
          <w:b/>
          <w:bCs/>
          <w:lang w:val="en-AU"/>
        </w:rPr>
        <w:tab/>
        <w:t>Statement of compatibility with human rights</w:t>
      </w:r>
    </w:p>
    <w:p w14:paraId="73FDFBF7" w14:textId="77777777" w:rsidR="009A47CC" w:rsidRPr="009A47CC" w:rsidRDefault="009A47CC" w:rsidP="009A47CC">
      <w:pPr>
        <w:widowControl w:val="0"/>
        <w:spacing w:before="240" w:after="240"/>
        <w:rPr>
          <w:rFonts w:eastAsia="Calibri" w:cs="Times New Roman"/>
          <w:szCs w:val="24"/>
          <w:lang w:val="en-AU"/>
        </w:rPr>
      </w:pPr>
      <w:r w:rsidRPr="009A47CC">
        <w:rPr>
          <w:rFonts w:eastAsia="Calibri" w:cs="Times New Roman"/>
          <w:szCs w:val="24"/>
          <w:lang w:val="en-AU"/>
        </w:rPr>
        <w:t xml:space="preserve">This instrument is exempt from the requirements for a statement of compatibility with human rights as it is a non-disallowable instrument under section 44 of the </w:t>
      </w:r>
      <w:r w:rsidRPr="009A47CC">
        <w:rPr>
          <w:rFonts w:eastAsia="Calibri" w:cs="Times New Roman"/>
          <w:i/>
          <w:szCs w:val="24"/>
          <w:lang w:val="en-AU"/>
        </w:rPr>
        <w:t>Legislation Act 2003</w:t>
      </w:r>
      <w:r w:rsidRPr="009A47CC">
        <w:rPr>
          <w:rFonts w:eastAsia="Calibri" w:cs="Times New Roman"/>
          <w:szCs w:val="24"/>
          <w:lang w:val="en-AU"/>
        </w:rPr>
        <w:t>.</w:t>
      </w:r>
    </w:p>
    <w:p w14:paraId="71B829CA" w14:textId="77777777" w:rsidR="009A47CC" w:rsidRPr="009A47CC" w:rsidRDefault="009A47CC" w:rsidP="009A47CC">
      <w:pPr>
        <w:widowControl w:val="0"/>
        <w:rPr>
          <w:rFonts w:eastAsia="Times New Roman" w:cs="Times New Roman"/>
          <w:b/>
          <w:szCs w:val="24"/>
          <w:lang w:val="en-AU" w:eastAsia="en-GB"/>
        </w:rPr>
      </w:pPr>
      <w:r w:rsidRPr="009A47CC">
        <w:rPr>
          <w:rFonts w:eastAsia="Times New Roman" w:cs="Times New Roman"/>
          <w:b/>
          <w:szCs w:val="24"/>
          <w:lang w:bidi="en-US"/>
        </w:rPr>
        <w:t>7.</w:t>
      </w:r>
      <w:r w:rsidRPr="009A47CC">
        <w:rPr>
          <w:rFonts w:eastAsia="Times New Roman" w:cs="Times New Roman"/>
          <w:b/>
          <w:szCs w:val="24"/>
          <w:lang w:bidi="en-US"/>
        </w:rPr>
        <w:tab/>
      </w:r>
      <w:r w:rsidRPr="009A47CC">
        <w:rPr>
          <w:rFonts w:eastAsia="Times New Roman" w:cs="Times New Roman"/>
          <w:b/>
          <w:szCs w:val="24"/>
          <w:lang w:val="en-AU" w:eastAsia="en-GB"/>
        </w:rPr>
        <w:t>Variation</w:t>
      </w:r>
    </w:p>
    <w:p w14:paraId="41281C59" w14:textId="77777777" w:rsidR="009A47CC" w:rsidRPr="009A47CC" w:rsidRDefault="009A47CC" w:rsidP="009A47CC">
      <w:pPr>
        <w:widowControl w:val="0"/>
        <w:spacing w:before="240" w:after="240"/>
        <w:rPr>
          <w:rFonts w:eastAsia="Times New Roman" w:cs="Times New Roman"/>
          <w:szCs w:val="24"/>
          <w:lang w:bidi="en-US"/>
        </w:rPr>
      </w:pPr>
      <w:r w:rsidRPr="009A47CC">
        <w:rPr>
          <w:rFonts w:eastAsia="Times New Roman" w:cs="Times New Roman"/>
          <w:szCs w:val="24"/>
          <w:lang w:bidi="en-US"/>
        </w:rPr>
        <w:t xml:space="preserve">Clause 1 of the variation provides that the name of the variation is the </w:t>
      </w:r>
      <w:r w:rsidRPr="009A47CC">
        <w:rPr>
          <w:rFonts w:eastAsia="Times New Roman" w:cs="Times New Roman"/>
          <w:i/>
          <w:iCs/>
          <w:szCs w:val="24"/>
          <w:lang w:bidi="en-US"/>
        </w:rPr>
        <w:t>Food Standards</w:t>
      </w:r>
      <w:r w:rsidRPr="009A47CC">
        <w:rPr>
          <w:rFonts w:eastAsia="Times New Roman" w:cs="Times New Roman"/>
          <w:szCs w:val="24"/>
          <w:lang w:bidi="en-US"/>
        </w:rPr>
        <w:t xml:space="preserve"> </w:t>
      </w:r>
      <w:r w:rsidRPr="009A47CC">
        <w:rPr>
          <w:rFonts w:eastAsia="Times New Roman" w:cs="Times New Roman"/>
          <w:i/>
          <w:iCs/>
          <w:szCs w:val="24"/>
          <w:lang w:bidi="en-US"/>
        </w:rPr>
        <w:t>(Application A1274 – Food derived from disease-resistant banana line QCAV-4) Variation</w:t>
      </w:r>
      <w:r w:rsidRPr="009A47CC">
        <w:rPr>
          <w:rFonts w:eastAsia="Times New Roman" w:cs="Times New Roman"/>
          <w:szCs w:val="24"/>
          <w:lang w:bidi="en-US"/>
        </w:rPr>
        <w:t>.</w:t>
      </w:r>
    </w:p>
    <w:p w14:paraId="3AD466D0" w14:textId="77777777" w:rsidR="009A47CC" w:rsidRPr="009A47CC" w:rsidRDefault="009A47CC" w:rsidP="009A47CC">
      <w:pPr>
        <w:widowControl w:val="0"/>
        <w:spacing w:before="240" w:after="240"/>
        <w:rPr>
          <w:rFonts w:eastAsia="Times New Roman" w:cs="Times New Roman"/>
          <w:szCs w:val="24"/>
          <w:lang w:bidi="en-US"/>
        </w:rPr>
      </w:pPr>
      <w:r w:rsidRPr="009A47CC">
        <w:rPr>
          <w:rFonts w:eastAsia="Times New Roman" w:cs="Times New Roman"/>
          <w:szCs w:val="24"/>
          <w:lang w:bidi="en-US"/>
        </w:rPr>
        <w:t>Clause 2 of the variation provides that the Code is amended by the Schedule to the variation.</w:t>
      </w:r>
    </w:p>
    <w:p w14:paraId="0179034C" w14:textId="77777777" w:rsidR="009A47CC" w:rsidRPr="009A47CC" w:rsidRDefault="009A47CC" w:rsidP="009A47CC">
      <w:pPr>
        <w:widowControl w:val="0"/>
        <w:spacing w:before="240"/>
        <w:rPr>
          <w:rFonts w:eastAsia="Times New Roman" w:cs="Times New Roman"/>
          <w:b/>
          <w:bCs/>
          <w:iCs/>
          <w:szCs w:val="24"/>
          <w:lang w:bidi="en-US"/>
        </w:rPr>
      </w:pPr>
      <w:r w:rsidRPr="009A47CC">
        <w:rPr>
          <w:rFonts w:eastAsia="Times New Roman" w:cs="Times New Roman"/>
          <w:szCs w:val="24"/>
          <w:lang w:bidi="en-US"/>
        </w:rPr>
        <w:t>Clause 3 of the variation provides that the variation will commence on the date of gazettal of the instrument.</w:t>
      </w:r>
    </w:p>
    <w:p w14:paraId="1A8023E6" w14:textId="77777777" w:rsidR="009A47CC" w:rsidRPr="009A47CC" w:rsidRDefault="009A47CC" w:rsidP="009A47CC">
      <w:pPr>
        <w:widowControl w:val="0"/>
        <w:spacing w:before="240"/>
        <w:rPr>
          <w:rFonts w:eastAsia="Times New Roman" w:cs="Times New Roman"/>
          <w:b/>
          <w:bCs/>
          <w:i/>
          <w:szCs w:val="24"/>
          <w:lang w:bidi="en-US"/>
        </w:rPr>
      </w:pPr>
      <w:r w:rsidRPr="009A47CC">
        <w:rPr>
          <w:rFonts w:eastAsia="Times New Roman" w:cs="Times New Roman"/>
          <w:b/>
          <w:bCs/>
          <w:i/>
          <w:szCs w:val="24"/>
          <w:lang w:bidi="en-US"/>
        </w:rPr>
        <w:t>Item [1]</w:t>
      </w:r>
    </w:p>
    <w:p w14:paraId="40EDE541" w14:textId="77777777" w:rsidR="009A47CC" w:rsidRPr="009A47CC" w:rsidRDefault="009A47CC" w:rsidP="009A47CC">
      <w:pPr>
        <w:widowControl w:val="0"/>
        <w:spacing w:before="240" w:after="240"/>
        <w:rPr>
          <w:rFonts w:eastAsia="Times New Roman" w:cs="Times New Roman"/>
          <w:iCs/>
          <w:szCs w:val="24"/>
          <w:lang w:bidi="en-US"/>
        </w:rPr>
      </w:pPr>
      <w:r w:rsidRPr="009A47CC">
        <w:rPr>
          <w:rFonts w:eastAsia="Times New Roman" w:cs="Times New Roman"/>
          <w:iCs/>
          <w:szCs w:val="24"/>
          <w:lang w:bidi="en-US"/>
        </w:rPr>
        <w:lastRenderedPageBreak/>
        <w:t xml:space="preserve">Item [1] of the Schedule </w:t>
      </w:r>
      <w:r w:rsidRPr="009A47CC">
        <w:rPr>
          <w:rFonts w:eastAsia="Times New Roman" w:cs="Times New Roman"/>
          <w:szCs w:val="24"/>
          <w:lang w:bidi="en-US"/>
        </w:rPr>
        <w:t xml:space="preserve">to the variation amends </w:t>
      </w:r>
      <w:r w:rsidRPr="009A47CC">
        <w:rPr>
          <w:rFonts w:eastAsia="Times New Roman" w:cs="Times New Roman"/>
          <w:iCs/>
          <w:szCs w:val="24"/>
          <w:lang w:bidi="en-US"/>
        </w:rPr>
        <w:t>Standard 1.2.1 of the Code by inserting, in alphabetical order, the following new paragraph (</w:t>
      </w:r>
      <w:proofErr w:type="spellStart"/>
      <w:r w:rsidRPr="009A47CC">
        <w:rPr>
          <w:rFonts w:eastAsia="Times New Roman" w:cs="Times New Roman"/>
          <w:iCs/>
          <w:szCs w:val="24"/>
          <w:lang w:bidi="en-US"/>
        </w:rPr>
        <w:t>ba</w:t>
      </w:r>
      <w:proofErr w:type="spellEnd"/>
      <w:r w:rsidRPr="009A47CC">
        <w:rPr>
          <w:rFonts w:eastAsia="Times New Roman" w:cs="Times New Roman"/>
          <w:iCs/>
          <w:szCs w:val="24"/>
          <w:lang w:bidi="en-US"/>
        </w:rPr>
        <w:t>) into subsection 1.2.1—9(3):</w:t>
      </w:r>
    </w:p>
    <w:p w14:paraId="0180C486" w14:textId="77777777" w:rsidR="009A47CC" w:rsidRPr="009A47CC" w:rsidRDefault="009A47CC" w:rsidP="009A47CC">
      <w:pPr>
        <w:ind w:left="561" w:hanging="561"/>
        <w:textAlignment w:val="baseline"/>
        <w:rPr>
          <w:rFonts w:eastAsia="Times New Roman" w:cs="Arial"/>
          <w:sz w:val="18"/>
          <w:szCs w:val="18"/>
          <w:lang w:val="en-NZ" w:eastAsia="en-NZ"/>
        </w:rPr>
      </w:pPr>
      <w:r w:rsidRPr="009A47CC">
        <w:rPr>
          <w:rFonts w:eastAsia="Times New Roman" w:cs="Arial"/>
          <w:lang w:eastAsia="en-NZ"/>
        </w:rPr>
        <w:t>“(</w:t>
      </w:r>
      <w:proofErr w:type="spellStart"/>
      <w:r w:rsidRPr="009A47CC">
        <w:rPr>
          <w:rFonts w:eastAsia="Times New Roman" w:cs="Arial"/>
          <w:lang w:eastAsia="en-NZ"/>
        </w:rPr>
        <w:t>ba</w:t>
      </w:r>
      <w:proofErr w:type="spellEnd"/>
      <w:r w:rsidRPr="009A47CC">
        <w:rPr>
          <w:rFonts w:eastAsia="Times New Roman" w:cs="Arial"/>
          <w:lang w:eastAsia="en-NZ"/>
        </w:rPr>
        <w:t>)</w:t>
      </w:r>
      <w:r w:rsidRPr="009A47CC">
        <w:rPr>
          <w:rFonts w:eastAsia="Times New Roman" w:cs="Arial"/>
          <w:lang w:val="en-NZ" w:eastAsia="en-NZ"/>
        </w:rPr>
        <w:tab/>
      </w:r>
      <w:r w:rsidRPr="009A47CC">
        <w:rPr>
          <w:rFonts w:eastAsia="Times New Roman" w:cs="Arial"/>
          <w:lang w:eastAsia="en-NZ"/>
        </w:rPr>
        <w:t>for a food referred to in paragraph 1.2.1—6(1)(c)—information relating to foods produced using gene technology (see section 1.5.2—4);”</w:t>
      </w:r>
      <w:r w:rsidRPr="009A47CC">
        <w:rPr>
          <w:rFonts w:eastAsia="Times New Roman" w:cs="Arial"/>
          <w:lang w:val="en-NZ" w:eastAsia="en-NZ"/>
        </w:rPr>
        <w:t> </w:t>
      </w:r>
    </w:p>
    <w:p w14:paraId="43FFF2A4" w14:textId="77777777" w:rsidR="009A47CC" w:rsidRPr="009A47CC" w:rsidRDefault="009A47CC" w:rsidP="009A47CC">
      <w:pPr>
        <w:widowControl w:val="0"/>
        <w:spacing w:before="240"/>
        <w:rPr>
          <w:rFonts w:eastAsia="Times New Roman" w:cs="Times New Roman"/>
          <w:iCs/>
          <w:szCs w:val="24"/>
          <w:lang w:bidi="en-US"/>
        </w:rPr>
      </w:pPr>
      <w:r w:rsidRPr="009A47CC">
        <w:rPr>
          <w:rFonts w:eastAsia="Times New Roman" w:cs="Times New Roman"/>
          <w:iCs/>
          <w:szCs w:val="24"/>
          <w:lang w:bidi="en-US"/>
        </w:rPr>
        <w:t xml:space="preserve">The effect of this amendment will be to require that information about GM food be provided in accordance with sections 1.5.2—4 and 1.2.1—9 where whole or cut fresh fruit and vegetables (other than seed sprouts or similar products), e.g. fresh whole and cut bananas from this banana line, are sold in a package that does not obscure the nature or quality of the food. </w:t>
      </w:r>
    </w:p>
    <w:p w14:paraId="4D0C4CA1" w14:textId="77777777" w:rsidR="009A47CC" w:rsidRPr="009A47CC" w:rsidRDefault="009A47CC" w:rsidP="009A47CC">
      <w:pPr>
        <w:widowControl w:val="0"/>
        <w:spacing w:before="240"/>
        <w:rPr>
          <w:rFonts w:eastAsia="Times New Roman" w:cs="Times New Roman"/>
          <w:iCs/>
          <w:szCs w:val="24"/>
          <w:lang w:bidi="en-US"/>
        </w:rPr>
      </w:pPr>
      <w:r w:rsidRPr="009A47CC">
        <w:rPr>
          <w:rFonts w:eastAsia="Times New Roman" w:cs="Times New Roman"/>
          <w:iCs/>
          <w:szCs w:val="24"/>
          <w:lang w:bidi="en-US"/>
        </w:rPr>
        <w:t>This amendment is consequential to the amendment in item [2] of the variation (see below).</w:t>
      </w:r>
    </w:p>
    <w:p w14:paraId="6BE493A1" w14:textId="77777777" w:rsidR="009A47CC" w:rsidRPr="009A47CC" w:rsidRDefault="009A47CC" w:rsidP="009A47CC">
      <w:pPr>
        <w:widowControl w:val="0"/>
        <w:spacing w:before="240"/>
        <w:rPr>
          <w:rFonts w:eastAsia="Times New Roman" w:cs="Times New Roman"/>
          <w:b/>
          <w:bCs/>
          <w:i/>
          <w:szCs w:val="24"/>
          <w:lang w:bidi="en-US"/>
        </w:rPr>
      </w:pPr>
      <w:r w:rsidRPr="009A47CC">
        <w:rPr>
          <w:rFonts w:eastAsia="Times New Roman" w:cs="Times New Roman"/>
          <w:b/>
          <w:bCs/>
          <w:i/>
          <w:szCs w:val="24"/>
          <w:lang w:bidi="en-US"/>
        </w:rPr>
        <w:t>[Item 2]</w:t>
      </w:r>
    </w:p>
    <w:p w14:paraId="3B006AD8" w14:textId="77777777" w:rsidR="009A47CC" w:rsidRPr="009A47CC" w:rsidRDefault="009A47CC" w:rsidP="009A47CC">
      <w:pPr>
        <w:widowControl w:val="0"/>
        <w:spacing w:before="240"/>
        <w:rPr>
          <w:rFonts w:eastAsia="Times New Roman" w:cs="Times New Roman"/>
          <w:szCs w:val="20"/>
          <w:lang w:bidi="en-US"/>
        </w:rPr>
      </w:pPr>
      <w:r w:rsidRPr="009A47CC">
        <w:rPr>
          <w:rFonts w:eastAsia="Times New Roman" w:cs="Times New Roman"/>
          <w:iCs/>
          <w:szCs w:val="24"/>
          <w:lang w:bidi="en-US"/>
        </w:rPr>
        <w:t xml:space="preserve">Item [2] of the Schedule </w:t>
      </w:r>
      <w:r w:rsidRPr="009A47CC">
        <w:rPr>
          <w:rFonts w:eastAsia="Times New Roman" w:cs="Times New Roman"/>
          <w:szCs w:val="24"/>
          <w:lang w:bidi="en-US"/>
        </w:rPr>
        <w:t xml:space="preserve">to the variation amends Schedule 26 of the Code by adding new item 11 at the end of the table to </w:t>
      </w:r>
      <w:r w:rsidRPr="009A47CC">
        <w:rPr>
          <w:rFonts w:eastAsia="Times New Roman" w:cs="Times New Roman"/>
          <w:iCs/>
          <w:szCs w:val="24"/>
          <w:lang w:bidi="en-US"/>
        </w:rPr>
        <w:t xml:space="preserve">subsection </w:t>
      </w:r>
      <w:r w:rsidRPr="009A47CC">
        <w:rPr>
          <w:rFonts w:eastAsia="Times New Roman" w:cs="Times New Roman"/>
          <w:szCs w:val="24"/>
          <w:lang w:bidi="en-US"/>
        </w:rPr>
        <w:t>S26—3</w:t>
      </w:r>
      <w:r w:rsidRPr="009A47CC">
        <w:rPr>
          <w:rFonts w:eastAsia="Times New Roman" w:cs="Times New Roman"/>
          <w:szCs w:val="20"/>
          <w:lang w:bidi="en-US"/>
        </w:rPr>
        <w:t>(4).</w:t>
      </w:r>
    </w:p>
    <w:p w14:paraId="1A0FB4EA" w14:textId="77777777" w:rsidR="009A47CC" w:rsidRPr="009A47CC" w:rsidRDefault="009A47CC" w:rsidP="009A47CC">
      <w:pPr>
        <w:widowControl w:val="0"/>
        <w:spacing w:before="240" w:after="240"/>
        <w:rPr>
          <w:rFonts w:eastAsia="Times New Roman" w:cs="Times New Roman"/>
          <w:szCs w:val="24"/>
          <w:lang w:bidi="en-US"/>
        </w:rPr>
      </w:pPr>
      <w:r w:rsidRPr="009A47CC">
        <w:rPr>
          <w:rFonts w:eastAsia="Times New Roman" w:cs="Times New Roman"/>
          <w:szCs w:val="24"/>
          <w:lang w:bidi="en-US"/>
        </w:rPr>
        <w:t>The table to subsection S26—3(4) lists permitted GM food of plant origin.</w:t>
      </w:r>
    </w:p>
    <w:p w14:paraId="679C43AE" w14:textId="77777777" w:rsidR="009A47CC" w:rsidRPr="009A47CC" w:rsidRDefault="009A47CC" w:rsidP="009A47CC">
      <w:pPr>
        <w:widowControl w:val="0"/>
        <w:spacing w:before="240" w:after="240"/>
        <w:rPr>
          <w:rFonts w:eastAsia="Times New Roman" w:cs="Times New Roman"/>
          <w:szCs w:val="24"/>
          <w:lang w:bidi="en-US"/>
        </w:rPr>
      </w:pPr>
      <w:r w:rsidRPr="009A47CC">
        <w:rPr>
          <w:rFonts w:eastAsia="Times New Roman" w:cs="Times New Roman"/>
          <w:szCs w:val="24"/>
          <w:lang w:bidi="en-US"/>
        </w:rPr>
        <w:t>New item 11 consists of the following entries:</w:t>
      </w:r>
    </w:p>
    <w:p w14:paraId="70DD5FC5" w14:textId="77777777" w:rsidR="009A47CC" w:rsidRPr="009A47CC" w:rsidRDefault="009A47CC" w:rsidP="009A47CC">
      <w:pPr>
        <w:widowControl w:val="0"/>
        <w:numPr>
          <w:ilvl w:val="0"/>
          <w:numId w:val="15"/>
        </w:numPr>
        <w:spacing w:before="240" w:after="240"/>
        <w:contextualSpacing/>
        <w:rPr>
          <w:rFonts w:eastAsia="Times New Roman" w:cs="Times New Roman"/>
          <w:szCs w:val="24"/>
          <w:lang w:bidi="en-US"/>
        </w:rPr>
      </w:pPr>
      <w:r w:rsidRPr="009A47CC">
        <w:rPr>
          <w:rFonts w:eastAsia="Times New Roman" w:cs="Times New Roman"/>
          <w:szCs w:val="24"/>
          <w:lang w:bidi="en-US"/>
        </w:rPr>
        <w:t>column 1 (‘</w:t>
      </w:r>
      <w:r w:rsidRPr="009A47CC">
        <w:rPr>
          <w:rFonts w:eastAsia="Times New Roman" w:cs="Times New Roman"/>
          <w:b/>
          <w:bCs/>
          <w:i/>
          <w:iCs/>
          <w:szCs w:val="24"/>
          <w:lang w:bidi="en-US"/>
        </w:rPr>
        <w:t>Commodity</w:t>
      </w:r>
      <w:r w:rsidRPr="009A47CC">
        <w:rPr>
          <w:rFonts w:eastAsia="Times New Roman" w:cs="Times New Roman"/>
          <w:szCs w:val="24"/>
          <w:lang w:bidi="en-US"/>
        </w:rPr>
        <w:t>’) – references to ‘11’ as the new item number and ‘Banana’ as the new commodity; and</w:t>
      </w:r>
    </w:p>
    <w:p w14:paraId="77B0088A" w14:textId="77777777" w:rsidR="009A47CC" w:rsidRPr="009A47CC" w:rsidRDefault="009A47CC" w:rsidP="009A47CC">
      <w:pPr>
        <w:widowControl w:val="0"/>
        <w:numPr>
          <w:ilvl w:val="0"/>
          <w:numId w:val="15"/>
        </w:numPr>
        <w:spacing w:before="240" w:after="240"/>
        <w:contextualSpacing/>
        <w:rPr>
          <w:rFonts w:eastAsia="Times New Roman" w:cs="Times New Roman"/>
          <w:szCs w:val="24"/>
          <w:lang w:val="en-AU" w:bidi="en-US"/>
        </w:rPr>
      </w:pPr>
      <w:r w:rsidRPr="009A47CC">
        <w:rPr>
          <w:rFonts w:eastAsia="Times New Roman" w:cs="Times New Roman"/>
          <w:szCs w:val="24"/>
          <w:lang w:bidi="en-US"/>
        </w:rPr>
        <w:t>column 2 (‘</w:t>
      </w:r>
      <w:r w:rsidRPr="009A47CC">
        <w:rPr>
          <w:rFonts w:eastAsia="Times New Roman" w:cs="Times New Roman"/>
          <w:b/>
          <w:bCs/>
          <w:i/>
          <w:iCs/>
          <w:szCs w:val="24"/>
          <w:lang w:bidi="en-US"/>
        </w:rPr>
        <w:t>Food derived from</w:t>
      </w:r>
      <w:r w:rsidRPr="009A47CC">
        <w:rPr>
          <w:rFonts w:eastAsia="Times New Roman" w:cs="Times New Roman"/>
          <w:szCs w:val="24"/>
          <w:lang w:bidi="en-US"/>
        </w:rPr>
        <w:t>’)</w:t>
      </w:r>
      <w:r w:rsidRPr="009A47CC">
        <w:rPr>
          <w:rFonts w:eastAsia="Times New Roman" w:cs="Times New Roman"/>
          <w:b/>
          <w:bCs/>
          <w:szCs w:val="24"/>
          <w:lang w:bidi="en-US"/>
        </w:rPr>
        <w:t xml:space="preserve"> </w:t>
      </w:r>
      <w:r w:rsidRPr="009A47CC">
        <w:rPr>
          <w:rFonts w:eastAsia="Times New Roman" w:cs="Times New Roman"/>
          <w:szCs w:val="24"/>
          <w:lang w:bidi="en-US"/>
        </w:rPr>
        <w:t xml:space="preserve">– a reference to ‘(a) disease-resistant banana line QCAV-4’ as a permitted GM food. </w:t>
      </w:r>
    </w:p>
    <w:p w14:paraId="37449FA1" w14:textId="77777777" w:rsidR="009A47CC" w:rsidRPr="009A47CC" w:rsidRDefault="009A47CC" w:rsidP="009A47CC">
      <w:pPr>
        <w:widowControl w:val="0"/>
        <w:spacing w:before="240" w:after="240"/>
        <w:rPr>
          <w:rFonts w:eastAsia="Times New Roman" w:cs="Times New Roman"/>
          <w:szCs w:val="24"/>
          <w:lang w:val="en-AU" w:bidi="en-US"/>
        </w:rPr>
      </w:pPr>
      <w:r w:rsidRPr="009A47CC">
        <w:rPr>
          <w:rFonts w:eastAsia="Times New Roman" w:cs="Times New Roman"/>
          <w:szCs w:val="24"/>
          <w:lang w:val="en-AU" w:bidi="en-US"/>
        </w:rPr>
        <w:t>The effect of this amendment is to permit the sale and use of food derived from banana line QCAV-4 in accordance with the Code.</w:t>
      </w:r>
    </w:p>
    <w:p w14:paraId="0BF74AD1" w14:textId="77777777" w:rsidR="00D5526B" w:rsidRPr="003A01FB" w:rsidRDefault="00D5526B" w:rsidP="003A01FB"/>
    <w:sectPr w:rsidR="00D5526B" w:rsidRPr="003A01FB" w:rsidSect="00617DFB">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EAFB" w14:textId="77777777" w:rsidR="009A47CC" w:rsidRDefault="009A47CC" w:rsidP="009A47CC">
      <w:r>
        <w:separator/>
      </w:r>
    </w:p>
  </w:endnote>
  <w:endnote w:type="continuationSeparator" w:id="0">
    <w:p w14:paraId="4FEABA1E" w14:textId="77777777" w:rsidR="009A47CC" w:rsidRDefault="009A47CC" w:rsidP="009A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6CFD" w14:textId="77777777" w:rsidR="009A47CC" w:rsidRDefault="009A47CC" w:rsidP="009A47CC">
      <w:r>
        <w:separator/>
      </w:r>
    </w:p>
  </w:footnote>
  <w:footnote w:type="continuationSeparator" w:id="0">
    <w:p w14:paraId="31F1ED33" w14:textId="77777777" w:rsidR="009A47CC" w:rsidRDefault="009A47CC" w:rsidP="009A47CC">
      <w:r>
        <w:continuationSeparator/>
      </w:r>
    </w:p>
  </w:footnote>
  <w:footnote w:id="1">
    <w:p w14:paraId="5EACA2F3" w14:textId="77777777" w:rsidR="009A47CC" w:rsidRPr="002D2809" w:rsidRDefault="009A47CC" w:rsidP="009A47CC">
      <w:pPr>
        <w:pStyle w:val="FootnoteText"/>
        <w:rPr>
          <w:lang w:val="en-US"/>
        </w:rPr>
      </w:pPr>
      <w:r>
        <w:rPr>
          <w:rStyle w:val="FootnoteReference"/>
        </w:rPr>
        <w:footnoteRef/>
      </w:r>
      <w:r>
        <w:t xml:space="preserve"> </w:t>
      </w:r>
      <w:hyperlink r:id="rId1" w:history="1">
        <w:r w:rsidRPr="006463EF">
          <w:rPr>
            <w:rStyle w:val="Hyperlink"/>
            <w:szCs w:val="18"/>
          </w:rPr>
          <w:t>Regulatory Impact Analysis Guide for Ministers’ Meetings and National Standard Setting Bodies | The Office of Impact Analysis (pmc.gov.au)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1F50FC2"/>
    <w:multiLevelType w:val="hybridMultilevel"/>
    <w:tmpl w:val="CADE5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91F3B7F"/>
    <w:multiLevelType w:val="hybridMultilevel"/>
    <w:tmpl w:val="4B904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030648132">
    <w:abstractNumId w:val="0"/>
  </w:num>
  <w:num w:numId="2" w16cid:durableId="292752323">
    <w:abstractNumId w:val="0"/>
  </w:num>
  <w:num w:numId="3" w16cid:durableId="1859343959">
    <w:abstractNumId w:val="0"/>
  </w:num>
  <w:num w:numId="4" w16cid:durableId="484710137">
    <w:abstractNumId w:val="0"/>
  </w:num>
  <w:num w:numId="5" w16cid:durableId="2007513285">
    <w:abstractNumId w:val="0"/>
  </w:num>
  <w:num w:numId="6" w16cid:durableId="1180048486">
    <w:abstractNumId w:val="0"/>
  </w:num>
  <w:num w:numId="7" w16cid:durableId="1508595713">
    <w:abstractNumId w:val="0"/>
  </w:num>
  <w:num w:numId="8" w16cid:durableId="1480028729">
    <w:abstractNumId w:val="5"/>
  </w:num>
  <w:num w:numId="9" w16cid:durableId="2094815692">
    <w:abstractNumId w:val="2"/>
  </w:num>
  <w:num w:numId="10" w16cid:durableId="580452679">
    <w:abstractNumId w:val="3"/>
  </w:num>
  <w:num w:numId="11" w16cid:durableId="86079294">
    <w:abstractNumId w:val="5"/>
  </w:num>
  <w:num w:numId="12" w16cid:durableId="1765806948">
    <w:abstractNumId w:val="2"/>
  </w:num>
  <w:num w:numId="13" w16cid:durableId="1422337609">
    <w:abstractNumId w:val="3"/>
  </w:num>
  <w:num w:numId="14" w16cid:durableId="300503790">
    <w:abstractNumId w:val="1"/>
  </w:num>
  <w:num w:numId="15" w16cid:durableId="761990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79"/>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44879"/>
    <w:rsid w:val="006B6900"/>
    <w:rsid w:val="006D473E"/>
    <w:rsid w:val="007201F8"/>
    <w:rsid w:val="00793DE6"/>
    <w:rsid w:val="007F6456"/>
    <w:rsid w:val="00830393"/>
    <w:rsid w:val="00833D5A"/>
    <w:rsid w:val="00860EE7"/>
    <w:rsid w:val="00877A81"/>
    <w:rsid w:val="008931F6"/>
    <w:rsid w:val="008E2339"/>
    <w:rsid w:val="00935023"/>
    <w:rsid w:val="009806A5"/>
    <w:rsid w:val="009A47CC"/>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E75A9"/>
  <w15:chartTrackingRefBased/>
  <w15:docId w15:val="{2007AD4A-C884-42C0-B2D9-BA93B630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Hyperlink">
    <w:name w:val="Hyperlink"/>
    <w:basedOn w:val="DefaultParagraphFont"/>
    <w:uiPriority w:val="99"/>
    <w:rsid w:val="009A47CC"/>
    <w:rPr>
      <w:color w:val="3333FF"/>
      <w:u w:val="single"/>
    </w:rPr>
  </w:style>
  <w:style w:type="character" w:styleId="FootnoteReference">
    <w:name w:val="footnote reference"/>
    <w:basedOn w:val="DefaultParagraphFont"/>
    <w:rsid w:val="009A47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au"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s://oia.pmc.gov.au/resources/guidance-impact-analysis/regulatory-impact-analysis-guide-ministers-meetings-an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1d26056e38933490155d3e4fb9e9c98e">
  <xsd:schema xmlns:xsd="http://www.w3.org/2001/XMLSchema" xmlns:xs="http://www.w3.org/2001/XMLSchema" xmlns:p="http://schemas.microsoft.com/office/2006/metadata/properties" xmlns:ns2="0e0bee33-077a-46d4-80d5-abd1b3a3b85b" targetNamespace="http://schemas.microsoft.com/office/2006/metadata/properties" ma:root="true" ma:fieldsID="c4b4c259f7d5c25d814874e6a78ae7d6"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1</Value>
      <Value>27</Value>
    </TaxCatchAll>
  </documentManagement>
</p:properties>
</file>

<file path=customXml/itemProps1.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2.xml><?xml version="1.0" encoding="utf-8"?>
<ds:datastoreItem xmlns:ds="http://schemas.openxmlformats.org/officeDocument/2006/customXml" ds:itemID="{4DA9767C-7D46-463E-BC42-1F48EBA0A15B}"/>
</file>

<file path=customXml/itemProps3.xml><?xml version="1.0" encoding="utf-8"?>
<ds:datastoreItem xmlns:ds="http://schemas.openxmlformats.org/officeDocument/2006/customXml" ds:itemID="{774D1466-5288-4C51-9931-F839856B8C05}"/>
</file>

<file path=customXml/itemProps4.xml><?xml version="1.0" encoding="utf-8"?>
<ds:datastoreItem xmlns:ds="http://schemas.openxmlformats.org/officeDocument/2006/customXml" ds:itemID="{26F2462D-DCC5-4722-AAEC-69B507D4FB8E}"/>
</file>

<file path=customXml/itemProps5.xml><?xml version="1.0" encoding="utf-8"?>
<ds:datastoreItem xmlns:ds="http://schemas.openxmlformats.org/officeDocument/2006/customXml" ds:itemID="{9F55905F-2AF9-4381-96B4-ACB40ADBE8B8}"/>
</file>

<file path=docProps/app.xml><?xml version="1.0" encoding="utf-8"?>
<Properties xmlns="http://schemas.openxmlformats.org/officeDocument/2006/extended-properties" xmlns:vt="http://schemas.openxmlformats.org/officeDocument/2006/docPropsVTypes">
  <Template>Normal</Template>
  <TotalTime>1</TotalTime>
  <Pages>3</Pages>
  <Words>1185</Words>
  <Characters>6275</Characters>
  <Application>Microsoft Office Word</Application>
  <DocSecurity>0</DocSecurity>
  <Lines>107</Lines>
  <Paragraphs>39</Paragraphs>
  <ScaleCrop>false</ScaleCrop>
  <Company>Food Standards Australia New Zealand</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2</cp:revision>
  <dcterms:created xsi:type="dcterms:W3CDTF">2024-04-15T01:07:00Z</dcterms:created>
  <dcterms:modified xsi:type="dcterms:W3CDTF">2024-04-15T01:08:00Z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v=2022.1;a=SHA256;h=820474D05F77A5C1909E92151DFCEF6C5DB7DD40C0C103900780300301579EF3</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2024-04-15T01:07:49Z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302BDBAD982F50293CEAD423BE77B1CA40A20CFD</vt:lpwstr>
  </property>
  <property fmtid="{D5CDD505-2E9C-101B-9397-08002B2CF9AE}" pid="14" name="PM_DisplayValueSecClassificationWithQualifier">
    <vt:lpwstr/>
  </property>
  <property fmtid="{D5CDD505-2E9C-101B-9397-08002B2CF9AE}" pid="15" name="PM_Originating_FileId">
    <vt:lpwstr>FE01478683D140399DE3F77F87F86367</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04BEB04951CF9C0309220DC261A43CF887B145345D33A4BC1A2FC1C39C61A0F4</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B432B75A6BB12C64CAF99A857F4275F0</vt:lpwstr>
  </property>
  <property fmtid="{D5CDD505-2E9C-101B-9397-08002B2CF9AE}" pid="25" name="PM_Hash_Salt">
    <vt:lpwstr>B432B75A6BB12C64CAF99A857F4275F0</vt:lpwstr>
  </property>
  <property fmtid="{D5CDD505-2E9C-101B-9397-08002B2CF9AE}" pid="26" name="PM_Hash_SHA1">
    <vt:lpwstr>0FCA0368F09CE35053B6A23C6C4545E94C5208A5</vt:lpwstr>
  </property>
  <property fmtid="{D5CDD505-2E9C-101B-9397-08002B2CF9AE}" pid="27" name="ContentTypeId">
    <vt:lpwstr>0x010100F5F252698E4843DFA3EBBF7EC57E522A00ED57D63352AC3D488C1927FA6C496CEC</vt:lpwstr>
  </property>
  <property fmtid="{D5CDD505-2E9C-101B-9397-08002B2CF9AE}" pid="28" name="Classification">
    <vt:lpwstr>1;#OFFICIAL|3776503d-ed4e-4d70-8dfd-8e17b238523b</vt:lpwstr>
  </property>
  <property fmtid="{D5CDD505-2E9C-101B-9397-08002B2CF9AE}" pid="29" name="pd3a3559ef84480a8025c4c7bb6e6dee">
    <vt:lpwstr/>
  </property>
  <property fmtid="{D5CDD505-2E9C-101B-9397-08002B2CF9AE}" pid="30" name="h46016694f704d158a57d0b5238c000e">
    <vt:lpwstr/>
  </property>
  <property fmtid="{D5CDD505-2E9C-101B-9397-08002B2CF9AE}" pid="31" name="Data_x0020_Privacy">
    <vt:lpwstr/>
  </property>
  <property fmtid="{D5CDD505-2E9C-101B-9397-08002B2CF9AE}" pid="32" name="Access">
    <vt:lpwstr/>
  </property>
  <property fmtid="{D5CDD505-2E9C-101B-9397-08002B2CF9AE}" pid="33" name="Data_x0020_Category">
    <vt:lpwstr/>
  </property>
  <property fmtid="{D5CDD505-2E9C-101B-9397-08002B2CF9AE}" pid="34" name="Data_x0020_Accessibility">
    <vt:lpwstr/>
  </property>
  <property fmtid="{D5CDD505-2E9C-101B-9397-08002B2CF9AE}" pid="35" name="o2e94e0b7bb742308b3aec7384781dc0">
    <vt:lpwstr/>
  </property>
  <property fmtid="{D5CDD505-2E9C-101B-9397-08002B2CF9AE}" pid="36" name="BCS">
    <vt:lpwstr>27;#Instruments|4a8ff5e5-1f0e-4751-ab44-bc0d33b46a80</vt:lpwstr>
  </property>
  <property fmtid="{D5CDD505-2E9C-101B-9397-08002B2CF9AE}" pid="37" name="Data Privacy">
    <vt:lpwstr/>
  </property>
  <property fmtid="{D5CDD505-2E9C-101B-9397-08002B2CF9AE}" pid="38" name="Data Accessibility">
    <vt:lpwstr/>
  </property>
  <property fmtid="{D5CDD505-2E9C-101B-9397-08002B2CF9AE}" pid="39" name="Data Category">
    <vt:lpwstr/>
  </property>
</Properties>
</file>