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B5BD" w14:textId="674DDA29" w:rsidR="00320DFA" w:rsidRPr="004E52E0" w:rsidRDefault="00320DFA" w:rsidP="00320DFA">
      <w:pPr>
        <w:pStyle w:val="Title"/>
        <w:tabs>
          <w:tab w:val="left" w:pos="6120"/>
        </w:tabs>
        <w:contextualSpacing/>
        <w:rPr>
          <w:rFonts w:ascii="Times New Roman" w:hAnsi="Times New Roman" w:cs="Times New Roman"/>
        </w:rPr>
      </w:pPr>
      <w:r w:rsidRPr="004E52E0">
        <w:rPr>
          <w:rFonts w:ascii="Times New Roman" w:hAnsi="Times New Roman" w:cs="Times New Roman"/>
        </w:rPr>
        <w:t>Explanatory Statement</w:t>
      </w:r>
    </w:p>
    <w:p w14:paraId="5190EBC6" w14:textId="77777777" w:rsidR="00320DFA" w:rsidRPr="004E52E0" w:rsidRDefault="00320DFA" w:rsidP="00320DFA">
      <w:pPr>
        <w:pStyle w:val="Title"/>
        <w:tabs>
          <w:tab w:val="left" w:pos="6120"/>
        </w:tabs>
        <w:contextualSpacing/>
        <w:rPr>
          <w:rFonts w:ascii="Times New Roman" w:hAnsi="Times New Roman" w:cs="Times New Roman"/>
        </w:rPr>
      </w:pPr>
    </w:p>
    <w:p w14:paraId="3FB1FC26" w14:textId="77777777" w:rsidR="00320DFA" w:rsidRPr="004E52E0" w:rsidRDefault="00320DFA" w:rsidP="00320DFA">
      <w:pPr>
        <w:widowControl/>
        <w:contextualSpacing/>
        <w:jc w:val="center"/>
        <w:rPr>
          <w:rFonts w:ascii="Times New Roman" w:hAnsi="Times New Roman" w:cs="Times New Roman"/>
        </w:rPr>
      </w:pPr>
      <w:r w:rsidRPr="004E52E0">
        <w:rPr>
          <w:rFonts w:ascii="Times New Roman" w:hAnsi="Times New Roman" w:cs="Times New Roman"/>
        </w:rPr>
        <w:t xml:space="preserve">Issued </w:t>
      </w:r>
      <w:r w:rsidRPr="00374C79">
        <w:rPr>
          <w:rFonts w:ascii="Times New Roman" w:hAnsi="Times New Roman" w:cs="Times New Roman"/>
        </w:rPr>
        <w:t>by the Authority of the</w:t>
      </w:r>
      <w:r w:rsidRPr="004E52E0">
        <w:rPr>
          <w:rFonts w:ascii="Times New Roman" w:hAnsi="Times New Roman" w:cs="Times New Roman"/>
        </w:rPr>
        <w:t xml:space="preserve"> </w:t>
      </w:r>
      <w:r w:rsidRPr="00EB7243">
        <w:rPr>
          <w:rFonts w:ascii="Times New Roman" w:hAnsi="Times New Roman" w:cs="Times New Roman"/>
        </w:rPr>
        <w:t>Minister for Foreign Affairs</w:t>
      </w:r>
    </w:p>
    <w:p w14:paraId="2A2302E4" w14:textId="77777777" w:rsidR="00320DFA" w:rsidRPr="004E52E0" w:rsidRDefault="00320DFA" w:rsidP="00320DFA">
      <w:pPr>
        <w:widowControl/>
        <w:contextualSpacing/>
        <w:jc w:val="center"/>
        <w:rPr>
          <w:rFonts w:ascii="Times New Roman" w:hAnsi="Times New Roman" w:cs="Times New Roman"/>
        </w:rPr>
      </w:pPr>
    </w:p>
    <w:p w14:paraId="1C32AA70" w14:textId="77777777" w:rsidR="00320DFA" w:rsidRPr="00FE073E" w:rsidRDefault="00320DFA" w:rsidP="00320DFA">
      <w:pPr>
        <w:pStyle w:val="Heading1"/>
        <w:ind w:hanging="1133"/>
        <w:contextualSpacing/>
        <w:rPr>
          <w:rFonts w:ascii="Times New Roman" w:hAnsi="Times New Roman" w:cs="Times New Roman"/>
          <w:iCs w:val="0"/>
        </w:rPr>
      </w:pPr>
      <w:r w:rsidRPr="00FE073E">
        <w:rPr>
          <w:rFonts w:ascii="Times New Roman" w:hAnsi="Times New Roman" w:cs="Times New Roman"/>
          <w:iCs w:val="0"/>
        </w:rPr>
        <w:t>Autonomous Sanctions Regulations 2011</w:t>
      </w:r>
    </w:p>
    <w:p w14:paraId="5EC15AB6" w14:textId="77777777" w:rsidR="00320DFA" w:rsidRPr="002C6454" w:rsidRDefault="00320DFA" w:rsidP="00320DFA">
      <w:pPr>
        <w:widowControl/>
        <w:ind w:left="1133" w:hanging="1157"/>
        <w:contextualSpacing/>
        <w:jc w:val="center"/>
        <w:rPr>
          <w:rFonts w:ascii="Times New Roman" w:hAnsi="Times New Roman" w:cs="Times New Roman"/>
          <w:i/>
          <w:iCs/>
        </w:rPr>
      </w:pPr>
    </w:p>
    <w:p w14:paraId="3AC1D1A8" w14:textId="6D2B4BC7" w:rsidR="00320DFA" w:rsidRPr="00FE073E" w:rsidRDefault="00320DFA" w:rsidP="00320DFA">
      <w:pPr>
        <w:contextualSpacing/>
        <w:jc w:val="center"/>
        <w:rPr>
          <w:rFonts w:ascii="Times New Roman" w:hAnsi="Times New Roman" w:cs="Times New Roman"/>
          <w:bCs/>
          <w:i/>
        </w:rPr>
      </w:pPr>
      <w:r w:rsidRPr="00FE073E">
        <w:rPr>
          <w:rFonts w:ascii="Times New Roman" w:hAnsi="Times New Roman" w:cs="Times New Roman"/>
          <w:bCs/>
          <w:i/>
        </w:rPr>
        <w:t>Autonomous Sanctions (Designated Persons and Entities and Declared Persons</w:t>
      </w:r>
      <w:r w:rsidR="00FB2E19" w:rsidRPr="00FE073E">
        <w:rPr>
          <w:rFonts w:ascii="Times New Roman" w:hAnsi="Times New Roman" w:cs="Times New Roman"/>
          <w:bCs/>
          <w:i/>
        </w:rPr>
        <w:t xml:space="preserve"> – </w:t>
      </w:r>
      <w:r w:rsidRPr="00FE073E">
        <w:rPr>
          <w:rFonts w:ascii="Times New Roman" w:hAnsi="Times New Roman" w:cs="Times New Roman"/>
          <w:bCs/>
          <w:i/>
        </w:rPr>
        <w:t xml:space="preserve">Russia and Ukraine) Amendment (No. </w:t>
      </w:r>
      <w:r w:rsidR="00F775F9">
        <w:rPr>
          <w:rFonts w:ascii="Times New Roman" w:hAnsi="Times New Roman" w:cs="Times New Roman"/>
          <w:bCs/>
          <w:i/>
        </w:rPr>
        <w:t>4</w:t>
      </w:r>
      <w:r w:rsidRPr="00FE073E">
        <w:rPr>
          <w:rFonts w:ascii="Times New Roman" w:hAnsi="Times New Roman" w:cs="Times New Roman"/>
          <w:bCs/>
          <w:i/>
        </w:rPr>
        <w:t>) Instrument 2024</w:t>
      </w:r>
    </w:p>
    <w:p w14:paraId="3894F632" w14:textId="77777777" w:rsidR="00320DFA" w:rsidRPr="004E52E0" w:rsidRDefault="00320DFA" w:rsidP="00320DFA">
      <w:pPr>
        <w:contextualSpacing/>
        <w:jc w:val="center"/>
      </w:pPr>
    </w:p>
    <w:p w14:paraId="45B59FAD" w14:textId="387EE501" w:rsidR="00320DFA" w:rsidRDefault="00320DFA" w:rsidP="00320DFA">
      <w:pPr>
        <w:contextualSpacing/>
        <w:rPr>
          <w:lang w:eastAsia="en-AU"/>
        </w:rPr>
      </w:pPr>
      <w:r w:rsidRPr="009A354D">
        <w:rPr>
          <w:lang w:eastAsia="en-AU"/>
        </w:rPr>
        <w:t xml:space="preserve">Autonomous sanctions are measures not involving the use of armed force which the Australian Government imposes as a matter of foreign policy in response to situations of international concern. Such situations include threats to a country’s sovereignty and territorial integrity, as occurred in 2014 when Russia </w:t>
      </w:r>
      <w:r w:rsidR="006A09F3" w:rsidRPr="009A354D">
        <w:rPr>
          <w:lang w:eastAsia="en-AU"/>
        </w:rPr>
        <w:t>attempted to annex</w:t>
      </w:r>
      <w:r w:rsidRPr="009A354D">
        <w:rPr>
          <w:lang w:eastAsia="en-AU"/>
        </w:rPr>
        <w:t xml:space="preserve"> Crimea and Sevastopol from Ukraine in breach of international law, and Russia’s ongoing invasion of Ukraine since February 2022.</w:t>
      </w:r>
    </w:p>
    <w:p w14:paraId="63BB7C93" w14:textId="77777777" w:rsidR="00320DFA" w:rsidRPr="004E52E0" w:rsidRDefault="00320DFA" w:rsidP="00320DFA">
      <w:pPr>
        <w:contextualSpacing/>
        <w:rPr>
          <w:lang w:eastAsia="en-AU"/>
        </w:rPr>
      </w:pPr>
    </w:p>
    <w:p w14:paraId="32CFF051" w14:textId="43EF6714" w:rsidR="00320DFA" w:rsidRDefault="00320DFA" w:rsidP="00E5221D">
      <w:pPr>
        <w:contextualSpacing/>
        <w:rPr>
          <w:rStyle w:val="eop"/>
        </w:rPr>
      </w:pPr>
      <w:r w:rsidRPr="004E52E0">
        <w:rPr>
          <w:lang w:eastAsia="en-AU"/>
        </w:rPr>
        <w:t xml:space="preserve">The </w:t>
      </w:r>
      <w:r w:rsidRPr="00FE073E">
        <w:rPr>
          <w:i/>
          <w:iCs/>
          <w:lang w:eastAsia="en-AU"/>
        </w:rPr>
        <w:t>Autonomous Sanctions Regulations 2011</w:t>
      </w:r>
      <w:r w:rsidRPr="004E52E0">
        <w:rPr>
          <w:lang w:eastAsia="en-AU"/>
        </w:rPr>
        <w:t xml:space="preserve"> (</w:t>
      </w:r>
      <w:r w:rsidRPr="00F14F70">
        <w:rPr>
          <w:b/>
          <w:bCs/>
          <w:lang w:eastAsia="en-AU"/>
        </w:rPr>
        <w:t>the Regulations</w:t>
      </w:r>
      <w:r w:rsidRPr="004E52E0">
        <w:rPr>
          <w:lang w:eastAsia="en-AU"/>
        </w:rPr>
        <w:t xml:space="preserve">) make provision for, among other things, </w:t>
      </w:r>
      <w:r w:rsidR="00E5221D" w:rsidRPr="0038306A">
        <w:rPr>
          <w:rStyle w:val="normaltextrun"/>
        </w:rPr>
        <w:t xml:space="preserve">the making and </w:t>
      </w:r>
      <w:r w:rsidR="00E5221D" w:rsidRPr="0038306A">
        <w:rPr>
          <w:rStyle w:val="normaltextrun"/>
        </w:rPr>
        <w:t xml:space="preserve">revocation of designations of persons or entities for the purpose of applying targeted financial sanctions, and </w:t>
      </w:r>
      <w:r w:rsidR="008B258B">
        <w:rPr>
          <w:rStyle w:val="normaltextrun"/>
        </w:rPr>
        <w:t>for</w:t>
      </w:r>
      <w:r w:rsidR="00E5221D" w:rsidRPr="0038306A">
        <w:rPr>
          <w:rStyle w:val="normaltextrun"/>
        </w:rPr>
        <w:t xml:space="preserve"> declarations of persons for the purposes of imposing a travel ban</w:t>
      </w:r>
      <w:r>
        <w:t>.</w:t>
      </w:r>
      <w:r w:rsidR="00E5221D" w:rsidRPr="0038306A">
        <w:rPr>
          <w:rStyle w:val="normaltextrun"/>
        </w:rPr>
        <w:t xml:space="preserve"> </w:t>
      </w:r>
      <w:r w:rsidR="00E5221D" w:rsidRPr="0038306A">
        <w:rPr>
          <w:rStyle w:val="eop"/>
        </w:rPr>
        <w:t xml:space="preserve">Regulation 6 of the Regulations enables the Minister to, among other </w:t>
      </w:r>
      <w:r w:rsidR="00E5221D" w:rsidRPr="0038306A">
        <w:rPr>
          <w:rStyle w:val="eop"/>
        </w:rPr>
        <w:t>things, declare and designate persons if satisfied that the person is, or has been, engaging in an activity or performing a function that is of economic or strategic significance to Russia.</w:t>
      </w:r>
    </w:p>
    <w:p w14:paraId="60580004" w14:textId="77777777" w:rsidR="00E5221D" w:rsidRDefault="00E5221D" w:rsidP="00E5221D">
      <w:pPr>
        <w:contextualSpacing/>
        <w:rPr>
          <w:lang w:eastAsia="en-AU"/>
        </w:rPr>
      </w:pPr>
    </w:p>
    <w:p w14:paraId="3082EBDC" w14:textId="2CC5186E" w:rsidR="00320DFA" w:rsidRDefault="00320DFA" w:rsidP="00320DFA">
      <w:pPr>
        <w:pStyle w:val="NormalWeb"/>
        <w:spacing w:before="0" w:beforeAutospacing="0" w:after="0" w:afterAutospacing="0"/>
        <w:rPr>
          <w:color w:val="000000"/>
        </w:rPr>
      </w:pPr>
      <w:r>
        <w:rPr>
          <w:color w:val="000000"/>
        </w:rPr>
        <w:t xml:space="preserve">Designated and declared persons, and designated entities, in relation to Russia and Ukraine are listed in the </w:t>
      </w:r>
      <w:r w:rsidRPr="00083396">
        <w:rPr>
          <w:i/>
          <w:color w:val="000000"/>
        </w:rPr>
        <w:t>Autonomous Sanctions (Designated Persons and Entities and Declared Persons – Russia and Ukraine) List 2014</w:t>
      </w:r>
      <w:r>
        <w:rPr>
          <w:i/>
          <w:iCs/>
          <w:color w:val="000000"/>
        </w:rPr>
        <w:t> </w:t>
      </w:r>
      <w:r>
        <w:rPr>
          <w:color w:val="000000"/>
        </w:rPr>
        <w:t>(</w:t>
      </w:r>
      <w:r>
        <w:rPr>
          <w:b/>
          <w:bCs/>
          <w:color w:val="000000"/>
        </w:rPr>
        <w:t>the 2014 List</w:t>
      </w:r>
      <w:r>
        <w:rPr>
          <w:color w:val="000000"/>
        </w:rPr>
        <w:t>)</w:t>
      </w:r>
      <w:r>
        <w:rPr>
          <w:i/>
          <w:iCs/>
          <w:color w:val="000000"/>
        </w:rPr>
        <w:t>.</w:t>
      </w:r>
      <w:r w:rsidR="00E5221D">
        <w:rPr>
          <w:i/>
          <w:iCs/>
          <w:color w:val="000000"/>
        </w:rPr>
        <w:t xml:space="preserve"> </w:t>
      </w:r>
      <w:r w:rsidR="00E5221D">
        <w:rPr>
          <w:color w:val="000000"/>
        </w:rPr>
        <w:t xml:space="preserve">The Minister </w:t>
      </w:r>
      <w:r w:rsidR="00AC060E">
        <w:rPr>
          <w:color w:val="000000"/>
        </w:rPr>
        <w:t>has the discretion under regulation 10 to</w:t>
      </w:r>
      <w:r w:rsidR="00E5221D">
        <w:rPr>
          <w:color w:val="000000"/>
        </w:rPr>
        <w:t xml:space="preserve"> revoke a designation or declaration.</w:t>
      </w:r>
      <w:r>
        <w:rPr>
          <w:i/>
          <w:iCs/>
          <w:color w:val="000000"/>
        </w:rPr>
        <w:t> </w:t>
      </w:r>
    </w:p>
    <w:p w14:paraId="299F2DEA" w14:textId="77777777" w:rsidR="00320DFA" w:rsidRDefault="00320DFA" w:rsidP="00320DFA">
      <w:pPr>
        <w:pStyle w:val="NormalWeb"/>
        <w:spacing w:before="0" w:beforeAutospacing="0" w:after="0" w:afterAutospacing="0"/>
        <w:rPr>
          <w:color w:val="000000"/>
        </w:rPr>
      </w:pPr>
      <w:r>
        <w:rPr>
          <w:i/>
          <w:iCs/>
          <w:color w:val="000000"/>
        </w:rPr>
        <w:t> </w:t>
      </w:r>
    </w:p>
    <w:p w14:paraId="0724A4D8" w14:textId="71473CE8" w:rsidR="00F920A5" w:rsidRDefault="00E5221D" w:rsidP="00E5221D">
      <w:pPr>
        <w:pStyle w:val="NormalWeb"/>
        <w:spacing w:before="0" w:beforeAutospacing="0" w:after="0" w:afterAutospacing="0"/>
        <w:rPr>
          <w:color w:val="000000"/>
        </w:rPr>
      </w:pPr>
      <w:r>
        <w:rPr>
          <w:color w:val="000000"/>
        </w:rPr>
        <w:t xml:space="preserve">Details of </w:t>
      </w:r>
      <w:r w:rsidR="00320DFA">
        <w:rPr>
          <w:color w:val="000000"/>
        </w:rPr>
        <w:t xml:space="preserve">the </w:t>
      </w:r>
      <w:r w:rsidR="00320DFA" w:rsidRPr="00083396">
        <w:rPr>
          <w:i/>
          <w:color w:val="000000"/>
        </w:rPr>
        <w:t xml:space="preserve">Autonomous Sanctions (Designated Persons and Entities and </w:t>
      </w:r>
      <w:r w:rsidR="00320DFA" w:rsidRPr="00EB7243">
        <w:rPr>
          <w:i/>
          <w:color w:val="000000"/>
        </w:rPr>
        <w:t xml:space="preserve">Declared Persons—Russia and Ukraine) Amendment (No. </w:t>
      </w:r>
      <w:r w:rsidR="00AC060E">
        <w:rPr>
          <w:i/>
          <w:color w:val="000000"/>
        </w:rPr>
        <w:t>4</w:t>
      </w:r>
      <w:r w:rsidR="00320DFA" w:rsidRPr="00EB7243">
        <w:rPr>
          <w:i/>
          <w:color w:val="000000"/>
        </w:rPr>
        <w:t>) Instrument 2024</w:t>
      </w:r>
      <w:r w:rsidR="00320DFA" w:rsidRPr="00A45811">
        <w:rPr>
          <w:color w:val="000000"/>
        </w:rPr>
        <w:t xml:space="preserve"> (</w:t>
      </w:r>
      <w:r w:rsidR="00320DFA" w:rsidRPr="00A45811">
        <w:rPr>
          <w:b/>
          <w:bCs/>
          <w:color w:val="000000"/>
        </w:rPr>
        <w:t>the 2024 Instrument</w:t>
      </w:r>
      <w:r w:rsidR="00320DFA" w:rsidRPr="00A45811">
        <w:rPr>
          <w:color w:val="000000"/>
        </w:rPr>
        <w:t>)</w:t>
      </w:r>
      <w:r w:rsidR="006C2E83">
        <w:rPr>
          <w:color w:val="000000"/>
        </w:rPr>
        <w:t>,</w:t>
      </w:r>
      <w:r w:rsidR="00320DFA" w:rsidRPr="00A45811">
        <w:rPr>
          <w:color w:val="000000"/>
        </w:rPr>
        <w:t xml:space="preserve"> </w:t>
      </w:r>
      <w:r>
        <w:rPr>
          <w:color w:val="000000"/>
        </w:rPr>
        <w:t xml:space="preserve">which amends the 2014 List to revoke the designation and declaration of </w:t>
      </w:r>
      <w:r w:rsidRPr="00E5221D">
        <w:rPr>
          <w:color w:val="000000"/>
        </w:rPr>
        <w:t xml:space="preserve">Lev </w:t>
      </w:r>
      <w:proofErr w:type="spellStart"/>
      <w:r w:rsidR="00A06D2B">
        <w:rPr>
          <w:color w:val="000000"/>
        </w:rPr>
        <w:t>Aronovich</w:t>
      </w:r>
      <w:proofErr w:type="spellEnd"/>
      <w:r w:rsidR="00A06D2B">
        <w:rPr>
          <w:color w:val="000000"/>
        </w:rPr>
        <w:t xml:space="preserve"> </w:t>
      </w:r>
      <w:r w:rsidRPr="00E5221D">
        <w:rPr>
          <w:color w:val="000000"/>
        </w:rPr>
        <w:t>KHASIS</w:t>
      </w:r>
      <w:r>
        <w:rPr>
          <w:color w:val="000000"/>
        </w:rPr>
        <w:t xml:space="preserve">, are set out in </w:t>
      </w:r>
      <w:r>
        <w:rPr>
          <w:b/>
          <w:bCs/>
          <w:color w:val="000000"/>
        </w:rPr>
        <w:t>Attachment A</w:t>
      </w:r>
      <w:r>
        <w:rPr>
          <w:color w:val="000000"/>
        </w:rPr>
        <w:t xml:space="preserve">. </w:t>
      </w:r>
    </w:p>
    <w:p w14:paraId="2D5FA413" w14:textId="77777777" w:rsidR="00F920A5" w:rsidRDefault="00F920A5" w:rsidP="00E5221D">
      <w:pPr>
        <w:pStyle w:val="NormalWeb"/>
        <w:spacing w:before="0" w:beforeAutospacing="0" w:after="0" w:afterAutospacing="0"/>
        <w:rPr>
          <w:color w:val="000000"/>
        </w:rPr>
      </w:pPr>
    </w:p>
    <w:p w14:paraId="65547CF8" w14:textId="0D9C4A97" w:rsidR="00E5221D" w:rsidRDefault="00E5221D" w:rsidP="00E5221D">
      <w:pPr>
        <w:pStyle w:val="NormalWeb"/>
        <w:spacing w:before="0" w:beforeAutospacing="0" w:after="0" w:afterAutospacing="0"/>
        <w:rPr>
          <w:color w:val="000000"/>
        </w:rPr>
      </w:pPr>
      <w:r>
        <w:rPr>
          <w:color w:val="000000"/>
        </w:rPr>
        <w:t xml:space="preserve">The Minister revoked the designation and declaration of </w:t>
      </w:r>
      <w:r w:rsidR="00A06D2B" w:rsidRPr="00E5221D">
        <w:rPr>
          <w:color w:val="000000"/>
        </w:rPr>
        <w:t xml:space="preserve">Lev </w:t>
      </w:r>
      <w:proofErr w:type="spellStart"/>
      <w:r w:rsidR="00A06D2B">
        <w:rPr>
          <w:color w:val="000000"/>
        </w:rPr>
        <w:t>Aronovich</w:t>
      </w:r>
      <w:proofErr w:type="spellEnd"/>
      <w:r w:rsidR="00A06D2B">
        <w:rPr>
          <w:color w:val="000000"/>
        </w:rPr>
        <w:t xml:space="preserve"> </w:t>
      </w:r>
      <w:r w:rsidR="00A06D2B" w:rsidRPr="00E5221D">
        <w:rPr>
          <w:color w:val="000000"/>
        </w:rPr>
        <w:t>KHASIS</w:t>
      </w:r>
      <w:r>
        <w:rPr>
          <w:color w:val="000000"/>
        </w:rPr>
        <w:t>.</w:t>
      </w:r>
      <w:r w:rsidR="00F920A5">
        <w:rPr>
          <w:color w:val="000000"/>
        </w:rPr>
        <w:t xml:space="preserve"> The revocation was made at the discretion of the Minister under subregulation 10(3), on an application by Mr KHASIS pursuant to regulation 11. Subregulation 10(3) provides that the Minister may revoke a designation </w:t>
      </w:r>
      <w:r w:rsidR="00306C1C">
        <w:rPr>
          <w:color w:val="000000"/>
        </w:rPr>
        <w:t>and/</w:t>
      </w:r>
      <w:r w:rsidR="00F920A5">
        <w:rPr>
          <w:color w:val="000000"/>
        </w:rPr>
        <w:t xml:space="preserve">or declaration on application by a designated </w:t>
      </w:r>
      <w:r w:rsidR="00AA52C7">
        <w:rPr>
          <w:color w:val="000000"/>
        </w:rPr>
        <w:t>and/</w:t>
      </w:r>
      <w:r w:rsidR="00F920A5">
        <w:rPr>
          <w:color w:val="000000"/>
        </w:rPr>
        <w:t xml:space="preserve">or declared person or entity. Regulation 11 provides that a designated </w:t>
      </w:r>
      <w:r w:rsidR="00AA52C7">
        <w:rPr>
          <w:color w:val="000000"/>
        </w:rPr>
        <w:t>and/o</w:t>
      </w:r>
      <w:r w:rsidR="00F920A5">
        <w:rPr>
          <w:color w:val="000000"/>
        </w:rPr>
        <w:t xml:space="preserve">r declared person or entity may apply in writing to the Minister to revoke their designation </w:t>
      </w:r>
      <w:r w:rsidR="007035C6">
        <w:rPr>
          <w:color w:val="000000"/>
        </w:rPr>
        <w:t>and/</w:t>
      </w:r>
      <w:r w:rsidR="00F920A5">
        <w:rPr>
          <w:color w:val="000000"/>
        </w:rPr>
        <w:t>or declaration, setting out the circumstances relied upon to justify the application.</w:t>
      </w:r>
    </w:p>
    <w:p w14:paraId="5C37AF53" w14:textId="77777777" w:rsidR="00320DFA" w:rsidRDefault="00320DFA" w:rsidP="00320DFA">
      <w:pPr>
        <w:contextualSpacing/>
      </w:pPr>
    </w:p>
    <w:p w14:paraId="26C5758B" w14:textId="63280AAF" w:rsidR="00A41178" w:rsidRDefault="00320DFA" w:rsidP="00A41178">
      <w:r>
        <w:t>The legal framework for the imposition of autonomous sanctions by Australia, of which the Regulations are part, was the subject of extensive consultation with governmental and non-governmental stakeholders when introduced.</w:t>
      </w:r>
      <w:r w:rsidR="00A41178" w:rsidRPr="00A41178">
        <w:t xml:space="preserve"> </w:t>
      </w:r>
    </w:p>
    <w:p w14:paraId="7D643CF5" w14:textId="5E9D25AA" w:rsidR="00320DFA" w:rsidRDefault="00320DFA" w:rsidP="00320DFA">
      <w:pPr>
        <w:pStyle w:val="NormalWeb"/>
        <w:spacing w:before="0" w:beforeAutospacing="0" w:after="0" w:afterAutospacing="0"/>
        <w:rPr>
          <w:color w:val="000000"/>
        </w:rPr>
      </w:pPr>
      <w:r>
        <w:rPr>
          <w:color w:val="000000"/>
        </w:rPr>
        <w:t> </w:t>
      </w:r>
    </w:p>
    <w:p w14:paraId="0983786C" w14:textId="26C01664" w:rsidR="00320DFA" w:rsidRPr="00FC4559" w:rsidRDefault="00320DFA" w:rsidP="00320DFA">
      <w:pPr>
        <w:pStyle w:val="NormalWeb"/>
        <w:spacing w:before="0" w:beforeAutospacing="0" w:after="0" w:afterAutospacing="0"/>
        <w:rPr>
          <w:color w:val="000000"/>
        </w:rPr>
      </w:pPr>
      <w:r>
        <w:rPr>
          <w:color w:val="000000"/>
        </w:rPr>
        <w:t>The Office of Impact Analysis has advised that a Regulation Impact Statement is not required for listing instruments of this nature (OBPR22-02078).</w:t>
      </w:r>
      <w:r>
        <w:rPr>
          <w:color w:val="000000"/>
        </w:rPr>
        <w:br w:type="page"/>
      </w:r>
    </w:p>
    <w:p w14:paraId="13AF6CA0" w14:textId="77777777" w:rsidR="00320DFA" w:rsidRPr="004E52E0" w:rsidRDefault="00320DFA" w:rsidP="00320DFA">
      <w:pPr>
        <w:widowControl/>
        <w:contextualSpacing/>
        <w:rPr>
          <w:b/>
        </w:rPr>
      </w:pPr>
      <w:bookmarkStart w:id="0" w:name="_Hlk133420982"/>
      <w:r w:rsidRPr="004E52E0">
        <w:rPr>
          <w:b/>
        </w:rPr>
        <w:lastRenderedPageBreak/>
        <w:t>Attachment A</w:t>
      </w:r>
    </w:p>
    <w:bookmarkEnd w:id="0"/>
    <w:p w14:paraId="4BE7021A" w14:textId="77777777" w:rsidR="00320DFA" w:rsidRPr="004E52E0" w:rsidRDefault="00320DFA" w:rsidP="00320DFA">
      <w:pPr>
        <w:widowControl/>
        <w:contextualSpacing/>
        <w:jc w:val="right"/>
      </w:pPr>
    </w:p>
    <w:p w14:paraId="78488053" w14:textId="3C7F534E" w:rsidR="00320DFA" w:rsidRPr="00FE073E" w:rsidRDefault="00320DFA" w:rsidP="00320DFA">
      <w:pPr>
        <w:contextualSpacing/>
        <w:jc w:val="center"/>
        <w:rPr>
          <w:rFonts w:ascii="Times New Roman" w:hAnsi="Times New Roman" w:cs="Times New Roman"/>
          <w:i/>
        </w:rPr>
      </w:pPr>
      <w:bookmarkStart w:id="1" w:name="_Hlk133404079"/>
      <w:r w:rsidRPr="00FE073E">
        <w:rPr>
          <w:rFonts w:ascii="Times New Roman" w:hAnsi="Times New Roman" w:cs="Times New Roman"/>
          <w:bCs/>
          <w:i/>
        </w:rPr>
        <w:t>Autonomous Sanctions (Designated Persons and Entities and Declared Persons</w:t>
      </w:r>
      <w:r w:rsidR="00642D23" w:rsidRPr="00FE073E">
        <w:rPr>
          <w:rFonts w:ascii="Times New Roman" w:hAnsi="Times New Roman" w:cs="Times New Roman"/>
          <w:bCs/>
          <w:i/>
        </w:rPr>
        <w:t xml:space="preserve"> – </w:t>
      </w:r>
      <w:r w:rsidRPr="00FE073E">
        <w:rPr>
          <w:rFonts w:ascii="Times New Roman" w:hAnsi="Times New Roman" w:cs="Times New Roman"/>
          <w:bCs/>
          <w:i/>
        </w:rPr>
        <w:t xml:space="preserve">Russia and Ukraine) Amendment (No. </w:t>
      </w:r>
      <w:r w:rsidR="00AC060E">
        <w:rPr>
          <w:rFonts w:ascii="Times New Roman" w:hAnsi="Times New Roman" w:cs="Times New Roman"/>
          <w:bCs/>
          <w:i/>
        </w:rPr>
        <w:t>4</w:t>
      </w:r>
      <w:r w:rsidRPr="00FE073E">
        <w:rPr>
          <w:rFonts w:ascii="Times New Roman" w:hAnsi="Times New Roman" w:cs="Times New Roman"/>
          <w:bCs/>
          <w:i/>
        </w:rPr>
        <w:t xml:space="preserve">) Instrument 2024 </w:t>
      </w:r>
    </w:p>
    <w:bookmarkEnd w:id="1"/>
    <w:p w14:paraId="106FEB0A" w14:textId="77777777" w:rsidR="00320DFA" w:rsidRPr="00D30D09" w:rsidRDefault="00320DFA" w:rsidP="00320DFA">
      <w:pPr>
        <w:widowControl/>
        <w:contextualSpacing/>
        <w:rPr>
          <w:rFonts w:ascii="Times New Roman" w:hAnsi="Times New Roman" w:cs="Times New Roman"/>
          <w:i/>
          <w:iCs/>
        </w:rPr>
      </w:pPr>
    </w:p>
    <w:p w14:paraId="30988DEA" w14:textId="77777777" w:rsidR="00320DFA" w:rsidRPr="00D30D09" w:rsidRDefault="00320DFA" w:rsidP="00320DFA">
      <w:pPr>
        <w:widowControl/>
        <w:contextualSpacing/>
        <w:rPr>
          <w:rFonts w:ascii="Times New Roman" w:hAnsi="Times New Roman" w:cs="Times New Roman"/>
          <w:iCs/>
          <w:u w:val="single"/>
        </w:rPr>
      </w:pPr>
      <w:r w:rsidRPr="00D30D09">
        <w:rPr>
          <w:rFonts w:ascii="Times New Roman" w:hAnsi="Times New Roman" w:cs="Times New Roman"/>
          <w:iCs/>
          <w:u w:val="single"/>
        </w:rPr>
        <w:t>Section 1</w:t>
      </w:r>
    </w:p>
    <w:p w14:paraId="67891515" w14:textId="0462A0E7" w:rsidR="00320DFA" w:rsidRPr="00D30D09" w:rsidRDefault="00320DFA" w:rsidP="00320DFA">
      <w:pPr>
        <w:contextualSpacing/>
        <w:rPr>
          <w:rFonts w:ascii="Times New Roman" w:hAnsi="Times New Roman" w:cs="Times New Roman"/>
        </w:rPr>
      </w:pPr>
      <w:r w:rsidRPr="00D30D09">
        <w:t xml:space="preserve">The title of the instrument is the </w:t>
      </w:r>
      <w:r w:rsidRPr="00FE073E">
        <w:rPr>
          <w:rFonts w:ascii="Times New Roman" w:hAnsi="Times New Roman" w:cs="Times New Roman"/>
          <w:bCs/>
          <w:i/>
        </w:rPr>
        <w:t>Autonomous Sanctions (Designated Persons and Entities and Declared Persons</w:t>
      </w:r>
      <w:r w:rsidR="00642D23" w:rsidRPr="00FE073E">
        <w:rPr>
          <w:rFonts w:ascii="Times New Roman" w:hAnsi="Times New Roman" w:cs="Times New Roman"/>
          <w:bCs/>
          <w:i/>
        </w:rPr>
        <w:t xml:space="preserve"> – </w:t>
      </w:r>
      <w:r w:rsidRPr="00FE073E">
        <w:rPr>
          <w:rFonts w:ascii="Times New Roman" w:hAnsi="Times New Roman" w:cs="Times New Roman"/>
          <w:bCs/>
          <w:i/>
        </w:rPr>
        <w:t xml:space="preserve">Russia and Ukraine) Amendment (No. </w:t>
      </w:r>
      <w:r w:rsidR="00AC060E">
        <w:rPr>
          <w:rFonts w:ascii="Times New Roman" w:hAnsi="Times New Roman" w:cs="Times New Roman"/>
          <w:bCs/>
          <w:i/>
        </w:rPr>
        <w:t>4</w:t>
      </w:r>
      <w:r w:rsidRPr="00FE073E">
        <w:rPr>
          <w:rFonts w:ascii="Times New Roman" w:hAnsi="Times New Roman" w:cs="Times New Roman"/>
          <w:bCs/>
          <w:i/>
        </w:rPr>
        <w:t>) Instrument 2024</w:t>
      </w:r>
      <w:r w:rsidRPr="00D30D09">
        <w:rPr>
          <w:rFonts w:ascii="Times New Roman" w:hAnsi="Times New Roman" w:cs="Times New Roman"/>
          <w:bCs/>
          <w:i/>
          <w:iCs/>
        </w:rPr>
        <w:t xml:space="preserve"> </w:t>
      </w:r>
      <w:r w:rsidRPr="00D30D09">
        <w:rPr>
          <w:rFonts w:ascii="Times New Roman" w:hAnsi="Times New Roman" w:cs="Times New Roman"/>
        </w:rPr>
        <w:t>(</w:t>
      </w:r>
      <w:r w:rsidRPr="00FE073E">
        <w:rPr>
          <w:rFonts w:ascii="Times New Roman" w:hAnsi="Times New Roman" w:cs="Times New Roman"/>
          <w:b/>
        </w:rPr>
        <w:t>the</w:t>
      </w:r>
      <w:r w:rsidRPr="00D30D09">
        <w:rPr>
          <w:rFonts w:ascii="Times New Roman" w:hAnsi="Times New Roman" w:cs="Times New Roman"/>
          <w:b/>
          <w:bCs/>
        </w:rPr>
        <w:t xml:space="preserve"> 2024 Instrument</w:t>
      </w:r>
      <w:r w:rsidRPr="00D30D09">
        <w:rPr>
          <w:rFonts w:ascii="Times New Roman" w:hAnsi="Times New Roman" w:cs="Times New Roman"/>
        </w:rPr>
        <w:t xml:space="preserve">). </w:t>
      </w:r>
    </w:p>
    <w:p w14:paraId="10FAC6FC" w14:textId="77777777" w:rsidR="00320DFA" w:rsidRPr="00D30D09" w:rsidRDefault="00320DFA" w:rsidP="00320DFA">
      <w:pPr>
        <w:widowControl/>
        <w:contextualSpacing/>
      </w:pPr>
    </w:p>
    <w:p w14:paraId="7FB06ACA" w14:textId="77777777" w:rsidR="00320DFA" w:rsidRPr="004E52E0" w:rsidRDefault="00320DFA" w:rsidP="00320DFA">
      <w:pPr>
        <w:widowControl/>
        <w:contextualSpacing/>
        <w:rPr>
          <w:u w:val="single"/>
        </w:rPr>
      </w:pPr>
      <w:r w:rsidRPr="00D30D09">
        <w:rPr>
          <w:u w:val="single"/>
        </w:rPr>
        <w:t>Section 2</w:t>
      </w:r>
    </w:p>
    <w:p w14:paraId="32F7FC87" w14:textId="303F9B8F" w:rsidR="00A82CE3" w:rsidRPr="006D0ECC" w:rsidRDefault="00AC060E" w:rsidP="00320DFA">
      <w:r>
        <w:t>Subsection 2(1) provides that the whole of the 2024 Instrument commences the day after it is registered.</w:t>
      </w:r>
    </w:p>
    <w:p w14:paraId="7A91263D" w14:textId="77777777" w:rsidR="00320DFA" w:rsidRDefault="00320DFA" w:rsidP="00320DFA">
      <w:pPr>
        <w:widowControl/>
        <w:contextualSpacing/>
      </w:pPr>
    </w:p>
    <w:p w14:paraId="2D74E434" w14:textId="7FA6E502" w:rsidR="00320DFA" w:rsidRPr="00A252C5" w:rsidRDefault="00320DFA" w:rsidP="00320DFA">
      <w:r w:rsidRPr="00D30D09">
        <w:rPr>
          <w:shd w:val="clear" w:color="auto" w:fill="FFFFFF"/>
        </w:rPr>
        <w:t xml:space="preserve">Subsection 2(2) is a technical provision that makes clear that any information inserted in column 3 of the table about the specific date of commencement is not part of the </w:t>
      </w:r>
      <w:r w:rsidR="00E9009D" w:rsidRPr="00D30D09">
        <w:rPr>
          <w:shd w:val="clear" w:color="auto" w:fill="FFFFFF"/>
        </w:rPr>
        <w:t xml:space="preserve">2024 </w:t>
      </w:r>
      <w:r w:rsidRPr="00D30D09">
        <w:rPr>
          <w:shd w:val="clear" w:color="auto" w:fill="FFFFFF"/>
        </w:rPr>
        <w:t>Instrument and can be inserted or edited at a later date.</w:t>
      </w:r>
    </w:p>
    <w:p w14:paraId="7863640C" w14:textId="77777777" w:rsidR="00320DFA" w:rsidRPr="004E52E0" w:rsidRDefault="00320DFA" w:rsidP="00320DFA">
      <w:pPr>
        <w:widowControl/>
        <w:contextualSpacing/>
      </w:pPr>
    </w:p>
    <w:p w14:paraId="1802134D" w14:textId="77777777" w:rsidR="00320DFA" w:rsidRPr="004E52E0" w:rsidRDefault="00320DFA" w:rsidP="00320DFA">
      <w:pPr>
        <w:widowControl/>
        <w:contextualSpacing/>
        <w:rPr>
          <w:u w:val="single"/>
        </w:rPr>
      </w:pPr>
      <w:r w:rsidRPr="004E52E0">
        <w:rPr>
          <w:u w:val="single"/>
        </w:rPr>
        <w:t>Section 3</w:t>
      </w:r>
    </w:p>
    <w:p w14:paraId="0333382C" w14:textId="7FF32842" w:rsidR="00E96E9F" w:rsidRDefault="00E96E9F" w:rsidP="00E96E9F">
      <w:pPr>
        <w:pStyle w:val="NormalWeb"/>
        <w:spacing w:before="0" w:beforeAutospacing="0" w:after="0" w:afterAutospacing="0"/>
        <w:rPr>
          <w:color w:val="000000"/>
        </w:rPr>
      </w:pPr>
      <w:bookmarkStart w:id="2" w:name="_Hlk133421161"/>
      <w:r w:rsidRPr="00196EBC">
        <w:rPr>
          <w:rFonts w:ascii="Times" w:hAnsi="Times" w:cs="Times"/>
          <w:color w:val="000000"/>
        </w:rPr>
        <w:t xml:space="preserve">The </w:t>
      </w:r>
      <w:r>
        <w:t xml:space="preserve">2024 </w:t>
      </w:r>
      <w:r w:rsidRPr="00196EBC">
        <w:rPr>
          <w:rFonts w:ascii="Times" w:hAnsi="Times" w:cs="Times"/>
          <w:color w:val="000000"/>
        </w:rPr>
        <w:t xml:space="preserve">Instrument is made under </w:t>
      </w:r>
      <w:proofErr w:type="spellStart"/>
      <w:r>
        <w:t>sub</w:t>
      </w:r>
      <w:r>
        <w:rPr>
          <w:rFonts w:ascii="Times" w:hAnsi="Times" w:cs="Times"/>
          <w:color w:val="000000"/>
        </w:rPr>
        <w:t>regulation</w:t>
      </w:r>
      <w:proofErr w:type="spellEnd"/>
      <w:r>
        <w:t xml:space="preserve"> </w:t>
      </w:r>
      <w:r>
        <w:rPr>
          <w:rFonts w:ascii="Times" w:hAnsi="Times" w:cs="Times"/>
          <w:color w:val="000000"/>
        </w:rPr>
        <w:t>10</w:t>
      </w:r>
      <w:r>
        <w:t xml:space="preserve">(3) </w:t>
      </w:r>
      <w:r w:rsidRPr="00196EBC">
        <w:rPr>
          <w:rFonts w:ascii="Times" w:hAnsi="Times" w:cs="Times"/>
          <w:color w:val="000000"/>
        </w:rPr>
        <w:t>of the </w:t>
      </w:r>
      <w:r w:rsidRPr="00FE073E">
        <w:rPr>
          <w:i/>
        </w:rPr>
        <w:t>Autonomous Sanctions Regulations 2011</w:t>
      </w:r>
      <w:r w:rsidRPr="004E52E0">
        <w:rPr>
          <w:i/>
          <w:iCs/>
        </w:rPr>
        <w:t xml:space="preserve"> </w:t>
      </w:r>
      <w:r w:rsidRPr="004E52E0">
        <w:t>(</w:t>
      </w:r>
      <w:r w:rsidRPr="00FC79ED">
        <w:rPr>
          <w:b/>
          <w:bCs/>
        </w:rPr>
        <w:t>the Regulations</w:t>
      </w:r>
      <w:r w:rsidRPr="004E52E0">
        <w:t>)</w:t>
      </w:r>
      <w:r w:rsidRPr="00196EBC">
        <w:rPr>
          <w:rFonts w:ascii="Times" w:hAnsi="Times" w:cs="Times"/>
          <w:i/>
          <w:iCs/>
          <w:color w:val="000000"/>
        </w:rPr>
        <w:t>.</w:t>
      </w:r>
      <w:r>
        <w:rPr>
          <w:rFonts w:ascii="Times" w:hAnsi="Times" w:cs="Times"/>
          <w:color w:val="000000"/>
        </w:rPr>
        <w:t xml:space="preserve"> </w:t>
      </w:r>
      <w:r>
        <w:rPr>
          <w:color w:val="000000"/>
        </w:rPr>
        <w:t>Subregulation 10(3) provides that the Minister may revoke a designation and/or declaration on application by a designated and/or declared person or entity. Regulation 11 provides that a designated and/or declared person or entity may apply in writing to the Minister to revoke their designation and/or declaration, setting out the circumstances relied upon to justify the application.</w:t>
      </w:r>
    </w:p>
    <w:bookmarkEnd w:id="2"/>
    <w:p w14:paraId="608E8C5A" w14:textId="77777777" w:rsidR="00320DFA" w:rsidRPr="004E52E0" w:rsidRDefault="00320DFA" w:rsidP="00320DFA">
      <w:pPr>
        <w:widowControl/>
        <w:contextualSpacing/>
        <w:rPr>
          <w:i/>
          <w:iCs/>
        </w:rPr>
      </w:pPr>
    </w:p>
    <w:p w14:paraId="57AB469D" w14:textId="77777777" w:rsidR="00320DFA" w:rsidRPr="004E52E0" w:rsidRDefault="00320DFA" w:rsidP="00320DFA">
      <w:pPr>
        <w:widowControl/>
        <w:contextualSpacing/>
        <w:rPr>
          <w:u w:val="single"/>
        </w:rPr>
      </w:pPr>
      <w:r w:rsidRPr="004E52E0">
        <w:rPr>
          <w:u w:val="single"/>
        </w:rPr>
        <w:t xml:space="preserve">Section 4 </w:t>
      </w:r>
    </w:p>
    <w:p w14:paraId="1B45873B" w14:textId="4062273F" w:rsidR="00A209DA" w:rsidRDefault="005F6F59" w:rsidP="00AC060E">
      <w:pPr>
        <w:pStyle w:val="NormalWeb"/>
        <w:spacing w:before="0" w:beforeAutospacing="0" w:after="0" w:afterAutospacing="0"/>
        <w:rPr>
          <w:rFonts w:ascii="Times" w:hAnsi="Times" w:cs="Times"/>
          <w:color w:val="000000"/>
        </w:rPr>
      </w:pPr>
      <w:r w:rsidRPr="005F6F59">
        <w:rPr>
          <w:rFonts w:ascii="Times" w:hAnsi="Times" w:cs="Times"/>
          <w:color w:val="000000"/>
        </w:rPr>
        <w:t>Each instrument that is specified in a Schedule to th</w:t>
      </w:r>
      <w:r>
        <w:rPr>
          <w:rFonts w:ascii="Times" w:hAnsi="Times" w:cs="Times"/>
          <w:color w:val="000000"/>
        </w:rPr>
        <w:t>e 2024</w:t>
      </w:r>
      <w:r w:rsidRPr="005F6F59">
        <w:rPr>
          <w:rFonts w:ascii="Times" w:hAnsi="Times" w:cs="Times"/>
          <w:color w:val="000000"/>
        </w:rPr>
        <w:t xml:space="preserve"> </w:t>
      </w:r>
      <w:r>
        <w:rPr>
          <w:rFonts w:ascii="Times" w:hAnsi="Times" w:cs="Times"/>
          <w:color w:val="000000"/>
        </w:rPr>
        <w:t>I</w:t>
      </w:r>
      <w:r w:rsidRPr="005F6F59">
        <w:rPr>
          <w:rFonts w:ascii="Times" w:hAnsi="Times" w:cs="Times"/>
          <w:color w:val="000000"/>
        </w:rPr>
        <w:t xml:space="preserve">nstrument is amended or repealed as set out in the applicable items in the Schedule concerned, and any other item in a Schedule to </w:t>
      </w:r>
      <w:r>
        <w:rPr>
          <w:rFonts w:ascii="Times" w:hAnsi="Times" w:cs="Times"/>
          <w:color w:val="000000"/>
        </w:rPr>
        <w:t>the 2024 Instrument</w:t>
      </w:r>
      <w:r w:rsidRPr="005F6F59">
        <w:rPr>
          <w:rFonts w:ascii="Times" w:hAnsi="Times" w:cs="Times"/>
          <w:color w:val="000000"/>
        </w:rPr>
        <w:t xml:space="preserve"> has effect according to its terms.</w:t>
      </w:r>
    </w:p>
    <w:p w14:paraId="03308F13" w14:textId="77777777" w:rsidR="005F6F59" w:rsidRDefault="005F6F59" w:rsidP="00AC060E">
      <w:pPr>
        <w:pStyle w:val="NormalWeb"/>
        <w:spacing w:before="0" w:beforeAutospacing="0" w:after="0" w:afterAutospacing="0"/>
        <w:rPr>
          <w:rFonts w:ascii="Times" w:hAnsi="Times" w:cs="Times"/>
          <w:color w:val="000000"/>
        </w:rPr>
      </w:pPr>
    </w:p>
    <w:p w14:paraId="1E86FDD2" w14:textId="1666DD31" w:rsidR="00C46B52" w:rsidRPr="00AF11A1" w:rsidRDefault="00320DFA" w:rsidP="00AC060E">
      <w:pPr>
        <w:widowControl/>
        <w:contextualSpacing/>
        <w:rPr>
          <w:u w:val="single"/>
        </w:rPr>
      </w:pPr>
      <w:r w:rsidRPr="004E52E0">
        <w:rPr>
          <w:u w:val="single"/>
        </w:rPr>
        <w:t>Schedule 1</w:t>
      </w:r>
      <w:r w:rsidR="00366375">
        <w:rPr>
          <w:u w:val="single"/>
        </w:rPr>
        <w:t>—</w:t>
      </w:r>
      <w:r w:rsidR="00C46B52" w:rsidRPr="00AF11A1">
        <w:rPr>
          <w:u w:val="single"/>
        </w:rPr>
        <w:t>Amendments</w:t>
      </w:r>
    </w:p>
    <w:p w14:paraId="47BAF013" w14:textId="77777777" w:rsidR="00AF11A1" w:rsidRPr="00C46B52" w:rsidRDefault="00AF11A1" w:rsidP="00762431">
      <w:pPr>
        <w:contextualSpacing/>
      </w:pPr>
    </w:p>
    <w:p w14:paraId="146FE9A3" w14:textId="77777777" w:rsidR="00D61863" w:rsidRPr="00811D72" w:rsidRDefault="00D61863" w:rsidP="00D61863">
      <w:pPr>
        <w:contextualSpacing/>
        <w:rPr>
          <w:i/>
          <w:iCs/>
        </w:rPr>
      </w:pPr>
      <w:r w:rsidRPr="00811D72">
        <w:rPr>
          <w:i/>
          <w:iCs/>
        </w:rPr>
        <w:t xml:space="preserve">Autonomous Sanctions (Designated Persons and Entities and Declared Persons – </w:t>
      </w:r>
      <w:r>
        <w:rPr>
          <w:i/>
          <w:iCs/>
        </w:rPr>
        <w:t>Russia and Ukraine</w:t>
      </w:r>
      <w:r w:rsidRPr="00811D72">
        <w:rPr>
          <w:i/>
          <w:iCs/>
        </w:rPr>
        <w:t xml:space="preserve">) </w:t>
      </w:r>
      <w:r>
        <w:rPr>
          <w:i/>
          <w:iCs/>
        </w:rPr>
        <w:t xml:space="preserve">List 2014 </w:t>
      </w:r>
    </w:p>
    <w:p w14:paraId="7E269D7C" w14:textId="77777777" w:rsidR="00AA3D97" w:rsidRDefault="00AA3D97" w:rsidP="00320DFA">
      <w:pPr>
        <w:widowControl/>
        <w:contextualSpacing/>
        <w:rPr>
          <w:u w:val="single"/>
        </w:rPr>
      </w:pPr>
    </w:p>
    <w:p w14:paraId="45DF9EF2" w14:textId="4CFEBB9A" w:rsidR="00AE3729" w:rsidRDefault="00AE3729" w:rsidP="00320DFA">
      <w:pPr>
        <w:widowControl/>
        <w:contextualSpacing/>
        <w:rPr>
          <w:u w:val="single"/>
        </w:rPr>
      </w:pPr>
      <w:r>
        <w:rPr>
          <w:u w:val="single"/>
        </w:rPr>
        <w:t>Item 1</w:t>
      </w:r>
    </w:p>
    <w:p w14:paraId="25ACE50C" w14:textId="1BCDBF44" w:rsidR="00320DFA" w:rsidRDefault="00AC060E" w:rsidP="00AC060E">
      <w:r>
        <w:t xml:space="preserve">Part 1 of Schedule 2 of the </w:t>
      </w:r>
      <w:r w:rsidRPr="00083396">
        <w:rPr>
          <w:i/>
        </w:rPr>
        <w:t>Autonomous Sanctions (Designated Persons and Entities and Declared Persons – Russia and Ukraine) List 2014</w:t>
      </w:r>
      <w:r>
        <w:rPr>
          <w:i/>
          <w:iCs/>
        </w:rPr>
        <w:t> </w:t>
      </w:r>
      <w:r>
        <w:t>(</w:t>
      </w:r>
      <w:r>
        <w:rPr>
          <w:b/>
          <w:bCs/>
        </w:rPr>
        <w:t xml:space="preserve">the 2014 </w:t>
      </w:r>
      <w:r w:rsidRPr="00AC060E">
        <w:rPr>
          <w:b/>
          <w:bCs/>
        </w:rPr>
        <w:t>List</w:t>
      </w:r>
      <w:r>
        <w:t>)</w:t>
      </w:r>
      <w:r w:rsidR="00903CA0">
        <w:t xml:space="preserve"> </w:t>
      </w:r>
      <w:r w:rsidRPr="00AC060E">
        <w:t>sets</w:t>
      </w:r>
      <w:r>
        <w:t xml:space="preserve"> out persons</w:t>
      </w:r>
      <w:r w:rsidR="00320DFA">
        <w:t xml:space="preserve"> </w:t>
      </w:r>
      <w:r>
        <w:t>that the Minister has designated for targeted financial sanctions, and declared for the purposes of a travel ban</w:t>
      </w:r>
      <w:r w:rsidR="00B331C1">
        <w:t>, under</w:t>
      </w:r>
      <w:r w:rsidR="008B258B">
        <w:t xml:space="preserve"> table</w:t>
      </w:r>
      <w:r w:rsidR="00B331C1">
        <w:t xml:space="preserve"> item 6A of regulation 6 of the Regulations</w:t>
      </w:r>
      <w:r>
        <w:t>.</w:t>
      </w:r>
    </w:p>
    <w:p w14:paraId="6E4A745D" w14:textId="77777777" w:rsidR="00AC060E" w:rsidRDefault="00AC060E" w:rsidP="00AC060E"/>
    <w:p w14:paraId="0DB45813" w14:textId="2B69C9FA" w:rsidR="00AC060E" w:rsidRPr="00601210" w:rsidRDefault="00AC060E" w:rsidP="00AC060E">
      <w:r>
        <w:t xml:space="preserve">This item </w:t>
      </w:r>
      <w:r w:rsidR="00B028C1">
        <w:t>revokes the designation and declaration of</w:t>
      </w:r>
      <w:r>
        <w:t xml:space="preserve"> </w:t>
      </w:r>
      <w:r w:rsidR="00A06D2B" w:rsidRPr="00E5221D">
        <w:t xml:space="preserve">Lev </w:t>
      </w:r>
      <w:proofErr w:type="spellStart"/>
      <w:r w:rsidR="00A06D2B">
        <w:t>Aronovich</w:t>
      </w:r>
      <w:proofErr w:type="spellEnd"/>
      <w:r w:rsidR="00A06D2B">
        <w:t xml:space="preserve"> </w:t>
      </w:r>
      <w:r w:rsidR="00A06D2B" w:rsidRPr="00E5221D">
        <w:t>KHASIS</w:t>
      </w:r>
      <w:r>
        <w:t xml:space="preserve">, which appeared at item 138 of the table in Part 1 of Schedule 2 </w:t>
      </w:r>
      <w:r w:rsidR="00B028C1">
        <w:t xml:space="preserve">to </w:t>
      </w:r>
      <w:r>
        <w:t>the 2014 List.</w:t>
      </w:r>
    </w:p>
    <w:p w14:paraId="7E2545EF" w14:textId="77777777" w:rsidR="00320DFA" w:rsidRDefault="00320DFA" w:rsidP="00320DFA">
      <w:pPr>
        <w:widowControl/>
        <w:spacing w:after="160" w:line="259" w:lineRule="auto"/>
        <w:rPr>
          <w:rFonts w:ascii="Times New Roman" w:hAnsi="Times New Roman" w:cs="Times New Roman"/>
          <w:b/>
          <w:bCs/>
        </w:rPr>
      </w:pPr>
      <w:r>
        <w:rPr>
          <w:rFonts w:ascii="Times New Roman" w:hAnsi="Times New Roman" w:cs="Times New Roman"/>
        </w:rPr>
        <w:br w:type="page"/>
      </w:r>
    </w:p>
    <w:p w14:paraId="76F8DD3A" w14:textId="77777777" w:rsidR="00320DFA" w:rsidRPr="00811D72" w:rsidRDefault="00320DFA" w:rsidP="00320DFA">
      <w:pPr>
        <w:pStyle w:val="Title"/>
        <w:keepNext/>
        <w:tabs>
          <w:tab w:val="left" w:pos="6120"/>
        </w:tabs>
        <w:contextualSpacing/>
        <w:rPr>
          <w:rFonts w:ascii="Times New Roman" w:hAnsi="Times New Roman" w:cs="Times New Roman"/>
          <w:u w:val="none"/>
        </w:rPr>
      </w:pPr>
      <w:r w:rsidRPr="00811D72">
        <w:rPr>
          <w:rFonts w:ascii="Times New Roman" w:hAnsi="Times New Roman" w:cs="Times New Roman"/>
          <w:u w:val="none"/>
        </w:rPr>
        <w:lastRenderedPageBreak/>
        <w:t>Statement of Compatibility with Human Rights</w:t>
      </w:r>
    </w:p>
    <w:p w14:paraId="444C0091" w14:textId="77777777" w:rsidR="00320DFA" w:rsidRPr="004E52E0" w:rsidRDefault="00320DFA" w:rsidP="00320DFA">
      <w:pPr>
        <w:pStyle w:val="Title"/>
        <w:tabs>
          <w:tab w:val="left" w:pos="6120"/>
        </w:tabs>
        <w:contextualSpacing/>
        <w:rPr>
          <w:rFonts w:ascii="Times New Roman" w:hAnsi="Times New Roman" w:cs="Times New Roman"/>
        </w:rPr>
      </w:pPr>
    </w:p>
    <w:p w14:paraId="32BE9650" w14:textId="77777777" w:rsidR="00320DFA" w:rsidRPr="004E52E0" w:rsidRDefault="00320DFA" w:rsidP="00320DFA">
      <w:pPr>
        <w:contextualSpacing/>
        <w:jc w:val="center"/>
        <w:rPr>
          <w:rFonts w:ascii="Times New Roman" w:hAnsi="Times New Roman" w:cs="Times New Roman"/>
          <w:lang w:eastAsia="en-AU"/>
        </w:rPr>
      </w:pPr>
      <w:r w:rsidRPr="004E52E0">
        <w:rPr>
          <w:rFonts w:ascii="Times New Roman" w:hAnsi="Times New Roman" w:cs="Times New Roman"/>
          <w:lang w:eastAsia="en-AU"/>
        </w:rPr>
        <w:t xml:space="preserve">Prepared in accordance with Part 3 of the </w:t>
      </w:r>
    </w:p>
    <w:p w14:paraId="54995A85" w14:textId="77777777" w:rsidR="00320DFA" w:rsidRPr="004E52E0" w:rsidRDefault="00320DFA" w:rsidP="00320DFA">
      <w:pPr>
        <w:contextualSpacing/>
        <w:jc w:val="center"/>
        <w:rPr>
          <w:rFonts w:ascii="Times New Roman" w:hAnsi="Times New Roman" w:cs="Times New Roman"/>
          <w:lang w:eastAsia="en-AU"/>
        </w:rPr>
      </w:pPr>
      <w:r w:rsidRPr="004E52E0">
        <w:rPr>
          <w:rFonts w:ascii="Times New Roman" w:hAnsi="Times New Roman" w:cs="Times New Roman"/>
          <w:i/>
          <w:lang w:eastAsia="en-AU"/>
        </w:rPr>
        <w:t>Human Rights (Parliamentary Scrutiny) Act 2011</w:t>
      </w:r>
    </w:p>
    <w:p w14:paraId="1A3289E5" w14:textId="77777777" w:rsidR="00320DFA" w:rsidRPr="004E52E0" w:rsidRDefault="00320DFA" w:rsidP="00320DFA">
      <w:pPr>
        <w:contextualSpacing/>
        <w:jc w:val="center"/>
        <w:rPr>
          <w:rFonts w:ascii="Times New Roman" w:hAnsi="Times New Roman" w:cs="Times New Roman"/>
          <w:bCs/>
          <w:sz w:val="23"/>
          <w:szCs w:val="23"/>
        </w:rPr>
      </w:pPr>
    </w:p>
    <w:p w14:paraId="1FE0C70C" w14:textId="21BAB515" w:rsidR="00320DFA" w:rsidRDefault="00320DFA" w:rsidP="00320DFA">
      <w:pPr>
        <w:contextualSpacing/>
        <w:jc w:val="center"/>
        <w:rPr>
          <w:rFonts w:ascii="Times New Roman" w:hAnsi="Times New Roman" w:cs="Times New Roman"/>
          <w:bCs/>
          <w:i/>
        </w:rPr>
      </w:pPr>
      <w:bookmarkStart w:id="3" w:name="_Hlk161302270"/>
      <w:r w:rsidRPr="00FE073E">
        <w:rPr>
          <w:rFonts w:ascii="Times New Roman" w:hAnsi="Times New Roman" w:cs="Times New Roman"/>
          <w:bCs/>
          <w:i/>
        </w:rPr>
        <w:t>Autonomous Sanctions (Designated Persons and Entities and Declared Persons</w:t>
      </w:r>
      <w:r w:rsidR="003A5E2D" w:rsidRPr="000A6414">
        <w:rPr>
          <w:i/>
          <w:iCs/>
        </w:rPr>
        <w:t xml:space="preserve"> – </w:t>
      </w:r>
      <w:r w:rsidRPr="00FE073E">
        <w:rPr>
          <w:rFonts w:ascii="Times New Roman" w:hAnsi="Times New Roman" w:cs="Times New Roman"/>
          <w:bCs/>
          <w:i/>
        </w:rPr>
        <w:t xml:space="preserve">Russia and Ukraine) Amendment (No. </w:t>
      </w:r>
      <w:r w:rsidR="00AC060E">
        <w:rPr>
          <w:rFonts w:ascii="Times New Roman" w:hAnsi="Times New Roman" w:cs="Times New Roman"/>
          <w:bCs/>
          <w:i/>
        </w:rPr>
        <w:t>4</w:t>
      </w:r>
      <w:r w:rsidRPr="00FE073E">
        <w:rPr>
          <w:rFonts w:ascii="Times New Roman" w:hAnsi="Times New Roman" w:cs="Times New Roman"/>
          <w:bCs/>
          <w:i/>
        </w:rPr>
        <w:t>) Instrument 2024</w:t>
      </w:r>
    </w:p>
    <w:bookmarkEnd w:id="3"/>
    <w:p w14:paraId="74EB831C" w14:textId="77777777" w:rsidR="00AC060E" w:rsidRDefault="00AC060E" w:rsidP="00AC060E">
      <w:pPr>
        <w:spacing w:before="120" w:after="120"/>
        <w:rPr>
          <w:rFonts w:ascii="Times New Roman" w:hAnsi="Times New Roman"/>
        </w:rPr>
      </w:pPr>
    </w:p>
    <w:p w14:paraId="6A5AD1D6" w14:textId="147655E3" w:rsidR="00AC060E" w:rsidRDefault="00AC060E" w:rsidP="00AC060E">
      <w:pPr>
        <w:rPr>
          <w:rFonts w:ascii="Times New Roman" w:hAnsi="Times New Roman"/>
        </w:rPr>
      </w:pPr>
      <w:r>
        <w:rPr>
          <w:rFonts w:ascii="Times New Roman" w:hAnsi="Times New Roman"/>
        </w:rPr>
        <w:t xml:space="preserve">This </w:t>
      </w:r>
      <w:r w:rsidR="008B258B">
        <w:rPr>
          <w:rFonts w:ascii="Times New Roman" w:hAnsi="Times New Roman"/>
        </w:rPr>
        <w:t>d</w:t>
      </w:r>
      <w:r>
        <w:rPr>
          <w:rFonts w:ascii="Times New Roman" w:hAnsi="Times New Roman"/>
        </w:rPr>
        <w:t xml:space="preserve">isallowable Legislative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p>
    <w:p w14:paraId="2704E359" w14:textId="77777777" w:rsidR="00AC060E" w:rsidRDefault="00AC060E" w:rsidP="00AC060E">
      <w:pPr>
        <w:rPr>
          <w:rFonts w:ascii="Times New Roman" w:hAnsi="Times New Roman"/>
        </w:rPr>
      </w:pPr>
    </w:p>
    <w:p w14:paraId="0D9EB3C9" w14:textId="7DD8BBF0" w:rsidR="00AC060E" w:rsidRPr="00AC060E" w:rsidRDefault="00AC060E" w:rsidP="00B028C1">
      <w:pPr>
        <w:rPr>
          <w:rFonts w:ascii="Times New Roman" w:hAnsi="Times New Roman"/>
        </w:rPr>
      </w:pPr>
      <w:r w:rsidRPr="00952B08">
        <w:t xml:space="preserve">The </w:t>
      </w:r>
      <w:r w:rsidRPr="00AC060E">
        <w:rPr>
          <w:rStyle w:val="normaltextrun"/>
          <w:i/>
          <w:iCs/>
          <w:color w:val="000000" w:themeColor="text1"/>
        </w:rPr>
        <w:t>Autonomous Sanctions (Designated Persons and Entities and Declared Persons – Russia and Ukraine) Amendment (No. 4) Instrument 2024</w:t>
      </w:r>
      <w:r>
        <w:rPr>
          <w:rStyle w:val="eop"/>
          <w:color w:val="000000" w:themeColor="text1"/>
        </w:rPr>
        <w:t xml:space="preserve"> revokes the designation and declaration of </w:t>
      </w:r>
      <w:r w:rsidR="006E7FCD" w:rsidRPr="00E5221D">
        <w:t xml:space="preserve">Lev </w:t>
      </w:r>
      <w:proofErr w:type="spellStart"/>
      <w:r w:rsidR="006E7FCD">
        <w:t>Aronovich</w:t>
      </w:r>
      <w:proofErr w:type="spellEnd"/>
      <w:r w:rsidR="006E7FCD">
        <w:t xml:space="preserve"> </w:t>
      </w:r>
      <w:r w:rsidR="006E7FCD" w:rsidRPr="00E5221D">
        <w:t>KHASIS</w:t>
      </w:r>
      <w:r w:rsidR="006E7FCD">
        <w:rPr>
          <w:rStyle w:val="eop"/>
          <w:color w:val="000000" w:themeColor="text1"/>
        </w:rPr>
        <w:t xml:space="preserve"> </w:t>
      </w:r>
      <w:r>
        <w:rPr>
          <w:rStyle w:val="eop"/>
          <w:color w:val="000000" w:themeColor="text1"/>
        </w:rPr>
        <w:t xml:space="preserve">under the </w:t>
      </w:r>
      <w:r w:rsidRPr="00AC060E">
        <w:rPr>
          <w:rStyle w:val="eop"/>
          <w:i/>
          <w:iCs/>
          <w:color w:val="000000" w:themeColor="text1"/>
        </w:rPr>
        <w:t>Autonomous Sanctions Regulations 2011</w:t>
      </w:r>
      <w:r>
        <w:rPr>
          <w:rStyle w:val="eop"/>
          <w:color w:val="000000" w:themeColor="text1"/>
        </w:rPr>
        <w:t>. This has the effect of lifting travel and financial restrictions currently in place on Mr KHASIS.</w:t>
      </w:r>
    </w:p>
    <w:p w14:paraId="1C63D8C0" w14:textId="77777777" w:rsidR="00AC060E" w:rsidRDefault="00AC060E" w:rsidP="00AC060E">
      <w:pPr>
        <w:rPr>
          <w:rFonts w:ascii="Times New Roman" w:hAnsi="Times New Roman"/>
        </w:rPr>
      </w:pPr>
    </w:p>
    <w:p w14:paraId="49CDF1AF" w14:textId="1AC9A5AE" w:rsidR="00AC060E" w:rsidRDefault="00AC060E" w:rsidP="00AC060E">
      <w:pPr>
        <w:rPr>
          <w:rFonts w:ascii="Times New Roman" w:hAnsi="Times New Roman"/>
        </w:rPr>
      </w:pPr>
      <w:r>
        <w:rPr>
          <w:rFonts w:ascii="Times New Roman" w:hAnsi="Times New Roman"/>
        </w:rPr>
        <w:t xml:space="preserve">This </w:t>
      </w:r>
      <w:r w:rsidR="008B258B">
        <w:rPr>
          <w:rFonts w:ascii="Times New Roman" w:hAnsi="Times New Roman"/>
        </w:rPr>
        <w:t>d</w:t>
      </w:r>
      <w:r>
        <w:rPr>
          <w:rFonts w:ascii="Times New Roman" w:hAnsi="Times New Roman"/>
        </w:rPr>
        <w:t>isallowable Legislative Instrument does not engage any of the applicable rights or freedoms.</w:t>
      </w:r>
    </w:p>
    <w:p w14:paraId="7CBD910D" w14:textId="77777777" w:rsidR="00AC060E" w:rsidRDefault="00AC060E" w:rsidP="00AC060E">
      <w:pPr>
        <w:pStyle w:val="Heading3"/>
        <w:spacing w:before="0"/>
        <w:rPr>
          <w:rFonts w:eastAsiaTheme="minorHAnsi"/>
        </w:rPr>
      </w:pPr>
    </w:p>
    <w:p w14:paraId="38D8F697" w14:textId="44E5D13D" w:rsidR="00AC060E" w:rsidRDefault="00AC060E" w:rsidP="00AC060E">
      <w:pPr>
        <w:rPr>
          <w:rFonts w:ascii="Times New Roman" w:hAnsi="Times New Roman"/>
        </w:rPr>
      </w:pPr>
      <w:r>
        <w:rPr>
          <w:rFonts w:ascii="Times New Roman" w:hAnsi="Times New Roman"/>
        </w:rPr>
        <w:t xml:space="preserve">This </w:t>
      </w:r>
      <w:r w:rsidR="008B258B">
        <w:rPr>
          <w:rFonts w:ascii="Times New Roman" w:hAnsi="Times New Roman"/>
        </w:rPr>
        <w:t>d</w:t>
      </w:r>
      <w:r>
        <w:rPr>
          <w:rFonts w:ascii="Times New Roman" w:hAnsi="Times New Roman"/>
        </w:rPr>
        <w:t>isallowable Legislative Instrument is compatible with human rights as it does not raise any human rights issues.</w:t>
      </w:r>
    </w:p>
    <w:p w14:paraId="6550A045" w14:textId="77777777" w:rsidR="00AC060E" w:rsidRPr="00FE073E" w:rsidRDefault="00AC060E" w:rsidP="00320DFA">
      <w:pPr>
        <w:contextualSpacing/>
        <w:jc w:val="center"/>
        <w:rPr>
          <w:rFonts w:ascii="Times New Roman" w:hAnsi="Times New Roman" w:cs="Times New Roman"/>
          <w:bCs/>
          <w:i/>
        </w:rPr>
      </w:pPr>
    </w:p>
    <w:sectPr w:rsidR="00AC060E" w:rsidRPr="00FE073E" w:rsidSect="0016119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260D" w14:textId="77777777" w:rsidR="00273F6B" w:rsidRDefault="00273F6B" w:rsidP="00320DFA">
      <w:r>
        <w:separator/>
      </w:r>
    </w:p>
  </w:endnote>
  <w:endnote w:type="continuationSeparator" w:id="0">
    <w:p w14:paraId="356BED32" w14:textId="77777777" w:rsidR="00273F6B" w:rsidRDefault="00273F6B" w:rsidP="0032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3380" w14:textId="77777777" w:rsidR="00320DFA" w:rsidRDefault="00320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045B0C6A" w14:textId="77777777" w:rsidR="00320DFA" w:rsidRDefault="00320D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3F7F2A9" w14:textId="77777777" w:rsidR="00320DFA" w:rsidRDefault="00320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D3C0" w14:textId="77777777" w:rsidR="00320DFA" w:rsidRDefault="00320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D366" w14:textId="77777777" w:rsidR="00273F6B" w:rsidRDefault="00273F6B" w:rsidP="00320DFA">
      <w:r>
        <w:separator/>
      </w:r>
    </w:p>
  </w:footnote>
  <w:footnote w:type="continuationSeparator" w:id="0">
    <w:p w14:paraId="103C5BA7" w14:textId="77777777" w:rsidR="00273F6B" w:rsidRDefault="00273F6B" w:rsidP="0032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58A0" w14:textId="77777777" w:rsidR="00320DFA" w:rsidRDefault="00320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2799" w14:textId="2477A1B0" w:rsidR="00320DFA" w:rsidRDefault="00320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50C1" w14:textId="77777777" w:rsidR="00320DFA" w:rsidRDefault="00320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01DF4"/>
    <w:multiLevelType w:val="hybridMultilevel"/>
    <w:tmpl w:val="AC84B41C"/>
    <w:lvl w:ilvl="0" w:tplc="34A2B8B6">
      <w:start w:val="1"/>
      <w:numFmt w:val="lowerLetter"/>
      <w:lvlText w:val="%1)"/>
      <w:lvlJc w:val="left"/>
      <w:pPr>
        <w:ind w:left="1440" w:hanging="360"/>
      </w:pPr>
    </w:lvl>
    <w:lvl w:ilvl="1" w:tplc="ADD66CE6">
      <w:start w:val="1"/>
      <w:numFmt w:val="lowerLetter"/>
      <w:lvlText w:val="%2)"/>
      <w:lvlJc w:val="left"/>
      <w:pPr>
        <w:ind w:left="1440" w:hanging="360"/>
      </w:pPr>
    </w:lvl>
    <w:lvl w:ilvl="2" w:tplc="40B48998">
      <w:start w:val="1"/>
      <w:numFmt w:val="lowerLetter"/>
      <w:lvlText w:val="%3)"/>
      <w:lvlJc w:val="left"/>
      <w:pPr>
        <w:ind w:left="1440" w:hanging="360"/>
      </w:pPr>
    </w:lvl>
    <w:lvl w:ilvl="3" w:tplc="045C9FC6">
      <w:start w:val="1"/>
      <w:numFmt w:val="lowerLetter"/>
      <w:lvlText w:val="%4)"/>
      <w:lvlJc w:val="left"/>
      <w:pPr>
        <w:ind w:left="1440" w:hanging="360"/>
      </w:pPr>
    </w:lvl>
    <w:lvl w:ilvl="4" w:tplc="10BC77A2">
      <w:start w:val="1"/>
      <w:numFmt w:val="lowerLetter"/>
      <w:lvlText w:val="%5)"/>
      <w:lvlJc w:val="left"/>
      <w:pPr>
        <w:ind w:left="1440" w:hanging="360"/>
      </w:pPr>
    </w:lvl>
    <w:lvl w:ilvl="5" w:tplc="00BEC86E">
      <w:start w:val="1"/>
      <w:numFmt w:val="lowerLetter"/>
      <w:lvlText w:val="%6)"/>
      <w:lvlJc w:val="left"/>
      <w:pPr>
        <w:ind w:left="1440" w:hanging="360"/>
      </w:pPr>
    </w:lvl>
    <w:lvl w:ilvl="6" w:tplc="B5C003EC">
      <w:start w:val="1"/>
      <w:numFmt w:val="lowerLetter"/>
      <w:lvlText w:val="%7)"/>
      <w:lvlJc w:val="left"/>
      <w:pPr>
        <w:ind w:left="1440" w:hanging="360"/>
      </w:pPr>
    </w:lvl>
    <w:lvl w:ilvl="7" w:tplc="E760F6C8">
      <w:start w:val="1"/>
      <w:numFmt w:val="lowerLetter"/>
      <w:lvlText w:val="%8)"/>
      <w:lvlJc w:val="left"/>
      <w:pPr>
        <w:ind w:left="1440" w:hanging="360"/>
      </w:pPr>
    </w:lvl>
    <w:lvl w:ilvl="8" w:tplc="DCBA8A0E">
      <w:start w:val="1"/>
      <w:numFmt w:val="lowerLetter"/>
      <w:lvlText w:val="%9)"/>
      <w:lvlJc w:val="left"/>
      <w:pPr>
        <w:ind w:left="1440" w:hanging="360"/>
      </w:pPr>
    </w:lvl>
  </w:abstractNum>
  <w:abstractNum w:abstractNumId="3" w15:restartNumberingAfterBreak="0">
    <w:nsid w:val="37FE586E"/>
    <w:multiLevelType w:val="hybridMultilevel"/>
    <w:tmpl w:val="2794CA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7F3603"/>
    <w:multiLevelType w:val="multilevel"/>
    <w:tmpl w:val="9E8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37328"/>
    <w:multiLevelType w:val="hybridMultilevel"/>
    <w:tmpl w:val="38DA689E"/>
    <w:lvl w:ilvl="0" w:tplc="D5B87B38">
      <w:start w:val="1"/>
      <w:numFmt w:val="lowerLetter"/>
      <w:lvlText w:val="%1)"/>
      <w:lvlJc w:val="left"/>
      <w:pPr>
        <w:ind w:left="1440" w:hanging="360"/>
      </w:pPr>
    </w:lvl>
    <w:lvl w:ilvl="1" w:tplc="8D045A2A">
      <w:start w:val="1"/>
      <w:numFmt w:val="lowerLetter"/>
      <w:lvlText w:val="%2)"/>
      <w:lvlJc w:val="left"/>
      <w:pPr>
        <w:ind w:left="1440" w:hanging="360"/>
      </w:pPr>
    </w:lvl>
    <w:lvl w:ilvl="2" w:tplc="64B886D6">
      <w:start w:val="1"/>
      <w:numFmt w:val="lowerLetter"/>
      <w:lvlText w:val="%3)"/>
      <w:lvlJc w:val="left"/>
      <w:pPr>
        <w:ind w:left="1440" w:hanging="360"/>
      </w:pPr>
    </w:lvl>
    <w:lvl w:ilvl="3" w:tplc="4D7ABA9E">
      <w:start w:val="1"/>
      <w:numFmt w:val="lowerLetter"/>
      <w:lvlText w:val="%4)"/>
      <w:lvlJc w:val="left"/>
      <w:pPr>
        <w:ind w:left="1440" w:hanging="360"/>
      </w:pPr>
    </w:lvl>
    <w:lvl w:ilvl="4" w:tplc="CAC8066A">
      <w:start w:val="1"/>
      <w:numFmt w:val="lowerLetter"/>
      <w:lvlText w:val="%5)"/>
      <w:lvlJc w:val="left"/>
      <w:pPr>
        <w:ind w:left="1440" w:hanging="360"/>
      </w:pPr>
    </w:lvl>
    <w:lvl w:ilvl="5" w:tplc="59E29488">
      <w:start w:val="1"/>
      <w:numFmt w:val="lowerLetter"/>
      <w:lvlText w:val="%6)"/>
      <w:lvlJc w:val="left"/>
      <w:pPr>
        <w:ind w:left="1440" w:hanging="360"/>
      </w:pPr>
    </w:lvl>
    <w:lvl w:ilvl="6" w:tplc="8A206974">
      <w:start w:val="1"/>
      <w:numFmt w:val="lowerLetter"/>
      <w:lvlText w:val="%7)"/>
      <w:lvlJc w:val="left"/>
      <w:pPr>
        <w:ind w:left="1440" w:hanging="360"/>
      </w:pPr>
    </w:lvl>
    <w:lvl w:ilvl="7" w:tplc="290CF53A">
      <w:start w:val="1"/>
      <w:numFmt w:val="lowerLetter"/>
      <w:lvlText w:val="%8)"/>
      <w:lvlJc w:val="left"/>
      <w:pPr>
        <w:ind w:left="1440" w:hanging="360"/>
      </w:pPr>
    </w:lvl>
    <w:lvl w:ilvl="8" w:tplc="5502C0B4">
      <w:start w:val="1"/>
      <w:numFmt w:val="lowerLetter"/>
      <w:lvlText w:val="%9)"/>
      <w:lvlJc w:val="left"/>
      <w:pPr>
        <w:ind w:left="1440" w:hanging="360"/>
      </w:pPr>
    </w:lvl>
  </w:abstractNum>
  <w:abstractNum w:abstractNumId="6" w15:restartNumberingAfterBreak="0">
    <w:nsid w:val="5A680CCA"/>
    <w:multiLevelType w:val="hybridMultilevel"/>
    <w:tmpl w:val="2794CA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75223E"/>
    <w:multiLevelType w:val="hybridMultilevel"/>
    <w:tmpl w:val="4B0215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21626B"/>
    <w:multiLevelType w:val="multilevel"/>
    <w:tmpl w:val="CB9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837466">
    <w:abstractNumId w:val="4"/>
  </w:num>
  <w:num w:numId="2" w16cid:durableId="522130187">
    <w:abstractNumId w:val="8"/>
  </w:num>
  <w:num w:numId="3" w16cid:durableId="415172805">
    <w:abstractNumId w:val="3"/>
  </w:num>
  <w:num w:numId="4" w16cid:durableId="1410276384">
    <w:abstractNumId w:val="7"/>
  </w:num>
  <w:num w:numId="5" w16cid:durableId="641496770">
    <w:abstractNumId w:val="1"/>
  </w:num>
  <w:num w:numId="6" w16cid:durableId="786630419">
    <w:abstractNumId w:val="0"/>
  </w:num>
  <w:num w:numId="7" w16cid:durableId="854735020">
    <w:abstractNumId w:val="6"/>
  </w:num>
  <w:num w:numId="8" w16cid:durableId="1437213924">
    <w:abstractNumId w:val="2"/>
  </w:num>
  <w:num w:numId="9" w16cid:durableId="1569724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FA"/>
    <w:rsid w:val="0000163E"/>
    <w:rsid w:val="0000214C"/>
    <w:rsid w:val="000044A0"/>
    <w:rsid w:val="000048C9"/>
    <w:rsid w:val="00011B46"/>
    <w:rsid w:val="000219BD"/>
    <w:rsid w:val="00022664"/>
    <w:rsid w:val="00022691"/>
    <w:rsid w:val="0002358B"/>
    <w:rsid w:val="00027B59"/>
    <w:rsid w:val="00042233"/>
    <w:rsid w:val="00043CC4"/>
    <w:rsid w:val="0005008A"/>
    <w:rsid w:val="00061D83"/>
    <w:rsid w:val="00061FA4"/>
    <w:rsid w:val="00062C7A"/>
    <w:rsid w:val="000727E2"/>
    <w:rsid w:val="000801F2"/>
    <w:rsid w:val="00083396"/>
    <w:rsid w:val="000A10BE"/>
    <w:rsid w:val="000A1110"/>
    <w:rsid w:val="000A3E1F"/>
    <w:rsid w:val="000A42CD"/>
    <w:rsid w:val="000A6414"/>
    <w:rsid w:val="000A672E"/>
    <w:rsid w:val="000C57C6"/>
    <w:rsid w:val="000D08B8"/>
    <w:rsid w:val="000D4500"/>
    <w:rsid w:val="000F08AA"/>
    <w:rsid w:val="000F15C2"/>
    <w:rsid w:val="000F1AC6"/>
    <w:rsid w:val="000F3078"/>
    <w:rsid w:val="000F6883"/>
    <w:rsid w:val="00112B09"/>
    <w:rsid w:val="00116287"/>
    <w:rsid w:val="0011642D"/>
    <w:rsid w:val="00117BBC"/>
    <w:rsid w:val="00136283"/>
    <w:rsid w:val="00144394"/>
    <w:rsid w:val="0015627A"/>
    <w:rsid w:val="00160A84"/>
    <w:rsid w:val="00162ED9"/>
    <w:rsid w:val="00163E80"/>
    <w:rsid w:val="001732E7"/>
    <w:rsid w:val="001A0CD3"/>
    <w:rsid w:val="001A3B59"/>
    <w:rsid w:val="001B0A4F"/>
    <w:rsid w:val="001B27B7"/>
    <w:rsid w:val="001C1C1A"/>
    <w:rsid w:val="001C4BCC"/>
    <w:rsid w:val="001D0995"/>
    <w:rsid w:val="001D27B4"/>
    <w:rsid w:val="001D3A2C"/>
    <w:rsid w:val="001F4B26"/>
    <w:rsid w:val="00211561"/>
    <w:rsid w:val="00214108"/>
    <w:rsid w:val="00217D90"/>
    <w:rsid w:val="00235BC5"/>
    <w:rsid w:val="00243B00"/>
    <w:rsid w:val="00243B65"/>
    <w:rsid w:val="00250E11"/>
    <w:rsid w:val="00255D4B"/>
    <w:rsid w:val="00257120"/>
    <w:rsid w:val="00257E90"/>
    <w:rsid w:val="002627E3"/>
    <w:rsid w:val="002649A0"/>
    <w:rsid w:val="00265827"/>
    <w:rsid w:val="002714BF"/>
    <w:rsid w:val="002718E2"/>
    <w:rsid w:val="00273BD0"/>
    <w:rsid w:val="00273F6B"/>
    <w:rsid w:val="00275D60"/>
    <w:rsid w:val="00282125"/>
    <w:rsid w:val="0028341D"/>
    <w:rsid w:val="0028433E"/>
    <w:rsid w:val="0028550E"/>
    <w:rsid w:val="002916B6"/>
    <w:rsid w:val="002A281C"/>
    <w:rsid w:val="002B2A94"/>
    <w:rsid w:val="002D0109"/>
    <w:rsid w:val="002D359C"/>
    <w:rsid w:val="002D7AD3"/>
    <w:rsid w:val="002E2F1A"/>
    <w:rsid w:val="002E360E"/>
    <w:rsid w:val="002E392E"/>
    <w:rsid w:val="002E42C2"/>
    <w:rsid w:val="002E6CA2"/>
    <w:rsid w:val="002E70C3"/>
    <w:rsid w:val="002F2A98"/>
    <w:rsid w:val="002F5F3A"/>
    <w:rsid w:val="002F6830"/>
    <w:rsid w:val="00304B6C"/>
    <w:rsid w:val="00306C1C"/>
    <w:rsid w:val="00320DFA"/>
    <w:rsid w:val="0033045E"/>
    <w:rsid w:val="00334AC6"/>
    <w:rsid w:val="00336321"/>
    <w:rsid w:val="003424E0"/>
    <w:rsid w:val="0034657F"/>
    <w:rsid w:val="003502D0"/>
    <w:rsid w:val="0035548E"/>
    <w:rsid w:val="00356F78"/>
    <w:rsid w:val="00366375"/>
    <w:rsid w:val="00373DD7"/>
    <w:rsid w:val="00384BD7"/>
    <w:rsid w:val="00396563"/>
    <w:rsid w:val="00396DDA"/>
    <w:rsid w:val="003A5E2D"/>
    <w:rsid w:val="003B1821"/>
    <w:rsid w:val="003C624B"/>
    <w:rsid w:val="003D50E6"/>
    <w:rsid w:val="003E107F"/>
    <w:rsid w:val="003E25B5"/>
    <w:rsid w:val="003E587B"/>
    <w:rsid w:val="00414B97"/>
    <w:rsid w:val="00415DF7"/>
    <w:rsid w:val="004203A0"/>
    <w:rsid w:val="004220F3"/>
    <w:rsid w:val="0046166D"/>
    <w:rsid w:val="00465D46"/>
    <w:rsid w:val="0047203C"/>
    <w:rsid w:val="004744ED"/>
    <w:rsid w:val="00480F37"/>
    <w:rsid w:val="004841B6"/>
    <w:rsid w:val="004904AE"/>
    <w:rsid w:val="004B18F5"/>
    <w:rsid w:val="004B224C"/>
    <w:rsid w:val="004B296F"/>
    <w:rsid w:val="004B4D75"/>
    <w:rsid w:val="004C70A1"/>
    <w:rsid w:val="004D49A3"/>
    <w:rsid w:val="004F2AAE"/>
    <w:rsid w:val="00501267"/>
    <w:rsid w:val="00515D78"/>
    <w:rsid w:val="00516666"/>
    <w:rsid w:val="00522AA6"/>
    <w:rsid w:val="005245CA"/>
    <w:rsid w:val="00533613"/>
    <w:rsid w:val="00533D30"/>
    <w:rsid w:val="00540369"/>
    <w:rsid w:val="005475EB"/>
    <w:rsid w:val="005476C7"/>
    <w:rsid w:val="00567145"/>
    <w:rsid w:val="005708A2"/>
    <w:rsid w:val="005805A1"/>
    <w:rsid w:val="005B12C1"/>
    <w:rsid w:val="005B5EEF"/>
    <w:rsid w:val="005C1112"/>
    <w:rsid w:val="005E5E99"/>
    <w:rsid w:val="005F1834"/>
    <w:rsid w:val="005F6F59"/>
    <w:rsid w:val="00601CB9"/>
    <w:rsid w:val="0060459E"/>
    <w:rsid w:val="00611950"/>
    <w:rsid w:val="00622B02"/>
    <w:rsid w:val="00622E2A"/>
    <w:rsid w:val="00623942"/>
    <w:rsid w:val="00625D69"/>
    <w:rsid w:val="00642D23"/>
    <w:rsid w:val="006477DC"/>
    <w:rsid w:val="00653587"/>
    <w:rsid w:val="006574FE"/>
    <w:rsid w:val="006600ED"/>
    <w:rsid w:val="0066358B"/>
    <w:rsid w:val="00677A83"/>
    <w:rsid w:val="0068010B"/>
    <w:rsid w:val="00682F9D"/>
    <w:rsid w:val="0068550A"/>
    <w:rsid w:val="006A092D"/>
    <w:rsid w:val="006A09F3"/>
    <w:rsid w:val="006A1863"/>
    <w:rsid w:val="006B0514"/>
    <w:rsid w:val="006B2AF1"/>
    <w:rsid w:val="006B35A4"/>
    <w:rsid w:val="006B4C58"/>
    <w:rsid w:val="006C2E83"/>
    <w:rsid w:val="006C50F0"/>
    <w:rsid w:val="006C70D4"/>
    <w:rsid w:val="006E7FCD"/>
    <w:rsid w:val="006F1271"/>
    <w:rsid w:val="006F12AB"/>
    <w:rsid w:val="006F5069"/>
    <w:rsid w:val="006F6E7F"/>
    <w:rsid w:val="00703198"/>
    <w:rsid w:val="007035C6"/>
    <w:rsid w:val="00710543"/>
    <w:rsid w:val="0071285B"/>
    <w:rsid w:val="00716A63"/>
    <w:rsid w:val="00721C7E"/>
    <w:rsid w:val="0072237E"/>
    <w:rsid w:val="0072688E"/>
    <w:rsid w:val="00731475"/>
    <w:rsid w:val="0073197E"/>
    <w:rsid w:val="00742926"/>
    <w:rsid w:val="007442D0"/>
    <w:rsid w:val="0074756F"/>
    <w:rsid w:val="00761C26"/>
    <w:rsid w:val="007621D2"/>
    <w:rsid w:val="00762431"/>
    <w:rsid w:val="00763F79"/>
    <w:rsid w:val="007668B4"/>
    <w:rsid w:val="00771AE5"/>
    <w:rsid w:val="00772B00"/>
    <w:rsid w:val="00772E85"/>
    <w:rsid w:val="007768D4"/>
    <w:rsid w:val="007A3B6C"/>
    <w:rsid w:val="007A6665"/>
    <w:rsid w:val="007C03F6"/>
    <w:rsid w:val="007C0D9D"/>
    <w:rsid w:val="007C148D"/>
    <w:rsid w:val="007C54B9"/>
    <w:rsid w:val="007C713A"/>
    <w:rsid w:val="007D004C"/>
    <w:rsid w:val="007D63E0"/>
    <w:rsid w:val="007D76B9"/>
    <w:rsid w:val="007E14C0"/>
    <w:rsid w:val="007E36FC"/>
    <w:rsid w:val="007F51B0"/>
    <w:rsid w:val="007F7B87"/>
    <w:rsid w:val="00802E73"/>
    <w:rsid w:val="008220CA"/>
    <w:rsid w:val="00822126"/>
    <w:rsid w:val="008377B1"/>
    <w:rsid w:val="008401BD"/>
    <w:rsid w:val="00846498"/>
    <w:rsid w:val="00857EFC"/>
    <w:rsid w:val="00860D1C"/>
    <w:rsid w:val="0086525B"/>
    <w:rsid w:val="00865FF7"/>
    <w:rsid w:val="008679C8"/>
    <w:rsid w:val="00887F0E"/>
    <w:rsid w:val="00892F04"/>
    <w:rsid w:val="00893DB6"/>
    <w:rsid w:val="008A217D"/>
    <w:rsid w:val="008A6C63"/>
    <w:rsid w:val="008B0494"/>
    <w:rsid w:val="008B258B"/>
    <w:rsid w:val="008B3113"/>
    <w:rsid w:val="008B3174"/>
    <w:rsid w:val="008B419B"/>
    <w:rsid w:val="008B5393"/>
    <w:rsid w:val="008B6866"/>
    <w:rsid w:val="008B7D21"/>
    <w:rsid w:val="008C3097"/>
    <w:rsid w:val="008C5735"/>
    <w:rsid w:val="008D4D4D"/>
    <w:rsid w:val="008F63E1"/>
    <w:rsid w:val="009039BE"/>
    <w:rsid w:val="00903CA0"/>
    <w:rsid w:val="0092322D"/>
    <w:rsid w:val="00923A05"/>
    <w:rsid w:val="00931CA6"/>
    <w:rsid w:val="00935955"/>
    <w:rsid w:val="0095000C"/>
    <w:rsid w:val="00950F0B"/>
    <w:rsid w:val="00956E91"/>
    <w:rsid w:val="00963A25"/>
    <w:rsid w:val="009730FC"/>
    <w:rsid w:val="00976195"/>
    <w:rsid w:val="009870A7"/>
    <w:rsid w:val="00987D42"/>
    <w:rsid w:val="009968A2"/>
    <w:rsid w:val="009A354D"/>
    <w:rsid w:val="009A3972"/>
    <w:rsid w:val="009B5FA0"/>
    <w:rsid w:val="009B6727"/>
    <w:rsid w:val="009C1709"/>
    <w:rsid w:val="009D3F65"/>
    <w:rsid w:val="009E4878"/>
    <w:rsid w:val="009E7373"/>
    <w:rsid w:val="009E7F2F"/>
    <w:rsid w:val="009F299C"/>
    <w:rsid w:val="009F6882"/>
    <w:rsid w:val="00A00C2E"/>
    <w:rsid w:val="00A0520C"/>
    <w:rsid w:val="00A0641E"/>
    <w:rsid w:val="00A06D2B"/>
    <w:rsid w:val="00A209DA"/>
    <w:rsid w:val="00A30AC3"/>
    <w:rsid w:val="00A41178"/>
    <w:rsid w:val="00A4561B"/>
    <w:rsid w:val="00A45811"/>
    <w:rsid w:val="00A53257"/>
    <w:rsid w:val="00A607DA"/>
    <w:rsid w:val="00A80D45"/>
    <w:rsid w:val="00A82CE3"/>
    <w:rsid w:val="00A91153"/>
    <w:rsid w:val="00AA19E7"/>
    <w:rsid w:val="00AA3D97"/>
    <w:rsid w:val="00AA52C7"/>
    <w:rsid w:val="00AB464D"/>
    <w:rsid w:val="00AB6B70"/>
    <w:rsid w:val="00AC060E"/>
    <w:rsid w:val="00AC0BC9"/>
    <w:rsid w:val="00AC42AA"/>
    <w:rsid w:val="00AD4512"/>
    <w:rsid w:val="00AE3729"/>
    <w:rsid w:val="00AF11A1"/>
    <w:rsid w:val="00AF165F"/>
    <w:rsid w:val="00B028C1"/>
    <w:rsid w:val="00B276EC"/>
    <w:rsid w:val="00B31512"/>
    <w:rsid w:val="00B331C1"/>
    <w:rsid w:val="00B3396F"/>
    <w:rsid w:val="00B3733B"/>
    <w:rsid w:val="00B52F43"/>
    <w:rsid w:val="00B62256"/>
    <w:rsid w:val="00B6395B"/>
    <w:rsid w:val="00B66748"/>
    <w:rsid w:val="00B7322A"/>
    <w:rsid w:val="00B76E06"/>
    <w:rsid w:val="00BA28B1"/>
    <w:rsid w:val="00BC2026"/>
    <w:rsid w:val="00BC403A"/>
    <w:rsid w:val="00BC5A97"/>
    <w:rsid w:val="00BD0E50"/>
    <w:rsid w:val="00BD76B5"/>
    <w:rsid w:val="00BE4771"/>
    <w:rsid w:val="00BF5147"/>
    <w:rsid w:val="00C00EB5"/>
    <w:rsid w:val="00C059E5"/>
    <w:rsid w:val="00C36314"/>
    <w:rsid w:val="00C42679"/>
    <w:rsid w:val="00C45E8E"/>
    <w:rsid w:val="00C46B52"/>
    <w:rsid w:val="00C515CB"/>
    <w:rsid w:val="00C52CD5"/>
    <w:rsid w:val="00C53D50"/>
    <w:rsid w:val="00C56EEC"/>
    <w:rsid w:val="00C632CD"/>
    <w:rsid w:val="00C637F6"/>
    <w:rsid w:val="00C93F97"/>
    <w:rsid w:val="00CB616C"/>
    <w:rsid w:val="00CC50CC"/>
    <w:rsid w:val="00CD2706"/>
    <w:rsid w:val="00CE1F36"/>
    <w:rsid w:val="00CE20CC"/>
    <w:rsid w:val="00D112DD"/>
    <w:rsid w:val="00D12805"/>
    <w:rsid w:val="00D30D09"/>
    <w:rsid w:val="00D374B4"/>
    <w:rsid w:val="00D40665"/>
    <w:rsid w:val="00D447FF"/>
    <w:rsid w:val="00D472D9"/>
    <w:rsid w:val="00D51F96"/>
    <w:rsid w:val="00D56D00"/>
    <w:rsid w:val="00D60CC9"/>
    <w:rsid w:val="00D61863"/>
    <w:rsid w:val="00D64526"/>
    <w:rsid w:val="00D76159"/>
    <w:rsid w:val="00D77001"/>
    <w:rsid w:val="00D838F6"/>
    <w:rsid w:val="00D90ED7"/>
    <w:rsid w:val="00D93700"/>
    <w:rsid w:val="00DA34B3"/>
    <w:rsid w:val="00DB58FD"/>
    <w:rsid w:val="00DB5962"/>
    <w:rsid w:val="00DC080B"/>
    <w:rsid w:val="00DC4FDF"/>
    <w:rsid w:val="00DD51EC"/>
    <w:rsid w:val="00DE154D"/>
    <w:rsid w:val="00DE4439"/>
    <w:rsid w:val="00DE6356"/>
    <w:rsid w:val="00DF6882"/>
    <w:rsid w:val="00DF74A4"/>
    <w:rsid w:val="00E27FD8"/>
    <w:rsid w:val="00E34304"/>
    <w:rsid w:val="00E378BE"/>
    <w:rsid w:val="00E4258A"/>
    <w:rsid w:val="00E5221D"/>
    <w:rsid w:val="00E53DA9"/>
    <w:rsid w:val="00E54A36"/>
    <w:rsid w:val="00E723D9"/>
    <w:rsid w:val="00E725EB"/>
    <w:rsid w:val="00E8357C"/>
    <w:rsid w:val="00E9009D"/>
    <w:rsid w:val="00E941EF"/>
    <w:rsid w:val="00E942A2"/>
    <w:rsid w:val="00E96B7D"/>
    <w:rsid w:val="00E96E9F"/>
    <w:rsid w:val="00EA03D5"/>
    <w:rsid w:val="00EB066C"/>
    <w:rsid w:val="00EB0F6F"/>
    <w:rsid w:val="00EB2188"/>
    <w:rsid w:val="00EB4DCB"/>
    <w:rsid w:val="00EB7243"/>
    <w:rsid w:val="00EC7900"/>
    <w:rsid w:val="00EE281C"/>
    <w:rsid w:val="00EE2D47"/>
    <w:rsid w:val="00F03D6A"/>
    <w:rsid w:val="00F065C0"/>
    <w:rsid w:val="00F141A0"/>
    <w:rsid w:val="00F15DF4"/>
    <w:rsid w:val="00F235F1"/>
    <w:rsid w:val="00F24887"/>
    <w:rsid w:val="00F316C2"/>
    <w:rsid w:val="00F37606"/>
    <w:rsid w:val="00F416C6"/>
    <w:rsid w:val="00F44B68"/>
    <w:rsid w:val="00F5407F"/>
    <w:rsid w:val="00F544B3"/>
    <w:rsid w:val="00F643CE"/>
    <w:rsid w:val="00F64C34"/>
    <w:rsid w:val="00F653B6"/>
    <w:rsid w:val="00F665A0"/>
    <w:rsid w:val="00F73308"/>
    <w:rsid w:val="00F73924"/>
    <w:rsid w:val="00F75C75"/>
    <w:rsid w:val="00F775F9"/>
    <w:rsid w:val="00F841BA"/>
    <w:rsid w:val="00F920A5"/>
    <w:rsid w:val="00FB2E17"/>
    <w:rsid w:val="00FB2E19"/>
    <w:rsid w:val="00FC1ED7"/>
    <w:rsid w:val="00FC2182"/>
    <w:rsid w:val="00FC54BD"/>
    <w:rsid w:val="00FC6103"/>
    <w:rsid w:val="00FC63A2"/>
    <w:rsid w:val="00FD2512"/>
    <w:rsid w:val="00FD3760"/>
    <w:rsid w:val="00FD4186"/>
    <w:rsid w:val="00FE073E"/>
    <w:rsid w:val="00FE55A6"/>
    <w:rsid w:val="00FF4F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D068"/>
  <w15:chartTrackingRefBased/>
  <w15:docId w15:val="{1EE02665-0B09-4E1B-A81D-FAE8BB23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FA"/>
    <w:pPr>
      <w:widowControl w:val="0"/>
      <w:spacing w:after="0" w:line="240" w:lineRule="auto"/>
    </w:pPr>
    <w:rPr>
      <w:rFonts w:ascii="Times" w:eastAsia="Times New Roman" w:hAnsi="Times" w:cs="Times"/>
      <w:color w:val="000000"/>
      <w:kern w:val="0"/>
      <w:sz w:val="24"/>
      <w:szCs w:val="24"/>
      <w:lang w:eastAsia="zh-CN"/>
      <w14:ligatures w14:val="none"/>
    </w:rPr>
  </w:style>
  <w:style w:type="paragraph" w:styleId="Heading1">
    <w:name w:val="heading 1"/>
    <w:basedOn w:val="Normal"/>
    <w:next w:val="Normal"/>
    <w:link w:val="Heading1Char"/>
    <w:qFormat/>
    <w:rsid w:val="00320DFA"/>
    <w:pPr>
      <w:keepNext/>
      <w:widowControl/>
      <w:ind w:left="1133" w:hanging="1157"/>
      <w:jc w:val="center"/>
      <w:outlineLvl w:val="0"/>
    </w:pPr>
    <w:rPr>
      <w:i/>
      <w:iCs/>
    </w:rPr>
  </w:style>
  <w:style w:type="paragraph" w:styleId="Heading3">
    <w:name w:val="heading 3"/>
    <w:basedOn w:val="Normal"/>
    <w:next w:val="Normal"/>
    <w:link w:val="Heading3Char"/>
    <w:uiPriority w:val="9"/>
    <w:semiHidden/>
    <w:unhideWhenUsed/>
    <w:qFormat/>
    <w:rsid w:val="00AC06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DFA"/>
    <w:rPr>
      <w:rFonts w:ascii="Times" w:eastAsia="Times New Roman" w:hAnsi="Times" w:cs="Times"/>
      <w:i/>
      <w:iCs/>
      <w:color w:val="000000"/>
      <w:kern w:val="0"/>
      <w:sz w:val="24"/>
      <w:szCs w:val="24"/>
      <w:lang w:eastAsia="zh-CN"/>
      <w14:ligatures w14:val="none"/>
    </w:rPr>
  </w:style>
  <w:style w:type="paragraph" w:styleId="Title">
    <w:name w:val="Title"/>
    <w:basedOn w:val="Normal"/>
    <w:link w:val="TitleChar"/>
    <w:qFormat/>
    <w:rsid w:val="00320DFA"/>
    <w:pPr>
      <w:widowControl/>
      <w:jc w:val="center"/>
    </w:pPr>
    <w:rPr>
      <w:b/>
      <w:bCs/>
      <w:u w:val="single"/>
    </w:rPr>
  </w:style>
  <w:style w:type="character" w:customStyle="1" w:styleId="TitleChar">
    <w:name w:val="Title Char"/>
    <w:basedOn w:val="DefaultParagraphFont"/>
    <w:link w:val="Title"/>
    <w:rsid w:val="00320DFA"/>
    <w:rPr>
      <w:rFonts w:ascii="Times" w:eastAsia="Times New Roman" w:hAnsi="Times" w:cs="Times"/>
      <w:b/>
      <w:bCs/>
      <w:color w:val="000000"/>
      <w:kern w:val="0"/>
      <w:sz w:val="24"/>
      <w:szCs w:val="24"/>
      <w:u w:val="single"/>
      <w:lang w:eastAsia="zh-CN"/>
      <w14:ligatures w14:val="none"/>
    </w:rPr>
  </w:style>
  <w:style w:type="paragraph" w:styleId="Footer">
    <w:name w:val="footer"/>
    <w:basedOn w:val="Normal"/>
    <w:link w:val="FooterChar"/>
    <w:uiPriority w:val="99"/>
    <w:unhideWhenUsed/>
    <w:rsid w:val="00320DFA"/>
    <w:pPr>
      <w:tabs>
        <w:tab w:val="center" w:pos="4513"/>
        <w:tab w:val="right" w:pos="9026"/>
      </w:tabs>
    </w:pPr>
  </w:style>
  <w:style w:type="character" w:customStyle="1" w:styleId="FooterChar">
    <w:name w:val="Footer Char"/>
    <w:basedOn w:val="DefaultParagraphFont"/>
    <w:link w:val="Footer"/>
    <w:uiPriority w:val="99"/>
    <w:rsid w:val="00320DFA"/>
    <w:rPr>
      <w:rFonts w:ascii="Times" w:eastAsia="Times New Roman" w:hAnsi="Times" w:cs="Times"/>
      <w:color w:val="000000"/>
      <w:kern w:val="0"/>
      <w:sz w:val="24"/>
      <w:szCs w:val="24"/>
      <w:lang w:eastAsia="zh-CN"/>
      <w14:ligatures w14:val="none"/>
    </w:rPr>
  </w:style>
  <w:style w:type="paragraph" w:styleId="FootnoteText">
    <w:name w:val="footnote text"/>
    <w:basedOn w:val="Normal"/>
    <w:link w:val="FootnoteTextChar"/>
    <w:semiHidden/>
    <w:unhideWhenUsed/>
    <w:rsid w:val="00320DFA"/>
    <w:rPr>
      <w:sz w:val="20"/>
      <w:szCs w:val="20"/>
    </w:rPr>
  </w:style>
  <w:style w:type="character" w:customStyle="1" w:styleId="FootnoteTextChar">
    <w:name w:val="Footnote Text Char"/>
    <w:basedOn w:val="DefaultParagraphFont"/>
    <w:link w:val="FootnoteText"/>
    <w:semiHidden/>
    <w:rsid w:val="00320DFA"/>
    <w:rPr>
      <w:rFonts w:ascii="Times" w:eastAsia="Times New Roman" w:hAnsi="Times" w:cs="Times"/>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320DFA"/>
    <w:rPr>
      <w:vertAlign w:val="superscript"/>
    </w:rPr>
  </w:style>
  <w:style w:type="character" w:styleId="CommentReference">
    <w:name w:val="annotation reference"/>
    <w:basedOn w:val="DefaultParagraphFont"/>
    <w:semiHidden/>
    <w:unhideWhenUsed/>
    <w:rsid w:val="00320DFA"/>
    <w:rPr>
      <w:sz w:val="16"/>
      <w:szCs w:val="16"/>
    </w:rPr>
  </w:style>
  <w:style w:type="paragraph" w:styleId="CommentText">
    <w:name w:val="annotation text"/>
    <w:basedOn w:val="Normal"/>
    <w:link w:val="CommentTextChar"/>
    <w:unhideWhenUsed/>
    <w:rsid w:val="000F08AA"/>
    <w:rPr>
      <w:rFonts w:asciiTheme="minorHAnsi" w:hAnsiTheme="minorHAnsi"/>
      <w:sz w:val="22"/>
      <w:szCs w:val="20"/>
    </w:rPr>
  </w:style>
  <w:style w:type="character" w:customStyle="1" w:styleId="CommentTextChar">
    <w:name w:val="Comment Text Char"/>
    <w:basedOn w:val="DefaultParagraphFont"/>
    <w:link w:val="CommentText"/>
    <w:rsid w:val="000F08AA"/>
    <w:rPr>
      <w:rFonts w:eastAsia="Times New Roman" w:cs="Times"/>
      <w:color w:val="000000"/>
      <w:kern w:val="0"/>
      <w:szCs w:val="20"/>
      <w:lang w:eastAsia="zh-CN"/>
      <w14:ligatures w14:val="none"/>
    </w:rPr>
  </w:style>
  <w:style w:type="paragraph" w:styleId="Header">
    <w:name w:val="header"/>
    <w:basedOn w:val="Normal"/>
    <w:link w:val="HeaderChar"/>
    <w:uiPriority w:val="99"/>
    <w:unhideWhenUsed/>
    <w:rsid w:val="00320DFA"/>
    <w:pPr>
      <w:tabs>
        <w:tab w:val="center" w:pos="4513"/>
        <w:tab w:val="right" w:pos="9026"/>
      </w:tabs>
    </w:pPr>
  </w:style>
  <w:style w:type="character" w:customStyle="1" w:styleId="HeaderChar">
    <w:name w:val="Header Char"/>
    <w:basedOn w:val="DefaultParagraphFont"/>
    <w:link w:val="Header"/>
    <w:uiPriority w:val="99"/>
    <w:rsid w:val="00320DFA"/>
    <w:rPr>
      <w:rFonts w:ascii="Times" w:eastAsia="Times New Roman" w:hAnsi="Times" w:cs="Times"/>
      <w:color w:val="000000"/>
      <w:kern w:val="0"/>
      <w:sz w:val="24"/>
      <w:szCs w:val="24"/>
      <w:lang w:eastAsia="zh-CN"/>
      <w14:ligatures w14:val="none"/>
    </w:rPr>
  </w:style>
  <w:style w:type="paragraph" w:customStyle="1" w:styleId="listparagraph">
    <w:name w:val="listparagraph"/>
    <w:basedOn w:val="Normal"/>
    <w:rsid w:val="00320DFA"/>
    <w:pPr>
      <w:widowControl/>
      <w:spacing w:before="100" w:beforeAutospacing="1" w:after="100" w:afterAutospacing="1"/>
    </w:pPr>
    <w:rPr>
      <w:rFonts w:ascii="Times New Roman" w:hAnsi="Times New Roman" w:cs="Times New Roman"/>
      <w:color w:val="auto"/>
      <w:lang w:eastAsia="en-AU"/>
    </w:rPr>
  </w:style>
  <w:style w:type="paragraph" w:styleId="NormalWeb">
    <w:name w:val="Normal (Web)"/>
    <w:basedOn w:val="Normal"/>
    <w:uiPriority w:val="99"/>
    <w:unhideWhenUsed/>
    <w:rsid w:val="00320DFA"/>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0163E"/>
    <w:rPr>
      <w:b/>
      <w:bCs/>
    </w:rPr>
  </w:style>
  <w:style w:type="character" w:customStyle="1" w:styleId="CommentSubjectChar">
    <w:name w:val="Comment Subject Char"/>
    <w:basedOn w:val="CommentTextChar"/>
    <w:link w:val="CommentSubject"/>
    <w:uiPriority w:val="99"/>
    <w:semiHidden/>
    <w:rsid w:val="0000163E"/>
    <w:rPr>
      <w:rFonts w:ascii="Times" w:eastAsia="Times New Roman" w:hAnsi="Times" w:cs="Times"/>
      <w:b/>
      <w:bCs/>
      <w:color w:val="000000"/>
      <w:kern w:val="0"/>
      <w:sz w:val="20"/>
      <w:szCs w:val="20"/>
      <w:lang w:eastAsia="zh-CN"/>
      <w14:ligatures w14:val="none"/>
    </w:rPr>
  </w:style>
  <w:style w:type="paragraph" w:styleId="Revision">
    <w:name w:val="Revision"/>
    <w:hidden/>
    <w:uiPriority w:val="99"/>
    <w:semiHidden/>
    <w:rsid w:val="00FB2E19"/>
    <w:pPr>
      <w:spacing w:after="0" w:line="240" w:lineRule="auto"/>
    </w:pPr>
    <w:rPr>
      <w:rFonts w:ascii="Times" w:eastAsia="Times New Roman" w:hAnsi="Times" w:cs="Times"/>
      <w:color w:val="000000"/>
      <w:kern w:val="0"/>
      <w:sz w:val="24"/>
      <w:szCs w:val="24"/>
      <w:lang w:eastAsia="zh-CN"/>
      <w14:ligatures w14:val="none"/>
    </w:rPr>
  </w:style>
  <w:style w:type="paragraph" w:styleId="ListParagraph0">
    <w:name w:val="List Paragraph"/>
    <w:basedOn w:val="Normal"/>
    <w:uiPriority w:val="34"/>
    <w:qFormat/>
    <w:rsid w:val="00AC42AA"/>
    <w:pPr>
      <w:ind w:left="720"/>
      <w:contextualSpacing/>
    </w:pPr>
  </w:style>
  <w:style w:type="paragraph" w:styleId="BalloonText">
    <w:name w:val="Balloon Text"/>
    <w:basedOn w:val="Normal"/>
    <w:link w:val="BalloonTextChar"/>
    <w:uiPriority w:val="99"/>
    <w:semiHidden/>
    <w:unhideWhenUsed/>
    <w:rsid w:val="00004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8C9"/>
    <w:rPr>
      <w:rFonts w:ascii="Segoe UI" w:eastAsia="Times New Roman" w:hAnsi="Segoe UI" w:cs="Segoe UI"/>
      <w:color w:val="000000"/>
      <w:kern w:val="0"/>
      <w:sz w:val="18"/>
      <w:szCs w:val="18"/>
      <w:lang w:eastAsia="zh-CN"/>
      <w14:ligatures w14:val="none"/>
    </w:rPr>
  </w:style>
  <w:style w:type="character" w:customStyle="1" w:styleId="normaltextrun">
    <w:name w:val="normaltextrun"/>
    <w:basedOn w:val="DefaultParagraphFont"/>
    <w:rsid w:val="00E5221D"/>
  </w:style>
  <w:style w:type="character" w:customStyle="1" w:styleId="eop">
    <w:name w:val="eop"/>
    <w:basedOn w:val="DefaultParagraphFont"/>
    <w:rsid w:val="00E5221D"/>
  </w:style>
  <w:style w:type="character" w:customStyle="1" w:styleId="Heading3Char">
    <w:name w:val="Heading 3 Char"/>
    <w:basedOn w:val="DefaultParagraphFont"/>
    <w:link w:val="Heading3"/>
    <w:uiPriority w:val="9"/>
    <w:semiHidden/>
    <w:rsid w:val="00AC060E"/>
    <w:rPr>
      <w:rFonts w:asciiTheme="majorHAnsi" w:eastAsiaTheme="majorEastAsia" w:hAnsiTheme="majorHAnsi" w:cstheme="majorBidi"/>
      <w:color w:val="1F3763" w:themeColor="accent1" w:themeShade="7F"/>
      <w:kern w:val="0"/>
      <w:sz w:val="24"/>
      <w:szCs w:val="24"/>
      <w:lang w:eastAsia="zh-CN"/>
      <w14:ligatures w14:val="none"/>
    </w:rPr>
  </w:style>
  <w:style w:type="paragraph" w:customStyle="1" w:styleId="paragraph">
    <w:name w:val="paragraph"/>
    <w:basedOn w:val="Normal"/>
    <w:rsid w:val="00AC060E"/>
    <w:pPr>
      <w:widowControl/>
      <w:spacing w:before="100" w:beforeAutospacing="1" w:after="100" w:afterAutospacing="1"/>
    </w:pPr>
    <w:rPr>
      <w:rFonts w:ascii="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7274">
      <w:bodyDiv w:val="1"/>
      <w:marLeft w:val="0"/>
      <w:marRight w:val="0"/>
      <w:marTop w:val="0"/>
      <w:marBottom w:val="0"/>
      <w:divBdr>
        <w:top w:val="none" w:sz="0" w:space="0" w:color="auto"/>
        <w:left w:val="none" w:sz="0" w:space="0" w:color="auto"/>
        <w:bottom w:val="none" w:sz="0" w:space="0" w:color="auto"/>
        <w:right w:val="none" w:sz="0" w:space="0" w:color="auto"/>
      </w:divBdr>
    </w:div>
    <w:div w:id="354505281">
      <w:bodyDiv w:val="1"/>
      <w:marLeft w:val="0"/>
      <w:marRight w:val="0"/>
      <w:marTop w:val="0"/>
      <w:marBottom w:val="0"/>
      <w:divBdr>
        <w:top w:val="none" w:sz="0" w:space="0" w:color="auto"/>
        <w:left w:val="none" w:sz="0" w:space="0" w:color="auto"/>
        <w:bottom w:val="none" w:sz="0" w:space="0" w:color="auto"/>
        <w:right w:val="none" w:sz="0" w:space="0" w:color="auto"/>
      </w:divBdr>
    </w:div>
    <w:div w:id="1386830513">
      <w:bodyDiv w:val="1"/>
      <w:marLeft w:val="0"/>
      <w:marRight w:val="0"/>
      <w:marTop w:val="0"/>
      <w:marBottom w:val="0"/>
      <w:divBdr>
        <w:top w:val="none" w:sz="0" w:space="0" w:color="auto"/>
        <w:left w:val="none" w:sz="0" w:space="0" w:color="auto"/>
        <w:bottom w:val="none" w:sz="0" w:space="0" w:color="auto"/>
        <w:right w:val="none" w:sz="0" w:space="0" w:color="auto"/>
      </w:divBdr>
    </w:div>
    <w:div w:id="19525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F6BB1964BEC942BFB31BBF265BA669" ma:contentTypeVersion="" ma:contentTypeDescription="PDMS Document Site Content Type" ma:contentTypeScope="" ma:versionID="08ba7f1e50cf01cd47f6c83516a97bd7">
  <xsd:schema xmlns:xsd="http://www.w3.org/2001/XMLSchema" xmlns:xs="http://www.w3.org/2001/XMLSchema" xmlns:p="http://schemas.microsoft.com/office/2006/metadata/properties" xmlns:ns2="2E77E422-076B-4D8C-8A4E-3A9B3A53DC48" targetNamespace="http://schemas.microsoft.com/office/2006/metadata/properties" ma:root="true" ma:fieldsID="a20f1ada18635decc9f861baebf2e386" ns2:_="">
    <xsd:import namespace="2E77E422-076B-4D8C-8A4E-3A9B3A53DC4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7E422-076B-4D8C-8A4E-3A9B3A53DC4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 D o c u m e n t s ! 5 0 8 4 3 6 1 7 . 1 < / d o c u m e n t i d >  
     < s e n d e r i d > D U N N J A < / s e n d e r i d >  
     < s e n d e r e m a i l > J A M I E . D U N N @ A G S . G O V . A U < / s e n d e r e m a i l >  
     < l a s t m o d i f i e d > 2 0 2 4 - 0 3 - 1 9 T 1 4 : 1 7 : 0 0 . 0 0 0 0 0 0 0 + 1 1 : 0 0 < / l a s t m o d i f i e d >  
     < d a t a b a s e > D o c u m e n t s 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E77E422-076B-4D8C-8A4E-3A9B3A53DC48" xsi:nil="true"/>
  </documentManagement>
</p:properties>
</file>

<file path=customXml/itemProps1.xml><?xml version="1.0" encoding="utf-8"?>
<ds:datastoreItem xmlns:ds="http://schemas.openxmlformats.org/officeDocument/2006/customXml" ds:itemID="{FCB311E2-C9BC-4E3C-B8AA-1746090C3485}"/>
</file>

<file path=customXml/itemProps2.xml><?xml version="1.0" encoding="utf-8"?>
<ds:datastoreItem xmlns:ds="http://schemas.openxmlformats.org/officeDocument/2006/customXml" ds:itemID="{94228C83-0149-4AFC-A725-0A24D0A90274}">
  <ds:schemaRefs>
    <ds:schemaRef ds:uri="http://www.imanage.com/work/xmlschema"/>
  </ds:schemaRefs>
</ds:datastoreItem>
</file>

<file path=customXml/itemProps3.xml><?xml version="1.0" encoding="utf-8"?>
<ds:datastoreItem xmlns:ds="http://schemas.openxmlformats.org/officeDocument/2006/customXml" ds:itemID="{1D779953-07F4-45B3-A20E-B1B74E07D23F}">
  <ds:schemaRefs>
    <ds:schemaRef ds:uri="http://schemas.microsoft.com/sharepoint/v3/contenttype/forms"/>
  </ds:schemaRefs>
</ds:datastoreItem>
</file>

<file path=customXml/itemProps4.xml><?xml version="1.0" encoding="utf-8"?>
<ds:datastoreItem xmlns:ds="http://schemas.openxmlformats.org/officeDocument/2006/customXml" ds:itemID="{4A1DF096-BA3B-4292-BC7D-76016A760CD2}">
  <ds:schemaRefs>
    <ds:schemaRef ds:uri="http://schemas.microsoft.com/office/2006/metadata/properties"/>
    <ds:schemaRef ds:uri="http://schemas.microsoft.com/office/infopath/2007/PartnerControls"/>
    <ds:schemaRef ds:uri="cc2678e8-03f8-43a5-8285-bb6cd15f03bc"/>
    <ds:schemaRef ds:uri="a77440a7-3e15-4442-a20d-4d8962ae3a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5096</Characters>
  <Application>Microsoft Office Word</Application>
  <DocSecurity>4</DocSecurity>
  <Lines>118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Pitcher</dc:creator>
  <cp:keywords>[SEC=OFFICIAL]</cp:keywords>
  <dc:description/>
  <cp:lastModifiedBy>ISG/RLD/ASO/SAN</cp:lastModifiedBy>
  <cp:revision>2</cp:revision>
  <cp:lastPrinted>2024-03-14T06:01:00Z</cp:lastPrinted>
  <dcterms:created xsi:type="dcterms:W3CDTF">2024-03-19T23:59:00Z</dcterms:created>
  <dcterms:modified xsi:type="dcterms:W3CDTF">2024-03-19T23:59:00Z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v=2022.1;a=SHA256;h=CAD2815B733D693A525CE31EDA1F07B01F6FE6734AB219ACD25A398C1E062AC5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2024-01-25T07:25:03Z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53839EF888FE06984958D84476B5B66657A02D9A</vt:lpwstr>
  </property>
  <property fmtid="{D5CDD505-2E9C-101B-9397-08002B2CF9AE}" pid="14" name="PM_DisplayValueSecClassificationWithQualifier">
    <vt:lpwstr>OFFICIAL</vt:lpwstr>
  </property>
  <property fmtid="{D5CDD505-2E9C-101B-9397-08002B2CF9AE}" pid="15" name="PM_Originating_FileId">
    <vt:lpwstr>F9ED8A63786440D5B7A862BCF7427DD2</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1694DE3F0393E5D833B80AE6FE918B07F1BED54B5006436D4E67837A3E018009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9C71C1142C4E2B289F0DD259F852B907</vt:lpwstr>
  </property>
  <property fmtid="{D5CDD505-2E9C-101B-9397-08002B2CF9AE}" pid="25" name="PM_Hash_Salt">
    <vt:lpwstr>E3928AA0672F47C637B310297C575146</vt:lpwstr>
  </property>
  <property fmtid="{D5CDD505-2E9C-101B-9397-08002B2CF9AE}" pid="26" name="PM_Hash_SHA1">
    <vt:lpwstr>530CDCB3185C66D467EF48BFA4277E83855A92FB</vt:lpwstr>
  </property>
  <property fmtid="{D5CDD505-2E9C-101B-9397-08002B2CF9AE}" pid="27" name="Template Filename">
    <vt:lpwstr/>
  </property>
  <property fmtid="{D5CDD505-2E9C-101B-9397-08002B2CF9AE}" pid="28" name="MediaServiceImageTags">
    <vt:lpwstr/>
  </property>
  <property fmtid="{D5CDD505-2E9C-101B-9397-08002B2CF9AE}" pid="29" name="ContentTypeId">
    <vt:lpwstr>0x010100266966F133664895A6EE3632470D45F5007EF6BB1964BEC942BFB31BBF265BA669</vt:lpwstr>
  </property>
  <property fmtid="{D5CDD505-2E9C-101B-9397-08002B2CF9AE}" pid="30" name="PM_Qualifier_Prev">
    <vt:lpwstr/>
  </property>
  <property fmtid="{D5CDD505-2E9C-101B-9397-08002B2CF9AE}" pid="31" name="LeadingLawyers">
    <vt:lpwstr>Removed</vt:lpwstr>
  </property>
  <property fmtid="{D5CDD505-2E9C-101B-9397-08002B2CF9AE}" pid="32" name="ObjectiveRef">
    <vt:lpwstr>Removed</vt:lpwstr>
  </property>
  <property fmtid="{D5CDD505-2E9C-101B-9397-08002B2CF9AE}" pid="33" name="iManageRef">
    <vt:lpwstr>Updated</vt:lpwstr>
  </property>
  <property fmtid="{D5CDD505-2E9C-101B-9397-08002B2CF9AE}" pid="34" name="PM_SecurityClassification_Prev">
    <vt:lpwstr>OFFICIAL</vt:lpwstr>
  </property>
  <property fmtid="{D5CDD505-2E9C-101B-9397-08002B2CF9AE}" pid="35" name="checkforsharepointfields">
    <vt:lpwstr>True</vt:lpwstr>
  </property>
</Properties>
</file>