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4597" w14:textId="41233676" w:rsidR="00BA4F48" w:rsidRPr="00514C80" w:rsidRDefault="00AD12BE" w:rsidP="003A3E29">
      <w:pPr>
        <w:jc w:val="center"/>
        <w:rPr>
          <w:b/>
          <w:sz w:val="40"/>
          <w:szCs w:val="40"/>
        </w:rPr>
      </w:pPr>
      <w:r w:rsidRPr="00514C80">
        <w:rPr>
          <w:b/>
          <w:sz w:val="40"/>
          <w:szCs w:val="40"/>
        </w:rPr>
        <w:t xml:space="preserve">Vehicle Standard (Australian Design Rule </w:t>
      </w:r>
      <w:r w:rsidR="00F04AAB">
        <w:rPr>
          <w:b/>
          <w:sz w:val="40"/>
          <w:szCs w:val="40"/>
        </w:rPr>
        <w:t>11</w:t>
      </w:r>
      <w:r w:rsidR="00452891">
        <w:rPr>
          <w:b/>
          <w:sz w:val="40"/>
          <w:szCs w:val="40"/>
        </w:rPr>
        <w:t>2</w:t>
      </w:r>
      <w:r w:rsidR="00F04AAB">
        <w:rPr>
          <w:b/>
          <w:sz w:val="40"/>
          <w:szCs w:val="40"/>
        </w:rPr>
        <w:t>/00</w:t>
      </w:r>
      <w:r w:rsidRPr="00514C80">
        <w:rPr>
          <w:b/>
          <w:sz w:val="40"/>
          <w:szCs w:val="40"/>
        </w:rPr>
        <w:t xml:space="preserve"> –</w:t>
      </w:r>
      <w:r w:rsidR="00996FC2">
        <w:rPr>
          <w:b/>
          <w:sz w:val="40"/>
          <w:szCs w:val="40"/>
        </w:rPr>
        <w:t>Control</w:t>
      </w:r>
      <w:r w:rsidRPr="00514C80">
        <w:rPr>
          <w:b/>
          <w:sz w:val="40"/>
          <w:szCs w:val="40"/>
        </w:rPr>
        <w:t xml:space="preserve"> </w:t>
      </w:r>
      <w:r w:rsidR="00452891">
        <w:rPr>
          <w:b/>
          <w:sz w:val="40"/>
          <w:szCs w:val="40"/>
        </w:rPr>
        <w:t xml:space="preserve">of Real Driving Emissions </w:t>
      </w:r>
      <w:r w:rsidRPr="00514C80">
        <w:rPr>
          <w:b/>
          <w:sz w:val="40"/>
          <w:szCs w:val="40"/>
          <w:lang w:val="en-GB"/>
        </w:rPr>
        <w:t xml:space="preserve">for </w:t>
      </w:r>
      <w:r w:rsidR="00F04AAB">
        <w:rPr>
          <w:b/>
          <w:sz w:val="40"/>
          <w:szCs w:val="40"/>
          <w:lang w:val="en-GB"/>
        </w:rPr>
        <w:t>Light</w:t>
      </w:r>
      <w:r w:rsidRPr="00514C80">
        <w:rPr>
          <w:b/>
          <w:sz w:val="40"/>
          <w:szCs w:val="40"/>
          <w:lang w:val="en-GB"/>
        </w:rPr>
        <w:t xml:space="preserve"> Vehicles</w:t>
      </w:r>
      <w:r w:rsidRPr="00514C80">
        <w:rPr>
          <w:b/>
          <w:sz w:val="40"/>
          <w:szCs w:val="40"/>
        </w:rPr>
        <w:t>) 202</w:t>
      </w:r>
      <w:r w:rsidR="00843199">
        <w:rPr>
          <w:b/>
          <w:sz w:val="40"/>
          <w:szCs w:val="40"/>
        </w:rPr>
        <w:t>4</w:t>
      </w:r>
    </w:p>
    <w:p w14:paraId="415A65EE" w14:textId="77777777" w:rsidR="00BA4F48" w:rsidRPr="00514C80" w:rsidRDefault="00BA4F48" w:rsidP="00D82CC0"/>
    <w:p w14:paraId="44053E84" w14:textId="77777777" w:rsidR="00485E16" w:rsidRPr="00514C80" w:rsidRDefault="00485E16" w:rsidP="00D82CC0"/>
    <w:p w14:paraId="183C2CBD" w14:textId="77777777" w:rsidR="00BA4F48" w:rsidRPr="00514C80" w:rsidRDefault="00BA4F48" w:rsidP="00D82CC0"/>
    <w:p w14:paraId="578D1FE2" w14:textId="77777777" w:rsidR="00BA4F48" w:rsidRPr="00514C80" w:rsidRDefault="00BA4F48" w:rsidP="00D82CC0"/>
    <w:p w14:paraId="5C0CF70B" w14:textId="77777777" w:rsidR="00AD12BE" w:rsidRPr="00514C80" w:rsidRDefault="00AD12BE" w:rsidP="00AD12BE">
      <w:pPr>
        <w:jc w:val="center"/>
      </w:pPr>
      <w:r w:rsidRPr="00514C80">
        <w:t xml:space="preserve">Made under section 12 of the </w:t>
      </w:r>
      <w:r w:rsidRPr="00514C80">
        <w:rPr>
          <w:i/>
        </w:rPr>
        <w:t>Road Vehicle Standards Act 2018</w:t>
      </w:r>
    </w:p>
    <w:p w14:paraId="786E47F2" w14:textId="77777777" w:rsidR="00AD12BE" w:rsidRPr="00514C80" w:rsidRDefault="00AD12BE" w:rsidP="00AD12BE"/>
    <w:p w14:paraId="39CAFEC8" w14:textId="77777777" w:rsidR="00AD12BE" w:rsidRPr="00514C80" w:rsidRDefault="00AD12BE" w:rsidP="00AD12BE"/>
    <w:p w14:paraId="3B9D1FD7" w14:textId="77777777" w:rsidR="00AD12BE" w:rsidRPr="00514C80" w:rsidRDefault="00AD12BE" w:rsidP="00AD12BE"/>
    <w:p w14:paraId="15DB4523" w14:textId="77777777" w:rsidR="00AD12BE" w:rsidRPr="00514C80" w:rsidRDefault="00AD12BE" w:rsidP="00AD12BE"/>
    <w:p w14:paraId="17F814E0" w14:textId="77777777" w:rsidR="00AD12BE" w:rsidRPr="00514C80" w:rsidRDefault="00AD12BE" w:rsidP="00AD12BE"/>
    <w:p w14:paraId="2345A1F4" w14:textId="77777777" w:rsidR="00AD12BE" w:rsidRPr="00514C80" w:rsidRDefault="00AD12BE" w:rsidP="00AD12BE">
      <w:pPr>
        <w:jc w:val="center"/>
        <w:rPr>
          <w:b/>
          <w:bCs/>
          <w:sz w:val="40"/>
        </w:rPr>
      </w:pPr>
      <w:r w:rsidRPr="00514C80">
        <w:rPr>
          <w:b/>
          <w:bCs/>
          <w:sz w:val="40"/>
        </w:rPr>
        <w:t>Explanatory Statement</w:t>
      </w:r>
    </w:p>
    <w:p w14:paraId="4162D98B" w14:textId="77777777" w:rsidR="00AD12BE" w:rsidRPr="00514C80" w:rsidRDefault="00AD12BE" w:rsidP="00AD12BE"/>
    <w:p w14:paraId="0840836A" w14:textId="77777777" w:rsidR="00AD12BE" w:rsidRPr="00514C80" w:rsidRDefault="00AD12BE" w:rsidP="00AD12BE"/>
    <w:p w14:paraId="2DFE2BC9" w14:textId="77777777" w:rsidR="00AD12BE" w:rsidRPr="00514C80" w:rsidRDefault="00AD12BE" w:rsidP="00AD12BE"/>
    <w:p w14:paraId="0AE2934B" w14:textId="77777777" w:rsidR="00AD12BE" w:rsidRPr="00514C80" w:rsidRDefault="00AD12BE" w:rsidP="00AD12BE"/>
    <w:p w14:paraId="3B82094F" w14:textId="77777777" w:rsidR="0054772F" w:rsidRDefault="0054772F" w:rsidP="0054772F">
      <w:pPr>
        <w:autoSpaceDE w:val="0"/>
        <w:autoSpaceDN w:val="0"/>
        <w:adjustRightInd w:val="0"/>
        <w:snapToGrid w:val="0"/>
        <w:spacing w:before="0" w:after="0"/>
      </w:pPr>
    </w:p>
    <w:p w14:paraId="242DE443" w14:textId="2E2982BE" w:rsidR="0054772F" w:rsidRDefault="0054772F" w:rsidP="0054772F">
      <w:pPr>
        <w:autoSpaceDE w:val="0"/>
        <w:autoSpaceDN w:val="0"/>
        <w:adjustRightInd w:val="0"/>
        <w:snapToGrid w:val="0"/>
        <w:spacing w:before="0" w:after="0"/>
        <w:jc w:val="center"/>
        <w:rPr>
          <w:rFonts w:ascii="TimesNewRoman" w:hAnsi="TimesNewRoman" w:cs="TimesNewRoman"/>
          <w:color w:val="000000"/>
          <w:lang w:val="x-none"/>
        </w:rPr>
      </w:pPr>
      <w:r>
        <w:rPr>
          <w:rFonts w:ascii="TimesNewRoman" w:hAnsi="TimesNewRoman" w:cs="TimesNewRoman"/>
          <w:color w:val="000000"/>
          <w:lang w:val="x-none"/>
        </w:rPr>
        <w:t xml:space="preserve">Approved by the Hon </w:t>
      </w:r>
      <w:r w:rsidR="00D442D1">
        <w:rPr>
          <w:rFonts w:ascii="TimesNewRoman" w:hAnsi="TimesNewRoman" w:cs="TimesNewRoman"/>
          <w:color w:val="000000"/>
          <w:lang w:val="en-US"/>
        </w:rPr>
        <w:t>Catherine King MP, Minister for Infrastructure, Transport, Regional Development and Local Government</w:t>
      </w:r>
    </w:p>
    <w:p w14:paraId="7E37F946" w14:textId="61CCA598" w:rsidR="00AD12BE" w:rsidRPr="00514C80" w:rsidRDefault="00AD12BE" w:rsidP="00AD12BE">
      <w:pPr>
        <w:jc w:val="center"/>
      </w:pPr>
    </w:p>
    <w:p w14:paraId="4462F687" w14:textId="77777777" w:rsidR="00AD12BE" w:rsidRPr="00514C80" w:rsidRDefault="00AD12BE" w:rsidP="00AD12BE"/>
    <w:p w14:paraId="23987BE0" w14:textId="77777777" w:rsidR="00AD12BE" w:rsidRPr="00514C80" w:rsidRDefault="00AD12BE" w:rsidP="00AD12BE"/>
    <w:p w14:paraId="2BD50A41" w14:textId="77777777" w:rsidR="00AD12BE" w:rsidRPr="00514C80" w:rsidRDefault="00AD12BE" w:rsidP="00AD12BE"/>
    <w:p w14:paraId="26F73D33" w14:textId="77777777" w:rsidR="00AD12BE" w:rsidRPr="00514C80" w:rsidRDefault="00AD12BE" w:rsidP="00AD12BE"/>
    <w:p w14:paraId="75F3A258" w14:textId="77777777" w:rsidR="00AD12BE" w:rsidRPr="00514C80" w:rsidRDefault="00AD12BE" w:rsidP="00AD12BE"/>
    <w:p w14:paraId="1EA7FB7D" w14:textId="664C80D3" w:rsidR="00BA4F48" w:rsidRPr="00514C80" w:rsidRDefault="00843199" w:rsidP="00AD12BE">
      <w:pPr>
        <w:jc w:val="center"/>
        <w:rPr>
          <w:b/>
          <w:bCs/>
          <w:sz w:val="40"/>
        </w:rPr>
      </w:pPr>
      <w:r>
        <w:rPr>
          <w:b/>
          <w:bCs/>
          <w:sz w:val="40"/>
        </w:rPr>
        <w:t>February 2024</w:t>
      </w:r>
    </w:p>
    <w:p w14:paraId="2D67A515" w14:textId="77777777" w:rsidR="00BA4F48" w:rsidRPr="00514C80" w:rsidRDefault="00BA4F48" w:rsidP="00D82CC0"/>
    <w:p w14:paraId="7C34D2B8" w14:textId="77777777" w:rsidR="00BA4F48" w:rsidRPr="00514C80" w:rsidRDefault="00BA4F48" w:rsidP="00D82CC0"/>
    <w:p w14:paraId="1184D09C" w14:textId="77777777" w:rsidR="00FD272C" w:rsidRPr="00514C80" w:rsidRDefault="00FD272C" w:rsidP="00780DE8">
      <w:pPr>
        <w:pStyle w:val="ContentsHeading"/>
        <w:sectPr w:rsidR="00FD272C" w:rsidRPr="00514C80" w:rsidSect="00767D05">
          <w:headerReference w:type="default" r:id="rId11"/>
          <w:headerReference w:type="first" r:id="rId12"/>
          <w:pgSz w:w="11906" w:h="16838" w:code="9"/>
          <w:pgMar w:top="1440" w:right="1474" w:bottom="1440" w:left="1474" w:header="709" w:footer="709" w:gutter="0"/>
          <w:pgNumType w:start="1"/>
          <w:cols w:space="708"/>
          <w:titlePg/>
          <w:docGrid w:linePitch="360"/>
        </w:sectPr>
      </w:pPr>
    </w:p>
    <w:p w14:paraId="2F43BC93" w14:textId="7AE373BB" w:rsidR="00BA4F48" w:rsidRPr="00514C80" w:rsidRDefault="00BA4F48" w:rsidP="00780DE8">
      <w:pPr>
        <w:pStyle w:val="ContentsHeading"/>
      </w:pPr>
      <w:r w:rsidRPr="00514C80">
        <w:lastRenderedPageBreak/>
        <w:t>CONTENTS</w:t>
      </w:r>
    </w:p>
    <w:p w14:paraId="02DBB7C9" w14:textId="77777777" w:rsidR="00DD4F22" w:rsidRPr="00514C80" w:rsidRDefault="00DD4F22" w:rsidP="00DD4F22"/>
    <w:p w14:paraId="0C368D0E" w14:textId="260E0F80" w:rsidR="00FA20DF" w:rsidRDefault="00DD4F22">
      <w:pPr>
        <w:pStyle w:val="TOC1"/>
        <w:rPr>
          <w:rFonts w:asciiTheme="minorHAnsi" w:eastAsiaTheme="minorEastAsia" w:hAnsiTheme="minorHAnsi" w:cstheme="minorBidi"/>
          <w:caps w:val="0"/>
          <w:noProof/>
          <w:sz w:val="22"/>
          <w:szCs w:val="22"/>
        </w:rPr>
      </w:pPr>
      <w:r w:rsidRPr="00514C80">
        <w:fldChar w:fldCharType="begin"/>
      </w:r>
      <w:r w:rsidRPr="00514C80">
        <w:instrText xml:space="preserve"> TOC \t "Heading Level 1,1,Heading Level 2,2" </w:instrText>
      </w:r>
      <w:r w:rsidRPr="00514C80">
        <w:fldChar w:fldCharType="separate"/>
      </w:r>
      <w:bookmarkStart w:id="0" w:name="_GoBack"/>
      <w:bookmarkEnd w:id="0"/>
      <w:r w:rsidR="00FA20DF">
        <w:rPr>
          <w:noProof/>
        </w:rPr>
        <w:t>1.</w:t>
      </w:r>
      <w:r w:rsidR="00FA20DF">
        <w:rPr>
          <w:rFonts w:asciiTheme="minorHAnsi" w:eastAsiaTheme="minorEastAsia" w:hAnsiTheme="minorHAnsi" w:cstheme="minorBidi"/>
          <w:caps w:val="0"/>
          <w:noProof/>
          <w:sz w:val="22"/>
          <w:szCs w:val="22"/>
        </w:rPr>
        <w:tab/>
      </w:r>
      <w:r w:rsidR="00FA20DF">
        <w:rPr>
          <w:noProof/>
        </w:rPr>
        <w:t>legislative Authority</w:t>
      </w:r>
      <w:r w:rsidR="00FA20DF">
        <w:rPr>
          <w:noProof/>
        </w:rPr>
        <w:tab/>
      </w:r>
      <w:r w:rsidR="00FA20DF">
        <w:rPr>
          <w:noProof/>
        </w:rPr>
        <w:fldChar w:fldCharType="begin"/>
      </w:r>
      <w:r w:rsidR="00FA20DF">
        <w:rPr>
          <w:noProof/>
        </w:rPr>
        <w:instrText xml:space="preserve"> PAGEREF _Toc164071160 \h </w:instrText>
      </w:r>
      <w:r w:rsidR="00FA20DF">
        <w:rPr>
          <w:noProof/>
        </w:rPr>
      </w:r>
      <w:r w:rsidR="00FA20DF">
        <w:rPr>
          <w:noProof/>
        </w:rPr>
        <w:fldChar w:fldCharType="separate"/>
      </w:r>
      <w:r w:rsidR="00FA20DF">
        <w:rPr>
          <w:noProof/>
        </w:rPr>
        <w:t>3</w:t>
      </w:r>
      <w:r w:rsidR="00FA20DF">
        <w:rPr>
          <w:noProof/>
        </w:rPr>
        <w:fldChar w:fldCharType="end"/>
      </w:r>
    </w:p>
    <w:p w14:paraId="23CE1479" w14:textId="66C31E09" w:rsidR="00FA20DF" w:rsidRDefault="00FA20DF">
      <w:pPr>
        <w:pStyle w:val="TOC2"/>
        <w:rPr>
          <w:rFonts w:asciiTheme="minorHAnsi" w:eastAsiaTheme="minorEastAsia" w:hAnsiTheme="minorHAnsi" w:cstheme="minorBidi"/>
          <w:noProof/>
          <w:sz w:val="22"/>
          <w:szCs w:val="22"/>
        </w:rPr>
      </w:pPr>
      <w:r w:rsidRPr="00240AF0">
        <w:rPr>
          <w:b/>
          <w:noProof/>
        </w:rPr>
        <w:t>1.1.</w:t>
      </w:r>
      <w:r>
        <w:rPr>
          <w:rFonts w:asciiTheme="minorHAnsi" w:eastAsiaTheme="minorEastAsia" w:hAnsiTheme="minorHAnsi" w:cstheme="minorBidi"/>
          <w:noProof/>
          <w:sz w:val="22"/>
          <w:szCs w:val="22"/>
        </w:rPr>
        <w:tab/>
      </w:r>
      <w:r w:rsidRPr="00240AF0">
        <w:rPr>
          <w:b/>
          <w:noProof/>
        </w:rPr>
        <w:t>National Road Vehicle Standards</w:t>
      </w:r>
      <w:r>
        <w:rPr>
          <w:noProof/>
        </w:rPr>
        <w:tab/>
      </w:r>
      <w:r>
        <w:rPr>
          <w:noProof/>
        </w:rPr>
        <w:fldChar w:fldCharType="begin"/>
      </w:r>
      <w:r>
        <w:rPr>
          <w:noProof/>
        </w:rPr>
        <w:instrText xml:space="preserve"> PAGEREF _Toc164071161 \h </w:instrText>
      </w:r>
      <w:r>
        <w:rPr>
          <w:noProof/>
        </w:rPr>
      </w:r>
      <w:r>
        <w:rPr>
          <w:noProof/>
        </w:rPr>
        <w:fldChar w:fldCharType="separate"/>
      </w:r>
      <w:r>
        <w:rPr>
          <w:noProof/>
        </w:rPr>
        <w:t>3</w:t>
      </w:r>
      <w:r>
        <w:rPr>
          <w:noProof/>
        </w:rPr>
        <w:fldChar w:fldCharType="end"/>
      </w:r>
    </w:p>
    <w:p w14:paraId="33F43D40" w14:textId="4879DD20" w:rsidR="00FA20DF" w:rsidRDefault="00FA20DF">
      <w:pPr>
        <w:pStyle w:val="TOC2"/>
        <w:rPr>
          <w:rFonts w:asciiTheme="minorHAnsi" w:eastAsiaTheme="minorEastAsia" w:hAnsiTheme="minorHAnsi" w:cstheme="minorBidi"/>
          <w:noProof/>
          <w:sz w:val="22"/>
          <w:szCs w:val="22"/>
        </w:rPr>
      </w:pPr>
      <w:r w:rsidRPr="00240AF0">
        <w:rPr>
          <w:b/>
          <w:noProof/>
        </w:rPr>
        <w:t>1.2.</w:t>
      </w:r>
      <w:r>
        <w:rPr>
          <w:rFonts w:asciiTheme="minorHAnsi" w:eastAsiaTheme="minorEastAsia" w:hAnsiTheme="minorHAnsi" w:cstheme="minorBidi"/>
          <w:noProof/>
          <w:sz w:val="22"/>
          <w:szCs w:val="22"/>
        </w:rPr>
        <w:tab/>
      </w:r>
      <w:r w:rsidRPr="00240AF0">
        <w:rPr>
          <w:b/>
          <w:noProof/>
        </w:rPr>
        <w:t>Exemption from Sunsetting</w:t>
      </w:r>
      <w:r>
        <w:rPr>
          <w:noProof/>
        </w:rPr>
        <w:tab/>
      </w:r>
      <w:r>
        <w:rPr>
          <w:noProof/>
        </w:rPr>
        <w:fldChar w:fldCharType="begin"/>
      </w:r>
      <w:r>
        <w:rPr>
          <w:noProof/>
        </w:rPr>
        <w:instrText xml:space="preserve"> PAGEREF _Toc164071162 \h </w:instrText>
      </w:r>
      <w:r>
        <w:rPr>
          <w:noProof/>
        </w:rPr>
      </w:r>
      <w:r>
        <w:rPr>
          <w:noProof/>
        </w:rPr>
        <w:fldChar w:fldCharType="separate"/>
      </w:r>
      <w:r>
        <w:rPr>
          <w:noProof/>
        </w:rPr>
        <w:t>3</w:t>
      </w:r>
      <w:r>
        <w:rPr>
          <w:noProof/>
        </w:rPr>
        <w:fldChar w:fldCharType="end"/>
      </w:r>
    </w:p>
    <w:p w14:paraId="3BDE8B2E" w14:textId="10D90885" w:rsidR="00FA20DF" w:rsidRDefault="00FA20DF">
      <w:pPr>
        <w:pStyle w:val="TOC2"/>
        <w:rPr>
          <w:rFonts w:asciiTheme="minorHAnsi" w:eastAsiaTheme="minorEastAsia" w:hAnsiTheme="minorHAnsi" w:cstheme="minorBidi"/>
          <w:noProof/>
          <w:sz w:val="22"/>
          <w:szCs w:val="22"/>
        </w:rPr>
      </w:pPr>
      <w:r w:rsidRPr="00240AF0">
        <w:rPr>
          <w:b/>
          <w:noProof/>
        </w:rPr>
        <w:t>1.3.</w:t>
      </w:r>
      <w:r>
        <w:rPr>
          <w:rFonts w:asciiTheme="minorHAnsi" w:eastAsiaTheme="minorEastAsia" w:hAnsiTheme="minorHAnsi" w:cstheme="minorBidi"/>
          <w:noProof/>
          <w:sz w:val="22"/>
          <w:szCs w:val="22"/>
        </w:rPr>
        <w:tab/>
      </w:r>
      <w:r w:rsidRPr="00240AF0">
        <w:rPr>
          <w:b/>
          <w:noProof/>
        </w:rPr>
        <w:t>International Harmonisation</w:t>
      </w:r>
      <w:r>
        <w:rPr>
          <w:noProof/>
        </w:rPr>
        <w:tab/>
      </w:r>
      <w:r>
        <w:rPr>
          <w:noProof/>
        </w:rPr>
        <w:fldChar w:fldCharType="begin"/>
      </w:r>
      <w:r>
        <w:rPr>
          <w:noProof/>
        </w:rPr>
        <w:instrText xml:space="preserve"> PAGEREF _Toc164071163 \h </w:instrText>
      </w:r>
      <w:r>
        <w:rPr>
          <w:noProof/>
        </w:rPr>
      </w:r>
      <w:r>
        <w:rPr>
          <w:noProof/>
        </w:rPr>
        <w:fldChar w:fldCharType="separate"/>
      </w:r>
      <w:r>
        <w:rPr>
          <w:noProof/>
        </w:rPr>
        <w:t>4</w:t>
      </w:r>
      <w:r>
        <w:rPr>
          <w:noProof/>
        </w:rPr>
        <w:fldChar w:fldCharType="end"/>
      </w:r>
    </w:p>
    <w:p w14:paraId="638E2FC3" w14:textId="0F4AB13B" w:rsidR="00FA20DF" w:rsidRDefault="00FA20D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_Toc164071164 \h </w:instrText>
      </w:r>
      <w:r>
        <w:rPr>
          <w:noProof/>
        </w:rPr>
      </w:r>
      <w:r>
        <w:rPr>
          <w:noProof/>
        </w:rPr>
        <w:fldChar w:fldCharType="separate"/>
      </w:r>
      <w:r>
        <w:rPr>
          <w:noProof/>
        </w:rPr>
        <w:t>5</w:t>
      </w:r>
      <w:r>
        <w:rPr>
          <w:noProof/>
        </w:rPr>
        <w:fldChar w:fldCharType="end"/>
      </w:r>
    </w:p>
    <w:p w14:paraId="60CB33B0" w14:textId="674D2B9C" w:rsidR="00FA20DF" w:rsidRDefault="00FA20DF">
      <w:pPr>
        <w:pStyle w:val="TOC2"/>
        <w:rPr>
          <w:rFonts w:asciiTheme="minorHAnsi" w:eastAsiaTheme="minorEastAsia" w:hAnsiTheme="minorHAnsi" w:cstheme="minorBidi"/>
          <w:noProof/>
          <w:sz w:val="22"/>
          <w:szCs w:val="22"/>
        </w:rPr>
      </w:pPr>
      <w:r w:rsidRPr="00240AF0">
        <w:rPr>
          <w:b/>
          <w:noProof/>
        </w:rPr>
        <w:t>2.1.</w:t>
      </w:r>
      <w:r>
        <w:rPr>
          <w:rFonts w:asciiTheme="minorHAnsi" w:eastAsiaTheme="minorEastAsia" w:hAnsiTheme="minorHAnsi" w:cstheme="minorBidi"/>
          <w:noProof/>
          <w:sz w:val="22"/>
          <w:szCs w:val="22"/>
        </w:rPr>
        <w:tab/>
      </w:r>
      <w:r w:rsidRPr="00240AF0">
        <w:rPr>
          <w:b/>
          <w:noProof/>
        </w:rPr>
        <w:t>Overview of the ADR</w:t>
      </w:r>
      <w:r>
        <w:rPr>
          <w:noProof/>
        </w:rPr>
        <w:tab/>
      </w:r>
      <w:r>
        <w:rPr>
          <w:noProof/>
        </w:rPr>
        <w:fldChar w:fldCharType="begin"/>
      </w:r>
      <w:r>
        <w:rPr>
          <w:noProof/>
        </w:rPr>
        <w:instrText xml:space="preserve"> PAGEREF _Toc164071165 \h </w:instrText>
      </w:r>
      <w:r>
        <w:rPr>
          <w:noProof/>
        </w:rPr>
      </w:r>
      <w:r>
        <w:rPr>
          <w:noProof/>
        </w:rPr>
        <w:fldChar w:fldCharType="separate"/>
      </w:r>
      <w:r>
        <w:rPr>
          <w:noProof/>
        </w:rPr>
        <w:t>5</w:t>
      </w:r>
      <w:r>
        <w:rPr>
          <w:noProof/>
        </w:rPr>
        <w:fldChar w:fldCharType="end"/>
      </w:r>
    </w:p>
    <w:p w14:paraId="6E8ADDB2" w14:textId="7B9E19AB" w:rsidR="00FA20DF" w:rsidRDefault="00FA20DF">
      <w:pPr>
        <w:pStyle w:val="TOC2"/>
        <w:rPr>
          <w:rFonts w:asciiTheme="minorHAnsi" w:eastAsiaTheme="minorEastAsia" w:hAnsiTheme="minorHAnsi" w:cstheme="minorBidi"/>
          <w:noProof/>
          <w:sz w:val="22"/>
          <w:szCs w:val="22"/>
        </w:rPr>
      </w:pPr>
      <w:r w:rsidRPr="00240AF0">
        <w:rPr>
          <w:b/>
          <w:noProof/>
        </w:rPr>
        <w:t>2.2.</w:t>
      </w:r>
      <w:r>
        <w:rPr>
          <w:rFonts w:asciiTheme="minorHAnsi" w:eastAsiaTheme="minorEastAsia" w:hAnsiTheme="minorHAnsi" w:cstheme="minorBidi"/>
          <w:noProof/>
          <w:sz w:val="22"/>
          <w:szCs w:val="22"/>
        </w:rPr>
        <w:tab/>
      </w:r>
      <w:r w:rsidRPr="00240AF0">
        <w:rPr>
          <w:b/>
          <w:noProof/>
        </w:rPr>
        <w:t>Design Requirement</w:t>
      </w:r>
      <w:r>
        <w:rPr>
          <w:noProof/>
        </w:rPr>
        <w:tab/>
      </w:r>
      <w:r>
        <w:rPr>
          <w:noProof/>
        </w:rPr>
        <w:fldChar w:fldCharType="begin"/>
      </w:r>
      <w:r>
        <w:rPr>
          <w:noProof/>
        </w:rPr>
        <w:instrText xml:space="preserve"> PAGEREF _Toc164071166 \h </w:instrText>
      </w:r>
      <w:r>
        <w:rPr>
          <w:noProof/>
        </w:rPr>
      </w:r>
      <w:r>
        <w:rPr>
          <w:noProof/>
        </w:rPr>
        <w:fldChar w:fldCharType="separate"/>
      </w:r>
      <w:r>
        <w:rPr>
          <w:noProof/>
        </w:rPr>
        <w:t>5</w:t>
      </w:r>
      <w:r>
        <w:rPr>
          <w:noProof/>
        </w:rPr>
        <w:fldChar w:fldCharType="end"/>
      </w:r>
    </w:p>
    <w:p w14:paraId="6067F20B" w14:textId="4996EAEB" w:rsidR="00FA20DF" w:rsidRDefault="00FA20DF">
      <w:pPr>
        <w:pStyle w:val="TOC2"/>
        <w:rPr>
          <w:rFonts w:asciiTheme="minorHAnsi" w:eastAsiaTheme="minorEastAsia" w:hAnsiTheme="minorHAnsi" w:cstheme="minorBidi"/>
          <w:noProof/>
          <w:sz w:val="22"/>
          <w:szCs w:val="22"/>
        </w:rPr>
      </w:pPr>
      <w:r w:rsidRPr="00240AF0">
        <w:rPr>
          <w:b/>
          <w:noProof/>
        </w:rPr>
        <w:t>2.3.</w:t>
      </w:r>
      <w:r>
        <w:rPr>
          <w:rFonts w:asciiTheme="minorHAnsi" w:eastAsiaTheme="minorEastAsia" w:hAnsiTheme="minorHAnsi" w:cstheme="minorBidi"/>
          <w:noProof/>
          <w:sz w:val="22"/>
          <w:szCs w:val="22"/>
        </w:rPr>
        <w:tab/>
      </w:r>
      <w:r w:rsidRPr="00240AF0">
        <w:rPr>
          <w:b/>
          <w:noProof/>
        </w:rPr>
        <w:t>Exemptions and Alternative Procedures</w:t>
      </w:r>
      <w:r>
        <w:rPr>
          <w:noProof/>
        </w:rPr>
        <w:tab/>
      </w:r>
      <w:r>
        <w:rPr>
          <w:noProof/>
        </w:rPr>
        <w:fldChar w:fldCharType="begin"/>
      </w:r>
      <w:r>
        <w:rPr>
          <w:noProof/>
        </w:rPr>
        <w:instrText xml:space="preserve"> PAGEREF _Toc164071167 \h </w:instrText>
      </w:r>
      <w:r>
        <w:rPr>
          <w:noProof/>
        </w:rPr>
      </w:r>
      <w:r>
        <w:rPr>
          <w:noProof/>
        </w:rPr>
        <w:fldChar w:fldCharType="separate"/>
      </w:r>
      <w:r>
        <w:rPr>
          <w:noProof/>
        </w:rPr>
        <w:t>6</w:t>
      </w:r>
      <w:r>
        <w:rPr>
          <w:noProof/>
        </w:rPr>
        <w:fldChar w:fldCharType="end"/>
      </w:r>
    </w:p>
    <w:p w14:paraId="0EBD7DEB" w14:textId="5F251B10" w:rsidR="00FA20DF" w:rsidRDefault="00FA20DF">
      <w:pPr>
        <w:pStyle w:val="TOC2"/>
        <w:rPr>
          <w:rFonts w:asciiTheme="minorHAnsi" w:eastAsiaTheme="minorEastAsia" w:hAnsiTheme="minorHAnsi" w:cstheme="minorBidi"/>
          <w:noProof/>
          <w:sz w:val="22"/>
          <w:szCs w:val="22"/>
        </w:rPr>
      </w:pPr>
      <w:r w:rsidRPr="00240AF0">
        <w:rPr>
          <w:b/>
          <w:noProof/>
        </w:rPr>
        <w:t>2.4.</w:t>
      </w:r>
      <w:r>
        <w:rPr>
          <w:rFonts w:asciiTheme="minorHAnsi" w:eastAsiaTheme="minorEastAsia" w:hAnsiTheme="minorHAnsi" w:cstheme="minorBidi"/>
          <w:noProof/>
          <w:sz w:val="22"/>
          <w:szCs w:val="22"/>
        </w:rPr>
        <w:tab/>
      </w:r>
      <w:r w:rsidRPr="00240AF0">
        <w:rPr>
          <w:b/>
          <w:noProof/>
        </w:rPr>
        <w:t>Alternative Standards</w:t>
      </w:r>
      <w:r>
        <w:rPr>
          <w:noProof/>
        </w:rPr>
        <w:tab/>
      </w:r>
      <w:r>
        <w:rPr>
          <w:noProof/>
        </w:rPr>
        <w:fldChar w:fldCharType="begin"/>
      </w:r>
      <w:r>
        <w:rPr>
          <w:noProof/>
        </w:rPr>
        <w:instrText xml:space="preserve"> PAGEREF _Toc164071168 \h </w:instrText>
      </w:r>
      <w:r>
        <w:rPr>
          <w:noProof/>
        </w:rPr>
      </w:r>
      <w:r>
        <w:rPr>
          <w:noProof/>
        </w:rPr>
        <w:fldChar w:fldCharType="separate"/>
      </w:r>
      <w:r>
        <w:rPr>
          <w:noProof/>
        </w:rPr>
        <w:t>7</w:t>
      </w:r>
      <w:r>
        <w:rPr>
          <w:noProof/>
        </w:rPr>
        <w:fldChar w:fldCharType="end"/>
      </w:r>
    </w:p>
    <w:p w14:paraId="169465C2" w14:textId="0753D1F2" w:rsidR="00FA20DF" w:rsidRDefault="00FA20D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_Toc164071169 \h </w:instrText>
      </w:r>
      <w:r>
        <w:rPr>
          <w:noProof/>
        </w:rPr>
      </w:r>
      <w:r>
        <w:rPr>
          <w:noProof/>
        </w:rPr>
        <w:fldChar w:fldCharType="separate"/>
      </w:r>
      <w:r>
        <w:rPr>
          <w:noProof/>
        </w:rPr>
        <w:t>7</w:t>
      </w:r>
      <w:r>
        <w:rPr>
          <w:noProof/>
        </w:rPr>
        <w:fldChar w:fldCharType="end"/>
      </w:r>
    </w:p>
    <w:p w14:paraId="56107E98" w14:textId="7F02CCED" w:rsidR="00FA20DF" w:rsidRDefault="00FA20DF">
      <w:pPr>
        <w:pStyle w:val="TOC2"/>
        <w:rPr>
          <w:rFonts w:asciiTheme="minorHAnsi" w:eastAsiaTheme="minorEastAsia" w:hAnsiTheme="minorHAnsi" w:cstheme="minorBidi"/>
          <w:noProof/>
          <w:sz w:val="22"/>
          <w:szCs w:val="22"/>
        </w:rPr>
      </w:pPr>
      <w:r w:rsidRPr="00240AF0">
        <w:rPr>
          <w:b/>
          <w:noProof/>
        </w:rPr>
        <w:t>3.1.</w:t>
      </w:r>
      <w:r>
        <w:rPr>
          <w:rFonts w:asciiTheme="minorHAnsi" w:eastAsiaTheme="minorEastAsia" w:hAnsiTheme="minorHAnsi" w:cstheme="minorBidi"/>
          <w:noProof/>
          <w:sz w:val="22"/>
          <w:szCs w:val="22"/>
        </w:rPr>
        <w:tab/>
      </w:r>
      <w:r w:rsidRPr="00240AF0">
        <w:rPr>
          <w:b/>
          <w:noProof/>
        </w:rPr>
        <w:t>Other Legislative Instruments</w:t>
      </w:r>
      <w:r>
        <w:rPr>
          <w:noProof/>
        </w:rPr>
        <w:tab/>
      </w:r>
      <w:r>
        <w:rPr>
          <w:noProof/>
        </w:rPr>
        <w:fldChar w:fldCharType="begin"/>
      </w:r>
      <w:r>
        <w:rPr>
          <w:noProof/>
        </w:rPr>
        <w:instrText xml:space="preserve"> PAGEREF _Toc164071170 \h </w:instrText>
      </w:r>
      <w:r>
        <w:rPr>
          <w:noProof/>
        </w:rPr>
      </w:r>
      <w:r>
        <w:rPr>
          <w:noProof/>
        </w:rPr>
        <w:fldChar w:fldCharType="separate"/>
      </w:r>
      <w:r>
        <w:rPr>
          <w:noProof/>
        </w:rPr>
        <w:t>7</w:t>
      </w:r>
      <w:r>
        <w:rPr>
          <w:noProof/>
        </w:rPr>
        <w:fldChar w:fldCharType="end"/>
      </w:r>
    </w:p>
    <w:p w14:paraId="51D5731F" w14:textId="6006D4AE" w:rsidR="00FA20DF" w:rsidRDefault="00FA20DF">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International Vehicle Regulations</w:t>
      </w:r>
      <w:r>
        <w:rPr>
          <w:noProof/>
        </w:rPr>
        <w:tab/>
      </w:r>
      <w:r>
        <w:rPr>
          <w:noProof/>
        </w:rPr>
        <w:fldChar w:fldCharType="begin"/>
      </w:r>
      <w:r>
        <w:rPr>
          <w:noProof/>
        </w:rPr>
        <w:instrText xml:space="preserve"> PAGEREF _Toc164071171 \h </w:instrText>
      </w:r>
      <w:r>
        <w:rPr>
          <w:noProof/>
        </w:rPr>
      </w:r>
      <w:r>
        <w:rPr>
          <w:noProof/>
        </w:rPr>
        <w:fldChar w:fldCharType="separate"/>
      </w:r>
      <w:r>
        <w:rPr>
          <w:noProof/>
        </w:rPr>
        <w:t>8</w:t>
      </w:r>
      <w:r>
        <w:rPr>
          <w:noProof/>
        </w:rPr>
        <w:fldChar w:fldCharType="end"/>
      </w:r>
    </w:p>
    <w:p w14:paraId="04AE474E" w14:textId="1E6EB122" w:rsidR="00FA20DF" w:rsidRDefault="00FA20DF">
      <w:pPr>
        <w:pStyle w:val="TOC2"/>
        <w:rPr>
          <w:rFonts w:asciiTheme="minorHAnsi" w:eastAsiaTheme="minorEastAsia" w:hAnsiTheme="minorHAnsi" w:cstheme="minorBidi"/>
          <w:noProof/>
          <w:sz w:val="22"/>
          <w:szCs w:val="22"/>
        </w:rPr>
      </w:pPr>
      <w:r w:rsidRPr="00240AF0">
        <w:rPr>
          <w:b/>
          <w:noProof/>
        </w:rPr>
        <w:t>3.3.</w:t>
      </w:r>
      <w:r>
        <w:rPr>
          <w:rFonts w:asciiTheme="minorHAnsi" w:eastAsiaTheme="minorEastAsia" w:hAnsiTheme="minorHAnsi" w:cstheme="minorBidi"/>
          <w:noProof/>
          <w:sz w:val="22"/>
          <w:szCs w:val="22"/>
        </w:rPr>
        <w:tab/>
      </w:r>
      <w:r w:rsidRPr="00240AF0">
        <w:rPr>
          <w:b/>
          <w:noProof/>
        </w:rPr>
        <w:t>Technical standards</w:t>
      </w:r>
      <w:r>
        <w:rPr>
          <w:noProof/>
        </w:rPr>
        <w:tab/>
      </w:r>
      <w:r>
        <w:rPr>
          <w:noProof/>
        </w:rPr>
        <w:fldChar w:fldCharType="begin"/>
      </w:r>
      <w:r>
        <w:rPr>
          <w:noProof/>
        </w:rPr>
        <w:instrText xml:space="preserve"> PAGEREF _Toc164071172 \h </w:instrText>
      </w:r>
      <w:r>
        <w:rPr>
          <w:noProof/>
        </w:rPr>
      </w:r>
      <w:r>
        <w:rPr>
          <w:noProof/>
        </w:rPr>
        <w:fldChar w:fldCharType="separate"/>
      </w:r>
      <w:r>
        <w:rPr>
          <w:noProof/>
        </w:rPr>
        <w:t>10</w:t>
      </w:r>
      <w:r>
        <w:rPr>
          <w:noProof/>
        </w:rPr>
        <w:fldChar w:fldCharType="end"/>
      </w:r>
    </w:p>
    <w:p w14:paraId="2CF2230D" w14:textId="2BE603B4" w:rsidR="00FA20DF" w:rsidRDefault="00FA20D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_Toc164071173 \h </w:instrText>
      </w:r>
      <w:r>
        <w:rPr>
          <w:noProof/>
        </w:rPr>
      </w:r>
      <w:r>
        <w:rPr>
          <w:noProof/>
        </w:rPr>
        <w:fldChar w:fldCharType="separate"/>
      </w:r>
      <w:r>
        <w:rPr>
          <w:noProof/>
        </w:rPr>
        <w:t>12</w:t>
      </w:r>
      <w:r>
        <w:rPr>
          <w:noProof/>
        </w:rPr>
        <w:fldChar w:fldCharType="end"/>
      </w:r>
    </w:p>
    <w:p w14:paraId="60376789" w14:textId="6A422D03" w:rsidR="00FA20DF" w:rsidRDefault="00FA20DF">
      <w:pPr>
        <w:pStyle w:val="TOC2"/>
        <w:rPr>
          <w:rFonts w:asciiTheme="minorHAnsi" w:eastAsiaTheme="minorEastAsia" w:hAnsiTheme="minorHAnsi" w:cstheme="minorBidi"/>
          <w:noProof/>
          <w:sz w:val="22"/>
          <w:szCs w:val="22"/>
        </w:rPr>
      </w:pPr>
      <w:r w:rsidRPr="00240AF0">
        <w:rPr>
          <w:b/>
          <w:noProof/>
        </w:rPr>
        <w:t>4.1.</w:t>
      </w:r>
      <w:r>
        <w:rPr>
          <w:rFonts w:asciiTheme="minorHAnsi" w:eastAsiaTheme="minorEastAsia" w:hAnsiTheme="minorHAnsi" w:cstheme="minorBidi"/>
          <w:noProof/>
          <w:sz w:val="22"/>
          <w:szCs w:val="22"/>
        </w:rPr>
        <w:tab/>
      </w:r>
      <w:r w:rsidRPr="00240AF0">
        <w:rPr>
          <w:b/>
          <w:noProof/>
        </w:rPr>
        <w:t>General Consultation Arrangements</w:t>
      </w:r>
      <w:r>
        <w:rPr>
          <w:noProof/>
        </w:rPr>
        <w:tab/>
      </w:r>
      <w:r>
        <w:rPr>
          <w:noProof/>
        </w:rPr>
        <w:fldChar w:fldCharType="begin"/>
      </w:r>
      <w:r>
        <w:rPr>
          <w:noProof/>
        </w:rPr>
        <w:instrText xml:space="preserve"> PAGEREF _Toc164071174 \h </w:instrText>
      </w:r>
      <w:r>
        <w:rPr>
          <w:noProof/>
        </w:rPr>
      </w:r>
      <w:r>
        <w:rPr>
          <w:noProof/>
        </w:rPr>
        <w:fldChar w:fldCharType="separate"/>
      </w:r>
      <w:r>
        <w:rPr>
          <w:noProof/>
        </w:rPr>
        <w:t>12</w:t>
      </w:r>
      <w:r>
        <w:rPr>
          <w:noProof/>
        </w:rPr>
        <w:fldChar w:fldCharType="end"/>
      </w:r>
    </w:p>
    <w:p w14:paraId="488BED5A" w14:textId="228B59D7" w:rsidR="00FA20DF" w:rsidRDefault="00FA20DF">
      <w:pPr>
        <w:pStyle w:val="TOC2"/>
        <w:rPr>
          <w:rFonts w:asciiTheme="minorHAnsi" w:eastAsiaTheme="minorEastAsia" w:hAnsiTheme="minorHAnsi" w:cstheme="minorBidi"/>
          <w:noProof/>
          <w:sz w:val="22"/>
          <w:szCs w:val="22"/>
        </w:rPr>
      </w:pPr>
      <w:r w:rsidRPr="00240AF0">
        <w:rPr>
          <w:b/>
          <w:noProof/>
        </w:rPr>
        <w:t>4.2.</w:t>
      </w:r>
      <w:r>
        <w:rPr>
          <w:rFonts w:asciiTheme="minorHAnsi" w:eastAsiaTheme="minorEastAsia" w:hAnsiTheme="minorHAnsi" w:cstheme="minorBidi"/>
          <w:noProof/>
          <w:sz w:val="22"/>
          <w:szCs w:val="22"/>
        </w:rPr>
        <w:tab/>
      </w:r>
      <w:r w:rsidRPr="00240AF0">
        <w:rPr>
          <w:b/>
          <w:noProof/>
        </w:rPr>
        <w:t>Specific Consultation Arrangements</w:t>
      </w:r>
      <w:r>
        <w:rPr>
          <w:noProof/>
        </w:rPr>
        <w:tab/>
      </w:r>
      <w:r>
        <w:rPr>
          <w:noProof/>
        </w:rPr>
        <w:fldChar w:fldCharType="begin"/>
      </w:r>
      <w:r>
        <w:rPr>
          <w:noProof/>
        </w:rPr>
        <w:instrText xml:space="preserve"> PAGEREF _Toc164071175 \h </w:instrText>
      </w:r>
      <w:r>
        <w:rPr>
          <w:noProof/>
        </w:rPr>
      </w:r>
      <w:r>
        <w:rPr>
          <w:noProof/>
        </w:rPr>
        <w:fldChar w:fldCharType="separate"/>
      </w:r>
      <w:r>
        <w:rPr>
          <w:noProof/>
        </w:rPr>
        <w:t>12</w:t>
      </w:r>
      <w:r>
        <w:rPr>
          <w:noProof/>
        </w:rPr>
        <w:fldChar w:fldCharType="end"/>
      </w:r>
    </w:p>
    <w:p w14:paraId="3B1D75D4" w14:textId="4A18314D" w:rsidR="00FA20DF" w:rsidRDefault="00FA20D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_Toc164071176 \h </w:instrText>
      </w:r>
      <w:r>
        <w:rPr>
          <w:noProof/>
        </w:rPr>
      </w:r>
      <w:r>
        <w:rPr>
          <w:noProof/>
        </w:rPr>
        <w:fldChar w:fldCharType="separate"/>
      </w:r>
      <w:r>
        <w:rPr>
          <w:noProof/>
        </w:rPr>
        <w:t>13</w:t>
      </w:r>
      <w:r>
        <w:rPr>
          <w:noProof/>
        </w:rPr>
        <w:fldChar w:fldCharType="end"/>
      </w:r>
    </w:p>
    <w:p w14:paraId="743E2193" w14:textId="51E8DB3F" w:rsidR="00FA20DF" w:rsidRDefault="00FA20D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_Toc164071177 \h </w:instrText>
      </w:r>
      <w:r>
        <w:rPr>
          <w:noProof/>
        </w:rPr>
      </w:r>
      <w:r>
        <w:rPr>
          <w:noProof/>
        </w:rPr>
        <w:fldChar w:fldCharType="separate"/>
      </w:r>
      <w:r>
        <w:rPr>
          <w:noProof/>
        </w:rPr>
        <w:t>13</w:t>
      </w:r>
      <w:r>
        <w:rPr>
          <w:noProof/>
        </w:rPr>
        <w:fldChar w:fldCharType="end"/>
      </w:r>
    </w:p>
    <w:p w14:paraId="0E9B0342" w14:textId="719A9442" w:rsidR="00FA20DF" w:rsidRDefault="00FA20DF">
      <w:pPr>
        <w:pStyle w:val="TOC2"/>
        <w:rPr>
          <w:rFonts w:asciiTheme="minorHAnsi" w:eastAsiaTheme="minorEastAsia" w:hAnsiTheme="minorHAnsi" w:cstheme="minorBidi"/>
          <w:noProof/>
          <w:sz w:val="22"/>
          <w:szCs w:val="22"/>
        </w:rPr>
      </w:pPr>
      <w:r w:rsidRPr="00240AF0">
        <w:rPr>
          <w:b/>
          <w:noProof/>
        </w:rPr>
        <w:t>6.1.</w:t>
      </w:r>
      <w:r>
        <w:rPr>
          <w:rFonts w:asciiTheme="minorHAnsi" w:eastAsiaTheme="minorEastAsia" w:hAnsiTheme="minorHAnsi" w:cstheme="minorBidi"/>
          <w:noProof/>
          <w:sz w:val="22"/>
          <w:szCs w:val="22"/>
        </w:rPr>
        <w:tab/>
      </w:r>
      <w:r w:rsidRPr="00240AF0">
        <w:rPr>
          <w:b/>
          <w:noProof/>
        </w:rPr>
        <w:t>Overview</w:t>
      </w:r>
      <w:r>
        <w:rPr>
          <w:noProof/>
        </w:rPr>
        <w:tab/>
      </w:r>
      <w:r>
        <w:rPr>
          <w:noProof/>
        </w:rPr>
        <w:fldChar w:fldCharType="begin"/>
      </w:r>
      <w:r>
        <w:rPr>
          <w:noProof/>
        </w:rPr>
        <w:instrText xml:space="preserve"> PAGEREF _Toc164071178 \h </w:instrText>
      </w:r>
      <w:r>
        <w:rPr>
          <w:noProof/>
        </w:rPr>
      </w:r>
      <w:r>
        <w:rPr>
          <w:noProof/>
        </w:rPr>
        <w:fldChar w:fldCharType="separate"/>
      </w:r>
      <w:r>
        <w:rPr>
          <w:noProof/>
        </w:rPr>
        <w:t>13</w:t>
      </w:r>
      <w:r>
        <w:rPr>
          <w:noProof/>
        </w:rPr>
        <w:fldChar w:fldCharType="end"/>
      </w:r>
    </w:p>
    <w:p w14:paraId="6BD8C262" w14:textId="2EF9E4D8" w:rsidR="00FA20DF" w:rsidRDefault="00FA20DF">
      <w:pPr>
        <w:pStyle w:val="TOC2"/>
        <w:rPr>
          <w:rFonts w:asciiTheme="minorHAnsi" w:eastAsiaTheme="minorEastAsia" w:hAnsiTheme="minorHAnsi" w:cstheme="minorBidi"/>
          <w:noProof/>
          <w:sz w:val="22"/>
          <w:szCs w:val="22"/>
        </w:rPr>
      </w:pPr>
      <w:r w:rsidRPr="00240AF0">
        <w:rPr>
          <w:b/>
          <w:noProof/>
        </w:rPr>
        <w:t>6.2.</w:t>
      </w:r>
      <w:r>
        <w:rPr>
          <w:rFonts w:asciiTheme="minorHAnsi" w:eastAsiaTheme="minorEastAsia" w:hAnsiTheme="minorHAnsi" w:cstheme="minorBidi"/>
          <w:noProof/>
          <w:sz w:val="22"/>
          <w:szCs w:val="22"/>
        </w:rPr>
        <w:tab/>
      </w:r>
      <w:r w:rsidRPr="00240AF0">
        <w:rPr>
          <w:b/>
          <w:noProof/>
        </w:rPr>
        <w:t>Human Rights Implications</w:t>
      </w:r>
      <w:r>
        <w:rPr>
          <w:noProof/>
        </w:rPr>
        <w:tab/>
      </w:r>
      <w:r>
        <w:rPr>
          <w:noProof/>
        </w:rPr>
        <w:fldChar w:fldCharType="begin"/>
      </w:r>
      <w:r>
        <w:rPr>
          <w:noProof/>
        </w:rPr>
        <w:instrText xml:space="preserve"> PAGEREF _Toc164071179 \h </w:instrText>
      </w:r>
      <w:r>
        <w:rPr>
          <w:noProof/>
        </w:rPr>
      </w:r>
      <w:r>
        <w:rPr>
          <w:noProof/>
        </w:rPr>
        <w:fldChar w:fldCharType="separate"/>
      </w:r>
      <w:r>
        <w:rPr>
          <w:noProof/>
        </w:rPr>
        <w:t>13</w:t>
      </w:r>
      <w:r>
        <w:rPr>
          <w:noProof/>
        </w:rPr>
        <w:fldChar w:fldCharType="end"/>
      </w:r>
    </w:p>
    <w:p w14:paraId="75A60769" w14:textId="5F96DB6C" w:rsidR="00FA20DF" w:rsidRDefault="00FA20DF">
      <w:pPr>
        <w:pStyle w:val="TOC2"/>
        <w:rPr>
          <w:rFonts w:asciiTheme="minorHAnsi" w:eastAsiaTheme="minorEastAsia" w:hAnsiTheme="minorHAnsi" w:cstheme="minorBidi"/>
          <w:noProof/>
          <w:sz w:val="22"/>
          <w:szCs w:val="22"/>
        </w:rPr>
      </w:pPr>
      <w:r w:rsidRPr="00240AF0">
        <w:rPr>
          <w:b/>
          <w:noProof/>
        </w:rPr>
        <w:t>6.3</w:t>
      </w:r>
      <w:r>
        <w:rPr>
          <w:rFonts w:asciiTheme="minorHAnsi" w:eastAsiaTheme="minorEastAsia" w:hAnsiTheme="minorHAnsi" w:cstheme="minorBidi"/>
          <w:noProof/>
          <w:sz w:val="22"/>
          <w:szCs w:val="22"/>
        </w:rPr>
        <w:tab/>
      </w:r>
      <w:r w:rsidRPr="00240AF0">
        <w:rPr>
          <w:b/>
          <w:noProof/>
        </w:rPr>
        <w:t>Conclusion</w:t>
      </w:r>
      <w:r>
        <w:rPr>
          <w:noProof/>
        </w:rPr>
        <w:tab/>
      </w:r>
      <w:r>
        <w:rPr>
          <w:noProof/>
        </w:rPr>
        <w:fldChar w:fldCharType="begin"/>
      </w:r>
      <w:r>
        <w:rPr>
          <w:noProof/>
        </w:rPr>
        <w:instrText xml:space="preserve"> PAGEREF _Toc164071180 \h </w:instrText>
      </w:r>
      <w:r>
        <w:rPr>
          <w:noProof/>
        </w:rPr>
      </w:r>
      <w:r>
        <w:rPr>
          <w:noProof/>
        </w:rPr>
        <w:fldChar w:fldCharType="separate"/>
      </w:r>
      <w:r>
        <w:rPr>
          <w:noProof/>
        </w:rPr>
        <w:t>14</w:t>
      </w:r>
      <w:r>
        <w:rPr>
          <w:noProof/>
        </w:rPr>
        <w:fldChar w:fldCharType="end"/>
      </w:r>
    </w:p>
    <w:p w14:paraId="27D1D1D6" w14:textId="1F8A0034" w:rsidR="00DD4F22" w:rsidRPr="00514C80" w:rsidRDefault="00DD4F22" w:rsidP="00DD4F22">
      <w:r w:rsidRPr="00514C80">
        <w:fldChar w:fldCharType="end"/>
      </w:r>
    </w:p>
    <w:p w14:paraId="2C2C1D91" w14:textId="29065CF1" w:rsidR="00BA4F48" w:rsidRPr="00514C80" w:rsidRDefault="00BA4F48" w:rsidP="00D556A7">
      <w:pPr>
        <w:pStyle w:val="HeadingLevel1"/>
        <w:tabs>
          <w:tab w:val="num" w:pos="2552"/>
        </w:tabs>
        <w:ind w:left="851" w:hanging="850"/>
      </w:pPr>
      <w:r w:rsidRPr="00514C80">
        <w:rPr>
          <w:color w:val="3366FF"/>
        </w:rPr>
        <w:br w:type="page"/>
      </w:r>
      <w:bookmarkStart w:id="1" w:name="_Toc167864611"/>
      <w:bookmarkStart w:id="2" w:name="_Toc505092258"/>
      <w:bookmarkStart w:id="3" w:name="_Toc164071160"/>
      <w:r w:rsidRPr="00514C80">
        <w:lastRenderedPageBreak/>
        <w:t xml:space="preserve">legislative </w:t>
      </w:r>
      <w:bookmarkEnd w:id="1"/>
      <w:bookmarkEnd w:id="2"/>
      <w:r w:rsidR="00325E9B" w:rsidRPr="00514C80">
        <w:t>Authority</w:t>
      </w:r>
      <w:bookmarkEnd w:id="3"/>
    </w:p>
    <w:p w14:paraId="476546B4" w14:textId="734230A8" w:rsidR="004233CF" w:rsidRPr="00843199" w:rsidRDefault="00AF47C2" w:rsidP="000F620B">
      <w:pPr>
        <w:pStyle w:val="HeadingLevel2"/>
        <w:tabs>
          <w:tab w:val="num" w:pos="2694"/>
        </w:tabs>
        <w:ind w:left="851"/>
        <w:rPr>
          <w:b/>
        </w:rPr>
      </w:pPr>
      <w:bookmarkStart w:id="4" w:name="_Toc164071161"/>
      <w:r w:rsidRPr="00843199">
        <w:rPr>
          <w:b/>
        </w:rPr>
        <w:t>National Road Vehicle Standards</w:t>
      </w:r>
      <w:bookmarkEnd w:id="4"/>
    </w:p>
    <w:p w14:paraId="04A09582" w14:textId="49B09F7C" w:rsidR="0054772F" w:rsidRDefault="004233CF" w:rsidP="0054772F">
      <w:pPr>
        <w:rPr>
          <w:rFonts w:ascii="TimesNewRoman" w:hAnsi="TimesNewRoman" w:cs="TimesNewRoman"/>
          <w:color w:val="000000"/>
          <w:lang w:val="x-none"/>
        </w:rPr>
      </w:pPr>
      <w:r w:rsidRPr="00514C80">
        <w:t xml:space="preserve">Vehicle Standard </w:t>
      </w:r>
      <w:r w:rsidR="00701EB8" w:rsidRPr="00701EB8">
        <w:t>(Australian Design Rule 112/00 –Control of Real Driving Emissions for Light Vehicles) 202</w:t>
      </w:r>
      <w:r w:rsidR="00843199">
        <w:t>4</w:t>
      </w:r>
      <w:r w:rsidR="00891FAC" w:rsidRPr="00514C80">
        <w:t>, also referred to as</w:t>
      </w:r>
      <w:r w:rsidRPr="00514C80">
        <w:t xml:space="preserve"> ADR </w:t>
      </w:r>
      <w:r w:rsidR="00F04AAB">
        <w:t>11</w:t>
      </w:r>
      <w:r w:rsidR="00701EB8">
        <w:t>2</w:t>
      </w:r>
      <w:r w:rsidR="00F04AAB">
        <w:t>/00</w:t>
      </w:r>
      <w:r w:rsidR="00891FAC" w:rsidRPr="00514C80">
        <w:t>,</w:t>
      </w:r>
      <w:r w:rsidR="0054772F">
        <w:rPr>
          <w:rFonts w:ascii="TimesNewRoman" w:hAnsi="TimesNewRoman" w:cs="TimesNewRoman"/>
          <w:color w:val="000000"/>
          <w:lang w:val="x-none"/>
        </w:rPr>
        <w:t xml:space="preserve"> is made under section 12 of the </w:t>
      </w:r>
      <w:r w:rsidR="0054772F">
        <w:rPr>
          <w:rFonts w:ascii="TimesNewRoman" w:hAnsi="TimesNewRoman" w:cs="TimesNewRoman"/>
          <w:i/>
          <w:color w:val="000000"/>
          <w:lang w:val="x-none"/>
        </w:rPr>
        <w:t xml:space="preserve">Road Vehicle Standards Act 2018 </w:t>
      </w:r>
      <w:r w:rsidR="0054772F">
        <w:rPr>
          <w:rFonts w:ascii="TimesNewRoman" w:hAnsi="TimesNewRoman" w:cs="TimesNewRoman"/>
          <w:color w:val="000000"/>
          <w:lang w:val="x-none"/>
        </w:rPr>
        <w:t>(the Act). Section 12 of the Act allows the Minister to determine National Road Vehicle Standards.</w:t>
      </w:r>
    </w:p>
    <w:p w14:paraId="1F944DE8" w14:textId="157199AD" w:rsidR="0054772F" w:rsidRPr="00843199" w:rsidRDefault="0054772F" w:rsidP="0054772F">
      <w:pPr>
        <w:pStyle w:val="HeadingLevel2"/>
        <w:tabs>
          <w:tab w:val="num" w:pos="2694"/>
        </w:tabs>
        <w:ind w:left="851"/>
        <w:rPr>
          <w:b/>
        </w:rPr>
      </w:pPr>
      <w:bookmarkStart w:id="5" w:name="_Toc164071162"/>
      <w:r w:rsidRPr="00843199">
        <w:rPr>
          <w:b/>
        </w:rPr>
        <w:t>Exemption from Sunsetting</w:t>
      </w:r>
      <w:bookmarkEnd w:id="5"/>
    </w:p>
    <w:p w14:paraId="177D812B" w14:textId="69B0E520" w:rsidR="0054772F" w:rsidRDefault="0054772F" w:rsidP="0054772F">
      <w:pPr>
        <w:autoSpaceDE w:val="0"/>
        <w:autoSpaceDN w:val="0"/>
        <w:adjustRightInd w:val="0"/>
        <w:snapToGrid w:val="0"/>
        <w:spacing w:before="178" w:after="0"/>
        <w:rPr>
          <w:rFonts w:ascii="TimesNewRoman" w:hAnsi="TimesNewRoman" w:cs="TimesNewRoman"/>
          <w:i/>
          <w:color w:val="000000"/>
          <w:lang w:val="x-none"/>
        </w:rPr>
      </w:pPr>
      <w:r>
        <w:rPr>
          <w:rFonts w:ascii="TimesNewRoman" w:hAnsi="TimesNewRoman" w:cs="TimesNewRoman"/>
          <w:color w:val="000000"/>
          <w:lang w:val="x-none"/>
        </w:rPr>
        <w:t xml:space="preserve">ADR </w:t>
      </w:r>
      <w:r w:rsidR="00F04AAB">
        <w:rPr>
          <w:rFonts w:ascii="TimesNewRoman" w:hAnsi="TimesNewRoman" w:cs="TimesNewRoman"/>
          <w:color w:val="000000"/>
          <w:lang w:val="x-none"/>
        </w:rPr>
        <w:t>11</w:t>
      </w:r>
      <w:r w:rsidR="00701EB8">
        <w:rPr>
          <w:rFonts w:ascii="TimesNewRoman" w:hAnsi="TimesNewRoman" w:cs="TimesNewRoman"/>
          <w:color w:val="000000"/>
          <w:lang w:val="en-US"/>
        </w:rPr>
        <w:t>2</w:t>
      </w:r>
      <w:r w:rsidR="00F04AAB">
        <w:rPr>
          <w:rFonts w:ascii="TimesNewRoman" w:hAnsi="TimesNewRoman" w:cs="TimesNewRoman"/>
          <w:color w:val="000000"/>
          <w:lang w:val="x-none"/>
        </w:rPr>
        <w:t>/00</w:t>
      </w:r>
      <w:r>
        <w:rPr>
          <w:rFonts w:ascii="TimesNewRoman" w:hAnsi="TimesNewRoman" w:cs="TimesNewRoman"/>
          <w:color w:val="000000"/>
          <w:lang w:val="x-none"/>
        </w:rPr>
        <w:t xml:space="preserve"> is exempt from the sunsetting provisions of the </w:t>
      </w:r>
      <w:r>
        <w:rPr>
          <w:rFonts w:ascii="TimesNewRoman" w:hAnsi="TimesNewRoman" w:cs="TimesNewRoman"/>
          <w:i/>
          <w:color w:val="000000"/>
          <w:lang w:val="x-none"/>
        </w:rPr>
        <w:t>Legislation Act 2003.</w:t>
      </w:r>
    </w:p>
    <w:p w14:paraId="6512A408" w14:textId="77777777" w:rsidR="00E20CE8" w:rsidRDefault="00E20CE8" w:rsidP="00E20CE8">
      <w:pPr>
        <w:rPr>
          <w:i/>
        </w:rPr>
      </w:pPr>
      <w:r>
        <w:rPr>
          <w:i/>
        </w:rPr>
        <w:t>Source of the Exemption</w:t>
      </w:r>
    </w:p>
    <w:p w14:paraId="172BBFC5" w14:textId="63686DA0" w:rsidR="00E20CE8" w:rsidRDefault="00E20CE8" w:rsidP="00E20CE8">
      <w:pPr>
        <w:autoSpaceDE w:val="0"/>
        <w:autoSpaceDN w:val="0"/>
        <w:adjustRightInd w:val="0"/>
        <w:snapToGrid w:val="0"/>
        <w:spacing w:after="0"/>
        <w:rPr>
          <w:rFonts w:ascii="TimesNewRoman" w:hAnsi="TimesNewRoman" w:cs="TimesNewRoman"/>
          <w:color w:val="000000"/>
          <w:lang w:val="x-none"/>
        </w:rPr>
      </w:pPr>
      <w:r>
        <w:t>A standard made under section 12 of the A</w:t>
      </w:r>
      <w:r w:rsidR="0024485E">
        <w:t>ct</w:t>
      </w:r>
      <w:r>
        <w:t xml:space="preserve"> is not subject to the sunsetting provisions of section 50 of the </w:t>
      </w:r>
      <w:r>
        <w:rPr>
          <w:i/>
        </w:rPr>
        <w:t>Legislation (Exemptions and Other Matters) Act 2003</w:t>
      </w:r>
      <w:r>
        <w:t xml:space="preserve"> through section 12 of the </w:t>
      </w:r>
      <w:r>
        <w:rPr>
          <w:i/>
        </w:rPr>
        <w:t>Legislation (Exemptions and Other Matters) Regulation 2015</w:t>
      </w:r>
      <w:r>
        <w:t xml:space="preserve"> (table item 56C). A similar exemption was previously granted in respect of national road vehicle standards made under section 7 of the </w:t>
      </w:r>
      <w:r>
        <w:rPr>
          <w:i/>
        </w:rPr>
        <w:t>Motor Vehicle Standards Act 1989</w:t>
      </w:r>
      <w:r>
        <w:t xml:space="preserve"> (MVSA) (item 40, section 12 of the </w:t>
      </w:r>
      <w:r>
        <w:rPr>
          <w:i/>
        </w:rPr>
        <w:t>Legislation (Exemptions and Other Matters) Regulation 2015</w:t>
      </w:r>
      <w:r>
        <w:t xml:space="preserve">). </w:t>
      </w:r>
      <w:r>
        <w:rPr>
          <w:rFonts w:ascii="TimesNewRoman" w:hAnsi="TimesNewRoman" w:cs="TimesNewRoman"/>
          <w:color w:val="000000"/>
          <w:lang w:val="x-none"/>
        </w:rPr>
        <w:t>This exemption is important to ensure that ADR 111/00 continues to remain in force, and available to regulators and industry.</w:t>
      </w:r>
    </w:p>
    <w:p w14:paraId="04689B86" w14:textId="77777777" w:rsidR="00E20CE8" w:rsidRDefault="00E20CE8" w:rsidP="00E20CE8">
      <w:pPr>
        <w:rPr>
          <w:i/>
        </w:rPr>
      </w:pPr>
      <w:r>
        <w:rPr>
          <w:i/>
        </w:rPr>
        <w:t>Justification of Exemption</w:t>
      </w:r>
    </w:p>
    <w:p w14:paraId="3C230493" w14:textId="37D8E32C" w:rsidR="00E20CE8" w:rsidRDefault="00E20CE8" w:rsidP="00E20CE8">
      <w:r>
        <w:t xml:space="preserve">It is appropriate that standards made under section 12 of the </w:t>
      </w:r>
      <w:r w:rsidR="0024485E">
        <w:t>Act</w:t>
      </w:r>
      <w:r>
        <w:t>, also known as the Australian Design Rules (ADRs), remain enduring and effective to regulate ongoing road worthiness of vehicles throughout their useful life and reduce regulatory burden on vehicle manufacturers.</w:t>
      </w:r>
    </w:p>
    <w:p w14:paraId="26734B47" w14:textId="77777777" w:rsidR="00E20CE8" w:rsidRDefault="00E20CE8" w:rsidP="00E20CE8">
      <w:pPr>
        <w:pStyle w:val="Subsubsubsection"/>
        <w:numPr>
          <w:ilvl w:val="0"/>
          <w:numId w:val="0"/>
        </w:numPr>
        <w:tabs>
          <w:tab w:val="left" w:pos="720"/>
        </w:tabs>
        <w:ind w:left="851" w:hanging="851"/>
        <w:rPr>
          <w:i/>
        </w:rPr>
      </w:pPr>
      <w:r>
        <w:rPr>
          <w:i/>
        </w:rPr>
        <w:t>Intergovernmental dependencies</w:t>
      </w:r>
    </w:p>
    <w:p w14:paraId="301BAE66" w14:textId="77777777" w:rsidR="00E20CE8" w:rsidRDefault="00E20CE8" w:rsidP="00E20CE8">
      <w:r>
        <w:t xml:space="preserve">The exemption concerns ADRs which facilitate the establishment and operation of the intergovernmental vehicle standard regime that Commonwealth, State and Territory governments rely on to regulate the safety of vehicles on public roads. </w:t>
      </w:r>
    </w:p>
    <w:p w14:paraId="30FE3D19" w14:textId="77777777" w:rsidR="00E20CE8" w:rsidRDefault="00E20CE8" w:rsidP="00E20CE8">
      <w:r>
        <w:t xml:space="preserve">The Commonwealth uses the ADRs as the basis on which approvals to supply types of road vehicles to the market are granted under the </w:t>
      </w:r>
      <w:r>
        <w:rPr>
          <w:i/>
        </w:rPr>
        <w:t>Road Vehicle Standards Rules 2019</w:t>
      </w:r>
      <w:r>
        <w:t>. States and 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p>
    <w:p w14:paraId="247AAAD8" w14:textId="77777777" w:rsidR="00E20CE8" w:rsidRDefault="00E20CE8" w:rsidP="00E20CE8">
      <w:r>
        <w:t>While the ADRs are regularly updated to reflect changes in technology, it is not possible to apply these new standards retrospectively to vehicles that are already in use. With former ADRs kept on the Federal Register of Legislation, State and Territory governments can use them to ensure vehicles continue to comply with the ADRs that were in force when they were first supplied to the market.</w:t>
      </w:r>
    </w:p>
    <w:p w14:paraId="10F8F43E" w14:textId="4BE64433" w:rsidR="00E20CE8" w:rsidRDefault="00E20CE8" w:rsidP="00E20CE8">
      <w:r>
        <w:t xml:space="preserve">In the event that the Commonwealth could not justify the maintenance of the ADRs, State and Territory governments would be compelled to create their own vehicle standards. Whilst this could mean adopting the substance of the lapsed ADRs as an interim measure, the differing needs and agendas of each State and Territory </w:t>
      </w:r>
      <w:r>
        <w:lastRenderedPageBreak/>
        <w:t xml:space="preserve">government may result in variations to in-service regulations. Having different vehicle standards across the states and territories would make the scheme operate contrary to the underlying policy intent of the </w:t>
      </w:r>
      <w:r w:rsidR="0024485E">
        <w:t>Act</w:t>
      </w:r>
      <w:r>
        <w:t xml:space="preserve"> which is to set nationally consistent performance-based standards.</w:t>
      </w:r>
    </w:p>
    <w:p w14:paraId="39BEA4D9" w14:textId="77777777" w:rsidR="00E20CE8" w:rsidRDefault="00E20CE8" w:rsidP="00E20CE8">
      <w:pPr>
        <w:pStyle w:val="Subsubsubsection"/>
        <w:numPr>
          <w:ilvl w:val="0"/>
          <w:numId w:val="0"/>
        </w:numPr>
        <w:tabs>
          <w:tab w:val="left" w:pos="720"/>
        </w:tabs>
        <w:ind w:left="851" w:hanging="851"/>
        <w:rPr>
          <w:i/>
        </w:rPr>
      </w:pPr>
      <w:r>
        <w:rPr>
          <w:i/>
        </w:rPr>
        <w:t>Commercial dependencies</w:t>
      </w:r>
    </w:p>
    <w:p w14:paraId="61C6E6C1" w14:textId="77777777" w:rsidR="00E20CE8" w:rsidRDefault="00E20CE8" w:rsidP="00E20CE8">
      <w:r>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268F76B9" w14:textId="77777777" w:rsidR="00E20CE8" w:rsidRDefault="00E20CE8" w:rsidP="00E20CE8">
      <w:pPr>
        <w:pStyle w:val="Subsubsection"/>
        <w:numPr>
          <w:ilvl w:val="0"/>
          <w:numId w:val="0"/>
        </w:numPr>
        <w:tabs>
          <w:tab w:val="left" w:pos="720"/>
        </w:tabs>
        <w:ind w:left="851" w:hanging="851"/>
        <w:rPr>
          <w:i/>
        </w:rPr>
      </w:pPr>
      <w:r>
        <w:rPr>
          <w:i/>
        </w:rPr>
        <w:t>Review of Australian Design Rules</w:t>
      </w:r>
    </w:p>
    <w:p w14:paraId="68CA4D4E" w14:textId="04B73DF1" w:rsidR="00E20CE8" w:rsidRDefault="00E20CE8" w:rsidP="00E20CE8">
      <w:r>
        <w:rPr>
          <w:color w:val="000000"/>
          <w:shd w:val="clear" w:color="auto" w:fill="FFFFFF"/>
        </w:rPr>
        <w:t xml:space="preserve">Despite exemption from sunsetting, </w:t>
      </w:r>
      <w:r>
        <w:t>ADRs are subject to regular reviews, as resources permit, and when developments in vehicle technology necessitate updates to requirements. Comprehensive parliamentary scrutiny is available through these reviews.</w:t>
      </w:r>
    </w:p>
    <w:p w14:paraId="340488B9" w14:textId="36EED04A" w:rsidR="00E20CE8" w:rsidRDefault="00E20CE8" w:rsidP="00E20CE8">
      <w:r>
        <w:t xml:space="preserve">Reviews of the ADRs ensure the ongoing effectiveness of a nationally consistent system of technical regulations for vehicle design, which are closely aligned, wherever appropriate with leading international standards such as United Nations regulations. </w:t>
      </w:r>
      <w:r w:rsidR="00A612F7">
        <w:t>This enables</w:t>
      </w:r>
      <w:r>
        <w:t xml:space="preserve"> the rapid introduction of the latest technological advances into the Australian market, while also contributing to the industry’s cost competitiveness in the domestic market.</w:t>
      </w:r>
    </w:p>
    <w:p w14:paraId="0138F313" w14:textId="1BD8E976" w:rsidR="00E20CE8" w:rsidRPr="00843199" w:rsidRDefault="00E20CE8" w:rsidP="00E20CE8">
      <w:pPr>
        <w:pStyle w:val="HeadingLevel2"/>
        <w:tabs>
          <w:tab w:val="clear" w:pos="5388"/>
          <w:tab w:val="num" w:pos="2694"/>
          <w:tab w:val="num" w:pos="6522"/>
        </w:tabs>
        <w:ind w:left="851"/>
        <w:rPr>
          <w:b/>
        </w:rPr>
      </w:pPr>
      <w:bookmarkStart w:id="6" w:name="_Toc148688741"/>
      <w:bookmarkStart w:id="7" w:name="_Toc151129799"/>
      <w:bookmarkStart w:id="8" w:name="_Toc164071163"/>
      <w:r w:rsidRPr="00843199">
        <w:rPr>
          <w:b/>
        </w:rPr>
        <w:t>International Harmonisation</w:t>
      </w:r>
      <w:bookmarkEnd w:id="6"/>
      <w:bookmarkEnd w:id="7"/>
      <w:bookmarkEnd w:id="8"/>
    </w:p>
    <w:p w14:paraId="00D1CF69" w14:textId="01346C32" w:rsidR="00E20CE8" w:rsidRDefault="00E20CE8" w:rsidP="00E20CE8">
      <w:pPr>
        <w:rPr>
          <w:rFonts w:cs="Arial"/>
        </w:rPr>
      </w:pPr>
      <w:r>
        <w:rPr>
          <w:rFonts w:cs="Arial"/>
        </w:rPr>
        <w:t>A majority of Australian road vehicle standards such as ADR 11</w:t>
      </w:r>
      <w:r w:rsidR="00843199">
        <w:rPr>
          <w:rFonts w:cs="Arial"/>
        </w:rPr>
        <w:t>2</w:t>
      </w:r>
      <w:r>
        <w:rPr>
          <w:rFonts w:cs="Arial"/>
        </w:rPr>
        <w:t>/00 harmonise closely with international regulations. This is so that manufacturers can more easily comply with regulation, and so that regulations capture the well-developed views of the international community. This ultimately leads to safer and cheaper products for Australians.</w:t>
      </w:r>
    </w:p>
    <w:p w14:paraId="0C0EA8C5" w14:textId="38ACB92C" w:rsidR="00E20CE8" w:rsidRPr="0004549A" w:rsidRDefault="00E20CE8" w:rsidP="00E20CE8">
      <w:pPr>
        <w:rPr>
          <w:rFonts w:cs="Arial"/>
        </w:rPr>
      </w:pPr>
      <w:r>
        <w:rPr>
          <w:rFonts w:cs="Arial"/>
        </w:rPr>
        <w:t>ADR</w:t>
      </w:r>
      <w:r w:rsidR="00A15A22">
        <w:rPr>
          <w:rFonts w:cs="Arial"/>
        </w:rPr>
        <w:t>s</w:t>
      </w:r>
      <w:r>
        <w:rPr>
          <w:rFonts w:cs="Arial"/>
        </w:rPr>
        <w:t xml:space="preserve"> often directly incorporate United Nations (UN) Regulations as an appendix, where the appendix provides the technical requirements of the ADR and the rest of the ADR facilitates its application to Australia. To this end, Section 6 creates exemptions and alternate procedures. For instance, manufacturers are exempt from requirements that pertain to UN type approvals, and instead, need to comply with the approvals process set out in the </w:t>
      </w:r>
      <w:r w:rsidR="0024485E">
        <w:rPr>
          <w:rFonts w:cs="Arial"/>
        </w:rPr>
        <w:t>Act</w:t>
      </w:r>
      <w:r>
        <w:rPr>
          <w:rFonts w:cs="Arial"/>
        </w:rPr>
        <w:t xml:space="preserve">. Likewise, Section 7 provides for the acceptance of certain alternative standards that have equivalent requirements to the appendix. For instance, a vehicle covered by a type approval under the UN Regulation would be deemed to comply with the ADR. </w:t>
      </w:r>
    </w:p>
    <w:p w14:paraId="5903C8BD" w14:textId="0149AA74" w:rsidR="00A612F7" w:rsidRDefault="00A612F7">
      <w:pPr>
        <w:spacing w:before="0" w:after="0"/>
      </w:pPr>
      <w:r>
        <w:br w:type="page"/>
      </w:r>
    </w:p>
    <w:p w14:paraId="31AF5FA4" w14:textId="2504F0D8" w:rsidR="00BA4F48" w:rsidRPr="00340AE1" w:rsidRDefault="000B1B1F" w:rsidP="00E20CE8">
      <w:pPr>
        <w:pStyle w:val="HeadingLevel1"/>
        <w:keepNext/>
        <w:keepLines/>
        <w:tabs>
          <w:tab w:val="num" w:pos="2552"/>
        </w:tabs>
        <w:ind w:left="851" w:hanging="850"/>
      </w:pPr>
      <w:bookmarkStart w:id="9" w:name="_Toc164071164"/>
      <w:r w:rsidRPr="00514C80">
        <w:lastRenderedPageBreak/>
        <w:t>Purpose and operation</w:t>
      </w:r>
      <w:bookmarkEnd w:id="9"/>
    </w:p>
    <w:p w14:paraId="2FF4F4EA" w14:textId="77777777" w:rsidR="00BA4F48" w:rsidRPr="00843199" w:rsidRDefault="00BA4F48" w:rsidP="00E20CE8">
      <w:pPr>
        <w:pStyle w:val="HeadingLevel2"/>
        <w:keepNext/>
        <w:ind w:left="851"/>
        <w:rPr>
          <w:b/>
        </w:rPr>
      </w:pPr>
      <w:bookmarkStart w:id="10" w:name="_Toc167864613"/>
      <w:bookmarkStart w:id="11" w:name="_Toc505092260"/>
      <w:bookmarkStart w:id="12" w:name="_Toc164071165"/>
      <w:r w:rsidRPr="00843199">
        <w:rPr>
          <w:b/>
        </w:rPr>
        <w:t>Overview of the ADR</w:t>
      </w:r>
      <w:bookmarkEnd w:id="10"/>
      <w:bookmarkEnd w:id="11"/>
      <w:bookmarkEnd w:id="12"/>
    </w:p>
    <w:p w14:paraId="636482C8" w14:textId="6E861449" w:rsidR="006B6354" w:rsidRPr="00514C80" w:rsidRDefault="00AD12BE" w:rsidP="00340AE1">
      <w:bookmarkStart w:id="13" w:name="_Toc167864614"/>
      <w:r w:rsidRPr="00514C80">
        <w:t xml:space="preserve">Clause 2.1 </w:t>
      </w:r>
      <w:r w:rsidR="00972C4C">
        <w:t xml:space="preserve">advises </w:t>
      </w:r>
      <w:r w:rsidR="00E20CE8" w:rsidRPr="00340AE1">
        <w:rPr>
          <w:lang w:val="x-none" w:eastAsia="x-none"/>
        </w:rPr>
        <w:t xml:space="preserve">policy intent of ADR </w:t>
      </w:r>
      <w:r w:rsidR="00E20CE8">
        <w:rPr>
          <w:lang w:val="x-none" w:eastAsia="x-none"/>
        </w:rPr>
        <w:t>11</w:t>
      </w:r>
      <w:r w:rsidR="00E20CE8">
        <w:rPr>
          <w:lang w:val="en-US" w:eastAsia="x-none"/>
        </w:rPr>
        <w:t>2</w:t>
      </w:r>
      <w:r w:rsidR="00E20CE8">
        <w:rPr>
          <w:lang w:val="x-none" w:eastAsia="x-none"/>
        </w:rPr>
        <w:t>/00</w:t>
      </w:r>
      <w:r w:rsidR="00E20CE8" w:rsidRPr="00340AE1">
        <w:rPr>
          <w:lang w:val="x-none" w:eastAsia="x-none"/>
        </w:rPr>
        <w:t xml:space="preserve"> is to reduce the public health impacts of </w:t>
      </w:r>
      <w:r w:rsidR="00E20CE8">
        <w:rPr>
          <w:lang w:val="en-US" w:eastAsia="x-none"/>
        </w:rPr>
        <w:t xml:space="preserve">noxious </w:t>
      </w:r>
      <w:r w:rsidR="00E20CE8" w:rsidRPr="00340AE1">
        <w:rPr>
          <w:lang w:val="x-none" w:eastAsia="x-none"/>
        </w:rPr>
        <w:t>exhaust emissions produced</w:t>
      </w:r>
      <w:r w:rsidR="00E20CE8">
        <w:t xml:space="preserve"> in real world conditions by</w:t>
      </w:r>
      <w:r w:rsidR="00996FC2" w:rsidRPr="00F92EFF">
        <w:rPr>
          <w:lang w:val="x-none" w:eastAsia="x-none"/>
        </w:rPr>
        <w:t xml:space="preserve"> </w:t>
      </w:r>
      <w:r w:rsidR="00F04AAB">
        <w:rPr>
          <w:lang w:val="en-US" w:eastAsia="x-none"/>
        </w:rPr>
        <w:t>light duty</w:t>
      </w:r>
      <w:r w:rsidR="00996FC2" w:rsidRPr="00F92EFF">
        <w:rPr>
          <w:lang w:val="x-none" w:eastAsia="x-none"/>
        </w:rPr>
        <w:t xml:space="preserve"> </w:t>
      </w:r>
      <w:r w:rsidR="00996FC2">
        <w:rPr>
          <w:lang w:eastAsia="x-none"/>
        </w:rPr>
        <w:t xml:space="preserve">road motor </w:t>
      </w:r>
      <w:r w:rsidR="00996FC2">
        <w:rPr>
          <w:lang w:val="x-none" w:eastAsia="x-none"/>
        </w:rPr>
        <w:t>vehicles</w:t>
      </w:r>
      <w:r w:rsidR="00996FC2">
        <w:rPr>
          <w:lang w:eastAsia="x-none"/>
        </w:rPr>
        <w:t xml:space="preserve"> (</w:t>
      </w:r>
      <w:r w:rsidR="006E26FA">
        <w:rPr>
          <w:lang w:eastAsia="x-none"/>
        </w:rPr>
        <w:t xml:space="preserve">passenger </w:t>
      </w:r>
      <w:r w:rsidR="00B617B8">
        <w:rPr>
          <w:lang w:eastAsia="x-none"/>
        </w:rPr>
        <w:t>(M</w:t>
      </w:r>
      <w:r w:rsidR="00F04AAB">
        <w:rPr>
          <w:lang w:eastAsia="x-none"/>
        </w:rPr>
        <w:t>A, MB, MC and MD</w:t>
      </w:r>
      <w:r w:rsidR="00B617B8">
        <w:rPr>
          <w:lang w:eastAsia="x-none"/>
        </w:rPr>
        <w:t xml:space="preserve"> category) </w:t>
      </w:r>
      <w:r w:rsidR="006E26FA">
        <w:rPr>
          <w:lang w:eastAsia="x-none"/>
        </w:rPr>
        <w:t>and goods carrying</w:t>
      </w:r>
      <w:r w:rsidR="00B617B8">
        <w:rPr>
          <w:lang w:eastAsia="x-none"/>
        </w:rPr>
        <w:t xml:space="preserve"> (N</w:t>
      </w:r>
      <w:r w:rsidR="00F04AAB">
        <w:rPr>
          <w:lang w:eastAsia="x-none"/>
        </w:rPr>
        <w:t>A</w:t>
      </w:r>
      <w:r w:rsidR="00B617B8">
        <w:rPr>
          <w:lang w:eastAsia="x-none"/>
        </w:rPr>
        <w:t xml:space="preserve"> category) vehicles</w:t>
      </w:r>
      <w:r w:rsidR="00996FC2">
        <w:rPr>
          <w:lang w:eastAsia="x-none"/>
        </w:rPr>
        <w:t xml:space="preserve"> with a gross vehicle mass </w:t>
      </w:r>
      <w:r w:rsidR="00F04AAB">
        <w:rPr>
          <w:lang w:eastAsia="x-none"/>
        </w:rPr>
        <w:t>up to</w:t>
      </w:r>
      <w:r w:rsidR="00996FC2">
        <w:rPr>
          <w:lang w:eastAsia="x-none"/>
        </w:rPr>
        <w:t xml:space="preserve"> 3</w:t>
      </w:r>
      <w:r w:rsidR="00F04AAB">
        <w:rPr>
          <w:lang w:eastAsia="x-none"/>
        </w:rPr>
        <w:t>,500kg</w:t>
      </w:r>
      <w:r w:rsidR="00996FC2">
        <w:rPr>
          <w:lang w:eastAsia="x-none"/>
        </w:rPr>
        <w:t>)</w:t>
      </w:r>
      <w:r w:rsidRPr="00514C80">
        <w:t xml:space="preserve">. </w:t>
      </w:r>
    </w:p>
    <w:p w14:paraId="5D60924B" w14:textId="1D55FBC3" w:rsidR="008D6327" w:rsidRDefault="00E20CE8" w:rsidP="00340AE1">
      <w:pPr>
        <w:rPr>
          <w:lang w:val="en-US" w:eastAsia="x-none"/>
        </w:rPr>
      </w:pPr>
      <w:r>
        <w:rPr>
          <w:lang w:val="en-US" w:eastAsia="x-none"/>
        </w:rPr>
        <w:t>Noxious exhaust emissions</w:t>
      </w:r>
      <w:r w:rsidR="005A5AAB" w:rsidRPr="00340AE1">
        <w:rPr>
          <w:lang w:val="x-none" w:eastAsia="x-none"/>
        </w:rPr>
        <w:t>, such as oxides of nitrogen</w:t>
      </w:r>
      <w:r w:rsidR="00117116" w:rsidRPr="00340AE1">
        <w:rPr>
          <w:lang w:val="x-none" w:eastAsia="x-none"/>
        </w:rPr>
        <w:t xml:space="preserve"> (NOx)</w:t>
      </w:r>
      <w:r w:rsidR="005A5AAB" w:rsidRPr="00340AE1">
        <w:rPr>
          <w:lang w:val="x-none" w:eastAsia="x-none"/>
        </w:rPr>
        <w:t xml:space="preserve"> and particulate matter</w:t>
      </w:r>
      <w:r w:rsidR="00117116" w:rsidRPr="00340AE1">
        <w:rPr>
          <w:lang w:val="x-none" w:eastAsia="x-none"/>
        </w:rPr>
        <w:t xml:space="preserve"> (PM)</w:t>
      </w:r>
      <w:r w:rsidR="005A5AAB" w:rsidRPr="00340AE1">
        <w:rPr>
          <w:lang w:val="x-none" w:eastAsia="x-none"/>
        </w:rPr>
        <w:t>, which can cause respiratory and cardiovascular illnesses and cancer</w:t>
      </w:r>
      <w:r w:rsidR="000968DF" w:rsidRPr="00340AE1">
        <w:rPr>
          <w:lang w:val="x-none" w:eastAsia="x-none"/>
        </w:rPr>
        <w:t>.</w:t>
      </w:r>
      <w:r w:rsidR="005F35E2" w:rsidRPr="00340AE1">
        <w:rPr>
          <w:lang w:val="x-none" w:eastAsia="x-none"/>
        </w:rPr>
        <w:t xml:space="preserve"> </w:t>
      </w:r>
      <w:r>
        <w:rPr>
          <w:lang w:val="en-US" w:eastAsia="x-none"/>
        </w:rPr>
        <w:t>L</w:t>
      </w:r>
      <w:r w:rsidR="00972C4C">
        <w:rPr>
          <w:lang w:val="en-US" w:eastAsia="x-none"/>
        </w:rPr>
        <w:t>ight duty</w:t>
      </w:r>
      <w:r w:rsidR="00996FC2" w:rsidRPr="00340AE1">
        <w:rPr>
          <w:lang w:val="x-none" w:eastAsia="x-none"/>
        </w:rPr>
        <w:t xml:space="preserve"> road </w:t>
      </w:r>
      <w:r w:rsidR="005A5AAB" w:rsidRPr="00340AE1">
        <w:rPr>
          <w:lang w:val="x-none" w:eastAsia="x-none"/>
        </w:rPr>
        <w:t xml:space="preserve">motor vehicles, particularly </w:t>
      </w:r>
      <w:r w:rsidR="00F17577">
        <w:rPr>
          <w:lang w:val="en-US" w:eastAsia="x-none"/>
        </w:rPr>
        <w:t xml:space="preserve">petrol and </w:t>
      </w:r>
      <w:r w:rsidR="005A5AAB" w:rsidRPr="00340AE1">
        <w:rPr>
          <w:lang w:val="x-none" w:eastAsia="x-none"/>
        </w:rPr>
        <w:t xml:space="preserve">diesel vehicles, are a significant source of </w:t>
      </w:r>
      <w:r>
        <w:rPr>
          <w:lang w:val="en-US" w:eastAsia="x-none"/>
        </w:rPr>
        <w:t xml:space="preserve">noxious </w:t>
      </w:r>
      <w:r w:rsidR="005A5AAB" w:rsidRPr="00340AE1">
        <w:rPr>
          <w:lang w:val="x-none" w:eastAsia="x-none"/>
        </w:rPr>
        <w:t xml:space="preserve">air pollutants, particularly </w:t>
      </w:r>
      <w:r w:rsidR="00972C4C">
        <w:rPr>
          <w:lang w:val="en-US" w:eastAsia="x-none"/>
        </w:rPr>
        <w:t>in areas</w:t>
      </w:r>
      <w:r w:rsidR="005A5AAB" w:rsidRPr="00340AE1">
        <w:rPr>
          <w:lang w:val="x-none" w:eastAsia="x-none"/>
        </w:rPr>
        <w:t xml:space="preserve"> with high volumes of vehicle traffic</w:t>
      </w:r>
      <w:r w:rsidR="00996FC2" w:rsidRPr="00340AE1">
        <w:rPr>
          <w:lang w:val="x-none" w:eastAsia="x-none"/>
        </w:rPr>
        <w:t>.</w:t>
      </w:r>
    </w:p>
    <w:p w14:paraId="4ADDC36C" w14:textId="145F58EC" w:rsidR="005F35E2" w:rsidRDefault="008D6327" w:rsidP="00340AE1">
      <w:pPr>
        <w:rPr>
          <w:lang w:val="en-US" w:eastAsia="x-none"/>
        </w:rPr>
      </w:pPr>
      <w:r>
        <w:rPr>
          <w:lang w:val="en-US" w:eastAsia="x-none"/>
        </w:rPr>
        <w:t>A number of studies in Australia and overseas have found emissions in real world driving conditions, particularly for diesel vehicles can be significantly higher than measured in laboratory tests traditionally used to regulate exhaust emissions from road vehicles. ADR 112/00 aims to address this concern by set exhaust emission requirements for vehicles over a wide range of operating conditions.</w:t>
      </w:r>
    </w:p>
    <w:p w14:paraId="36854F30" w14:textId="77777777" w:rsidR="00843199" w:rsidRDefault="00843199" w:rsidP="00843199">
      <w:pPr>
        <w:keepNext/>
        <w:keepLines/>
        <w:rPr>
          <w:lang w:val="en-US" w:eastAsia="x-none"/>
        </w:rPr>
      </w:pPr>
      <w:r>
        <w:rPr>
          <w:lang w:val="en-US" w:eastAsia="x-none"/>
        </w:rPr>
        <w:t>Section 3 advises this national road vehicle standard applies for newly approved light vehicle models supplied to Australia for the first time from 1 December 2025 and all new light vehicles supplied to Australia from 1 July 2028.</w:t>
      </w:r>
    </w:p>
    <w:p w14:paraId="28E315E0" w14:textId="1FE94F3D" w:rsidR="00843199" w:rsidRPr="008D6327" w:rsidRDefault="00843199" w:rsidP="00843199">
      <w:pPr>
        <w:keepNext/>
        <w:keepLines/>
        <w:rPr>
          <w:lang w:val="en-US" w:eastAsia="x-none"/>
        </w:rPr>
      </w:pPr>
      <w:r>
        <w:rPr>
          <w:lang w:val="en-US" w:eastAsia="x-none"/>
        </w:rPr>
        <w:t>As the alternative standards specified in Section 7 of ADR 79/05, adopt equivalent requirements to those adopted in ADR 112/00, clause 3.2 of this ADR advises that vehicles that comply with ADR 79/05, by demonstrating compliance to the full technical requirements of these alternative standards do not need to submit this evidence again to comply with ADR 112/00.</w:t>
      </w:r>
    </w:p>
    <w:p w14:paraId="21FA2154" w14:textId="650D8717" w:rsidR="00AD12BE" w:rsidRPr="00843199" w:rsidRDefault="00AD12BE" w:rsidP="000F620B">
      <w:pPr>
        <w:pStyle w:val="HeadingLevel2"/>
        <w:ind w:left="851"/>
        <w:rPr>
          <w:b/>
        </w:rPr>
      </w:pPr>
      <w:bookmarkStart w:id="14" w:name="_Toc77000451"/>
      <w:bookmarkStart w:id="15" w:name="_Toc77091652"/>
      <w:bookmarkStart w:id="16" w:name="_Toc77253496"/>
      <w:bookmarkStart w:id="17" w:name="_Toc77253547"/>
      <w:bookmarkStart w:id="18" w:name="_Toc77263167"/>
      <w:bookmarkStart w:id="19" w:name="_Toc77264477"/>
      <w:bookmarkStart w:id="20" w:name="_Toc74044070"/>
      <w:bookmarkStart w:id="21" w:name="_Toc74044717"/>
      <w:bookmarkStart w:id="22" w:name="_Toc164071166"/>
      <w:bookmarkEnd w:id="13"/>
      <w:bookmarkEnd w:id="14"/>
      <w:bookmarkEnd w:id="15"/>
      <w:bookmarkEnd w:id="16"/>
      <w:bookmarkEnd w:id="17"/>
      <w:bookmarkEnd w:id="18"/>
      <w:bookmarkEnd w:id="19"/>
      <w:r w:rsidRPr="00843199">
        <w:rPr>
          <w:b/>
        </w:rPr>
        <w:t>Design Requirement</w:t>
      </w:r>
      <w:bookmarkEnd w:id="20"/>
      <w:bookmarkEnd w:id="21"/>
      <w:bookmarkEnd w:id="22"/>
    </w:p>
    <w:p w14:paraId="3ACBCD06" w14:textId="77777777" w:rsidR="00E20CE8" w:rsidRDefault="000F620B" w:rsidP="00E20CE8">
      <w:r w:rsidRPr="00340AE1">
        <w:t>Clause 5.1</w:t>
      </w:r>
      <w:r w:rsidR="00D868AD" w:rsidRPr="00340AE1">
        <w:t xml:space="preserve"> </w:t>
      </w:r>
      <w:r w:rsidR="00AD12BE" w:rsidRPr="00340AE1">
        <w:t>require</w:t>
      </w:r>
      <w:r w:rsidRPr="00340AE1">
        <w:t>s</w:t>
      </w:r>
      <w:r w:rsidR="00AD12BE" w:rsidRPr="00340AE1">
        <w:t xml:space="preserve"> all</w:t>
      </w:r>
      <w:r w:rsidR="00972C4C">
        <w:t xml:space="preserve"> vehicles subject to the ADR</w:t>
      </w:r>
      <w:r w:rsidR="00AD12BE" w:rsidRPr="00340AE1">
        <w:t xml:space="preserve"> </w:t>
      </w:r>
      <w:r w:rsidR="00D868AD" w:rsidRPr="00340AE1">
        <w:t xml:space="preserve">to </w:t>
      </w:r>
      <w:r w:rsidR="00AD12BE" w:rsidRPr="00340AE1">
        <w:t xml:space="preserve">meet </w:t>
      </w:r>
      <w:r w:rsidR="00B617B8">
        <w:t xml:space="preserve">the </w:t>
      </w:r>
      <w:r w:rsidR="00AD12BE" w:rsidRPr="00340AE1">
        <w:t>requirements s</w:t>
      </w:r>
      <w:r w:rsidR="00972C4C">
        <w:t>pecified</w:t>
      </w:r>
      <w:r w:rsidR="00AD12BE" w:rsidRPr="00340AE1">
        <w:t xml:space="preserve"> in Appendix A of this standard</w:t>
      </w:r>
      <w:r w:rsidR="00C51F93" w:rsidRPr="00340AE1">
        <w:t xml:space="preserve">, as varied by </w:t>
      </w:r>
      <w:r w:rsidR="00540BD6" w:rsidRPr="00340AE1">
        <w:t>Section 6 Exemptions and Alternative Procedures</w:t>
      </w:r>
      <w:r w:rsidRPr="00340AE1">
        <w:t xml:space="preserve"> or the</w:t>
      </w:r>
      <w:r w:rsidR="00972C4C">
        <w:t xml:space="preserve"> one of the</w:t>
      </w:r>
      <w:r w:rsidRPr="00340AE1">
        <w:t xml:space="preserve"> alternative standards</w:t>
      </w:r>
      <w:r w:rsidR="00972C4C">
        <w:t xml:space="preserve"> specified</w:t>
      </w:r>
      <w:r w:rsidRPr="00340AE1">
        <w:t xml:space="preserve"> in Section 7</w:t>
      </w:r>
      <w:r w:rsidR="000F162D" w:rsidRPr="00340AE1">
        <w:t xml:space="preserve">. Appendix A is </w:t>
      </w:r>
      <w:r w:rsidR="00972C4C">
        <w:t>based on</w:t>
      </w:r>
      <w:r w:rsidR="00540BD6" w:rsidRPr="00340AE1">
        <w:t xml:space="preserve"> </w:t>
      </w:r>
      <w:r w:rsidR="008D6327">
        <w:t xml:space="preserve">the forthcoming </w:t>
      </w:r>
      <w:r w:rsidR="00AA791B" w:rsidRPr="00340AE1">
        <w:t>UN</w:t>
      </w:r>
      <w:r w:rsidR="00AD12BE" w:rsidRPr="00340AE1">
        <w:t xml:space="preserve"> Regulation No. </w:t>
      </w:r>
      <w:r w:rsidR="008D6327">
        <w:t>168</w:t>
      </w:r>
      <w:r w:rsidR="00AD12BE" w:rsidRPr="00340AE1">
        <w:t xml:space="preserve"> – </w:t>
      </w:r>
      <w:bookmarkStart w:id="23" w:name="_Hlk141193546"/>
      <w:r w:rsidR="008D6327" w:rsidRPr="008D6327">
        <w:rPr>
          <w:i/>
          <w:szCs w:val="18"/>
          <w:lang w:eastAsia="fr-FR"/>
        </w:rPr>
        <w:t>Uniform provisions concerning the approval of light duty passenger and commercial vehicles with regards to real driving emissions (RDE)</w:t>
      </w:r>
      <w:r w:rsidR="008D6327">
        <w:t xml:space="preserve">, </w:t>
      </w:r>
      <w:bookmarkEnd w:id="23"/>
      <w:r w:rsidR="008D6327">
        <w:t xml:space="preserve">which was agreed at the </w:t>
      </w:r>
      <w:r w:rsidR="000616F2">
        <w:t>190</w:t>
      </w:r>
      <w:r w:rsidR="000616F2" w:rsidRPr="000616F2">
        <w:rPr>
          <w:vertAlign w:val="superscript"/>
        </w:rPr>
        <w:t>th</w:t>
      </w:r>
      <w:r w:rsidR="000616F2">
        <w:t xml:space="preserve"> session of the World Forum for the Harmonisation of Vehicle Regulations on 21</w:t>
      </w:r>
      <w:r w:rsidR="000616F2">
        <w:rPr>
          <w:vertAlign w:val="superscript"/>
        </w:rPr>
        <w:t xml:space="preserve"> </w:t>
      </w:r>
      <w:r w:rsidR="000616F2">
        <w:t>June 2023</w:t>
      </w:r>
      <w:r w:rsidR="00DD1258">
        <w:rPr>
          <w:rStyle w:val="FootnoteReference"/>
        </w:rPr>
        <w:footnoteReference w:id="2"/>
      </w:r>
      <w:r w:rsidR="000616F2">
        <w:t>.</w:t>
      </w:r>
      <w:r w:rsidR="000E037F">
        <w:t xml:space="preserve"> UN Regulation </w:t>
      </w:r>
      <w:r w:rsidR="003A6B6B">
        <w:t>1</w:t>
      </w:r>
      <w:r w:rsidR="008D6327">
        <w:t>68</w:t>
      </w:r>
      <w:r w:rsidR="000E037F">
        <w:t xml:space="preserve"> is based o</w:t>
      </w:r>
      <w:r w:rsidR="003A6B6B">
        <w:t xml:space="preserve">n the </w:t>
      </w:r>
      <w:r w:rsidR="00DD1258">
        <w:t xml:space="preserve">latest </w:t>
      </w:r>
      <w:r w:rsidR="000616F2">
        <w:t>real driving emissions test requirement</w:t>
      </w:r>
      <w:r w:rsidR="00DD1258">
        <w:t>s</w:t>
      </w:r>
      <w:r w:rsidR="000616F2">
        <w:t xml:space="preserve"> </w:t>
      </w:r>
      <w:r w:rsidR="000E037F">
        <w:t>adopted in European Union</w:t>
      </w:r>
      <w:r w:rsidR="003A6B6B">
        <w:t xml:space="preserve"> (EU) Regulation 2017/1151</w:t>
      </w:r>
      <w:r w:rsidR="00DD1258">
        <w:t>.</w:t>
      </w:r>
    </w:p>
    <w:p w14:paraId="0B29712E" w14:textId="2EEC5028" w:rsidR="00E20CE8" w:rsidRPr="00514C80" w:rsidRDefault="00E20CE8" w:rsidP="00E20CE8">
      <w:r>
        <w:t>Light duty vehicles</w:t>
      </w:r>
      <w:r w:rsidRPr="00514C80">
        <w:t xml:space="preserve"> </w:t>
      </w:r>
      <w:r>
        <w:t xml:space="preserve">conforming to ADR 112/00 will need to be designed to produce significantly lower emissions of oxides of nitrogen and particulates in real world driving conditions. To meet the performance-based requirements of the ADR, most </w:t>
      </w:r>
      <w:r>
        <w:lastRenderedPageBreak/>
        <w:t>light duty diesel vehicles will need be fitted with a selective catalytic reduction (SCR) system (which uses a consumable reagent to break down oxides of nitrogen) to reduce the production of oxides of nitrogen. Most petrol vehicles will need to be fitted with a particulate filter to burn off particulate emissions produced from the combustion process.</w:t>
      </w:r>
    </w:p>
    <w:p w14:paraId="2C9A1D32" w14:textId="045BD9F0" w:rsidR="00AD12BE" w:rsidRDefault="00843199" w:rsidP="00D5611D">
      <w:pPr>
        <w:keepLines/>
      </w:pPr>
      <w:r>
        <w:t>As the UN Regulation adopted as Appendix A does not specify on-road testing requirements for pure electric and hydrogen fuel cell vehicles, clauses 5.1.1 and 5.1.2 advise vehicles meeting the definition ‘pure electric vehicle’ of ‘fuel cell vehicle’, as defined in ADR 111/00 and need not demonstrate compliance with the requirements of Clause 5.1, if the vehicle is fitted a label or other emblem indicating the vehicle is a Battery Electric Vehicle or BEV or hydrogen fuel cell vehicle or HFCV.</w:t>
      </w:r>
    </w:p>
    <w:p w14:paraId="088E36A1" w14:textId="064034E7" w:rsidR="00297D5D" w:rsidRPr="00843199" w:rsidRDefault="00AD12BE" w:rsidP="00D5611D">
      <w:pPr>
        <w:pStyle w:val="HeadingLevel2"/>
        <w:keepNext/>
        <w:widowControl w:val="0"/>
        <w:tabs>
          <w:tab w:val="num" w:pos="2694"/>
        </w:tabs>
        <w:ind w:left="851"/>
        <w:rPr>
          <w:b/>
        </w:rPr>
      </w:pPr>
      <w:bookmarkStart w:id="24" w:name="_Toc74044718"/>
      <w:bookmarkStart w:id="25" w:name="_Toc167864615"/>
      <w:bookmarkStart w:id="26" w:name="_Toc164071167"/>
      <w:r w:rsidRPr="00843199">
        <w:rPr>
          <w:b/>
        </w:rPr>
        <w:t>Exemptions and Alternative Procedures</w:t>
      </w:r>
      <w:bookmarkEnd w:id="24"/>
      <w:bookmarkEnd w:id="26"/>
    </w:p>
    <w:p w14:paraId="52D2666D" w14:textId="77777777" w:rsidR="00610FED" w:rsidRPr="00514C80" w:rsidRDefault="00610FED" w:rsidP="00D5611D">
      <w:pPr>
        <w:keepNext/>
        <w:keepLines/>
        <w:rPr>
          <w:u w:val="single"/>
        </w:rPr>
      </w:pPr>
      <w:r w:rsidRPr="00514C80">
        <w:rPr>
          <w:u w:val="single"/>
        </w:rPr>
        <w:t>Exemptions</w:t>
      </w:r>
    </w:p>
    <w:p w14:paraId="4292CBEE" w14:textId="3E584064" w:rsidR="00610FED" w:rsidRPr="00514C80" w:rsidRDefault="00E20CE8" w:rsidP="00D5611D">
      <w:pPr>
        <w:keepLines/>
      </w:pPr>
      <w:r>
        <w:t>Clause 6.1</w:t>
      </w:r>
      <w:r w:rsidR="00C449E5" w:rsidRPr="00514C80">
        <w:t xml:space="preserve"> </w:t>
      </w:r>
      <w:r w:rsidR="007F5327" w:rsidRPr="00514C80">
        <w:t>creates exemptions from</w:t>
      </w:r>
      <w:r w:rsidR="00610FED" w:rsidRPr="00514C80">
        <w:t xml:space="preserve"> </w:t>
      </w:r>
      <w:r w:rsidR="008A5EAE" w:rsidRPr="00514C80">
        <w:t xml:space="preserve">some </w:t>
      </w:r>
      <w:r w:rsidR="004574BB" w:rsidRPr="00514C80">
        <w:t xml:space="preserve">requirements </w:t>
      </w:r>
      <w:r w:rsidR="00610FED" w:rsidRPr="00514C80">
        <w:t xml:space="preserve">of </w:t>
      </w:r>
      <w:r w:rsidR="00571507">
        <w:t>A</w:t>
      </w:r>
      <w:r w:rsidR="00684418" w:rsidRPr="00514C80">
        <w:t>ppendix A (</w:t>
      </w:r>
      <w:r w:rsidR="000616F2">
        <w:t xml:space="preserve">forthcoming </w:t>
      </w:r>
      <w:r w:rsidR="00610FED" w:rsidRPr="00514C80">
        <w:t>UN</w:t>
      </w:r>
      <w:r w:rsidR="00C36570">
        <w:t xml:space="preserve"> </w:t>
      </w:r>
      <w:r w:rsidR="00610FED" w:rsidRPr="00514C80">
        <w:t>R</w:t>
      </w:r>
      <w:r w:rsidR="0041729D">
        <w:t>1</w:t>
      </w:r>
      <w:r w:rsidR="000616F2">
        <w:t>68</w:t>
      </w:r>
      <w:r w:rsidR="00684418" w:rsidRPr="00514C80">
        <w:t>)</w:t>
      </w:r>
      <w:r w:rsidR="00610FED" w:rsidRPr="00514C80">
        <w:t xml:space="preserve"> </w:t>
      </w:r>
      <w:r w:rsidR="004574BB" w:rsidRPr="00514C80">
        <w:t>which</w:t>
      </w:r>
      <w:r w:rsidR="00610FED" w:rsidRPr="00514C80">
        <w:t xml:space="preserve"> </w:t>
      </w:r>
      <w:r w:rsidR="00684418" w:rsidRPr="00514C80">
        <w:t xml:space="preserve">pertain </w:t>
      </w:r>
      <w:r w:rsidR="00610FED" w:rsidRPr="00514C80">
        <w:t>to gaining a Type Approval in the UN context</w:t>
      </w:r>
      <w:r w:rsidR="004574BB" w:rsidRPr="00514C80">
        <w:t xml:space="preserve">. This is because they are not </w:t>
      </w:r>
      <w:r w:rsidR="00380D2E">
        <w:t>required in</w:t>
      </w:r>
      <w:r w:rsidR="004574BB" w:rsidRPr="00514C80">
        <w:t xml:space="preserve"> the Australian context where t</w:t>
      </w:r>
      <w:r w:rsidR="003F4D6B" w:rsidRPr="00514C80">
        <w:t>he Commonwealth administers approvals through the Act and the ADRs</w:t>
      </w:r>
      <w:r w:rsidR="00610FED" w:rsidRPr="00514C80">
        <w:t xml:space="preserve">. </w:t>
      </w:r>
      <w:r w:rsidR="003F4D6B" w:rsidRPr="00514C80">
        <w:t>Consequently, m</w:t>
      </w:r>
      <w:r w:rsidR="00D35304" w:rsidRPr="00514C80">
        <w:t xml:space="preserve">anufacturers supplying new vehicles to Australia are exempt from most </w:t>
      </w:r>
      <w:r w:rsidR="002D7454">
        <w:t>administrative (</w:t>
      </w:r>
      <w:r w:rsidR="00D35304" w:rsidRPr="00514C80">
        <w:t>non-technical</w:t>
      </w:r>
      <w:r w:rsidR="002D7454">
        <w:t>)</w:t>
      </w:r>
      <w:r w:rsidR="00D35304" w:rsidRPr="00514C80">
        <w:t xml:space="preserve"> requirements of </w:t>
      </w:r>
      <w:r>
        <w:t xml:space="preserve">the </w:t>
      </w:r>
      <w:r w:rsidR="000616F2">
        <w:t xml:space="preserve">forthcoming </w:t>
      </w:r>
      <w:r w:rsidR="00D35304" w:rsidRPr="00514C80">
        <w:t>UN</w:t>
      </w:r>
      <w:r w:rsidR="00C36570">
        <w:t> </w:t>
      </w:r>
      <w:r w:rsidR="00D35304" w:rsidRPr="00514C80">
        <w:t>R</w:t>
      </w:r>
      <w:r w:rsidR="0041729D">
        <w:t>1</w:t>
      </w:r>
      <w:r w:rsidR="000616F2">
        <w:t>68</w:t>
      </w:r>
      <w:r w:rsidR="003F4D6B" w:rsidRPr="00514C80">
        <w:t>.</w:t>
      </w:r>
    </w:p>
    <w:p w14:paraId="1F7C278F" w14:textId="642A3FB0" w:rsidR="00F72806" w:rsidRDefault="008A5EAE" w:rsidP="00BE5D75">
      <w:pPr>
        <w:keepLines/>
      </w:pPr>
      <w:r w:rsidRPr="00514C80">
        <w:t>C</w:t>
      </w:r>
      <w:r w:rsidR="00610FED" w:rsidRPr="00514C80">
        <w:t>lause 6.1</w:t>
      </w:r>
      <w:r w:rsidRPr="00514C80">
        <w:t xml:space="preserve"> </w:t>
      </w:r>
      <w:r w:rsidR="007B53B1" w:rsidRPr="00514C80">
        <w:t>s</w:t>
      </w:r>
      <w:r w:rsidR="00532D71" w:rsidRPr="00514C80">
        <w:t xml:space="preserve">tates </w:t>
      </w:r>
      <w:r w:rsidRPr="00514C80">
        <w:t>that</w:t>
      </w:r>
      <w:r w:rsidR="00D30AA0">
        <w:t xml:space="preserve"> compliance with</w:t>
      </w:r>
      <w:r w:rsidR="00610FED" w:rsidRPr="00514C80">
        <w:t xml:space="preserve"> sections 4,</w:t>
      </w:r>
      <w:r w:rsidR="0041729D">
        <w:t xml:space="preserve"> 5</w:t>
      </w:r>
      <w:r w:rsidR="00F2617B">
        <w:t>, 11, 12</w:t>
      </w:r>
      <w:r w:rsidR="00CB1B65">
        <w:t>,</w:t>
      </w:r>
      <w:r w:rsidR="00F2617B">
        <w:t xml:space="preserve"> 13</w:t>
      </w:r>
      <w:r w:rsidR="00CB1B65">
        <w:t>, 14, 15 and 16</w:t>
      </w:r>
      <w:r w:rsidR="00F2617B">
        <w:t xml:space="preserve"> and </w:t>
      </w:r>
      <w:r w:rsidR="00CB1B65">
        <w:t xml:space="preserve">Annex 1, 2, 3 and 12 </w:t>
      </w:r>
      <w:r w:rsidR="00610FED" w:rsidRPr="00514C80">
        <w:t>of UN</w:t>
      </w:r>
      <w:r w:rsidR="00C36570">
        <w:t xml:space="preserve"> </w:t>
      </w:r>
      <w:r w:rsidR="00610FED" w:rsidRPr="00514C80">
        <w:t>R</w:t>
      </w:r>
      <w:r w:rsidR="00CB1B65">
        <w:t>168</w:t>
      </w:r>
      <w:r w:rsidR="00F17577">
        <w:t xml:space="preserve"> </w:t>
      </w:r>
      <w:r w:rsidR="00610FED" w:rsidRPr="00514C80">
        <w:t xml:space="preserve">are not required for the purposes of complying with </w:t>
      </w:r>
      <w:r w:rsidRPr="00514C80">
        <w:t>ADR</w:t>
      </w:r>
      <w:r w:rsidR="00FD2136">
        <w:t xml:space="preserve"> </w:t>
      </w:r>
      <w:r w:rsidR="00F04AAB">
        <w:t>11</w:t>
      </w:r>
      <w:r w:rsidR="00CB1B65">
        <w:t>2</w:t>
      </w:r>
      <w:r w:rsidR="00F04AAB">
        <w:t>/00</w:t>
      </w:r>
      <w:r w:rsidR="00610FED" w:rsidRPr="00514C80">
        <w:t>.</w:t>
      </w:r>
      <w:r w:rsidR="003303E7" w:rsidRPr="00514C80">
        <w:t xml:space="preserve"> This is because</w:t>
      </w:r>
      <w:r w:rsidR="00741AB3" w:rsidRPr="00514C80">
        <w:t xml:space="preserve"> they refer to </w:t>
      </w:r>
      <w:r w:rsidR="0041729D">
        <w:t>administrative requirements to obtain</w:t>
      </w:r>
      <w:r w:rsidR="00741AB3" w:rsidRPr="00514C80">
        <w:t xml:space="preserve"> </w:t>
      </w:r>
      <w:r w:rsidR="00F17577">
        <w:t xml:space="preserve">and maintain a </w:t>
      </w:r>
      <w:r w:rsidR="00741AB3" w:rsidRPr="00514C80">
        <w:t>Type Approval</w:t>
      </w:r>
      <w:r w:rsidR="00F17577">
        <w:t xml:space="preserve"> under the UN 1958 Agreement</w:t>
      </w:r>
      <w:r w:rsidR="00741AB3" w:rsidRPr="00514C80">
        <w:t>.</w:t>
      </w:r>
    </w:p>
    <w:p w14:paraId="0D196326" w14:textId="77777777" w:rsidR="00BE5D75" w:rsidRPr="00514C80" w:rsidRDefault="00BE5D75" w:rsidP="00BE5D75">
      <w:pPr>
        <w:rPr>
          <w:u w:val="single"/>
        </w:rPr>
      </w:pPr>
      <w:r w:rsidRPr="00514C80">
        <w:rPr>
          <w:u w:val="single"/>
        </w:rPr>
        <w:t>Alternative Procedures</w:t>
      </w:r>
    </w:p>
    <w:p w14:paraId="3295BA05" w14:textId="00418FA4" w:rsidR="009B2386" w:rsidRDefault="005B774A" w:rsidP="005B774A">
      <w:bookmarkStart w:id="27" w:name="_Hlk141343229"/>
      <w:r>
        <w:t>Clause 6.</w:t>
      </w:r>
      <w:r w:rsidR="00F72806">
        <w:t>2</w:t>
      </w:r>
      <w:r w:rsidR="0041729D">
        <w:t xml:space="preserve"> </w:t>
      </w:r>
      <w:r w:rsidR="009B2386">
        <w:t xml:space="preserve">states that the references to </w:t>
      </w:r>
      <w:r w:rsidR="009B2386" w:rsidRPr="00C64B0B">
        <w:rPr>
          <w:lang w:eastAsia="x-none"/>
        </w:rPr>
        <w:t>‘the 03 series of Amendments to UN Regulation No. 154 on WLTP’ or ‘UN Regulation No. 154 on WLTP’</w:t>
      </w:r>
      <w:r w:rsidR="009B2386">
        <w:t xml:space="preserve"> in Appendix A shall be read as ADR 111/00. ADR 111/00 adopts equivalent requirements to UN Regulation 154.</w:t>
      </w:r>
    </w:p>
    <w:bookmarkEnd w:id="27"/>
    <w:p w14:paraId="06AA1CC0" w14:textId="7BB86F7F" w:rsidR="008A6C3E" w:rsidRDefault="008A6C3E" w:rsidP="005B774A">
      <w:pPr>
        <w:rPr>
          <w:lang w:eastAsia="x-none"/>
        </w:rPr>
      </w:pPr>
      <w:r>
        <w:t>Clause</w:t>
      </w:r>
      <w:r w:rsidR="00FA64C6">
        <w:t>s</w:t>
      </w:r>
      <w:r>
        <w:t xml:space="preserve"> 6.</w:t>
      </w:r>
      <w:r w:rsidR="0041729D">
        <w:t>3</w:t>
      </w:r>
      <w:r w:rsidR="009B2386">
        <w:t xml:space="preserve"> advises compliance with </w:t>
      </w:r>
      <w:r w:rsidR="009B2386" w:rsidRPr="00C64B0B">
        <w:rPr>
          <w:lang w:eastAsia="x-none"/>
        </w:rPr>
        <w:t xml:space="preserve">Requirements for evaluation with 3 Phase WLTC as specified in </w:t>
      </w:r>
      <w:r w:rsidR="009B2386">
        <w:rPr>
          <w:lang w:eastAsia="x-none"/>
        </w:rPr>
        <w:t>Paragraph</w:t>
      </w:r>
      <w:r w:rsidR="009B2386" w:rsidRPr="00C64B0B">
        <w:rPr>
          <w:lang w:eastAsia="x-none"/>
        </w:rPr>
        <w:t xml:space="preserve"> 6.1, Sections 9 and 10 and Annexes 8, 9, 10 and 11 of Appendix A are not required for the purposes of this vehicle standard</w:t>
      </w:r>
      <w:r w:rsidR="009B2386">
        <w:rPr>
          <w:lang w:eastAsia="x-none"/>
        </w:rPr>
        <w:t xml:space="preserve">. This is because </w:t>
      </w:r>
      <w:r w:rsidR="00A17C82">
        <w:rPr>
          <w:lang w:eastAsia="x-none"/>
        </w:rPr>
        <w:t xml:space="preserve">the </w:t>
      </w:r>
      <w:r w:rsidR="009B2386">
        <w:rPr>
          <w:lang w:eastAsia="x-none"/>
        </w:rPr>
        <w:t>requirements go beyond Euro 6d requirements proposed in the consultation process for the new ADR.</w:t>
      </w:r>
    </w:p>
    <w:p w14:paraId="6D9A5DA9" w14:textId="07C096D7" w:rsidR="00265237" w:rsidRDefault="00265237" w:rsidP="005B774A">
      <w:pPr>
        <w:rPr>
          <w:lang w:eastAsia="x-none"/>
        </w:rPr>
      </w:pPr>
      <w:r>
        <w:rPr>
          <w:lang w:eastAsia="x-none"/>
        </w:rPr>
        <w:t>Clause 6.3.1 provides for the acceptance of evaluation with 3 Phase WLTC testing in lieu of evaluation with 4 Phase WLTC in cases where 3 Phase WLTC testing has been used to comply with the Type 1 test requirements in ADR 111/00.</w:t>
      </w:r>
    </w:p>
    <w:p w14:paraId="0EDE9A3C" w14:textId="732A77D6" w:rsidR="009B2386" w:rsidRDefault="009B2386" w:rsidP="005B774A">
      <w:r w:rsidRPr="009B2386">
        <w:t>Clause 6.</w:t>
      </w:r>
      <w:r>
        <w:t>4</w:t>
      </w:r>
      <w:r w:rsidRPr="009B2386">
        <w:t xml:space="preserve"> states that supporting documentation required in </w:t>
      </w:r>
      <w:r>
        <w:t>paragraphs 6.4, 6.5 and 9.4</w:t>
      </w:r>
      <w:r w:rsidRPr="009B2386">
        <w:t xml:space="preserve"> of Appendix A need not be supplied in an application for a vehicle or component type approval under the Road Vehicle Standards Rules but must be retained and supplied to the Department on request, as part of a compliance and enforcement action.</w:t>
      </w:r>
    </w:p>
    <w:p w14:paraId="3F4431AC" w14:textId="22E0ECB3" w:rsidR="009B2386" w:rsidRDefault="009B2386" w:rsidP="005B774A">
      <w:pPr>
        <w:rPr>
          <w:color w:val="000000"/>
        </w:rPr>
      </w:pPr>
      <w:r>
        <w:t xml:space="preserve">Clause 6.5 advises that references to </w:t>
      </w:r>
      <w:r w:rsidRPr="00C64B0B">
        <w:rPr>
          <w:color w:val="000000"/>
        </w:rPr>
        <w:t>‘Technical Service’ in Sections 6.4 an</w:t>
      </w:r>
      <w:r>
        <w:rPr>
          <w:color w:val="000000"/>
        </w:rPr>
        <w:t>d Paragraph</w:t>
      </w:r>
      <w:r w:rsidRPr="00C64B0B">
        <w:rPr>
          <w:color w:val="000000"/>
        </w:rPr>
        <w:t xml:space="preserve"> 10.8 of Appendix A shall be read as ‘Approved Testing Facility’</w:t>
      </w:r>
      <w:r>
        <w:rPr>
          <w:color w:val="000000"/>
        </w:rPr>
        <w:t>. This is</w:t>
      </w:r>
      <w:r w:rsidR="00996EA4">
        <w:rPr>
          <w:color w:val="000000"/>
        </w:rPr>
        <w:t xml:space="preserve"> </w:t>
      </w:r>
      <w:r w:rsidR="00996EA4">
        <w:rPr>
          <w:color w:val="000000"/>
        </w:rPr>
        <w:lastRenderedPageBreak/>
        <w:t xml:space="preserve">intended to clarify </w:t>
      </w:r>
      <w:r w:rsidR="007D7460">
        <w:rPr>
          <w:color w:val="000000"/>
        </w:rPr>
        <w:t>wh</w:t>
      </w:r>
      <w:r w:rsidR="00812D81">
        <w:rPr>
          <w:color w:val="000000"/>
        </w:rPr>
        <w:t>at party this provision is intended to apply to</w:t>
      </w:r>
      <w:r w:rsidR="00996EA4">
        <w:rPr>
          <w:color w:val="000000"/>
        </w:rPr>
        <w:t xml:space="preserve"> under the Road Vehicle Standards Legislation.</w:t>
      </w:r>
    </w:p>
    <w:p w14:paraId="3A64B7F1" w14:textId="1600B9E9" w:rsidR="00812D81" w:rsidRDefault="00A17C82" w:rsidP="00812D81">
      <w:pPr>
        <w:rPr>
          <w:color w:val="000000"/>
        </w:rPr>
      </w:pPr>
      <w:r>
        <w:t xml:space="preserve">Clause 6.6 advises that references to </w:t>
      </w:r>
      <w:r>
        <w:rPr>
          <w:color w:val="000000"/>
        </w:rPr>
        <w:t xml:space="preserve">‘Contracting Party’ in Clause 10.8 of Appendix A shall be read as ‘the Department’. This is to intended to clarify </w:t>
      </w:r>
      <w:r w:rsidR="00A612F7">
        <w:rPr>
          <w:color w:val="000000"/>
        </w:rPr>
        <w:t>how this</w:t>
      </w:r>
      <w:r>
        <w:rPr>
          <w:color w:val="000000"/>
        </w:rPr>
        <w:t xml:space="preserve"> provision </w:t>
      </w:r>
      <w:r w:rsidR="00A612F7">
        <w:rPr>
          <w:color w:val="000000"/>
        </w:rPr>
        <w:t xml:space="preserve">applies </w:t>
      </w:r>
      <w:r>
        <w:rPr>
          <w:color w:val="000000"/>
        </w:rPr>
        <w:t>under the Road Vehicle Standards Legislation</w:t>
      </w:r>
      <w:r w:rsidR="00812D81">
        <w:rPr>
          <w:color w:val="000000"/>
        </w:rPr>
        <w:t>.</w:t>
      </w:r>
    </w:p>
    <w:p w14:paraId="22923016" w14:textId="781D121E" w:rsidR="00996EA4" w:rsidRDefault="00812D81" w:rsidP="005B774A">
      <w:pPr>
        <w:rPr>
          <w:lang w:eastAsia="x-none"/>
        </w:rPr>
      </w:pPr>
      <w:r>
        <w:t xml:space="preserve">Clause 6.7 amends the definition of moderate and extended temperature conditions to align with the ‘Euro 6d’ </w:t>
      </w:r>
      <w:r>
        <w:rPr>
          <w:lang w:eastAsia="x-none"/>
        </w:rPr>
        <w:t>requirements proposed in the consultation process for the new ADR.</w:t>
      </w:r>
    </w:p>
    <w:p w14:paraId="1DFBED9D" w14:textId="46E94656" w:rsidR="00812D81" w:rsidRDefault="00812D81" w:rsidP="005B774A">
      <w:pPr>
        <w:rPr>
          <w:lang w:eastAsia="x-none"/>
        </w:rPr>
      </w:pPr>
      <w:r>
        <w:t xml:space="preserve">Clause 6.8 amends the PEMS margin to align with the ‘Euro 6d’ </w:t>
      </w:r>
      <w:r>
        <w:rPr>
          <w:lang w:eastAsia="x-none"/>
        </w:rPr>
        <w:t>requirements proposed in the consultation process for the new ADR.</w:t>
      </w:r>
    </w:p>
    <w:p w14:paraId="04224A58" w14:textId="77777777" w:rsidR="00610FED" w:rsidRPr="00843199" w:rsidRDefault="00610FED" w:rsidP="00D5611D">
      <w:pPr>
        <w:pStyle w:val="HeadingLevel2"/>
        <w:keepNext/>
        <w:keepLines/>
        <w:ind w:left="851"/>
        <w:rPr>
          <w:b/>
        </w:rPr>
      </w:pPr>
      <w:bookmarkStart w:id="28" w:name="_Toc164071168"/>
      <w:r w:rsidRPr="00843199">
        <w:rPr>
          <w:b/>
        </w:rPr>
        <w:t>Alternative Standards</w:t>
      </w:r>
      <w:bookmarkEnd w:id="28"/>
    </w:p>
    <w:p w14:paraId="6565DBDD" w14:textId="12A57D53" w:rsidR="00797677" w:rsidRPr="00514C80" w:rsidRDefault="00797677" w:rsidP="00D5611D">
      <w:pPr>
        <w:keepNext/>
        <w:keepLines/>
      </w:pPr>
      <w:r w:rsidRPr="00514C80">
        <w:t xml:space="preserve">Section 7 sets out standards </w:t>
      </w:r>
      <w:r w:rsidR="00325A85">
        <w:t>that</w:t>
      </w:r>
      <w:r w:rsidR="00325A85" w:rsidRPr="00514C80">
        <w:t xml:space="preserve"> </w:t>
      </w:r>
      <w:r w:rsidRPr="00514C80">
        <w:t xml:space="preserve">are considered to be equivalent </w:t>
      </w:r>
      <w:r w:rsidR="003E6EE5" w:rsidRPr="00514C80">
        <w:t>to</w:t>
      </w:r>
      <w:r w:rsidR="00F55A53" w:rsidRPr="00514C80">
        <w:t xml:space="preserve"> ADR</w:t>
      </w:r>
      <w:r w:rsidR="00A310A8" w:rsidRPr="00514C80">
        <w:t xml:space="preserve"> </w:t>
      </w:r>
      <w:r w:rsidR="00F04AAB">
        <w:t>11</w:t>
      </w:r>
      <w:r w:rsidR="00A17C82">
        <w:t>2</w:t>
      </w:r>
      <w:r w:rsidR="00F04AAB">
        <w:t>/00</w:t>
      </w:r>
      <w:r w:rsidR="00F55A53" w:rsidRPr="00514C80">
        <w:t>. If</w:t>
      </w:r>
      <w:r w:rsidRPr="00514C80">
        <w:t xml:space="preserve"> </w:t>
      </w:r>
      <w:r w:rsidR="00F55A53" w:rsidRPr="00514C80">
        <w:t xml:space="preserve">a </w:t>
      </w:r>
      <w:r w:rsidRPr="00514C80">
        <w:t xml:space="preserve">vehicle </w:t>
      </w:r>
      <w:r w:rsidR="00F55A53" w:rsidRPr="00514C80">
        <w:t xml:space="preserve">meets the requirements of one of these standards, it also complies with </w:t>
      </w:r>
      <w:r w:rsidRPr="00514C80">
        <w:t>ADR</w:t>
      </w:r>
      <w:r w:rsidR="00A2467A">
        <w:t> </w:t>
      </w:r>
      <w:r w:rsidR="00F04AAB">
        <w:t>11</w:t>
      </w:r>
      <w:r w:rsidR="00812D81">
        <w:t>2</w:t>
      </w:r>
      <w:r w:rsidR="00F04AAB">
        <w:t>/00</w:t>
      </w:r>
      <w:r w:rsidRPr="00514C80">
        <w:t xml:space="preserve">. </w:t>
      </w:r>
      <w:r w:rsidR="00F55A53" w:rsidRPr="00514C80">
        <w:t>These alternative standards are acceptable because they</w:t>
      </w:r>
      <w:r w:rsidR="00EB1EED">
        <w:t xml:space="preserve"> are expected to achieve an </w:t>
      </w:r>
      <w:r w:rsidR="002C121D">
        <w:t>equivalent policy outcome</w:t>
      </w:r>
      <w:r w:rsidR="00F55A53" w:rsidRPr="00514C80">
        <w:t xml:space="preserve">. Vehicle manufacturers have the flexibility to </w:t>
      </w:r>
      <w:r w:rsidR="000F5B27">
        <w:t>demonstrate</w:t>
      </w:r>
      <w:r w:rsidR="000F5B27" w:rsidRPr="00514C80">
        <w:t xml:space="preserve"> </w:t>
      </w:r>
      <w:r w:rsidR="00F55A53" w:rsidRPr="00514C80">
        <w:t xml:space="preserve">compliance to ADR </w:t>
      </w:r>
      <w:r w:rsidR="00F04AAB">
        <w:t>11</w:t>
      </w:r>
      <w:r w:rsidR="00812D81">
        <w:t>2</w:t>
      </w:r>
      <w:r w:rsidR="00F04AAB">
        <w:t>/00</w:t>
      </w:r>
      <w:r w:rsidR="00F55A53" w:rsidRPr="00514C80">
        <w:t xml:space="preserve"> through </w:t>
      </w:r>
      <w:r w:rsidR="008276F3">
        <w:t>clause 5</w:t>
      </w:r>
      <w:r w:rsidR="004B7D5C">
        <w:t>.1 and Appendix A</w:t>
      </w:r>
      <w:r w:rsidR="008276F3">
        <w:t xml:space="preserve"> as varied by </w:t>
      </w:r>
      <w:r w:rsidR="00F55A53" w:rsidRPr="00514C80">
        <w:t>Section 6 Exemptions and Alternative Procedures</w:t>
      </w:r>
      <w:r w:rsidR="004B7D5C">
        <w:t>,</w:t>
      </w:r>
      <w:r w:rsidR="00F55A53" w:rsidRPr="00514C80">
        <w:t xml:space="preserve"> or through Section 7 Alternative Standards.</w:t>
      </w:r>
    </w:p>
    <w:p w14:paraId="64AC66BE" w14:textId="60C24E09" w:rsidR="00376857" w:rsidRPr="00376857" w:rsidRDefault="00690355" w:rsidP="00376857">
      <w:pPr>
        <w:spacing w:before="0"/>
        <w:rPr>
          <w:rFonts w:eastAsia="MS Mincho"/>
        </w:rPr>
      </w:pPr>
      <w:r w:rsidRPr="00514C80">
        <w:t xml:space="preserve">Clause 7.1 </w:t>
      </w:r>
      <w:r w:rsidR="00376857">
        <w:t>identifies</w:t>
      </w:r>
      <w:r w:rsidR="00376857" w:rsidRPr="00376857">
        <w:t xml:space="preserve"> </w:t>
      </w:r>
      <w:r w:rsidR="00A17C82">
        <w:t xml:space="preserve">the forthcoming </w:t>
      </w:r>
      <w:r w:rsidR="00376857">
        <w:rPr>
          <w:rFonts w:ascii="TimesNewRoman" w:hAnsi="TimesNewRoman" w:cs="TimesNewRoman"/>
          <w:color w:val="000000"/>
        </w:rPr>
        <w:t>United Nations Regulation No. 1</w:t>
      </w:r>
      <w:r w:rsidR="00812D81">
        <w:rPr>
          <w:rFonts w:ascii="TimesNewRoman" w:hAnsi="TimesNewRoman" w:cs="TimesNewRoman"/>
          <w:color w:val="000000"/>
        </w:rPr>
        <w:t>68</w:t>
      </w:r>
      <w:r w:rsidR="00376857">
        <w:rPr>
          <w:rFonts w:ascii="TimesNewRoman" w:hAnsi="TimesNewRoman" w:cs="TimesNewRoman"/>
          <w:color w:val="000000"/>
        </w:rPr>
        <w:t xml:space="preserve"> – </w:t>
      </w:r>
      <w:r w:rsidR="008459F0" w:rsidRPr="008D6327">
        <w:rPr>
          <w:i/>
          <w:szCs w:val="18"/>
          <w:lang w:eastAsia="fr-FR"/>
        </w:rPr>
        <w:t>Uniform provisions concerning the approval of light duty passenger and commercial vehicles with regards to real driving emissions (RDE)</w:t>
      </w:r>
      <w:r w:rsidR="00376857">
        <w:rPr>
          <w:rFonts w:eastAsia="Calibri"/>
          <w:szCs w:val="22"/>
        </w:rPr>
        <w:t xml:space="preserve">, </w:t>
      </w:r>
      <w:r w:rsidR="00376857">
        <w:rPr>
          <w:rFonts w:ascii="TimesNewRoman" w:hAnsi="TimesNewRoman" w:cs="TimesNewRoman"/>
          <w:color w:val="000000"/>
        </w:rPr>
        <w:t>as an acceptable alternative standard.</w:t>
      </w:r>
      <w:r w:rsidR="00376857">
        <w:rPr>
          <w:rFonts w:eastAsia="MS Mincho"/>
        </w:rPr>
        <w:t xml:space="preserve"> </w:t>
      </w:r>
      <w:r w:rsidR="00376857">
        <w:t>UN Regulation 1</w:t>
      </w:r>
      <w:r w:rsidR="008459F0">
        <w:t>68</w:t>
      </w:r>
      <w:r w:rsidR="00376857">
        <w:t xml:space="preserve"> is based on the </w:t>
      </w:r>
      <w:r w:rsidR="008459F0">
        <w:t xml:space="preserve">real driving emissions test requirements </w:t>
      </w:r>
      <w:r w:rsidR="00376857">
        <w:t>adopted in European Union (EU) Regulation 2017/1151</w:t>
      </w:r>
      <w:r w:rsidR="00D857A0">
        <w:t>.</w:t>
      </w:r>
      <w:r w:rsidR="00492E6E">
        <w:t xml:space="preserve"> This regulation was agreed by contracting parties to the UN 1958 Agreement, including Australia, at the June 2023 session of the World Forum for the Harmonisation of Vehicle Regulations. It is expected to formally enter into force as a new regulation under this agreement in 2024.</w:t>
      </w:r>
    </w:p>
    <w:p w14:paraId="65730418" w14:textId="5DC54FA1" w:rsidR="00594E0A" w:rsidRDefault="00594E0A" w:rsidP="00DF157E">
      <w:pPr>
        <w:pStyle w:val="HeadingLevel1"/>
        <w:keepNext/>
        <w:keepLines/>
        <w:tabs>
          <w:tab w:val="num" w:pos="2552"/>
        </w:tabs>
        <w:ind w:left="851" w:hanging="850"/>
      </w:pPr>
      <w:bookmarkStart w:id="29" w:name="_Toc87439786"/>
      <w:bookmarkStart w:id="30" w:name="_Toc164071169"/>
      <w:r w:rsidRPr="00594E0A">
        <w:t>MATTERS INCORPORATED BY REFERENCE</w:t>
      </w:r>
      <w:bookmarkEnd w:id="29"/>
      <w:bookmarkEnd w:id="30"/>
    </w:p>
    <w:p w14:paraId="73CBB5B7" w14:textId="7BB501FB" w:rsidR="00B1050D" w:rsidRPr="00FF0307" w:rsidRDefault="00B1050D" w:rsidP="00B1050D">
      <w:pPr>
        <w:spacing w:before="0"/>
      </w:pPr>
      <w:bookmarkStart w:id="31" w:name="_Toc504999786"/>
      <w:bookmarkStart w:id="32" w:name="_Toc504999787"/>
      <w:bookmarkStart w:id="33" w:name="_Toc504999788"/>
      <w:bookmarkStart w:id="34" w:name="_Hlk159318676"/>
      <w:bookmarkEnd w:id="25"/>
      <w:bookmarkEnd w:id="31"/>
      <w:bookmarkEnd w:id="32"/>
      <w:bookmarkEnd w:id="33"/>
      <w:r>
        <w:t xml:space="preserve">Section 12 of the </w:t>
      </w:r>
      <w:r w:rsidR="0024485E">
        <w:t>Act</w:t>
      </w:r>
      <w:r>
        <w:t xml:space="preserve"> allows the Minister to incorporate a broad range of documents, both as in force at a particular time and as in force from time to time, when making national vehicle standards. This ensures that Australia’s legislative framework is well-prepared for future developments in the international road vehicle space. ADR 112/00 makes use of this provision as specified below.</w:t>
      </w:r>
    </w:p>
    <w:p w14:paraId="05D6071F" w14:textId="39A6E238" w:rsidR="001C64BC" w:rsidRPr="00843199" w:rsidRDefault="000A5A8B" w:rsidP="00DF157E">
      <w:pPr>
        <w:pStyle w:val="HeadingLevel2"/>
        <w:keepNext/>
        <w:keepLines/>
        <w:ind w:left="851"/>
        <w:rPr>
          <w:b/>
        </w:rPr>
      </w:pPr>
      <w:bookmarkStart w:id="35" w:name="_Toc164071170"/>
      <w:bookmarkEnd w:id="34"/>
      <w:r w:rsidRPr="00843199">
        <w:rPr>
          <w:b/>
        </w:rPr>
        <w:t xml:space="preserve">Other </w:t>
      </w:r>
      <w:r w:rsidR="00610FED" w:rsidRPr="00843199">
        <w:rPr>
          <w:b/>
        </w:rPr>
        <w:t>Legislative Instruments</w:t>
      </w:r>
      <w:bookmarkEnd w:id="35"/>
    </w:p>
    <w:p w14:paraId="33F8061E" w14:textId="4F68D161" w:rsidR="00610FED" w:rsidRDefault="00610FED" w:rsidP="00DF157E">
      <w:pPr>
        <w:keepNext/>
        <w:keepLines/>
      </w:pPr>
      <w:r w:rsidRPr="00514C80">
        <w:t>Clause 4.1.</w:t>
      </w:r>
      <w:r w:rsidR="00492E6E">
        <w:t>2</w:t>
      </w:r>
      <w:r w:rsidRPr="00514C80">
        <w:t xml:space="preserve"> of ADR </w:t>
      </w:r>
      <w:r w:rsidR="00F04AAB">
        <w:t>11</w:t>
      </w:r>
      <w:r w:rsidR="008459F0">
        <w:t>2</w:t>
      </w:r>
      <w:r w:rsidR="00F04AAB">
        <w:t>/00</w:t>
      </w:r>
      <w:r w:rsidRPr="00514C80">
        <w:t xml:space="preserve">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033554F4" w14:textId="496020BB" w:rsidR="00492E6E" w:rsidRDefault="00492E6E" w:rsidP="00B1050D">
      <w:pPr>
        <w:keepLines/>
      </w:pPr>
      <w:r>
        <w:t>Clauses 4.1.3 and 6.4 includes a reference to the Road Vehicle Standards Rules 2019 (the Rules), which specify administrative requirements for a vehicle or component type approval.</w:t>
      </w:r>
    </w:p>
    <w:p w14:paraId="6E31F1BC" w14:textId="235222D8" w:rsidR="00492E6E" w:rsidRPr="00514C80" w:rsidRDefault="00492E6E" w:rsidP="00B1050D">
      <w:r>
        <w:lastRenderedPageBreak/>
        <w:t xml:space="preserve">Clauses 4.1.4, 4.1.5 and 6.3.1 includes a reference to </w:t>
      </w:r>
      <w:r>
        <w:rPr>
          <w:color w:val="000000"/>
          <w:shd w:val="clear" w:color="auto" w:fill="FFFFFF"/>
        </w:rPr>
        <w:t>Vehicle Standard (Australian Design Rule 111/00 – Advanced Emission Control for Light Vehicles) 2023. This vehicle standard sets a range of emission control requirement for light vehicle exhaust emissions.</w:t>
      </w:r>
    </w:p>
    <w:p w14:paraId="314B4B63" w14:textId="28450373" w:rsidR="00610FED" w:rsidRPr="00514C80" w:rsidRDefault="00610FED" w:rsidP="00610FED">
      <w:r w:rsidRPr="00514C80">
        <w:t xml:space="preserve">The </w:t>
      </w:r>
      <w:r w:rsidR="00492E6E">
        <w:t xml:space="preserve">Rules and the </w:t>
      </w:r>
      <w:r w:rsidRPr="00514C80">
        <w:t xml:space="preserve">ADRs may be freely accessed online through the Federal Register of Legislation.  The website is </w:t>
      </w:r>
      <w:r w:rsidRPr="00514C80">
        <w:rPr>
          <w:u w:val="single"/>
        </w:rPr>
        <w:t>www.legislation.gov.au</w:t>
      </w:r>
      <w:r w:rsidRPr="00514C80">
        <w:t>.</w:t>
      </w:r>
    </w:p>
    <w:p w14:paraId="081AC627" w14:textId="35C82821" w:rsidR="00307AA5" w:rsidRPr="00514C80" w:rsidRDefault="00610FED" w:rsidP="00610FED">
      <w:r w:rsidRPr="00514C80">
        <w:t>In accordance with subsection 12 of the Act</w:t>
      </w:r>
      <w:r w:rsidR="004C2A7B" w:rsidRPr="00514C80">
        <w:t>,</w:t>
      </w:r>
      <w:r w:rsidRPr="00514C80">
        <w:t xml:space="preserve"> </w:t>
      </w:r>
      <w:r w:rsidR="004C2A7B" w:rsidRPr="00514C80">
        <w:t xml:space="preserve">each of </w:t>
      </w:r>
      <w:r w:rsidRPr="00514C80">
        <w:t>the</w:t>
      </w:r>
      <w:r w:rsidR="004C2A7B" w:rsidRPr="00514C80">
        <w:t>se</w:t>
      </w:r>
      <w:r w:rsidRPr="00514C80">
        <w:t xml:space="preserve"> ADRs are incorporated as in force or existing from time to time.  </w:t>
      </w:r>
      <w:r w:rsidR="00B900B5" w:rsidRPr="00514C80">
        <w:t>T</w:t>
      </w:r>
      <w:r w:rsidRPr="00514C80">
        <w:t>he ellipses (…) indicates the version(s) (e.g.</w:t>
      </w:r>
      <w:r w:rsidR="00B900B5" w:rsidRPr="00514C80">
        <w:t> </w:t>
      </w:r>
      <w:r w:rsidRPr="00514C80">
        <w:t>00, 01 etc.) of the ADR in force at the time.</w:t>
      </w:r>
    </w:p>
    <w:p w14:paraId="1B8F7C2A" w14:textId="6D64BCA3" w:rsidR="003F6A3B" w:rsidRPr="00492E6E" w:rsidRDefault="00B92BED" w:rsidP="000F620B">
      <w:pPr>
        <w:pStyle w:val="HeadingLevel2"/>
        <w:tabs>
          <w:tab w:val="num" w:pos="2694"/>
        </w:tabs>
        <w:ind w:left="851"/>
      </w:pPr>
      <w:bookmarkStart w:id="36" w:name="_Toc74044073"/>
      <w:bookmarkStart w:id="37" w:name="_Toc74044722"/>
      <w:bookmarkStart w:id="38" w:name="_Toc164071171"/>
      <w:r w:rsidRPr="00492E6E">
        <w:t>International Vehicle Regulations</w:t>
      </w:r>
      <w:bookmarkEnd w:id="36"/>
      <w:bookmarkEnd w:id="37"/>
      <w:bookmarkEnd w:id="38"/>
    </w:p>
    <w:p w14:paraId="0E0DB6FA" w14:textId="77777777" w:rsidR="003F6A3B" w:rsidRPr="00492E6E" w:rsidRDefault="003F6A3B" w:rsidP="003F6A3B">
      <w:pPr>
        <w:pStyle w:val="Heading3"/>
      </w:pPr>
      <w:r w:rsidRPr="00492E6E">
        <w:t>United Nations Regulations and/or Resolutions</w:t>
      </w:r>
    </w:p>
    <w:p w14:paraId="32D6503E" w14:textId="2227D751" w:rsidR="00367FBF" w:rsidRDefault="00367FBF" w:rsidP="008459F0">
      <w:r>
        <w:t xml:space="preserve">Clause 6.2 includes a reference to </w:t>
      </w:r>
      <w:r w:rsidRPr="00F92EFF">
        <w:rPr>
          <w:rFonts w:eastAsia="Calibri"/>
          <w:szCs w:val="22"/>
        </w:rPr>
        <w:t>U</w:t>
      </w:r>
      <w:r>
        <w:rPr>
          <w:rFonts w:eastAsia="Calibri"/>
          <w:szCs w:val="22"/>
        </w:rPr>
        <w:t>nited Nations Regulation No. 154</w:t>
      </w:r>
      <w:r w:rsidRPr="00F92EFF">
        <w:rPr>
          <w:rFonts w:eastAsia="Calibri"/>
          <w:szCs w:val="22"/>
        </w:rPr>
        <w:t xml:space="preserve"> –</w:t>
      </w:r>
      <w:r>
        <w:rPr>
          <w:rFonts w:eastAsia="Calibri"/>
          <w:szCs w:val="22"/>
        </w:rPr>
        <w:t xml:space="preserve"> </w:t>
      </w:r>
      <w:r w:rsidRPr="002B28A3">
        <w:rPr>
          <w:i/>
          <w:lang w:val="en-GB"/>
        </w:rPr>
        <w:t>Uniform provisions concerning the approval of light duty passenger and commercial vehicles with regards to criteria emissions, emissions of carbon dioxide and fuel consumption and/or the measurement of electric energy consumption and electric range (WLTP)</w:t>
      </w:r>
      <w:r>
        <w:rPr>
          <w:rFonts w:eastAsia="Calibri"/>
          <w:szCs w:val="22"/>
        </w:rPr>
        <w:t xml:space="preserve">. Level 1A of UN Regulation 154 is based the </w:t>
      </w:r>
      <w:r>
        <w:t>Euro 6d laboratory test requirements for light vehicle tailpipe emissions, evaporative emissions, durability and on-board diagnostics.</w:t>
      </w:r>
    </w:p>
    <w:p w14:paraId="3F3142CE" w14:textId="0133948B" w:rsidR="00FC2BAE" w:rsidRDefault="00FC2BAE" w:rsidP="008459F0">
      <w:r w:rsidRPr="00B86670">
        <w:t xml:space="preserve">Clause </w:t>
      </w:r>
      <w:r>
        <w:t xml:space="preserve">7.1 includes a reference to </w:t>
      </w:r>
      <w:r w:rsidR="008459F0">
        <w:rPr>
          <w:rFonts w:ascii="TimesNewRoman" w:hAnsi="TimesNewRoman" w:cs="TimesNewRoman"/>
          <w:color w:val="000000"/>
        </w:rPr>
        <w:t xml:space="preserve">United Nations Regulation No. 168 – </w:t>
      </w:r>
      <w:r w:rsidR="008459F0" w:rsidRPr="008D6327">
        <w:rPr>
          <w:i/>
          <w:szCs w:val="18"/>
          <w:lang w:eastAsia="fr-FR"/>
        </w:rPr>
        <w:t>Uniform provisions concerning the approval of light duty passenger and commercial vehicles with regards to real driving emissions (RDE)</w:t>
      </w:r>
      <w:r w:rsidR="008459F0">
        <w:rPr>
          <w:rFonts w:eastAsia="Calibri"/>
          <w:szCs w:val="22"/>
        </w:rPr>
        <w:t xml:space="preserve">, </w:t>
      </w:r>
      <w:r w:rsidR="008459F0">
        <w:rPr>
          <w:rFonts w:ascii="TimesNewRoman" w:hAnsi="TimesNewRoman" w:cs="TimesNewRoman"/>
          <w:color w:val="000000"/>
        </w:rPr>
        <w:t>as an acceptable alternative standard.</w:t>
      </w:r>
      <w:r w:rsidR="008459F0">
        <w:rPr>
          <w:rFonts w:eastAsia="MS Mincho"/>
        </w:rPr>
        <w:t xml:space="preserve"> </w:t>
      </w:r>
      <w:r w:rsidR="008459F0">
        <w:t>UN Regulation 168 is based on the real driving emissions test requirements adopted in European Union (EU) Regulation 2017/1151.</w:t>
      </w:r>
    </w:p>
    <w:p w14:paraId="6FD72324" w14:textId="13A92E8B" w:rsidR="0028483C" w:rsidRDefault="003F6A3B" w:rsidP="00DF157E">
      <w:pPr>
        <w:rPr>
          <w:i/>
        </w:rPr>
      </w:pPr>
      <w:r>
        <w:t>Appendix A</w:t>
      </w:r>
      <w:r w:rsidR="008A7E7B">
        <w:t xml:space="preserve"> (which adopts the text of UN Regulation </w:t>
      </w:r>
      <w:r w:rsidR="00FC2BAE">
        <w:t>1</w:t>
      </w:r>
      <w:r w:rsidR="00367FBF">
        <w:t>68</w:t>
      </w:r>
      <w:r w:rsidR="008A7E7B">
        <w:t>)</w:t>
      </w:r>
      <w:r>
        <w:t xml:space="preserve"> includes a number of references to UN vehicle regulations and resolutions. Further information on these references can be found in table </w:t>
      </w:r>
      <w:r w:rsidR="004934AF">
        <w:t>1</w:t>
      </w:r>
      <w:r>
        <w:t>.</w:t>
      </w:r>
    </w:p>
    <w:p w14:paraId="7F2305E0" w14:textId="1C3A8858" w:rsidR="003F6A3B" w:rsidRPr="00492E6E" w:rsidRDefault="003F6A3B" w:rsidP="00843199">
      <w:pPr>
        <w:pStyle w:val="Tableheadersleft"/>
      </w:pPr>
      <w:r w:rsidRPr="00492E6E">
        <w:t xml:space="preserve">Table </w:t>
      </w:r>
      <w:r w:rsidR="004934AF">
        <w:t>1</w:t>
      </w:r>
      <w:r w:rsidRPr="00492E6E">
        <w:t xml:space="preserve"> – UN Regulations and Resolutions referenced in Appendix A.</w:t>
      </w:r>
    </w:p>
    <w:tbl>
      <w:tblPr>
        <w:tblStyle w:val="TableGrid"/>
        <w:tblW w:w="5000" w:type="pct"/>
        <w:tblLook w:val="04A0" w:firstRow="1" w:lastRow="0" w:firstColumn="1" w:lastColumn="0" w:noHBand="0" w:noVBand="1"/>
        <w:tblCaption w:val="Table 2 - UN Vehicle Regulations and Resolutions Referenced in Appendix A"/>
        <w:tblDescription w:val="Table detailing the UN Vehicle Regulations and Resolutions incorporated by reference in Appendix A of ADR 80/04"/>
      </w:tblPr>
      <w:tblGrid>
        <w:gridCol w:w="6231"/>
        <w:gridCol w:w="2071"/>
      </w:tblGrid>
      <w:tr w:rsidR="005F45A1" w:rsidRPr="00492E6E" w14:paraId="1EE81876" w14:textId="77777777" w:rsidTr="0028483C">
        <w:trPr>
          <w:tblHeader/>
        </w:trPr>
        <w:tc>
          <w:tcPr>
            <w:tcW w:w="3753" w:type="pct"/>
          </w:tcPr>
          <w:p w14:paraId="0D2B9782" w14:textId="4E2AC00B" w:rsidR="005F45A1" w:rsidRPr="00843199" w:rsidRDefault="00594E0A" w:rsidP="00DF157E">
            <w:pPr>
              <w:keepNext/>
              <w:keepLines/>
              <w:rPr>
                <w:b/>
              </w:rPr>
            </w:pPr>
            <w:r w:rsidRPr="00843199">
              <w:rPr>
                <w:b/>
              </w:rPr>
              <w:t xml:space="preserve">UN Regulations/Resolutions </w:t>
            </w:r>
          </w:p>
        </w:tc>
        <w:tc>
          <w:tcPr>
            <w:tcW w:w="1247" w:type="pct"/>
          </w:tcPr>
          <w:p w14:paraId="6DB6F529" w14:textId="0C802372" w:rsidR="005F45A1" w:rsidRPr="00843199" w:rsidRDefault="005F45A1" w:rsidP="00DF157E">
            <w:pPr>
              <w:keepNext/>
              <w:keepLines/>
              <w:rPr>
                <w:rFonts w:cstheme="minorHAnsi"/>
                <w:b/>
                <w:lang w:eastAsia="de-DE"/>
              </w:rPr>
            </w:pPr>
            <w:r w:rsidRPr="00843199">
              <w:rPr>
                <w:rFonts w:cstheme="minorHAnsi"/>
                <w:b/>
                <w:lang w:eastAsia="de-DE"/>
              </w:rPr>
              <w:t>References in Appendix A</w:t>
            </w:r>
          </w:p>
        </w:tc>
      </w:tr>
      <w:tr w:rsidR="005F45A1" w:rsidRPr="00123AD6" w14:paraId="269271B8" w14:textId="77777777" w:rsidTr="0028483C">
        <w:tc>
          <w:tcPr>
            <w:tcW w:w="3753" w:type="pct"/>
          </w:tcPr>
          <w:p w14:paraId="2A2B4F82" w14:textId="77777777" w:rsidR="005F45A1" w:rsidRPr="00D95291" w:rsidRDefault="005F45A1" w:rsidP="00967C61">
            <w:pPr>
              <w:keepLines/>
              <w:rPr>
                <w:i/>
              </w:rPr>
            </w:pPr>
            <w:r w:rsidRPr="00D95291">
              <w:rPr>
                <w:i/>
              </w:rPr>
              <w:t xml:space="preserve">Consolidated Resolution on the Construction of Vehicles (R.E.3.), document ECE/TRANS/WP.29/78/Rev.6. </w:t>
            </w:r>
          </w:p>
          <w:p w14:paraId="5A95F0B0" w14:textId="77777777" w:rsidR="005F45A1" w:rsidRPr="00D95291" w:rsidRDefault="005F45A1" w:rsidP="00967C61">
            <w:pPr>
              <w:keepLines/>
              <w:rPr>
                <w:i/>
              </w:rPr>
            </w:pPr>
          </w:p>
        </w:tc>
        <w:tc>
          <w:tcPr>
            <w:tcW w:w="1247" w:type="pct"/>
          </w:tcPr>
          <w:p w14:paraId="20CD0957" w14:textId="28076530" w:rsidR="00367FBF" w:rsidRDefault="00367FBF" w:rsidP="00967C61">
            <w:pPr>
              <w:keepLines/>
              <w:rPr>
                <w:rFonts w:cstheme="minorHAnsi"/>
                <w:i/>
                <w:lang w:eastAsia="de-DE"/>
              </w:rPr>
            </w:pPr>
            <w:r>
              <w:rPr>
                <w:rFonts w:cstheme="minorHAnsi"/>
                <w:i/>
                <w:lang w:eastAsia="de-DE"/>
              </w:rPr>
              <w:t xml:space="preserve">Cl.5.4, 6.5.2, </w:t>
            </w:r>
          </w:p>
          <w:p w14:paraId="277AF753" w14:textId="2A1326EC" w:rsidR="005F45A1" w:rsidRDefault="00351557" w:rsidP="00967C61">
            <w:pPr>
              <w:keepLines/>
              <w:rPr>
                <w:rFonts w:cstheme="minorHAnsi"/>
                <w:i/>
                <w:lang w:eastAsia="de-DE"/>
              </w:rPr>
            </w:pPr>
            <w:r>
              <w:rPr>
                <w:rFonts w:cstheme="minorHAnsi"/>
                <w:i/>
                <w:lang w:eastAsia="de-DE"/>
              </w:rPr>
              <w:t>Annex 1</w:t>
            </w:r>
          </w:p>
          <w:p w14:paraId="781A5DEE" w14:textId="5519613E" w:rsidR="00367FBF" w:rsidRPr="00D95291" w:rsidRDefault="00367FBF" w:rsidP="00967C61">
            <w:pPr>
              <w:keepLines/>
              <w:rPr>
                <w:rFonts w:cstheme="minorHAnsi"/>
                <w:i/>
                <w:lang w:eastAsia="de-DE"/>
              </w:rPr>
            </w:pPr>
            <w:r>
              <w:rPr>
                <w:rFonts w:cstheme="minorHAnsi"/>
                <w:i/>
                <w:lang w:eastAsia="de-DE"/>
              </w:rPr>
              <w:t>Annex 2</w:t>
            </w:r>
          </w:p>
        </w:tc>
      </w:tr>
      <w:tr w:rsidR="005F45A1" w:rsidRPr="00123AD6" w14:paraId="2A9DE84B" w14:textId="77777777" w:rsidTr="0028483C">
        <w:tc>
          <w:tcPr>
            <w:tcW w:w="3753" w:type="pct"/>
          </w:tcPr>
          <w:p w14:paraId="5B216168" w14:textId="361F03A6" w:rsidR="005F45A1" w:rsidRPr="00D95291" w:rsidRDefault="005F45A1" w:rsidP="00967C61">
            <w:pPr>
              <w:keepLines/>
              <w:rPr>
                <w:i/>
              </w:rPr>
            </w:pPr>
            <w:r w:rsidRPr="00D95291">
              <w:rPr>
                <w:i/>
              </w:rPr>
              <w:t xml:space="preserve">UN Regulation No. 83 - </w:t>
            </w:r>
            <w:r w:rsidR="002B28A3" w:rsidRPr="002B28A3">
              <w:rPr>
                <w:i/>
              </w:rPr>
              <w:t>Uniform provisions concerning the approval of vehicles with regard to</w:t>
            </w:r>
            <w:r w:rsidR="002B28A3">
              <w:rPr>
                <w:i/>
              </w:rPr>
              <w:t xml:space="preserve"> </w:t>
            </w:r>
            <w:r w:rsidR="002B28A3" w:rsidRPr="002B28A3">
              <w:rPr>
                <w:i/>
              </w:rPr>
              <w:t>the emission of pollutants according to engine fuel requirements</w:t>
            </w:r>
          </w:p>
        </w:tc>
        <w:tc>
          <w:tcPr>
            <w:tcW w:w="1247" w:type="pct"/>
          </w:tcPr>
          <w:p w14:paraId="30B3AD3C" w14:textId="77777777" w:rsidR="005F45A1" w:rsidRDefault="009D4961" w:rsidP="00967C61">
            <w:pPr>
              <w:keepLines/>
              <w:rPr>
                <w:rFonts w:cstheme="minorHAnsi"/>
                <w:i/>
                <w:lang w:eastAsia="de-DE"/>
              </w:rPr>
            </w:pPr>
            <w:r>
              <w:rPr>
                <w:rFonts w:cstheme="minorHAnsi"/>
                <w:i/>
                <w:lang w:eastAsia="de-DE"/>
              </w:rPr>
              <w:t>Cl.15.1</w:t>
            </w:r>
          </w:p>
          <w:p w14:paraId="533B7254" w14:textId="4AD114DC" w:rsidR="007A3FE2" w:rsidRPr="00D95291" w:rsidRDefault="007A3FE2" w:rsidP="00967C61">
            <w:pPr>
              <w:keepLines/>
              <w:rPr>
                <w:rFonts w:cstheme="minorHAnsi"/>
                <w:i/>
                <w:lang w:eastAsia="de-DE"/>
              </w:rPr>
            </w:pPr>
            <w:r>
              <w:rPr>
                <w:rFonts w:cstheme="minorHAnsi"/>
                <w:i/>
                <w:lang w:eastAsia="de-DE"/>
              </w:rPr>
              <w:t>Annex 5, Cl.6.1</w:t>
            </w:r>
          </w:p>
        </w:tc>
      </w:tr>
      <w:tr w:rsidR="005F45A1" w:rsidRPr="00123AD6" w14:paraId="3FCAAAA0" w14:textId="77777777" w:rsidTr="0028483C">
        <w:tc>
          <w:tcPr>
            <w:tcW w:w="3753" w:type="pct"/>
          </w:tcPr>
          <w:p w14:paraId="06E54EAE" w14:textId="08056F57" w:rsidR="005F45A1" w:rsidRPr="00D95291" w:rsidRDefault="005F45A1" w:rsidP="00967C61">
            <w:pPr>
              <w:keepLines/>
              <w:rPr>
                <w:i/>
              </w:rPr>
            </w:pPr>
            <w:r w:rsidRPr="00D95291">
              <w:rPr>
                <w:i/>
              </w:rPr>
              <w:lastRenderedPageBreak/>
              <w:t xml:space="preserve">UN Regulation No. 85 - </w:t>
            </w:r>
            <w:r w:rsidR="002B28A3" w:rsidRPr="002B28A3">
              <w:rPr>
                <w:i/>
              </w:rPr>
              <w:t xml:space="preserve">Uniform provisions concerning the </w:t>
            </w:r>
            <w:r w:rsidR="002B28A3">
              <w:rPr>
                <w:i/>
              </w:rPr>
              <w:t xml:space="preserve">approval of internal combustion </w:t>
            </w:r>
            <w:r w:rsidR="002B28A3" w:rsidRPr="002B28A3">
              <w:rPr>
                <w:i/>
              </w:rPr>
              <w:t>engines or electric drive trains inten</w:t>
            </w:r>
            <w:r w:rsidR="002B28A3">
              <w:rPr>
                <w:i/>
              </w:rPr>
              <w:t xml:space="preserve">ded for the propulsion of motor </w:t>
            </w:r>
            <w:r w:rsidR="002B28A3" w:rsidRPr="002B28A3">
              <w:rPr>
                <w:i/>
              </w:rPr>
              <w:t>vehicles of categories M and N with r</w:t>
            </w:r>
            <w:r w:rsidR="002B28A3">
              <w:rPr>
                <w:i/>
              </w:rPr>
              <w:t xml:space="preserve">egard to the measurement of net </w:t>
            </w:r>
            <w:r w:rsidR="002B28A3" w:rsidRPr="002B28A3">
              <w:rPr>
                <w:i/>
              </w:rPr>
              <w:t>power and the maximum 30 minutes</w:t>
            </w:r>
            <w:r w:rsidR="002B28A3">
              <w:rPr>
                <w:i/>
              </w:rPr>
              <w:t xml:space="preserve"> power of electric drive trains</w:t>
            </w:r>
          </w:p>
        </w:tc>
        <w:tc>
          <w:tcPr>
            <w:tcW w:w="1247" w:type="pct"/>
          </w:tcPr>
          <w:p w14:paraId="3A1F9FE6" w14:textId="77777777" w:rsidR="00875A98" w:rsidRDefault="00367FBF" w:rsidP="00967C61">
            <w:pPr>
              <w:keepLines/>
              <w:rPr>
                <w:rFonts w:cstheme="minorHAnsi"/>
                <w:i/>
                <w:lang w:eastAsia="de-DE"/>
              </w:rPr>
            </w:pPr>
            <w:r>
              <w:rPr>
                <w:rFonts w:cstheme="minorHAnsi"/>
                <w:i/>
                <w:lang w:eastAsia="de-DE"/>
              </w:rPr>
              <w:t>Cl.3.39</w:t>
            </w:r>
          </w:p>
          <w:p w14:paraId="204CDD18" w14:textId="10D9F5FC" w:rsidR="009D4961" w:rsidRPr="00D95291" w:rsidRDefault="009D4961" w:rsidP="00967C61">
            <w:pPr>
              <w:keepLines/>
              <w:rPr>
                <w:rFonts w:cstheme="minorHAnsi"/>
                <w:i/>
                <w:lang w:eastAsia="de-DE"/>
              </w:rPr>
            </w:pPr>
            <w:r>
              <w:rPr>
                <w:rFonts w:cstheme="minorHAnsi"/>
                <w:i/>
                <w:lang w:eastAsia="de-DE"/>
              </w:rPr>
              <w:t>Annex 1</w:t>
            </w:r>
          </w:p>
        </w:tc>
      </w:tr>
      <w:tr w:rsidR="002B024F" w:rsidRPr="00123AD6" w14:paraId="0145E2B7" w14:textId="77777777" w:rsidTr="0028483C">
        <w:tc>
          <w:tcPr>
            <w:tcW w:w="3753" w:type="pct"/>
          </w:tcPr>
          <w:p w14:paraId="44A368BF" w14:textId="77777777" w:rsidR="00F3091F" w:rsidRDefault="002B024F" w:rsidP="001E7AAD">
            <w:pPr>
              <w:rPr>
                <w:i/>
              </w:rPr>
            </w:pPr>
            <w:r>
              <w:rPr>
                <w:i/>
              </w:rPr>
              <w:t>UN Regulation No. 67</w:t>
            </w:r>
            <w:r w:rsidR="00F3091F">
              <w:rPr>
                <w:i/>
              </w:rPr>
              <w:t xml:space="preserve"> - </w:t>
            </w:r>
            <w:r w:rsidR="00F3091F" w:rsidRPr="00F3091F">
              <w:rPr>
                <w:i/>
              </w:rPr>
              <w:t xml:space="preserve">Uniform provisions concerning the approval of: </w:t>
            </w:r>
          </w:p>
          <w:p w14:paraId="7591C2DA" w14:textId="73ED2ED6" w:rsidR="00F3091F" w:rsidRPr="00F3091F" w:rsidRDefault="00F3091F" w:rsidP="00F3091F">
            <w:pPr>
              <w:pStyle w:val="ListParagraph"/>
              <w:numPr>
                <w:ilvl w:val="0"/>
                <w:numId w:val="11"/>
              </w:numPr>
              <w:rPr>
                <w:i/>
              </w:rPr>
            </w:pPr>
            <w:r w:rsidRPr="00F3091F">
              <w:rPr>
                <w:i/>
              </w:rPr>
              <w:t>Approval of specific equipment of vehicles of category M and N using liquefied petroleum gases in their propulsion system</w:t>
            </w:r>
          </w:p>
          <w:p w14:paraId="08FD2B5F" w14:textId="1DA92AEE" w:rsidR="002B024F" w:rsidRPr="00F3091F" w:rsidRDefault="00F3091F" w:rsidP="00F3091F">
            <w:pPr>
              <w:pStyle w:val="ListParagraph"/>
              <w:numPr>
                <w:ilvl w:val="0"/>
                <w:numId w:val="11"/>
              </w:numPr>
              <w:rPr>
                <w:i/>
              </w:rPr>
            </w:pPr>
            <w:r w:rsidRPr="00F3091F">
              <w:rPr>
                <w:i/>
              </w:rPr>
              <w:t>Approval of vehicles of category M and N fitted with specific equipment for the use of liquefied petroleum gases in their propulsion system with regard to the installation of such equipment</w:t>
            </w:r>
          </w:p>
        </w:tc>
        <w:tc>
          <w:tcPr>
            <w:tcW w:w="1247" w:type="pct"/>
          </w:tcPr>
          <w:p w14:paraId="7375979A" w14:textId="29053C5C" w:rsidR="002B024F" w:rsidRPr="00D95291" w:rsidRDefault="002B024F" w:rsidP="001E7AAD">
            <w:pPr>
              <w:tabs>
                <w:tab w:val="left" w:pos="1755"/>
              </w:tabs>
              <w:rPr>
                <w:rFonts w:cstheme="minorHAnsi"/>
                <w:i/>
              </w:rPr>
            </w:pPr>
            <w:r>
              <w:rPr>
                <w:rFonts w:cstheme="minorHAnsi"/>
                <w:i/>
              </w:rPr>
              <w:t>Annex 1</w:t>
            </w:r>
            <w:r w:rsidR="00967C61">
              <w:rPr>
                <w:rFonts w:cstheme="minorHAnsi"/>
                <w:i/>
              </w:rPr>
              <w:t xml:space="preserve"> - </w:t>
            </w:r>
            <w:r>
              <w:rPr>
                <w:rFonts w:cstheme="minorHAnsi"/>
                <w:i/>
              </w:rPr>
              <w:t>Cl.3.2.15.</w:t>
            </w:r>
            <w:r w:rsidR="009D4961">
              <w:rPr>
                <w:rFonts w:cstheme="minorHAnsi"/>
                <w:i/>
              </w:rPr>
              <w:t>1</w:t>
            </w:r>
          </w:p>
        </w:tc>
      </w:tr>
      <w:tr w:rsidR="002B024F" w:rsidRPr="00123AD6" w14:paraId="0435A689" w14:textId="77777777" w:rsidTr="0028483C">
        <w:tc>
          <w:tcPr>
            <w:tcW w:w="3753" w:type="pct"/>
          </w:tcPr>
          <w:p w14:paraId="69587CCE" w14:textId="77777777" w:rsidR="00CA2A50" w:rsidRPr="00CA2A50" w:rsidRDefault="002B024F" w:rsidP="00B1050D">
            <w:pPr>
              <w:keepLines/>
              <w:rPr>
                <w:i/>
              </w:rPr>
            </w:pPr>
            <w:r w:rsidRPr="00CA2A50">
              <w:rPr>
                <w:i/>
              </w:rPr>
              <w:t>UN Regulation 110</w:t>
            </w:r>
            <w:r w:rsidR="00CA2A50" w:rsidRPr="00CA2A50">
              <w:rPr>
                <w:i/>
              </w:rPr>
              <w:t xml:space="preserve"> - Uniform provisions concerning the approval of:</w:t>
            </w:r>
          </w:p>
          <w:p w14:paraId="79801CA9" w14:textId="42D86583" w:rsidR="00CA2A50" w:rsidRPr="00CA2A50" w:rsidRDefault="00CA2A50" w:rsidP="00B1050D">
            <w:pPr>
              <w:pStyle w:val="ListParagraph"/>
              <w:keepLines/>
              <w:numPr>
                <w:ilvl w:val="0"/>
                <w:numId w:val="12"/>
              </w:numPr>
              <w:rPr>
                <w:i/>
              </w:rPr>
            </w:pPr>
            <w:r w:rsidRPr="00CA2A50">
              <w:rPr>
                <w:i/>
              </w:rPr>
              <w:t>Specific components of motor vehicles using compressed natural gas (CNG) and/or liquefied natural gas (LNG) in their propulsion system</w:t>
            </w:r>
          </w:p>
          <w:p w14:paraId="3D7E9E5B" w14:textId="758B3652" w:rsidR="002B024F" w:rsidRPr="00CA2A50" w:rsidRDefault="00CA2A50" w:rsidP="00B1050D">
            <w:pPr>
              <w:pStyle w:val="ListParagraph"/>
              <w:keepLines/>
              <w:numPr>
                <w:ilvl w:val="0"/>
                <w:numId w:val="12"/>
              </w:numPr>
              <w:rPr>
                <w:i/>
              </w:rPr>
            </w:pPr>
            <w:r w:rsidRPr="00CA2A50">
              <w:rPr>
                <w:i/>
              </w:rPr>
              <w:t>Vehicles with regard to the installation of specific components of an approved type for the use of compressed natural gas (CNG) and/or liquefied natural gas (LNG) in their propulsion system</w:t>
            </w:r>
          </w:p>
        </w:tc>
        <w:tc>
          <w:tcPr>
            <w:tcW w:w="1247" w:type="pct"/>
          </w:tcPr>
          <w:p w14:paraId="3D8DCE71" w14:textId="6970820B" w:rsidR="002B024F" w:rsidRPr="00D95291" w:rsidRDefault="002B024F" w:rsidP="002B024F">
            <w:pPr>
              <w:tabs>
                <w:tab w:val="left" w:pos="1755"/>
              </w:tabs>
              <w:rPr>
                <w:rFonts w:cstheme="minorHAnsi"/>
                <w:i/>
              </w:rPr>
            </w:pPr>
            <w:r>
              <w:rPr>
                <w:rFonts w:cstheme="minorHAnsi"/>
                <w:i/>
              </w:rPr>
              <w:t>Annex 1</w:t>
            </w:r>
            <w:r w:rsidR="00967C61">
              <w:rPr>
                <w:rFonts w:cstheme="minorHAnsi"/>
                <w:i/>
              </w:rPr>
              <w:t xml:space="preserve"> - </w:t>
            </w:r>
            <w:r>
              <w:rPr>
                <w:rFonts w:cstheme="minorHAnsi"/>
                <w:i/>
              </w:rPr>
              <w:t>Cl.3.2.16.1</w:t>
            </w:r>
          </w:p>
        </w:tc>
      </w:tr>
      <w:tr w:rsidR="002B024F" w:rsidRPr="00123AD6" w14:paraId="2C70DD2B" w14:textId="77777777" w:rsidTr="0028483C">
        <w:tc>
          <w:tcPr>
            <w:tcW w:w="3753" w:type="pct"/>
          </w:tcPr>
          <w:p w14:paraId="153E99EC" w14:textId="22B6677B" w:rsidR="002B024F" w:rsidRPr="00D95291" w:rsidRDefault="002B024F" w:rsidP="00B1050D">
            <w:pPr>
              <w:keepLines/>
              <w:rPr>
                <w:i/>
              </w:rPr>
            </w:pPr>
            <w:r>
              <w:rPr>
                <w:i/>
              </w:rPr>
              <w:t>UN Regulation 154</w:t>
            </w:r>
            <w:r w:rsidR="00CA2A50">
              <w:rPr>
                <w:i/>
              </w:rPr>
              <w:t xml:space="preserve"> - </w:t>
            </w:r>
            <w:r w:rsidR="00CA2A50" w:rsidRPr="002B28A3">
              <w:rPr>
                <w:i/>
                <w:lang w:val="en-GB"/>
              </w:rPr>
              <w:t>Uniform provisions concerning the approval of light duty passenger and commercial vehicles with regards to criteria emissions, emissions of carbon dioxide and fuel consumption and/or the measurement of electric energy consumption and electric range (WLTP)</w:t>
            </w:r>
            <w:r w:rsidR="00CA2A50">
              <w:rPr>
                <w:rFonts w:eastAsia="Calibri"/>
                <w:szCs w:val="22"/>
              </w:rPr>
              <w:t>.</w:t>
            </w:r>
          </w:p>
        </w:tc>
        <w:tc>
          <w:tcPr>
            <w:tcW w:w="1247" w:type="pct"/>
          </w:tcPr>
          <w:p w14:paraId="129A19EA" w14:textId="0A50FE84" w:rsidR="00875A98" w:rsidRDefault="009D4961" w:rsidP="00CA2A50">
            <w:pPr>
              <w:keepNext/>
              <w:keepLines/>
              <w:tabs>
                <w:tab w:val="left" w:pos="1755"/>
              </w:tabs>
              <w:rPr>
                <w:rFonts w:cstheme="minorHAnsi"/>
                <w:i/>
              </w:rPr>
            </w:pPr>
            <w:r>
              <w:rPr>
                <w:rFonts w:cstheme="minorHAnsi"/>
                <w:i/>
              </w:rPr>
              <w:t>Cl.3.3.9, 6.1, 6.3, 8.3.4.1, 8.5, 12.1, 12.2</w:t>
            </w:r>
          </w:p>
          <w:p w14:paraId="34F31F1C" w14:textId="77777777" w:rsidR="009D4961" w:rsidRDefault="009D4961" w:rsidP="00CA2A50">
            <w:pPr>
              <w:keepNext/>
              <w:keepLines/>
              <w:tabs>
                <w:tab w:val="left" w:pos="1755"/>
              </w:tabs>
              <w:rPr>
                <w:rFonts w:cstheme="minorHAnsi"/>
                <w:i/>
              </w:rPr>
            </w:pPr>
            <w:r>
              <w:rPr>
                <w:rFonts w:cstheme="minorHAnsi"/>
                <w:i/>
              </w:rPr>
              <w:t>Annex 1</w:t>
            </w:r>
          </w:p>
          <w:p w14:paraId="313AFF45" w14:textId="2D27DFFE" w:rsidR="009D4961" w:rsidRDefault="009D4961" w:rsidP="00CA2A50">
            <w:pPr>
              <w:keepNext/>
              <w:keepLines/>
              <w:tabs>
                <w:tab w:val="left" w:pos="1755"/>
              </w:tabs>
              <w:rPr>
                <w:rFonts w:cstheme="minorHAnsi"/>
                <w:i/>
              </w:rPr>
            </w:pPr>
            <w:r>
              <w:rPr>
                <w:rFonts w:cstheme="minorHAnsi"/>
                <w:i/>
              </w:rPr>
              <w:t>Annex 5, Cl.3.4.3, 4.1.1, 4.1.2(b), 4.3.2, 4.3.3</w:t>
            </w:r>
            <w:r w:rsidR="007A3FE2">
              <w:rPr>
                <w:rFonts w:cstheme="minorHAnsi"/>
                <w:i/>
              </w:rPr>
              <w:t>(a</w:t>
            </w:r>
            <w:r w:rsidR="00FF6188">
              <w:rPr>
                <w:rFonts w:cstheme="minorHAnsi"/>
                <w:i/>
              </w:rPr>
              <w:t>)(</w:t>
            </w:r>
            <w:r w:rsidR="007A3FE2">
              <w:rPr>
                <w:rFonts w:cstheme="minorHAnsi"/>
                <w:i/>
              </w:rPr>
              <w:t>b), 5.1.1, 6.1, 6.3</w:t>
            </w:r>
          </w:p>
          <w:p w14:paraId="0B882AC5" w14:textId="77777777" w:rsidR="007A3FE2" w:rsidRDefault="007A3FE2" w:rsidP="00CA2A50">
            <w:pPr>
              <w:keepNext/>
              <w:keepLines/>
              <w:tabs>
                <w:tab w:val="left" w:pos="1755"/>
              </w:tabs>
              <w:rPr>
                <w:rFonts w:cstheme="minorHAnsi"/>
                <w:i/>
              </w:rPr>
            </w:pPr>
            <w:r>
              <w:rPr>
                <w:rFonts w:cstheme="minorHAnsi"/>
                <w:i/>
              </w:rPr>
              <w:t>Annex 6, Cl.3.2.2, 3.2.3</w:t>
            </w:r>
          </w:p>
          <w:p w14:paraId="1DA3B559" w14:textId="3A2AC0E9" w:rsidR="007A3FE2" w:rsidRPr="00D95291" w:rsidRDefault="007A3FE2" w:rsidP="00CA2A50">
            <w:pPr>
              <w:keepNext/>
              <w:keepLines/>
              <w:tabs>
                <w:tab w:val="left" w:pos="1755"/>
              </w:tabs>
              <w:rPr>
                <w:rFonts w:cstheme="minorHAnsi"/>
                <w:i/>
              </w:rPr>
            </w:pPr>
            <w:r>
              <w:rPr>
                <w:rFonts w:cstheme="minorHAnsi"/>
                <w:i/>
              </w:rPr>
              <w:t>Annex 8, Cl.3.1, 4.2</w:t>
            </w:r>
          </w:p>
        </w:tc>
      </w:tr>
      <w:tr w:rsidR="007A3FE2" w:rsidRPr="00123AD6" w14:paraId="0A2D2A1E" w14:textId="77777777" w:rsidTr="0028483C">
        <w:tc>
          <w:tcPr>
            <w:tcW w:w="3753" w:type="pct"/>
          </w:tcPr>
          <w:p w14:paraId="0ADD25D7" w14:textId="40020308" w:rsidR="007A3FE2" w:rsidRDefault="007A3FE2" w:rsidP="00B1050D">
            <w:pPr>
              <w:keepLines/>
              <w:rPr>
                <w:i/>
              </w:rPr>
            </w:pPr>
            <w:r>
              <w:rPr>
                <w:i/>
              </w:rPr>
              <w:lastRenderedPageBreak/>
              <w:t xml:space="preserve">UN Regulation No. 49 - </w:t>
            </w:r>
            <w:r w:rsidRPr="008B0D72">
              <w:rPr>
                <w:rFonts w:eastAsia="Calibri"/>
                <w:i/>
                <w:szCs w:val="22"/>
              </w:rPr>
              <w:t>Uniform provisions concerning the measures to be taken against the emission of gaseous and particulate pollutants from compression-ignition engines and positive ignition engines for use in vehicles</w:t>
            </w:r>
          </w:p>
        </w:tc>
        <w:tc>
          <w:tcPr>
            <w:tcW w:w="1247" w:type="pct"/>
          </w:tcPr>
          <w:p w14:paraId="61014E7E" w14:textId="4EABCB10" w:rsidR="007A3FE2" w:rsidRDefault="007A3FE2" w:rsidP="00CA2A50">
            <w:pPr>
              <w:keepNext/>
              <w:keepLines/>
              <w:tabs>
                <w:tab w:val="left" w:pos="1755"/>
              </w:tabs>
              <w:rPr>
                <w:rFonts w:cstheme="minorHAnsi"/>
                <w:i/>
              </w:rPr>
            </w:pPr>
            <w:r>
              <w:rPr>
                <w:rFonts w:cstheme="minorHAnsi"/>
                <w:i/>
              </w:rPr>
              <w:t>Annex 5, Cl.6.1</w:t>
            </w:r>
          </w:p>
        </w:tc>
      </w:tr>
    </w:tbl>
    <w:p w14:paraId="551A5633" w14:textId="7448A755" w:rsidR="003F6A3B" w:rsidRPr="00514C80" w:rsidRDefault="003F6A3B" w:rsidP="003F6A3B">
      <w:r w:rsidRPr="00514C80">
        <w:t>The Consolidated Resolution on the Construction of Vehicles (R.E.3.), document ECE/TRANS/WP.29/78/Rev.6, and the UN Regulations (including R</w:t>
      </w:r>
      <w:r w:rsidR="0050392A">
        <w:t xml:space="preserve">egulations </w:t>
      </w:r>
      <w:r w:rsidR="00351557">
        <w:t xml:space="preserve">83, 85, 67,110, 154 and </w:t>
      </w:r>
      <w:r w:rsidR="007A3FE2">
        <w:t>49</w:t>
      </w:r>
      <w:r w:rsidRPr="00514C80">
        <w:t xml:space="preserve">), may be freely accessed online through the UN World Forum for the Harmonization of Vehicle Regulations (WP.29). The WP.29 website is </w:t>
      </w:r>
      <w:hyperlink r:id="rId13" w:history="1">
        <w:r w:rsidRPr="00514C80">
          <w:rPr>
            <w:rStyle w:val="Hyperlink"/>
            <w:bCs/>
          </w:rPr>
          <w:t>www.unece.org/trans/main/welcwp29.html</w:t>
        </w:r>
      </w:hyperlink>
      <w:r w:rsidRPr="00514C80">
        <w:t>.</w:t>
      </w:r>
    </w:p>
    <w:p w14:paraId="6E69C02F" w14:textId="7D8AFEAA" w:rsidR="003F6A3B" w:rsidRDefault="003F6A3B" w:rsidP="003F6A3B">
      <w:r w:rsidRPr="00514C80">
        <w:t xml:space="preserve">In accordance with subsections 14(1)(b) and 14(2) of the </w:t>
      </w:r>
      <w:r w:rsidRPr="00514C80">
        <w:rPr>
          <w:i/>
        </w:rPr>
        <w:t>Legislation Act 2003</w:t>
      </w:r>
      <w:r w:rsidRPr="00514C80">
        <w:t>, each of these UN documents are incorporated as in force on the date this national road vehicle standard is made.</w:t>
      </w:r>
    </w:p>
    <w:p w14:paraId="30FFCD1B" w14:textId="1544F252" w:rsidR="00B92BED" w:rsidRPr="00B1050D" w:rsidRDefault="00B92BED" w:rsidP="000F620B">
      <w:pPr>
        <w:pStyle w:val="HeadingLevel2"/>
        <w:ind w:left="851"/>
        <w:rPr>
          <w:b/>
        </w:rPr>
      </w:pPr>
      <w:bookmarkStart w:id="39" w:name="_Toc164071172"/>
      <w:r w:rsidRPr="00B1050D">
        <w:rPr>
          <w:b/>
        </w:rPr>
        <w:t>Technical standards</w:t>
      </w:r>
      <w:bookmarkEnd w:id="39"/>
    </w:p>
    <w:p w14:paraId="0AF4BAF6" w14:textId="20792CA4" w:rsidR="00B92BED" w:rsidRDefault="00B92BED" w:rsidP="00305000">
      <w:pPr>
        <w:pStyle w:val="ESNormal"/>
      </w:pPr>
      <w:r w:rsidRPr="00B92BED">
        <w:t xml:space="preserve">Appendix A (which adopts the text of UN Regulation </w:t>
      </w:r>
      <w:r w:rsidR="008F002C">
        <w:t>1</w:t>
      </w:r>
      <w:r w:rsidR="007A3FE2">
        <w:t>68</w:t>
      </w:r>
      <w:r w:rsidRPr="00B92BED">
        <w:t xml:space="preserve">) includes a number of references to technical standards </w:t>
      </w:r>
      <w:r>
        <w:t>developed by organisations</w:t>
      </w:r>
      <w:r w:rsidR="00B0550C">
        <w:t>. These are</w:t>
      </w:r>
      <w:r>
        <w:t>:</w:t>
      </w:r>
    </w:p>
    <w:p w14:paraId="22CB3361" w14:textId="4B298F6C" w:rsidR="00B92BED" w:rsidRDefault="00B92BED" w:rsidP="009F630C">
      <w:pPr>
        <w:pStyle w:val="ESNormal"/>
        <w:numPr>
          <w:ilvl w:val="0"/>
          <w:numId w:val="6"/>
        </w:numPr>
      </w:pPr>
      <w:r w:rsidRPr="00B92BED">
        <w:t>International Organization for Standardization (ISO)</w:t>
      </w:r>
    </w:p>
    <w:p w14:paraId="6C0F4C57" w14:textId="7EC4DA02" w:rsidR="00B92BED" w:rsidRDefault="00B92BED" w:rsidP="009F630C">
      <w:pPr>
        <w:pStyle w:val="ESNormal"/>
        <w:numPr>
          <w:ilvl w:val="0"/>
          <w:numId w:val="6"/>
        </w:numPr>
      </w:pPr>
      <w:r w:rsidRPr="00B92BED">
        <w:rPr>
          <w:szCs w:val="24"/>
        </w:rPr>
        <w:t xml:space="preserve">Society of </w:t>
      </w:r>
      <w:r>
        <w:t>Automotive E</w:t>
      </w:r>
      <w:r w:rsidR="00333FA7">
        <w:t>ngineers (SAE)</w:t>
      </w:r>
    </w:p>
    <w:p w14:paraId="797BDD95" w14:textId="19D97E5C" w:rsidR="00333FA7" w:rsidRPr="00B92BED" w:rsidRDefault="00333FA7" w:rsidP="00333FA7">
      <w:pPr>
        <w:pStyle w:val="ESNormal"/>
      </w:pPr>
      <w:r>
        <w:t xml:space="preserve">Table </w:t>
      </w:r>
      <w:r w:rsidR="004934AF">
        <w:t>2</w:t>
      </w:r>
      <w:r>
        <w:t xml:space="preserve"> contains a list of the standards referenced in Appendix A</w:t>
      </w:r>
      <w:r w:rsidR="000355B0">
        <w:t xml:space="preserve"> as varied by </w:t>
      </w:r>
      <w:r w:rsidR="00B617B8">
        <w:t>Clause</w:t>
      </w:r>
      <w:r w:rsidR="00BE5D75">
        <w:t> </w:t>
      </w:r>
      <w:r w:rsidR="00B617B8">
        <w:t>6.1 of the ADR</w:t>
      </w:r>
      <w:r w:rsidR="000355B0">
        <w:t>.</w:t>
      </w:r>
      <w:r w:rsidR="000355B0">
        <w:rPr>
          <w:rStyle w:val="FootnoteReference"/>
        </w:rPr>
        <w:footnoteReference w:id="3"/>
      </w:r>
    </w:p>
    <w:p w14:paraId="1BADACBF" w14:textId="4E02059B" w:rsidR="00B1050D" w:rsidRDefault="00B92BED" w:rsidP="00B1050D">
      <w:pPr>
        <w:pStyle w:val="ESNormal"/>
        <w:spacing w:line="240" w:lineRule="auto"/>
      </w:pPr>
      <w:r>
        <w:t>The</w:t>
      </w:r>
      <w:r w:rsidRPr="00514C80">
        <w:t xml:space="preserve"> </w:t>
      </w:r>
      <w:r w:rsidR="00B0550C">
        <w:t>ISO</w:t>
      </w:r>
      <w:r w:rsidR="00305000">
        <w:t xml:space="preserve"> and</w:t>
      </w:r>
      <w:r w:rsidR="00B0550C">
        <w:t xml:space="preserve"> SAE </w:t>
      </w:r>
      <w:r w:rsidR="00B1050D">
        <w:t>Technical Standards are available for purchase from</w:t>
      </w:r>
      <w:r w:rsidR="00B1050D" w:rsidRPr="005F202A">
        <w:t xml:space="preserve"> </w:t>
      </w:r>
      <w:r w:rsidR="00B1050D">
        <w:t xml:space="preserve">Intertek Inform (formerly SAI Global). Intertek </w:t>
      </w:r>
      <w:proofErr w:type="spellStart"/>
      <w:r w:rsidR="00B1050D">
        <w:t>Inform’s</w:t>
      </w:r>
      <w:proofErr w:type="spellEnd"/>
      <w:r w:rsidR="00B1050D">
        <w:t xml:space="preserve"> website is: </w:t>
      </w:r>
      <w:hyperlink r:id="rId14" w:history="1">
        <w:r w:rsidR="00B1050D" w:rsidRPr="00073F4A">
          <w:rPr>
            <w:rStyle w:val="Hyperlink"/>
          </w:rPr>
          <w:t>https://www.intertekinform.com/en-au/</w:t>
        </w:r>
      </w:hyperlink>
      <w:bookmarkStart w:id="40" w:name="_Hlk159318359"/>
    </w:p>
    <w:p w14:paraId="70C8D18F" w14:textId="77777777" w:rsidR="00B1050D" w:rsidRDefault="00B1050D" w:rsidP="00B1050D">
      <w:pPr>
        <w:pStyle w:val="ESNormal"/>
        <w:spacing w:line="240" w:lineRule="auto"/>
      </w:pPr>
      <w:r w:rsidRPr="00F85296">
        <w:t>Subject to copyright conditions, people may also view a copy of these documents at the Offices of the Department of Infrastructure, Transport, Regional Development, Communications and the Arts in Canberra.</w:t>
      </w:r>
      <w:bookmarkEnd w:id="40"/>
    </w:p>
    <w:p w14:paraId="263CEAF5" w14:textId="5BEE2671" w:rsidR="00B92BED" w:rsidRDefault="00B1050D" w:rsidP="00B1050D">
      <w:pPr>
        <w:pStyle w:val="ESNormal"/>
        <w:spacing w:line="240" w:lineRule="auto"/>
      </w:pPr>
      <w:r w:rsidRPr="00514C80">
        <w:t>While not freel</w:t>
      </w:r>
      <w:r>
        <w:t>y available, these standards</w:t>
      </w:r>
      <w:r w:rsidRPr="00514C80">
        <w:t xml:space="preserve"> are all readily accessible and widely used by vehicle manufacturers and test facilities as part o</w:t>
      </w:r>
      <w:r>
        <w:t>f their professional libraries</w:t>
      </w:r>
      <w:r w:rsidRPr="0028483C">
        <w:t>.</w:t>
      </w:r>
      <w:r w:rsidRPr="00B1050D">
        <w:t xml:space="preserve"> </w:t>
      </w:r>
      <w:r w:rsidRPr="0028483C">
        <w:t>Section 49 of the explanatory memorandum for the Road Vehicle Standards Bill 2018 explains the importance of being able to incorporate technical standards that are not available free of charge and this arrangement was accepted by the Parliament through the passing of the Road Vehicle Standards Bill 2018.</w:t>
      </w:r>
    </w:p>
    <w:p w14:paraId="15AA0E1B" w14:textId="0DD9E1A7" w:rsidR="00333FA7" w:rsidRDefault="00333FA7" w:rsidP="00BE5D75">
      <w:pPr>
        <w:autoSpaceDE w:val="0"/>
        <w:autoSpaceDN w:val="0"/>
        <w:adjustRightInd w:val="0"/>
        <w:snapToGrid w:val="0"/>
        <w:spacing w:before="0" w:after="0"/>
        <w:rPr>
          <w:rFonts w:ascii="TimesNewRoman" w:hAnsi="TimesNewRoman" w:cs="TimesNewRoman"/>
          <w:color w:val="000000"/>
          <w:lang w:val="x-none"/>
        </w:rPr>
      </w:pPr>
      <w:r>
        <w:rPr>
          <w:rFonts w:ascii="TimesNewRoman" w:hAnsi="TimesNewRoman" w:cs="TimesNewRoman"/>
          <w:color w:val="000000"/>
          <w:lang w:val="x-none"/>
        </w:rPr>
        <w:t xml:space="preserve">In accordance with subsections 14(1)(b) and 14(2) of the </w:t>
      </w:r>
      <w:r>
        <w:rPr>
          <w:rFonts w:ascii="TimesNewRoman" w:hAnsi="TimesNewRoman" w:cs="TimesNewRoman"/>
          <w:i/>
          <w:color w:val="000000"/>
          <w:lang w:val="x-none"/>
        </w:rPr>
        <w:t xml:space="preserve">Legislation Act 2003, </w:t>
      </w:r>
      <w:r>
        <w:rPr>
          <w:rFonts w:ascii="TimesNewRoman" w:hAnsi="TimesNewRoman" w:cs="TimesNewRoman"/>
          <w:color w:val="000000"/>
          <w:lang w:val="x-none"/>
        </w:rPr>
        <w:t>each of these standards are incorporated as in force on the date this national road vehicle standard is made.</w:t>
      </w:r>
    </w:p>
    <w:p w14:paraId="4768C85D" w14:textId="241B4002" w:rsidR="008A7E7B" w:rsidRPr="00843199" w:rsidRDefault="00333FA7" w:rsidP="00843199">
      <w:pPr>
        <w:pStyle w:val="Tableheadersleft"/>
      </w:pPr>
      <w:r w:rsidRPr="00843199">
        <w:lastRenderedPageBreak/>
        <w:t xml:space="preserve">Table </w:t>
      </w:r>
      <w:r w:rsidR="004934AF">
        <w:t>2</w:t>
      </w:r>
      <w:r w:rsidRPr="00843199">
        <w:t xml:space="preserve"> – Technical</w:t>
      </w:r>
      <w:r w:rsidR="008516A0" w:rsidRPr="00843199">
        <w:t xml:space="preserve"> </w:t>
      </w:r>
      <w:r w:rsidR="00B0550C" w:rsidRPr="00843199">
        <w:t xml:space="preserve">Standards adopted by reference </w:t>
      </w:r>
      <w:r w:rsidR="008516A0" w:rsidRPr="00843199">
        <w:t>in Appendix A</w:t>
      </w:r>
    </w:p>
    <w:tbl>
      <w:tblPr>
        <w:tblStyle w:val="TableGrid"/>
        <w:tblW w:w="0" w:type="auto"/>
        <w:tblLook w:val="04A0" w:firstRow="1" w:lastRow="0" w:firstColumn="1" w:lastColumn="0" w:noHBand="0" w:noVBand="1"/>
        <w:tblCaption w:val="Table 3 - Technical Standards adopted in Appendix A"/>
        <w:tblDescription w:val="Table detailing the ASTM, EN ISO, ISO, EN, SAE and DIN standards adopted in the applicable sections of Appendix A"/>
      </w:tblPr>
      <w:tblGrid>
        <w:gridCol w:w="6478"/>
        <w:gridCol w:w="1824"/>
      </w:tblGrid>
      <w:tr w:rsidR="00F40C39" w:rsidRPr="008516A0" w14:paraId="60FA90AC" w14:textId="77777777" w:rsidTr="00E738F0">
        <w:trPr>
          <w:tblHeader/>
        </w:trPr>
        <w:tc>
          <w:tcPr>
            <w:tcW w:w="0" w:type="auto"/>
          </w:tcPr>
          <w:p w14:paraId="04532EF6" w14:textId="22F6E441" w:rsidR="005F45A1" w:rsidRPr="00843199" w:rsidRDefault="0078555E" w:rsidP="008516A0">
            <w:pPr>
              <w:rPr>
                <w:b/>
                <w:lang w:val="en-GB"/>
              </w:rPr>
            </w:pPr>
            <w:r w:rsidRPr="00843199">
              <w:rPr>
                <w:b/>
                <w:lang w:val="en-GB"/>
              </w:rPr>
              <w:t>Technical Standard</w:t>
            </w:r>
          </w:p>
        </w:tc>
        <w:tc>
          <w:tcPr>
            <w:tcW w:w="0" w:type="auto"/>
          </w:tcPr>
          <w:p w14:paraId="786BF748" w14:textId="6F93E356" w:rsidR="005F45A1" w:rsidRPr="00843199" w:rsidRDefault="005F45A1" w:rsidP="008516A0">
            <w:pPr>
              <w:rPr>
                <w:b/>
              </w:rPr>
            </w:pPr>
            <w:r w:rsidRPr="00843199">
              <w:rPr>
                <w:rFonts w:cstheme="minorHAnsi"/>
                <w:b/>
                <w:lang w:eastAsia="de-DE"/>
              </w:rPr>
              <w:t>References in Appendix A</w:t>
            </w:r>
          </w:p>
        </w:tc>
      </w:tr>
      <w:tr w:rsidR="003C0139" w14:paraId="17D077EF" w14:textId="77777777" w:rsidTr="00E738F0">
        <w:tc>
          <w:tcPr>
            <w:tcW w:w="0" w:type="auto"/>
          </w:tcPr>
          <w:p w14:paraId="12E6B2C0" w14:textId="74B48EA9" w:rsidR="003C0139" w:rsidRPr="003C0139" w:rsidRDefault="004D07C6" w:rsidP="00E738F0">
            <w:pPr>
              <w:pStyle w:val="Heading3"/>
              <w:shd w:val="clear" w:color="auto" w:fill="FFFFFF"/>
              <w:rPr>
                <w:i w:val="0"/>
                <w:color w:val="000000" w:themeColor="text1"/>
                <w:lang w:val="en-GB"/>
              </w:rPr>
            </w:pPr>
            <w:r>
              <w:t>ISO 3780:2009 Road vehicles — World manufacturer identifier (WMI) code</w:t>
            </w:r>
          </w:p>
        </w:tc>
        <w:tc>
          <w:tcPr>
            <w:tcW w:w="0" w:type="auto"/>
          </w:tcPr>
          <w:p w14:paraId="37642447" w14:textId="3115105A" w:rsidR="003C0139" w:rsidRDefault="004D07C6" w:rsidP="00E738F0">
            <w:pPr>
              <w:rPr>
                <w:i/>
                <w:color w:val="000000" w:themeColor="text1"/>
                <w:lang w:val="en-GB"/>
              </w:rPr>
            </w:pPr>
            <w:r>
              <w:rPr>
                <w:i/>
                <w:color w:val="000000" w:themeColor="text1"/>
                <w:lang w:val="en-GB"/>
              </w:rPr>
              <w:t>Cl.6.5.2</w:t>
            </w:r>
          </w:p>
        </w:tc>
      </w:tr>
      <w:tr w:rsidR="003C0139" w14:paraId="25F75148" w14:textId="77777777" w:rsidTr="00E738F0">
        <w:tc>
          <w:tcPr>
            <w:tcW w:w="0" w:type="auto"/>
          </w:tcPr>
          <w:p w14:paraId="3F1C920A" w14:textId="06D02B0A" w:rsidR="003C0139" w:rsidRPr="003C0139" w:rsidRDefault="004D07C6" w:rsidP="004D07C6">
            <w:pPr>
              <w:pStyle w:val="Heading3"/>
              <w:shd w:val="clear" w:color="auto" w:fill="FFFFFF"/>
              <w:tabs>
                <w:tab w:val="left" w:pos="1470"/>
              </w:tabs>
              <w:rPr>
                <w:rStyle w:val="SubtleEmphasis"/>
                <w:i/>
                <w:color w:val="000000" w:themeColor="text1"/>
              </w:rPr>
            </w:pPr>
            <w:r w:rsidRPr="004D07C6">
              <w:rPr>
                <w:szCs w:val="18"/>
                <w:lang w:eastAsia="en-US"/>
              </w:rPr>
              <w:t>ISO 612: 1978 — Road vehicles — Dimensions of motor vehicles and towed vehicles — terms and definitions.</w:t>
            </w:r>
          </w:p>
        </w:tc>
        <w:tc>
          <w:tcPr>
            <w:tcW w:w="0" w:type="auto"/>
          </w:tcPr>
          <w:p w14:paraId="461B7228" w14:textId="4F2C94FA" w:rsidR="003C0139" w:rsidRDefault="004D07C6" w:rsidP="003C0139">
            <w:pPr>
              <w:rPr>
                <w:i/>
                <w:color w:val="000000" w:themeColor="text1"/>
                <w:lang w:val="en-GB"/>
              </w:rPr>
            </w:pPr>
            <w:r>
              <w:rPr>
                <w:i/>
                <w:color w:val="000000" w:themeColor="text1"/>
                <w:lang w:val="en-GB"/>
              </w:rPr>
              <w:t>A</w:t>
            </w:r>
            <w:r>
              <w:rPr>
                <w:i/>
                <w:lang w:val="en-GB"/>
              </w:rPr>
              <w:t>nnex 1, footnote (g)</w:t>
            </w:r>
          </w:p>
        </w:tc>
      </w:tr>
      <w:tr w:rsidR="003C0139" w14:paraId="3B8526AE" w14:textId="77777777" w:rsidTr="00E738F0">
        <w:tc>
          <w:tcPr>
            <w:tcW w:w="0" w:type="auto"/>
          </w:tcPr>
          <w:p w14:paraId="7AD92E38" w14:textId="59C7696E" w:rsidR="003C0139" w:rsidRPr="003C0139" w:rsidRDefault="000C4A1A" w:rsidP="004D07C6">
            <w:pPr>
              <w:pStyle w:val="Heading3"/>
              <w:shd w:val="clear" w:color="auto" w:fill="FFFFFF"/>
              <w:tabs>
                <w:tab w:val="left" w:pos="1395"/>
              </w:tabs>
              <w:rPr>
                <w:rStyle w:val="SubtleEmphasis"/>
                <w:i/>
                <w:color w:val="000000" w:themeColor="text1"/>
              </w:rPr>
            </w:pPr>
            <w:r w:rsidRPr="00DE09B9">
              <w:t>ISO 15031-5 - Road vehicles - communication between vehicles and external test equipment for emissions-related diagnostics – Part 5: Emissions-related diagnostic services</w:t>
            </w:r>
          </w:p>
        </w:tc>
        <w:tc>
          <w:tcPr>
            <w:tcW w:w="0" w:type="auto"/>
          </w:tcPr>
          <w:p w14:paraId="78CF15D3" w14:textId="745038E2" w:rsidR="003C0139" w:rsidRDefault="000C4A1A" w:rsidP="003C0139">
            <w:pPr>
              <w:rPr>
                <w:i/>
                <w:color w:val="000000" w:themeColor="text1"/>
                <w:lang w:val="en-GB"/>
              </w:rPr>
            </w:pPr>
            <w:r>
              <w:rPr>
                <w:i/>
                <w:color w:val="000000" w:themeColor="text1"/>
                <w:lang w:val="en-GB"/>
              </w:rPr>
              <w:t>A</w:t>
            </w:r>
            <w:r>
              <w:rPr>
                <w:i/>
                <w:lang w:val="en-GB"/>
              </w:rPr>
              <w:t>nnex 4, Cl.3.4.5</w:t>
            </w:r>
          </w:p>
        </w:tc>
      </w:tr>
      <w:tr w:rsidR="003C0139" w14:paraId="2FB1A0EA" w14:textId="77777777" w:rsidTr="00E738F0">
        <w:tc>
          <w:tcPr>
            <w:tcW w:w="0" w:type="auto"/>
          </w:tcPr>
          <w:p w14:paraId="55097FEC" w14:textId="5AB03EC1" w:rsidR="003C0139" w:rsidRPr="000C4A1A" w:rsidRDefault="000C4A1A" w:rsidP="003C0139">
            <w:pPr>
              <w:pStyle w:val="Heading3"/>
              <w:shd w:val="clear" w:color="auto" w:fill="FFFFFF"/>
              <w:rPr>
                <w:rStyle w:val="SubtleEmphasis"/>
                <w:i/>
                <w:iCs w:val="0"/>
                <w:color w:val="auto"/>
                <w:lang w:eastAsia="ja-JP"/>
              </w:rPr>
            </w:pPr>
            <w:r w:rsidRPr="00C64B0B">
              <w:rPr>
                <w:lang w:eastAsia="ja-JP"/>
              </w:rPr>
              <w:t>ISO 5167</w:t>
            </w:r>
            <w:r>
              <w:rPr>
                <w:lang w:eastAsia="ja-JP"/>
              </w:rPr>
              <w:t xml:space="preserve"> - </w:t>
            </w:r>
            <w:r w:rsidRPr="000C4A1A">
              <w:rPr>
                <w:lang w:eastAsia="ja-JP"/>
              </w:rPr>
              <w:t>Measurement of fluid flow by means of pressure differential devices inserted in circular cross-section conduits running full</w:t>
            </w:r>
          </w:p>
        </w:tc>
        <w:tc>
          <w:tcPr>
            <w:tcW w:w="0" w:type="auto"/>
          </w:tcPr>
          <w:p w14:paraId="687D72FF" w14:textId="079B0518" w:rsidR="003C0139" w:rsidRDefault="000C4A1A" w:rsidP="003C0139">
            <w:pPr>
              <w:rPr>
                <w:i/>
                <w:color w:val="000000" w:themeColor="text1"/>
                <w:lang w:val="en-GB"/>
              </w:rPr>
            </w:pPr>
            <w:r>
              <w:rPr>
                <w:i/>
                <w:color w:val="000000" w:themeColor="text1"/>
                <w:lang w:val="en-GB"/>
              </w:rPr>
              <w:t>Annex 5, Cl.7.2(b)</w:t>
            </w:r>
          </w:p>
        </w:tc>
      </w:tr>
      <w:tr w:rsidR="00272A5B" w14:paraId="61165D8F" w14:textId="77777777" w:rsidTr="00E738F0">
        <w:tc>
          <w:tcPr>
            <w:tcW w:w="0" w:type="auto"/>
          </w:tcPr>
          <w:p w14:paraId="166CFADD" w14:textId="3865B82D" w:rsidR="00272A5B" w:rsidRPr="00272A5B" w:rsidRDefault="00272A5B" w:rsidP="00272A5B">
            <w:pPr>
              <w:pStyle w:val="Heading3"/>
              <w:shd w:val="clear" w:color="auto" w:fill="FFFFFF"/>
              <w:rPr>
                <w:rStyle w:val="SubtleEmphasis"/>
                <w:i/>
                <w:color w:val="000000" w:themeColor="text1"/>
              </w:rPr>
            </w:pPr>
            <w:r w:rsidRPr="00272A5B">
              <w:rPr>
                <w:rStyle w:val="SubtleEmphasis"/>
                <w:i/>
                <w:color w:val="000000" w:themeColor="text1"/>
              </w:rPr>
              <w:t>ISO 9000 – Quality Management</w:t>
            </w:r>
          </w:p>
        </w:tc>
        <w:tc>
          <w:tcPr>
            <w:tcW w:w="0" w:type="auto"/>
          </w:tcPr>
          <w:p w14:paraId="6DE0B897" w14:textId="698B13C3" w:rsidR="00272A5B" w:rsidRDefault="00272A5B" w:rsidP="00272A5B">
            <w:pPr>
              <w:rPr>
                <w:i/>
                <w:color w:val="000000" w:themeColor="text1"/>
                <w:lang w:val="en-GB"/>
              </w:rPr>
            </w:pPr>
            <w:r>
              <w:rPr>
                <w:i/>
                <w:color w:val="000000" w:themeColor="text1"/>
                <w:lang w:val="en-GB"/>
              </w:rPr>
              <w:t>Annex 5 Cl.8</w:t>
            </w:r>
          </w:p>
        </w:tc>
      </w:tr>
      <w:tr w:rsidR="00272A5B" w14:paraId="365D7F88" w14:textId="77777777" w:rsidTr="00E738F0">
        <w:tc>
          <w:tcPr>
            <w:tcW w:w="0" w:type="auto"/>
          </w:tcPr>
          <w:p w14:paraId="0AFDA5F0" w14:textId="2805A07B" w:rsidR="00272A5B" w:rsidRPr="0046666D" w:rsidRDefault="00272A5B" w:rsidP="00272A5B">
            <w:pPr>
              <w:pStyle w:val="Heading3"/>
              <w:shd w:val="clear" w:color="auto" w:fill="FFFFFF"/>
              <w:rPr>
                <w:rFonts w:eastAsia="Calibri"/>
              </w:rPr>
            </w:pPr>
            <w:r>
              <w:t xml:space="preserve">SAE J1979 - </w:t>
            </w:r>
            <w:r w:rsidRPr="00D5319C">
              <w:t>E/E Diagnostic Test Modes</w:t>
            </w:r>
          </w:p>
        </w:tc>
        <w:tc>
          <w:tcPr>
            <w:tcW w:w="0" w:type="auto"/>
          </w:tcPr>
          <w:p w14:paraId="3FD3AB40" w14:textId="7E8EC163" w:rsidR="00272A5B" w:rsidRDefault="00272A5B" w:rsidP="00272A5B">
            <w:pPr>
              <w:rPr>
                <w:i/>
                <w:color w:val="000000" w:themeColor="text1"/>
                <w:lang w:val="en-GB"/>
              </w:rPr>
            </w:pPr>
            <w:r>
              <w:rPr>
                <w:i/>
                <w:color w:val="000000" w:themeColor="text1"/>
                <w:lang w:val="en-GB"/>
              </w:rPr>
              <w:t>A</w:t>
            </w:r>
            <w:r>
              <w:rPr>
                <w:i/>
                <w:lang w:val="en-GB"/>
              </w:rPr>
              <w:t>nnex 4, Cl.3.4.5</w:t>
            </w:r>
          </w:p>
        </w:tc>
      </w:tr>
    </w:tbl>
    <w:p w14:paraId="5FF6D575" w14:textId="77777777" w:rsidR="0012197C" w:rsidRPr="00514C80" w:rsidRDefault="0012197C" w:rsidP="0012197C">
      <w:pPr>
        <w:pStyle w:val="HeadingLevel1"/>
        <w:keepNext/>
        <w:keepLines/>
        <w:tabs>
          <w:tab w:val="num" w:pos="2552"/>
        </w:tabs>
        <w:ind w:left="851"/>
      </w:pPr>
      <w:bookmarkStart w:id="41" w:name="_Toc164071173"/>
      <w:r w:rsidRPr="00514C80">
        <w:lastRenderedPageBreak/>
        <w:t>CONSULTATION</w:t>
      </w:r>
      <w:bookmarkEnd w:id="41"/>
    </w:p>
    <w:p w14:paraId="228B5B8E" w14:textId="77777777" w:rsidR="0012197C" w:rsidRPr="004934AF" w:rsidRDefault="0012197C" w:rsidP="0012197C">
      <w:pPr>
        <w:pStyle w:val="HeadingLevel2"/>
        <w:keepNext/>
        <w:keepLines/>
        <w:tabs>
          <w:tab w:val="num" w:pos="2835"/>
        </w:tabs>
        <w:ind w:left="851"/>
        <w:rPr>
          <w:b/>
        </w:rPr>
      </w:pPr>
      <w:bookmarkStart w:id="42" w:name="_Toc164071174"/>
      <w:r w:rsidRPr="004934AF">
        <w:rPr>
          <w:b/>
        </w:rPr>
        <w:t>General Consultation Arrangements</w:t>
      </w:r>
      <w:bookmarkEnd w:id="42"/>
    </w:p>
    <w:p w14:paraId="57441932" w14:textId="77777777" w:rsidR="0012197C" w:rsidRPr="00514C80" w:rsidRDefault="0012197C" w:rsidP="0012197C">
      <w:pPr>
        <w:keepNext/>
        <w:keepLines/>
      </w:pPr>
      <w:r w:rsidRPr="00514C80">
        <w:t>It has been longstanding practice to consult widely on proposed new or amended vehicle standards.  For many years, there has been active co</w:t>
      </w:r>
      <w:r>
        <w:t>operation</w:t>
      </w:r>
      <w:r w:rsidRPr="00514C80">
        <w:t xml:space="preserve">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69544E56" w14:textId="025110AC" w:rsidR="0092682D" w:rsidRDefault="0012197C" w:rsidP="0012197C">
      <w:pPr>
        <w:keepNext/>
        <w:keepLines/>
      </w:pPr>
      <w:r w:rsidRPr="00514C80">
        <w:t>Proposals that are regarded as significant need to be supported by a</w:t>
      </w:r>
      <w:r w:rsidR="0092682D">
        <w:t>n</w:t>
      </w:r>
      <w:r w:rsidRPr="00514C80">
        <w:t xml:space="preserve"> </w:t>
      </w:r>
      <w:r w:rsidR="0092682D">
        <w:t>Impact Analysis</w:t>
      </w:r>
      <w:r w:rsidRPr="00514C80">
        <w:t xml:space="preserve"> meeting the requirements of the Office of </w:t>
      </w:r>
      <w:r w:rsidR="0092682D">
        <w:t>Impact Analysis</w:t>
      </w:r>
      <w:r w:rsidRPr="00514C80">
        <w:t xml:space="preserve"> (O</w:t>
      </w:r>
      <w:r w:rsidR="0092682D">
        <w:t>IA</w:t>
      </w:r>
      <w:r w:rsidRPr="00514C80">
        <w:t xml:space="preserve">) as published in the </w:t>
      </w:r>
      <w:r w:rsidRPr="00514C80">
        <w:rPr>
          <w:i/>
          <w:iCs/>
        </w:rPr>
        <w:t xml:space="preserve">Australian Government Guide to </w:t>
      </w:r>
      <w:r w:rsidR="0092682D">
        <w:rPr>
          <w:i/>
          <w:iCs/>
        </w:rPr>
        <w:t>Policy</w:t>
      </w:r>
      <w:r w:rsidRPr="00514C80">
        <w:rPr>
          <w:i/>
          <w:iCs/>
        </w:rPr>
        <w:t xml:space="preserve"> Impact Analysis</w:t>
      </w:r>
      <w:r w:rsidR="0092682D" w:rsidRPr="0092682D">
        <w:t xml:space="preserve"> </w:t>
      </w:r>
      <w:r w:rsidR="0092682D" w:rsidRPr="00514C80">
        <w:t>where the decision maker is the Australian Government’s Cabinet, the Prime Minister, minister, statutory authority, board or other regulator</w:t>
      </w:r>
      <w:r w:rsidRPr="00514C80">
        <w:rPr>
          <w:i/>
        </w:rPr>
        <w:t>.</w:t>
      </w:r>
      <w:r w:rsidR="0092682D" w:rsidRPr="0092682D">
        <w:t xml:space="preserve"> </w:t>
      </w:r>
    </w:p>
    <w:p w14:paraId="6A877F5C" w14:textId="38411438" w:rsidR="0012197C" w:rsidRPr="00514C80" w:rsidRDefault="0092682D" w:rsidP="0012197C">
      <w:pPr>
        <w:keepNext/>
        <w:keepLines/>
      </w:pPr>
      <w:r w:rsidRPr="00514C80">
        <w:t>Th</w:t>
      </w:r>
      <w:r>
        <w:t xml:space="preserve">e Impact Analysis </w:t>
      </w:r>
      <w:r w:rsidR="00C92AB7">
        <w:t xml:space="preserve">evaluating the costs and benefits of </w:t>
      </w:r>
      <w:r>
        <w:t>th</w:t>
      </w:r>
      <w:r w:rsidR="00C92AB7">
        <w:t xml:space="preserve">e ADR package mandating Euro 6d equivalent standards and associated changes to fuel quality standards </w:t>
      </w:r>
      <w:r w:rsidRPr="00514C80">
        <w:t xml:space="preserve">conform to the requirements established by the </w:t>
      </w:r>
      <w:r>
        <w:t>OIA</w:t>
      </w:r>
      <w:r w:rsidR="00C92AB7">
        <w:t>.</w:t>
      </w:r>
      <w:r w:rsidR="00C92AB7" w:rsidRPr="00C92AB7">
        <w:t xml:space="preserve"> </w:t>
      </w:r>
      <w:r w:rsidR="00C92AB7" w:rsidRPr="00514C80">
        <w:t>The reference number for th</w:t>
      </w:r>
      <w:r w:rsidR="00C92AB7">
        <w:t>is Impact Analysis is OBPR22-02515.</w:t>
      </w:r>
    </w:p>
    <w:p w14:paraId="6B2DD159" w14:textId="77777777" w:rsidR="0012197C" w:rsidRPr="004934AF" w:rsidRDefault="0012197C" w:rsidP="0012197C">
      <w:pPr>
        <w:pStyle w:val="HeadingLevel2"/>
        <w:keepNext/>
        <w:ind w:left="851"/>
        <w:rPr>
          <w:b/>
        </w:rPr>
      </w:pPr>
      <w:bookmarkStart w:id="43" w:name="_Toc164071175"/>
      <w:r w:rsidRPr="004934AF">
        <w:rPr>
          <w:b/>
        </w:rPr>
        <w:t>Specific Consultation Arrangements</w:t>
      </w:r>
      <w:bookmarkEnd w:id="43"/>
    </w:p>
    <w:p w14:paraId="57C536DF" w14:textId="5876D8BB" w:rsidR="0012197C" w:rsidRPr="00514C80" w:rsidRDefault="0012197C" w:rsidP="0012197C">
      <w:r w:rsidRPr="00514C80">
        <w:t xml:space="preserve">A </w:t>
      </w:r>
      <w:r w:rsidR="0092682D">
        <w:t>draft Impact Analysis</w:t>
      </w:r>
      <w:r w:rsidRPr="00514C80">
        <w:t xml:space="preserve"> </w:t>
      </w:r>
      <w:r>
        <w:t>‘</w:t>
      </w:r>
      <w:r w:rsidR="0092682D">
        <w:t>Light</w:t>
      </w:r>
      <w:r>
        <w:t xml:space="preserve"> Vehicle Emission Standards for Cleaner Air’</w:t>
      </w:r>
      <w:r w:rsidRPr="00514C80">
        <w:t xml:space="preserve"> was posted on the Department’s website for public comment</w:t>
      </w:r>
      <w:r>
        <w:t xml:space="preserve"> from 20 October 2020 to</w:t>
      </w:r>
      <w:r w:rsidRPr="00514C80">
        <w:t xml:space="preserve"> </w:t>
      </w:r>
      <w:r>
        <w:br/>
        <w:t>26</w:t>
      </w:r>
      <w:r w:rsidRPr="00514C80">
        <w:t xml:space="preserve"> </w:t>
      </w:r>
      <w:r>
        <w:t>February 2021</w:t>
      </w:r>
      <w:r w:rsidRPr="00514C80">
        <w:t>.</w:t>
      </w:r>
      <w:r w:rsidR="006D71EA">
        <w:t xml:space="preserve"> </w:t>
      </w:r>
    </w:p>
    <w:p w14:paraId="43D6E673" w14:textId="5B2FEB3C" w:rsidR="0012197C" w:rsidRPr="00514C80" w:rsidRDefault="0012197C" w:rsidP="0012197C">
      <w:pPr>
        <w:keepNext/>
        <w:keepLines/>
      </w:pPr>
      <w:r w:rsidRPr="00514C80">
        <w:t>Formal feedback was received from members of the public, government agencies, industry</w:t>
      </w:r>
      <w:r>
        <w:t xml:space="preserve"> bodies, health and environmental</w:t>
      </w:r>
      <w:r w:rsidRPr="00514C80">
        <w:t xml:space="preserve"> organisations. A majority of the feedback</w:t>
      </w:r>
      <w:r w:rsidR="0092682D">
        <w:t xml:space="preserve"> received</w:t>
      </w:r>
      <w:r w:rsidRPr="00514C80">
        <w:t xml:space="preserve"> strongly </w:t>
      </w:r>
      <w:r>
        <w:t xml:space="preserve">or conditionally supported </w:t>
      </w:r>
      <w:r w:rsidRPr="00514C80">
        <w:t>the implementation of new ADR</w:t>
      </w:r>
      <w:r w:rsidR="0092682D">
        <w:t>s</w:t>
      </w:r>
      <w:r w:rsidRPr="00514C80">
        <w:t xml:space="preserve"> mandating </w:t>
      </w:r>
      <w:r>
        <w:t xml:space="preserve">Euro </w:t>
      </w:r>
      <w:r w:rsidR="0092682D">
        <w:t>6</w:t>
      </w:r>
      <w:r>
        <w:t xml:space="preserve"> for </w:t>
      </w:r>
      <w:r w:rsidR="0092682D">
        <w:t>light</w:t>
      </w:r>
      <w:r>
        <w:t xml:space="preserve"> vehicles from the mid-2020s.</w:t>
      </w:r>
    </w:p>
    <w:p w14:paraId="384FFACF" w14:textId="294F59A8" w:rsidR="00C42EE3" w:rsidRDefault="00C42EE3" w:rsidP="00C42EE3">
      <w:pPr>
        <w:keepLines/>
      </w:pPr>
      <w:bookmarkStart w:id="44" w:name="_Toc77253510"/>
      <w:bookmarkStart w:id="45" w:name="_Toc77253561"/>
      <w:bookmarkStart w:id="46" w:name="_Toc77263181"/>
      <w:bookmarkStart w:id="47" w:name="_Toc77264491"/>
      <w:bookmarkStart w:id="48" w:name="_Toc77253511"/>
      <w:bookmarkStart w:id="49" w:name="_Toc77253562"/>
      <w:bookmarkStart w:id="50" w:name="_Toc77263182"/>
      <w:bookmarkStart w:id="51" w:name="_Toc77264492"/>
      <w:bookmarkStart w:id="52" w:name="_Toc77253512"/>
      <w:bookmarkStart w:id="53" w:name="_Toc77253563"/>
      <w:bookmarkStart w:id="54" w:name="_Toc77263183"/>
      <w:bookmarkStart w:id="55" w:name="_Toc77264493"/>
      <w:bookmarkStart w:id="56" w:name="_Toc77253513"/>
      <w:bookmarkStart w:id="57" w:name="_Toc77253564"/>
      <w:bookmarkStart w:id="58" w:name="_Toc77263184"/>
      <w:bookmarkStart w:id="59" w:name="_Toc77264494"/>
      <w:bookmarkStart w:id="60" w:name="_Toc74044077"/>
      <w:bookmarkStart w:id="61" w:name="_Toc74044726"/>
      <w:bookmarkStart w:id="62" w:name="_Toc46333225"/>
      <w:bookmarkStart w:id="63" w:name="_Toc46333479"/>
      <w:bookmarkStart w:id="64" w:name="_Toc46333633"/>
      <w:bookmarkStart w:id="65" w:name="_Toc46333798"/>
      <w:bookmarkStart w:id="66" w:name="_Toc46333912"/>
      <w:bookmarkStart w:id="67" w:name="_Toc4633464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 xml:space="preserve">The Department also consulted members of its Vehicle Standards Consultative Forum in on an exposure draft of ADR 112/00 </w:t>
      </w:r>
      <w:r w:rsidR="00A612F7">
        <w:t xml:space="preserve">in </w:t>
      </w:r>
      <w:r>
        <w:t>January 2024. This forum comprises representatives of government (Australian and state/territory), the manufacturing and operational arms of the industry (including organisations such as the Federal Chamber of Automotive Industries and the Australian Trucking Association) and organisations representing consumers and road users (such as the Australian Automobile Association).</w:t>
      </w:r>
    </w:p>
    <w:p w14:paraId="7BFDF858" w14:textId="3C3E94CB" w:rsidR="00EE68A7" w:rsidRPr="00514C80" w:rsidRDefault="00EE68A7" w:rsidP="00265237">
      <w:pPr>
        <w:pStyle w:val="HeadingLevel1"/>
        <w:keepNext/>
        <w:tabs>
          <w:tab w:val="left" w:pos="2552"/>
        </w:tabs>
        <w:ind w:left="851"/>
      </w:pPr>
      <w:bookmarkStart w:id="68" w:name="_Toc164071176"/>
      <w:r w:rsidRPr="00514C80">
        <w:lastRenderedPageBreak/>
        <w:t>Regulatory Impact</w:t>
      </w:r>
      <w:bookmarkEnd w:id="60"/>
      <w:bookmarkEnd w:id="61"/>
      <w:bookmarkEnd w:id="68"/>
    </w:p>
    <w:p w14:paraId="366DB1CE" w14:textId="642F4F95" w:rsidR="00EE68A7" w:rsidRPr="00514C80" w:rsidRDefault="004A4440" w:rsidP="00BE5D75">
      <w:pPr>
        <w:keepNext/>
        <w:keepLines/>
      </w:pPr>
      <w:bookmarkStart w:id="69" w:name="_Toc167864616"/>
      <w:bookmarkStart w:id="70" w:name="_Toc505092264"/>
      <w:bookmarkStart w:id="71" w:name="_Toc46333222"/>
      <w:bookmarkStart w:id="72" w:name="_Toc46333476"/>
      <w:bookmarkStart w:id="73" w:name="_Toc46333630"/>
      <w:bookmarkStart w:id="74" w:name="_Toc46333795"/>
      <w:bookmarkStart w:id="75" w:name="_Toc46333909"/>
      <w:bookmarkStart w:id="76" w:name="_Toc46334645"/>
      <w:bookmarkStart w:id="77" w:name="_Toc74044078"/>
      <w:bookmarkStart w:id="78" w:name="_Toc74044727"/>
      <w:r w:rsidRPr="00514C80">
        <w:t xml:space="preserve">There are costs associated with mandating </w:t>
      </w:r>
      <w:r w:rsidR="0011211D">
        <w:t>Euro</w:t>
      </w:r>
      <w:r w:rsidR="006D71EA">
        <w:t xml:space="preserve"> 6 </w:t>
      </w:r>
      <w:r w:rsidR="00C92AB7">
        <w:t>equivalent</w:t>
      </w:r>
      <w:r w:rsidR="000F620B">
        <w:t xml:space="preserve"> noxious emission standards </w:t>
      </w:r>
      <w:r w:rsidRPr="00514C80">
        <w:t xml:space="preserve">for </w:t>
      </w:r>
      <w:r w:rsidR="00C92AB7">
        <w:t>light</w:t>
      </w:r>
      <w:r w:rsidRPr="00514C80">
        <w:t xml:space="preserve"> vehicles, but the related </w:t>
      </w:r>
      <w:r w:rsidR="00C92AB7">
        <w:t>Impact Analysis</w:t>
      </w:r>
      <w:r w:rsidRPr="00514C80">
        <w:t xml:space="preserve"> shows that there </w:t>
      </w:r>
      <w:r w:rsidR="000F620B">
        <w:t xml:space="preserve">will be positive net benefits. </w:t>
      </w:r>
      <w:r w:rsidRPr="00514C80">
        <w:t xml:space="preserve">Overall, </w:t>
      </w:r>
      <w:r w:rsidR="00913CB4" w:rsidRPr="00514C80">
        <w:t xml:space="preserve">it is estimated that </w:t>
      </w:r>
      <w:r w:rsidR="0095780C" w:rsidRPr="00514C80">
        <w:t xml:space="preserve">the implementation of </w:t>
      </w:r>
      <w:r w:rsidR="00305000">
        <w:t xml:space="preserve">ADR 112/00, </w:t>
      </w:r>
      <w:r w:rsidR="00C92AB7">
        <w:t xml:space="preserve">in conjunction with </w:t>
      </w:r>
      <w:r w:rsidR="00305000" w:rsidRPr="00514C80">
        <w:t xml:space="preserve">ADR </w:t>
      </w:r>
      <w:r w:rsidR="00305000">
        <w:t xml:space="preserve">111/00 </w:t>
      </w:r>
      <w:r w:rsidR="00305000" w:rsidRPr="00305000">
        <w:t>(</w:t>
      </w:r>
      <w:r w:rsidR="00305000">
        <w:t xml:space="preserve">Advanced </w:t>
      </w:r>
      <w:r w:rsidR="00305000" w:rsidRPr="00305000">
        <w:t xml:space="preserve">Emission Control for Light Vehicles) </w:t>
      </w:r>
      <w:r w:rsidR="00C92AB7">
        <w:t xml:space="preserve">and ADR 79/05 </w:t>
      </w:r>
      <w:bookmarkStart w:id="79" w:name="_Hlk141196660"/>
      <w:r w:rsidR="00C92AB7">
        <w:t xml:space="preserve">(Emission Control for Light Vehicles) </w:t>
      </w:r>
      <w:bookmarkEnd w:id="79"/>
      <w:r w:rsidR="00C92AB7">
        <w:t xml:space="preserve">and associated amendments to the Fuel Quality Standards (Petrol) Determination </w:t>
      </w:r>
      <w:r w:rsidR="00D706D8">
        <w:t xml:space="preserve">from 2025 </w:t>
      </w:r>
      <w:r w:rsidR="009245E3" w:rsidRPr="00514C80">
        <w:t>will</w:t>
      </w:r>
      <w:r w:rsidR="0095780C" w:rsidRPr="00514C80">
        <w:t xml:space="preserve"> </w:t>
      </w:r>
      <w:r w:rsidR="0011211D" w:rsidRPr="0011211D">
        <w:t>result in a net benefit of $</w:t>
      </w:r>
      <w:r w:rsidR="00C92AB7">
        <w:t>4,508</w:t>
      </w:r>
      <w:r w:rsidR="0011211D" w:rsidRPr="0011211D">
        <w:t xml:space="preserve"> million by 20</w:t>
      </w:r>
      <w:r w:rsidR="00C92AB7">
        <w:t>4</w:t>
      </w:r>
      <w:r w:rsidR="0011211D" w:rsidRPr="0011211D">
        <w:t>0 and a benefit-cost ratio of 3</w:t>
      </w:r>
      <w:r w:rsidR="00C92AB7">
        <w:t>.44</w:t>
      </w:r>
      <w:r w:rsidR="0011211D" w:rsidRPr="0011211D">
        <w:t>. The estimated health benefits</w:t>
      </w:r>
      <w:r w:rsidR="00A612F7">
        <w:t xml:space="preserve"> and</w:t>
      </w:r>
      <w:r w:rsidR="0011211D" w:rsidRPr="0011211D">
        <w:t xml:space="preserve"> fuel savings from this </w:t>
      </w:r>
      <w:r w:rsidR="00C92AB7">
        <w:t>package</w:t>
      </w:r>
      <w:r w:rsidR="0011211D" w:rsidRPr="0011211D">
        <w:t xml:space="preserve"> (</w:t>
      </w:r>
      <w:r w:rsidR="00D706D8">
        <w:t>$6,338</w:t>
      </w:r>
      <w:r w:rsidR="0011211D" w:rsidRPr="0011211D">
        <w:t xml:space="preserve"> million by 20</w:t>
      </w:r>
      <w:r w:rsidR="00D706D8">
        <w:t>4</w:t>
      </w:r>
      <w:r w:rsidR="0011211D" w:rsidRPr="0011211D">
        <w:t xml:space="preserve">0) were found to outweigh any expected increases in capital costs for </w:t>
      </w:r>
      <w:r w:rsidR="00D706D8">
        <w:t>light</w:t>
      </w:r>
      <w:r w:rsidR="0011211D" w:rsidRPr="0011211D">
        <w:t xml:space="preserve"> vehicle manufacturers ($1,48</w:t>
      </w:r>
      <w:r w:rsidR="00C92AB7">
        <w:t>4</w:t>
      </w:r>
      <w:r w:rsidR="0011211D" w:rsidRPr="0011211D">
        <w:t xml:space="preserve"> million over the same period)</w:t>
      </w:r>
      <w:bookmarkEnd w:id="69"/>
      <w:bookmarkEnd w:id="70"/>
      <w:bookmarkEnd w:id="71"/>
      <w:bookmarkEnd w:id="72"/>
      <w:bookmarkEnd w:id="73"/>
      <w:bookmarkEnd w:id="74"/>
      <w:bookmarkEnd w:id="75"/>
      <w:bookmarkEnd w:id="76"/>
      <w:bookmarkEnd w:id="77"/>
      <w:bookmarkEnd w:id="78"/>
      <w:r w:rsidR="00C92AB7">
        <w:t xml:space="preserve"> and </w:t>
      </w:r>
      <w:r w:rsidR="00D706D8">
        <w:t xml:space="preserve">associated </w:t>
      </w:r>
      <w:r w:rsidR="00C92AB7">
        <w:t xml:space="preserve">capital and operating costs for refineries </w:t>
      </w:r>
      <w:r w:rsidR="00D706D8">
        <w:t>and importers to supply a Euro 6 compatible grade of petrol ($334.7 million by 2040)</w:t>
      </w:r>
      <w:r w:rsidR="00C92AB7">
        <w:t>.</w:t>
      </w:r>
    </w:p>
    <w:p w14:paraId="4AC01C4F" w14:textId="77777777" w:rsidR="00EE68A7" w:rsidRPr="00514C80" w:rsidRDefault="00EE68A7" w:rsidP="00BE5D75">
      <w:pPr>
        <w:pStyle w:val="HeadingLevel1"/>
        <w:keepNext/>
        <w:tabs>
          <w:tab w:val="left" w:pos="2552"/>
        </w:tabs>
        <w:ind w:left="851"/>
      </w:pPr>
      <w:bookmarkStart w:id="80" w:name="_Toc77253515"/>
      <w:bookmarkStart w:id="81" w:name="_Toc77253566"/>
      <w:bookmarkStart w:id="82" w:name="_Toc77263186"/>
      <w:bookmarkStart w:id="83" w:name="_Toc77264496"/>
      <w:bookmarkStart w:id="84" w:name="_Toc74044080"/>
      <w:bookmarkStart w:id="85" w:name="_Toc74044729"/>
      <w:bookmarkStart w:id="86" w:name="_Toc164071177"/>
      <w:bookmarkEnd w:id="80"/>
      <w:bookmarkEnd w:id="81"/>
      <w:bookmarkEnd w:id="82"/>
      <w:bookmarkEnd w:id="83"/>
      <w:r w:rsidRPr="00514C80">
        <w:t>STATEMENT OF COMPATIBILITY WITH HUMAN RIGHTS</w:t>
      </w:r>
      <w:bookmarkEnd w:id="62"/>
      <w:bookmarkEnd w:id="63"/>
      <w:bookmarkEnd w:id="64"/>
      <w:bookmarkEnd w:id="65"/>
      <w:bookmarkEnd w:id="66"/>
      <w:bookmarkEnd w:id="67"/>
      <w:bookmarkEnd w:id="84"/>
      <w:bookmarkEnd w:id="85"/>
      <w:bookmarkEnd w:id="86"/>
    </w:p>
    <w:p w14:paraId="470AF138" w14:textId="77777777" w:rsidR="00EE68A7" w:rsidRPr="00514C80" w:rsidRDefault="00EE68A7" w:rsidP="00BE5D75">
      <w:pPr>
        <w:keepNext/>
      </w:pPr>
      <w:r w:rsidRPr="00514C80">
        <w:t xml:space="preserve">The following Statement is prepared in accordance with Part 3 of the </w:t>
      </w:r>
      <w:r w:rsidRPr="00514C80">
        <w:rPr>
          <w:i/>
          <w:iCs/>
        </w:rPr>
        <w:t>Human Rights (Parliamentary Scrutiny) Act 2011.</w:t>
      </w:r>
    </w:p>
    <w:p w14:paraId="6D78E9B8" w14:textId="24B04AEC" w:rsidR="00CD66E4" w:rsidRPr="0070455C" w:rsidRDefault="00CD66E4" w:rsidP="00CD66E4">
      <w:pPr>
        <w:pStyle w:val="HeadingLevel2"/>
        <w:keepNext/>
        <w:tabs>
          <w:tab w:val="clear" w:pos="5388"/>
          <w:tab w:val="num" w:pos="567"/>
          <w:tab w:val="num" w:pos="4537"/>
        </w:tabs>
        <w:ind w:left="851"/>
        <w:rPr>
          <w:b/>
        </w:rPr>
      </w:pPr>
      <w:bookmarkStart w:id="87" w:name="_Toc318271646"/>
      <w:bookmarkStart w:id="88" w:name="_Toc317171518"/>
      <w:bookmarkStart w:id="89" w:name="_Toc317171392"/>
      <w:bookmarkStart w:id="90" w:name="_Toc318272905"/>
      <w:bookmarkStart w:id="91" w:name="_Toc319402530"/>
      <w:bookmarkStart w:id="92" w:name="_Toc505092268"/>
      <w:bookmarkStart w:id="93" w:name="_Toc46333226"/>
      <w:bookmarkStart w:id="94" w:name="_Toc46333480"/>
      <w:bookmarkStart w:id="95" w:name="_Toc46333634"/>
      <w:bookmarkStart w:id="96" w:name="_Toc46333799"/>
      <w:bookmarkStart w:id="97" w:name="_Toc46333913"/>
      <w:bookmarkStart w:id="98" w:name="_Toc46334649"/>
      <w:bookmarkStart w:id="99" w:name="_Toc74044081"/>
      <w:bookmarkStart w:id="100" w:name="_Toc74044730"/>
      <w:bookmarkStart w:id="101" w:name="_Toc151129814"/>
      <w:bookmarkStart w:id="102" w:name="_Toc164071178"/>
      <w:r w:rsidRPr="0070455C">
        <w:rPr>
          <w:b/>
        </w:rPr>
        <w:t>Overview</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2AB19A0" w14:textId="0A7BD7F7" w:rsidR="00CD66E4" w:rsidRPr="00514C80" w:rsidRDefault="00CD66E4" w:rsidP="00CD66E4">
      <w:pPr>
        <w:keepNext/>
      </w:pPr>
      <w:r w:rsidRPr="00514C80">
        <w:t xml:space="preserve">ADR </w:t>
      </w:r>
      <w:r>
        <w:t>112/00</w:t>
      </w:r>
      <w:r w:rsidRPr="00514C80">
        <w:t xml:space="preserve"> specifies </w:t>
      </w:r>
      <w:r>
        <w:t xml:space="preserve">minimum performance-based </w:t>
      </w:r>
      <w:r w:rsidRPr="00514C80">
        <w:t>requirements for</w:t>
      </w:r>
      <w:r>
        <w:t xml:space="preserve"> exhaust emissions produced by light vehicles in real world driving conditions to reduce air pollution and associated health impacts borne by the community</w:t>
      </w:r>
      <w:r w:rsidRPr="00514C80">
        <w:t>.</w:t>
      </w:r>
    </w:p>
    <w:p w14:paraId="0902EA9E" w14:textId="7B3E9DF5" w:rsidR="00CD66E4" w:rsidRPr="0070455C" w:rsidRDefault="00CD66E4" w:rsidP="00CD66E4">
      <w:pPr>
        <w:pStyle w:val="HeadingLevel2"/>
        <w:keepNext/>
        <w:tabs>
          <w:tab w:val="clear" w:pos="5388"/>
          <w:tab w:val="num" w:pos="567"/>
          <w:tab w:val="num" w:pos="4537"/>
        </w:tabs>
        <w:ind w:left="851"/>
        <w:rPr>
          <w:b/>
        </w:rPr>
      </w:pPr>
      <w:bookmarkStart w:id="103" w:name="_Toc318271647"/>
      <w:bookmarkStart w:id="104" w:name="_Toc317171519"/>
      <w:bookmarkStart w:id="105" w:name="_Toc317171393"/>
      <w:bookmarkStart w:id="106" w:name="_Toc318272906"/>
      <w:bookmarkStart w:id="107" w:name="_Toc319402531"/>
      <w:bookmarkStart w:id="108" w:name="_Toc505092269"/>
      <w:bookmarkStart w:id="109" w:name="_Toc46333227"/>
      <w:bookmarkStart w:id="110" w:name="_Toc46333481"/>
      <w:bookmarkStart w:id="111" w:name="_Toc46333635"/>
      <w:bookmarkStart w:id="112" w:name="_Toc46333800"/>
      <w:bookmarkStart w:id="113" w:name="_Toc46333914"/>
      <w:bookmarkStart w:id="114" w:name="_Toc46334650"/>
      <w:bookmarkStart w:id="115" w:name="_Toc74044082"/>
      <w:bookmarkStart w:id="116" w:name="_Toc74044731"/>
      <w:bookmarkStart w:id="117" w:name="_Toc151129815"/>
      <w:bookmarkStart w:id="118" w:name="_Toc164071179"/>
      <w:r w:rsidRPr="0070455C">
        <w:rPr>
          <w:b/>
        </w:rPr>
        <w:t>Human Rights Implications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FEF5A8E" w14:textId="39744AD8" w:rsidR="00CD66E4" w:rsidRDefault="00CD66E4" w:rsidP="00CD66E4">
      <w:pPr>
        <w:keepNext/>
      </w:pPr>
      <w:r w:rsidRPr="00514C80">
        <w:t xml:space="preserve">ADR </w:t>
      </w:r>
      <w:r>
        <w:t xml:space="preserve">112/00 </w:t>
      </w:r>
      <w:r w:rsidRPr="00514C80">
        <w:t>engage</w:t>
      </w:r>
      <w:r>
        <w:t>s</w:t>
      </w:r>
      <w:r w:rsidRPr="00514C80">
        <w:t xml:space="preserve"> </w:t>
      </w:r>
      <w:r>
        <w:t xml:space="preserve">the following </w:t>
      </w:r>
      <w:r w:rsidRPr="00514C80">
        <w:t xml:space="preserve">human rights and freedoms recognised or declared in the international instruments listed in section 3 of the </w:t>
      </w:r>
      <w:r w:rsidRPr="00514C80">
        <w:rPr>
          <w:i/>
          <w:iCs/>
        </w:rPr>
        <w:t>Human Rights (Parliamentary Scrutiny) Act 2011</w:t>
      </w:r>
      <w:r w:rsidRPr="00514C80">
        <w:t>.</w:t>
      </w:r>
    </w:p>
    <w:p w14:paraId="2C71EB67" w14:textId="77777777" w:rsidR="00CD66E4" w:rsidRPr="00867940" w:rsidRDefault="00CD66E4" w:rsidP="00CD66E4">
      <w:pPr>
        <w:rPr>
          <w:u w:val="single"/>
        </w:rPr>
      </w:pPr>
      <w:r w:rsidRPr="00867940">
        <w:rPr>
          <w:u w:val="single"/>
        </w:rPr>
        <w:t xml:space="preserve">Right to life and right to health </w:t>
      </w:r>
    </w:p>
    <w:p w14:paraId="2960A4E3" w14:textId="77777777" w:rsidR="00CD66E4" w:rsidRPr="00867940" w:rsidRDefault="00CD66E4" w:rsidP="00CD66E4">
      <w:r w:rsidRPr="00867940">
        <w:t>Article 6(1) of the International Covenant on Civil and Political Rights (ICCPR) includes a duty on governments to take appropriate steps to protect the right to life of those within its jurisdiction. The United Nations Committee General Comment 6 (1982) states: ‘…the Committee has noted that the right to life has been too often narrowly interpreted. The expression "inherent right to life" cannot properly be understood in a restrictive manner, and the protection of this right requires that States adopt positive measures.’</w:t>
      </w:r>
    </w:p>
    <w:p w14:paraId="7BA26377" w14:textId="77777777" w:rsidR="00CD66E4" w:rsidRPr="00867940" w:rsidRDefault="00CD66E4" w:rsidP="00CD66E4">
      <w:r w:rsidRPr="00867940">
        <w:t>Article 12 (1) of the International Covenant on Economic Social and Cultural Rights (ICESCR) contains the right to health – that is, the right to the enjoyment of the highest attainable standard of physical and human health. The ICESCR has stated that the right to health extends to the underlying determinants of health such as a healthy environment.</w:t>
      </w:r>
    </w:p>
    <w:p w14:paraId="63C9DE20" w14:textId="0083DB2E" w:rsidR="00A612F7" w:rsidRDefault="00A612F7" w:rsidP="00A612F7">
      <w:bookmarkStart w:id="119" w:name="_Hlk155354165"/>
      <w:r w:rsidRPr="00FC2D89">
        <w:t>A key objective of ADR</w:t>
      </w:r>
      <w:r>
        <w:t xml:space="preserve"> 112/00</w:t>
      </w:r>
      <w:r w:rsidRPr="00FC2D89">
        <w:t xml:space="preserve"> is to promote the right to life and the right to health (and a healthy environment) by ensuring that road vehicles imported into Australia, or introduced for use in transport in Australia for the first time are fitted with technologies that minimise noxious emissions that can impact on the quality of the air we breathe increase the risk of heart and lung diseases and cancers. </w:t>
      </w:r>
      <w:r>
        <w:t>ADR 112/00</w:t>
      </w:r>
      <w:r w:rsidRPr="00FC2D89">
        <w:t xml:space="preserve"> </w:t>
      </w:r>
      <w:bookmarkStart w:id="120" w:name="_Hlk158728742"/>
      <w:r>
        <w:t xml:space="preserve">is </w:t>
      </w:r>
      <w:r>
        <w:lastRenderedPageBreak/>
        <w:t>intended to achieve this objective</w:t>
      </w:r>
      <w:r w:rsidRPr="00FC2D89">
        <w:t xml:space="preserve"> by setting </w:t>
      </w:r>
      <w:r>
        <w:t xml:space="preserve">stricter </w:t>
      </w:r>
      <w:r w:rsidRPr="00FC2D89">
        <w:t xml:space="preserve">limits on noxious </w:t>
      </w:r>
      <w:r>
        <w:t xml:space="preserve">exhaust </w:t>
      </w:r>
      <w:r w:rsidRPr="00FC2D89">
        <w:t>emission</w:t>
      </w:r>
      <w:r>
        <w:t>s</w:t>
      </w:r>
      <w:r w:rsidRPr="00FC2D89">
        <w:t xml:space="preserve"> </w:t>
      </w:r>
      <w:r>
        <w:t xml:space="preserve">and stricter test procedures </w:t>
      </w:r>
      <w:bookmarkEnd w:id="120"/>
      <w:r>
        <w:t>for</w:t>
      </w:r>
      <w:r w:rsidRPr="00692C1F">
        <w:t xml:space="preserve"> </w:t>
      </w:r>
      <w:r>
        <w:t xml:space="preserve">new </w:t>
      </w:r>
      <w:r w:rsidRPr="00FC2D89">
        <w:t xml:space="preserve">road vehicles supplied </w:t>
      </w:r>
      <w:r>
        <w:t xml:space="preserve">to </w:t>
      </w:r>
      <w:r w:rsidRPr="00FC2D89">
        <w:t>Australia</w:t>
      </w:r>
    </w:p>
    <w:p w14:paraId="5A7FFBC3" w14:textId="77777777" w:rsidR="00CD66E4" w:rsidRPr="0070455C" w:rsidRDefault="00CD66E4" w:rsidP="00CD66E4">
      <w:pPr>
        <w:pStyle w:val="HeadingLevel2"/>
        <w:keepNext/>
        <w:numPr>
          <w:ilvl w:val="0"/>
          <w:numId w:val="0"/>
        </w:numPr>
        <w:tabs>
          <w:tab w:val="num" w:pos="567"/>
        </w:tabs>
        <w:rPr>
          <w:b/>
        </w:rPr>
      </w:pPr>
      <w:bookmarkStart w:id="121" w:name="_Toc319402532"/>
      <w:bookmarkStart w:id="122" w:name="_Toc505092270"/>
      <w:bookmarkStart w:id="123" w:name="_Toc46333228"/>
      <w:bookmarkStart w:id="124" w:name="_Toc46333482"/>
      <w:bookmarkStart w:id="125" w:name="_Toc46333636"/>
      <w:bookmarkStart w:id="126" w:name="_Toc46333801"/>
      <w:bookmarkStart w:id="127" w:name="_Toc46333915"/>
      <w:bookmarkStart w:id="128" w:name="_Toc46334651"/>
      <w:bookmarkStart w:id="129" w:name="_Toc74044083"/>
      <w:bookmarkStart w:id="130" w:name="_Toc74044732"/>
      <w:bookmarkStart w:id="131" w:name="_Toc151133232"/>
      <w:bookmarkStart w:id="132" w:name="_Toc164071180"/>
      <w:bookmarkEnd w:id="119"/>
      <w:r w:rsidRPr="0070455C">
        <w:rPr>
          <w:b/>
        </w:rPr>
        <w:t>6.3</w:t>
      </w:r>
      <w:r w:rsidRPr="0070455C">
        <w:rPr>
          <w:b/>
        </w:rPr>
        <w:tab/>
        <w:t>Conclusion</w:t>
      </w:r>
      <w:bookmarkEnd w:id="121"/>
      <w:bookmarkEnd w:id="122"/>
      <w:bookmarkEnd w:id="123"/>
      <w:bookmarkEnd w:id="124"/>
      <w:bookmarkEnd w:id="125"/>
      <w:bookmarkEnd w:id="126"/>
      <w:bookmarkEnd w:id="127"/>
      <w:bookmarkEnd w:id="128"/>
      <w:bookmarkEnd w:id="129"/>
      <w:bookmarkEnd w:id="130"/>
      <w:bookmarkEnd w:id="131"/>
      <w:bookmarkEnd w:id="132"/>
    </w:p>
    <w:p w14:paraId="573BC1CC" w14:textId="3CB1796C" w:rsidR="00EE68A7" w:rsidRPr="00EE68A7" w:rsidRDefault="00CD66E4" w:rsidP="00CD66E4">
      <w:pPr>
        <w:keepNext/>
      </w:pPr>
      <w:r w:rsidRPr="00514C80">
        <w:t xml:space="preserve">ADR </w:t>
      </w:r>
      <w:r>
        <w:t>112/00</w:t>
      </w:r>
      <w:r w:rsidRPr="00514C80">
        <w:t xml:space="preserve"> </w:t>
      </w:r>
      <w:r>
        <w:t xml:space="preserve">is </w:t>
      </w:r>
      <w:r w:rsidRPr="00867940">
        <w:t>compatible with human rights because it promotes the protection of human rights and to the extent that it may limit human rights, those limitations are reasonable, necessary and proportionate.</w:t>
      </w:r>
    </w:p>
    <w:sectPr w:rsidR="00EE68A7" w:rsidRPr="00EE68A7" w:rsidSect="001F5393">
      <w:headerReference w:type="even" r:id="rId15"/>
      <w:headerReference w:type="default" r:id="rId16"/>
      <w:headerReference w:type="first" r:id="rId17"/>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421F" w14:textId="77777777" w:rsidR="0088769D" w:rsidRDefault="0088769D" w:rsidP="00D82CC0">
      <w:r>
        <w:separator/>
      </w:r>
    </w:p>
  </w:endnote>
  <w:endnote w:type="continuationSeparator" w:id="0">
    <w:p w14:paraId="57B67422" w14:textId="77777777" w:rsidR="0088769D" w:rsidRDefault="0088769D" w:rsidP="00D82CC0">
      <w:r>
        <w:continuationSeparator/>
      </w:r>
    </w:p>
  </w:endnote>
  <w:endnote w:type="continuationNotice" w:id="1">
    <w:p w14:paraId="3C247C89" w14:textId="77777777" w:rsidR="0088769D" w:rsidRDefault="008876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Bold">
    <w:altName w:val="Calibri"/>
    <w:panose1 w:val="00000000000000000000"/>
    <w:charset w:val="4D"/>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70956" w14:textId="77777777" w:rsidR="0088769D" w:rsidRDefault="0088769D" w:rsidP="00D82CC0">
      <w:r>
        <w:separator/>
      </w:r>
    </w:p>
  </w:footnote>
  <w:footnote w:type="continuationSeparator" w:id="0">
    <w:p w14:paraId="046E0FAE" w14:textId="77777777" w:rsidR="0088769D" w:rsidRDefault="0088769D" w:rsidP="00D82CC0">
      <w:r>
        <w:continuationSeparator/>
      </w:r>
    </w:p>
  </w:footnote>
  <w:footnote w:type="continuationNotice" w:id="1">
    <w:p w14:paraId="267422BB" w14:textId="77777777" w:rsidR="0088769D" w:rsidRDefault="0088769D">
      <w:pPr>
        <w:spacing w:before="0" w:after="0"/>
      </w:pPr>
    </w:p>
  </w:footnote>
  <w:footnote w:id="2">
    <w:p w14:paraId="06C5136B" w14:textId="7F7CCEEB" w:rsidR="00DD1258" w:rsidRPr="000616F2" w:rsidRDefault="00DD1258" w:rsidP="00DD1258">
      <w:pPr>
        <w:pStyle w:val="FootnoteText"/>
        <w:rPr>
          <w:lang w:val="en-US"/>
        </w:rPr>
      </w:pPr>
      <w:r>
        <w:rPr>
          <w:rStyle w:val="FootnoteReference"/>
        </w:rPr>
        <w:footnoteRef/>
      </w:r>
      <w:r>
        <w:t xml:space="preserve"> </w:t>
      </w:r>
      <w:r w:rsidR="00265237" w:rsidRPr="00AD1176">
        <w:t>U</w:t>
      </w:r>
      <w:r w:rsidR="00265237">
        <w:t xml:space="preserve">nited </w:t>
      </w:r>
      <w:r w:rsidR="00265237" w:rsidRPr="00AD1176">
        <w:t>N</w:t>
      </w:r>
      <w:r w:rsidR="00265237">
        <w:t>ations (UN) R</w:t>
      </w:r>
      <w:r w:rsidR="00265237" w:rsidRPr="00AD1176">
        <w:t xml:space="preserve">egulation </w:t>
      </w:r>
      <w:r w:rsidR="00265237">
        <w:t>168</w:t>
      </w:r>
      <w:r w:rsidR="00265237" w:rsidRPr="00B45EA0">
        <w:rPr>
          <w:b/>
          <w:bCs/>
        </w:rPr>
        <w:t xml:space="preserve"> </w:t>
      </w:r>
      <w:r w:rsidR="00265237">
        <w:t>on u</w:t>
      </w:r>
      <w:r w:rsidR="00265237" w:rsidRPr="00AD1176">
        <w:t xml:space="preserve">niform provisions concerning the approval of light duty passenger and commercial vehicles </w:t>
      </w:r>
      <w:r w:rsidR="00265237" w:rsidRPr="00E748A2">
        <w:t>with regards to real driving emissions (RDE)</w:t>
      </w:r>
      <w:r w:rsidR="00265237">
        <w:t xml:space="preserve"> </w:t>
      </w:r>
      <w:r w:rsidR="00265237" w:rsidRPr="00B45EA0">
        <w:t>(</w:t>
      </w:r>
      <w:r w:rsidR="00265237" w:rsidRPr="00B45EA0">
        <w:rPr>
          <w:bCs/>
        </w:rPr>
        <w:t xml:space="preserve">ECE/TRANS/WP.29/2023/77) </w:t>
      </w:r>
      <w:r w:rsidR="00265237" w:rsidRPr="00AD1176">
        <w:t>w</w:t>
      </w:r>
      <w:r w:rsidR="00265237">
        <w:t>as adopted as a new UN Vehicle Regulation by the Administrative Committee for the United Nations 1958 Agreement</w:t>
      </w:r>
      <w:r w:rsidR="00265237" w:rsidRPr="00AD1176">
        <w:t xml:space="preserve"> </w:t>
      </w:r>
      <w:r w:rsidR="00265237">
        <w:t>Concerning the</w:t>
      </w:r>
      <w:r w:rsidR="00265237">
        <w:rPr>
          <w:smallCaps/>
        </w:rPr>
        <w:t xml:space="preserve"> </w:t>
      </w:r>
      <w:r w:rsidR="00265237">
        <w:t xml:space="preserve">Adoption of Harmonized Technical United Nations Regulations for Wheeled Vehicles, Equipment and Parts which can be Fitted and/or be Used on Wheeled Vehicles and the Conditions for Reciprocal Recognition of Approvals Granted on the Basis of these United Nations Regulations on 21 June 2023. ADR 112/00 has been drafted to provide for the acceptance of vehicles complying UN Regulation 168 once </w:t>
      </w:r>
      <w:r w:rsidR="00E169DC">
        <w:t>it</w:t>
      </w:r>
      <w:r w:rsidR="00265237">
        <w:t xml:space="preserve"> officially enters into force.</w:t>
      </w:r>
    </w:p>
  </w:footnote>
  <w:footnote w:id="3">
    <w:p w14:paraId="51010274" w14:textId="00174E3D" w:rsidR="0088769D" w:rsidRPr="000355B0" w:rsidRDefault="0088769D">
      <w:pPr>
        <w:pStyle w:val="FootnoteText"/>
        <w:rPr>
          <w:lang w:val="en-US"/>
        </w:rPr>
      </w:pPr>
      <w:r>
        <w:rPr>
          <w:rStyle w:val="FootnoteReference"/>
        </w:rPr>
        <w:footnoteRef/>
      </w:r>
      <w:r>
        <w:t xml:space="preserve"> </w:t>
      </w:r>
      <w:r>
        <w:rPr>
          <w:lang w:val="en-US"/>
        </w:rPr>
        <w:t>Clause 6.1 states that compliance with certain parts of Appendix A are not required to comply with this vehicle standard. To minimise confusion, standards referenced in these parts of Appendix A are not included in Table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080"/>
      <w:gridCol w:w="425"/>
    </w:tblGrid>
    <w:tr w:rsidR="0088769D" w:rsidRPr="005F7AFE" w14:paraId="186D9392" w14:textId="77777777" w:rsidTr="00B3487D">
      <w:tc>
        <w:tcPr>
          <w:tcW w:w="8080" w:type="dxa"/>
          <w:shd w:val="clear" w:color="auto" w:fill="auto"/>
        </w:tcPr>
        <w:p w14:paraId="41234547" w14:textId="11EA77DF" w:rsidR="0088769D" w:rsidRPr="008A05F7" w:rsidRDefault="0088769D" w:rsidP="00996FC2">
          <w:pPr>
            <w:pStyle w:val="Header"/>
            <w:spacing w:before="0" w:after="0"/>
            <w:rPr>
              <w:szCs w:val="20"/>
            </w:rPr>
          </w:pPr>
          <w:r w:rsidRPr="00D4474D">
            <w:t xml:space="preserve">Vehicle Standard (Australian Design Rule </w:t>
          </w:r>
          <w:r>
            <w:t>111/00</w:t>
          </w:r>
          <w:r w:rsidRPr="00D4474D">
            <w:t xml:space="preserve"> – Emission Control for Heavy Vehicles) 2022</w:t>
          </w:r>
        </w:p>
      </w:tc>
      <w:tc>
        <w:tcPr>
          <w:tcW w:w="425" w:type="dxa"/>
          <w:vMerge w:val="restart"/>
          <w:shd w:val="clear" w:color="auto" w:fill="auto"/>
        </w:tcPr>
        <w:p w14:paraId="01258BB7" w14:textId="1D2C4FE7" w:rsidR="0088769D" w:rsidRPr="005F7AFE" w:rsidRDefault="0088769D" w:rsidP="00996FC2">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Pr>
              <w:noProof/>
              <w:spacing w:val="-2"/>
              <w:sz w:val="20"/>
              <w:szCs w:val="20"/>
              <w:lang w:val="x-none" w:eastAsia="x-none"/>
            </w:rPr>
            <w:t>21</w:t>
          </w:r>
          <w:r w:rsidRPr="005F7AFE">
            <w:rPr>
              <w:spacing w:val="-2"/>
              <w:sz w:val="20"/>
              <w:szCs w:val="20"/>
              <w:lang w:val="x-none" w:eastAsia="x-none"/>
            </w:rPr>
            <w:fldChar w:fldCharType="end"/>
          </w:r>
        </w:p>
      </w:tc>
    </w:tr>
    <w:tr w:rsidR="0088769D" w:rsidRPr="005F7AFE" w14:paraId="00D95BC1" w14:textId="77777777" w:rsidTr="00B3487D">
      <w:tc>
        <w:tcPr>
          <w:tcW w:w="8080" w:type="dxa"/>
          <w:tcBorders>
            <w:bottom w:val="single" w:sz="4" w:space="0" w:color="auto"/>
          </w:tcBorders>
          <w:shd w:val="clear" w:color="auto" w:fill="auto"/>
        </w:tcPr>
        <w:p w14:paraId="3EC30256" w14:textId="4E1783A7" w:rsidR="0088769D" w:rsidRPr="00DC33CF" w:rsidRDefault="0088769D" w:rsidP="00996FC2">
          <w:pPr>
            <w:pStyle w:val="Header"/>
            <w:spacing w:before="0" w:after="0"/>
          </w:pPr>
          <w:r w:rsidRPr="00D4474D">
            <w:t>Explanatory Statement</w:t>
          </w:r>
        </w:p>
      </w:tc>
      <w:tc>
        <w:tcPr>
          <w:tcW w:w="425" w:type="dxa"/>
          <w:vMerge/>
          <w:tcBorders>
            <w:bottom w:val="single" w:sz="4" w:space="0" w:color="auto"/>
          </w:tcBorders>
          <w:shd w:val="clear" w:color="auto" w:fill="auto"/>
          <w:vAlign w:val="center"/>
        </w:tcPr>
        <w:p w14:paraId="5A3D685B" w14:textId="77777777" w:rsidR="0088769D" w:rsidRPr="005F7AFE" w:rsidRDefault="0088769D" w:rsidP="00996FC2">
          <w:pPr>
            <w:tabs>
              <w:tab w:val="center" w:pos="4153"/>
              <w:tab w:val="right" w:pos="8306"/>
            </w:tabs>
            <w:suppressAutoHyphens/>
            <w:spacing w:before="0" w:after="0"/>
            <w:jc w:val="center"/>
            <w:rPr>
              <w:spacing w:val="-2"/>
              <w:sz w:val="20"/>
              <w:szCs w:val="20"/>
              <w:lang w:val="x-none" w:eastAsia="x-none"/>
            </w:rPr>
          </w:pPr>
        </w:p>
      </w:tc>
    </w:tr>
  </w:tbl>
  <w:p w14:paraId="4D2E80DD" w14:textId="4BC1B058" w:rsidR="0088769D" w:rsidRDefault="0088769D" w:rsidP="00F7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0D86" w14:textId="2F2C4441" w:rsidR="0088769D" w:rsidRDefault="00887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3A03" w14:textId="1C253E6C" w:rsidR="0088769D" w:rsidRDefault="00887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88769D" w:rsidRPr="001F5393" w14:paraId="72CA84CB" w14:textId="77777777" w:rsidTr="00F04AAB">
      <w:tc>
        <w:tcPr>
          <w:tcW w:w="8162" w:type="dxa"/>
          <w:shd w:val="clear" w:color="auto" w:fill="auto"/>
          <w:vAlign w:val="center"/>
        </w:tcPr>
        <w:p w14:paraId="37726017" w14:textId="651293FD" w:rsidR="0088769D" w:rsidRPr="004B6BDF" w:rsidRDefault="00DD1258" w:rsidP="004B6BDF">
          <w:pPr>
            <w:pStyle w:val="Header"/>
            <w:spacing w:before="0" w:after="0"/>
          </w:pPr>
          <w:r w:rsidRPr="001F5393">
            <w:t xml:space="preserve">Vehicle Standard </w:t>
          </w:r>
          <w:r w:rsidRPr="00701EB8">
            <w:t>(Australian Design Rule 112/00 –</w:t>
          </w:r>
          <w:r w:rsidR="004D07C6">
            <w:t xml:space="preserve"> </w:t>
          </w:r>
          <w:r w:rsidRPr="00701EB8">
            <w:t>Control of Real Driving Emissions for Light Vehicles) 202</w:t>
          </w:r>
          <w:r w:rsidR="00843199">
            <w:t>4</w:t>
          </w:r>
        </w:p>
      </w:tc>
      <w:tc>
        <w:tcPr>
          <w:tcW w:w="343" w:type="dxa"/>
          <w:vMerge w:val="restart"/>
          <w:shd w:val="clear" w:color="auto" w:fill="auto"/>
        </w:tcPr>
        <w:p w14:paraId="39DD1DBC" w14:textId="77777777" w:rsidR="0088769D" w:rsidRPr="001F5393" w:rsidRDefault="0088769D" w:rsidP="004B6BDF">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88769D" w:rsidRPr="001F5393" w14:paraId="2AAB234E" w14:textId="77777777" w:rsidTr="00F04AAB">
      <w:tc>
        <w:tcPr>
          <w:tcW w:w="8162" w:type="dxa"/>
          <w:tcBorders>
            <w:bottom w:val="single" w:sz="4" w:space="0" w:color="auto"/>
          </w:tcBorders>
          <w:shd w:val="clear" w:color="auto" w:fill="auto"/>
          <w:vAlign w:val="center"/>
        </w:tcPr>
        <w:p w14:paraId="5E55553B" w14:textId="77777777" w:rsidR="0088769D" w:rsidRPr="001F5393" w:rsidRDefault="0088769D" w:rsidP="004B6BDF">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0AB3B172" w14:textId="77777777" w:rsidR="0088769D" w:rsidRPr="001F5393" w:rsidRDefault="0088769D" w:rsidP="004B6BDF">
          <w:pPr>
            <w:tabs>
              <w:tab w:val="center" w:pos="4153"/>
              <w:tab w:val="right" w:pos="8306"/>
            </w:tabs>
            <w:suppressAutoHyphens/>
            <w:spacing w:before="0" w:after="0"/>
            <w:jc w:val="center"/>
            <w:rPr>
              <w:spacing w:val="-2"/>
              <w:sz w:val="20"/>
              <w:szCs w:val="20"/>
              <w:lang w:val="x-none" w:eastAsia="x-none"/>
            </w:rPr>
          </w:pPr>
        </w:p>
      </w:tc>
    </w:tr>
  </w:tbl>
  <w:p w14:paraId="7F6F8EE7" w14:textId="5BD88807" w:rsidR="0088769D" w:rsidRDefault="0088769D" w:rsidP="004B6B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88769D" w:rsidRPr="001F5393" w14:paraId="483F24D1" w14:textId="77777777" w:rsidTr="001E3FA7">
      <w:tc>
        <w:tcPr>
          <w:tcW w:w="8162" w:type="dxa"/>
          <w:shd w:val="clear" w:color="auto" w:fill="auto"/>
          <w:vAlign w:val="center"/>
        </w:tcPr>
        <w:p w14:paraId="2650AF64" w14:textId="68893348" w:rsidR="0088769D" w:rsidRPr="004B6BDF" w:rsidRDefault="0088769D" w:rsidP="00996FC2">
          <w:pPr>
            <w:pStyle w:val="Header"/>
            <w:spacing w:before="0" w:after="0"/>
          </w:pPr>
          <w:r w:rsidRPr="001F5393">
            <w:t xml:space="preserve">Vehicle Standard </w:t>
          </w:r>
          <w:r w:rsidR="00701EB8" w:rsidRPr="00701EB8">
            <w:t>(Australian Design Rule 112/00 –</w:t>
          </w:r>
          <w:r w:rsidR="004D07C6">
            <w:t xml:space="preserve"> </w:t>
          </w:r>
          <w:r w:rsidR="00701EB8" w:rsidRPr="00701EB8">
            <w:t>Control of Real Driving Emissions for Light Vehicles) 202</w:t>
          </w:r>
          <w:r w:rsidR="00843199">
            <w:t>4</w:t>
          </w:r>
        </w:p>
      </w:tc>
      <w:tc>
        <w:tcPr>
          <w:tcW w:w="343" w:type="dxa"/>
          <w:vMerge w:val="restart"/>
          <w:shd w:val="clear" w:color="auto" w:fill="auto"/>
        </w:tcPr>
        <w:p w14:paraId="0065461B" w14:textId="58A13CB8" w:rsidR="0088769D" w:rsidRPr="001F5393" w:rsidRDefault="0088769D"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88769D" w:rsidRPr="001F5393" w14:paraId="676DA648" w14:textId="77777777" w:rsidTr="001E3FA7">
      <w:tc>
        <w:tcPr>
          <w:tcW w:w="8162" w:type="dxa"/>
          <w:tcBorders>
            <w:bottom w:val="single" w:sz="4" w:space="0" w:color="auto"/>
          </w:tcBorders>
          <w:shd w:val="clear" w:color="auto" w:fill="auto"/>
          <w:vAlign w:val="center"/>
        </w:tcPr>
        <w:p w14:paraId="397449CF" w14:textId="075F5557" w:rsidR="0088769D" w:rsidRPr="001F5393" w:rsidRDefault="0088769D"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88769D" w:rsidRPr="001F5393" w:rsidRDefault="0088769D" w:rsidP="001F5393">
          <w:pPr>
            <w:tabs>
              <w:tab w:val="center" w:pos="4153"/>
              <w:tab w:val="right" w:pos="8306"/>
            </w:tabs>
            <w:suppressAutoHyphens/>
            <w:spacing w:before="0" w:after="0"/>
            <w:jc w:val="center"/>
            <w:rPr>
              <w:spacing w:val="-2"/>
              <w:sz w:val="20"/>
              <w:szCs w:val="20"/>
              <w:lang w:val="x-none" w:eastAsia="x-none"/>
            </w:rPr>
          </w:pPr>
        </w:p>
      </w:tc>
    </w:tr>
  </w:tbl>
  <w:p w14:paraId="70859D4D" w14:textId="60970199" w:rsidR="0088769D" w:rsidRDefault="0088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2AB"/>
    <w:multiLevelType w:val="hybridMultilevel"/>
    <w:tmpl w:val="E2A42F0A"/>
    <w:lvl w:ilvl="0" w:tplc="48067A7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2FCF66D5"/>
    <w:multiLevelType w:val="hybridMultilevel"/>
    <w:tmpl w:val="9F6207B6"/>
    <w:lvl w:ilvl="0" w:tplc="79BCB0F4">
      <w:start w:val="1"/>
      <w:numFmt w:val="bullet"/>
      <w:lvlText w:val=""/>
      <w:lvlJc w:val="left"/>
      <w:pPr>
        <w:ind w:left="360" w:hanging="360"/>
      </w:pPr>
      <w:rPr>
        <w:rFonts w:ascii="Symbol" w:hAnsi="Symbol" w:hint="default"/>
      </w:rPr>
    </w:lvl>
    <w:lvl w:ilvl="1" w:tplc="227090DA" w:tentative="1">
      <w:start w:val="1"/>
      <w:numFmt w:val="bullet"/>
      <w:lvlText w:val="o"/>
      <w:lvlJc w:val="left"/>
      <w:pPr>
        <w:ind w:left="1080" w:hanging="360"/>
      </w:pPr>
      <w:rPr>
        <w:rFonts w:ascii="Courier New" w:hAnsi="Courier New" w:cs="Courier New" w:hint="default"/>
      </w:rPr>
    </w:lvl>
    <w:lvl w:ilvl="2" w:tplc="91AAAF86" w:tentative="1">
      <w:start w:val="1"/>
      <w:numFmt w:val="bullet"/>
      <w:lvlText w:val=""/>
      <w:lvlJc w:val="left"/>
      <w:pPr>
        <w:ind w:left="1800" w:hanging="360"/>
      </w:pPr>
      <w:rPr>
        <w:rFonts w:ascii="Wingdings" w:hAnsi="Wingdings" w:hint="default"/>
      </w:rPr>
    </w:lvl>
    <w:lvl w:ilvl="3" w:tplc="323EFD94" w:tentative="1">
      <w:start w:val="1"/>
      <w:numFmt w:val="bullet"/>
      <w:lvlText w:val=""/>
      <w:lvlJc w:val="left"/>
      <w:pPr>
        <w:ind w:left="2520" w:hanging="360"/>
      </w:pPr>
      <w:rPr>
        <w:rFonts w:ascii="Symbol" w:hAnsi="Symbol" w:hint="default"/>
      </w:rPr>
    </w:lvl>
    <w:lvl w:ilvl="4" w:tplc="ADA28B18" w:tentative="1">
      <w:start w:val="1"/>
      <w:numFmt w:val="bullet"/>
      <w:lvlText w:val="o"/>
      <w:lvlJc w:val="left"/>
      <w:pPr>
        <w:ind w:left="3240" w:hanging="360"/>
      </w:pPr>
      <w:rPr>
        <w:rFonts w:ascii="Courier New" w:hAnsi="Courier New" w:cs="Courier New" w:hint="default"/>
      </w:rPr>
    </w:lvl>
    <w:lvl w:ilvl="5" w:tplc="ACEC49A0" w:tentative="1">
      <w:start w:val="1"/>
      <w:numFmt w:val="bullet"/>
      <w:lvlText w:val=""/>
      <w:lvlJc w:val="left"/>
      <w:pPr>
        <w:ind w:left="3960" w:hanging="360"/>
      </w:pPr>
      <w:rPr>
        <w:rFonts w:ascii="Wingdings" w:hAnsi="Wingdings" w:hint="default"/>
      </w:rPr>
    </w:lvl>
    <w:lvl w:ilvl="6" w:tplc="FA0644CE" w:tentative="1">
      <w:start w:val="1"/>
      <w:numFmt w:val="bullet"/>
      <w:lvlText w:val=""/>
      <w:lvlJc w:val="left"/>
      <w:pPr>
        <w:ind w:left="4680" w:hanging="360"/>
      </w:pPr>
      <w:rPr>
        <w:rFonts w:ascii="Symbol" w:hAnsi="Symbol" w:hint="default"/>
      </w:rPr>
    </w:lvl>
    <w:lvl w:ilvl="7" w:tplc="E9AAC64C" w:tentative="1">
      <w:start w:val="1"/>
      <w:numFmt w:val="bullet"/>
      <w:lvlText w:val="o"/>
      <w:lvlJc w:val="left"/>
      <w:pPr>
        <w:ind w:left="5400" w:hanging="360"/>
      </w:pPr>
      <w:rPr>
        <w:rFonts w:ascii="Courier New" w:hAnsi="Courier New" w:cs="Courier New" w:hint="default"/>
      </w:rPr>
    </w:lvl>
    <w:lvl w:ilvl="8" w:tplc="F08AA828" w:tentative="1">
      <w:start w:val="1"/>
      <w:numFmt w:val="bullet"/>
      <w:lvlText w:val=""/>
      <w:lvlJc w:val="left"/>
      <w:pPr>
        <w:ind w:left="6120" w:hanging="360"/>
      </w:pPr>
      <w:rPr>
        <w:rFonts w:ascii="Wingdings" w:hAnsi="Wingdings" w:hint="default"/>
      </w:rPr>
    </w:lvl>
  </w:abstractNum>
  <w:abstractNum w:abstractNumId="4" w15:restartNumberingAfterBreak="0">
    <w:nsid w:val="37236CC7"/>
    <w:multiLevelType w:val="hybridMultilevel"/>
    <w:tmpl w:val="9EFCBCBE"/>
    <w:lvl w:ilvl="0" w:tplc="6A42CE24">
      <w:start w:val="1"/>
      <w:numFmt w:val="bullet"/>
      <w:pStyle w:val="Bulletdot"/>
      <w:lvlText w:val=""/>
      <w:lvlJc w:val="left"/>
      <w:pPr>
        <w:ind w:left="644" w:hanging="360"/>
      </w:pPr>
      <w:rPr>
        <w:rFonts w:ascii="Symbol" w:hAnsi="Symbol" w:hint="default"/>
      </w:rPr>
    </w:lvl>
    <w:lvl w:ilvl="1" w:tplc="0C090003">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5" w15:restartNumberingAfterBreak="0">
    <w:nsid w:val="58F7506F"/>
    <w:multiLevelType w:val="multilevel"/>
    <w:tmpl w:val="7882B440"/>
    <w:lvl w:ilvl="0">
      <w:start w:val="1"/>
      <w:numFmt w:val="decimal"/>
      <w:pStyle w:val="MainHeadding"/>
      <w:lvlText w:val="%1."/>
      <w:lvlJc w:val="left"/>
      <w:pPr>
        <w:tabs>
          <w:tab w:val="num" w:pos="6522"/>
        </w:tabs>
        <w:ind w:left="6522" w:hanging="851"/>
      </w:pPr>
      <w:rPr>
        <w:rFonts w:hint="default"/>
      </w:rPr>
    </w:lvl>
    <w:lvl w:ilvl="1">
      <w:start w:val="1"/>
      <w:numFmt w:val="decimal"/>
      <w:pStyle w:val="Subsection"/>
      <w:lvlText w:val="%1.%2."/>
      <w:lvlJc w:val="left"/>
      <w:pPr>
        <w:tabs>
          <w:tab w:val="num" w:pos="5388"/>
        </w:tabs>
        <w:ind w:left="5388"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6" w15:restartNumberingAfterBreak="0">
    <w:nsid w:val="642C2A72"/>
    <w:multiLevelType w:val="hybridMultilevel"/>
    <w:tmpl w:val="3F200632"/>
    <w:lvl w:ilvl="0" w:tplc="261C8276">
      <w:start w:val="1"/>
      <w:numFmt w:val="bullet"/>
      <w:lvlText w:val=""/>
      <w:lvlJc w:val="left"/>
      <w:pPr>
        <w:ind w:left="720" w:hanging="360"/>
      </w:pPr>
      <w:rPr>
        <w:rFonts w:ascii="Symbol" w:hAnsi="Symbol" w:hint="default"/>
      </w:rPr>
    </w:lvl>
    <w:lvl w:ilvl="1" w:tplc="64326A04" w:tentative="1">
      <w:start w:val="1"/>
      <w:numFmt w:val="bullet"/>
      <w:lvlText w:val="o"/>
      <w:lvlJc w:val="left"/>
      <w:pPr>
        <w:ind w:left="1440" w:hanging="360"/>
      </w:pPr>
      <w:rPr>
        <w:rFonts w:ascii="Courier New" w:hAnsi="Courier New" w:cs="Courier New" w:hint="default"/>
      </w:rPr>
    </w:lvl>
    <w:lvl w:ilvl="2" w:tplc="8112005E" w:tentative="1">
      <w:start w:val="1"/>
      <w:numFmt w:val="bullet"/>
      <w:lvlText w:val=""/>
      <w:lvlJc w:val="left"/>
      <w:pPr>
        <w:ind w:left="2160" w:hanging="360"/>
      </w:pPr>
      <w:rPr>
        <w:rFonts w:ascii="Wingdings" w:hAnsi="Wingdings" w:hint="default"/>
      </w:rPr>
    </w:lvl>
    <w:lvl w:ilvl="3" w:tplc="88B85CBA" w:tentative="1">
      <w:start w:val="1"/>
      <w:numFmt w:val="bullet"/>
      <w:lvlText w:val=""/>
      <w:lvlJc w:val="left"/>
      <w:pPr>
        <w:ind w:left="2880" w:hanging="360"/>
      </w:pPr>
      <w:rPr>
        <w:rFonts w:ascii="Symbol" w:hAnsi="Symbol" w:hint="default"/>
      </w:rPr>
    </w:lvl>
    <w:lvl w:ilvl="4" w:tplc="DBBEB444" w:tentative="1">
      <w:start w:val="1"/>
      <w:numFmt w:val="bullet"/>
      <w:lvlText w:val="o"/>
      <w:lvlJc w:val="left"/>
      <w:pPr>
        <w:ind w:left="3600" w:hanging="360"/>
      </w:pPr>
      <w:rPr>
        <w:rFonts w:ascii="Courier New" w:hAnsi="Courier New" w:cs="Courier New" w:hint="default"/>
      </w:rPr>
    </w:lvl>
    <w:lvl w:ilvl="5" w:tplc="3A70487C" w:tentative="1">
      <w:start w:val="1"/>
      <w:numFmt w:val="bullet"/>
      <w:lvlText w:val=""/>
      <w:lvlJc w:val="left"/>
      <w:pPr>
        <w:ind w:left="4320" w:hanging="360"/>
      </w:pPr>
      <w:rPr>
        <w:rFonts w:ascii="Wingdings" w:hAnsi="Wingdings" w:hint="default"/>
      </w:rPr>
    </w:lvl>
    <w:lvl w:ilvl="6" w:tplc="222A064A" w:tentative="1">
      <w:start w:val="1"/>
      <w:numFmt w:val="bullet"/>
      <w:lvlText w:val=""/>
      <w:lvlJc w:val="left"/>
      <w:pPr>
        <w:ind w:left="5040" w:hanging="360"/>
      </w:pPr>
      <w:rPr>
        <w:rFonts w:ascii="Symbol" w:hAnsi="Symbol" w:hint="default"/>
      </w:rPr>
    </w:lvl>
    <w:lvl w:ilvl="7" w:tplc="9664FF36" w:tentative="1">
      <w:start w:val="1"/>
      <w:numFmt w:val="bullet"/>
      <w:lvlText w:val="o"/>
      <w:lvlJc w:val="left"/>
      <w:pPr>
        <w:ind w:left="5760" w:hanging="360"/>
      </w:pPr>
      <w:rPr>
        <w:rFonts w:ascii="Courier New" w:hAnsi="Courier New" w:cs="Courier New" w:hint="default"/>
      </w:rPr>
    </w:lvl>
    <w:lvl w:ilvl="8" w:tplc="678CF962" w:tentative="1">
      <w:start w:val="1"/>
      <w:numFmt w:val="bullet"/>
      <w:lvlText w:val=""/>
      <w:lvlJc w:val="left"/>
      <w:pPr>
        <w:ind w:left="6480" w:hanging="360"/>
      </w:pPr>
      <w:rPr>
        <w:rFonts w:ascii="Wingdings" w:hAnsi="Wingdings" w:hint="default"/>
      </w:rPr>
    </w:lvl>
  </w:abstractNum>
  <w:abstractNum w:abstractNumId="7" w15:restartNumberingAfterBreak="0">
    <w:nsid w:val="642C4396"/>
    <w:multiLevelType w:val="hybridMultilevel"/>
    <w:tmpl w:val="2B8A94D8"/>
    <w:lvl w:ilvl="0" w:tplc="36828EE8">
      <w:start w:val="1"/>
      <w:numFmt w:val="bullet"/>
      <w:lvlText w:val=""/>
      <w:lvlJc w:val="left"/>
      <w:pPr>
        <w:ind w:left="720" w:hanging="360"/>
      </w:pPr>
      <w:rPr>
        <w:rFonts w:ascii="Symbol" w:hAnsi="Symbol" w:hint="default"/>
      </w:rPr>
    </w:lvl>
    <w:lvl w:ilvl="1" w:tplc="D990F13E" w:tentative="1">
      <w:start w:val="1"/>
      <w:numFmt w:val="bullet"/>
      <w:lvlText w:val="o"/>
      <w:lvlJc w:val="left"/>
      <w:pPr>
        <w:ind w:left="1440" w:hanging="360"/>
      </w:pPr>
      <w:rPr>
        <w:rFonts w:ascii="Courier New" w:hAnsi="Courier New" w:cs="Courier New" w:hint="default"/>
      </w:rPr>
    </w:lvl>
    <w:lvl w:ilvl="2" w:tplc="6D6EB528" w:tentative="1">
      <w:start w:val="1"/>
      <w:numFmt w:val="bullet"/>
      <w:lvlText w:val=""/>
      <w:lvlJc w:val="left"/>
      <w:pPr>
        <w:ind w:left="2160" w:hanging="360"/>
      </w:pPr>
      <w:rPr>
        <w:rFonts w:ascii="Wingdings" w:hAnsi="Wingdings" w:hint="default"/>
      </w:rPr>
    </w:lvl>
    <w:lvl w:ilvl="3" w:tplc="36863FFA" w:tentative="1">
      <w:start w:val="1"/>
      <w:numFmt w:val="bullet"/>
      <w:lvlText w:val=""/>
      <w:lvlJc w:val="left"/>
      <w:pPr>
        <w:ind w:left="2880" w:hanging="360"/>
      </w:pPr>
      <w:rPr>
        <w:rFonts w:ascii="Symbol" w:hAnsi="Symbol" w:hint="default"/>
      </w:rPr>
    </w:lvl>
    <w:lvl w:ilvl="4" w:tplc="E8D851D8" w:tentative="1">
      <w:start w:val="1"/>
      <w:numFmt w:val="bullet"/>
      <w:lvlText w:val="o"/>
      <w:lvlJc w:val="left"/>
      <w:pPr>
        <w:ind w:left="3600" w:hanging="360"/>
      </w:pPr>
      <w:rPr>
        <w:rFonts w:ascii="Courier New" w:hAnsi="Courier New" w:cs="Courier New" w:hint="default"/>
      </w:rPr>
    </w:lvl>
    <w:lvl w:ilvl="5" w:tplc="53BCA42E" w:tentative="1">
      <w:start w:val="1"/>
      <w:numFmt w:val="bullet"/>
      <w:lvlText w:val=""/>
      <w:lvlJc w:val="left"/>
      <w:pPr>
        <w:ind w:left="4320" w:hanging="360"/>
      </w:pPr>
      <w:rPr>
        <w:rFonts w:ascii="Wingdings" w:hAnsi="Wingdings" w:hint="default"/>
      </w:rPr>
    </w:lvl>
    <w:lvl w:ilvl="6" w:tplc="E5DCC1CC" w:tentative="1">
      <w:start w:val="1"/>
      <w:numFmt w:val="bullet"/>
      <w:lvlText w:val=""/>
      <w:lvlJc w:val="left"/>
      <w:pPr>
        <w:ind w:left="5040" w:hanging="360"/>
      </w:pPr>
      <w:rPr>
        <w:rFonts w:ascii="Symbol" w:hAnsi="Symbol" w:hint="default"/>
      </w:rPr>
    </w:lvl>
    <w:lvl w:ilvl="7" w:tplc="20E2F838" w:tentative="1">
      <w:start w:val="1"/>
      <w:numFmt w:val="bullet"/>
      <w:lvlText w:val="o"/>
      <w:lvlJc w:val="left"/>
      <w:pPr>
        <w:ind w:left="5760" w:hanging="360"/>
      </w:pPr>
      <w:rPr>
        <w:rFonts w:ascii="Courier New" w:hAnsi="Courier New" w:cs="Courier New" w:hint="default"/>
      </w:rPr>
    </w:lvl>
    <w:lvl w:ilvl="8" w:tplc="20304160" w:tentative="1">
      <w:start w:val="1"/>
      <w:numFmt w:val="bullet"/>
      <w:lvlText w:val=""/>
      <w:lvlJc w:val="left"/>
      <w:pPr>
        <w:ind w:left="6480" w:hanging="360"/>
      </w:pPr>
      <w:rPr>
        <w:rFonts w:ascii="Wingdings" w:hAnsi="Wingdings" w:hint="default"/>
      </w:rPr>
    </w:lvl>
  </w:abstractNum>
  <w:abstractNum w:abstractNumId="8" w15:restartNumberingAfterBreak="0">
    <w:nsid w:val="6B804FA1"/>
    <w:multiLevelType w:val="multilevel"/>
    <w:tmpl w:val="1BBAF5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291B67"/>
    <w:multiLevelType w:val="hybridMultilevel"/>
    <w:tmpl w:val="9F82A8EC"/>
    <w:lvl w:ilvl="0" w:tplc="867491C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72D409F7"/>
    <w:multiLevelType w:val="hybridMultilevel"/>
    <w:tmpl w:val="A22CF5BC"/>
    <w:lvl w:ilvl="0" w:tplc="D2521B7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2"/>
  </w:num>
  <w:num w:numId="5">
    <w:abstractNumId w:val="4"/>
  </w:num>
  <w:num w:numId="6">
    <w:abstractNumId w:val="11"/>
  </w:num>
  <w:num w:numId="7">
    <w:abstractNumId w:val="5"/>
  </w:num>
  <w:num w:numId="8">
    <w:abstractNumId w:val="6"/>
  </w:num>
  <w:num w:numId="9">
    <w:abstractNumId w:val="7"/>
  </w:num>
  <w:num w:numId="10">
    <w:abstractNumId w:val="3"/>
  </w:num>
  <w:num w:numId="11">
    <w:abstractNumId w:val="9"/>
  </w:num>
  <w:num w:numId="12">
    <w:abstractNumId w:val="0"/>
  </w:num>
  <w:num w:numId="13">
    <w:abstractNumId w:val="8"/>
  </w:num>
  <w:num w:numId="14">
    <w:abstractNumId w:val="5"/>
  </w:num>
  <w:num w:numId="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046"/>
    <w:rsid w:val="00006B90"/>
    <w:rsid w:val="000157B0"/>
    <w:rsid w:val="000166ED"/>
    <w:rsid w:val="000220C0"/>
    <w:rsid w:val="00022CA1"/>
    <w:rsid w:val="00023874"/>
    <w:rsid w:val="000240E2"/>
    <w:rsid w:val="000241C6"/>
    <w:rsid w:val="000245BE"/>
    <w:rsid w:val="00024773"/>
    <w:rsid w:val="00031C17"/>
    <w:rsid w:val="000335E2"/>
    <w:rsid w:val="000355B0"/>
    <w:rsid w:val="00035887"/>
    <w:rsid w:val="00040841"/>
    <w:rsid w:val="00041D7B"/>
    <w:rsid w:val="0004459A"/>
    <w:rsid w:val="000450E7"/>
    <w:rsid w:val="00050C17"/>
    <w:rsid w:val="00050FB8"/>
    <w:rsid w:val="00052EF3"/>
    <w:rsid w:val="0005416F"/>
    <w:rsid w:val="00054851"/>
    <w:rsid w:val="00054DEF"/>
    <w:rsid w:val="000562F1"/>
    <w:rsid w:val="00056F3D"/>
    <w:rsid w:val="000604A0"/>
    <w:rsid w:val="000616F2"/>
    <w:rsid w:val="0006275F"/>
    <w:rsid w:val="00064AFA"/>
    <w:rsid w:val="000650DA"/>
    <w:rsid w:val="000655E9"/>
    <w:rsid w:val="00066290"/>
    <w:rsid w:val="00066F93"/>
    <w:rsid w:val="00067219"/>
    <w:rsid w:val="000713D8"/>
    <w:rsid w:val="00073E14"/>
    <w:rsid w:val="000740DE"/>
    <w:rsid w:val="00074D90"/>
    <w:rsid w:val="000760A3"/>
    <w:rsid w:val="0007625E"/>
    <w:rsid w:val="000779D0"/>
    <w:rsid w:val="0008418F"/>
    <w:rsid w:val="00084625"/>
    <w:rsid w:val="0008652F"/>
    <w:rsid w:val="00090BD4"/>
    <w:rsid w:val="00093AA6"/>
    <w:rsid w:val="00094679"/>
    <w:rsid w:val="000957CE"/>
    <w:rsid w:val="0009658B"/>
    <w:rsid w:val="000968DF"/>
    <w:rsid w:val="000A5A8B"/>
    <w:rsid w:val="000B0430"/>
    <w:rsid w:val="000B0D5D"/>
    <w:rsid w:val="000B0E53"/>
    <w:rsid w:val="000B1B1F"/>
    <w:rsid w:val="000B1C73"/>
    <w:rsid w:val="000B3C55"/>
    <w:rsid w:val="000B3D64"/>
    <w:rsid w:val="000B3DBE"/>
    <w:rsid w:val="000B4684"/>
    <w:rsid w:val="000B60B9"/>
    <w:rsid w:val="000C0B71"/>
    <w:rsid w:val="000C0E62"/>
    <w:rsid w:val="000C14D3"/>
    <w:rsid w:val="000C171E"/>
    <w:rsid w:val="000C2AF4"/>
    <w:rsid w:val="000C3C06"/>
    <w:rsid w:val="000C4A1A"/>
    <w:rsid w:val="000C57AC"/>
    <w:rsid w:val="000D1A08"/>
    <w:rsid w:val="000D2C70"/>
    <w:rsid w:val="000D3459"/>
    <w:rsid w:val="000D4AC1"/>
    <w:rsid w:val="000D6331"/>
    <w:rsid w:val="000E008E"/>
    <w:rsid w:val="000E037F"/>
    <w:rsid w:val="000E3161"/>
    <w:rsid w:val="000E3BAA"/>
    <w:rsid w:val="000E3CB6"/>
    <w:rsid w:val="000E46B1"/>
    <w:rsid w:val="000E556E"/>
    <w:rsid w:val="000E6F99"/>
    <w:rsid w:val="000E73ED"/>
    <w:rsid w:val="000E7A76"/>
    <w:rsid w:val="000F1192"/>
    <w:rsid w:val="000F162D"/>
    <w:rsid w:val="000F36B1"/>
    <w:rsid w:val="000F4182"/>
    <w:rsid w:val="000F534E"/>
    <w:rsid w:val="000F5B27"/>
    <w:rsid w:val="000F620B"/>
    <w:rsid w:val="000F6F83"/>
    <w:rsid w:val="000F793B"/>
    <w:rsid w:val="00101E42"/>
    <w:rsid w:val="00102EE7"/>
    <w:rsid w:val="00105209"/>
    <w:rsid w:val="00106C75"/>
    <w:rsid w:val="001112CA"/>
    <w:rsid w:val="0011211D"/>
    <w:rsid w:val="001143B9"/>
    <w:rsid w:val="00117116"/>
    <w:rsid w:val="0012081F"/>
    <w:rsid w:val="00120C5D"/>
    <w:rsid w:val="0012110B"/>
    <w:rsid w:val="0012197C"/>
    <w:rsid w:val="00121CBA"/>
    <w:rsid w:val="0012466F"/>
    <w:rsid w:val="00127289"/>
    <w:rsid w:val="00130F68"/>
    <w:rsid w:val="00131492"/>
    <w:rsid w:val="00131C34"/>
    <w:rsid w:val="00132EF4"/>
    <w:rsid w:val="00133187"/>
    <w:rsid w:val="001359EF"/>
    <w:rsid w:val="00141E4F"/>
    <w:rsid w:val="00141FF9"/>
    <w:rsid w:val="0014264C"/>
    <w:rsid w:val="00147F05"/>
    <w:rsid w:val="00150C04"/>
    <w:rsid w:val="0015120A"/>
    <w:rsid w:val="00152636"/>
    <w:rsid w:val="00155DDC"/>
    <w:rsid w:val="00155FE4"/>
    <w:rsid w:val="00157142"/>
    <w:rsid w:val="001572C8"/>
    <w:rsid w:val="00157631"/>
    <w:rsid w:val="001606BF"/>
    <w:rsid w:val="00160C84"/>
    <w:rsid w:val="00161B14"/>
    <w:rsid w:val="00161F08"/>
    <w:rsid w:val="00166DC2"/>
    <w:rsid w:val="00170AE8"/>
    <w:rsid w:val="001717FC"/>
    <w:rsid w:val="00171B84"/>
    <w:rsid w:val="00177811"/>
    <w:rsid w:val="00177ADF"/>
    <w:rsid w:val="001811E9"/>
    <w:rsid w:val="00181511"/>
    <w:rsid w:val="00187070"/>
    <w:rsid w:val="00187A7D"/>
    <w:rsid w:val="00187C7F"/>
    <w:rsid w:val="00187D37"/>
    <w:rsid w:val="00192B4F"/>
    <w:rsid w:val="00192F2E"/>
    <w:rsid w:val="001976AB"/>
    <w:rsid w:val="00197EE4"/>
    <w:rsid w:val="001A0001"/>
    <w:rsid w:val="001A28AB"/>
    <w:rsid w:val="001B0EFB"/>
    <w:rsid w:val="001B217D"/>
    <w:rsid w:val="001B2451"/>
    <w:rsid w:val="001B29A2"/>
    <w:rsid w:val="001B38AA"/>
    <w:rsid w:val="001B3B65"/>
    <w:rsid w:val="001B4C57"/>
    <w:rsid w:val="001B5F38"/>
    <w:rsid w:val="001C2946"/>
    <w:rsid w:val="001C48F9"/>
    <w:rsid w:val="001C64BC"/>
    <w:rsid w:val="001C69AE"/>
    <w:rsid w:val="001D01E5"/>
    <w:rsid w:val="001D17F3"/>
    <w:rsid w:val="001D2618"/>
    <w:rsid w:val="001D2D0B"/>
    <w:rsid w:val="001D467A"/>
    <w:rsid w:val="001D4C8A"/>
    <w:rsid w:val="001D592B"/>
    <w:rsid w:val="001D6EF7"/>
    <w:rsid w:val="001E0205"/>
    <w:rsid w:val="001E0A6A"/>
    <w:rsid w:val="001E1A19"/>
    <w:rsid w:val="001E218D"/>
    <w:rsid w:val="001E3FA7"/>
    <w:rsid w:val="001E543A"/>
    <w:rsid w:val="001E5490"/>
    <w:rsid w:val="001E6416"/>
    <w:rsid w:val="001E6F6F"/>
    <w:rsid w:val="001E7AAD"/>
    <w:rsid w:val="001E7E7F"/>
    <w:rsid w:val="001F128D"/>
    <w:rsid w:val="001F1D97"/>
    <w:rsid w:val="001F5393"/>
    <w:rsid w:val="001F566C"/>
    <w:rsid w:val="00200879"/>
    <w:rsid w:val="00200AEE"/>
    <w:rsid w:val="002019EC"/>
    <w:rsid w:val="0020549D"/>
    <w:rsid w:val="00206301"/>
    <w:rsid w:val="00206EF3"/>
    <w:rsid w:val="002105AD"/>
    <w:rsid w:val="00210C5E"/>
    <w:rsid w:val="00212153"/>
    <w:rsid w:val="00215C84"/>
    <w:rsid w:val="00216DD3"/>
    <w:rsid w:val="002172AC"/>
    <w:rsid w:val="00217879"/>
    <w:rsid w:val="002214DC"/>
    <w:rsid w:val="00225589"/>
    <w:rsid w:val="0022575C"/>
    <w:rsid w:val="00225E60"/>
    <w:rsid w:val="00225EEA"/>
    <w:rsid w:val="00226CB6"/>
    <w:rsid w:val="0022719C"/>
    <w:rsid w:val="00227A72"/>
    <w:rsid w:val="0023125C"/>
    <w:rsid w:val="002325B1"/>
    <w:rsid w:val="00232C1B"/>
    <w:rsid w:val="00233F4B"/>
    <w:rsid w:val="002344A6"/>
    <w:rsid w:val="00235D5D"/>
    <w:rsid w:val="00237831"/>
    <w:rsid w:val="0024087E"/>
    <w:rsid w:val="002411F9"/>
    <w:rsid w:val="0024155C"/>
    <w:rsid w:val="002425A0"/>
    <w:rsid w:val="00242D6F"/>
    <w:rsid w:val="0024440F"/>
    <w:rsid w:val="0024485E"/>
    <w:rsid w:val="002449FF"/>
    <w:rsid w:val="00246F06"/>
    <w:rsid w:val="002471BF"/>
    <w:rsid w:val="00253F55"/>
    <w:rsid w:val="002550C2"/>
    <w:rsid w:val="00256C8A"/>
    <w:rsid w:val="00257B65"/>
    <w:rsid w:val="002640E7"/>
    <w:rsid w:val="00265237"/>
    <w:rsid w:val="00265ABF"/>
    <w:rsid w:val="002664F3"/>
    <w:rsid w:val="002667FE"/>
    <w:rsid w:val="00266FE7"/>
    <w:rsid w:val="002707F7"/>
    <w:rsid w:val="0027099F"/>
    <w:rsid w:val="00270FAD"/>
    <w:rsid w:val="002714C6"/>
    <w:rsid w:val="00271DCE"/>
    <w:rsid w:val="00272A5B"/>
    <w:rsid w:val="00276384"/>
    <w:rsid w:val="00277209"/>
    <w:rsid w:val="00282AAC"/>
    <w:rsid w:val="0028346B"/>
    <w:rsid w:val="002834A5"/>
    <w:rsid w:val="00283C75"/>
    <w:rsid w:val="0028483C"/>
    <w:rsid w:val="002850D5"/>
    <w:rsid w:val="00285ADA"/>
    <w:rsid w:val="00287770"/>
    <w:rsid w:val="002904A2"/>
    <w:rsid w:val="00290ABB"/>
    <w:rsid w:val="002918CC"/>
    <w:rsid w:val="00291E7B"/>
    <w:rsid w:val="00292D0D"/>
    <w:rsid w:val="002968C5"/>
    <w:rsid w:val="00296D1C"/>
    <w:rsid w:val="00297504"/>
    <w:rsid w:val="002975C7"/>
    <w:rsid w:val="00297D5D"/>
    <w:rsid w:val="002A005B"/>
    <w:rsid w:val="002A063C"/>
    <w:rsid w:val="002A4357"/>
    <w:rsid w:val="002A435A"/>
    <w:rsid w:val="002A4E59"/>
    <w:rsid w:val="002A5439"/>
    <w:rsid w:val="002A7B68"/>
    <w:rsid w:val="002B024F"/>
    <w:rsid w:val="002B1FE3"/>
    <w:rsid w:val="002B28A3"/>
    <w:rsid w:val="002B3D45"/>
    <w:rsid w:val="002B424F"/>
    <w:rsid w:val="002B459D"/>
    <w:rsid w:val="002B574B"/>
    <w:rsid w:val="002B7491"/>
    <w:rsid w:val="002B7CA5"/>
    <w:rsid w:val="002C121D"/>
    <w:rsid w:val="002C4578"/>
    <w:rsid w:val="002C55A1"/>
    <w:rsid w:val="002C5829"/>
    <w:rsid w:val="002D070C"/>
    <w:rsid w:val="002D0D1B"/>
    <w:rsid w:val="002D3608"/>
    <w:rsid w:val="002D508E"/>
    <w:rsid w:val="002D5B95"/>
    <w:rsid w:val="002D630E"/>
    <w:rsid w:val="002D6916"/>
    <w:rsid w:val="002D7277"/>
    <w:rsid w:val="002D7454"/>
    <w:rsid w:val="002D7D28"/>
    <w:rsid w:val="002D7E26"/>
    <w:rsid w:val="002E10E0"/>
    <w:rsid w:val="002E1691"/>
    <w:rsid w:val="002E1798"/>
    <w:rsid w:val="002E1BBE"/>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0C7"/>
    <w:rsid w:val="0030182F"/>
    <w:rsid w:val="003039C0"/>
    <w:rsid w:val="00304422"/>
    <w:rsid w:val="00305000"/>
    <w:rsid w:val="003057C9"/>
    <w:rsid w:val="00307AA5"/>
    <w:rsid w:val="00310E9F"/>
    <w:rsid w:val="003119C5"/>
    <w:rsid w:val="00314E88"/>
    <w:rsid w:val="00315263"/>
    <w:rsid w:val="003157F6"/>
    <w:rsid w:val="00316D44"/>
    <w:rsid w:val="003210C8"/>
    <w:rsid w:val="00324D51"/>
    <w:rsid w:val="00325734"/>
    <w:rsid w:val="00325A85"/>
    <w:rsid w:val="00325E9B"/>
    <w:rsid w:val="003303E7"/>
    <w:rsid w:val="0033055C"/>
    <w:rsid w:val="003319EF"/>
    <w:rsid w:val="0033287C"/>
    <w:rsid w:val="00333FA7"/>
    <w:rsid w:val="00335687"/>
    <w:rsid w:val="0033629A"/>
    <w:rsid w:val="003375CF"/>
    <w:rsid w:val="00340AE1"/>
    <w:rsid w:val="00340BB9"/>
    <w:rsid w:val="00341EF6"/>
    <w:rsid w:val="003443C2"/>
    <w:rsid w:val="0034457A"/>
    <w:rsid w:val="003447E5"/>
    <w:rsid w:val="00344A42"/>
    <w:rsid w:val="00347408"/>
    <w:rsid w:val="00347940"/>
    <w:rsid w:val="00347DD8"/>
    <w:rsid w:val="003502ED"/>
    <w:rsid w:val="0035037C"/>
    <w:rsid w:val="0035138A"/>
    <w:rsid w:val="00351557"/>
    <w:rsid w:val="00352BF0"/>
    <w:rsid w:val="0035354B"/>
    <w:rsid w:val="00353C97"/>
    <w:rsid w:val="00353DBD"/>
    <w:rsid w:val="003559D2"/>
    <w:rsid w:val="00356128"/>
    <w:rsid w:val="003567BF"/>
    <w:rsid w:val="00360AC0"/>
    <w:rsid w:val="0036182A"/>
    <w:rsid w:val="0036261D"/>
    <w:rsid w:val="0036300A"/>
    <w:rsid w:val="003634A7"/>
    <w:rsid w:val="00363F90"/>
    <w:rsid w:val="00365500"/>
    <w:rsid w:val="00366380"/>
    <w:rsid w:val="00367091"/>
    <w:rsid w:val="00367FBF"/>
    <w:rsid w:val="00373116"/>
    <w:rsid w:val="003736E6"/>
    <w:rsid w:val="003737A4"/>
    <w:rsid w:val="00373852"/>
    <w:rsid w:val="00373A7D"/>
    <w:rsid w:val="00374CD7"/>
    <w:rsid w:val="00376103"/>
    <w:rsid w:val="003764FA"/>
    <w:rsid w:val="00376574"/>
    <w:rsid w:val="00376857"/>
    <w:rsid w:val="003771C7"/>
    <w:rsid w:val="003778A3"/>
    <w:rsid w:val="00380D2E"/>
    <w:rsid w:val="0038362C"/>
    <w:rsid w:val="003861E0"/>
    <w:rsid w:val="003864BF"/>
    <w:rsid w:val="003868ED"/>
    <w:rsid w:val="0039041B"/>
    <w:rsid w:val="00390444"/>
    <w:rsid w:val="003917B0"/>
    <w:rsid w:val="0039439E"/>
    <w:rsid w:val="00395DAB"/>
    <w:rsid w:val="00396C92"/>
    <w:rsid w:val="00397976"/>
    <w:rsid w:val="00397F88"/>
    <w:rsid w:val="003A1311"/>
    <w:rsid w:val="003A1C58"/>
    <w:rsid w:val="003A2BF6"/>
    <w:rsid w:val="003A3373"/>
    <w:rsid w:val="003A3D88"/>
    <w:rsid w:val="003A3E29"/>
    <w:rsid w:val="003A45FB"/>
    <w:rsid w:val="003A4F94"/>
    <w:rsid w:val="003A6B6B"/>
    <w:rsid w:val="003A7701"/>
    <w:rsid w:val="003A7E34"/>
    <w:rsid w:val="003B16F8"/>
    <w:rsid w:val="003B220C"/>
    <w:rsid w:val="003B2EB6"/>
    <w:rsid w:val="003B4057"/>
    <w:rsid w:val="003B4091"/>
    <w:rsid w:val="003B4482"/>
    <w:rsid w:val="003B6992"/>
    <w:rsid w:val="003B7123"/>
    <w:rsid w:val="003B7C60"/>
    <w:rsid w:val="003C0139"/>
    <w:rsid w:val="003C06B1"/>
    <w:rsid w:val="003C0FCE"/>
    <w:rsid w:val="003C14FD"/>
    <w:rsid w:val="003C33AE"/>
    <w:rsid w:val="003C3B0E"/>
    <w:rsid w:val="003C3E07"/>
    <w:rsid w:val="003D1A38"/>
    <w:rsid w:val="003D1AB8"/>
    <w:rsid w:val="003D1BC8"/>
    <w:rsid w:val="003D3D19"/>
    <w:rsid w:val="003D579C"/>
    <w:rsid w:val="003D7E2A"/>
    <w:rsid w:val="003E1D23"/>
    <w:rsid w:val="003E2ACE"/>
    <w:rsid w:val="003E40C9"/>
    <w:rsid w:val="003E49F6"/>
    <w:rsid w:val="003E5643"/>
    <w:rsid w:val="003E56E7"/>
    <w:rsid w:val="003E68EF"/>
    <w:rsid w:val="003E6EE5"/>
    <w:rsid w:val="003E6F11"/>
    <w:rsid w:val="003E6FFF"/>
    <w:rsid w:val="003F01D5"/>
    <w:rsid w:val="003F057C"/>
    <w:rsid w:val="003F05AD"/>
    <w:rsid w:val="003F25A8"/>
    <w:rsid w:val="003F2671"/>
    <w:rsid w:val="003F3B46"/>
    <w:rsid w:val="003F3F23"/>
    <w:rsid w:val="003F43E4"/>
    <w:rsid w:val="003F4D6B"/>
    <w:rsid w:val="003F51E5"/>
    <w:rsid w:val="003F584A"/>
    <w:rsid w:val="003F6981"/>
    <w:rsid w:val="003F6A3B"/>
    <w:rsid w:val="003F6FBD"/>
    <w:rsid w:val="004001EB"/>
    <w:rsid w:val="00402B28"/>
    <w:rsid w:val="00402C27"/>
    <w:rsid w:val="004047EF"/>
    <w:rsid w:val="00404CC7"/>
    <w:rsid w:val="00406B4C"/>
    <w:rsid w:val="00407B7A"/>
    <w:rsid w:val="00407EDD"/>
    <w:rsid w:val="00407F3B"/>
    <w:rsid w:val="00410063"/>
    <w:rsid w:val="00410952"/>
    <w:rsid w:val="00411ED1"/>
    <w:rsid w:val="004120B1"/>
    <w:rsid w:val="00412A94"/>
    <w:rsid w:val="00414BCC"/>
    <w:rsid w:val="004161CF"/>
    <w:rsid w:val="0041729D"/>
    <w:rsid w:val="00420BFB"/>
    <w:rsid w:val="00422A41"/>
    <w:rsid w:val="004233CF"/>
    <w:rsid w:val="00423778"/>
    <w:rsid w:val="00426BF7"/>
    <w:rsid w:val="00430717"/>
    <w:rsid w:val="00431883"/>
    <w:rsid w:val="0043191E"/>
    <w:rsid w:val="004319D5"/>
    <w:rsid w:val="00433473"/>
    <w:rsid w:val="0043557B"/>
    <w:rsid w:val="00436451"/>
    <w:rsid w:val="00437142"/>
    <w:rsid w:val="00441D7B"/>
    <w:rsid w:val="00443380"/>
    <w:rsid w:val="004433E1"/>
    <w:rsid w:val="004454CA"/>
    <w:rsid w:val="00445A77"/>
    <w:rsid w:val="004472A2"/>
    <w:rsid w:val="00450F36"/>
    <w:rsid w:val="00450F3A"/>
    <w:rsid w:val="00451400"/>
    <w:rsid w:val="004524F9"/>
    <w:rsid w:val="00452891"/>
    <w:rsid w:val="00453027"/>
    <w:rsid w:val="00454834"/>
    <w:rsid w:val="00455920"/>
    <w:rsid w:val="004574BB"/>
    <w:rsid w:val="00457BD8"/>
    <w:rsid w:val="004619D3"/>
    <w:rsid w:val="004621A1"/>
    <w:rsid w:val="004625CE"/>
    <w:rsid w:val="00462A19"/>
    <w:rsid w:val="004661F6"/>
    <w:rsid w:val="0046666D"/>
    <w:rsid w:val="004674D6"/>
    <w:rsid w:val="00471385"/>
    <w:rsid w:val="00471551"/>
    <w:rsid w:val="00471762"/>
    <w:rsid w:val="00471F50"/>
    <w:rsid w:val="00472C2C"/>
    <w:rsid w:val="004767B9"/>
    <w:rsid w:val="00476B93"/>
    <w:rsid w:val="00477560"/>
    <w:rsid w:val="00477592"/>
    <w:rsid w:val="00481ACE"/>
    <w:rsid w:val="0048427B"/>
    <w:rsid w:val="00484940"/>
    <w:rsid w:val="00485D93"/>
    <w:rsid w:val="00485E16"/>
    <w:rsid w:val="0049097D"/>
    <w:rsid w:val="00490CB0"/>
    <w:rsid w:val="00491690"/>
    <w:rsid w:val="0049177C"/>
    <w:rsid w:val="004923CD"/>
    <w:rsid w:val="00492E6E"/>
    <w:rsid w:val="004934AF"/>
    <w:rsid w:val="00493A3B"/>
    <w:rsid w:val="004A12B5"/>
    <w:rsid w:val="004A369F"/>
    <w:rsid w:val="004A3C32"/>
    <w:rsid w:val="004A41E0"/>
    <w:rsid w:val="004A4440"/>
    <w:rsid w:val="004A68FD"/>
    <w:rsid w:val="004B17C6"/>
    <w:rsid w:val="004B182E"/>
    <w:rsid w:val="004B6091"/>
    <w:rsid w:val="004B6159"/>
    <w:rsid w:val="004B6BDF"/>
    <w:rsid w:val="004B7D5C"/>
    <w:rsid w:val="004C0560"/>
    <w:rsid w:val="004C2A7B"/>
    <w:rsid w:val="004C3365"/>
    <w:rsid w:val="004C4A70"/>
    <w:rsid w:val="004C4E3A"/>
    <w:rsid w:val="004C52F0"/>
    <w:rsid w:val="004C68B7"/>
    <w:rsid w:val="004C77FE"/>
    <w:rsid w:val="004D07C6"/>
    <w:rsid w:val="004D6CC1"/>
    <w:rsid w:val="004D785B"/>
    <w:rsid w:val="004E0001"/>
    <w:rsid w:val="004E2968"/>
    <w:rsid w:val="004E3E84"/>
    <w:rsid w:val="004E455F"/>
    <w:rsid w:val="004E5834"/>
    <w:rsid w:val="004E7515"/>
    <w:rsid w:val="004F2075"/>
    <w:rsid w:val="004F3265"/>
    <w:rsid w:val="004F39A3"/>
    <w:rsid w:val="004F56B7"/>
    <w:rsid w:val="004F7C96"/>
    <w:rsid w:val="005022F7"/>
    <w:rsid w:val="0050367A"/>
    <w:rsid w:val="0050392A"/>
    <w:rsid w:val="0050439A"/>
    <w:rsid w:val="00507DEA"/>
    <w:rsid w:val="00510C5B"/>
    <w:rsid w:val="00510E74"/>
    <w:rsid w:val="005111D7"/>
    <w:rsid w:val="0051368F"/>
    <w:rsid w:val="00514C80"/>
    <w:rsid w:val="00515D0D"/>
    <w:rsid w:val="00517BDA"/>
    <w:rsid w:val="005242E3"/>
    <w:rsid w:val="00525905"/>
    <w:rsid w:val="005312A0"/>
    <w:rsid w:val="00532D71"/>
    <w:rsid w:val="00532F57"/>
    <w:rsid w:val="005338E3"/>
    <w:rsid w:val="00536F80"/>
    <w:rsid w:val="005405AD"/>
    <w:rsid w:val="00540BD6"/>
    <w:rsid w:val="005421B3"/>
    <w:rsid w:val="0054227D"/>
    <w:rsid w:val="005425A9"/>
    <w:rsid w:val="00542FE1"/>
    <w:rsid w:val="0054701F"/>
    <w:rsid w:val="0054772F"/>
    <w:rsid w:val="00550A6B"/>
    <w:rsid w:val="005517EA"/>
    <w:rsid w:val="005533DC"/>
    <w:rsid w:val="00554DF5"/>
    <w:rsid w:val="00556D31"/>
    <w:rsid w:val="00557504"/>
    <w:rsid w:val="00560C37"/>
    <w:rsid w:val="00561BCD"/>
    <w:rsid w:val="005625B8"/>
    <w:rsid w:val="005632AF"/>
    <w:rsid w:val="005654F3"/>
    <w:rsid w:val="0056701E"/>
    <w:rsid w:val="00571229"/>
    <w:rsid w:val="00571381"/>
    <w:rsid w:val="00571507"/>
    <w:rsid w:val="005725C2"/>
    <w:rsid w:val="005737EB"/>
    <w:rsid w:val="00574ABB"/>
    <w:rsid w:val="005753E3"/>
    <w:rsid w:val="00577BF0"/>
    <w:rsid w:val="00581C0B"/>
    <w:rsid w:val="00581CB5"/>
    <w:rsid w:val="00581F4C"/>
    <w:rsid w:val="00582135"/>
    <w:rsid w:val="00582247"/>
    <w:rsid w:val="0058306B"/>
    <w:rsid w:val="005831BF"/>
    <w:rsid w:val="00583EAD"/>
    <w:rsid w:val="00586887"/>
    <w:rsid w:val="0059095D"/>
    <w:rsid w:val="0059192A"/>
    <w:rsid w:val="0059199F"/>
    <w:rsid w:val="00591CFD"/>
    <w:rsid w:val="00594765"/>
    <w:rsid w:val="00594E0A"/>
    <w:rsid w:val="00595B2F"/>
    <w:rsid w:val="005963A1"/>
    <w:rsid w:val="00596853"/>
    <w:rsid w:val="005A0F2A"/>
    <w:rsid w:val="005A3EFB"/>
    <w:rsid w:val="005A44A1"/>
    <w:rsid w:val="005A526D"/>
    <w:rsid w:val="005A5AAB"/>
    <w:rsid w:val="005A7A67"/>
    <w:rsid w:val="005B114C"/>
    <w:rsid w:val="005B1202"/>
    <w:rsid w:val="005B1D19"/>
    <w:rsid w:val="005B31F5"/>
    <w:rsid w:val="005B36D2"/>
    <w:rsid w:val="005B578B"/>
    <w:rsid w:val="005B62EF"/>
    <w:rsid w:val="005B6759"/>
    <w:rsid w:val="005B70A8"/>
    <w:rsid w:val="005B774A"/>
    <w:rsid w:val="005C0234"/>
    <w:rsid w:val="005C0DEA"/>
    <w:rsid w:val="005C1161"/>
    <w:rsid w:val="005C170C"/>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6EF"/>
    <w:rsid w:val="005F35E2"/>
    <w:rsid w:val="005F4354"/>
    <w:rsid w:val="005F45A1"/>
    <w:rsid w:val="005F4DBE"/>
    <w:rsid w:val="005F51BD"/>
    <w:rsid w:val="005F67B0"/>
    <w:rsid w:val="005F6B63"/>
    <w:rsid w:val="005F7F32"/>
    <w:rsid w:val="00601B0E"/>
    <w:rsid w:val="00604430"/>
    <w:rsid w:val="00605DCE"/>
    <w:rsid w:val="00606506"/>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34F1"/>
    <w:rsid w:val="006438BB"/>
    <w:rsid w:val="006440AF"/>
    <w:rsid w:val="00644988"/>
    <w:rsid w:val="00645C09"/>
    <w:rsid w:val="00647E31"/>
    <w:rsid w:val="006512CC"/>
    <w:rsid w:val="00651832"/>
    <w:rsid w:val="006534F5"/>
    <w:rsid w:val="00654410"/>
    <w:rsid w:val="00654C03"/>
    <w:rsid w:val="006550CE"/>
    <w:rsid w:val="006562FA"/>
    <w:rsid w:val="00662397"/>
    <w:rsid w:val="00663810"/>
    <w:rsid w:val="0066449E"/>
    <w:rsid w:val="0066531B"/>
    <w:rsid w:val="006665C5"/>
    <w:rsid w:val="00672700"/>
    <w:rsid w:val="00673DD8"/>
    <w:rsid w:val="00674CF8"/>
    <w:rsid w:val="00675C3C"/>
    <w:rsid w:val="00680C49"/>
    <w:rsid w:val="0068132F"/>
    <w:rsid w:val="006815B3"/>
    <w:rsid w:val="00681FF3"/>
    <w:rsid w:val="00683139"/>
    <w:rsid w:val="00684418"/>
    <w:rsid w:val="00684A9B"/>
    <w:rsid w:val="00685694"/>
    <w:rsid w:val="006858D4"/>
    <w:rsid w:val="00686219"/>
    <w:rsid w:val="006870AE"/>
    <w:rsid w:val="006875BF"/>
    <w:rsid w:val="00690355"/>
    <w:rsid w:val="006904FE"/>
    <w:rsid w:val="0069365C"/>
    <w:rsid w:val="0069478B"/>
    <w:rsid w:val="00694C9C"/>
    <w:rsid w:val="00696758"/>
    <w:rsid w:val="006971C6"/>
    <w:rsid w:val="006A0D9E"/>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D6DA8"/>
    <w:rsid w:val="006D71EA"/>
    <w:rsid w:val="006E1541"/>
    <w:rsid w:val="006E26FA"/>
    <w:rsid w:val="006E381D"/>
    <w:rsid w:val="006E6538"/>
    <w:rsid w:val="006F25F7"/>
    <w:rsid w:val="006F2BF5"/>
    <w:rsid w:val="006F4650"/>
    <w:rsid w:val="006F4D26"/>
    <w:rsid w:val="006F6F26"/>
    <w:rsid w:val="006F7D82"/>
    <w:rsid w:val="007011DC"/>
    <w:rsid w:val="00701EB8"/>
    <w:rsid w:val="00703ACD"/>
    <w:rsid w:val="00703D75"/>
    <w:rsid w:val="0070692D"/>
    <w:rsid w:val="00707003"/>
    <w:rsid w:val="00712FD9"/>
    <w:rsid w:val="007136C2"/>
    <w:rsid w:val="0071541C"/>
    <w:rsid w:val="007163CE"/>
    <w:rsid w:val="007243F0"/>
    <w:rsid w:val="00725167"/>
    <w:rsid w:val="00725705"/>
    <w:rsid w:val="00727DCD"/>
    <w:rsid w:val="0073109B"/>
    <w:rsid w:val="00731996"/>
    <w:rsid w:val="00731D99"/>
    <w:rsid w:val="007324EE"/>
    <w:rsid w:val="00734046"/>
    <w:rsid w:val="0073476E"/>
    <w:rsid w:val="007358A7"/>
    <w:rsid w:val="00740F06"/>
    <w:rsid w:val="00741AB3"/>
    <w:rsid w:val="00743AC9"/>
    <w:rsid w:val="00743B9A"/>
    <w:rsid w:val="00744CAF"/>
    <w:rsid w:val="00745BB1"/>
    <w:rsid w:val="00746744"/>
    <w:rsid w:val="00746F95"/>
    <w:rsid w:val="00747D71"/>
    <w:rsid w:val="00747F6A"/>
    <w:rsid w:val="00750893"/>
    <w:rsid w:val="00757931"/>
    <w:rsid w:val="00760342"/>
    <w:rsid w:val="00760426"/>
    <w:rsid w:val="00761C3F"/>
    <w:rsid w:val="00762957"/>
    <w:rsid w:val="0076466E"/>
    <w:rsid w:val="007653BB"/>
    <w:rsid w:val="00765462"/>
    <w:rsid w:val="00765739"/>
    <w:rsid w:val="007659BA"/>
    <w:rsid w:val="007668B6"/>
    <w:rsid w:val="007671F8"/>
    <w:rsid w:val="00767D05"/>
    <w:rsid w:val="007753E7"/>
    <w:rsid w:val="00776E99"/>
    <w:rsid w:val="00780DE8"/>
    <w:rsid w:val="0078303D"/>
    <w:rsid w:val="007832B9"/>
    <w:rsid w:val="00785284"/>
    <w:rsid w:val="0078555E"/>
    <w:rsid w:val="00785BEC"/>
    <w:rsid w:val="00785C95"/>
    <w:rsid w:val="007861CC"/>
    <w:rsid w:val="00787252"/>
    <w:rsid w:val="00787CED"/>
    <w:rsid w:val="0079040E"/>
    <w:rsid w:val="00790656"/>
    <w:rsid w:val="007911DE"/>
    <w:rsid w:val="00792C5E"/>
    <w:rsid w:val="00793E3C"/>
    <w:rsid w:val="00796570"/>
    <w:rsid w:val="00796751"/>
    <w:rsid w:val="00797677"/>
    <w:rsid w:val="00797BD2"/>
    <w:rsid w:val="00797ECB"/>
    <w:rsid w:val="007A1BE9"/>
    <w:rsid w:val="007A1E1A"/>
    <w:rsid w:val="007A36C3"/>
    <w:rsid w:val="007A3BB4"/>
    <w:rsid w:val="007A3FE2"/>
    <w:rsid w:val="007A4D14"/>
    <w:rsid w:val="007A576D"/>
    <w:rsid w:val="007B136E"/>
    <w:rsid w:val="007B14D6"/>
    <w:rsid w:val="007B247C"/>
    <w:rsid w:val="007B331E"/>
    <w:rsid w:val="007B53B1"/>
    <w:rsid w:val="007B6B17"/>
    <w:rsid w:val="007B779C"/>
    <w:rsid w:val="007C337C"/>
    <w:rsid w:val="007C379F"/>
    <w:rsid w:val="007C4142"/>
    <w:rsid w:val="007C42D9"/>
    <w:rsid w:val="007C454A"/>
    <w:rsid w:val="007C6571"/>
    <w:rsid w:val="007D28E4"/>
    <w:rsid w:val="007D5AE7"/>
    <w:rsid w:val="007D5E87"/>
    <w:rsid w:val="007D65A6"/>
    <w:rsid w:val="007D671C"/>
    <w:rsid w:val="007D7460"/>
    <w:rsid w:val="007D7CA7"/>
    <w:rsid w:val="007E0293"/>
    <w:rsid w:val="007E25A1"/>
    <w:rsid w:val="007F1CA7"/>
    <w:rsid w:val="007F275E"/>
    <w:rsid w:val="007F2A6F"/>
    <w:rsid w:val="007F2AA2"/>
    <w:rsid w:val="007F3A3C"/>
    <w:rsid w:val="007F5327"/>
    <w:rsid w:val="007F5822"/>
    <w:rsid w:val="007F60ED"/>
    <w:rsid w:val="008014AB"/>
    <w:rsid w:val="00802062"/>
    <w:rsid w:val="0080439B"/>
    <w:rsid w:val="00805CB4"/>
    <w:rsid w:val="00807755"/>
    <w:rsid w:val="00811BFA"/>
    <w:rsid w:val="00812D81"/>
    <w:rsid w:val="00812D9E"/>
    <w:rsid w:val="00814B0C"/>
    <w:rsid w:val="00816F99"/>
    <w:rsid w:val="00816FAC"/>
    <w:rsid w:val="008175AE"/>
    <w:rsid w:val="00820DA2"/>
    <w:rsid w:val="0082139D"/>
    <w:rsid w:val="008217CA"/>
    <w:rsid w:val="008235EB"/>
    <w:rsid w:val="00826C3A"/>
    <w:rsid w:val="008276F3"/>
    <w:rsid w:val="00827A83"/>
    <w:rsid w:val="00827FAE"/>
    <w:rsid w:val="008330C7"/>
    <w:rsid w:val="00833446"/>
    <w:rsid w:val="008353AD"/>
    <w:rsid w:val="008356AB"/>
    <w:rsid w:val="00836221"/>
    <w:rsid w:val="0084069A"/>
    <w:rsid w:val="00843199"/>
    <w:rsid w:val="008439FD"/>
    <w:rsid w:val="0084493D"/>
    <w:rsid w:val="008459F0"/>
    <w:rsid w:val="00845ABF"/>
    <w:rsid w:val="00845BB7"/>
    <w:rsid w:val="00846B0F"/>
    <w:rsid w:val="008470F8"/>
    <w:rsid w:val="008511A9"/>
    <w:rsid w:val="008516A0"/>
    <w:rsid w:val="0085194A"/>
    <w:rsid w:val="00854C95"/>
    <w:rsid w:val="008553C3"/>
    <w:rsid w:val="0085695A"/>
    <w:rsid w:val="0085751C"/>
    <w:rsid w:val="00862803"/>
    <w:rsid w:val="00863EF3"/>
    <w:rsid w:val="00864344"/>
    <w:rsid w:val="00866749"/>
    <w:rsid w:val="00866C59"/>
    <w:rsid w:val="008701EA"/>
    <w:rsid w:val="00872B7C"/>
    <w:rsid w:val="00872FD2"/>
    <w:rsid w:val="008735E6"/>
    <w:rsid w:val="008750AE"/>
    <w:rsid w:val="00875846"/>
    <w:rsid w:val="00875A98"/>
    <w:rsid w:val="008766E5"/>
    <w:rsid w:val="00876BE8"/>
    <w:rsid w:val="00880704"/>
    <w:rsid w:val="008807C9"/>
    <w:rsid w:val="00880D9C"/>
    <w:rsid w:val="00882145"/>
    <w:rsid w:val="0088281D"/>
    <w:rsid w:val="00883598"/>
    <w:rsid w:val="0088400D"/>
    <w:rsid w:val="0088769D"/>
    <w:rsid w:val="00887FC8"/>
    <w:rsid w:val="00890135"/>
    <w:rsid w:val="00890219"/>
    <w:rsid w:val="00891FAC"/>
    <w:rsid w:val="008933EB"/>
    <w:rsid w:val="00894A34"/>
    <w:rsid w:val="00896B15"/>
    <w:rsid w:val="00896E0E"/>
    <w:rsid w:val="008A057C"/>
    <w:rsid w:val="008A1EBB"/>
    <w:rsid w:val="008A207F"/>
    <w:rsid w:val="008A4638"/>
    <w:rsid w:val="008A51A2"/>
    <w:rsid w:val="008A5774"/>
    <w:rsid w:val="008A5EAE"/>
    <w:rsid w:val="008A5F73"/>
    <w:rsid w:val="008A62BC"/>
    <w:rsid w:val="008A647B"/>
    <w:rsid w:val="008A6C3E"/>
    <w:rsid w:val="008A7E7B"/>
    <w:rsid w:val="008B10C5"/>
    <w:rsid w:val="008B457B"/>
    <w:rsid w:val="008C037F"/>
    <w:rsid w:val="008C0815"/>
    <w:rsid w:val="008C1455"/>
    <w:rsid w:val="008C1BC3"/>
    <w:rsid w:val="008C2F93"/>
    <w:rsid w:val="008C3DED"/>
    <w:rsid w:val="008C5860"/>
    <w:rsid w:val="008C59A1"/>
    <w:rsid w:val="008C605A"/>
    <w:rsid w:val="008C6C0A"/>
    <w:rsid w:val="008C7693"/>
    <w:rsid w:val="008C7C51"/>
    <w:rsid w:val="008D0660"/>
    <w:rsid w:val="008D0CDE"/>
    <w:rsid w:val="008D374F"/>
    <w:rsid w:val="008D37EE"/>
    <w:rsid w:val="008D55D2"/>
    <w:rsid w:val="008D6327"/>
    <w:rsid w:val="008E0E0A"/>
    <w:rsid w:val="008E3028"/>
    <w:rsid w:val="008E4D40"/>
    <w:rsid w:val="008F002C"/>
    <w:rsid w:val="008F2A0C"/>
    <w:rsid w:val="008F2C8A"/>
    <w:rsid w:val="008F6DCD"/>
    <w:rsid w:val="008F74E6"/>
    <w:rsid w:val="0090191B"/>
    <w:rsid w:val="009025D1"/>
    <w:rsid w:val="009043D9"/>
    <w:rsid w:val="0090564C"/>
    <w:rsid w:val="0090590B"/>
    <w:rsid w:val="009074B5"/>
    <w:rsid w:val="0091237F"/>
    <w:rsid w:val="00913CB4"/>
    <w:rsid w:val="00915987"/>
    <w:rsid w:val="009173CE"/>
    <w:rsid w:val="00921439"/>
    <w:rsid w:val="00921CEF"/>
    <w:rsid w:val="00921D04"/>
    <w:rsid w:val="009231EC"/>
    <w:rsid w:val="00923635"/>
    <w:rsid w:val="009245E3"/>
    <w:rsid w:val="009250CC"/>
    <w:rsid w:val="0092514E"/>
    <w:rsid w:val="00925A90"/>
    <w:rsid w:val="00925D8C"/>
    <w:rsid w:val="0092682D"/>
    <w:rsid w:val="00927FBE"/>
    <w:rsid w:val="00931136"/>
    <w:rsid w:val="009327EF"/>
    <w:rsid w:val="0093299E"/>
    <w:rsid w:val="00933218"/>
    <w:rsid w:val="00933F3C"/>
    <w:rsid w:val="009348EC"/>
    <w:rsid w:val="00934F06"/>
    <w:rsid w:val="0093518C"/>
    <w:rsid w:val="00943DF1"/>
    <w:rsid w:val="00944396"/>
    <w:rsid w:val="00946AE0"/>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4761"/>
    <w:rsid w:val="00967BCA"/>
    <w:rsid w:val="00967C61"/>
    <w:rsid w:val="00970EA1"/>
    <w:rsid w:val="00971128"/>
    <w:rsid w:val="00972C4C"/>
    <w:rsid w:val="00974A19"/>
    <w:rsid w:val="00975685"/>
    <w:rsid w:val="00976110"/>
    <w:rsid w:val="00976F8A"/>
    <w:rsid w:val="009776DF"/>
    <w:rsid w:val="009805AB"/>
    <w:rsid w:val="009835D6"/>
    <w:rsid w:val="0098397F"/>
    <w:rsid w:val="00983A9C"/>
    <w:rsid w:val="0098426B"/>
    <w:rsid w:val="009846F3"/>
    <w:rsid w:val="00985846"/>
    <w:rsid w:val="00985862"/>
    <w:rsid w:val="009860B3"/>
    <w:rsid w:val="0098616B"/>
    <w:rsid w:val="0099296E"/>
    <w:rsid w:val="00992DAD"/>
    <w:rsid w:val="00995292"/>
    <w:rsid w:val="00996EA4"/>
    <w:rsid w:val="00996FC2"/>
    <w:rsid w:val="009975C1"/>
    <w:rsid w:val="00997893"/>
    <w:rsid w:val="009A08A2"/>
    <w:rsid w:val="009A1155"/>
    <w:rsid w:val="009A1670"/>
    <w:rsid w:val="009A17BF"/>
    <w:rsid w:val="009A1A44"/>
    <w:rsid w:val="009A269A"/>
    <w:rsid w:val="009A38D2"/>
    <w:rsid w:val="009A3B5E"/>
    <w:rsid w:val="009A40C7"/>
    <w:rsid w:val="009A4DF7"/>
    <w:rsid w:val="009B2386"/>
    <w:rsid w:val="009B43CC"/>
    <w:rsid w:val="009C0B8F"/>
    <w:rsid w:val="009C0F3B"/>
    <w:rsid w:val="009C17E7"/>
    <w:rsid w:val="009C1BA6"/>
    <w:rsid w:val="009C1F80"/>
    <w:rsid w:val="009C2CA1"/>
    <w:rsid w:val="009C30C8"/>
    <w:rsid w:val="009C3304"/>
    <w:rsid w:val="009C407C"/>
    <w:rsid w:val="009C4376"/>
    <w:rsid w:val="009C69B1"/>
    <w:rsid w:val="009C6FCA"/>
    <w:rsid w:val="009C70AE"/>
    <w:rsid w:val="009C7CE6"/>
    <w:rsid w:val="009D2E35"/>
    <w:rsid w:val="009D3676"/>
    <w:rsid w:val="009D3A0B"/>
    <w:rsid w:val="009D4961"/>
    <w:rsid w:val="009D5BB8"/>
    <w:rsid w:val="009D6FB6"/>
    <w:rsid w:val="009E0D86"/>
    <w:rsid w:val="009E3AB8"/>
    <w:rsid w:val="009E4C95"/>
    <w:rsid w:val="009E6091"/>
    <w:rsid w:val="009E67A7"/>
    <w:rsid w:val="009E7D0B"/>
    <w:rsid w:val="009F04AC"/>
    <w:rsid w:val="009F3770"/>
    <w:rsid w:val="009F5065"/>
    <w:rsid w:val="009F5254"/>
    <w:rsid w:val="009F630C"/>
    <w:rsid w:val="009F6964"/>
    <w:rsid w:val="009F75E4"/>
    <w:rsid w:val="009F7D12"/>
    <w:rsid w:val="00A00F59"/>
    <w:rsid w:val="00A032F4"/>
    <w:rsid w:val="00A03AAF"/>
    <w:rsid w:val="00A0637E"/>
    <w:rsid w:val="00A065ED"/>
    <w:rsid w:val="00A06C15"/>
    <w:rsid w:val="00A07F55"/>
    <w:rsid w:val="00A1063D"/>
    <w:rsid w:val="00A10B52"/>
    <w:rsid w:val="00A10F22"/>
    <w:rsid w:val="00A12980"/>
    <w:rsid w:val="00A15A22"/>
    <w:rsid w:val="00A17C82"/>
    <w:rsid w:val="00A2467A"/>
    <w:rsid w:val="00A24E14"/>
    <w:rsid w:val="00A25E5A"/>
    <w:rsid w:val="00A27335"/>
    <w:rsid w:val="00A275B2"/>
    <w:rsid w:val="00A30939"/>
    <w:rsid w:val="00A30DC9"/>
    <w:rsid w:val="00A310A8"/>
    <w:rsid w:val="00A31232"/>
    <w:rsid w:val="00A31E20"/>
    <w:rsid w:val="00A321D7"/>
    <w:rsid w:val="00A32D89"/>
    <w:rsid w:val="00A34A31"/>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12F7"/>
    <w:rsid w:val="00A62388"/>
    <w:rsid w:val="00A63852"/>
    <w:rsid w:val="00A63A1A"/>
    <w:rsid w:val="00A63FE4"/>
    <w:rsid w:val="00A65769"/>
    <w:rsid w:val="00A65A2C"/>
    <w:rsid w:val="00A65E15"/>
    <w:rsid w:val="00A66905"/>
    <w:rsid w:val="00A66D92"/>
    <w:rsid w:val="00A67413"/>
    <w:rsid w:val="00A713DD"/>
    <w:rsid w:val="00A71585"/>
    <w:rsid w:val="00A73D37"/>
    <w:rsid w:val="00A7469D"/>
    <w:rsid w:val="00A74D08"/>
    <w:rsid w:val="00A7568B"/>
    <w:rsid w:val="00A75C91"/>
    <w:rsid w:val="00A763D0"/>
    <w:rsid w:val="00A81491"/>
    <w:rsid w:val="00A81CBC"/>
    <w:rsid w:val="00A82B4B"/>
    <w:rsid w:val="00A8398A"/>
    <w:rsid w:val="00A8675A"/>
    <w:rsid w:val="00A87D8E"/>
    <w:rsid w:val="00A9150F"/>
    <w:rsid w:val="00A954A2"/>
    <w:rsid w:val="00A95C01"/>
    <w:rsid w:val="00A9660B"/>
    <w:rsid w:val="00A96EC8"/>
    <w:rsid w:val="00AA205A"/>
    <w:rsid w:val="00AA2899"/>
    <w:rsid w:val="00AA2EDF"/>
    <w:rsid w:val="00AA584B"/>
    <w:rsid w:val="00AA61C9"/>
    <w:rsid w:val="00AA791B"/>
    <w:rsid w:val="00AB119D"/>
    <w:rsid w:val="00AB1873"/>
    <w:rsid w:val="00AB26CF"/>
    <w:rsid w:val="00AB42B4"/>
    <w:rsid w:val="00AB4A3F"/>
    <w:rsid w:val="00AB52D9"/>
    <w:rsid w:val="00AB7541"/>
    <w:rsid w:val="00AC2F31"/>
    <w:rsid w:val="00AC3972"/>
    <w:rsid w:val="00AC547F"/>
    <w:rsid w:val="00AC74A7"/>
    <w:rsid w:val="00AD12BE"/>
    <w:rsid w:val="00AD435B"/>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AF7A7F"/>
    <w:rsid w:val="00B01F01"/>
    <w:rsid w:val="00B03FF8"/>
    <w:rsid w:val="00B049DB"/>
    <w:rsid w:val="00B0550C"/>
    <w:rsid w:val="00B065D6"/>
    <w:rsid w:val="00B06A40"/>
    <w:rsid w:val="00B06BC0"/>
    <w:rsid w:val="00B07505"/>
    <w:rsid w:val="00B07906"/>
    <w:rsid w:val="00B07B3F"/>
    <w:rsid w:val="00B1050D"/>
    <w:rsid w:val="00B129D9"/>
    <w:rsid w:val="00B13139"/>
    <w:rsid w:val="00B1441E"/>
    <w:rsid w:val="00B14F33"/>
    <w:rsid w:val="00B16CF5"/>
    <w:rsid w:val="00B208CF"/>
    <w:rsid w:val="00B20EE0"/>
    <w:rsid w:val="00B25A3B"/>
    <w:rsid w:val="00B2602F"/>
    <w:rsid w:val="00B262E8"/>
    <w:rsid w:val="00B26D4D"/>
    <w:rsid w:val="00B27156"/>
    <w:rsid w:val="00B271A5"/>
    <w:rsid w:val="00B27EF4"/>
    <w:rsid w:val="00B31E5C"/>
    <w:rsid w:val="00B3487D"/>
    <w:rsid w:val="00B36270"/>
    <w:rsid w:val="00B41A41"/>
    <w:rsid w:val="00B441BF"/>
    <w:rsid w:val="00B44D3B"/>
    <w:rsid w:val="00B45E39"/>
    <w:rsid w:val="00B45F4C"/>
    <w:rsid w:val="00B462C5"/>
    <w:rsid w:val="00B464C3"/>
    <w:rsid w:val="00B468E6"/>
    <w:rsid w:val="00B47651"/>
    <w:rsid w:val="00B50DFD"/>
    <w:rsid w:val="00B50E63"/>
    <w:rsid w:val="00B512EE"/>
    <w:rsid w:val="00B518CD"/>
    <w:rsid w:val="00B534ED"/>
    <w:rsid w:val="00B5379B"/>
    <w:rsid w:val="00B54024"/>
    <w:rsid w:val="00B550CF"/>
    <w:rsid w:val="00B559A6"/>
    <w:rsid w:val="00B614E4"/>
    <w:rsid w:val="00B617B8"/>
    <w:rsid w:val="00B62D54"/>
    <w:rsid w:val="00B633CD"/>
    <w:rsid w:val="00B64155"/>
    <w:rsid w:val="00B64F4E"/>
    <w:rsid w:val="00B64F65"/>
    <w:rsid w:val="00B6776C"/>
    <w:rsid w:val="00B67ABE"/>
    <w:rsid w:val="00B67EB7"/>
    <w:rsid w:val="00B75982"/>
    <w:rsid w:val="00B774F3"/>
    <w:rsid w:val="00B779DB"/>
    <w:rsid w:val="00B831FE"/>
    <w:rsid w:val="00B83C7F"/>
    <w:rsid w:val="00B86670"/>
    <w:rsid w:val="00B86A53"/>
    <w:rsid w:val="00B900B5"/>
    <w:rsid w:val="00B9033E"/>
    <w:rsid w:val="00B90D86"/>
    <w:rsid w:val="00B927B4"/>
    <w:rsid w:val="00B92BED"/>
    <w:rsid w:val="00B92C90"/>
    <w:rsid w:val="00B94833"/>
    <w:rsid w:val="00B94ED8"/>
    <w:rsid w:val="00B9726F"/>
    <w:rsid w:val="00BA0190"/>
    <w:rsid w:val="00BA1447"/>
    <w:rsid w:val="00BA233E"/>
    <w:rsid w:val="00BA4CCD"/>
    <w:rsid w:val="00BA4F48"/>
    <w:rsid w:val="00BA642A"/>
    <w:rsid w:val="00BA6A56"/>
    <w:rsid w:val="00BB05C3"/>
    <w:rsid w:val="00BB1899"/>
    <w:rsid w:val="00BB31F0"/>
    <w:rsid w:val="00BB3C00"/>
    <w:rsid w:val="00BB3D12"/>
    <w:rsid w:val="00BB5D41"/>
    <w:rsid w:val="00BB6CEE"/>
    <w:rsid w:val="00BB7FC9"/>
    <w:rsid w:val="00BC0731"/>
    <w:rsid w:val="00BC1371"/>
    <w:rsid w:val="00BC1B09"/>
    <w:rsid w:val="00BC2672"/>
    <w:rsid w:val="00BC2B83"/>
    <w:rsid w:val="00BC3DB2"/>
    <w:rsid w:val="00BC5A17"/>
    <w:rsid w:val="00BC5CF7"/>
    <w:rsid w:val="00BC6AC3"/>
    <w:rsid w:val="00BC77EA"/>
    <w:rsid w:val="00BC77EE"/>
    <w:rsid w:val="00BD170E"/>
    <w:rsid w:val="00BD187C"/>
    <w:rsid w:val="00BD2226"/>
    <w:rsid w:val="00BD3C7B"/>
    <w:rsid w:val="00BD4467"/>
    <w:rsid w:val="00BD453B"/>
    <w:rsid w:val="00BD4708"/>
    <w:rsid w:val="00BD4AA2"/>
    <w:rsid w:val="00BD5904"/>
    <w:rsid w:val="00BD69F3"/>
    <w:rsid w:val="00BD71DF"/>
    <w:rsid w:val="00BE0FE0"/>
    <w:rsid w:val="00BE1F6D"/>
    <w:rsid w:val="00BE409A"/>
    <w:rsid w:val="00BE4399"/>
    <w:rsid w:val="00BE44C6"/>
    <w:rsid w:val="00BE51BB"/>
    <w:rsid w:val="00BE5D75"/>
    <w:rsid w:val="00BE7974"/>
    <w:rsid w:val="00BF2FD1"/>
    <w:rsid w:val="00BF7F56"/>
    <w:rsid w:val="00C00EFA"/>
    <w:rsid w:val="00C02832"/>
    <w:rsid w:val="00C02EE1"/>
    <w:rsid w:val="00C03821"/>
    <w:rsid w:val="00C03DAD"/>
    <w:rsid w:val="00C04554"/>
    <w:rsid w:val="00C0461E"/>
    <w:rsid w:val="00C06869"/>
    <w:rsid w:val="00C073E6"/>
    <w:rsid w:val="00C11D56"/>
    <w:rsid w:val="00C12E27"/>
    <w:rsid w:val="00C14345"/>
    <w:rsid w:val="00C14482"/>
    <w:rsid w:val="00C14FE4"/>
    <w:rsid w:val="00C15408"/>
    <w:rsid w:val="00C16AC9"/>
    <w:rsid w:val="00C16F20"/>
    <w:rsid w:val="00C17538"/>
    <w:rsid w:val="00C17636"/>
    <w:rsid w:val="00C20AA8"/>
    <w:rsid w:val="00C22F60"/>
    <w:rsid w:val="00C24B5D"/>
    <w:rsid w:val="00C25223"/>
    <w:rsid w:val="00C254BE"/>
    <w:rsid w:val="00C25D8B"/>
    <w:rsid w:val="00C25FC1"/>
    <w:rsid w:val="00C262AF"/>
    <w:rsid w:val="00C271D6"/>
    <w:rsid w:val="00C277F3"/>
    <w:rsid w:val="00C3088D"/>
    <w:rsid w:val="00C319A8"/>
    <w:rsid w:val="00C319F9"/>
    <w:rsid w:val="00C3530A"/>
    <w:rsid w:val="00C353B7"/>
    <w:rsid w:val="00C3585B"/>
    <w:rsid w:val="00C35C89"/>
    <w:rsid w:val="00C36570"/>
    <w:rsid w:val="00C36EEA"/>
    <w:rsid w:val="00C426FB"/>
    <w:rsid w:val="00C42EE3"/>
    <w:rsid w:val="00C43C8F"/>
    <w:rsid w:val="00C449E5"/>
    <w:rsid w:val="00C451FF"/>
    <w:rsid w:val="00C45889"/>
    <w:rsid w:val="00C476BC"/>
    <w:rsid w:val="00C47BC6"/>
    <w:rsid w:val="00C50F05"/>
    <w:rsid w:val="00C51114"/>
    <w:rsid w:val="00C51F93"/>
    <w:rsid w:val="00C52421"/>
    <w:rsid w:val="00C528CE"/>
    <w:rsid w:val="00C52AD3"/>
    <w:rsid w:val="00C54034"/>
    <w:rsid w:val="00C56213"/>
    <w:rsid w:val="00C56894"/>
    <w:rsid w:val="00C607F4"/>
    <w:rsid w:val="00C62C8A"/>
    <w:rsid w:val="00C6582D"/>
    <w:rsid w:val="00C667DD"/>
    <w:rsid w:val="00C72D86"/>
    <w:rsid w:val="00C73560"/>
    <w:rsid w:val="00C73CDE"/>
    <w:rsid w:val="00C74150"/>
    <w:rsid w:val="00C749DA"/>
    <w:rsid w:val="00C77983"/>
    <w:rsid w:val="00C77AE1"/>
    <w:rsid w:val="00C80926"/>
    <w:rsid w:val="00C818D7"/>
    <w:rsid w:val="00C847AA"/>
    <w:rsid w:val="00C87C30"/>
    <w:rsid w:val="00C90D80"/>
    <w:rsid w:val="00C9217F"/>
    <w:rsid w:val="00C92559"/>
    <w:rsid w:val="00C92AB7"/>
    <w:rsid w:val="00C931EC"/>
    <w:rsid w:val="00C937E6"/>
    <w:rsid w:val="00C940D9"/>
    <w:rsid w:val="00C96DCD"/>
    <w:rsid w:val="00CA0B88"/>
    <w:rsid w:val="00CA1826"/>
    <w:rsid w:val="00CA1D08"/>
    <w:rsid w:val="00CA25DB"/>
    <w:rsid w:val="00CA283F"/>
    <w:rsid w:val="00CA2A50"/>
    <w:rsid w:val="00CA31E3"/>
    <w:rsid w:val="00CA46B8"/>
    <w:rsid w:val="00CA5C25"/>
    <w:rsid w:val="00CA6875"/>
    <w:rsid w:val="00CA6F29"/>
    <w:rsid w:val="00CA70D7"/>
    <w:rsid w:val="00CA7778"/>
    <w:rsid w:val="00CA7CCD"/>
    <w:rsid w:val="00CA7F62"/>
    <w:rsid w:val="00CA7FA6"/>
    <w:rsid w:val="00CB0314"/>
    <w:rsid w:val="00CB09A7"/>
    <w:rsid w:val="00CB1379"/>
    <w:rsid w:val="00CB1B65"/>
    <w:rsid w:val="00CB2CAE"/>
    <w:rsid w:val="00CB3A64"/>
    <w:rsid w:val="00CB5631"/>
    <w:rsid w:val="00CB5A16"/>
    <w:rsid w:val="00CB5E63"/>
    <w:rsid w:val="00CB6542"/>
    <w:rsid w:val="00CB73CD"/>
    <w:rsid w:val="00CC0A3F"/>
    <w:rsid w:val="00CC1180"/>
    <w:rsid w:val="00CC28A7"/>
    <w:rsid w:val="00CD02EB"/>
    <w:rsid w:val="00CD085E"/>
    <w:rsid w:val="00CD1622"/>
    <w:rsid w:val="00CD3030"/>
    <w:rsid w:val="00CD3BF9"/>
    <w:rsid w:val="00CD4839"/>
    <w:rsid w:val="00CD4BC8"/>
    <w:rsid w:val="00CD5C4D"/>
    <w:rsid w:val="00CD5CEA"/>
    <w:rsid w:val="00CD66E4"/>
    <w:rsid w:val="00CD7B08"/>
    <w:rsid w:val="00CE7CEC"/>
    <w:rsid w:val="00CF0DE5"/>
    <w:rsid w:val="00CF1DAF"/>
    <w:rsid w:val="00CF2900"/>
    <w:rsid w:val="00CF2EA4"/>
    <w:rsid w:val="00CF5C81"/>
    <w:rsid w:val="00CF6DAA"/>
    <w:rsid w:val="00CF7B2E"/>
    <w:rsid w:val="00D00F46"/>
    <w:rsid w:val="00D02685"/>
    <w:rsid w:val="00D0517D"/>
    <w:rsid w:val="00D0611E"/>
    <w:rsid w:val="00D065C8"/>
    <w:rsid w:val="00D10E77"/>
    <w:rsid w:val="00D13401"/>
    <w:rsid w:val="00D158C9"/>
    <w:rsid w:val="00D160C9"/>
    <w:rsid w:val="00D1718C"/>
    <w:rsid w:val="00D2039E"/>
    <w:rsid w:val="00D20477"/>
    <w:rsid w:val="00D2150E"/>
    <w:rsid w:val="00D21C2F"/>
    <w:rsid w:val="00D2209E"/>
    <w:rsid w:val="00D22DA8"/>
    <w:rsid w:val="00D30AA0"/>
    <w:rsid w:val="00D3110E"/>
    <w:rsid w:val="00D320C8"/>
    <w:rsid w:val="00D32E8F"/>
    <w:rsid w:val="00D3344C"/>
    <w:rsid w:val="00D35304"/>
    <w:rsid w:val="00D36368"/>
    <w:rsid w:val="00D4201E"/>
    <w:rsid w:val="00D42718"/>
    <w:rsid w:val="00D43142"/>
    <w:rsid w:val="00D43A16"/>
    <w:rsid w:val="00D442D1"/>
    <w:rsid w:val="00D452A5"/>
    <w:rsid w:val="00D50541"/>
    <w:rsid w:val="00D514DB"/>
    <w:rsid w:val="00D5319C"/>
    <w:rsid w:val="00D556A7"/>
    <w:rsid w:val="00D5611D"/>
    <w:rsid w:val="00D5709E"/>
    <w:rsid w:val="00D600BE"/>
    <w:rsid w:val="00D647E7"/>
    <w:rsid w:val="00D65666"/>
    <w:rsid w:val="00D6570D"/>
    <w:rsid w:val="00D6618A"/>
    <w:rsid w:val="00D66306"/>
    <w:rsid w:val="00D67391"/>
    <w:rsid w:val="00D706D8"/>
    <w:rsid w:val="00D715E3"/>
    <w:rsid w:val="00D71B6E"/>
    <w:rsid w:val="00D723CB"/>
    <w:rsid w:val="00D73018"/>
    <w:rsid w:val="00D73BC7"/>
    <w:rsid w:val="00D7635A"/>
    <w:rsid w:val="00D769DF"/>
    <w:rsid w:val="00D77391"/>
    <w:rsid w:val="00D803FA"/>
    <w:rsid w:val="00D8139A"/>
    <w:rsid w:val="00D81A4E"/>
    <w:rsid w:val="00D821C1"/>
    <w:rsid w:val="00D823F9"/>
    <w:rsid w:val="00D82CC0"/>
    <w:rsid w:val="00D850AF"/>
    <w:rsid w:val="00D857A0"/>
    <w:rsid w:val="00D85DE4"/>
    <w:rsid w:val="00D866A4"/>
    <w:rsid w:val="00D868AD"/>
    <w:rsid w:val="00D86FF6"/>
    <w:rsid w:val="00D87CFA"/>
    <w:rsid w:val="00D91886"/>
    <w:rsid w:val="00D92FE3"/>
    <w:rsid w:val="00D93B61"/>
    <w:rsid w:val="00D95291"/>
    <w:rsid w:val="00D952C5"/>
    <w:rsid w:val="00D96789"/>
    <w:rsid w:val="00D97173"/>
    <w:rsid w:val="00D97232"/>
    <w:rsid w:val="00DA1DB9"/>
    <w:rsid w:val="00DA2AFA"/>
    <w:rsid w:val="00DA4154"/>
    <w:rsid w:val="00DA4394"/>
    <w:rsid w:val="00DA45D5"/>
    <w:rsid w:val="00DA477B"/>
    <w:rsid w:val="00DA5969"/>
    <w:rsid w:val="00DA76B7"/>
    <w:rsid w:val="00DB132D"/>
    <w:rsid w:val="00DB3101"/>
    <w:rsid w:val="00DB47E9"/>
    <w:rsid w:val="00DB7024"/>
    <w:rsid w:val="00DC0845"/>
    <w:rsid w:val="00DC09A0"/>
    <w:rsid w:val="00DC233D"/>
    <w:rsid w:val="00DC4200"/>
    <w:rsid w:val="00DC6202"/>
    <w:rsid w:val="00DC6A07"/>
    <w:rsid w:val="00DD1258"/>
    <w:rsid w:val="00DD24B1"/>
    <w:rsid w:val="00DD375E"/>
    <w:rsid w:val="00DD3D05"/>
    <w:rsid w:val="00DD4F22"/>
    <w:rsid w:val="00DD51BB"/>
    <w:rsid w:val="00DD5763"/>
    <w:rsid w:val="00DD5A80"/>
    <w:rsid w:val="00DD6F4A"/>
    <w:rsid w:val="00DE0385"/>
    <w:rsid w:val="00DE09B9"/>
    <w:rsid w:val="00DE1C49"/>
    <w:rsid w:val="00DE550D"/>
    <w:rsid w:val="00DE57E6"/>
    <w:rsid w:val="00DE7B48"/>
    <w:rsid w:val="00DF02AF"/>
    <w:rsid w:val="00DF0E66"/>
    <w:rsid w:val="00DF157E"/>
    <w:rsid w:val="00DF305F"/>
    <w:rsid w:val="00DF31B1"/>
    <w:rsid w:val="00DF4F8A"/>
    <w:rsid w:val="00DF5206"/>
    <w:rsid w:val="00DF536E"/>
    <w:rsid w:val="00DF5443"/>
    <w:rsid w:val="00DF7C51"/>
    <w:rsid w:val="00E03457"/>
    <w:rsid w:val="00E0625B"/>
    <w:rsid w:val="00E069A2"/>
    <w:rsid w:val="00E12716"/>
    <w:rsid w:val="00E13FD9"/>
    <w:rsid w:val="00E15765"/>
    <w:rsid w:val="00E15849"/>
    <w:rsid w:val="00E169DC"/>
    <w:rsid w:val="00E173CC"/>
    <w:rsid w:val="00E20518"/>
    <w:rsid w:val="00E20CE8"/>
    <w:rsid w:val="00E21837"/>
    <w:rsid w:val="00E24EFB"/>
    <w:rsid w:val="00E251AF"/>
    <w:rsid w:val="00E25F87"/>
    <w:rsid w:val="00E2681E"/>
    <w:rsid w:val="00E31604"/>
    <w:rsid w:val="00E32662"/>
    <w:rsid w:val="00E34C8D"/>
    <w:rsid w:val="00E3785E"/>
    <w:rsid w:val="00E40345"/>
    <w:rsid w:val="00E43E64"/>
    <w:rsid w:val="00E44BDA"/>
    <w:rsid w:val="00E451F8"/>
    <w:rsid w:val="00E452CA"/>
    <w:rsid w:val="00E4548F"/>
    <w:rsid w:val="00E4712A"/>
    <w:rsid w:val="00E50EC0"/>
    <w:rsid w:val="00E524EA"/>
    <w:rsid w:val="00E52BE8"/>
    <w:rsid w:val="00E540B0"/>
    <w:rsid w:val="00E5549B"/>
    <w:rsid w:val="00E5721E"/>
    <w:rsid w:val="00E60568"/>
    <w:rsid w:val="00E61E45"/>
    <w:rsid w:val="00E62678"/>
    <w:rsid w:val="00E62757"/>
    <w:rsid w:val="00E63D47"/>
    <w:rsid w:val="00E64E18"/>
    <w:rsid w:val="00E655C6"/>
    <w:rsid w:val="00E65EAB"/>
    <w:rsid w:val="00E67810"/>
    <w:rsid w:val="00E708DE"/>
    <w:rsid w:val="00E71CF4"/>
    <w:rsid w:val="00E738F0"/>
    <w:rsid w:val="00E757F0"/>
    <w:rsid w:val="00E76467"/>
    <w:rsid w:val="00E7707B"/>
    <w:rsid w:val="00E81423"/>
    <w:rsid w:val="00E829CA"/>
    <w:rsid w:val="00E82C94"/>
    <w:rsid w:val="00E86850"/>
    <w:rsid w:val="00E901A5"/>
    <w:rsid w:val="00E9029F"/>
    <w:rsid w:val="00E90AB5"/>
    <w:rsid w:val="00E91645"/>
    <w:rsid w:val="00E919FA"/>
    <w:rsid w:val="00E932EE"/>
    <w:rsid w:val="00E9460A"/>
    <w:rsid w:val="00E952CB"/>
    <w:rsid w:val="00EA1C6D"/>
    <w:rsid w:val="00EA2383"/>
    <w:rsid w:val="00EA41AD"/>
    <w:rsid w:val="00EA57A3"/>
    <w:rsid w:val="00EB037C"/>
    <w:rsid w:val="00EB07AF"/>
    <w:rsid w:val="00EB0B49"/>
    <w:rsid w:val="00EB14A8"/>
    <w:rsid w:val="00EB1C77"/>
    <w:rsid w:val="00EB1EED"/>
    <w:rsid w:val="00EB275D"/>
    <w:rsid w:val="00EB293D"/>
    <w:rsid w:val="00EB3288"/>
    <w:rsid w:val="00EB3DE0"/>
    <w:rsid w:val="00EB4CDB"/>
    <w:rsid w:val="00EB6FF1"/>
    <w:rsid w:val="00EB7372"/>
    <w:rsid w:val="00EB7D96"/>
    <w:rsid w:val="00EC192F"/>
    <w:rsid w:val="00EC209B"/>
    <w:rsid w:val="00EC23FC"/>
    <w:rsid w:val="00EC2F81"/>
    <w:rsid w:val="00EC5E6A"/>
    <w:rsid w:val="00EC6915"/>
    <w:rsid w:val="00EC76A9"/>
    <w:rsid w:val="00EC7758"/>
    <w:rsid w:val="00ED0B82"/>
    <w:rsid w:val="00ED3152"/>
    <w:rsid w:val="00ED3E7E"/>
    <w:rsid w:val="00EE025D"/>
    <w:rsid w:val="00EE02BB"/>
    <w:rsid w:val="00EE0782"/>
    <w:rsid w:val="00EE276D"/>
    <w:rsid w:val="00EE32E7"/>
    <w:rsid w:val="00EE6384"/>
    <w:rsid w:val="00EE68A7"/>
    <w:rsid w:val="00EF1E7E"/>
    <w:rsid w:val="00EF1F5F"/>
    <w:rsid w:val="00EF414D"/>
    <w:rsid w:val="00EF7A48"/>
    <w:rsid w:val="00F00724"/>
    <w:rsid w:val="00F04AAB"/>
    <w:rsid w:val="00F061F9"/>
    <w:rsid w:val="00F10914"/>
    <w:rsid w:val="00F10F26"/>
    <w:rsid w:val="00F11530"/>
    <w:rsid w:val="00F122DA"/>
    <w:rsid w:val="00F12511"/>
    <w:rsid w:val="00F135DF"/>
    <w:rsid w:val="00F14473"/>
    <w:rsid w:val="00F1554D"/>
    <w:rsid w:val="00F157F1"/>
    <w:rsid w:val="00F17577"/>
    <w:rsid w:val="00F20ADC"/>
    <w:rsid w:val="00F231F5"/>
    <w:rsid w:val="00F24B9A"/>
    <w:rsid w:val="00F25A34"/>
    <w:rsid w:val="00F2617B"/>
    <w:rsid w:val="00F26AF1"/>
    <w:rsid w:val="00F27C3A"/>
    <w:rsid w:val="00F3091F"/>
    <w:rsid w:val="00F312C1"/>
    <w:rsid w:val="00F34566"/>
    <w:rsid w:val="00F37121"/>
    <w:rsid w:val="00F376C5"/>
    <w:rsid w:val="00F37DB9"/>
    <w:rsid w:val="00F40C39"/>
    <w:rsid w:val="00F424DD"/>
    <w:rsid w:val="00F44541"/>
    <w:rsid w:val="00F452BF"/>
    <w:rsid w:val="00F45D54"/>
    <w:rsid w:val="00F4754C"/>
    <w:rsid w:val="00F51B92"/>
    <w:rsid w:val="00F51DE9"/>
    <w:rsid w:val="00F51F5C"/>
    <w:rsid w:val="00F52A23"/>
    <w:rsid w:val="00F53289"/>
    <w:rsid w:val="00F53CDB"/>
    <w:rsid w:val="00F5446D"/>
    <w:rsid w:val="00F553C0"/>
    <w:rsid w:val="00F55A53"/>
    <w:rsid w:val="00F569A1"/>
    <w:rsid w:val="00F56B72"/>
    <w:rsid w:val="00F56EDC"/>
    <w:rsid w:val="00F57937"/>
    <w:rsid w:val="00F604CC"/>
    <w:rsid w:val="00F6076A"/>
    <w:rsid w:val="00F6085C"/>
    <w:rsid w:val="00F61CCA"/>
    <w:rsid w:val="00F62DED"/>
    <w:rsid w:val="00F63CE3"/>
    <w:rsid w:val="00F64443"/>
    <w:rsid w:val="00F648B2"/>
    <w:rsid w:val="00F65091"/>
    <w:rsid w:val="00F67361"/>
    <w:rsid w:val="00F7011B"/>
    <w:rsid w:val="00F70357"/>
    <w:rsid w:val="00F70E5D"/>
    <w:rsid w:val="00F71330"/>
    <w:rsid w:val="00F71B4E"/>
    <w:rsid w:val="00F727EF"/>
    <w:rsid w:val="00F72806"/>
    <w:rsid w:val="00F7387B"/>
    <w:rsid w:val="00F7536E"/>
    <w:rsid w:val="00F7564C"/>
    <w:rsid w:val="00F763DA"/>
    <w:rsid w:val="00F80A33"/>
    <w:rsid w:val="00F81DA7"/>
    <w:rsid w:val="00F82B48"/>
    <w:rsid w:val="00F8343B"/>
    <w:rsid w:val="00F85838"/>
    <w:rsid w:val="00F8665A"/>
    <w:rsid w:val="00F875AE"/>
    <w:rsid w:val="00F90262"/>
    <w:rsid w:val="00F90A19"/>
    <w:rsid w:val="00F90E0B"/>
    <w:rsid w:val="00F9142C"/>
    <w:rsid w:val="00F92159"/>
    <w:rsid w:val="00F921F9"/>
    <w:rsid w:val="00F946B9"/>
    <w:rsid w:val="00FA1357"/>
    <w:rsid w:val="00FA20DF"/>
    <w:rsid w:val="00FA64C6"/>
    <w:rsid w:val="00FA6A12"/>
    <w:rsid w:val="00FA6A3F"/>
    <w:rsid w:val="00FA6E0C"/>
    <w:rsid w:val="00FB06DA"/>
    <w:rsid w:val="00FB5BE9"/>
    <w:rsid w:val="00FB7A5C"/>
    <w:rsid w:val="00FC0F02"/>
    <w:rsid w:val="00FC0F12"/>
    <w:rsid w:val="00FC1CA3"/>
    <w:rsid w:val="00FC2BAE"/>
    <w:rsid w:val="00FC3F44"/>
    <w:rsid w:val="00FC7C4B"/>
    <w:rsid w:val="00FD0DE3"/>
    <w:rsid w:val="00FD12B2"/>
    <w:rsid w:val="00FD142D"/>
    <w:rsid w:val="00FD2136"/>
    <w:rsid w:val="00FD272C"/>
    <w:rsid w:val="00FD59BF"/>
    <w:rsid w:val="00FD6C2B"/>
    <w:rsid w:val="00FD6ED5"/>
    <w:rsid w:val="00FD79D3"/>
    <w:rsid w:val="00FE05F0"/>
    <w:rsid w:val="00FE36E8"/>
    <w:rsid w:val="00FE5281"/>
    <w:rsid w:val="00FE666D"/>
    <w:rsid w:val="00FE71D1"/>
    <w:rsid w:val="00FE73BF"/>
    <w:rsid w:val="00FE769F"/>
    <w:rsid w:val="00FF0307"/>
    <w:rsid w:val="00FF12A4"/>
    <w:rsid w:val="00FF14E5"/>
    <w:rsid w:val="00FF614A"/>
    <w:rsid w:val="00FF6188"/>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D97"/>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tabs>
        <w:tab w:val="clear" w:pos="5388"/>
        <w:tab w:val="num" w:pos="6522"/>
      </w:tabs>
      <w:ind w:left="6522"/>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aliases w:val="GTA,McLL Table General Text,SGS Numeric Table,none"/>
    <w:basedOn w:val="TableNormal"/>
    <w:uiPriority w:val="39"/>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pPr>
      <w:tabs>
        <w:tab w:val="clear" w:pos="6522"/>
        <w:tab w:val="num" w:pos="5388"/>
      </w:tabs>
      <w:ind w:left="5388"/>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semiHidden/>
    <w:unhideWhenUsed/>
    <w:rsid w:val="00D821C1"/>
    <w:rPr>
      <w:sz w:val="16"/>
      <w:szCs w:val="16"/>
    </w:rPr>
  </w:style>
  <w:style w:type="paragraph" w:styleId="CommentText">
    <w:name w:val="annotation text"/>
    <w:basedOn w:val="Normal"/>
    <w:link w:val="CommentTextChar"/>
    <w:unhideWhenUsed/>
    <w:rsid w:val="00D821C1"/>
    <w:rPr>
      <w:sz w:val="20"/>
      <w:szCs w:val="20"/>
    </w:rPr>
  </w:style>
  <w:style w:type="character" w:customStyle="1" w:styleId="CommentTextChar">
    <w:name w:val="Comment Text Char"/>
    <w:basedOn w:val="DefaultParagraphFont"/>
    <w:link w:val="CommentText"/>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unhideWhenUsed/>
    <w:qFormat/>
    <w:rsid w:val="004C0560"/>
    <w:pPr>
      <w:spacing w:before="0" w:after="0"/>
    </w:pPr>
    <w:rPr>
      <w:sz w:val="20"/>
      <w:szCs w:val="20"/>
    </w:rPr>
  </w:style>
  <w:style w:type="character" w:customStyle="1" w:styleId="FootnoteTextChar">
    <w:name w:val="Footnote Text Char"/>
    <w:basedOn w:val="DefaultParagraphFont"/>
    <w:link w:val="FootnoteText"/>
    <w:uiPriority w:val="99"/>
    <w:rsid w:val="004C0560"/>
  </w:style>
  <w:style w:type="character" w:styleId="FootnoteReference">
    <w:name w:val="footnote reference"/>
    <w:basedOn w:val="DefaultParagraphFont"/>
    <w:uiPriority w:val="99"/>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paragraph" w:styleId="ListBullet">
    <w:name w:val="List Bullet"/>
    <w:basedOn w:val="Normal"/>
    <w:uiPriority w:val="99"/>
    <w:unhideWhenUsed/>
    <w:qFormat/>
    <w:rsid w:val="00117116"/>
    <w:pPr>
      <w:tabs>
        <w:tab w:val="num" w:pos="360"/>
      </w:tabs>
      <w:suppressAutoHyphens/>
      <w:autoSpaceDE w:val="0"/>
      <w:autoSpaceDN w:val="0"/>
      <w:adjustRightInd w:val="0"/>
      <w:spacing w:before="0" w:after="100" w:line="288" w:lineRule="auto"/>
      <w:ind w:left="360" w:hanging="360"/>
      <w:contextualSpacing/>
      <w:textAlignment w:val="center"/>
    </w:pPr>
    <w:rPr>
      <w:rFonts w:ascii="Segoe UI" w:eastAsiaTheme="minorHAnsi" w:hAnsi="Segoe UI" w:cs="FranklinGothic-Book"/>
      <w:color w:val="000000"/>
      <w:sz w:val="20"/>
      <w:szCs w:val="22"/>
      <w:lang w:eastAsia="en-US"/>
    </w:rPr>
  </w:style>
  <w:style w:type="paragraph" w:customStyle="1" w:styleId="Bulletdot">
    <w:name w:val="Bullet dot"/>
    <w:basedOn w:val="Normal"/>
    <w:qFormat/>
    <w:rsid w:val="00117116"/>
    <w:pPr>
      <w:numPr>
        <w:numId w:val="5"/>
      </w:numPr>
      <w:suppressAutoHyphens/>
      <w:autoSpaceDE w:val="0"/>
      <w:autoSpaceDN w:val="0"/>
      <w:adjustRightInd w:val="0"/>
      <w:spacing w:before="0" w:after="50" w:line="288" w:lineRule="auto"/>
      <w:textAlignment w:val="center"/>
    </w:pPr>
    <w:rPr>
      <w:rFonts w:ascii="Segoe UI" w:eastAsiaTheme="minorHAnsi" w:hAnsi="Segoe UI" w:cs="FranklinGothic-Book"/>
      <w:color w:val="000000"/>
      <w:sz w:val="20"/>
      <w:szCs w:val="22"/>
      <w:lang w:eastAsia="en-US"/>
    </w:rPr>
  </w:style>
  <w:style w:type="character" w:styleId="FollowedHyperlink">
    <w:name w:val="FollowedHyperlink"/>
    <w:basedOn w:val="DefaultParagraphFont"/>
    <w:uiPriority w:val="99"/>
    <w:semiHidden/>
    <w:unhideWhenUsed/>
    <w:rsid w:val="00FC0F12"/>
    <w:rPr>
      <w:color w:val="954F72" w:themeColor="followedHyperlink"/>
      <w:u w:val="single"/>
    </w:rPr>
  </w:style>
  <w:style w:type="character" w:customStyle="1" w:styleId="doc-sub-header">
    <w:name w:val="doc-sub-header"/>
    <w:basedOn w:val="DefaultParagraphFont"/>
    <w:rsid w:val="005F45A1"/>
  </w:style>
  <w:style w:type="character" w:styleId="SubtleEmphasis">
    <w:name w:val="Subtle Emphasis"/>
    <w:basedOn w:val="DefaultParagraphFont"/>
    <w:uiPriority w:val="19"/>
    <w:qFormat/>
    <w:rsid w:val="000779D0"/>
    <w:rPr>
      <w:i/>
      <w:iCs/>
      <w:color w:val="404040" w:themeColor="text1" w:themeTint="BF"/>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locked/>
    <w:rsid w:val="00F72806"/>
    <w:rPr>
      <w:sz w:val="24"/>
      <w:szCs w:val="24"/>
    </w:rPr>
  </w:style>
  <w:style w:type="paragraph" w:customStyle="1" w:styleId="Tablefigureheading">
    <w:name w:val="Table/figure heading"/>
    <w:basedOn w:val="Normal"/>
    <w:next w:val="Normal"/>
    <w:qFormat/>
    <w:rsid w:val="00F72806"/>
    <w:pPr>
      <w:keepNext/>
      <w:spacing w:before="0" w:after="0"/>
    </w:pPr>
    <w:rPr>
      <w:rFonts w:ascii="Segoe UI Semibold" w:eastAsiaTheme="minorHAnsi" w:hAnsi="Segoe UI Semibold" w:cstheme="minorBidi"/>
      <w:color w:val="002D72"/>
      <w:sz w:val="20"/>
      <w:szCs w:val="22"/>
      <w:lang w:eastAsia="en-US"/>
    </w:rPr>
  </w:style>
  <w:style w:type="paragraph" w:customStyle="1" w:styleId="Tableheadersleft">
    <w:name w:val="Table headers left"/>
    <w:basedOn w:val="Normal"/>
    <w:autoRedefine/>
    <w:uiPriority w:val="99"/>
    <w:qFormat/>
    <w:rsid w:val="00843199"/>
    <w:pPr>
      <w:keepNext/>
      <w:widowControl w:val="0"/>
      <w:suppressAutoHyphens/>
      <w:autoSpaceDE w:val="0"/>
      <w:autoSpaceDN w:val="0"/>
      <w:adjustRightInd w:val="0"/>
      <w:spacing w:before="60" w:after="60"/>
      <w:textAlignment w:val="center"/>
    </w:pPr>
    <w:rPr>
      <w:b/>
      <w:bCs/>
      <w:color w:val="000000" w:themeColor="text1"/>
      <w:szCs w:val="18"/>
      <w:lang w:val="en-US" w:eastAsia="en-US"/>
    </w:rPr>
  </w:style>
  <w:style w:type="character" w:customStyle="1" w:styleId="doc-name">
    <w:name w:val="doc-name"/>
    <w:basedOn w:val="DefaultParagraphFont"/>
    <w:rsid w:val="0006275F"/>
  </w:style>
  <w:style w:type="paragraph" w:customStyle="1" w:styleId="Phonenumber">
    <w:name w:val="Phone number"/>
    <w:basedOn w:val="Normal"/>
    <w:link w:val="PhonenumberChar"/>
    <w:rsid w:val="0041729D"/>
    <w:pPr>
      <w:spacing w:before="40" w:after="0"/>
    </w:pPr>
    <w:rPr>
      <w:rFonts w:ascii="Georgia" w:hAnsi="Georgia" w:cs="Microsoft Sans Serif"/>
      <w:color w:val="000000"/>
      <w:sz w:val="22"/>
      <w:szCs w:val="22"/>
    </w:rPr>
  </w:style>
  <w:style w:type="character" w:customStyle="1" w:styleId="PhonenumberChar">
    <w:name w:val="Phone number Char"/>
    <w:basedOn w:val="DefaultParagraphFont"/>
    <w:link w:val="Phonenumber"/>
    <w:rsid w:val="0041729D"/>
    <w:rPr>
      <w:rFonts w:ascii="Georgia" w:hAnsi="Georgia" w:cs="Microsoft Sans Serif"/>
      <w:color w:val="000000"/>
      <w:sz w:val="22"/>
      <w:szCs w:val="22"/>
    </w:rPr>
  </w:style>
  <w:style w:type="paragraph" w:customStyle="1" w:styleId="Tableheadersright">
    <w:name w:val="Table headers right"/>
    <w:basedOn w:val="Normal"/>
    <w:autoRedefine/>
    <w:uiPriority w:val="99"/>
    <w:qFormat/>
    <w:rsid w:val="0041729D"/>
    <w:pPr>
      <w:widowControl w:val="0"/>
      <w:suppressAutoHyphens/>
      <w:autoSpaceDE w:val="0"/>
      <w:autoSpaceDN w:val="0"/>
      <w:adjustRightInd w:val="0"/>
      <w:spacing w:before="0" w:after="0" w:line="200" w:lineRule="atLeast"/>
      <w:textAlignment w:val="center"/>
    </w:pPr>
    <w:rPr>
      <w:rFonts w:ascii="Arial" w:hAnsi="Arial" w:cs="MyriadPro-Bold"/>
      <w:b/>
      <w:bCs/>
      <w:sz w:val="20"/>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8072">
      <w:bodyDiv w:val="1"/>
      <w:marLeft w:val="0"/>
      <w:marRight w:val="0"/>
      <w:marTop w:val="0"/>
      <w:marBottom w:val="0"/>
      <w:divBdr>
        <w:top w:val="none" w:sz="0" w:space="0" w:color="auto"/>
        <w:left w:val="none" w:sz="0" w:space="0" w:color="auto"/>
        <w:bottom w:val="none" w:sz="0" w:space="0" w:color="auto"/>
        <w:right w:val="none" w:sz="0" w:space="0" w:color="auto"/>
      </w:divBdr>
    </w:div>
    <w:div w:id="94256778">
      <w:bodyDiv w:val="1"/>
      <w:marLeft w:val="0"/>
      <w:marRight w:val="0"/>
      <w:marTop w:val="0"/>
      <w:marBottom w:val="0"/>
      <w:divBdr>
        <w:top w:val="none" w:sz="0" w:space="0" w:color="auto"/>
        <w:left w:val="none" w:sz="0" w:space="0" w:color="auto"/>
        <w:bottom w:val="none" w:sz="0" w:space="0" w:color="auto"/>
        <w:right w:val="none" w:sz="0" w:space="0" w:color="auto"/>
      </w:divBdr>
    </w:div>
    <w:div w:id="122424723">
      <w:bodyDiv w:val="1"/>
      <w:marLeft w:val="0"/>
      <w:marRight w:val="0"/>
      <w:marTop w:val="0"/>
      <w:marBottom w:val="0"/>
      <w:divBdr>
        <w:top w:val="none" w:sz="0" w:space="0" w:color="auto"/>
        <w:left w:val="none" w:sz="0" w:space="0" w:color="auto"/>
        <w:bottom w:val="none" w:sz="0" w:space="0" w:color="auto"/>
        <w:right w:val="none" w:sz="0" w:space="0" w:color="auto"/>
      </w:divBdr>
    </w:div>
    <w:div w:id="152724445">
      <w:bodyDiv w:val="1"/>
      <w:marLeft w:val="0"/>
      <w:marRight w:val="0"/>
      <w:marTop w:val="0"/>
      <w:marBottom w:val="0"/>
      <w:divBdr>
        <w:top w:val="none" w:sz="0" w:space="0" w:color="auto"/>
        <w:left w:val="none" w:sz="0" w:space="0" w:color="auto"/>
        <w:bottom w:val="none" w:sz="0" w:space="0" w:color="auto"/>
        <w:right w:val="none" w:sz="0" w:space="0" w:color="auto"/>
      </w:divBdr>
    </w:div>
    <w:div w:id="239559805">
      <w:bodyDiv w:val="1"/>
      <w:marLeft w:val="0"/>
      <w:marRight w:val="0"/>
      <w:marTop w:val="0"/>
      <w:marBottom w:val="0"/>
      <w:divBdr>
        <w:top w:val="none" w:sz="0" w:space="0" w:color="auto"/>
        <w:left w:val="none" w:sz="0" w:space="0" w:color="auto"/>
        <w:bottom w:val="none" w:sz="0" w:space="0" w:color="auto"/>
        <w:right w:val="none" w:sz="0" w:space="0" w:color="auto"/>
      </w:divBdr>
    </w:div>
    <w:div w:id="256521387">
      <w:bodyDiv w:val="1"/>
      <w:marLeft w:val="0"/>
      <w:marRight w:val="0"/>
      <w:marTop w:val="0"/>
      <w:marBottom w:val="0"/>
      <w:divBdr>
        <w:top w:val="none" w:sz="0" w:space="0" w:color="auto"/>
        <w:left w:val="none" w:sz="0" w:space="0" w:color="auto"/>
        <w:bottom w:val="none" w:sz="0" w:space="0" w:color="auto"/>
        <w:right w:val="none" w:sz="0" w:space="0" w:color="auto"/>
      </w:divBdr>
    </w:div>
    <w:div w:id="272520852">
      <w:bodyDiv w:val="1"/>
      <w:marLeft w:val="0"/>
      <w:marRight w:val="0"/>
      <w:marTop w:val="0"/>
      <w:marBottom w:val="0"/>
      <w:divBdr>
        <w:top w:val="none" w:sz="0" w:space="0" w:color="auto"/>
        <w:left w:val="none" w:sz="0" w:space="0" w:color="auto"/>
        <w:bottom w:val="none" w:sz="0" w:space="0" w:color="auto"/>
        <w:right w:val="none" w:sz="0" w:space="0" w:color="auto"/>
      </w:divBdr>
    </w:div>
    <w:div w:id="392238376">
      <w:bodyDiv w:val="1"/>
      <w:marLeft w:val="0"/>
      <w:marRight w:val="0"/>
      <w:marTop w:val="0"/>
      <w:marBottom w:val="0"/>
      <w:divBdr>
        <w:top w:val="none" w:sz="0" w:space="0" w:color="auto"/>
        <w:left w:val="none" w:sz="0" w:space="0" w:color="auto"/>
        <w:bottom w:val="none" w:sz="0" w:space="0" w:color="auto"/>
        <w:right w:val="none" w:sz="0" w:space="0" w:color="auto"/>
      </w:divBdr>
    </w:div>
    <w:div w:id="408818286">
      <w:bodyDiv w:val="1"/>
      <w:marLeft w:val="0"/>
      <w:marRight w:val="0"/>
      <w:marTop w:val="0"/>
      <w:marBottom w:val="0"/>
      <w:divBdr>
        <w:top w:val="none" w:sz="0" w:space="0" w:color="auto"/>
        <w:left w:val="none" w:sz="0" w:space="0" w:color="auto"/>
        <w:bottom w:val="none" w:sz="0" w:space="0" w:color="auto"/>
        <w:right w:val="none" w:sz="0" w:space="0" w:color="auto"/>
      </w:divBdr>
    </w:div>
    <w:div w:id="439178315">
      <w:bodyDiv w:val="1"/>
      <w:marLeft w:val="0"/>
      <w:marRight w:val="0"/>
      <w:marTop w:val="0"/>
      <w:marBottom w:val="0"/>
      <w:divBdr>
        <w:top w:val="none" w:sz="0" w:space="0" w:color="auto"/>
        <w:left w:val="none" w:sz="0" w:space="0" w:color="auto"/>
        <w:bottom w:val="none" w:sz="0" w:space="0" w:color="auto"/>
        <w:right w:val="none" w:sz="0" w:space="0" w:color="auto"/>
      </w:divBdr>
    </w:div>
    <w:div w:id="493380882">
      <w:bodyDiv w:val="1"/>
      <w:marLeft w:val="0"/>
      <w:marRight w:val="0"/>
      <w:marTop w:val="0"/>
      <w:marBottom w:val="0"/>
      <w:divBdr>
        <w:top w:val="none" w:sz="0" w:space="0" w:color="auto"/>
        <w:left w:val="none" w:sz="0" w:space="0" w:color="auto"/>
        <w:bottom w:val="none" w:sz="0" w:space="0" w:color="auto"/>
        <w:right w:val="none" w:sz="0" w:space="0" w:color="auto"/>
      </w:divBdr>
    </w:div>
    <w:div w:id="499122578">
      <w:bodyDiv w:val="1"/>
      <w:marLeft w:val="0"/>
      <w:marRight w:val="0"/>
      <w:marTop w:val="0"/>
      <w:marBottom w:val="0"/>
      <w:divBdr>
        <w:top w:val="none" w:sz="0" w:space="0" w:color="auto"/>
        <w:left w:val="none" w:sz="0" w:space="0" w:color="auto"/>
        <w:bottom w:val="none" w:sz="0" w:space="0" w:color="auto"/>
        <w:right w:val="none" w:sz="0" w:space="0" w:color="auto"/>
      </w:divBdr>
    </w:div>
    <w:div w:id="532234780">
      <w:bodyDiv w:val="1"/>
      <w:marLeft w:val="0"/>
      <w:marRight w:val="0"/>
      <w:marTop w:val="0"/>
      <w:marBottom w:val="0"/>
      <w:divBdr>
        <w:top w:val="none" w:sz="0" w:space="0" w:color="auto"/>
        <w:left w:val="none" w:sz="0" w:space="0" w:color="auto"/>
        <w:bottom w:val="none" w:sz="0" w:space="0" w:color="auto"/>
        <w:right w:val="none" w:sz="0" w:space="0" w:color="auto"/>
      </w:divBdr>
    </w:div>
    <w:div w:id="538784053">
      <w:bodyDiv w:val="1"/>
      <w:marLeft w:val="0"/>
      <w:marRight w:val="0"/>
      <w:marTop w:val="0"/>
      <w:marBottom w:val="0"/>
      <w:divBdr>
        <w:top w:val="none" w:sz="0" w:space="0" w:color="auto"/>
        <w:left w:val="none" w:sz="0" w:space="0" w:color="auto"/>
        <w:bottom w:val="none" w:sz="0" w:space="0" w:color="auto"/>
        <w:right w:val="none" w:sz="0" w:space="0" w:color="auto"/>
      </w:divBdr>
    </w:div>
    <w:div w:id="540482812">
      <w:bodyDiv w:val="1"/>
      <w:marLeft w:val="0"/>
      <w:marRight w:val="0"/>
      <w:marTop w:val="0"/>
      <w:marBottom w:val="0"/>
      <w:divBdr>
        <w:top w:val="none" w:sz="0" w:space="0" w:color="auto"/>
        <w:left w:val="none" w:sz="0" w:space="0" w:color="auto"/>
        <w:bottom w:val="none" w:sz="0" w:space="0" w:color="auto"/>
        <w:right w:val="none" w:sz="0" w:space="0" w:color="auto"/>
      </w:divBdr>
    </w:div>
    <w:div w:id="551306810">
      <w:bodyDiv w:val="1"/>
      <w:marLeft w:val="0"/>
      <w:marRight w:val="0"/>
      <w:marTop w:val="0"/>
      <w:marBottom w:val="0"/>
      <w:divBdr>
        <w:top w:val="none" w:sz="0" w:space="0" w:color="auto"/>
        <w:left w:val="none" w:sz="0" w:space="0" w:color="auto"/>
        <w:bottom w:val="none" w:sz="0" w:space="0" w:color="auto"/>
        <w:right w:val="none" w:sz="0" w:space="0" w:color="auto"/>
      </w:divBdr>
    </w:div>
    <w:div w:id="580064442">
      <w:bodyDiv w:val="1"/>
      <w:marLeft w:val="0"/>
      <w:marRight w:val="0"/>
      <w:marTop w:val="0"/>
      <w:marBottom w:val="0"/>
      <w:divBdr>
        <w:top w:val="none" w:sz="0" w:space="0" w:color="auto"/>
        <w:left w:val="none" w:sz="0" w:space="0" w:color="auto"/>
        <w:bottom w:val="none" w:sz="0" w:space="0" w:color="auto"/>
        <w:right w:val="none" w:sz="0" w:space="0" w:color="auto"/>
      </w:divBdr>
    </w:div>
    <w:div w:id="678117569">
      <w:bodyDiv w:val="1"/>
      <w:marLeft w:val="0"/>
      <w:marRight w:val="0"/>
      <w:marTop w:val="0"/>
      <w:marBottom w:val="0"/>
      <w:divBdr>
        <w:top w:val="none" w:sz="0" w:space="0" w:color="auto"/>
        <w:left w:val="none" w:sz="0" w:space="0" w:color="auto"/>
        <w:bottom w:val="none" w:sz="0" w:space="0" w:color="auto"/>
        <w:right w:val="none" w:sz="0" w:space="0" w:color="auto"/>
      </w:divBdr>
    </w:div>
    <w:div w:id="684938941">
      <w:bodyDiv w:val="1"/>
      <w:marLeft w:val="0"/>
      <w:marRight w:val="0"/>
      <w:marTop w:val="0"/>
      <w:marBottom w:val="0"/>
      <w:divBdr>
        <w:top w:val="none" w:sz="0" w:space="0" w:color="auto"/>
        <w:left w:val="none" w:sz="0" w:space="0" w:color="auto"/>
        <w:bottom w:val="none" w:sz="0" w:space="0" w:color="auto"/>
        <w:right w:val="none" w:sz="0" w:space="0" w:color="auto"/>
      </w:divBdr>
    </w:div>
    <w:div w:id="779837070">
      <w:bodyDiv w:val="1"/>
      <w:marLeft w:val="0"/>
      <w:marRight w:val="0"/>
      <w:marTop w:val="0"/>
      <w:marBottom w:val="0"/>
      <w:divBdr>
        <w:top w:val="none" w:sz="0" w:space="0" w:color="auto"/>
        <w:left w:val="none" w:sz="0" w:space="0" w:color="auto"/>
        <w:bottom w:val="none" w:sz="0" w:space="0" w:color="auto"/>
        <w:right w:val="none" w:sz="0" w:space="0" w:color="auto"/>
      </w:divBdr>
    </w:div>
    <w:div w:id="798062437">
      <w:bodyDiv w:val="1"/>
      <w:marLeft w:val="0"/>
      <w:marRight w:val="0"/>
      <w:marTop w:val="0"/>
      <w:marBottom w:val="0"/>
      <w:divBdr>
        <w:top w:val="none" w:sz="0" w:space="0" w:color="auto"/>
        <w:left w:val="none" w:sz="0" w:space="0" w:color="auto"/>
        <w:bottom w:val="none" w:sz="0" w:space="0" w:color="auto"/>
        <w:right w:val="none" w:sz="0" w:space="0" w:color="auto"/>
      </w:divBdr>
    </w:div>
    <w:div w:id="827205939">
      <w:bodyDiv w:val="1"/>
      <w:marLeft w:val="0"/>
      <w:marRight w:val="0"/>
      <w:marTop w:val="0"/>
      <w:marBottom w:val="0"/>
      <w:divBdr>
        <w:top w:val="none" w:sz="0" w:space="0" w:color="auto"/>
        <w:left w:val="none" w:sz="0" w:space="0" w:color="auto"/>
        <w:bottom w:val="none" w:sz="0" w:space="0" w:color="auto"/>
        <w:right w:val="none" w:sz="0" w:space="0" w:color="auto"/>
      </w:divBdr>
    </w:div>
    <w:div w:id="828056279">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sChild>
        <w:div w:id="544414963">
          <w:marLeft w:val="0"/>
          <w:marRight w:val="0"/>
          <w:marTop w:val="0"/>
          <w:marBottom w:val="0"/>
          <w:divBdr>
            <w:top w:val="none" w:sz="0" w:space="0" w:color="auto"/>
            <w:left w:val="none" w:sz="0" w:space="0" w:color="auto"/>
            <w:bottom w:val="none" w:sz="0" w:space="0" w:color="auto"/>
            <w:right w:val="none" w:sz="0" w:space="0" w:color="auto"/>
          </w:divBdr>
          <w:divsChild>
            <w:div w:id="2056538144">
              <w:marLeft w:val="0"/>
              <w:marRight w:val="0"/>
              <w:marTop w:val="0"/>
              <w:marBottom w:val="0"/>
              <w:divBdr>
                <w:top w:val="none" w:sz="0" w:space="0" w:color="auto"/>
                <w:left w:val="none" w:sz="0" w:space="0" w:color="auto"/>
                <w:bottom w:val="none" w:sz="0" w:space="0" w:color="auto"/>
                <w:right w:val="none" w:sz="0" w:space="0" w:color="auto"/>
              </w:divBdr>
              <w:divsChild>
                <w:div w:id="1530484585">
                  <w:marLeft w:val="0"/>
                  <w:marRight w:val="0"/>
                  <w:marTop w:val="0"/>
                  <w:marBottom w:val="0"/>
                  <w:divBdr>
                    <w:top w:val="none" w:sz="0" w:space="0" w:color="auto"/>
                    <w:left w:val="none" w:sz="0" w:space="0" w:color="auto"/>
                    <w:bottom w:val="none" w:sz="0" w:space="0" w:color="auto"/>
                    <w:right w:val="none" w:sz="0" w:space="0" w:color="auto"/>
                  </w:divBdr>
                  <w:divsChild>
                    <w:div w:id="583952350">
                      <w:marLeft w:val="0"/>
                      <w:marRight w:val="0"/>
                      <w:marTop w:val="0"/>
                      <w:marBottom w:val="0"/>
                      <w:divBdr>
                        <w:top w:val="none" w:sz="0" w:space="0" w:color="auto"/>
                        <w:left w:val="none" w:sz="0" w:space="0" w:color="auto"/>
                        <w:bottom w:val="none" w:sz="0" w:space="0" w:color="auto"/>
                        <w:right w:val="none" w:sz="0" w:space="0" w:color="auto"/>
                      </w:divBdr>
                      <w:divsChild>
                        <w:div w:id="1623612477">
                          <w:marLeft w:val="0"/>
                          <w:marRight w:val="0"/>
                          <w:marTop w:val="0"/>
                          <w:marBottom w:val="0"/>
                          <w:divBdr>
                            <w:top w:val="none" w:sz="0" w:space="0" w:color="auto"/>
                            <w:left w:val="none" w:sz="0" w:space="0" w:color="auto"/>
                            <w:bottom w:val="none" w:sz="0" w:space="0" w:color="auto"/>
                            <w:right w:val="none" w:sz="0" w:space="0" w:color="auto"/>
                          </w:divBdr>
                          <w:divsChild>
                            <w:div w:id="1571961749">
                              <w:marLeft w:val="0"/>
                              <w:marRight w:val="0"/>
                              <w:marTop w:val="0"/>
                              <w:marBottom w:val="0"/>
                              <w:divBdr>
                                <w:top w:val="none" w:sz="0" w:space="0" w:color="auto"/>
                                <w:left w:val="none" w:sz="0" w:space="0" w:color="auto"/>
                                <w:bottom w:val="none" w:sz="0" w:space="0" w:color="auto"/>
                                <w:right w:val="single" w:sz="6" w:space="4" w:color="DDDDDD"/>
                              </w:divBdr>
                              <w:divsChild>
                                <w:div w:id="1338650374">
                                  <w:marLeft w:val="0"/>
                                  <w:marRight w:val="0"/>
                                  <w:marTop w:val="0"/>
                                  <w:marBottom w:val="0"/>
                                  <w:divBdr>
                                    <w:top w:val="none" w:sz="0" w:space="0" w:color="auto"/>
                                    <w:left w:val="none" w:sz="0" w:space="0" w:color="auto"/>
                                    <w:bottom w:val="none" w:sz="0" w:space="0" w:color="auto"/>
                                    <w:right w:val="none" w:sz="0" w:space="0" w:color="auto"/>
                                  </w:divBdr>
                                  <w:divsChild>
                                    <w:div w:id="487943957">
                                      <w:marLeft w:val="0"/>
                                      <w:marRight w:val="0"/>
                                      <w:marTop w:val="0"/>
                                      <w:marBottom w:val="0"/>
                                      <w:divBdr>
                                        <w:top w:val="none" w:sz="0" w:space="0" w:color="auto"/>
                                        <w:left w:val="none" w:sz="0" w:space="0" w:color="auto"/>
                                        <w:bottom w:val="none" w:sz="0" w:space="0" w:color="auto"/>
                                        <w:right w:val="none" w:sz="0" w:space="0" w:color="auto"/>
                                      </w:divBdr>
                                      <w:divsChild>
                                        <w:div w:id="2048220147">
                                          <w:marLeft w:val="0"/>
                                          <w:marRight w:val="0"/>
                                          <w:marTop w:val="0"/>
                                          <w:marBottom w:val="0"/>
                                          <w:divBdr>
                                            <w:top w:val="none" w:sz="0" w:space="0" w:color="auto"/>
                                            <w:left w:val="none" w:sz="0" w:space="0" w:color="auto"/>
                                            <w:bottom w:val="none" w:sz="0" w:space="0" w:color="auto"/>
                                            <w:right w:val="none" w:sz="0" w:space="0" w:color="auto"/>
                                          </w:divBdr>
                                          <w:divsChild>
                                            <w:div w:id="15363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348">
                                      <w:marLeft w:val="0"/>
                                      <w:marRight w:val="0"/>
                                      <w:marTop w:val="0"/>
                                      <w:marBottom w:val="0"/>
                                      <w:divBdr>
                                        <w:top w:val="none" w:sz="0" w:space="0" w:color="auto"/>
                                        <w:left w:val="none" w:sz="0" w:space="0" w:color="auto"/>
                                        <w:bottom w:val="none" w:sz="0" w:space="0" w:color="auto"/>
                                        <w:right w:val="none" w:sz="0" w:space="0" w:color="auto"/>
                                      </w:divBdr>
                                      <w:divsChild>
                                        <w:div w:id="7964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88788">
                                  <w:marLeft w:val="0"/>
                                  <w:marRight w:val="0"/>
                                  <w:marTop w:val="105"/>
                                  <w:marBottom w:val="0"/>
                                  <w:divBdr>
                                    <w:top w:val="none" w:sz="0" w:space="0" w:color="auto"/>
                                    <w:left w:val="none" w:sz="0" w:space="0" w:color="auto"/>
                                    <w:bottom w:val="none" w:sz="0" w:space="0" w:color="auto"/>
                                    <w:right w:val="none" w:sz="0" w:space="0" w:color="auto"/>
                                  </w:divBdr>
                                  <w:divsChild>
                                    <w:div w:id="380443482">
                                      <w:marLeft w:val="0"/>
                                      <w:marRight w:val="0"/>
                                      <w:marTop w:val="0"/>
                                      <w:marBottom w:val="0"/>
                                      <w:divBdr>
                                        <w:top w:val="none" w:sz="0" w:space="0" w:color="auto"/>
                                        <w:left w:val="none" w:sz="0" w:space="0" w:color="auto"/>
                                        <w:bottom w:val="none" w:sz="0" w:space="0" w:color="auto"/>
                                        <w:right w:val="none" w:sz="0" w:space="0" w:color="auto"/>
                                      </w:divBdr>
                                      <w:divsChild>
                                        <w:div w:id="4394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684230">
      <w:bodyDiv w:val="1"/>
      <w:marLeft w:val="0"/>
      <w:marRight w:val="0"/>
      <w:marTop w:val="0"/>
      <w:marBottom w:val="0"/>
      <w:divBdr>
        <w:top w:val="none" w:sz="0" w:space="0" w:color="auto"/>
        <w:left w:val="none" w:sz="0" w:space="0" w:color="auto"/>
        <w:bottom w:val="none" w:sz="0" w:space="0" w:color="auto"/>
        <w:right w:val="none" w:sz="0" w:space="0" w:color="auto"/>
      </w:divBdr>
    </w:div>
    <w:div w:id="927662289">
      <w:bodyDiv w:val="1"/>
      <w:marLeft w:val="0"/>
      <w:marRight w:val="0"/>
      <w:marTop w:val="0"/>
      <w:marBottom w:val="0"/>
      <w:divBdr>
        <w:top w:val="none" w:sz="0" w:space="0" w:color="auto"/>
        <w:left w:val="none" w:sz="0" w:space="0" w:color="auto"/>
        <w:bottom w:val="none" w:sz="0" w:space="0" w:color="auto"/>
        <w:right w:val="none" w:sz="0" w:space="0" w:color="auto"/>
      </w:divBdr>
    </w:div>
    <w:div w:id="945698179">
      <w:bodyDiv w:val="1"/>
      <w:marLeft w:val="0"/>
      <w:marRight w:val="0"/>
      <w:marTop w:val="0"/>
      <w:marBottom w:val="0"/>
      <w:divBdr>
        <w:top w:val="none" w:sz="0" w:space="0" w:color="auto"/>
        <w:left w:val="none" w:sz="0" w:space="0" w:color="auto"/>
        <w:bottom w:val="none" w:sz="0" w:space="0" w:color="auto"/>
        <w:right w:val="none" w:sz="0" w:space="0" w:color="auto"/>
      </w:divBdr>
    </w:div>
    <w:div w:id="976766064">
      <w:bodyDiv w:val="1"/>
      <w:marLeft w:val="0"/>
      <w:marRight w:val="0"/>
      <w:marTop w:val="0"/>
      <w:marBottom w:val="0"/>
      <w:divBdr>
        <w:top w:val="none" w:sz="0" w:space="0" w:color="auto"/>
        <w:left w:val="none" w:sz="0" w:space="0" w:color="auto"/>
        <w:bottom w:val="none" w:sz="0" w:space="0" w:color="auto"/>
        <w:right w:val="none" w:sz="0" w:space="0" w:color="auto"/>
      </w:divBdr>
    </w:div>
    <w:div w:id="983662450">
      <w:bodyDiv w:val="1"/>
      <w:marLeft w:val="0"/>
      <w:marRight w:val="0"/>
      <w:marTop w:val="0"/>
      <w:marBottom w:val="0"/>
      <w:divBdr>
        <w:top w:val="none" w:sz="0" w:space="0" w:color="auto"/>
        <w:left w:val="none" w:sz="0" w:space="0" w:color="auto"/>
        <w:bottom w:val="none" w:sz="0" w:space="0" w:color="auto"/>
        <w:right w:val="none" w:sz="0" w:space="0" w:color="auto"/>
      </w:divBdr>
    </w:div>
    <w:div w:id="992106045">
      <w:bodyDiv w:val="1"/>
      <w:marLeft w:val="0"/>
      <w:marRight w:val="0"/>
      <w:marTop w:val="0"/>
      <w:marBottom w:val="0"/>
      <w:divBdr>
        <w:top w:val="none" w:sz="0" w:space="0" w:color="auto"/>
        <w:left w:val="none" w:sz="0" w:space="0" w:color="auto"/>
        <w:bottom w:val="none" w:sz="0" w:space="0" w:color="auto"/>
        <w:right w:val="none" w:sz="0" w:space="0" w:color="auto"/>
      </w:divBdr>
    </w:div>
    <w:div w:id="1160389686">
      <w:bodyDiv w:val="1"/>
      <w:marLeft w:val="0"/>
      <w:marRight w:val="0"/>
      <w:marTop w:val="0"/>
      <w:marBottom w:val="0"/>
      <w:divBdr>
        <w:top w:val="none" w:sz="0" w:space="0" w:color="auto"/>
        <w:left w:val="none" w:sz="0" w:space="0" w:color="auto"/>
        <w:bottom w:val="none" w:sz="0" w:space="0" w:color="auto"/>
        <w:right w:val="none" w:sz="0" w:space="0" w:color="auto"/>
      </w:divBdr>
    </w:div>
    <w:div w:id="1176573071">
      <w:bodyDiv w:val="1"/>
      <w:marLeft w:val="0"/>
      <w:marRight w:val="0"/>
      <w:marTop w:val="0"/>
      <w:marBottom w:val="0"/>
      <w:divBdr>
        <w:top w:val="none" w:sz="0" w:space="0" w:color="auto"/>
        <w:left w:val="none" w:sz="0" w:space="0" w:color="auto"/>
        <w:bottom w:val="none" w:sz="0" w:space="0" w:color="auto"/>
        <w:right w:val="none" w:sz="0" w:space="0" w:color="auto"/>
      </w:divBdr>
    </w:div>
    <w:div w:id="1233391462">
      <w:bodyDiv w:val="1"/>
      <w:marLeft w:val="0"/>
      <w:marRight w:val="0"/>
      <w:marTop w:val="0"/>
      <w:marBottom w:val="0"/>
      <w:divBdr>
        <w:top w:val="none" w:sz="0" w:space="0" w:color="auto"/>
        <w:left w:val="none" w:sz="0" w:space="0" w:color="auto"/>
        <w:bottom w:val="none" w:sz="0" w:space="0" w:color="auto"/>
        <w:right w:val="none" w:sz="0" w:space="0" w:color="auto"/>
      </w:divBdr>
    </w:div>
    <w:div w:id="1249314127">
      <w:bodyDiv w:val="1"/>
      <w:marLeft w:val="0"/>
      <w:marRight w:val="0"/>
      <w:marTop w:val="0"/>
      <w:marBottom w:val="0"/>
      <w:divBdr>
        <w:top w:val="none" w:sz="0" w:space="0" w:color="auto"/>
        <w:left w:val="none" w:sz="0" w:space="0" w:color="auto"/>
        <w:bottom w:val="none" w:sz="0" w:space="0" w:color="auto"/>
        <w:right w:val="none" w:sz="0" w:space="0" w:color="auto"/>
      </w:divBdr>
    </w:div>
    <w:div w:id="1259483419">
      <w:bodyDiv w:val="1"/>
      <w:marLeft w:val="0"/>
      <w:marRight w:val="0"/>
      <w:marTop w:val="0"/>
      <w:marBottom w:val="0"/>
      <w:divBdr>
        <w:top w:val="none" w:sz="0" w:space="0" w:color="auto"/>
        <w:left w:val="none" w:sz="0" w:space="0" w:color="auto"/>
        <w:bottom w:val="none" w:sz="0" w:space="0" w:color="auto"/>
        <w:right w:val="none" w:sz="0" w:space="0" w:color="auto"/>
      </w:divBdr>
    </w:div>
    <w:div w:id="1316495946">
      <w:bodyDiv w:val="1"/>
      <w:marLeft w:val="0"/>
      <w:marRight w:val="0"/>
      <w:marTop w:val="0"/>
      <w:marBottom w:val="0"/>
      <w:divBdr>
        <w:top w:val="none" w:sz="0" w:space="0" w:color="auto"/>
        <w:left w:val="none" w:sz="0" w:space="0" w:color="auto"/>
        <w:bottom w:val="none" w:sz="0" w:space="0" w:color="auto"/>
        <w:right w:val="none" w:sz="0" w:space="0" w:color="auto"/>
      </w:divBdr>
    </w:div>
    <w:div w:id="1331830909">
      <w:bodyDiv w:val="1"/>
      <w:marLeft w:val="0"/>
      <w:marRight w:val="0"/>
      <w:marTop w:val="0"/>
      <w:marBottom w:val="0"/>
      <w:divBdr>
        <w:top w:val="none" w:sz="0" w:space="0" w:color="auto"/>
        <w:left w:val="none" w:sz="0" w:space="0" w:color="auto"/>
        <w:bottom w:val="none" w:sz="0" w:space="0" w:color="auto"/>
        <w:right w:val="none" w:sz="0" w:space="0" w:color="auto"/>
      </w:divBdr>
    </w:div>
    <w:div w:id="1336306241">
      <w:bodyDiv w:val="1"/>
      <w:marLeft w:val="0"/>
      <w:marRight w:val="0"/>
      <w:marTop w:val="0"/>
      <w:marBottom w:val="0"/>
      <w:divBdr>
        <w:top w:val="none" w:sz="0" w:space="0" w:color="auto"/>
        <w:left w:val="none" w:sz="0" w:space="0" w:color="auto"/>
        <w:bottom w:val="none" w:sz="0" w:space="0" w:color="auto"/>
        <w:right w:val="none" w:sz="0" w:space="0" w:color="auto"/>
      </w:divBdr>
    </w:div>
    <w:div w:id="1337422582">
      <w:bodyDiv w:val="1"/>
      <w:marLeft w:val="0"/>
      <w:marRight w:val="0"/>
      <w:marTop w:val="0"/>
      <w:marBottom w:val="0"/>
      <w:divBdr>
        <w:top w:val="none" w:sz="0" w:space="0" w:color="auto"/>
        <w:left w:val="none" w:sz="0" w:space="0" w:color="auto"/>
        <w:bottom w:val="none" w:sz="0" w:space="0" w:color="auto"/>
        <w:right w:val="none" w:sz="0" w:space="0" w:color="auto"/>
      </w:divBdr>
    </w:div>
    <w:div w:id="1337464378">
      <w:bodyDiv w:val="1"/>
      <w:marLeft w:val="0"/>
      <w:marRight w:val="0"/>
      <w:marTop w:val="0"/>
      <w:marBottom w:val="0"/>
      <w:divBdr>
        <w:top w:val="none" w:sz="0" w:space="0" w:color="auto"/>
        <w:left w:val="none" w:sz="0" w:space="0" w:color="auto"/>
        <w:bottom w:val="none" w:sz="0" w:space="0" w:color="auto"/>
        <w:right w:val="none" w:sz="0" w:space="0" w:color="auto"/>
      </w:divBdr>
    </w:div>
    <w:div w:id="1345323585">
      <w:bodyDiv w:val="1"/>
      <w:marLeft w:val="0"/>
      <w:marRight w:val="0"/>
      <w:marTop w:val="0"/>
      <w:marBottom w:val="0"/>
      <w:divBdr>
        <w:top w:val="none" w:sz="0" w:space="0" w:color="auto"/>
        <w:left w:val="none" w:sz="0" w:space="0" w:color="auto"/>
        <w:bottom w:val="none" w:sz="0" w:space="0" w:color="auto"/>
        <w:right w:val="none" w:sz="0" w:space="0" w:color="auto"/>
      </w:divBdr>
    </w:div>
    <w:div w:id="1358971901">
      <w:bodyDiv w:val="1"/>
      <w:marLeft w:val="0"/>
      <w:marRight w:val="0"/>
      <w:marTop w:val="0"/>
      <w:marBottom w:val="0"/>
      <w:divBdr>
        <w:top w:val="none" w:sz="0" w:space="0" w:color="auto"/>
        <w:left w:val="none" w:sz="0" w:space="0" w:color="auto"/>
        <w:bottom w:val="none" w:sz="0" w:space="0" w:color="auto"/>
        <w:right w:val="none" w:sz="0" w:space="0" w:color="auto"/>
      </w:divBdr>
    </w:div>
    <w:div w:id="1390038210">
      <w:bodyDiv w:val="1"/>
      <w:marLeft w:val="0"/>
      <w:marRight w:val="0"/>
      <w:marTop w:val="0"/>
      <w:marBottom w:val="0"/>
      <w:divBdr>
        <w:top w:val="none" w:sz="0" w:space="0" w:color="auto"/>
        <w:left w:val="none" w:sz="0" w:space="0" w:color="auto"/>
        <w:bottom w:val="none" w:sz="0" w:space="0" w:color="auto"/>
        <w:right w:val="none" w:sz="0" w:space="0" w:color="auto"/>
      </w:divBdr>
    </w:div>
    <w:div w:id="1406296216">
      <w:bodyDiv w:val="1"/>
      <w:marLeft w:val="0"/>
      <w:marRight w:val="0"/>
      <w:marTop w:val="0"/>
      <w:marBottom w:val="0"/>
      <w:divBdr>
        <w:top w:val="none" w:sz="0" w:space="0" w:color="auto"/>
        <w:left w:val="none" w:sz="0" w:space="0" w:color="auto"/>
        <w:bottom w:val="none" w:sz="0" w:space="0" w:color="auto"/>
        <w:right w:val="none" w:sz="0" w:space="0" w:color="auto"/>
      </w:divBdr>
    </w:div>
    <w:div w:id="1421174769">
      <w:bodyDiv w:val="1"/>
      <w:marLeft w:val="0"/>
      <w:marRight w:val="0"/>
      <w:marTop w:val="0"/>
      <w:marBottom w:val="0"/>
      <w:divBdr>
        <w:top w:val="none" w:sz="0" w:space="0" w:color="auto"/>
        <w:left w:val="none" w:sz="0" w:space="0" w:color="auto"/>
        <w:bottom w:val="none" w:sz="0" w:space="0" w:color="auto"/>
        <w:right w:val="none" w:sz="0" w:space="0" w:color="auto"/>
      </w:divBdr>
    </w:div>
    <w:div w:id="1505239459">
      <w:bodyDiv w:val="1"/>
      <w:marLeft w:val="0"/>
      <w:marRight w:val="0"/>
      <w:marTop w:val="0"/>
      <w:marBottom w:val="0"/>
      <w:divBdr>
        <w:top w:val="none" w:sz="0" w:space="0" w:color="auto"/>
        <w:left w:val="none" w:sz="0" w:space="0" w:color="auto"/>
        <w:bottom w:val="none" w:sz="0" w:space="0" w:color="auto"/>
        <w:right w:val="none" w:sz="0" w:space="0" w:color="auto"/>
      </w:divBdr>
    </w:div>
    <w:div w:id="1507017671">
      <w:bodyDiv w:val="1"/>
      <w:marLeft w:val="0"/>
      <w:marRight w:val="0"/>
      <w:marTop w:val="0"/>
      <w:marBottom w:val="0"/>
      <w:divBdr>
        <w:top w:val="none" w:sz="0" w:space="0" w:color="auto"/>
        <w:left w:val="none" w:sz="0" w:space="0" w:color="auto"/>
        <w:bottom w:val="none" w:sz="0" w:space="0" w:color="auto"/>
        <w:right w:val="none" w:sz="0" w:space="0" w:color="auto"/>
      </w:divBdr>
    </w:div>
    <w:div w:id="1552841024">
      <w:bodyDiv w:val="1"/>
      <w:marLeft w:val="0"/>
      <w:marRight w:val="0"/>
      <w:marTop w:val="0"/>
      <w:marBottom w:val="0"/>
      <w:divBdr>
        <w:top w:val="none" w:sz="0" w:space="0" w:color="auto"/>
        <w:left w:val="none" w:sz="0" w:space="0" w:color="auto"/>
        <w:bottom w:val="none" w:sz="0" w:space="0" w:color="auto"/>
        <w:right w:val="none" w:sz="0" w:space="0" w:color="auto"/>
      </w:divBdr>
    </w:div>
    <w:div w:id="1559171639">
      <w:bodyDiv w:val="1"/>
      <w:marLeft w:val="0"/>
      <w:marRight w:val="0"/>
      <w:marTop w:val="0"/>
      <w:marBottom w:val="0"/>
      <w:divBdr>
        <w:top w:val="none" w:sz="0" w:space="0" w:color="auto"/>
        <w:left w:val="none" w:sz="0" w:space="0" w:color="auto"/>
        <w:bottom w:val="none" w:sz="0" w:space="0" w:color="auto"/>
        <w:right w:val="none" w:sz="0" w:space="0" w:color="auto"/>
      </w:divBdr>
    </w:div>
    <w:div w:id="1711422079">
      <w:bodyDiv w:val="1"/>
      <w:marLeft w:val="0"/>
      <w:marRight w:val="0"/>
      <w:marTop w:val="0"/>
      <w:marBottom w:val="0"/>
      <w:divBdr>
        <w:top w:val="none" w:sz="0" w:space="0" w:color="auto"/>
        <w:left w:val="none" w:sz="0" w:space="0" w:color="auto"/>
        <w:bottom w:val="none" w:sz="0" w:space="0" w:color="auto"/>
        <w:right w:val="none" w:sz="0" w:space="0" w:color="auto"/>
      </w:divBdr>
    </w:div>
    <w:div w:id="1723286524">
      <w:bodyDiv w:val="1"/>
      <w:marLeft w:val="0"/>
      <w:marRight w:val="0"/>
      <w:marTop w:val="0"/>
      <w:marBottom w:val="0"/>
      <w:divBdr>
        <w:top w:val="none" w:sz="0" w:space="0" w:color="auto"/>
        <w:left w:val="none" w:sz="0" w:space="0" w:color="auto"/>
        <w:bottom w:val="none" w:sz="0" w:space="0" w:color="auto"/>
        <w:right w:val="none" w:sz="0" w:space="0" w:color="auto"/>
      </w:divBdr>
    </w:div>
    <w:div w:id="1737315449">
      <w:bodyDiv w:val="1"/>
      <w:marLeft w:val="0"/>
      <w:marRight w:val="0"/>
      <w:marTop w:val="0"/>
      <w:marBottom w:val="0"/>
      <w:divBdr>
        <w:top w:val="none" w:sz="0" w:space="0" w:color="auto"/>
        <w:left w:val="none" w:sz="0" w:space="0" w:color="auto"/>
        <w:bottom w:val="none" w:sz="0" w:space="0" w:color="auto"/>
        <w:right w:val="none" w:sz="0" w:space="0" w:color="auto"/>
      </w:divBdr>
    </w:div>
    <w:div w:id="1753160001">
      <w:bodyDiv w:val="1"/>
      <w:marLeft w:val="0"/>
      <w:marRight w:val="0"/>
      <w:marTop w:val="0"/>
      <w:marBottom w:val="0"/>
      <w:divBdr>
        <w:top w:val="none" w:sz="0" w:space="0" w:color="auto"/>
        <w:left w:val="none" w:sz="0" w:space="0" w:color="auto"/>
        <w:bottom w:val="none" w:sz="0" w:space="0" w:color="auto"/>
        <w:right w:val="none" w:sz="0" w:space="0" w:color="auto"/>
      </w:divBdr>
    </w:div>
    <w:div w:id="1891065940">
      <w:bodyDiv w:val="1"/>
      <w:marLeft w:val="0"/>
      <w:marRight w:val="0"/>
      <w:marTop w:val="0"/>
      <w:marBottom w:val="0"/>
      <w:divBdr>
        <w:top w:val="none" w:sz="0" w:space="0" w:color="auto"/>
        <w:left w:val="none" w:sz="0" w:space="0" w:color="auto"/>
        <w:bottom w:val="none" w:sz="0" w:space="0" w:color="auto"/>
        <w:right w:val="none" w:sz="0" w:space="0" w:color="auto"/>
      </w:divBdr>
    </w:div>
    <w:div w:id="1973438200">
      <w:bodyDiv w:val="1"/>
      <w:marLeft w:val="0"/>
      <w:marRight w:val="0"/>
      <w:marTop w:val="0"/>
      <w:marBottom w:val="0"/>
      <w:divBdr>
        <w:top w:val="none" w:sz="0" w:space="0" w:color="auto"/>
        <w:left w:val="none" w:sz="0" w:space="0" w:color="auto"/>
        <w:bottom w:val="none" w:sz="0" w:space="0" w:color="auto"/>
        <w:right w:val="none" w:sz="0" w:space="0" w:color="auto"/>
      </w:divBdr>
    </w:div>
    <w:div w:id="20566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ce.org/trans/main/welcwp29.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tekinform.com/e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ED73002-EDD2-490F-882C-C30E27A0DB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D65DAF9CD7E45B0FE536DF851B909" ma:contentTypeVersion="5" ma:contentTypeDescription="Create a new document." ma:contentTypeScope="" ma:versionID="9dd05a4757a4fa939559cff561d1910c">
  <xsd:schema xmlns:xsd="http://www.w3.org/2001/XMLSchema" xmlns:xs="http://www.w3.org/2001/XMLSchema" xmlns:p="http://schemas.microsoft.com/office/2006/metadata/properties" xmlns:ns2="d9273ffb-13bc-4359-86db-ffbd6a6f0068" targetNamespace="http://schemas.microsoft.com/office/2006/metadata/properties" ma:root="true" ma:fieldsID="db3ae60ae12a1840a50299a3fdd1bddc" ns2:_="">
    <xsd:import namespace="d9273ffb-13bc-4359-86db-ffbd6a6f0068"/>
    <xsd:element name="properties">
      <xsd:complexType>
        <xsd:sequence>
          <xsd:element name="documentManagement">
            <xsd:complexType>
              <xsd:all>
                <xsd:element ref="ns2:RecordNumber" minOccurs="0"/>
                <xsd:element ref="ns2:b2ca142b749a4e99973a60fa4596d57f" minOccurs="0"/>
                <xsd:element ref="ns2:TaxCatchAll" minOccurs="0"/>
                <xsd:element ref="ns2:TaxCatchAllLabel" minOccurs="0"/>
                <xsd:element ref="ns2:pcc6eb66bf4b43a8953760b2e81c01a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73ffb-13bc-4359-86db-ffbd6a6f006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2ca142b749a4e99973a60fa4596d57f" ma:index="9" ma:taxonomy="true" ma:internalName="b2ca142b749a4e99973a60fa4596d57f" ma:taxonomyFieldName="Security_x0020_Classification" ma:displayName="Security Classification" ma:readOnly="false" ma:default="1;#OFFICIAL|66ee57a8-59d0-46bc-a5fc-78440ee0cf81" ma:fieldId="{b2ca142b-749a-4e99-973a-60fa4596d57f}"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54b63f3-8672-4e53-b325-05221e90d34d}" ma:internalName="TaxCatchAll" ma:showField="CatchAllData"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54b63f3-8672-4e53-b325-05221e90d34d}" ma:internalName="TaxCatchAllLabel" ma:readOnly="true" ma:showField="CatchAllDataLabel"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pcc6eb66bf4b43a8953760b2e81c01a4" ma:index="13" nillable="true" ma:taxonomy="true" ma:internalName="pcc6eb66bf4b43a8953760b2e81c01a4" ma:taxonomyFieldName="Information_x0020_Management_x0020_Marker" ma:displayName="Information Management Marker" ma:default="" ma:fieldId="{9cc6eb66-bf4b-43a8-9537-60b2e81c01a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228B6-9936-4DCD-89A0-DB5D9A3FDD84}">
  <ds:schemaRefs>
    <ds:schemaRef ds:uri="http://schemas.microsoft.com/sharepoint/v3/contenttype/forms"/>
  </ds:schemaRefs>
</ds:datastoreItem>
</file>

<file path=customXml/itemProps2.xml><?xml version="1.0" encoding="utf-8"?>
<ds:datastoreItem xmlns:ds="http://schemas.openxmlformats.org/officeDocument/2006/customXml" ds:itemID="{EFF13BFC-7A95-4E67-88EA-37DC8AA74F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D73002-EDD2-490F-882C-C30E27A0DB8B"/>
    <ds:schemaRef ds:uri="http://www.w3.org/XML/1998/namespace"/>
    <ds:schemaRef ds:uri="http://purl.org/dc/dcmitype/"/>
  </ds:schemaRefs>
</ds:datastoreItem>
</file>

<file path=customXml/itemProps3.xml><?xml version="1.0" encoding="utf-8"?>
<ds:datastoreItem xmlns:ds="http://schemas.openxmlformats.org/officeDocument/2006/customXml" ds:itemID="{EEB13528-3E55-405E-A0D1-E1FA7B91A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73ffb-13bc-4359-86db-ffbd6a6f0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B3657-C218-43D9-B557-196F6F22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4189</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2024-04-11T01:52:00Z</dcterms:created>
  <dcterms:modified xsi:type="dcterms:W3CDTF">2024-04-15T00:59:00Z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0x010100665D65DAF9CD7E45B0FE536DF851B909</vt:lpwstr>
  </property>
  <property fmtid="{D5CDD505-2E9C-101B-9397-08002B2CF9AE}" pid="3" name="MediaServiceImageTags">
    <vt:lpwstr/>
  </property>
</Properties>
</file>