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35C3E982" w14:textId="77777777" w:rsidR="00236D44" w:rsidRPr="009A6866" w:rsidRDefault="00236D44" w:rsidP="00236D44">
      <w:pPr>
        <w:pStyle w:val="Heading6"/>
        <w:jc w:val="center"/>
      </w:pPr>
      <w:r w:rsidRPr="009A6866">
        <w:t xml:space="preserve">Defence Determination, Conditions of service Amendment </w:t>
      </w:r>
      <w:r>
        <w:t>Determination 2024 (No. 3</w:t>
      </w:r>
      <w:r w:rsidRPr="009A6866">
        <w:t>)</w:t>
      </w:r>
    </w:p>
    <w:p w14:paraId="383649D3" w14:textId="337A16C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E7F493C"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237BF8A6" w14:textId="77777777" w:rsidR="00236D44" w:rsidRPr="0060766F" w:rsidRDefault="00236D44" w:rsidP="00236D44">
      <w:pPr>
        <w:pStyle w:val="Sectiontext"/>
        <w:numPr>
          <w:ilvl w:val="0"/>
          <w:numId w:val="17"/>
        </w:numPr>
        <w:tabs>
          <w:tab w:val="left" w:pos="7380"/>
        </w:tabs>
      </w:pPr>
      <w:r w:rsidRPr="003F7C8E">
        <w:rPr>
          <w:rFonts w:cs="Arial"/>
          <w:iCs/>
        </w:rPr>
        <w:t>Make technical amendments that update cross reference</w:t>
      </w:r>
      <w:r>
        <w:rPr>
          <w:rFonts w:cs="Arial"/>
          <w:iCs/>
        </w:rPr>
        <w:t>s</w:t>
      </w:r>
      <w:r w:rsidRPr="003F7C8E">
        <w:rPr>
          <w:rFonts w:cs="Arial"/>
          <w:iCs/>
        </w:rPr>
        <w:t xml:space="preserve">, </w:t>
      </w:r>
      <w:r>
        <w:rPr>
          <w:rFonts w:cs="Arial"/>
          <w:iCs/>
        </w:rPr>
        <w:t xml:space="preserve">update definition sections, </w:t>
      </w:r>
      <w:r w:rsidRPr="003F7C8E">
        <w:rPr>
          <w:rFonts w:cs="Arial"/>
          <w:iCs/>
        </w:rPr>
        <w:t xml:space="preserve">promote the use of contemporary drafting styles and improve readability. These amendments </w:t>
      </w:r>
      <w:r w:rsidRPr="003F7C8E">
        <w:rPr>
          <w:snapToGrid w:val="0"/>
        </w:rPr>
        <w:t xml:space="preserve">do not alter the underlying policies, or the benefits </w:t>
      </w:r>
      <w:r>
        <w:rPr>
          <w:snapToGrid w:val="0"/>
        </w:rPr>
        <w:t>that</w:t>
      </w:r>
      <w:r w:rsidRPr="003F7C8E">
        <w:rPr>
          <w:snapToGrid w:val="0"/>
        </w:rPr>
        <w:t xml:space="preserve"> are currently provided.</w:t>
      </w:r>
    </w:p>
    <w:p w14:paraId="65FEAF86" w14:textId="430C327B" w:rsidR="00236D44" w:rsidRDefault="005D5D7C" w:rsidP="00236D44">
      <w:pPr>
        <w:pStyle w:val="Sectiontext"/>
        <w:numPr>
          <w:ilvl w:val="0"/>
          <w:numId w:val="17"/>
        </w:numPr>
        <w:tabs>
          <w:tab w:val="left" w:pos="7380"/>
        </w:tabs>
      </w:pPr>
      <w:r>
        <w:t>Extend</w:t>
      </w:r>
      <w:r w:rsidR="00236D44">
        <w:t xml:space="preserve"> the time period for the payment for excess baggage.</w:t>
      </w:r>
    </w:p>
    <w:p w14:paraId="6607E1DB" w14:textId="07E9AA2E" w:rsidR="00AF6BFD" w:rsidRPr="00D82E47" w:rsidRDefault="00AF6BFD" w:rsidP="00236D44">
      <w:pPr>
        <w:pStyle w:val="Sectiontext"/>
        <w:numPr>
          <w:ilvl w:val="0"/>
          <w:numId w:val="17"/>
        </w:numPr>
        <w:tabs>
          <w:tab w:val="left" w:pos="7380"/>
        </w:tabs>
      </w:pPr>
      <w:r>
        <w:rPr>
          <w:snapToGrid w:val="0"/>
        </w:rPr>
        <w:t>M</w:t>
      </w:r>
      <w:r w:rsidRPr="00F9329D">
        <w:rPr>
          <w:snapToGrid w:val="0"/>
        </w:rPr>
        <w:t>ake routine update</w:t>
      </w:r>
      <w:r>
        <w:rPr>
          <w:snapToGrid w:val="0"/>
        </w:rPr>
        <w:t>s</w:t>
      </w:r>
      <w:r w:rsidRPr="00F9329D">
        <w:rPr>
          <w:snapToGrid w:val="0"/>
        </w:rPr>
        <w:t xml:space="preserve"> on the vehicle allowance rate provided to eligible members to reflect the annual movement in the relevant Consumer Price Index group</w:t>
      </w:r>
      <w:r>
        <w:rPr>
          <w:snapToGrid w:val="0"/>
        </w:rPr>
        <w:t>.</w:t>
      </w:r>
    </w:p>
    <w:p w14:paraId="2A32529F" w14:textId="2C9DC6C6" w:rsidR="00D82E47" w:rsidRPr="003F7C8E" w:rsidRDefault="00D82E47" w:rsidP="00236D44">
      <w:pPr>
        <w:pStyle w:val="Sectiontext"/>
        <w:numPr>
          <w:ilvl w:val="0"/>
          <w:numId w:val="17"/>
        </w:numPr>
        <w:tabs>
          <w:tab w:val="left" w:pos="7380"/>
        </w:tabs>
      </w:pPr>
      <w:r>
        <w:t>Provide that specified Parts and Divisions of Chapter 17 apply to members who are performing duty overseas but are not on a warlike or non-warlike deployment, to ensure that a member on a peacetime deployment is eligible for relief out-of-country travel fare assistance.</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CD30C56" w14:textId="0D0D896F" w:rsidR="00682847" w:rsidRPr="00236D44" w:rsidRDefault="00682847" w:rsidP="00EC45EE">
      <w:pPr>
        <w:pStyle w:val="Sectiontext"/>
        <w:tabs>
          <w:tab w:val="left" w:pos="7380"/>
        </w:tabs>
        <w:jc w:val="center"/>
        <w:rPr>
          <w:b/>
        </w:rPr>
      </w:pPr>
      <w:r w:rsidRPr="00236D44">
        <w:rPr>
          <w:b/>
        </w:rPr>
        <w:t>R</w:t>
      </w:r>
      <w:r w:rsidR="00AA0D47" w:rsidRPr="00236D44">
        <w:rPr>
          <w:b/>
        </w:rPr>
        <w:t>etrospective application</w:t>
      </w:r>
    </w:p>
    <w:p w14:paraId="5B5E109C" w14:textId="70B846A9" w:rsidR="00AA0D47" w:rsidRPr="00236D44" w:rsidRDefault="00AA0D47" w:rsidP="00AA0D47">
      <w:pPr>
        <w:pStyle w:val="Sectiontext"/>
        <w:tabs>
          <w:tab w:val="left" w:pos="7380"/>
        </w:tabs>
        <w:rPr>
          <w:b/>
        </w:rPr>
      </w:pPr>
      <w:r w:rsidRPr="00236D44">
        <w:t>The retrospective application of this Determination does not affect the rights of a person (other than the Commonwealth) in a manner prejudicial to that person, nor does it impose any liability on such person</w:t>
      </w:r>
      <w:r w:rsidR="00E81ECD" w:rsidRPr="00236D44">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lastRenderedPageBreak/>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264539B6" w14:textId="01D1B8F8" w:rsidR="00AF6BFD" w:rsidRPr="007C359C" w:rsidRDefault="00AA0D47" w:rsidP="006A6E00">
      <w:pPr>
        <w:pStyle w:val="Sectiontext"/>
        <w:rPr>
          <w:snapToGrid w:val="0"/>
        </w:rPr>
      </w:pPr>
      <w:r>
        <w:rPr>
          <w:snapToGrid w:val="0"/>
        </w:rPr>
        <w:t>Bef</w:t>
      </w:r>
      <w:r w:rsidR="00C40348">
        <w:rPr>
          <w:snapToGrid w:val="0"/>
        </w:rPr>
        <w:t>ore this Determination was made</w:t>
      </w:r>
      <w:r>
        <w:rPr>
          <w:snapToGrid w:val="0"/>
        </w:rPr>
        <w:t>, consultation was undertaken</w:t>
      </w:r>
      <w:r w:rsidR="00E81ECD">
        <w:rPr>
          <w:snapToGrid w:val="0"/>
        </w:rPr>
        <w:t xml:space="preserve"> with</w:t>
      </w:r>
      <w:r w:rsidR="006A6E00">
        <w:rPr>
          <w:snapToGrid w:val="0"/>
        </w:rPr>
        <w:t xml:space="preserve"> </w:t>
      </w:r>
      <w:r w:rsidR="00236D44">
        <w:rPr>
          <w:snapToGrid w:val="0"/>
        </w:rPr>
        <w:t>Navy, Army, Air Force, Australian Submarine Agency,</w:t>
      </w:r>
      <w:r w:rsidR="00F87F7B">
        <w:rPr>
          <w:snapToGrid w:val="0"/>
        </w:rPr>
        <w:t xml:space="preserve"> Australian Signals Directorate, Security and Estate Group</w:t>
      </w:r>
      <w:r w:rsidR="006A6E00">
        <w:rPr>
          <w:snapToGrid w:val="0"/>
        </w:rPr>
        <w:t>, Headquarters Joint Operations,</w:t>
      </w:r>
      <w:r w:rsidR="00AF6BFD">
        <w:rPr>
          <w:snapToGrid w:val="0"/>
        </w:rPr>
        <w:t xml:space="preserve"> </w:t>
      </w:r>
      <w:r w:rsidR="00AF6BFD" w:rsidRPr="0014586A">
        <w:rPr>
          <w:snapToGrid w:val="0"/>
        </w:rPr>
        <w:t>People Systems Business Analysis, Directorate of Relocations and Housing</w:t>
      </w:r>
      <w:r w:rsidR="00AF6BFD">
        <w:rPr>
          <w:snapToGrid w:val="0"/>
        </w:rPr>
        <w:t xml:space="preserve"> and Defence Travel Services</w:t>
      </w:r>
      <w:r w:rsidR="00AF6BFD" w:rsidRPr="0014586A">
        <w:rPr>
          <w:snapToGrid w:val="0"/>
        </w:rPr>
        <w:t>.</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236D44">
        <w:tc>
          <w:tcPr>
            <w:tcW w:w="4672" w:type="dxa"/>
          </w:tcPr>
          <w:p w14:paraId="218C04DB" w14:textId="77777777" w:rsidR="00AA0D47" w:rsidRDefault="00AA0D47" w:rsidP="00236D44">
            <w:pPr>
              <w:keepNext/>
              <w:jc w:val="right"/>
              <w:rPr>
                <w:rFonts w:ascii="Arial" w:hAnsi="Arial" w:cs="Arial"/>
                <w:b/>
                <w:sz w:val="20"/>
              </w:rPr>
            </w:pPr>
            <w:r>
              <w:rPr>
                <w:rFonts w:ascii="Arial" w:hAnsi="Arial" w:cs="Arial"/>
                <w:b/>
                <w:sz w:val="20"/>
              </w:rPr>
              <w:t>Approved by:</w:t>
            </w:r>
          </w:p>
        </w:tc>
        <w:tc>
          <w:tcPr>
            <w:tcW w:w="4673" w:type="dxa"/>
          </w:tcPr>
          <w:p w14:paraId="412E9316" w14:textId="77777777" w:rsidR="00236D44" w:rsidRPr="00BE28F0" w:rsidRDefault="00236D44" w:rsidP="00236D44">
            <w:pPr>
              <w:keepNext/>
              <w:jc w:val="right"/>
              <w:rPr>
                <w:rFonts w:ascii="Arial" w:hAnsi="Arial" w:cs="Arial"/>
                <w:b/>
                <w:sz w:val="20"/>
              </w:rPr>
            </w:pPr>
            <w:r>
              <w:rPr>
                <w:rFonts w:ascii="Arial" w:hAnsi="Arial" w:cs="Arial"/>
                <w:b/>
                <w:sz w:val="20"/>
              </w:rPr>
              <w:t>COL Kirk Lloyd</w:t>
            </w:r>
          </w:p>
          <w:p w14:paraId="32CD84AA" w14:textId="77777777" w:rsidR="00236D44" w:rsidRDefault="00236D44" w:rsidP="00236D44">
            <w:pPr>
              <w:keepNext/>
              <w:jc w:val="right"/>
              <w:rPr>
                <w:rFonts w:ascii="Arial" w:hAnsi="Arial" w:cs="Arial"/>
                <w:sz w:val="20"/>
              </w:rPr>
            </w:pPr>
            <w:r>
              <w:rPr>
                <w:rFonts w:ascii="Arial" w:hAnsi="Arial" w:cs="Arial"/>
                <w:sz w:val="20"/>
              </w:rPr>
              <w:t xml:space="preserve">Acting </w:t>
            </w:r>
            <w:r w:rsidRPr="00263C24">
              <w:rPr>
                <w:rFonts w:ascii="Arial" w:hAnsi="Arial" w:cs="Arial"/>
                <w:sz w:val="20"/>
              </w:rPr>
              <w:t>Assistant Secretary</w:t>
            </w:r>
          </w:p>
          <w:p w14:paraId="5F2FF655" w14:textId="44DE2B7E" w:rsidR="00AA0D47" w:rsidRPr="00263C24" w:rsidRDefault="00236D44" w:rsidP="00236D44">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236D44">
            <w:pPr>
              <w:keepNext/>
              <w:jc w:val="right"/>
              <w:rPr>
                <w:rFonts w:ascii="Arial" w:hAnsi="Arial" w:cs="Arial"/>
                <w:b/>
                <w:sz w:val="20"/>
              </w:rPr>
            </w:pPr>
          </w:p>
        </w:tc>
      </w:tr>
      <w:tr w:rsidR="00AA0D47" w:rsidRPr="006109CE" w14:paraId="2232ED17" w14:textId="77777777" w:rsidTr="00236D44">
        <w:tc>
          <w:tcPr>
            <w:tcW w:w="4672" w:type="dxa"/>
          </w:tcPr>
          <w:p w14:paraId="320EE412" w14:textId="77777777" w:rsidR="00AA0D47" w:rsidRPr="006109CE" w:rsidRDefault="00AA0D47" w:rsidP="00236D44">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236D44">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3ED2FBFF" w14:textId="77777777" w:rsidR="0068620B" w:rsidRDefault="0068620B" w:rsidP="0068620B">
      <w:pPr>
        <w:pStyle w:val="Sectiontext"/>
        <w:jc w:val="center"/>
        <w:rPr>
          <w:b/>
          <w:bCs/>
          <w:i/>
          <w:noProof/>
          <w:snapToGrid w:val="0"/>
          <w:lang w:val="en-US"/>
        </w:rPr>
      </w:pPr>
      <w:r w:rsidRPr="00417CDA">
        <w:rPr>
          <w:b/>
          <w:bCs/>
          <w:i/>
          <w:noProof/>
          <w:snapToGrid w:val="0"/>
          <w:lang w:val="en-US"/>
        </w:rPr>
        <w:t>Defence Determination, Conditions of service Amendment  Determination 202</w:t>
      </w:r>
      <w:r>
        <w:rPr>
          <w:b/>
          <w:bCs/>
          <w:i/>
          <w:noProof/>
          <w:snapToGrid w:val="0"/>
          <w:lang w:val="en-US"/>
        </w:rPr>
        <w:t>4</w:t>
      </w:r>
      <w:r w:rsidRPr="00417CDA">
        <w:rPr>
          <w:b/>
          <w:bCs/>
          <w:i/>
          <w:noProof/>
          <w:snapToGrid w:val="0"/>
          <w:lang w:val="en-US"/>
        </w:rPr>
        <w:t xml:space="preserve"> (No. </w:t>
      </w:r>
      <w:r>
        <w:rPr>
          <w:b/>
          <w:bCs/>
          <w:i/>
          <w:noProof/>
          <w:snapToGrid w:val="0"/>
          <w:lang w:val="en-US"/>
        </w:rPr>
        <w:t>3</w:t>
      </w:r>
      <w:r w:rsidRPr="00417CDA">
        <w:rPr>
          <w:b/>
          <w:bCs/>
          <w:i/>
          <w:noProof/>
          <w:snapToGrid w:val="0"/>
          <w:lang w:val="en-US"/>
        </w:rPr>
        <w:t>)</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69EE5485" w:rsidR="00AA0D47" w:rsidRDefault="00AA0D47" w:rsidP="00AA0D47">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 on the day </w:t>
      </w:r>
      <w:r>
        <w:rPr>
          <w:snapToGrid w:val="0"/>
        </w:rPr>
        <w:t>the instrument is registered.</w:t>
      </w:r>
    </w:p>
    <w:p w14:paraId="632A8A41" w14:textId="727309BC" w:rsidR="0068620B" w:rsidRDefault="0068620B" w:rsidP="0068620B">
      <w:pPr>
        <w:pStyle w:val="Sectiontext"/>
        <w:numPr>
          <w:ilvl w:val="0"/>
          <w:numId w:val="20"/>
        </w:numPr>
        <w:rPr>
          <w:snapToGrid w:val="0"/>
        </w:rPr>
      </w:pPr>
      <w:r>
        <w:rPr>
          <w:snapToGrid w:val="0"/>
        </w:rPr>
        <w:t>Schedule</w:t>
      </w:r>
      <w:r w:rsidR="005D5D7C">
        <w:rPr>
          <w:snapToGrid w:val="0"/>
        </w:rPr>
        <w:t>s</w:t>
      </w:r>
      <w:r>
        <w:rPr>
          <w:snapToGrid w:val="0"/>
        </w:rPr>
        <w:t xml:space="preserve"> </w:t>
      </w:r>
      <w:r w:rsidRPr="00604402">
        <w:rPr>
          <w:snapToGrid w:val="0"/>
        </w:rPr>
        <w:t>1, 2</w:t>
      </w:r>
      <w:r>
        <w:rPr>
          <w:snapToGrid w:val="0"/>
        </w:rPr>
        <w:t xml:space="preserve"> and 4 of the Determination commences on 11 April 2024.</w:t>
      </w:r>
    </w:p>
    <w:p w14:paraId="2C9FE607" w14:textId="5BCEE9BF" w:rsidR="00AA0D47" w:rsidRPr="00AA0D47" w:rsidRDefault="0068620B" w:rsidP="001E51FE">
      <w:pPr>
        <w:pStyle w:val="Sectiontext"/>
        <w:numPr>
          <w:ilvl w:val="0"/>
          <w:numId w:val="20"/>
        </w:numPr>
        <w:rPr>
          <w:snapToGrid w:val="0"/>
        </w:rPr>
      </w:pPr>
      <w:r>
        <w:rPr>
          <w:snapToGrid w:val="0"/>
        </w:rPr>
        <w:t>Schedule 3 of the Determination commences on 4 July 2024.</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787A2D44" w14:textId="77777777" w:rsidR="00FD6D1B" w:rsidRDefault="00FD6D1B" w:rsidP="00FD6D1B">
      <w:pPr>
        <w:pStyle w:val="Sectiontext"/>
        <w:rPr>
          <w:i/>
          <w:snapToGrid w:val="0"/>
          <w:u w:val="single"/>
        </w:rPr>
      </w:pPr>
      <w:r>
        <w:rPr>
          <w:i/>
          <w:snapToGrid w:val="0"/>
          <w:u w:val="single"/>
        </w:rPr>
        <w:t>Schedule 1</w:t>
      </w:r>
      <w:r>
        <w:rPr>
          <w:rFonts w:cs="Arial"/>
          <w:i/>
          <w:snapToGrid w:val="0"/>
          <w:u w:val="single"/>
        </w:rPr>
        <w:t>—</w:t>
      </w:r>
      <w:r>
        <w:rPr>
          <w:i/>
          <w:snapToGrid w:val="0"/>
          <w:u w:val="single"/>
        </w:rPr>
        <w:t>Miscellaneous domestic amendments</w:t>
      </w:r>
    </w:p>
    <w:p w14:paraId="0227815E" w14:textId="7377B35E" w:rsidR="00FD6D1B" w:rsidRDefault="00FD6D1B" w:rsidP="00FD6D1B">
      <w:pPr>
        <w:pStyle w:val="Sectiontext"/>
        <w:rPr>
          <w:snapToGrid w:val="0"/>
        </w:rPr>
      </w:pPr>
      <w:r w:rsidRPr="00A95D97">
        <w:rPr>
          <w:snapToGrid w:val="0"/>
        </w:rPr>
        <w:t>Item</w:t>
      </w:r>
      <w:r>
        <w:rPr>
          <w:snapToGrid w:val="0"/>
        </w:rPr>
        <w:t>s</w:t>
      </w:r>
      <w:r w:rsidRPr="00A95D97">
        <w:rPr>
          <w:snapToGrid w:val="0"/>
        </w:rPr>
        <w:t xml:space="preserve"> 1</w:t>
      </w:r>
      <w:r>
        <w:rPr>
          <w:snapToGrid w:val="0"/>
        </w:rPr>
        <w:t>, 2, 2</w:t>
      </w:r>
      <w:r w:rsidR="00433FE2">
        <w:rPr>
          <w:snapToGrid w:val="0"/>
        </w:rPr>
        <w:t>8</w:t>
      </w:r>
      <w:r>
        <w:rPr>
          <w:snapToGrid w:val="0"/>
        </w:rPr>
        <w:t xml:space="preserve"> and 2</w:t>
      </w:r>
      <w:r w:rsidR="00433FE2">
        <w:rPr>
          <w:snapToGrid w:val="0"/>
        </w:rPr>
        <w:t>9</w:t>
      </w:r>
      <w:r>
        <w:rPr>
          <w:snapToGrid w:val="0"/>
        </w:rPr>
        <w:t xml:space="preserve"> amend various provisions of the Principal Determination </w:t>
      </w:r>
      <w:r w:rsidR="006A6E00">
        <w:rPr>
          <w:snapToGrid w:val="0"/>
        </w:rPr>
        <w:t xml:space="preserve">to </w:t>
      </w:r>
      <w:r>
        <w:rPr>
          <w:snapToGrid w:val="0"/>
        </w:rPr>
        <w:t>correct minor typographical errors.</w:t>
      </w:r>
    </w:p>
    <w:p w14:paraId="409AA9C5" w14:textId="0793E913" w:rsidR="00FD6D1B" w:rsidRDefault="00FD6D1B" w:rsidP="00FD6D1B">
      <w:pPr>
        <w:pStyle w:val="Sectiontext"/>
        <w:rPr>
          <w:snapToGrid w:val="0"/>
        </w:rPr>
      </w:pPr>
      <w:r>
        <w:rPr>
          <w:snapToGrid w:val="0"/>
        </w:rPr>
        <w:t>Item</w:t>
      </w:r>
      <w:r w:rsidR="005D5D7C">
        <w:rPr>
          <w:snapToGrid w:val="0"/>
        </w:rPr>
        <w:t>s</w:t>
      </w:r>
      <w:r>
        <w:rPr>
          <w:snapToGrid w:val="0"/>
        </w:rPr>
        <w:t xml:space="preserve"> 3, 4, </w:t>
      </w:r>
      <w:r w:rsidR="003F3E18">
        <w:rPr>
          <w:snapToGrid w:val="0"/>
        </w:rPr>
        <w:t>6</w:t>
      </w:r>
      <w:r>
        <w:rPr>
          <w:snapToGrid w:val="0"/>
        </w:rPr>
        <w:t xml:space="preserve">, 9, 10, 12 to 19 and 21 </w:t>
      </w:r>
      <w:r>
        <w:rPr>
          <w:rStyle w:val="ui-provider"/>
        </w:rPr>
        <w:t>amend various provisions within the Principal Determination to incorporate exceptions into the substantive provisions and promote the use of contemporary drafting standards.</w:t>
      </w:r>
    </w:p>
    <w:p w14:paraId="086FD45F" w14:textId="7786A0DD" w:rsidR="00FD6D1B" w:rsidRDefault="00FD6D1B" w:rsidP="00FD6D1B">
      <w:pPr>
        <w:pStyle w:val="Sectiontext"/>
        <w:rPr>
          <w:snapToGrid w:val="0"/>
        </w:rPr>
      </w:pPr>
      <w:r>
        <w:rPr>
          <w:snapToGrid w:val="0"/>
        </w:rPr>
        <w:t xml:space="preserve">Items 5, </w:t>
      </w:r>
      <w:r w:rsidR="003F3E18">
        <w:rPr>
          <w:snapToGrid w:val="0"/>
        </w:rPr>
        <w:t>7</w:t>
      </w:r>
      <w:r>
        <w:rPr>
          <w:snapToGrid w:val="0"/>
        </w:rPr>
        <w:t>, 8, 11, 20 and 22 amend various provisions of the Principal Determination to remove deeming provisions from the sections</w:t>
      </w:r>
      <w:r w:rsidRPr="00906B73">
        <w:rPr>
          <w:rStyle w:val="ui-provider"/>
        </w:rPr>
        <w:t xml:space="preserve"> </w:t>
      </w:r>
      <w:r>
        <w:rPr>
          <w:rStyle w:val="ui-provider"/>
        </w:rPr>
        <w:t>and promote the use of contemporary drafting standards</w:t>
      </w:r>
      <w:r>
        <w:rPr>
          <w:snapToGrid w:val="0"/>
        </w:rPr>
        <w:t>.</w:t>
      </w:r>
    </w:p>
    <w:p w14:paraId="5822AD26" w14:textId="5458F2A2" w:rsidR="00433FE2" w:rsidRDefault="00433FE2" w:rsidP="00FD6D1B">
      <w:pPr>
        <w:pStyle w:val="Sectiontext"/>
        <w:rPr>
          <w:snapToGrid w:val="0"/>
        </w:rPr>
      </w:pPr>
      <w:r>
        <w:rPr>
          <w:snapToGrid w:val="0"/>
        </w:rPr>
        <w:t>Item</w:t>
      </w:r>
      <w:r w:rsidR="005D5D7C">
        <w:rPr>
          <w:snapToGrid w:val="0"/>
        </w:rPr>
        <w:t>s</w:t>
      </w:r>
      <w:r>
        <w:rPr>
          <w:snapToGrid w:val="0"/>
        </w:rPr>
        <w:t xml:space="preserve"> 23, 24, 27</w:t>
      </w:r>
      <w:r w:rsidR="00DF0D6D">
        <w:rPr>
          <w:snapToGrid w:val="0"/>
        </w:rPr>
        <w:t xml:space="preserve"> and 32 amend various provisions of the Principal Determination to remove examples from the sections</w:t>
      </w:r>
      <w:r w:rsidR="00DF0D6D" w:rsidRPr="00906B73">
        <w:rPr>
          <w:rStyle w:val="ui-provider"/>
        </w:rPr>
        <w:t xml:space="preserve"> </w:t>
      </w:r>
      <w:r w:rsidR="00DF0D6D">
        <w:rPr>
          <w:rStyle w:val="ui-provider"/>
        </w:rPr>
        <w:t>and promote the use of contemporary drafting standards</w:t>
      </w:r>
      <w:r w:rsidR="00DF0D6D">
        <w:rPr>
          <w:snapToGrid w:val="0"/>
        </w:rPr>
        <w:t>.</w:t>
      </w:r>
    </w:p>
    <w:p w14:paraId="4532F6E9" w14:textId="23DDEF32" w:rsidR="00FD6D1B" w:rsidRDefault="00986AA7" w:rsidP="00FD6D1B">
      <w:pPr>
        <w:pStyle w:val="Sectiontext"/>
        <w:rPr>
          <w:snapToGrid w:val="0"/>
        </w:rPr>
      </w:pPr>
      <w:r>
        <w:rPr>
          <w:snapToGrid w:val="0"/>
        </w:rPr>
        <w:t>Item</w:t>
      </w:r>
      <w:r w:rsidR="005D5D7C">
        <w:rPr>
          <w:snapToGrid w:val="0"/>
        </w:rPr>
        <w:t>s</w:t>
      </w:r>
      <w:r>
        <w:rPr>
          <w:snapToGrid w:val="0"/>
        </w:rPr>
        <w:t xml:space="preserve"> 25</w:t>
      </w:r>
      <w:r w:rsidR="00FD6D1B">
        <w:rPr>
          <w:snapToGrid w:val="0"/>
        </w:rPr>
        <w:t xml:space="preserve"> and 2</w:t>
      </w:r>
      <w:r>
        <w:rPr>
          <w:snapToGrid w:val="0"/>
        </w:rPr>
        <w:t>6</w:t>
      </w:r>
      <w:r w:rsidR="00FD6D1B">
        <w:rPr>
          <w:snapToGrid w:val="0"/>
        </w:rPr>
        <w:t xml:space="preserve"> amend section 7.4.46 of the Principal Determination which provides for the contributions a member is required to pay when their ship is uninhabitable. </w:t>
      </w:r>
    </w:p>
    <w:p w14:paraId="4F371D8A" w14:textId="24F2FFCA" w:rsidR="00FD6D1B" w:rsidRDefault="00DF0D6D" w:rsidP="00FD6D1B">
      <w:pPr>
        <w:pStyle w:val="Sectiontext"/>
        <w:numPr>
          <w:ilvl w:val="0"/>
          <w:numId w:val="22"/>
        </w:numPr>
        <w:rPr>
          <w:snapToGrid w:val="0"/>
        </w:rPr>
      </w:pPr>
      <w:r>
        <w:rPr>
          <w:snapToGrid w:val="0"/>
        </w:rPr>
        <w:t>Item 25</w:t>
      </w:r>
      <w:r w:rsidR="00FD6D1B">
        <w:rPr>
          <w:snapToGrid w:val="0"/>
        </w:rPr>
        <w:t xml:space="preserve"> amends subsection 7.4.46.2 to split the table into two subsections</w:t>
      </w:r>
      <w:r w:rsidR="006A6E00">
        <w:rPr>
          <w:snapToGrid w:val="0"/>
        </w:rPr>
        <w:t xml:space="preserve">, one relating to the contribution for a member on board an uninhabitable ship and one relating to a member </w:t>
      </w:r>
      <w:r w:rsidR="002F0ED7">
        <w:rPr>
          <w:snapToGrid w:val="0"/>
        </w:rPr>
        <w:t>on shore who is posted to an uninhab</w:t>
      </w:r>
      <w:r w:rsidR="005D5D7C">
        <w:rPr>
          <w:snapToGrid w:val="0"/>
        </w:rPr>
        <w:t>itable ship. The new subsection</w:t>
      </w:r>
      <w:r w:rsidR="002F0ED7">
        <w:rPr>
          <w:snapToGrid w:val="0"/>
        </w:rPr>
        <w:t xml:space="preserve"> and tables</w:t>
      </w:r>
      <w:r w:rsidR="00FD6D1B">
        <w:rPr>
          <w:snapToGrid w:val="0"/>
        </w:rPr>
        <w:t xml:space="preserve"> promote the use of contemporary drafting standards. </w:t>
      </w:r>
    </w:p>
    <w:p w14:paraId="10750942" w14:textId="00279FB5" w:rsidR="00FD6D1B" w:rsidRDefault="00433FE2" w:rsidP="00FD6D1B">
      <w:pPr>
        <w:pStyle w:val="Sectiontext"/>
        <w:numPr>
          <w:ilvl w:val="0"/>
          <w:numId w:val="22"/>
        </w:numPr>
        <w:rPr>
          <w:snapToGrid w:val="0"/>
        </w:rPr>
      </w:pPr>
      <w:r>
        <w:rPr>
          <w:snapToGrid w:val="0"/>
        </w:rPr>
        <w:t>Item 26</w:t>
      </w:r>
      <w:r w:rsidR="00FD6D1B">
        <w:rPr>
          <w:snapToGrid w:val="0"/>
        </w:rPr>
        <w:t xml:space="preserve"> amends subsection 7.4.46.3 to include a reference to subsection 2A as a consequence of the change made by item 2</w:t>
      </w:r>
      <w:r w:rsidR="002F0ED7">
        <w:rPr>
          <w:snapToGrid w:val="0"/>
        </w:rPr>
        <w:t>5</w:t>
      </w:r>
      <w:r w:rsidR="00FD6D1B">
        <w:rPr>
          <w:snapToGrid w:val="0"/>
        </w:rPr>
        <w:t xml:space="preserve"> of this Schedule.</w:t>
      </w:r>
    </w:p>
    <w:p w14:paraId="57B91AA3" w14:textId="4B0CC59F" w:rsidR="00FD6D1B" w:rsidRDefault="005B2B71" w:rsidP="00FD6D1B">
      <w:pPr>
        <w:pStyle w:val="Sectiontext"/>
        <w:rPr>
          <w:snapToGrid w:val="0"/>
        </w:rPr>
      </w:pPr>
      <w:r>
        <w:rPr>
          <w:snapToGrid w:val="0"/>
        </w:rPr>
        <w:t>Item 30</w:t>
      </w:r>
      <w:r w:rsidR="00FD6D1B">
        <w:rPr>
          <w:snapToGrid w:val="0"/>
        </w:rPr>
        <w:t xml:space="preserve"> </w:t>
      </w:r>
      <w:r w:rsidR="002F0ED7">
        <w:rPr>
          <w:snapToGrid w:val="0"/>
        </w:rPr>
        <w:t>repeals and substitutes</w:t>
      </w:r>
      <w:r w:rsidR="00FD6D1B">
        <w:rPr>
          <w:snapToGrid w:val="0"/>
        </w:rPr>
        <w:t xml:space="preserve"> section 7.8.18 of the Principal Determination which provides for when contributions cease for a member who has no resident family or recognised other persons. The </w:t>
      </w:r>
      <w:r w:rsidR="002F0ED7">
        <w:rPr>
          <w:snapToGrid w:val="0"/>
        </w:rPr>
        <w:t>section has been amended to update the</w:t>
      </w:r>
      <w:r w:rsidR="00FD6D1B">
        <w:rPr>
          <w:snapToGrid w:val="0"/>
        </w:rPr>
        <w:t xml:space="preserve"> table and amend the language to promote the use of contemporary drafting standards.</w:t>
      </w:r>
    </w:p>
    <w:p w14:paraId="733FD3BA" w14:textId="1755525E" w:rsidR="00FD6D1B" w:rsidRDefault="005B2B71" w:rsidP="00FD6D1B">
      <w:pPr>
        <w:pStyle w:val="Sectiontext"/>
        <w:rPr>
          <w:snapToGrid w:val="0"/>
        </w:rPr>
      </w:pPr>
      <w:r>
        <w:rPr>
          <w:snapToGrid w:val="0"/>
        </w:rPr>
        <w:lastRenderedPageBreak/>
        <w:t>Item 31</w:t>
      </w:r>
      <w:r w:rsidR="00FD6D1B">
        <w:rPr>
          <w:snapToGrid w:val="0"/>
        </w:rPr>
        <w:t xml:space="preserve"> amends section 7.8.41 of the Principal Determination which provides for assistance with payments for a rental home. </w:t>
      </w:r>
      <w:r w:rsidR="002F0ED7">
        <w:rPr>
          <w:snapToGrid w:val="0"/>
        </w:rPr>
        <w:t>Subsection 7.8.41.3 has been amended to update the</w:t>
      </w:r>
      <w:r w:rsidR="00FD6D1B">
        <w:rPr>
          <w:snapToGrid w:val="0"/>
        </w:rPr>
        <w:t xml:space="preserve"> table</w:t>
      </w:r>
      <w:r w:rsidR="002F0ED7">
        <w:rPr>
          <w:snapToGrid w:val="0"/>
        </w:rPr>
        <w:t xml:space="preserve"> and</w:t>
      </w:r>
      <w:r w:rsidR="00FD6D1B">
        <w:rPr>
          <w:snapToGrid w:val="0"/>
        </w:rPr>
        <w:t xml:space="preserve"> to promote the use of contemporary drafting standards.</w:t>
      </w:r>
    </w:p>
    <w:p w14:paraId="72AA71B7" w14:textId="623BC291" w:rsidR="00FD6D1B" w:rsidRDefault="005B2B71" w:rsidP="00FD6D1B">
      <w:pPr>
        <w:pStyle w:val="Sectiontext"/>
        <w:rPr>
          <w:snapToGrid w:val="0"/>
        </w:rPr>
      </w:pPr>
      <w:r>
        <w:rPr>
          <w:snapToGrid w:val="0"/>
        </w:rPr>
        <w:t>Item 33</w:t>
      </w:r>
      <w:r w:rsidR="00FD6D1B">
        <w:rPr>
          <w:snapToGrid w:val="0"/>
        </w:rPr>
        <w:t xml:space="preserve"> amends subsection 9.4.4.1 of the Principal Determination which provides the rules for the CDF to approve a closest relative for a member. </w:t>
      </w:r>
      <w:r w:rsidR="002F0ED7">
        <w:rPr>
          <w:snapToGrid w:val="0"/>
        </w:rPr>
        <w:t>The subsection has been amended to</w:t>
      </w:r>
      <w:r w:rsidR="00FD6D1B">
        <w:rPr>
          <w:snapToGrid w:val="0"/>
        </w:rPr>
        <w:t xml:space="preserve"> correct a cross-reference and remove a see note, promoting the use of contemporary drafting standards.</w:t>
      </w:r>
    </w:p>
    <w:p w14:paraId="3DF4AA37" w14:textId="7E49A43D" w:rsidR="00343B84" w:rsidRDefault="00343B84" w:rsidP="00FD6D1B">
      <w:pPr>
        <w:pStyle w:val="Sectiontext"/>
        <w:rPr>
          <w:snapToGrid w:val="0"/>
        </w:rPr>
      </w:pPr>
      <w:r>
        <w:rPr>
          <w:snapToGrid w:val="0"/>
        </w:rPr>
        <w:t xml:space="preserve">Item 34 amends subsection 9.6.13.2 of the Principal Determination which provides for the benefits a member can receive when they travel on duty. </w:t>
      </w:r>
      <w:r w:rsidR="002F0ED7">
        <w:rPr>
          <w:snapToGrid w:val="0"/>
        </w:rPr>
        <w:t>T</w:t>
      </w:r>
      <w:r>
        <w:rPr>
          <w:snapToGrid w:val="0"/>
        </w:rPr>
        <w:t>he subsection</w:t>
      </w:r>
      <w:r w:rsidR="002F0ED7">
        <w:rPr>
          <w:snapToGrid w:val="0"/>
        </w:rPr>
        <w:t xml:space="preserve"> has been amended</w:t>
      </w:r>
      <w:r>
        <w:rPr>
          <w:snapToGrid w:val="0"/>
        </w:rPr>
        <w:t xml:space="preserve"> to remove a see note and update the language to promote the use of contemporary drafting standards.</w:t>
      </w:r>
    </w:p>
    <w:p w14:paraId="0FD97018" w14:textId="77777777" w:rsidR="00FD6D1B" w:rsidRPr="00836777" w:rsidRDefault="00FD6D1B" w:rsidP="00FD6D1B">
      <w:pPr>
        <w:pStyle w:val="Sectiontext"/>
        <w:rPr>
          <w:snapToGrid w:val="0"/>
        </w:rPr>
      </w:pPr>
      <w:r w:rsidRPr="00836777">
        <w:rPr>
          <w:snapToGrid w:val="0"/>
        </w:rPr>
        <w:t>Technical amendments made under this Schedule do not alter the underlying policies, or the benefits which are currently provided.</w:t>
      </w:r>
    </w:p>
    <w:p w14:paraId="23AE10E0" w14:textId="77777777" w:rsidR="00FD6D1B" w:rsidRDefault="00FD6D1B" w:rsidP="00FD6D1B">
      <w:pPr>
        <w:pStyle w:val="Sectiontext"/>
        <w:rPr>
          <w:i/>
          <w:snapToGrid w:val="0"/>
          <w:u w:val="single"/>
        </w:rPr>
      </w:pPr>
      <w:r>
        <w:rPr>
          <w:i/>
          <w:snapToGrid w:val="0"/>
          <w:u w:val="single"/>
        </w:rPr>
        <w:t xml:space="preserve">Schedule </w:t>
      </w:r>
      <w:r w:rsidRPr="00FD6D1B">
        <w:rPr>
          <w:i/>
          <w:snapToGrid w:val="0"/>
          <w:u w:val="single"/>
        </w:rPr>
        <w:t>2</w:t>
      </w:r>
      <w:r>
        <w:rPr>
          <w:rFonts w:cs="Arial"/>
          <w:i/>
          <w:snapToGrid w:val="0"/>
          <w:u w:val="single"/>
        </w:rPr>
        <w:t>—</w:t>
      </w:r>
      <w:r>
        <w:rPr>
          <w:i/>
          <w:snapToGrid w:val="0"/>
          <w:u w:val="single"/>
        </w:rPr>
        <w:t>Miscellaneous overseas amendments</w:t>
      </w:r>
    </w:p>
    <w:p w14:paraId="67CA3824" w14:textId="3481D41F" w:rsidR="00FD6D1B" w:rsidRDefault="00343B84" w:rsidP="00FD6D1B">
      <w:pPr>
        <w:pStyle w:val="Sectiontext"/>
        <w:rPr>
          <w:snapToGrid w:val="0"/>
        </w:rPr>
      </w:pPr>
      <w:r>
        <w:rPr>
          <w:snapToGrid w:val="0"/>
        </w:rPr>
        <w:t>Items 1</w:t>
      </w:r>
      <w:r w:rsidR="00E4397B">
        <w:rPr>
          <w:snapToGrid w:val="0"/>
        </w:rPr>
        <w:t>,</w:t>
      </w:r>
      <w:r w:rsidR="001E467A">
        <w:rPr>
          <w:snapToGrid w:val="0"/>
        </w:rPr>
        <w:t xml:space="preserve"> </w:t>
      </w:r>
      <w:r w:rsidR="003F3E18">
        <w:rPr>
          <w:snapToGrid w:val="0"/>
        </w:rPr>
        <w:t>2</w:t>
      </w:r>
      <w:r w:rsidR="001E467A">
        <w:rPr>
          <w:snapToGrid w:val="0"/>
        </w:rPr>
        <w:t xml:space="preserve">, 6 and </w:t>
      </w:r>
      <w:r w:rsidR="008B3803">
        <w:rPr>
          <w:snapToGrid w:val="0"/>
        </w:rPr>
        <w:t xml:space="preserve">7 </w:t>
      </w:r>
      <w:r w:rsidR="00FD6D1B">
        <w:rPr>
          <w:snapToGrid w:val="0"/>
        </w:rPr>
        <w:t>amend various provisions of the Principal Determination to remove deeming provisions from the sections</w:t>
      </w:r>
      <w:r w:rsidR="00FD6D1B" w:rsidRPr="00906B73">
        <w:rPr>
          <w:rStyle w:val="ui-provider"/>
        </w:rPr>
        <w:t xml:space="preserve"> </w:t>
      </w:r>
      <w:r w:rsidR="00FD6D1B">
        <w:rPr>
          <w:rStyle w:val="ui-provider"/>
        </w:rPr>
        <w:t>and promote the use of contemporary drafting standards</w:t>
      </w:r>
      <w:r w:rsidR="00FD6D1B">
        <w:rPr>
          <w:snapToGrid w:val="0"/>
        </w:rPr>
        <w:t>.</w:t>
      </w:r>
    </w:p>
    <w:p w14:paraId="2D4CE3BE" w14:textId="3F7473E0" w:rsidR="00E4397B" w:rsidRDefault="00E4397B" w:rsidP="00FD6D1B">
      <w:pPr>
        <w:pStyle w:val="Sectiontext"/>
        <w:rPr>
          <w:snapToGrid w:val="0"/>
        </w:rPr>
      </w:pPr>
      <w:r>
        <w:rPr>
          <w:snapToGrid w:val="0"/>
        </w:rPr>
        <w:t xml:space="preserve">Item </w:t>
      </w:r>
      <w:r w:rsidR="003F3E18">
        <w:rPr>
          <w:snapToGrid w:val="0"/>
        </w:rPr>
        <w:t>3</w:t>
      </w:r>
      <w:r>
        <w:rPr>
          <w:snapToGrid w:val="0"/>
        </w:rPr>
        <w:t xml:space="preserve"> </w:t>
      </w:r>
      <w:r w:rsidR="002F0ED7">
        <w:rPr>
          <w:snapToGrid w:val="0"/>
        </w:rPr>
        <w:t>repeals and substitutes</w:t>
      </w:r>
      <w:r>
        <w:rPr>
          <w:snapToGrid w:val="0"/>
        </w:rPr>
        <w:t xml:space="preserve"> subsection 13.3.12.1 of the Principal Determination which provides for a top-up of travel costs when another organisation has paid the member less than the member would be eligible for under Defence. </w:t>
      </w:r>
      <w:r w:rsidR="002F0ED7">
        <w:rPr>
          <w:snapToGrid w:val="0"/>
        </w:rPr>
        <w:t>The</w:t>
      </w:r>
      <w:r>
        <w:rPr>
          <w:snapToGrid w:val="0"/>
        </w:rPr>
        <w:t xml:space="preserve"> subsection </w:t>
      </w:r>
      <w:r w:rsidR="002F0ED7">
        <w:rPr>
          <w:snapToGrid w:val="0"/>
        </w:rPr>
        <w:t xml:space="preserve">has been amended </w:t>
      </w:r>
      <w:r>
        <w:rPr>
          <w:snapToGrid w:val="0"/>
        </w:rPr>
        <w:t>to remove a see note and update the language to promote the use of contemporary drafting standards.</w:t>
      </w:r>
    </w:p>
    <w:p w14:paraId="6536347B" w14:textId="757AAC11" w:rsidR="00E4397B" w:rsidRDefault="00E4397B" w:rsidP="00E4397B">
      <w:pPr>
        <w:pStyle w:val="Sectiontext"/>
        <w:rPr>
          <w:snapToGrid w:val="0"/>
        </w:rPr>
      </w:pPr>
      <w:r>
        <w:rPr>
          <w:snapToGrid w:val="0"/>
        </w:rPr>
        <w:t xml:space="preserve">Item 4 repeals and substitutes section 14.4.9 of the Principal Determination which provides the benefits available for the member when they travel by private vehicle. </w:t>
      </w:r>
      <w:r w:rsidR="002F0ED7">
        <w:rPr>
          <w:snapToGrid w:val="0"/>
        </w:rPr>
        <w:t>The</w:t>
      </w:r>
      <w:r>
        <w:rPr>
          <w:snapToGrid w:val="0"/>
        </w:rPr>
        <w:t xml:space="preserve"> section</w:t>
      </w:r>
      <w:r w:rsidR="002F0ED7">
        <w:rPr>
          <w:snapToGrid w:val="0"/>
        </w:rPr>
        <w:t xml:space="preserve"> has been amended</w:t>
      </w:r>
      <w:r>
        <w:rPr>
          <w:snapToGrid w:val="0"/>
        </w:rPr>
        <w:t xml:space="preserve"> to remove a see note and update the language to promote the use of contemporary drafting standards.</w:t>
      </w:r>
    </w:p>
    <w:p w14:paraId="53D8A3F4" w14:textId="4DE9F861" w:rsidR="00FD6D1B" w:rsidRDefault="008B3803" w:rsidP="00FD6D1B">
      <w:pPr>
        <w:pStyle w:val="Sectiontext"/>
        <w:rPr>
          <w:snapToGrid w:val="0"/>
        </w:rPr>
      </w:pPr>
      <w:r>
        <w:rPr>
          <w:snapToGrid w:val="0"/>
        </w:rPr>
        <w:t>Item 5</w:t>
      </w:r>
      <w:r w:rsidR="00FD6D1B">
        <w:rPr>
          <w:snapToGrid w:val="0"/>
        </w:rPr>
        <w:t xml:space="preserve"> amends paragraph 14.4.11.2A.b of the Principal Determination which provides for excess baggage when</w:t>
      </w:r>
      <w:r w:rsidR="00FD6D1B">
        <w:rPr>
          <w:rFonts w:cs="Arial"/>
          <w:iCs/>
        </w:rPr>
        <w:t xml:space="preserve"> t</w:t>
      </w:r>
      <w:r w:rsidR="00FD6D1B" w:rsidRPr="005F592D">
        <w:rPr>
          <w:rFonts w:cs="Arial"/>
          <w:iCs/>
        </w:rPr>
        <w:t xml:space="preserve">he member and each dependant </w:t>
      </w:r>
      <w:r w:rsidR="005D5D7C">
        <w:rPr>
          <w:rFonts w:cs="Arial"/>
          <w:iCs/>
        </w:rPr>
        <w:t xml:space="preserve">is </w:t>
      </w:r>
      <w:r w:rsidR="00FD6D1B" w:rsidRPr="005F592D">
        <w:rPr>
          <w:rFonts w:cs="Arial"/>
          <w:iCs/>
        </w:rPr>
        <w:t>authorised to travel to or from</w:t>
      </w:r>
      <w:r w:rsidR="00FD6D1B">
        <w:rPr>
          <w:rFonts w:cs="Arial"/>
          <w:iCs/>
        </w:rPr>
        <w:t xml:space="preserve"> an</w:t>
      </w:r>
      <w:r w:rsidR="00FD6D1B" w:rsidRPr="005F592D">
        <w:rPr>
          <w:rFonts w:cs="Arial"/>
          <w:iCs/>
        </w:rPr>
        <w:t xml:space="preserve"> overseas posting location</w:t>
      </w:r>
      <w:r w:rsidR="00FD6D1B">
        <w:rPr>
          <w:rFonts w:cs="Arial"/>
          <w:iCs/>
        </w:rPr>
        <w:t>.</w:t>
      </w:r>
      <w:r w:rsidR="00FD6D1B">
        <w:rPr>
          <w:snapToGrid w:val="0"/>
        </w:rPr>
        <w:t xml:space="preserve"> The </w:t>
      </w:r>
      <w:r w:rsidR="002F0ED7">
        <w:rPr>
          <w:snapToGrid w:val="0"/>
        </w:rPr>
        <w:t>paragraph has been amended to</w:t>
      </w:r>
      <w:r w:rsidR="00FD6D1B">
        <w:rPr>
          <w:snapToGrid w:val="0"/>
        </w:rPr>
        <w:t xml:space="preserve"> extend the date of eligibility from 1 March 2024 to 1 March 2025.</w:t>
      </w:r>
    </w:p>
    <w:p w14:paraId="1DA561FE" w14:textId="2C6D2FB2" w:rsidR="008B3803" w:rsidRDefault="008B3803" w:rsidP="008B3803">
      <w:pPr>
        <w:pStyle w:val="Sectiontext"/>
        <w:rPr>
          <w:snapToGrid w:val="0"/>
        </w:rPr>
      </w:pPr>
      <w:r>
        <w:rPr>
          <w:snapToGrid w:val="0"/>
        </w:rPr>
        <w:t xml:space="preserve">Item 8 repeals and substitutes section 14.4.18 of the Principal Determination which provides for the member to claim costs associated with the portage of personal baggage for a member’s dependants. </w:t>
      </w:r>
      <w:r w:rsidR="002F0ED7">
        <w:rPr>
          <w:snapToGrid w:val="0"/>
        </w:rPr>
        <w:t>The</w:t>
      </w:r>
      <w:r>
        <w:rPr>
          <w:snapToGrid w:val="0"/>
        </w:rPr>
        <w:t xml:space="preserve"> section </w:t>
      </w:r>
      <w:r w:rsidR="002F0ED7">
        <w:rPr>
          <w:snapToGrid w:val="0"/>
        </w:rPr>
        <w:t>has been amended to remove an example and update</w:t>
      </w:r>
      <w:r>
        <w:rPr>
          <w:snapToGrid w:val="0"/>
        </w:rPr>
        <w:t xml:space="preserve"> the language to promote the use of contemporary drafting standards.</w:t>
      </w:r>
    </w:p>
    <w:p w14:paraId="01F81FAE" w14:textId="65F3A7A8" w:rsidR="001E467A" w:rsidRDefault="001E467A" w:rsidP="001E467A">
      <w:pPr>
        <w:pStyle w:val="Sectiontext"/>
        <w:rPr>
          <w:snapToGrid w:val="0"/>
        </w:rPr>
      </w:pPr>
      <w:r>
        <w:rPr>
          <w:snapToGrid w:val="0"/>
        </w:rPr>
        <w:t xml:space="preserve">Item 9 amends subsection 15.3.8.2 of the Principal Determination which provides for the reimbursement a member can claim when the member commutes using a private vehicle. </w:t>
      </w:r>
      <w:r w:rsidR="002F0ED7">
        <w:rPr>
          <w:snapToGrid w:val="0"/>
        </w:rPr>
        <w:t>A</w:t>
      </w:r>
      <w:r>
        <w:rPr>
          <w:snapToGrid w:val="0"/>
        </w:rPr>
        <w:t xml:space="preserve"> step table </w:t>
      </w:r>
      <w:r w:rsidR="002F0ED7">
        <w:rPr>
          <w:snapToGrid w:val="0"/>
        </w:rPr>
        <w:t xml:space="preserve">is being removed </w:t>
      </w:r>
      <w:r>
        <w:rPr>
          <w:snapToGrid w:val="0"/>
        </w:rPr>
        <w:t xml:space="preserve">from the subsection </w:t>
      </w:r>
      <w:r w:rsidR="002F0ED7">
        <w:rPr>
          <w:snapToGrid w:val="0"/>
        </w:rPr>
        <w:t xml:space="preserve">as it provides an example of how the formula provided in the subsection </w:t>
      </w:r>
      <w:r w:rsidR="00D56A00">
        <w:rPr>
          <w:snapToGrid w:val="0"/>
        </w:rPr>
        <w:t>is used and the removal</w:t>
      </w:r>
      <w:r>
        <w:rPr>
          <w:snapToGrid w:val="0"/>
        </w:rPr>
        <w:t xml:space="preserve"> promote</w:t>
      </w:r>
      <w:r w:rsidR="00D56A00">
        <w:rPr>
          <w:snapToGrid w:val="0"/>
        </w:rPr>
        <w:t>s</w:t>
      </w:r>
      <w:r>
        <w:rPr>
          <w:snapToGrid w:val="0"/>
        </w:rPr>
        <w:t xml:space="preserve"> the use of contemporary drafting standards. </w:t>
      </w:r>
    </w:p>
    <w:p w14:paraId="3916B08A" w14:textId="73E3F1DE" w:rsidR="00FD6D1B" w:rsidRDefault="001E467A" w:rsidP="00FD6D1B">
      <w:pPr>
        <w:pStyle w:val="Sectiontext"/>
        <w:rPr>
          <w:snapToGrid w:val="0"/>
        </w:rPr>
      </w:pPr>
      <w:r>
        <w:rPr>
          <w:snapToGrid w:val="0"/>
        </w:rPr>
        <w:t>Item 10</w:t>
      </w:r>
      <w:r w:rsidR="00FD6D1B">
        <w:rPr>
          <w:snapToGrid w:val="0"/>
        </w:rPr>
        <w:t xml:space="preserve"> amends subsection 15.4.7.3 of the Principal Determination which provides for rental bond advance for the USA, Canada and UK. The </w:t>
      </w:r>
      <w:r w:rsidR="00D56A00">
        <w:rPr>
          <w:snapToGrid w:val="0"/>
        </w:rPr>
        <w:t>subsection has been amended to</w:t>
      </w:r>
      <w:r w:rsidR="00FD6D1B">
        <w:rPr>
          <w:snapToGrid w:val="0"/>
        </w:rPr>
        <w:t xml:space="preserve"> correct a minor typographical error.</w:t>
      </w:r>
    </w:p>
    <w:p w14:paraId="0EF5040C" w14:textId="77E7D00D" w:rsidR="00243F75" w:rsidRDefault="00243F75" w:rsidP="00243F75">
      <w:pPr>
        <w:pStyle w:val="Sectiontext"/>
        <w:rPr>
          <w:snapToGrid w:val="0"/>
        </w:rPr>
      </w:pPr>
      <w:r>
        <w:rPr>
          <w:snapToGrid w:val="0"/>
        </w:rPr>
        <w:t>Item 11 repeals and substitutes section 17.1.4 of the Principal Determination which provides the members to whom Chapter 17 does not apply. The new section provides a limited application of Chapter 17 to do the following.</w:t>
      </w:r>
    </w:p>
    <w:p w14:paraId="68A8EC1E" w14:textId="77777777" w:rsidR="00243F75" w:rsidRDefault="00243F75" w:rsidP="00243F75">
      <w:pPr>
        <w:pStyle w:val="Sectiontext"/>
        <w:numPr>
          <w:ilvl w:val="0"/>
          <w:numId w:val="23"/>
        </w:numPr>
        <w:rPr>
          <w:snapToGrid w:val="0"/>
        </w:rPr>
      </w:pPr>
      <w:r>
        <w:rPr>
          <w:snapToGrid w:val="0"/>
        </w:rPr>
        <w:t>To provide that Part 4 of Chapter 17, which provides assistance for members who are seriously or very seriously ill, applies to a member who is on a long-term posting overseas, short-term duty overseas, peacetime deployment or who has a diplomatic status.</w:t>
      </w:r>
    </w:p>
    <w:p w14:paraId="337717BC" w14:textId="77777777" w:rsidR="00243F75" w:rsidRDefault="00243F75" w:rsidP="00243F75">
      <w:pPr>
        <w:pStyle w:val="Sectiontext"/>
        <w:numPr>
          <w:ilvl w:val="0"/>
          <w:numId w:val="23"/>
        </w:numPr>
        <w:rPr>
          <w:snapToGrid w:val="0"/>
        </w:rPr>
      </w:pPr>
      <w:r>
        <w:rPr>
          <w:snapToGrid w:val="0"/>
        </w:rPr>
        <w:t>To provide that Division 4 of Part 7 of Chapter 17, which provides relief out-of-country travel fare assistance, applies to a member on a peacetime deployment.</w:t>
      </w:r>
    </w:p>
    <w:p w14:paraId="4E2B0199" w14:textId="0BFE860E" w:rsidR="00243F75" w:rsidRPr="00243F75" w:rsidRDefault="00243F75" w:rsidP="00FD6D1B">
      <w:pPr>
        <w:pStyle w:val="Sectiontext"/>
        <w:numPr>
          <w:ilvl w:val="0"/>
          <w:numId w:val="23"/>
        </w:numPr>
        <w:rPr>
          <w:snapToGrid w:val="0"/>
        </w:rPr>
      </w:pPr>
      <w:r>
        <w:rPr>
          <w:snapToGrid w:val="0"/>
        </w:rPr>
        <w:lastRenderedPageBreak/>
        <w:t>To provide that the remaining provisions under Chapter 17 do not apply to these members.</w:t>
      </w:r>
    </w:p>
    <w:p w14:paraId="09944CE6" w14:textId="4F77A992" w:rsidR="00243F75" w:rsidRPr="00836777" w:rsidRDefault="00FD6D1B" w:rsidP="00FD6D1B">
      <w:pPr>
        <w:pStyle w:val="Sectiontext"/>
        <w:rPr>
          <w:snapToGrid w:val="0"/>
        </w:rPr>
      </w:pPr>
      <w:r w:rsidRPr="00836777">
        <w:rPr>
          <w:snapToGrid w:val="0"/>
        </w:rPr>
        <w:t>Technical amendments made under this Schedule do not alter the underlying policies, or the benefits which are currently provided.</w:t>
      </w:r>
    </w:p>
    <w:p w14:paraId="64D756B7" w14:textId="13E76788" w:rsidR="00FD6D1B" w:rsidRDefault="00FD6D1B" w:rsidP="00FD6D1B">
      <w:pPr>
        <w:pStyle w:val="Sectiontext"/>
        <w:rPr>
          <w:i/>
          <w:snapToGrid w:val="0"/>
          <w:u w:val="single"/>
        </w:rPr>
      </w:pPr>
      <w:r>
        <w:rPr>
          <w:i/>
          <w:snapToGrid w:val="0"/>
          <w:u w:val="single"/>
        </w:rPr>
        <w:t>Schedule 3</w:t>
      </w:r>
      <w:r w:rsidR="008C66C3" w:rsidRPr="0060766F">
        <w:rPr>
          <w:rFonts w:cs="Arial"/>
          <w:i/>
          <w:snapToGrid w:val="0"/>
          <w:u w:val="single"/>
        </w:rPr>
        <w:t>—</w:t>
      </w:r>
      <w:r w:rsidR="008C66C3">
        <w:rPr>
          <w:rFonts w:cs="Arial"/>
          <w:i/>
          <w:snapToGrid w:val="0"/>
          <w:u w:val="single"/>
        </w:rPr>
        <w:t>Motor vehicle allowance</w:t>
      </w:r>
    </w:p>
    <w:p w14:paraId="1C0E74FE" w14:textId="77777777" w:rsidR="008C66C3" w:rsidRPr="00FA083A" w:rsidRDefault="008C66C3" w:rsidP="008C66C3">
      <w:pPr>
        <w:pStyle w:val="Sectiontext"/>
        <w:rPr>
          <w:snapToGrid w:val="0"/>
        </w:rPr>
      </w:pPr>
      <w:r>
        <w:rPr>
          <w:snapToGrid w:val="0"/>
        </w:rPr>
        <w:t>Item 1 repeals and substitutes column C, subsection 9.6.25.1 of the Principal Determination which provides the rates of vehicle allowance. The rates have been increased in line with the annual movement in the Consumer Price Index group.</w:t>
      </w:r>
    </w:p>
    <w:p w14:paraId="71AAFADA" w14:textId="77777777" w:rsidR="008C66C3" w:rsidRDefault="008C66C3" w:rsidP="008C66C3">
      <w:pPr>
        <w:pStyle w:val="Sectiontext"/>
        <w:rPr>
          <w:snapToGrid w:val="0"/>
        </w:rPr>
      </w:pPr>
      <w:r>
        <w:rPr>
          <w:snapToGrid w:val="0"/>
        </w:rPr>
        <w:t>Item 2 repeals and substitutes subsection 9.6.26.1 of the Principal Determination which provides that a member’s vehicle allowance rate under section 9.6.25 may be increased if they carry a passenger, carry equipment, tools or materials or tow a caravan or trailer.</w:t>
      </w:r>
      <w:r w:rsidRPr="007679CB">
        <w:t xml:space="preserve"> </w:t>
      </w:r>
      <w:r>
        <w:t>The item updates the cent per kilometre increase in subsection 9.6.26.1 from “1.06” to “1.12”. The adjustment made is in line with the annual movement in the Consumer Price Index group.</w:t>
      </w:r>
    </w:p>
    <w:p w14:paraId="54DF4978" w14:textId="673FEC2A" w:rsidR="00FD6D1B" w:rsidRPr="0060766F" w:rsidRDefault="00FD6D1B" w:rsidP="00D56A00">
      <w:pPr>
        <w:pStyle w:val="Sectiontext"/>
        <w:keepNext/>
        <w:keepLines/>
        <w:rPr>
          <w:i/>
          <w:snapToGrid w:val="0"/>
          <w:u w:val="single"/>
        </w:rPr>
      </w:pPr>
      <w:r>
        <w:rPr>
          <w:i/>
          <w:snapToGrid w:val="0"/>
          <w:u w:val="single"/>
        </w:rPr>
        <w:t>Schedul</w:t>
      </w:r>
      <w:r w:rsidRPr="0060766F">
        <w:rPr>
          <w:i/>
          <w:snapToGrid w:val="0"/>
          <w:u w:val="single"/>
        </w:rPr>
        <w:t xml:space="preserve">e </w:t>
      </w:r>
      <w:r>
        <w:rPr>
          <w:i/>
          <w:snapToGrid w:val="0"/>
          <w:u w:val="single"/>
        </w:rPr>
        <w:t>4</w:t>
      </w:r>
      <w:r w:rsidRPr="0060766F">
        <w:rPr>
          <w:rFonts w:cs="Arial"/>
          <w:i/>
          <w:snapToGrid w:val="0"/>
          <w:u w:val="single"/>
        </w:rPr>
        <w:t>—</w:t>
      </w:r>
      <w:r w:rsidRPr="0060766F">
        <w:rPr>
          <w:i/>
          <w:snapToGrid w:val="0"/>
          <w:u w:val="single"/>
        </w:rPr>
        <w:t>Transitional Provisions</w:t>
      </w:r>
    </w:p>
    <w:p w14:paraId="151273C3" w14:textId="77777777" w:rsidR="00FD6D1B" w:rsidRPr="0060766F" w:rsidRDefault="00FD6D1B" w:rsidP="00D56A00">
      <w:pPr>
        <w:pStyle w:val="Sectiontext"/>
        <w:keepNext/>
        <w:keepLines/>
        <w:rPr>
          <w:snapToGrid w:val="0"/>
        </w:rPr>
      </w:pPr>
      <w:r w:rsidRPr="0060766F">
        <w:rPr>
          <w:snapToGrid w:val="0"/>
        </w:rPr>
        <w:t>Clause 1</w:t>
      </w:r>
      <w:r w:rsidRPr="0060766F">
        <w:rPr>
          <w:rFonts w:cs="Arial"/>
          <w:color w:val="000000"/>
          <w:shd w:val="clear" w:color="auto" w:fill="FFFFFF"/>
        </w:rPr>
        <w:t xml:space="preserve"> defines ‘Defence Determination 2016/19’ for the purpose of this Schedule.</w:t>
      </w:r>
    </w:p>
    <w:p w14:paraId="7FEFBA48" w14:textId="55A80B11" w:rsidR="00FD6D1B" w:rsidRDefault="00FD6D1B" w:rsidP="00FD6D1B">
      <w:pPr>
        <w:pStyle w:val="Sectiontext"/>
        <w:rPr>
          <w:snapToGrid w:val="0"/>
        </w:rPr>
      </w:pPr>
      <w:r w:rsidRPr="0060766F">
        <w:rPr>
          <w:snapToGrid w:val="0"/>
        </w:rPr>
        <w:t xml:space="preserve">Clause 2 provides that a member who </w:t>
      </w:r>
      <w:r>
        <w:rPr>
          <w:snapToGrid w:val="0"/>
        </w:rPr>
        <w:t>was required to travel to or from a long-term posting overseas</w:t>
      </w:r>
      <w:r w:rsidRPr="0060766F">
        <w:rPr>
          <w:snapToGrid w:val="0"/>
        </w:rPr>
        <w:t xml:space="preserve"> </w:t>
      </w:r>
      <w:r>
        <w:rPr>
          <w:snapToGrid w:val="0"/>
        </w:rPr>
        <w:t xml:space="preserve">and would have been eligible for a payment for excess baggage </w:t>
      </w:r>
      <w:r w:rsidRPr="00001975">
        <w:rPr>
          <w:snapToGrid w:val="0"/>
        </w:rPr>
        <w:t xml:space="preserve">between </w:t>
      </w:r>
      <w:r>
        <w:rPr>
          <w:snapToGrid w:val="0"/>
        </w:rPr>
        <w:t>1 March 2024</w:t>
      </w:r>
      <w:r w:rsidRPr="00001975">
        <w:rPr>
          <w:snapToGrid w:val="0"/>
        </w:rPr>
        <w:t xml:space="preserve"> and the commencement of this Determination is eligible for </w:t>
      </w:r>
      <w:r>
        <w:rPr>
          <w:snapToGrid w:val="0"/>
        </w:rPr>
        <w:t>payment for excess baggage</w:t>
      </w:r>
      <w:r w:rsidRPr="00001975">
        <w:rPr>
          <w:snapToGrid w:val="0"/>
        </w:rPr>
        <w:t xml:space="preserve"> as though the </w:t>
      </w:r>
      <w:r w:rsidR="00AC65CD">
        <w:rPr>
          <w:snapToGrid w:val="0"/>
        </w:rPr>
        <w:t>change made by item 5</w:t>
      </w:r>
      <w:r>
        <w:rPr>
          <w:snapToGrid w:val="0"/>
        </w:rPr>
        <w:t xml:space="preserve"> of Schedule 2 of this Determination </w:t>
      </w:r>
      <w:r w:rsidRPr="00001975">
        <w:rPr>
          <w:snapToGrid w:val="0"/>
        </w:rPr>
        <w:t>had applied at the time.</w:t>
      </w:r>
    </w:p>
    <w:p w14:paraId="5A7BEFBD" w14:textId="08D73195" w:rsidR="00243F75" w:rsidRDefault="00243F75" w:rsidP="00243F75">
      <w:pPr>
        <w:pStyle w:val="Sectiontext"/>
      </w:pPr>
      <w:r>
        <w:rPr>
          <w:snapToGrid w:val="0"/>
        </w:rPr>
        <w:t xml:space="preserve">Clause </w:t>
      </w:r>
      <w:r w:rsidR="00482DFF">
        <w:rPr>
          <w:snapToGrid w:val="0"/>
        </w:rPr>
        <w:t>3</w:t>
      </w:r>
      <w:r>
        <w:rPr>
          <w:snapToGrid w:val="0"/>
        </w:rPr>
        <w:t xml:space="preserve"> provides a transitional provision for a member who is on a peacetime deployment for greater than 6 months between 9 November 2023 and the commencement of this Determination. The member is eligible for the period they served on the peacetime deployment to count towards relief out-of-country travel fare </w:t>
      </w:r>
      <w:r w:rsidRPr="00243F75">
        <w:rPr>
          <w:snapToGrid w:val="0"/>
        </w:rPr>
        <w:t xml:space="preserve">assistance under </w:t>
      </w:r>
      <w:r w:rsidRPr="00243F75">
        <w:t>Division 4 of Part 7 of Chapter 17 of the Principal Determination had the changes made by item 11 of Schedule 2 applied at the time.</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7EE297FB" w14:textId="77777777" w:rsidR="0068620B" w:rsidRDefault="0068620B" w:rsidP="0068620B">
      <w:pPr>
        <w:pStyle w:val="BlockText-Plain"/>
        <w:jc w:val="center"/>
        <w:rPr>
          <w:b/>
          <w:i/>
          <w:snapToGrid w:val="0"/>
        </w:rPr>
      </w:pPr>
      <w:r w:rsidRPr="00417CDA">
        <w:rPr>
          <w:b/>
          <w:bCs/>
          <w:i/>
          <w:noProof/>
          <w:snapToGrid w:val="0"/>
          <w:lang w:val="en-US"/>
        </w:rPr>
        <w:t>Defence Determination, Conditions of service Amendment</w:t>
      </w:r>
      <w:r>
        <w:rPr>
          <w:b/>
          <w:bCs/>
          <w:i/>
          <w:noProof/>
          <w:snapToGrid w:val="0"/>
          <w:lang w:val="en-US"/>
        </w:rPr>
        <w:t xml:space="preserve"> Determination 2024</w:t>
      </w:r>
      <w:r w:rsidRPr="00417CDA">
        <w:rPr>
          <w:b/>
          <w:bCs/>
          <w:i/>
          <w:noProof/>
          <w:snapToGrid w:val="0"/>
          <w:lang w:val="en-US"/>
        </w:rPr>
        <w:t xml:space="preserve"> (No. </w:t>
      </w:r>
      <w:r>
        <w:rPr>
          <w:b/>
          <w:bCs/>
          <w:i/>
          <w:noProof/>
          <w:snapToGrid w:val="0"/>
          <w:lang w:val="en-US"/>
        </w:rPr>
        <w:t>3</w:t>
      </w:r>
      <w:r>
        <w:rPr>
          <w:b/>
          <w:i/>
          <w:snapToGrid w:val="0"/>
        </w:rPr>
        <w:t>)</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069B59B3" w14:textId="77777777" w:rsidR="00D82E47" w:rsidRPr="0060766F" w:rsidRDefault="00D82E47" w:rsidP="00D82E47">
      <w:pPr>
        <w:pStyle w:val="Sectiontext"/>
        <w:numPr>
          <w:ilvl w:val="0"/>
          <w:numId w:val="17"/>
        </w:numPr>
        <w:tabs>
          <w:tab w:val="left" w:pos="7380"/>
        </w:tabs>
      </w:pPr>
      <w:r w:rsidRPr="003F7C8E">
        <w:rPr>
          <w:rFonts w:cs="Arial"/>
          <w:iCs/>
        </w:rPr>
        <w:t>Make technical amendments that update cross reference</w:t>
      </w:r>
      <w:r>
        <w:rPr>
          <w:rFonts w:cs="Arial"/>
          <w:iCs/>
        </w:rPr>
        <w:t>s</w:t>
      </w:r>
      <w:r w:rsidRPr="003F7C8E">
        <w:rPr>
          <w:rFonts w:cs="Arial"/>
          <w:iCs/>
        </w:rPr>
        <w:t xml:space="preserve">, </w:t>
      </w:r>
      <w:r>
        <w:rPr>
          <w:rFonts w:cs="Arial"/>
          <w:iCs/>
        </w:rPr>
        <w:t xml:space="preserve">update definition sections, </w:t>
      </w:r>
      <w:r w:rsidRPr="003F7C8E">
        <w:rPr>
          <w:rFonts w:cs="Arial"/>
          <w:iCs/>
        </w:rPr>
        <w:t xml:space="preserve">promote the use of contemporary drafting styles and improve readability. These amendments </w:t>
      </w:r>
      <w:r w:rsidRPr="003F7C8E">
        <w:rPr>
          <w:snapToGrid w:val="0"/>
        </w:rPr>
        <w:t xml:space="preserve">do not alter the underlying policies, or the benefits </w:t>
      </w:r>
      <w:r>
        <w:rPr>
          <w:snapToGrid w:val="0"/>
        </w:rPr>
        <w:t>that</w:t>
      </w:r>
      <w:r w:rsidRPr="003F7C8E">
        <w:rPr>
          <w:snapToGrid w:val="0"/>
        </w:rPr>
        <w:t xml:space="preserve"> are currently provided.</w:t>
      </w:r>
    </w:p>
    <w:p w14:paraId="10CCE4F2" w14:textId="4DF448D2" w:rsidR="00D82E47" w:rsidRDefault="005D5D7C" w:rsidP="00D82E47">
      <w:pPr>
        <w:pStyle w:val="Sectiontext"/>
        <w:numPr>
          <w:ilvl w:val="0"/>
          <w:numId w:val="17"/>
        </w:numPr>
        <w:tabs>
          <w:tab w:val="left" w:pos="7380"/>
        </w:tabs>
      </w:pPr>
      <w:r>
        <w:t>Extend</w:t>
      </w:r>
      <w:r w:rsidR="00D82E47">
        <w:t xml:space="preserve"> the time period for the payment for excess baggage.</w:t>
      </w:r>
    </w:p>
    <w:p w14:paraId="1F77E53E" w14:textId="77777777" w:rsidR="00D82E47" w:rsidRPr="00D82E47" w:rsidRDefault="00D82E47" w:rsidP="00D82E47">
      <w:pPr>
        <w:pStyle w:val="Sectiontext"/>
        <w:numPr>
          <w:ilvl w:val="0"/>
          <w:numId w:val="17"/>
        </w:numPr>
        <w:tabs>
          <w:tab w:val="left" w:pos="7380"/>
        </w:tabs>
      </w:pPr>
      <w:r>
        <w:rPr>
          <w:snapToGrid w:val="0"/>
        </w:rPr>
        <w:t>M</w:t>
      </w:r>
      <w:r w:rsidRPr="00F9329D">
        <w:rPr>
          <w:snapToGrid w:val="0"/>
        </w:rPr>
        <w:t>ake routine update</w:t>
      </w:r>
      <w:r>
        <w:rPr>
          <w:snapToGrid w:val="0"/>
        </w:rPr>
        <w:t>s</w:t>
      </w:r>
      <w:r w:rsidRPr="00F9329D">
        <w:rPr>
          <w:snapToGrid w:val="0"/>
        </w:rPr>
        <w:t xml:space="preserve"> on the vehicle allowance rate provided to eligible members to reflect the annual movement in the relevant Consumer Price Index group</w:t>
      </w:r>
      <w:r>
        <w:rPr>
          <w:snapToGrid w:val="0"/>
        </w:rPr>
        <w:t>.</w:t>
      </w:r>
    </w:p>
    <w:p w14:paraId="55A24062" w14:textId="77777777" w:rsidR="00D82E47" w:rsidRPr="003F7C8E" w:rsidRDefault="00D82E47" w:rsidP="00D82E47">
      <w:pPr>
        <w:pStyle w:val="Sectiontext"/>
        <w:numPr>
          <w:ilvl w:val="0"/>
          <w:numId w:val="17"/>
        </w:numPr>
        <w:tabs>
          <w:tab w:val="left" w:pos="7380"/>
        </w:tabs>
      </w:pPr>
      <w:r>
        <w:t>Provide that specified Parts and Divisions of Chapter 17 apply to members who are performing duty overseas but are not on a warlike or non-warlike deployment, to ensure that a member on a peacetime deployment is eligible for relief out-of-country travel fare assistance.</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E2DB829" w14:textId="5ABA1412" w:rsidR="00FD6D1B" w:rsidRDefault="00FD6D1B" w:rsidP="00FD6D1B">
      <w:pPr>
        <w:shd w:val="clear" w:color="auto" w:fill="FFFFFF"/>
        <w:spacing w:before="100" w:beforeAutospacing="1" w:after="200" w:line="240" w:lineRule="auto"/>
        <w:rPr>
          <w:rFonts w:ascii="Arial" w:hAnsi="Arial" w:cs="Arial"/>
          <w:iCs/>
          <w:sz w:val="20"/>
        </w:rPr>
      </w:pPr>
      <w:r w:rsidRPr="00737505">
        <w:rPr>
          <w:rFonts w:ascii="Arial" w:hAnsi="Arial" w:cs="Arial"/>
          <w:iCs/>
          <w:sz w:val="20"/>
        </w:rPr>
        <w:t>Schedule</w:t>
      </w:r>
      <w:r w:rsidR="00D56A00">
        <w:rPr>
          <w:rFonts w:ascii="Arial" w:hAnsi="Arial" w:cs="Arial"/>
          <w:iCs/>
          <w:sz w:val="20"/>
        </w:rPr>
        <w:t>s</w:t>
      </w:r>
      <w:r w:rsidRPr="00737505">
        <w:rPr>
          <w:rFonts w:ascii="Arial" w:hAnsi="Arial" w:cs="Arial"/>
          <w:iCs/>
          <w:sz w:val="20"/>
        </w:rPr>
        <w:t xml:space="preserve"> 1</w:t>
      </w:r>
      <w:r w:rsidRPr="004E2521">
        <w:rPr>
          <w:rFonts w:ascii="Arial" w:hAnsi="Arial" w:cs="Arial"/>
          <w:iCs/>
          <w:sz w:val="20"/>
        </w:rPr>
        <w:t xml:space="preserve"> </w:t>
      </w:r>
      <w:r w:rsidR="00D56A00">
        <w:rPr>
          <w:rFonts w:ascii="Arial" w:hAnsi="Arial" w:cs="Arial"/>
          <w:iCs/>
          <w:sz w:val="20"/>
        </w:rPr>
        <w:t xml:space="preserve">and 2 </w:t>
      </w:r>
      <w:r w:rsidRPr="004E2521">
        <w:rPr>
          <w:rFonts w:ascii="Arial" w:hAnsi="Arial" w:cs="Arial"/>
          <w:iCs/>
          <w:sz w:val="20"/>
        </w:rPr>
        <w:t>make amendments to the Principal Determination which do not change the underlying policies or benefits. As such, it does not engage with any of the applicable rights or freedoms.</w:t>
      </w:r>
    </w:p>
    <w:p w14:paraId="774F12FE" w14:textId="1643890F" w:rsidR="008C66C3" w:rsidRPr="00A53DCB" w:rsidRDefault="008C66C3" w:rsidP="008C66C3">
      <w:pPr>
        <w:shd w:val="clear" w:color="auto" w:fill="FFFFFF"/>
        <w:spacing w:before="100" w:beforeAutospacing="1" w:after="200" w:line="240" w:lineRule="auto"/>
        <w:rPr>
          <w:rFonts w:ascii="Arial" w:hAnsi="Arial" w:cs="Arial"/>
          <w:iCs/>
          <w:sz w:val="20"/>
        </w:rPr>
      </w:pPr>
      <w:r>
        <w:rPr>
          <w:rFonts w:ascii="Arial" w:hAnsi="Arial" w:cs="Arial"/>
          <w:iCs/>
          <w:sz w:val="20"/>
        </w:rPr>
        <w:t>Schedule 3</w:t>
      </w:r>
      <w:r w:rsidRPr="009114DF">
        <w:rPr>
          <w:rFonts w:ascii="Arial" w:hAnsi="Arial" w:cs="Arial"/>
          <w:iCs/>
          <w:sz w:val="20"/>
        </w:rPr>
        <w:t xml:space="preserve"> is compatible with </w:t>
      </w:r>
      <w:r>
        <w:rPr>
          <w:rFonts w:ascii="Arial" w:hAnsi="Arial" w:cs="Arial"/>
          <w:iCs/>
          <w:sz w:val="20"/>
        </w:rPr>
        <w:t xml:space="preserve">the principles of </w:t>
      </w:r>
      <w:r w:rsidRPr="009114DF">
        <w:rPr>
          <w:rFonts w:ascii="Arial" w:hAnsi="Arial" w:cs="Arial"/>
          <w:iCs/>
          <w:sz w:val="20"/>
        </w:rPr>
        <w:t xml:space="preserve">human rights </w:t>
      </w:r>
      <w:r>
        <w:rPr>
          <w:rFonts w:ascii="Arial" w:hAnsi="Arial" w:cs="Arial"/>
          <w:iCs/>
          <w:sz w:val="20"/>
        </w:rPr>
        <w:t xml:space="preserve">as the increase in the rate of vehicle allowance provided to members </w:t>
      </w:r>
      <w:r w:rsidRPr="00A53DCB">
        <w:rPr>
          <w:rFonts w:ascii="Arial" w:hAnsi="Arial" w:cs="Arial"/>
          <w:iCs/>
          <w:sz w:val="20"/>
        </w:rPr>
        <w:t>reflect</w:t>
      </w:r>
      <w:r>
        <w:rPr>
          <w:rFonts w:ascii="Arial" w:hAnsi="Arial" w:cs="Arial"/>
          <w:iCs/>
          <w:sz w:val="20"/>
        </w:rPr>
        <w:t>s</w:t>
      </w:r>
      <w:r w:rsidRPr="00A53DCB">
        <w:rPr>
          <w:rFonts w:ascii="Arial" w:hAnsi="Arial" w:cs="Arial"/>
          <w:sz w:val="20"/>
        </w:rPr>
        <w:t xml:space="preserve"> just and</w:t>
      </w:r>
      <w:r>
        <w:rPr>
          <w:rFonts w:ascii="Arial" w:hAnsi="Arial" w:cs="Arial"/>
          <w:sz w:val="20"/>
        </w:rPr>
        <w:t xml:space="preserve"> favourable conditions of work. The annual adjustment made as a result of the changes in</w:t>
      </w:r>
      <w:r>
        <w:rPr>
          <w:rFonts w:ascii="Arial" w:eastAsia="Times New Roman" w:hAnsi="Arial" w:cs="Arial"/>
          <w:color w:val="000000" w:themeColor="text1"/>
          <w:sz w:val="20"/>
          <w:lang w:eastAsia="en-AU"/>
        </w:rPr>
        <w:t xml:space="preserve"> the Consumer Price Index </w:t>
      </w:r>
      <w:r>
        <w:rPr>
          <w:rFonts w:ascii="Arial" w:hAnsi="Arial" w:cs="Arial"/>
          <w:sz w:val="20"/>
        </w:rPr>
        <w:t>ensures that the rates of allowances payable to members as a part of their conditions of service remain current.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61AFF" w14:textId="77777777" w:rsidR="009070DC" w:rsidRDefault="009070DC" w:rsidP="0048364F">
      <w:pPr>
        <w:spacing w:line="240" w:lineRule="auto"/>
      </w:pPr>
      <w:r>
        <w:separator/>
      </w:r>
    </w:p>
  </w:endnote>
  <w:endnote w:type="continuationSeparator" w:id="0">
    <w:p w14:paraId="1D50561F" w14:textId="77777777" w:rsidR="009070DC" w:rsidRDefault="009070D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60BAE35E" w:rsidR="001E467A" w:rsidRDefault="001E467A">
        <w:pPr>
          <w:pStyle w:val="Footer"/>
          <w:jc w:val="right"/>
        </w:pPr>
        <w:r>
          <w:fldChar w:fldCharType="begin"/>
        </w:r>
        <w:r>
          <w:instrText xml:space="preserve"> PAGE   \* MERGEFORMAT </w:instrText>
        </w:r>
        <w:r>
          <w:fldChar w:fldCharType="separate"/>
        </w:r>
        <w:r w:rsidR="003D7E62">
          <w:rPr>
            <w:noProof/>
          </w:rPr>
          <w:t>3</w:t>
        </w:r>
        <w:r>
          <w:rPr>
            <w:noProof/>
          </w:rPr>
          <w:fldChar w:fldCharType="end"/>
        </w:r>
      </w:p>
    </w:sdtContent>
  </w:sdt>
  <w:p w14:paraId="080BA358" w14:textId="77777777" w:rsidR="001E467A" w:rsidRPr="00ED79B6" w:rsidRDefault="001E467A"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23BCE51C" w:rsidR="001E467A" w:rsidRPr="00A36CD7" w:rsidRDefault="001E467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3D7E62">
          <w:rPr>
            <w:noProof/>
            <w:sz w:val="18"/>
            <w:szCs w:val="18"/>
          </w:rPr>
          <w:t>1</w:t>
        </w:r>
        <w:r w:rsidRPr="00A36CD7">
          <w:rPr>
            <w:noProof/>
            <w:sz w:val="18"/>
            <w:szCs w:val="18"/>
          </w:rPr>
          <w:fldChar w:fldCharType="end"/>
        </w:r>
      </w:p>
    </w:sdtContent>
  </w:sdt>
  <w:p w14:paraId="53A836F1" w14:textId="77777777" w:rsidR="001E467A" w:rsidRPr="00ED79B6" w:rsidRDefault="001E467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E794" w14:textId="77777777" w:rsidR="009070DC" w:rsidRDefault="009070DC" w:rsidP="0048364F">
      <w:pPr>
        <w:spacing w:line="240" w:lineRule="auto"/>
      </w:pPr>
      <w:r>
        <w:separator/>
      </w:r>
    </w:p>
  </w:footnote>
  <w:footnote w:type="continuationSeparator" w:id="0">
    <w:p w14:paraId="4D620CEE" w14:textId="77777777" w:rsidR="009070DC" w:rsidRDefault="009070D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467A" w:rsidRPr="00486185" w:rsidRDefault="001E467A"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C84FD4"/>
    <w:multiLevelType w:val="hybridMultilevel"/>
    <w:tmpl w:val="5894A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31182"/>
    <w:multiLevelType w:val="hybridMultilevel"/>
    <w:tmpl w:val="A1CE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467A"/>
    <w:rsid w:val="001E51FE"/>
    <w:rsid w:val="001E7407"/>
    <w:rsid w:val="001F1A46"/>
    <w:rsid w:val="00201D27"/>
    <w:rsid w:val="0021153A"/>
    <w:rsid w:val="0021243D"/>
    <w:rsid w:val="0022229F"/>
    <w:rsid w:val="002245A6"/>
    <w:rsid w:val="002302EA"/>
    <w:rsid w:val="00236D44"/>
    <w:rsid w:val="00237614"/>
    <w:rsid w:val="00240749"/>
    <w:rsid w:val="00243F75"/>
    <w:rsid w:val="002468D7"/>
    <w:rsid w:val="00247E97"/>
    <w:rsid w:val="00256C81"/>
    <w:rsid w:val="00285CDD"/>
    <w:rsid w:val="00290F1C"/>
    <w:rsid w:val="00291167"/>
    <w:rsid w:val="0029489E"/>
    <w:rsid w:val="00297ECB"/>
    <w:rsid w:val="002A3EC7"/>
    <w:rsid w:val="002B1B7A"/>
    <w:rsid w:val="002C152A"/>
    <w:rsid w:val="002C71AE"/>
    <w:rsid w:val="002D043A"/>
    <w:rsid w:val="002F0ED7"/>
    <w:rsid w:val="0031713F"/>
    <w:rsid w:val="003222D1"/>
    <w:rsid w:val="0032750F"/>
    <w:rsid w:val="003415D3"/>
    <w:rsid w:val="00343B84"/>
    <w:rsid w:val="003442F6"/>
    <w:rsid w:val="00346335"/>
    <w:rsid w:val="00352B0F"/>
    <w:rsid w:val="003561B0"/>
    <w:rsid w:val="00372E78"/>
    <w:rsid w:val="00397893"/>
    <w:rsid w:val="003A15AC"/>
    <w:rsid w:val="003B0627"/>
    <w:rsid w:val="003C5F2B"/>
    <w:rsid w:val="003C7D35"/>
    <w:rsid w:val="003D0BFE"/>
    <w:rsid w:val="003D5700"/>
    <w:rsid w:val="003D7E62"/>
    <w:rsid w:val="003F3E18"/>
    <w:rsid w:val="003F506B"/>
    <w:rsid w:val="003F6F52"/>
    <w:rsid w:val="004022CA"/>
    <w:rsid w:val="004116CD"/>
    <w:rsid w:val="00414ADE"/>
    <w:rsid w:val="00417CDA"/>
    <w:rsid w:val="00424CA9"/>
    <w:rsid w:val="004257BB"/>
    <w:rsid w:val="00433FE2"/>
    <w:rsid w:val="0044291A"/>
    <w:rsid w:val="004600B0"/>
    <w:rsid w:val="00460499"/>
    <w:rsid w:val="00460FBA"/>
    <w:rsid w:val="00474835"/>
    <w:rsid w:val="004819C7"/>
    <w:rsid w:val="00482DFF"/>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2B71"/>
    <w:rsid w:val="005B4067"/>
    <w:rsid w:val="005C3F41"/>
    <w:rsid w:val="005C4EF0"/>
    <w:rsid w:val="005D1A20"/>
    <w:rsid w:val="005D5D7C"/>
    <w:rsid w:val="005D5EA1"/>
    <w:rsid w:val="005E098C"/>
    <w:rsid w:val="005E1F8D"/>
    <w:rsid w:val="005E317F"/>
    <w:rsid w:val="005E61D3"/>
    <w:rsid w:val="00600219"/>
    <w:rsid w:val="00604402"/>
    <w:rsid w:val="006065DA"/>
    <w:rsid w:val="00606AA4"/>
    <w:rsid w:val="0061058B"/>
    <w:rsid w:val="006252AD"/>
    <w:rsid w:val="00640402"/>
    <w:rsid w:val="00640F78"/>
    <w:rsid w:val="006422B7"/>
    <w:rsid w:val="00655D6A"/>
    <w:rsid w:val="00656DE9"/>
    <w:rsid w:val="00672876"/>
    <w:rsid w:val="00677CC2"/>
    <w:rsid w:val="00682847"/>
    <w:rsid w:val="00685F42"/>
    <w:rsid w:val="0068620B"/>
    <w:rsid w:val="0069207B"/>
    <w:rsid w:val="00697CB2"/>
    <w:rsid w:val="006A297B"/>
    <w:rsid w:val="006A304E"/>
    <w:rsid w:val="006A6E00"/>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B3803"/>
    <w:rsid w:val="008C0629"/>
    <w:rsid w:val="008C66C3"/>
    <w:rsid w:val="008C6FF0"/>
    <w:rsid w:val="008D0EE0"/>
    <w:rsid w:val="008D7A27"/>
    <w:rsid w:val="008E4702"/>
    <w:rsid w:val="008E69AA"/>
    <w:rsid w:val="008F4F1C"/>
    <w:rsid w:val="009069AD"/>
    <w:rsid w:val="009070DC"/>
    <w:rsid w:val="00910E64"/>
    <w:rsid w:val="00922764"/>
    <w:rsid w:val="009278C1"/>
    <w:rsid w:val="00932377"/>
    <w:rsid w:val="009346E3"/>
    <w:rsid w:val="0094523D"/>
    <w:rsid w:val="00976A63"/>
    <w:rsid w:val="00986AA7"/>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65CD"/>
    <w:rsid w:val="00AC767C"/>
    <w:rsid w:val="00AD3467"/>
    <w:rsid w:val="00AD5641"/>
    <w:rsid w:val="00AF33DB"/>
    <w:rsid w:val="00AF6BFD"/>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0"/>
    <w:rsid w:val="00D56A0D"/>
    <w:rsid w:val="00D63EF6"/>
    <w:rsid w:val="00D66518"/>
    <w:rsid w:val="00D70DFB"/>
    <w:rsid w:val="00D71EEA"/>
    <w:rsid w:val="00D735CD"/>
    <w:rsid w:val="00D766DF"/>
    <w:rsid w:val="00D82E47"/>
    <w:rsid w:val="00D84477"/>
    <w:rsid w:val="00D90841"/>
    <w:rsid w:val="00D94896"/>
    <w:rsid w:val="00D954D8"/>
    <w:rsid w:val="00DA2439"/>
    <w:rsid w:val="00DA6F05"/>
    <w:rsid w:val="00DB64FC"/>
    <w:rsid w:val="00DE149E"/>
    <w:rsid w:val="00DF0D6D"/>
    <w:rsid w:val="00E034DB"/>
    <w:rsid w:val="00E05704"/>
    <w:rsid w:val="00E12F1A"/>
    <w:rsid w:val="00E14113"/>
    <w:rsid w:val="00E22935"/>
    <w:rsid w:val="00E232C6"/>
    <w:rsid w:val="00E26604"/>
    <w:rsid w:val="00E4397B"/>
    <w:rsid w:val="00E54292"/>
    <w:rsid w:val="00E54D2B"/>
    <w:rsid w:val="00E60191"/>
    <w:rsid w:val="00E74DC7"/>
    <w:rsid w:val="00E81ECD"/>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87F7B"/>
    <w:rsid w:val="00F94583"/>
    <w:rsid w:val="00FA083A"/>
    <w:rsid w:val="00FA420B"/>
    <w:rsid w:val="00FB6AEE"/>
    <w:rsid w:val="00FC3EAC"/>
    <w:rsid w:val="00FD6D1B"/>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ui-provider">
    <w:name w:val="ui-provider"/>
    <w:basedOn w:val="DefaultParagraphFont"/>
    <w:rsid w:val="00FD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551b8f077120e2ebc99c8fcffea19ff0">
  <xsd:schema xmlns:xsd="http://www.w3.org/2001/XMLSchema" xmlns:xs="http://www.w3.org/2001/XMLSchema" xmlns:p="http://schemas.microsoft.com/office/2006/metadata/properties" xmlns:ns2="D665B17A-5F3D-4445-AF88-9FFC27C067A9" targetNamespace="http://schemas.microsoft.com/office/2006/metadata/properties" ma:root="true" ma:fieldsID="cd8fa05b7228397e7d5644cd727d502e"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911B-A9FA-418D-A1EA-1A6AED72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D665B17A-5F3D-4445-AF88-9FFC27C067A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380DC5-0705-4EA2-B570-EC20ED85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2024-04-08T04:24:00Z</dcterms:created>
  <dcterms:modified xsi:type="dcterms:W3CDTF">2024-04-08T04:24:00Z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BN80383719</vt:lpwstr>
  </property>
  <property fmtid="{D5CDD505-2E9C-101B-9397-08002B2CF9AE}" pid="4" name="Objective-Title">
    <vt:lpwstr>April Omnibus - 58B ES and HRS</vt:lpwstr>
  </property>
  <property fmtid="{D5CDD505-2E9C-101B-9397-08002B2CF9AE}" pid="5" name="Objective-Comment">
    <vt:lpwstr/>
  </property>
  <property fmtid="{D5CDD505-2E9C-101B-9397-08002B2CF9AE}" pid="6" name="Objective-CreationStamp">
    <vt:filetime>2024-04-04T00:47:39Z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2024-04-08T04:24:23Z</vt:filetime>
  </property>
  <property fmtid="{D5CDD505-2E9C-101B-9397-08002B2CF9AE}" pid="10" name="Objective-ModificationStamp">
    <vt:filetime>2024-04-08T04:24:23Z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1903:001. 2024 Determinations 58B:58B - 2024/3 - April omnibus:Briefing pack:</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0x010100266966F133664895A6EE3632470D45F500C9325FC1912CEC4AA7720D7BF0AE6055</vt:lpwstr>
  </property>
  <property fmtid="{D5CDD505-2E9C-101B-9397-08002B2CF9AE}" pid="23" name="Objective-Reason for Security Classification Change [system]">
    <vt:lpwstr/>
  </property>
</Properties>
</file>