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11C1B" w14:textId="77777777" w:rsidR="009D5223" w:rsidRPr="00B817BD" w:rsidRDefault="009D5223" w:rsidP="00DB7322">
      <w:pPr>
        <w:spacing w:after="240"/>
        <w:jc w:val="center"/>
        <w:rPr>
          <w:b/>
          <w:color w:val="000000"/>
          <w:sz w:val="28"/>
        </w:rPr>
      </w:pPr>
      <w:r w:rsidRPr="00B817BD">
        <w:rPr>
          <w:b/>
          <w:color w:val="000000"/>
          <w:sz w:val="28"/>
        </w:rPr>
        <w:t>EXPLANATORY STATEMENT</w:t>
      </w:r>
    </w:p>
    <w:p w14:paraId="3FE00C54" w14:textId="61E70806" w:rsidR="00B63090" w:rsidRPr="00B817BD" w:rsidRDefault="006C7E46" w:rsidP="00DB7322">
      <w:pPr>
        <w:spacing w:after="240"/>
        <w:jc w:val="center"/>
        <w:rPr>
          <w:i/>
          <w:sz w:val="28"/>
          <w:szCs w:val="28"/>
        </w:rPr>
      </w:pPr>
      <w:r w:rsidRPr="006C7E46">
        <w:rPr>
          <w:b/>
          <w:i/>
          <w:sz w:val="28"/>
          <w:szCs w:val="28"/>
        </w:rPr>
        <w:t xml:space="preserve">Military Rehabilitation and Compensation </w:t>
      </w:r>
      <w:r w:rsidR="00F87BA0" w:rsidRPr="00106957">
        <w:rPr>
          <w:b/>
          <w:i/>
          <w:sz w:val="28"/>
          <w:szCs w:val="28"/>
        </w:rPr>
        <w:t>Treatment Principles Amendment (Outreach Program Counselling) Determination 202</w:t>
      </w:r>
      <w:r w:rsidR="0092050F">
        <w:rPr>
          <w:i/>
          <w:sz w:val="28"/>
          <w:szCs w:val="28"/>
        </w:rPr>
        <w:t>4</w:t>
      </w:r>
    </w:p>
    <w:p w14:paraId="1145C829" w14:textId="77777777" w:rsidR="005C3FBA" w:rsidRPr="00B37A1F" w:rsidRDefault="00313844" w:rsidP="00B37A1F">
      <w:pPr>
        <w:keepNext/>
        <w:spacing w:after="240"/>
        <w:rPr>
          <w:b/>
          <w:bCs/>
          <w:sz w:val="28"/>
          <w:szCs w:val="28"/>
        </w:rPr>
      </w:pPr>
      <w:r w:rsidRPr="00B37A1F">
        <w:rPr>
          <w:b/>
          <w:bCs/>
          <w:sz w:val="28"/>
          <w:szCs w:val="28"/>
        </w:rPr>
        <w:t>Empowering provision</w:t>
      </w:r>
    </w:p>
    <w:p w14:paraId="3D1C97F9" w14:textId="6EB517A4" w:rsidR="005C3FBA" w:rsidRPr="00106957" w:rsidRDefault="005C3FBA" w:rsidP="00DB7322">
      <w:pPr>
        <w:spacing w:after="240"/>
        <w:rPr>
          <w:color w:val="000000"/>
          <w:sz w:val="24"/>
          <w:szCs w:val="24"/>
        </w:rPr>
      </w:pPr>
      <w:r w:rsidRPr="00106957">
        <w:rPr>
          <w:color w:val="000000"/>
          <w:sz w:val="24"/>
          <w:szCs w:val="24"/>
        </w:rPr>
        <w:t>S</w:t>
      </w:r>
      <w:r w:rsidR="009D5223" w:rsidRPr="00106957">
        <w:rPr>
          <w:color w:val="000000"/>
          <w:sz w:val="24"/>
          <w:szCs w:val="24"/>
        </w:rPr>
        <w:t>ub</w:t>
      </w:r>
      <w:r w:rsidR="008A5857" w:rsidRPr="00106957">
        <w:rPr>
          <w:color w:val="000000"/>
          <w:sz w:val="24"/>
          <w:szCs w:val="24"/>
        </w:rPr>
        <w:t>s</w:t>
      </w:r>
      <w:r w:rsidRPr="00106957">
        <w:rPr>
          <w:color w:val="000000"/>
          <w:sz w:val="24"/>
          <w:szCs w:val="24"/>
        </w:rPr>
        <w:t xml:space="preserve">ection </w:t>
      </w:r>
      <w:r w:rsidR="006C7E46">
        <w:rPr>
          <w:color w:val="000000"/>
          <w:sz w:val="24"/>
          <w:szCs w:val="24"/>
        </w:rPr>
        <w:t>286</w:t>
      </w:r>
      <w:r w:rsidRPr="00106957">
        <w:rPr>
          <w:color w:val="000000"/>
          <w:sz w:val="24"/>
          <w:szCs w:val="24"/>
        </w:rPr>
        <w:t>(</w:t>
      </w:r>
      <w:r w:rsidR="00F87BA0" w:rsidRPr="00106957">
        <w:rPr>
          <w:color w:val="000000"/>
          <w:sz w:val="24"/>
          <w:szCs w:val="24"/>
        </w:rPr>
        <w:t>5</w:t>
      </w:r>
      <w:r w:rsidRPr="00106957">
        <w:rPr>
          <w:color w:val="000000"/>
          <w:sz w:val="24"/>
          <w:szCs w:val="24"/>
        </w:rPr>
        <w:t>) of the</w:t>
      </w:r>
      <w:r w:rsidRPr="00106957">
        <w:rPr>
          <w:i/>
          <w:color w:val="000000"/>
          <w:sz w:val="24"/>
          <w:szCs w:val="24"/>
        </w:rPr>
        <w:t xml:space="preserve"> </w:t>
      </w:r>
      <w:r w:rsidR="006C7E46" w:rsidRPr="006C7E46">
        <w:rPr>
          <w:i/>
          <w:iCs/>
          <w:color w:val="000000"/>
          <w:sz w:val="24"/>
          <w:szCs w:val="24"/>
        </w:rPr>
        <w:t>Military Rehabilitation and Compensation Act 2004</w:t>
      </w:r>
      <w:r w:rsidR="006C7E46" w:rsidRPr="006C7E46" w:rsidDel="006C7E46">
        <w:rPr>
          <w:i/>
          <w:iCs/>
          <w:color w:val="000000"/>
          <w:sz w:val="24"/>
          <w:szCs w:val="24"/>
        </w:rPr>
        <w:t xml:space="preserve"> </w:t>
      </w:r>
      <w:r w:rsidRPr="00106957">
        <w:rPr>
          <w:color w:val="000000"/>
          <w:sz w:val="24"/>
          <w:szCs w:val="24"/>
        </w:rPr>
        <w:t xml:space="preserve">(the </w:t>
      </w:r>
      <w:r w:rsidRPr="00106957">
        <w:rPr>
          <w:b/>
          <w:i/>
          <w:color w:val="000000"/>
          <w:sz w:val="24"/>
          <w:szCs w:val="24"/>
        </w:rPr>
        <w:t>Act</w:t>
      </w:r>
      <w:r w:rsidRPr="00106957">
        <w:rPr>
          <w:color w:val="000000"/>
          <w:sz w:val="24"/>
          <w:szCs w:val="24"/>
        </w:rPr>
        <w:t>)</w:t>
      </w:r>
      <w:r w:rsidRPr="00106957">
        <w:rPr>
          <w:b/>
          <w:i/>
          <w:color w:val="000000"/>
          <w:sz w:val="24"/>
          <w:szCs w:val="24"/>
        </w:rPr>
        <w:t>.</w:t>
      </w:r>
    </w:p>
    <w:p w14:paraId="0CFF0573" w14:textId="77777777" w:rsidR="005C3FBA" w:rsidRPr="00B37A1F" w:rsidRDefault="00313844" w:rsidP="00B37A1F">
      <w:pPr>
        <w:keepNext/>
        <w:spacing w:after="240"/>
        <w:rPr>
          <w:b/>
          <w:bCs/>
          <w:sz w:val="28"/>
          <w:szCs w:val="28"/>
        </w:rPr>
      </w:pPr>
      <w:r w:rsidRPr="00B37A1F">
        <w:rPr>
          <w:b/>
          <w:bCs/>
          <w:sz w:val="28"/>
          <w:szCs w:val="28"/>
        </w:rPr>
        <w:t>Purpose</w:t>
      </w:r>
    </w:p>
    <w:p w14:paraId="2E80C606" w14:textId="0855FAA6" w:rsidR="00A51290" w:rsidRDefault="005C3FBA" w:rsidP="00DB7322">
      <w:pPr>
        <w:pStyle w:val="Header"/>
        <w:tabs>
          <w:tab w:val="clear" w:pos="4153"/>
          <w:tab w:val="clear" w:pos="8306"/>
        </w:tabs>
        <w:spacing w:after="240"/>
        <w:rPr>
          <w:color w:val="000000"/>
          <w:sz w:val="24"/>
          <w:szCs w:val="24"/>
        </w:rPr>
      </w:pPr>
      <w:r>
        <w:rPr>
          <w:color w:val="000000"/>
          <w:sz w:val="24"/>
          <w:szCs w:val="24"/>
        </w:rPr>
        <w:t xml:space="preserve">The </w:t>
      </w:r>
      <w:r w:rsidR="006C7E46" w:rsidRPr="006C7E46">
        <w:rPr>
          <w:i/>
          <w:color w:val="000000"/>
          <w:sz w:val="24"/>
          <w:szCs w:val="24"/>
        </w:rPr>
        <w:t xml:space="preserve">Military Rehabilitation and Compensation </w:t>
      </w:r>
      <w:r w:rsidR="00F87BA0" w:rsidRPr="00F87BA0">
        <w:rPr>
          <w:i/>
          <w:color w:val="000000"/>
          <w:sz w:val="24"/>
          <w:szCs w:val="24"/>
        </w:rPr>
        <w:t>Treatment Principles Amendment (Outreach Program Counselling) Determination 202</w:t>
      </w:r>
      <w:r w:rsidR="0092050F">
        <w:rPr>
          <w:i/>
          <w:color w:val="000000"/>
          <w:sz w:val="24"/>
          <w:szCs w:val="24"/>
        </w:rPr>
        <w:t>4</w:t>
      </w:r>
      <w:r w:rsidR="00F87BA0" w:rsidRPr="00F87BA0">
        <w:rPr>
          <w:i/>
          <w:color w:val="000000"/>
          <w:sz w:val="24"/>
          <w:szCs w:val="24"/>
        </w:rPr>
        <w:t xml:space="preserve"> </w:t>
      </w:r>
      <w:r w:rsidR="009D5223">
        <w:rPr>
          <w:color w:val="000000"/>
          <w:sz w:val="24"/>
          <w:szCs w:val="24"/>
        </w:rPr>
        <w:t xml:space="preserve">(the </w:t>
      </w:r>
      <w:r w:rsidR="009D5223" w:rsidRPr="00317D2F">
        <w:rPr>
          <w:b/>
          <w:i/>
          <w:color w:val="000000"/>
          <w:sz w:val="24"/>
          <w:szCs w:val="24"/>
        </w:rPr>
        <w:t>Instrument</w:t>
      </w:r>
      <w:r w:rsidR="009D5223">
        <w:rPr>
          <w:color w:val="000000"/>
          <w:sz w:val="24"/>
          <w:szCs w:val="24"/>
        </w:rPr>
        <w:t>)</w:t>
      </w:r>
      <w:r w:rsidR="00413784">
        <w:rPr>
          <w:color w:val="000000"/>
          <w:sz w:val="24"/>
          <w:szCs w:val="24"/>
        </w:rPr>
        <w:t xml:space="preserve"> </w:t>
      </w:r>
      <w:r w:rsidR="00106957">
        <w:rPr>
          <w:color w:val="000000"/>
          <w:sz w:val="24"/>
          <w:szCs w:val="24"/>
        </w:rPr>
        <w:t xml:space="preserve">amends the </w:t>
      </w:r>
      <w:r w:rsidR="006C7E46" w:rsidRPr="006C7E46">
        <w:rPr>
          <w:i/>
          <w:color w:val="000000"/>
          <w:sz w:val="24"/>
          <w:szCs w:val="24"/>
        </w:rPr>
        <w:t>MRCA</w:t>
      </w:r>
      <w:r w:rsidR="006C7E46">
        <w:rPr>
          <w:color w:val="000000"/>
          <w:sz w:val="24"/>
          <w:szCs w:val="24"/>
        </w:rPr>
        <w:t xml:space="preserve"> </w:t>
      </w:r>
      <w:r w:rsidR="00106957" w:rsidRPr="00106957">
        <w:rPr>
          <w:i/>
          <w:color w:val="000000"/>
          <w:sz w:val="24"/>
          <w:szCs w:val="24"/>
        </w:rPr>
        <w:t xml:space="preserve">Treatment Principles (No. </w:t>
      </w:r>
      <w:r w:rsidR="006C7E46" w:rsidRPr="006C7E46">
        <w:rPr>
          <w:i/>
          <w:color w:val="000000"/>
          <w:sz w:val="24"/>
          <w:szCs w:val="24"/>
        </w:rPr>
        <w:t>MRCC 53/2013</w:t>
      </w:r>
      <w:r w:rsidR="00106957" w:rsidRPr="00106957">
        <w:rPr>
          <w:i/>
          <w:color w:val="000000"/>
          <w:sz w:val="24"/>
          <w:szCs w:val="24"/>
        </w:rPr>
        <w:t>)</w:t>
      </w:r>
      <w:r w:rsidR="00106957">
        <w:rPr>
          <w:color w:val="000000"/>
          <w:sz w:val="24"/>
          <w:szCs w:val="24"/>
        </w:rPr>
        <w:t xml:space="preserve"> </w:t>
      </w:r>
      <w:r w:rsidR="005E1DC2">
        <w:rPr>
          <w:color w:val="000000"/>
          <w:sz w:val="24"/>
          <w:szCs w:val="24"/>
        </w:rPr>
        <w:t>to reflect new arrangements for engaging Outreach Program Counsellors (</w:t>
      </w:r>
      <w:r w:rsidR="005E1DC2" w:rsidRPr="003A018C">
        <w:rPr>
          <w:b/>
          <w:i/>
          <w:color w:val="000000"/>
          <w:sz w:val="24"/>
          <w:szCs w:val="24"/>
        </w:rPr>
        <w:t>OPCs</w:t>
      </w:r>
      <w:r w:rsidR="005E1DC2">
        <w:rPr>
          <w:color w:val="000000"/>
          <w:sz w:val="24"/>
          <w:szCs w:val="24"/>
        </w:rPr>
        <w:t>) under the Open Arms – Veterans &amp; Families Counselling program</w:t>
      </w:r>
      <w:r w:rsidR="00A51290">
        <w:rPr>
          <w:color w:val="000000"/>
          <w:sz w:val="24"/>
          <w:szCs w:val="24"/>
        </w:rPr>
        <w:t>.</w:t>
      </w:r>
      <w:r w:rsidR="00847EDC">
        <w:rPr>
          <w:color w:val="000000"/>
          <w:sz w:val="24"/>
          <w:szCs w:val="24"/>
        </w:rPr>
        <w:t xml:space="preserve"> </w:t>
      </w:r>
    </w:p>
    <w:p w14:paraId="1D39A554" w14:textId="77777777" w:rsidR="00327AAD" w:rsidRPr="00373DD6" w:rsidRDefault="00327AAD" w:rsidP="00327AAD">
      <w:pPr>
        <w:spacing w:after="240"/>
        <w:rPr>
          <w:sz w:val="24"/>
          <w:szCs w:val="24"/>
          <w:lang w:val="en-GB"/>
        </w:rPr>
      </w:pPr>
      <w:r>
        <w:rPr>
          <w:sz w:val="24"/>
          <w:szCs w:val="24"/>
          <w:lang w:val="en-GB"/>
        </w:rPr>
        <w:t xml:space="preserve">The Department of Veterans’ Affairs is </w:t>
      </w:r>
      <w:r w:rsidRPr="00BC1D3A">
        <w:rPr>
          <w:sz w:val="24"/>
          <w:szCs w:val="24"/>
          <w:lang w:val="en-GB"/>
        </w:rPr>
        <w:t>establishing a panel arrangement under which OPCs will provide Open Arms services to Clients.</w:t>
      </w:r>
      <w:r>
        <w:rPr>
          <w:sz w:val="24"/>
          <w:szCs w:val="24"/>
          <w:lang w:val="en-GB"/>
        </w:rPr>
        <w:t xml:space="preserve"> The Instrument amends the Treatment Principles to reflect the new panel arrangements.  </w:t>
      </w:r>
    </w:p>
    <w:p w14:paraId="4788567D" w14:textId="77777777" w:rsidR="00E7651B" w:rsidRDefault="00BC1D3A" w:rsidP="00DB7322">
      <w:pPr>
        <w:spacing w:after="240"/>
        <w:rPr>
          <w:sz w:val="24"/>
          <w:szCs w:val="24"/>
          <w:lang w:val="en-GB"/>
        </w:rPr>
      </w:pPr>
      <w:r w:rsidRPr="00BC1D3A">
        <w:rPr>
          <w:sz w:val="24"/>
          <w:szCs w:val="24"/>
          <w:lang w:val="en-GB"/>
        </w:rPr>
        <w:t xml:space="preserve">Open Arms provides </w:t>
      </w:r>
      <w:r>
        <w:rPr>
          <w:sz w:val="24"/>
          <w:szCs w:val="24"/>
          <w:lang w:val="en-GB"/>
        </w:rPr>
        <w:t xml:space="preserve">free and confidential </w:t>
      </w:r>
      <w:r w:rsidRPr="00BC1D3A">
        <w:rPr>
          <w:sz w:val="24"/>
          <w:szCs w:val="24"/>
          <w:lang w:val="en-GB"/>
        </w:rPr>
        <w:t xml:space="preserve">counselling services for current and former serving Australian Defence Force members and their families. Open Arms provides </w:t>
      </w:r>
      <w:r>
        <w:rPr>
          <w:sz w:val="24"/>
          <w:szCs w:val="24"/>
          <w:lang w:val="en-GB"/>
        </w:rPr>
        <w:t>services</w:t>
      </w:r>
      <w:r w:rsidRPr="00BC1D3A">
        <w:rPr>
          <w:sz w:val="24"/>
          <w:szCs w:val="24"/>
          <w:lang w:val="en-GB"/>
        </w:rPr>
        <w:t xml:space="preserve"> through a national network of multidisciplinary mental health professionals, both in dedicated Open Arms centres and by outreach partnerships with private psychologists and accredited mental health social workers</w:t>
      </w:r>
      <w:r w:rsidR="003A018C">
        <w:rPr>
          <w:sz w:val="24"/>
          <w:szCs w:val="24"/>
          <w:lang w:val="en-GB"/>
        </w:rPr>
        <w:t>, called</w:t>
      </w:r>
      <w:r>
        <w:rPr>
          <w:sz w:val="24"/>
          <w:szCs w:val="24"/>
          <w:lang w:val="en-GB"/>
        </w:rPr>
        <w:t xml:space="preserve"> OPCs</w:t>
      </w:r>
      <w:r w:rsidRPr="00BC1D3A">
        <w:rPr>
          <w:sz w:val="24"/>
          <w:szCs w:val="24"/>
          <w:lang w:val="en-GB"/>
        </w:rPr>
        <w:t xml:space="preserve">. </w:t>
      </w:r>
    </w:p>
    <w:p w14:paraId="6BADCCF9" w14:textId="5E8A7F70" w:rsidR="00327AAD" w:rsidRPr="007A7AE4" w:rsidRDefault="00422D95" w:rsidP="007A7AE4">
      <w:pPr>
        <w:spacing w:after="240"/>
        <w:rPr>
          <w:sz w:val="24"/>
          <w:szCs w:val="24"/>
          <w:lang w:val="en-GB"/>
        </w:rPr>
      </w:pPr>
      <w:r w:rsidRPr="007A7AE4">
        <w:rPr>
          <w:sz w:val="24"/>
          <w:szCs w:val="24"/>
          <w:lang w:val="en-GB"/>
        </w:rPr>
        <w:t>Under section </w:t>
      </w:r>
      <w:r w:rsidR="007A7AE4">
        <w:rPr>
          <w:sz w:val="24"/>
          <w:szCs w:val="24"/>
          <w:lang w:val="en-GB"/>
        </w:rPr>
        <w:t>287</w:t>
      </w:r>
      <w:r w:rsidR="007A7AE4" w:rsidRPr="007A7AE4">
        <w:rPr>
          <w:sz w:val="24"/>
          <w:szCs w:val="24"/>
          <w:lang w:val="en-GB"/>
        </w:rPr>
        <w:t xml:space="preserve"> </w:t>
      </w:r>
      <w:r w:rsidRPr="007A7AE4">
        <w:rPr>
          <w:sz w:val="24"/>
          <w:szCs w:val="24"/>
          <w:lang w:val="en-GB"/>
        </w:rPr>
        <w:t xml:space="preserve">of the Act, the </w:t>
      </w:r>
      <w:r w:rsidR="001A40FF" w:rsidRPr="001A40FF">
        <w:rPr>
          <w:sz w:val="24"/>
          <w:szCs w:val="24"/>
          <w:lang w:val="en-GB"/>
        </w:rPr>
        <w:t xml:space="preserve">Military Rehabilitation and Compensation </w:t>
      </w:r>
      <w:r w:rsidRPr="007A7AE4">
        <w:rPr>
          <w:sz w:val="24"/>
          <w:szCs w:val="24"/>
          <w:lang w:val="en-GB"/>
        </w:rPr>
        <w:t xml:space="preserve">Commission may arrange for the provision of treatment for </w:t>
      </w:r>
      <w:r w:rsidR="007A7AE4">
        <w:rPr>
          <w:sz w:val="24"/>
          <w:szCs w:val="24"/>
          <w:lang w:val="en-GB"/>
        </w:rPr>
        <w:t xml:space="preserve">certain </w:t>
      </w:r>
      <w:r w:rsidRPr="007A7AE4">
        <w:rPr>
          <w:sz w:val="24"/>
          <w:szCs w:val="24"/>
          <w:lang w:val="en-GB"/>
        </w:rPr>
        <w:t xml:space="preserve">veterans and </w:t>
      </w:r>
      <w:r w:rsidR="007A7AE4">
        <w:rPr>
          <w:sz w:val="24"/>
          <w:szCs w:val="24"/>
          <w:lang w:val="en-GB"/>
        </w:rPr>
        <w:t>their dependants</w:t>
      </w:r>
      <w:r w:rsidRPr="007A7AE4">
        <w:rPr>
          <w:sz w:val="24"/>
          <w:szCs w:val="24"/>
          <w:lang w:val="en-GB"/>
        </w:rPr>
        <w:t>.</w:t>
      </w:r>
      <w:r w:rsidR="007A7AE4" w:rsidRPr="007A7AE4">
        <w:rPr>
          <w:sz w:val="24"/>
          <w:szCs w:val="24"/>
          <w:lang w:val="en-GB"/>
        </w:rPr>
        <w:t xml:space="preserve"> </w:t>
      </w:r>
    </w:p>
    <w:p w14:paraId="059D6A7E" w14:textId="66BFD5E2" w:rsidR="00422D95" w:rsidRDefault="00422D95" w:rsidP="00DB7322">
      <w:pPr>
        <w:pStyle w:val="Header"/>
        <w:tabs>
          <w:tab w:val="clear" w:pos="4153"/>
          <w:tab w:val="clear" w:pos="8306"/>
        </w:tabs>
        <w:spacing w:after="240"/>
        <w:rPr>
          <w:color w:val="000000"/>
          <w:sz w:val="24"/>
          <w:szCs w:val="24"/>
        </w:rPr>
      </w:pPr>
      <w:r>
        <w:rPr>
          <w:color w:val="000000"/>
          <w:sz w:val="24"/>
          <w:szCs w:val="24"/>
        </w:rPr>
        <w:t xml:space="preserve">The </w:t>
      </w:r>
      <w:r w:rsidR="000047AF">
        <w:rPr>
          <w:color w:val="000000"/>
          <w:sz w:val="24"/>
          <w:szCs w:val="24"/>
        </w:rPr>
        <w:t xml:space="preserve">MRCA </w:t>
      </w:r>
      <w:r>
        <w:rPr>
          <w:color w:val="000000"/>
          <w:sz w:val="24"/>
          <w:szCs w:val="24"/>
        </w:rPr>
        <w:t xml:space="preserve">Treatment Principles, made under subsection </w:t>
      </w:r>
      <w:r w:rsidR="000047AF">
        <w:rPr>
          <w:color w:val="000000"/>
          <w:sz w:val="24"/>
          <w:szCs w:val="24"/>
        </w:rPr>
        <w:t>286</w:t>
      </w:r>
      <w:r>
        <w:rPr>
          <w:color w:val="000000"/>
          <w:sz w:val="24"/>
          <w:szCs w:val="24"/>
        </w:rPr>
        <w:t>(4) of the Act, set out circumstances in which certain types of treatment may be provided to persons</w:t>
      </w:r>
      <w:r w:rsidR="00327AAD">
        <w:rPr>
          <w:color w:val="000000"/>
          <w:sz w:val="24"/>
          <w:szCs w:val="24"/>
        </w:rPr>
        <w:t xml:space="preserve"> eligible under </w:t>
      </w:r>
      <w:r w:rsidR="000047AF">
        <w:rPr>
          <w:color w:val="000000"/>
          <w:sz w:val="24"/>
          <w:szCs w:val="24"/>
        </w:rPr>
        <w:t xml:space="preserve">Part 3 of Chapter 6 </w:t>
      </w:r>
      <w:r w:rsidR="00327AAD">
        <w:rPr>
          <w:color w:val="000000"/>
          <w:sz w:val="24"/>
          <w:szCs w:val="24"/>
        </w:rPr>
        <w:t>of the Act</w:t>
      </w:r>
      <w:r>
        <w:rPr>
          <w:color w:val="000000"/>
          <w:sz w:val="24"/>
          <w:szCs w:val="24"/>
        </w:rPr>
        <w:t xml:space="preserve">. Part 7.7A of the </w:t>
      </w:r>
      <w:r w:rsidR="000047AF">
        <w:rPr>
          <w:color w:val="000000"/>
          <w:sz w:val="24"/>
          <w:szCs w:val="24"/>
        </w:rPr>
        <w:t xml:space="preserve">MRCA </w:t>
      </w:r>
      <w:r>
        <w:rPr>
          <w:color w:val="000000"/>
          <w:sz w:val="24"/>
          <w:szCs w:val="24"/>
        </w:rPr>
        <w:t xml:space="preserve">Treatment Principles establishes the OPC element of Open Arms. </w:t>
      </w:r>
    </w:p>
    <w:p w14:paraId="030B04F9" w14:textId="77777777" w:rsidR="002B288E" w:rsidRPr="00B37A1F" w:rsidRDefault="002B288E" w:rsidP="00B37A1F">
      <w:pPr>
        <w:keepNext/>
        <w:spacing w:after="240"/>
        <w:rPr>
          <w:b/>
          <w:bCs/>
          <w:sz w:val="28"/>
          <w:szCs w:val="28"/>
        </w:rPr>
      </w:pPr>
      <w:r w:rsidRPr="00B37A1F">
        <w:rPr>
          <w:b/>
          <w:bCs/>
          <w:sz w:val="28"/>
          <w:szCs w:val="28"/>
        </w:rPr>
        <w:t xml:space="preserve">Explanation of </w:t>
      </w:r>
      <w:r w:rsidR="00313844" w:rsidRPr="00B37A1F">
        <w:rPr>
          <w:b/>
          <w:bCs/>
          <w:sz w:val="28"/>
          <w:szCs w:val="28"/>
        </w:rPr>
        <w:t>p</w:t>
      </w:r>
      <w:r w:rsidRPr="00B37A1F">
        <w:rPr>
          <w:b/>
          <w:bCs/>
          <w:sz w:val="28"/>
          <w:szCs w:val="28"/>
        </w:rPr>
        <w:t>rovisions</w:t>
      </w:r>
    </w:p>
    <w:p w14:paraId="58CA637A" w14:textId="77777777" w:rsidR="002B288E" w:rsidRPr="00373DD6" w:rsidRDefault="002B288E" w:rsidP="00DB7322">
      <w:pPr>
        <w:pStyle w:val="Header"/>
        <w:tabs>
          <w:tab w:val="clear" w:pos="4153"/>
          <w:tab w:val="clear" w:pos="8306"/>
        </w:tabs>
        <w:spacing w:after="240"/>
        <w:rPr>
          <w:color w:val="000000"/>
          <w:sz w:val="24"/>
          <w:szCs w:val="24"/>
        </w:rPr>
      </w:pPr>
      <w:r w:rsidRPr="00373DD6">
        <w:rPr>
          <w:b/>
          <w:color w:val="000000"/>
          <w:sz w:val="24"/>
          <w:szCs w:val="24"/>
        </w:rPr>
        <w:t>Section 1</w:t>
      </w:r>
      <w:r w:rsidRPr="00373DD6">
        <w:rPr>
          <w:color w:val="000000"/>
          <w:sz w:val="24"/>
          <w:szCs w:val="24"/>
        </w:rPr>
        <w:t xml:space="preserve"> states the name of the </w:t>
      </w:r>
      <w:r w:rsidR="0016242C">
        <w:rPr>
          <w:color w:val="000000"/>
          <w:sz w:val="24"/>
          <w:szCs w:val="24"/>
        </w:rPr>
        <w:t>Instrument</w:t>
      </w:r>
      <w:r w:rsidRPr="00373DD6">
        <w:rPr>
          <w:color w:val="000000"/>
          <w:sz w:val="24"/>
          <w:szCs w:val="24"/>
        </w:rPr>
        <w:t>.</w:t>
      </w:r>
    </w:p>
    <w:p w14:paraId="675720CD" w14:textId="3B1F3BE2" w:rsidR="002B288E" w:rsidRPr="00373DD6" w:rsidRDefault="002B288E" w:rsidP="00DB7322">
      <w:pPr>
        <w:pStyle w:val="Header"/>
        <w:tabs>
          <w:tab w:val="clear" w:pos="4153"/>
          <w:tab w:val="clear" w:pos="8306"/>
        </w:tabs>
        <w:spacing w:after="240"/>
        <w:rPr>
          <w:color w:val="000000"/>
          <w:sz w:val="24"/>
          <w:szCs w:val="24"/>
        </w:rPr>
      </w:pPr>
      <w:r w:rsidRPr="00373DD6">
        <w:rPr>
          <w:b/>
          <w:color w:val="000000"/>
          <w:sz w:val="24"/>
          <w:szCs w:val="24"/>
        </w:rPr>
        <w:t>Section 2</w:t>
      </w:r>
      <w:r w:rsidRPr="00373DD6">
        <w:rPr>
          <w:color w:val="000000"/>
          <w:sz w:val="24"/>
          <w:szCs w:val="24"/>
        </w:rPr>
        <w:t xml:space="preserve"> provides that</w:t>
      </w:r>
      <w:r w:rsidR="0016242C" w:rsidRPr="00B67E15">
        <w:rPr>
          <w:color w:val="000000"/>
          <w:sz w:val="24"/>
          <w:szCs w:val="24"/>
        </w:rPr>
        <w:t xml:space="preserve"> the Instrument</w:t>
      </w:r>
      <w:r w:rsidRPr="00373DD6">
        <w:rPr>
          <w:color w:val="000000"/>
          <w:sz w:val="24"/>
          <w:szCs w:val="24"/>
        </w:rPr>
        <w:t xml:space="preserve"> commences </w:t>
      </w:r>
      <w:r w:rsidR="004D5E3D">
        <w:rPr>
          <w:color w:val="000000"/>
          <w:sz w:val="24"/>
          <w:szCs w:val="24"/>
        </w:rPr>
        <w:t>at the start of the day after registration</w:t>
      </w:r>
      <w:r w:rsidRPr="00373DD6">
        <w:rPr>
          <w:color w:val="000000"/>
          <w:sz w:val="24"/>
          <w:szCs w:val="24"/>
        </w:rPr>
        <w:t>.</w:t>
      </w:r>
    </w:p>
    <w:p w14:paraId="14925562" w14:textId="635A691F" w:rsidR="002B288E" w:rsidRPr="00373DD6" w:rsidRDefault="002B288E" w:rsidP="00DB7322">
      <w:pPr>
        <w:pStyle w:val="Header"/>
        <w:tabs>
          <w:tab w:val="clear" w:pos="4153"/>
          <w:tab w:val="clear" w:pos="8306"/>
        </w:tabs>
        <w:spacing w:after="240"/>
        <w:rPr>
          <w:color w:val="000000"/>
          <w:sz w:val="24"/>
          <w:szCs w:val="24"/>
        </w:rPr>
      </w:pPr>
      <w:r w:rsidRPr="00373DD6">
        <w:rPr>
          <w:b/>
          <w:color w:val="000000"/>
          <w:sz w:val="24"/>
          <w:szCs w:val="24"/>
        </w:rPr>
        <w:t>Section 3</w:t>
      </w:r>
      <w:r w:rsidRPr="00373DD6">
        <w:rPr>
          <w:color w:val="000000"/>
          <w:sz w:val="24"/>
          <w:szCs w:val="24"/>
        </w:rPr>
        <w:t xml:space="preserve"> sets out the authority for </w:t>
      </w:r>
      <w:r w:rsidR="004653B0">
        <w:rPr>
          <w:color w:val="000000"/>
          <w:sz w:val="24"/>
          <w:szCs w:val="24"/>
        </w:rPr>
        <w:t xml:space="preserve">the Commission </w:t>
      </w:r>
      <w:r w:rsidRPr="00373DD6">
        <w:rPr>
          <w:color w:val="000000"/>
          <w:sz w:val="24"/>
          <w:szCs w:val="24"/>
        </w:rPr>
        <w:t xml:space="preserve">making the </w:t>
      </w:r>
      <w:r w:rsidR="0016242C">
        <w:rPr>
          <w:color w:val="000000"/>
          <w:sz w:val="24"/>
          <w:szCs w:val="24"/>
        </w:rPr>
        <w:t>Instrument</w:t>
      </w:r>
      <w:r w:rsidR="00916272" w:rsidRPr="00916272">
        <w:rPr>
          <w:color w:val="000000"/>
          <w:sz w:val="24"/>
          <w:szCs w:val="24"/>
        </w:rPr>
        <w:t xml:space="preserve"> </w:t>
      </w:r>
      <w:r w:rsidR="00916272">
        <w:rPr>
          <w:color w:val="000000"/>
          <w:sz w:val="24"/>
          <w:szCs w:val="24"/>
        </w:rPr>
        <w:t>– s</w:t>
      </w:r>
      <w:r w:rsidR="00916272" w:rsidRPr="00106957">
        <w:rPr>
          <w:color w:val="000000"/>
          <w:sz w:val="24"/>
          <w:szCs w:val="24"/>
        </w:rPr>
        <w:t xml:space="preserve">ubsection </w:t>
      </w:r>
      <w:r w:rsidR="001A40FF">
        <w:rPr>
          <w:color w:val="000000"/>
          <w:sz w:val="24"/>
          <w:szCs w:val="24"/>
        </w:rPr>
        <w:t>286(5)</w:t>
      </w:r>
      <w:r w:rsidR="00916272" w:rsidRPr="00106957">
        <w:rPr>
          <w:color w:val="000000"/>
          <w:sz w:val="24"/>
          <w:szCs w:val="24"/>
        </w:rPr>
        <w:t xml:space="preserve"> of the</w:t>
      </w:r>
      <w:r w:rsidR="00916272">
        <w:rPr>
          <w:color w:val="000000"/>
          <w:sz w:val="24"/>
          <w:szCs w:val="24"/>
        </w:rPr>
        <w:t xml:space="preserve"> Act</w:t>
      </w:r>
      <w:r w:rsidRPr="00373DD6">
        <w:rPr>
          <w:color w:val="000000"/>
          <w:sz w:val="24"/>
          <w:szCs w:val="24"/>
        </w:rPr>
        <w:t xml:space="preserve">. </w:t>
      </w:r>
      <w:r w:rsidR="00916272">
        <w:rPr>
          <w:color w:val="000000"/>
          <w:sz w:val="24"/>
          <w:szCs w:val="24"/>
        </w:rPr>
        <w:t xml:space="preserve">The Minister </w:t>
      </w:r>
      <w:r w:rsidR="004653B0">
        <w:rPr>
          <w:color w:val="000000"/>
          <w:sz w:val="24"/>
          <w:szCs w:val="24"/>
        </w:rPr>
        <w:t xml:space="preserve">then </w:t>
      </w:r>
      <w:r w:rsidR="00916272">
        <w:rPr>
          <w:color w:val="000000"/>
          <w:sz w:val="24"/>
          <w:szCs w:val="24"/>
        </w:rPr>
        <w:t>approves the Instrument made by the Commission – sub</w:t>
      </w:r>
      <w:bookmarkStart w:id="0" w:name="_GoBack"/>
      <w:bookmarkEnd w:id="0"/>
      <w:r w:rsidR="00916272">
        <w:rPr>
          <w:color w:val="000000"/>
          <w:sz w:val="24"/>
          <w:szCs w:val="24"/>
        </w:rPr>
        <w:t>section </w:t>
      </w:r>
      <w:r w:rsidR="001A40FF">
        <w:rPr>
          <w:color w:val="000000"/>
          <w:sz w:val="24"/>
          <w:szCs w:val="24"/>
        </w:rPr>
        <w:t>286(</w:t>
      </w:r>
      <w:r w:rsidR="009D1E6B">
        <w:rPr>
          <w:color w:val="000000"/>
          <w:sz w:val="24"/>
          <w:szCs w:val="24"/>
        </w:rPr>
        <w:t>6</w:t>
      </w:r>
      <w:r w:rsidR="001A40FF">
        <w:rPr>
          <w:color w:val="000000"/>
          <w:sz w:val="24"/>
          <w:szCs w:val="24"/>
        </w:rPr>
        <w:t>)</w:t>
      </w:r>
      <w:r w:rsidR="00916272">
        <w:rPr>
          <w:color w:val="000000"/>
          <w:sz w:val="24"/>
          <w:szCs w:val="24"/>
        </w:rPr>
        <w:t xml:space="preserve"> of the Act. </w:t>
      </w:r>
    </w:p>
    <w:p w14:paraId="4CE23C36" w14:textId="7708F5D3" w:rsidR="002B288E" w:rsidRPr="00373DD6" w:rsidRDefault="002B288E" w:rsidP="00DB7322">
      <w:pPr>
        <w:pStyle w:val="Header"/>
        <w:tabs>
          <w:tab w:val="clear" w:pos="4153"/>
          <w:tab w:val="clear" w:pos="8306"/>
        </w:tabs>
        <w:spacing w:after="240"/>
        <w:rPr>
          <w:color w:val="000000"/>
          <w:sz w:val="24"/>
          <w:szCs w:val="24"/>
        </w:rPr>
      </w:pPr>
      <w:r w:rsidRPr="00373DD6">
        <w:rPr>
          <w:b/>
          <w:color w:val="000000"/>
          <w:sz w:val="24"/>
          <w:szCs w:val="24"/>
        </w:rPr>
        <w:t>Section 4</w:t>
      </w:r>
      <w:r w:rsidRPr="00373DD6">
        <w:rPr>
          <w:color w:val="000000"/>
          <w:sz w:val="24"/>
          <w:szCs w:val="24"/>
        </w:rPr>
        <w:t xml:space="preserve"> is a standard provision used in instruments that amend or repeal other instruments. It </w:t>
      </w:r>
      <w:r w:rsidR="00106957">
        <w:rPr>
          <w:color w:val="000000"/>
          <w:sz w:val="24"/>
          <w:szCs w:val="24"/>
        </w:rPr>
        <w:t>gives effect to</w:t>
      </w:r>
      <w:r w:rsidRPr="00373DD6">
        <w:rPr>
          <w:color w:val="000000"/>
          <w:sz w:val="24"/>
          <w:szCs w:val="24"/>
        </w:rPr>
        <w:t xml:space="preserve"> Schedule 1. </w:t>
      </w:r>
    </w:p>
    <w:p w14:paraId="1E2CB285" w14:textId="77777777" w:rsidR="00313844" w:rsidRPr="001A7F31" w:rsidRDefault="00313844" w:rsidP="003A018C">
      <w:pPr>
        <w:keepNext/>
        <w:spacing w:after="240"/>
        <w:rPr>
          <w:b/>
          <w:color w:val="000000"/>
          <w:sz w:val="24"/>
          <w:szCs w:val="24"/>
        </w:rPr>
      </w:pPr>
      <w:bookmarkStart w:id="1" w:name="_Toc130546405"/>
      <w:r w:rsidRPr="001A7F31">
        <w:rPr>
          <w:b/>
          <w:color w:val="000000"/>
          <w:sz w:val="24"/>
          <w:szCs w:val="24"/>
        </w:rPr>
        <w:lastRenderedPageBreak/>
        <w:t>Schedule 1—</w:t>
      </w:r>
      <w:bookmarkEnd w:id="1"/>
      <w:r w:rsidR="000455BB">
        <w:rPr>
          <w:b/>
          <w:color w:val="000000"/>
          <w:sz w:val="24"/>
          <w:szCs w:val="24"/>
        </w:rPr>
        <w:t>Amendments</w:t>
      </w:r>
    </w:p>
    <w:p w14:paraId="33C9560F" w14:textId="0A26D0C6" w:rsidR="00313844" w:rsidRDefault="00313844" w:rsidP="00DB7322">
      <w:pPr>
        <w:pStyle w:val="Header"/>
        <w:tabs>
          <w:tab w:val="clear" w:pos="4153"/>
          <w:tab w:val="clear" w:pos="8306"/>
        </w:tabs>
        <w:spacing w:after="240"/>
        <w:rPr>
          <w:color w:val="000000"/>
          <w:sz w:val="24"/>
          <w:szCs w:val="24"/>
        </w:rPr>
      </w:pPr>
      <w:bookmarkStart w:id="2" w:name="_Toc130546406"/>
      <w:r w:rsidRPr="001A7F31">
        <w:rPr>
          <w:b/>
          <w:color w:val="000000"/>
          <w:sz w:val="24"/>
          <w:szCs w:val="24"/>
        </w:rPr>
        <w:t>Item 1</w:t>
      </w:r>
      <w:r w:rsidRPr="001A7F31">
        <w:rPr>
          <w:color w:val="000000"/>
          <w:sz w:val="24"/>
          <w:szCs w:val="24"/>
        </w:rPr>
        <w:t xml:space="preserve"> </w:t>
      </w:r>
      <w:bookmarkEnd w:id="2"/>
      <w:r w:rsidR="007E0DCC">
        <w:rPr>
          <w:color w:val="000000"/>
          <w:sz w:val="24"/>
          <w:szCs w:val="24"/>
        </w:rPr>
        <w:t xml:space="preserve">omits </w:t>
      </w:r>
      <w:r w:rsidR="007366E7">
        <w:rPr>
          <w:color w:val="000000"/>
          <w:sz w:val="24"/>
          <w:szCs w:val="24"/>
        </w:rPr>
        <w:t>the</w:t>
      </w:r>
      <w:r w:rsidR="007E0DCC">
        <w:rPr>
          <w:color w:val="000000"/>
          <w:sz w:val="24"/>
          <w:szCs w:val="24"/>
        </w:rPr>
        <w:t xml:space="preserve"> definition </w:t>
      </w:r>
      <w:r w:rsidR="007366E7">
        <w:rPr>
          <w:color w:val="000000"/>
          <w:sz w:val="24"/>
          <w:szCs w:val="24"/>
        </w:rPr>
        <w:t>of “</w:t>
      </w:r>
      <w:r w:rsidR="007366E7" w:rsidRPr="007E0DCC">
        <w:rPr>
          <w:color w:val="000000"/>
          <w:sz w:val="24"/>
          <w:szCs w:val="24"/>
        </w:rPr>
        <w:t>Australian Government’s Better Access initiative</w:t>
      </w:r>
      <w:r w:rsidR="007366E7">
        <w:rPr>
          <w:color w:val="000000"/>
          <w:sz w:val="24"/>
          <w:szCs w:val="24"/>
        </w:rPr>
        <w:t xml:space="preserve">” </w:t>
      </w:r>
      <w:r w:rsidR="007E0DCC">
        <w:rPr>
          <w:color w:val="000000"/>
          <w:sz w:val="24"/>
          <w:szCs w:val="24"/>
        </w:rPr>
        <w:t>from paragraph 1.4.1</w:t>
      </w:r>
      <w:r w:rsidR="007366E7">
        <w:rPr>
          <w:color w:val="000000"/>
          <w:sz w:val="24"/>
          <w:szCs w:val="24"/>
        </w:rPr>
        <w:t>. T</w:t>
      </w:r>
      <w:r w:rsidR="007E0DCC">
        <w:rPr>
          <w:color w:val="000000"/>
          <w:sz w:val="24"/>
          <w:szCs w:val="24"/>
        </w:rPr>
        <w:t xml:space="preserve">hat </w:t>
      </w:r>
      <w:r w:rsidR="007366E7">
        <w:rPr>
          <w:color w:val="000000"/>
          <w:sz w:val="24"/>
          <w:szCs w:val="24"/>
        </w:rPr>
        <w:t xml:space="preserve">definition </w:t>
      </w:r>
      <w:r w:rsidR="007E0DCC">
        <w:rPr>
          <w:color w:val="000000"/>
          <w:sz w:val="24"/>
          <w:szCs w:val="24"/>
        </w:rPr>
        <w:t>will no longer be used given the amendments made by item </w:t>
      </w:r>
      <w:r w:rsidR="00922ABD">
        <w:rPr>
          <w:color w:val="000000"/>
          <w:sz w:val="24"/>
          <w:szCs w:val="24"/>
        </w:rPr>
        <w:t>2</w:t>
      </w:r>
      <w:r w:rsidR="007E0DCC">
        <w:rPr>
          <w:color w:val="000000"/>
          <w:sz w:val="24"/>
          <w:szCs w:val="24"/>
        </w:rPr>
        <w:t xml:space="preserve">. </w:t>
      </w:r>
    </w:p>
    <w:p w14:paraId="22F99949" w14:textId="58944313" w:rsidR="00422D95" w:rsidRPr="0073269C" w:rsidRDefault="00422D95" w:rsidP="00DB7322">
      <w:pPr>
        <w:pStyle w:val="Header"/>
        <w:tabs>
          <w:tab w:val="clear" w:pos="4153"/>
          <w:tab w:val="clear" w:pos="8306"/>
        </w:tabs>
        <w:spacing w:after="240"/>
        <w:rPr>
          <w:color w:val="000000"/>
          <w:sz w:val="24"/>
          <w:szCs w:val="24"/>
        </w:rPr>
      </w:pPr>
      <w:r w:rsidRPr="0073269C">
        <w:rPr>
          <w:b/>
          <w:color w:val="000000"/>
          <w:sz w:val="24"/>
          <w:szCs w:val="24"/>
        </w:rPr>
        <w:t>Item </w:t>
      </w:r>
      <w:r w:rsidR="00922ABD">
        <w:rPr>
          <w:b/>
          <w:color w:val="000000"/>
          <w:sz w:val="24"/>
          <w:szCs w:val="24"/>
        </w:rPr>
        <w:t>2</w:t>
      </w:r>
      <w:r w:rsidRPr="0073269C">
        <w:rPr>
          <w:color w:val="000000"/>
          <w:sz w:val="24"/>
          <w:szCs w:val="24"/>
        </w:rPr>
        <w:t xml:space="preserve"> replaces the definition of “outreach program counsellor”</w:t>
      </w:r>
      <w:r w:rsidR="007E0DCC" w:rsidRPr="0073269C">
        <w:rPr>
          <w:color w:val="000000"/>
          <w:sz w:val="24"/>
          <w:szCs w:val="24"/>
        </w:rPr>
        <w:t xml:space="preserve"> in paragraph 1.4.1</w:t>
      </w:r>
      <w:r w:rsidRPr="0073269C">
        <w:rPr>
          <w:color w:val="000000"/>
          <w:sz w:val="24"/>
          <w:szCs w:val="24"/>
        </w:rPr>
        <w:t>. The</w:t>
      </w:r>
      <w:r w:rsidR="007E0DCC" w:rsidRPr="0073269C">
        <w:rPr>
          <w:color w:val="000000"/>
          <w:sz w:val="24"/>
          <w:szCs w:val="24"/>
        </w:rPr>
        <w:t xml:space="preserve">re are two </w:t>
      </w:r>
      <w:r w:rsidR="004042B4" w:rsidRPr="0073269C">
        <w:rPr>
          <w:color w:val="000000"/>
          <w:sz w:val="24"/>
          <w:szCs w:val="24"/>
        </w:rPr>
        <w:t xml:space="preserve">substantive </w:t>
      </w:r>
      <w:r w:rsidRPr="0073269C">
        <w:rPr>
          <w:color w:val="000000"/>
          <w:sz w:val="24"/>
          <w:szCs w:val="24"/>
        </w:rPr>
        <w:t>change</w:t>
      </w:r>
      <w:r w:rsidR="007E0DCC" w:rsidRPr="0073269C">
        <w:rPr>
          <w:color w:val="000000"/>
          <w:sz w:val="24"/>
          <w:szCs w:val="24"/>
        </w:rPr>
        <w:t>s.</w:t>
      </w:r>
      <w:r w:rsidRPr="0073269C">
        <w:rPr>
          <w:color w:val="000000"/>
          <w:sz w:val="24"/>
          <w:szCs w:val="24"/>
        </w:rPr>
        <w:t xml:space="preserve"> </w:t>
      </w:r>
      <w:r w:rsidR="007E0DCC" w:rsidRPr="0073269C">
        <w:rPr>
          <w:color w:val="000000"/>
          <w:sz w:val="24"/>
          <w:szCs w:val="24"/>
        </w:rPr>
        <w:t xml:space="preserve">First, the definition will </w:t>
      </w:r>
      <w:r w:rsidRPr="0073269C">
        <w:rPr>
          <w:color w:val="000000"/>
          <w:sz w:val="24"/>
          <w:szCs w:val="24"/>
        </w:rPr>
        <w:t xml:space="preserve">refer to a psychologist or social worker approved by the Department or the Commission to provide OPC services under Part 7.7A of the Treatment Principles, rather than a person who does not have a written contract with the Department or the Commission for those services. </w:t>
      </w:r>
      <w:r w:rsidR="00747AC9">
        <w:rPr>
          <w:color w:val="000000"/>
          <w:sz w:val="24"/>
          <w:szCs w:val="24"/>
        </w:rPr>
        <w:t>Registration with the Department as an OPC (the previous process), and e</w:t>
      </w:r>
      <w:r w:rsidR="004042B4" w:rsidRPr="0073269C">
        <w:rPr>
          <w:color w:val="000000"/>
          <w:sz w:val="24"/>
          <w:szCs w:val="24"/>
        </w:rPr>
        <w:t>ngagement under the OPC panel</w:t>
      </w:r>
      <w:r w:rsidR="00747AC9">
        <w:rPr>
          <w:color w:val="000000"/>
          <w:sz w:val="24"/>
          <w:szCs w:val="24"/>
        </w:rPr>
        <w:t xml:space="preserve"> (the new process),</w:t>
      </w:r>
      <w:r w:rsidR="004042B4" w:rsidRPr="0073269C">
        <w:rPr>
          <w:color w:val="000000"/>
          <w:sz w:val="24"/>
          <w:szCs w:val="24"/>
        </w:rPr>
        <w:t xml:space="preserve"> will </w:t>
      </w:r>
      <w:r w:rsidR="00747AC9">
        <w:rPr>
          <w:color w:val="000000"/>
          <w:sz w:val="24"/>
          <w:szCs w:val="24"/>
        </w:rPr>
        <w:t xml:space="preserve">each </w:t>
      </w:r>
      <w:r w:rsidR="004042B4" w:rsidRPr="0073269C">
        <w:rPr>
          <w:color w:val="000000"/>
          <w:sz w:val="24"/>
          <w:szCs w:val="24"/>
        </w:rPr>
        <w:t xml:space="preserve">be approval for this purpose. </w:t>
      </w:r>
    </w:p>
    <w:p w14:paraId="5C7A3A58" w14:textId="31B51199" w:rsidR="007E0DCC" w:rsidRPr="0073269C" w:rsidRDefault="007E0DCC" w:rsidP="00DB7322">
      <w:pPr>
        <w:pStyle w:val="Header"/>
        <w:tabs>
          <w:tab w:val="clear" w:pos="4153"/>
          <w:tab w:val="clear" w:pos="8306"/>
        </w:tabs>
        <w:spacing w:after="240"/>
        <w:rPr>
          <w:color w:val="000000"/>
          <w:sz w:val="24"/>
          <w:szCs w:val="24"/>
        </w:rPr>
      </w:pPr>
      <w:r w:rsidRPr="0073269C">
        <w:rPr>
          <w:color w:val="000000"/>
          <w:sz w:val="24"/>
          <w:szCs w:val="24"/>
        </w:rPr>
        <w:t>Second, item </w:t>
      </w:r>
      <w:r w:rsidR="00922ABD">
        <w:rPr>
          <w:color w:val="000000"/>
          <w:sz w:val="24"/>
          <w:szCs w:val="24"/>
        </w:rPr>
        <w:t>2</w:t>
      </w:r>
      <w:r w:rsidRPr="0073269C">
        <w:rPr>
          <w:color w:val="000000"/>
          <w:sz w:val="24"/>
          <w:szCs w:val="24"/>
        </w:rPr>
        <w:t xml:space="preserve"> </w:t>
      </w:r>
      <w:r w:rsidR="00550BBA" w:rsidRPr="0073269C">
        <w:rPr>
          <w:color w:val="000000"/>
          <w:sz w:val="24"/>
          <w:szCs w:val="24"/>
        </w:rPr>
        <w:t xml:space="preserve">means </w:t>
      </w:r>
      <w:r w:rsidR="004653B0" w:rsidRPr="0073269C">
        <w:rPr>
          <w:color w:val="000000"/>
          <w:sz w:val="24"/>
          <w:szCs w:val="24"/>
        </w:rPr>
        <w:t xml:space="preserve">a </w:t>
      </w:r>
      <w:r w:rsidRPr="0073269C">
        <w:rPr>
          <w:color w:val="000000"/>
          <w:sz w:val="24"/>
          <w:szCs w:val="24"/>
        </w:rPr>
        <w:t xml:space="preserve">counsellor </w:t>
      </w:r>
      <w:r w:rsidR="00916272" w:rsidRPr="0073269C">
        <w:rPr>
          <w:color w:val="000000"/>
          <w:sz w:val="24"/>
          <w:szCs w:val="24"/>
        </w:rPr>
        <w:t>wi</w:t>
      </w:r>
      <w:r w:rsidR="00550BBA" w:rsidRPr="0073269C">
        <w:rPr>
          <w:color w:val="000000"/>
          <w:sz w:val="24"/>
          <w:szCs w:val="24"/>
        </w:rPr>
        <w:t xml:space="preserve">ll </w:t>
      </w:r>
      <w:r w:rsidR="00916272" w:rsidRPr="0073269C">
        <w:rPr>
          <w:color w:val="000000"/>
          <w:sz w:val="24"/>
          <w:szCs w:val="24"/>
        </w:rPr>
        <w:t xml:space="preserve">be eligible to provide OPC services </w:t>
      </w:r>
      <w:r w:rsidR="005C5468" w:rsidRPr="0073269C">
        <w:rPr>
          <w:color w:val="000000"/>
          <w:sz w:val="24"/>
          <w:szCs w:val="24"/>
        </w:rPr>
        <w:t>even if they are not</w:t>
      </w:r>
      <w:r w:rsidRPr="0073269C">
        <w:rPr>
          <w:color w:val="000000"/>
          <w:sz w:val="24"/>
          <w:szCs w:val="24"/>
        </w:rPr>
        <w:t xml:space="preserve"> eligible to provide </w:t>
      </w:r>
      <w:r w:rsidR="002F12C4" w:rsidRPr="0073269C">
        <w:rPr>
          <w:color w:val="000000"/>
          <w:sz w:val="24"/>
          <w:szCs w:val="24"/>
        </w:rPr>
        <w:t xml:space="preserve">health </w:t>
      </w:r>
      <w:r w:rsidRPr="0073269C">
        <w:rPr>
          <w:color w:val="000000"/>
          <w:sz w:val="24"/>
          <w:szCs w:val="24"/>
        </w:rPr>
        <w:t xml:space="preserve">services under the Australian Government’s Better Access initiative. </w:t>
      </w:r>
      <w:r w:rsidR="00916272" w:rsidRPr="0073269C">
        <w:rPr>
          <w:color w:val="000000"/>
          <w:sz w:val="24"/>
          <w:szCs w:val="24"/>
        </w:rPr>
        <w:t xml:space="preserve">The Better Access initiative provides Medicare rebates for up to 10 allied health services per year from certain health practitioners, including psychologists and social workers. </w:t>
      </w:r>
    </w:p>
    <w:p w14:paraId="7014021E" w14:textId="67011BA3" w:rsidR="00422D95" w:rsidRPr="0073269C" w:rsidRDefault="004042B4" w:rsidP="00DB7322">
      <w:pPr>
        <w:pStyle w:val="Header"/>
        <w:tabs>
          <w:tab w:val="clear" w:pos="4153"/>
          <w:tab w:val="clear" w:pos="8306"/>
        </w:tabs>
        <w:spacing w:after="240"/>
        <w:rPr>
          <w:color w:val="000000"/>
          <w:sz w:val="24"/>
          <w:szCs w:val="24"/>
        </w:rPr>
      </w:pPr>
      <w:r w:rsidRPr="0073269C">
        <w:rPr>
          <w:b/>
          <w:color w:val="000000"/>
          <w:sz w:val="24"/>
          <w:szCs w:val="24"/>
        </w:rPr>
        <w:t>Item </w:t>
      </w:r>
      <w:r w:rsidR="00922ABD">
        <w:rPr>
          <w:b/>
          <w:color w:val="000000"/>
          <w:sz w:val="24"/>
          <w:szCs w:val="24"/>
        </w:rPr>
        <w:t>3</w:t>
      </w:r>
      <w:r w:rsidRPr="0073269C">
        <w:rPr>
          <w:color w:val="000000"/>
          <w:sz w:val="24"/>
          <w:szCs w:val="24"/>
        </w:rPr>
        <w:t xml:space="preserve"> replaces the definition of “Veterans and Veterans Families Counselling Service” or “VVCS”</w:t>
      </w:r>
      <w:r w:rsidR="007E0DCC" w:rsidRPr="0073269C">
        <w:rPr>
          <w:color w:val="000000"/>
          <w:sz w:val="24"/>
          <w:szCs w:val="24"/>
        </w:rPr>
        <w:t xml:space="preserve"> in paragraph 1.4.1</w:t>
      </w:r>
      <w:r w:rsidR="004653B0" w:rsidRPr="0073269C">
        <w:rPr>
          <w:color w:val="000000"/>
          <w:sz w:val="24"/>
          <w:szCs w:val="24"/>
        </w:rPr>
        <w:t xml:space="preserve">. </w:t>
      </w:r>
      <w:r w:rsidRPr="0073269C">
        <w:rPr>
          <w:color w:val="000000"/>
          <w:sz w:val="24"/>
          <w:szCs w:val="24"/>
        </w:rPr>
        <w:t xml:space="preserve">The substantive change is to refer to the </w:t>
      </w:r>
      <w:r w:rsidR="00192266">
        <w:rPr>
          <w:color w:val="000000"/>
          <w:sz w:val="24"/>
          <w:szCs w:val="24"/>
        </w:rPr>
        <w:t>current</w:t>
      </w:r>
      <w:r w:rsidRPr="0073269C">
        <w:rPr>
          <w:color w:val="000000"/>
          <w:sz w:val="24"/>
          <w:szCs w:val="24"/>
        </w:rPr>
        <w:t xml:space="preserve"> name of the program </w:t>
      </w:r>
      <w:r w:rsidR="00327019" w:rsidRPr="0073269C">
        <w:rPr>
          <w:color w:val="000000"/>
          <w:sz w:val="24"/>
          <w:szCs w:val="24"/>
        </w:rPr>
        <w:t>“</w:t>
      </w:r>
      <w:r w:rsidRPr="0073269C">
        <w:rPr>
          <w:color w:val="000000"/>
          <w:sz w:val="24"/>
          <w:szCs w:val="24"/>
        </w:rPr>
        <w:t>Open Arms – Veterans &amp; Families Counselling</w:t>
      </w:r>
      <w:r w:rsidR="00327019" w:rsidRPr="0073269C">
        <w:rPr>
          <w:color w:val="000000"/>
          <w:sz w:val="24"/>
          <w:szCs w:val="24"/>
        </w:rPr>
        <w:t>”</w:t>
      </w:r>
      <w:r w:rsidRPr="0073269C">
        <w:rPr>
          <w:color w:val="000000"/>
          <w:sz w:val="24"/>
          <w:szCs w:val="24"/>
        </w:rPr>
        <w:t xml:space="preserve">. </w:t>
      </w:r>
    </w:p>
    <w:p w14:paraId="4AA2343B" w14:textId="33318913" w:rsidR="004042B4" w:rsidRDefault="004042B4" w:rsidP="00DB7322">
      <w:pPr>
        <w:pStyle w:val="Header"/>
        <w:tabs>
          <w:tab w:val="clear" w:pos="4153"/>
          <w:tab w:val="clear" w:pos="8306"/>
        </w:tabs>
        <w:spacing w:after="240"/>
        <w:rPr>
          <w:color w:val="000000"/>
          <w:sz w:val="24"/>
          <w:szCs w:val="24"/>
        </w:rPr>
      </w:pPr>
      <w:r w:rsidRPr="0073269C">
        <w:rPr>
          <w:b/>
          <w:color w:val="000000"/>
          <w:sz w:val="24"/>
          <w:szCs w:val="24"/>
        </w:rPr>
        <w:t>Item </w:t>
      </w:r>
      <w:r w:rsidR="00922ABD">
        <w:rPr>
          <w:b/>
          <w:color w:val="000000"/>
          <w:sz w:val="24"/>
          <w:szCs w:val="24"/>
        </w:rPr>
        <w:t>4</w:t>
      </w:r>
      <w:r w:rsidR="007E0DCC" w:rsidRPr="0073269C">
        <w:rPr>
          <w:color w:val="000000"/>
          <w:sz w:val="24"/>
          <w:szCs w:val="24"/>
        </w:rPr>
        <w:t xml:space="preserve"> omits </w:t>
      </w:r>
      <w:r w:rsidR="00747AC9">
        <w:rPr>
          <w:color w:val="000000"/>
          <w:sz w:val="24"/>
          <w:szCs w:val="24"/>
        </w:rPr>
        <w:t>the</w:t>
      </w:r>
      <w:r w:rsidR="007E0DCC" w:rsidRPr="0073269C">
        <w:rPr>
          <w:color w:val="000000"/>
          <w:sz w:val="24"/>
          <w:szCs w:val="24"/>
        </w:rPr>
        <w:t xml:space="preserve"> definition </w:t>
      </w:r>
      <w:r w:rsidR="00747AC9">
        <w:rPr>
          <w:color w:val="000000"/>
          <w:sz w:val="24"/>
          <w:szCs w:val="24"/>
        </w:rPr>
        <w:t xml:space="preserve">of “VVCS criterion” </w:t>
      </w:r>
      <w:r w:rsidR="007E0DCC" w:rsidRPr="0073269C">
        <w:rPr>
          <w:color w:val="000000"/>
          <w:sz w:val="24"/>
          <w:szCs w:val="24"/>
        </w:rPr>
        <w:t>from paragraph 1.4.1</w:t>
      </w:r>
      <w:r w:rsidR="00747AC9">
        <w:rPr>
          <w:color w:val="000000"/>
          <w:sz w:val="24"/>
          <w:szCs w:val="24"/>
        </w:rPr>
        <w:t>, which</w:t>
      </w:r>
      <w:r w:rsidR="007E0DCC" w:rsidRPr="0073269C">
        <w:rPr>
          <w:color w:val="000000"/>
          <w:sz w:val="24"/>
          <w:szCs w:val="24"/>
        </w:rPr>
        <w:t xml:space="preserve"> will no longer be used given the amendments made by item</w:t>
      </w:r>
      <w:r w:rsidR="00A049E5">
        <w:rPr>
          <w:color w:val="000000"/>
          <w:sz w:val="24"/>
          <w:szCs w:val="24"/>
        </w:rPr>
        <w:t>s</w:t>
      </w:r>
      <w:r w:rsidR="007211DB" w:rsidRPr="0073269C">
        <w:rPr>
          <w:color w:val="000000"/>
          <w:sz w:val="24"/>
          <w:szCs w:val="24"/>
        </w:rPr>
        <w:t> </w:t>
      </w:r>
      <w:r w:rsidR="00A049E5">
        <w:rPr>
          <w:color w:val="000000"/>
          <w:sz w:val="24"/>
          <w:szCs w:val="24"/>
        </w:rPr>
        <w:t>5, 6 and 7</w:t>
      </w:r>
      <w:r w:rsidR="007E0DCC" w:rsidRPr="0073269C">
        <w:rPr>
          <w:color w:val="000000"/>
          <w:sz w:val="24"/>
          <w:szCs w:val="24"/>
        </w:rPr>
        <w:t xml:space="preserve">.  </w:t>
      </w:r>
    </w:p>
    <w:p w14:paraId="4FE67123" w14:textId="460548C2" w:rsidR="004042B4" w:rsidRPr="00A049E5" w:rsidRDefault="00A049E5" w:rsidP="00DB7322">
      <w:pPr>
        <w:pStyle w:val="Header"/>
        <w:tabs>
          <w:tab w:val="clear" w:pos="4153"/>
          <w:tab w:val="clear" w:pos="8306"/>
        </w:tabs>
        <w:spacing w:after="240"/>
        <w:rPr>
          <w:color w:val="000000"/>
          <w:sz w:val="24"/>
          <w:szCs w:val="24"/>
        </w:rPr>
      </w:pPr>
      <w:r w:rsidRPr="00A049E5">
        <w:rPr>
          <w:b/>
          <w:color w:val="000000"/>
          <w:sz w:val="24"/>
          <w:szCs w:val="24"/>
        </w:rPr>
        <w:t>Items 5, 6 and 7</w:t>
      </w:r>
      <w:r w:rsidRPr="00A049E5">
        <w:rPr>
          <w:color w:val="000000"/>
          <w:sz w:val="24"/>
          <w:szCs w:val="24"/>
        </w:rPr>
        <w:t xml:space="preserve"> </w:t>
      </w:r>
      <w:r>
        <w:rPr>
          <w:color w:val="000000"/>
          <w:sz w:val="24"/>
          <w:szCs w:val="24"/>
        </w:rPr>
        <w:t>amend</w:t>
      </w:r>
      <w:r w:rsidRPr="00A049E5">
        <w:rPr>
          <w:color w:val="000000"/>
          <w:sz w:val="24"/>
          <w:szCs w:val="24"/>
        </w:rPr>
        <w:t xml:space="preserve"> paragraph 7.7A.2 and repeal </w:t>
      </w:r>
      <w:r>
        <w:rPr>
          <w:color w:val="000000"/>
          <w:sz w:val="24"/>
          <w:szCs w:val="24"/>
        </w:rPr>
        <w:t>paragraph </w:t>
      </w:r>
      <w:r w:rsidRPr="00A049E5">
        <w:rPr>
          <w:color w:val="000000"/>
          <w:sz w:val="24"/>
          <w:szCs w:val="24"/>
        </w:rPr>
        <w:t>7.7A.3</w:t>
      </w:r>
      <w:r>
        <w:rPr>
          <w:color w:val="000000"/>
          <w:sz w:val="24"/>
          <w:szCs w:val="24"/>
        </w:rPr>
        <w:t xml:space="preserve">, to </w:t>
      </w:r>
      <w:r w:rsidR="007E0DCC" w:rsidRPr="00A049E5">
        <w:rPr>
          <w:color w:val="000000"/>
          <w:sz w:val="24"/>
          <w:szCs w:val="24"/>
        </w:rPr>
        <w:t xml:space="preserve">reflect the new OPC panel arrangement, and the fact that Open Arms eligibility is under </w:t>
      </w:r>
      <w:r>
        <w:rPr>
          <w:color w:val="000000"/>
          <w:sz w:val="24"/>
          <w:szCs w:val="24"/>
        </w:rPr>
        <w:t xml:space="preserve">Part 3 of Chapter 6 </w:t>
      </w:r>
      <w:r w:rsidR="007E0DCC" w:rsidRPr="00A049E5">
        <w:rPr>
          <w:color w:val="000000"/>
          <w:sz w:val="24"/>
          <w:szCs w:val="24"/>
        </w:rPr>
        <w:t>of the Act</w:t>
      </w:r>
      <w:r w:rsidR="00DF5C8B" w:rsidRPr="00A049E5">
        <w:rPr>
          <w:color w:val="000000"/>
          <w:sz w:val="24"/>
          <w:szCs w:val="24"/>
        </w:rPr>
        <w:t>.</w:t>
      </w:r>
      <w:r w:rsidR="00410411" w:rsidRPr="00A049E5">
        <w:rPr>
          <w:color w:val="000000"/>
          <w:sz w:val="24"/>
          <w:szCs w:val="24"/>
        </w:rPr>
        <w:t xml:space="preserve"> </w:t>
      </w:r>
    </w:p>
    <w:p w14:paraId="7719778E" w14:textId="658351C7" w:rsidR="008C507B" w:rsidRDefault="007E0DCC" w:rsidP="00DB7322">
      <w:pPr>
        <w:pStyle w:val="Header"/>
        <w:tabs>
          <w:tab w:val="clear" w:pos="4153"/>
          <w:tab w:val="clear" w:pos="8306"/>
        </w:tabs>
        <w:spacing w:after="240"/>
        <w:rPr>
          <w:color w:val="000000"/>
          <w:sz w:val="24"/>
          <w:szCs w:val="24"/>
        </w:rPr>
      </w:pPr>
      <w:r w:rsidRPr="00AC1AE1">
        <w:rPr>
          <w:b/>
          <w:color w:val="000000"/>
          <w:sz w:val="24"/>
          <w:szCs w:val="24"/>
        </w:rPr>
        <w:t>Items </w:t>
      </w:r>
      <w:r w:rsidR="00922ABD">
        <w:rPr>
          <w:b/>
          <w:color w:val="000000"/>
          <w:sz w:val="24"/>
          <w:szCs w:val="24"/>
        </w:rPr>
        <w:t>8</w:t>
      </w:r>
      <w:r w:rsidRPr="00AC1AE1">
        <w:rPr>
          <w:b/>
          <w:color w:val="000000"/>
          <w:sz w:val="24"/>
          <w:szCs w:val="24"/>
        </w:rPr>
        <w:t xml:space="preserve"> and </w:t>
      </w:r>
      <w:r w:rsidR="00922ABD">
        <w:rPr>
          <w:b/>
          <w:color w:val="000000"/>
          <w:sz w:val="24"/>
          <w:szCs w:val="24"/>
        </w:rPr>
        <w:t>9</w:t>
      </w:r>
      <w:r>
        <w:rPr>
          <w:color w:val="000000"/>
          <w:sz w:val="24"/>
          <w:szCs w:val="24"/>
        </w:rPr>
        <w:t xml:space="preserve"> </w:t>
      </w:r>
      <w:r w:rsidR="00AC1AE1">
        <w:rPr>
          <w:color w:val="000000"/>
          <w:sz w:val="24"/>
          <w:szCs w:val="24"/>
        </w:rPr>
        <w:t xml:space="preserve">update website hyperlinks in </w:t>
      </w:r>
      <w:r w:rsidR="008C507B">
        <w:rPr>
          <w:color w:val="000000"/>
          <w:sz w:val="24"/>
          <w:szCs w:val="24"/>
        </w:rPr>
        <w:t xml:space="preserve">items 25 and 26 of </w:t>
      </w:r>
      <w:r w:rsidR="00AC1AE1">
        <w:rPr>
          <w:color w:val="000000"/>
          <w:sz w:val="24"/>
          <w:szCs w:val="24"/>
        </w:rPr>
        <w:t>Schedule 1</w:t>
      </w:r>
      <w:r w:rsidR="00B37A1F">
        <w:rPr>
          <w:color w:val="000000"/>
          <w:sz w:val="24"/>
          <w:szCs w:val="24"/>
        </w:rPr>
        <w:t xml:space="preserve"> of the </w:t>
      </w:r>
      <w:r w:rsidR="00922ABD">
        <w:rPr>
          <w:color w:val="000000"/>
          <w:sz w:val="24"/>
          <w:szCs w:val="24"/>
        </w:rPr>
        <w:t xml:space="preserve">MRCA </w:t>
      </w:r>
      <w:r w:rsidR="00B37A1F">
        <w:rPr>
          <w:color w:val="000000"/>
          <w:sz w:val="24"/>
          <w:szCs w:val="24"/>
        </w:rPr>
        <w:t>Treatment Principles</w:t>
      </w:r>
      <w:r w:rsidR="00AC1AE1">
        <w:rPr>
          <w:color w:val="000000"/>
          <w:sz w:val="24"/>
          <w:szCs w:val="24"/>
        </w:rPr>
        <w:t xml:space="preserve">. </w:t>
      </w:r>
      <w:r w:rsidR="00327019">
        <w:rPr>
          <w:color w:val="000000"/>
          <w:sz w:val="24"/>
          <w:szCs w:val="24"/>
        </w:rPr>
        <w:t>Under subsection </w:t>
      </w:r>
      <w:r w:rsidR="00922ABD">
        <w:rPr>
          <w:color w:val="000000"/>
          <w:sz w:val="24"/>
          <w:szCs w:val="24"/>
        </w:rPr>
        <w:t>286(6B)</w:t>
      </w:r>
      <w:r w:rsidR="00327019">
        <w:rPr>
          <w:color w:val="000000"/>
          <w:sz w:val="24"/>
          <w:szCs w:val="24"/>
        </w:rPr>
        <w:t xml:space="preserve"> of the Act, the </w:t>
      </w:r>
      <w:r w:rsidR="00922ABD">
        <w:rPr>
          <w:color w:val="000000"/>
          <w:sz w:val="24"/>
          <w:szCs w:val="24"/>
        </w:rPr>
        <w:t xml:space="preserve">MRCA </w:t>
      </w:r>
      <w:r w:rsidR="00327019">
        <w:rPr>
          <w:color w:val="000000"/>
          <w:sz w:val="24"/>
          <w:szCs w:val="24"/>
        </w:rPr>
        <w:t xml:space="preserve">Treatment Principles may incorporate by reference documents existing from time to time. </w:t>
      </w:r>
      <w:r w:rsidR="008C507B">
        <w:rPr>
          <w:color w:val="000000"/>
          <w:sz w:val="24"/>
          <w:szCs w:val="24"/>
        </w:rPr>
        <w:t xml:space="preserve">This displaces subsection 14(2) of the </w:t>
      </w:r>
      <w:r w:rsidR="008C507B" w:rsidRPr="008C507B">
        <w:rPr>
          <w:i/>
          <w:color w:val="000000"/>
          <w:sz w:val="24"/>
          <w:szCs w:val="24"/>
        </w:rPr>
        <w:t>Legislation Act 2003</w:t>
      </w:r>
      <w:r w:rsidR="008C507B">
        <w:rPr>
          <w:color w:val="000000"/>
          <w:sz w:val="24"/>
          <w:szCs w:val="24"/>
        </w:rPr>
        <w:t xml:space="preserve">. </w:t>
      </w:r>
    </w:p>
    <w:p w14:paraId="270C7AD9" w14:textId="726FA02A" w:rsidR="008C507B" w:rsidRDefault="00327019" w:rsidP="000434B7">
      <w:pPr>
        <w:pStyle w:val="Header"/>
        <w:keepNext/>
        <w:tabs>
          <w:tab w:val="clear" w:pos="4153"/>
          <w:tab w:val="clear" w:pos="8306"/>
        </w:tabs>
        <w:spacing w:after="120"/>
        <w:rPr>
          <w:color w:val="000000"/>
          <w:sz w:val="24"/>
          <w:szCs w:val="24"/>
        </w:rPr>
      </w:pPr>
      <w:r>
        <w:rPr>
          <w:color w:val="000000"/>
          <w:sz w:val="24"/>
          <w:szCs w:val="24"/>
        </w:rPr>
        <w:t xml:space="preserve">Schedule 1 </w:t>
      </w:r>
      <w:r w:rsidR="00B37A1F">
        <w:rPr>
          <w:color w:val="000000"/>
          <w:sz w:val="24"/>
          <w:szCs w:val="24"/>
        </w:rPr>
        <w:t xml:space="preserve">of the </w:t>
      </w:r>
      <w:r w:rsidR="00C97503">
        <w:rPr>
          <w:color w:val="000000"/>
          <w:sz w:val="24"/>
          <w:szCs w:val="24"/>
        </w:rPr>
        <w:t xml:space="preserve">MRCA </w:t>
      </w:r>
      <w:r w:rsidR="00B37A1F">
        <w:rPr>
          <w:color w:val="000000"/>
          <w:sz w:val="24"/>
          <w:szCs w:val="24"/>
        </w:rPr>
        <w:t xml:space="preserve">Treatment Principles </w:t>
      </w:r>
      <w:r>
        <w:rPr>
          <w:color w:val="000000"/>
          <w:sz w:val="24"/>
          <w:szCs w:val="24"/>
        </w:rPr>
        <w:t>incorporates specified documents by reference to website hyperlinks</w:t>
      </w:r>
      <w:r w:rsidR="00BE3233">
        <w:rPr>
          <w:color w:val="000000"/>
          <w:sz w:val="24"/>
          <w:szCs w:val="24"/>
        </w:rPr>
        <w:t xml:space="preserve">. </w:t>
      </w:r>
      <w:r w:rsidR="008C507B">
        <w:rPr>
          <w:color w:val="000000"/>
          <w:sz w:val="24"/>
          <w:szCs w:val="24"/>
        </w:rPr>
        <w:t>The links in items 25 and 26</w:t>
      </w:r>
      <w:r>
        <w:rPr>
          <w:color w:val="000000"/>
          <w:sz w:val="24"/>
          <w:szCs w:val="24"/>
        </w:rPr>
        <w:t xml:space="preserve"> </w:t>
      </w:r>
      <w:r w:rsidR="008C507B">
        <w:rPr>
          <w:color w:val="000000"/>
          <w:sz w:val="24"/>
          <w:szCs w:val="24"/>
        </w:rPr>
        <w:t xml:space="preserve">of Schedule 1 </w:t>
      </w:r>
      <w:r>
        <w:rPr>
          <w:color w:val="000000"/>
          <w:sz w:val="24"/>
          <w:szCs w:val="24"/>
        </w:rPr>
        <w:t>are out of date.</w:t>
      </w:r>
      <w:r w:rsidR="00AC1AE1">
        <w:rPr>
          <w:color w:val="000000"/>
          <w:sz w:val="24"/>
          <w:szCs w:val="24"/>
        </w:rPr>
        <w:t xml:space="preserve"> </w:t>
      </w:r>
      <w:r w:rsidR="00737556">
        <w:rPr>
          <w:color w:val="000000"/>
          <w:sz w:val="24"/>
          <w:szCs w:val="24"/>
        </w:rPr>
        <w:t xml:space="preserve">The </w:t>
      </w:r>
      <w:r w:rsidR="00CF3554">
        <w:rPr>
          <w:color w:val="000000"/>
          <w:sz w:val="24"/>
          <w:szCs w:val="24"/>
        </w:rPr>
        <w:t xml:space="preserve">incorporated </w:t>
      </w:r>
      <w:r w:rsidR="00737556">
        <w:rPr>
          <w:color w:val="000000"/>
          <w:sz w:val="24"/>
          <w:szCs w:val="24"/>
        </w:rPr>
        <w:t>documents are freely available at the new hyperlinks</w:t>
      </w:r>
      <w:r w:rsidR="008C507B">
        <w:rPr>
          <w:color w:val="000000"/>
          <w:sz w:val="24"/>
          <w:szCs w:val="24"/>
        </w:rPr>
        <w:t>:</w:t>
      </w:r>
    </w:p>
    <w:p w14:paraId="24D19ED7" w14:textId="3C67131D" w:rsidR="008C507B" w:rsidRPr="008C507B" w:rsidRDefault="00BD55C4" w:rsidP="002B4D41">
      <w:pPr>
        <w:pStyle w:val="ListParagraph"/>
        <w:numPr>
          <w:ilvl w:val="0"/>
          <w:numId w:val="25"/>
        </w:numPr>
        <w:autoSpaceDE w:val="0"/>
        <w:autoSpaceDN w:val="0"/>
        <w:adjustRightInd w:val="0"/>
        <w:spacing w:after="60"/>
        <w:ind w:left="714" w:hanging="357"/>
        <w:contextualSpacing w:val="0"/>
        <w:rPr>
          <w:sz w:val="24"/>
          <w:szCs w:val="24"/>
        </w:rPr>
      </w:pPr>
      <w:r>
        <w:rPr>
          <w:sz w:val="24"/>
          <w:szCs w:val="24"/>
        </w:rPr>
        <w:t>i</w:t>
      </w:r>
      <w:r w:rsidR="008C507B">
        <w:rPr>
          <w:sz w:val="24"/>
          <w:szCs w:val="24"/>
        </w:rPr>
        <w:t>tem </w:t>
      </w:r>
      <w:r w:rsidR="008C507B" w:rsidRPr="008C507B">
        <w:rPr>
          <w:sz w:val="24"/>
          <w:szCs w:val="24"/>
        </w:rPr>
        <w:t>25</w:t>
      </w:r>
      <w:r w:rsidR="00DB7322">
        <w:rPr>
          <w:sz w:val="24"/>
          <w:szCs w:val="24"/>
        </w:rPr>
        <w:t xml:space="preserve"> – </w:t>
      </w:r>
      <w:r w:rsidR="008C507B" w:rsidRPr="00550BBA">
        <w:rPr>
          <w:i/>
          <w:sz w:val="24"/>
          <w:szCs w:val="24"/>
        </w:rPr>
        <w:t>Veterans and Veterans Families Counselling Services Outreach Program Counsellors Provider Notes</w:t>
      </w:r>
      <w:r w:rsidR="008C507B" w:rsidRPr="008C507B">
        <w:rPr>
          <w:sz w:val="24"/>
          <w:szCs w:val="24"/>
        </w:rPr>
        <w:t xml:space="preserve"> (see </w:t>
      </w:r>
      <w:r w:rsidR="00DB7322">
        <w:rPr>
          <w:sz w:val="24"/>
          <w:szCs w:val="24"/>
        </w:rPr>
        <w:t>paragraph 1.4.1 and 7.1A.1):</w:t>
      </w:r>
    </w:p>
    <w:p w14:paraId="18C766F0" w14:textId="77777777" w:rsidR="008C507B" w:rsidRPr="008C507B" w:rsidRDefault="009D1E6B" w:rsidP="002B4D41">
      <w:pPr>
        <w:pStyle w:val="Header"/>
        <w:tabs>
          <w:tab w:val="clear" w:pos="4153"/>
          <w:tab w:val="clear" w:pos="8306"/>
        </w:tabs>
        <w:spacing w:after="120"/>
        <w:ind w:firstLine="720"/>
        <w:rPr>
          <w:color w:val="2E74B5" w:themeColor="accent1" w:themeShade="BF"/>
          <w:sz w:val="24"/>
          <w:szCs w:val="24"/>
          <w:u w:val="single"/>
        </w:rPr>
      </w:pPr>
      <w:hyperlink r:id="rId7" w:history="1">
        <w:r w:rsidR="008C507B" w:rsidRPr="008C507B">
          <w:rPr>
            <w:color w:val="2E74B5" w:themeColor="accent1" w:themeShade="BF"/>
            <w:sz w:val="24"/>
            <w:szCs w:val="24"/>
            <w:u w:val="single"/>
          </w:rPr>
          <w:t>https://www.openarms.gov.au/resources/provider-resources</w:t>
        </w:r>
      </w:hyperlink>
    </w:p>
    <w:p w14:paraId="34C4CDF2" w14:textId="5955163A" w:rsidR="008C507B" w:rsidRPr="008C507B" w:rsidRDefault="00BD55C4" w:rsidP="002B4D41">
      <w:pPr>
        <w:pStyle w:val="ListParagraph"/>
        <w:numPr>
          <w:ilvl w:val="0"/>
          <w:numId w:val="25"/>
        </w:numPr>
        <w:autoSpaceDE w:val="0"/>
        <w:autoSpaceDN w:val="0"/>
        <w:adjustRightInd w:val="0"/>
        <w:spacing w:after="60"/>
        <w:ind w:left="714" w:hanging="357"/>
        <w:contextualSpacing w:val="0"/>
        <w:rPr>
          <w:sz w:val="24"/>
          <w:szCs w:val="24"/>
        </w:rPr>
      </w:pPr>
      <w:r>
        <w:rPr>
          <w:sz w:val="24"/>
          <w:szCs w:val="24"/>
        </w:rPr>
        <w:t>i</w:t>
      </w:r>
      <w:r w:rsidR="00DB7322">
        <w:rPr>
          <w:sz w:val="24"/>
          <w:szCs w:val="24"/>
        </w:rPr>
        <w:t xml:space="preserve">tem </w:t>
      </w:r>
      <w:r w:rsidR="008C507B" w:rsidRPr="008C507B">
        <w:rPr>
          <w:sz w:val="24"/>
          <w:szCs w:val="24"/>
        </w:rPr>
        <w:t>26</w:t>
      </w:r>
      <w:r w:rsidR="00DB7322">
        <w:rPr>
          <w:sz w:val="24"/>
          <w:szCs w:val="24"/>
        </w:rPr>
        <w:t xml:space="preserve"> – </w:t>
      </w:r>
      <w:r w:rsidR="00DB7322" w:rsidRPr="00550BBA">
        <w:rPr>
          <w:i/>
          <w:sz w:val="24"/>
          <w:szCs w:val="24"/>
        </w:rPr>
        <w:t>V</w:t>
      </w:r>
      <w:r w:rsidR="008C507B" w:rsidRPr="00550BBA">
        <w:rPr>
          <w:i/>
          <w:sz w:val="24"/>
          <w:szCs w:val="24"/>
        </w:rPr>
        <w:t>eterans and Veterans Families Counselling Service (VVCS) Outreach Program Counsellor Schedule of Fees</w:t>
      </w:r>
      <w:r w:rsidR="008C507B" w:rsidRPr="008C507B">
        <w:rPr>
          <w:sz w:val="24"/>
          <w:szCs w:val="24"/>
        </w:rPr>
        <w:t xml:space="preserve"> (</w:t>
      </w:r>
      <w:r w:rsidR="008C507B">
        <w:rPr>
          <w:sz w:val="24"/>
          <w:szCs w:val="24"/>
        </w:rPr>
        <w:t xml:space="preserve">see </w:t>
      </w:r>
      <w:r w:rsidR="008C507B" w:rsidRPr="008C507B">
        <w:rPr>
          <w:sz w:val="24"/>
          <w:szCs w:val="24"/>
        </w:rPr>
        <w:t>paragraph 3.5.1)</w:t>
      </w:r>
      <w:r w:rsidR="00DB7322">
        <w:rPr>
          <w:sz w:val="24"/>
          <w:szCs w:val="24"/>
        </w:rPr>
        <w:t>:</w:t>
      </w:r>
    </w:p>
    <w:p w14:paraId="7D1D7EB3" w14:textId="77777777" w:rsidR="007E0DCC" w:rsidRPr="008C507B" w:rsidRDefault="009D1E6B" w:rsidP="00DB7322">
      <w:pPr>
        <w:pStyle w:val="Header"/>
        <w:tabs>
          <w:tab w:val="clear" w:pos="4153"/>
          <w:tab w:val="clear" w:pos="8306"/>
        </w:tabs>
        <w:spacing w:after="240"/>
        <w:ind w:firstLine="720"/>
        <w:rPr>
          <w:color w:val="2E74B5" w:themeColor="accent1" w:themeShade="BF"/>
          <w:sz w:val="24"/>
          <w:szCs w:val="24"/>
          <w:u w:val="single"/>
        </w:rPr>
      </w:pPr>
      <w:hyperlink r:id="rId8" w:history="1">
        <w:r w:rsidR="008C507B" w:rsidRPr="008C507B">
          <w:rPr>
            <w:color w:val="2E74B5" w:themeColor="accent1" w:themeShade="BF"/>
            <w:sz w:val="24"/>
            <w:szCs w:val="24"/>
            <w:u w:val="single"/>
          </w:rPr>
          <w:t>https://www.openarms.gov.au/resources/provider-resources</w:t>
        </w:r>
      </w:hyperlink>
    </w:p>
    <w:p w14:paraId="6F92854C" w14:textId="7EC9818A" w:rsidR="00AC1AE1" w:rsidRPr="00AD21AA" w:rsidRDefault="00AC1AE1" w:rsidP="00DB7322">
      <w:pPr>
        <w:pStyle w:val="Header"/>
        <w:tabs>
          <w:tab w:val="clear" w:pos="4153"/>
          <w:tab w:val="clear" w:pos="8306"/>
        </w:tabs>
        <w:spacing w:after="240"/>
        <w:rPr>
          <w:color w:val="000000"/>
          <w:sz w:val="24"/>
          <w:szCs w:val="24"/>
        </w:rPr>
      </w:pPr>
      <w:r w:rsidRPr="00AC1AE1">
        <w:rPr>
          <w:b/>
          <w:color w:val="000000"/>
          <w:sz w:val="24"/>
          <w:szCs w:val="24"/>
        </w:rPr>
        <w:t>Item </w:t>
      </w:r>
      <w:r w:rsidR="00922ABD">
        <w:rPr>
          <w:b/>
          <w:color w:val="000000"/>
          <w:sz w:val="24"/>
          <w:szCs w:val="24"/>
        </w:rPr>
        <w:t>10</w:t>
      </w:r>
      <w:r>
        <w:rPr>
          <w:color w:val="000000"/>
          <w:sz w:val="24"/>
          <w:szCs w:val="24"/>
        </w:rPr>
        <w:t xml:space="preserve"> deletes items from Schedule 1 that refer to </w:t>
      </w:r>
      <w:r w:rsidR="00737556">
        <w:rPr>
          <w:color w:val="000000"/>
          <w:sz w:val="24"/>
          <w:szCs w:val="24"/>
        </w:rPr>
        <w:t>documents</w:t>
      </w:r>
      <w:r>
        <w:rPr>
          <w:color w:val="000000"/>
          <w:sz w:val="24"/>
          <w:szCs w:val="24"/>
        </w:rPr>
        <w:t xml:space="preserve"> that will be irrelevant given the amendments made by item </w:t>
      </w:r>
      <w:r w:rsidR="00922ABD">
        <w:rPr>
          <w:color w:val="000000"/>
          <w:sz w:val="24"/>
          <w:szCs w:val="24"/>
        </w:rPr>
        <w:t>2</w:t>
      </w:r>
      <w:r>
        <w:rPr>
          <w:color w:val="000000"/>
          <w:sz w:val="24"/>
          <w:szCs w:val="24"/>
        </w:rPr>
        <w:t xml:space="preserve"> and item </w:t>
      </w:r>
      <w:r w:rsidR="00922ABD">
        <w:rPr>
          <w:color w:val="000000"/>
          <w:sz w:val="24"/>
          <w:szCs w:val="24"/>
        </w:rPr>
        <w:t>4</w:t>
      </w:r>
      <w:r>
        <w:rPr>
          <w:color w:val="000000"/>
          <w:sz w:val="24"/>
          <w:szCs w:val="24"/>
        </w:rPr>
        <w:t xml:space="preserve">.  </w:t>
      </w:r>
    </w:p>
    <w:p w14:paraId="6310A094" w14:textId="77777777" w:rsidR="005C3FBA" w:rsidRPr="00B37A1F" w:rsidRDefault="00313844" w:rsidP="00B37A1F">
      <w:pPr>
        <w:keepNext/>
        <w:spacing w:after="240"/>
        <w:rPr>
          <w:b/>
          <w:bCs/>
          <w:sz w:val="28"/>
          <w:szCs w:val="28"/>
        </w:rPr>
      </w:pPr>
      <w:r w:rsidRPr="00B37A1F">
        <w:rPr>
          <w:b/>
          <w:bCs/>
          <w:sz w:val="28"/>
          <w:szCs w:val="28"/>
        </w:rPr>
        <w:t>Consultation</w:t>
      </w:r>
    </w:p>
    <w:p w14:paraId="22CCEC80" w14:textId="0BA2B5BF" w:rsidR="00986FE2" w:rsidRDefault="00BD55C4" w:rsidP="00BD55C4">
      <w:pPr>
        <w:spacing w:after="240"/>
        <w:rPr>
          <w:color w:val="000000"/>
          <w:sz w:val="24"/>
          <w:szCs w:val="24"/>
        </w:rPr>
      </w:pPr>
      <w:r>
        <w:rPr>
          <w:color w:val="000000"/>
          <w:sz w:val="24"/>
          <w:szCs w:val="24"/>
        </w:rPr>
        <w:t xml:space="preserve">The purpose of these amendments to the Treatment Principles is to support the new OPC panel arrangement. </w:t>
      </w:r>
      <w:r w:rsidR="00986FE2" w:rsidRPr="00BD55C4">
        <w:rPr>
          <w:color w:val="000000"/>
          <w:sz w:val="24"/>
          <w:szCs w:val="24"/>
        </w:rPr>
        <w:t xml:space="preserve">The </w:t>
      </w:r>
      <w:r w:rsidR="00986FE2">
        <w:rPr>
          <w:color w:val="000000"/>
          <w:sz w:val="24"/>
          <w:szCs w:val="24"/>
        </w:rPr>
        <w:t>Department</w:t>
      </w:r>
      <w:r w:rsidR="00986FE2" w:rsidRPr="00BD55C4">
        <w:rPr>
          <w:color w:val="000000"/>
          <w:sz w:val="24"/>
          <w:szCs w:val="24"/>
        </w:rPr>
        <w:t xml:space="preserve"> has provided information about the establishment of an OPC panel to current OPCs, prospective OPCs and other stakeholders through several channels</w:t>
      </w:r>
      <w:r w:rsidR="00986FE2">
        <w:rPr>
          <w:color w:val="000000"/>
          <w:sz w:val="24"/>
          <w:szCs w:val="24"/>
        </w:rPr>
        <w:t>:</w:t>
      </w:r>
    </w:p>
    <w:p w14:paraId="2A99B5A8" w14:textId="1E370B8E" w:rsidR="00986FE2" w:rsidRDefault="00CA0B0A" w:rsidP="00AC3BF2">
      <w:pPr>
        <w:pStyle w:val="ListParagraph"/>
        <w:numPr>
          <w:ilvl w:val="0"/>
          <w:numId w:val="30"/>
        </w:numPr>
        <w:autoSpaceDE w:val="0"/>
        <w:autoSpaceDN w:val="0"/>
        <w:adjustRightInd w:val="0"/>
        <w:spacing w:after="240"/>
        <w:rPr>
          <w:color w:val="000000"/>
          <w:sz w:val="24"/>
          <w:szCs w:val="24"/>
        </w:rPr>
      </w:pPr>
      <w:r>
        <w:rPr>
          <w:color w:val="000000"/>
          <w:sz w:val="24"/>
          <w:szCs w:val="24"/>
        </w:rPr>
        <w:t>On three occasions the</w:t>
      </w:r>
      <w:r w:rsidR="00986FE2" w:rsidRPr="00BD55C4">
        <w:rPr>
          <w:color w:val="000000"/>
          <w:sz w:val="24"/>
          <w:szCs w:val="24"/>
        </w:rPr>
        <w:t xml:space="preserve"> Department wrote to all current OPCs explaining the transition to a panel arrangement and detailing the process to submit a tender to join the panel. </w:t>
      </w:r>
    </w:p>
    <w:p w14:paraId="65DAA8A0" w14:textId="52C26DF9" w:rsidR="00986FE2" w:rsidRDefault="00CA0B0A" w:rsidP="00AC3BF2">
      <w:pPr>
        <w:pStyle w:val="ListParagraph"/>
        <w:numPr>
          <w:ilvl w:val="0"/>
          <w:numId w:val="30"/>
        </w:numPr>
        <w:autoSpaceDE w:val="0"/>
        <w:autoSpaceDN w:val="0"/>
        <w:adjustRightInd w:val="0"/>
        <w:spacing w:after="240"/>
        <w:rPr>
          <w:color w:val="000000"/>
          <w:sz w:val="24"/>
          <w:szCs w:val="24"/>
        </w:rPr>
      </w:pPr>
      <w:r>
        <w:rPr>
          <w:color w:val="000000"/>
          <w:sz w:val="24"/>
          <w:szCs w:val="24"/>
        </w:rPr>
        <w:t>Three</w:t>
      </w:r>
      <w:r w:rsidR="00986FE2" w:rsidRPr="00BD55C4">
        <w:rPr>
          <w:color w:val="000000"/>
          <w:sz w:val="24"/>
          <w:szCs w:val="24"/>
        </w:rPr>
        <w:t xml:space="preserve"> publicly advertised industry briefings were delivered about the tender process, with recordings made available through AusTender. </w:t>
      </w:r>
    </w:p>
    <w:p w14:paraId="1083DD9E" w14:textId="77777777" w:rsidR="00986FE2" w:rsidRDefault="00986FE2" w:rsidP="00AC3BF2">
      <w:pPr>
        <w:pStyle w:val="ListParagraph"/>
        <w:numPr>
          <w:ilvl w:val="0"/>
          <w:numId w:val="30"/>
        </w:numPr>
        <w:autoSpaceDE w:val="0"/>
        <w:autoSpaceDN w:val="0"/>
        <w:adjustRightInd w:val="0"/>
        <w:spacing w:after="240"/>
        <w:rPr>
          <w:color w:val="000000"/>
          <w:sz w:val="24"/>
          <w:szCs w:val="24"/>
        </w:rPr>
      </w:pPr>
      <w:r w:rsidRPr="00BD55C4">
        <w:rPr>
          <w:color w:val="000000"/>
          <w:sz w:val="24"/>
          <w:szCs w:val="24"/>
        </w:rPr>
        <w:t xml:space="preserve">The Department wrote to the Australian Psychological Society and the Australian Association of Social Workers about the establishment of an OPC panel arrangement. </w:t>
      </w:r>
    </w:p>
    <w:p w14:paraId="2DD9A18F" w14:textId="3030E3D0" w:rsidR="00986FE2" w:rsidRDefault="00986FE2" w:rsidP="00AC3BF2">
      <w:pPr>
        <w:pStyle w:val="ListParagraph"/>
        <w:numPr>
          <w:ilvl w:val="0"/>
          <w:numId w:val="30"/>
        </w:numPr>
        <w:autoSpaceDE w:val="0"/>
        <w:autoSpaceDN w:val="0"/>
        <w:adjustRightInd w:val="0"/>
        <w:spacing w:after="240"/>
        <w:rPr>
          <w:color w:val="000000"/>
          <w:sz w:val="24"/>
          <w:szCs w:val="24"/>
        </w:rPr>
      </w:pPr>
      <w:r w:rsidRPr="00BD55C4">
        <w:rPr>
          <w:color w:val="000000"/>
          <w:sz w:val="24"/>
          <w:szCs w:val="24"/>
        </w:rPr>
        <w:t>The Department has published information on the Open Arms website, Open Arms LinkedIn account and in Repatriation Commissioner Fegan’s newsletter.</w:t>
      </w:r>
    </w:p>
    <w:p w14:paraId="1F2C22D7" w14:textId="4E3CBE47" w:rsidR="00CA0B0A" w:rsidRPr="00BD55C4" w:rsidRDefault="005B59B5" w:rsidP="005B59B5">
      <w:pPr>
        <w:pStyle w:val="ListParagraph"/>
        <w:numPr>
          <w:ilvl w:val="0"/>
          <w:numId w:val="30"/>
        </w:numPr>
        <w:autoSpaceDE w:val="0"/>
        <w:autoSpaceDN w:val="0"/>
        <w:adjustRightInd w:val="0"/>
        <w:spacing w:after="240"/>
        <w:rPr>
          <w:color w:val="000000"/>
          <w:sz w:val="24"/>
          <w:szCs w:val="24"/>
        </w:rPr>
      </w:pPr>
      <w:r>
        <w:rPr>
          <w:color w:val="000000"/>
          <w:sz w:val="24"/>
          <w:szCs w:val="24"/>
        </w:rPr>
        <w:t xml:space="preserve">The Open Arms National Advisory Committee (NAC), which includes two current OPCs and provides independent advice to the </w:t>
      </w:r>
      <w:r w:rsidRPr="005B59B5">
        <w:rPr>
          <w:color w:val="000000"/>
          <w:sz w:val="24"/>
          <w:szCs w:val="24"/>
        </w:rPr>
        <w:t>Assistant Minister for Veterans and Defence Personnel</w:t>
      </w:r>
      <w:r>
        <w:rPr>
          <w:color w:val="000000"/>
          <w:sz w:val="24"/>
          <w:szCs w:val="24"/>
        </w:rPr>
        <w:t>, was briefed about the changes. The Department took advice from the NAC on how to best communicate the changes to OPCs.</w:t>
      </w:r>
    </w:p>
    <w:p w14:paraId="12A4963B" w14:textId="7C23294A" w:rsidR="00481C3E" w:rsidRDefault="00481C3E" w:rsidP="00DB7322">
      <w:pPr>
        <w:autoSpaceDE w:val="0"/>
        <w:autoSpaceDN w:val="0"/>
        <w:adjustRightInd w:val="0"/>
        <w:spacing w:after="240"/>
        <w:rPr>
          <w:color w:val="000000"/>
          <w:sz w:val="24"/>
          <w:szCs w:val="24"/>
        </w:rPr>
      </w:pPr>
      <w:r>
        <w:rPr>
          <w:color w:val="000000"/>
          <w:sz w:val="24"/>
          <w:szCs w:val="24"/>
        </w:rPr>
        <w:t xml:space="preserve">The </w:t>
      </w:r>
      <w:r w:rsidR="00986FE2">
        <w:rPr>
          <w:color w:val="000000"/>
          <w:sz w:val="24"/>
          <w:szCs w:val="24"/>
        </w:rPr>
        <w:t>Department</w:t>
      </w:r>
      <w:r w:rsidR="00986FE2" w:rsidRPr="00BD55C4">
        <w:rPr>
          <w:color w:val="000000"/>
          <w:sz w:val="24"/>
          <w:szCs w:val="24"/>
        </w:rPr>
        <w:t xml:space="preserve"> </w:t>
      </w:r>
      <w:r>
        <w:rPr>
          <w:color w:val="000000"/>
          <w:sz w:val="24"/>
          <w:szCs w:val="24"/>
        </w:rPr>
        <w:t>has not actively sought feedback from external parties about the establishment of an OPC panel arrangement for the following reasons:</w:t>
      </w:r>
    </w:p>
    <w:p w14:paraId="5985D8D5" w14:textId="08969B20" w:rsidR="004F56A0" w:rsidRDefault="00481C3E" w:rsidP="00BD55C4">
      <w:pPr>
        <w:pStyle w:val="ListParagraph"/>
        <w:numPr>
          <w:ilvl w:val="0"/>
          <w:numId w:val="29"/>
        </w:numPr>
        <w:autoSpaceDE w:val="0"/>
        <w:autoSpaceDN w:val="0"/>
        <w:adjustRightInd w:val="0"/>
        <w:spacing w:after="240"/>
        <w:rPr>
          <w:color w:val="000000"/>
          <w:sz w:val="24"/>
          <w:szCs w:val="24"/>
        </w:rPr>
      </w:pPr>
      <w:r>
        <w:rPr>
          <w:color w:val="000000"/>
          <w:sz w:val="24"/>
          <w:szCs w:val="24"/>
        </w:rPr>
        <w:t xml:space="preserve">The current process for procuring </w:t>
      </w:r>
      <w:r w:rsidR="004F56A0">
        <w:rPr>
          <w:color w:val="000000"/>
          <w:sz w:val="24"/>
          <w:szCs w:val="24"/>
        </w:rPr>
        <w:t xml:space="preserve">OPC services is not compliant with the Commonwealth Procurement Rules (CPRs), as reported in the Department’s Annual Report 2022-23. If the Outreach Program is to continue, the </w:t>
      </w:r>
      <w:r w:rsidR="00986FE2">
        <w:rPr>
          <w:color w:val="000000"/>
          <w:sz w:val="24"/>
          <w:szCs w:val="24"/>
        </w:rPr>
        <w:t>Department</w:t>
      </w:r>
      <w:r w:rsidR="00986FE2" w:rsidRPr="00BD55C4">
        <w:rPr>
          <w:color w:val="000000"/>
          <w:sz w:val="24"/>
          <w:szCs w:val="24"/>
        </w:rPr>
        <w:t xml:space="preserve"> </w:t>
      </w:r>
      <w:r w:rsidR="004F56A0">
        <w:rPr>
          <w:color w:val="000000"/>
          <w:sz w:val="24"/>
          <w:szCs w:val="24"/>
        </w:rPr>
        <w:t xml:space="preserve">is required to </w:t>
      </w:r>
      <w:r w:rsidR="004058D8">
        <w:rPr>
          <w:color w:val="000000"/>
          <w:sz w:val="24"/>
          <w:szCs w:val="24"/>
        </w:rPr>
        <w:t>establish a procurement process that is compliant with the CPRs.</w:t>
      </w:r>
      <w:r w:rsidR="004F56A0">
        <w:rPr>
          <w:color w:val="000000"/>
          <w:sz w:val="24"/>
          <w:szCs w:val="24"/>
        </w:rPr>
        <w:t xml:space="preserve"> </w:t>
      </w:r>
    </w:p>
    <w:p w14:paraId="7AAD5349" w14:textId="14C9E0FC" w:rsidR="00481C3E" w:rsidRDefault="004058D8" w:rsidP="00BD55C4">
      <w:pPr>
        <w:pStyle w:val="ListParagraph"/>
        <w:numPr>
          <w:ilvl w:val="0"/>
          <w:numId w:val="29"/>
        </w:numPr>
        <w:autoSpaceDE w:val="0"/>
        <w:autoSpaceDN w:val="0"/>
        <w:adjustRightInd w:val="0"/>
        <w:spacing w:after="240"/>
        <w:rPr>
          <w:color w:val="000000"/>
          <w:sz w:val="24"/>
          <w:szCs w:val="24"/>
        </w:rPr>
      </w:pPr>
      <w:r>
        <w:rPr>
          <w:color w:val="000000"/>
          <w:sz w:val="24"/>
          <w:szCs w:val="24"/>
        </w:rPr>
        <w:t>The most suitable procurement process to ensure compliance with the CPRs while maintaining continuity of care within the Outreach Program</w:t>
      </w:r>
      <w:r w:rsidR="00683954">
        <w:rPr>
          <w:color w:val="000000"/>
          <w:sz w:val="24"/>
          <w:szCs w:val="24"/>
        </w:rPr>
        <w:t xml:space="preserve"> is an open market tender</w:t>
      </w:r>
      <w:r>
        <w:rPr>
          <w:color w:val="000000"/>
          <w:sz w:val="24"/>
          <w:szCs w:val="24"/>
        </w:rPr>
        <w:t xml:space="preserve"> to establish an OPC panel.</w:t>
      </w:r>
    </w:p>
    <w:p w14:paraId="1662C2BB" w14:textId="77A07A96" w:rsidR="004058D8" w:rsidRDefault="004058D8" w:rsidP="00BD55C4">
      <w:pPr>
        <w:pStyle w:val="ListParagraph"/>
        <w:numPr>
          <w:ilvl w:val="0"/>
          <w:numId w:val="29"/>
        </w:numPr>
        <w:autoSpaceDE w:val="0"/>
        <w:autoSpaceDN w:val="0"/>
        <w:adjustRightInd w:val="0"/>
        <w:spacing w:after="240"/>
        <w:rPr>
          <w:color w:val="000000"/>
          <w:sz w:val="24"/>
          <w:szCs w:val="24"/>
        </w:rPr>
      </w:pPr>
      <w:r>
        <w:rPr>
          <w:color w:val="000000"/>
          <w:sz w:val="24"/>
          <w:szCs w:val="24"/>
        </w:rPr>
        <w:t xml:space="preserve">The change is largely administrative. The scope of services offered </w:t>
      </w:r>
      <w:r w:rsidR="00683954">
        <w:rPr>
          <w:color w:val="000000"/>
          <w:sz w:val="24"/>
          <w:szCs w:val="24"/>
        </w:rPr>
        <w:t>through</w:t>
      </w:r>
      <w:r>
        <w:rPr>
          <w:color w:val="000000"/>
          <w:sz w:val="24"/>
          <w:szCs w:val="24"/>
        </w:rPr>
        <w:t xml:space="preserve"> the Outreach Program </w:t>
      </w:r>
      <w:r w:rsidR="00683954">
        <w:rPr>
          <w:color w:val="000000"/>
          <w:sz w:val="24"/>
          <w:szCs w:val="24"/>
        </w:rPr>
        <w:t>will remain unchanged, as will the eligibility criteria to access those services.</w:t>
      </w:r>
    </w:p>
    <w:p w14:paraId="47ABE778" w14:textId="77777777" w:rsidR="000E093B" w:rsidRDefault="000E093B" w:rsidP="000E093B">
      <w:pPr>
        <w:pStyle w:val="ListParagraph"/>
        <w:numPr>
          <w:ilvl w:val="0"/>
          <w:numId w:val="29"/>
        </w:numPr>
        <w:autoSpaceDE w:val="0"/>
        <w:autoSpaceDN w:val="0"/>
        <w:adjustRightInd w:val="0"/>
        <w:spacing w:after="240"/>
        <w:rPr>
          <w:color w:val="000000"/>
          <w:sz w:val="24"/>
          <w:szCs w:val="24"/>
        </w:rPr>
      </w:pPr>
      <w:r>
        <w:rPr>
          <w:color w:val="000000"/>
          <w:sz w:val="24"/>
          <w:szCs w:val="24"/>
        </w:rPr>
        <w:t>Consultation with OPCs, being prospective tenderers, prior to the release of the Request for Tender to the open market could have provided an undue advantage by giving OPCs advance notice of the procurement that would not have been available to the broader market. This would be inconsistent with the Department’s probity obligations.</w:t>
      </w:r>
    </w:p>
    <w:p w14:paraId="1C5F4595" w14:textId="77777777" w:rsidR="004469C7" w:rsidRPr="00B37A1F" w:rsidRDefault="004469C7" w:rsidP="00B37A1F">
      <w:pPr>
        <w:keepNext/>
        <w:spacing w:after="240"/>
        <w:rPr>
          <w:b/>
          <w:bCs/>
          <w:sz w:val="28"/>
          <w:szCs w:val="28"/>
        </w:rPr>
      </w:pPr>
      <w:r w:rsidRPr="00B37A1F">
        <w:rPr>
          <w:b/>
          <w:bCs/>
          <w:sz w:val="28"/>
          <w:szCs w:val="28"/>
        </w:rPr>
        <w:t>Impact Analysis</w:t>
      </w:r>
    </w:p>
    <w:p w14:paraId="5D5D6A72" w14:textId="16D8D128" w:rsidR="004D5E3D" w:rsidRDefault="00683954" w:rsidP="00BD55C4">
      <w:pPr>
        <w:spacing w:after="240"/>
        <w:rPr>
          <w:bCs/>
          <w:sz w:val="24"/>
          <w:szCs w:val="24"/>
        </w:rPr>
      </w:pPr>
      <w:r>
        <w:rPr>
          <w:bCs/>
          <w:sz w:val="24"/>
          <w:szCs w:val="24"/>
        </w:rPr>
        <w:t>The Office of Impact Analysis (OIA) within the Department of Prime Minister and Cabinet has been consulted about the proposed amendments. OIA considers that the proposal is unlikely to have more than a minor impact and does not require the completion of an Impact Analysis.</w:t>
      </w:r>
      <w:r w:rsidR="004D5E3D">
        <w:rPr>
          <w:bCs/>
          <w:sz w:val="24"/>
          <w:szCs w:val="24"/>
        </w:rPr>
        <w:br w:type="page"/>
      </w:r>
    </w:p>
    <w:p w14:paraId="4160C716" w14:textId="77777777" w:rsidR="005C3FBA" w:rsidRDefault="005C3FBA" w:rsidP="004D5E3D">
      <w:pPr>
        <w:spacing w:after="240"/>
        <w:jc w:val="center"/>
        <w:rPr>
          <w:b/>
          <w:color w:val="000000"/>
          <w:sz w:val="28"/>
          <w:szCs w:val="28"/>
        </w:rPr>
      </w:pPr>
      <w:r>
        <w:rPr>
          <w:b/>
          <w:color w:val="000000"/>
          <w:sz w:val="28"/>
          <w:szCs w:val="28"/>
        </w:rPr>
        <w:t>S</w:t>
      </w:r>
      <w:r w:rsidR="00AF3276">
        <w:rPr>
          <w:b/>
          <w:color w:val="000000"/>
          <w:sz w:val="28"/>
          <w:szCs w:val="28"/>
        </w:rPr>
        <w:t>tatement of Compatibility with Human Rights</w:t>
      </w:r>
    </w:p>
    <w:p w14:paraId="38C26033" w14:textId="77777777" w:rsidR="005B5DEA" w:rsidRPr="00B77387" w:rsidRDefault="005B5DEA" w:rsidP="00DB7322">
      <w:pPr>
        <w:pStyle w:val="Normal1"/>
        <w:spacing w:before="0" w:beforeAutospacing="0" w:after="240" w:afterAutospacing="0"/>
        <w:jc w:val="center"/>
        <w:rPr>
          <w:i/>
          <w:lang w:val="en-AU" w:eastAsia="en-AU"/>
        </w:rPr>
      </w:pPr>
      <w:r w:rsidRPr="00B77387">
        <w:rPr>
          <w:i/>
          <w:lang w:val="en-AU" w:eastAsia="en-AU"/>
        </w:rPr>
        <w:t xml:space="preserve">Prepared in accordance with Part 3 of the </w:t>
      </w:r>
      <w:r w:rsidRPr="00B67E15">
        <w:rPr>
          <w:i/>
          <w:lang w:val="en-AU" w:eastAsia="en-AU"/>
        </w:rPr>
        <w:t>Human Rights (Parliamentary Scrutiny) Act 2011</w:t>
      </w:r>
    </w:p>
    <w:p w14:paraId="13F149C4" w14:textId="32C1B793" w:rsidR="004469C7" w:rsidRPr="00B77387" w:rsidRDefault="00E01C3D" w:rsidP="00DB7322">
      <w:pPr>
        <w:spacing w:after="240"/>
        <w:jc w:val="center"/>
        <w:rPr>
          <w:b/>
          <w:sz w:val="28"/>
          <w:szCs w:val="28"/>
        </w:rPr>
      </w:pPr>
      <w:r w:rsidRPr="00E01C3D">
        <w:rPr>
          <w:b/>
          <w:sz w:val="28"/>
          <w:szCs w:val="28"/>
        </w:rPr>
        <w:t xml:space="preserve">Military Rehabilitation and Compensation </w:t>
      </w:r>
      <w:r w:rsidR="00106957" w:rsidRPr="00106957">
        <w:rPr>
          <w:b/>
          <w:sz w:val="28"/>
          <w:szCs w:val="28"/>
        </w:rPr>
        <w:t>Treatment Principles Amendment (Outreach Program Counselling) Determination 202</w:t>
      </w:r>
      <w:r>
        <w:rPr>
          <w:b/>
          <w:sz w:val="28"/>
          <w:szCs w:val="28"/>
        </w:rPr>
        <w:t>4</w:t>
      </w:r>
    </w:p>
    <w:p w14:paraId="2AA79163" w14:textId="77777777" w:rsidR="005B5DEA" w:rsidRDefault="005B5DEA" w:rsidP="00DB7322">
      <w:pPr>
        <w:pStyle w:val="Normal1"/>
        <w:spacing w:before="0" w:beforeAutospacing="0" w:after="240" w:afterAutospacing="0"/>
      </w:pPr>
      <w:r>
        <w:t xml:space="preserve">The Instrument is compatible with the human rights and freedoms recognised or declared in the international Instruments listed in section 3 of the </w:t>
      </w:r>
      <w:r w:rsidRPr="00B77387">
        <w:rPr>
          <w:i/>
        </w:rPr>
        <w:t>Human Rights (Parliamentary Scrutiny) Act 2011</w:t>
      </w:r>
      <w:r>
        <w:t>. The Instrument engages</w:t>
      </w:r>
      <w:r w:rsidR="008D1A95">
        <w:t>, and is compatible with,</w:t>
      </w:r>
      <w:r>
        <w:t xml:space="preserve"> the right to </w:t>
      </w:r>
      <w:r w:rsidR="00D57CC0">
        <w:t>health</w:t>
      </w:r>
      <w:r>
        <w:t xml:space="preserve"> under article </w:t>
      </w:r>
      <w:r w:rsidR="00D57CC0">
        <w:t>12</w:t>
      </w:r>
      <w:r>
        <w:t xml:space="preserve"> of the International Covenant on </w:t>
      </w:r>
      <w:r w:rsidR="008F50B2">
        <w:t xml:space="preserve">Economic Social and Cultural Rights </w:t>
      </w:r>
      <w:r>
        <w:t xml:space="preserve">(ICESCR). </w:t>
      </w:r>
    </w:p>
    <w:p w14:paraId="79814ABE" w14:textId="77777777" w:rsidR="00D57CC0" w:rsidRDefault="00D57CC0" w:rsidP="00DB7322">
      <w:pPr>
        <w:pStyle w:val="Normal1"/>
        <w:spacing w:before="0" w:beforeAutospacing="0" w:after="240" w:afterAutospacing="0"/>
        <w:rPr>
          <w:color w:val="000000"/>
        </w:rPr>
      </w:pPr>
      <w:r w:rsidRPr="00D57CC0">
        <w:rPr>
          <w:color w:val="000000"/>
        </w:rPr>
        <w:t xml:space="preserve">Article 12 of the ICESCR promotes the right of all individuals to enjoy the highest attainable standards of physical </w:t>
      </w:r>
      <w:r w:rsidRPr="00D57CC0">
        <w:rPr>
          <w:lang w:val="en-AU" w:eastAsia="en-AU"/>
        </w:rPr>
        <w:t>and</w:t>
      </w:r>
      <w:r w:rsidRPr="00D57CC0">
        <w:rPr>
          <w:color w:val="000000"/>
        </w:rPr>
        <w:t xml:space="preserve"> mental health.</w:t>
      </w:r>
    </w:p>
    <w:p w14:paraId="701D5BAC" w14:textId="77777777" w:rsidR="00D57CC0" w:rsidRDefault="00D57CC0" w:rsidP="00DB7322">
      <w:pPr>
        <w:pStyle w:val="Normal1"/>
        <w:spacing w:before="0" w:beforeAutospacing="0" w:after="240" w:afterAutospacing="0"/>
        <w:rPr>
          <w:color w:val="000000"/>
        </w:rPr>
      </w:pPr>
      <w:r w:rsidRPr="00D57CC0">
        <w:rPr>
          <w:color w:val="000000"/>
        </w:rPr>
        <w:t>The United Nations Committee on Economic, Social and Cultural Rights has stated in General Comment 14 (2000) that health is a ‘fundamental human right indispensable for the exercise of other human rights’ and that the right to health is not to be understood as the right to be healthy, but rather entails a right to a system of health protection which provides equality of opportunity for people to enjoy the highest attainable level of health.</w:t>
      </w:r>
    </w:p>
    <w:p w14:paraId="3152D10B" w14:textId="77777777" w:rsidR="00D57CC0" w:rsidRDefault="00D57CC0" w:rsidP="00DB7322">
      <w:pPr>
        <w:pStyle w:val="Normal1"/>
        <w:spacing w:before="0" w:beforeAutospacing="0" w:after="240" w:afterAutospacing="0"/>
        <w:rPr>
          <w:color w:val="000000"/>
        </w:rPr>
      </w:pPr>
      <w:r w:rsidRPr="00D57CC0">
        <w:rPr>
          <w:color w:val="000000"/>
        </w:rPr>
        <w:t>The Committee reports that the </w:t>
      </w:r>
      <w:r w:rsidRPr="00D57CC0">
        <w:rPr>
          <w:i/>
          <w:iCs/>
          <w:color w:val="000000"/>
        </w:rPr>
        <w:t>‘highest attainable standard of health’ </w:t>
      </w:r>
      <w:r w:rsidRPr="00D57CC0">
        <w:rPr>
          <w:color w:val="000000"/>
        </w:rPr>
        <w:t xml:space="preserve">takes into account the </w:t>
      </w:r>
      <w:r>
        <w:rPr>
          <w:color w:val="000000"/>
        </w:rPr>
        <w:t>country’s available resources. </w:t>
      </w:r>
      <w:r w:rsidRPr="00D57CC0">
        <w:rPr>
          <w:color w:val="000000"/>
        </w:rPr>
        <w:t>This right may be understood as a right of access to a variety of public health and health care facilities, goods, services, programs, and conditions necessary for the realisation of the highest attainable standard of health.</w:t>
      </w:r>
    </w:p>
    <w:p w14:paraId="512A5AB4" w14:textId="77777777" w:rsidR="00D57CC0" w:rsidRDefault="00D57CC0" w:rsidP="00DB7322">
      <w:pPr>
        <w:pStyle w:val="Normal1"/>
        <w:spacing w:before="0" w:beforeAutospacing="0" w:after="240" w:afterAutospacing="0"/>
        <w:rPr>
          <w:color w:val="000000"/>
        </w:rPr>
      </w:pPr>
      <w:r w:rsidRPr="00D57CC0">
        <w:rPr>
          <w:color w:val="000000"/>
        </w:rPr>
        <w:t>Article 4 of the ICESCR provides that countries may subject economic, social and cultural rights (such as the right to health) only to such limitations ‘as are determined by law only in so far as this may be compatible with the nature of these rights and solely for the purpose of promoting the general welfare in a democratic society.’ The United Nations Committee has stated that such limitations must be proportionate and must be the least restrictive alternative where several types of limitations are available and that even where such limitations are permitted, they should be of limited duration and be subject to review.</w:t>
      </w:r>
    </w:p>
    <w:p w14:paraId="60E67EB6" w14:textId="77777777" w:rsidR="005C3FBA" w:rsidRDefault="00D57CC0" w:rsidP="00DB7322">
      <w:pPr>
        <w:pStyle w:val="Default"/>
        <w:spacing w:after="240"/>
        <w:rPr>
          <w:bCs/>
        </w:rPr>
      </w:pPr>
      <w:r w:rsidRPr="00D57CC0">
        <w:rPr>
          <w:bCs/>
        </w:rPr>
        <w:t>The Instrument has no impact on the mental health services available to Open Arms clients. It does not limit access to those services.</w:t>
      </w:r>
      <w:r>
        <w:rPr>
          <w:bCs/>
        </w:rPr>
        <w:t xml:space="preserve"> </w:t>
      </w:r>
    </w:p>
    <w:p w14:paraId="0597E55C" w14:textId="77777777" w:rsidR="00615C8A" w:rsidRPr="00D57CC0" w:rsidRDefault="005C3FBA" w:rsidP="00DB7322">
      <w:pPr>
        <w:pStyle w:val="Normal1"/>
        <w:spacing w:before="0" w:beforeAutospacing="0" w:after="240" w:afterAutospacing="0"/>
      </w:pPr>
      <w:r>
        <w:t xml:space="preserve">The </w:t>
      </w:r>
      <w:r w:rsidR="00D57CC0">
        <w:t>I</w:t>
      </w:r>
      <w:r>
        <w:t xml:space="preserve">nstrument is </w:t>
      </w:r>
      <w:r w:rsidRPr="00D57CC0">
        <w:rPr>
          <w:bCs/>
        </w:rPr>
        <w:t>compatible</w:t>
      </w:r>
      <w:r>
        <w:t xml:space="preserve"> with </w:t>
      </w:r>
      <w:r w:rsidR="00D42116">
        <w:t xml:space="preserve">the right to </w:t>
      </w:r>
      <w:r w:rsidR="00D57CC0">
        <w:t>health</w:t>
      </w:r>
      <w:r w:rsidR="0078506A">
        <w:t xml:space="preserve"> in the ISESCR. </w:t>
      </w:r>
    </w:p>
    <w:sectPr w:rsidR="00615C8A" w:rsidRPr="00D57CC0">
      <w:headerReference w:type="even" r:id="rId9"/>
      <w:headerReference w:type="default" r:id="rId10"/>
      <w:pgSz w:w="11906" w:h="16838"/>
      <w:pgMar w:top="1440" w:right="1797" w:bottom="56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BB180" w14:textId="77777777" w:rsidR="003051E9" w:rsidRDefault="003051E9">
      <w:r>
        <w:separator/>
      </w:r>
    </w:p>
  </w:endnote>
  <w:endnote w:type="continuationSeparator" w:id="0">
    <w:p w14:paraId="319423F7" w14:textId="77777777" w:rsidR="003051E9" w:rsidRDefault="0030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FAD92" w14:textId="77777777" w:rsidR="003051E9" w:rsidRDefault="003051E9">
      <w:r>
        <w:separator/>
      </w:r>
    </w:p>
  </w:footnote>
  <w:footnote w:type="continuationSeparator" w:id="0">
    <w:p w14:paraId="0E5F3E1F" w14:textId="77777777" w:rsidR="003051E9" w:rsidRDefault="00305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C46B" w14:textId="77777777" w:rsidR="00DB37FF" w:rsidRDefault="00DB37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93251A" w14:textId="77777777" w:rsidR="00DB37FF" w:rsidRDefault="00DB37F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F2AC7" w14:textId="53B27403" w:rsidR="00DB37FF" w:rsidRDefault="00DB37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1E6B">
      <w:rPr>
        <w:rStyle w:val="PageNumber"/>
        <w:noProof/>
      </w:rPr>
      <w:t>4</w:t>
    </w:r>
    <w:r>
      <w:rPr>
        <w:rStyle w:val="PageNumber"/>
      </w:rPr>
      <w:fldChar w:fldCharType="end"/>
    </w:r>
  </w:p>
  <w:p w14:paraId="3D090416" w14:textId="77777777" w:rsidR="00DB37FF" w:rsidRDefault="00DB37F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DC0"/>
    <w:multiLevelType w:val="multilevel"/>
    <w:tmpl w:val="0F20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8263D"/>
    <w:multiLevelType w:val="hybridMultilevel"/>
    <w:tmpl w:val="476C881A"/>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1BA11701"/>
    <w:multiLevelType w:val="hybridMultilevel"/>
    <w:tmpl w:val="8E303A08"/>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FA83527"/>
    <w:multiLevelType w:val="hybridMultilevel"/>
    <w:tmpl w:val="8E222218"/>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4643C15"/>
    <w:multiLevelType w:val="hybridMultilevel"/>
    <w:tmpl w:val="28C4541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2E7DAB"/>
    <w:multiLevelType w:val="hybridMultilevel"/>
    <w:tmpl w:val="11E61218"/>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FE8072C"/>
    <w:multiLevelType w:val="hybridMultilevel"/>
    <w:tmpl w:val="F2AA05C4"/>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33EA5285"/>
    <w:multiLevelType w:val="hybridMultilevel"/>
    <w:tmpl w:val="B3F8E094"/>
    <w:lvl w:ilvl="0" w:tplc="0C09000F">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675723D"/>
    <w:multiLevelType w:val="hybridMultilevel"/>
    <w:tmpl w:val="A20E9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132663"/>
    <w:multiLevelType w:val="hybridMultilevel"/>
    <w:tmpl w:val="CD468038"/>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413B40D6"/>
    <w:multiLevelType w:val="hybridMultilevel"/>
    <w:tmpl w:val="B3847F28"/>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41B45BBC"/>
    <w:multiLevelType w:val="hybridMultilevel"/>
    <w:tmpl w:val="ED3EFE14"/>
    <w:lvl w:ilvl="0" w:tplc="0C090001">
      <w:start w:val="1"/>
      <w:numFmt w:val="bullet"/>
      <w:lvlText w:val=""/>
      <w:lvlJc w:val="left"/>
      <w:pPr>
        <w:tabs>
          <w:tab w:val="num" w:pos="1425"/>
        </w:tabs>
        <w:ind w:left="1425" w:hanging="360"/>
      </w:pPr>
      <w:rPr>
        <w:rFonts w:ascii="Symbol" w:hAnsi="Symbol" w:hint="default"/>
      </w:rPr>
    </w:lvl>
    <w:lvl w:ilvl="1" w:tplc="0C090003" w:tentative="1">
      <w:start w:val="1"/>
      <w:numFmt w:val="bullet"/>
      <w:lvlText w:val="o"/>
      <w:lvlJc w:val="left"/>
      <w:pPr>
        <w:tabs>
          <w:tab w:val="num" w:pos="2145"/>
        </w:tabs>
        <w:ind w:left="2145" w:hanging="360"/>
      </w:pPr>
      <w:rPr>
        <w:rFonts w:ascii="Courier New" w:hAnsi="Courier New" w:cs="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cs="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cs="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45052111"/>
    <w:multiLevelType w:val="hybridMultilevel"/>
    <w:tmpl w:val="683667A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6556228"/>
    <w:multiLevelType w:val="hybridMultilevel"/>
    <w:tmpl w:val="ABC07C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F97A11"/>
    <w:multiLevelType w:val="hybridMultilevel"/>
    <w:tmpl w:val="220A1F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224322"/>
    <w:multiLevelType w:val="multilevel"/>
    <w:tmpl w:val="428E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418AB"/>
    <w:multiLevelType w:val="hybridMultilevel"/>
    <w:tmpl w:val="2570B3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1A4DF9"/>
    <w:multiLevelType w:val="hybridMultilevel"/>
    <w:tmpl w:val="14601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D1295F"/>
    <w:multiLevelType w:val="singleLevel"/>
    <w:tmpl w:val="0C090019"/>
    <w:lvl w:ilvl="0">
      <w:start w:val="1"/>
      <w:numFmt w:val="lowerLetter"/>
      <w:lvlText w:val="(%1)"/>
      <w:lvlJc w:val="left"/>
      <w:pPr>
        <w:tabs>
          <w:tab w:val="num" w:pos="360"/>
        </w:tabs>
        <w:ind w:left="360" w:hanging="360"/>
      </w:pPr>
    </w:lvl>
  </w:abstractNum>
  <w:abstractNum w:abstractNumId="19" w15:restartNumberingAfterBreak="0">
    <w:nsid w:val="591F451C"/>
    <w:multiLevelType w:val="hybridMultilevel"/>
    <w:tmpl w:val="040489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577A71"/>
    <w:multiLevelType w:val="hybridMultilevel"/>
    <w:tmpl w:val="F5C8C2F6"/>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63E22AAD"/>
    <w:multiLevelType w:val="hybridMultilevel"/>
    <w:tmpl w:val="03401A70"/>
    <w:lvl w:ilvl="0" w:tplc="0C09000F">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6B1668DA"/>
    <w:multiLevelType w:val="hybridMultilevel"/>
    <w:tmpl w:val="69565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54EC3"/>
    <w:multiLevelType w:val="hybridMultilevel"/>
    <w:tmpl w:val="84D4281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6D3732A3"/>
    <w:multiLevelType w:val="hybridMultilevel"/>
    <w:tmpl w:val="BF363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3D3F23"/>
    <w:multiLevelType w:val="hybridMultilevel"/>
    <w:tmpl w:val="C8C8469C"/>
    <w:lvl w:ilvl="0" w:tplc="D87CAFCC">
      <w:start w:val="37"/>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6" w15:restartNumberingAfterBreak="0">
    <w:nsid w:val="735669F3"/>
    <w:multiLevelType w:val="hybridMultilevel"/>
    <w:tmpl w:val="99749C88"/>
    <w:lvl w:ilvl="0" w:tplc="E1C02AAA">
      <w:start w:val="40"/>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799C1EB2"/>
    <w:multiLevelType w:val="hybridMultilevel"/>
    <w:tmpl w:val="AFB43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863576"/>
    <w:multiLevelType w:val="hybridMultilevel"/>
    <w:tmpl w:val="737CB77E"/>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EFB265D"/>
    <w:multiLevelType w:val="hybridMultilevel"/>
    <w:tmpl w:val="220A1F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1"/>
  </w:num>
  <w:num w:numId="3">
    <w:abstractNumId w:val="25"/>
  </w:num>
  <w:num w:numId="4">
    <w:abstractNumId w:val="26"/>
  </w:num>
  <w:num w:numId="5">
    <w:abstractNumId w:val="6"/>
  </w:num>
  <w:num w:numId="6">
    <w:abstractNumId w:val="2"/>
  </w:num>
  <w:num w:numId="7">
    <w:abstractNumId w:val="12"/>
  </w:num>
  <w:num w:numId="8">
    <w:abstractNumId w:val="5"/>
  </w:num>
  <w:num w:numId="9">
    <w:abstractNumId w:val="7"/>
  </w:num>
  <w:num w:numId="10">
    <w:abstractNumId w:val="11"/>
  </w:num>
  <w:num w:numId="11">
    <w:abstractNumId w:val="3"/>
  </w:num>
  <w:num w:numId="12">
    <w:abstractNumId w:val="16"/>
  </w:num>
  <w:num w:numId="13">
    <w:abstractNumId w:val="19"/>
  </w:num>
  <w:num w:numId="14">
    <w:abstractNumId w:val="10"/>
  </w:num>
  <w:num w:numId="15">
    <w:abstractNumId w:val="13"/>
  </w:num>
  <w:num w:numId="16">
    <w:abstractNumId w:val="23"/>
  </w:num>
  <w:num w:numId="17">
    <w:abstractNumId w:val="4"/>
  </w:num>
  <w:num w:numId="18">
    <w:abstractNumId w:val="28"/>
  </w:num>
  <w:num w:numId="19">
    <w:abstractNumId w:val="9"/>
  </w:num>
  <w:num w:numId="20">
    <w:abstractNumId w:val="15"/>
  </w:num>
  <w:num w:numId="21">
    <w:abstractNumId w:val="0"/>
  </w:num>
  <w:num w:numId="22">
    <w:abstractNumId w:val="20"/>
  </w:num>
  <w:num w:numId="23">
    <w:abstractNumId w:val="8"/>
  </w:num>
  <w:num w:numId="24">
    <w:abstractNumId w:val="18"/>
  </w:num>
  <w:num w:numId="25">
    <w:abstractNumId w:val="27"/>
  </w:num>
  <w:num w:numId="26">
    <w:abstractNumId w:val="24"/>
  </w:num>
  <w:num w:numId="27">
    <w:abstractNumId w:val="17"/>
  </w:num>
  <w:num w:numId="28">
    <w:abstractNumId w:val="22"/>
  </w:num>
  <w:num w:numId="29">
    <w:abstractNumId w:val="2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E98"/>
    <w:rsid w:val="000047AF"/>
    <w:rsid w:val="000253B8"/>
    <w:rsid w:val="00027F3C"/>
    <w:rsid w:val="000360D3"/>
    <w:rsid w:val="000434B7"/>
    <w:rsid w:val="00044373"/>
    <w:rsid w:val="000455BB"/>
    <w:rsid w:val="000833AF"/>
    <w:rsid w:val="000859F4"/>
    <w:rsid w:val="00090A2D"/>
    <w:rsid w:val="000B4D0C"/>
    <w:rsid w:val="000C16FC"/>
    <w:rsid w:val="000D22B7"/>
    <w:rsid w:val="000E093B"/>
    <w:rsid w:val="00106957"/>
    <w:rsid w:val="00123816"/>
    <w:rsid w:val="0013570A"/>
    <w:rsid w:val="00150740"/>
    <w:rsid w:val="0016242C"/>
    <w:rsid w:val="0018590E"/>
    <w:rsid w:val="00191913"/>
    <w:rsid w:val="00192266"/>
    <w:rsid w:val="001A40FF"/>
    <w:rsid w:val="001A7F31"/>
    <w:rsid w:val="001C5BFB"/>
    <w:rsid w:val="001E168A"/>
    <w:rsid w:val="001E4EA0"/>
    <w:rsid w:val="001E56B3"/>
    <w:rsid w:val="001F2B3D"/>
    <w:rsid w:val="0020780E"/>
    <w:rsid w:val="00246F14"/>
    <w:rsid w:val="002523FF"/>
    <w:rsid w:val="0026429D"/>
    <w:rsid w:val="00287F1F"/>
    <w:rsid w:val="002972B1"/>
    <w:rsid w:val="002A1D0D"/>
    <w:rsid w:val="002B288E"/>
    <w:rsid w:val="002B4D41"/>
    <w:rsid w:val="002C4DA5"/>
    <w:rsid w:val="002E5545"/>
    <w:rsid w:val="002F12C4"/>
    <w:rsid w:val="002F78CF"/>
    <w:rsid w:val="003051E9"/>
    <w:rsid w:val="00313844"/>
    <w:rsid w:val="00317D2F"/>
    <w:rsid w:val="0032150B"/>
    <w:rsid w:val="00327019"/>
    <w:rsid w:val="00327AAD"/>
    <w:rsid w:val="00327C44"/>
    <w:rsid w:val="0033149B"/>
    <w:rsid w:val="00360F69"/>
    <w:rsid w:val="00373503"/>
    <w:rsid w:val="00373DD6"/>
    <w:rsid w:val="003A018C"/>
    <w:rsid w:val="003A2F96"/>
    <w:rsid w:val="003A7968"/>
    <w:rsid w:val="003C226E"/>
    <w:rsid w:val="003C4CC5"/>
    <w:rsid w:val="003D2BDF"/>
    <w:rsid w:val="003D7E3F"/>
    <w:rsid w:val="003E2BCF"/>
    <w:rsid w:val="003F1B65"/>
    <w:rsid w:val="004035A5"/>
    <w:rsid w:val="004042B4"/>
    <w:rsid w:val="004058D8"/>
    <w:rsid w:val="00410411"/>
    <w:rsid w:val="00413784"/>
    <w:rsid w:val="00420E98"/>
    <w:rsid w:val="00422D95"/>
    <w:rsid w:val="004469C7"/>
    <w:rsid w:val="00450ABE"/>
    <w:rsid w:val="004540AE"/>
    <w:rsid w:val="004653B0"/>
    <w:rsid w:val="00481C3E"/>
    <w:rsid w:val="004939B0"/>
    <w:rsid w:val="004A2739"/>
    <w:rsid w:val="004A5489"/>
    <w:rsid w:val="004B0B3F"/>
    <w:rsid w:val="004C56EE"/>
    <w:rsid w:val="004D5E3D"/>
    <w:rsid w:val="004F56A0"/>
    <w:rsid w:val="00517F7E"/>
    <w:rsid w:val="005473F7"/>
    <w:rsid w:val="00550BBA"/>
    <w:rsid w:val="00552C5B"/>
    <w:rsid w:val="00555049"/>
    <w:rsid w:val="00574836"/>
    <w:rsid w:val="00575298"/>
    <w:rsid w:val="005849AA"/>
    <w:rsid w:val="005A24F2"/>
    <w:rsid w:val="005B0F89"/>
    <w:rsid w:val="005B299A"/>
    <w:rsid w:val="005B335C"/>
    <w:rsid w:val="005B59B5"/>
    <w:rsid w:val="005B5DEA"/>
    <w:rsid w:val="005C3FBA"/>
    <w:rsid w:val="005C5468"/>
    <w:rsid w:val="005D6B7C"/>
    <w:rsid w:val="005E1DC2"/>
    <w:rsid w:val="005E702B"/>
    <w:rsid w:val="00614F17"/>
    <w:rsid w:val="00615C8A"/>
    <w:rsid w:val="00621AD5"/>
    <w:rsid w:val="00630616"/>
    <w:rsid w:val="00683954"/>
    <w:rsid w:val="00684E76"/>
    <w:rsid w:val="0069201B"/>
    <w:rsid w:val="006965B1"/>
    <w:rsid w:val="006B03AF"/>
    <w:rsid w:val="006C6085"/>
    <w:rsid w:val="006C7E46"/>
    <w:rsid w:val="006D3E5A"/>
    <w:rsid w:val="006D608B"/>
    <w:rsid w:val="00711ED1"/>
    <w:rsid w:val="007211DB"/>
    <w:rsid w:val="00722050"/>
    <w:rsid w:val="0073269C"/>
    <w:rsid w:val="007366E7"/>
    <w:rsid w:val="00736D72"/>
    <w:rsid w:val="00737556"/>
    <w:rsid w:val="00747AC9"/>
    <w:rsid w:val="00754583"/>
    <w:rsid w:val="007560CE"/>
    <w:rsid w:val="0076300F"/>
    <w:rsid w:val="00770D73"/>
    <w:rsid w:val="00771449"/>
    <w:rsid w:val="0077219A"/>
    <w:rsid w:val="0078506A"/>
    <w:rsid w:val="007A7736"/>
    <w:rsid w:val="007A7AE4"/>
    <w:rsid w:val="007C1EF9"/>
    <w:rsid w:val="007D45AD"/>
    <w:rsid w:val="007E0DCC"/>
    <w:rsid w:val="008063EB"/>
    <w:rsid w:val="008128A4"/>
    <w:rsid w:val="00816438"/>
    <w:rsid w:val="00825DC9"/>
    <w:rsid w:val="00847EDC"/>
    <w:rsid w:val="008551D2"/>
    <w:rsid w:val="00871BE1"/>
    <w:rsid w:val="008731D7"/>
    <w:rsid w:val="00887BC3"/>
    <w:rsid w:val="008A5857"/>
    <w:rsid w:val="008C507B"/>
    <w:rsid w:val="008D0EF4"/>
    <w:rsid w:val="008D121F"/>
    <w:rsid w:val="008D1A95"/>
    <w:rsid w:val="008E2103"/>
    <w:rsid w:val="008E3297"/>
    <w:rsid w:val="008F2BB5"/>
    <w:rsid w:val="008F50B2"/>
    <w:rsid w:val="00916272"/>
    <w:rsid w:val="0092050F"/>
    <w:rsid w:val="00922ABD"/>
    <w:rsid w:val="009354F9"/>
    <w:rsid w:val="00936C56"/>
    <w:rsid w:val="00940633"/>
    <w:rsid w:val="00950D34"/>
    <w:rsid w:val="00957024"/>
    <w:rsid w:val="009670A7"/>
    <w:rsid w:val="00967980"/>
    <w:rsid w:val="00975C08"/>
    <w:rsid w:val="00986FE2"/>
    <w:rsid w:val="00993943"/>
    <w:rsid w:val="00993F52"/>
    <w:rsid w:val="00994302"/>
    <w:rsid w:val="009D1E6B"/>
    <w:rsid w:val="009D5223"/>
    <w:rsid w:val="009D735E"/>
    <w:rsid w:val="00A049E5"/>
    <w:rsid w:val="00A06900"/>
    <w:rsid w:val="00A07CFF"/>
    <w:rsid w:val="00A22FAE"/>
    <w:rsid w:val="00A51290"/>
    <w:rsid w:val="00A516F9"/>
    <w:rsid w:val="00A53617"/>
    <w:rsid w:val="00A61E9D"/>
    <w:rsid w:val="00A91924"/>
    <w:rsid w:val="00AA0CCE"/>
    <w:rsid w:val="00AA2213"/>
    <w:rsid w:val="00AC1AE1"/>
    <w:rsid w:val="00AC3BF2"/>
    <w:rsid w:val="00AD21AA"/>
    <w:rsid w:val="00AF0725"/>
    <w:rsid w:val="00AF3276"/>
    <w:rsid w:val="00AF3B9B"/>
    <w:rsid w:val="00B32537"/>
    <w:rsid w:val="00B369AE"/>
    <w:rsid w:val="00B37A1F"/>
    <w:rsid w:val="00B4310A"/>
    <w:rsid w:val="00B457F9"/>
    <w:rsid w:val="00B53EC0"/>
    <w:rsid w:val="00B63090"/>
    <w:rsid w:val="00B67E15"/>
    <w:rsid w:val="00B77387"/>
    <w:rsid w:val="00B817BD"/>
    <w:rsid w:val="00B8681D"/>
    <w:rsid w:val="00BB1DD2"/>
    <w:rsid w:val="00BB683F"/>
    <w:rsid w:val="00BC1D3A"/>
    <w:rsid w:val="00BD55C4"/>
    <w:rsid w:val="00BE3233"/>
    <w:rsid w:val="00C40495"/>
    <w:rsid w:val="00C442BF"/>
    <w:rsid w:val="00C47AFC"/>
    <w:rsid w:val="00C60C47"/>
    <w:rsid w:val="00C70F26"/>
    <w:rsid w:val="00C8362C"/>
    <w:rsid w:val="00C97503"/>
    <w:rsid w:val="00CA0B0A"/>
    <w:rsid w:val="00CA358E"/>
    <w:rsid w:val="00CF3554"/>
    <w:rsid w:val="00D30B13"/>
    <w:rsid w:val="00D408DB"/>
    <w:rsid w:val="00D42116"/>
    <w:rsid w:val="00D57CC0"/>
    <w:rsid w:val="00D62E1D"/>
    <w:rsid w:val="00D7012B"/>
    <w:rsid w:val="00D8458C"/>
    <w:rsid w:val="00D96D54"/>
    <w:rsid w:val="00DA2571"/>
    <w:rsid w:val="00DB37FF"/>
    <w:rsid w:val="00DB7322"/>
    <w:rsid w:val="00DB7AD6"/>
    <w:rsid w:val="00DD4430"/>
    <w:rsid w:val="00DD50C4"/>
    <w:rsid w:val="00DD65BB"/>
    <w:rsid w:val="00DF5C8B"/>
    <w:rsid w:val="00E00991"/>
    <w:rsid w:val="00E01C3D"/>
    <w:rsid w:val="00E075A0"/>
    <w:rsid w:val="00E5438F"/>
    <w:rsid w:val="00E7651B"/>
    <w:rsid w:val="00E7753F"/>
    <w:rsid w:val="00E80559"/>
    <w:rsid w:val="00E8626D"/>
    <w:rsid w:val="00E93D2C"/>
    <w:rsid w:val="00EA6E72"/>
    <w:rsid w:val="00ED392A"/>
    <w:rsid w:val="00EF0D5C"/>
    <w:rsid w:val="00F10098"/>
    <w:rsid w:val="00F23426"/>
    <w:rsid w:val="00F52A40"/>
    <w:rsid w:val="00F63291"/>
    <w:rsid w:val="00F726F2"/>
    <w:rsid w:val="00F736B1"/>
    <w:rsid w:val="00F87BA0"/>
    <w:rsid w:val="00F91C2D"/>
    <w:rsid w:val="00FA785C"/>
    <w:rsid w:val="00FD566C"/>
    <w:rsid w:val="00FE5B8A"/>
    <w:rsid w:val="00FF48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4E593"/>
  <w15:chartTrackingRefBased/>
  <w15:docId w15:val="{43D5F626-A301-4CE3-9695-6807780E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360"/>
      <w:outlineLvl w:val="0"/>
    </w:pPr>
    <w:rPr>
      <w:sz w:val="28"/>
      <w:szCs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lang w:val="en-GB"/>
    </w:rPr>
  </w:style>
  <w:style w:type="paragraph" w:styleId="Heading3">
    <w:name w:val="heading 3"/>
    <w:basedOn w:val="Normal"/>
    <w:next w:val="Normal"/>
    <w:qFormat/>
    <w:pPr>
      <w:keepNext/>
      <w:ind w:left="720" w:firstLine="349"/>
      <w:outlineLvl w:val="2"/>
    </w:pPr>
    <w:rPr>
      <w:snapToGrid w:val="0"/>
      <w:color w:val="000000"/>
      <w:sz w:val="28"/>
      <w:szCs w:val="28"/>
      <w:lang w:val="en-GB" w:eastAsia="en-US"/>
    </w:rPr>
  </w:style>
  <w:style w:type="paragraph" w:styleId="Heading4">
    <w:name w:val="heading 4"/>
    <w:basedOn w:val="Normal"/>
    <w:next w:val="Normal"/>
    <w:qFormat/>
    <w:pPr>
      <w:keepNext/>
      <w:ind w:left="1440" w:hanging="731"/>
      <w:outlineLvl w:val="3"/>
    </w:pPr>
    <w:rPr>
      <w:snapToGrid w:val="0"/>
      <w:color w:val="000000"/>
      <w:sz w:val="28"/>
      <w:szCs w:val="28"/>
      <w:lang w:val="en-GB" w:eastAsia="en-US"/>
    </w:rPr>
  </w:style>
  <w:style w:type="paragraph" w:styleId="Heading5">
    <w:name w:val="heading 5"/>
    <w:basedOn w:val="Normal"/>
    <w:next w:val="Normal"/>
    <w:qFormat/>
    <w:pPr>
      <w:keepNext/>
      <w:ind w:left="720" w:firstLine="840"/>
      <w:outlineLvl w:val="4"/>
    </w:pPr>
    <w:rPr>
      <w:b/>
      <w:color w:val="000000"/>
      <w:sz w:val="32"/>
      <w:szCs w:val="32"/>
    </w:rPr>
  </w:style>
  <w:style w:type="paragraph" w:styleId="Heading6">
    <w:name w:val="heading 6"/>
    <w:basedOn w:val="Normal"/>
    <w:next w:val="Normal"/>
    <w:qFormat/>
    <w:pPr>
      <w:keepNext/>
      <w:ind w:firstLine="1134"/>
      <w:outlineLvl w:val="5"/>
    </w:pPr>
    <w:rPr>
      <w:sz w:val="28"/>
      <w:szCs w:val="28"/>
      <w:lang w:val="en-GB" w:eastAsia="en-US"/>
    </w:rPr>
  </w:style>
  <w:style w:type="paragraph" w:styleId="Heading7">
    <w:name w:val="heading 7"/>
    <w:basedOn w:val="Normal"/>
    <w:next w:val="Normal"/>
    <w:qFormat/>
    <w:pPr>
      <w:keepNext/>
      <w:ind w:left="709"/>
      <w:outlineLvl w:val="6"/>
    </w:pPr>
    <w:rPr>
      <w:sz w:val="28"/>
      <w:szCs w:val="28"/>
    </w:rPr>
  </w:style>
  <w:style w:type="paragraph" w:styleId="Heading8">
    <w:name w:val="heading 8"/>
    <w:basedOn w:val="Normal"/>
    <w:next w:val="Normal"/>
    <w:qFormat/>
    <w:pPr>
      <w:keepNext/>
      <w:ind w:left="273" w:firstLine="436"/>
      <w:outlineLvl w:val="7"/>
    </w:pPr>
    <w:rPr>
      <w:color w:val="000000"/>
      <w:sz w:val="28"/>
      <w:szCs w:val="28"/>
    </w:rPr>
  </w:style>
  <w:style w:type="paragraph" w:styleId="Heading9">
    <w:name w:val="heading 9"/>
    <w:basedOn w:val="Normal"/>
    <w:next w:val="Normal"/>
    <w:qFormat/>
    <w:pPr>
      <w:keepNext/>
      <w:autoSpaceDE w:val="0"/>
      <w:autoSpaceDN w:val="0"/>
      <w:adjustRightInd w:val="0"/>
      <w:ind w:firstLine="709"/>
      <w:outlineLvl w:val="8"/>
    </w:pPr>
    <w:rPr>
      <w:color w:val="000000"/>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426" w:hanging="426"/>
    </w:pPr>
    <w:rPr>
      <w:color w:val="0000FF"/>
      <w:sz w:val="24"/>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NormalIndent">
    <w:name w:val="Normal Indent"/>
    <w:basedOn w:val="Normal"/>
    <w:pPr>
      <w:ind w:left="1418" w:hanging="567"/>
    </w:pPr>
    <w:rPr>
      <w:sz w:val="24"/>
    </w:rPr>
  </w:style>
  <w:style w:type="paragraph" w:styleId="BodyTextIndent">
    <w:name w:val="Body Text Indent"/>
    <w:basedOn w:val="Normal"/>
    <w:pPr>
      <w:ind w:left="709" w:hanging="709"/>
    </w:pPr>
    <w:rPr>
      <w:color w:val="000000"/>
      <w:sz w:val="28"/>
      <w:szCs w:val="28"/>
    </w:rPr>
  </w:style>
  <w:style w:type="paragraph" w:styleId="BodyTextIndent3">
    <w:name w:val="Body Text Indent 3"/>
    <w:basedOn w:val="Normal"/>
    <w:pPr>
      <w:ind w:left="709"/>
    </w:pPr>
    <w:rPr>
      <w:sz w:val="28"/>
      <w:szCs w:val="28"/>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Normal1">
    <w:name w:val="Normal1"/>
    <w:basedOn w:val="Normal"/>
    <w:link w:val="normalChar"/>
    <w:pPr>
      <w:spacing w:before="100" w:beforeAutospacing="1" w:after="100" w:afterAutospacing="1"/>
    </w:pPr>
    <w:rPr>
      <w:sz w:val="24"/>
      <w:szCs w:val="24"/>
      <w:lang w:val="en-US" w:eastAsia="en-US"/>
    </w:rPr>
  </w:style>
  <w:style w:type="character" w:customStyle="1" w:styleId="normalChar">
    <w:name w:val="normal Char"/>
    <w:link w:val="Normal1"/>
    <w:locked/>
    <w:rPr>
      <w:sz w:val="24"/>
      <w:szCs w:val="24"/>
      <w:lang w:val="en-US" w:eastAsia="en-US" w:bidi="ar-SA"/>
    </w:rPr>
  </w:style>
  <w:style w:type="paragraph" w:customStyle="1" w:styleId="Default">
    <w:name w:val="Default"/>
    <w:pPr>
      <w:autoSpaceDE w:val="0"/>
      <w:autoSpaceDN w:val="0"/>
      <w:adjustRightInd w:val="0"/>
    </w:pPr>
    <w:rPr>
      <w:color w:val="000000"/>
      <w:sz w:val="24"/>
      <w:szCs w:val="24"/>
    </w:rPr>
  </w:style>
  <w:style w:type="character" w:styleId="Hyperlink">
    <w:name w:val="Hyperlink"/>
    <w:rPr>
      <w:strike w:val="0"/>
      <w:dstrike w:val="0"/>
      <w:color w:val="0072BC"/>
      <w:u w:val="none"/>
      <w:effect w:val="none"/>
    </w:rPr>
  </w:style>
  <w:style w:type="paragraph" w:styleId="BodyText">
    <w:name w:val="Body Text"/>
    <w:basedOn w:val="Normal"/>
    <w:pPr>
      <w:spacing w:after="120"/>
    </w:pPr>
  </w:style>
  <w:style w:type="paragraph" w:styleId="Title">
    <w:name w:val="Title"/>
    <w:basedOn w:val="Normal"/>
    <w:next w:val="Normal"/>
    <w:qFormat/>
    <w:pPr>
      <w:spacing w:before="240" w:after="240"/>
    </w:pPr>
    <w:rPr>
      <w:rFonts w:ascii="Arial" w:hAnsi="Arial"/>
      <w:b/>
      <w:sz w:val="40"/>
    </w:rPr>
  </w:style>
  <w:style w:type="paragraph" w:customStyle="1" w:styleId="logoheader">
    <w:name w:val="logoheader"/>
    <w:basedOn w:val="Normal"/>
    <w:rsid w:val="00A61E9D"/>
    <w:pPr>
      <w:spacing w:before="100" w:beforeAutospacing="1" w:after="100" w:afterAutospacing="1"/>
    </w:pPr>
    <w:rPr>
      <w:sz w:val="24"/>
      <w:szCs w:val="24"/>
    </w:rPr>
  </w:style>
  <w:style w:type="paragraph" w:styleId="Footer">
    <w:name w:val="footer"/>
    <w:basedOn w:val="Normal"/>
    <w:rsid w:val="0026429D"/>
    <w:pPr>
      <w:tabs>
        <w:tab w:val="center" w:pos="4153"/>
        <w:tab w:val="right" w:pos="8306"/>
      </w:tabs>
    </w:pPr>
  </w:style>
  <w:style w:type="paragraph" w:customStyle="1" w:styleId="ActHead6">
    <w:name w:val="ActHead 6"/>
    <w:aliases w:val="as"/>
    <w:basedOn w:val="Normal"/>
    <w:next w:val="Normal"/>
    <w:qFormat/>
    <w:rsid w:val="00313844"/>
    <w:pPr>
      <w:keepNext/>
      <w:keepLines/>
      <w:ind w:left="1134" w:hanging="1134"/>
      <w:outlineLvl w:val="5"/>
    </w:pPr>
    <w:rPr>
      <w:rFonts w:ascii="Arial" w:hAnsi="Arial"/>
      <w:b/>
      <w:kern w:val="28"/>
      <w:sz w:val="32"/>
    </w:rPr>
  </w:style>
  <w:style w:type="paragraph" w:customStyle="1" w:styleId="ActHead9">
    <w:name w:val="ActHead 9"/>
    <w:aliases w:val="aat"/>
    <w:basedOn w:val="Normal"/>
    <w:next w:val="Normal"/>
    <w:qFormat/>
    <w:rsid w:val="00313844"/>
    <w:pPr>
      <w:keepNext/>
      <w:keepLines/>
      <w:spacing w:before="280"/>
      <w:ind w:left="1134" w:hanging="1134"/>
      <w:outlineLvl w:val="8"/>
    </w:pPr>
    <w:rPr>
      <w:b/>
      <w:i/>
      <w:kern w:val="28"/>
      <w:sz w:val="28"/>
    </w:rPr>
  </w:style>
  <w:style w:type="character" w:customStyle="1" w:styleId="HeaderChar">
    <w:name w:val="Header Char"/>
    <w:basedOn w:val="DefaultParagraphFont"/>
    <w:link w:val="Header"/>
    <w:rsid w:val="008C507B"/>
  </w:style>
  <w:style w:type="paragraph" w:styleId="ListParagraph">
    <w:name w:val="List Paragraph"/>
    <w:basedOn w:val="Normal"/>
    <w:uiPriority w:val="34"/>
    <w:qFormat/>
    <w:rsid w:val="008C507B"/>
    <w:pPr>
      <w:ind w:left="720"/>
      <w:contextualSpacing/>
    </w:pPr>
  </w:style>
  <w:style w:type="character" w:styleId="FollowedHyperlink">
    <w:name w:val="FollowedHyperlink"/>
    <w:basedOn w:val="DefaultParagraphFont"/>
    <w:rsid w:val="00DF5C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3122">
      <w:bodyDiv w:val="1"/>
      <w:marLeft w:val="0"/>
      <w:marRight w:val="0"/>
      <w:marTop w:val="0"/>
      <w:marBottom w:val="0"/>
      <w:divBdr>
        <w:top w:val="none" w:sz="0" w:space="0" w:color="auto"/>
        <w:left w:val="none" w:sz="0" w:space="0" w:color="auto"/>
        <w:bottom w:val="none" w:sz="0" w:space="0" w:color="auto"/>
        <w:right w:val="none" w:sz="0" w:space="0" w:color="auto"/>
      </w:divBdr>
    </w:div>
    <w:div w:id="207649375">
      <w:bodyDiv w:val="1"/>
      <w:marLeft w:val="0"/>
      <w:marRight w:val="0"/>
      <w:marTop w:val="0"/>
      <w:marBottom w:val="0"/>
      <w:divBdr>
        <w:top w:val="none" w:sz="0" w:space="0" w:color="auto"/>
        <w:left w:val="none" w:sz="0" w:space="0" w:color="auto"/>
        <w:bottom w:val="none" w:sz="0" w:space="0" w:color="auto"/>
        <w:right w:val="none" w:sz="0" w:space="0" w:color="auto"/>
      </w:divBdr>
      <w:divsChild>
        <w:div w:id="1166894664">
          <w:marLeft w:val="150"/>
          <w:marRight w:val="150"/>
          <w:marTop w:val="0"/>
          <w:marBottom w:val="0"/>
          <w:divBdr>
            <w:top w:val="none" w:sz="0" w:space="0" w:color="auto"/>
            <w:left w:val="none" w:sz="0" w:space="0" w:color="auto"/>
            <w:bottom w:val="none" w:sz="0" w:space="0" w:color="auto"/>
            <w:right w:val="none" w:sz="0" w:space="0" w:color="auto"/>
          </w:divBdr>
          <w:divsChild>
            <w:div w:id="769861783">
              <w:marLeft w:val="0"/>
              <w:marRight w:val="0"/>
              <w:marTop w:val="0"/>
              <w:marBottom w:val="0"/>
              <w:divBdr>
                <w:top w:val="none" w:sz="0" w:space="0" w:color="auto"/>
                <w:left w:val="none" w:sz="0" w:space="0" w:color="auto"/>
                <w:bottom w:val="none" w:sz="0" w:space="0" w:color="auto"/>
                <w:right w:val="none" w:sz="0" w:space="0" w:color="auto"/>
              </w:divBdr>
              <w:divsChild>
                <w:div w:id="455876234">
                  <w:marLeft w:val="0"/>
                  <w:marRight w:val="0"/>
                  <w:marTop w:val="0"/>
                  <w:marBottom w:val="0"/>
                  <w:divBdr>
                    <w:top w:val="none" w:sz="0" w:space="0" w:color="auto"/>
                    <w:left w:val="none" w:sz="0" w:space="0" w:color="auto"/>
                    <w:bottom w:val="none" w:sz="0" w:space="0" w:color="auto"/>
                    <w:right w:val="none" w:sz="0" w:space="0" w:color="auto"/>
                  </w:divBdr>
                  <w:divsChild>
                    <w:div w:id="482935005">
                      <w:marLeft w:val="0"/>
                      <w:marRight w:val="0"/>
                      <w:marTop w:val="0"/>
                      <w:marBottom w:val="0"/>
                      <w:divBdr>
                        <w:top w:val="none" w:sz="0" w:space="0" w:color="auto"/>
                        <w:left w:val="none" w:sz="0" w:space="0" w:color="auto"/>
                        <w:bottom w:val="none" w:sz="0" w:space="0" w:color="auto"/>
                        <w:right w:val="none" w:sz="0" w:space="0" w:color="auto"/>
                      </w:divBdr>
                      <w:divsChild>
                        <w:div w:id="1285232425">
                          <w:marLeft w:val="0"/>
                          <w:marRight w:val="0"/>
                          <w:marTop w:val="0"/>
                          <w:marBottom w:val="0"/>
                          <w:divBdr>
                            <w:top w:val="none" w:sz="0" w:space="0" w:color="auto"/>
                            <w:left w:val="none" w:sz="0" w:space="0" w:color="auto"/>
                            <w:bottom w:val="none" w:sz="0" w:space="0" w:color="auto"/>
                            <w:right w:val="none" w:sz="0" w:space="0" w:color="auto"/>
                          </w:divBdr>
                          <w:divsChild>
                            <w:div w:id="166142743">
                              <w:marLeft w:val="0"/>
                              <w:marRight w:val="0"/>
                              <w:marTop w:val="0"/>
                              <w:marBottom w:val="0"/>
                              <w:divBdr>
                                <w:top w:val="none" w:sz="0" w:space="0" w:color="auto"/>
                                <w:left w:val="none" w:sz="0" w:space="0" w:color="auto"/>
                                <w:bottom w:val="none" w:sz="0" w:space="0" w:color="auto"/>
                                <w:right w:val="none" w:sz="0" w:space="0" w:color="auto"/>
                              </w:divBdr>
                              <w:divsChild>
                                <w:div w:id="8060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187692">
      <w:bodyDiv w:val="1"/>
      <w:marLeft w:val="0"/>
      <w:marRight w:val="0"/>
      <w:marTop w:val="0"/>
      <w:marBottom w:val="0"/>
      <w:divBdr>
        <w:top w:val="none" w:sz="0" w:space="0" w:color="auto"/>
        <w:left w:val="none" w:sz="0" w:space="0" w:color="auto"/>
        <w:bottom w:val="none" w:sz="0" w:space="0" w:color="auto"/>
        <w:right w:val="none" w:sz="0" w:space="0" w:color="auto"/>
      </w:divBdr>
    </w:div>
    <w:div w:id="834809797">
      <w:bodyDiv w:val="1"/>
      <w:marLeft w:val="0"/>
      <w:marRight w:val="0"/>
      <w:marTop w:val="0"/>
      <w:marBottom w:val="0"/>
      <w:divBdr>
        <w:top w:val="none" w:sz="0" w:space="0" w:color="auto"/>
        <w:left w:val="none" w:sz="0" w:space="0" w:color="auto"/>
        <w:bottom w:val="none" w:sz="0" w:space="0" w:color="auto"/>
        <w:right w:val="none" w:sz="0" w:space="0" w:color="auto"/>
      </w:divBdr>
    </w:div>
    <w:div w:id="17082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enarms.gov.au/resources/provider-resource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penarms.gov.au/resources/provider-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EF7444161A4724BA577782D6981F430" ma:contentTypeVersion="" ma:contentTypeDescription="PDMS Document Site Content Type" ma:contentTypeScope="" ma:versionID="b8934284f7a6067463bb532de04bdf33">
  <xsd:schema xmlns:xsd="http://www.w3.org/2001/XMLSchema" xmlns:xs="http://www.w3.org/2001/XMLSchema" xmlns:p="http://schemas.microsoft.com/office/2006/metadata/properties" xmlns:ns2="1A254743-1813-4AAD-9CD1-76786A50B718" targetNamespace="http://schemas.microsoft.com/office/2006/metadata/properties" ma:root="true" ma:fieldsID="4453ac83b4e92de8abc590cafc61683f" ns2:_="">
    <xsd:import namespace="1A254743-1813-4AAD-9CD1-76786A50B71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54743-1813-4AAD-9CD1-76786A50B71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A254743-1813-4AAD-9CD1-76786A50B718" xsi:nil="true"/>
  </documentManagement>
</p:properties>
</file>

<file path=customXml/itemProps1.xml><?xml version="1.0" encoding="utf-8"?>
<ds:datastoreItem xmlns:ds="http://schemas.openxmlformats.org/officeDocument/2006/customXml" ds:itemID="{72642308-FF9B-4C79-A35A-69762066AC5F}"/>
</file>

<file path=customXml/itemProps2.xml><?xml version="1.0" encoding="utf-8"?>
<ds:datastoreItem xmlns:ds="http://schemas.openxmlformats.org/officeDocument/2006/customXml" ds:itemID="{C822036D-4152-4F21-B8BB-A7FF3AF9C9F5}"/>
</file>

<file path=customXml/itemProps3.xml><?xml version="1.0" encoding="utf-8"?>
<ds:datastoreItem xmlns:ds="http://schemas.openxmlformats.org/officeDocument/2006/customXml" ds:itemID="{3DD214D6-A3D6-4C77-9D64-ED3B609BDCF7}"/>
</file>

<file path=docProps/app.xml><?xml version="1.0" encoding="utf-8"?>
<Properties xmlns="http://schemas.openxmlformats.org/officeDocument/2006/extended-properties" xmlns:vt="http://schemas.openxmlformats.org/officeDocument/2006/docPropsVTypes">
  <Template>Normal</Template>
  <TotalTime>85</TotalTime>
  <Pages>4</Pages>
  <Words>1521</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dc:description/>
  <cp:lastModifiedBy>Smith, David</cp:lastModifiedBy>
  <cp:revision>8</cp:revision>
  <cp:lastPrinted>2013-05-06T04:05:00Z</cp:lastPrinted>
  <dcterms:created xsi:type="dcterms:W3CDTF">2024-01-05T03:48:00Z</dcterms:created>
  <dcterms:modified xsi:type="dcterms:W3CDTF">2024-01-10T00:04:00Z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0x010100266966F133664895A6EE3632470D45F5007EF7444161A4724BA577782D6981F430</vt:lpwstr>
  </property>
</Properties>
</file>