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4C2B5" w14:textId="77777777" w:rsidR="00FB640B" w:rsidRPr="008B24C8" w:rsidRDefault="0057002B" w:rsidP="00BB0CF2">
      <w:pPr>
        <w:pStyle w:val="ESTitleHeader"/>
      </w:pPr>
      <w:bookmarkStart w:id="0" w:name="_GoBack"/>
      <w:bookmarkEnd w:id="0"/>
      <w:r w:rsidRPr="008B24C8">
        <w:t>EXPLANATORY STATEMENT</w:t>
      </w:r>
    </w:p>
    <w:p w14:paraId="206E4CA2" w14:textId="77777777" w:rsidR="0057002B" w:rsidRPr="008B24C8" w:rsidRDefault="0057002B" w:rsidP="00BB0CF2">
      <w:pPr>
        <w:pStyle w:val="ESTitleDecisionMaker"/>
      </w:pPr>
      <w:r w:rsidRPr="008B24C8">
        <w:t xml:space="preserve">Issued by authority of the </w:t>
      </w:r>
      <w:r w:rsidR="00E521DF">
        <w:t>Minister for Immigration, Citizenship and Multicultural Affairs</w:t>
      </w:r>
    </w:p>
    <w:p w14:paraId="427EA324" w14:textId="77777777" w:rsidR="0057002B" w:rsidRPr="008B24C8" w:rsidRDefault="00E521DF" w:rsidP="00BB0CF2">
      <w:pPr>
        <w:pStyle w:val="ESTitleEnablingLegislation"/>
      </w:pPr>
      <w:r>
        <w:t>Migration Act 1958</w:t>
      </w:r>
    </w:p>
    <w:p w14:paraId="0F457013" w14:textId="17F73D2F" w:rsidR="0057002B" w:rsidRPr="008B24C8" w:rsidRDefault="00E521DF" w:rsidP="00BB0CF2">
      <w:pPr>
        <w:pStyle w:val="ESTitleInstrumentName"/>
      </w:pPr>
      <w:r>
        <w:t xml:space="preserve">Migration (Granting of </w:t>
      </w:r>
      <w:r w:rsidR="009828E6">
        <w:t xml:space="preserve">Contributory Parent </w:t>
      </w:r>
      <w:r w:rsidR="0058008A">
        <w:t>V</w:t>
      </w:r>
      <w:r>
        <w:t xml:space="preserve">isas, </w:t>
      </w:r>
      <w:r w:rsidR="009828E6">
        <w:t>Parent</w:t>
      </w:r>
      <w:r>
        <w:t xml:space="preserve"> </w:t>
      </w:r>
      <w:r w:rsidR="0058008A">
        <w:t>V</w:t>
      </w:r>
      <w:r>
        <w:t xml:space="preserve">isas and </w:t>
      </w:r>
      <w:r w:rsidR="009828E6">
        <w:t xml:space="preserve">Other Family </w:t>
      </w:r>
      <w:r w:rsidR="0058008A">
        <w:t xml:space="preserve">Visas </w:t>
      </w:r>
      <w:proofErr w:type="gramStart"/>
      <w:r w:rsidR="0058008A">
        <w:t>During</w:t>
      </w:r>
      <w:proofErr w:type="gramEnd"/>
      <w:r w:rsidR="0058008A">
        <w:t xml:space="preserve"> Financial Y</w:t>
      </w:r>
      <w:r>
        <w:t>ear 2023</w:t>
      </w:r>
      <w:r w:rsidR="0073245D">
        <w:t>-</w:t>
      </w:r>
      <w:r>
        <w:t>2024) Instrument (LIN 24/</w:t>
      </w:r>
      <w:r w:rsidR="003B72A6">
        <w:t>0</w:t>
      </w:r>
      <w:r>
        <w:t>04)</w:t>
      </w:r>
      <w:r w:rsidR="00F14758">
        <w:t xml:space="preserve"> 2024</w:t>
      </w:r>
    </w:p>
    <w:p w14:paraId="75E95421" w14:textId="36DCE492" w:rsidR="0057002B" w:rsidRPr="008B24C8" w:rsidRDefault="0057002B" w:rsidP="002D167E">
      <w:pPr>
        <w:pStyle w:val="ESPara"/>
      </w:pPr>
      <w:r w:rsidRPr="008B24C8">
        <w:t>The instrume</w:t>
      </w:r>
      <w:r w:rsidR="0058008A">
        <w:t>nt, d</w:t>
      </w:r>
      <w:r w:rsidR="00E521DF">
        <w:t>epartmental reference LIN 24/004</w:t>
      </w:r>
      <w:r w:rsidR="00BF352C">
        <w:t>, is made under paragraph </w:t>
      </w:r>
      <w:r w:rsidR="00F14758">
        <w:t>85(1</w:t>
      </w:r>
      <w:proofErr w:type="gramStart"/>
      <w:r w:rsidR="00F14758">
        <w:t>)(</w:t>
      </w:r>
      <w:proofErr w:type="gramEnd"/>
      <w:r w:rsidR="00F14758">
        <w:t>b)</w:t>
      </w:r>
      <w:r w:rsidRPr="008B24C8">
        <w:t xml:space="preserve"> of the </w:t>
      </w:r>
      <w:r w:rsidR="00BF352C">
        <w:rPr>
          <w:i/>
        </w:rPr>
        <w:t>Migration Act </w:t>
      </w:r>
      <w:r w:rsidR="00C81A5E">
        <w:rPr>
          <w:i/>
        </w:rPr>
        <w:t>1958</w:t>
      </w:r>
      <w:r w:rsidR="00F14758">
        <w:t xml:space="preserve"> (the Migration Act).</w:t>
      </w:r>
    </w:p>
    <w:p w14:paraId="134D5DEB" w14:textId="4484DFD1" w:rsidR="00EA12C9" w:rsidRPr="008B24C8" w:rsidRDefault="00EA12C9" w:rsidP="002D167E">
      <w:pPr>
        <w:pStyle w:val="ESPara"/>
      </w:pPr>
      <w:r w:rsidRPr="008B24C8">
        <w:t xml:space="preserve">The instrument </w:t>
      </w:r>
      <w:r w:rsidR="00F14758">
        <w:t xml:space="preserve">repeals </w:t>
      </w:r>
      <w:r w:rsidR="00856D46" w:rsidRPr="00055919">
        <w:t>itself</w:t>
      </w:r>
      <w:r w:rsidR="00F14758">
        <w:t xml:space="preserve"> </w:t>
      </w:r>
      <w:r w:rsidRPr="008B24C8">
        <w:t xml:space="preserve">in accordance with subsection 33(3) of the </w:t>
      </w:r>
      <w:r w:rsidRPr="008B24C8">
        <w:rPr>
          <w:i/>
        </w:rPr>
        <w:t>Acts Interpretation Act 1901</w:t>
      </w:r>
      <w:r w:rsidR="00BD598E" w:rsidRPr="008B24C8">
        <w:rPr>
          <w:i/>
        </w:rPr>
        <w:t xml:space="preserve"> </w:t>
      </w:r>
      <w:r w:rsidR="00BD598E" w:rsidRPr="008B24C8">
        <w:t>(the Acts Interpretation Act)</w:t>
      </w:r>
      <w:r w:rsidR="00F14758">
        <w:t xml:space="preserve">. </w:t>
      </w:r>
      <w:r w:rsidRPr="008B24C8">
        <w:t xml:space="preserve">That subsection provides that </w:t>
      </w:r>
      <w:r w:rsidR="00100DFC">
        <w:t>a power to make a legislative instrument includes a power to amend or repeal that instrument in the same manner, and subject to the same conditions, as the power to make the instrument</w:t>
      </w:r>
      <w:r w:rsidR="00F14758">
        <w:t>.</w:t>
      </w:r>
    </w:p>
    <w:p w14:paraId="1A18B174" w14:textId="4F273100" w:rsidR="00BD598E" w:rsidRPr="008B24C8" w:rsidRDefault="00F14758" w:rsidP="002D167E">
      <w:pPr>
        <w:pStyle w:val="ESPara"/>
      </w:pPr>
      <w:r>
        <w:t>The instrument commences on the day after it is registered on the Federal Register of Legislation (FRL)</w:t>
      </w:r>
      <w:r w:rsidR="0058008A">
        <w:t>. It</w:t>
      </w:r>
      <w:r w:rsidR="00AA4557">
        <w:t xml:space="preserve"> i</w:t>
      </w:r>
      <w:r w:rsidR="00BD598E" w:rsidRPr="008B24C8">
        <w:t xml:space="preserve">s a </w:t>
      </w:r>
      <w:r w:rsidR="00AA4557">
        <w:t>legislative</w:t>
      </w:r>
      <w:r w:rsidR="00BD598E" w:rsidRPr="008B24C8">
        <w:t xml:space="preserve"> instrument for </w:t>
      </w:r>
      <w:r w:rsidR="00B75478">
        <w:t xml:space="preserve">the </w:t>
      </w:r>
      <w:r w:rsidR="00BF352C">
        <w:rPr>
          <w:i/>
        </w:rPr>
        <w:t>Legislation Act </w:t>
      </w:r>
      <w:r w:rsidR="00100DFC">
        <w:rPr>
          <w:i/>
        </w:rPr>
        <w:t>2003</w:t>
      </w:r>
      <w:r w:rsidR="00100DFC">
        <w:t xml:space="preserve"> (the Legislation Act)</w:t>
      </w:r>
      <w:r>
        <w:t>.</w:t>
      </w:r>
      <w:r w:rsidR="00856D46">
        <w:t xml:space="preserve"> It is repealed on 1</w:t>
      </w:r>
      <w:r w:rsidR="00055919">
        <w:t> </w:t>
      </w:r>
      <w:r w:rsidR="00856D46">
        <w:t>July</w:t>
      </w:r>
      <w:r w:rsidR="00055919">
        <w:t> </w:t>
      </w:r>
      <w:r w:rsidR="00856D46">
        <w:t>2024.</w:t>
      </w:r>
    </w:p>
    <w:p w14:paraId="405C61A5" w14:textId="77777777" w:rsidR="00EA12C9" w:rsidRPr="00F14758" w:rsidRDefault="00BD598E" w:rsidP="00100DFC">
      <w:pPr>
        <w:pStyle w:val="ESHeading"/>
      </w:pPr>
      <w:r w:rsidRPr="008B24C8">
        <w:t>Purpose</w:t>
      </w:r>
    </w:p>
    <w:p w14:paraId="331ABAC1" w14:textId="780326D2" w:rsidR="00B75478" w:rsidRPr="00B75478" w:rsidRDefault="00BF352C" w:rsidP="002D167E">
      <w:pPr>
        <w:pStyle w:val="ESPara"/>
      </w:pPr>
      <w:r>
        <w:t>Section </w:t>
      </w:r>
      <w:r w:rsidR="00F14758">
        <w:t>85 of the Migration Act provides that the Minister may, by legislative instrument, determine the maximum number of visas of a specified class, or specified classes, (excluding temporary protection visas or safe haven enterprise visas) that may be granted in a specified financial year.</w:t>
      </w:r>
    </w:p>
    <w:p w14:paraId="237B405A" w14:textId="39D1A941" w:rsidR="008B24C8" w:rsidRPr="00526DB9" w:rsidRDefault="00F14758" w:rsidP="00BB0CF2">
      <w:pPr>
        <w:pStyle w:val="ESSubparaHeader"/>
      </w:pPr>
      <w:r w:rsidRPr="00526DB9">
        <w:t>The purpose of the instrument is to determine the maximum number of visas that may be granted for certain classes of visas during the 202</w:t>
      </w:r>
      <w:r w:rsidR="00526DB9">
        <w:t>3</w:t>
      </w:r>
      <w:r w:rsidR="0073245D">
        <w:t>-</w:t>
      </w:r>
      <w:r w:rsidR="00526DB9">
        <w:t>2024 financial year between 1 July 2023 and 30 June </w:t>
      </w:r>
      <w:r w:rsidRPr="00526DB9">
        <w:t>2024 (inclusive). The instrument covers the following visa classes (with item numbers</w:t>
      </w:r>
      <w:r w:rsidR="00BF352C">
        <w:t xml:space="preserve"> referring to items in Schedule </w:t>
      </w:r>
      <w:r w:rsidRPr="00526DB9">
        <w:t xml:space="preserve">1 to the </w:t>
      </w:r>
      <w:r w:rsidRPr="00526DB9">
        <w:rPr>
          <w:i/>
        </w:rPr>
        <w:t>Migration</w:t>
      </w:r>
      <w:r w:rsidR="00BF352C">
        <w:rPr>
          <w:i/>
        </w:rPr>
        <w:t xml:space="preserve"> Regulations </w:t>
      </w:r>
      <w:r w:rsidRPr="00526DB9">
        <w:rPr>
          <w:i/>
        </w:rPr>
        <w:t>1994</w:t>
      </w:r>
      <w:r w:rsidRPr="00526DB9">
        <w:t xml:space="preserve"> (the Migration Regulations)</w:t>
      </w:r>
      <w:r w:rsidR="007D09EA" w:rsidRPr="00526DB9">
        <w:t>)</w:t>
      </w:r>
      <w:r w:rsidR="008201A9" w:rsidRPr="00526DB9">
        <w:t>:</w:t>
      </w:r>
    </w:p>
    <w:p w14:paraId="4A60860D" w14:textId="4FC4C477" w:rsidR="008201A9" w:rsidRPr="00055919" w:rsidRDefault="007D09EA" w:rsidP="00055919">
      <w:pPr>
        <w:pStyle w:val="ESSubparaList"/>
        <w:numPr>
          <w:ilvl w:val="0"/>
          <w:numId w:val="5"/>
        </w:numPr>
      </w:pPr>
      <w:r w:rsidRPr="00055919">
        <w:t>Cont</w:t>
      </w:r>
      <w:r w:rsidR="00CC7CC9">
        <w:t>ributory Parent classes of visa</w:t>
      </w:r>
    </w:p>
    <w:p w14:paraId="740373E4" w14:textId="1F1A5AF9" w:rsidR="007D09EA" w:rsidRDefault="007D09EA" w:rsidP="00055919">
      <w:pPr>
        <w:pStyle w:val="ESSubparaList"/>
        <w:numPr>
          <w:ilvl w:val="1"/>
          <w:numId w:val="5"/>
        </w:numPr>
      </w:pPr>
      <w:r>
        <w:t>Contributory Parent (Migrant) (Class CA) visa</w:t>
      </w:r>
      <w:r w:rsidR="00526DB9">
        <w:t xml:space="preserve"> (item 1130)</w:t>
      </w:r>
      <w:r w:rsidR="00B27BE1">
        <w:t>.</w:t>
      </w:r>
    </w:p>
    <w:p w14:paraId="4381E37F" w14:textId="5120BD33" w:rsidR="007D09EA" w:rsidRDefault="007D09EA" w:rsidP="00055919">
      <w:pPr>
        <w:pStyle w:val="ESSubparaList"/>
        <w:numPr>
          <w:ilvl w:val="1"/>
          <w:numId w:val="5"/>
        </w:numPr>
      </w:pPr>
      <w:r>
        <w:t>Contributory Aged Parent (Residence) (Class DG) visa</w:t>
      </w:r>
      <w:r w:rsidR="00526DB9">
        <w:t xml:space="preserve"> (item 1130A)</w:t>
      </w:r>
      <w:r w:rsidR="00B27BE1">
        <w:t>.</w:t>
      </w:r>
    </w:p>
    <w:p w14:paraId="690147BD" w14:textId="700736F3" w:rsidR="007D09EA" w:rsidRDefault="007D09EA" w:rsidP="00055919">
      <w:pPr>
        <w:pStyle w:val="ESSubparaList"/>
        <w:numPr>
          <w:ilvl w:val="1"/>
          <w:numId w:val="5"/>
        </w:numPr>
      </w:pPr>
      <w:r>
        <w:t>Contributory Parent (Temporary) (Class UT) visa</w:t>
      </w:r>
      <w:r w:rsidR="00526DB9">
        <w:t xml:space="preserve"> (item 1221)</w:t>
      </w:r>
      <w:r w:rsidR="00B27BE1">
        <w:t>.</w:t>
      </w:r>
    </w:p>
    <w:p w14:paraId="712A1E3C" w14:textId="77777777" w:rsidR="007D09EA" w:rsidRDefault="007D09EA" w:rsidP="00055919">
      <w:pPr>
        <w:pStyle w:val="ESSubparaList"/>
        <w:numPr>
          <w:ilvl w:val="1"/>
          <w:numId w:val="5"/>
        </w:numPr>
      </w:pPr>
      <w:r>
        <w:t>Contributory Aged Parent (Temporary) (Class UU) visa</w:t>
      </w:r>
      <w:r w:rsidR="00526DB9">
        <w:t xml:space="preserve"> (item 1221A).</w:t>
      </w:r>
    </w:p>
    <w:p w14:paraId="77D6D84F" w14:textId="36E60992" w:rsidR="007D09EA" w:rsidRPr="00055919" w:rsidRDefault="00CC7CC9" w:rsidP="00055919">
      <w:pPr>
        <w:pStyle w:val="ESSubparaList"/>
        <w:numPr>
          <w:ilvl w:val="0"/>
          <w:numId w:val="5"/>
        </w:numPr>
      </w:pPr>
      <w:r>
        <w:t>Parent classes of visa</w:t>
      </w:r>
    </w:p>
    <w:p w14:paraId="083539ED" w14:textId="0626F1E4" w:rsidR="007D09EA" w:rsidRDefault="007D09EA" w:rsidP="00055919">
      <w:pPr>
        <w:pStyle w:val="ESSubparaList"/>
        <w:numPr>
          <w:ilvl w:val="1"/>
          <w:numId w:val="6"/>
        </w:numPr>
      </w:pPr>
      <w:r>
        <w:t>Parent (Migrant) (Class AX) visa</w:t>
      </w:r>
      <w:r w:rsidR="00526DB9">
        <w:t xml:space="preserve"> (item 1124)</w:t>
      </w:r>
      <w:r w:rsidR="00B27BE1">
        <w:t>.</w:t>
      </w:r>
    </w:p>
    <w:p w14:paraId="7CFBE9DF" w14:textId="77777777" w:rsidR="007D09EA" w:rsidRDefault="007D09EA" w:rsidP="00055919">
      <w:pPr>
        <w:pStyle w:val="ESSubparaList"/>
        <w:numPr>
          <w:ilvl w:val="1"/>
          <w:numId w:val="6"/>
        </w:numPr>
      </w:pPr>
      <w:r>
        <w:t>Aged Parent (Residence) (Class BP) visa</w:t>
      </w:r>
      <w:r w:rsidR="00526DB9">
        <w:t xml:space="preserve"> (item 1124A).</w:t>
      </w:r>
    </w:p>
    <w:p w14:paraId="674819BA" w14:textId="77777777" w:rsidR="00526DB9" w:rsidRDefault="00526DB9">
      <w:pPr>
        <w:rPr>
          <w:rFonts w:ascii="Times New Roman" w:hAnsi="Times New Roman" w:cs="Times New Roman"/>
          <w:b/>
          <w:i/>
        </w:rPr>
      </w:pPr>
      <w:r>
        <w:rPr>
          <w:b/>
          <w:i/>
        </w:rPr>
        <w:br w:type="page"/>
      </w:r>
    </w:p>
    <w:p w14:paraId="540FEF60" w14:textId="77777777" w:rsidR="007D09EA" w:rsidRPr="00055919" w:rsidRDefault="007D09EA" w:rsidP="00055919">
      <w:pPr>
        <w:pStyle w:val="ESSubparaList"/>
        <w:numPr>
          <w:ilvl w:val="0"/>
          <w:numId w:val="5"/>
        </w:numPr>
      </w:pPr>
      <w:r w:rsidRPr="00055919">
        <w:lastRenderedPageBreak/>
        <w:t>Other Family classes of visa</w:t>
      </w:r>
    </w:p>
    <w:p w14:paraId="025F2AEB" w14:textId="146BC9BC" w:rsidR="007D09EA" w:rsidRPr="007D09EA" w:rsidRDefault="007D09EA" w:rsidP="00055919">
      <w:pPr>
        <w:pStyle w:val="ESSubparaList"/>
        <w:numPr>
          <w:ilvl w:val="1"/>
          <w:numId w:val="7"/>
        </w:numPr>
      </w:pPr>
      <w:r w:rsidRPr="007D09EA">
        <w:t>Other F</w:t>
      </w:r>
      <w:r>
        <w:t>amily (Migrant) (Class BO) visa</w:t>
      </w:r>
      <w:r w:rsidR="00526DB9">
        <w:t xml:space="preserve"> (item 1123A)</w:t>
      </w:r>
      <w:r w:rsidR="00B27BE1">
        <w:t>.</w:t>
      </w:r>
    </w:p>
    <w:p w14:paraId="17FE2236" w14:textId="77777777" w:rsidR="007D09EA" w:rsidRPr="007D09EA" w:rsidRDefault="007D09EA" w:rsidP="00055919">
      <w:pPr>
        <w:pStyle w:val="ESSubparaList"/>
        <w:numPr>
          <w:ilvl w:val="1"/>
          <w:numId w:val="7"/>
        </w:numPr>
      </w:pPr>
      <w:r w:rsidRPr="007D09EA">
        <w:t>Other Family (Residence) (Class BU) visa</w:t>
      </w:r>
      <w:r w:rsidR="00526DB9">
        <w:t xml:space="preserve"> (item 1123B).</w:t>
      </w:r>
    </w:p>
    <w:p w14:paraId="0B7324E0" w14:textId="364C79F3" w:rsidR="008B24C8" w:rsidRPr="00DE3727" w:rsidRDefault="00BF352C" w:rsidP="00DE3727">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As required by subsection </w:t>
      </w:r>
      <w:r w:rsidR="000566C9">
        <w:rPr>
          <w:rFonts w:ascii="Times New Roman" w:hAnsi="Times New Roman" w:cs="Times New Roman"/>
        </w:rPr>
        <w:t>85(2) of the Migration Act, none of the above mentioned classes of visas are temporary protection visas or safe haven enterprise visas.</w:t>
      </w:r>
    </w:p>
    <w:p w14:paraId="5B5A52C8" w14:textId="2132FEBE" w:rsidR="008B24C8" w:rsidRDefault="00DE3727"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 xml:space="preserve">The Australian Government’s annual migration program allocates a limited number of visa places to Contributory Parent, Parent and Other Family classes of visas. The Government announces the migration program numbers each year during the Budget. Capping of the visas through a legislative instrument is an annual process which has been in place since 2011. The aim is to facilitate the orderly and equitable processing of visa applications in these visa categories, given that demand significantly outweighs </w:t>
      </w:r>
      <w:r w:rsidR="009C0185">
        <w:rPr>
          <w:rFonts w:ascii="Times New Roman" w:hAnsi="Times New Roman" w:cs="Times New Roman"/>
        </w:rPr>
        <w:t>the supply of available places.</w:t>
      </w:r>
    </w:p>
    <w:p w14:paraId="33269F58" w14:textId="77777777" w:rsidR="009C0185" w:rsidRDefault="009C0185" w:rsidP="00915032">
      <w:pPr>
        <w:pStyle w:val="ListParagraph"/>
        <w:numPr>
          <w:ilvl w:val="0"/>
          <w:numId w:val="1"/>
        </w:numPr>
        <w:spacing w:before="240" w:after="240" w:line="276" w:lineRule="auto"/>
        <w:ind w:left="567" w:hanging="567"/>
        <w:contextualSpacing w:val="0"/>
        <w:rPr>
          <w:rFonts w:ascii="Times New Roman" w:hAnsi="Times New Roman" w:cs="Times New Roman"/>
        </w:rPr>
      </w:pPr>
      <w:r>
        <w:rPr>
          <w:rFonts w:ascii="Times New Roman" w:hAnsi="Times New Roman" w:cs="Times New Roman"/>
        </w:rPr>
        <w:t>The instrument determines the maximum number of visas for these classes as follows:</w:t>
      </w:r>
    </w:p>
    <w:p w14:paraId="6BBBC0E4" w14:textId="14FB5A76" w:rsidR="009C0185" w:rsidRPr="009C0185" w:rsidRDefault="009C0185" w:rsidP="009C0185">
      <w:pPr>
        <w:pStyle w:val="ListParagraph"/>
        <w:numPr>
          <w:ilvl w:val="0"/>
          <w:numId w:val="8"/>
        </w:numPr>
        <w:spacing w:before="240" w:after="240" w:line="276" w:lineRule="auto"/>
        <w:rPr>
          <w:rFonts w:ascii="Times New Roman" w:hAnsi="Times New Roman" w:cs="Times New Roman"/>
        </w:rPr>
      </w:pPr>
      <w:r w:rsidRPr="009C0185">
        <w:rPr>
          <w:rFonts w:ascii="Times New Roman" w:hAnsi="Times New Roman" w:cs="Times New Roman"/>
        </w:rPr>
        <w:t xml:space="preserve">Contributory Parent visas: 6,800 (which includes 112 </w:t>
      </w:r>
      <w:r w:rsidR="00856D46">
        <w:rPr>
          <w:rFonts w:ascii="Times New Roman" w:hAnsi="Times New Roman" w:cs="Times New Roman"/>
        </w:rPr>
        <w:t>Subclass</w:t>
      </w:r>
      <w:r w:rsidR="00055919">
        <w:rPr>
          <w:rFonts w:ascii="Times New Roman" w:hAnsi="Times New Roman" w:cs="Times New Roman"/>
        </w:rPr>
        <w:t> </w:t>
      </w:r>
      <w:r w:rsidR="00856D46">
        <w:rPr>
          <w:rFonts w:ascii="Times New Roman" w:hAnsi="Times New Roman" w:cs="Times New Roman"/>
        </w:rPr>
        <w:t xml:space="preserve">143 (Contributory Parent) </w:t>
      </w:r>
      <w:r w:rsidRPr="009C0185">
        <w:rPr>
          <w:rFonts w:ascii="Times New Roman" w:hAnsi="Times New Roman" w:cs="Times New Roman"/>
        </w:rPr>
        <w:t xml:space="preserve">visas under the Pathway to Permanent Residence for Retirees </w:t>
      </w:r>
      <w:r w:rsidR="00315480">
        <w:rPr>
          <w:rFonts w:ascii="Times New Roman" w:hAnsi="Times New Roman" w:cs="Times New Roman"/>
        </w:rPr>
        <w:t xml:space="preserve">(Retiree Pathway) </w:t>
      </w:r>
      <w:r w:rsidRPr="009C0185">
        <w:rPr>
          <w:rFonts w:ascii="Times New Roman" w:hAnsi="Times New Roman" w:cs="Times New Roman"/>
        </w:rPr>
        <w:t xml:space="preserve">that was introduced under the </w:t>
      </w:r>
      <w:r w:rsidRPr="009C0185">
        <w:rPr>
          <w:rFonts w:ascii="Times New Roman" w:hAnsi="Times New Roman" w:cs="Times New Roman"/>
          <w:i/>
        </w:rPr>
        <w:t>Migration Amendment (Pathway to Permanent Resi</w:t>
      </w:r>
      <w:r w:rsidR="00BF352C">
        <w:rPr>
          <w:rFonts w:ascii="Times New Roman" w:hAnsi="Times New Roman" w:cs="Times New Roman"/>
          <w:i/>
        </w:rPr>
        <w:t>dence for Retirees) Regulations </w:t>
      </w:r>
      <w:r w:rsidRPr="009C0185">
        <w:rPr>
          <w:rFonts w:ascii="Times New Roman" w:hAnsi="Times New Roman" w:cs="Times New Roman"/>
          <w:i/>
        </w:rPr>
        <w:t>2018)</w:t>
      </w:r>
      <w:r w:rsidRPr="009C0185">
        <w:rPr>
          <w:rFonts w:ascii="Times New Roman" w:hAnsi="Times New Roman" w:cs="Times New Roman"/>
        </w:rPr>
        <w:t>;</w:t>
      </w:r>
    </w:p>
    <w:p w14:paraId="1CE3E770" w14:textId="09CA2ECC" w:rsidR="009C0185" w:rsidRPr="009C0185" w:rsidRDefault="009C0185" w:rsidP="009C0185">
      <w:pPr>
        <w:pStyle w:val="ListParagraph"/>
        <w:numPr>
          <w:ilvl w:val="0"/>
          <w:numId w:val="8"/>
        </w:numPr>
        <w:spacing w:before="240" w:after="240" w:line="276" w:lineRule="auto"/>
        <w:rPr>
          <w:rFonts w:ascii="Times New Roman" w:hAnsi="Times New Roman" w:cs="Times New Roman"/>
        </w:rPr>
      </w:pPr>
      <w:r w:rsidRPr="009C0185">
        <w:rPr>
          <w:rFonts w:ascii="Times New Roman" w:hAnsi="Times New Roman" w:cs="Times New Roman"/>
        </w:rPr>
        <w:t>Parent visas: 1,700 (which includ</w:t>
      </w:r>
      <w:r w:rsidR="00315480">
        <w:rPr>
          <w:rFonts w:ascii="Times New Roman" w:hAnsi="Times New Roman" w:cs="Times New Roman"/>
        </w:rPr>
        <w:t xml:space="preserve">es 13 </w:t>
      </w:r>
      <w:r w:rsidR="00856D46">
        <w:rPr>
          <w:rFonts w:ascii="Times New Roman" w:hAnsi="Times New Roman" w:cs="Times New Roman"/>
        </w:rPr>
        <w:t>Subclass</w:t>
      </w:r>
      <w:r w:rsidR="00055919">
        <w:rPr>
          <w:rFonts w:ascii="Times New Roman" w:hAnsi="Times New Roman" w:cs="Times New Roman"/>
        </w:rPr>
        <w:t> </w:t>
      </w:r>
      <w:r w:rsidR="00856D46">
        <w:rPr>
          <w:rFonts w:ascii="Times New Roman" w:hAnsi="Times New Roman" w:cs="Times New Roman"/>
        </w:rPr>
        <w:t xml:space="preserve">103 (Parent) </w:t>
      </w:r>
      <w:r w:rsidR="00315480">
        <w:rPr>
          <w:rFonts w:ascii="Times New Roman" w:hAnsi="Times New Roman" w:cs="Times New Roman"/>
        </w:rPr>
        <w:t>visa</w:t>
      </w:r>
      <w:r w:rsidR="00B27BE1">
        <w:rPr>
          <w:rFonts w:ascii="Times New Roman" w:hAnsi="Times New Roman" w:cs="Times New Roman"/>
        </w:rPr>
        <w:t>s</w:t>
      </w:r>
      <w:r w:rsidR="00315480">
        <w:rPr>
          <w:rFonts w:ascii="Times New Roman" w:hAnsi="Times New Roman" w:cs="Times New Roman"/>
        </w:rPr>
        <w:t xml:space="preserve"> under the Retiree Pathway</w:t>
      </w:r>
      <w:r>
        <w:rPr>
          <w:rFonts w:ascii="Times New Roman" w:hAnsi="Times New Roman" w:cs="Times New Roman"/>
        </w:rPr>
        <w:t xml:space="preserve">); </w:t>
      </w:r>
      <w:r w:rsidRPr="009C0185">
        <w:rPr>
          <w:rFonts w:ascii="Times New Roman" w:hAnsi="Times New Roman" w:cs="Times New Roman"/>
        </w:rPr>
        <w:t>and</w:t>
      </w:r>
    </w:p>
    <w:p w14:paraId="6E3269DC" w14:textId="77777777" w:rsidR="009C0185" w:rsidRPr="009C0185" w:rsidRDefault="009C0185" w:rsidP="009C0185">
      <w:pPr>
        <w:pStyle w:val="ListParagraph"/>
        <w:numPr>
          <w:ilvl w:val="0"/>
          <w:numId w:val="8"/>
        </w:numPr>
        <w:spacing w:before="240" w:after="240" w:line="276" w:lineRule="auto"/>
        <w:rPr>
          <w:rFonts w:ascii="Times New Roman" w:hAnsi="Times New Roman" w:cs="Times New Roman"/>
        </w:rPr>
      </w:pPr>
      <w:r w:rsidRPr="009C0185">
        <w:rPr>
          <w:rFonts w:ascii="Times New Roman" w:hAnsi="Times New Roman" w:cs="Times New Roman"/>
        </w:rPr>
        <w:t>Other Family visas: 500.</w:t>
      </w:r>
    </w:p>
    <w:p w14:paraId="1F140347" w14:textId="77777777" w:rsidR="008B24C8" w:rsidRDefault="008B24C8" w:rsidP="00100DFC">
      <w:pPr>
        <w:pStyle w:val="ESHeading"/>
      </w:pPr>
      <w:r w:rsidRPr="008B24C8">
        <w:t>Consultation</w:t>
      </w:r>
    </w:p>
    <w:p w14:paraId="5DCE7310" w14:textId="34FFD77F" w:rsidR="008B24C8" w:rsidRDefault="009C0185" w:rsidP="002D167E">
      <w:pPr>
        <w:pStyle w:val="ESPara"/>
      </w:pPr>
      <w:r w:rsidRPr="00641F04">
        <w:t>Consultation is und</w:t>
      </w:r>
      <w:r w:rsidR="00641F04" w:rsidRPr="00641F04">
        <w:t>ertaken through the Budget and the M</w:t>
      </w:r>
      <w:r w:rsidRPr="00641F04">
        <w:t xml:space="preserve">igration Program planning process </w:t>
      </w:r>
      <w:r w:rsidR="00641F04" w:rsidRPr="00641F04">
        <w:t>each year by the Department of H</w:t>
      </w:r>
      <w:r w:rsidRPr="00641F04">
        <w:t>ome Affairs (the Department) to determine the numbers</w:t>
      </w:r>
      <w:r w:rsidR="00641F04">
        <w:t xml:space="preserve"> for the migration program. </w:t>
      </w:r>
      <w:r w:rsidR="00641F04" w:rsidRPr="0061073E">
        <w:t xml:space="preserve">This </w:t>
      </w:r>
      <w:r w:rsidRPr="0061073E">
        <w:t>consultation</w:t>
      </w:r>
      <w:r w:rsidR="002F6170">
        <w:t xml:space="preserve"> included</w:t>
      </w:r>
      <w:r w:rsidRPr="0061073E">
        <w:t xml:space="preserve"> formal</w:t>
      </w:r>
      <w:r w:rsidR="00641F04" w:rsidRPr="0061073E">
        <w:t xml:space="preserve"> discussions with internal and external stakeholders, consideration of submissions from the public, economic forecasts, international research, </w:t>
      </w:r>
      <w:proofErr w:type="gramStart"/>
      <w:r w:rsidR="00641F04" w:rsidRPr="0061073E">
        <w:t>demand</w:t>
      </w:r>
      <w:proofErr w:type="gramEnd"/>
      <w:r w:rsidR="00641F04" w:rsidRPr="0061073E">
        <w:t xml:space="preserve"> for permanent visa programs, net overseas migration and economic and fiscal </w:t>
      </w:r>
      <w:r w:rsidR="00641F04" w:rsidRPr="00BF352C">
        <w:t>modelling</w:t>
      </w:r>
      <w:r w:rsidRPr="00BF352C">
        <w:t>. Varied</w:t>
      </w:r>
      <w:r w:rsidRPr="00641F04">
        <w:t xml:space="preserve"> feedback from the</w:t>
      </w:r>
      <w:r w:rsidR="00641F04">
        <w:t>se</w:t>
      </w:r>
      <w:r w:rsidRPr="00641F04">
        <w:t xml:space="preserve"> consultations was taken into consideration by the Government when considering the Migration Program planning levels.</w:t>
      </w:r>
      <w:r w:rsidR="004A47B7">
        <w:t xml:space="preserve"> </w:t>
      </w:r>
    </w:p>
    <w:p w14:paraId="55FAF34F" w14:textId="0338E634" w:rsidR="004A47B7" w:rsidRPr="00641F04" w:rsidRDefault="004A47B7" w:rsidP="002D167E">
      <w:pPr>
        <w:pStyle w:val="ESPara"/>
      </w:pPr>
      <w:r w:rsidRPr="008B24C8">
        <w:t xml:space="preserve">The </w:t>
      </w:r>
      <w:r>
        <w:t xml:space="preserve">Office of Impact Analysis (OIA) was consulted and considered that the measures in this instrument are unlikely to have more than a minor or machinery nature and therefore an Impact Analysis is not required. </w:t>
      </w:r>
      <w:r w:rsidRPr="00BF352C">
        <w:t>The OIA reference is OIA23-06285.</w:t>
      </w:r>
    </w:p>
    <w:p w14:paraId="634E57EC" w14:textId="77777777" w:rsidR="00AA4557" w:rsidRPr="00AA4557" w:rsidRDefault="00113BD5" w:rsidP="00100DFC">
      <w:pPr>
        <w:pStyle w:val="ESHeading"/>
        <w:rPr>
          <w:b w:val="0"/>
          <w:i w:val="0"/>
        </w:rPr>
      </w:pPr>
      <w:r>
        <w:t>Details of the instrument</w:t>
      </w:r>
    </w:p>
    <w:p w14:paraId="4F8FEFA5" w14:textId="77777777" w:rsidR="00AA4557" w:rsidRDefault="0076334E" w:rsidP="002D167E">
      <w:pPr>
        <w:pStyle w:val="ESPara"/>
      </w:pPr>
      <w:r w:rsidRPr="0076334E">
        <w:t xml:space="preserve">Section 1 provides </w:t>
      </w:r>
      <w:r>
        <w:t>the name of the instrument.</w:t>
      </w:r>
    </w:p>
    <w:p w14:paraId="5FE970E5" w14:textId="77777777" w:rsidR="0076334E" w:rsidRDefault="0076334E" w:rsidP="002D167E">
      <w:pPr>
        <w:pStyle w:val="ESPara"/>
      </w:pPr>
      <w:r>
        <w:t>Section 2 provides that the instrument commences on the day after registration on the FRL.</w:t>
      </w:r>
    </w:p>
    <w:p w14:paraId="199CE6DF" w14:textId="0BFD515C" w:rsidR="0076334E" w:rsidRDefault="0076334E" w:rsidP="002D167E">
      <w:pPr>
        <w:pStyle w:val="ESPara"/>
      </w:pPr>
      <w:r>
        <w:t>Section 3 provides for the instru</w:t>
      </w:r>
      <w:r w:rsidR="00BF352C">
        <w:t>ment being made under paragraph </w:t>
      </w:r>
      <w:r>
        <w:t>85(1</w:t>
      </w:r>
      <w:proofErr w:type="gramStart"/>
      <w:r>
        <w:t>)(</w:t>
      </w:r>
      <w:proofErr w:type="gramEnd"/>
      <w:r>
        <w:t>b) of the Migration Act.</w:t>
      </w:r>
    </w:p>
    <w:p w14:paraId="3351BF25" w14:textId="77777777" w:rsidR="0076334E" w:rsidRDefault="0076334E" w:rsidP="002D167E">
      <w:pPr>
        <w:pStyle w:val="ESPara"/>
      </w:pPr>
      <w:r>
        <w:t>Section 4 provides definitions for terms used in the instrument.</w:t>
      </w:r>
    </w:p>
    <w:p w14:paraId="621EC8E1" w14:textId="77777777" w:rsidR="0076334E" w:rsidRDefault="0076334E" w:rsidP="002D167E">
      <w:pPr>
        <w:pStyle w:val="ESPara"/>
      </w:pPr>
      <w:r>
        <w:lastRenderedPageBreak/>
        <w:t>Section 5 provides that each instrument that is specified in a Schedule to this instrument is amended or repealed as set out in each Schedule of this instrument and any other item in a Schedule to this instrument has effect according to its terms.</w:t>
      </w:r>
    </w:p>
    <w:p w14:paraId="520D42CB" w14:textId="4DA227CD" w:rsidR="0076334E" w:rsidRDefault="0076334E" w:rsidP="002D167E">
      <w:pPr>
        <w:pStyle w:val="ESPara"/>
      </w:pPr>
      <w:r>
        <w:t>Section 6 provides that a maximum of 6,800 Contributory Parent visas may be granted during the 2023</w:t>
      </w:r>
      <w:r w:rsidR="0073245D">
        <w:t>-</w:t>
      </w:r>
      <w:r>
        <w:t>2024 financial year. (</w:t>
      </w:r>
      <w:r w:rsidR="00745D49">
        <w:t xml:space="preserve">Between </w:t>
      </w:r>
      <w:r>
        <w:t xml:space="preserve">1 July 2023 and 30 June 2024 (inclusive)). Of this maximum, </w:t>
      </w:r>
      <w:r w:rsidR="009E04EF">
        <w:t>up to</w:t>
      </w:r>
      <w:r w:rsidR="005E2C2F">
        <w:t xml:space="preserve"> </w:t>
      </w:r>
      <w:r>
        <w:t>112</w:t>
      </w:r>
      <w:r w:rsidR="00856D46">
        <w:t xml:space="preserve"> Subclass 143 (Contributory Parent)</w:t>
      </w:r>
      <w:r>
        <w:t xml:space="preserve"> </w:t>
      </w:r>
      <w:r w:rsidR="005E2C2F">
        <w:t xml:space="preserve">visas </w:t>
      </w:r>
      <w:r>
        <w:t xml:space="preserve">under the </w:t>
      </w:r>
      <w:r w:rsidR="00315480">
        <w:t>Retiree Pathway</w:t>
      </w:r>
      <w:r>
        <w:t xml:space="preserve"> may be </w:t>
      </w:r>
      <w:r w:rsidR="00BF352C">
        <w:t xml:space="preserve">granted (as governed by </w:t>
      </w:r>
      <w:r w:rsidR="00BF352C" w:rsidRPr="00BF352C">
        <w:t>clauses</w:t>
      </w:r>
      <w:r w:rsidR="00BF352C">
        <w:t> </w:t>
      </w:r>
      <w:r w:rsidRPr="00BF352C">
        <w:t>1</w:t>
      </w:r>
      <w:r w:rsidR="00856D46">
        <w:t>4</w:t>
      </w:r>
      <w:r w:rsidRPr="00BF352C">
        <w:t>3</w:t>
      </w:r>
      <w:r>
        <w:t>.214 and 143.313</w:t>
      </w:r>
      <w:r w:rsidR="00745D49">
        <w:t xml:space="preserve"> of Schedule 2 to the Migration Regulations).</w:t>
      </w:r>
    </w:p>
    <w:p w14:paraId="61C84487" w14:textId="095AAAEF" w:rsidR="00745D49" w:rsidRDefault="00745D49" w:rsidP="002D167E">
      <w:pPr>
        <w:pStyle w:val="ESPara"/>
      </w:pPr>
      <w:r>
        <w:t xml:space="preserve">Section 7 provides that a maximum of 1,700 Parent visas may be granted during the 2023/2024 financial year. (Between 1 July 2023 and 30 June 2024 (inclusive)). Of this maximum, </w:t>
      </w:r>
      <w:r w:rsidR="009E04EF">
        <w:t xml:space="preserve">up to </w:t>
      </w:r>
      <w:r>
        <w:t>13</w:t>
      </w:r>
      <w:r w:rsidR="00A1104E">
        <w:t> </w:t>
      </w:r>
      <w:r w:rsidR="00856D46">
        <w:t xml:space="preserve">Subclass 103 (Parent) </w:t>
      </w:r>
      <w:r>
        <w:t xml:space="preserve">visas under the </w:t>
      </w:r>
      <w:r w:rsidR="00315480">
        <w:t>Retiree Pathway</w:t>
      </w:r>
      <w:r>
        <w:t xml:space="preserve"> may be granted (as governed by clauses 1</w:t>
      </w:r>
      <w:r w:rsidR="00856D46">
        <w:t>0</w:t>
      </w:r>
      <w:r>
        <w:t>3.214 and 1</w:t>
      </w:r>
      <w:r w:rsidR="00856D46">
        <w:t>0</w:t>
      </w:r>
      <w:r>
        <w:t>3.313 of</w:t>
      </w:r>
      <w:r w:rsidR="00BF352C">
        <w:t xml:space="preserve"> Schedule </w:t>
      </w:r>
      <w:r>
        <w:t>2 to the Migration Regulations).</w:t>
      </w:r>
    </w:p>
    <w:p w14:paraId="5AF9E6A1" w14:textId="5533AC72" w:rsidR="00745D49" w:rsidRDefault="00745D49" w:rsidP="002D167E">
      <w:pPr>
        <w:pStyle w:val="ESPara"/>
      </w:pPr>
      <w:r>
        <w:t xml:space="preserve">Section 8 provides that a maximum of 500 Other Family visas may be granted during the 2023/2024 financial year </w:t>
      </w:r>
      <w:proofErr w:type="gramStart"/>
      <w:r>
        <w:t>(</w:t>
      </w:r>
      <w:r w:rsidR="007439C3">
        <w:t>b</w:t>
      </w:r>
      <w:r>
        <w:t>etween 1 July 2023 to 30 June 2024 (inclusive))</w:t>
      </w:r>
      <w:proofErr w:type="gramEnd"/>
      <w:r>
        <w:t>.</w:t>
      </w:r>
    </w:p>
    <w:p w14:paraId="7B1256E9" w14:textId="1BB133D8" w:rsidR="00745D49" w:rsidRPr="0076334E" w:rsidRDefault="00745D49" w:rsidP="00856D46">
      <w:pPr>
        <w:pStyle w:val="ESPara"/>
      </w:pPr>
      <w:r>
        <w:t>Schedule 1</w:t>
      </w:r>
      <w:r w:rsidR="00113BD5">
        <w:t xml:space="preserve"> </w:t>
      </w:r>
      <w:r>
        <w:t>to the instrument provides the instrument self-repeals on 1 July 2024</w:t>
      </w:r>
      <w:r w:rsidR="0058008A">
        <w:t>,</w:t>
      </w:r>
      <w:r>
        <w:t xml:space="preserve"> because it is only required for the 2023</w:t>
      </w:r>
      <w:r w:rsidR="0073245D">
        <w:t>-</w:t>
      </w:r>
      <w:r>
        <w:t xml:space="preserve">2024 financial year </w:t>
      </w:r>
      <w:r w:rsidRPr="00745D49">
        <w:t>(</w:t>
      </w:r>
      <w:r w:rsidR="00856D46">
        <w:t>b</w:t>
      </w:r>
      <w:r w:rsidRPr="00745D49">
        <w:t>etween 1 July 2023 and 30 June 2024 inclusive).</w:t>
      </w:r>
    </w:p>
    <w:p w14:paraId="099D1884" w14:textId="77777777" w:rsidR="00AA4557" w:rsidRPr="00AA4557" w:rsidRDefault="00113BD5" w:rsidP="00100DFC">
      <w:pPr>
        <w:pStyle w:val="ESHeading"/>
      </w:pPr>
      <w:r>
        <w:t>Parliamentary scrutiny etc.</w:t>
      </w:r>
    </w:p>
    <w:p w14:paraId="6AC23AC5" w14:textId="2A8D01D5" w:rsidR="00E03DCC" w:rsidRDefault="00E03DCC" w:rsidP="002D167E">
      <w:pPr>
        <w:pStyle w:val="ESPara"/>
      </w:pPr>
      <w:r>
        <w:t>The instrument is exempt from disallowance under sect</w:t>
      </w:r>
      <w:r w:rsidR="00113BD5">
        <w:t xml:space="preserve">ion 42 of the Legislation Act. This is because the instrument is made under Part 2 of the Migration Act, which is prescribed </w:t>
      </w:r>
      <w:r w:rsidR="00BF352C">
        <w:t xml:space="preserve">in sub-item </w:t>
      </w:r>
      <w:r w:rsidR="00913A30">
        <w:t xml:space="preserve">20(a) of the table in section 10 </w:t>
      </w:r>
      <w:r w:rsidR="00113BD5">
        <w:t xml:space="preserve">of the </w:t>
      </w:r>
      <w:r>
        <w:rPr>
          <w:i/>
        </w:rPr>
        <w:t>Legislation (Exemption</w:t>
      </w:r>
      <w:r w:rsidR="00BF352C">
        <w:rPr>
          <w:i/>
        </w:rPr>
        <w:t>s and Other Matters) Regulation </w:t>
      </w:r>
      <w:r>
        <w:rPr>
          <w:i/>
        </w:rPr>
        <w:t>2015</w:t>
      </w:r>
      <w:r w:rsidR="00113BD5">
        <w:t>.</w:t>
      </w:r>
    </w:p>
    <w:p w14:paraId="385587F6" w14:textId="77777777" w:rsidR="00113BD5" w:rsidRDefault="00113BD5" w:rsidP="002D167E">
      <w:pPr>
        <w:pStyle w:val="ESPara"/>
      </w:pPr>
      <w:r>
        <w:t>As the instrument is exempt from disallowance, a Statement of Compatibility with Human Rights is not required.</w:t>
      </w:r>
    </w:p>
    <w:p w14:paraId="444DAD87" w14:textId="1E6D9201" w:rsidR="00B75478" w:rsidRDefault="00113BD5" w:rsidP="00113BD5">
      <w:pPr>
        <w:pStyle w:val="ESPara"/>
      </w:pPr>
      <w:r>
        <w:t>The instrument was made by the Minister for Immigration, Citizenship and Multicultural Affair</w:t>
      </w:r>
      <w:r w:rsidR="00BF352C">
        <w:t xml:space="preserve">s in accordance with </w:t>
      </w:r>
      <w:r w:rsidR="00BF352C" w:rsidRPr="00BF352C">
        <w:t>paragraph</w:t>
      </w:r>
      <w:r w:rsidR="00BF352C">
        <w:t> </w:t>
      </w:r>
      <w:r w:rsidRPr="00BF352C">
        <w:t>85</w:t>
      </w:r>
      <w:r>
        <w:t>(1</w:t>
      </w:r>
      <w:proofErr w:type="gramStart"/>
      <w:r>
        <w:t>)(</w:t>
      </w:r>
      <w:proofErr w:type="gramEnd"/>
      <w:r>
        <w:t>b) of the Migration Act.</w:t>
      </w:r>
    </w:p>
    <w:sectPr w:rsidR="00B75478" w:rsidSect="004F5CE4">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D05B0" w14:textId="77777777" w:rsidR="000956F5" w:rsidRDefault="000956F5" w:rsidP="000956F5">
      <w:pPr>
        <w:spacing w:after="0" w:line="240" w:lineRule="auto"/>
      </w:pPr>
      <w:r>
        <w:separator/>
      </w:r>
    </w:p>
  </w:endnote>
  <w:endnote w:type="continuationSeparator" w:id="0">
    <w:p w14:paraId="023BA7C7" w14:textId="77777777" w:rsidR="000956F5" w:rsidRDefault="000956F5" w:rsidP="0009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80A81" w14:textId="77777777" w:rsidR="000956F5" w:rsidRDefault="000956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13088" w14:textId="77777777" w:rsidR="000956F5" w:rsidRDefault="00095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4F92E" w14:textId="77777777" w:rsidR="000956F5" w:rsidRDefault="0009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66B8A" w14:textId="77777777" w:rsidR="000956F5" w:rsidRDefault="000956F5" w:rsidP="000956F5">
      <w:pPr>
        <w:spacing w:after="0" w:line="240" w:lineRule="auto"/>
      </w:pPr>
      <w:r>
        <w:separator/>
      </w:r>
    </w:p>
  </w:footnote>
  <w:footnote w:type="continuationSeparator" w:id="0">
    <w:p w14:paraId="547B88F8" w14:textId="77777777" w:rsidR="000956F5" w:rsidRDefault="000956F5" w:rsidP="00095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6BFF2" w14:textId="77777777" w:rsidR="000956F5" w:rsidRDefault="00095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B904" w14:textId="77777777" w:rsidR="000956F5" w:rsidRDefault="00095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0ED76" w14:textId="77777777" w:rsidR="000956F5" w:rsidRDefault="00095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E73D2"/>
    <w:multiLevelType w:val="hybridMultilevel"/>
    <w:tmpl w:val="22B250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3AE532A9"/>
    <w:multiLevelType w:val="hybridMultilevel"/>
    <w:tmpl w:val="16DE8FA2"/>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BD45882"/>
    <w:multiLevelType w:val="hybridMultilevel"/>
    <w:tmpl w:val="71846E5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01D2DBD"/>
    <w:multiLevelType w:val="hybridMultilevel"/>
    <w:tmpl w:val="DD0CD9D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5A8450E8"/>
    <w:multiLevelType w:val="hybridMultilevel"/>
    <w:tmpl w:val="40C2C37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15:restartNumberingAfterBreak="0">
    <w:nsid w:val="7B61002D"/>
    <w:multiLevelType w:val="hybridMultilevel"/>
    <w:tmpl w:val="E9F268B0"/>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1"/>
  </w:num>
  <w:num w:numId="2">
    <w:abstractNumId w:val="3"/>
  </w:num>
  <w:num w:numId="3">
    <w:abstractNumId w:val="3"/>
  </w:num>
  <w:num w:numId="4">
    <w:abstractNumId w:val="3"/>
  </w:num>
  <w:num w:numId="5">
    <w:abstractNumId w:val="2"/>
  </w:num>
  <w:num w:numId="6">
    <w:abstractNumId w:val="0"/>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trackedChange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5E"/>
    <w:rsid w:val="000254A0"/>
    <w:rsid w:val="00055919"/>
    <w:rsid w:val="000566C9"/>
    <w:rsid w:val="000956F5"/>
    <w:rsid w:val="000D014F"/>
    <w:rsid w:val="00100DFC"/>
    <w:rsid w:val="00113BD5"/>
    <w:rsid w:val="0019164E"/>
    <w:rsid w:val="002402E0"/>
    <w:rsid w:val="002D167E"/>
    <w:rsid w:val="002F4F78"/>
    <w:rsid w:val="002F6170"/>
    <w:rsid w:val="00315480"/>
    <w:rsid w:val="003848BC"/>
    <w:rsid w:val="003A30C7"/>
    <w:rsid w:val="003A6C25"/>
    <w:rsid w:val="003B72A6"/>
    <w:rsid w:val="00402A26"/>
    <w:rsid w:val="00416E32"/>
    <w:rsid w:val="00441A23"/>
    <w:rsid w:val="00454D27"/>
    <w:rsid w:val="00457D4A"/>
    <w:rsid w:val="00464080"/>
    <w:rsid w:val="00485F99"/>
    <w:rsid w:val="004877C0"/>
    <w:rsid w:val="004A47B7"/>
    <w:rsid w:val="004C2A82"/>
    <w:rsid w:val="004F5CE4"/>
    <w:rsid w:val="00526DB9"/>
    <w:rsid w:val="005475BC"/>
    <w:rsid w:val="00560B24"/>
    <w:rsid w:val="0057002B"/>
    <w:rsid w:val="0058008A"/>
    <w:rsid w:val="005A3733"/>
    <w:rsid w:val="005A6DB7"/>
    <w:rsid w:val="005E2C2F"/>
    <w:rsid w:val="005E5E5F"/>
    <w:rsid w:val="00604E06"/>
    <w:rsid w:val="0061073E"/>
    <w:rsid w:val="00641F04"/>
    <w:rsid w:val="006E0D8F"/>
    <w:rsid w:val="0073245D"/>
    <w:rsid w:val="007439C3"/>
    <w:rsid w:val="00745D49"/>
    <w:rsid w:val="0076334E"/>
    <w:rsid w:val="007D09EA"/>
    <w:rsid w:val="007E4691"/>
    <w:rsid w:val="008201A9"/>
    <w:rsid w:val="00844379"/>
    <w:rsid w:val="00856D46"/>
    <w:rsid w:val="0088407D"/>
    <w:rsid w:val="008B24C8"/>
    <w:rsid w:val="00913A30"/>
    <w:rsid w:val="00915032"/>
    <w:rsid w:val="00923288"/>
    <w:rsid w:val="00934B15"/>
    <w:rsid w:val="009376DC"/>
    <w:rsid w:val="00945505"/>
    <w:rsid w:val="00973570"/>
    <w:rsid w:val="009828E6"/>
    <w:rsid w:val="009875A3"/>
    <w:rsid w:val="009C0185"/>
    <w:rsid w:val="009E04EF"/>
    <w:rsid w:val="009E4BD6"/>
    <w:rsid w:val="00A1104E"/>
    <w:rsid w:val="00A363EA"/>
    <w:rsid w:val="00AA4557"/>
    <w:rsid w:val="00AA4F77"/>
    <w:rsid w:val="00B27BE1"/>
    <w:rsid w:val="00B445D9"/>
    <w:rsid w:val="00B65A06"/>
    <w:rsid w:val="00B75478"/>
    <w:rsid w:val="00BB0CF2"/>
    <w:rsid w:val="00BD598E"/>
    <w:rsid w:val="00BE3E7F"/>
    <w:rsid w:val="00BF352C"/>
    <w:rsid w:val="00C00253"/>
    <w:rsid w:val="00C81A5E"/>
    <w:rsid w:val="00C92AEE"/>
    <w:rsid w:val="00C930F2"/>
    <w:rsid w:val="00CC7CC9"/>
    <w:rsid w:val="00D0070C"/>
    <w:rsid w:val="00D040C2"/>
    <w:rsid w:val="00D40E1E"/>
    <w:rsid w:val="00DE3727"/>
    <w:rsid w:val="00E03DCC"/>
    <w:rsid w:val="00E45FE2"/>
    <w:rsid w:val="00E521DF"/>
    <w:rsid w:val="00EA12C9"/>
    <w:rsid w:val="00EB18FC"/>
    <w:rsid w:val="00ED37A9"/>
    <w:rsid w:val="00F14758"/>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211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61073E"/>
    <w:rPr>
      <w:sz w:val="16"/>
      <w:szCs w:val="16"/>
    </w:rPr>
  </w:style>
  <w:style w:type="paragraph" w:styleId="CommentText">
    <w:name w:val="annotation text"/>
    <w:basedOn w:val="Normal"/>
    <w:link w:val="CommentTextChar"/>
    <w:uiPriority w:val="99"/>
    <w:semiHidden/>
    <w:unhideWhenUsed/>
    <w:rsid w:val="0061073E"/>
    <w:pPr>
      <w:spacing w:line="240" w:lineRule="auto"/>
    </w:pPr>
    <w:rPr>
      <w:sz w:val="20"/>
      <w:szCs w:val="20"/>
    </w:rPr>
  </w:style>
  <w:style w:type="character" w:customStyle="1" w:styleId="CommentTextChar">
    <w:name w:val="Comment Text Char"/>
    <w:basedOn w:val="DefaultParagraphFont"/>
    <w:link w:val="CommentText"/>
    <w:uiPriority w:val="99"/>
    <w:semiHidden/>
    <w:rsid w:val="0061073E"/>
    <w:rPr>
      <w:sz w:val="20"/>
      <w:szCs w:val="20"/>
    </w:rPr>
  </w:style>
  <w:style w:type="paragraph" w:styleId="CommentSubject">
    <w:name w:val="annotation subject"/>
    <w:basedOn w:val="CommentText"/>
    <w:next w:val="CommentText"/>
    <w:link w:val="CommentSubjectChar"/>
    <w:uiPriority w:val="99"/>
    <w:semiHidden/>
    <w:unhideWhenUsed/>
    <w:rsid w:val="0061073E"/>
    <w:rPr>
      <w:b/>
      <w:bCs/>
    </w:rPr>
  </w:style>
  <w:style w:type="character" w:customStyle="1" w:styleId="CommentSubjectChar">
    <w:name w:val="Comment Subject Char"/>
    <w:basedOn w:val="CommentTextChar"/>
    <w:link w:val="CommentSubject"/>
    <w:uiPriority w:val="99"/>
    <w:semiHidden/>
    <w:rsid w:val="0061073E"/>
    <w:rPr>
      <w:b/>
      <w:bCs/>
      <w:sz w:val="20"/>
      <w:szCs w:val="20"/>
    </w:rPr>
  </w:style>
  <w:style w:type="paragraph" w:styleId="BalloonText">
    <w:name w:val="Balloon Text"/>
    <w:basedOn w:val="Normal"/>
    <w:link w:val="BalloonTextChar"/>
    <w:uiPriority w:val="99"/>
    <w:semiHidden/>
    <w:unhideWhenUsed/>
    <w:rsid w:val="00610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73E"/>
    <w:rPr>
      <w:rFonts w:ascii="Segoe UI" w:hAnsi="Segoe UI" w:cs="Segoe UI"/>
      <w:sz w:val="18"/>
      <w:szCs w:val="18"/>
    </w:rPr>
  </w:style>
  <w:style w:type="character" w:styleId="Hyperlink">
    <w:name w:val="Hyperlink"/>
    <w:basedOn w:val="DefaultParagraphFont"/>
    <w:uiPriority w:val="99"/>
    <w:semiHidden/>
    <w:unhideWhenUsed/>
    <w:rsid w:val="0061073E"/>
    <w:rPr>
      <w:color w:val="0000FF"/>
      <w:u w:val="single"/>
    </w:rPr>
  </w:style>
  <w:style w:type="paragraph" w:styleId="Header">
    <w:name w:val="header"/>
    <w:basedOn w:val="Normal"/>
    <w:link w:val="HeaderChar"/>
    <w:uiPriority w:val="99"/>
    <w:unhideWhenUsed/>
    <w:rsid w:val="00095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6F5"/>
  </w:style>
  <w:style w:type="paragraph" w:styleId="Footer">
    <w:name w:val="footer"/>
    <w:basedOn w:val="Normal"/>
    <w:link w:val="FooterChar"/>
    <w:uiPriority w:val="99"/>
    <w:unhideWhenUsed/>
    <w:rsid w:val="00095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6F5"/>
  </w:style>
  <w:style w:type="character" w:styleId="FollowedHyperlink">
    <w:name w:val="FollowedHyperlink"/>
    <w:basedOn w:val="DefaultParagraphFont"/>
    <w:uiPriority w:val="99"/>
    <w:semiHidden/>
    <w:unhideWhenUsed/>
    <w:rsid w:val="002F61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847FB30-BCFC-4660-B68B-AAE14CD9862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8318A2B21C78042AD8CE1B7BFF08709" ma:contentTypeVersion="" ma:contentTypeDescription="PDMS Document Site Content Type" ma:contentTypeScope="" ma:versionID="ca1b3bbf3afd1ef7c07e28e6773b4284">
  <xsd:schema xmlns:xsd="http://www.w3.org/2001/XMLSchema" xmlns:xs="http://www.w3.org/2001/XMLSchema" xmlns:p="http://schemas.microsoft.com/office/2006/metadata/properties" xmlns:ns2="C847FB30-BCFC-4660-B68B-AAE14CD98629" targetNamespace="http://schemas.microsoft.com/office/2006/metadata/properties" ma:root="true" ma:fieldsID="f61168be6ee53c699b40932acad18d99" ns2:_="">
    <xsd:import namespace="C847FB30-BCFC-4660-B68B-AAE14CD9862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7FB30-BCFC-4660-B68B-AAE14CD9862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91789-3E24-467F-B609-62D18DFFBDED}">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C847FB30-BCFC-4660-B68B-AAE14CD98629"/>
    <ds:schemaRef ds:uri="http://www.w3.org/XML/1998/namespace"/>
  </ds:schemaRefs>
</ds:datastoreItem>
</file>

<file path=customXml/itemProps2.xml><?xml version="1.0" encoding="utf-8"?>
<ds:datastoreItem xmlns:ds="http://schemas.openxmlformats.org/officeDocument/2006/customXml" ds:itemID="{4BB6B021-CC37-42BE-9F9F-CC4BC09006F7}">
  <ds:schemaRefs>
    <ds:schemaRef ds:uri="http://schemas.microsoft.com/sharepoint/v3/contenttype/forms"/>
  </ds:schemaRefs>
</ds:datastoreItem>
</file>

<file path=customXml/itemProps3.xml><?xml version="1.0" encoding="utf-8"?>
<ds:datastoreItem xmlns:ds="http://schemas.openxmlformats.org/officeDocument/2006/customXml" ds:itemID="{C93D8E16-69ED-498F-9529-A4AFBAD00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7FB30-BCFC-4660-B68B-AAE14CD98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2024-03-28T06:23:00Z</dcterms:created>
  <dcterms:modified xsi:type="dcterms:W3CDTF">2024-03-28T06:23:00Z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0x010100266966F133664895A6EE3632470D45F50028318A2B21C78042AD8CE1B7BFF08709</vt:lpwstr>
  </property>
</Properties>
</file>