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FED9" w14:textId="77777777" w:rsidR="0005252B" w:rsidRPr="009F437C" w:rsidRDefault="0005252B" w:rsidP="0005252B">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Pr>
          <w:rFonts w:ascii="Times New Roman" w:hAnsi="Times New Roman"/>
          <w:b/>
          <w:sz w:val="24"/>
          <w:szCs w:val="24"/>
          <w:u w:val="single"/>
        </w:rPr>
        <w:t>COMMONWEALTH AUTHORITY</w:t>
      </w:r>
      <w:r w:rsidRPr="009F437C">
        <w:rPr>
          <w:rFonts w:ascii="Times New Roman" w:hAnsi="Times New Roman"/>
          <w:b/>
          <w:sz w:val="24"/>
          <w:szCs w:val="24"/>
          <w:u w:val="single"/>
        </w:rPr>
        <w:t xml:space="preserve">) </w:t>
      </w:r>
      <w:r>
        <w:rPr>
          <w:rFonts w:ascii="Times New Roman" w:hAnsi="Times New Roman"/>
          <w:b/>
          <w:sz w:val="24"/>
          <w:szCs w:val="24"/>
          <w:u w:val="single"/>
        </w:rPr>
        <w:t>DECLARATION</w:t>
      </w:r>
      <w:r w:rsidRPr="009F437C">
        <w:rPr>
          <w:rFonts w:ascii="Times New Roman" w:hAnsi="Times New Roman"/>
          <w:b/>
          <w:sz w:val="24"/>
          <w:szCs w:val="24"/>
          <w:u w:val="single"/>
        </w:rPr>
        <w:t xml:space="preserve"> 202</w:t>
      </w:r>
      <w:r>
        <w:rPr>
          <w:rFonts w:ascii="Times New Roman" w:hAnsi="Times New Roman"/>
          <w:b/>
          <w:sz w:val="24"/>
          <w:szCs w:val="24"/>
          <w:u w:val="single"/>
        </w:rPr>
        <w:t>4</w:t>
      </w:r>
    </w:p>
    <w:p w14:paraId="3C948CFF" w14:textId="77777777" w:rsidR="0005252B" w:rsidRPr="00704A20" w:rsidRDefault="0005252B" w:rsidP="0005252B">
      <w:pPr>
        <w:spacing w:before="120" w:after="120" w:line="240" w:lineRule="auto"/>
        <w:jc w:val="center"/>
        <w:rPr>
          <w:rFonts w:ascii="Times New Roman" w:hAnsi="Times New Roman"/>
          <w:b/>
          <w:sz w:val="24"/>
          <w:szCs w:val="24"/>
          <w:u w:val="single"/>
        </w:rPr>
      </w:pPr>
    </w:p>
    <w:p w14:paraId="29F1D506" w14:textId="77777777" w:rsidR="0005252B" w:rsidRPr="00F36CE5" w:rsidRDefault="0005252B" w:rsidP="0005252B">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3D861E79" w14:textId="77777777" w:rsidR="0005252B" w:rsidRPr="009D2A47" w:rsidRDefault="0005252B" w:rsidP="0005252B">
      <w:pPr>
        <w:spacing w:before="120" w:after="120" w:line="240" w:lineRule="auto"/>
        <w:jc w:val="center"/>
        <w:rPr>
          <w:rFonts w:ascii="Times New Roman" w:hAnsi="Times New Roman"/>
          <w:b/>
          <w:u w:val="single"/>
        </w:rPr>
      </w:pPr>
    </w:p>
    <w:p w14:paraId="5D4BD2E2" w14:textId="77777777" w:rsidR="0005252B" w:rsidRPr="00C04ACC" w:rsidRDefault="0005252B" w:rsidP="0005252B">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Pr>
          <w:rFonts w:ascii="Times New Roman" w:hAnsi="Times New Roman"/>
          <w:lang w:val="en"/>
        </w:rPr>
        <w:t xml:space="preserve">Employment and Workplace Relations </w:t>
      </w:r>
    </w:p>
    <w:p w14:paraId="40E61A84" w14:textId="77777777" w:rsidR="0005252B" w:rsidRDefault="0005252B" w:rsidP="0005252B">
      <w:pPr>
        <w:rPr>
          <w:rFonts w:ascii="Times New Roman" w:hAnsi="Times New Roman" w:cs="Times New Roman"/>
          <w:b/>
          <w:iCs/>
          <w:sz w:val="24"/>
          <w:szCs w:val="24"/>
        </w:rPr>
      </w:pPr>
    </w:p>
    <w:p w14:paraId="569421CD" w14:textId="77777777" w:rsidR="0005252B" w:rsidRPr="008F590C" w:rsidRDefault="0005252B" w:rsidP="0005252B">
      <w:pPr>
        <w:rPr>
          <w:rFonts w:ascii="Times New Roman" w:hAnsi="Times New Roman" w:cs="Times New Roman"/>
          <w:b/>
          <w:iCs/>
          <w:sz w:val="24"/>
          <w:szCs w:val="24"/>
        </w:rPr>
      </w:pPr>
      <w:r>
        <w:rPr>
          <w:rFonts w:ascii="Times New Roman" w:hAnsi="Times New Roman" w:cs="Times New Roman"/>
          <w:b/>
          <w:iCs/>
          <w:sz w:val="24"/>
          <w:szCs w:val="24"/>
        </w:rPr>
        <w:t xml:space="preserve">PURPOSE AND OPERATION OF THE INSTRUMENT </w:t>
      </w:r>
    </w:p>
    <w:p w14:paraId="0BE1AC3D"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The </w:t>
      </w:r>
      <w:r w:rsidRPr="007E6C1F">
        <w:rPr>
          <w:rFonts w:ascii="Times New Roman" w:hAnsi="Times New Roman" w:cs="Times New Roman"/>
          <w:bCs/>
          <w:i/>
        </w:rPr>
        <w:t>Safety, Rehabilitation and Compensation Act 1988</w:t>
      </w:r>
      <w:r w:rsidRPr="007E6C1F">
        <w:rPr>
          <w:rFonts w:ascii="Times New Roman" w:hAnsi="Times New Roman" w:cs="Times New Roman"/>
          <w:bCs/>
          <w:iCs/>
        </w:rPr>
        <w:t xml:space="preserve"> (SRC Act) establishes the Commonwealth workers’ compensation and rehabilitation scheme for employees of the Commonwealth, Commonwealth authorities and licensed corporations. </w:t>
      </w:r>
    </w:p>
    <w:p w14:paraId="6B994FD0"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Subsection 4(1) of the SRC Act includes the definition of ‘Commonwealth authority’. Under subparagraph (d) of that definition, the Minister may declare a body corporate to be a body corporate to which the SRC Act applies. Where a body corporate is subject to such a declaration by the Minister and is a body corporate in which a body corporate declared under subparagraph (c) of that definition has a controlling interest, the body corporate will be a Commonwealth authority. </w:t>
      </w:r>
    </w:p>
    <w:p w14:paraId="7397CC7B"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This declaration makes Inland Rail Pty Ltd (ACN: 094 819 520) (IRPL) a Commonwealth authority for the purposes of the SRC Act on the basis that:</w:t>
      </w:r>
    </w:p>
    <w:p w14:paraId="218C7682"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 xml:space="preserve">IRPL is a proprietary limited company, incorporated under the </w:t>
      </w:r>
      <w:r w:rsidRPr="007E6C1F">
        <w:rPr>
          <w:rFonts w:ascii="Times New Roman" w:hAnsi="Times New Roman" w:cs="Times New Roman"/>
          <w:bCs/>
          <w:i/>
        </w:rPr>
        <w:t>Corporations Act 2001</w:t>
      </w:r>
      <w:r w:rsidRPr="007E6C1F">
        <w:rPr>
          <w:rFonts w:ascii="Times New Roman" w:hAnsi="Times New Roman" w:cs="Times New Roman"/>
          <w:bCs/>
          <w:iCs/>
        </w:rPr>
        <w:t>;</w:t>
      </w:r>
    </w:p>
    <w:p w14:paraId="24AB1B64"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in which the Australian Rail Track Corporation (ARTC) has a controlling interest (ARTC is a body corporate and was declared a Commonwealth Authority under subparagraph (c) of that definition in Notice of Declaration No.4 of 1998 (</w:t>
      </w:r>
      <w:r w:rsidRPr="007E6C1F">
        <w:rPr>
          <w:rFonts w:ascii="Times New Roman" w:hAnsi="Times New Roman" w:cs="Times New Roman"/>
          <w:bCs/>
          <w:i/>
        </w:rPr>
        <w:t xml:space="preserve">Gazette </w:t>
      </w:r>
      <w:r w:rsidRPr="007E6C1F">
        <w:rPr>
          <w:rFonts w:ascii="Times New Roman" w:hAnsi="Times New Roman" w:cs="Times New Roman"/>
          <w:bCs/>
          <w:iCs/>
        </w:rPr>
        <w:t>No 217 of 18 May 1998));</w:t>
      </w:r>
    </w:p>
    <w:p w14:paraId="53468DB7"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that is declared by the Minister to be a body corporate to which the SRC Act applies.</w:t>
      </w:r>
    </w:p>
    <w:p w14:paraId="54B77CC5" w14:textId="77777777" w:rsidR="0005252B" w:rsidRPr="003E6C54" w:rsidRDefault="0005252B" w:rsidP="0005252B">
      <w:pPr>
        <w:pStyle w:val="ListParagraph"/>
        <w:rPr>
          <w:rFonts w:ascii="Times New Roman" w:hAnsi="Times New Roman" w:cs="Times New Roman"/>
          <w:bCs/>
          <w:iCs/>
          <w:sz w:val="24"/>
          <w:szCs w:val="24"/>
        </w:rPr>
      </w:pPr>
    </w:p>
    <w:p w14:paraId="1E3A82DC" w14:textId="77777777" w:rsidR="0005252B" w:rsidRPr="008F590C" w:rsidRDefault="0005252B" w:rsidP="0005252B">
      <w:pPr>
        <w:rPr>
          <w:rFonts w:ascii="Times New Roman" w:hAnsi="Times New Roman" w:cs="Times New Roman"/>
          <w:b/>
          <w:iCs/>
          <w:sz w:val="24"/>
          <w:szCs w:val="24"/>
        </w:rPr>
      </w:pPr>
      <w:r>
        <w:rPr>
          <w:rFonts w:ascii="Times New Roman" w:hAnsi="Times New Roman" w:cs="Times New Roman"/>
          <w:b/>
          <w:iCs/>
          <w:sz w:val="24"/>
          <w:szCs w:val="24"/>
        </w:rPr>
        <w:t>CONSULTATION</w:t>
      </w:r>
    </w:p>
    <w:p w14:paraId="45BAFDF9"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The Department has consulted the Department of Finance, the Department of Infrastructure, Transport, Regional Development, Communications and the Arts, Comcare and IRPL regarding the proposed declaration. Those stakeholders are in favour of prescribing IRPL as a Commonwealth authority to which the SRC Act applies. </w:t>
      </w:r>
    </w:p>
    <w:p w14:paraId="31AE214F"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IRPL consulted affected staff, the Rail Tram and Bus Union, Australian Services Union, and Professionals Australia. No concerns were raised</w:t>
      </w:r>
      <w:r>
        <w:rPr>
          <w:rFonts w:ascii="Times New Roman" w:hAnsi="Times New Roman" w:cs="Times New Roman"/>
          <w:bCs/>
          <w:iCs/>
        </w:rPr>
        <w:t xml:space="preserve"> by any of the parties that were consulted</w:t>
      </w:r>
      <w:r w:rsidRPr="007E6C1F">
        <w:rPr>
          <w:rFonts w:ascii="Times New Roman" w:hAnsi="Times New Roman" w:cs="Times New Roman"/>
          <w:bCs/>
          <w:iCs/>
        </w:rPr>
        <w:t xml:space="preserve">. </w:t>
      </w:r>
    </w:p>
    <w:p w14:paraId="0040A41A" w14:textId="77777777" w:rsidR="0005252B" w:rsidRPr="008F590C" w:rsidRDefault="0005252B" w:rsidP="0005252B">
      <w:pPr>
        <w:rPr>
          <w:rFonts w:ascii="Times New Roman" w:hAnsi="Times New Roman" w:cs="Times New Roman"/>
          <w:b/>
          <w:iCs/>
          <w:sz w:val="24"/>
          <w:szCs w:val="24"/>
        </w:rPr>
      </w:pPr>
      <w:r>
        <w:rPr>
          <w:rFonts w:ascii="Times New Roman" w:hAnsi="Times New Roman" w:cs="Times New Roman"/>
          <w:b/>
          <w:iCs/>
          <w:sz w:val="24"/>
          <w:szCs w:val="24"/>
        </w:rPr>
        <w:t>REGULATION IMPACT STATEMENT</w:t>
      </w:r>
    </w:p>
    <w:p w14:paraId="4AE42919" w14:textId="0E157F34"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The Office of Impact Analysis has confirmed that an Impact Analysis is not required (OIA Ref: </w:t>
      </w:r>
      <w:r w:rsidR="008339C6" w:rsidRPr="008339C6">
        <w:rPr>
          <w:rFonts w:ascii="Times New Roman" w:hAnsi="Times New Roman" w:cs="Times New Roman"/>
          <w:bCs/>
          <w:iCs/>
        </w:rPr>
        <w:t>OIA24-07089</w:t>
      </w:r>
      <w:r w:rsidRPr="007E6C1F">
        <w:rPr>
          <w:rFonts w:ascii="Times New Roman" w:hAnsi="Times New Roman" w:cs="Times New Roman"/>
          <w:bCs/>
          <w:iCs/>
        </w:rPr>
        <w:t xml:space="preserve">). </w:t>
      </w:r>
    </w:p>
    <w:p w14:paraId="2E099201"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This instrument is a legislative instrument for the purposes of the </w:t>
      </w:r>
      <w:r w:rsidRPr="007E6C1F">
        <w:rPr>
          <w:rFonts w:ascii="Times New Roman" w:hAnsi="Times New Roman" w:cs="Times New Roman"/>
          <w:bCs/>
          <w:i/>
        </w:rPr>
        <w:t>Legislative Instruments Act 2003</w:t>
      </w:r>
      <w:r w:rsidRPr="007E6C1F">
        <w:rPr>
          <w:rFonts w:ascii="Times New Roman" w:hAnsi="Times New Roman" w:cs="Times New Roman"/>
          <w:bCs/>
          <w:iCs/>
        </w:rPr>
        <w:t xml:space="preserve"> and is not exempt from sunsetting or disallowance.</w:t>
      </w:r>
    </w:p>
    <w:p w14:paraId="40330422"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This declaration will take effect on the day after this instrument is registered. </w:t>
      </w:r>
    </w:p>
    <w:p w14:paraId="0032690B" w14:textId="77777777" w:rsidR="0005252B" w:rsidRDefault="0005252B" w:rsidP="0005252B">
      <w:pPr>
        <w:rPr>
          <w:rFonts w:ascii="Times New Roman" w:hAnsi="Times New Roman" w:cs="Times New Roman"/>
          <w:bCs/>
          <w:iCs/>
          <w:sz w:val="24"/>
          <w:szCs w:val="24"/>
        </w:rPr>
      </w:pPr>
    </w:p>
    <w:p w14:paraId="28F4728F" w14:textId="77777777" w:rsidR="0005252B" w:rsidRDefault="0005252B" w:rsidP="0005252B">
      <w:pPr>
        <w:rPr>
          <w:rFonts w:ascii="Times New Roman" w:hAnsi="Times New Roman" w:cs="Times New Roman"/>
          <w:b/>
          <w:bCs/>
          <w:iCs/>
          <w:sz w:val="24"/>
          <w:szCs w:val="24"/>
        </w:rPr>
      </w:pPr>
    </w:p>
    <w:p w14:paraId="44DBAE31" w14:textId="77777777" w:rsidR="0005252B" w:rsidRPr="00607FAA" w:rsidRDefault="0005252B" w:rsidP="0005252B">
      <w:pPr>
        <w:rPr>
          <w:rFonts w:ascii="Times New Roman" w:hAnsi="Times New Roman" w:cs="Times New Roman"/>
          <w:bCs/>
          <w:iCs/>
          <w:sz w:val="24"/>
          <w:szCs w:val="24"/>
        </w:rPr>
      </w:pPr>
      <w:r w:rsidRPr="00607FAA">
        <w:rPr>
          <w:rFonts w:ascii="Times New Roman" w:hAnsi="Times New Roman" w:cs="Times New Roman"/>
          <w:b/>
          <w:bCs/>
          <w:iCs/>
          <w:sz w:val="24"/>
          <w:szCs w:val="24"/>
        </w:rPr>
        <w:lastRenderedPageBreak/>
        <w:t>STATEMENT OF COMPATIBILITY WITH HUMAN RIGHTS</w:t>
      </w:r>
    </w:p>
    <w:p w14:paraId="3AB678A6"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
          <w:iCs/>
        </w:rPr>
        <w:t>Prepared in accordance with Part 3 of the Human Rights (Parliamentary Scrutiny) Act 2011</w:t>
      </w:r>
    </w:p>
    <w:p w14:paraId="053F52E6" w14:textId="77777777" w:rsidR="0005252B" w:rsidRPr="007E6C1F" w:rsidRDefault="0005252B" w:rsidP="0005252B">
      <w:pPr>
        <w:rPr>
          <w:rFonts w:ascii="Times New Roman" w:hAnsi="Times New Roman" w:cs="Times New Roman"/>
          <w:b/>
          <w:bCs/>
          <w:iCs/>
        </w:rPr>
      </w:pPr>
      <w:r w:rsidRPr="007E6C1F">
        <w:rPr>
          <w:rFonts w:ascii="Times New Roman" w:hAnsi="Times New Roman" w:cs="Times New Roman"/>
          <w:b/>
          <w:bCs/>
          <w:iCs/>
        </w:rPr>
        <w:t>Safety, Rehabilitation and Compensation (Commonwealth Authority) Declaration 2024</w:t>
      </w:r>
    </w:p>
    <w:p w14:paraId="695BE5D1"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This Legislative Instrument is compatible with the human rights and freedoms recognised or declared in the international instruments listed in section 3 of the </w:t>
      </w:r>
      <w:r w:rsidRPr="007E6C1F">
        <w:rPr>
          <w:rFonts w:ascii="Times New Roman" w:hAnsi="Times New Roman" w:cs="Times New Roman"/>
          <w:bCs/>
          <w:i/>
          <w:iCs/>
        </w:rPr>
        <w:t>Human Rights (Parliamentary Scrutiny) Act 2011</w:t>
      </w:r>
      <w:r w:rsidRPr="007E6C1F">
        <w:rPr>
          <w:rFonts w:ascii="Times New Roman" w:hAnsi="Times New Roman" w:cs="Times New Roman"/>
          <w:bCs/>
          <w:iCs/>
        </w:rPr>
        <w:t>.</w:t>
      </w:r>
    </w:p>
    <w:p w14:paraId="058C7FD6"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
          <w:bCs/>
          <w:iCs/>
        </w:rPr>
        <w:t>Overview of the Legislative Instrument</w:t>
      </w:r>
    </w:p>
    <w:p w14:paraId="7A10E059"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The </w:t>
      </w:r>
      <w:r w:rsidRPr="007E6C1F">
        <w:rPr>
          <w:rFonts w:ascii="Times New Roman" w:hAnsi="Times New Roman" w:cs="Times New Roman"/>
          <w:bCs/>
          <w:i/>
        </w:rPr>
        <w:t>Safety, Rehabilitation and Compensation Act 1988</w:t>
      </w:r>
      <w:r w:rsidRPr="007E6C1F">
        <w:rPr>
          <w:rFonts w:ascii="Times New Roman" w:hAnsi="Times New Roman" w:cs="Times New Roman"/>
          <w:bCs/>
          <w:iCs/>
        </w:rPr>
        <w:t xml:space="preserve"> (SRC Act) establishes the Commonwealth workers’ compensation and rehabilitation scheme for employees of the Commonwealth, Commonwealth authorities and licensed corporations. </w:t>
      </w:r>
    </w:p>
    <w:p w14:paraId="747BAB98"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 xml:space="preserve">Subsection 4(1) of the SRC Act includes the definition of ‘Commonwealth authority’. Under subparagraph (d) of that definition, the Minister may declare a body corporate to be a body corporate to which the SRC Act applies. Where a body corporate is subject to such a declaration by the Minister and is a body corporate in which a body corporate declared under subparagraph (c) of that definition has a controlling interest, the body corporate will be a Commonwealth authority. </w:t>
      </w:r>
    </w:p>
    <w:p w14:paraId="4772CA66"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Cs/>
          <w:iCs/>
        </w:rPr>
        <w:t>This declaration makes Inland Rail Pty Ltd (ACN: 094 819 520) (IRPL) a Commonwealth authority for the purposes of the SRC Act on the basis that:</w:t>
      </w:r>
    </w:p>
    <w:p w14:paraId="19CB7F5A"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 xml:space="preserve">IRPL is a proprietary limited company, incorporated under the </w:t>
      </w:r>
      <w:r w:rsidRPr="007E6C1F">
        <w:rPr>
          <w:rFonts w:ascii="Times New Roman" w:hAnsi="Times New Roman" w:cs="Times New Roman"/>
          <w:bCs/>
          <w:i/>
        </w:rPr>
        <w:t>Corporations Act 2001</w:t>
      </w:r>
      <w:r w:rsidRPr="007E6C1F">
        <w:rPr>
          <w:rFonts w:ascii="Times New Roman" w:hAnsi="Times New Roman" w:cs="Times New Roman"/>
          <w:bCs/>
          <w:iCs/>
        </w:rPr>
        <w:t>;</w:t>
      </w:r>
    </w:p>
    <w:p w14:paraId="2EE1606F"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in which the Australian Rail Track Corporation (ARTC) has a controlling interest (ARTC is a body corporate and was declared a Commonwealth Authority under subparagraph (c) of that definition in Notice of Declaration No.4 of 1998 (</w:t>
      </w:r>
      <w:r w:rsidRPr="007E6C1F">
        <w:rPr>
          <w:rFonts w:ascii="Times New Roman" w:hAnsi="Times New Roman" w:cs="Times New Roman"/>
          <w:bCs/>
          <w:i/>
        </w:rPr>
        <w:t xml:space="preserve">Gazette </w:t>
      </w:r>
      <w:r w:rsidRPr="007E6C1F">
        <w:rPr>
          <w:rFonts w:ascii="Times New Roman" w:hAnsi="Times New Roman" w:cs="Times New Roman"/>
          <w:bCs/>
          <w:iCs/>
        </w:rPr>
        <w:t>No 217 of 18 May 1998));</w:t>
      </w:r>
    </w:p>
    <w:p w14:paraId="173D59C5" w14:textId="77777777" w:rsidR="0005252B" w:rsidRPr="007E6C1F" w:rsidRDefault="0005252B" w:rsidP="0005252B">
      <w:pPr>
        <w:pStyle w:val="ListParagraph"/>
        <w:numPr>
          <w:ilvl w:val="0"/>
          <w:numId w:val="1"/>
        </w:numPr>
        <w:rPr>
          <w:rFonts w:ascii="Times New Roman" w:hAnsi="Times New Roman" w:cs="Times New Roman"/>
          <w:bCs/>
          <w:iCs/>
        </w:rPr>
      </w:pPr>
      <w:r w:rsidRPr="007E6C1F">
        <w:rPr>
          <w:rFonts w:ascii="Times New Roman" w:hAnsi="Times New Roman" w:cs="Times New Roman"/>
          <w:bCs/>
          <w:iCs/>
        </w:rPr>
        <w:t>that is declared by the Minister to be a body corporate to which the SRC Act applies.</w:t>
      </w:r>
    </w:p>
    <w:p w14:paraId="27A98D12" w14:textId="77777777" w:rsidR="0005252B" w:rsidRPr="007E6C1F" w:rsidRDefault="0005252B" w:rsidP="0005252B">
      <w:pPr>
        <w:rPr>
          <w:rFonts w:ascii="Times New Roman" w:hAnsi="Times New Roman" w:cs="Times New Roman"/>
          <w:bCs/>
          <w:iCs/>
        </w:rPr>
      </w:pPr>
      <w:r w:rsidRPr="007E6C1F">
        <w:rPr>
          <w:rFonts w:ascii="Times New Roman" w:hAnsi="Times New Roman" w:cs="Times New Roman"/>
          <w:b/>
          <w:bCs/>
          <w:iCs/>
        </w:rPr>
        <w:t>Human rights implications</w:t>
      </w:r>
    </w:p>
    <w:p w14:paraId="2E95AF5A" w14:textId="77777777" w:rsidR="0005252B" w:rsidRPr="00D76CC9" w:rsidRDefault="0005252B" w:rsidP="0005252B">
      <w:pPr>
        <w:rPr>
          <w:rFonts w:ascii="Times New Roman" w:hAnsi="Times New Roman" w:cs="Times New Roman"/>
          <w:bCs/>
          <w:iCs/>
        </w:rPr>
      </w:pPr>
      <w:r w:rsidRPr="00D76CC9">
        <w:rPr>
          <w:rFonts w:ascii="Times New Roman" w:hAnsi="Times New Roman" w:cs="Times New Roman"/>
          <w:bCs/>
          <w:iCs/>
        </w:rPr>
        <w:t>Article 7 of the International Covenant on Economic, Social and Cultural Rights (ICESCR) provides for the right of everyone to the enjoyment of just and favourable conditions of work.  Article 11 of the ICESCR provides for the right of everyone to an adequate standard of living.  Article 9 of the ICESCR provides for the right of everyone to social security, including social insurance.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Pr>
          <w:rStyle w:val="FootnoteReference"/>
          <w:rFonts w:ascii="Times New Roman" w:hAnsi="Times New Roman" w:cs="Times New Roman"/>
          <w:bCs/>
          <w:iCs/>
        </w:rPr>
        <w:footnoteReference w:id="1"/>
      </w:r>
    </w:p>
    <w:p w14:paraId="7C92ED55" w14:textId="0375B35C" w:rsidR="002864CD" w:rsidRDefault="0005252B">
      <w:pPr>
        <w:rPr>
          <w:rFonts w:ascii="Times New Roman" w:hAnsi="Times New Roman" w:cs="Times New Roman"/>
        </w:rPr>
      </w:pPr>
      <w:r w:rsidRPr="0005252B">
        <w:rPr>
          <w:rFonts w:ascii="Times New Roman" w:hAnsi="Times New Roman" w:cs="Times New Roman"/>
        </w:rPr>
        <w:t>Workers’ compensation legislation ensures the protection of injured workers by way of compensation payments, payment of medical expenses, permanent impairment benefits and other benefits, such as access to rehabilitation support.  By doing so, it also supports the rights to just and favourable working conditions and to an adequate standard of living.</w:t>
      </w:r>
    </w:p>
    <w:p w14:paraId="792D4B2C" w14:textId="24D8A47F" w:rsidR="0005252B" w:rsidRDefault="00561CA4">
      <w:pPr>
        <w:rPr>
          <w:rFonts w:ascii="Times New Roman" w:hAnsi="Times New Roman" w:cs="Times New Roman"/>
        </w:rPr>
      </w:pPr>
      <w:r>
        <w:rPr>
          <w:rFonts w:ascii="Times New Roman" w:hAnsi="Times New Roman" w:cs="Times New Roman"/>
        </w:rPr>
        <w:t xml:space="preserve">This declaration </w:t>
      </w:r>
      <w:r w:rsidR="00960AA6" w:rsidRPr="00960AA6">
        <w:rPr>
          <w:rFonts w:ascii="Times New Roman" w:hAnsi="Times New Roman" w:cs="Times New Roman"/>
        </w:rPr>
        <w:t xml:space="preserve">positively engages the right to social security by </w:t>
      </w:r>
      <w:r w:rsidR="00B15937">
        <w:rPr>
          <w:rFonts w:ascii="Times New Roman" w:hAnsi="Times New Roman" w:cs="Times New Roman"/>
        </w:rPr>
        <w:t>extending</w:t>
      </w:r>
      <w:r w:rsidR="00960AA6" w:rsidRPr="00960AA6">
        <w:rPr>
          <w:rFonts w:ascii="Times New Roman" w:hAnsi="Times New Roman" w:cs="Times New Roman"/>
        </w:rPr>
        <w:t xml:space="preserve"> coverage of the </w:t>
      </w:r>
      <w:r w:rsidR="00B15937">
        <w:rPr>
          <w:rFonts w:ascii="Times New Roman" w:hAnsi="Times New Roman" w:cs="Times New Roman"/>
        </w:rPr>
        <w:t xml:space="preserve">SRC </w:t>
      </w:r>
      <w:r w:rsidR="00960AA6" w:rsidRPr="00960AA6">
        <w:rPr>
          <w:rFonts w:ascii="Times New Roman" w:hAnsi="Times New Roman" w:cs="Times New Roman"/>
        </w:rPr>
        <w:t>Act (and therefore access to workers’ compensation</w:t>
      </w:r>
      <w:r w:rsidR="00621EA7">
        <w:rPr>
          <w:rFonts w:ascii="Times New Roman" w:hAnsi="Times New Roman" w:cs="Times New Roman"/>
        </w:rPr>
        <w:t xml:space="preserve"> entitlements</w:t>
      </w:r>
      <w:r w:rsidR="00960AA6" w:rsidRPr="00960AA6">
        <w:rPr>
          <w:rFonts w:ascii="Times New Roman" w:hAnsi="Times New Roman" w:cs="Times New Roman"/>
        </w:rPr>
        <w:t>) to employees of IRPL who would not otherwise be covered by the Act.</w:t>
      </w:r>
    </w:p>
    <w:p w14:paraId="4A7D6021" w14:textId="77777777" w:rsidR="00384BEF" w:rsidRDefault="00384BEF" w:rsidP="00384BEF">
      <w:pPr>
        <w:keepNext/>
        <w:shd w:val="clear" w:color="auto" w:fill="FFFFFF"/>
        <w:spacing w:before="120" w:after="120" w:line="240" w:lineRule="auto"/>
        <w:contextualSpacing/>
        <w:rPr>
          <w:rFonts w:ascii="Times New Roman" w:hAnsi="Times New Roman"/>
          <w:b/>
        </w:rPr>
      </w:pPr>
    </w:p>
    <w:p w14:paraId="444780DB" w14:textId="77777777" w:rsidR="00384BEF" w:rsidRDefault="00384BEF" w:rsidP="00384BEF">
      <w:pPr>
        <w:keepNext/>
        <w:shd w:val="clear" w:color="auto" w:fill="FFFFFF"/>
        <w:spacing w:before="120" w:after="120" w:line="240" w:lineRule="auto"/>
        <w:contextualSpacing/>
        <w:rPr>
          <w:rFonts w:ascii="Times New Roman" w:hAnsi="Times New Roman"/>
          <w:b/>
        </w:rPr>
      </w:pPr>
    </w:p>
    <w:p w14:paraId="23B81626" w14:textId="46DDC125" w:rsidR="00384BEF" w:rsidRDefault="00384BEF" w:rsidP="00384BEF">
      <w:pPr>
        <w:keepNext/>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683678A2" w14:textId="77777777" w:rsidR="00384BEF" w:rsidRPr="00DC1C79" w:rsidRDefault="00384BEF" w:rsidP="00384BEF">
      <w:pPr>
        <w:shd w:val="clear" w:color="auto" w:fill="FFFFFF"/>
        <w:spacing w:before="120" w:after="120" w:line="240" w:lineRule="auto"/>
        <w:contextualSpacing/>
        <w:rPr>
          <w:rFonts w:ascii="Times New Roman" w:hAnsi="Times New Roman"/>
          <w:b/>
        </w:rPr>
      </w:pPr>
    </w:p>
    <w:p w14:paraId="0CBECDF9" w14:textId="77777777" w:rsidR="00384BEF" w:rsidRPr="00157E7E" w:rsidRDefault="00384BEF" w:rsidP="00384BEF">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0EF08B3F" w14:textId="77777777" w:rsidR="00384BEF" w:rsidRDefault="00384BEF" w:rsidP="00384BEF">
      <w:pPr>
        <w:spacing w:before="120" w:after="120" w:line="240" w:lineRule="auto"/>
        <w:jc w:val="center"/>
        <w:rPr>
          <w:rFonts w:ascii="Times New Roman" w:hAnsi="Times New Roman"/>
          <w:b/>
        </w:rPr>
      </w:pPr>
    </w:p>
    <w:p w14:paraId="3D1AB5CC" w14:textId="77777777" w:rsidR="00384BEF" w:rsidRPr="00157E7E" w:rsidRDefault="00384BEF" w:rsidP="00384BEF">
      <w:pPr>
        <w:spacing w:before="120" w:after="120" w:line="240" w:lineRule="auto"/>
        <w:jc w:val="center"/>
        <w:rPr>
          <w:rFonts w:ascii="Times New Roman" w:hAnsi="Times New Roman"/>
          <w:b/>
        </w:rPr>
      </w:pPr>
      <w:r>
        <w:rPr>
          <w:rFonts w:ascii="Times New Roman" w:hAnsi="Times New Roman"/>
          <w:b/>
        </w:rPr>
        <w:t>T</w:t>
      </w:r>
      <w:r w:rsidRPr="00157E7E">
        <w:rPr>
          <w:rFonts w:ascii="Times New Roman" w:hAnsi="Times New Roman"/>
          <w:b/>
        </w:rPr>
        <w:t xml:space="preserve">he Hon </w:t>
      </w:r>
      <w:r>
        <w:rPr>
          <w:rFonts w:ascii="Times New Roman" w:hAnsi="Times New Roman"/>
          <w:b/>
        </w:rPr>
        <w:t>Tony Burke</w:t>
      </w:r>
    </w:p>
    <w:p w14:paraId="44BD18A5" w14:textId="77777777" w:rsidR="00384BEF" w:rsidRDefault="00384BEF" w:rsidP="00384BEF">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Pr>
          <w:rFonts w:ascii="Times New Roman" w:hAnsi="Times New Roman"/>
          <w:lang w:val="en"/>
        </w:rPr>
        <w:t>Employment and Workplace Relations</w:t>
      </w:r>
    </w:p>
    <w:p w14:paraId="080ADC74" w14:textId="77777777" w:rsidR="00384BEF" w:rsidRDefault="00384BEF">
      <w:pPr>
        <w:rPr>
          <w:rFonts w:ascii="Times New Roman" w:hAnsi="Times New Roman" w:cs="Times New Roman"/>
        </w:rPr>
      </w:pPr>
    </w:p>
    <w:p w14:paraId="2C73D75C" w14:textId="77777777" w:rsidR="004237D3" w:rsidRDefault="004237D3">
      <w:pPr>
        <w:rPr>
          <w:rFonts w:ascii="Times New Roman" w:hAnsi="Times New Roman" w:cs="Times New Roman"/>
        </w:rPr>
      </w:pPr>
    </w:p>
    <w:p w14:paraId="3B044046" w14:textId="77777777" w:rsidR="004237D3" w:rsidRDefault="004237D3">
      <w:pPr>
        <w:rPr>
          <w:rFonts w:ascii="Times New Roman" w:hAnsi="Times New Roman" w:cs="Times New Roman"/>
        </w:rPr>
      </w:pPr>
    </w:p>
    <w:p w14:paraId="23C9FB77" w14:textId="77777777" w:rsidR="004237D3" w:rsidRDefault="004237D3">
      <w:pPr>
        <w:rPr>
          <w:rFonts w:ascii="Times New Roman" w:hAnsi="Times New Roman" w:cs="Times New Roman"/>
        </w:rPr>
      </w:pPr>
    </w:p>
    <w:p w14:paraId="7AFB24EC" w14:textId="77777777" w:rsidR="004237D3" w:rsidRDefault="004237D3">
      <w:pPr>
        <w:rPr>
          <w:rFonts w:ascii="Times New Roman" w:hAnsi="Times New Roman" w:cs="Times New Roman"/>
        </w:rPr>
      </w:pPr>
    </w:p>
    <w:p w14:paraId="7CEF65F8" w14:textId="77777777" w:rsidR="004237D3" w:rsidRDefault="004237D3">
      <w:pPr>
        <w:rPr>
          <w:rFonts w:ascii="Times New Roman" w:hAnsi="Times New Roman" w:cs="Times New Roman"/>
        </w:rPr>
      </w:pPr>
    </w:p>
    <w:p w14:paraId="1C268630" w14:textId="77777777" w:rsidR="004237D3" w:rsidRDefault="004237D3">
      <w:pPr>
        <w:rPr>
          <w:rFonts w:ascii="Times New Roman" w:hAnsi="Times New Roman" w:cs="Times New Roman"/>
        </w:rPr>
      </w:pPr>
    </w:p>
    <w:p w14:paraId="6CAAF2F1" w14:textId="77777777" w:rsidR="004237D3" w:rsidRDefault="004237D3">
      <w:pPr>
        <w:rPr>
          <w:rFonts w:ascii="Times New Roman" w:hAnsi="Times New Roman" w:cs="Times New Roman"/>
        </w:rPr>
      </w:pPr>
    </w:p>
    <w:p w14:paraId="58F54285" w14:textId="77777777" w:rsidR="004237D3" w:rsidRDefault="004237D3">
      <w:pPr>
        <w:rPr>
          <w:rFonts w:ascii="Times New Roman" w:hAnsi="Times New Roman" w:cs="Times New Roman"/>
        </w:rPr>
      </w:pPr>
    </w:p>
    <w:p w14:paraId="7E12B1E3" w14:textId="77777777" w:rsidR="004237D3" w:rsidRDefault="004237D3">
      <w:pPr>
        <w:rPr>
          <w:rFonts w:ascii="Times New Roman" w:hAnsi="Times New Roman" w:cs="Times New Roman"/>
        </w:rPr>
      </w:pPr>
    </w:p>
    <w:p w14:paraId="4CFC2C93" w14:textId="77777777" w:rsidR="004237D3" w:rsidRDefault="004237D3">
      <w:pPr>
        <w:rPr>
          <w:rFonts w:ascii="Times New Roman" w:hAnsi="Times New Roman" w:cs="Times New Roman"/>
        </w:rPr>
      </w:pPr>
    </w:p>
    <w:p w14:paraId="19D5A057" w14:textId="77777777" w:rsidR="004237D3" w:rsidRDefault="004237D3">
      <w:pPr>
        <w:rPr>
          <w:rFonts w:ascii="Times New Roman" w:hAnsi="Times New Roman" w:cs="Times New Roman"/>
        </w:rPr>
      </w:pPr>
    </w:p>
    <w:p w14:paraId="2777531A" w14:textId="77777777" w:rsidR="004237D3" w:rsidRDefault="004237D3">
      <w:pPr>
        <w:rPr>
          <w:rFonts w:ascii="Times New Roman" w:hAnsi="Times New Roman" w:cs="Times New Roman"/>
        </w:rPr>
      </w:pPr>
    </w:p>
    <w:p w14:paraId="6DA549F4" w14:textId="77777777" w:rsidR="004237D3" w:rsidRDefault="004237D3">
      <w:pPr>
        <w:rPr>
          <w:rFonts w:ascii="Times New Roman" w:hAnsi="Times New Roman" w:cs="Times New Roman"/>
        </w:rPr>
      </w:pPr>
    </w:p>
    <w:p w14:paraId="69EB1BC1" w14:textId="77777777" w:rsidR="004237D3" w:rsidRDefault="004237D3">
      <w:pPr>
        <w:rPr>
          <w:rFonts w:ascii="Times New Roman" w:hAnsi="Times New Roman" w:cs="Times New Roman"/>
        </w:rPr>
      </w:pPr>
    </w:p>
    <w:p w14:paraId="0F091BF8" w14:textId="77777777" w:rsidR="004237D3" w:rsidRDefault="004237D3">
      <w:pPr>
        <w:rPr>
          <w:rFonts w:ascii="Times New Roman" w:hAnsi="Times New Roman" w:cs="Times New Roman"/>
        </w:rPr>
      </w:pPr>
    </w:p>
    <w:p w14:paraId="116D9455" w14:textId="77777777" w:rsidR="004237D3" w:rsidRDefault="004237D3">
      <w:pPr>
        <w:rPr>
          <w:rFonts w:ascii="Times New Roman" w:hAnsi="Times New Roman" w:cs="Times New Roman"/>
        </w:rPr>
      </w:pPr>
    </w:p>
    <w:p w14:paraId="3BB8538F" w14:textId="77777777" w:rsidR="004237D3" w:rsidRDefault="004237D3">
      <w:pPr>
        <w:rPr>
          <w:rFonts w:ascii="Times New Roman" w:hAnsi="Times New Roman" w:cs="Times New Roman"/>
        </w:rPr>
      </w:pPr>
    </w:p>
    <w:p w14:paraId="7162E17C" w14:textId="77777777" w:rsidR="004237D3" w:rsidRDefault="004237D3">
      <w:pPr>
        <w:rPr>
          <w:rFonts w:ascii="Times New Roman" w:hAnsi="Times New Roman" w:cs="Times New Roman"/>
        </w:rPr>
      </w:pPr>
    </w:p>
    <w:p w14:paraId="0B33B596" w14:textId="77777777" w:rsidR="004237D3" w:rsidRDefault="004237D3">
      <w:pPr>
        <w:rPr>
          <w:rFonts w:ascii="Times New Roman" w:hAnsi="Times New Roman" w:cs="Times New Roman"/>
        </w:rPr>
      </w:pPr>
    </w:p>
    <w:p w14:paraId="34B8DC8F" w14:textId="77777777" w:rsidR="004237D3" w:rsidRDefault="004237D3">
      <w:pPr>
        <w:rPr>
          <w:rFonts w:ascii="Times New Roman" w:hAnsi="Times New Roman" w:cs="Times New Roman"/>
        </w:rPr>
      </w:pPr>
    </w:p>
    <w:p w14:paraId="0D1C07B3" w14:textId="77777777" w:rsidR="004237D3" w:rsidRDefault="004237D3">
      <w:pPr>
        <w:rPr>
          <w:rFonts w:ascii="Times New Roman" w:hAnsi="Times New Roman" w:cs="Times New Roman"/>
        </w:rPr>
      </w:pPr>
    </w:p>
    <w:p w14:paraId="0EDF2D42" w14:textId="77777777" w:rsidR="004237D3" w:rsidRDefault="004237D3">
      <w:pPr>
        <w:rPr>
          <w:rFonts w:ascii="Times New Roman" w:hAnsi="Times New Roman" w:cs="Times New Roman"/>
        </w:rPr>
      </w:pPr>
    </w:p>
    <w:p w14:paraId="524A1723" w14:textId="77777777" w:rsidR="004237D3" w:rsidRDefault="004237D3">
      <w:pPr>
        <w:rPr>
          <w:rFonts w:ascii="Times New Roman" w:hAnsi="Times New Roman" w:cs="Times New Roman"/>
        </w:rPr>
      </w:pPr>
    </w:p>
    <w:p w14:paraId="1B1241BD" w14:textId="77777777" w:rsidR="004237D3" w:rsidRDefault="004237D3">
      <w:pPr>
        <w:rPr>
          <w:rFonts w:ascii="Times New Roman" w:hAnsi="Times New Roman" w:cs="Times New Roman"/>
        </w:rPr>
      </w:pPr>
    </w:p>
    <w:p w14:paraId="4DDE1CF8" w14:textId="77777777" w:rsidR="004237D3" w:rsidRDefault="004237D3">
      <w:pPr>
        <w:rPr>
          <w:rFonts w:ascii="Times New Roman" w:hAnsi="Times New Roman" w:cs="Times New Roman"/>
        </w:rPr>
      </w:pPr>
    </w:p>
    <w:p w14:paraId="697385CA" w14:textId="77777777" w:rsidR="004237D3" w:rsidRDefault="004237D3">
      <w:pPr>
        <w:rPr>
          <w:rFonts w:ascii="Times New Roman" w:hAnsi="Times New Roman" w:cs="Times New Roman"/>
        </w:rPr>
      </w:pPr>
    </w:p>
    <w:p w14:paraId="47CDD55C" w14:textId="77777777" w:rsidR="00093C4E" w:rsidRPr="00521029" w:rsidRDefault="00093C4E" w:rsidP="00093C4E">
      <w:pPr>
        <w:spacing w:before="120" w:after="120" w:line="240" w:lineRule="auto"/>
        <w:jc w:val="right"/>
        <w:rPr>
          <w:rFonts w:ascii="Times New Roman" w:hAnsi="Times New Roman"/>
          <w:b/>
          <w:sz w:val="24"/>
          <w:szCs w:val="24"/>
        </w:rPr>
      </w:pPr>
      <w:r w:rsidRPr="00521029">
        <w:rPr>
          <w:rFonts w:ascii="Times New Roman" w:hAnsi="Times New Roman"/>
          <w:b/>
          <w:sz w:val="24"/>
          <w:szCs w:val="24"/>
        </w:rPr>
        <w:t>Attachment A</w:t>
      </w:r>
    </w:p>
    <w:p w14:paraId="3E7EF739" w14:textId="77777777" w:rsidR="00093C4E" w:rsidRDefault="00093C4E" w:rsidP="00093C4E">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7DF2684" w14:textId="77777777" w:rsidR="00093C4E" w:rsidRPr="00521029" w:rsidRDefault="00093C4E" w:rsidP="00093C4E">
      <w:pPr>
        <w:spacing w:before="120" w:after="120" w:line="240" w:lineRule="auto"/>
        <w:rPr>
          <w:rFonts w:ascii="Times New Roman" w:hAnsi="Times New Roman"/>
          <w:b/>
          <w:sz w:val="24"/>
          <w:szCs w:val="24"/>
        </w:rPr>
      </w:pPr>
    </w:p>
    <w:p w14:paraId="36D56381" w14:textId="77777777" w:rsidR="00093C4E" w:rsidRPr="00E73F20" w:rsidRDefault="00093C4E" w:rsidP="00093C4E">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335725A1" w14:textId="098A0C38" w:rsidR="00093C4E" w:rsidRPr="00581A06" w:rsidRDefault="00093C4E" w:rsidP="00093C4E">
      <w:pPr>
        <w:shd w:val="clear" w:color="auto" w:fill="FFFFFF"/>
        <w:spacing w:before="120" w:after="120" w:line="240" w:lineRule="auto"/>
        <w:rPr>
          <w:rFonts w:ascii="Times New Roman" w:eastAsia="Times New Roman" w:hAnsi="Times New Roman"/>
          <w:bCs/>
          <w:i/>
          <w:lang w:eastAsia="en-AU"/>
        </w:rPr>
      </w:pPr>
      <w:r w:rsidRPr="00581A06">
        <w:rPr>
          <w:rFonts w:ascii="Times New Roman" w:eastAsia="Times New Roman" w:hAnsi="Times New Roman"/>
          <w:bCs/>
          <w:lang w:eastAsia="en-AU"/>
        </w:rPr>
        <w:t xml:space="preserve">Section 1 provides that the </w:t>
      </w:r>
      <w:r w:rsidR="007A093A" w:rsidRPr="00581A06">
        <w:rPr>
          <w:rFonts w:ascii="Times New Roman" w:eastAsia="Times New Roman" w:hAnsi="Times New Roman"/>
          <w:bCs/>
          <w:lang w:eastAsia="en-AU"/>
        </w:rPr>
        <w:t>name</w:t>
      </w:r>
      <w:r w:rsidRPr="00581A06">
        <w:rPr>
          <w:rFonts w:ascii="Times New Roman" w:eastAsia="Times New Roman" w:hAnsi="Times New Roman"/>
          <w:bCs/>
          <w:lang w:eastAsia="en-AU"/>
        </w:rPr>
        <w:t xml:space="preserve"> of the instrument is the </w:t>
      </w:r>
      <w:r w:rsidR="00581A06" w:rsidRPr="00581A06">
        <w:rPr>
          <w:rFonts w:ascii="Times New Roman" w:hAnsi="Times New Roman" w:cs="Times New Roman"/>
          <w:bCs/>
          <w:i/>
        </w:rPr>
        <w:t xml:space="preserve">Safety, Rehabilitation and Compensation (Commonwealth Authority) Declaration </w:t>
      </w:r>
      <w:r w:rsidRPr="00581A06">
        <w:rPr>
          <w:rFonts w:ascii="Times New Roman" w:eastAsia="Times New Roman" w:hAnsi="Times New Roman"/>
          <w:bCs/>
          <w:i/>
          <w:lang w:eastAsia="en-AU"/>
        </w:rPr>
        <w:t xml:space="preserve">2024. </w:t>
      </w:r>
    </w:p>
    <w:p w14:paraId="314B5C31" w14:textId="77777777" w:rsidR="00093C4E" w:rsidRPr="00E73F20" w:rsidRDefault="00093C4E" w:rsidP="00093C4E">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331CA150" w14:textId="77777777" w:rsidR="00093C4E" w:rsidRDefault="00093C4E" w:rsidP="00093C4E">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6C6547E9" w14:textId="77777777" w:rsidR="00093C4E" w:rsidRPr="00E73F20" w:rsidRDefault="00093C4E" w:rsidP="00093C4E">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0484AB49" w14:textId="637C8369" w:rsidR="00093C4E" w:rsidRDefault="00093C4E" w:rsidP="00093C4E">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w:t>
      </w:r>
      <w:r w:rsidR="00DB4327" w:rsidRPr="00DB4327">
        <w:rPr>
          <w:rFonts w:ascii="Times New Roman" w:eastAsia="Times New Roman" w:hAnsi="Times New Roman"/>
          <w:bCs/>
          <w:lang w:eastAsia="en-AU"/>
        </w:rPr>
        <w:t xml:space="preserve">under subparagraph (d)(ii) of the definition of Commonwealth authority in subsection 4(1) of 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70ABC9E3" w14:textId="09313442" w:rsidR="00093C4E" w:rsidRPr="00E73F20" w:rsidRDefault="00093C4E" w:rsidP="00093C4E">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sidR="00581A06">
        <w:rPr>
          <w:rFonts w:ascii="Times New Roman" w:eastAsia="Times New Roman" w:hAnsi="Times New Roman"/>
          <w:b/>
          <w:bCs/>
          <w:lang w:eastAsia="en-AU"/>
        </w:rPr>
        <w:t>Declaration</w:t>
      </w:r>
    </w:p>
    <w:p w14:paraId="096CF66A" w14:textId="22FA4432" w:rsidR="00093C4E" w:rsidRDefault="00093C4E" w:rsidP="00093C4E">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Pr>
          <w:rFonts w:ascii="Times New Roman" w:eastAsia="Times New Roman" w:hAnsi="Times New Roman"/>
          <w:bCs/>
          <w:lang w:eastAsia="en-AU"/>
        </w:rPr>
        <w:t xml:space="preserve">4 </w:t>
      </w:r>
      <w:r w:rsidRPr="00E73F20">
        <w:rPr>
          <w:rFonts w:ascii="Times New Roman" w:eastAsia="Times New Roman" w:hAnsi="Times New Roman"/>
          <w:bCs/>
          <w:lang w:eastAsia="en-AU"/>
        </w:rPr>
        <w:t>provides that</w:t>
      </w:r>
      <w:r w:rsidR="00A47EB4">
        <w:rPr>
          <w:rFonts w:ascii="Times New Roman" w:eastAsia="Times New Roman" w:hAnsi="Times New Roman"/>
          <w:bCs/>
          <w:lang w:eastAsia="en-AU"/>
        </w:rPr>
        <w:t xml:space="preserve">, for the </w:t>
      </w:r>
      <w:r w:rsidR="00A47EB4" w:rsidRPr="00A47EB4">
        <w:rPr>
          <w:rFonts w:ascii="Times New Roman" w:eastAsia="Times New Roman" w:hAnsi="Times New Roman"/>
          <w:bCs/>
          <w:lang w:eastAsia="en-AU"/>
        </w:rPr>
        <w:t xml:space="preserve">purposes of subsection 4(1) of the Act in relation to the definition of Commonwealth authority, </w:t>
      </w:r>
      <w:r w:rsidR="00A47EB4">
        <w:rPr>
          <w:rFonts w:ascii="Times New Roman" w:eastAsia="Times New Roman" w:hAnsi="Times New Roman"/>
          <w:bCs/>
          <w:lang w:eastAsia="en-AU"/>
        </w:rPr>
        <w:t xml:space="preserve">the Minister </w:t>
      </w:r>
      <w:r w:rsidR="00A47EB4" w:rsidRPr="00A47EB4">
        <w:rPr>
          <w:rFonts w:ascii="Times New Roman" w:eastAsia="Times New Roman" w:hAnsi="Times New Roman"/>
          <w:bCs/>
          <w:lang w:eastAsia="en-AU"/>
        </w:rPr>
        <w:t>declare</w:t>
      </w:r>
      <w:r w:rsidR="00A47EB4">
        <w:rPr>
          <w:rFonts w:ascii="Times New Roman" w:eastAsia="Times New Roman" w:hAnsi="Times New Roman"/>
          <w:bCs/>
          <w:lang w:eastAsia="en-AU"/>
        </w:rPr>
        <w:t>s</w:t>
      </w:r>
      <w:r w:rsidR="00A47EB4" w:rsidRPr="00A47EB4">
        <w:rPr>
          <w:rFonts w:ascii="Times New Roman" w:eastAsia="Times New Roman" w:hAnsi="Times New Roman"/>
          <w:bCs/>
          <w:lang w:eastAsia="en-AU"/>
        </w:rPr>
        <w:t xml:space="preserve"> that under subparagraph (d)(ii) of that definition that Inland Rail Pty Ltd (ACN 094 819 520) is a body corporate to which the</w:t>
      </w:r>
      <w:r w:rsidR="007C3653">
        <w:rPr>
          <w:rFonts w:ascii="Times New Roman" w:eastAsia="Times New Roman" w:hAnsi="Times New Roman"/>
          <w:bCs/>
          <w:lang w:eastAsia="en-AU"/>
        </w:rPr>
        <w:t xml:space="preserve"> </w:t>
      </w:r>
      <w:r w:rsidR="007C3653" w:rsidRPr="00764B4E">
        <w:rPr>
          <w:rFonts w:ascii="Times New Roman" w:eastAsia="Times New Roman" w:hAnsi="Times New Roman"/>
          <w:bCs/>
          <w:i/>
          <w:lang w:eastAsia="en-AU"/>
        </w:rPr>
        <w:t>Safety, Rehabilitation and Compensation Act 1988</w:t>
      </w:r>
      <w:r w:rsidR="007C3653">
        <w:rPr>
          <w:rFonts w:ascii="Times New Roman" w:eastAsia="Times New Roman" w:hAnsi="Times New Roman"/>
          <w:bCs/>
          <w:i/>
          <w:lang w:eastAsia="en-AU"/>
        </w:rPr>
        <w:t xml:space="preserve"> </w:t>
      </w:r>
      <w:r w:rsidR="00A47EB4" w:rsidRPr="00A47EB4">
        <w:rPr>
          <w:rFonts w:ascii="Times New Roman" w:eastAsia="Times New Roman" w:hAnsi="Times New Roman"/>
          <w:bCs/>
          <w:lang w:eastAsia="en-AU"/>
        </w:rPr>
        <w:t>applies.</w:t>
      </w:r>
    </w:p>
    <w:p w14:paraId="3DBD539C" w14:textId="77777777" w:rsidR="00093C4E" w:rsidRDefault="00093C4E" w:rsidP="00093C4E">
      <w:pPr>
        <w:spacing w:before="120" w:after="120" w:line="240" w:lineRule="auto"/>
        <w:rPr>
          <w:rFonts w:ascii="Times New Roman" w:hAnsi="Times New Roman"/>
        </w:rPr>
      </w:pPr>
    </w:p>
    <w:p w14:paraId="334069B8" w14:textId="77777777" w:rsidR="004237D3" w:rsidRPr="0005252B" w:rsidRDefault="004237D3">
      <w:pPr>
        <w:rPr>
          <w:rFonts w:ascii="Times New Roman" w:hAnsi="Times New Roman" w:cs="Times New Roman"/>
        </w:rPr>
      </w:pPr>
    </w:p>
    <w:sectPr w:rsidR="004237D3" w:rsidRPr="000525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9201" w14:textId="77777777" w:rsidR="0005252B" w:rsidRDefault="0005252B" w:rsidP="0005252B">
      <w:pPr>
        <w:spacing w:after="0" w:line="240" w:lineRule="auto"/>
      </w:pPr>
      <w:r>
        <w:separator/>
      </w:r>
    </w:p>
  </w:endnote>
  <w:endnote w:type="continuationSeparator" w:id="0">
    <w:p w14:paraId="7C6762BE" w14:textId="77777777" w:rsidR="0005252B" w:rsidRDefault="0005252B" w:rsidP="0005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2BDB" w14:textId="77777777" w:rsidR="0005252B" w:rsidRDefault="0005252B" w:rsidP="0005252B">
      <w:pPr>
        <w:spacing w:after="0" w:line="240" w:lineRule="auto"/>
      </w:pPr>
      <w:r>
        <w:separator/>
      </w:r>
    </w:p>
  </w:footnote>
  <w:footnote w:type="continuationSeparator" w:id="0">
    <w:p w14:paraId="0494D068" w14:textId="77777777" w:rsidR="0005252B" w:rsidRDefault="0005252B" w:rsidP="0005252B">
      <w:pPr>
        <w:spacing w:after="0" w:line="240" w:lineRule="auto"/>
      </w:pPr>
      <w:r>
        <w:continuationSeparator/>
      </w:r>
    </w:p>
  </w:footnote>
  <w:footnote w:id="1">
    <w:p w14:paraId="3F74D1EF" w14:textId="77777777" w:rsidR="0005252B" w:rsidRDefault="0005252B" w:rsidP="0005252B">
      <w:pPr>
        <w:pStyle w:val="FootnoteText"/>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0B6"/>
    <w:multiLevelType w:val="hybridMultilevel"/>
    <w:tmpl w:val="4764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869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2B"/>
    <w:rsid w:val="0005252B"/>
    <w:rsid w:val="00093C4E"/>
    <w:rsid w:val="002864CD"/>
    <w:rsid w:val="00384BEF"/>
    <w:rsid w:val="003B69ED"/>
    <w:rsid w:val="004237D3"/>
    <w:rsid w:val="00561CA4"/>
    <w:rsid w:val="00581A06"/>
    <w:rsid w:val="00621EA7"/>
    <w:rsid w:val="007A093A"/>
    <w:rsid w:val="007C3653"/>
    <w:rsid w:val="008138BA"/>
    <w:rsid w:val="008339C6"/>
    <w:rsid w:val="00960AA6"/>
    <w:rsid w:val="009A6C64"/>
    <w:rsid w:val="00A47EB4"/>
    <w:rsid w:val="00A75978"/>
    <w:rsid w:val="00B15937"/>
    <w:rsid w:val="00CD1569"/>
    <w:rsid w:val="00DB4327"/>
    <w:rsid w:val="00EC7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8CE5"/>
  <w15:chartTrackingRefBased/>
  <w15:docId w15:val="{8EE839F6-D5A1-452C-9615-54E029D8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2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2B"/>
    <w:pPr>
      <w:ind w:left="720"/>
      <w:contextualSpacing/>
    </w:pPr>
  </w:style>
  <w:style w:type="paragraph" w:styleId="FootnoteText">
    <w:name w:val="footnote text"/>
    <w:basedOn w:val="Normal"/>
    <w:link w:val="FootnoteTextChar"/>
    <w:uiPriority w:val="99"/>
    <w:semiHidden/>
    <w:unhideWhenUsed/>
    <w:rsid w:val="00052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52B"/>
    <w:rPr>
      <w:kern w:val="0"/>
      <w:sz w:val="20"/>
      <w:szCs w:val="20"/>
      <w14:ligatures w14:val="none"/>
    </w:rPr>
  </w:style>
  <w:style w:type="character" w:styleId="FootnoteReference">
    <w:name w:val="footnote reference"/>
    <w:basedOn w:val="DefaultParagraphFont"/>
    <w:uiPriority w:val="99"/>
    <w:semiHidden/>
    <w:unhideWhenUsed/>
    <w:rsid w:val="00052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3BB9029FD82D4CA1087D1289AFFD80" ma:contentTypeVersion="" ma:contentTypeDescription="PDMS Document Site Content Type" ma:contentTypeScope="" ma:versionID="38bc6c2d2d39b221b6fa55c2f82ae653">
  <xsd:schema xmlns:xsd="http://www.w3.org/2001/XMLSchema" xmlns:xs="http://www.w3.org/2001/XMLSchema" xmlns:p="http://schemas.microsoft.com/office/2006/metadata/properties" xmlns:ns2="F75F4953-1FB4-46C1-9CD7-37FC19F4735D" targetNamespace="http://schemas.microsoft.com/office/2006/metadata/properties" ma:root="true" ma:fieldsID="881047941ee78b2daaaa5238270160d5" ns2:_="">
    <xsd:import namespace="F75F4953-1FB4-46C1-9CD7-37FC19F473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4953-1FB4-46C1-9CD7-37FC19F473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5F4953-1FB4-46C1-9CD7-37FC19F4735D" xsi:nil="true"/>
  </documentManagement>
</p:properties>
</file>

<file path=customXml/itemProps1.xml><?xml version="1.0" encoding="utf-8"?>
<ds:datastoreItem xmlns:ds="http://schemas.openxmlformats.org/officeDocument/2006/customXml" ds:itemID="{4C287C6B-877D-4D68-8962-A689FF6B9A0A}">
  <ds:schemaRefs>
    <ds:schemaRef ds:uri="http://schemas.microsoft.com/sharepoint/v3/contenttype/forms"/>
  </ds:schemaRefs>
</ds:datastoreItem>
</file>

<file path=customXml/itemProps2.xml><?xml version="1.0" encoding="utf-8"?>
<ds:datastoreItem xmlns:ds="http://schemas.openxmlformats.org/officeDocument/2006/customXml" ds:itemID="{6A1FD03F-7480-4E0F-9875-5F1C7E64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4953-1FB4-46C1-9CD7-37FC19F4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4B35A-2264-41D5-BB4F-F647DB2A3489}">
  <ds:schemaRef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F75F4953-1FB4-46C1-9CD7-37FC19F473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JURD,Michael</dc:creator>
  <cp:keywords/>
  <dc:description/>
  <cp:lastModifiedBy>JURD,Michael</cp:lastModifiedBy>
  <cp:revision>3</cp:revision>
  <dcterms:created xsi:type="dcterms:W3CDTF">2024-03-13T03:43:00Z</dcterms:created>
  <dcterms:modified xsi:type="dcterms:W3CDTF">2024-03-15T06:07:00Z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2024-03-13T02:41:26Z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6a451ac7-72ea-4bbf-9ce2-00a9639c4528</vt:lpwstr>
  </property>
  <property fmtid="{D5CDD505-2E9C-101B-9397-08002B2CF9AE}" pid="8" name="MSIP_Label_79d889eb-932f-4752-8739-64d25806ef64_ContentBits">
    <vt:lpwstr>0</vt:lpwstr>
  </property>
  <property fmtid="{D5CDD505-2E9C-101B-9397-08002B2CF9AE}" pid="9" name="ContentTypeId">
    <vt:lpwstr>0x010100266966F133664895A6EE3632470D45F5000A3BB9029FD82D4CA1087D1289AFFD80</vt:lpwstr>
  </property>
</Properties>
</file>