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9617F" w14:textId="77777777" w:rsidR="00715914" w:rsidRPr="005F1388" w:rsidRDefault="00DA186E" w:rsidP="00715914">
      <w:pPr>
        <w:rPr>
          <w:sz w:val="28"/>
        </w:rPr>
      </w:pPr>
      <w:r>
        <w:rPr>
          <w:noProof/>
          <w:lang w:eastAsia="en-AU"/>
        </w:rPr>
        <w:drawing>
          <wp:inline distT="0" distB="0" distL="0" distR="0" wp14:anchorId="4889F7B7" wp14:editId="2DA1BF2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40E1589" w14:textId="77777777" w:rsidR="00715914" w:rsidRPr="00E500D4" w:rsidRDefault="00715914" w:rsidP="00715914">
      <w:pPr>
        <w:rPr>
          <w:sz w:val="19"/>
        </w:rPr>
      </w:pPr>
    </w:p>
    <w:p w14:paraId="4B5CFEC9" w14:textId="38844B8E" w:rsidR="00554826" w:rsidRPr="003D2209" w:rsidRDefault="00C52689" w:rsidP="00554826">
      <w:pPr>
        <w:pStyle w:val="ShortT"/>
      </w:pPr>
      <w:r w:rsidRPr="003D2209">
        <w:t>Industry Research and Development</w:t>
      </w:r>
      <w:r w:rsidR="00554826" w:rsidRPr="003D2209">
        <w:t xml:space="preserve"> (</w:t>
      </w:r>
      <w:r w:rsidR="003D2209" w:rsidRPr="003D2209">
        <w:t>Capacity Investment Scheme</w:t>
      </w:r>
      <w:r w:rsidR="00554826" w:rsidRPr="003D2209">
        <w:t xml:space="preserve">) </w:t>
      </w:r>
      <w:r w:rsidR="003D2209" w:rsidRPr="003D2209">
        <w:t xml:space="preserve">Amendment </w:t>
      </w:r>
      <w:r w:rsidR="00554826" w:rsidRPr="003D2209">
        <w:t xml:space="preserve">Instrument </w:t>
      </w:r>
      <w:r w:rsidR="003D2209" w:rsidRPr="003D2209">
        <w:t>2024</w:t>
      </w:r>
    </w:p>
    <w:p w14:paraId="49A752F0" w14:textId="3A9C5C7D" w:rsidR="00554826" w:rsidRPr="003D2209" w:rsidRDefault="00554826" w:rsidP="00554826">
      <w:pPr>
        <w:pStyle w:val="SignCoverPageStart"/>
        <w:spacing w:before="240"/>
        <w:ind w:right="91"/>
        <w:rPr>
          <w:szCs w:val="22"/>
        </w:rPr>
      </w:pPr>
      <w:r w:rsidRPr="003D2209">
        <w:rPr>
          <w:szCs w:val="22"/>
        </w:rPr>
        <w:t xml:space="preserve">I, </w:t>
      </w:r>
      <w:r w:rsidR="00317F52">
        <w:rPr>
          <w:szCs w:val="22"/>
        </w:rPr>
        <w:t>CHRIS BOWEN, Minister for Climate Change and Energy</w:t>
      </w:r>
      <w:r w:rsidR="00AD7E1B" w:rsidRPr="003D2209">
        <w:rPr>
          <w:szCs w:val="22"/>
        </w:rPr>
        <w:t>,</w:t>
      </w:r>
      <w:r w:rsidRPr="003D2209">
        <w:rPr>
          <w:szCs w:val="22"/>
        </w:rPr>
        <w:t xml:space="preserve"> </w:t>
      </w:r>
      <w:r w:rsidR="00C901D5" w:rsidRPr="003D2209">
        <w:rPr>
          <w:szCs w:val="22"/>
        </w:rPr>
        <w:t>as delegate of the Minister for Industry</w:t>
      </w:r>
      <w:r w:rsidR="003E2E2A" w:rsidRPr="003D2209">
        <w:rPr>
          <w:szCs w:val="22"/>
        </w:rPr>
        <w:t xml:space="preserve"> and Science</w:t>
      </w:r>
      <w:r w:rsidRPr="003D2209">
        <w:rPr>
          <w:szCs w:val="22"/>
        </w:rPr>
        <w:t>, make the following instrument.</w:t>
      </w:r>
    </w:p>
    <w:p w14:paraId="3325ACEF" w14:textId="20CD10BB" w:rsidR="00554826" w:rsidRPr="00001A63" w:rsidRDefault="00554826" w:rsidP="00554826">
      <w:pPr>
        <w:keepNext/>
        <w:spacing w:before="300" w:line="240" w:lineRule="atLeast"/>
        <w:ind w:right="397"/>
        <w:jc w:val="both"/>
        <w:rPr>
          <w:szCs w:val="22"/>
        </w:rPr>
      </w:pPr>
      <w:r w:rsidRPr="003D2209">
        <w:rPr>
          <w:szCs w:val="22"/>
        </w:rPr>
        <w:t>Dated</w:t>
      </w:r>
      <w:r w:rsidRPr="00001A63">
        <w:rPr>
          <w:szCs w:val="22"/>
        </w:rPr>
        <w:tab/>
      </w:r>
      <w:r w:rsidRPr="00001A63">
        <w:rPr>
          <w:szCs w:val="22"/>
        </w:rPr>
        <w:tab/>
      </w:r>
      <w:r w:rsidR="00F459E5">
        <w:rPr>
          <w:szCs w:val="22"/>
        </w:rPr>
        <w:t>26</w:t>
      </w:r>
      <w:r w:rsidR="003D2209">
        <w:rPr>
          <w:szCs w:val="22"/>
        </w:rPr>
        <w:t xml:space="preserve"> March 2024</w:t>
      </w:r>
      <w:r>
        <w:rPr>
          <w:szCs w:val="22"/>
        </w:rPr>
        <w:tab/>
      </w:r>
      <w:r w:rsidRPr="00001A63">
        <w:rPr>
          <w:szCs w:val="22"/>
        </w:rPr>
        <w:tab/>
      </w:r>
    </w:p>
    <w:p w14:paraId="47682E4E" w14:textId="1F502851" w:rsidR="00554826" w:rsidRDefault="00D6348D" w:rsidP="00554826">
      <w:pPr>
        <w:keepNext/>
        <w:tabs>
          <w:tab w:val="left" w:pos="3402"/>
        </w:tabs>
        <w:spacing w:before="1440" w:line="300" w:lineRule="atLeast"/>
        <w:ind w:right="397"/>
        <w:rPr>
          <w:b/>
          <w:szCs w:val="22"/>
        </w:rPr>
      </w:pPr>
      <w:r>
        <w:rPr>
          <w:szCs w:val="22"/>
        </w:rPr>
        <w:t>C</w:t>
      </w:r>
      <w:r w:rsidR="00317F52">
        <w:rPr>
          <w:szCs w:val="22"/>
        </w:rPr>
        <w:t>HRIS BOWEN</w:t>
      </w:r>
      <w:r w:rsidR="00554826" w:rsidRPr="00A75FE9">
        <w:rPr>
          <w:szCs w:val="22"/>
        </w:rPr>
        <w:t xml:space="preserve"> </w:t>
      </w:r>
    </w:p>
    <w:p w14:paraId="02C54C3E" w14:textId="2C877794" w:rsidR="00554826" w:rsidRPr="008E0027" w:rsidRDefault="00D6348D" w:rsidP="00554826">
      <w:pPr>
        <w:pStyle w:val="SignCoverPageEnd"/>
        <w:ind w:right="91"/>
        <w:rPr>
          <w:sz w:val="22"/>
        </w:rPr>
      </w:pPr>
      <w:r>
        <w:rPr>
          <w:sz w:val="22"/>
        </w:rPr>
        <w:t>Minister for Climate Change and Energy</w:t>
      </w:r>
    </w:p>
    <w:p w14:paraId="660A9B32" w14:textId="77777777" w:rsidR="00554826" w:rsidRDefault="00554826" w:rsidP="00554826"/>
    <w:p w14:paraId="3FF0C19B" w14:textId="77777777" w:rsidR="00554826" w:rsidRPr="00ED79B6" w:rsidRDefault="00554826" w:rsidP="00554826"/>
    <w:p w14:paraId="12402C21" w14:textId="77777777" w:rsidR="00F6696E" w:rsidRDefault="00F6696E" w:rsidP="00F6696E"/>
    <w:p w14:paraId="42E9B924" w14:textId="77777777" w:rsidR="00F6696E" w:rsidRDefault="00F6696E" w:rsidP="00F6696E">
      <w:pPr>
        <w:sectPr w:rsidR="00F6696E" w:rsidSect="00D0225A">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1B707B0A" w14:textId="77777777" w:rsidR="007500C8" w:rsidRDefault="00715914" w:rsidP="00715914">
      <w:pPr>
        <w:outlineLvl w:val="0"/>
        <w:rPr>
          <w:sz w:val="36"/>
        </w:rPr>
      </w:pPr>
      <w:r w:rsidRPr="007A1328">
        <w:rPr>
          <w:sz w:val="36"/>
        </w:rPr>
        <w:lastRenderedPageBreak/>
        <w:t>Contents</w:t>
      </w:r>
    </w:p>
    <w:p w14:paraId="4ABBCE93" w14:textId="5AD30768" w:rsidR="00522294" w:rsidRPr="00522294" w:rsidRDefault="00522294" w:rsidP="00522294">
      <w:pPr>
        <w:pStyle w:val="TOC5"/>
        <w:rPr>
          <w:rFonts w:asciiTheme="minorHAnsi" w:eastAsiaTheme="minorEastAsia" w:hAnsiTheme="minorHAnsi" w:cstheme="minorBidi"/>
          <w:noProof/>
          <w:kern w:val="0"/>
          <w:sz w:val="22"/>
          <w:szCs w:val="22"/>
        </w:rPr>
      </w:pPr>
      <w:bookmarkStart w:id="0" w:name="_GoBack"/>
      <w:r>
        <w:rPr>
          <w:noProof/>
        </w:rPr>
        <w:t>1</w:t>
      </w:r>
      <w:r>
        <w:rPr>
          <w:noProof/>
        </w:rPr>
        <w:tab/>
        <w:t>Name</w:t>
      </w:r>
      <w:r w:rsidRPr="005E317F">
        <w:rPr>
          <w:noProof/>
          <w:sz w:val="20"/>
        </w:rPr>
        <w:tab/>
      </w:r>
      <w:r>
        <w:rPr>
          <w:noProof/>
          <w:sz w:val="20"/>
        </w:rPr>
        <w:t>1</w:t>
      </w:r>
    </w:p>
    <w:p w14:paraId="19E82EBF" w14:textId="2645C1DE" w:rsidR="00522294" w:rsidRDefault="00522294" w:rsidP="00522294">
      <w:pPr>
        <w:pStyle w:val="TOC5"/>
        <w:rPr>
          <w:rFonts w:asciiTheme="minorHAnsi" w:eastAsiaTheme="minorEastAsia" w:hAnsiTheme="minorHAnsi" w:cstheme="minorBidi"/>
          <w:noProof/>
          <w:kern w:val="0"/>
          <w:sz w:val="22"/>
          <w:szCs w:val="22"/>
        </w:rPr>
      </w:pPr>
      <w:r>
        <w:rPr>
          <w:noProof/>
        </w:rPr>
        <w:t>2</w:t>
      </w:r>
      <w:r>
        <w:rPr>
          <w:noProof/>
        </w:rPr>
        <w:tab/>
        <w:t>Commencement</w:t>
      </w:r>
      <w:r w:rsidRPr="005E317F">
        <w:rPr>
          <w:noProof/>
          <w:sz w:val="20"/>
        </w:rPr>
        <w:tab/>
      </w:r>
      <w:r>
        <w:rPr>
          <w:noProof/>
          <w:sz w:val="20"/>
        </w:rPr>
        <w:t>1</w:t>
      </w:r>
    </w:p>
    <w:p w14:paraId="7B561213" w14:textId="1028BCEC" w:rsidR="00522294" w:rsidRDefault="00522294" w:rsidP="00522294">
      <w:pPr>
        <w:pStyle w:val="TOC5"/>
        <w:rPr>
          <w:rFonts w:asciiTheme="minorHAnsi" w:eastAsiaTheme="minorEastAsia" w:hAnsiTheme="minorHAnsi" w:cstheme="minorBidi"/>
          <w:noProof/>
          <w:kern w:val="0"/>
          <w:sz w:val="22"/>
          <w:szCs w:val="22"/>
        </w:rPr>
      </w:pPr>
      <w:r>
        <w:rPr>
          <w:noProof/>
        </w:rPr>
        <w:t>3</w:t>
      </w:r>
      <w:r>
        <w:rPr>
          <w:noProof/>
        </w:rPr>
        <w:tab/>
        <w:t>Authority</w:t>
      </w:r>
      <w:r w:rsidRPr="005E317F">
        <w:rPr>
          <w:noProof/>
          <w:sz w:val="20"/>
        </w:rPr>
        <w:tab/>
      </w:r>
      <w:r>
        <w:rPr>
          <w:noProof/>
          <w:sz w:val="20"/>
        </w:rPr>
        <w:t>1</w:t>
      </w:r>
    </w:p>
    <w:p w14:paraId="3000680D" w14:textId="79DCAD71" w:rsidR="00522294" w:rsidRDefault="00522294" w:rsidP="00522294">
      <w:pPr>
        <w:pStyle w:val="TOC5"/>
        <w:rPr>
          <w:rFonts w:asciiTheme="minorHAnsi" w:eastAsiaTheme="minorEastAsia" w:hAnsiTheme="minorHAnsi" w:cstheme="minorBidi"/>
          <w:noProof/>
          <w:kern w:val="0"/>
          <w:sz w:val="22"/>
          <w:szCs w:val="22"/>
        </w:rPr>
      </w:pPr>
      <w:r>
        <w:rPr>
          <w:noProof/>
        </w:rPr>
        <w:t>4</w:t>
      </w:r>
      <w:r>
        <w:rPr>
          <w:noProof/>
        </w:rPr>
        <w:tab/>
        <w:t>Schedules</w:t>
      </w:r>
      <w:r w:rsidRPr="005E317F">
        <w:rPr>
          <w:noProof/>
          <w:sz w:val="20"/>
        </w:rPr>
        <w:tab/>
      </w:r>
      <w:r>
        <w:rPr>
          <w:noProof/>
          <w:sz w:val="20"/>
        </w:rPr>
        <w:t>1</w:t>
      </w:r>
    </w:p>
    <w:p w14:paraId="7435B70D" w14:textId="5DCED631" w:rsidR="00522294" w:rsidRPr="00522294" w:rsidRDefault="00522294" w:rsidP="00522294">
      <w:pPr>
        <w:pStyle w:val="TOC6"/>
        <w:rPr>
          <w:noProof/>
        </w:rPr>
      </w:pPr>
      <w:r>
        <w:rPr>
          <w:noProof/>
        </w:rPr>
        <w:t>Schedule 1—Amendments</w:t>
      </w:r>
      <w:r w:rsidRPr="005E317F">
        <w:rPr>
          <w:b w:val="0"/>
          <w:noProof/>
          <w:sz w:val="20"/>
        </w:rPr>
        <w:tab/>
      </w:r>
      <w:r>
        <w:rPr>
          <w:b w:val="0"/>
          <w:noProof/>
          <w:sz w:val="20"/>
        </w:rPr>
        <w:t>2</w:t>
      </w:r>
    </w:p>
    <w:p w14:paraId="4BBC73EB" w14:textId="371BE1C0" w:rsidR="00522294" w:rsidRDefault="00522294" w:rsidP="204B8430">
      <w:pPr>
        <w:pStyle w:val="TOC9"/>
        <w:ind w:left="0"/>
        <w:rPr>
          <w:rFonts w:asciiTheme="minorHAnsi" w:eastAsiaTheme="minorEastAsia" w:hAnsiTheme="minorHAnsi" w:cstheme="minorBidi"/>
          <w:i w:val="0"/>
          <w:noProof/>
          <w:kern w:val="0"/>
          <w:sz w:val="22"/>
          <w:szCs w:val="22"/>
        </w:rPr>
      </w:pPr>
      <w:r>
        <w:rPr>
          <w:noProof/>
        </w:rPr>
        <w:t>Industry Research and Development (Capacity Investment Scheme) Instrument 2023</w:t>
      </w:r>
      <w:r w:rsidRPr="005E317F">
        <w:rPr>
          <w:i w:val="0"/>
          <w:noProof/>
        </w:rPr>
        <w:tab/>
      </w:r>
      <w:r w:rsidRPr="204B8430">
        <w:rPr>
          <w:i w:val="0"/>
          <w:noProof/>
        </w:rPr>
        <w:t>2</w:t>
      </w:r>
    </w:p>
    <w:bookmarkEnd w:id="0"/>
    <w:p w14:paraId="2B433517" w14:textId="061C0D10" w:rsidR="003D2209" w:rsidRPr="003D2209" w:rsidRDefault="00522294" w:rsidP="00522294">
      <w:pPr>
        <w:pStyle w:val="TOC6"/>
        <w:rPr>
          <w:i/>
        </w:rPr>
        <w:sectPr w:rsidR="003D2209" w:rsidRPr="003D2209" w:rsidSect="00D0225A">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r w:rsidRPr="005E317F">
        <w:rPr>
          <w:b w:val="0"/>
          <w:noProof/>
          <w:sz w:val="20"/>
        </w:rPr>
        <w:tab/>
      </w:r>
    </w:p>
    <w:p w14:paraId="4C587EBC" w14:textId="77777777" w:rsidR="00554826" w:rsidRPr="00554826" w:rsidRDefault="00554826" w:rsidP="00554826">
      <w:pPr>
        <w:pStyle w:val="ActHead5"/>
      </w:pPr>
      <w:bookmarkStart w:id="1" w:name="_Toc96423181"/>
      <w:r w:rsidRPr="00554826">
        <w:lastRenderedPageBreak/>
        <w:t>1  Name</w:t>
      </w:r>
      <w:bookmarkEnd w:id="1"/>
    </w:p>
    <w:p w14:paraId="1730DE27" w14:textId="66AF532E" w:rsidR="003C01D6" w:rsidRDefault="00554826" w:rsidP="00522294">
      <w:pPr>
        <w:pStyle w:val="subsection"/>
        <w:rPr>
          <w:i/>
        </w:rPr>
      </w:pPr>
      <w:r w:rsidRPr="009C2562">
        <w:tab/>
      </w:r>
      <w:r w:rsidRPr="009C2562">
        <w:tab/>
        <w:t xml:space="preserve">This </w:t>
      </w:r>
      <w:r>
        <w:t xml:space="preserve">instrument </w:t>
      </w:r>
      <w:r w:rsidRPr="009C2562">
        <w:t xml:space="preserve">is the </w:t>
      </w:r>
      <w:bookmarkStart w:id="2" w:name="BKCheck15B_3"/>
      <w:bookmarkEnd w:id="2"/>
      <w:r w:rsidR="00C52689">
        <w:rPr>
          <w:i/>
        </w:rPr>
        <w:t xml:space="preserve">Industry Research and Development </w:t>
      </w:r>
      <w:r w:rsidR="003D2209">
        <w:rPr>
          <w:i/>
        </w:rPr>
        <w:t>(Capacity Investment Scheme Program</w:t>
      </w:r>
      <w:r w:rsidR="00C52689">
        <w:rPr>
          <w:i/>
        </w:rPr>
        <w:t>)</w:t>
      </w:r>
      <w:r w:rsidR="003D2209">
        <w:rPr>
          <w:i/>
        </w:rPr>
        <w:t xml:space="preserve"> Amendment</w:t>
      </w:r>
      <w:r w:rsidR="00C52689">
        <w:rPr>
          <w:i/>
        </w:rPr>
        <w:t xml:space="preserve"> Instrument</w:t>
      </w:r>
      <w:r w:rsidR="003D2209">
        <w:rPr>
          <w:i/>
        </w:rPr>
        <w:t xml:space="preserve"> 2024.</w:t>
      </w:r>
    </w:p>
    <w:p w14:paraId="48B18565" w14:textId="77777777" w:rsidR="00522294" w:rsidRPr="00C6187A" w:rsidRDefault="00522294" w:rsidP="00C6187A">
      <w:pPr>
        <w:pStyle w:val="subsection"/>
        <w:spacing w:before="0"/>
      </w:pPr>
    </w:p>
    <w:p w14:paraId="4B39FD15" w14:textId="5C56D2E2" w:rsidR="0053128A" w:rsidRPr="00356682" w:rsidRDefault="003C01D6" w:rsidP="00356682">
      <w:pPr>
        <w:spacing w:line="240" w:lineRule="auto"/>
        <w:ind w:left="1125" w:hanging="1125"/>
        <w:textAlignment w:val="baseline"/>
        <w:rPr>
          <w:rFonts w:eastAsia="Times New Roman" w:cs="Times New Roman"/>
          <w:b/>
          <w:bCs/>
          <w:sz w:val="24"/>
          <w:szCs w:val="24"/>
          <w:lang w:eastAsia="en-AU"/>
        </w:rPr>
      </w:pPr>
      <w:bookmarkStart w:id="3" w:name="_Toc96423183"/>
      <w:r w:rsidRPr="003C01D6">
        <w:rPr>
          <w:rFonts w:eastAsia="Times New Roman" w:cs="Times New Roman"/>
          <w:b/>
          <w:bCs/>
          <w:sz w:val="24"/>
          <w:szCs w:val="24"/>
          <w:lang w:eastAsia="en-AU"/>
        </w:rPr>
        <w:t>2  Commencement</w:t>
      </w:r>
    </w:p>
    <w:p w14:paraId="5C11E11D" w14:textId="77777777" w:rsidR="00356682" w:rsidRDefault="00356682" w:rsidP="00356682">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27230B39" w14:textId="34F60F98" w:rsidR="00356682" w:rsidRDefault="00356682" w:rsidP="00356682">
      <w:pPr>
        <w:pStyle w:val="subsection"/>
        <w:spacing w:before="0"/>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356682" w14:paraId="68851B87" w14:textId="77777777">
        <w:trPr>
          <w:tblHeader/>
        </w:trPr>
        <w:tc>
          <w:tcPr>
            <w:tcW w:w="8222" w:type="dxa"/>
            <w:gridSpan w:val="3"/>
            <w:tcBorders>
              <w:top w:val="single" w:sz="12" w:space="0" w:color="auto"/>
              <w:left w:val="nil"/>
              <w:bottom w:val="single" w:sz="2" w:space="0" w:color="auto"/>
              <w:right w:val="nil"/>
            </w:tcBorders>
            <w:hideMark/>
          </w:tcPr>
          <w:p w14:paraId="0672431B" w14:textId="77777777" w:rsidR="00356682" w:rsidRDefault="00356682">
            <w:pPr>
              <w:pStyle w:val="TableHeading"/>
            </w:pPr>
            <w:r>
              <w:t>Commencement information</w:t>
            </w:r>
          </w:p>
        </w:tc>
      </w:tr>
      <w:tr w:rsidR="00356682" w14:paraId="168DC321" w14:textId="77777777">
        <w:trPr>
          <w:tblHeader/>
        </w:trPr>
        <w:tc>
          <w:tcPr>
            <w:tcW w:w="1701" w:type="dxa"/>
            <w:tcBorders>
              <w:top w:val="single" w:sz="2" w:space="0" w:color="auto"/>
              <w:left w:val="nil"/>
              <w:bottom w:val="single" w:sz="2" w:space="0" w:color="auto"/>
              <w:right w:val="nil"/>
            </w:tcBorders>
            <w:hideMark/>
          </w:tcPr>
          <w:p w14:paraId="557DF723" w14:textId="77777777" w:rsidR="00356682" w:rsidRDefault="00356682">
            <w:pPr>
              <w:pStyle w:val="TableHeading"/>
            </w:pPr>
            <w:r>
              <w:t>Column 1</w:t>
            </w:r>
          </w:p>
        </w:tc>
        <w:tc>
          <w:tcPr>
            <w:tcW w:w="3828" w:type="dxa"/>
            <w:tcBorders>
              <w:top w:val="single" w:sz="2" w:space="0" w:color="auto"/>
              <w:left w:val="nil"/>
              <w:bottom w:val="single" w:sz="2" w:space="0" w:color="auto"/>
              <w:right w:val="nil"/>
            </w:tcBorders>
            <w:hideMark/>
          </w:tcPr>
          <w:p w14:paraId="5C7EE589" w14:textId="77777777" w:rsidR="00356682" w:rsidRDefault="00356682">
            <w:pPr>
              <w:pStyle w:val="TableHeading"/>
            </w:pPr>
            <w:r>
              <w:t>Column 2</w:t>
            </w:r>
          </w:p>
        </w:tc>
        <w:tc>
          <w:tcPr>
            <w:tcW w:w="2693" w:type="dxa"/>
            <w:tcBorders>
              <w:top w:val="single" w:sz="2" w:space="0" w:color="auto"/>
              <w:left w:val="nil"/>
              <w:bottom w:val="single" w:sz="2" w:space="0" w:color="auto"/>
              <w:right w:val="nil"/>
            </w:tcBorders>
            <w:hideMark/>
          </w:tcPr>
          <w:p w14:paraId="0B38A139" w14:textId="77777777" w:rsidR="00356682" w:rsidRDefault="00356682">
            <w:pPr>
              <w:pStyle w:val="TableHeading"/>
            </w:pPr>
            <w:r>
              <w:t>Column 3</w:t>
            </w:r>
          </w:p>
        </w:tc>
      </w:tr>
      <w:tr w:rsidR="00356682" w14:paraId="3453362F" w14:textId="77777777">
        <w:trPr>
          <w:tblHeader/>
        </w:trPr>
        <w:tc>
          <w:tcPr>
            <w:tcW w:w="1701" w:type="dxa"/>
            <w:tcBorders>
              <w:top w:val="single" w:sz="2" w:space="0" w:color="auto"/>
              <w:left w:val="nil"/>
              <w:bottom w:val="single" w:sz="12" w:space="0" w:color="auto"/>
              <w:right w:val="nil"/>
            </w:tcBorders>
            <w:hideMark/>
          </w:tcPr>
          <w:p w14:paraId="57837E09" w14:textId="77777777" w:rsidR="00356682" w:rsidRDefault="00356682">
            <w:pPr>
              <w:pStyle w:val="TableHeading"/>
            </w:pPr>
            <w:r>
              <w:t>Provisions</w:t>
            </w:r>
          </w:p>
        </w:tc>
        <w:tc>
          <w:tcPr>
            <w:tcW w:w="3828" w:type="dxa"/>
            <w:tcBorders>
              <w:top w:val="single" w:sz="2" w:space="0" w:color="auto"/>
              <w:left w:val="nil"/>
              <w:bottom w:val="single" w:sz="12" w:space="0" w:color="auto"/>
              <w:right w:val="nil"/>
            </w:tcBorders>
            <w:hideMark/>
          </w:tcPr>
          <w:p w14:paraId="6A87102F" w14:textId="77777777" w:rsidR="00356682" w:rsidRDefault="00356682">
            <w:pPr>
              <w:pStyle w:val="TableHeading"/>
            </w:pPr>
            <w:r>
              <w:t>Commencement</w:t>
            </w:r>
          </w:p>
        </w:tc>
        <w:tc>
          <w:tcPr>
            <w:tcW w:w="2693" w:type="dxa"/>
            <w:tcBorders>
              <w:top w:val="single" w:sz="2" w:space="0" w:color="auto"/>
              <w:left w:val="nil"/>
              <w:bottom w:val="single" w:sz="12" w:space="0" w:color="auto"/>
              <w:right w:val="nil"/>
            </w:tcBorders>
            <w:hideMark/>
          </w:tcPr>
          <w:p w14:paraId="5A84D103" w14:textId="77777777" w:rsidR="00356682" w:rsidRDefault="00356682">
            <w:pPr>
              <w:pStyle w:val="TableHeading"/>
            </w:pPr>
            <w:r>
              <w:t>Date/Details</w:t>
            </w:r>
          </w:p>
        </w:tc>
      </w:tr>
      <w:tr w:rsidR="00356682" w14:paraId="0DEE2B6D" w14:textId="77777777">
        <w:tc>
          <w:tcPr>
            <w:tcW w:w="1701" w:type="dxa"/>
            <w:tcBorders>
              <w:top w:val="single" w:sz="12" w:space="0" w:color="auto"/>
              <w:left w:val="nil"/>
              <w:bottom w:val="single" w:sz="12" w:space="0" w:color="auto"/>
              <w:right w:val="nil"/>
            </w:tcBorders>
            <w:hideMark/>
          </w:tcPr>
          <w:p w14:paraId="77527799" w14:textId="77777777" w:rsidR="00356682" w:rsidRDefault="00356682">
            <w:pPr>
              <w:pStyle w:val="Tabletext"/>
            </w:pPr>
            <w:r>
              <w:t>1.  The whole of this instrument</w:t>
            </w:r>
          </w:p>
        </w:tc>
        <w:tc>
          <w:tcPr>
            <w:tcW w:w="3828" w:type="dxa"/>
            <w:tcBorders>
              <w:top w:val="single" w:sz="12" w:space="0" w:color="auto"/>
              <w:left w:val="nil"/>
              <w:bottom w:val="single" w:sz="12" w:space="0" w:color="auto"/>
              <w:right w:val="nil"/>
            </w:tcBorders>
            <w:hideMark/>
          </w:tcPr>
          <w:p w14:paraId="31C31036" w14:textId="77777777" w:rsidR="00356682" w:rsidRDefault="00356682">
            <w:pPr>
              <w:pStyle w:val="Tabletext"/>
            </w:pPr>
            <w:r>
              <w:t>The day after this instrument is registered.</w:t>
            </w:r>
          </w:p>
        </w:tc>
        <w:tc>
          <w:tcPr>
            <w:tcW w:w="2693" w:type="dxa"/>
            <w:tcBorders>
              <w:top w:val="single" w:sz="12" w:space="0" w:color="auto"/>
              <w:left w:val="nil"/>
              <w:bottom w:val="single" w:sz="12" w:space="0" w:color="auto"/>
              <w:right w:val="nil"/>
            </w:tcBorders>
            <w:hideMark/>
          </w:tcPr>
          <w:p w14:paraId="2351A330" w14:textId="77777777" w:rsidR="00356682" w:rsidRDefault="00356682">
            <w:pPr>
              <w:pStyle w:val="Tabletext"/>
            </w:pPr>
          </w:p>
        </w:tc>
      </w:tr>
    </w:tbl>
    <w:p w14:paraId="0504B6EA" w14:textId="77777777" w:rsidR="00356682" w:rsidRDefault="00356682" w:rsidP="00356682">
      <w:pPr>
        <w:pStyle w:val="notetext"/>
      </w:pPr>
      <w:r>
        <w:rPr>
          <w:snapToGrid w:val="0"/>
          <w:lang w:eastAsia="en-US"/>
        </w:rPr>
        <w:t>Note:</w:t>
      </w:r>
      <w:r>
        <w:rPr>
          <w:snapToGrid w:val="0"/>
          <w:lang w:eastAsia="en-US"/>
        </w:rPr>
        <w:tab/>
        <w:t>This table relates only to the provisions of this instrument as originally made. It will not be amended to deal with any later amendments of this instrument.</w:t>
      </w:r>
    </w:p>
    <w:p w14:paraId="5CE8F2C6" w14:textId="3592D338" w:rsidR="003C01D6" w:rsidRPr="00522294" w:rsidRDefault="00356682" w:rsidP="00356682">
      <w:pPr>
        <w:pStyle w:val="subsection"/>
      </w:pPr>
      <w:r>
        <w:tab/>
        <w:t>(2)</w:t>
      </w:r>
      <w:r>
        <w:tab/>
        <w:t>Any information in column 3 of the table is not part of this instrument. Information may be inserted in this column, or information in it may be edited, in any published version of this instrument.</w:t>
      </w:r>
    </w:p>
    <w:p w14:paraId="3881125D" w14:textId="77777777" w:rsidR="00554826" w:rsidRPr="00554826" w:rsidRDefault="00554826" w:rsidP="00554826">
      <w:pPr>
        <w:pStyle w:val="ActHead5"/>
      </w:pPr>
      <w:r w:rsidRPr="00554826">
        <w:t>3  Authority</w:t>
      </w:r>
      <w:bookmarkEnd w:id="3"/>
    </w:p>
    <w:p w14:paraId="4AAA3953" w14:textId="3B23EB4B" w:rsidR="00554826" w:rsidRPr="009C2562" w:rsidRDefault="00554826" w:rsidP="00554826">
      <w:pPr>
        <w:pStyle w:val="subsection"/>
      </w:pPr>
      <w:r w:rsidRPr="009C2562">
        <w:tab/>
      </w:r>
      <w:r w:rsidRPr="009C2562">
        <w:tab/>
        <w:t xml:space="preserve">This instrument is made under </w:t>
      </w:r>
      <w:r w:rsidR="003E254F">
        <w:t xml:space="preserve">section 33 of the </w:t>
      </w:r>
      <w:r w:rsidR="003E254F">
        <w:rPr>
          <w:i/>
          <w:iCs/>
        </w:rPr>
        <w:t>Industry Research and Development Act 1986</w:t>
      </w:r>
      <w:r w:rsidRPr="009C2562">
        <w:t>.</w:t>
      </w:r>
    </w:p>
    <w:p w14:paraId="73B89943" w14:textId="210057B8" w:rsidR="003D2209" w:rsidRPr="0053128A" w:rsidRDefault="003C01D6" w:rsidP="003D2209">
      <w:pPr>
        <w:pStyle w:val="Definition"/>
        <w:ind w:left="0"/>
        <w:rPr>
          <w:b/>
          <w:kern w:val="28"/>
          <w:sz w:val="24"/>
        </w:rPr>
      </w:pPr>
      <w:r w:rsidRPr="0053128A">
        <w:rPr>
          <w:b/>
          <w:kern w:val="28"/>
          <w:sz w:val="24"/>
        </w:rPr>
        <w:t>4</w:t>
      </w:r>
      <w:r w:rsidR="003D2209" w:rsidRPr="0053128A">
        <w:rPr>
          <w:b/>
          <w:kern w:val="28"/>
          <w:sz w:val="24"/>
        </w:rPr>
        <w:t xml:space="preserve"> </w:t>
      </w:r>
      <w:r w:rsidR="00356682">
        <w:rPr>
          <w:b/>
          <w:kern w:val="28"/>
          <w:sz w:val="24"/>
        </w:rPr>
        <w:t xml:space="preserve"> </w:t>
      </w:r>
      <w:r w:rsidR="003D2209" w:rsidRPr="0053128A">
        <w:rPr>
          <w:b/>
          <w:kern w:val="28"/>
          <w:sz w:val="24"/>
        </w:rPr>
        <w:t>Schedules</w:t>
      </w:r>
    </w:p>
    <w:p w14:paraId="4F97982A" w14:textId="018FC92B" w:rsidR="003D2209" w:rsidRDefault="003D2209" w:rsidP="008638FC">
      <w:pPr>
        <w:pStyle w:val="Definition"/>
      </w:pPr>
      <w:r>
        <w:t xml:space="preserve">Each instrument that is specified in a Schedule to </w:t>
      </w:r>
      <w:r w:rsidR="0053128A">
        <w:t>t</w:t>
      </w:r>
      <w:r>
        <w:t xml:space="preserve">his instrument is amended or repealed as set out in the applicable items in the schedule concerned, and any other item in a Schedule to this instrument has effect according to its terms. </w:t>
      </w:r>
    </w:p>
    <w:p w14:paraId="378AC964" w14:textId="13BE4D07" w:rsidR="00522294" w:rsidRDefault="00522294">
      <w:pPr>
        <w:spacing w:line="240" w:lineRule="auto"/>
        <w:rPr>
          <w:rFonts w:eastAsia="Times New Roman" w:cs="Times New Roman"/>
          <w:lang w:eastAsia="en-AU"/>
        </w:rPr>
      </w:pPr>
      <w:r>
        <w:br w:type="page"/>
      </w:r>
    </w:p>
    <w:p w14:paraId="222EECED" w14:textId="77777777" w:rsidR="00522294" w:rsidRDefault="00522294" w:rsidP="00522294">
      <w:pPr>
        <w:pStyle w:val="ActHead6"/>
        <w:pageBreakBefore/>
      </w:pPr>
      <w:bookmarkStart w:id="4" w:name="_Toc478567691"/>
      <w:r w:rsidRPr="00DB64FC">
        <w:rPr>
          <w:rStyle w:val="CharAmSchNo"/>
        </w:rPr>
        <w:lastRenderedPageBreak/>
        <w:t>Schedule 1</w:t>
      </w:r>
      <w:r>
        <w:t>—</w:t>
      </w:r>
      <w:r w:rsidRPr="00DB64FC">
        <w:rPr>
          <w:rStyle w:val="CharAmSchText"/>
        </w:rPr>
        <w:t>Amendments</w:t>
      </w:r>
      <w:bookmarkEnd w:id="4"/>
    </w:p>
    <w:p w14:paraId="7087DE84" w14:textId="7FC3C7E6" w:rsidR="00522294" w:rsidRPr="00522294" w:rsidRDefault="00522294" w:rsidP="00E659A5">
      <w:pPr>
        <w:pStyle w:val="ActHead9"/>
        <w:ind w:left="0" w:firstLine="0"/>
      </w:pPr>
      <w:r>
        <w:t>Industry Research and Development (Capacity Investment Scheme Program) Instrument 2023</w:t>
      </w:r>
    </w:p>
    <w:p w14:paraId="7938351F" w14:textId="70C7187E" w:rsidR="00AD2158" w:rsidRPr="00E659A5" w:rsidRDefault="00484A30" w:rsidP="00356682">
      <w:pPr>
        <w:pStyle w:val="ItemHead"/>
        <w:rPr>
          <w:rFonts w:cs="Arial"/>
          <w:szCs w:val="22"/>
        </w:rPr>
      </w:pPr>
      <w:r w:rsidRPr="00E659A5">
        <w:rPr>
          <w:rFonts w:cs="Arial"/>
          <w:szCs w:val="22"/>
        </w:rPr>
        <w:t>1</w:t>
      </w:r>
      <w:r w:rsidR="00522294" w:rsidRPr="00E659A5">
        <w:rPr>
          <w:rFonts w:cs="Arial"/>
          <w:szCs w:val="22"/>
        </w:rPr>
        <w:t xml:space="preserve">  Section 5</w:t>
      </w:r>
    </w:p>
    <w:p w14:paraId="4C4701F7" w14:textId="1B7830BD" w:rsidR="00666AFF" w:rsidRPr="00C6187A" w:rsidRDefault="008638FC" w:rsidP="00E659A5">
      <w:pPr>
        <w:pStyle w:val="Item"/>
        <w:spacing w:before="120"/>
        <w:ind w:left="0" w:firstLine="709"/>
        <w:rPr>
          <w:szCs w:val="22"/>
        </w:rPr>
      </w:pPr>
      <w:r w:rsidRPr="00C6187A">
        <w:rPr>
          <w:szCs w:val="22"/>
        </w:rPr>
        <w:t xml:space="preserve">Repeal the section, </w:t>
      </w:r>
      <w:r w:rsidR="00666AFF" w:rsidRPr="00C6187A">
        <w:rPr>
          <w:szCs w:val="22"/>
        </w:rPr>
        <w:t>insert</w:t>
      </w:r>
      <w:r w:rsidRPr="00C6187A">
        <w:rPr>
          <w:szCs w:val="22"/>
        </w:rPr>
        <w:t>:</w:t>
      </w:r>
    </w:p>
    <w:p w14:paraId="704CE233" w14:textId="77777777" w:rsidR="00666AFF" w:rsidRPr="00C6187A" w:rsidRDefault="00666AFF" w:rsidP="00E659A5">
      <w:pPr>
        <w:pStyle w:val="ActHead5"/>
        <w:spacing w:before="120"/>
        <w:ind w:hanging="414"/>
        <w:rPr>
          <w:sz w:val="22"/>
          <w:szCs w:val="22"/>
        </w:rPr>
      </w:pPr>
      <w:bookmarkStart w:id="5" w:name="_Toc454781205"/>
      <w:bookmarkStart w:id="6" w:name="_Toc126071487"/>
      <w:r w:rsidRPr="00C6187A">
        <w:rPr>
          <w:sz w:val="22"/>
          <w:szCs w:val="22"/>
        </w:rPr>
        <w:t xml:space="preserve">5  </w:t>
      </w:r>
      <w:bookmarkEnd w:id="5"/>
      <w:r w:rsidRPr="00C6187A">
        <w:rPr>
          <w:sz w:val="22"/>
          <w:szCs w:val="22"/>
        </w:rPr>
        <w:t xml:space="preserve">Prescribed </w:t>
      </w:r>
      <w:bookmarkEnd w:id="6"/>
      <w:r w:rsidRPr="00C6187A">
        <w:rPr>
          <w:sz w:val="22"/>
          <w:szCs w:val="22"/>
        </w:rPr>
        <w:t>program</w:t>
      </w:r>
    </w:p>
    <w:p w14:paraId="26139AEC" w14:textId="04D5EA0B" w:rsidR="00666AFF" w:rsidRPr="00C6187A" w:rsidRDefault="00666AFF" w:rsidP="00C6187A">
      <w:pPr>
        <w:pStyle w:val="subsection"/>
        <w:numPr>
          <w:ilvl w:val="0"/>
          <w:numId w:val="16"/>
        </w:numPr>
        <w:rPr>
          <w:szCs w:val="22"/>
        </w:rPr>
      </w:pPr>
      <w:r w:rsidRPr="00C6187A">
        <w:rPr>
          <w:szCs w:val="22"/>
        </w:rPr>
        <w:t>For the purposes of subsection 33(1) of the Act, the Capacity Investment Scheme Program</w:t>
      </w:r>
      <w:r w:rsidR="00E5613A">
        <w:rPr>
          <w:szCs w:val="22"/>
        </w:rPr>
        <w:t xml:space="preserve"> </w:t>
      </w:r>
      <w:r w:rsidRPr="00C6187A">
        <w:rPr>
          <w:szCs w:val="22"/>
        </w:rPr>
        <w:t xml:space="preserve">(the </w:t>
      </w:r>
      <w:r w:rsidRPr="00C6187A">
        <w:rPr>
          <w:b/>
          <w:bCs/>
          <w:i/>
          <w:iCs/>
          <w:szCs w:val="22"/>
        </w:rPr>
        <w:t>program</w:t>
      </w:r>
      <w:r w:rsidRPr="00C6187A">
        <w:rPr>
          <w:szCs w:val="22"/>
        </w:rPr>
        <w:t>) is prescribed.</w:t>
      </w:r>
    </w:p>
    <w:p w14:paraId="10DC8B2F" w14:textId="37774C1C" w:rsidR="004B4B20" w:rsidRPr="00C6187A" w:rsidRDefault="00426BA3" w:rsidP="204B8430">
      <w:pPr>
        <w:pStyle w:val="subsection"/>
        <w:numPr>
          <w:ilvl w:val="0"/>
          <w:numId w:val="16"/>
        </w:numPr>
        <w:rPr>
          <w:szCs w:val="22"/>
        </w:rPr>
      </w:pPr>
      <w:r w:rsidRPr="00C6187A">
        <w:rPr>
          <w:szCs w:val="22"/>
        </w:rPr>
        <w:t>The program provides underwriting, either directly or indirectly, for</w:t>
      </w:r>
      <w:r w:rsidR="00D02AD9" w:rsidRPr="00C6187A">
        <w:rPr>
          <w:szCs w:val="22"/>
        </w:rPr>
        <w:t xml:space="preserve"> either or both of the following</w:t>
      </w:r>
      <w:r w:rsidR="00F35176" w:rsidRPr="00C6187A">
        <w:rPr>
          <w:szCs w:val="22"/>
        </w:rPr>
        <w:t xml:space="preserve"> projects</w:t>
      </w:r>
      <w:r w:rsidR="00B1385B" w:rsidRPr="00C6187A">
        <w:rPr>
          <w:szCs w:val="22"/>
        </w:rPr>
        <w:t>:</w:t>
      </w:r>
      <w:r w:rsidR="00B43C7D" w:rsidRPr="00C6187A">
        <w:rPr>
          <w:szCs w:val="22"/>
        </w:rPr>
        <w:t xml:space="preserve"> </w:t>
      </w:r>
    </w:p>
    <w:p w14:paraId="1D8CB11F" w14:textId="6C73D5BF" w:rsidR="004B4B20" w:rsidRPr="00C6187A" w:rsidRDefault="00333094" w:rsidP="204B8430">
      <w:pPr>
        <w:pStyle w:val="subsection"/>
        <w:numPr>
          <w:ilvl w:val="0"/>
          <w:numId w:val="23"/>
        </w:numPr>
        <w:rPr>
          <w:szCs w:val="22"/>
        </w:rPr>
      </w:pPr>
      <w:r w:rsidRPr="00C6187A">
        <w:rPr>
          <w:szCs w:val="22"/>
        </w:rPr>
        <w:t xml:space="preserve">clean </w:t>
      </w:r>
      <w:r w:rsidR="00754B33" w:rsidRPr="00C6187A">
        <w:rPr>
          <w:szCs w:val="22"/>
        </w:rPr>
        <w:t>d</w:t>
      </w:r>
      <w:r w:rsidR="00391D6B" w:rsidRPr="00C6187A">
        <w:rPr>
          <w:szCs w:val="22"/>
        </w:rPr>
        <w:t>ispatchable</w:t>
      </w:r>
      <w:r w:rsidR="000836E4" w:rsidRPr="00C6187A">
        <w:rPr>
          <w:szCs w:val="22"/>
        </w:rPr>
        <w:t xml:space="preserve"> </w:t>
      </w:r>
      <w:r w:rsidR="00770D65" w:rsidRPr="00C6187A">
        <w:rPr>
          <w:szCs w:val="22"/>
        </w:rPr>
        <w:t>capacity</w:t>
      </w:r>
      <w:r w:rsidR="00391D6B" w:rsidRPr="00C6187A">
        <w:rPr>
          <w:szCs w:val="22"/>
        </w:rPr>
        <w:t xml:space="preserve"> projects; </w:t>
      </w:r>
    </w:p>
    <w:p w14:paraId="638DD681" w14:textId="4F7CC19F" w:rsidR="008262EF" w:rsidRPr="00C6187A" w:rsidRDefault="00391D6B" w:rsidP="204B8430">
      <w:pPr>
        <w:pStyle w:val="subsection"/>
        <w:numPr>
          <w:ilvl w:val="0"/>
          <w:numId w:val="23"/>
        </w:numPr>
        <w:rPr>
          <w:szCs w:val="22"/>
        </w:rPr>
      </w:pPr>
      <w:r w:rsidRPr="00C6187A">
        <w:rPr>
          <w:szCs w:val="22"/>
        </w:rPr>
        <w:t xml:space="preserve">renewable </w:t>
      </w:r>
      <w:r w:rsidR="00770D65" w:rsidRPr="00C6187A">
        <w:rPr>
          <w:szCs w:val="22"/>
        </w:rPr>
        <w:t xml:space="preserve">generation </w:t>
      </w:r>
      <w:r w:rsidRPr="00C6187A">
        <w:rPr>
          <w:szCs w:val="22"/>
        </w:rPr>
        <w:t>capacity</w:t>
      </w:r>
      <w:r w:rsidR="00713782" w:rsidRPr="00C6187A">
        <w:rPr>
          <w:szCs w:val="22"/>
        </w:rPr>
        <w:t xml:space="preserve"> </w:t>
      </w:r>
      <w:r w:rsidR="000836E4" w:rsidRPr="00C6187A">
        <w:rPr>
          <w:szCs w:val="22"/>
        </w:rPr>
        <w:t>projects</w:t>
      </w:r>
      <w:r w:rsidR="00F74D72" w:rsidRPr="00C6187A">
        <w:rPr>
          <w:szCs w:val="22"/>
        </w:rPr>
        <w:t>.</w:t>
      </w:r>
    </w:p>
    <w:p w14:paraId="2B26F49F" w14:textId="3727F211" w:rsidR="00666AFF" w:rsidRPr="00C6187A" w:rsidRDefault="009B370C" w:rsidP="009B370C">
      <w:pPr>
        <w:pStyle w:val="subsection"/>
        <w:numPr>
          <w:ilvl w:val="0"/>
          <w:numId w:val="16"/>
        </w:numPr>
        <w:rPr>
          <w:szCs w:val="22"/>
        </w:rPr>
      </w:pPr>
      <w:r w:rsidRPr="00C6187A">
        <w:rPr>
          <w:szCs w:val="22"/>
        </w:rPr>
        <w:t xml:space="preserve">The purpose of the program is to encourage new investment in clean </w:t>
      </w:r>
      <w:r w:rsidR="002C6671" w:rsidRPr="00C6187A">
        <w:rPr>
          <w:szCs w:val="22"/>
        </w:rPr>
        <w:t>renewable</w:t>
      </w:r>
      <w:r w:rsidR="007D1C8D" w:rsidRPr="00C6187A">
        <w:rPr>
          <w:szCs w:val="22"/>
        </w:rPr>
        <w:t xml:space="preserve"> generation</w:t>
      </w:r>
      <w:r w:rsidR="002C6671" w:rsidRPr="00C6187A">
        <w:rPr>
          <w:szCs w:val="22"/>
        </w:rPr>
        <w:t xml:space="preserve"> capacity and</w:t>
      </w:r>
      <w:r w:rsidR="007D1C8D" w:rsidRPr="00C6187A">
        <w:rPr>
          <w:szCs w:val="22"/>
        </w:rPr>
        <w:t xml:space="preserve"> clean</w:t>
      </w:r>
      <w:r w:rsidR="002C6671" w:rsidRPr="00C6187A">
        <w:rPr>
          <w:szCs w:val="22"/>
        </w:rPr>
        <w:t xml:space="preserve"> </w:t>
      </w:r>
      <w:r w:rsidRPr="00C6187A">
        <w:rPr>
          <w:szCs w:val="22"/>
        </w:rPr>
        <w:t xml:space="preserve">dispatchable capacity </w:t>
      </w:r>
      <w:r w:rsidR="00A76B7A" w:rsidRPr="00C6187A">
        <w:rPr>
          <w:szCs w:val="22"/>
        </w:rPr>
        <w:t>to</w:t>
      </w:r>
      <w:r w:rsidRPr="00C6187A">
        <w:rPr>
          <w:szCs w:val="22"/>
        </w:rPr>
        <w:t xml:space="preserve"> support </w:t>
      </w:r>
      <w:r w:rsidR="009517C5" w:rsidRPr="00C6187A">
        <w:rPr>
          <w:szCs w:val="22"/>
        </w:rPr>
        <w:t>a</w:t>
      </w:r>
      <w:r w:rsidR="00062EA7" w:rsidRPr="00C6187A">
        <w:rPr>
          <w:szCs w:val="22"/>
        </w:rPr>
        <w:t xml:space="preserve"> reliable, affordable and low-emissions energy system.</w:t>
      </w:r>
    </w:p>
    <w:p w14:paraId="26A9A4FB" w14:textId="5DC19DB1" w:rsidR="00B341F6" w:rsidRPr="00C6187A" w:rsidRDefault="00561BD0" w:rsidP="00C6187A">
      <w:pPr>
        <w:pStyle w:val="subsection"/>
        <w:numPr>
          <w:ilvl w:val="0"/>
          <w:numId w:val="16"/>
        </w:numPr>
        <w:rPr>
          <w:szCs w:val="22"/>
        </w:rPr>
      </w:pPr>
      <w:r w:rsidRPr="00C6187A">
        <w:rPr>
          <w:szCs w:val="22"/>
        </w:rPr>
        <w:t xml:space="preserve">Applicants </w:t>
      </w:r>
      <w:r w:rsidR="3DBBA915" w:rsidRPr="00C6187A">
        <w:rPr>
          <w:szCs w:val="22"/>
        </w:rPr>
        <w:t>for underwriting support may be required to provide a bond or other form of security as part of the application process</w:t>
      </w:r>
      <w:r w:rsidR="77DA68CF" w:rsidRPr="00C6187A">
        <w:rPr>
          <w:szCs w:val="22"/>
        </w:rPr>
        <w:t>.</w:t>
      </w:r>
    </w:p>
    <w:p w14:paraId="7818B0FB" w14:textId="2D087BB3" w:rsidR="00EE1C9F" w:rsidRPr="00E659A5" w:rsidRDefault="00666AFF" w:rsidP="00B341F6">
      <w:pPr>
        <w:pStyle w:val="ItemHead"/>
        <w:rPr>
          <w:rFonts w:cs="Arial"/>
          <w:b w:val="0"/>
          <w:bCs/>
          <w:sz w:val="22"/>
          <w:szCs w:val="22"/>
        </w:rPr>
      </w:pPr>
      <w:r w:rsidRPr="00E659A5">
        <w:rPr>
          <w:rFonts w:cs="Arial"/>
          <w:szCs w:val="22"/>
        </w:rPr>
        <w:t>2</w:t>
      </w:r>
      <w:r w:rsidR="00B341F6" w:rsidRPr="00E659A5">
        <w:rPr>
          <w:rFonts w:cs="Arial"/>
          <w:szCs w:val="22"/>
        </w:rPr>
        <w:t xml:space="preserve"> </w:t>
      </w:r>
      <w:r w:rsidR="000A7B86" w:rsidRPr="00E659A5">
        <w:rPr>
          <w:rFonts w:cs="Arial"/>
          <w:szCs w:val="22"/>
        </w:rPr>
        <w:t xml:space="preserve"> </w:t>
      </w:r>
      <w:r w:rsidR="002A5C55" w:rsidRPr="00E659A5">
        <w:rPr>
          <w:rFonts w:cs="Arial"/>
          <w:szCs w:val="22"/>
        </w:rPr>
        <w:t>Section 6</w:t>
      </w:r>
    </w:p>
    <w:p w14:paraId="0A7C5879" w14:textId="40B38D6E" w:rsidR="002A5C55" w:rsidRPr="00C6187A" w:rsidRDefault="002A5C55" w:rsidP="00E659A5">
      <w:pPr>
        <w:pStyle w:val="Item"/>
        <w:spacing w:before="120"/>
        <w:ind w:left="0" w:firstLine="709"/>
        <w:rPr>
          <w:szCs w:val="22"/>
        </w:rPr>
      </w:pPr>
      <w:r w:rsidRPr="00C6187A">
        <w:rPr>
          <w:szCs w:val="22"/>
        </w:rPr>
        <w:t>Repeal the section</w:t>
      </w:r>
      <w:r w:rsidR="7084B078" w:rsidRPr="00C6187A">
        <w:rPr>
          <w:szCs w:val="22"/>
        </w:rPr>
        <w:t>,</w:t>
      </w:r>
      <w:r w:rsidRPr="00C6187A">
        <w:rPr>
          <w:szCs w:val="22"/>
        </w:rPr>
        <w:t xml:space="preserve"> insert</w:t>
      </w:r>
      <w:r w:rsidR="00AD2158" w:rsidRPr="00C6187A">
        <w:rPr>
          <w:szCs w:val="22"/>
        </w:rPr>
        <w:t>:</w:t>
      </w:r>
    </w:p>
    <w:p w14:paraId="6AA6810F" w14:textId="4338E1C9" w:rsidR="00D04F26" w:rsidRPr="00C6187A" w:rsidRDefault="00C34C76" w:rsidP="00E659A5">
      <w:pPr>
        <w:pStyle w:val="ItemHead"/>
        <w:spacing w:before="120"/>
        <w:ind w:firstLine="0"/>
        <w:rPr>
          <w:rFonts w:ascii="Times New Roman" w:hAnsi="Times New Roman"/>
          <w:sz w:val="22"/>
          <w:szCs w:val="22"/>
        </w:rPr>
      </w:pPr>
      <w:r w:rsidRPr="00C6187A">
        <w:rPr>
          <w:rFonts w:ascii="Times New Roman" w:hAnsi="Times New Roman"/>
          <w:sz w:val="22"/>
          <w:szCs w:val="22"/>
        </w:rPr>
        <w:t>6  Specified legislative power</w:t>
      </w:r>
    </w:p>
    <w:p w14:paraId="7408FFFF" w14:textId="093A3EFE" w:rsidR="00CD7AA7" w:rsidRPr="00C6187A" w:rsidRDefault="00AD2158" w:rsidP="00F33455">
      <w:pPr>
        <w:spacing w:before="180"/>
        <w:ind w:left="1080"/>
        <w:rPr>
          <w:rFonts w:cs="Times New Roman"/>
          <w:color w:val="000000"/>
          <w:szCs w:val="22"/>
        </w:rPr>
      </w:pPr>
      <w:r w:rsidRPr="00C6187A">
        <w:rPr>
          <w:rFonts w:cs="Times New Roman"/>
          <w:color w:val="000000" w:themeColor="text1"/>
          <w:szCs w:val="22"/>
        </w:rPr>
        <w:t>For the purposes of subsection 33(3) of the Act, the powers of the Parliament to make laws with respect to the following are specified:</w:t>
      </w:r>
    </w:p>
    <w:p w14:paraId="217E3A96" w14:textId="2CCB8B89" w:rsidR="00AD2158" w:rsidRPr="00C6187A" w:rsidRDefault="00AD2158" w:rsidP="00356682">
      <w:pPr>
        <w:pStyle w:val="ListParagraph"/>
        <w:numPr>
          <w:ilvl w:val="0"/>
          <w:numId w:val="26"/>
        </w:numPr>
        <w:spacing w:before="180"/>
        <w:ind w:left="1440"/>
        <w:rPr>
          <w:rFonts w:ascii="Times New Roman" w:eastAsia="Times New Roman" w:hAnsi="Times New Roman" w:cs="Times New Roman"/>
          <w:color w:val="000000"/>
          <w:sz w:val="22"/>
          <w:szCs w:val="22"/>
          <w14:ligatures w14:val="none"/>
        </w:rPr>
      </w:pPr>
      <w:r w:rsidRPr="00C6187A">
        <w:rPr>
          <w:rFonts w:ascii="Times New Roman" w:eastAsia="Times New Roman" w:hAnsi="Times New Roman" w:cs="Times New Roman"/>
          <w:color w:val="000000"/>
          <w:sz w:val="22"/>
          <w:szCs w:val="22"/>
          <w14:ligatures w14:val="none"/>
        </w:rPr>
        <w:t xml:space="preserve">external affairs (within the meaning of paragraph 51(xxix) of the Constitution) as it relates to measures to give effect to Australia’s </w:t>
      </w:r>
      <w:r w:rsidR="00356682" w:rsidRPr="00C6187A">
        <w:rPr>
          <w:rFonts w:ascii="Times New Roman" w:eastAsia="Times New Roman" w:hAnsi="Times New Roman" w:cs="Times New Roman"/>
          <w:color w:val="000000"/>
          <w:sz w:val="22"/>
          <w:szCs w:val="22"/>
          <w14:ligatures w14:val="none"/>
        </w:rPr>
        <w:t>obligations</w:t>
      </w:r>
      <w:r w:rsidR="00356682" w:rsidRPr="00C6187A">
        <w:rPr>
          <w:rFonts w:ascii="Times New Roman" w:eastAsia="Times New Roman" w:hAnsi="Times New Roman" w:cs="Times New Roman"/>
          <w:color w:val="000000"/>
          <w:sz w:val="22"/>
          <w:szCs w:val="22"/>
        </w:rPr>
        <w:t xml:space="preserve"> under</w:t>
      </w:r>
      <w:r w:rsidRPr="00C6187A">
        <w:rPr>
          <w:rFonts w:ascii="Times New Roman" w:eastAsia="Times New Roman" w:hAnsi="Times New Roman" w:cs="Times New Roman"/>
          <w:color w:val="000000"/>
          <w:sz w:val="22"/>
          <w:szCs w:val="22"/>
          <w14:ligatures w14:val="none"/>
        </w:rPr>
        <w:t xml:space="preserve"> one or more of the following:</w:t>
      </w:r>
    </w:p>
    <w:p w14:paraId="029A6210" w14:textId="139768F6" w:rsidR="00AD2158" w:rsidRPr="00C6187A" w:rsidRDefault="00AD2158" w:rsidP="00356682">
      <w:pPr>
        <w:pStyle w:val="ListParagraph"/>
        <w:numPr>
          <w:ilvl w:val="0"/>
          <w:numId w:val="29"/>
        </w:numPr>
        <w:spacing w:before="180"/>
        <w:rPr>
          <w:rFonts w:ascii="Times New Roman" w:hAnsi="Times New Roman" w:cs="Times New Roman"/>
          <w:color w:val="000000"/>
          <w:sz w:val="22"/>
          <w:szCs w:val="22"/>
        </w:rPr>
      </w:pPr>
      <w:r w:rsidRPr="00C6187A">
        <w:rPr>
          <w:rFonts w:ascii="Times New Roman" w:hAnsi="Times New Roman" w:cs="Times New Roman"/>
          <w:color w:val="000000"/>
          <w:sz w:val="22"/>
          <w:szCs w:val="22"/>
        </w:rPr>
        <w:t>the Kyoto Protocol, particularly Article 10;</w:t>
      </w:r>
    </w:p>
    <w:p w14:paraId="77B0C3EB" w14:textId="29B75BC5" w:rsidR="00AD2158" w:rsidRPr="00C6187A" w:rsidRDefault="00AD2158" w:rsidP="00356682">
      <w:pPr>
        <w:pStyle w:val="ListParagraph"/>
        <w:numPr>
          <w:ilvl w:val="0"/>
          <w:numId w:val="29"/>
        </w:numPr>
        <w:spacing w:before="180"/>
        <w:rPr>
          <w:rFonts w:ascii="Times New Roman" w:hAnsi="Times New Roman" w:cs="Times New Roman"/>
          <w:color w:val="000000"/>
          <w:sz w:val="22"/>
          <w:szCs w:val="22"/>
        </w:rPr>
      </w:pPr>
      <w:r w:rsidRPr="00C6187A">
        <w:rPr>
          <w:rFonts w:ascii="Times New Roman" w:hAnsi="Times New Roman" w:cs="Times New Roman"/>
          <w:color w:val="000000"/>
          <w:sz w:val="22"/>
          <w:szCs w:val="22"/>
        </w:rPr>
        <w:t>the Paris Agreement, particularly Article 4;</w:t>
      </w:r>
    </w:p>
    <w:p w14:paraId="16702E80" w14:textId="54B6C14B" w:rsidR="204B8430" w:rsidRPr="00C6187A" w:rsidRDefault="00AD2158" w:rsidP="00356682">
      <w:pPr>
        <w:pStyle w:val="ListParagraph"/>
        <w:numPr>
          <w:ilvl w:val="0"/>
          <w:numId w:val="29"/>
        </w:numPr>
        <w:spacing w:before="180"/>
        <w:rPr>
          <w:rFonts w:ascii="Times New Roman" w:hAnsi="Times New Roman" w:cs="Times New Roman"/>
          <w:color w:val="000000" w:themeColor="text1"/>
          <w:sz w:val="22"/>
          <w:szCs w:val="22"/>
        </w:rPr>
      </w:pPr>
      <w:r w:rsidRPr="00C6187A">
        <w:rPr>
          <w:rFonts w:ascii="Times New Roman" w:hAnsi="Times New Roman" w:cs="Times New Roman"/>
          <w:color w:val="000000" w:themeColor="text1"/>
          <w:sz w:val="22"/>
          <w:szCs w:val="22"/>
        </w:rPr>
        <w:t>the United Nations Framework Convention on Climate Change,</w:t>
      </w:r>
      <w:r w:rsidR="00356682" w:rsidRPr="00C6187A">
        <w:rPr>
          <w:rFonts w:ascii="Times New Roman" w:hAnsi="Times New Roman" w:cs="Times New Roman"/>
          <w:color w:val="000000" w:themeColor="text1"/>
          <w:sz w:val="22"/>
          <w:szCs w:val="22"/>
        </w:rPr>
        <w:t xml:space="preserve"> </w:t>
      </w:r>
      <w:r w:rsidRPr="00C6187A">
        <w:rPr>
          <w:rFonts w:ascii="Times New Roman" w:hAnsi="Times New Roman" w:cs="Times New Roman"/>
          <w:color w:val="000000" w:themeColor="text1"/>
          <w:sz w:val="22"/>
          <w:szCs w:val="22"/>
        </w:rPr>
        <w:t>particularly Article 4;</w:t>
      </w:r>
    </w:p>
    <w:p w14:paraId="27B7D27C" w14:textId="6760AD12" w:rsidR="002A5C55" w:rsidRPr="00C6187A" w:rsidRDefault="00AD2158" w:rsidP="00C6187A">
      <w:pPr>
        <w:pStyle w:val="ListParagraph"/>
        <w:numPr>
          <w:ilvl w:val="0"/>
          <w:numId w:val="26"/>
        </w:numPr>
        <w:spacing w:before="180"/>
        <w:ind w:left="1440"/>
        <w:rPr>
          <w:rFonts w:ascii="Times New Roman" w:hAnsi="Times New Roman" w:cs="Times New Roman"/>
          <w:sz w:val="22"/>
          <w:szCs w:val="22"/>
        </w:rPr>
      </w:pPr>
      <w:r w:rsidRPr="00C6187A">
        <w:rPr>
          <w:rFonts w:ascii="Times New Roman" w:eastAsia="Times New Roman" w:hAnsi="Times New Roman" w:cs="Times New Roman"/>
          <w:color w:val="000000"/>
          <w:sz w:val="22"/>
          <w:szCs w:val="22"/>
          <w14:ligatures w14:val="none"/>
        </w:rPr>
        <w:t>matters in respect of which the Constitution makes provision until the Parliament otherwise provides (within the meaning of paragraph 51(xxxvi) of the Constitution), together with section 96 of the Constitution (financial assistance to States).</w:t>
      </w:r>
    </w:p>
    <w:sectPr w:rsidR="002A5C55" w:rsidRPr="00C6187A" w:rsidSect="00D0225A">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0D666" w14:textId="77777777" w:rsidR="00B42475" w:rsidRDefault="00B42475" w:rsidP="00715914">
      <w:pPr>
        <w:spacing w:line="240" w:lineRule="auto"/>
      </w:pPr>
      <w:r>
        <w:separator/>
      </w:r>
    </w:p>
  </w:endnote>
  <w:endnote w:type="continuationSeparator" w:id="0">
    <w:p w14:paraId="261F7EAC" w14:textId="77777777" w:rsidR="00B42475" w:rsidRDefault="00B42475" w:rsidP="00715914">
      <w:pPr>
        <w:spacing w:line="240" w:lineRule="auto"/>
      </w:pPr>
      <w:r>
        <w:continuationSeparator/>
      </w:r>
    </w:p>
  </w:endnote>
  <w:endnote w:type="continuationNotice" w:id="1">
    <w:p w14:paraId="5F5D2C7A" w14:textId="77777777" w:rsidR="00B42475" w:rsidRDefault="00B424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D4D8"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5F68BFB" w14:textId="77777777" w:rsidTr="00B33709">
      <w:tc>
        <w:tcPr>
          <w:tcW w:w="709" w:type="dxa"/>
          <w:tcBorders>
            <w:top w:val="nil"/>
            <w:left w:val="nil"/>
            <w:bottom w:val="nil"/>
            <w:right w:val="nil"/>
          </w:tcBorders>
        </w:tcPr>
        <w:p w14:paraId="1E8D1CD7"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26982AB1"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2689">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6AA7FD3" w14:textId="77777777" w:rsidR="0072147A" w:rsidRDefault="0072147A" w:rsidP="00A369E3">
          <w:pPr>
            <w:spacing w:line="0" w:lineRule="atLeast"/>
            <w:jc w:val="right"/>
            <w:rPr>
              <w:sz w:val="18"/>
            </w:rPr>
          </w:pPr>
        </w:p>
      </w:tc>
    </w:tr>
    <w:tr w:rsidR="0072147A" w14:paraId="2353097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64FD38" w14:textId="77777777" w:rsidR="0072147A" w:rsidRDefault="0072147A" w:rsidP="00A369E3">
          <w:pPr>
            <w:jc w:val="right"/>
            <w:rPr>
              <w:sz w:val="18"/>
            </w:rPr>
          </w:pPr>
        </w:p>
      </w:tc>
    </w:tr>
  </w:tbl>
  <w:p w14:paraId="439DDB17"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5705"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200ABACB" w14:textId="77777777" w:rsidTr="00A369E3">
      <w:tc>
        <w:tcPr>
          <w:tcW w:w="1384" w:type="dxa"/>
          <w:tcBorders>
            <w:top w:val="nil"/>
            <w:left w:val="nil"/>
            <w:bottom w:val="nil"/>
            <w:right w:val="nil"/>
          </w:tcBorders>
        </w:tcPr>
        <w:p w14:paraId="09ED3795" w14:textId="77777777" w:rsidR="0072147A" w:rsidRDefault="0072147A" w:rsidP="00A369E3">
          <w:pPr>
            <w:spacing w:line="0" w:lineRule="atLeast"/>
            <w:rPr>
              <w:sz w:val="18"/>
            </w:rPr>
          </w:pPr>
        </w:p>
      </w:tc>
      <w:tc>
        <w:tcPr>
          <w:tcW w:w="6379" w:type="dxa"/>
          <w:tcBorders>
            <w:top w:val="nil"/>
            <w:left w:val="nil"/>
            <w:bottom w:val="nil"/>
            <w:right w:val="nil"/>
          </w:tcBorders>
        </w:tcPr>
        <w:p w14:paraId="6C79FDA8"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2689">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F050E85"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3A6545E3"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ACB33E" w14:textId="77777777" w:rsidR="0072147A" w:rsidRDefault="0072147A" w:rsidP="00A369E3">
          <w:pPr>
            <w:rPr>
              <w:sz w:val="18"/>
            </w:rPr>
          </w:pPr>
        </w:p>
      </w:tc>
    </w:tr>
  </w:tbl>
  <w:p w14:paraId="5A36F2AD"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5A433"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3BCB8DE4" w14:textId="77777777" w:rsidTr="00B33709">
      <w:tc>
        <w:tcPr>
          <w:tcW w:w="1384" w:type="dxa"/>
          <w:tcBorders>
            <w:top w:val="nil"/>
            <w:left w:val="nil"/>
            <w:bottom w:val="nil"/>
            <w:right w:val="nil"/>
          </w:tcBorders>
        </w:tcPr>
        <w:p w14:paraId="7DE8F13F" w14:textId="77777777" w:rsidR="0072147A" w:rsidRDefault="0072147A" w:rsidP="00A369E3">
          <w:pPr>
            <w:spacing w:line="0" w:lineRule="atLeast"/>
            <w:rPr>
              <w:sz w:val="18"/>
            </w:rPr>
          </w:pPr>
        </w:p>
      </w:tc>
      <w:tc>
        <w:tcPr>
          <w:tcW w:w="6379" w:type="dxa"/>
          <w:tcBorders>
            <w:top w:val="nil"/>
            <w:left w:val="nil"/>
            <w:bottom w:val="nil"/>
            <w:right w:val="nil"/>
          </w:tcBorders>
        </w:tcPr>
        <w:p w14:paraId="6C7BEAFB"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68F28B01" w14:textId="77777777" w:rsidR="0072147A" w:rsidRDefault="0072147A" w:rsidP="00A369E3">
          <w:pPr>
            <w:spacing w:line="0" w:lineRule="atLeast"/>
            <w:jc w:val="right"/>
            <w:rPr>
              <w:sz w:val="18"/>
            </w:rPr>
          </w:pPr>
        </w:p>
      </w:tc>
    </w:tr>
  </w:tbl>
  <w:p w14:paraId="0B0F2638"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0D99"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38737DF1" w14:textId="77777777">
      <w:tc>
        <w:tcPr>
          <w:tcW w:w="365" w:type="pct"/>
        </w:tcPr>
        <w:p w14:paraId="688D9480" w14:textId="77777777" w:rsidR="00F6696E" w:rsidRDefault="00F669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1A86DE53" w14:textId="77777777"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52689">
            <w:rPr>
              <w:i/>
              <w:noProof/>
              <w:sz w:val="18"/>
            </w:rPr>
            <w:t>Act Name (Subject Matter) Kind of Instrument Year</w:t>
          </w:r>
          <w:r w:rsidRPr="004E1307">
            <w:rPr>
              <w:i/>
              <w:sz w:val="18"/>
            </w:rPr>
            <w:fldChar w:fldCharType="end"/>
          </w:r>
        </w:p>
      </w:tc>
      <w:tc>
        <w:tcPr>
          <w:tcW w:w="947" w:type="pct"/>
        </w:tcPr>
        <w:p w14:paraId="430BD83D" w14:textId="77777777" w:rsidR="00F6696E" w:rsidRDefault="00F6696E">
          <w:pPr>
            <w:spacing w:line="0" w:lineRule="atLeast"/>
            <w:jc w:val="right"/>
            <w:rPr>
              <w:sz w:val="18"/>
            </w:rPr>
          </w:pPr>
        </w:p>
      </w:tc>
    </w:tr>
    <w:tr w:rsidR="00F6696E" w14:paraId="19C20B49" w14:textId="77777777">
      <w:tc>
        <w:tcPr>
          <w:tcW w:w="5000" w:type="pct"/>
          <w:gridSpan w:val="3"/>
        </w:tcPr>
        <w:p w14:paraId="41B361F7" w14:textId="77777777" w:rsidR="00F6696E" w:rsidRDefault="00F6696E">
          <w:pPr>
            <w:jc w:val="right"/>
            <w:rPr>
              <w:sz w:val="18"/>
            </w:rPr>
          </w:pPr>
        </w:p>
      </w:tc>
    </w:tr>
  </w:tbl>
  <w:p w14:paraId="4437BF18" w14:textId="77777777" w:rsidR="00F6696E" w:rsidRPr="00ED79B6" w:rsidRDefault="00F6696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E717"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37919D12" w14:textId="77777777">
      <w:tc>
        <w:tcPr>
          <w:tcW w:w="947" w:type="pct"/>
        </w:tcPr>
        <w:p w14:paraId="43911E9E" w14:textId="77777777" w:rsidR="00F6696E" w:rsidRDefault="00F6696E">
          <w:pPr>
            <w:spacing w:line="0" w:lineRule="atLeast"/>
            <w:rPr>
              <w:sz w:val="18"/>
            </w:rPr>
          </w:pPr>
        </w:p>
      </w:tc>
      <w:tc>
        <w:tcPr>
          <w:tcW w:w="3688" w:type="pct"/>
        </w:tcPr>
        <w:p w14:paraId="31507542" w14:textId="4C3925F1"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B08B2">
            <w:rPr>
              <w:i/>
              <w:noProof/>
              <w:sz w:val="18"/>
            </w:rPr>
            <w:t>Industry Research and Development (Capacity Investment Scheme) Amendment Instrument 2024</w:t>
          </w:r>
          <w:r w:rsidRPr="004E1307">
            <w:rPr>
              <w:i/>
              <w:sz w:val="18"/>
            </w:rPr>
            <w:fldChar w:fldCharType="end"/>
          </w:r>
        </w:p>
      </w:tc>
      <w:tc>
        <w:tcPr>
          <w:tcW w:w="365" w:type="pct"/>
        </w:tcPr>
        <w:p w14:paraId="76AF20FE" w14:textId="77777777" w:rsidR="00F6696E" w:rsidRDefault="00F669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024B0CFC" w14:textId="77777777">
      <w:tc>
        <w:tcPr>
          <w:tcW w:w="5000" w:type="pct"/>
          <w:gridSpan w:val="3"/>
        </w:tcPr>
        <w:p w14:paraId="68438B7C" w14:textId="77777777" w:rsidR="00F6696E" w:rsidRDefault="00F6696E">
          <w:pPr>
            <w:rPr>
              <w:sz w:val="18"/>
            </w:rPr>
          </w:pPr>
        </w:p>
      </w:tc>
    </w:tr>
  </w:tbl>
  <w:p w14:paraId="143DD978" w14:textId="77777777" w:rsidR="00F6696E" w:rsidRPr="00ED79B6" w:rsidRDefault="00F6696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CBBC"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7213DCF3" w14:textId="77777777">
      <w:tc>
        <w:tcPr>
          <w:tcW w:w="365" w:type="pct"/>
        </w:tcPr>
        <w:p w14:paraId="543C9BA0" w14:textId="77777777" w:rsidR="008C2EAC" w:rsidRDefault="008C2E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342B2909" w14:textId="239CC8DA"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B08B2">
            <w:rPr>
              <w:i/>
              <w:noProof/>
              <w:sz w:val="18"/>
            </w:rPr>
            <w:t>Industry Research and Development (Capacity Investment Scheme) Amendment Instrument 2024</w:t>
          </w:r>
          <w:r w:rsidRPr="004E1307">
            <w:rPr>
              <w:i/>
              <w:sz w:val="18"/>
            </w:rPr>
            <w:fldChar w:fldCharType="end"/>
          </w:r>
        </w:p>
      </w:tc>
      <w:tc>
        <w:tcPr>
          <w:tcW w:w="947" w:type="pct"/>
        </w:tcPr>
        <w:p w14:paraId="76D204ED" w14:textId="77777777" w:rsidR="008C2EAC" w:rsidRDefault="008C2EAC">
          <w:pPr>
            <w:spacing w:line="0" w:lineRule="atLeast"/>
            <w:jc w:val="right"/>
            <w:rPr>
              <w:sz w:val="18"/>
            </w:rPr>
          </w:pPr>
        </w:p>
      </w:tc>
    </w:tr>
    <w:tr w:rsidR="008C2EAC" w14:paraId="2DE7200E" w14:textId="77777777">
      <w:tc>
        <w:tcPr>
          <w:tcW w:w="5000" w:type="pct"/>
          <w:gridSpan w:val="3"/>
        </w:tcPr>
        <w:p w14:paraId="7F1042FF" w14:textId="77777777" w:rsidR="008C2EAC" w:rsidRDefault="008C2EAC">
          <w:pPr>
            <w:jc w:val="right"/>
            <w:rPr>
              <w:sz w:val="18"/>
            </w:rPr>
          </w:pPr>
        </w:p>
      </w:tc>
    </w:tr>
  </w:tbl>
  <w:p w14:paraId="16C596D3" w14:textId="77777777" w:rsidR="008C2EAC" w:rsidRPr="00ED79B6" w:rsidRDefault="008C2EA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E6445"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1DD6F96D" w14:textId="77777777">
      <w:tc>
        <w:tcPr>
          <w:tcW w:w="947" w:type="pct"/>
        </w:tcPr>
        <w:p w14:paraId="03A98CC7" w14:textId="77777777" w:rsidR="008C2EAC" w:rsidRDefault="008C2EAC">
          <w:pPr>
            <w:spacing w:line="0" w:lineRule="atLeast"/>
            <w:rPr>
              <w:sz w:val="18"/>
            </w:rPr>
          </w:pPr>
        </w:p>
      </w:tc>
      <w:tc>
        <w:tcPr>
          <w:tcW w:w="3688" w:type="pct"/>
        </w:tcPr>
        <w:p w14:paraId="1A8A5C60" w14:textId="5B213684"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B08B2">
            <w:rPr>
              <w:i/>
              <w:noProof/>
              <w:sz w:val="18"/>
            </w:rPr>
            <w:t>Industry Research and Development (Capacity Investment Scheme) Amendment Instrument 2024</w:t>
          </w:r>
          <w:r w:rsidRPr="004E1307">
            <w:rPr>
              <w:i/>
              <w:sz w:val="18"/>
            </w:rPr>
            <w:fldChar w:fldCharType="end"/>
          </w:r>
        </w:p>
      </w:tc>
      <w:tc>
        <w:tcPr>
          <w:tcW w:w="365" w:type="pct"/>
        </w:tcPr>
        <w:p w14:paraId="49069D8D" w14:textId="77777777" w:rsidR="008C2EAC" w:rsidRDefault="008C2E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2E87D0F7" w14:textId="77777777">
      <w:tc>
        <w:tcPr>
          <w:tcW w:w="5000" w:type="pct"/>
          <w:gridSpan w:val="3"/>
        </w:tcPr>
        <w:p w14:paraId="5B2B7DD9" w14:textId="77777777" w:rsidR="008C2EAC" w:rsidRDefault="008C2EAC">
          <w:pPr>
            <w:rPr>
              <w:sz w:val="18"/>
            </w:rPr>
          </w:pPr>
        </w:p>
      </w:tc>
    </w:tr>
  </w:tbl>
  <w:p w14:paraId="2B68531F" w14:textId="77777777" w:rsidR="008C2EAC" w:rsidRPr="00ED79B6" w:rsidRDefault="008C2EA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064AA" w14:textId="77777777" w:rsidR="00B42475" w:rsidRDefault="00B42475" w:rsidP="00715914">
      <w:pPr>
        <w:spacing w:line="240" w:lineRule="auto"/>
      </w:pPr>
      <w:r>
        <w:separator/>
      </w:r>
    </w:p>
  </w:footnote>
  <w:footnote w:type="continuationSeparator" w:id="0">
    <w:p w14:paraId="239DBC29" w14:textId="77777777" w:rsidR="00B42475" w:rsidRDefault="00B42475" w:rsidP="00715914">
      <w:pPr>
        <w:spacing w:line="240" w:lineRule="auto"/>
      </w:pPr>
      <w:r>
        <w:continuationSeparator/>
      </w:r>
    </w:p>
  </w:footnote>
  <w:footnote w:type="continuationNotice" w:id="1">
    <w:p w14:paraId="6D432FB0" w14:textId="77777777" w:rsidR="00B42475" w:rsidRDefault="00B424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5C51"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834D4"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0BF5C" w14:textId="77777777" w:rsidR="00F6696E" w:rsidRPr="00ED79B6" w:rsidRDefault="00F6696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E21CF" w14:textId="77777777" w:rsidR="00F6696E" w:rsidRPr="00ED79B6" w:rsidRDefault="00F6696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C542E" w14:textId="77777777" w:rsidR="00F6696E" w:rsidRPr="00ED79B6" w:rsidRDefault="00F6696E" w:rsidP="00715914">
    <w:pPr>
      <w:pStyle w:val="Header"/>
      <w:tabs>
        <w:tab w:val="clear" w:pos="4150"/>
        <w:tab w:val="clear" w:pos="8307"/>
      </w:tabs>
    </w:pPr>
  </w:p>
  <w:p w14:paraId="660DF7BE" w14:textId="77777777" w:rsidR="00000000" w:rsidRDefault="006B08B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56D6" w14:textId="77777777" w:rsidR="004E1307" w:rsidRDefault="004E1307" w:rsidP="00715914">
    <w:pPr>
      <w:rPr>
        <w:sz w:val="20"/>
      </w:rPr>
    </w:pPr>
  </w:p>
  <w:p w14:paraId="3C8641A2" w14:textId="77777777" w:rsidR="004E1307" w:rsidRDefault="004E1307" w:rsidP="00715914">
    <w:pPr>
      <w:rPr>
        <w:sz w:val="20"/>
      </w:rPr>
    </w:pPr>
  </w:p>
  <w:p w14:paraId="0590C14B" w14:textId="77777777" w:rsidR="004E1307" w:rsidRPr="007A1328" w:rsidRDefault="004E1307" w:rsidP="00715914">
    <w:pPr>
      <w:rPr>
        <w:sz w:val="20"/>
      </w:rPr>
    </w:pPr>
  </w:p>
  <w:p w14:paraId="1D53FAC4" w14:textId="77777777" w:rsidR="004E1307" w:rsidRPr="007A1328" w:rsidRDefault="004E1307" w:rsidP="00715914">
    <w:pPr>
      <w:rPr>
        <w:b/>
        <w:sz w:val="24"/>
      </w:rPr>
    </w:pPr>
  </w:p>
  <w:p w14:paraId="39C80499" w14:textId="77777777" w:rsidR="004E1307" w:rsidRPr="007A1328" w:rsidRDefault="004E1307" w:rsidP="00D6537E">
    <w:pPr>
      <w:pBdr>
        <w:bottom w:val="single" w:sz="6" w:space="1" w:color="auto"/>
      </w:pBdr>
      <w:spacing w:after="120"/>
      <w:rPr>
        <w:sz w:val="24"/>
      </w:rPr>
    </w:pPr>
  </w:p>
  <w:p w14:paraId="65FEBC47" w14:textId="77777777" w:rsidR="00000000" w:rsidRDefault="006B08B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C4EA" w14:textId="77777777" w:rsidR="004E1307" w:rsidRPr="007A1328" w:rsidRDefault="004E1307" w:rsidP="00715914">
    <w:pPr>
      <w:jc w:val="right"/>
      <w:rPr>
        <w:sz w:val="20"/>
      </w:rPr>
    </w:pPr>
  </w:p>
  <w:p w14:paraId="42241961" w14:textId="77777777" w:rsidR="004E1307" w:rsidRPr="007A1328" w:rsidRDefault="004E1307" w:rsidP="00715914">
    <w:pPr>
      <w:jc w:val="right"/>
      <w:rPr>
        <w:sz w:val="20"/>
      </w:rPr>
    </w:pPr>
  </w:p>
  <w:p w14:paraId="7DEE65F1" w14:textId="77777777" w:rsidR="004E1307" w:rsidRPr="007A1328" w:rsidRDefault="004E1307" w:rsidP="00715914">
    <w:pPr>
      <w:jc w:val="right"/>
      <w:rPr>
        <w:sz w:val="20"/>
      </w:rPr>
    </w:pPr>
  </w:p>
  <w:p w14:paraId="3DC9C83C" w14:textId="77777777" w:rsidR="004E1307" w:rsidRPr="007A1328" w:rsidRDefault="004E1307" w:rsidP="00715914">
    <w:pPr>
      <w:jc w:val="right"/>
      <w:rPr>
        <w:b/>
        <w:sz w:val="24"/>
      </w:rPr>
    </w:pPr>
  </w:p>
  <w:p w14:paraId="01137F0A" w14:textId="77777777" w:rsidR="004E1307" w:rsidRPr="007A1328" w:rsidRDefault="004E1307" w:rsidP="00D6537E">
    <w:pPr>
      <w:pBdr>
        <w:bottom w:val="single" w:sz="6" w:space="1" w:color="auto"/>
      </w:pBdr>
      <w:spacing w:after="120"/>
      <w:jc w:val="right"/>
      <w:rPr>
        <w:sz w:val="24"/>
      </w:rPr>
    </w:pPr>
  </w:p>
  <w:p w14:paraId="052A650D" w14:textId="77777777" w:rsidR="00000000" w:rsidRDefault="006B08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821E5D"/>
    <w:multiLevelType w:val="hybridMultilevel"/>
    <w:tmpl w:val="29749600"/>
    <w:lvl w:ilvl="0" w:tplc="247AB18C">
      <w:start w:val="1"/>
      <w:numFmt w:val="lowerLetter"/>
      <w:lvlText w:val="(%1)"/>
      <w:lvlJc w:val="left"/>
      <w:pPr>
        <w:ind w:left="1789" w:hanging="360"/>
      </w:pPr>
      <w:rPr>
        <w:rFonts w:hint="default"/>
        <w:i w:val="0"/>
        <w:iCs w:val="0"/>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2" w15:restartNumberingAfterBreak="0">
    <w:nsid w:val="16480353"/>
    <w:multiLevelType w:val="hybridMultilevel"/>
    <w:tmpl w:val="80804ED6"/>
    <w:lvl w:ilvl="0" w:tplc="942A75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AC4926"/>
    <w:multiLevelType w:val="hybridMultilevel"/>
    <w:tmpl w:val="A33A68B0"/>
    <w:lvl w:ilvl="0" w:tplc="C72442A2">
      <w:start w:val="1"/>
      <w:numFmt w:val="lowerLetter"/>
      <w:lvlText w:val="(%1)"/>
      <w:lvlJc w:val="left"/>
      <w:pPr>
        <w:ind w:left="420" w:hanging="360"/>
      </w:pPr>
      <w:rPr>
        <w:rFonts w:ascii="Times New Roman" w:hAnsi="Times New Roman" w:cs="Times New Roman" w:hint="default"/>
        <w:sz w:val="22"/>
        <w:szCs w:val="22"/>
      </w:rPr>
    </w:lvl>
    <w:lvl w:ilvl="1" w:tplc="0C090019">
      <w:start w:val="1"/>
      <w:numFmt w:val="lowerLetter"/>
      <w:lvlText w:val="%2."/>
      <w:lvlJc w:val="left"/>
      <w:pPr>
        <w:ind w:left="1140" w:hanging="360"/>
      </w:pPr>
    </w:lvl>
    <w:lvl w:ilvl="2" w:tplc="0C09001B">
      <w:start w:val="1"/>
      <w:numFmt w:val="lowerRoman"/>
      <w:lvlText w:val="%3."/>
      <w:lvlJc w:val="right"/>
      <w:pPr>
        <w:ind w:left="1860" w:hanging="180"/>
      </w:pPr>
    </w:lvl>
    <w:lvl w:ilvl="3" w:tplc="0C09000F">
      <w:start w:val="1"/>
      <w:numFmt w:val="decimal"/>
      <w:lvlText w:val="%4."/>
      <w:lvlJc w:val="left"/>
      <w:pPr>
        <w:ind w:left="2580" w:hanging="360"/>
      </w:pPr>
    </w:lvl>
    <w:lvl w:ilvl="4" w:tplc="0C090019">
      <w:start w:val="1"/>
      <w:numFmt w:val="lowerLetter"/>
      <w:lvlText w:val="%5."/>
      <w:lvlJc w:val="left"/>
      <w:pPr>
        <w:ind w:left="3300" w:hanging="360"/>
      </w:pPr>
    </w:lvl>
    <w:lvl w:ilvl="5" w:tplc="0C09001B">
      <w:start w:val="1"/>
      <w:numFmt w:val="lowerRoman"/>
      <w:lvlText w:val="%6."/>
      <w:lvlJc w:val="right"/>
      <w:pPr>
        <w:ind w:left="4020" w:hanging="180"/>
      </w:pPr>
    </w:lvl>
    <w:lvl w:ilvl="6" w:tplc="0C09000F">
      <w:start w:val="1"/>
      <w:numFmt w:val="decimal"/>
      <w:lvlText w:val="%7."/>
      <w:lvlJc w:val="left"/>
      <w:pPr>
        <w:ind w:left="4740" w:hanging="360"/>
      </w:pPr>
    </w:lvl>
    <w:lvl w:ilvl="7" w:tplc="0C090019">
      <w:start w:val="1"/>
      <w:numFmt w:val="lowerLetter"/>
      <w:lvlText w:val="%8."/>
      <w:lvlJc w:val="left"/>
      <w:pPr>
        <w:ind w:left="5460" w:hanging="360"/>
      </w:pPr>
    </w:lvl>
    <w:lvl w:ilvl="8" w:tplc="0C09001B">
      <w:start w:val="1"/>
      <w:numFmt w:val="lowerRoman"/>
      <w:lvlText w:val="%9."/>
      <w:lvlJc w:val="right"/>
      <w:pPr>
        <w:ind w:left="618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EA52AA"/>
    <w:multiLevelType w:val="hybridMultilevel"/>
    <w:tmpl w:val="CEF654D4"/>
    <w:lvl w:ilvl="0" w:tplc="6602F3C8">
      <w:start w:val="1"/>
      <w:numFmt w:val="lowerRoman"/>
      <w:lvlText w:val="(%1)"/>
      <w:lvlJc w:val="left"/>
      <w:pPr>
        <w:ind w:left="2209" w:hanging="720"/>
      </w:pPr>
      <w:rPr>
        <w:rFonts w:hint="default"/>
      </w:rPr>
    </w:lvl>
    <w:lvl w:ilvl="1" w:tplc="0C090019" w:tentative="1">
      <w:start w:val="1"/>
      <w:numFmt w:val="lowerLetter"/>
      <w:lvlText w:val="%2."/>
      <w:lvlJc w:val="left"/>
      <w:pPr>
        <w:ind w:left="2569" w:hanging="360"/>
      </w:pPr>
    </w:lvl>
    <w:lvl w:ilvl="2" w:tplc="0C09001B" w:tentative="1">
      <w:start w:val="1"/>
      <w:numFmt w:val="lowerRoman"/>
      <w:lvlText w:val="%3."/>
      <w:lvlJc w:val="right"/>
      <w:pPr>
        <w:ind w:left="3289" w:hanging="180"/>
      </w:pPr>
    </w:lvl>
    <w:lvl w:ilvl="3" w:tplc="0C09000F" w:tentative="1">
      <w:start w:val="1"/>
      <w:numFmt w:val="decimal"/>
      <w:lvlText w:val="%4."/>
      <w:lvlJc w:val="left"/>
      <w:pPr>
        <w:ind w:left="4009" w:hanging="360"/>
      </w:pPr>
    </w:lvl>
    <w:lvl w:ilvl="4" w:tplc="0C090019" w:tentative="1">
      <w:start w:val="1"/>
      <w:numFmt w:val="lowerLetter"/>
      <w:lvlText w:val="%5."/>
      <w:lvlJc w:val="left"/>
      <w:pPr>
        <w:ind w:left="4729" w:hanging="360"/>
      </w:pPr>
    </w:lvl>
    <w:lvl w:ilvl="5" w:tplc="0C09001B" w:tentative="1">
      <w:start w:val="1"/>
      <w:numFmt w:val="lowerRoman"/>
      <w:lvlText w:val="%6."/>
      <w:lvlJc w:val="right"/>
      <w:pPr>
        <w:ind w:left="5449" w:hanging="180"/>
      </w:pPr>
    </w:lvl>
    <w:lvl w:ilvl="6" w:tplc="0C09000F" w:tentative="1">
      <w:start w:val="1"/>
      <w:numFmt w:val="decimal"/>
      <w:lvlText w:val="%7."/>
      <w:lvlJc w:val="left"/>
      <w:pPr>
        <w:ind w:left="6169" w:hanging="360"/>
      </w:pPr>
    </w:lvl>
    <w:lvl w:ilvl="7" w:tplc="0C090019" w:tentative="1">
      <w:start w:val="1"/>
      <w:numFmt w:val="lowerLetter"/>
      <w:lvlText w:val="%8."/>
      <w:lvlJc w:val="left"/>
      <w:pPr>
        <w:ind w:left="6889" w:hanging="360"/>
      </w:pPr>
    </w:lvl>
    <w:lvl w:ilvl="8" w:tplc="0C09001B" w:tentative="1">
      <w:start w:val="1"/>
      <w:numFmt w:val="lowerRoman"/>
      <w:lvlText w:val="%9."/>
      <w:lvlJc w:val="right"/>
      <w:pPr>
        <w:ind w:left="7609"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8C3E48"/>
    <w:multiLevelType w:val="hybridMultilevel"/>
    <w:tmpl w:val="9A3671F8"/>
    <w:lvl w:ilvl="0" w:tplc="2D348876">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8" w15:restartNumberingAfterBreak="0">
    <w:nsid w:val="3F8A5EFF"/>
    <w:multiLevelType w:val="hybridMultilevel"/>
    <w:tmpl w:val="959E3DF6"/>
    <w:lvl w:ilvl="0" w:tplc="ED4879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BA3113"/>
    <w:multiLevelType w:val="hybridMultilevel"/>
    <w:tmpl w:val="95FC7688"/>
    <w:lvl w:ilvl="0" w:tplc="8264C3D2">
      <w:start w:val="1"/>
      <w:numFmt w:val="lowerLetter"/>
      <w:lvlText w:val="(%1)"/>
      <w:lvlJc w:val="left"/>
      <w:pPr>
        <w:ind w:left="2149" w:hanging="72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0" w15:restartNumberingAfterBreak="0">
    <w:nsid w:val="426C657F"/>
    <w:multiLevelType w:val="hybridMultilevel"/>
    <w:tmpl w:val="DEC4A014"/>
    <w:lvl w:ilvl="0" w:tplc="B20614B2">
      <w:start w:val="1"/>
      <w:numFmt w:val="decimal"/>
      <w:lvlText w:val="(%1)"/>
      <w:lvlJc w:val="left"/>
      <w:pPr>
        <w:ind w:left="1429"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375FAD"/>
    <w:multiLevelType w:val="hybridMultilevel"/>
    <w:tmpl w:val="5EB6D57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4CAF0DC6"/>
    <w:multiLevelType w:val="hybridMultilevel"/>
    <w:tmpl w:val="20D4DDF6"/>
    <w:lvl w:ilvl="0" w:tplc="01D6E208">
      <w:start w:val="5"/>
      <w:numFmt w:val="decimal"/>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214C30"/>
    <w:multiLevelType w:val="hybridMultilevel"/>
    <w:tmpl w:val="A5F2A254"/>
    <w:lvl w:ilvl="0" w:tplc="D39C8876">
      <w:start w:val="2"/>
      <w:numFmt w:val="lowerRoman"/>
      <w:lvlText w:val="(%1)"/>
      <w:lvlJc w:val="left"/>
      <w:pPr>
        <w:ind w:left="2149" w:hanging="72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4" w15:restartNumberingAfterBreak="0">
    <w:nsid w:val="681132D9"/>
    <w:multiLevelType w:val="hybridMultilevel"/>
    <w:tmpl w:val="D070DECC"/>
    <w:lvl w:ilvl="0" w:tplc="FCC4A6A0">
      <w:start w:val="1"/>
      <w:numFmt w:val="decimal"/>
      <w:lvlText w:val="%1)"/>
      <w:lvlJc w:val="left"/>
      <w:pPr>
        <w:ind w:left="1020" w:hanging="360"/>
      </w:pPr>
    </w:lvl>
    <w:lvl w:ilvl="1" w:tplc="DE480D3A">
      <w:start w:val="1"/>
      <w:numFmt w:val="decimal"/>
      <w:lvlText w:val="%2)"/>
      <w:lvlJc w:val="left"/>
      <w:pPr>
        <w:ind w:left="1020" w:hanging="360"/>
      </w:pPr>
    </w:lvl>
    <w:lvl w:ilvl="2" w:tplc="D4A6627E">
      <w:start w:val="1"/>
      <w:numFmt w:val="decimal"/>
      <w:lvlText w:val="%3)"/>
      <w:lvlJc w:val="left"/>
      <w:pPr>
        <w:ind w:left="1020" w:hanging="360"/>
      </w:pPr>
    </w:lvl>
    <w:lvl w:ilvl="3" w:tplc="D6BEEBAC">
      <w:start w:val="1"/>
      <w:numFmt w:val="decimal"/>
      <w:lvlText w:val="%4)"/>
      <w:lvlJc w:val="left"/>
      <w:pPr>
        <w:ind w:left="1020" w:hanging="360"/>
      </w:pPr>
    </w:lvl>
    <w:lvl w:ilvl="4" w:tplc="D20A7E64">
      <w:start w:val="1"/>
      <w:numFmt w:val="decimal"/>
      <w:lvlText w:val="%5)"/>
      <w:lvlJc w:val="left"/>
      <w:pPr>
        <w:ind w:left="1020" w:hanging="360"/>
      </w:pPr>
    </w:lvl>
    <w:lvl w:ilvl="5" w:tplc="2FE49C84">
      <w:start w:val="1"/>
      <w:numFmt w:val="decimal"/>
      <w:lvlText w:val="%6)"/>
      <w:lvlJc w:val="left"/>
      <w:pPr>
        <w:ind w:left="1020" w:hanging="360"/>
      </w:pPr>
    </w:lvl>
    <w:lvl w:ilvl="6" w:tplc="1BE8DD04">
      <w:start w:val="1"/>
      <w:numFmt w:val="decimal"/>
      <w:lvlText w:val="%7)"/>
      <w:lvlJc w:val="left"/>
      <w:pPr>
        <w:ind w:left="1020" w:hanging="360"/>
      </w:pPr>
    </w:lvl>
    <w:lvl w:ilvl="7" w:tplc="948E8682">
      <w:start w:val="1"/>
      <w:numFmt w:val="decimal"/>
      <w:lvlText w:val="%8)"/>
      <w:lvlJc w:val="left"/>
      <w:pPr>
        <w:ind w:left="1020" w:hanging="360"/>
      </w:pPr>
    </w:lvl>
    <w:lvl w:ilvl="8" w:tplc="BAD0547C">
      <w:start w:val="1"/>
      <w:numFmt w:val="decimal"/>
      <w:lvlText w:val="%9)"/>
      <w:lvlJc w:val="left"/>
      <w:pPr>
        <w:ind w:left="1020" w:hanging="360"/>
      </w:pPr>
    </w:lvl>
  </w:abstractNum>
  <w:abstractNum w:abstractNumId="25" w15:restartNumberingAfterBreak="0">
    <w:nsid w:val="6FE203A6"/>
    <w:multiLevelType w:val="hybridMultilevel"/>
    <w:tmpl w:val="A4E44D5E"/>
    <w:lvl w:ilvl="0" w:tplc="96500EFE">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26" w15:restartNumberingAfterBreak="0">
    <w:nsid w:val="79365337"/>
    <w:multiLevelType w:val="hybridMultilevel"/>
    <w:tmpl w:val="3CDE9B18"/>
    <w:lvl w:ilvl="0" w:tplc="6436F8A8">
      <w:start w:val="5"/>
      <w:numFmt w:val="decimal"/>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66110F"/>
    <w:multiLevelType w:val="hybridMultilevel"/>
    <w:tmpl w:val="9290435C"/>
    <w:lvl w:ilvl="0" w:tplc="7616A370">
      <w:start w:val="1"/>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4"/>
  </w:num>
  <w:num w:numId="14">
    <w:abstractNumId w:val="25"/>
  </w:num>
  <w:num w:numId="15">
    <w:abstractNumId w:val="21"/>
  </w:num>
  <w:num w:numId="16">
    <w:abstractNumId w:val="20"/>
  </w:num>
  <w:num w:numId="17">
    <w:abstractNumId w:val="22"/>
  </w:num>
  <w:num w:numId="18">
    <w:abstractNumId w:val="11"/>
  </w:num>
  <w:num w:numId="19">
    <w:abstractNumId w:val="24"/>
  </w:num>
  <w:num w:numId="20">
    <w:abstractNumId w:val="26"/>
  </w:num>
  <w:num w:numId="21">
    <w:abstractNumId w:val="15"/>
  </w:num>
  <w:num w:numId="22">
    <w:abstractNumId w:val="23"/>
  </w:num>
  <w:num w:numId="23">
    <w:abstractNumId w:val="19"/>
  </w:num>
  <w:num w:numId="24">
    <w:abstractNumId w:val="18"/>
  </w:num>
  <w:num w:numId="25">
    <w:abstractNumId w:val="12"/>
  </w:num>
  <w:num w:numId="26">
    <w:abstractNumId w:val="13"/>
  </w:num>
  <w:num w:numId="27">
    <w:abstractNumId w:val="27"/>
  </w:num>
  <w:num w:numId="28">
    <w:abstractNumId w:val="1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89"/>
    <w:rsid w:val="00004174"/>
    <w:rsid w:val="00004470"/>
    <w:rsid w:val="0000738B"/>
    <w:rsid w:val="000136AF"/>
    <w:rsid w:val="000258B1"/>
    <w:rsid w:val="00040A89"/>
    <w:rsid w:val="000437C1"/>
    <w:rsid w:val="0004455A"/>
    <w:rsid w:val="00050924"/>
    <w:rsid w:val="0005365D"/>
    <w:rsid w:val="0005389D"/>
    <w:rsid w:val="00055E0F"/>
    <w:rsid w:val="00056035"/>
    <w:rsid w:val="000614BF"/>
    <w:rsid w:val="00062EA7"/>
    <w:rsid w:val="0006709C"/>
    <w:rsid w:val="00067FCA"/>
    <w:rsid w:val="000732AE"/>
    <w:rsid w:val="00074376"/>
    <w:rsid w:val="000836E4"/>
    <w:rsid w:val="000978F5"/>
    <w:rsid w:val="000A51B9"/>
    <w:rsid w:val="000A7B86"/>
    <w:rsid w:val="000B15CD"/>
    <w:rsid w:val="000B35EB"/>
    <w:rsid w:val="000D05EF"/>
    <w:rsid w:val="000D0DC3"/>
    <w:rsid w:val="000D1953"/>
    <w:rsid w:val="000D64D5"/>
    <w:rsid w:val="000E2261"/>
    <w:rsid w:val="000E78B7"/>
    <w:rsid w:val="000F21C1"/>
    <w:rsid w:val="0010745C"/>
    <w:rsid w:val="00117773"/>
    <w:rsid w:val="00127A7C"/>
    <w:rsid w:val="00132CEB"/>
    <w:rsid w:val="001339B0"/>
    <w:rsid w:val="00140E5F"/>
    <w:rsid w:val="0014275E"/>
    <w:rsid w:val="00142B62"/>
    <w:rsid w:val="001441B7"/>
    <w:rsid w:val="001516CB"/>
    <w:rsid w:val="00152336"/>
    <w:rsid w:val="00157B8B"/>
    <w:rsid w:val="00166C2F"/>
    <w:rsid w:val="001809D7"/>
    <w:rsid w:val="001939E1"/>
    <w:rsid w:val="00194B82"/>
    <w:rsid w:val="00194C3E"/>
    <w:rsid w:val="00195382"/>
    <w:rsid w:val="001A0204"/>
    <w:rsid w:val="001B2CB6"/>
    <w:rsid w:val="001C61C5"/>
    <w:rsid w:val="001C69C4"/>
    <w:rsid w:val="001D37EF"/>
    <w:rsid w:val="001E3590"/>
    <w:rsid w:val="001E7407"/>
    <w:rsid w:val="001F5D5E"/>
    <w:rsid w:val="001F6219"/>
    <w:rsid w:val="001F6CD4"/>
    <w:rsid w:val="00206C4D"/>
    <w:rsid w:val="00210450"/>
    <w:rsid w:val="0021101C"/>
    <w:rsid w:val="00215AF1"/>
    <w:rsid w:val="00224B87"/>
    <w:rsid w:val="002321E8"/>
    <w:rsid w:val="00232984"/>
    <w:rsid w:val="0024010F"/>
    <w:rsid w:val="00240749"/>
    <w:rsid w:val="00243018"/>
    <w:rsid w:val="002472A8"/>
    <w:rsid w:val="002564A4"/>
    <w:rsid w:val="0026736C"/>
    <w:rsid w:val="002716F8"/>
    <w:rsid w:val="00281308"/>
    <w:rsid w:val="00284719"/>
    <w:rsid w:val="00285F1A"/>
    <w:rsid w:val="00291EBD"/>
    <w:rsid w:val="00294301"/>
    <w:rsid w:val="00297ECB"/>
    <w:rsid w:val="002A5C55"/>
    <w:rsid w:val="002A67C3"/>
    <w:rsid w:val="002A7BCF"/>
    <w:rsid w:val="002B2F18"/>
    <w:rsid w:val="002C3FD1"/>
    <w:rsid w:val="002C6671"/>
    <w:rsid w:val="002D043A"/>
    <w:rsid w:val="002D266B"/>
    <w:rsid w:val="002D4A4B"/>
    <w:rsid w:val="002D6224"/>
    <w:rsid w:val="002F121C"/>
    <w:rsid w:val="002F7E04"/>
    <w:rsid w:val="00304F8B"/>
    <w:rsid w:val="00317F52"/>
    <w:rsid w:val="00333094"/>
    <w:rsid w:val="00335BC6"/>
    <w:rsid w:val="003415D3"/>
    <w:rsid w:val="003436C4"/>
    <w:rsid w:val="00344338"/>
    <w:rsid w:val="00344701"/>
    <w:rsid w:val="00352B0F"/>
    <w:rsid w:val="00356682"/>
    <w:rsid w:val="00360459"/>
    <w:rsid w:val="003767E2"/>
    <w:rsid w:val="0038049F"/>
    <w:rsid w:val="00387CA7"/>
    <w:rsid w:val="00391D6B"/>
    <w:rsid w:val="003A6D65"/>
    <w:rsid w:val="003B4FAE"/>
    <w:rsid w:val="003B6CD0"/>
    <w:rsid w:val="003C01D6"/>
    <w:rsid w:val="003C0E51"/>
    <w:rsid w:val="003C37F6"/>
    <w:rsid w:val="003C6231"/>
    <w:rsid w:val="003D0BFE"/>
    <w:rsid w:val="003D2209"/>
    <w:rsid w:val="003D3FCC"/>
    <w:rsid w:val="003D5700"/>
    <w:rsid w:val="003E192A"/>
    <w:rsid w:val="003E254F"/>
    <w:rsid w:val="003E2E2A"/>
    <w:rsid w:val="003E341B"/>
    <w:rsid w:val="003E3B4B"/>
    <w:rsid w:val="003E4D00"/>
    <w:rsid w:val="003E7A96"/>
    <w:rsid w:val="004116CD"/>
    <w:rsid w:val="00417EB9"/>
    <w:rsid w:val="00421A8F"/>
    <w:rsid w:val="00424CA9"/>
    <w:rsid w:val="00426AFE"/>
    <w:rsid w:val="00426BA3"/>
    <w:rsid w:val="004276DF"/>
    <w:rsid w:val="00431E9B"/>
    <w:rsid w:val="00432A5C"/>
    <w:rsid w:val="004379E3"/>
    <w:rsid w:val="0044015E"/>
    <w:rsid w:val="004401B5"/>
    <w:rsid w:val="0044291A"/>
    <w:rsid w:val="00446233"/>
    <w:rsid w:val="004536FA"/>
    <w:rsid w:val="00454B06"/>
    <w:rsid w:val="00467661"/>
    <w:rsid w:val="00467E0C"/>
    <w:rsid w:val="00471E76"/>
    <w:rsid w:val="00472DBE"/>
    <w:rsid w:val="00474A19"/>
    <w:rsid w:val="00477830"/>
    <w:rsid w:val="00484A30"/>
    <w:rsid w:val="00487764"/>
    <w:rsid w:val="0048E2AA"/>
    <w:rsid w:val="00496F97"/>
    <w:rsid w:val="004A741F"/>
    <w:rsid w:val="004B4B20"/>
    <w:rsid w:val="004B6C48"/>
    <w:rsid w:val="004B6EA3"/>
    <w:rsid w:val="004C4E59"/>
    <w:rsid w:val="004C6809"/>
    <w:rsid w:val="004D3BF9"/>
    <w:rsid w:val="004E063A"/>
    <w:rsid w:val="004E1307"/>
    <w:rsid w:val="004E188F"/>
    <w:rsid w:val="004E7BEC"/>
    <w:rsid w:val="0050519E"/>
    <w:rsid w:val="00505D3D"/>
    <w:rsid w:val="00506AF6"/>
    <w:rsid w:val="00516B8D"/>
    <w:rsid w:val="00522294"/>
    <w:rsid w:val="005229AC"/>
    <w:rsid w:val="00524993"/>
    <w:rsid w:val="005262B7"/>
    <w:rsid w:val="005303C8"/>
    <w:rsid w:val="0053128A"/>
    <w:rsid w:val="00537FBC"/>
    <w:rsid w:val="00547E84"/>
    <w:rsid w:val="00554826"/>
    <w:rsid w:val="005569E5"/>
    <w:rsid w:val="00560886"/>
    <w:rsid w:val="00561BD0"/>
    <w:rsid w:val="00562877"/>
    <w:rsid w:val="0058380E"/>
    <w:rsid w:val="00584811"/>
    <w:rsid w:val="00585784"/>
    <w:rsid w:val="00586AD9"/>
    <w:rsid w:val="00593964"/>
    <w:rsid w:val="00593AA6"/>
    <w:rsid w:val="00594161"/>
    <w:rsid w:val="00594698"/>
    <w:rsid w:val="00594749"/>
    <w:rsid w:val="005A07AB"/>
    <w:rsid w:val="005A23FA"/>
    <w:rsid w:val="005A65D5"/>
    <w:rsid w:val="005B3B56"/>
    <w:rsid w:val="005B4067"/>
    <w:rsid w:val="005C3F41"/>
    <w:rsid w:val="005C71D6"/>
    <w:rsid w:val="005D1D92"/>
    <w:rsid w:val="005D24DA"/>
    <w:rsid w:val="005D2D09"/>
    <w:rsid w:val="005D4442"/>
    <w:rsid w:val="00600219"/>
    <w:rsid w:val="00601C7C"/>
    <w:rsid w:val="00604F2A"/>
    <w:rsid w:val="0061766D"/>
    <w:rsid w:val="00620076"/>
    <w:rsid w:val="00627E0A"/>
    <w:rsid w:val="00632625"/>
    <w:rsid w:val="006341C5"/>
    <w:rsid w:val="0065488B"/>
    <w:rsid w:val="00666AFF"/>
    <w:rsid w:val="00670EA1"/>
    <w:rsid w:val="00677CC2"/>
    <w:rsid w:val="0068744B"/>
    <w:rsid w:val="006905DE"/>
    <w:rsid w:val="0069207B"/>
    <w:rsid w:val="00694492"/>
    <w:rsid w:val="0069660A"/>
    <w:rsid w:val="006A154F"/>
    <w:rsid w:val="006A437B"/>
    <w:rsid w:val="006B08B2"/>
    <w:rsid w:val="006B5789"/>
    <w:rsid w:val="006C1BB7"/>
    <w:rsid w:val="006C30C5"/>
    <w:rsid w:val="006C7F8C"/>
    <w:rsid w:val="006D4858"/>
    <w:rsid w:val="006E17F4"/>
    <w:rsid w:val="006E2E1C"/>
    <w:rsid w:val="006E6246"/>
    <w:rsid w:val="006E69C2"/>
    <w:rsid w:val="006E6DCC"/>
    <w:rsid w:val="006F318F"/>
    <w:rsid w:val="0070017E"/>
    <w:rsid w:val="00700B2C"/>
    <w:rsid w:val="007050A2"/>
    <w:rsid w:val="0070689C"/>
    <w:rsid w:val="00713084"/>
    <w:rsid w:val="00713782"/>
    <w:rsid w:val="00714F20"/>
    <w:rsid w:val="0071590F"/>
    <w:rsid w:val="00715914"/>
    <w:rsid w:val="0072147A"/>
    <w:rsid w:val="00723791"/>
    <w:rsid w:val="00731E00"/>
    <w:rsid w:val="007440B7"/>
    <w:rsid w:val="007500C8"/>
    <w:rsid w:val="00754B33"/>
    <w:rsid w:val="00756272"/>
    <w:rsid w:val="00762D38"/>
    <w:rsid w:val="00765AA7"/>
    <w:rsid w:val="00770D65"/>
    <w:rsid w:val="007715C9"/>
    <w:rsid w:val="00771613"/>
    <w:rsid w:val="00774961"/>
    <w:rsid w:val="00774EDD"/>
    <w:rsid w:val="007757EC"/>
    <w:rsid w:val="00780BEC"/>
    <w:rsid w:val="007822B5"/>
    <w:rsid w:val="00783E89"/>
    <w:rsid w:val="00793915"/>
    <w:rsid w:val="007968B7"/>
    <w:rsid w:val="007A4AA5"/>
    <w:rsid w:val="007B1E08"/>
    <w:rsid w:val="007C2253"/>
    <w:rsid w:val="007C63C4"/>
    <w:rsid w:val="007D1C8D"/>
    <w:rsid w:val="007D7911"/>
    <w:rsid w:val="007E163D"/>
    <w:rsid w:val="007E3A5E"/>
    <w:rsid w:val="007E667A"/>
    <w:rsid w:val="007F28C9"/>
    <w:rsid w:val="007F51B2"/>
    <w:rsid w:val="008040DD"/>
    <w:rsid w:val="008117E9"/>
    <w:rsid w:val="00824498"/>
    <w:rsid w:val="008262EF"/>
    <w:rsid w:val="00826BD1"/>
    <w:rsid w:val="008400AD"/>
    <w:rsid w:val="00840502"/>
    <w:rsid w:val="008470CC"/>
    <w:rsid w:val="00854D0B"/>
    <w:rsid w:val="00856999"/>
    <w:rsid w:val="00856A31"/>
    <w:rsid w:val="00860B4E"/>
    <w:rsid w:val="0086170A"/>
    <w:rsid w:val="008638FC"/>
    <w:rsid w:val="00867B37"/>
    <w:rsid w:val="008727D0"/>
    <w:rsid w:val="008754D0"/>
    <w:rsid w:val="00875D13"/>
    <w:rsid w:val="008855C9"/>
    <w:rsid w:val="00886456"/>
    <w:rsid w:val="00896176"/>
    <w:rsid w:val="008A46E1"/>
    <w:rsid w:val="008A4F43"/>
    <w:rsid w:val="008B2706"/>
    <w:rsid w:val="008B31AB"/>
    <w:rsid w:val="008C2EAC"/>
    <w:rsid w:val="008D0EE0"/>
    <w:rsid w:val="008E0027"/>
    <w:rsid w:val="008E6067"/>
    <w:rsid w:val="008F54E7"/>
    <w:rsid w:val="00903422"/>
    <w:rsid w:val="009077E6"/>
    <w:rsid w:val="00921764"/>
    <w:rsid w:val="009254C3"/>
    <w:rsid w:val="00932377"/>
    <w:rsid w:val="0093759B"/>
    <w:rsid w:val="009377EF"/>
    <w:rsid w:val="00941236"/>
    <w:rsid w:val="00943FD5"/>
    <w:rsid w:val="009446E4"/>
    <w:rsid w:val="00947942"/>
    <w:rsid w:val="00947D5A"/>
    <w:rsid w:val="009517C5"/>
    <w:rsid w:val="009532A5"/>
    <w:rsid w:val="009545BD"/>
    <w:rsid w:val="00963E70"/>
    <w:rsid w:val="00964CF0"/>
    <w:rsid w:val="00977806"/>
    <w:rsid w:val="00982242"/>
    <w:rsid w:val="009868E9"/>
    <w:rsid w:val="009900A3"/>
    <w:rsid w:val="009A1B20"/>
    <w:rsid w:val="009A3F74"/>
    <w:rsid w:val="009B370C"/>
    <w:rsid w:val="009C3413"/>
    <w:rsid w:val="009D705D"/>
    <w:rsid w:val="009E1C3E"/>
    <w:rsid w:val="009F7F48"/>
    <w:rsid w:val="00A0351D"/>
    <w:rsid w:val="00A0410F"/>
    <w:rsid w:val="00A0441E"/>
    <w:rsid w:val="00A12128"/>
    <w:rsid w:val="00A22C98"/>
    <w:rsid w:val="00A231E2"/>
    <w:rsid w:val="00A242BE"/>
    <w:rsid w:val="00A27F84"/>
    <w:rsid w:val="00A369E3"/>
    <w:rsid w:val="00A505A6"/>
    <w:rsid w:val="00A563D6"/>
    <w:rsid w:val="00A57600"/>
    <w:rsid w:val="00A6004B"/>
    <w:rsid w:val="00A64912"/>
    <w:rsid w:val="00A70A74"/>
    <w:rsid w:val="00A70E6F"/>
    <w:rsid w:val="00A72E17"/>
    <w:rsid w:val="00A74E20"/>
    <w:rsid w:val="00A75A94"/>
    <w:rsid w:val="00A75FE9"/>
    <w:rsid w:val="00A76B7A"/>
    <w:rsid w:val="00A82FE7"/>
    <w:rsid w:val="00A85856"/>
    <w:rsid w:val="00A869D2"/>
    <w:rsid w:val="00A94448"/>
    <w:rsid w:val="00A95D52"/>
    <w:rsid w:val="00AC6DCA"/>
    <w:rsid w:val="00AD2158"/>
    <w:rsid w:val="00AD23AB"/>
    <w:rsid w:val="00AD53CC"/>
    <w:rsid w:val="00AD5641"/>
    <w:rsid w:val="00AD7E1B"/>
    <w:rsid w:val="00AE58FB"/>
    <w:rsid w:val="00AF06CF"/>
    <w:rsid w:val="00B042BE"/>
    <w:rsid w:val="00B07CDB"/>
    <w:rsid w:val="00B1385B"/>
    <w:rsid w:val="00B16A31"/>
    <w:rsid w:val="00B17DFD"/>
    <w:rsid w:val="00B25306"/>
    <w:rsid w:val="00B27831"/>
    <w:rsid w:val="00B308FE"/>
    <w:rsid w:val="00B33709"/>
    <w:rsid w:val="00B33B3C"/>
    <w:rsid w:val="00B341F6"/>
    <w:rsid w:val="00B342EC"/>
    <w:rsid w:val="00B36392"/>
    <w:rsid w:val="00B418CB"/>
    <w:rsid w:val="00B42475"/>
    <w:rsid w:val="00B43C7D"/>
    <w:rsid w:val="00B47444"/>
    <w:rsid w:val="00B50ADC"/>
    <w:rsid w:val="00B566B1"/>
    <w:rsid w:val="00B63834"/>
    <w:rsid w:val="00B80199"/>
    <w:rsid w:val="00B83204"/>
    <w:rsid w:val="00B856E7"/>
    <w:rsid w:val="00B96C16"/>
    <w:rsid w:val="00BA220B"/>
    <w:rsid w:val="00BA3A57"/>
    <w:rsid w:val="00BB1533"/>
    <w:rsid w:val="00BB4E1A"/>
    <w:rsid w:val="00BC015E"/>
    <w:rsid w:val="00BC76AC"/>
    <w:rsid w:val="00BD0ECB"/>
    <w:rsid w:val="00BD5C3C"/>
    <w:rsid w:val="00BE2155"/>
    <w:rsid w:val="00BE719A"/>
    <w:rsid w:val="00BE720A"/>
    <w:rsid w:val="00BF0D73"/>
    <w:rsid w:val="00BF2465"/>
    <w:rsid w:val="00C06F48"/>
    <w:rsid w:val="00C1461A"/>
    <w:rsid w:val="00C16619"/>
    <w:rsid w:val="00C25E7F"/>
    <w:rsid w:val="00C2746F"/>
    <w:rsid w:val="00C323D6"/>
    <w:rsid w:val="00C324A0"/>
    <w:rsid w:val="00C34C76"/>
    <w:rsid w:val="00C42BF8"/>
    <w:rsid w:val="00C50043"/>
    <w:rsid w:val="00C52689"/>
    <w:rsid w:val="00C52E64"/>
    <w:rsid w:val="00C6187A"/>
    <w:rsid w:val="00C63B50"/>
    <w:rsid w:val="00C66964"/>
    <w:rsid w:val="00C71354"/>
    <w:rsid w:val="00C7573B"/>
    <w:rsid w:val="00C8720A"/>
    <w:rsid w:val="00C901D5"/>
    <w:rsid w:val="00C90F72"/>
    <w:rsid w:val="00C97A54"/>
    <w:rsid w:val="00CA5B23"/>
    <w:rsid w:val="00CB270C"/>
    <w:rsid w:val="00CB602E"/>
    <w:rsid w:val="00CB7E90"/>
    <w:rsid w:val="00CD7AA7"/>
    <w:rsid w:val="00CE051D"/>
    <w:rsid w:val="00CE1335"/>
    <w:rsid w:val="00CE3011"/>
    <w:rsid w:val="00CE493D"/>
    <w:rsid w:val="00CF05F5"/>
    <w:rsid w:val="00CF07FA"/>
    <w:rsid w:val="00CF0BB2"/>
    <w:rsid w:val="00CF2156"/>
    <w:rsid w:val="00CF3EE8"/>
    <w:rsid w:val="00D0225A"/>
    <w:rsid w:val="00D02AD9"/>
    <w:rsid w:val="00D0441B"/>
    <w:rsid w:val="00D04F26"/>
    <w:rsid w:val="00D13441"/>
    <w:rsid w:val="00D14CEE"/>
    <w:rsid w:val="00D150E7"/>
    <w:rsid w:val="00D17A93"/>
    <w:rsid w:val="00D40E2F"/>
    <w:rsid w:val="00D51C96"/>
    <w:rsid w:val="00D52DC2"/>
    <w:rsid w:val="00D53BCC"/>
    <w:rsid w:val="00D54C9E"/>
    <w:rsid w:val="00D6348D"/>
    <w:rsid w:val="00D6537E"/>
    <w:rsid w:val="00D65515"/>
    <w:rsid w:val="00D7045E"/>
    <w:rsid w:val="00D70DFB"/>
    <w:rsid w:val="00D72351"/>
    <w:rsid w:val="00D766DF"/>
    <w:rsid w:val="00D8206C"/>
    <w:rsid w:val="00D91F10"/>
    <w:rsid w:val="00DA186E"/>
    <w:rsid w:val="00DA4116"/>
    <w:rsid w:val="00DB251C"/>
    <w:rsid w:val="00DB452E"/>
    <w:rsid w:val="00DB4630"/>
    <w:rsid w:val="00DB777D"/>
    <w:rsid w:val="00DC4F88"/>
    <w:rsid w:val="00DE107C"/>
    <w:rsid w:val="00DF2388"/>
    <w:rsid w:val="00E05704"/>
    <w:rsid w:val="00E10B5A"/>
    <w:rsid w:val="00E2022E"/>
    <w:rsid w:val="00E338EF"/>
    <w:rsid w:val="00E530AE"/>
    <w:rsid w:val="00E544BB"/>
    <w:rsid w:val="00E5613A"/>
    <w:rsid w:val="00E659A5"/>
    <w:rsid w:val="00E6739C"/>
    <w:rsid w:val="00E74DC7"/>
    <w:rsid w:val="00E8075A"/>
    <w:rsid w:val="00E867BD"/>
    <w:rsid w:val="00E940D8"/>
    <w:rsid w:val="00E94D5E"/>
    <w:rsid w:val="00EA7100"/>
    <w:rsid w:val="00EA7F9F"/>
    <w:rsid w:val="00EB1274"/>
    <w:rsid w:val="00EC2422"/>
    <w:rsid w:val="00EC2960"/>
    <w:rsid w:val="00ED2BB6"/>
    <w:rsid w:val="00ED34E1"/>
    <w:rsid w:val="00ED3B8D"/>
    <w:rsid w:val="00EE1C9F"/>
    <w:rsid w:val="00EE5E36"/>
    <w:rsid w:val="00EE7D01"/>
    <w:rsid w:val="00EF2E3A"/>
    <w:rsid w:val="00F000F1"/>
    <w:rsid w:val="00F02C7C"/>
    <w:rsid w:val="00F072A7"/>
    <w:rsid w:val="00F078DC"/>
    <w:rsid w:val="00F1168C"/>
    <w:rsid w:val="00F32BA8"/>
    <w:rsid w:val="00F32EE0"/>
    <w:rsid w:val="00F33455"/>
    <w:rsid w:val="00F349F1"/>
    <w:rsid w:val="00F35176"/>
    <w:rsid w:val="00F4350D"/>
    <w:rsid w:val="00F459E5"/>
    <w:rsid w:val="00F479C4"/>
    <w:rsid w:val="00F5227E"/>
    <w:rsid w:val="00F567F7"/>
    <w:rsid w:val="00F6696E"/>
    <w:rsid w:val="00F73BD6"/>
    <w:rsid w:val="00F74D72"/>
    <w:rsid w:val="00F81F0F"/>
    <w:rsid w:val="00F83989"/>
    <w:rsid w:val="00F84BF3"/>
    <w:rsid w:val="00F85099"/>
    <w:rsid w:val="00F9379C"/>
    <w:rsid w:val="00F94B1C"/>
    <w:rsid w:val="00F9632C"/>
    <w:rsid w:val="00FA1E52"/>
    <w:rsid w:val="00FA30AD"/>
    <w:rsid w:val="00FB5A08"/>
    <w:rsid w:val="00FC6A80"/>
    <w:rsid w:val="00FE4688"/>
    <w:rsid w:val="00FF5704"/>
    <w:rsid w:val="0BED36E6"/>
    <w:rsid w:val="0D276E7A"/>
    <w:rsid w:val="204B8430"/>
    <w:rsid w:val="211E3140"/>
    <w:rsid w:val="2688F25C"/>
    <w:rsid w:val="2ED6DC0E"/>
    <w:rsid w:val="3BC36F85"/>
    <w:rsid w:val="3DBBA915"/>
    <w:rsid w:val="42B16EC2"/>
    <w:rsid w:val="4E2A9BF1"/>
    <w:rsid w:val="525689D2"/>
    <w:rsid w:val="64CFB37B"/>
    <w:rsid w:val="68B74F31"/>
    <w:rsid w:val="6D8AC054"/>
    <w:rsid w:val="7084B078"/>
    <w:rsid w:val="70C26116"/>
    <w:rsid w:val="751AED22"/>
    <w:rsid w:val="77DA68CF"/>
    <w:rsid w:val="7948D5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2287A4"/>
  <w15:docId w15:val="{F0D9FBB7-F214-4A4C-AB19-44E9DF51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qFormat/>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normaltextrun">
    <w:name w:val="normaltextrun"/>
    <w:basedOn w:val="DefaultParagraphFont"/>
    <w:rsid w:val="003C01D6"/>
  </w:style>
  <w:style w:type="character" w:customStyle="1" w:styleId="eop">
    <w:name w:val="eop"/>
    <w:basedOn w:val="DefaultParagraphFont"/>
    <w:rsid w:val="003C01D6"/>
  </w:style>
  <w:style w:type="character" w:customStyle="1" w:styleId="tabchar">
    <w:name w:val="tabchar"/>
    <w:basedOn w:val="DefaultParagraphFont"/>
    <w:rsid w:val="003C01D6"/>
  </w:style>
  <w:style w:type="character" w:styleId="CommentReference">
    <w:name w:val="annotation reference"/>
    <w:basedOn w:val="DefaultParagraphFont"/>
    <w:uiPriority w:val="99"/>
    <w:semiHidden/>
    <w:unhideWhenUsed/>
    <w:rsid w:val="00D65515"/>
    <w:rPr>
      <w:sz w:val="16"/>
      <w:szCs w:val="16"/>
    </w:rPr>
  </w:style>
  <w:style w:type="paragraph" w:styleId="CommentText">
    <w:name w:val="annotation text"/>
    <w:basedOn w:val="Normal"/>
    <w:link w:val="CommentTextChar"/>
    <w:uiPriority w:val="99"/>
    <w:unhideWhenUsed/>
    <w:rsid w:val="00D65515"/>
    <w:pPr>
      <w:spacing w:line="240" w:lineRule="auto"/>
    </w:pPr>
    <w:rPr>
      <w:sz w:val="20"/>
    </w:rPr>
  </w:style>
  <w:style w:type="character" w:customStyle="1" w:styleId="CommentTextChar">
    <w:name w:val="Comment Text Char"/>
    <w:basedOn w:val="DefaultParagraphFont"/>
    <w:link w:val="CommentText"/>
    <w:uiPriority w:val="99"/>
    <w:rsid w:val="00D65515"/>
  </w:style>
  <w:style w:type="paragraph" w:styleId="CommentSubject">
    <w:name w:val="annotation subject"/>
    <w:basedOn w:val="CommentText"/>
    <w:next w:val="CommentText"/>
    <w:link w:val="CommentSubjectChar"/>
    <w:uiPriority w:val="99"/>
    <w:semiHidden/>
    <w:unhideWhenUsed/>
    <w:rsid w:val="00D65515"/>
    <w:rPr>
      <w:b/>
      <w:bCs/>
    </w:rPr>
  </w:style>
  <w:style w:type="character" w:customStyle="1" w:styleId="CommentSubjectChar">
    <w:name w:val="Comment Subject Char"/>
    <w:basedOn w:val="CommentTextChar"/>
    <w:link w:val="CommentSubject"/>
    <w:uiPriority w:val="99"/>
    <w:semiHidden/>
    <w:rsid w:val="00D65515"/>
    <w:rPr>
      <w:b/>
      <w:bCs/>
    </w:rPr>
  </w:style>
  <w:style w:type="character" w:styleId="Hyperlink">
    <w:name w:val="Hyperlink"/>
    <w:basedOn w:val="DefaultParagraphFont"/>
    <w:uiPriority w:val="99"/>
    <w:unhideWhenUsed/>
    <w:rsid w:val="008638FC"/>
    <w:rPr>
      <w:color w:val="0000FF" w:themeColor="hyperlink"/>
      <w:u w:val="single"/>
    </w:rPr>
  </w:style>
  <w:style w:type="character" w:styleId="UnresolvedMention">
    <w:name w:val="Unresolved Mention"/>
    <w:basedOn w:val="DefaultParagraphFont"/>
    <w:uiPriority w:val="99"/>
    <w:semiHidden/>
    <w:unhideWhenUsed/>
    <w:rsid w:val="008638FC"/>
    <w:rPr>
      <w:color w:val="605E5C"/>
      <w:shd w:val="clear" w:color="auto" w:fill="E1DFDD"/>
    </w:rPr>
  </w:style>
  <w:style w:type="paragraph" w:customStyle="1" w:styleId="pf0">
    <w:name w:val="pf0"/>
    <w:basedOn w:val="Normal"/>
    <w:rsid w:val="008638FC"/>
    <w:pPr>
      <w:spacing w:before="100" w:beforeAutospacing="1" w:after="100" w:afterAutospacing="1" w:line="240" w:lineRule="auto"/>
    </w:pPr>
    <w:rPr>
      <w:rFonts w:eastAsia="Times New Roman" w:cs="Times New Roman"/>
      <w:sz w:val="24"/>
      <w:szCs w:val="24"/>
      <w:lang w:eastAsia="en-AU"/>
    </w:rPr>
  </w:style>
  <w:style w:type="character" w:customStyle="1" w:styleId="cf01">
    <w:name w:val="cf01"/>
    <w:basedOn w:val="DefaultParagraphFont"/>
    <w:rsid w:val="008638FC"/>
    <w:rPr>
      <w:rFonts w:ascii="Segoe UI" w:hAnsi="Segoe UI" w:cs="Segoe UI" w:hint="default"/>
    </w:rPr>
  </w:style>
  <w:style w:type="character" w:customStyle="1" w:styleId="cf11">
    <w:name w:val="cf11"/>
    <w:basedOn w:val="DefaultParagraphFont"/>
    <w:rsid w:val="00780BEC"/>
    <w:rPr>
      <w:rFonts w:ascii="Segoe UI" w:hAnsi="Segoe UI" w:cs="Segoe UI" w:hint="default"/>
      <w:i/>
      <w:iCs/>
    </w:rPr>
  </w:style>
  <w:style w:type="character" w:customStyle="1" w:styleId="cf31">
    <w:name w:val="cf31"/>
    <w:basedOn w:val="DefaultParagraphFont"/>
    <w:rsid w:val="00780BEC"/>
    <w:rPr>
      <w:rFonts w:ascii="Segoe UI" w:hAnsi="Segoe UI" w:cs="Segoe UI" w:hint="default"/>
      <w:b/>
      <w:bCs/>
      <w:i/>
      <w:iCs/>
    </w:rPr>
  </w:style>
  <w:style w:type="character" w:customStyle="1" w:styleId="cf41">
    <w:name w:val="cf41"/>
    <w:basedOn w:val="DefaultParagraphFont"/>
    <w:rsid w:val="00780BEC"/>
    <w:rPr>
      <w:rFonts w:ascii="Segoe UI" w:hAnsi="Segoe UI" w:cs="Segoe UI" w:hint="default"/>
      <w:i/>
      <w:iCs/>
    </w:rPr>
  </w:style>
  <w:style w:type="character" w:customStyle="1" w:styleId="cf21">
    <w:name w:val="cf21"/>
    <w:basedOn w:val="DefaultParagraphFont"/>
    <w:rsid w:val="00780BEC"/>
    <w:rPr>
      <w:rFonts w:ascii="Segoe UI" w:hAnsi="Segoe UI" w:cs="Segoe UI" w:hint="default"/>
    </w:rPr>
  </w:style>
  <w:style w:type="paragraph" w:styleId="ListParagraph">
    <w:name w:val="List Paragraph"/>
    <w:basedOn w:val="Normal"/>
    <w:uiPriority w:val="34"/>
    <w:qFormat/>
    <w:rsid w:val="00AD2158"/>
    <w:pPr>
      <w:spacing w:line="240" w:lineRule="auto"/>
      <w:ind w:left="720"/>
    </w:pPr>
    <w:rPr>
      <w:rFonts w:ascii="Calibri" w:hAnsi="Calibri" w:cs="Calibri"/>
      <w:sz w:val="20"/>
      <w:lang w:eastAsia="en-AU"/>
      <w14:ligatures w14:val="standardContextual"/>
    </w:rPr>
  </w:style>
  <w:style w:type="paragraph" w:styleId="Revision">
    <w:name w:val="Revision"/>
    <w:hidden/>
    <w:uiPriority w:val="99"/>
    <w:semiHidden/>
    <w:rsid w:val="0058380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64668">
      <w:bodyDiv w:val="1"/>
      <w:marLeft w:val="0"/>
      <w:marRight w:val="0"/>
      <w:marTop w:val="0"/>
      <w:marBottom w:val="0"/>
      <w:divBdr>
        <w:top w:val="none" w:sz="0" w:space="0" w:color="auto"/>
        <w:left w:val="none" w:sz="0" w:space="0" w:color="auto"/>
        <w:bottom w:val="none" w:sz="0" w:space="0" w:color="auto"/>
        <w:right w:val="none" w:sz="0" w:space="0" w:color="auto"/>
      </w:divBdr>
      <w:divsChild>
        <w:div w:id="235362225">
          <w:marLeft w:val="0"/>
          <w:marRight w:val="0"/>
          <w:marTop w:val="0"/>
          <w:marBottom w:val="0"/>
          <w:divBdr>
            <w:top w:val="none" w:sz="0" w:space="0" w:color="auto"/>
            <w:left w:val="none" w:sz="0" w:space="0" w:color="auto"/>
            <w:bottom w:val="none" w:sz="0" w:space="0" w:color="auto"/>
            <w:right w:val="none" w:sz="0" w:space="0" w:color="auto"/>
          </w:divBdr>
        </w:div>
        <w:div w:id="393698919">
          <w:marLeft w:val="0"/>
          <w:marRight w:val="0"/>
          <w:marTop w:val="0"/>
          <w:marBottom w:val="0"/>
          <w:divBdr>
            <w:top w:val="none" w:sz="0" w:space="0" w:color="auto"/>
            <w:left w:val="none" w:sz="0" w:space="0" w:color="auto"/>
            <w:bottom w:val="none" w:sz="0" w:space="0" w:color="auto"/>
            <w:right w:val="none" w:sz="0" w:space="0" w:color="auto"/>
          </w:divBdr>
          <w:divsChild>
            <w:div w:id="1958216948">
              <w:marLeft w:val="-75"/>
              <w:marRight w:val="0"/>
              <w:marTop w:val="30"/>
              <w:marBottom w:val="30"/>
              <w:divBdr>
                <w:top w:val="none" w:sz="0" w:space="0" w:color="auto"/>
                <w:left w:val="none" w:sz="0" w:space="0" w:color="auto"/>
                <w:bottom w:val="none" w:sz="0" w:space="0" w:color="auto"/>
                <w:right w:val="none" w:sz="0" w:space="0" w:color="auto"/>
              </w:divBdr>
              <w:divsChild>
                <w:div w:id="459812047">
                  <w:marLeft w:val="0"/>
                  <w:marRight w:val="0"/>
                  <w:marTop w:val="0"/>
                  <w:marBottom w:val="0"/>
                  <w:divBdr>
                    <w:top w:val="none" w:sz="0" w:space="0" w:color="auto"/>
                    <w:left w:val="none" w:sz="0" w:space="0" w:color="auto"/>
                    <w:bottom w:val="none" w:sz="0" w:space="0" w:color="auto"/>
                    <w:right w:val="none" w:sz="0" w:space="0" w:color="auto"/>
                  </w:divBdr>
                  <w:divsChild>
                    <w:div w:id="1578710971">
                      <w:marLeft w:val="0"/>
                      <w:marRight w:val="0"/>
                      <w:marTop w:val="0"/>
                      <w:marBottom w:val="0"/>
                      <w:divBdr>
                        <w:top w:val="none" w:sz="0" w:space="0" w:color="auto"/>
                        <w:left w:val="none" w:sz="0" w:space="0" w:color="auto"/>
                        <w:bottom w:val="none" w:sz="0" w:space="0" w:color="auto"/>
                        <w:right w:val="none" w:sz="0" w:space="0" w:color="auto"/>
                      </w:divBdr>
                    </w:div>
                  </w:divsChild>
                </w:div>
                <w:div w:id="726873917">
                  <w:marLeft w:val="0"/>
                  <w:marRight w:val="0"/>
                  <w:marTop w:val="0"/>
                  <w:marBottom w:val="0"/>
                  <w:divBdr>
                    <w:top w:val="none" w:sz="0" w:space="0" w:color="auto"/>
                    <w:left w:val="none" w:sz="0" w:space="0" w:color="auto"/>
                    <w:bottom w:val="none" w:sz="0" w:space="0" w:color="auto"/>
                    <w:right w:val="none" w:sz="0" w:space="0" w:color="auto"/>
                  </w:divBdr>
                  <w:divsChild>
                    <w:div w:id="336688297">
                      <w:marLeft w:val="0"/>
                      <w:marRight w:val="0"/>
                      <w:marTop w:val="0"/>
                      <w:marBottom w:val="0"/>
                      <w:divBdr>
                        <w:top w:val="none" w:sz="0" w:space="0" w:color="auto"/>
                        <w:left w:val="none" w:sz="0" w:space="0" w:color="auto"/>
                        <w:bottom w:val="none" w:sz="0" w:space="0" w:color="auto"/>
                        <w:right w:val="none" w:sz="0" w:space="0" w:color="auto"/>
                      </w:divBdr>
                    </w:div>
                  </w:divsChild>
                </w:div>
                <w:div w:id="828716129">
                  <w:marLeft w:val="0"/>
                  <w:marRight w:val="0"/>
                  <w:marTop w:val="0"/>
                  <w:marBottom w:val="0"/>
                  <w:divBdr>
                    <w:top w:val="none" w:sz="0" w:space="0" w:color="auto"/>
                    <w:left w:val="none" w:sz="0" w:space="0" w:color="auto"/>
                    <w:bottom w:val="none" w:sz="0" w:space="0" w:color="auto"/>
                    <w:right w:val="none" w:sz="0" w:space="0" w:color="auto"/>
                  </w:divBdr>
                  <w:divsChild>
                    <w:div w:id="657617746">
                      <w:marLeft w:val="0"/>
                      <w:marRight w:val="0"/>
                      <w:marTop w:val="0"/>
                      <w:marBottom w:val="0"/>
                      <w:divBdr>
                        <w:top w:val="none" w:sz="0" w:space="0" w:color="auto"/>
                        <w:left w:val="none" w:sz="0" w:space="0" w:color="auto"/>
                        <w:bottom w:val="none" w:sz="0" w:space="0" w:color="auto"/>
                        <w:right w:val="none" w:sz="0" w:space="0" w:color="auto"/>
                      </w:divBdr>
                    </w:div>
                  </w:divsChild>
                </w:div>
                <w:div w:id="945383319">
                  <w:marLeft w:val="0"/>
                  <w:marRight w:val="0"/>
                  <w:marTop w:val="0"/>
                  <w:marBottom w:val="0"/>
                  <w:divBdr>
                    <w:top w:val="none" w:sz="0" w:space="0" w:color="auto"/>
                    <w:left w:val="none" w:sz="0" w:space="0" w:color="auto"/>
                    <w:bottom w:val="none" w:sz="0" w:space="0" w:color="auto"/>
                    <w:right w:val="none" w:sz="0" w:space="0" w:color="auto"/>
                  </w:divBdr>
                  <w:divsChild>
                    <w:div w:id="944073036">
                      <w:marLeft w:val="0"/>
                      <w:marRight w:val="0"/>
                      <w:marTop w:val="0"/>
                      <w:marBottom w:val="0"/>
                      <w:divBdr>
                        <w:top w:val="none" w:sz="0" w:space="0" w:color="auto"/>
                        <w:left w:val="none" w:sz="0" w:space="0" w:color="auto"/>
                        <w:bottom w:val="none" w:sz="0" w:space="0" w:color="auto"/>
                        <w:right w:val="none" w:sz="0" w:space="0" w:color="auto"/>
                      </w:divBdr>
                    </w:div>
                  </w:divsChild>
                </w:div>
                <w:div w:id="1561594782">
                  <w:marLeft w:val="0"/>
                  <w:marRight w:val="0"/>
                  <w:marTop w:val="0"/>
                  <w:marBottom w:val="0"/>
                  <w:divBdr>
                    <w:top w:val="none" w:sz="0" w:space="0" w:color="auto"/>
                    <w:left w:val="none" w:sz="0" w:space="0" w:color="auto"/>
                    <w:bottom w:val="none" w:sz="0" w:space="0" w:color="auto"/>
                    <w:right w:val="none" w:sz="0" w:space="0" w:color="auto"/>
                  </w:divBdr>
                  <w:divsChild>
                    <w:div w:id="258686609">
                      <w:marLeft w:val="0"/>
                      <w:marRight w:val="0"/>
                      <w:marTop w:val="0"/>
                      <w:marBottom w:val="0"/>
                      <w:divBdr>
                        <w:top w:val="none" w:sz="0" w:space="0" w:color="auto"/>
                        <w:left w:val="none" w:sz="0" w:space="0" w:color="auto"/>
                        <w:bottom w:val="none" w:sz="0" w:space="0" w:color="auto"/>
                        <w:right w:val="none" w:sz="0" w:space="0" w:color="auto"/>
                      </w:divBdr>
                    </w:div>
                  </w:divsChild>
                </w:div>
                <w:div w:id="1613053861">
                  <w:marLeft w:val="0"/>
                  <w:marRight w:val="0"/>
                  <w:marTop w:val="0"/>
                  <w:marBottom w:val="0"/>
                  <w:divBdr>
                    <w:top w:val="none" w:sz="0" w:space="0" w:color="auto"/>
                    <w:left w:val="none" w:sz="0" w:space="0" w:color="auto"/>
                    <w:bottom w:val="none" w:sz="0" w:space="0" w:color="auto"/>
                    <w:right w:val="none" w:sz="0" w:space="0" w:color="auto"/>
                  </w:divBdr>
                  <w:divsChild>
                    <w:div w:id="1242060415">
                      <w:marLeft w:val="0"/>
                      <w:marRight w:val="0"/>
                      <w:marTop w:val="0"/>
                      <w:marBottom w:val="0"/>
                      <w:divBdr>
                        <w:top w:val="none" w:sz="0" w:space="0" w:color="auto"/>
                        <w:left w:val="none" w:sz="0" w:space="0" w:color="auto"/>
                        <w:bottom w:val="none" w:sz="0" w:space="0" w:color="auto"/>
                        <w:right w:val="none" w:sz="0" w:space="0" w:color="auto"/>
                      </w:divBdr>
                    </w:div>
                  </w:divsChild>
                </w:div>
                <w:div w:id="1672372243">
                  <w:marLeft w:val="0"/>
                  <w:marRight w:val="0"/>
                  <w:marTop w:val="0"/>
                  <w:marBottom w:val="0"/>
                  <w:divBdr>
                    <w:top w:val="none" w:sz="0" w:space="0" w:color="auto"/>
                    <w:left w:val="none" w:sz="0" w:space="0" w:color="auto"/>
                    <w:bottom w:val="none" w:sz="0" w:space="0" w:color="auto"/>
                    <w:right w:val="none" w:sz="0" w:space="0" w:color="auto"/>
                  </w:divBdr>
                  <w:divsChild>
                    <w:div w:id="1911498570">
                      <w:marLeft w:val="0"/>
                      <w:marRight w:val="0"/>
                      <w:marTop w:val="0"/>
                      <w:marBottom w:val="0"/>
                      <w:divBdr>
                        <w:top w:val="none" w:sz="0" w:space="0" w:color="auto"/>
                        <w:left w:val="none" w:sz="0" w:space="0" w:color="auto"/>
                        <w:bottom w:val="none" w:sz="0" w:space="0" w:color="auto"/>
                        <w:right w:val="none" w:sz="0" w:space="0" w:color="auto"/>
                      </w:divBdr>
                    </w:div>
                  </w:divsChild>
                </w:div>
                <w:div w:id="2007202270">
                  <w:marLeft w:val="0"/>
                  <w:marRight w:val="0"/>
                  <w:marTop w:val="0"/>
                  <w:marBottom w:val="0"/>
                  <w:divBdr>
                    <w:top w:val="none" w:sz="0" w:space="0" w:color="auto"/>
                    <w:left w:val="none" w:sz="0" w:space="0" w:color="auto"/>
                    <w:bottom w:val="none" w:sz="0" w:space="0" w:color="auto"/>
                    <w:right w:val="none" w:sz="0" w:space="0" w:color="auto"/>
                  </w:divBdr>
                  <w:divsChild>
                    <w:div w:id="783813252">
                      <w:marLeft w:val="0"/>
                      <w:marRight w:val="0"/>
                      <w:marTop w:val="0"/>
                      <w:marBottom w:val="0"/>
                      <w:divBdr>
                        <w:top w:val="none" w:sz="0" w:space="0" w:color="auto"/>
                        <w:left w:val="none" w:sz="0" w:space="0" w:color="auto"/>
                        <w:bottom w:val="none" w:sz="0" w:space="0" w:color="auto"/>
                        <w:right w:val="none" w:sz="0" w:space="0" w:color="auto"/>
                      </w:divBdr>
                    </w:div>
                  </w:divsChild>
                </w:div>
                <w:div w:id="2057123661">
                  <w:marLeft w:val="0"/>
                  <w:marRight w:val="0"/>
                  <w:marTop w:val="0"/>
                  <w:marBottom w:val="0"/>
                  <w:divBdr>
                    <w:top w:val="none" w:sz="0" w:space="0" w:color="auto"/>
                    <w:left w:val="none" w:sz="0" w:space="0" w:color="auto"/>
                    <w:bottom w:val="none" w:sz="0" w:space="0" w:color="auto"/>
                    <w:right w:val="none" w:sz="0" w:space="0" w:color="auto"/>
                  </w:divBdr>
                  <w:divsChild>
                    <w:div w:id="1964649315">
                      <w:marLeft w:val="0"/>
                      <w:marRight w:val="0"/>
                      <w:marTop w:val="0"/>
                      <w:marBottom w:val="0"/>
                      <w:divBdr>
                        <w:top w:val="none" w:sz="0" w:space="0" w:color="auto"/>
                        <w:left w:val="none" w:sz="0" w:space="0" w:color="auto"/>
                        <w:bottom w:val="none" w:sz="0" w:space="0" w:color="auto"/>
                        <w:right w:val="none" w:sz="0" w:space="0" w:color="auto"/>
                      </w:divBdr>
                    </w:div>
                  </w:divsChild>
                </w:div>
                <w:div w:id="2126461655">
                  <w:marLeft w:val="0"/>
                  <w:marRight w:val="0"/>
                  <w:marTop w:val="0"/>
                  <w:marBottom w:val="0"/>
                  <w:divBdr>
                    <w:top w:val="none" w:sz="0" w:space="0" w:color="auto"/>
                    <w:left w:val="none" w:sz="0" w:space="0" w:color="auto"/>
                    <w:bottom w:val="none" w:sz="0" w:space="0" w:color="auto"/>
                    <w:right w:val="none" w:sz="0" w:space="0" w:color="auto"/>
                  </w:divBdr>
                  <w:divsChild>
                    <w:div w:id="13268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3746">
          <w:marLeft w:val="0"/>
          <w:marRight w:val="0"/>
          <w:marTop w:val="0"/>
          <w:marBottom w:val="0"/>
          <w:divBdr>
            <w:top w:val="none" w:sz="0" w:space="0" w:color="auto"/>
            <w:left w:val="none" w:sz="0" w:space="0" w:color="auto"/>
            <w:bottom w:val="none" w:sz="0" w:space="0" w:color="auto"/>
            <w:right w:val="none" w:sz="0" w:space="0" w:color="auto"/>
          </w:divBdr>
        </w:div>
        <w:div w:id="1343046462">
          <w:marLeft w:val="0"/>
          <w:marRight w:val="0"/>
          <w:marTop w:val="0"/>
          <w:marBottom w:val="0"/>
          <w:divBdr>
            <w:top w:val="none" w:sz="0" w:space="0" w:color="auto"/>
            <w:left w:val="none" w:sz="0" w:space="0" w:color="auto"/>
            <w:bottom w:val="none" w:sz="0" w:space="0" w:color="auto"/>
            <w:right w:val="none" w:sz="0" w:space="0" w:color="auto"/>
          </w:divBdr>
        </w:div>
        <w:div w:id="1369065401">
          <w:marLeft w:val="0"/>
          <w:marRight w:val="0"/>
          <w:marTop w:val="0"/>
          <w:marBottom w:val="0"/>
          <w:divBdr>
            <w:top w:val="none" w:sz="0" w:space="0" w:color="auto"/>
            <w:left w:val="none" w:sz="0" w:space="0" w:color="auto"/>
            <w:bottom w:val="none" w:sz="0" w:space="0" w:color="auto"/>
            <w:right w:val="none" w:sz="0" w:space="0" w:color="auto"/>
          </w:divBdr>
        </w:div>
        <w:div w:id="1911233398">
          <w:marLeft w:val="0"/>
          <w:marRight w:val="0"/>
          <w:marTop w:val="0"/>
          <w:marBottom w:val="0"/>
          <w:divBdr>
            <w:top w:val="none" w:sz="0" w:space="0" w:color="auto"/>
            <w:left w:val="none" w:sz="0" w:space="0" w:color="auto"/>
            <w:bottom w:val="none" w:sz="0" w:space="0" w:color="auto"/>
            <w:right w:val="none" w:sz="0" w:space="0" w:color="auto"/>
          </w:divBdr>
        </w:div>
      </w:divsChild>
    </w:div>
    <w:div w:id="703404225">
      <w:bodyDiv w:val="1"/>
      <w:marLeft w:val="0"/>
      <w:marRight w:val="0"/>
      <w:marTop w:val="0"/>
      <w:marBottom w:val="0"/>
      <w:divBdr>
        <w:top w:val="none" w:sz="0" w:space="0" w:color="auto"/>
        <w:left w:val="none" w:sz="0" w:space="0" w:color="auto"/>
        <w:bottom w:val="none" w:sz="0" w:space="0" w:color="auto"/>
        <w:right w:val="none" w:sz="0" w:space="0" w:color="auto"/>
      </w:divBdr>
    </w:div>
    <w:div w:id="1403523906">
      <w:bodyDiv w:val="1"/>
      <w:marLeft w:val="0"/>
      <w:marRight w:val="0"/>
      <w:marTop w:val="0"/>
      <w:marBottom w:val="0"/>
      <w:divBdr>
        <w:top w:val="none" w:sz="0" w:space="0" w:color="auto"/>
        <w:left w:val="none" w:sz="0" w:space="0" w:color="auto"/>
        <w:bottom w:val="none" w:sz="0" w:space="0" w:color="auto"/>
        <w:right w:val="none" w:sz="0" w:space="0" w:color="auto"/>
      </w:divBdr>
    </w:div>
    <w:div w:id="1494292776">
      <w:bodyDiv w:val="1"/>
      <w:marLeft w:val="0"/>
      <w:marRight w:val="0"/>
      <w:marTop w:val="0"/>
      <w:marBottom w:val="0"/>
      <w:divBdr>
        <w:top w:val="none" w:sz="0" w:space="0" w:color="auto"/>
        <w:left w:val="none" w:sz="0" w:space="0" w:color="auto"/>
        <w:bottom w:val="none" w:sz="0" w:space="0" w:color="auto"/>
        <w:right w:val="none" w:sz="0" w:space="0" w:color="auto"/>
      </w:divBdr>
    </w:div>
    <w:div w:id="197474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 D o c u m e n t s ! 5 0 8 5 0 6 1 5 . 1 < / d o c u m e n t i d >  
     < s e n d e r i d > L U K E M A < / s e n d e r i d >  
     < s e n d e r e m a i l > A N N A . L U K E M A N @ A G S . G O V . A U < / s e n d e r e m a i l >  
     < l a s t m o d i f i e d > 2 0 2 4 - 0 3 - 2 0 T 0 9 : 4 3 : 0 0 . 0 0 0 0 0 0 0 + 1 1 : 0 0 < / l a s t m o d i f i e d >  
     < d a t a b a s e > D o c u m e n t s < / d a t a b a s e >  
 < / 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FB0C65AD3B70B459EBC2378551F90E4" ma:contentTypeVersion="" ma:contentTypeDescription="PDMS Document Site Content Type" ma:contentTypeScope="" ma:versionID="e88a0e0c1876910c181e8962ebfa5504">
  <xsd:schema xmlns:xsd="http://www.w3.org/2001/XMLSchema" xmlns:xs="http://www.w3.org/2001/XMLSchema" xmlns:p="http://schemas.microsoft.com/office/2006/metadata/properties" xmlns:ns2="5E316342-7F1F-4323-8FFD-609603887F52" targetNamespace="http://schemas.microsoft.com/office/2006/metadata/properties" ma:root="true" ma:fieldsID="a4dad3ccefcaf1e2e96e7d7ab30799f6" ns2:_="">
    <xsd:import namespace="5E316342-7F1F-4323-8FFD-609603887F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16342-7F1F-4323-8FFD-609603887F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5E316342-7F1F-4323-8FFD-609603887F5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C4E4A-4D2B-4D22-BA1A-02EAFDC12E9F}">
  <ds:schemaRefs>
    <ds:schemaRef ds:uri="http://schemas.microsoft.com/sharepoint/v3/contenttype/forms"/>
  </ds:schemaRefs>
</ds:datastoreItem>
</file>

<file path=customXml/itemProps2.xml><?xml version="1.0" encoding="utf-8"?>
<ds:datastoreItem xmlns:ds="http://schemas.openxmlformats.org/officeDocument/2006/customXml" ds:itemID="{3743455C-DC8D-4E13-844C-729E6CB9D918}">
  <ds:schemaRefs>
    <ds:schemaRef ds:uri="http://www.imanage.com/work/xmlschema"/>
  </ds:schemaRefs>
</ds:datastoreItem>
</file>

<file path=customXml/itemProps3.xml><?xml version="1.0" encoding="utf-8"?>
<ds:datastoreItem xmlns:ds="http://schemas.openxmlformats.org/officeDocument/2006/customXml" ds:itemID="{8AFCB0ED-CC0C-4ED7-81AB-F48A334C3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16342-7F1F-4323-8FFD-609603887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819B1-733F-4C03-B173-8E07140166FD}">
  <ds:schemaRefs>
    <ds:schemaRef ds:uri="http://purl.org/dc/elements/1.1/"/>
    <ds:schemaRef ds:uri="http://schemas.microsoft.com/office/2006/metadata/properties"/>
    <ds:schemaRef ds:uri="5E316342-7F1F-4323-8FFD-609603887F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7A3035CE-8CFB-4EF4-A584-0CF6D737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Ricabo, Bradley</dc:creator>
  <cp:keywords>[SEC=OFFICIAL:Sensitive]</cp:keywords>
  <cp:lastModifiedBy>Miller, Kelli</cp:lastModifiedBy>
  <cp:revision>2</cp:revision>
  <dcterms:created xsi:type="dcterms:W3CDTF">2024-03-26T22:23:00Z</dcterms:created>
  <dcterms:modified xsi:type="dcterms:W3CDTF">2024-03-26T22:23:00Z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0x010100266966F133664895A6EE3632470D45F5005FB0C65AD3B70B459EBC2378551F90E4</vt:lpwstr>
  </property>
  <property fmtid="{D5CDD505-2E9C-101B-9397-08002B2CF9AE}" pid="3" name="PM_ProtectiveMarkingValue_Footer">
    <vt:lpwstr>OFFICIAL:Sensitive</vt:lpwstr>
  </property>
  <property fmtid="{D5CDD505-2E9C-101B-9397-08002B2CF9AE}" pid="4" name="PM_Caveats_Count">
    <vt:lpwstr>0</vt:lpwstr>
  </property>
  <property fmtid="{D5CDD505-2E9C-101B-9397-08002B2CF9AE}" pid="5" name="PM_Originator_Hash_SHA1">
    <vt:lpwstr>890A0721D69C6F045B1A3912B28CE92EE4F2D5A4</vt:lpwstr>
  </property>
  <property fmtid="{D5CDD505-2E9C-101B-9397-08002B2CF9AE}" pid="6" name="PM_SecurityClassification">
    <vt:lpwstr>OFFICIAL:Sensitive</vt:lpwstr>
  </property>
  <property fmtid="{D5CDD505-2E9C-101B-9397-08002B2CF9AE}" pid="7" name="PM_DisplayValueSecClassificationWithQualifier">
    <vt:lpwstr>OFFICIAL:Sensitive:</vt:lpwstr>
  </property>
  <property fmtid="{D5CDD505-2E9C-101B-9397-08002B2CF9AE}" pid="8" name="PM_Qualifier">
    <vt:lpwstr/>
  </property>
  <property fmtid="{D5CDD505-2E9C-101B-9397-08002B2CF9AE}" pid="9" name="PM_Hash_SHA1">
    <vt:lpwstr>8F3322266C2AEC4CF68C7FF71F42E32DDBBAC151</vt:lpwstr>
  </property>
  <property fmtid="{D5CDD505-2E9C-101B-9397-08002B2CF9AE}" pid="10" name="PM_ProtectiveMarkingImage_Header">
    <vt:lpwstr>C:\Program Files (x86)\Common Files\janusNET Shared\janusSEAL\Images\DocumentSlashBlue.png</vt:lpwstr>
  </property>
  <property fmtid="{D5CDD505-2E9C-101B-9397-08002B2CF9AE}" pid="11" name="PM_InsertionValue">
    <vt:lpwstr>OFFICIAL:Sensitive</vt:lpwstr>
  </property>
  <property fmtid="{D5CDD505-2E9C-101B-9397-08002B2CF9AE}" pid="12" name="PM_ProtectiveMarkingValue_Header">
    <vt:lpwstr>OFFICIAL:Sensitive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2018.1</vt:lpwstr>
  </property>
  <property fmtid="{D5CDD505-2E9C-101B-9397-08002B2CF9AE}" pid="16" name="PM_Originating_FileId">
    <vt:lpwstr>2E1DFB09ED564E70B09A318F1816C98B</vt:lpwstr>
  </property>
  <property fmtid="{D5CDD505-2E9C-101B-9397-08002B2CF9AE}" pid="17" name="PM_Note">
    <vt:lpwstr/>
  </property>
  <property fmtid="{D5CDD505-2E9C-101B-9397-08002B2CF9AE}" pid="18" name="PM_Markers">
    <vt:lpwstr/>
  </property>
  <property fmtid="{D5CDD505-2E9C-101B-9397-08002B2CF9AE}" pid="19" name="PM_OriginationTimeStamp">
    <vt:lpwstr>2024-03-21T23:34:00Z</vt:lpwstr>
  </property>
  <property fmtid="{D5CDD505-2E9C-101B-9397-08002B2CF9AE}" pid="20" name="PM_Hash_Version">
    <vt:lpwstr>2018.0</vt:lpwstr>
  </property>
  <property fmtid="{D5CDD505-2E9C-101B-9397-08002B2CF9AE}" pid="21" name="PM_Hash_Salt_Prev">
    <vt:lpwstr>96EFD31E881852B032133180F3114F8E</vt:lpwstr>
  </property>
  <property fmtid="{D5CDD505-2E9C-101B-9397-08002B2CF9AE}" pid="22" name="PM_Hash_Salt">
    <vt:lpwstr>12F25CD2FEE11B133832F5C08ABA52FA</vt:lpwstr>
  </property>
  <property fmtid="{D5CDD505-2E9C-101B-9397-08002B2CF9AE}" pid="23" name="PM_SecurityClassification_Prev">
    <vt:lpwstr>OFFICIAL:Sensitive</vt:lpwstr>
  </property>
  <property fmtid="{D5CDD505-2E9C-101B-9397-08002B2CF9AE}" pid="24" name="PM_Qualifier_Prev">
    <vt:lpwstr/>
  </property>
</Properties>
</file>