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A22E" w14:textId="1C9692DC" w:rsidR="00735331" w:rsidRPr="001C5495" w:rsidRDefault="00735331" w:rsidP="00AA609D">
      <w:pPr>
        <w:pStyle w:val="Heading1"/>
        <w:spacing w:before="0"/>
        <w:rPr>
          <w:rFonts w:ascii="Times New Roman" w:hAnsi="Times New Roman" w:cs="Times New Roman"/>
          <w:b/>
          <w:bCs/>
          <w:color w:val="auto"/>
          <w:sz w:val="40"/>
          <w:szCs w:val="24"/>
        </w:rPr>
      </w:pPr>
      <w:r w:rsidRPr="001C5495">
        <w:rPr>
          <w:rFonts w:ascii="Times New Roman" w:hAnsi="Times New Roman" w:cs="Times New Roman"/>
          <w:b/>
          <w:bCs/>
          <w:color w:val="auto"/>
          <w:sz w:val="40"/>
          <w:szCs w:val="24"/>
        </w:rPr>
        <w:t>Explanatory Statement</w:t>
      </w:r>
    </w:p>
    <w:p w14:paraId="56C4B120" w14:textId="7EFF52CC" w:rsidR="00735331" w:rsidRPr="00F257EC" w:rsidRDefault="00786C3F" w:rsidP="00735331">
      <w:pPr>
        <w:pStyle w:val="Heading1"/>
        <w:rPr>
          <w:rFonts w:ascii="Times New Roman" w:eastAsiaTheme="majorEastAsia" w:hAnsi="Times New Roman" w:cs="Times New Roman"/>
          <w:b/>
          <w:bCs/>
          <w:color w:val="auto"/>
          <w:sz w:val="28"/>
          <w:szCs w:val="20"/>
        </w:rPr>
      </w:pPr>
      <w:bookmarkStart w:id="0" w:name="_Hlk162445063"/>
      <w:r w:rsidRPr="00786C3F">
        <w:rPr>
          <w:rFonts w:ascii="Times New Roman" w:eastAsiaTheme="majorEastAsia" w:hAnsi="Times New Roman" w:cs="Times New Roman"/>
          <w:b/>
          <w:bCs/>
          <w:color w:val="auto"/>
          <w:sz w:val="28"/>
          <w:szCs w:val="20"/>
        </w:rPr>
        <w:t>Privacy (Guidelines issued under section 95A) Approval 2024</w:t>
      </w:r>
    </w:p>
    <w:bookmarkEnd w:id="0"/>
    <w:p w14:paraId="52CC007A" w14:textId="365666A6"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This explanatory statement has been prepared by the Australian </w:t>
      </w:r>
      <w:r w:rsidR="00ED2668" w:rsidRPr="005841E2">
        <w:rPr>
          <w:rFonts w:ascii="Times New Roman" w:hAnsi="Times New Roman" w:cs="Times New Roman"/>
          <w:sz w:val="22"/>
          <w:szCs w:val="20"/>
        </w:rPr>
        <w:t xml:space="preserve">Information </w:t>
      </w:r>
      <w:r w:rsidRPr="005841E2">
        <w:rPr>
          <w:rFonts w:ascii="Times New Roman" w:hAnsi="Times New Roman" w:cs="Times New Roman"/>
          <w:sz w:val="22"/>
          <w:szCs w:val="20"/>
        </w:rPr>
        <w:t xml:space="preserve">Commissioner. It fulfils the Commissioner’s obligations under subsection </w:t>
      </w:r>
      <w:r w:rsidR="00B81659" w:rsidRPr="005841E2">
        <w:rPr>
          <w:rFonts w:ascii="Times New Roman" w:hAnsi="Times New Roman" w:cs="Times New Roman"/>
          <w:sz w:val="22"/>
          <w:szCs w:val="20"/>
        </w:rPr>
        <w:t>15J</w:t>
      </w:r>
      <w:r w:rsidR="00894AFA" w:rsidRPr="005841E2">
        <w:rPr>
          <w:rFonts w:ascii="Times New Roman" w:hAnsi="Times New Roman" w:cs="Times New Roman"/>
          <w:sz w:val="22"/>
          <w:szCs w:val="20"/>
        </w:rPr>
        <w:t>(2)</w:t>
      </w:r>
      <w:r w:rsidRPr="005841E2">
        <w:rPr>
          <w:rFonts w:ascii="Times New Roman" w:hAnsi="Times New Roman" w:cs="Times New Roman"/>
          <w:sz w:val="22"/>
          <w:szCs w:val="20"/>
        </w:rPr>
        <w:t xml:space="preserve"> of the </w:t>
      </w:r>
      <w:r w:rsidR="00894AFA" w:rsidRPr="005841E2">
        <w:rPr>
          <w:rFonts w:ascii="Times New Roman" w:hAnsi="Times New Roman" w:cs="Times New Roman"/>
          <w:i/>
          <w:sz w:val="22"/>
          <w:szCs w:val="20"/>
        </w:rPr>
        <w:t>Legislation</w:t>
      </w:r>
      <w:r w:rsidRPr="005841E2">
        <w:rPr>
          <w:rFonts w:ascii="Times New Roman" w:hAnsi="Times New Roman" w:cs="Times New Roman"/>
          <w:i/>
          <w:sz w:val="22"/>
          <w:szCs w:val="20"/>
        </w:rPr>
        <w:t xml:space="preserve"> Act 2003</w:t>
      </w:r>
      <w:r w:rsidRPr="005841E2">
        <w:rPr>
          <w:rFonts w:ascii="Times New Roman" w:hAnsi="Times New Roman" w:cs="Times New Roman"/>
          <w:sz w:val="22"/>
          <w:szCs w:val="20"/>
        </w:rPr>
        <w:t xml:space="preserve"> (Cth) (Legislati</w:t>
      </w:r>
      <w:r w:rsidR="00894AFA" w:rsidRPr="005841E2">
        <w:rPr>
          <w:rFonts w:ascii="Times New Roman" w:hAnsi="Times New Roman" w:cs="Times New Roman"/>
          <w:sz w:val="22"/>
          <w:szCs w:val="20"/>
        </w:rPr>
        <w:t xml:space="preserve">on </w:t>
      </w:r>
      <w:r w:rsidRPr="005841E2">
        <w:rPr>
          <w:rFonts w:ascii="Times New Roman" w:hAnsi="Times New Roman" w:cs="Times New Roman"/>
          <w:sz w:val="22"/>
          <w:szCs w:val="20"/>
        </w:rPr>
        <w:t>Act).</w:t>
      </w:r>
    </w:p>
    <w:p w14:paraId="773B18B7" w14:textId="37DC808D"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It explains the purpose and operation of the </w:t>
      </w:r>
      <w:r w:rsidR="00402B65" w:rsidRPr="00402B65">
        <w:rPr>
          <w:rFonts w:ascii="Times New Roman" w:hAnsi="Times New Roman" w:cs="Times New Roman"/>
          <w:i/>
          <w:sz w:val="22"/>
          <w:szCs w:val="20"/>
        </w:rPr>
        <w:t>Privacy (Guidelines issued under section 95A) Approval 2024</w:t>
      </w:r>
      <w:r w:rsidRPr="005841E2">
        <w:rPr>
          <w:rFonts w:ascii="Times New Roman" w:hAnsi="Times New Roman" w:cs="Times New Roman"/>
          <w:i/>
          <w:sz w:val="22"/>
          <w:szCs w:val="20"/>
        </w:rPr>
        <w:t xml:space="preserve"> </w:t>
      </w:r>
      <w:r w:rsidRPr="005841E2">
        <w:rPr>
          <w:rFonts w:ascii="Times New Roman" w:hAnsi="Times New Roman" w:cs="Times New Roman"/>
          <w:sz w:val="22"/>
          <w:szCs w:val="20"/>
        </w:rPr>
        <w:t xml:space="preserve">(the </w:t>
      </w:r>
      <w:r w:rsidR="0083585A" w:rsidRPr="005841E2">
        <w:rPr>
          <w:rFonts w:ascii="Times New Roman" w:hAnsi="Times New Roman" w:cs="Times New Roman"/>
          <w:sz w:val="22"/>
          <w:szCs w:val="20"/>
        </w:rPr>
        <w:t>a</w:t>
      </w:r>
      <w:r w:rsidRPr="005841E2">
        <w:rPr>
          <w:rFonts w:ascii="Times New Roman" w:hAnsi="Times New Roman" w:cs="Times New Roman"/>
          <w:sz w:val="22"/>
          <w:szCs w:val="20"/>
        </w:rPr>
        <w:t>pproval)</w:t>
      </w:r>
      <w:r w:rsidR="000165F4" w:rsidRPr="005841E2">
        <w:rPr>
          <w:rFonts w:ascii="Times New Roman" w:hAnsi="Times New Roman" w:cs="Times New Roman"/>
          <w:sz w:val="22"/>
          <w:szCs w:val="20"/>
        </w:rPr>
        <w:t>,</w:t>
      </w:r>
      <w:r w:rsidRPr="005841E2">
        <w:rPr>
          <w:rFonts w:ascii="Times New Roman" w:hAnsi="Times New Roman" w:cs="Times New Roman"/>
          <w:sz w:val="22"/>
          <w:szCs w:val="20"/>
        </w:rPr>
        <w:t xml:space="preserve"> </w:t>
      </w:r>
      <w:r w:rsidR="000165F4" w:rsidRPr="005841E2">
        <w:rPr>
          <w:rFonts w:ascii="Times New Roman" w:hAnsi="Times New Roman" w:cs="Times New Roman"/>
          <w:sz w:val="22"/>
          <w:szCs w:val="20"/>
        </w:rPr>
        <w:t xml:space="preserve">which relates to </w:t>
      </w:r>
      <w:r w:rsidRPr="005841E2">
        <w:rPr>
          <w:rFonts w:ascii="Times New Roman" w:hAnsi="Times New Roman" w:cs="Times New Roman"/>
          <w:sz w:val="22"/>
          <w:szCs w:val="20"/>
        </w:rPr>
        <w:t xml:space="preserve">the handling of health information for the purposes of research, or the compilation or analysis of statistics, relevant to public health or public safety, and for the purposes of the management, funding or monitoring of a health service. </w:t>
      </w:r>
    </w:p>
    <w:p w14:paraId="313020DD" w14:textId="77777777" w:rsidR="00735331" w:rsidRPr="00101A22" w:rsidRDefault="00735331" w:rsidP="00735331">
      <w:pPr>
        <w:pStyle w:val="Heading3"/>
        <w:rPr>
          <w:rFonts w:ascii="Times New Roman" w:hAnsi="Times New Roman" w:cs="Times New Roman"/>
          <w:b/>
          <w:bCs w:val="0"/>
          <w:color w:val="auto"/>
          <w:sz w:val="28"/>
          <w:szCs w:val="20"/>
        </w:rPr>
      </w:pPr>
      <w:r w:rsidRPr="00101A22">
        <w:rPr>
          <w:rFonts w:ascii="Times New Roman" w:hAnsi="Times New Roman" w:cs="Times New Roman"/>
          <w:b/>
          <w:bCs w:val="0"/>
          <w:color w:val="auto"/>
          <w:sz w:val="28"/>
          <w:szCs w:val="20"/>
        </w:rPr>
        <w:t>Purpose</w:t>
      </w:r>
    </w:p>
    <w:p w14:paraId="1E6985D8" w14:textId="33337955"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The Australian Information Commissioner is empowered by section 95A of the </w:t>
      </w:r>
      <w:r w:rsidRPr="005841E2">
        <w:rPr>
          <w:rFonts w:ascii="Times New Roman" w:hAnsi="Times New Roman" w:cs="Times New Roman"/>
          <w:i/>
          <w:sz w:val="22"/>
          <w:szCs w:val="20"/>
        </w:rPr>
        <w:t>Privacy Act 1988</w:t>
      </w:r>
      <w:r w:rsidRPr="005841E2">
        <w:rPr>
          <w:rFonts w:ascii="Times New Roman" w:hAnsi="Times New Roman" w:cs="Times New Roman"/>
          <w:sz w:val="22"/>
          <w:szCs w:val="20"/>
        </w:rPr>
        <w:t xml:space="preserve"> (Cth) (Privacy Act) to approve guidelines issued by the Chief Executive Officer (CEO) of the National Health and Medical Research Council relating to the use and disclosure of health information for the purposes of research, or the compilation or analysis of statistics, relevant to public health or public safety; and the collection of health information for the purposes of research, or the compilation or analysis of statistics, relevant to public health or public safety, and the management, funding and monitoring of a health service (the guidelines). </w:t>
      </w:r>
    </w:p>
    <w:p w14:paraId="514074DA" w14:textId="0277F164"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This approval replaces the Approval of the Guidelines approved under Section 95A of the </w:t>
      </w:r>
      <w:r w:rsidRPr="005841E2">
        <w:rPr>
          <w:rFonts w:ascii="Times New Roman" w:hAnsi="Times New Roman" w:cs="Times New Roman"/>
          <w:i/>
          <w:sz w:val="22"/>
          <w:szCs w:val="20"/>
        </w:rPr>
        <w:t>Privacy Act 1988</w:t>
      </w:r>
      <w:r w:rsidRPr="005841E2">
        <w:rPr>
          <w:rFonts w:ascii="Times New Roman" w:hAnsi="Times New Roman" w:cs="Times New Roman"/>
          <w:sz w:val="22"/>
          <w:szCs w:val="20"/>
        </w:rPr>
        <w:t xml:space="preserve"> (</w:t>
      </w:r>
      <w:r w:rsidR="000165F4" w:rsidRPr="005841E2">
        <w:rPr>
          <w:rFonts w:ascii="Times New Roman" w:hAnsi="Times New Roman" w:cs="Times New Roman"/>
          <w:sz w:val="22"/>
          <w:szCs w:val="20"/>
        </w:rPr>
        <w:t>March 2014</w:t>
      </w:r>
      <w:r w:rsidRPr="005841E2">
        <w:rPr>
          <w:rFonts w:ascii="Times New Roman" w:hAnsi="Times New Roman" w:cs="Times New Roman"/>
          <w:sz w:val="22"/>
          <w:szCs w:val="20"/>
        </w:rPr>
        <w:t xml:space="preserve">, FRLI </w:t>
      </w:r>
      <w:r w:rsidR="000165F4" w:rsidRPr="005841E2">
        <w:rPr>
          <w:rFonts w:ascii="Times New Roman" w:hAnsi="Times New Roman" w:cs="Times New Roman"/>
          <w:sz w:val="22"/>
          <w:szCs w:val="20"/>
        </w:rPr>
        <w:t>F2014L00243</w:t>
      </w:r>
      <w:r w:rsidRPr="005841E2">
        <w:rPr>
          <w:rFonts w:ascii="Times New Roman" w:hAnsi="Times New Roman" w:cs="Times New Roman"/>
          <w:sz w:val="22"/>
          <w:szCs w:val="20"/>
        </w:rPr>
        <w:t>).</w:t>
      </w:r>
    </w:p>
    <w:p w14:paraId="30CFB0AE" w14:textId="77777777" w:rsidR="00735331" w:rsidRPr="005841E2" w:rsidRDefault="00735331" w:rsidP="00735331">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Authority</w:t>
      </w:r>
    </w:p>
    <w:p w14:paraId="2AB9C2C0" w14:textId="6A4B1439"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The authority for the </w:t>
      </w:r>
      <w:r w:rsidR="00DF6EBD" w:rsidRPr="005841E2">
        <w:rPr>
          <w:rFonts w:ascii="Times New Roman" w:hAnsi="Times New Roman" w:cs="Times New Roman"/>
          <w:sz w:val="22"/>
          <w:szCs w:val="20"/>
        </w:rPr>
        <w:t xml:space="preserve">Australian </w:t>
      </w:r>
      <w:r w:rsidR="000D3446" w:rsidRPr="005841E2">
        <w:rPr>
          <w:rFonts w:ascii="Times New Roman" w:hAnsi="Times New Roman" w:cs="Times New Roman"/>
          <w:sz w:val="22"/>
          <w:szCs w:val="20"/>
        </w:rPr>
        <w:t xml:space="preserve">Information </w:t>
      </w:r>
      <w:r w:rsidRPr="005841E2">
        <w:rPr>
          <w:rFonts w:ascii="Times New Roman" w:hAnsi="Times New Roman" w:cs="Times New Roman"/>
          <w:sz w:val="22"/>
          <w:szCs w:val="20"/>
        </w:rPr>
        <w:t>Commissioner to approve these guidelines rests in:</w:t>
      </w:r>
    </w:p>
    <w:p w14:paraId="33711ACA" w14:textId="77777777" w:rsidR="00735331" w:rsidRPr="005841E2" w:rsidRDefault="00735331" w:rsidP="00E27E98">
      <w:pPr>
        <w:pStyle w:val="ListParagraph"/>
        <w:numPr>
          <w:ilvl w:val="0"/>
          <w:numId w:val="16"/>
        </w:numPr>
        <w:spacing w:before="120" w:after="120"/>
        <w:rPr>
          <w:rFonts w:ascii="Times New Roman" w:hAnsi="Times New Roman" w:cs="Times New Roman"/>
          <w:sz w:val="22"/>
          <w:szCs w:val="20"/>
        </w:rPr>
      </w:pPr>
      <w:r w:rsidRPr="005841E2">
        <w:rPr>
          <w:rFonts w:ascii="Times New Roman" w:hAnsi="Times New Roman" w:cs="Times New Roman"/>
          <w:sz w:val="22"/>
          <w:szCs w:val="20"/>
        </w:rPr>
        <w:t>section 95A of the Privacy Act, and</w:t>
      </w:r>
    </w:p>
    <w:p w14:paraId="151D8576" w14:textId="0B259275" w:rsidR="00735331" w:rsidRPr="005841E2" w:rsidRDefault="00735331" w:rsidP="00E27E98">
      <w:pPr>
        <w:pStyle w:val="ListParagraph"/>
        <w:numPr>
          <w:ilvl w:val="0"/>
          <w:numId w:val="16"/>
        </w:numPr>
        <w:spacing w:before="120" w:after="120"/>
        <w:rPr>
          <w:rFonts w:ascii="Times New Roman" w:hAnsi="Times New Roman" w:cs="Times New Roman"/>
          <w:sz w:val="22"/>
          <w:szCs w:val="20"/>
        </w:rPr>
      </w:pPr>
      <w:r w:rsidRPr="005841E2">
        <w:rPr>
          <w:rFonts w:ascii="Times New Roman" w:hAnsi="Times New Roman" w:cs="Times New Roman"/>
          <w:sz w:val="22"/>
          <w:szCs w:val="20"/>
        </w:rPr>
        <w:t xml:space="preserve">section </w:t>
      </w:r>
      <w:r w:rsidR="00E16631" w:rsidRPr="005841E2">
        <w:rPr>
          <w:rFonts w:ascii="Times New Roman" w:hAnsi="Times New Roman" w:cs="Times New Roman"/>
          <w:sz w:val="22"/>
          <w:szCs w:val="20"/>
        </w:rPr>
        <w:t xml:space="preserve">10 </w:t>
      </w:r>
      <w:r w:rsidRPr="005841E2">
        <w:rPr>
          <w:rFonts w:ascii="Times New Roman" w:hAnsi="Times New Roman" w:cs="Times New Roman"/>
          <w:sz w:val="22"/>
          <w:szCs w:val="20"/>
        </w:rPr>
        <w:t xml:space="preserve">of the </w:t>
      </w:r>
      <w:r w:rsidRPr="005841E2">
        <w:rPr>
          <w:rFonts w:ascii="Times New Roman" w:hAnsi="Times New Roman" w:cs="Times New Roman"/>
          <w:i/>
          <w:sz w:val="22"/>
          <w:szCs w:val="20"/>
        </w:rPr>
        <w:t xml:space="preserve">Australian Information Commissioner Act 2010 </w:t>
      </w:r>
      <w:r w:rsidRPr="005841E2">
        <w:rPr>
          <w:rFonts w:ascii="Times New Roman" w:hAnsi="Times New Roman" w:cs="Times New Roman"/>
          <w:sz w:val="22"/>
          <w:szCs w:val="20"/>
        </w:rPr>
        <w:t xml:space="preserve">(Cth) (the Australian Information Commissioner Act). </w:t>
      </w:r>
    </w:p>
    <w:p w14:paraId="2895BDAF" w14:textId="1A04D820"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Subsections 95A(1), (2) and (4) of the Privacy Act state:</w:t>
      </w:r>
    </w:p>
    <w:p w14:paraId="139AB6CC" w14:textId="77777777" w:rsidR="00735331" w:rsidRPr="005841E2" w:rsidRDefault="00735331" w:rsidP="00735331">
      <w:pPr>
        <w:spacing w:after="220"/>
        <w:ind w:left="1440" w:hanging="720"/>
        <w:rPr>
          <w:rFonts w:ascii="Times New Roman" w:hAnsi="Times New Roman" w:cs="Times New Roman"/>
          <w:i/>
          <w:sz w:val="22"/>
          <w:szCs w:val="20"/>
        </w:rPr>
      </w:pPr>
      <w:r w:rsidRPr="005841E2">
        <w:rPr>
          <w:rFonts w:ascii="Times New Roman" w:hAnsi="Times New Roman" w:cs="Times New Roman"/>
          <w:i/>
          <w:sz w:val="22"/>
          <w:szCs w:val="20"/>
        </w:rPr>
        <w:t>Overview</w:t>
      </w:r>
    </w:p>
    <w:p w14:paraId="316369E1" w14:textId="77777777" w:rsidR="00735331" w:rsidRPr="005841E2" w:rsidRDefault="00735331" w:rsidP="00E27E98">
      <w:pPr>
        <w:pStyle w:val="ListParagraph"/>
        <w:numPr>
          <w:ilvl w:val="0"/>
          <w:numId w:val="24"/>
        </w:numPr>
        <w:spacing w:before="120" w:after="220"/>
        <w:ind w:left="1418" w:hanging="698"/>
        <w:rPr>
          <w:rFonts w:ascii="Times New Roman" w:hAnsi="Times New Roman" w:cs="Times New Roman"/>
          <w:i/>
          <w:sz w:val="22"/>
          <w:szCs w:val="20"/>
        </w:rPr>
      </w:pPr>
      <w:r w:rsidRPr="005841E2">
        <w:rPr>
          <w:rFonts w:ascii="Times New Roman" w:hAnsi="Times New Roman" w:cs="Times New Roman"/>
          <w:i/>
          <w:sz w:val="22"/>
          <w:szCs w:val="20"/>
        </w:rPr>
        <w:t>This section allows the Commissioner to approve for the purposes of the Australian Privacy Principles that are issued by the CEO of the National Health and Medical Research Council or a prescribed authority.</w:t>
      </w:r>
    </w:p>
    <w:p w14:paraId="4DE1B84D" w14:textId="77777777" w:rsidR="00735331" w:rsidRPr="005841E2" w:rsidRDefault="00735331" w:rsidP="00735331">
      <w:pPr>
        <w:spacing w:after="220"/>
        <w:ind w:left="1440" w:hanging="720"/>
        <w:rPr>
          <w:rFonts w:ascii="Times New Roman" w:hAnsi="Times New Roman" w:cs="Times New Roman"/>
          <w:i/>
          <w:sz w:val="22"/>
          <w:szCs w:val="20"/>
        </w:rPr>
      </w:pPr>
      <w:r w:rsidRPr="005841E2">
        <w:rPr>
          <w:rFonts w:ascii="Times New Roman" w:hAnsi="Times New Roman" w:cs="Times New Roman"/>
          <w:i/>
          <w:sz w:val="22"/>
          <w:szCs w:val="20"/>
        </w:rPr>
        <w:t>Approving guidelines for use and disclosure</w:t>
      </w:r>
    </w:p>
    <w:p w14:paraId="67683A76" w14:textId="77777777" w:rsidR="00735331" w:rsidRPr="005841E2" w:rsidRDefault="00735331" w:rsidP="00E27E98">
      <w:pPr>
        <w:pStyle w:val="ListParagraph"/>
        <w:numPr>
          <w:ilvl w:val="0"/>
          <w:numId w:val="24"/>
        </w:numPr>
        <w:spacing w:before="120" w:after="220"/>
        <w:ind w:left="1418" w:hanging="698"/>
        <w:rPr>
          <w:rFonts w:ascii="Times New Roman" w:hAnsi="Times New Roman" w:cs="Times New Roman"/>
          <w:i/>
          <w:sz w:val="22"/>
          <w:szCs w:val="20"/>
        </w:rPr>
      </w:pPr>
      <w:r w:rsidRPr="005841E2">
        <w:rPr>
          <w:rFonts w:ascii="Times New Roman" w:hAnsi="Times New Roman" w:cs="Times New Roman"/>
          <w:i/>
          <w:sz w:val="22"/>
          <w:szCs w:val="20"/>
        </w:rPr>
        <w:t xml:space="preserve">For the purposes of paragraph 16B(3)(c), the Commissioner may, by notice in the Gazette, approve guidelines that relate to the use and disclosure of health information </w:t>
      </w:r>
      <w:r w:rsidRPr="005841E2">
        <w:rPr>
          <w:rFonts w:ascii="Times New Roman" w:hAnsi="Times New Roman" w:cs="Times New Roman"/>
          <w:i/>
          <w:sz w:val="22"/>
          <w:szCs w:val="20"/>
        </w:rPr>
        <w:lastRenderedPageBreak/>
        <w:t>for the purposes of research, or the compilation or analysis of statistics, relevant to public health or public safety.</w:t>
      </w:r>
    </w:p>
    <w:p w14:paraId="2497AE90" w14:textId="77777777" w:rsidR="00735331" w:rsidRPr="005841E2" w:rsidRDefault="00735331" w:rsidP="00735331">
      <w:pPr>
        <w:spacing w:after="220"/>
        <w:ind w:left="720"/>
        <w:rPr>
          <w:rFonts w:ascii="Times New Roman" w:hAnsi="Times New Roman" w:cs="Times New Roman"/>
          <w:i/>
          <w:sz w:val="22"/>
          <w:szCs w:val="20"/>
        </w:rPr>
      </w:pPr>
      <w:r w:rsidRPr="005841E2">
        <w:rPr>
          <w:rFonts w:ascii="Times New Roman" w:hAnsi="Times New Roman" w:cs="Times New Roman"/>
          <w:i/>
          <w:sz w:val="22"/>
          <w:szCs w:val="20"/>
        </w:rPr>
        <w:t>[…]</w:t>
      </w:r>
    </w:p>
    <w:p w14:paraId="6A10A127" w14:textId="77777777" w:rsidR="00735331" w:rsidRPr="005841E2" w:rsidRDefault="00735331" w:rsidP="00735331">
      <w:pPr>
        <w:spacing w:after="220"/>
        <w:ind w:left="1440" w:hanging="720"/>
        <w:rPr>
          <w:rFonts w:ascii="Times New Roman" w:hAnsi="Times New Roman" w:cs="Times New Roman"/>
          <w:i/>
          <w:sz w:val="22"/>
          <w:szCs w:val="20"/>
        </w:rPr>
      </w:pPr>
      <w:r w:rsidRPr="005841E2">
        <w:rPr>
          <w:rFonts w:ascii="Times New Roman" w:hAnsi="Times New Roman" w:cs="Times New Roman"/>
          <w:i/>
          <w:sz w:val="22"/>
          <w:szCs w:val="20"/>
        </w:rPr>
        <w:t>Approving guidelines for collection</w:t>
      </w:r>
    </w:p>
    <w:p w14:paraId="1B034304" w14:textId="77777777" w:rsidR="00735331" w:rsidRPr="005841E2" w:rsidRDefault="00735331" w:rsidP="00E27E98">
      <w:pPr>
        <w:pStyle w:val="ListParagraph"/>
        <w:numPr>
          <w:ilvl w:val="0"/>
          <w:numId w:val="25"/>
        </w:numPr>
        <w:spacing w:before="120" w:after="220"/>
        <w:ind w:left="1418" w:hanging="709"/>
        <w:rPr>
          <w:rFonts w:ascii="Times New Roman" w:hAnsi="Times New Roman" w:cs="Times New Roman"/>
          <w:i/>
          <w:sz w:val="22"/>
          <w:szCs w:val="20"/>
        </w:rPr>
      </w:pPr>
      <w:r w:rsidRPr="005841E2">
        <w:rPr>
          <w:rFonts w:ascii="Times New Roman" w:hAnsi="Times New Roman" w:cs="Times New Roman"/>
          <w:i/>
          <w:sz w:val="22"/>
          <w:szCs w:val="20"/>
        </w:rPr>
        <w:tab/>
        <w:t>For the purposes of subparagraph 16B(2)(d)(iii) the Commissioner may, by notice in the Gazette, approve guidelines that relate to the collection of health information for the purposes of:</w:t>
      </w:r>
    </w:p>
    <w:p w14:paraId="672EAEDE" w14:textId="77777777" w:rsidR="00735331" w:rsidRPr="005841E2" w:rsidRDefault="00735331" w:rsidP="00E27E98">
      <w:pPr>
        <w:pStyle w:val="ListParagraph"/>
        <w:numPr>
          <w:ilvl w:val="1"/>
          <w:numId w:val="25"/>
        </w:numPr>
        <w:spacing w:before="120" w:after="120"/>
        <w:ind w:left="2127" w:hanging="687"/>
        <w:rPr>
          <w:rFonts w:ascii="Times New Roman" w:hAnsi="Times New Roman" w:cs="Times New Roman"/>
          <w:i/>
          <w:sz w:val="22"/>
          <w:szCs w:val="20"/>
        </w:rPr>
      </w:pPr>
      <w:r w:rsidRPr="005841E2">
        <w:rPr>
          <w:rFonts w:ascii="Times New Roman" w:hAnsi="Times New Roman" w:cs="Times New Roman"/>
          <w:i/>
          <w:sz w:val="22"/>
          <w:szCs w:val="20"/>
        </w:rPr>
        <w:t>research, or the compilation or analysis of statistics, relevant to public health or public safety; or</w:t>
      </w:r>
    </w:p>
    <w:p w14:paraId="04F76041" w14:textId="77777777" w:rsidR="00735331" w:rsidRPr="005841E2" w:rsidRDefault="00735331" w:rsidP="00E27E98">
      <w:pPr>
        <w:pStyle w:val="ListParagraph"/>
        <w:numPr>
          <w:ilvl w:val="1"/>
          <w:numId w:val="25"/>
        </w:numPr>
        <w:spacing w:before="120" w:after="120"/>
        <w:ind w:left="2127" w:hanging="687"/>
        <w:rPr>
          <w:rFonts w:ascii="Times New Roman" w:hAnsi="Times New Roman" w:cs="Times New Roman"/>
          <w:i/>
          <w:sz w:val="22"/>
          <w:szCs w:val="20"/>
        </w:rPr>
      </w:pPr>
      <w:r w:rsidRPr="005841E2">
        <w:rPr>
          <w:rFonts w:ascii="Times New Roman" w:hAnsi="Times New Roman" w:cs="Times New Roman"/>
          <w:i/>
          <w:sz w:val="22"/>
          <w:szCs w:val="20"/>
        </w:rPr>
        <w:t>the management, funding or monitoring of a health service.</w:t>
      </w:r>
    </w:p>
    <w:p w14:paraId="21345CC8" w14:textId="77777777" w:rsidR="00735331" w:rsidRPr="005841E2" w:rsidRDefault="00735331" w:rsidP="00735331">
      <w:pPr>
        <w:spacing w:after="220"/>
        <w:rPr>
          <w:rFonts w:ascii="Times New Roman" w:hAnsi="Times New Roman" w:cs="Times New Roman"/>
          <w:sz w:val="22"/>
          <w:szCs w:val="20"/>
        </w:rPr>
      </w:pPr>
      <w:r w:rsidRPr="005841E2">
        <w:rPr>
          <w:rFonts w:ascii="Times New Roman" w:hAnsi="Times New Roman" w:cs="Times New Roman"/>
          <w:sz w:val="22"/>
          <w:szCs w:val="20"/>
        </w:rPr>
        <w:t>Section 6 of the Privacy Act defines ‘Commissioner’ to mean ‘the Information Commissioner within the meaning of the Australian Information Commissioner Act’.</w:t>
      </w:r>
    </w:p>
    <w:p w14:paraId="2DD7B9E1" w14:textId="77777777" w:rsidR="00735331" w:rsidRPr="005841E2" w:rsidRDefault="00735331" w:rsidP="00DE7C5C">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Relevant provisions of the Privacy Act</w:t>
      </w:r>
    </w:p>
    <w:p w14:paraId="4802A8C1" w14:textId="77777777" w:rsidR="00735331" w:rsidRPr="005841E2" w:rsidRDefault="00735331" w:rsidP="00735331">
      <w:pPr>
        <w:rPr>
          <w:rFonts w:ascii="Times New Roman" w:eastAsia="Times New Roman" w:hAnsi="Times New Roman" w:cs="Times New Roman"/>
          <w:sz w:val="22"/>
          <w:lang w:eastAsia="en-AU"/>
        </w:rPr>
      </w:pPr>
      <w:r w:rsidRPr="005841E2">
        <w:rPr>
          <w:rFonts w:ascii="Times New Roman" w:eastAsia="Times New Roman" w:hAnsi="Times New Roman" w:cs="Times New Roman"/>
          <w:sz w:val="22"/>
          <w:lang w:eastAsia="en-AU"/>
        </w:rPr>
        <w:t>The Australian Privacy Principles (APPs) are a set of legally binding privacy principles that establish standards, rights and obligations in relation to the handling, holding, accessing and correcting of personal information. They apply to most Australian Government agencies and certain private sector organisations, collectively referred to as APP entities.</w:t>
      </w:r>
    </w:p>
    <w:p w14:paraId="2910E0E9" w14:textId="77777777"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Under the APPs, an APP entity must not collect sensitive information, and must not use or disclose personal information for a purpose other than the primary purpose of collection, unless an exception applies.</w:t>
      </w:r>
    </w:p>
    <w:p w14:paraId="07911A99" w14:textId="77777777"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Australian Privacy Principle (APP) 6 prohibits uses or disclosures of personal information for secondary purposes unless the individual to whom the personal information relates has consented or a listed exception in relation to the use or disclosure of that information applies. </w:t>
      </w:r>
    </w:p>
    <w:p w14:paraId="64B60BCA" w14:textId="78B1DFEB"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APP 6.2(d) provides that an APP entity may use or disclosure personal information about an individual if the APP entity is an organisation and a permitted health situation exists in relation to the use or disclosure of the person</w:t>
      </w:r>
      <w:r w:rsidR="00176021" w:rsidRPr="005841E2">
        <w:rPr>
          <w:rFonts w:ascii="Times New Roman" w:hAnsi="Times New Roman" w:cs="Times New Roman"/>
          <w:sz w:val="22"/>
          <w:szCs w:val="20"/>
        </w:rPr>
        <w:t>al information</w:t>
      </w:r>
      <w:r w:rsidRPr="005841E2">
        <w:rPr>
          <w:rFonts w:ascii="Times New Roman" w:hAnsi="Times New Roman" w:cs="Times New Roman"/>
          <w:sz w:val="22"/>
          <w:szCs w:val="20"/>
        </w:rPr>
        <w:t xml:space="preserve"> by the entity.</w:t>
      </w:r>
    </w:p>
    <w:p w14:paraId="36EF24AB" w14:textId="77777777"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Permitted health situations are set out in section 16B of the Privacy Act. Subsection 16B(2) states that:</w:t>
      </w:r>
    </w:p>
    <w:p w14:paraId="0F5E7743" w14:textId="77777777" w:rsidR="00735331" w:rsidRPr="005841E2" w:rsidRDefault="00735331" w:rsidP="00735331">
      <w:pPr>
        <w:ind w:left="720"/>
        <w:rPr>
          <w:rFonts w:ascii="Times New Roman" w:hAnsi="Times New Roman" w:cs="Times New Roman"/>
          <w:i/>
          <w:sz w:val="22"/>
          <w:szCs w:val="20"/>
        </w:rPr>
      </w:pPr>
      <w:r w:rsidRPr="005841E2">
        <w:rPr>
          <w:rFonts w:ascii="Times New Roman" w:hAnsi="Times New Roman" w:cs="Times New Roman"/>
          <w:i/>
          <w:sz w:val="22"/>
          <w:szCs w:val="20"/>
        </w:rPr>
        <w:t>A permitted health situation exists in relation to the collection by an organisation of health information about an individual if:</w:t>
      </w:r>
    </w:p>
    <w:p w14:paraId="3611EF3A" w14:textId="77777777" w:rsidR="00735331" w:rsidRPr="005841E2" w:rsidRDefault="00735331" w:rsidP="00E27E98">
      <w:pPr>
        <w:pStyle w:val="ListParagraph"/>
        <w:numPr>
          <w:ilvl w:val="0"/>
          <w:numId w:val="19"/>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the collection is necessary for any of the following purposes:</w:t>
      </w:r>
    </w:p>
    <w:p w14:paraId="69134C26" w14:textId="77777777" w:rsidR="00735331" w:rsidRPr="005841E2" w:rsidRDefault="00735331" w:rsidP="00E27E98">
      <w:pPr>
        <w:pStyle w:val="ListParagraph"/>
        <w:numPr>
          <w:ilvl w:val="0"/>
          <w:numId w:val="17"/>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research relevant to public health or public safety;</w:t>
      </w:r>
    </w:p>
    <w:p w14:paraId="245D43F8" w14:textId="77777777" w:rsidR="00735331" w:rsidRPr="005841E2" w:rsidRDefault="00735331" w:rsidP="00E27E98">
      <w:pPr>
        <w:pStyle w:val="ListParagraph"/>
        <w:numPr>
          <w:ilvl w:val="0"/>
          <w:numId w:val="17"/>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the compilation or analysis of statistics relevant to public health or public safety;</w:t>
      </w:r>
    </w:p>
    <w:p w14:paraId="290545BB" w14:textId="77777777" w:rsidR="00735331" w:rsidRPr="005841E2" w:rsidRDefault="00735331" w:rsidP="00E27E98">
      <w:pPr>
        <w:pStyle w:val="ListParagraph"/>
        <w:numPr>
          <w:ilvl w:val="0"/>
          <w:numId w:val="17"/>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the management, funding or monitoring of a health service; and</w:t>
      </w:r>
    </w:p>
    <w:p w14:paraId="4A50D918" w14:textId="56CA77CC" w:rsidR="00735331" w:rsidRPr="005841E2" w:rsidRDefault="00735331" w:rsidP="00E27E98">
      <w:pPr>
        <w:pStyle w:val="ListParagraph"/>
        <w:numPr>
          <w:ilvl w:val="0"/>
          <w:numId w:val="19"/>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that purpose cannot be served by the collection of information about the individual that is de</w:t>
      </w:r>
      <w:r w:rsidR="00B246D6" w:rsidRPr="005841E2">
        <w:rPr>
          <w:rFonts w:ascii="Times New Roman" w:hAnsi="Times New Roman" w:cs="Times New Roman"/>
          <w:i/>
          <w:sz w:val="22"/>
          <w:szCs w:val="20"/>
        </w:rPr>
        <w:t>-</w:t>
      </w:r>
      <w:r w:rsidRPr="005841E2">
        <w:rPr>
          <w:rFonts w:ascii="Times New Roman" w:hAnsi="Times New Roman" w:cs="Times New Roman"/>
          <w:i/>
          <w:sz w:val="22"/>
          <w:szCs w:val="20"/>
        </w:rPr>
        <w:t>identified information; and</w:t>
      </w:r>
    </w:p>
    <w:p w14:paraId="1AA55679" w14:textId="77777777" w:rsidR="00735331" w:rsidRPr="005841E2" w:rsidRDefault="00735331" w:rsidP="00E27E98">
      <w:pPr>
        <w:pStyle w:val="ListParagraph"/>
        <w:numPr>
          <w:ilvl w:val="0"/>
          <w:numId w:val="19"/>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it is impracticable for the organisation to obtain the individual’s consent to the collection; and</w:t>
      </w:r>
    </w:p>
    <w:p w14:paraId="53F310E2" w14:textId="77777777" w:rsidR="00735331" w:rsidRPr="005841E2" w:rsidRDefault="00735331" w:rsidP="00E27E98">
      <w:pPr>
        <w:pStyle w:val="ListParagraph"/>
        <w:numPr>
          <w:ilvl w:val="0"/>
          <w:numId w:val="19"/>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any of the following apply:</w:t>
      </w:r>
    </w:p>
    <w:p w14:paraId="2EDB9F65" w14:textId="77777777" w:rsidR="00735331" w:rsidRPr="005841E2" w:rsidRDefault="00735331" w:rsidP="00735331">
      <w:pPr>
        <w:ind w:left="720" w:firstLine="720"/>
        <w:rPr>
          <w:rFonts w:ascii="Times New Roman" w:hAnsi="Times New Roman" w:cs="Times New Roman"/>
          <w:i/>
          <w:sz w:val="22"/>
          <w:szCs w:val="20"/>
        </w:rPr>
      </w:pPr>
      <w:r w:rsidRPr="005841E2">
        <w:rPr>
          <w:rFonts w:ascii="Times New Roman" w:hAnsi="Times New Roman" w:cs="Times New Roman"/>
          <w:i/>
          <w:sz w:val="22"/>
          <w:szCs w:val="20"/>
        </w:rPr>
        <w:t>[…]</w:t>
      </w:r>
    </w:p>
    <w:p w14:paraId="3A7EB1BF" w14:textId="77777777" w:rsidR="00735331" w:rsidRPr="005841E2" w:rsidRDefault="00735331" w:rsidP="00E27E98">
      <w:pPr>
        <w:pStyle w:val="ListParagraph"/>
        <w:numPr>
          <w:ilvl w:val="0"/>
          <w:numId w:val="20"/>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the information is collected in accordance with guidelines approved under section 95A for the purposes of this subparagraph.</w:t>
      </w:r>
    </w:p>
    <w:p w14:paraId="2975ADE0" w14:textId="77777777"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lastRenderedPageBreak/>
        <w:t>Subsection 16B(3) states that:</w:t>
      </w:r>
    </w:p>
    <w:p w14:paraId="229C3AC6" w14:textId="77777777" w:rsidR="00735331" w:rsidRPr="005841E2" w:rsidRDefault="00735331" w:rsidP="00735331">
      <w:pPr>
        <w:ind w:left="720"/>
        <w:rPr>
          <w:rFonts w:ascii="Times New Roman" w:hAnsi="Times New Roman" w:cs="Times New Roman"/>
          <w:i/>
          <w:sz w:val="22"/>
          <w:szCs w:val="20"/>
        </w:rPr>
      </w:pPr>
      <w:r w:rsidRPr="005841E2">
        <w:rPr>
          <w:rFonts w:ascii="Times New Roman" w:hAnsi="Times New Roman" w:cs="Times New Roman"/>
          <w:i/>
          <w:sz w:val="22"/>
          <w:szCs w:val="20"/>
        </w:rPr>
        <w:t>A permitted health situation exists in relation to the use or disclosure by an organisation of health information about an individual if:</w:t>
      </w:r>
    </w:p>
    <w:p w14:paraId="5E8793F2" w14:textId="77777777" w:rsidR="00735331" w:rsidRPr="005841E2" w:rsidRDefault="00735331" w:rsidP="00E27E98">
      <w:pPr>
        <w:pStyle w:val="ListParagraph"/>
        <w:numPr>
          <w:ilvl w:val="0"/>
          <w:numId w:val="21"/>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the use or disclosure is necessary for research, or the compilation or analysis of statistics, relevant to public health or public safety; and</w:t>
      </w:r>
    </w:p>
    <w:p w14:paraId="124398D6" w14:textId="77777777" w:rsidR="00735331" w:rsidRPr="005841E2" w:rsidRDefault="00735331" w:rsidP="00E27E98">
      <w:pPr>
        <w:pStyle w:val="ListParagraph"/>
        <w:numPr>
          <w:ilvl w:val="0"/>
          <w:numId w:val="21"/>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it is impracticable for the organisation to obtain the individual’s consent to the use or disclosure; and</w:t>
      </w:r>
    </w:p>
    <w:p w14:paraId="464B0F20" w14:textId="77777777" w:rsidR="00735331" w:rsidRPr="005841E2" w:rsidRDefault="00735331" w:rsidP="00E27E98">
      <w:pPr>
        <w:pStyle w:val="ListParagraph"/>
        <w:numPr>
          <w:ilvl w:val="0"/>
          <w:numId w:val="21"/>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the use or disclosure is conducted in accordance with guidelines approved under section 95A for the purposes of this paragraph; and</w:t>
      </w:r>
    </w:p>
    <w:p w14:paraId="4890201B" w14:textId="77777777" w:rsidR="00735331" w:rsidRPr="005841E2" w:rsidRDefault="00735331" w:rsidP="00E27E98">
      <w:pPr>
        <w:pStyle w:val="ListParagraph"/>
        <w:numPr>
          <w:ilvl w:val="0"/>
          <w:numId w:val="21"/>
        </w:numPr>
        <w:spacing w:before="120" w:after="120"/>
        <w:ind w:left="1418" w:hanging="698"/>
        <w:rPr>
          <w:rFonts w:ascii="Times New Roman" w:hAnsi="Times New Roman" w:cs="Times New Roman"/>
          <w:i/>
          <w:sz w:val="22"/>
          <w:szCs w:val="20"/>
        </w:rPr>
      </w:pPr>
      <w:r w:rsidRPr="005841E2">
        <w:rPr>
          <w:rFonts w:ascii="Times New Roman" w:hAnsi="Times New Roman" w:cs="Times New Roman"/>
          <w:i/>
          <w:sz w:val="22"/>
          <w:szCs w:val="20"/>
        </w:rPr>
        <w:t>in the case of disclosure—the organisation reasonably believes that the recipient of the information will not disclose the information, or personal information derived from that information.</w:t>
      </w:r>
    </w:p>
    <w:p w14:paraId="5C2C91B6" w14:textId="4EE0F1C5"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‘Health information’ is defined as follows in </w:t>
      </w:r>
      <w:r w:rsidR="005A134E" w:rsidRPr="005841E2">
        <w:rPr>
          <w:rFonts w:ascii="Times New Roman" w:hAnsi="Times New Roman" w:cs="Times New Roman"/>
          <w:sz w:val="22"/>
          <w:szCs w:val="20"/>
        </w:rPr>
        <w:t xml:space="preserve">section </w:t>
      </w:r>
      <w:r w:rsidRPr="005841E2">
        <w:rPr>
          <w:rFonts w:ascii="Times New Roman" w:hAnsi="Times New Roman" w:cs="Times New Roman"/>
          <w:sz w:val="22"/>
          <w:szCs w:val="20"/>
        </w:rPr>
        <w:t>6</w:t>
      </w:r>
      <w:r w:rsidR="005A134E" w:rsidRPr="005841E2">
        <w:rPr>
          <w:rFonts w:ascii="Times New Roman" w:hAnsi="Times New Roman" w:cs="Times New Roman"/>
          <w:sz w:val="22"/>
          <w:szCs w:val="20"/>
        </w:rPr>
        <w:t>FA</w:t>
      </w:r>
      <w:r w:rsidRPr="005841E2">
        <w:rPr>
          <w:rFonts w:ascii="Times New Roman" w:hAnsi="Times New Roman" w:cs="Times New Roman"/>
          <w:sz w:val="22"/>
          <w:szCs w:val="20"/>
        </w:rPr>
        <w:t xml:space="preserve"> of the Privacy Act:</w:t>
      </w:r>
    </w:p>
    <w:p w14:paraId="34DECE28" w14:textId="77777777" w:rsidR="00735331" w:rsidRPr="005841E2" w:rsidRDefault="00735331" w:rsidP="00735331">
      <w:pPr>
        <w:ind w:left="720"/>
        <w:rPr>
          <w:rFonts w:ascii="Times New Roman" w:hAnsi="Times New Roman" w:cs="Times New Roman"/>
          <w:i/>
          <w:sz w:val="22"/>
          <w:szCs w:val="20"/>
        </w:rPr>
      </w:pPr>
      <w:r w:rsidRPr="005841E2">
        <w:rPr>
          <w:rFonts w:ascii="Times New Roman" w:hAnsi="Times New Roman" w:cs="Times New Roman"/>
          <w:b/>
          <w:i/>
          <w:sz w:val="22"/>
          <w:szCs w:val="20"/>
        </w:rPr>
        <w:t>health information</w:t>
      </w:r>
      <w:r w:rsidRPr="005841E2">
        <w:rPr>
          <w:rFonts w:ascii="Times New Roman" w:hAnsi="Times New Roman" w:cs="Times New Roman"/>
          <w:i/>
          <w:sz w:val="22"/>
          <w:szCs w:val="20"/>
        </w:rPr>
        <w:t xml:space="preserve"> means:</w:t>
      </w:r>
    </w:p>
    <w:p w14:paraId="6297A29B" w14:textId="77777777" w:rsidR="00735331" w:rsidRPr="005841E2" w:rsidRDefault="00735331" w:rsidP="00E27E98">
      <w:pPr>
        <w:pStyle w:val="ListParagraph"/>
        <w:numPr>
          <w:ilvl w:val="0"/>
          <w:numId w:val="23"/>
        </w:numPr>
        <w:spacing w:before="120" w:after="120"/>
        <w:ind w:hanging="731"/>
        <w:rPr>
          <w:rFonts w:ascii="Times New Roman" w:hAnsi="Times New Roman" w:cs="Times New Roman"/>
          <w:i/>
          <w:sz w:val="22"/>
          <w:szCs w:val="20"/>
        </w:rPr>
      </w:pPr>
      <w:r w:rsidRPr="005841E2">
        <w:rPr>
          <w:rFonts w:ascii="Times New Roman" w:hAnsi="Times New Roman" w:cs="Times New Roman"/>
          <w:i/>
          <w:sz w:val="22"/>
          <w:szCs w:val="20"/>
        </w:rPr>
        <w:t>information or an opinion about:</w:t>
      </w:r>
    </w:p>
    <w:p w14:paraId="6E45F87C" w14:textId="65AB6868" w:rsidR="00735331" w:rsidRPr="005841E2" w:rsidRDefault="00735331" w:rsidP="00E27E98">
      <w:pPr>
        <w:pStyle w:val="ListParagraph"/>
        <w:numPr>
          <w:ilvl w:val="0"/>
          <w:numId w:val="22"/>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the health</w:t>
      </w:r>
      <w:r w:rsidR="00AF7792" w:rsidRPr="005841E2">
        <w:rPr>
          <w:rFonts w:ascii="Times New Roman" w:hAnsi="Times New Roman" w:cs="Times New Roman"/>
          <w:i/>
          <w:sz w:val="22"/>
          <w:szCs w:val="20"/>
        </w:rPr>
        <w:t>, including an illness,</w:t>
      </w:r>
      <w:r w:rsidRPr="005841E2">
        <w:rPr>
          <w:rFonts w:ascii="Times New Roman" w:hAnsi="Times New Roman" w:cs="Times New Roman"/>
          <w:i/>
          <w:sz w:val="22"/>
          <w:szCs w:val="20"/>
        </w:rPr>
        <w:t xml:space="preserve"> disability </w:t>
      </w:r>
      <w:r w:rsidR="00AF7792" w:rsidRPr="005841E2">
        <w:rPr>
          <w:rFonts w:ascii="Times New Roman" w:hAnsi="Times New Roman" w:cs="Times New Roman"/>
          <w:i/>
          <w:sz w:val="22"/>
          <w:szCs w:val="20"/>
        </w:rPr>
        <w:t xml:space="preserve">or injury, </w:t>
      </w:r>
      <w:r w:rsidRPr="005841E2">
        <w:rPr>
          <w:rFonts w:ascii="Times New Roman" w:hAnsi="Times New Roman" w:cs="Times New Roman"/>
          <w:i/>
          <w:sz w:val="22"/>
          <w:szCs w:val="20"/>
        </w:rPr>
        <w:t>(at any time) of an individual; or</w:t>
      </w:r>
    </w:p>
    <w:p w14:paraId="0D5AA7A2" w14:textId="7544610E" w:rsidR="00735331" w:rsidRPr="005841E2" w:rsidRDefault="00735331" w:rsidP="00E27E98">
      <w:pPr>
        <w:pStyle w:val="ListParagraph"/>
        <w:numPr>
          <w:ilvl w:val="0"/>
          <w:numId w:val="22"/>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 xml:space="preserve">an individual’s expressed wishes about the future provision of health services to </w:t>
      </w:r>
      <w:r w:rsidR="00286D71" w:rsidRPr="005841E2">
        <w:rPr>
          <w:rFonts w:ascii="Times New Roman" w:hAnsi="Times New Roman" w:cs="Times New Roman"/>
          <w:i/>
          <w:sz w:val="22"/>
          <w:szCs w:val="20"/>
        </w:rPr>
        <w:t>the individual</w:t>
      </w:r>
      <w:r w:rsidRPr="005841E2">
        <w:rPr>
          <w:rFonts w:ascii="Times New Roman" w:hAnsi="Times New Roman" w:cs="Times New Roman"/>
          <w:i/>
          <w:sz w:val="22"/>
          <w:szCs w:val="20"/>
        </w:rPr>
        <w:t>; or</w:t>
      </w:r>
    </w:p>
    <w:p w14:paraId="69DDAB9E" w14:textId="77777777" w:rsidR="00735331" w:rsidRPr="005841E2" w:rsidRDefault="00735331" w:rsidP="00E27E98">
      <w:pPr>
        <w:pStyle w:val="ListParagraph"/>
        <w:numPr>
          <w:ilvl w:val="0"/>
          <w:numId w:val="22"/>
        </w:numPr>
        <w:spacing w:before="120" w:after="120"/>
        <w:rPr>
          <w:rFonts w:ascii="Times New Roman" w:hAnsi="Times New Roman" w:cs="Times New Roman"/>
          <w:i/>
          <w:sz w:val="22"/>
          <w:szCs w:val="20"/>
        </w:rPr>
      </w:pPr>
      <w:r w:rsidRPr="005841E2">
        <w:rPr>
          <w:rFonts w:ascii="Times New Roman" w:hAnsi="Times New Roman" w:cs="Times New Roman"/>
          <w:i/>
          <w:sz w:val="22"/>
          <w:szCs w:val="20"/>
        </w:rPr>
        <w:t>a health service provided, or to be provided, to an individual;</w:t>
      </w:r>
    </w:p>
    <w:p w14:paraId="780DCE52" w14:textId="77777777" w:rsidR="00735331" w:rsidRPr="005841E2" w:rsidRDefault="00735331" w:rsidP="00735331">
      <w:pPr>
        <w:ind w:left="720" w:firstLine="720"/>
        <w:rPr>
          <w:rFonts w:ascii="Times New Roman" w:hAnsi="Times New Roman" w:cs="Times New Roman"/>
          <w:i/>
          <w:sz w:val="22"/>
          <w:szCs w:val="20"/>
        </w:rPr>
      </w:pPr>
      <w:r w:rsidRPr="005841E2">
        <w:rPr>
          <w:rFonts w:ascii="Times New Roman" w:hAnsi="Times New Roman" w:cs="Times New Roman"/>
          <w:i/>
          <w:sz w:val="22"/>
          <w:szCs w:val="20"/>
        </w:rPr>
        <w:t>that is also personal information; or</w:t>
      </w:r>
    </w:p>
    <w:p w14:paraId="44B11EA5" w14:textId="769560A3" w:rsidR="00735331" w:rsidRPr="005841E2" w:rsidRDefault="00735331" w:rsidP="00E27E98">
      <w:pPr>
        <w:pStyle w:val="ListParagraph"/>
        <w:numPr>
          <w:ilvl w:val="0"/>
          <w:numId w:val="23"/>
        </w:numPr>
        <w:spacing w:before="120" w:after="120"/>
        <w:ind w:hanging="731"/>
        <w:rPr>
          <w:rFonts w:ascii="Times New Roman" w:hAnsi="Times New Roman" w:cs="Times New Roman"/>
          <w:i/>
          <w:sz w:val="22"/>
          <w:szCs w:val="20"/>
        </w:rPr>
      </w:pPr>
      <w:r w:rsidRPr="005841E2">
        <w:rPr>
          <w:rFonts w:ascii="Times New Roman" w:hAnsi="Times New Roman" w:cs="Times New Roman"/>
          <w:i/>
          <w:sz w:val="22"/>
          <w:szCs w:val="20"/>
        </w:rPr>
        <w:t>other personal information collected to provide, or in providing, a health service</w:t>
      </w:r>
      <w:r w:rsidR="00286D71" w:rsidRPr="005841E2">
        <w:rPr>
          <w:rFonts w:ascii="Times New Roman" w:hAnsi="Times New Roman" w:cs="Times New Roman"/>
          <w:i/>
          <w:sz w:val="22"/>
          <w:szCs w:val="20"/>
        </w:rPr>
        <w:t xml:space="preserve"> to an individual</w:t>
      </w:r>
      <w:r w:rsidRPr="005841E2">
        <w:rPr>
          <w:rFonts w:ascii="Times New Roman" w:hAnsi="Times New Roman" w:cs="Times New Roman"/>
          <w:i/>
          <w:sz w:val="22"/>
          <w:szCs w:val="20"/>
        </w:rPr>
        <w:t>; or</w:t>
      </w:r>
    </w:p>
    <w:p w14:paraId="59F16759" w14:textId="16B5F45C" w:rsidR="00735331" w:rsidRPr="005841E2" w:rsidRDefault="00735331" w:rsidP="00E27E98">
      <w:pPr>
        <w:pStyle w:val="ListParagraph"/>
        <w:numPr>
          <w:ilvl w:val="0"/>
          <w:numId w:val="23"/>
        </w:numPr>
        <w:spacing w:before="120" w:after="120"/>
        <w:ind w:hanging="731"/>
        <w:rPr>
          <w:rFonts w:ascii="Times New Roman" w:hAnsi="Times New Roman" w:cs="Times New Roman"/>
          <w:i/>
          <w:sz w:val="22"/>
          <w:szCs w:val="20"/>
        </w:rPr>
      </w:pPr>
      <w:r w:rsidRPr="005841E2">
        <w:rPr>
          <w:rFonts w:ascii="Times New Roman" w:hAnsi="Times New Roman" w:cs="Times New Roman"/>
          <w:i/>
          <w:sz w:val="22"/>
          <w:szCs w:val="20"/>
        </w:rPr>
        <w:t xml:space="preserve">other personal information </w:t>
      </w:r>
      <w:r w:rsidR="00286D71" w:rsidRPr="005841E2">
        <w:rPr>
          <w:rFonts w:ascii="Times New Roman" w:hAnsi="Times New Roman" w:cs="Times New Roman"/>
          <w:i/>
          <w:sz w:val="22"/>
          <w:szCs w:val="20"/>
        </w:rPr>
        <w:t xml:space="preserve">collected in connection </w:t>
      </w:r>
      <w:r w:rsidRPr="005841E2">
        <w:rPr>
          <w:rFonts w:ascii="Times New Roman" w:hAnsi="Times New Roman" w:cs="Times New Roman"/>
          <w:i/>
          <w:sz w:val="22"/>
          <w:szCs w:val="20"/>
        </w:rPr>
        <w:t xml:space="preserve">with the donation, or intended donation, by </w:t>
      </w:r>
      <w:r w:rsidR="00B305B4" w:rsidRPr="005841E2">
        <w:rPr>
          <w:rFonts w:ascii="Times New Roman" w:hAnsi="Times New Roman" w:cs="Times New Roman"/>
          <w:i/>
          <w:sz w:val="22"/>
          <w:szCs w:val="20"/>
        </w:rPr>
        <w:t xml:space="preserve">an </w:t>
      </w:r>
      <w:r w:rsidRPr="005841E2">
        <w:rPr>
          <w:rFonts w:ascii="Times New Roman" w:hAnsi="Times New Roman" w:cs="Times New Roman"/>
          <w:i/>
          <w:sz w:val="22"/>
          <w:szCs w:val="20"/>
        </w:rPr>
        <w:t>individual of his or her body parts, organs or body substances; or</w:t>
      </w:r>
    </w:p>
    <w:p w14:paraId="1D169F25" w14:textId="77777777" w:rsidR="00735331" w:rsidRPr="005841E2" w:rsidRDefault="00735331" w:rsidP="00E27E98">
      <w:pPr>
        <w:pStyle w:val="ListParagraph"/>
        <w:numPr>
          <w:ilvl w:val="0"/>
          <w:numId w:val="23"/>
        </w:numPr>
        <w:spacing w:before="120" w:after="120"/>
        <w:ind w:hanging="731"/>
        <w:rPr>
          <w:rFonts w:ascii="Times New Roman" w:hAnsi="Times New Roman" w:cs="Times New Roman"/>
          <w:i/>
          <w:sz w:val="22"/>
          <w:szCs w:val="20"/>
        </w:rPr>
      </w:pPr>
      <w:r w:rsidRPr="005841E2">
        <w:rPr>
          <w:rFonts w:ascii="Times New Roman" w:hAnsi="Times New Roman" w:cs="Times New Roman"/>
          <w:i/>
          <w:sz w:val="22"/>
          <w:szCs w:val="20"/>
        </w:rPr>
        <w:t>genetic information about an individual in a form that is, or could be, predictive of the health of the individual or a genetic relative of the individual.</w:t>
      </w:r>
    </w:p>
    <w:p w14:paraId="07E411CE" w14:textId="77777777" w:rsidR="00735331" w:rsidRPr="005841E2" w:rsidRDefault="00735331" w:rsidP="00DE7C5C">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Background to the guidelines</w:t>
      </w:r>
    </w:p>
    <w:p w14:paraId="538BCAA0" w14:textId="5014C88B"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Section 95A of the Privacy Act allows the </w:t>
      </w:r>
      <w:r w:rsidR="00641DBA">
        <w:rPr>
          <w:rFonts w:ascii="Times New Roman" w:hAnsi="Times New Roman" w:cs="Times New Roman"/>
          <w:sz w:val="22"/>
          <w:szCs w:val="20"/>
        </w:rPr>
        <w:t xml:space="preserve">Information </w:t>
      </w:r>
      <w:r w:rsidRPr="005841E2">
        <w:rPr>
          <w:rFonts w:ascii="Times New Roman" w:hAnsi="Times New Roman" w:cs="Times New Roman"/>
          <w:sz w:val="22"/>
          <w:szCs w:val="20"/>
        </w:rPr>
        <w:t xml:space="preserve">Commissioner to approve guidelines issued by the CEO of the National Health and Medical Research Council or a prescribed authority </w:t>
      </w:r>
      <w:r w:rsidR="00D12ED6" w:rsidRPr="005841E2">
        <w:rPr>
          <w:rFonts w:ascii="Times New Roman" w:hAnsi="Times New Roman" w:cs="Times New Roman"/>
          <w:sz w:val="22"/>
          <w:szCs w:val="20"/>
        </w:rPr>
        <w:t xml:space="preserve">that relate to </w:t>
      </w:r>
      <w:r w:rsidRPr="005841E2">
        <w:rPr>
          <w:rFonts w:ascii="Times New Roman" w:hAnsi="Times New Roman" w:cs="Times New Roman"/>
          <w:sz w:val="22"/>
          <w:szCs w:val="20"/>
        </w:rPr>
        <w:t xml:space="preserve">the </w:t>
      </w:r>
      <w:r w:rsidR="00962766" w:rsidRPr="005841E2">
        <w:rPr>
          <w:rFonts w:ascii="Times New Roman" w:hAnsi="Times New Roman" w:cs="Times New Roman"/>
          <w:sz w:val="22"/>
          <w:szCs w:val="20"/>
        </w:rPr>
        <w:t xml:space="preserve">use and disclosure of health information for the purposes of research, or the compilation or analysis of statistics, relevant to public health or public safety; and the collection of health information for the purposes of research, or the compilation or analysis of statistics, relevant to public health or public safety, and the management, funding and monitoring of a health service </w:t>
      </w:r>
      <w:r w:rsidRPr="005841E2">
        <w:rPr>
          <w:rFonts w:ascii="Times New Roman" w:hAnsi="Times New Roman" w:cs="Times New Roman"/>
          <w:sz w:val="22"/>
          <w:szCs w:val="20"/>
        </w:rPr>
        <w:t>. Guidelines for this purpose were</w:t>
      </w:r>
      <w:r w:rsidR="00E36FB9" w:rsidRPr="005841E2">
        <w:rPr>
          <w:rFonts w:ascii="Times New Roman" w:hAnsi="Times New Roman" w:cs="Times New Roman"/>
          <w:sz w:val="22"/>
          <w:szCs w:val="20"/>
        </w:rPr>
        <w:t xml:space="preserve"> first</w:t>
      </w:r>
      <w:r w:rsidRPr="005841E2">
        <w:rPr>
          <w:rFonts w:ascii="Times New Roman" w:hAnsi="Times New Roman" w:cs="Times New Roman"/>
          <w:sz w:val="22"/>
          <w:szCs w:val="20"/>
        </w:rPr>
        <w:t xml:space="preserve"> issued by the National Health and Medical Research Council in 2001, namely, Guidelines approved under Section 95A of the </w:t>
      </w:r>
      <w:r w:rsidRPr="005841E2">
        <w:rPr>
          <w:rFonts w:ascii="Times New Roman" w:hAnsi="Times New Roman" w:cs="Times New Roman"/>
          <w:i/>
          <w:sz w:val="22"/>
          <w:szCs w:val="20"/>
        </w:rPr>
        <w:t>Privacy Act 1988</w:t>
      </w:r>
      <w:r w:rsidRPr="005841E2">
        <w:rPr>
          <w:rFonts w:ascii="Times New Roman" w:hAnsi="Times New Roman" w:cs="Times New Roman"/>
          <w:sz w:val="22"/>
          <w:szCs w:val="20"/>
        </w:rPr>
        <w:t xml:space="preserve">. </w:t>
      </w:r>
    </w:p>
    <w:p w14:paraId="67707D52" w14:textId="1A0DAFAD" w:rsidR="009D0E9B" w:rsidRPr="005841E2" w:rsidRDefault="008A30E0" w:rsidP="00735331">
      <w:pPr>
        <w:rPr>
          <w:rFonts w:ascii="Times New Roman" w:hAnsi="Times New Roman" w:cs="Times New Roman"/>
          <w:iCs/>
          <w:sz w:val="22"/>
          <w:szCs w:val="20"/>
        </w:rPr>
      </w:pPr>
      <w:r w:rsidRPr="005841E2">
        <w:rPr>
          <w:rFonts w:ascii="Times New Roman" w:hAnsi="Times New Roman" w:cs="Times New Roman"/>
          <w:sz w:val="22"/>
          <w:szCs w:val="20"/>
        </w:rPr>
        <w:t>The National Health and Medical Research Council issued a revised version of the guidelines</w:t>
      </w:r>
      <w:r w:rsidR="005D71F2" w:rsidRPr="005841E2">
        <w:rPr>
          <w:rFonts w:ascii="Times New Roman" w:hAnsi="Times New Roman" w:cs="Times New Roman"/>
          <w:sz w:val="22"/>
          <w:szCs w:val="20"/>
        </w:rPr>
        <w:t xml:space="preserve"> in 2014 </w:t>
      </w:r>
      <w:r w:rsidR="002A5563" w:rsidRPr="005841E2">
        <w:rPr>
          <w:rFonts w:ascii="Times New Roman" w:hAnsi="Times New Roman" w:cs="Times New Roman"/>
          <w:sz w:val="22"/>
          <w:szCs w:val="20"/>
        </w:rPr>
        <w:t xml:space="preserve">to reflect amendments to the Privacy Act made by the </w:t>
      </w:r>
      <w:r w:rsidR="002A5563" w:rsidRPr="005841E2">
        <w:rPr>
          <w:rFonts w:ascii="Times New Roman" w:hAnsi="Times New Roman" w:cs="Times New Roman"/>
          <w:i/>
          <w:sz w:val="22"/>
          <w:szCs w:val="20"/>
        </w:rPr>
        <w:t>Privacy Amendment (Enhancing Privacy Protection) Act 2012</w:t>
      </w:r>
      <w:r w:rsidR="009F4698" w:rsidRPr="005841E2">
        <w:rPr>
          <w:rFonts w:ascii="Times New Roman" w:hAnsi="Times New Roman" w:cs="Times New Roman"/>
          <w:iCs/>
          <w:sz w:val="22"/>
          <w:szCs w:val="20"/>
        </w:rPr>
        <w:t xml:space="preserve"> (Cth).</w:t>
      </w:r>
    </w:p>
    <w:p w14:paraId="3CB9B36B" w14:textId="3A93EBD8" w:rsidR="00092E56" w:rsidRPr="005841E2" w:rsidRDefault="00DE36F5" w:rsidP="00092E56">
      <w:pPr>
        <w:spacing w:after="0"/>
        <w:rPr>
          <w:rFonts w:ascii="Times New Roman" w:eastAsiaTheme="minorEastAsia" w:hAnsi="Times New Roman" w:cs="Times New Roman"/>
          <w:sz w:val="22"/>
          <w:lang w:eastAsia="en-AU"/>
        </w:rPr>
      </w:pPr>
      <w:r w:rsidRPr="005841E2">
        <w:rPr>
          <w:rFonts w:ascii="Times New Roman" w:hAnsi="Times New Roman" w:cs="Times New Roman"/>
          <w:sz w:val="22"/>
          <w:szCs w:val="20"/>
        </w:rPr>
        <w:t xml:space="preserve">The </w:t>
      </w:r>
      <w:r w:rsidR="007C592B" w:rsidRPr="005841E2">
        <w:rPr>
          <w:rFonts w:ascii="Times New Roman" w:hAnsi="Times New Roman" w:cs="Times New Roman"/>
          <w:sz w:val="22"/>
          <w:szCs w:val="20"/>
        </w:rPr>
        <w:t xml:space="preserve">Australian Government </w:t>
      </w:r>
      <w:r w:rsidR="00A13242" w:rsidRPr="005841E2">
        <w:rPr>
          <w:rFonts w:ascii="Times New Roman" w:hAnsi="Times New Roman" w:cs="Times New Roman"/>
          <w:sz w:val="22"/>
          <w:szCs w:val="20"/>
        </w:rPr>
        <w:t xml:space="preserve">released its response to the Privacy Act Review Report in September 2023 and has committed to progressing work on proposals ‘agreed’ and ‘agreed in-principle’. This substantial package of reforms will impact the framework for public interest research under the Privacy Act, including the issuing of the guidelines. </w:t>
      </w:r>
      <w:r w:rsidR="00CA185E" w:rsidRPr="005841E2">
        <w:rPr>
          <w:rFonts w:ascii="Times New Roman" w:hAnsi="Times New Roman" w:cs="Times New Roman"/>
          <w:sz w:val="22"/>
          <w:szCs w:val="20"/>
        </w:rPr>
        <w:t xml:space="preserve">As a result, the National Health and Medical Research Council has issued a revised version of the guidelines </w:t>
      </w:r>
      <w:r w:rsidR="008679AB" w:rsidRPr="005841E2">
        <w:rPr>
          <w:rFonts w:ascii="Times New Roman" w:hAnsi="Times New Roman" w:cs="Times New Roman"/>
          <w:sz w:val="22"/>
          <w:szCs w:val="20"/>
        </w:rPr>
        <w:t>in substantially the same terms as the 2014 guidelines</w:t>
      </w:r>
      <w:r w:rsidR="00522D0F" w:rsidRPr="005841E2">
        <w:rPr>
          <w:rFonts w:ascii="Times New Roman" w:hAnsi="Times New Roman" w:cs="Times New Roman"/>
          <w:sz w:val="22"/>
          <w:szCs w:val="20"/>
        </w:rPr>
        <w:t>.</w:t>
      </w:r>
      <w:r w:rsidR="008679AB" w:rsidRPr="005841E2">
        <w:rPr>
          <w:rFonts w:ascii="Times New Roman" w:hAnsi="Times New Roman" w:cs="Times New Roman"/>
          <w:sz w:val="22"/>
          <w:szCs w:val="20"/>
        </w:rPr>
        <w:t xml:space="preserve"> </w:t>
      </w:r>
      <w:r w:rsidR="00522D0F" w:rsidRPr="005841E2">
        <w:rPr>
          <w:rFonts w:ascii="Times New Roman" w:hAnsi="Times New Roman" w:cs="Times New Roman"/>
          <w:sz w:val="22"/>
          <w:szCs w:val="20"/>
        </w:rPr>
        <w:t>This approach will</w:t>
      </w:r>
      <w:r w:rsidR="00882AB6" w:rsidRPr="005841E2">
        <w:rPr>
          <w:rFonts w:ascii="Times New Roman" w:hAnsi="Times New Roman" w:cs="Times New Roman"/>
          <w:sz w:val="22"/>
          <w:szCs w:val="20"/>
        </w:rPr>
        <w:t xml:space="preserve"> allow for greater certainty </w:t>
      </w:r>
      <w:r w:rsidR="00522D0F" w:rsidRPr="005841E2">
        <w:rPr>
          <w:rFonts w:ascii="Times New Roman" w:hAnsi="Times New Roman" w:cs="Times New Roman"/>
          <w:sz w:val="22"/>
          <w:szCs w:val="20"/>
        </w:rPr>
        <w:t>around how or if the proposals in the review</w:t>
      </w:r>
      <w:r w:rsidR="00BA7459" w:rsidRPr="005841E2">
        <w:rPr>
          <w:rFonts w:ascii="Times New Roman" w:hAnsi="Times New Roman" w:cs="Times New Roman"/>
          <w:sz w:val="22"/>
          <w:szCs w:val="20"/>
        </w:rPr>
        <w:t xml:space="preserve"> of the Privacy Act</w:t>
      </w:r>
      <w:r w:rsidR="00522D0F" w:rsidRPr="005841E2">
        <w:rPr>
          <w:rFonts w:ascii="Times New Roman" w:hAnsi="Times New Roman" w:cs="Times New Roman"/>
          <w:sz w:val="22"/>
          <w:szCs w:val="20"/>
        </w:rPr>
        <w:t xml:space="preserve"> will be implemented</w:t>
      </w:r>
      <w:r w:rsidR="00E00BB1" w:rsidRPr="005841E2">
        <w:rPr>
          <w:rFonts w:ascii="Times New Roman" w:hAnsi="Times New Roman" w:cs="Times New Roman"/>
          <w:sz w:val="22"/>
          <w:szCs w:val="20"/>
        </w:rPr>
        <w:t xml:space="preserve"> </w:t>
      </w:r>
      <w:r w:rsidR="00BA7459" w:rsidRPr="005841E2">
        <w:rPr>
          <w:rFonts w:ascii="Times New Roman" w:hAnsi="Times New Roman" w:cs="Times New Roman"/>
          <w:sz w:val="22"/>
          <w:szCs w:val="20"/>
        </w:rPr>
        <w:t xml:space="preserve">before a substantive review of the guidelines is </w:t>
      </w:r>
      <w:r w:rsidR="00BA7459" w:rsidRPr="005841E2">
        <w:rPr>
          <w:rFonts w:ascii="Times New Roman" w:hAnsi="Times New Roman" w:cs="Times New Roman"/>
          <w:sz w:val="22"/>
          <w:szCs w:val="20"/>
        </w:rPr>
        <w:lastRenderedPageBreak/>
        <w:t xml:space="preserve">undertaken. </w:t>
      </w:r>
      <w:r w:rsidR="00092E56" w:rsidRPr="005841E2">
        <w:rPr>
          <w:rFonts w:ascii="Times New Roman" w:hAnsi="Times New Roman" w:cs="Times New Roman"/>
          <w:sz w:val="22"/>
          <w:szCs w:val="20"/>
        </w:rPr>
        <w:t>A comprehensive review of the guidelines will be undertaken once there is clarity as to the outcomes of the Privacy Act review.</w:t>
      </w:r>
      <w:r w:rsidR="00092E56" w:rsidRPr="005841E2">
        <w:rPr>
          <w:rFonts w:ascii="Times New Roman" w:eastAsiaTheme="minorEastAsia" w:hAnsi="Times New Roman" w:cs="Times New Roman"/>
          <w:sz w:val="22"/>
          <w:lang w:eastAsia="en-AU"/>
        </w:rPr>
        <w:t xml:space="preserve"> </w:t>
      </w:r>
    </w:p>
    <w:p w14:paraId="7304482C" w14:textId="77777777" w:rsidR="00735331" w:rsidRPr="005841E2" w:rsidRDefault="00735331" w:rsidP="00DE7C5C">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Consultation</w:t>
      </w:r>
    </w:p>
    <w:p w14:paraId="69DA6AC2" w14:textId="5DB91A34" w:rsidR="005F158B" w:rsidRPr="005841E2" w:rsidRDefault="00E951FA" w:rsidP="00735331">
      <w:pPr>
        <w:rPr>
          <w:rFonts w:ascii="Times New Roman" w:hAnsi="Times New Roman" w:cs="Times New Roman"/>
          <w:sz w:val="22"/>
          <w:szCs w:val="20"/>
        </w:rPr>
      </w:pPr>
      <w:r w:rsidRPr="005841E2">
        <w:rPr>
          <w:rFonts w:ascii="Times New Roman" w:hAnsi="Times New Roman" w:cs="Times New Roman"/>
          <w:sz w:val="22"/>
          <w:szCs w:val="20"/>
        </w:rPr>
        <w:t xml:space="preserve">As a legislative instrument, the approval must be </w:t>
      </w:r>
      <w:r w:rsidR="00987EDD" w:rsidRPr="005841E2">
        <w:rPr>
          <w:rFonts w:ascii="Times New Roman" w:hAnsi="Times New Roman" w:cs="Times New Roman"/>
          <w:sz w:val="22"/>
          <w:szCs w:val="20"/>
        </w:rPr>
        <w:t>made</w:t>
      </w:r>
      <w:r w:rsidRPr="005841E2">
        <w:rPr>
          <w:rFonts w:ascii="Times New Roman" w:hAnsi="Times New Roman" w:cs="Times New Roman"/>
          <w:sz w:val="22"/>
          <w:szCs w:val="20"/>
        </w:rPr>
        <w:t xml:space="preserve"> in accordance with the requirements in the Legislation Act. Section 17 of the Legislation Act requires </w:t>
      </w:r>
      <w:r w:rsidR="00573C6F" w:rsidRPr="005841E2">
        <w:rPr>
          <w:rFonts w:ascii="Times New Roman" w:hAnsi="Times New Roman" w:cs="Times New Roman"/>
          <w:sz w:val="22"/>
          <w:szCs w:val="20"/>
        </w:rPr>
        <w:t xml:space="preserve">that </w:t>
      </w:r>
      <w:r w:rsidRPr="005841E2">
        <w:rPr>
          <w:rFonts w:ascii="Times New Roman" w:hAnsi="Times New Roman" w:cs="Times New Roman"/>
          <w:sz w:val="22"/>
          <w:szCs w:val="20"/>
        </w:rPr>
        <w:t>the rule-maker</w:t>
      </w:r>
      <w:r w:rsidR="00573C6F" w:rsidRPr="005841E2">
        <w:rPr>
          <w:rFonts w:ascii="Times New Roman" w:hAnsi="Times New Roman" w:cs="Times New Roman"/>
          <w:sz w:val="22"/>
          <w:szCs w:val="20"/>
        </w:rPr>
        <w:t xml:space="preserve"> be satisfied that there has been</w:t>
      </w:r>
      <w:r w:rsidR="005907F7" w:rsidRPr="005841E2">
        <w:rPr>
          <w:rFonts w:ascii="Times New Roman" w:hAnsi="Times New Roman" w:cs="Times New Roman"/>
          <w:sz w:val="22"/>
          <w:szCs w:val="20"/>
        </w:rPr>
        <w:t xml:space="preserve"> appropriate consultation, which draws on the knowledge of persons having expertise in fields</w:t>
      </w:r>
      <w:r w:rsidR="007523EE" w:rsidRPr="005841E2">
        <w:rPr>
          <w:rFonts w:ascii="Times New Roman" w:hAnsi="Times New Roman" w:cs="Times New Roman"/>
          <w:sz w:val="22"/>
          <w:szCs w:val="20"/>
        </w:rPr>
        <w:t xml:space="preserve"> relevant to the proposed instrument’ and ensures that people likely to be affected by the proposed instrument had an adequate opportunity to comment on its proposed content</w:t>
      </w:r>
      <w:r w:rsidR="00031039" w:rsidRPr="005841E2">
        <w:rPr>
          <w:rFonts w:ascii="Times New Roman" w:hAnsi="Times New Roman" w:cs="Times New Roman"/>
          <w:sz w:val="22"/>
          <w:szCs w:val="20"/>
        </w:rPr>
        <w:t>.</w:t>
      </w:r>
      <w:r w:rsidR="00031039" w:rsidRPr="005841E2">
        <w:rPr>
          <w:rStyle w:val="FootnoteReference"/>
          <w:rFonts w:ascii="Times New Roman" w:hAnsi="Times New Roman" w:cs="Times New Roman"/>
          <w:sz w:val="22"/>
          <w:szCs w:val="20"/>
        </w:rPr>
        <w:footnoteReference w:id="1"/>
      </w:r>
    </w:p>
    <w:p w14:paraId="7A3C2355" w14:textId="2CF5BB79" w:rsidR="009D25CE" w:rsidRPr="005841E2" w:rsidRDefault="009D25CE" w:rsidP="009D25CE">
      <w:pPr>
        <w:rPr>
          <w:rFonts w:ascii="Times New Roman" w:hAnsi="Times New Roman" w:cs="Times New Roman"/>
          <w:sz w:val="22"/>
          <w:szCs w:val="20"/>
        </w:rPr>
      </w:pPr>
      <w:r w:rsidRPr="005841E2">
        <w:rPr>
          <w:rFonts w:ascii="Times New Roman" w:hAnsi="Times New Roman" w:cs="Times New Roman"/>
          <w:sz w:val="22"/>
          <w:szCs w:val="20"/>
        </w:rPr>
        <w:t xml:space="preserve">The Office of the Australian Information Commissioner (OAIC) undertook public consultation on the draft approval in November-December 2023. </w:t>
      </w:r>
      <w:r w:rsidR="009900AA" w:rsidRPr="005841E2">
        <w:rPr>
          <w:rFonts w:ascii="Times New Roman" w:hAnsi="Times New Roman" w:cs="Times New Roman"/>
          <w:sz w:val="22"/>
          <w:szCs w:val="20"/>
        </w:rPr>
        <w:t xml:space="preserve">Consultation documents were made available on the OAIC’s website during </w:t>
      </w:r>
      <w:r w:rsidR="004B0C21" w:rsidRPr="005841E2">
        <w:rPr>
          <w:rFonts w:ascii="Times New Roman" w:hAnsi="Times New Roman" w:cs="Times New Roman"/>
          <w:sz w:val="22"/>
          <w:szCs w:val="20"/>
        </w:rPr>
        <w:t>a</w:t>
      </w:r>
      <w:r w:rsidR="009900AA" w:rsidRPr="005841E2">
        <w:rPr>
          <w:rFonts w:ascii="Times New Roman" w:hAnsi="Times New Roman" w:cs="Times New Roman"/>
          <w:sz w:val="22"/>
          <w:szCs w:val="20"/>
        </w:rPr>
        <w:t xml:space="preserve"> 4-week consultation period.</w:t>
      </w:r>
      <w:r w:rsidR="0024470D" w:rsidRPr="005841E2">
        <w:rPr>
          <w:rFonts w:ascii="Times New Roman" w:hAnsi="Times New Roman" w:cs="Times New Roman"/>
          <w:sz w:val="22"/>
          <w:szCs w:val="20"/>
        </w:rPr>
        <w:t xml:space="preserve"> </w:t>
      </w:r>
      <w:r w:rsidR="00910ECF" w:rsidRPr="005841E2">
        <w:rPr>
          <w:rFonts w:ascii="Times New Roman" w:hAnsi="Times New Roman" w:cs="Times New Roman"/>
          <w:sz w:val="22"/>
          <w:szCs w:val="20"/>
        </w:rPr>
        <w:t>Comment was invited from the public</w:t>
      </w:r>
      <w:r w:rsidR="009900AA" w:rsidRPr="005841E2">
        <w:rPr>
          <w:rFonts w:ascii="Times New Roman" w:hAnsi="Times New Roman" w:cs="Times New Roman"/>
          <w:sz w:val="22"/>
          <w:szCs w:val="20"/>
        </w:rPr>
        <w:t xml:space="preserve"> and</w:t>
      </w:r>
      <w:r w:rsidR="0024470D" w:rsidRPr="005841E2">
        <w:rPr>
          <w:rFonts w:ascii="Times New Roman" w:hAnsi="Times New Roman" w:cs="Times New Roman"/>
          <w:sz w:val="22"/>
          <w:szCs w:val="20"/>
        </w:rPr>
        <w:t xml:space="preserve"> </w:t>
      </w:r>
      <w:r w:rsidR="00F5648D" w:rsidRPr="005841E2">
        <w:rPr>
          <w:rFonts w:ascii="Times New Roman" w:hAnsi="Times New Roman" w:cs="Times New Roman"/>
          <w:sz w:val="22"/>
          <w:szCs w:val="20"/>
        </w:rPr>
        <w:t xml:space="preserve">the </w:t>
      </w:r>
      <w:r w:rsidR="0024470D" w:rsidRPr="005841E2">
        <w:rPr>
          <w:rFonts w:ascii="Times New Roman" w:hAnsi="Times New Roman" w:cs="Times New Roman"/>
          <w:sz w:val="22"/>
          <w:szCs w:val="20"/>
        </w:rPr>
        <w:t xml:space="preserve">consultation </w:t>
      </w:r>
      <w:r w:rsidR="00F5648D" w:rsidRPr="005841E2">
        <w:rPr>
          <w:rFonts w:ascii="Times New Roman" w:hAnsi="Times New Roman" w:cs="Times New Roman"/>
          <w:sz w:val="22"/>
          <w:szCs w:val="20"/>
        </w:rPr>
        <w:t>was</w:t>
      </w:r>
      <w:r w:rsidR="0024470D" w:rsidRPr="005841E2">
        <w:rPr>
          <w:rFonts w:ascii="Times New Roman" w:hAnsi="Times New Roman" w:cs="Times New Roman"/>
          <w:sz w:val="22"/>
          <w:szCs w:val="20"/>
        </w:rPr>
        <w:t xml:space="preserve"> shared </w:t>
      </w:r>
      <w:r w:rsidR="00F5648D" w:rsidRPr="005841E2">
        <w:rPr>
          <w:rFonts w:ascii="Times New Roman" w:hAnsi="Times New Roman" w:cs="Times New Roman"/>
          <w:sz w:val="22"/>
          <w:szCs w:val="20"/>
        </w:rPr>
        <w:t xml:space="preserve">on </w:t>
      </w:r>
      <w:r w:rsidR="00C71619" w:rsidRPr="005841E2">
        <w:rPr>
          <w:rFonts w:ascii="Times New Roman" w:hAnsi="Times New Roman" w:cs="Times New Roman"/>
          <w:sz w:val="22"/>
          <w:szCs w:val="20"/>
        </w:rPr>
        <w:t xml:space="preserve">relevant social media platforms and </w:t>
      </w:r>
      <w:r w:rsidRPr="005841E2">
        <w:rPr>
          <w:rFonts w:ascii="Times New Roman" w:hAnsi="Times New Roman" w:cs="Times New Roman"/>
          <w:sz w:val="22"/>
          <w:szCs w:val="20"/>
        </w:rPr>
        <w:t xml:space="preserve">with relevant National Health and Medical Research Council stakeholders through a fortnightly newsletter. </w:t>
      </w:r>
    </w:p>
    <w:p w14:paraId="08A017C6" w14:textId="218BB664" w:rsidR="00C22C48" w:rsidRPr="005841E2" w:rsidRDefault="0024470D" w:rsidP="003749AF">
      <w:pPr>
        <w:spacing w:after="0"/>
        <w:rPr>
          <w:rFonts w:ascii="Times New Roman" w:hAnsi="Times New Roman" w:cs="Times New Roman"/>
          <w:sz w:val="22"/>
          <w:szCs w:val="20"/>
        </w:rPr>
      </w:pPr>
      <w:r w:rsidRPr="005841E2">
        <w:rPr>
          <w:rFonts w:ascii="Times New Roman" w:hAnsi="Times New Roman" w:cs="Times New Roman"/>
          <w:sz w:val="22"/>
          <w:szCs w:val="20"/>
        </w:rPr>
        <w:t xml:space="preserve">The OAIC received </w:t>
      </w:r>
      <w:r w:rsidR="00CA3B2B" w:rsidRPr="005841E2">
        <w:rPr>
          <w:rFonts w:ascii="Times New Roman" w:hAnsi="Times New Roman" w:cs="Times New Roman"/>
          <w:sz w:val="22"/>
          <w:szCs w:val="20"/>
        </w:rPr>
        <w:t xml:space="preserve">2 submissions in response to the public consultation documents. </w:t>
      </w:r>
      <w:r w:rsidR="003749AF" w:rsidRPr="005841E2">
        <w:rPr>
          <w:rFonts w:ascii="Times New Roman" w:hAnsi="Times New Roman" w:cs="Times New Roman"/>
          <w:sz w:val="22"/>
          <w:szCs w:val="20"/>
        </w:rPr>
        <w:t xml:space="preserve">Submissions received expressed concerns with the OAIC’s proposal to include a five-year self-repeal provision in the approval, stating that it could create uncertainty for stakeholders. Submitters were not opposed to approving the guidelines in substantially the same terms. This feedback was considered, and the five-year self-repeal provision was not incorporated into the approval. </w:t>
      </w:r>
    </w:p>
    <w:p w14:paraId="61C3F94A" w14:textId="5A7EF31A" w:rsidR="00C22C48" w:rsidRPr="0037297E" w:rsidRDefault="00C22C48" w:rsidP="00F257EC">
      <w:pPr>
        <w:pStyle w:val="Heading4"/>
        <w:spacing w:before="240" w:after="160"/>
        <w:rPr>
          <w:rFonts w:ascii="Times New Roman" w:hAnsi="Times New Roman" w:cs="Times New Roman"/>
          <w:color w:val="auto"/>
          <w:lang w:eastAsia="en-AU"/>
        </w:rPr>
      </w:pPr>
      <w:r w:rsidRPr="0037297E">
        <w:rPr>
          <w:rFonts w:ascii="Times New Roman" w:hAnsi="Times New Roman" w:cs="Times New Roman"/>
          <w:color w:val="auto"/>
          <w:lang w:eastAsia="en-AU"/>
        </w:rPr>
        <w:t>Policy Impact Analysis</w:t>
      </w:r>
    </w:p>
    <w:p w14:paraId="7FA97B0D" w14:textId="66A6DBEA" w:rsidR="00C22C48" w:rsidRPr="005841E2" w:rsidRDefault="00492EF2" w:rsidP="00C22C48">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The Office of Impact Assessment (OIA) assessed the approval </w:t>
      </w:r>
      <w:r w:rsidR="0078008E" w:rsidRPr="005841E2">
        <w:rPr>
          <w:rFonts w:ascii="Times New Roman" w:hAnsi="Times New Roman" w:cs="Times New Roman"/>
          <w:sz w:val="22"/>
          <w:szCs w:val="20"/>
          <w:lang w:eastAsia="en-AU"/>
        </w:rPr>
        <w:t xml:space="preserve">and </w:t>
      </w:r>
      <w:r w:rsidRPr="005841E2">
        <w:rPr>
          <w:rFonts w:ascii="Times New Roman" w:hAnsi="Times New Roman" w:cs="Times New Roman"/>
          <w:sz w:val="22"/>
          <w:szCs w:val="20"/>
          <w:lang w:eastAsia="en-AU"/>
        </w:rPr>
        <w:t>confirmed that the preparation of a</w:t>
      </w:r>
      <w:r w:rsidR="00380BBA" w:rsidRPr="005841E2">
        <w:rPr>
          <w:rFonts w:ascii="Times New Roman" w:hAnsi="Times New Roman" w:cs="Times New Roman"/>
          <w:sz w:val="22"/>
          <w:szCs w:val="20"/>
          <w:lang w:eastAsia="en-AU"/>
        </w:rPr>
        <w:t xml:space="preserve"> detailed</w:t>
      </w:r>
      <w:r w:rsidRPr="005841E2">
        <w:rPr>
          <w:rFonts w:ascii="Times New Roman" w:hAnsi="Times New Roman" w:cs="Times New Roman"/>
          <w:sz w:val="22"/>
          <w:szCs w:val="20"/>
          <w:lang w:eastAsia="en-AU"/>
        </w:rPr>
        <w:t xml:space="preserve"> Impact Analysis is not required. The OIA reference number is </w:t>
      </w:r>
      <w:r w:rsidR="00F67623" w:rsidRPr="005841E2">
        <w:rPr>
          <w:rFonts w:ascii="Times New Roman" w:hAnsi="Times New Roman" w:cs="Times New Roman"/>
          <w:sz w:val="22"/>
          <w:szCs w:val="20"/>
          <w:lang w:eastAsia="en-AU"/>
        </w:rPr>
        <w:t>OIA24-06885</w:t>
      </w:r>
      <w:r w:rsidRPr="005841E2">
        <w:rPr>
          <w:rFonts w:ascii="Times New Roman" w:hAnsi="Times New Roman" w:cs="Times New Roman"/>
          <w:sz w:val="22"/>
          <w:szCs w:val="20"/>
          <w:lang w:eastAsia="en-AU"/>
        </w:rPr>
        <w:t>.</w:t>
      </w:r>
    </w:p>
    <w:p w14:paraId="296BF2E2" w14:textId="77777777" w:rsidR="00735331" w:rsidRPr="005841E2" w:rsidRDefault="00735331" w:rsidP="00DE7C5C">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Matters considered in approving the guidelines</w:t>
      </w:r>
    </w:p>
    <w:p w14:paraId="2D518D7D" w14:textId="2F0D79F8"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Subsection 95A(3) of the Privacy Act requires that the </w:t>
      </w:r>
      <w:r w:rsidR="00CA3B2B" w:rsidRPr="005841E2">
        <w:rPr>
          <w:rFonts w:ascii="Times New Roman" w:hAnsi="Times New Roman" w:cs="Times New Roman"/>
          <w:sz w:val="22"/>
          <w:szCs w:val="20"/>
        </w:rPr>
        <w:t xml:space="preserve">Information </w:t>
      </w:r>
      <w:r w:rsidRPr="005841E2">
        <w:rPr>
          <w:rFonts w:ascii="Times New Roman" w:hAnsi="Times New Roman" w:cs="Times New Roman"/>
          <w:sz w:val="22"/>
          <w:szCs w:val="20"/>
        </w:rPr>
        <w:t xml:space="preserve">Commissioner may give an approval under subsection 95A(2) of guidelines that relate to the use and disclosure of health information for the purposes of research, or the compilation or analysis of statistics, relevant to public health or public safety, only if satisfied that the public interest in the use and disclosure of health information for the purposes mentioned in that subsection in accordance with the guidelines substantially outweighs the public interest in maintaining the level of privacy protection afforded by the </w:t>
      </w:r>
      <w:r w:rsidR="00942386" w:rsidRPr="005841E2">
        <w:rPr>
          <w:rFonts w:ascii="Times New Roman" w:hAnsi="Times New Roman" w:cs="Times New Roman"/>
          <w:sz w:val="22"/>
          <w:szCs w:val="20"/>
        </w:rPr>
        <w:t>APPs</w:t>
      </w:r>
      <w:r w:rsidRPr="005841E2">
        <w:rPr>
          <w:rFonts w:ascii="Times New Roman" w:hAnsi="Times New Roman" w:cs="Times New Roman"/>
          <w:sz w:val="22"/>
          <w:szCs w:val="20"/>
        </w:rPr>
        <w:t xml:space="preserve"> (disregarding subsection 16B(3)).</w:t>
      </w:r>
    </w:p>
    <w:p w14:paraId="2CADAF88" w14:textId="46551C50"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Similarly, subsection 95A(5) of the Privacy Act requires that the </w:t>
      </w:r>
      <w:r w:rsidR="007A3782" w:rsidRPr="005841E2">
        <w:rPr>
          <w:rFonts w:ascii="Times New Roman" w:hAnsi="Times New Roman" w:cs="Times New Roman"/>
          <w:sz w:val="22"/>
          <w:szCs w:val="20"/>
        </w:rPr>
        <w:t xml:space="preserve">Information </w:t>
      </w:r>
      <w:r w:rsidRPr="005841E2">
        <w:rPr>
          <w:rFonts w:ascii="Times New Roman" w:hAnsi="Times New Roman" w:cs="Times New Roman"/>
          <w:sz w:val="22"/>
          <w:szCs w:val="20"/>
        </w:rPr>
        <w:t xml:space="preserve">Commissioner may give an approval under subsection 95A(4) of guidelines relating to the collection of health information for the purposes of research, or the compilation or analysis of statistics, relevant to public health or public safety; or the management, funding or monitoring of a health service, only if satisfied that the public interest in the collection of health information for the purposes mentioned in that subsection in accordance with the guidelines substantially outweighs the public interest in maintaining the level of privacy protection afforded by the </w:t>
      </w:r>
      <w:r w:rsidR="00942386" w:rsidRPr="005841E2">
        <w:rPr>
          <w:rFonts w:ascii="Times New Roman" w:hAnsi="Times New Roman" w:cs="Times New Roman"/>
          <w:sz w:val="22"/>
          <w:szCs w:val="20"/>
        </w:rPr>
        <w:t>APPs</w:t>
      </w:r>
      <w:r w:rsidRPr="005841E2">
        <w:rPr>
          <w:rFonts w:ascii="Times New Roman" w:hAnsi="Times New Roman" w:cs="Times New Roman"/>
          <w:sz w:val="22"/>
          <w:szCs w:val="20"/>
        </w:rPr>
        <w:t xml:space="preserve"> (disregarding subsection 16B(2)). </w:t>
      </w:r>
    </w:p>
    <w:p w14:paraId="1E33B3F3" w14:textId="7BCEC99D"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The </w:t>
      </w:r>
      <w:r w:rsidR="00942386" w:rsidRPr="005841E2">
        <w:rPr>
          <w:rFonts w:ascii="Times New Roman" w:hAnsi="Times New Roman" w:cs="Times New Roman"/>
          <w:sz w:val="22"/>
          <w:szCs w:val="20"/>
        </w:rPr>
        <w:t xml:space="preserve">Information </w:t>
      </w:r>
      <w:r w:rsidRPr="005841E2">
        <w:rPr>
          <w:rFonts w:ascii="Times New Roman" w:hAnsi="Times New Roman" w:cs="Times New Roman"/>
          <w:sz w:val="22"/>
          <w:szCs w:val="20"/>
        </w:rPr>
        <w:t xml:space="preserve">Commissioner has considered the public interest matters raised in subsections 95A(3) and (5) and is satisfied that the public interest in the handling of health information for the purposes mentioned in subsections 95A(2) and (4) substantially outweighs the public interest in maintaining the level of privacy protection afforded by the </w:t>
      </w:r>
      <w:r w:rsidR="00035945" w:rsidRPr="005841E2">
        <w:rPr>
          <w:rFonts w:ascii="Times New Roman" w:hAnsi="Times New Roman" w:cs="Times New Roman"/>
          <w:sz w:val="22"/>
          <w:szCs w:val="20"/>
        </w:rPr>
        <w:t>APPs</w:t>
      </w:r>
      <w:r w:rsidRPr="005841E2">
        <w:rPr>
          <w:rFonts w:ascii="Times New Roman" w:hAnsi="Times New Roman" w:cs="Times New Roman"/>
          <w:sz w:val="22"/>
          <w:szCs w:val="20"/>
        </w:rPr>
        <w:t xml:space="preserve"> (disregarding subsections 16B(2) and 16B(3)).  </w:t>
      </w:r>
    </w:p>
    <w:p w14:paraId="408B25F4" w14:textId="77777777" w:rsidR="00735331" w:rsidRPr="005841E2" w:rsidRDefault="00735331" w:rsidP="00DE7C5C">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Legal status of the guidelines</w:t>
      </w:r>
    </w:p>
    <w:p w14:paraId="353BCFB8" w14:textId="77777777"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The guidelines are legally binding on all private sector organisations that seek to collect, use or disclose health information for the purposes of research, or the compilation or analysis of statistics, </w:t>
      </w:r>
      <w:r w:rsidRPr="005841E2">
        <w:rPr>
          <w:rFonts w:ascii="Times New Roman" w:hAnsi="Times New Roman" w:cs="Times New Roman"/>
          <w:sz w:val="22"/>
          <w:szCs w:val="20"/>
        </w:rPr>
        <w:lastRenderedPageBreak/>
        <w:t>relevant to public health or public safety; or to collect health information for the management, funding or monitoring of a health service.</w:t>
      </w:r>
    </w:p>
    <w:p w14:paraId="529C83A9" w14:textId="72951C84"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rPr>
        <w:t xml:space="preserve">A breach of the guidelines constitutes an interference with privacy under section 13 of the Privacy Act because the act or practice would breach an </w:t>
      </w:r>
      <w:r w:rsidR="00377DDC" w:rsidRPr="005841E2">
        <w:rPr>
          <w:rFonts w:ascii="Times New Roman" w:hAnsi="Times New Roman" w:cs="Times New Roman"/>
          <w:sz w:val="22"/>
          <w:szCs w:val="20"/>
        </w:rPr>
        <w:t>APP</w:t>
      </w:r>
      <w:r w:rsidRPr="005841E2">
        <w:rPr>
          <w:rFonts w:ascii="Times New Roman" w:hAnsi="Times New Roman" w:cs="Times New Roman"/>
          <w:sz w:val="22"/>
          <w:szCs w:val="20"/>
        </w:rPr>
        <w:t xml:space="preserve"> in relation to personal information about the individual. An individual may complain to the Office of the Australian Information Commissioner about an act or practice they believe has not been done in accordance with APP 6.2(d).</w:t>
      </w:r>
    </w:p>
    <w:p w14:paraId="48646D2B" w14:textId="22B71D6F" w:rsidR="00735331" w:rsidRPr="005841E2" w:rsidRDefault="00735331" w:rsidP="001955BC">
      <w:pPr>
        <w:rPr>
          <w:rFonts w:ascii="Times New Roman" w:hAnsi="Times New Roman" w:cs="Times New Roman"/>
          <w:sz w:val="22"/>
          <w:szCs w:val="20"/>
        </w:rPr>
      </w:pPr>
      <w:r w:rsidRPr="005841E2">
        <w:rPr>
          <w:rFonts w:ascii="Times New Roman" w:hAnsi="Times New Roman" w:cs="Times New Roman"/>
          <w:sz w:val="22"/>
          <w:szCs w:val="20"/>
        </w:rPr>
        <w:t xml:space="preserve">The guidelines will take effect on </w:t>
      </w:r>
      <w:r w:rsidR="00630F51" w:rsidRPr="005841E2">
        <w:rPr>
          <w:rFonts w:ascii="Times New Roman" w:hAnsi="Times New Roman" w:cs="Times New Roman"/>
          <w:sz w:val="22"/>
          <w:szCs w:val="20"/>
        </w:rPr>
        <w:t>1 April 2024</w:t>
      </w:r>
      <w:r w:rsidRPr="005841E2">
        <w:rPr>
          <w:rFonts w:ascii="Times New Roman" w:hAnsi="Times New Roman" w:cs="Times New Roman"/>
          <w:sz w:val="22"/>
          <w:szCs w:val="20"/>
        </w:rPr>
        <w:t xml:space="preserve">.  </w:t>
      </w:r>
    </w:p>
    <w:p w14:paraId="412D8A9A" w14:textId="7E5BAA47" w:rsidR="008748AF" w:rsidRPr="005841E2" w:rsidRDefault="008748AF" w:rsidP="001955BC">
      <w:pPr>
        <w:rPr>
          <w:rFonts w:ascii="Times New Roman" w:eastAsiaTheme="majorEastAsia" w:hAnsi="Times New Roman" w:cs="Times New Roman"/>
          <w:b/>
          <w:bCs/>
          <w:szCs w:val="20"/>
        </w:rPr>
      </w:pPr>
      <w:r w:rsidRPr="005841E2">
        <w:rPr>
          <w:rFonts w:ascii="Times New Roman" w:hAnsi="Times New Roman" w:cs="Times New Roman"/>
          <w:sz w:val="22"/>
          <w:szCs w:val="20"/>
        </w:rPr>
        <w:t xml:space="preserve">A </w:t>
      </w:r>
      <w:r w:rsidR="000A1791" w:rsidRPr="005841E2">
        <w:rPr>
          <w:rFonts w:ascii="Times New Roman" w:hAnsi="Times New Roman" w:cs="Times New Roman"/>
          <w:sz w:val="22"/>
          <w:szCs w:val="20"/>
        </w:rPr>
        <w:t xml:space="preserve">Statement of Compatibility with Human Rights is at </w:t>
      </w:r>
      <w:r w:rsidR="001A624D" w:rsidRPr="005841E2">
        <w:rPr>
          <w:rFonts w:ascii="Times New Roman" w:hAnsi="Times New Roman" w:cs="Times New Roman"/>
          <w:b/>
          <w:bCs/>
          <w:sz w:val="22"/>
          <w:szCs w:val="20"/>
        </w:rPr>
        <w:t>A</w:t>
      </w:r>
      <w:r w:rsidR="000A1791" w:rsidRPr="005841E2">
        <w:rPr>
          <w:rFonts w:ascii="Times New Roman" w:hAnsi="Times New Roman" w:cs="Times New Roman"/>
          <w:b/>
          <w:bCs/>
          <w:sz w:val="22"/>
          <w:szCs w:val="20"/>
        </w:rPr>
        <w:t>ttachment A</w:t>
      </w:r>
      <w:r w:rsidR="000A1791" w:rsidRPr="005841E2">
        <w:rPr>
          <w:rFonts w:ascii="Times New Roman" w:hAnsi="Times New Roman" w:cs="Times New Roman"/>
          <w:sz w:val="22"/>
          <w:szCs w:val="20"/>
        </w:rPr>
        <w:t xml:space="preserve">. </w:t>
      </w:r>
    </w:p>
    <w:p w14:paraId="75A8B47A" w14:textId="77777777" w:rsidR="001A624D" w:rsidRPr="0037297E" w:rsidRDefault="001A624D" w:rsidP="001A624D">
      <w:pPr>
        <w:pStyle w:val="Heading1"/>
        <w:jc w:val="right"/>
        <w:rPr>
          <w:rFonts w:ascii="Times New Roman" w:hAnsi="Times New Roman" w:cs="Times New Roman"/>
          <w:color w:val="auto"/>
        </w:rPr>
      </w:pPr>
      <w:r w:rsidRPr="0037297E">
        <w:rPr>
          <w:rFonts w:ascii="Times New Roman" w:hAnsi="Times New Roman" w:cs="Times New Roman"/>
          <w:color w:val="auto"/>
        </w:rPr>
        <w:br w:type="page"/>
      </w:r>
    </w:p>
    <w:p w14:paraId="7BB56444" w14:textId="33FC6B2F" w:rsidR="001A624D" w:rsidRPr="005841E2" w:rsidRDefault="001A624D" w:rsidP="001A624D">
      <w:pPr>
        <w:pStyle w:val="Heading1"/>
        <w:jc w:val="right"/>
        <w:rPr>
          <w:rFonts w:ascii="Times New Roman" w:hAnsi="Times New Roman" w:cs="Times New Roman"/>
          <w:b/>
          <w:bCs/>
          <w:color w:val="auto"/>
          <w:sz w:val="40"/>
          <w:szCs w:val="24"/>
        </w:rPr>
      </w:pPr>
      <w:r w:rsidRPr="005841E2">
        <w:rPr>
          <w:rFonts w:ascii="Times New Roman" w:hAnsi="Times New Roman" w:cs="Times New Roman"/>
          <w:b/>
          <w:bCs/>
          <w:color w:val="auto"/>
          <w:sz w:val="40"/>
          <w:szCs w:val="24"/>
        </w:rPr>
        <w:lastRenderedPageBreak/>
        <w:t xml:space="preserve">Attachment A </w:t>
      </w:r>
    </w:p>
    <w:p w14:paraId="4FBCE62F" w14:textId="1E569C42" w:rsidR="00735331" w:rsidRPr="005841E2" w:rsidRDefault="00735331" w:rsidP="00735331">
      <w:pPr>
        <w:pStyle w:val="Heading1"/>
        <w:rPr>
          <w:rFonts w:ascii="Times New Roman" w:hAnsi="Times New Roman" w:cs="Times New Roman"/>
          <w:b/>
          <w:bCs/>
          <w:color w:val="auto"/>
          <w:sz w:val="40"/>
          <w:szCs w:val="24"/>
        </w:rPr>
      </w:pPr>
      <w:r w:rsidRPr="005841E2">
        <w:rPr>
          <w:rFonts w:ascii="Times New Roman" w:hAnsi="Times New Roman" w:cs="Times New Roman"/>
          <w:b/>
          <w:bCs/>
          <w:color w:val="auto"/>
          <w:sz w:val="40"/>
          <w:szCs w:val="24"/>
        </w:rPr>
        <w:t>Statement of Compatibility with Human Rights</w:t>
      </w:r>
    </w:p>
    <w:p w14:paraId="1CD77191" w14:textId="52D1BCB0" w:rsidR="00735331" w:rsidRPr="005841E2" w:rsidRDefault="002E1324" w:rsidP="00DC1A50">
      <w:pPr>
        <w:pStyle w:val="Heading3"/>
        <w:rPr>
          <w:rFonts w:ascii="Times New Roman" w:hAnsi="Times New Roman" w:cs="Times New Roman"/>
          <w:b/>
          <w:bCs w:val="0"/>
          <w:color w:val="auto"/>
          <w:sz w:val="28"/>
          <w:szCs w:val="20"/>
        </w:rPr>
      </w:pPr>
      <w:r w:rsidRPr="005841E2">
        <w:rPr>
          <w:rFonts w:ascii="Times New Roman" w:hAnsi="Times New Roman" w:cs="Times New Roman"/>
          <w:b/>
          <w:bCs w:val="0"/>
          <w:color w:val="auto"/>
          <w:sz w:val="28"/>
          <w:szCs w:val="20"/>
        </w:rPr>
        <w:t>P</w:t>
      </w:r>
      <w:r w:rsidR="00735331" w:rsidRPr="005841E2">
        <w:rPr>
          <w:rFonts w:ascii="Times New Roman" w:hAnsi="Times New Roman" w:cs="Times New Roman"/>
          <w:b/>
          <w:bCs w:val="0"/>
          <w:color w:val="auto"/>
          <w:sz w:val="28"/>
          <w:szCs w:val="20"/>
        </w:rPr>
        <w:t xml:space="preserve">repared in accordance with Part 3 of the </w:t>
      </w:r>
      <w:r w:rsidR="00735331" w:rsidRPr="005841E2">
        <w:rPr>
          <w:rFonts w:ascii="Times New Roman" w:hAnsi="Times New Roman" w:cs="Times New Roman"/>
          <w:b/>
          <w:bCs w:val="0"/>
          <w:i/>
          <w:color w:val="auto"/>
          <w:sz w:val="28"/>
          <w:szCs w:val="20"/>
        </w:rPr>
        <w:t>Human Rights (Parliamentary Scrutiny) Act 2011</w:t>
      </w:r>
      <w:r w:rsidR="00735331" w:rsidRPr="005841E2">
        <w:rPr>
          <w:rFonts w:ascii="Times New Roman" w:hAnsi="Times New Roman" w:cs="Times New Roman"/>
          <w:b/>
          <w:bCs w:val="0"/>
          <w:color w:val="auto"/>
          <w:sz w:val="28"/>
          <w:szCs w:val="20"/>
        </w:rPr>
        <w:t xml:space="preserve">. </w:t>
      </w:r>
    </w:p>
    <w:p w14:paraId="0DB20F08" w14:textId="461E919E" w:rsidR="00DC1A50" w:rsidRPr="00402B65" w:rsidRDefault="00402B65" w:rsidP="001955BC">
      <w:pPr>
        <w:pStyle w:val="Heading4"/>
        <w:rPr>
          <w:rFonts w:ascii="Times New Roman" w:hAnsi="Times New Roman" w:cs="Times New Roman"/>
          <w:i/>
          <w:color w:val="auto"/>
        </w:rPr>
      </w:pPr>
      <w:r w:rsidRPr="00402B65">
        <w:rPr>
          <w:rFonts w:ascii="Times New Roman" w:hAnsi="Times New Roman" w:cs="Times New Roman"/>
          <w:i/>
          <w:color w:val="auto"/>
        </w:rPr>
        <w:t>Privacy (Guidelines issued under section 95A) Approval 2024</w:t>
      </w:r>
    </w:p>
    <w:p w14:paraId="102C8F03" w14:textId="16F16E31" w:rsidR="00735331" w:rsidRPr="005841E2" w:rsidRDefault="00350C2D" w:rsidP="00735331">
      <w:pPr>
        <w:rPr>
          <w:rFonts w:ascii="Times New Roman" w:hAnsi="Times New Roman" w:cs="Times New Roman"/>
          <w:i/>
          <w:sz w:val="22"/>
          <w:szCs w:val="20"/>
        </w:rPr>
      </w:pPr>
      <w:r w:rsidRPr="005841E2">
        <w:rPr>
          <w:rFonts w:ascii="Times New Roman" w:hAnsi="Times New Roman" w:cs="Times New Roman"/>
          <w:sz w:val="22"/>
          <w:szCs w:val="20"/>
        </w:rPr>
        <w:t>This legislative instrument</w:t>
      </w:r>
      <w:r w:rsidR="00735331" w:rsidRPr="005841E2">
        <w:rPr>
          <w:rFonts w:ascii="Times New Roman" w:hAnsi="Times New Roman" w:cs="Times New Roman"/>
          <w:sz w:val="22"/>
          <w:szCs w:val="20"/>
        </w:rPr>
        <w:t xml:space="preserve"> is compatible with the human rights and freedoms recognised or declared in the international instruments listed in section 3 of the </w:t>
      </w:r>
      <w:r w:rsidR="00735331" w:rsidRPr="005841E2">
        <w:rPr>
          <w:rFonts w:ascii="Times New Roman" w:hAnsi="Times New Roman" w:cs="Times New Roman"/>
          <w:i/>
          <w:sz w:val="22"/>
          <w:szCs w:val="20"/>
        </w:rPr>
        <w:t xml:space="preserve">Human Rights (Parliamentary Scrutiny) Act 2011. </w:t>
      </w:r>
    </w:p>
    <w:p w14:paraId="18771692" w14:textId="77777777" w:rsidR="00735331" w:rsidRPr="0037297E" w:rsidRDefault="00735331" w:rsidP="00735331">
      <w:pPr>
        <w:pStyle w:val="Heading4"/>
        <w:rPr>
          <w:rFonts w:ascii="Times New Roman" w:hAnsi="Times New Roman" w:cs="Times New Roman"/>
          <w:color w:val="auto"/>
        </w:rPr>
      </w:pPr>
      <w:r w:rsidRPr="0037297E">
        <w:rPr>
          <w:rFonts w:ascii="Times New Roman" w:hAnsi="Times New Roman" w:cs="Times New Roman"/>
          <w:color w:val="auto"/>
        </w:rPr>
        <w:t>Overview of the legislative instrument</w:t>
      </w:r>
    </w:p>
    <w:p w14:paraId="2BA9A686" w14:textId="466D0BEA" w:rsidR="00735331" w:rsidRPr="005841E2" w:rsidRDefault="000E6111" w:rsidP="00735331">
      <w:pPr>
        <w:rPr>
          <w:rFonts w:ascii="Times New Roman" w:hAnsi="Times New Roman" w:cs="Times New Roman"/>
          <w:sz w:val="22"/>
          <w:szCs w:val="20"/>
        </w:rPr>
      </w:pPr>
      <w:r w:rsidRPr="005841E2">
        <w:rPr>
          <w:rFonts w:ascii="Times New Roman" w:hAnsi="Times New Roman" w:cs="Times New Roman"/>
          <w:sz w:val="22"/>
          <w:szCs w:val="20"/>
        </w:rPr>
        <w:t xml:space="preserve">This </w:t>
      </w:r>
      <w:r w:rsidR="00735331" w:rsidRPr="005841E2">
        <w:rPr>
          <w:rFonts w:ascii="Times New Roman" w:hAnsi="Times New Roman" w:cs="Times New Roman"/>
          <w:sz w:val="22"/>
          <w:szCs w:val="20"/>
        </w:rPr>
        <w:t>legislative instrument approves the guidelines issued by the CEO of the National Health and Medical Research Council</w:t>
      </w:r>
      <w:r w:rsidR="00C734F6" w:rsidRPr="005841E2">
        <w:rPr>
          <w:rFonts w:ascii="Times New Roman" w:hAnsi="Times New Roman" w:cs="Times New Roman"/>
          <w:sz w:val="22"/>
          <w:szCs w:val="20"/>
        </w:rPr>
        <w:t xml:space="preserve"> (NHMRC)</w:t>
      </w:r>
      <w:r w:rsidR="00735331" w:rsidRPr="005841E2">
        <w:rPr>
          <w:rFonts w:ascii="Times New Roman" w:hAnsi="Times New Roman" w:cs="Times New Roman"/>
          <w:sz w:val="22"/>
          <w:szCs w:val="20"/>
        </w:rPr>
        <w:t xml:space="preserve"> under section 95A of the </w:t>
      </w:r>
      <w:r w:rsidR="00735331" w:rsidRPr="005841E2">
        <w:rPr>
          <w:rFonts w:ascii="Times New Roman" w:hAnsi="Times New Roman" w:cs="Times New Roman"/>
          <w:i/>
          <w:iCs/>
          <w:sz w:val="22"/>
          <w:szCs w:val="20"/>
        </w:rPr>
        <w:t>Privacy Act</w:t>
      </w:r>
      <w:r w:rsidRPr="005841E2">
        <w:rPr>
          <w:rFonts w:ascii="Times New Roman" w:hAnsi="Times New Roman" w:cs="Times New Roman"/>
          <w:i/>
          <w:iCs/>
          <w:sz w:val="22"/>
          <w:szCs w:val="20"/>
        </w:rPr>
        <w:t xml:space="preserve"> 1988</w:t>
      </w:r>
      <w:r w:rsidRPr="005841E2">
        <w:rPr>
          <w:rFonts w:ascii="Times New Roman" w:hAnsi="Times New Roman" w:cs="Times New Roman"/>
          <w:sz w:val="22"/>
          <w:szCs w:val="20"/>
        </w:rPr>
        <w:t xml:space="preserve"> (the Privacy Act)</w:t>
      </w:r>
      <w:r w:rsidR="00A02E7B" w:rsidRPr="005841E2">
        <w:rPr>
          <w:rFonts w:ascii="Times New Roman" w:hAnsi="Times New Roman" w:cs="Times New Roman"/>
          <w:sz w:val="22"/>
          <w:szCs w:val="20"/>
        </w:rPr>
        <w:t xml:space="preserve"> </w:t>
      </w:r>
      <w:r w:rsidR="00735331" w:rsidRPr="005841E2">
        <w:rPr>
          <w:rFonts w:ascii="Times New Roman" w:hAnsi="Times New Roman" w:cs="Times New Roman"/>
          <w:sz w:val="22"/>
          <w:szCs w:val="20"/>
        </w:rPr>
        <w:t xml:space="preserve">(the guidelines).  </w:t>
      </w:r>
    </w:p>
    <w:p w14:paraId="312324B5" w14:textId="18308B30" w:rsidR="001B0DF9" w:rsidRPr="005841E2" w:rsidRDefault="00BA5B2C" w:rsidP="00735331">
      <w:pPr>
        <w:rPr>
          <w:rFonts w:ascii="Times New Roman" w:hAnsi="Times New Roman" w:cs="Times New Roman"/>
          <w:sz w:val="22"/>
          <w:szCs w:val="20"/>
        </w:rPr>
      </w:pPr>
      <w:r w:rsidRPr="005841E2">
        <w:rPr>
          <w:rFonts w:ascii="Times New Roman" w:hAnsi="Times New Roman" w:cs="Times New Roman"/>
          <w:sz w:val="22"/>
          <w:szCs w:val="20"/>
        </w:rPr>
        <w:t xml:space="preserve">The </w:t>
      </w:r>
      <w:r w:rsidR="00490599" w:rsidRPr="005841E2">
        <w:rPr>
          <w:rFonts w:ascii="Times New Roman" w:hAnsi="Times New Roman" w:cs="Times New Roman"/>
          <w:sz w:val="22"/>
          <w:szCs w:val="20"/>
        </w:rPr>
        <w:t xml:space="preserve">Privacy Act sets out the </w:t>
      </w:r>
      <w:r w:rsidRPr="005841E2">
        <w:rPr>
          <w:rFonts w:ascii="Times New Roman" w:hAnsi="Times New Roman" w:cs="Times New Roman"/>
          <w:sz w:val="22"/>
          <w:szCs w:val="20"/>
        </w:rPr>
        <w:t>Australian Privacy Principles (APPs)</w:t>
      </w:r>
      <w:r w:rsidR="00490599" w:rsidRPr="005841E2">
        <w:rPr>
          <w:rFonts w:ascii="Times New Roman" w:hAnsi="Times New Roman" w:cs="Times New Roman"/>
          <w:sz w:val="22"/>
          <w:szCs w:val="20"/>
        </w:rPr>
        <w:t>, which</w:t>
      </w:r>
      <w:r w:rsidRPr="005841E2">
        <w:rPr>
          <w:rFonts w:ascii="Times New Roman" w:hAnsi="Times New Roman" w:cs="Times New Roman"/>
          <w:sz w:val="22"/>
          <w:szCs w:val="20"/>
        </w:rPr>
        <w:t xml:space="preserve"> are a set of legally binding privacy principles that establish standards, rights and obligations in relation </w:t>
      </w:r>
      <w:r w:rsidR="00842858" w:rsidRPr="005841E2">
        <w:rPr>
          <w:rFonts w:ascii="Times New Roman" w:hAnsi="Times New Roman" w:cs="Times New Roman"/>
          <w:sz w:val="22"/>
          <w:szCs w:val="20"/>
        </w:rPr>
        <w:t xml:space="preserve">to the handling, holding, accessing and correcting of personal information. They apply to most Australian Government agencies and certain private sector organisations, collectively referred to as APP entities. </w:t>
      </w:r>
    </w:p>
    <w:p w14:paraId="3C0DC0F5" w14:textId="77777777" w:rsidR="00171C89" w:rsidRPr="005841E2" w:rsidRDefault="00171C89" w:rsidP="00171C89">
      <w:pPr>
        <w:rPr>
          <w:rFonts w:ascii="Times New Roman" w:hAnsi="Times New Roman" w:cs="Times New Roman"/>
          <w:sz w:val="22"/>
          <w:szCs w:val="20"/>
        </w:rPr>
      </w:pPr>
      <w:r w:rsidRPr="005841E2">
        <w:rPr>
          <w:rFonts w:ascii="Times New Roman" w:hAnsi="Times New Roman" w:cs="Times New Roman"/>
          <w:sz w:val="22"/>
          <w:szCs w:val="20"/>
        </w:rPr>
        <w:t>Under the APPs, an APP entity must not collect sensitive information, and must not use or disclose personal information for a purpose other than the primary purpose of collection, unless an exception applies.</w:t>
      </w:r>
    </w:p>
    <w:p w14:paraId="41A27A64" w14:textId="7A5FB35C" w:rsidR="002A5F0D" w:rsidRPr="005841E2" w:rsidRDefault="001B232D" w:rsidP="002A5F0D">
      <w:pPr>
        <w:rPr>
          <w:rFonts w:ascii="Times New Roman" w:hAnsi="Times New Roman" w:cs="Times New Roman"/>
          <w:sz w:val="22"/>
          <w:szCs w:val="20"/>
        </w:rPr>
      </w:pPr>
      <w:r w:rsidRPr="005841E2">
        <w:rPr>
          <w:rFonts w:ascii="Times New Roman" w:hAnsi="Times New Roman" w:cs="Times New Roman"/>
          <w:sz w:val="22"/>
          <w:szCs w:val="20"/>
        </w:rPr>
        <w:t>APP</w:t>
      </w:r>
      <w:r w:rsidR="002A5F0D" w:rsidRPr="005841E2">
        <w:rPr>
          <w:rFonts w:ascii="Times New Roman" w:hAnsi="Times New Roman" w:cs="Times New Roman"/>
          <w:sz w:val="22"/>
          <w:szCs w:val="20"/>
        </w:rPr>
        <w:t xml:space="preserve"> 6 prohibits uses or disclosures of personal information for secondary purposes unless the individual to whom the personal information relates has consented or a listed exception in relation to the use or disclosure of that information applies. </w:t>
      </w:r>
    </w:p>
    <w:p w14:paraId="113E179C" w14:textId="37905DD0" w:rsidR="002A5F0D" w:rsidRPr="005841E2" w:rsidRDefault="002A5F0D" w:rsidP="002A5F0D">
      <w:pPr>
        <w:rPr>
          <w:rFonts w:ascii="Times New Roman" w:hAnsi="Times New Roman" w:cs="Times New Roman"/>
          <w:sz w:val="22"/>
          <w:szCs w:val="20"/>
        </w:rPr>
      </w:pPr>
      <w:r w:rsidRPr="005841E2">
        <w:rPr>
          <w:rFonts w:ascii="Times New Roman" w:hAnsi="Times New Roman" w:cs="Times New Roman"/>
          <w:sz w:val="22"/>
          <w:szCs w:val="20"/>
        </w:rPr>
        <w:t>APP 6.2(d) provides that an APP entity may use or disclose personal information about an individual if the APP entity is an organisation and a permitted health situation exists in relation to the use or disclosure of the person</w:t>
      </w:r>
      <w:r w:rsidR="00176021" w:rsidRPr="005841E2">
        <w:rPr>
          <w:rFonts w:ascii="Times New Roman" w:hAnsi="Times New Roman" w:cs="Times New Roman"/>
          <w:sz w:val="22"/>
          <w:szCs w:val="20"/>
        </w:rPr>
        <w:t>al information</w:t>
      </w:r>
      <w:r w:rsidRPr="005841E2">
        <w:rPr>
          <w:rFonts w:ascii="Times New Roman" w:hAnsi="Times New Roman" w:cs="Times New Roman"/>
          <w:sz w:val="22"/>
          <w:szCs w:val="20"/>
        </w:rPr>
        <w:t xml:space="preserve"> by the entity.</w:t>
      </w:r>
    </w:p>
    <w:p w14:paraId="78C8C774" w14:textId="34D03C6A" w:rsidR="00F4112E" w:rsidRPr="005841E2" w:rsidRDefault="00AA1AE4" w:rsidP="002A5F0D">
      <w:pPr>
        <w:rPr>
          <w:rFonts w:ascii="Times New Roman" w:hAnsi="Times New Roman" w:cs="Times New Roman"/>
          <w:sz w:val="22"/>
          <w:szCs w:val="20"/>
        </w:rPr>
      </w:pPr>
      <w:r w:rsidRPr="005841E2">
        <w:rPr>
          <w:rFonts w:ascii="Times New Roman" w:hAnsi="Times New Roman" w:cs="Times New Roman"/>
          <w:sz w:val="22"/>
          <w:szCs w:val="20"/>
        </w:rPr>
        <w:t>A number of p</w:t>
      </w:r>
      <w:r w:rsidR="00F4112E" w:rsidRPr="005841E2">
        <w:rPr>
          <w:rFonts w:ascii="Times New Roman" w:hAnsi="Times New Roman" w:cs="Times New Roman"/>
          <w:sz w:val="22"/>
          <w:szCs w:val="20"/>
        </w:rPr>
        <w:t>ermitted health situations are set out in section</w:t>
      </w:r>
      <w:r w:rsidR="009835F6" w:rsidRPr="005841E2">
        <w:rPr>
          <w:rFonts w:ascii="Times New Roman" w:hAnsi="Times New Roman" w:cs="Times New Roman"/>
          <w:sz w:val="22"/>
          <w:szCs w:val="20"/>
        </w:rPr>
        <w:t xml:space="preserve"> 16B of the Privacy Act</w:t>
      </w:r>
      <w:r w:rsidRPr="005841E2">
        <w:rPr>
          <w:rFonts w:ascii="Times New Roman" w:hAnsi="Times New Roman" w:cs="Times New Roman"/>
          <w:sz w:val="22"/>
          <w:szCs w:val="20"/>
        </w:rPr>
        <w:t>.</w:t>
      </w:r>
      <w:r w:rsidR="00F4112E" w:rsidRPr="005841E2">
        <w:rPr>
          <w:rFonts w:ascii="Times New Roman" w:hAnsi="Times New Roman" w:cs="Times New Roman"/>
          <w:sz w:val="22"/>
          <w:szCs w:val="20"/>
        </w:rPr>
        <w:t xml:space="preserve"> </w:t>
      </w:r>
      <w:r w:rsidRPr="005841E2">
        <w:rPr>
          <w:rFonts w:ascii="Times New Roman" w:hAnsi="Times New Roman" w:cs="Times New Roman"/>
          <w:sz w:val="22"/>
          <w:szCs w:val="20"/>
        </w:rPr>
        <w:t xml:space="preserve">Section </w:t>
      </w:r>
      <w:r w:rsidR="00F4112E" w:rsidRPr="005841E2">
        <w:rPr>
          <w:rFonts w:ascii="Times New Roman" w:hAnsi="Times New Roman" w:cs="Times New Roman"/>
          <w:sz w:val="22"/>
          <w:szCs w:val="20"/>
        </w:rPr>
        <w:t>16B(2) and (3) of the Privacy Act</w:t>
      </w:r>
      <w:r w:rsidRPr="005841E2">
        <w:rPr>
          <w:rFonts w:ascii="Times New Roman" w:hAnsi="Times New Roman" w:cs="Times New Roman"/>
          <w:sz w:val="22"/>
          <w:szCs w:val="20"/>
        </w:rPr>
        <w:t xml:space="preserve"> </w:t>
      </w:r>
      <w:r w:rsidR="00F4112E" w:rsidRPr="005841E2">
        <w:rPr>
          <w:rFonts w:ascii="Times New Roman" w:hAnsi="Times New Roman" w:cs="Times New Roman"/>
          <w:sz w:val="22"/>
          <w:szCs w:val="20"/>
        </w:rPr>
        <w:t>allow</w:t>
      </w:r>
      <w:r w:rsidRPr="005841E2">
        <w:rPr>
          <w:rFonts w:ascii="Times New Roman" w:hAnsi="Times New Roman" w:cs="Times New Roman"/>
          <w:sz w:val="22"/>
          <w:szCs w:val="20"/>
        </w:rPr>
        <w:t>s</w:t>
      </w:r>
      <w:r w:rsidR="00F4112E" w:rsidRPr="005841E2">
        <w:rPr>
          <w:rFonts w:ascii="Times New Roman" w:hAnsi="Times New Roman" w:cs="Times New Roman"/>
          <w:sz w:val="22"/>
          <w:szCs w:val="20"/>
        </w:rPr>
        <w:t xml:space="preserve"> organisations to collect, use and disclose</w:t>
      </w:r>
      <w:r w:rsidR="00070455" w:rsidRPr="005841E2">
        <w:rPr>
          <w:rFonts w:ascii="Times New Roman" w:hAnsi="Times New Roman" w:cs="Times New Roman"/>
          <w:sz w:val="22"/>
          <w:szCs w:val="20"/>
        </w:rPr>
        <w:t xml:space="preserve"> health information without consent</w:t>
      </w:r>
      <w:r w:rsidR="00320A54" w:rsidRPr="005841E2">
        <w:rPr>
          <w:rFonts w:ascii="Times New Roman" w:hAnsi="Times New Roman" w:cs="Times New Roman"/>
          <w:sz w:val="22"/>
          <w:szCs w:val="20"/>
        </w:rPr>
        <w:t xml:space="preserve"> for certain research purposes if it is done in accordance with </w:t>
      </w:r>
      <w:r w:rsidR="002E1BAB" w:rsidRPr="005841E2">
        <w:rPr>
          <w:rFonts w:ascii="Times New Roman" w:hAnsi="Times New Roman" w:cs="Times New Roman"/>
          <w:sz w:val="22"/>
          <w:szCs w:val="20"/>
        </w:rPr>
        <w:t xml:space="preserve">the guidelines approved under section 95A of that Act. </w:t>
      </w:r>
    </w:p>
    <w:p w14:paraId="42F643F1" w14:textId="59F45C6C" w:rsidR="001B597A" w:rsidRPr="005841E2" w:rsidRDefault="001B597A" w:rsidP="002A5F0D">
      <w:pPr>
        <w:rPr>
          <w:rFonts w:ascii="Times New Roman" w:hAnsi="Times New Roman" w:cs="Times New Roman"/>
          <w:sz w:val="22"/>
          <w:szCs w:val="20"/>
        </w:rPr>
      </w:pPr>
      <w:r w:rsidRPr="005841E2">
        <w:rPr>
          <w:rFonts w:ascii="Times New Roman" w:hAnsi="Times New Roman" w:cs="Times New Roman"/>
          <w:sz w:val="22"/>
          <w:szCs w:val="20"/>
        </w:rPr>
        <w:t>Section 95A of the Privacy Act allows the Australian</w:t>
      </w:r>
      <w:r w:rsidR="00010073" w:rsidRPr="005841E2">
        <w:rPr>
          <w:rFonts w:ascii="Times New Roman" w:hAnsi="Times New Roman" w:cs="Times New Roman"/>
          <w:sz w:val="22"/>
          <w:szCs w:val="20"/>
        </w:rPr>
        <w:t xml:space="preserve"> </w:t>
      </w:r>
      <w:r w:rsidRPr="005841E2">
        <w:rPr>
          <w:rFonts w:ascii="Times New Roman" w:hAnsi="Times New Roman" w:cs="Times New Roman"/>
          <w:sz w:val="22"/>
          <w:szCs w:val="20"/>
        </w:rPr>
        <w:t>Information Commissioner</w:t>
      </w:r>
      <w:r w:rsidR="00010073" w:rsidRPr="005841E2">
        <w:rPr>
          <w:rFonts w:ascii="Times New Roman" w:hAnsi="Times New Roman" w:cs="Times New Roman"/>
          <w:sz w:val="22"/>
          <w:szCs w:val="20"/>
        </w:rPr>
        <w:t xml:space="preserve"> to approve guidelines issued by the </w:t>
      </w:r>
      <w:r w:rsidR="00C734F6" w:rsidRPr="005841E2">
        <w:rPr>
          <w:rFonts w:ascii="Times New Roman" w:hAnsi="Times New Roman" w:cs="Times New Roman"/>
          <w:sz w:val="22"/>
          <w:szCs w:val="20"/>
        </w:rPr>
        <w:t xml:space="preserve">CEO of the NHMRC that relate to: </w:t>
      </w:r>
    </w:p>
    <w:p w14:paraId="67BCCA87" w14:textId="33C5E7E8" w:rsidR="00334106" w:rsidRPr="005841E2" w:rsidRDefault="00334106" w:rsidP="00334106">
      <w:pPr>
        <w:pStyle w:val="ListParagraph"/>
        <w:numPr>
          <w:ilvl w:val="0"/>
          <w:numId w:val="29"/>
        </w:numPr>
        <w:rPr>
          <w:rFonts w:ascii="Times New Roman" w:hAnsi="Times New Roman" w:cs="Times New Roman"/>
          <w:sz w:val="22"/>
          <w:szCs w:val="20"/>
        </w:rPr>
      </w:pPr>
      <w:r w:rsidRPr="005841E2">
        <w:rPr>
          <w:rFonts w:ascii="Times New Roman" w:hAnsi="Times New Roman" w:cs="Times New Roman"/>
          <w:sz w:val="22"/>
          <w:szCs w:val="20"/>
        </w:rPr>
        <w:t xml:space="preserve">the use and disclosure of health information for the purposes of research, or the compilation of analysis of statistics, relevant to public health or public safety; </w:t>
      </w:r>
      <w:r w:rsidR="00793B3B" w:rsidRPr="005841E2">
        <w:rPr>
          <w:rFonts w:ascii="Times New Roman" w:hAnsi="Times New Roman" w:cs="Times New Roman"/>
          <w:sz w:val="22"/>
          <w:szCs w:val="20"/>
        </w:rPr>
        <w:t>and</w:t>
      </w:r>
    </w:p>
    <w:p w14:paraId="79DE864A" w14:textId="555FAEFD" w:rsidR="00334106" w:rsidRPr="005841E2" w:rsidRDefault="00334106" w:rsidP="00334106">
      <w:pPr>
        <w:pStyle w:val="ListParagraph"/>
        <w:numPr>
          <w:ilvl w:val="0"/>
          <w:numId w:val="29"/>
        </w:numPr>
        <w:rPr>
          <w:rFonts w:ascii="Times New Roman" w:hAnsi="Times New Roman" w:cs="Times New Roman"/>
          <w:sz w:val="22"/>
          <w:szCs w:val="20"/>
        </w:rPr>
      </w:pPr>
      <w:r w:rsidRPr="005841E2">
        <w:rPr>
          <w:rFonts w:ascii="Times New Roman" w:hAnsi="Times New Roman" w:cs="Times New Roman"/>
          <w:sz w:val="22"/>
          <w:szCs w:val="20"/>
        </w:rPr>
        <w:t xml:space="preserve">the </w:t>
      </w:r>
      <w:r w:rsidR="00793B3B" w:rsidRPr="005841E2">
        <w:rPr>
          <w:rFonts w:ascii="Times New Roman" w:hAnsi="Times New Roman" w:cs="Times New Roman"/>
          <w:sz w:val="22"/>
          <w:szCs w:val="20"/>
        </w:rPr>
        <w:t>collection of health information for the purposes of:</w:t>
      </w:r>
    </w:p>
    <w:p w14:paraId="01C4CB1E" w14:textId="1698FB94" w:rsidR="00793B3B" w:rsidRPr="005841E2" w:rsidRDefault="00793B3B" w:rsidP="00793B3B">
      <w:pPr>
        <w:pStyle w:val="ListParagraph"/>
        <w:numPr>
          <w:ilvl w:val="1"/>
          <w:numId w:val="29"/>
        </w:numPr>
        <w:rPr>
          <w:rFonts w:ascii="Times New Roman" w:hAnsi="Times New Roman" w:cs="Times New Roman"/>
          <w:sz w:val="22"/>
          <w:szCs w:val="20"/>
        </w:rPr>
      </w:pPr>
      <w:r w:rsidRPr="005841E2">
        <w:rPr>
          <w:rFonts w:ascii="Times New Roman" w:hAnsi="Times New Roman" w:cs="Times New Roman"/>
          <w:sz w:val="22"/>
          <w:szCs w:val="20"/>
        </w:rPr>
        <w:t>research, or the compilation or analysis of statistics, relevant to public health or public safety; or</w:t>
      </w:r>
    </w:p>
    <w:p w14:paraId="5C59F614" w14:textId="0FC5F8BD" w:rsidR="00490599" w:rsidRPr="005841E2" w:rsidRDefault="00462EBD" w:rsidP="001955BC">
      <w:pPr>
        <w:pStyle w:val="ListParagraph"/>
        <w:numPr>
          <w:ilvl w:val="1"/>
          <w:numId w:val="29"/>
        </w:numPr>
        <w:rPr>
          <w:rFonts w:ascii="Times New Roman" w:hAnsi="Times New Roman" w:cs="Times New Roman"/>
          <w:sz w:val="22"/>
          <w:szCs w:val="20"/>
        </w:rPr>
      </w:pPr>
      <w:r w:rsidRPr="005841E2">
        <w:rPr>
          <w:rFonts w:ascii="Times New Roman" w:hAnsi="Times New Roman" w:cs="Times New Roman"/>
          <w:sz w:val="22"/>
          <w:szCs w:val="20"/>
        </w:rPr>
        <w:t xml:space="preserve">the management, funding or monitoring of a health service. </w:t>
      </w:r>
    </w:p>
    <w:p w14:paraId="26662119" w14:textId="77777777" w:rsidR="00735331" w:rsidRPr="0037297E" w:rsidRDefault="00735331" w:rsidP="00735331">
      <w:pPr>
        <w:pStyle w:val="Heading4"/>
        <w:rPr>
          <w:rFonts w:ascii="Times New Roman" w:hAnsi="Times New Roman" w:cs="Times New Roman"/>
          <w:color w:val="auto"/>
        </w:rPr>
      </w:pPr>
      <w:r w:rsidRPr="0037297E">
        <w:rPr>
          <w:rFonts w:ascii="Times New Roman" w:hAnsi="Times New Roman" w:cs="Times New Roman"/>
          <w:color w:val="auto"/>
        </w:rPr>
        <w:t>Human rights implications</w:t>
      </w:r>
    </w:p>
    <w:p w14:paraId="36511AD7" w14:textId="77777777" w:rsidR="002F40AF" w:rsidRPr="005841E2" w:rsidRDefault="00BF6ABB" w:rsidP="002F40AF">
      <w:pPr>
        <w:rPr>
          <w:rFonts w:ascii="Times New Roman" w:hAnsi="Times New Roman" w:cs="Times New Roman"/>
          <w:sz w:val="22"/>
          <w:lang w:val="en-GB" w:eastAsia="en-AU"/>
        </w:rPr>
      </w:pPr>
      <w:r w:rsidRPr="005841E2">
        <w:rPr>
          <w:rFonts w:ascii="Times New Roman" w:hAnsi="Times New Roman" w:cs="Times New Roman"/>
          <w:sz w:val="22"/>
          <w:lang w:val="en-GB" w:eastAsia="en-AU"/>
        </w:rPr>
        <w:t>This legislative instrument engages the following rights:</w:t>
      </w:r>
    </w:p>
    <w:p w14:paraId="20804A16" w14:textId="7EEA8F40" w:rsidR="002F40AF" w:rsidRPr="005841E2" w:rsidRDefault="007120CF" w:rsidP="002F40AF">
      <w:pPr>
        <w:pStyle w:val="ListParagraph"/>
        <w:numPr>
          <w:ilvl w:val="0"/>
          <w:numId w:val="28"/>
        </w:numPr>
        <w:rPr>
          <w:rFonts w:ascii="Times New Roman" w:hAnsi="Times New Roman" w:cs="Times New Roman"/>
          <w:sz w:val="22"/>
          <w:lang w:val="en-GB" w:eastAsia="en-AU"/>
        </w:rPr>
      </w:pPr>
      <w:r w:rsidRPr="005841E2">
        <w:rPr>
          <w:rFonts w:ascii="Times New Roman" w:hAnsi="Times New Roman" w:cs="Times New Roman"/>
          <w:sz w:val="22"/>
          <w:lang w:val="en-GB" w:eastAsia="en-AU"/>
        </w:rPr>
        <w:t xml:space="preserve">the right to </w:t>
      </w:r>
      <w:r w:rsidR="008F7AAA" w:rsidRPr="005841E2">
        <w:rPr>
          <w:rFonts w:ascii="Times New Roman" w:hAnsi="Times New Roman" w:cs="Times New Roman"/>
          <w:sz w:val="22"/>
          <w:lang w:val="en-GB" w:eastAsia="en-AU"/>
        </w:rPr>
        <w:t>protection against unlawful and arbitrary interference</w:t>
      </w:r>
      <w:r w:rsidR="007A42CC" w:rsidRPr="005841E2">
        <w:rPr>
          <w:rFonts w:ascii="Times New Roman" w:hAnsi="Times New Roman" w:cs="Times New Roman"/>
          <w:sz w:val="22"/>
          <w:lang w:val="en-GB" w:eastAsia="en-AU"/>
        </w:rPr>
        <w:t>s</w:t>
      </w:r>
      <w:r w:rsidR="008F7AAA" w:rsidRPr="005841E2">
        <w:rPr>
          <w:rFonts w:ascii="Times New Roman" w:hAnsi="Times New Roman" w:cs="Times New Roman"/>
          <w:sz w:val="22"/>
          <w:lang w:val="en-GB" w:eastAsia="en-AU"/>
        </w:rPr>
        <w:t xml:space="preserve"> with privacy </w:t>
      </w:r>
      <w:r w:rsidR="007A42CC" w:rsidRPr="005841E2">
        <w:rPr>
          <w:rFonts w:ascii="Times New Roman" w:hAnsi="Times New Roman" w:cs="Times New Roman"/>
          <w:sz w:val="22"/>
          <w:lang w:val="en-GB" w:eastAsia="en-AU"/>
        </w:rPr>
        <w:t>in</w:t>
      </w:r>
      <w:r w:rsidR="008F7AAA" w:rsidRPr="005841E2">
        <w:rPr>
          <w:rFonts w:ascii="Times New Roman" w:hAnsi="Times New Roman" w:cs="Times New Roman"/>
          <w:sz w:val="22"/>
          <w:lang w:val="en-GB" w:eastAsia="en-AU"/>
        </w:rPr>
        <w:t xml:space="preserve"> Article 17 of the </w:t>
      </w:r>
      <w:r w:rsidR="008F7AAA" w:rsidRPr="005841E2">
        <w:rPr>
          <w:rFonts w:ascii="Times New Roman" w:hAnsi="Times New Roman" w:cs="Times New Roman"/>
          <w:i/>
          <w:iCs/>
          <w:sz w:val="22"/>
          <w:lang w:val="en-GB" w:eastAsia="en-AU"/>
        </w:rPr>
        <w:t>International Coven</w:t>
      </w:r>
      <w:r w:rsidR="00BA469E" w:rsidRPr="005841E2">
        <w:rPr>
          <w:rFonts w:ascii="Times New Roman" w:hAnsi="Times New Roman" w:cs="Times New Roman"/>
          <w:i/>
          <w:iCs/>
          <w:sz w:val="22"/>
          <w:lang w:val="en-GB" w:eastAsia="en-AU"/>
        </w:rPr>
        <w:t>ant on Civil and Political Rights</w:t>
      </w:r>
      <w:r w:rsidR="00BA469E" w:rsidRPr="005841E2">
        <w:rPr>
          <w:rFonts w:ascii="Times New Roman" w:hAnsi="Times New Roman" w:cs="Times New Roman"/>
          <w:sz w:val="22"/>
          <w:lang w:val="en-GB" w:eastAsia="en-AU"/>
        </w:rPr>
        <w:t xml:space="preserve"> (ICCPR), and</w:t>
      </w:r>
    </w:p>
    <w:p w14:paraId="301FDB0D" w14:textId="74E019FB" w:rsidR="00BA469E" w:rsidRPr="005841E2" w:rsidRDefault="00D15DB3" w:rsidP="002F40AF">
      <w:pPr>
        <w:pStyle w:val="ListParagraph"/>
        <w:numPr>
          <w:ilvl w:val="0"/>
          <w:numId w:val="28"/>
        </w:numPr>
        <w:rPr>
          <w:rFonts w:ascii="Times New Roman" w:hAnsi="Times New Roman" w:cs="Times New Roman"/>
          <w:sz w:val="22"/>
          <w:lang w:val="en-GB" w:eastAsia="en-AU"/>
        </w:rPr>
      </w:pPr>
      <w:r w:rsidRPr="005841E2">
        <w:rPr>
          <w:rFonts w:ascii="Times New Roman" w:hAnsi="Times New Roman" w:cs="Times New Roman"/>
          <w:sz w:val="22"/>
          <w:lang w:val="en-GB" w:eastAsia="en-AU"/>
        </w:rPr>
        <w:lastRenderedPageBreak/>
        <w:t xml:space="preserve">the </w:t>
      </w:r>
      <w:r w:rsidR="007A42CC" w:rsidRPr="005841E2">
        <w:rPr>
          <w:rFonts w:ascii="Times New Roman" w:hAnsi="Times New Roman" w:cs="Times New Roman"/>
          <w:sz w:val="22"/>
          <w:lang w:val="en-GB" w:eastAsia="en-AU"/>
        </w:rPr>
        <w:t>right to health</w:t>
      </w:r>
      <w:r w:rsidR="0013015F" w:rsidRPr="005841E2">
        <w:rPr>
          <w:rFonts w:ascii="Times New Roman" w:hAnsi="Times New Roman" w:cs="Times New Roman"/>
          <w:sz w:val="22"/>
          <w:lang w:val="en-GB" w:eastAsia="en-AU"/>
        </w:rPr>
        <w:t xml:space="preserve"> in</w:t>
      </w:r>
      <w:r w:rsidR="009569AD" w:rsidRPr="005841E2">
        <w:rPr>
          <w:rFonts w:ascii="Times New Roman" w:hAnsi="Times New Roman" w:cs="Times New Roman"/>
          <w:sz w:val="22"/>
          <w:lang w:val="en-GB" w:eastAsia="en-AU"/>
        </w:rPr>
        <w:t xml:space="preserve"> Article 12 of the </w:t>
      </w:r>
      <w:r w:rsidR="009569AD" w:rsidRPr="005841E2">
        <w:rPr>
          <w:rFonts w:ascii="Times New Roman" w:hAnsi="Times New Roman" w:cs="Times New Roman"/>
          <w:i/>
          <w:iCs/>
          <w:sz w:val="22"/>
          <w:lang w:val="en-GB" w:eastAsia="en-AU"/>
        </w:rPr>
        <w:t xml:space="preserve">International Covenant on Economic, Social and Cultural Rights </w:t>
      </w:r>
      <w:r w:rsidR="009569AD" w:rsidRPr="005841E2">
        <w:rPr>
          <w:rFonts w:ascii="Times New Roman" w:hAnsi="Times New Roman" w:cs="Times New Roman"/>
          <w:sz w:val="22"/>
          <w:lang w:val="en-GB" w:eastAsia="en-AU"/>
        </w:rPr>
        <w:t>(ISECR).</w:t>
      </w:r>
    </w:p>
    <w:p w14:paraId="7EBA8743" w14:textId="15FBBA48" w:rsidR="004400DA" w:rsidRPr="005841E2" w:rsidRDefault="00735331" w:rsidP="00735331">
      <w:pPr>
        <w:rPr>
          <w:rFonts w:ascii="Times New Roman" w:hAnsi="Times New Roman" w:cs="Times New Roman"/>
          <w:sz w:val="22"/>
          <w:szCs w:val="20"/>
          <w:lang w:eastAsia="en-AU"/>
        </w:rPr>
      </w:pPr>
      <w:r w:rsidRPr="005841E2">
        <w:rPr>
          <w:rFonts w:ascii="Times New Roman" w:hAnsi="Times New Roman" w:cs="Times New Roman"/>
          <w:sz w:val="22"/>
          <w:szCs w:val="20"/>
          <w:lang w:val="en-GB" w:eastAsia="en-AU"/>
        </w:rPr>
        <w:t xml:space="preserve">The Preamble to the Privacy Act makes clear that the legislation was intended to implement, at least in part, Australia’s obligations relating to privacy under the ICCPR. Specifically, article 17 of the ICCPR prohibits unlawful or arbitrary interferences with a person's privacy, family, home and correspondence. However, the right to privacy is not absolute and </w:t>
      </w:r>
      <w:r w:rsidR="005D5210" w:rsidRPr="005841E2">
        <w:rPr>
          <w:rFonts w:ascii="Times New Roman" w:hAnsi="Times New Roman" w:cs="Times New Roman"/>
          <w:sz w:val="22"/>
          <w:szCs w:val="20"/>
          <w:lang w:val="en-GB" w:eastAsia="en-AU"/>
        </w:rPr>
        <w:t>t</w:t>
      </w:r>
      <w:r w:rsidR="005D5210" w:rsidRPr="005841E2">
        <w:rPr>
          <w:rFonts w:ascii="Times New Roman" w:hAnsi="Times New Roman" w:cs="Times New Roman"/>
          <w:sz w:val="22"/>
          <w:szCs w:val="20"/>
          <w:lang w:eastAsia="en-AU"/>
        </w:rPr>
        <w:t xml:space="preserve">here may be circumstances in which the guarantees in article 17 can be outweighed by other legitimate objectives, such as the protection of the right to </w:t>
      </w:r>
      <w:r w:rsidR="005D5210" w:rsidRPr="005841E2">
        <w:rPr>
          <w:rFonts w:ascii="Times New Roman" w:hAnsi="Times New Roman" w:cs="Times New Roman"/>
          <w:sz w:val="22"/>
          <w:szCs w:val="20"/>
        </w:rPr>
        <w:t>health</w:t>
      </w:r>
      <w:r w:rsidR="005D5210" w:rsidRPr="005841E2">
        <w:rPr>
          <w:rFonts w:ascii="Times New Roman" w:hAnsi="Times New Roman" w:cs="Times New Roman"/>
          <w:sz w:val="22"/>
          <w:szCs w:val="20"/>
          <w:lang w:eastAsia="en-AU"/>
        </w:rPr>
        <w:t xml:space="preserve">. </w:t>
      </w:r>
      <w:r w:rsidR="00BA4DBD" w:rsidRPr="005841E2">
        <w:rPr>
          <w:rFonts w:ascii="Times New Roman" w:hAnsi="Times New Roman" w:cs="Times New Roman"/>
          <w:sz w:val="22"/>
          <w:szCs w:val="20"/>
          <w:lang w:eastAsia="en-AU"/>
        </w:rPr>
        <w:t xml:space="preserve">In any event, </w:t>
      </w:r>
      <w:r w:rsidR="00DF14D1" w:rsidRPr="005841E2">
        <w:rPr>
          <w:rFonts w:ascii="Times New Roman" w:hAnsi="Times New Roman" w:cs="Times New Roman"/>
          <w:sz w:val="22"/>
          <w:szCs w:val="20"/>
          <w:lang w:eastAsia="en-AU"/>
        </w:rPr>
        <w:t xml:space="preserve">interferences with privacy must be </w:t>
      </w:r>
      <w:r w:rsidR="000B6CA4" w:rsidRPr="005841E2">
        <w:rPr>
          <w:rFonts w:ascii="Times New Roman" w:hAnsi="Times New Roman" w:cs="Times New Roman"/>
          <w:sz w:val="22"/>
          <w:szCs w:val="20"/>
          <w:lang w:val="en-GB" w:eastAsia="en-AU"/>
        </w:rPr>
        <w:t>authorised by law and not arbitrary.</w:t>
      </w:r>
      <w:r w:rsidR="00F33B99" w:rsidRPr="005841E2">
        <w:rPr>
          <w:rFonts w:ascii="Times New Roman" w:hAnsi="Times New Roman" w:cs="Times New Roman"/>
          <w:sz w:val="22"/>
          <w:szCs w:val="20"/>
          <w:lang w:val="en-GB" w:eastAsia="en-AU"/>
        </w:rPr>
        <w:t xml:space="preserve"> </w:t>
      </w:r>
      <w:r w:rsidR="00F87EFC" w:rsidRPr="005841E2">
        <w:rPr>
          <w:rFonts w:ascii="Times New Roman" w:hAnsi="Times New Roman" w:cs="Times New Roman"/>
          <w:sz w:val="22"/>
          <w:szCs w:val="20"/>
          <w:lang w:val="en-GB" w:eastAsia="en-AU"/>
        </w:rPr>
        <w:t xml:space="preserve">The use of the term arbitrary in the ICCPR means that any interferences with privacy must be </w:t>
      </w:r>
      <w:r w:rsidR="00074B90" w:rsidRPr="005841E2">
        <w:rPr>
          <w:rFonts w:ascii="Times New Roman" w:hAnsi="Times New Roman" w:cs="Times New Roman"/>
          <w:sz w:val="22"/>
          <w:szCs w:val="20"/>
          <w:lang w:val="en-GB" w:eastAsia="en-AU"/>
        </w:rPr>
        <w:t xml:space="preserve">in accordance with the provisions, aims and objectives of the ICCPR and should be reasonable in the particular circumstances. </w:t>
      </w:r>
      <w:r w:rsidR="008D59DD" w:rsidRPr="005841E2">
        <w:rPr>
          <w:rFonts w:ascii="Times New Roman" w:hAnsi="Times New Roman" w:cs="Times New Roman"/>
          <w:sz w:val="22"/>
          <w:szCs w:val="20"/>
          <w:lang w:val="en-GB" w:eastAsia="en-AU"/>
        </w:rPr>
        <w:t>The U</w:t>
      </w:r>
      <w:r w:rsidR="001E020A" w:rsidRPr="005841E2">
        <w:rPr>
          <w:rFonts w:ascii="Times New Roman" w:hAnsi="Times New Roman" w:cs="Times New Roman"/>
          <w:sz w:val="22"/>
          <w:szCs w:val="20"/>
          <w:lang w:val="en-GB" w:eastAsia="en-AU"/>
        </w:rPr>
        <w:t xml:space="preserve">nited </w:t>
      </w:r>
      <w:r w:rsidR="008D59DD" w:rsidRPr="005841E2">
        <w:rPr>
          <w:rFonts w:ascii="Times New Roman" w:hAnsi="Times New Roman" w:cs="Times New Roman"/>
          <w:sz w:val="22"/>
          <w:szCs w:val="20"/>
          <w:lang w:val="en-GB" w:eastAsia="en-AU"/>
        </w:rPr>
        <w:t>N</w:t>
      </w:r>
      <w:r w:rsidR="001E020A" w:rsidRPr="005841E2">
        <w:rPr>
          <w:rFonts w:ascii="Times New Roman" w:hAnsi="Times New Roman" w:cs="Times New Roman"/>
          <w:sz w:val="22"/>
          <w:szCs w:val="20"/>
          <w:lang w:val="en-GB" w:eastAsia="en-AU"/>
        </w:rPr>
        <w:t>ations</w:t>
      </w:r>
      <w:r w:rsidR="008D59DD" w:rsidRPr="005841E2">
        <w:rPr>
          <w:rFonts w:ascii="Times New Roman" w:hAnsi="Times New Roman" w:cs="Times New Roman"/>
          <w:sz w:val="22"/>
          <w:szCs w:val="20"/>
          <w:lang w:val="en-GB" w:eastAsia="en-AU"/>
        </w:rPr>
        <w:t xml:space="preserve"> Human Rights Committee has interpreted the requirement of ‘reasonabl</w:t>
      </w:r>
      <w:r w:rsidR="008074A0" w:rsidRPr="005841E2">
        <w:rPr>
          <w:rFonts w:ascii="Times New Roman" w:hAnsi="Times New Roman" w:cs="Times New Roman"/>
          <w:sz w:val="22"/>
          <w:szCs w:val="20"/>
          <w:lang w:val="en-GB" w:eastAsia="en-AU"/>
        </w:rPr>
        <w:t xml:space="preserve">eness’ to imply that any interference with privacy must be proportional to the end sought and be necessary in the circumstances of any given case. </w:t>
      </w:r>
    </w:p>
    <w:p w14:paraId="6D51513A" w14:textId="77777777" w:rsidR="00735331" w:rsidRPr="005841E2" w:rsidRDefault="00735331"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With respect to the right to health, article 12 of the </w:t>
      </w:r>
      <w:r w:rsidRPr="005841E2">
        <w:rPr>
          <w:rFonts w:ascii="Times New Roman" w:hAnsi="Times New Roman" w:cs="Times New Roman"/>
          <w:i/>
          <w:sz w:val="22"/>
          <w:szCs w:val="20"/>
          <w:lang w:eastAsia="en-AU"/>
        </w:rPr>
        <w:t>International Covenant on Economic, Social and Cultural Rights</w:t>
      </w:r>
      <w:r w:rsidRPr="005841E2">
        <w:rPr>
          <w:rFonts w:ascii="Times New Roman" w:hAnsi="Times New Roman" w:cs="Times New Roman"/>
          <w:sz w:val="22"/>
          <w:szCs w:val="20"/>
          <w:lang w:eastAsia="en-AU"/>
        </w:rPr>
        <w:t xml:space="preserve"> (ICESCR) provides that:</w:t>
      </w:r>
    </w:p>
    <w:p w14:paraId="63A60060" w14:textId="77777777" w:rsidR="00735331" w:rsidRPr="005841E2" w:rsidRDefault="00735331" w:rsidP="00E27E98">
      <w:pPr>
        <w:pStyle w:val="ListParagraph"/>
        <w:numPr>
          <w:ilvl w:val="0"/>
          <w:numId w:val="18"/>
        </w:numPr>
        <w:spacing w:before="120" w:after="120"/>
        <w:rPr>
          <w:rFonts w:ascii="Times New Roman" w:hAnsi="Times New Roman" w:cs="Times New Roman"/>
          <w:sz w:val="22"/>
          <w:szCs w:val="20"/>
          <w:lang w:eastAsia="en-AU"/>
        </w:rPr>
      </w:pPr>
      <w:r w:rsidRPr="005841E2">
        <w:rPr>
          <w:rFonts w:ascii="Times New Roman" w:hAnsi="Times New Roman" w:cs="Times New Roman"/>
          <w:i/>
          <w:sz w:val="22"/>
          <w:szCs w:val="20"/>
          <w:lang w:eastAsia="en-AU"/>
        </w:rPr>
        <w:t>The State Parties to the present Covenant recognise the right of everyone to the enjoyment of the highest attainable standard of physical and mental health</w:t>
      </w:r>
      <w:r w:rsidRPr="005841E2">
        <w:rPr>
          <w:rFonts w:ascii="Times New Roman" w:hAnsi="Times New Roman" w:cs="Times New Roman"/>
          <w:sz w:val="22"/>
          <w:szCs w:val="20"/>
          <w:lang w:eastAsia="en-AU"/>
        </w:rPr>
        <w:t xml:space="preserve">. </w:t>
      </w:r>
    </w:p>
    <w:p w14:paraId="726948B3" w14:textId="586B3704" w:rsidR="00735331" w:rsidRPr="005841E2" w:rsidRDefault="00735331"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Article 12(2) of the ICESCR outlines the steps to be taken to achieve the full realisation of this right, including those necessary for:</w:t>
      </w:r>
    </w:p>
    <w:p w14:paraId="4C16F576" w14:textId="77777777" w:rsidR="00735331" w:rsidRPr="005841E2" w:rsidRDefault="00735331" w:rsidP="00735331">
      <w:pPr>
        <w:ind w:left="1560" w:hanging="840"/>
        <w:rPr>
          <w:rFonts w:ascii="Times New Roman" w:hAnsi="Times New Roman" w:cs="Times New Roman"/>
          <w:i/>
          <w:sz w:val="22"/>
          <w:szCs w:val="20"/>
          <w:lang w:eastAsia="en-AU"/>
        </w:rPr>
      </w:pPr>
      <w:r w:rsidRPr="005841E2">
        <w:rPr>
          <w:rFonts w:ascii="Times New Roman" w:hAnsi="Times New Roman" w:cs="Times New Roman"/>
          <w:i/>
          <w:sz w:val="22"/>
          <w:szCs w:val="20"/>
          <w:lang w:eastAsia="en-AU"/>
        </w:rPr>
        <w:t>(c)</w:t>
      </w:r>
      <w:r w:rsidRPr="005841E2">
        <w:rPr>
          <w:rFonts w:ascii="Times New Roman" w:hAnsi="Times New Roman" w:cs="Times New Roman"/>
          <w:i/>
          <w:sz w:val="22"/>
          <w:szCs w:val="20"/>
          <w:lang w:eastAsia="en-AU"/>
        </w:rPr>
        <w:tab/>
        <w:t>The prevention, treatment and control of epidemic, endemic, occupational and other diseases.</w:t>
      </w:r>
    </w:p>
    <w:p w14:paraId="4DE2DA5B" w14:textId="38B85630" w:rsidR="00A30F08" w:rsidRPr="005841E2" w:rsidRDefault="00A30F08" w:rsidP="001955BC">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In </w:t>
      </w:r>
      <w:r w:rsidRPr="005841E2">
        <w:rPr>
          <w:rFonts w:ascii="Times New Roman" w:hAnsi="Times New Roman" w:cs="Times New Roman"/>
          <w:i/>
          <w:iCs/>
          <w:sz w:val="22"/>
          <w:szCs w:val="20"/>
          <w:lang w:eastAsia="en-AU"/>
        </w:rPr>
        <w:t xml:space="preserve">General Comment No. 14: The Right to the Highest Attainable Standard of Health </w:t>
      </w:r>
      <w:r w:rsidRPr="005841E2">
        <w:rPr>
          <w:rFonts w:ascii="Times New Roman" w:hAnsi="Times New Roman" w:cs="Times New Roman"/>
          <w:sz w:val="22"/>
          <w:szCs w:val="20"/>
          <w:lang w:eastAsia="en-AU"/>
        </w:rPr>
        <w:t>(2000), the United Nation</w:t>
      </w:r>
      <w:r w:rsidR="00312C15" w:rsidRPr="005841E2">
        <w:rPr>
          <w:rFonts w:ascii="Times New Roman" w:hAnsi="Times New Roman" w:cs="Times New Roman"/>
          <w:sz w:val="22"/>
          <w:szCs w:val="20"/>
          <w:lang w:eastAsia="en-AU"/>
        </w:rPr>
        <w:t>s</w:t>
      </w:r>
      <w:r w:rsidRPr="005841E2">
        <w:rPr>
          <w:rFonts w:ascii="Times New Roman" w:hAnsi="Times New Roman" w:cs="Times New Roman"/>
          <w:sz w:val="22"/>
          <w:szCs w:val="20"/>
          <w:lang w:eastAsia="en-AU"/>
        </w:rPr>
        <w:t xml:space="preserve"> Committee on Economic, Social and Cultural Rights states that ‘health is a fundamental human right indispensable for the exercise of other human rights’, and that ‘the obligation to fulfil (promote) the right to health requires States to undertake actions that create, maintain and restore the health of the population…such obligations include: (i) fostering recognition of factors favouring positive health results, e.g. research and provision of information</w:t>
      </w:r>
      <w:r w:rsidR="00504B39" w:rsidRPr="005841E2">
        <w:rPr>
          <w:rFonts w:ascii="Times New Roman" w:hAnsi="Times New Roman" w:cs="Times New Roman"/>
          <w:sz w:val="22"/>
          <w:szCs w:val="20"/>
          <w:lang w:eastAsia="en-AU"/>
        </w:rPr>
        <w:t>… (iv) supporting people in making informed</w:t>
      </w:r>
      <w:r w:rsidR="00B83400" w:rsidRPr="005841E2">
        <w:rPr>
          <w:rFonts w:ascii="Times New Roman" w:hAnsi="Times New Roman" w:cs="Times New Roman"/>
          <w:sz w:val="22"/>
          <w:szCs w:val="20"/>
          <w:lang w:eastAsia="en-AU"/>
        </w:rPr>
        <w:t xml:space="preserve"> choices about their health’. </w:t>
      </w:r>
    </w:p>
    <w:p w14:paraId="45197B37" w14:textId="77777777" w:rsidR="00F27768" w:rsidRPr="005841E2" w:rsidRDefault="001D1540"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Collecting, using and disclosing health information</w:t>
      </w:r>
      <w:r w:rsidR="00FE1EA7" w:rsidRPr="005841E2">
        <w:rPr>
          <w:rFonts w:ascii="Times New Roman" w:hAnsi="Times New Roman" w:cs="Times New Roman"/>
          <w:sz w:val="22"/>
          <w:szCs w:val="20"/>
          <w:lang w:eastAsia="en-AU"/>
        </w:rPr>
        <w:t xml:space="preserve"> for research</w:t>
      </w:r>
      <w:r w:rsidR="00735331" w:rsidRPr="005841E2">
        <w:rPr>
          <w:rFonts w:ascii="Times New Roman" w:hAnsi="Times New Roman" w:cs="Times New Roman"/>
          <w:sz w:val="22"/>
          <w:szCs w:val="20"/>
          <w:lang w:eastAsia="en-AU"/>
        </w:rPr>
        <w:t xml:space="preserve">, </w:t>
      </w:r>
      <w:r w:rsidR="00E652E7" w:rsidRPr="005841E2">
        <w:rPr>
          <w:rFonts w:ascii="Times New Roman" w:hAnsi="Times New Roman" w:cs="Times New Roman"/>
          <w:sz w:val="22"/>
          <w:szCs w:val="20"/>
          <w:lang w:eastAsia="en-AU"/>
        </w:rPr>
        <w:t xml:space="preserve">or for </w:t>
      </w:r>
      <w:r w:rsidR="00735331" w:rsidRPr="005841E2">
        <w:rPr>
          <w:rFonts w:ascii="Times New Roman" w:hAnsi="Times New Roman" w:cs="Times New Roman"/>
          <w:sz w:val="22"/>
          <w:szCs w:val="20"/>
          <w:lang w:eastAsia="en-AU"/>
        </w:rPr>
        <w:t xml:space="preserve">the compilation or analysis of statistics, </w:t>
      </w:r>
      <w:r w:rsidR="00E652E7" w:rsidRPr="005841E2">
        <w:rPr>
          <w:rFonts w:ascii="Times New Roman" w:hAnsi="Times New Roman" w:cs="Times New Roman"/>
          <w:sz w:val="22"/>
          <w:szCs w:val="20"/>
          <w:lang w:eastAsia="en-AU"/>
        </w:rPr>
        <w:t xml:space="preserve">is </w:t>
      </w:r>
      <w:r w:rsidR="00735331" w:rsidRPr="005841E2">
        <w:rPr>
          <w:rFonts w:ascii="Times New Roman" w:hAnsi="Times New Roman" w:cs="Times New Roman"/>
          <w:sz w:val="22"/>
          <w:szCs w:val="20"/>
          <w:lang w:eastAsia="en-AU"/>
        </w:rPr>
        <w:t xml:space="preserve">important for providing information to help the community make decisions that impact on the health of individuals and the community. </w:t>
      </w:r>
      <w:r w:rsidR="00E652E7" w:rsidRPr="005841E2">
        <w:rPr>
          <w:rFonts w:ascii="Times New Roman" w:hAnsi="Times New Roman" w:cs="Times New Roman"/>
          <w:sz w:val="22"/>
          <w:szCs w:val="20"/>
          <w:lang w:eastAsia="en-AU"/>
        </w:rPr>
        <w:t xml:space="preserve">Collecting health information </w:t>
      </w:r>
      <w:r w:rsidR="00127FE0" w:rsidRPr="005841E2">
        <w:rPr>
          <w:rFonts w:ascii="Times New Roman" w:hAnsi="Times New Roman" w:cs="Times New Roman"/>
          <w:sz w:val="22"/>
          <w:szCs w:val="20"/>
          <w:lang w:eastAsia="en-AU"/>
        </w:rPr>
        <w:t xml:space="preserve">for the </w:t>
      </w:r>
      <w:r w:rsidR="00735331" w:rsidRPr="005841E2">
        <w:rPr>
          <w:rFonts w:ascii="Times New Roman" w:hAnsi="Times New Roman" w:cs="Times New Roman"/>
          <w:sz w:val="22"/>
          <w:szCs w:val="20"/>
          <w:lang w:eastAsia="en-AU"/>
        </w:rPr>
        <w:t xml:space="preserve">properly informed management of health services is necessary to ensure individuals and the community receive the best possible health and medical care. </w:t>
      </w:r>
    </w:p>
    <w:p w14:paraId="09109C28" w14:textId="3C92D280" w:rsidR="00F27768" w:rsidRPr="005841E2" w:rsidRDefault="00F27768"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The collection, use and disclosure of health information</w:t>
      </w:r>
      <w:r w:rsidR="001C79D0" w:rsidRPr="005841E2">
        <w:rPr>
          <w:rFonts w:ascii="Times New Roman" w:hAnsi="Times New Roman" w:cs="Times New Roman"/>
          <w:sz w:val="22"/>
          <w:szCs w:val="20"/>
          <w:lang w:eastAsia="en-AU"/>
        </w:rPr>
        <w:t xml:space="preserve"> without consent</w:t>
      </w:r>
      <w:r w:rsidRPr="005841E2">
        <w:rPr>
          <w:rFonts w:ascii="Times New Roman" w:hAnsi="Times New Roman" w:cs="Times New Roman"/>
          <w:sz w:val="22"/>
          <w:szCs w:val="20"/>
          <w:lang w:eastAsia="en-AU"/>
        </w:rPr>
        <w:t xml:space="preserve"> </w:t>
      </w:r>
      <w:r w:rsidR="004A2F90" w:rsidRPr="005841E2">
        <w:rPr>
          <w:rFonts w:ascii="Times New Roman" w:hAnsi="Times New Roman" w:cs="Times New Roman"/>
          <w:sz w:val="22"/>
          <w:szCs w:val="20"/>
          <w:lang w:eastAsia="en-AU"/>
        </w:rPr>
        <w:t xml:space="preserve">under section 16B(2) and (3) of the Privacy Act and the guidelines approved by this legislative instrument </w:t>
      </w:r>
      <w:r w:rsidR="003272F3" w:rsidRPr="005841E2">
        <w:rPr>
          <w:rFonts w:ascii="Times New Roman" w:hAnsi="Times New Roman" w:cs="Times New Roman"/>
          <w:sz w:val="22"/>
          <w:szCs w:val="20"/>
          <w:lang w:eastAsia="en-AU"/>
        </w:rPr>
        <w:t>facilitate vital research, statistical analysis and health service management activities that provides health benefits to Australian society as a whole.</w:t>
      </w:r>
      <w:r w:rsidR="001C79D0" w:rsidRPr="005841E2">
        <w:rPr>
          <w:rFonts w:ascii="Times New Roman" w:hAnsi="Times New Roman" w:cs="Times New Roman"/>
          <w:sz w:val="22"/>
          <w:szCs w:val="20"/>
          <w:lang w:eastAsia="en-AU"/>
        </w:rPr>
        <w:t xml:space="preserve"> The limitation on the right to privacy in this regard pursues the legitimate objective of advancing the right to health. </w:t>
      </w:r>
    </w:p>
    <w:p w14:paraId="4FC5A672" w14:textId="38895287" w:rsidR="00557657" w:rsidRPr="005841E2" w:rsidRDefault="006D75F6"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The collection, use and disclosure of health information without consent must be a proportionate means by which to achieve the advancement of the right to health. </w:t>
      </w:r>
      <w:r w:rsidR="008A6634" w:rsidRPr="005841E2">
        <w:rPr>
          <w:rFonts w:ascii="Times New Roman" w:hAnsi="Times New Roman" w:cs="Times New Roman"/>
          <w:sz w:val="22"/>
          <w:szCs w:val="20"/>
          <w:lang w:eastAsia="en-AU"/>
        </w:rPr>
        <w:t>S</w:t>
      </w:r>
      <w:r w:rsidR="00CF07CA" w:rsidRPr="005841E2">
        <w:rPr>
          <w:rFonts w:ascii="Times New Roman" w:hAnsi="Times New Roman" w:cs="Times New Roman"/>
          <w:sz w:val="22"/>
          <w:szCs w:val="20"/>
          <w:lang w:eastAsia="en-AU"/>
        </w:rPr>
        <w:t xml:space="preserve">ection 16B(2) and (3) of the Privacy Act </w:t>
      </w:r>
      <w:r w:rsidR="008A6634" w:rsidRPr="005841E2">
        <w:rPr>
          <w:rFonts w:ascii="Times New Roman" w:hAnsi="Times New Roman" w:cs="Times New Roman"/>
          <w:sz w:val="22"/>
          <w:szCs w:val="20"/>
          <w:lang w:eastAsia="en-AU"/>
        </w:rPr>
        <w:t>ensures that the intrusion on individual privacy is appropriately circums</w:t>
      </w:r>
      <w:r w:rsidR="008A19DA" w:rsidRPr="005841E2">
        <w:rPr>
          <w:rFonts w:ascii="Times New Roman" w:hAnsi="Times New Roman" w:cs="Times New Roman"/>
          <w:sz w:val="22"/>
          <w:szCs w:val="20"/>
          <w:lang w:eastAsia="en-AU"/>
        </w:rPr>
        <w:t xml:space="preserve">cribed. </w:t>
      </w:r>
    </w:p>
    <w:p w14:paraId="44389CA7" w14:textId="3B2CF2B0" w:rsidR="00972C7A" w:rsidRPr="005841E2" w:rsidRDefault="00091A97"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Section 16B</w:t>
      </w:r>
      <w:r w:rsidR="004007C5" w:rsidRPr="005841E2">
        <w:rPr>
          <w:rFonts w:ascii="Times New Roman" w:hAnsi="Times New Roman" w:cs="Times New Roman"/>
          <w:sz w:val="22"/>
          <w:szCs w:val="20"/>
          <w:lang w:eastAsia="en-AU"/>
        </w:rPr>
        <w:t>(2) of the Privacy Act provides that organisations can coll</w:t>
      </w:r>
      <w:r w:rsidR="00704C09" w:rsidRPr="005841E2">
        <w:rPr>
          <w:rFonts w:ascii="Times New Roman" w:hAnsi="Times New Roman" w:cs="Times New Roman"/>
          <w:sz w:val="22"/>
          <w:szCs w:val="20"/>
          <w:lang w:eastAsia="en-AU"/>
        </w:rPr>
        <w:t>ect health information about an individual</w:t>
      </w:r>
      <w:r w:rsidR="008A19DA" w:rsidRPr="005841E2">
        <w:rPr>
          <w:rFonts w:ascii="Times New Roman" w:hAnsi="Times New Roman" w:cs="Times New Roman"/>
          <w:sz w:val="22"/>
          <w:szCs w:val="20"/>
          <w:lang w:eastAsia="en-AU"/>
        </w:rPr>
        <w:t xml:space="preserve"> without consent</w:t>
      </w:r>
      <w:r w:rsidR="0026132F" w:rsidRPr="005841E2">
        <w:rPr>
          <w:rFonts w:ascii="Times New Roman" w:hAnsi="Times New Roman" w:cs="Times New Roman"/>
          <w:sz w:val="22"/>
          <w:szCs w:val="20"/>
          <w:lang w:eastAsia="en-AU"/>
        </w:rPr>
        <w:t xml:space="preserve"> if</w:t>
      </w:r>
      <w:r w:rsidR="00972C7A" w:rsidRPr="005841E2">
        <w:rPr>
          <w:rFonts w:ascii="Times New Roman" w:hAnsi="Times New Roman" w:cs="Times New Roman"/>
          <w:sz w:val="22"/>
          <w:szCs w:val="20"/>
          <w:lang w:eastAsia="en-AU"/>
        </w:rPr>
        <w:t>:</w:t>
      </w:r>
    </w:p>
    <w:p w14:paraId="61B55390" w14:textId="79BFA47A" w:rsidR="00557657" w:rsidRPr="005841E2" w:rsidRDefault="00C93A1E" w:rsidP="00972C7A">
      <w:pPr>
        <w:pStyle w:val="ListParagraph"/>
        <w:numPr>
          <w:ilvl w:val="0"/>
          <w:numId w:val="30"/>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w:t>
      </w:r>
      <w:r w:rsidR="0026132F" w:rsidRPr="005841E2">
        <w:rPr>
          <w:rFonts w:ascii="Times New Roman" w:hAnsi="Times New Roman" w:cs="Times New Roman"/>
          <w:sz w:val="22"/>
          <w:szCs w:val="20"/>
          <w:lang w:eastAsia="en-AU"/>
        </w:rPr>
        <w:t xml:space="preserve">he collection is necessary </w:t>
      </w:r>
      <w:r w:rsidR="00972C7A" w:rsidRPr="005841E2">
        <w:rPr>
          <w:rFonts w:ascii="Times New Roman" w:hAnsi="Times New Roman" w:cs="Times New Roman"/>
          <w:sz w:val="22"/>
          <w:szCs w:val="20"/>
          <w:lang w:eastAsia="en-AU"/>
        </w:rPr>
        <w:t>only for limited specified purposes</w:t>
      </w:r>
      <w:r w:rsidR="00706DC0" w:rsidRPr="005841E2">
        <w:rPr>
          <w:rFonts w:ascii="Times New Roman" w:hAnsi="Times New Roman" w:cs="Times New Roman"/>
          <w:sz w:val="22"/>
          <w:szCs w:val="20"/>
          <w:lang w:eastAsia="en-AU"/>
        </w:rPr>
        <w:t>, including for research, and the compilation or analysis of statistics, relevant to public health or public safety and</w:t>
      </w:r>
      <w:r w:rsidR="0076316B" w:rsidRPr="005841E2">
        <w:rPr>
          <w:rFonts w:ascii="Times New Roman" w:hAnsi="Times New Roman" w:cs="Times New Roman"/>
          <w:sz w:val="22"/>
          <w:szCs w:val="20"/>
          <w:lang w:eastAsia="en-AU"/>
        </w:rPr>
        <w:t xml:space="preserve"> for the management, funding or monitoring of a health service;</w:t>
      </w:r>
    </w:p>
    <w:p w14:paraId="17BFF89C" w14:textId="7A8D901F" w:rsidR="0076316B" w:rsidRPr="005841E2" w:rsidRDefault="00C93A1E" w:rsidP="00972C7A">
      <w:pPr>
        <w:pStyle w:val="ListParagraph"/>
        <w:numPr>
          <w:ilvl w:val="0"/>
          <w:numId w:val="30"/>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that purpose cannot be served by the collection of information about the individual that is de-identified information</w:t>
      </w:r>
      <w:r w:rsidR="00AA6D1B" w:rsidRPr="005841E2">
        <w:rPr>
          <w:rFonts w:ascii="Times New Roman" w:hAnsi="Times New Roman" w:cs="Times New Roman"/>
          <w:sz w:val="22"/>
          <w:szCs w:val="20"/>
          <w:lang w:eastAsia="en-AU"/>
        </w:rPr>
        <w:t>;</w:t>
      </w:r>
    </w:p>
    <w:p w14:paraId="47286256" w14:textId="452A2CB2" w:rsidR="00AA6D1B" w:rsidRPr="005841E2" w:rsidRDefault="00AA6D1B" w:rsidP="00972C7A">
      <w:pPr>
        <w:pStyle w:val="ListParagraph"/>
        <w:numPr>
          <w:ilvl w:val="0"/>
          <w:numId w:val="30"/>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lastRenderedPageBreak/>
        <w:t>it is impracticable for the organisation to obtain the individual’s consent to the collection</w:t>
      </w:r>
      <w:r w:rsidR="0049743F" w:rsidRPr="005841E2">
        <w:rPr>
          <w:rFonts w:ascii="Times New Roman" w:hAnsi="Times New Roman" w:cs="Times New Roman"/>
          <w:sz w:val="22"/>
          <w:szCs w:val="20"/>
          <w:lang w:eastAsia="en-AU"/>
        </w:rPr>
        <w:t>; and</w:t>
      </w:r>
    </w:p>
    <w:p w14:paraId="1D57C7E9" w14:textId="6D40BCE6" w:rsidR="0049743F" w:rsidRPr="005841E2" w:rsidRDefault="0049743F" w:rsidP="00972C7A">
      <w:pPr>
        <w:pStyle w:val="ListParagraph"/>
        <w:numPr>
          <w:ilvl w:val="0"/>
          <w:numId w:val="30"/>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the information is collected in accordance with guidelines approved under section 95A of the Privacy Act. </w:t>
      </w:r>
    </w:p>
    <w:p w14:paraId="40770C44" w14:textId="22100BD7" w:rsidR="00E57A1F" w:rsidRPr="005841E2" w:rsidRDefault="00E57A1F" w:rsidP="00E57A1F">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Section 16B(3) of the </w:t>
      </w:r>
      <w:r w:rsidR="007F7B83" w:rsidRPr="005841E2">
        <w:rPr>
          <w:rFonts w:ascii="Times New Roman" w:hAnsi="Times New Roman" w:cs="Times New Roman"/>
          <w:sz w:val="22"/>
          <w:szCs w:val="20"/>
          <w:lang w:eastAsia="en-AU"/>
        </w:rPr>
        <w:t>Privacy Act provides that organisations can use or disclose health information about an individual</w:t>
      </w:r>
      <w:r w:rsidR="00C32CA6" w:rsidRPr="005841E2">
        <w:rPr>
          <w:rFonts w:ascii="Times New Roman" w:hAnsi="Times New Roman" w:cs="Times New Roman"/>
          <w:sz w:val="22"/>
          <w:szCs w:val="20"/>
          <w:lang w:eastAsia="en-AU"/>
        </w:rPr>
        <w:t xml:space="preserve"> without consent</w:t>
      </w:r>
      <w:r w:rsidR="007F7B83" w:rsidRPr="005841E2">
        <w:rPr>
          <w:rFonts w:ascii="Times New Roman" w:hAnsi="Times New Roman" w:cs="Times New Roman"/>
          <w:sz w:val="22"/>
          <w:szCs w:val="20"/>
          <w:lang w:eastAsia="en-AU"/>
        </w:rPr>
        <w:t xml:space="preserve"> if:</w:t>
      </w:r>
    </w:p>
    <w:p w14:paraId="05743418" w14:textId="7B729132" w:rsidR="007F7B83" w:rsidRPr="005841E2" w:rsidRDefault="007F7B83" w:rsidP="007F7B83">
      <w:pPr>
        <w:pStyle w:val="ListParagraph"/>
        <w:numPr>
          <w:ilvl w:val="0"/>
          <w:numId w:val="31"/>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the use or disclosure is necessary for only limited specified purposes, including for research, and the compilation or analysis of statistics, relevant to public health or public safety;</w:t>
      </w:r>
    </w:p>
    <w:p w14:paraId="1849FECE" w14:textId="67D20EEF" w:rsidR="007F7B83" w:rsidRPr="005841E2" w:rsidRDefault="001D5D9A" w:rsidP="007F7B83">
      <w:pPr>
        <w:pStyle w:val="ListParagraph"/>
        <w:numPr>
          <w:ilvl w:val="0"/>
          <w:numId w:val="31"/>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it is impracticable for the organisation to obtain the individual’s consent to the use or disclosure; </w:t>
      </w:r>
    </w:p>
    <w:p w14:paraId="14DA4DD8" w14:textId="5357CCB6" w:rsidR="001D5D9A" w:rsidRPr="005841E2" w:rsidRDefault="001D5D9A" w:rsidP="007F7B83">
      <w:pPr>
        <w:pStyle w:val="ListParagraph"/>
        <w:numPr>
          <w:ilvl w:val="0"/>
          <w:numId w:val="31"/>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the use or disclosure is conducted in accordance with guidelines approved under section 95A of the Privacy Act</w:t>
      </w:r>
      <w:r w:rsidR="00212738" w:rsidRPr="005841E2">
        <w:rPr>
          <w:rFonts w:ascii="Times New Roman" w:hAnsi="Times New Roman" w:cs="Times New Roman"/>
          <w:sz w:val="22"/>
          <w:szCs w:val="20"/>
          <w:lang w:eastAsia="en-AU"/>
        </w:rPr>
        <w:t>; and</w:t>
      </w:r>
    </w:p>
    <w:p w14:paraId="542F77B6" w14:textId="147FB11A" w:rsidR="00212738" w:rsidRPr="005841E2" w:rsidRDefault="00212738" w:rsidP="001955BC">
      <w:pPr>
        <w:pStyle w:val="ListParagraph"/>
        <w:numPr>
          <w:ilvl w:val="0"/>
          <w:numId w:val="31"/>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in the case of disclosure – the organisation reasonably believes that the recipient of the information will not disclose the information, or personal information derived from that information. </w:t>
      </w:r>
    </w:p>
    <w:p w14:paraId="4B4946D4" w14:textId="5E9FC4BF" w:rsidR="00C32CA6" w:rsidRPr="005841E2" w:rsidRDefault="00C32CA6" w:rsidP="00F65444">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Section 16B(2) and (3) of the Privacy Act specifies </w:t>
      </w:r>
      <w:r w:rsidR="00646AF1" w:rsidRPr="005841E2">
        <w:rPr>
          <w:rFonts w:ascii="Times New Roman" w:hAnsi="Times New Roman" w:cs="Times New Roman"/>
          <w:sz w:val="22"/>
          <w:szCs w:val="20"/>
          <w:lang w:eastAsia="en-AU"/>
        </w:rPr>
        <w:t xml:space="preserve">a narrow set of circumstances where health information can be collected, used or disclosed without consent, providing a proportionate framework that ensures </w:t>
      </w:r>
      <w:r w:rsidR="00476A85" w:rsidRPr="005841E2">
        <w:rPr>
          <w:rFonts w:ascii="Times New Roman" w:hAnsi="Times New Roman" w:cs="Times New Roman"/>
          <w:sz w:val="22"/>
          <w:szCs w:val="20"/>
          <w:lang w:eastAsia="en-AU"/>
        </w:rPr>
        <w:t xml:space="preserve">collection, use or disclosure only occurs where it is reasonable and necessary. </w:t>
      </w:r>
    </w:p>
    <w:p w14:paraId="315BF3CF" w14:textId="24206A1E" w:rsidR="00476A85" w:rsidRPr="005841E2" w:rsidRDefault="00476A85" w:rsidP="00F65444">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The guidelines approved by this legislative instrument</w:t>
      </w:r>
      <w:r w:rsidR="002861DE" w:rsidRPr="005841E2">
        <w:rPr>
          <w:rFonts w:ascii="Times New Roman" w:hAnsi="Times New Roman" w:cs="Times New Roman"/>
          <w:sz w:val="22"/>
          <w:szCs w:val="20"/>
          <w:lang w:eastAsia="en-AU"/>
        </w:rPr>
        <w:t xml:space="preserve"> serve to provide additional safeguards and oversight to guide the collection, use or disclosure of health information under section 16B(2) and (3).</w:t>
      </w:r>
      <w:r w:rsidR="006A5BAB" w:rsidRPr="005841E2">
        <w:rPr>
          <w:rFonts w:ascii="Times New Roman" w:hAnsi="Times New Roman" w:cs="Times New Roman"/>
          <w:sz w:val="22"/>
          <w:szCs w:val="20"/>
          <w:lang w:eastAsia="en-AU"/>
        </w:rPr>
        <w:t xml:space="preserve"> The guidelines seek to further curtail the circumstances in which the right to privacy can be limited to </w:t>
      </w:r>
      <w:r w:rsidR="00B5728E" w:rsidRPr="005841E2">
        <w:rPr>
          <w:rFonts w:ascii="Times New Roman" w:hAnsi="Times New Roman" w:cs="Times New Roman"/>
          <w:sz w:val="22"/>
          <w:szCs w:val="20"/>
          <w:lang w:eastAsia="en-AU"/>
        </w:rPr>
        <w:t>proposed activities</w:t>
      </w:r>
      <w:r w:rsidR="00A72968" w:rsidRPr="005841E2">
        <w:rPr>
          <w:rFonts w:ascii="Times New Roman" w:hAnsi="Times New Roman" w:cs="Times New Roman"/>
          <w:sz w:val="22"/>
          <w:szCs w:val="20"/>
          <w:lang w:eastAsia="en-AU"/>
        </w:rPr>
        <w:t xml:space="preserve"> that have been assessed and approved</w:t>
      </w:r>
      <w:r w:rsidR="005B4B78" w:rsidRPr="005841E2">
        <w:rPr>
          <w:rFonts w:ascii="Times New Roman" w:hAnsi="Times New Roman" w:cs="Times New Roman"/>
          <w:sz w:val="22"/>
          <w:szCs w:val="20"/>
          <w:lang w:eastAsia="en-AU"/>
        </w:rPr>
        <w:t xml:space="preserve"> by human research ethics committees</w:t>
      </w:r>
      <w:r w:rsidR="00DF386F" w:rsidRPr="005841E2">
        <w:rPr>
          <w:rFonts w:ascii="Times New Roman" w:hAnsi="Times New Roman" w:cs="Times New Roman"/>
          <w:sz w:val="22"/>
          <w:szCs w:val="20"/>
          <w:lang w:eastAsia="en-AU"/>
        </w:rPr>
        <w:t>, ensuring</w:t>
      </w:r>
      <w:r w:rsidR="006A5BAB" w:rsidRPr="005841E2">
        <w:rPr>
          <w:rFonts w:ascii="Times New Roman" w:hAnsi="Times New Roman" w:cs="Times New Roman"/>
          <w:sz w:val="22"/>
          <w:szCs w:val="20"/>
          <w:lang w:eastAsia="en-AU"/>
        </w:rPr>
        <w:t xml:space="preserve"> that</w:t>
      </w:r>
      <w:r w:rsidR="00E31641" w:rsidRPr="005841E2">
        <w:rPr>
          <w:rFonts w:ascii="Times New Roman" w:hAnsi="Times New Roman" w:cs="Times New Roman"/>
          <w:sz w:val="22"/>
          <w:szCs w:val="20"/>
          <w:lang w:eastAsia="en-AU"/>
        </w:rPr>
        <w:t xml:space="preserve"> health information </w:t>
      </w:r>
      <w:r w:rsidR="00824C5E" w:rsidRPr="005841E2">
        <w:rPr>
          <w:rFonts w:ascii="Times New Roman" w:hAnsi="Times New Roman" w:cs="Times New Roman"/>
          <w:sz w:val="22"/>
          <w:szCs w:val="20"/>
          <w:lang w:eastAsia="en-AU"/>
        </w:rPr>
        <w:t>collected, used and disclosed is</w:t>
      </w:r>
      <w:r w:rsidR="006A5BAB" w:rsidRPr="005841E2">
        <w:rPr>
          <w:rFonts w:ascii="Times New Roman" w:hAnsi="Times New Roman" w:cs="Times New Roman"/>
          <w:sz w:val="22"/>
          <w:szCs w:val="20"/>
          <w:lang w:eastAsia="en-AU"/>
        </w:rPr>
        <w:t xml:space="preserve"> reasonable and necessary to addressing the potential harm</w:t>
      </w:r>
      <w:r w:rsidR="00FD5BA9" w:rsidRPr="005841E2">
        <w:rPr>
          <w:rFonts w:ascii="Times New Roman" w:hAnsi="Times New Roman" w:cs="Times New Roman"/>
          <w:sz w:val="22"/>
          <w:szCs w:val="20"/>
          <w:lang w:eastAsia="en-AU"/>
        </w:rPr>
        <w:t xml:space="preserve">. </w:t>
      </w:r>
    </w:p>
    <w:p w14:paraId="12A5530A" w14:textId="7A72F551" w:rsidR="00312EC4" w:rsidRPr="005841E2" w:rsidRDefault="00BA755A" w:rsidP="00F65444">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The</w:t>
      </w:r>
      <w:r w:rsidR="00024628" w:rsidRPr="005841E2">
        <w:rPr>
          <w:rFonts w:ascii="Times New Roman" w:hAnsi="Times New Roman" w:cs="Times New Roman"/>
          <w:sz w:val="22"/>
          <w:szCs w:val="20"/>
          <w:lang w:eastAsia="en-AU"/>
        </w:rPr>
        <w:t>se</w:t>
      </w:r>
      <w:r w:rsidRPr="005841E2">
        <w:rPr>
          <w:rFonts w:ascii="Times New Roman" w:hAnsi="Times New Roman" w:cs="Times New Roman"/>
          <w:sz w:val="22"/>
          <w:szCs w:val="20"/>
          <w:lang w:eastAsia="en-AU"/>
        </w:rPr>
        <w:t xml:space="preserve"> additional</w:t>
      </w:r>
      <w:r w:rsidR="00FF0110" w:rsidRPr="005841E2">
        <w:rPr>
          <w:rFonts w:ascii="Times New Roman" w:hAnsi="Times New Roman" w:cs="Times New Roman"/>
          <w:sz w:val="22"/>
          <w:szCs w:val="20"/>
          <w:lang w:eastAsia="en-AU"/>
        </w:rPr>
        <w:t xml:space="preserve"> safeguards set out </w:t>
      </w:r>
      <w:r w:rsidR="001B2487" w:rsidRPr="005841E2">
        <w:rPr>
          <w:rFonts w:ascii="Times New Roman" w:hAnsi="Times New Roman" w:cs="Times New Roman"/>
          <w:sz w:val="22"/>
          <w:szCs w:val="20"/>
          <w:lang w:eastAsia="en-AU"/>
        </w:rPr>
        <w:t xml:space="preserve">in the </w:t>
      </w:r>
      <w:r w:rsidR="002D32F1" w:rsidRPr="005841E2">
        <w:rPr>
          <w:rFonts w:ascii="Times New Roman" w:hAnsi="Times New Roman" w:cs="Times New Roman"/>
          <w:sz w:val="22"/>
          <w:szCs w:val="20"/>
          <w:lang w:eastAsia="en-AU"/>
        </w:rPr>
        <w:t>guidelines</w:t>
      </w:r>
      <w:r w:rsidR="00E853D7" w:rsidRPr="005841E2">
        <w:rPr>
          <w:rFonts w:ascii="Times New Roman" w:hAnsi="Times New Roman" w:cs="Times New Roman"/>
          <w:sz w:val="22"/>
          <w:szCs w:val="20"/>
          <w:lang w:eastAsia="en-AU"/>
        </w:rPr>
        <w:t xml:space="preserve"> </w:t>
      </w:r>
      <w:r w:rsidR="000C15CB" w:rsidRPr="005841E2">
        <w:rPr>
          <w:rFonts w:ascii="Times New Roman" w:hAnsi="Times New Roman" w:cs="Times New Roman"/>
          <w:sz w:val="22"/>
          <w:szCs w:val="20"/>
          <w:lang w:eastAsia="en-AU"/>
        </w:rPr>
        <w:t>further</w:t>
      </w:r>
      <w:r w:rsidR="002675E3" w:rsidRPr="005841E2">
        <w:rPr>
          <w:rFonts w:ascii="Times New Roman" w:hAnsi="Times New Roman" w:cs="Times New Roman"/>
          <w:sz w:val="22"/>
          <w:szCs w:val="20"/>
          <w:lang w:eastAsia="en-AU"/>
        </w:rPr>
        <w:t xml:space="preserve"> mitigate and minimise </w:t>
      </w:r>
      <w:r w:rsidR="00657352" w:rsidRPr="005841E2">
        <w:rPr>
          <w:rFonts w:ascii="Times New Roman" w:hAnsi="Times New Roman" w:cs="Times New Roman"/>
          <w:sz w:val="22"/>
          <w:szCs w:val="20"/>
          <w:lang w:eastAsia="en-AU"/>
        </w:rPr>
        <w:t>the privacy impacts to individuals</w:t>
      </w:r>
      <w:r w:rsidR="002D32F1" w:rsidRPr="005841E2">
        <w:rPr>
          <w:rFonts w:ascii="Times New Roman" w:hAnsi="Times New Roman" w:cs="Times New Roman"/>
          <w:sz w:val="22"/>
          <w:szCs w:val="20"/>
          <w:lang w:eastAsia="en-AU"/>
        </w:rPr>
        <w:t>, including</w:t>
      </w:r>
      <w:r w:rsidR="006C2699" w:rsidRPr="005841E2">
        <w:rPr>
          <w:rFonts w:ascii="Times New Roman" w:hAnsi="Times New Roman" w:cs="Times New Roman"/>
          <w:sz w:val="22"/>
          <w:szCs w:val="20"/>
          <w:lang w:eastAsia="en-AU"/>
        </w:rPr>
        <w:t xml:space="preserve"> by</w:t>
      </w:r>
      <w:r w:rsidR="00312EC4" w:rsidRPr="005841E2">
        <w:rPr>
          <w:rFonts w:ascii="Times New Roman" w:hAnsi="Times New Roman" w:cs="Times New Roman"/>
          <w:sz w:val="22"/>
          <w:szCs w:val="20"/>
          <w:lang w:eastAsia="en-AU"/>
        </w:rPr>
        <w:t>:</w:t>
      </w:r>
    </w:p>
    <w:p w14:paraId="32FC4B44" w14:textId="79D28F14" w:rsidR="005D50C9" w:rsidRPr="005841E2" w:rsidRDefault="00A13724" w:rsidP="003D393A">
      <w:pPr>
        <w:pStyle w:val="ListParagraph"/>
        <w:numPr>
          <w:ilvl w:val="0"/>
          <w:numId w:val="34"/>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providing guidance </w:t>
      </w:r>
      <w:r w:rsidR="00E02118" w:rsidRPr="005841E2">
        <w:rPr>
          <w:rFonts w:ascii="Times New Roman" w:hAnsi="Times New Roman" w:cs="Times New Roman"/>
          <w:sz w:val="22"/>
          <w:szCs w:val="20"/>
          <w:lang w:eastAsia="en-AU"/>
        </w:rPr>
        <w:t>for the conduct of research, or the compilation or analysis of statistics, relevant to public health or public safety and the management, funding or monitoring of a health service;</w:t>
      </w:r>
    </w:p>
    <w:p w14:paraId="2A56EF3D" w14:textId="598077EE" w:rsidR="00E02118" w:rsidRPr="005841E2" w:rsidRDefault="001F7935" w:rsidP="003D393A">
      <w:pPr>
        <w:pStyle w:val="ListParagraph"/>
        <w:numPr>
          <w:ilvl w:val="0"/>
          <w:numId w:val="34"/>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providing for the</w:t>
      </w:r>
      <w:r w:rsidR="00BE2F5F" w:rsidRPr="005841E2">
        <w:rPr>
          <w:rFonts w:ascii="Times New Roman" w:hAnsi="Times New Roman" w:cs="Times New Roman"/>
          <w:sz w:val="22"/>
          <w:szCs w:val="20"/>
          <w:lang w:eastAsia="en-AU"/>
        </w:rPr>
        <w:t xml:space="preserve"> review</w:t>
      </w:r>
      <w:r w:rsidRPr="005841E2">
        <w:rPr>
          <w:rFonts w:ascii="Times New Roman" w:hAnsi="Times New Roman" w:cs="Times New Roman"/>
          <w:sz w:val="22"/>
          <w:szCs w:val="20"/>
          <w:lang w:eastAsia="en-AU"/>
        </w:rPr>
        <w:t xml:space="preserve"> and approval</w:t>
      </w:r>
      <w:r w:rsidR="00BE2F5F" w:rsidRPr="005841E2">
        <w:rPr>
          <w:rFonts w:ascii="Times New Roman" w:hAnsi="Times New Roman" w:cs="Times New Roman"/>
          <w:sz w:val="22"/>
          <w:szCs w:val="20"/>
          <w:lang w:eastAsia="en-AU"/>
        </w:rPr>
        <w:t xml:space="preserve"> </w:t>
      </w:r>
      <w:r w:rsidR="00A57496" w:rsidRPr="005841E2">
        <w:rPr>
          <w:rFonts w:ascii="Times New Roman" w:hAnsi="Times New Roman" w:cs="Times New Roman"/>
          <w:sz w:val="22"/>
          <w:szCs w:val="20"/>
          <w:lang w:eastAsia="en-AU"/>
        </w:rPr>
        <w:t>of research</w:t>
      </w:r>
      <w:r w:rsidR="00CF02FE" w:rsidRPr="005841E2">
        <w:rPr>
          <w:rFonts w:ascii="Times New Roman" w:hAnsi="Times New Roman" w:cs="Times New Roman"/>
          <w:sz w:val="22"/>
          <w:szCs w:val="20"/>
          <w:lang w:eastAsia="en-AU"/>
        </w:rPr>
        <w:t xml:space="preserve">, the compilation or analysis of statistics </w:t>
      </w:r>
      <w:r w:rsidR="00A93C2E" w:rsidRPr="005841E2">
        <w:rPr>
          <w:rFonts w:ascii="Times New Roman" w:hAnsi="Times New Roman" w:cs="Times New Roman"/>
          <w:sz w:val="22"/>
          <w:szCs w:val="20"/>
          <w:lang w:eastAsia="en-AU"/>
        </w:rPr>
        <w:t>or</w:t>
      </w:r>
      <w:r w:rsidR="00CF02FE" w:rsidRPr="005841E2">
        <w:rPr>
          <w:rFonts w:ascii="Times New Roman" w:hAnsi="Times New Roman" w:cs="Times New Roman"/>
          <w:sz w:val="22"/>
          <w:szCs w:val="20"/>
          <w:lang w:eastAsia="en-AU"/>
        </w:rPr>
        <w:t xml:space="preserve"> </w:t>
      </w:r>
      <w:r w:rsidR="00484F4D" w:rsidRPr="005841E2">
        <w:rPr>
          <w:rFonts w:ascii="Times New Roman" w:hAnsi="Times New Roman" w:cs="Times New Roman"/>
          <w:sz w:val="22"/>
          <w:szCs w:val="20"/>
          <w:lang w:eastAsia="en-AU"/>
        </w:rPr>
        <w:t xml:space="preserve">the </w:t>
      </w:r>
      <w:r w:rsidR="00CF02FE" w:rsidRPr="005841E2">
        <w:rPr>
          <w:rFonts w:ascii="Times New Roman" w:hAnsi="Times New Roman" w:cs="Times New Roman"/>
          <w:sz w:val="22"/>
          <w:szCs w:val="20"/>
          <w:lang w:eastAsia="en-AU"/>
        </w:rPr>
        <w:t>management, funding or monitoring of health service proposals</w:t>
      </w:r>
      <w:r w:rsidRPr="005841E2">
        <w:rPr>
          <w:rFonts w:ascii="Times New Roman" w:hAnsi="Times New Roman" w:cs="Times New Roman"/>
          <w:sz w:val="22"/>
          <w:szCs w:val="20"/>
          <w:lang w:eastAsia="en-AU"/>
        </w:rPr>
        <w:t xml:space="preserve"> by human research ethics committees</w:t>
      </w:r>
      <w:r w:rsidR="00A57496" w:rsidRPr="005841E2">
        <w:rPr>
          <w:rFonts w:ascii="Times New Roman" w:hAnsi="Times New Roman" w:cs="Times New Roman"/>
          <w:sz w:val="22"/>
          <w:szCs w:val="20"/>
          <w:lang w:eastAsia="en-AU"/>
        </w:rPr>
        <w:t xml:space="preserve"> to assess whether such </w:t>
      </w:r>
      <w:r w:rsidR="00EF760F" w:rsidRPr="005841E2">
        <w:rPr>
          <w:rFonts w:ascii="Times New Roman" w:hAnsi="Times New Roman" w:cs="Times New Roman"/>
          <w:sz w:val="22"/>
          <w:szCs w:val="20"/>
          <w:lang w:eastAsia="en-AU"/>
        </w:rPr>
        <w:t>proposals</w:t>
      </w:r>
      <w:r w:rsidR="00A93C2E" w:rsidRPr="005841E2">
        <w:rPr>
          <w:rFonts w:ascii="Times New Roman" w:hAnsi="Times New Roman" w:cs="Times New Roman"/>
          <w:sz w:val="22"/>
          <w:szCs w:val="20"/>
          <w:lang w:eastAsia="en-AU"/>
        </w:rPr>
        <w:t xml:space="preserve"> </w:t>
      </w:r>
      <w:r w:rsidR="00087FA9" w:rsidRPr="005841E2">
        <w:rPr>
          <w:rFonts w:ascii="Times New Roman" w:hAnsi="Times New Roman" w:cs="Times New Roman"/>
          <w:sz w:val="22"/>
          <w:szCs w:val="20"/>
          <w:lang w:eastAsia="en-AU"/>
        </w:rPr>
        <w:t>are</w:t>
      </w:r>
      <w:r w:rsidR="00A93C2E" w:rsidRPr="005841E2">
        <w:rPr>
          <w:rFonts w:ascii="Times New Roman" w:hAnsi="Times New Roman" w:cs="Times New Roman"/>
          <w:sz w:val="22"/>
          <w:szCs w:val="20"/>
          <w:lang w:eastAsia="en-AU"/>
        </w:rPr>
        <w:t xml:space="preserve"> </w:t>
      </w:r>
      <w:r w:rsidR="001A470F" w:rsidRPr="005841E2">
        <w:rPr>
          <w:rFonts w:ascii="Times New Roman" w:hAnsi="Times New Roman" w:cs="Times New Roman"/>
          <w:sz w:val="22"/>
          <w:szCs w:val="20"/>
          <w:lang w:eastAsia="en-AU"/>
        </w:rPr>
        <w:t xml:space="preserve">consistent with </w:t>
      </w:r>
      <w:r w:rsidR="0059772B" w:rsidRPr="005841E2">
        <w:rPr>
          <w:rFonts w:ascii="Times New Roman" w:hAnsi="Times New Roman" w:cs="Times New Roman"/>
          <w:sz w:val="22"/>
          <w:szCs w:val="20"/>
          <w:lang w:eastAsia="en-AU"/>
        </w:rPr>
        <w:t>the guidelines and the public interest in the proposed activity outweighs</w:t>
      </w:r>
      <w:r w:rsidR="004E360E" w:rsidRPr="005841E2">
        <w:rPr>
          <w:rFonts w:ascii="Times New Roman" w:hAnsi="Times New Roman" w:cs="Times New Roman"/>
          <w:sz w:val="22"/>
          <w:szCs w:val="20"/>
          <w:lang w:eastAsia="en-AU"/>
        </w:rPr>
        <w:t xml:space="preserve"> the public interest in the protection of privacy</w:t>
      </w:r>
      <w:r w:rsidR="000D7875" w:rsidRPr="005841E2">
        <w:rPr>
          <w:rFonts w:ascii="Times New Roman" w:hAnsi="Times New Roman" w:cs="Times New Roman"/>
          <w:sz w:val="22"/>
          <w:szCs w:val="20"/>
          <w:lang w:eastAsia="en-AU"/>
        </w:rPr>
        <w:t>;</w:t>
      </w:r>
      <w:r w:rsidR="0058082B" w:rsidRPr="005841E2">
        <w:rPr>
          <w:rFonts w:ascii="Times New Roman" w:hAnsi="Times New Roman" w:cs="Times New Roman"/>
          <w:sz w:val="22"/>
          <w:szCs w:val="20"/>
          <w:lang w:eastAsia="en-AU"/>
        </w:rPr>
        <w:t xml:space="preserve"> and</w:t>
      </w:r>
    </w:p>
    <w:p w14:paraId="3CEFC762" w14:textId="3E2F5896" w:rsidR="00C26A17" w:rsidRPr="005841E2" w:rsidRDefault="007C532F" w:rsidP="001955BC">
      <w:pPr>
        <w:pStyle w:val="ListParagraph"/>
        <w:numPr>
          <w:ilvl w:val="0"/>
          <w:numId w:val="34"/>
        </w:num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referencing the NHMRC’s National Statement on Ethical Conduct and the Australian Code for the Responsible Conduct of Research </w:t>
      </w:r>
      <w:r w:rsidR="00CA59B0" w:rsidRPr="005841E2">
        <w:rPr>
          <w:rFonts w:ascii="Times New Roman" w:hAnsi="Times New Roman" w:cs="Times New Roman"/>
          <w:sz w:val="22"/>
          <w:szCs w:val="20"/>
          <w:lang w:eastAsia="en-AU"/>
        </w:rPr>
        <w:t>to provide further</w:t>
      </w:r>
      <w:r w:rsidR="00D15AC6" w:rsidRPr="005841E2">
        <w:rPr>
          <w:rFonts w:ascii="Times New Roman" w:hAnsi="Times New Roman" w:cs="Times New Roman"/>
          <w:sz w:val="22"/>
          <w:szCs w:val="20"/>
          <w:lang w:eastAsia="en-AU"/>
        </w:rPr>
        <w:t xml:space="preserve"> guidance on broader ethical obligations in the conduct of research, statistical and health service management activities. </w:t>
      </w:r>
    </w:p>
    <w:p w14:paraId="45AB6993" w14:textId="4DB736F5" w:rsidR="00B5063F" w:rsidRPr="005841E2" w:rsidRDefault="00735331" w:rsidP="00735331">
      <w:pPr>
        <w:rPr>
          <w:rFonts w:ascii="Times New Roman" w:hAnsi="Times New Roman" w:cs="Times New Roman"/>
          <w:sz w:val="22"/>
          <w:szCs w:val="20"/>
          <w:lang w:eastAsia="en-AU"/>
        </w:rPr>
      </w:pPr>
      <w:r w:rsidRPr="005841E2">
        <w:rPr>
          <w:rFonts w:ascii="Times New Roman" w:hAnsi="Times New Roman" w:cs="Times New Roman"/>
          <w:sz w:val="22"/>
          <w:szCs w:val="20"/>
          <w:lang w:eastAsia="en-AU"/>
        </w:rPr>
        <w:t xml:space="preserve">In approving the guidelines, the </w:t>
      </w:r>
      <w:r w:rsidR="002D0EF0" w:rsidRPr="005841E2">
        <w:rPr>
          <w:rFonts w:ascii="Times New Roman" w:hAnsi="Times New Roman" w:cs="Times New Roman"/>
          <w:sz w:val="22"/>
          <w:szCs w:val="20"/>
          <w:lang w:eastAsia="en-AU"/>
        </w:rPr>
        <w:t xml:space="preserve">Australian </w:t>
      </w:r>
      <w:r w:rsidR="00C57D7C" w:rsidRPr="005841E2">
        <w:rPr>
          <w:rFonts w:ascii="Times New Roman" w:hAnsi="Times New Roman" w:cs="Times New Roman"/>
          <w:sz w:val="22"/>
          <w:szCs w:val="20"/>
          <w:lang w:eastAsia="en-AU"/>
        </w:rPr>
        <w:t xml:space="preserve">Information </w:t>
      </w:r>
      <w:r w:rsidRPr="005841E2">
        <w:rPr>
          <w:rFonts w:ascii="Times New Roman" w:hAnsi="Times New Roman" w:cs="Times New Roman"/>
          <w:sz w:val="22"/>
          <w:szCs w:val="20"/>
          <w:lang w:eastAsia="en-AU"/>
        </w:rPr>
        <w:t xml:space="preserve">Commissioner has considered the competing rights to privacy and health. It is considered that the </w:t>
      </w:r>
      <w:r w:rsidR="00F46132" w:rsidRPr="005841E2">
        <w:rPr>
          <w:rFonts w:ascii="Times New Roman" w:hAnsi="Times New Roman" w:cs="Times New Roman"/>
          <w:sz w:val="22"/>
          <w:szCs w:val="20"/>
          <w:lang w:eastAsia="en-AU"/>
        </w:rPr>
        <w:t>limitation on the right to privacy</w:t>
      </w:r>
      <w:r w:rsidR="0059015C" w:rsidRPr="005841E2">
        <w:rPr>
          <w:rFonts w:ascii="Times New Roman" w:hAnsi="Times New Roman" w:cs="Times New Roman"/>
          <w:sz w:val="22"/>
          <w:szCs w:val="20"/>
          <w:lang w:eastAsia="en-AU"/>
        </w:rPr>
        <w:t xml:space="preserve"> authorised by section 16B(2) and (3) of the Privacy Act and the guidelines approved by this legislative instrument pursues the legitimate objective of advancing the protection of human rights and the right to health. Section 16B(2) and (3)</w:t>
      </w:r>
      <w:r w:rsidR="00DE2AE4" w:rsidRPr="005841E2">
        <w:rPr>
          <w:rFonts w:ascii="Times New Roman" w:hAnsi="Times New Roman" w:cs="Times New Roman"/>
          <w:sz w:val="22"/>
          <w:szCs w:val="20"/>
          <w:lang w:eastAsia="en-AU"/>
        </w:rPr>
        <w:t xml:space="preserve"> </w:t>
      </w:r>
      <w:r w:rsidR="00B5063F" w:rsidRPr="005841E2">
        <w:rPr>
          <w:rFonts w:ascii="Times New Roman" w:hAnsi="Times New Roman" w:cs="Times New Roman"/>
          <w:sz w:val="22"/>
          <w:szCs w:val="20"/>
          <w:lang w:eastAsia="en-AU"/>
        </w:rPr>
        <w:t xml:space="preserve">appropriately circumscribes the </w:t>
      </w:r>
      <w:r w:rsidR="00877ECA" w:rsidRPr="005841E2">
        <w:rPr>
          <w:rFonts w:ascii="Times New Roman" w:hAnsi="Times New Roman" w:cs="Times New Roman"/>
          <w:sz w:val="22"/>
          <w:szCs w:val="20"/>
          <w:lang w:eastAsia="en-AU"/>
        </w:rPr>
        <w:t>collection, use and disclosure of health information without consent</w:t>
      </w:r>
      <w:r w:rsidR="00A95A55" w:rsidRPr="005841E2">
        <w:rPr>
          <w:rFonts w:ascii="Times New Roman" w:hAnsi="Times New Roman" w:cs="Times New Roman"/>
          <w:sz w:val="22"/>
          <w:szCs w:val="20"/>
          <w:lang w:eastAsia="en-AU"/>
        </w:rPr>
        <w:t>. T</w:t>
      </w:r>
      <w:r w:rsidR="00877ECA" w:rsidRPr="005841E2">
        <w:rPr>
          <w:rFonts w:ascii="Times New Roman" w:hAnsi="Times New Roman" w:cs="Times New Roman"/>
          <w:sz w:val="22"/>
          <w:szCs w:val="20"/>
          <w:lang w:eastAsia="en-AU"/>
        </w:rPr>
        <w:t xml:space="preserve">he guidelines </w:t>
      </w:r>
      <w:r w:rsidR="00E55467" w:rsidRPr="005841E2">
        <w:rPr>
          <w:rFonts w:ascii="Times New Roman" w:hAnsi="Times New Roman" w:cs="Times New Roman"/>
          <w:sz w:val="22"/>
          <w:szCs w:val="20"/>
          <w:lang w:eastAsia="en-AU"/>
        </w:rPr>
        <w:t xml:space="preserve">provide additional </w:t>
      </w:r>
      <w:r w:rsidR="00BF4104" w:rsidRPr="005841E2">
        <w:rPr>
          <w:rFonts w:ascii="Times New Roman" w:hAnsi="Times New Roman" w:cs="Times New Roman"/>
          <w:sz w:val="22"/>
          <w:szCs w:val="20"/>
          <w:lang w:eastAsia="en-AU"/>
        </w:rPr>
        <w:t>safeguards</w:t>
      </w:r>
      <w:r w:rsidR="00A95A55" w:rsidRPr="005841E2">
        <w:rPr>
          <w:rFonts w:ascii="Times New Roman" w:hAnsi="Times New Roman" w:cs="Times New Roman"/>
          <w:sz w:val="22"/>
          <w:szCs w:val="20"/>
          <w:lang w:eastAsia="en-AU"/>
        </w:rPr>
        <w:t xml:space="preserve"> beyond those prescribed in </w:t>
      </w:r>
      <w:r w:rsidR="005475B0" w:rsidRPr="005841E2">
        <w:rPr>
          <w:rFonts w:ascii="Times New Roman" w:hAnsi="Times New Roman" w:cs="Times New Roman"/>
          <w:sz w:val="22"/>
          <w:szCs w:val="20"/>
          <w:lang w:eastAsia="en-AU"/>
        </w:rPr>
        <w:t xml:space="preserve">the </w:t>
      </w:r>
      <w:r w:rsidR="00A95A55" w:rsidRPr="005841E2">
        <w:rPr>
          <w:rFonts w:ascii="Times New Roman" w:hAnsi="Times New Roman" w:cs="Times New Roman"/>
          <w:sz w:val="22"/>
          <w:szCs w:val="20"/>
          <w:lang w:eastAsia="en-AU"/>
        </w:rPr>
        <w:t>legislation</w:t>
      </w:r>
      <w:r w:rsidR="00BF4104" w:rsidRPr="005841E2">
        <w:rPr>
          <w:rFonts w:ascii="Times New Roman" w:hAnsi="Times New Roman" w:cs="Times New Roman"/>
          <w:sz w:val="22"/>
          <w:szCs w:val="20"/>
          <w:lang w:eastAsia="en-AU"/>
        </w:rPr>
        <w:t xml:space="preserve"> to further curtail the circumstances </w:t>
      </w:r>
      <w:r w:rsidR="00F558EA" w:rsidRPr="005841E2">
        <w:rPr>
          <w:rFonts w:ascii="Times New Roman" w:hAnsi="Times New Roman" w:cs="Times New Roman"/>
          <w:sz w:val="22"/>
          <w:szCs w:val="20"/>
          <w:lang w:eastAsia="en-AU"/>
        </w:rPr>
        <w:t>in which health information can be collected, used and disclosed without consent</w:t>
      </w:r>
      <w:r w:rsidR="00B4388B" w:rsidRPr="005841E2">
        <w:rPr>
          <w:rFonts w:ascii="Times New Roman" w:hAnsi="Times New Roman" w:cs="Times New Roman"/>
          <w:sz w:val="22"/>
          <w:szCs w:val="20"/>
          <w:lang w:eastAsia="en-AU"/>
        </w:rPr>
        <w:t xml:space="preserve"> ensuring that any limitations on privacy are reasonable, necessary and proportionate. </w:t>
      </w:r>
    </w:p>
    <w:p w14:paraId="1343FFF0" w14:textId="77777777" w:rsidR="00735331" w:rsidRPr="0037297E" w:rsidRDefault="00735331" w:rsidP="00735331">
      <w:pPr>
        <w:pStyle w:val="Heading4"/>
        <w:rPr>
          <w:rFonts w:ascii="Times New Roman" w:hAnsi="Times New Roman" w:cs="Times New Roman"/>
          <w:color w:val="auto"/>
          <w:lang w:eastAsia="en-AU"/>
        </w:rPr>
      </w:pPr>
      <w:r w:rsidRPr="0037297E">
        <w:rPr>
          <w:rFonts w:ascii="Times New Roman" w:hAnsi="Times New Roman" w:cs="Times New Roman"/>
          <w:color w:val="auto"/>
          <w:lang w:eastAsia="en-AU"/>
        </w:rPr>
        <w:lastRenderedPageBreak/>
        <w:t>Conclusion</w:t>
      </w:r>
    </w:p>
    <w:p w14:paraId="32BE4D84" w14:textId="709D3C6E" w:rsidR="00735331" w:rsidRPr="005841E2" w:rsidRDefault="00735331" w:rsidP="00735331">
      <w:pPr>
        <w:rPr>
          <w:rFonts w:ascii="Times New Roman" w:hAnsi="Times New Roman" w:cs="Times New Roman"/>
          <w:sz w:val="22"/>
          <w:szCs w:val="20"/>
        </w:rPr>
      </w:pPr>
      <w:r w:rsidRPr="005841E2">
        <w:rPr>
          <w:rFonts w:ascii="Times New Roman" w:hAnsi="Times New Roman" w:cs="Times New Roman"/>
          <w:sz w:val="22"/>
          <w:szCs w:val="20"/>
          <w:lang w:eastAsia="en-AU"/>
        </w:rPr>
        <w:t xml:space="preserve">The </w:t>
      </w:r>
      <w:r w:rsidR="00DC41D2" w:rsidRPr="00DC41D2">
        <w:rPr>
          <w:rFonts w:ascii="Times New Roman" w:hAnsi="Times New Roman" w:cs="Times New Roman"/>
          <w:i/>
          <w:sz w:val="22"/>
          <w:szCs w:val="20"/>
        </w:rPr>
        <w:t>Privacy (Guidelines issued under section 95A) Approval 2024</w:t>
      </w:r>
      <w:r w:rsidR="00407FBE" w:rsidRPr="005841E2">
        <w:rPr>
          <w:rFonts w:ascii="Times New Roman" w:hAnsi="Times New Roman" w:cs="Times New Roman"/>
          <w:iCs/>
          <w:sz w:val="22"/>
          <w:szCs w:val="20"/>
        </w:rPr>
        <w:t xml:space="preserve"> by the</w:t>
      </w:r>
      <w:r w:rsidR="002D0EF0" w:rsidRPr="005841E2">
        <w:rPr>
          <w:rFonts w:ascii="Times New Roman" w:hAnsi="Times New Roman" w:cs="Times New Roman"/>
          <w:iCs/>
          <w:sz w:val="22"/>
          <w:szCs w:val="20"/>
        </w:rPr>
        <w:t xml:space="preserve"> Australian</w:t>
      </w:r>
      <w:r w:rsidR="00407FBE" w:rsidRPr="005841E2">
        <w:rPr>
          <w:rFonts w:ascii="Times New Roman" w:hAnsi="Times New Roman" w:cs="Times New Roman"/>
          <w:iCs/>
          <w:sz w:val="22"/>
          <w:szCs w:val="20"/>
        </w:rPr>
        <w:t xml:space="preserve"> Information Commissioner </w:t>
      </w:r>
      <w:r w:rsidRPr="005841E2">
        <w:rPr>
          <w:rFonts w:ascii="Times New Roman" w:hAnsi="Times New Roman" w:cs="Times New Roman"/>
          <w:sz w:val="22"/>
          <w:szCs w:val="20"/>
        </w:rPr>
        <w:t>is compatible with human rights because it advances the protection of human rights and to the extent that it may also limit human rights, those limitations are reasonable</w:t>
      </w:r>
      <w:r w:rsidR="00A83DD7" w:rsidRPr="005841E2">
        <w:rPr>
          <w:rFonts w:ascii="Times New Roman" w:hAnsi="Times New Roman" w:cs="Times New Roman"/>
          <w:sz w:val="22"/>
          <w:szCs w:val="20"/>
        </w:rPr>
        <w:t>, necessary</w:t>
      </w:r>
      <w:r w:rsidRPr="005841E2">
        <w:rPr>
          <w:rFonts w:ascii="Times New Roman" w:hAnsi="Times New Roman" w:cs="Times New Roman"/>
          <w:sz w:val="22"/>
          <w:szCs w:val="20"/>
        </w:rPr>
        <w:t xml:space="preserve"> and proportionate. </w:t>
      </w:r>
    </w:p>
    <w:p w14:paraId="49B084B0" w14:textId="108A389E" w:rsidR="00735331" w:rsidRPr="0037297E" w:rsidRDefault="009762CF" w:rsidP="00735331">
      <w:pPr>
        <w:ind w:left="720" w:hanging="720"/>
        <w:jc w:val="center"/>
        <w:rPr>
          <w:rFonts w:ascii="Times New Roman" w:hAnsi="Times New Roman" w:cs="Times New Roman"/>
        </w:rPr>
      </w:pPr>
      <w:r w:rsidRPr="0037297E">
        <w:rPr>
          <w:rFonts w:ascii="Times New Roman" w:hAnsi="Times New Roman" w:cs="Times New Roman"/>
          <w:b/>
          <w:szCs w:val="24"/>
        </w:rPr>
        <w:t>Angelene Falk</w:t>
      </w:r>
      <w:r w:rsidR="00735331" w:rsidRPr="0037297E">
        <w:rPr>
          <w:rFonts w:ascii="Times New Roman" w:hAnsi="Times New Roman" w:cs="Times New Roman"/>
          <w:b/>
          <w:szCs w:val="24"/>
        </w:rPr>
        <w:t xml:space="preserve">, Australian </w:t>
      </w:r>
      <w:r w:rsidRPr="0037297E">
        <w:rPr>
          <w:rFonts w:ascii="Times New Roman" w:hAnsi="Times New Roman" w:cs="Times New Roman"/>
          <w:b/>
          <w:szCs w:val="24"/>
        </w:rPr>
        <w:t xml:space="preserve">Information </w:t>
      </w:r>
      <w:r w:rsidR="00735331" w:rsidRPr="0037297E">
        <w:rPr>
          <w:rFonts w:ascii="Times New Roman" w:hAnsi="Times New Roman" w:cs="Times New Roman"/>
          <w:b/>
          <w:szCs w:val="24"/>
        </w:rPr>
        <w:t>Commissioner</w:t>
      </w:r>
    </w:p>
    <w:p w14:paraId="0C9297DC" w14:textId="12988BF0" w:rsidR="008903DA" w:rsidRPr="00912137" w:rsidRDefault="00912137" w:rsidP="00912137">
      <w:pPr>
        <w:pStyle w:val="BodyParaBullet"/>
        <w:numPr>
          <w:ilvl w:val="0"/>
          <w:numId w:val="0"/>
        </w:numPr>
        <w:tabs>
          <w:tab w:val="clear" w:pos="2160"/>
          <w:tab w:val="left" w:pos="1418"/>
        </w:tabs>
        <w:spacing w:before="12000"/>
        <w:ind w:left="1418" w:hanging="851"/>
        <w:rPr>
          <w:sz w:val="20"/>
        </w:rPr>
      </w:pPr>
      <w:r w:rsidRPr="00317CA8">
        <w:rPr>
          <w:sz w:val="20"/>
        </w:rPr>
        <w:t>Note:</w:t>
      </w:r>
      <w:r w:rsidRPr="00317CA8">
        <w:rPr>
          <w:sz w:val="20"/>
        </w:rPr>
        <w:tab/>
        <w:t xml:space="preserve">The name of this instrument was amended on registration as the instrument as lodged did not have a unique name (see subsection 10(2), </w:t>
      </w:r>
      <w:r w:rsidRPr="00317CA8">
        <w:rPr>
          <w:i/>
          <w:sz w:val="20"/>
        </w:rPr>
        <w:t>Legislation Rule 2016</w:t>
      </w:r>
      <w:r w:rsidRPr="00317CA8">
        <w:rPr>
          <w:sz w:val="20"/>
        </w:rPr>
        <w:t>).</w:t>
      </w:r>
      <w:bookmarkStart w:id="1" w:name="_GoBack"/>
      <w:bookmarkEnd w:id="1"/>
    </w:p>
    <w:sectPr w:rsidR="008903DA" w:rsidRPr="00912137" w:rsidSect="00492767">
      <w:footerReference w:type="default" r:id="rId8"/>
      <w:headerReference w:type="first" r:id="rId9"/>
      <w:footerReference w:type="first" r:id="rId10"/>
      <w:pgSz w:w="11906" w:h="16838" w:code="9"/>
      <w:pgMar w:top="1049" w:right="1418" w:bottom="1418" w:left="1418" w:header="52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FFD6D" w14:textId="77777777" w:rsidR="00492767" w:rsidRDefault="00492767" w:rsidP="00207961">
      <w:pPr>
        <w:spacing w:after="0"/>
      </w:pPr>
      <w:r>
        <w:separator/>
      </w:r>
    </w:p>
    <w:p w14:paraId="30FA3FA0" w14:textId="77777777" w:rsidR="00492767" w:rsidRDefault="00492767"/>
  </w:endnote>
  <w:endnote w:type="continuationSeparator" w:id="0">
    <w:p w14:paraId="23A6C1A1" w14:textId="77777777" w:rsidR="00492767" w:rsidRDefault="00492767" w:rsidP="00207961">
      <w:pPr>
        <w:spacing w:after="0"/>
      </w:pPr>
      <w:r>
        <w:continuationSeparator/>
      </w:r>
    </w:p>
    <w:p w14:paraId="4F5F0FD5" w14:textId="77777777" w:rsidR="00492767" w:rsidRDefault="00492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ource Sans Pro Light">
    <w:panose1 w:val="020B04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58435"/>
      <w:docPartObj>
        <w:docPartGallery w:val="Page Numbers (Bottom of Page)"/>
        <w:docPartUnique/>
      </w:docPartObj>
    </w:sdtPr>
    <w:sdtEndPr>
      <w:rPr>
        <w:rStyle w:val="Strong"/>
        <w:b/>
        <w:bCs/>
      </w:rPr>
    </w:sdtEndPr>
    <w:sdtContent>
      <w:p w14:paraId="279881C7" w14:textId="13D986E7" w:rsidR="00DF26AC" w:rsidRPr="00A95129" w:rsidRDefault="0044324C" w:rsidP="00A95129">
        <w:pPr>
          <w:pStyle w:val="Footer"/>
          <w:rPr>
            <w:color w:val="000000" w:themeColor="text1"/>
          </w:rPr>
        </w:pPr>
        <w:r w:rsidRPr="0044324C">
          <w:rPr>
            <w:rStyle w:val="PageNumber"/>
          </w:rPr>
          <w:fldChar w:fldCharType="begin"/>
        </w:r>
        <w:r w:rsidRPr="0044324C">
          <w:rPr>
            <w:rStyle w:val="PageNumber"/>
          </w:rPr>
          <w:instrText xml:space="preserve"> PAGE   \* MERGEFORMAT </w:instrText>
        </w:r>
        <w:r w:rsidRPr="0044324C">
          <w:rPr>
            <w:rStyle w:val="PageNumber"/>
          </w:rPr>
          <w:fldChar w:fldCharType="separate"/>
        </w:r>
        <w:r w:rsidR="00FE2067">
          <w:rPr>
            <w:rStyle w:val="PageNumber"/>
            <w:noProof/>
          </w:rPr>
          <w:t>4</w:t>
        </w:r>
        <w:r w:rsidRPr="0044324C">
          <w:rPr>
            <w:rStyle w:val="PageNumbe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4275603"/>
      <w:docPartObj>
        <w:docPartGallery w:val="Page Numbers (Bottom of Page)"/>
        <w:docPartUnique/>
      </w:docPartObj>
    </w:sdtPr>
    <w:sdtEndPr>
      <w:rPr>
        <w:rStyle w:val="Strong"/>
        <w:b/>
        <w:bCs/>
      </w:rPr>
    </w:sdtEndPr>
    <w:sdtContent>
      <w:p w14:paraId="378FBFA0" w14:textId="331451BB" w:rsidR="00DF26AC" w:rsidRDefault="003D5BE5" w:rsidP="00A95129">
        <w:pPr>
          <w:pStyle w:val="Footer"/>
        </w:pPr>
        <w:r w:rsidRPr="003D5BE5">
          <w:fldChar w:fldCharType="begin"/>
        </w:r>
        <w:r w:rsidRPr="003D5BE5">
          <w:instrText xml:space="preserve"> PAGE   \* MERGEFORMAT </w:instrText>
        </w:r>
        <w:r w:rsidRPr="003D5BE5">
          <w:fldChar w:fldCharType="separate"/>
        </w:r>
        <w:r w:rsidR="00FE2067">
          <w:rPr>
            <w:noProof/>
          </w:rPr>
          <w:t>1</w:t>
        </w:r>
        <w:r w:rsidRPr="003D5BE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FBE8A" w14:textId="77777777" w:rsidR="00492767" w:rsidRDefault="00492767" w:rsidP="00B32094">
      <w:pPr>
        <w:spacing w:before="60" w:after="60"/>
      </w:pPr>
      <w:r>
        <w:separator/>
      </w:r>
    </w:p>
  </w:footnote>
  <w:footnote w:type="continuationSeparator" w:id="0">
    <w:p w14:paraId="09A3FBD6" w14:textId="77777777" w:rsidR="00492767" w:rsidRDefault="00492767" w:rsidP="00207961">
      <w:pPr>
        <w:spacing w:after="0"/>
      </w:pPr>
      <w:r>
        <w:continuationSeparator/>
      </w:r>
    </w:p>
    <w:p w14:paraId="7300F3EA" w14:textId="77777777" w:rsidR="00492767" w:rsidRDefault="00492767"/>
  </w:footnote>
  <w:footnote w:id="1">
    <w:p w14:paraId="65D19BC3" w14:textId="53A37A55" w:rsidR="00031039" w:rsidRDefault="00031039">
      <w:pPr>
        <w:pStyle w:val="FootnoteText"/>
      </w:pPr>
      <w:r>
        <w:rPr>
          <w:rStyle w:val="FootnoteReference"/>
        </w:rPr>
        <w:footnoteRef/>
      </w:r>
      <w:r>
        <w:t xml:space="preserve"> </w:t>
      </w:r>
      <w:hyperlink r:id="rId1" w:history="1">
        <w:r w:rsidR="009D25CE" w:rsidRPr="00496183">
          <w:rPr>
            <w:rStyle w:val="Hyperlink"/>
            <w:szCs w:val="18"/>
          </w:rPr>
          <w:t xml:space="preserve"> </w:t>
        </w:r>
        <w:r w:rsidR="009D25CE" w:rsidRPr="002E568A">
          <w:rPr>
            <w:rStyle w:val="Hyperlink"/>
            <w:iCs/>
            <w:szCs w:val="18"/>
          </w:rPr>
          <w:t>See</w:t>
        </w:r>
      </w:hyperlink>
      <w:r w:rsidR="009D25CE">
        <w:rPr>
          <w:i/>
          <w:szCs w:val="18"/>
        </w:rPr>
        <w:t xml:space="preserve"> </w:t>
      </w:r>
      <w:hyperlink r:id="rId2" w:history="1">
        <w:r w:rsidR="009D25CE">
          <w:rPr>
            <w:rStyle w:val="Hyperlink"/>
          </w:rPr>
          <w:t>Federal Register of Legislation - Legislation Act 2003</w:t>
        </w:r>
      </w:hyperlink>
      <w:r w:rsidR="009D25C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A3DC" w14:textId="46AE01C5" w:rsidR="00DE3B0B" w:rsidRDefault="003D5BE5" w:rsidP="004A4CC0">
    <w:pPr>
      <w:pStyle w:val="Header"/>
    </w:pPr>
    <w:r w:rsidRPr="004D4D9B">
      <w:rPr>
        <w:noProof/>
        <w:lang w:eastAsia="en-AU"/>
      </w:rPr>
      <w:drawing>
        <wp:anchor distT="0" distB="954405" distL="114300" distR="114300" simplePos="0" relativeHeight="251658240" behindDoc="1" locked="1" layoutInCell="1" allowOverlap="1" wp14:anchorId="22881C29" wp14:editId="391DF1B6">
          <wp:simplePos x="0" y="0"/>
          <wp:positionH relativeFrom="page">
            <wp:posOffset>901700</wp:posOffset>
          </wp:positionH>
          <wp:positionV relativeFrom="page">
            <wp:posOffset>686435</wp:posOffset>
          </wp:positionV>
          <wp:extent cx="3834000" cy="554400"/>
          <wp:effectExtent l="0" t="0" r="0" b="0"/>
          <wp:wrapTopAndBottom/>
          <wp:docPr id="1" name="Picture 1" descr="Australian Government&#10;Office of the Australian Information Commissioner">
            <a:extLst xmlns:a="http://schemas.openxmlformats.org/drawingml/2006/main">
              <a:ext uri="{FF2B5EF4-FFF2-40B4-BE49-F238E27FC236}">
                <a16:creationId xmlns:a16="http://schemas.microsoft.com/office/drawing/2014/main" id="{F96B9712-AA0B-47B8-9376-2710BD4D08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Office of the Australian Information Commissioner">
                    <a:extLst>
                      <a:ext uri="{FF2B5EF4-FFF2-40B4-BE49-F238E27FC236}">
                        <a16:creationId xmlns:a16="http://schemas.microsoft.com/office/drawing/2014/main" id="{F96B9712-AA0B-47B8-9376-2710BD4D0866}"/>
                      </a:ext>
                    </a:extLst>
                  </pic:cNvPr>
                  <pic:cNvPicPr>
                    <a:picLocks noChangeAspect="1"/>
                  </pic:cNvPicPr>
                </pic:nvPicPr>
                <pic:blipFill>
                  <a:blip r:embed="rId1"/>
                  <a:stretch>
                    <a:fillRect/>
                  </a:stretch>
                </pic:blipFill>
                <pic:spPr>
                  <a:xfrm>
                    <a:off x="0" y="0"/>
                    <a:ext cx="3834000" cy="554400"/>
                  </a:xfrm>
                  <a:prstGeom prst="rect">
                    <a:avLst/>
                  </a:prstGeom>
                </pic:spPr>
              </pic:pic>
            </a:graphicData>
          </a:graphic>
          <wp14:sizeRelH relativeFrom="margin">
            <wp14:pctWidth>0</wp14:pctWidth>
          </wp14:sizeRelH>
          <wp14:sizeRelV relativeFrom="margin">
            <wp14:pctHeight>0</wp14:pctHeight>
          </wp14:sizeRelV>
        </wp:anchor>
      </w:drawing>
    </w:r>
  </w:p>
  <w:p w14:paraId="276FF488" w14:textId="77777777" w:rsidR="003319E9" w:rsidRPr="004A4CC0" w:rsidRDefault="003319E9" w:rsidP="004A4CC0">
    <w:pPr>
      <w:pStyle w:val="Header"/>
    </w:pPr>
  </w:p>
  <w:p w14:paraId="23B8E0DC" w14:textId="77777777" w:rsidR="00DF26AC" w:rsidRDefault="00DF26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081B6A"/>
    <w:lvl w:ilvl="0">
      <w:start w:val="1"/>
      <w:numFmt w:val="decimal"/>
      <w:pStyle w:val="ListNumber5"/>
      <w:lvlText w:val="%1."/>
      <w:lvlJc w:val="left"/>
      <w:pPr>
        <w:tabs>
          <w:tab w:val="num" w:pos="1492"/>
        </w:tabs>
        <w:ind w:left="1492" w:hanging="360"/>
      </w:pPr>
    </w:lvl>
  </w:abstractNum>
  <w:abstractNum w:abstractNumId="1" w15:restartNumberingAfterBreak="0">
    <w:nsid w:val="019732C2"/>
    <w:multiLevelType w:val="hybridMultilevel"/>
    <w:tmpl w:val="E1787BFA"/>
    <w:lvl w:ilvl="0" w:tplc="7C822B9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A51E69"/>
    <w:multiLevelType w:val="hybridMultilevel"/>
    <w:tmpl w:val="912E0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A73B59"/>
    <w:multiLevelType w:val="multilevel"/>
    <w:tmpl w:val="4F62CCD2"/>
    <w:styleLink w:val="NumbersOAIC"/>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4" w15:restartNumberingAfterBreak="0">
    <w:nsid w:val="08124350"/>
    <w:multiLevelType w:val="multilevel"/>
    <w:tmpl w:val="7DB63B52"/>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ListBullet4"/>
      <w:lvlText w:val=""/>
      <w:lvlJc w:val="left"/>
      <w:pPr>
        <w:ind w:left="199" w:hanging="199"/>
      </w:pPr>
      <w:rPr>
        <w:rFonts w:ascii="Symbol" w:hAnsi="Symbol" w:hint="default"/>
        <w:color w:val="auto"/>
      </w:rPr>
    </w:lvl>
    <w:lvl w:ilvl="4">
      <w:start w:val="1"/>
      <w:numFmt w:val="bullet"/>
      <w:pStyle w:val="IndentBullet1"/>
      <w:lvlText w:val=""/>
      <w:lvlJc w:val="left"/>
      <w:pPr>
        <w:ind w:left="567" w:hanging="283"/>
      </w:pPr>
      <w:rPr>
        <w:rFonts w:ascii="Symbol" w:hAnsi="Symbol" w:hint="default"/>
        <w:color w:val="auto"/>
      </w:rPr>
    </w:lvl>
    <w:lvl w:ilvl="5">
      <w:start w:val="1"/>
      <w:numFmt w:val="bullet"/>
      <w:pStyle w:val="IndentBullet2"/>
      <w:lvlText w:val="−"/>
      <w:lvlJc w:val="left"/>
      <w:pPr>
        <w:ind w:left="851" w:hanging="284"/>
      </w:pPr>
      <w:rPr>
        <w:rFonts w:ascii="Times New Roman" w:hAnsi="Times New Roman" w:cs="Times New Roman" w:hint="default"/>
        <w:color w:val="auto"/>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5" w15:restartNumberingAfterBreak="0">
    <w:nsid w:val="084207A2"/>
    <w:multiLevelType w:val="hybridMultilevel"/>
    <w:tmpl w:val="FDB24AFE"/>
    <w:lvl w:ilvl="0" w:tplc="1890D33A">
      <w:start w:val="1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2A1534B"/>
    <w:multiLevelType w:val="multilevel"/>
    <w:tmpl w:val="7DB63B52"/>
    <w:styleLink w:val="BulletsOAIC"/>
    <w:lvl w:ilvl="0">
      <w:start w:val="1"/>
      <w:numFmt w:val="bullet"/>
      <w:lvlText w:val=""/>
      <w:lvlJc w:val="left"/>
      <w:pPr>
        <w:ind w:left="284" w:hanging="284"/>
      </w:pPr>
      <w:rPr>
        <w:rFonts w:ascii="Symbol" w:hAnsi="Symbol"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568" w:hanging="284"/>
      </w:pPr>
      <w:rPr>
        <w:rFonts w:ascii="Times New Roman" w:hAnsi="Times New Roman" w:cs="Times New Roman"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99" w:hanging="199"/>
      </w:pPr>
      <w:rPr>
        <w:rFonts w:ascii="Symbol" w:hAnsi="Symbol" w:hint="default"/>
        <w:color w:val="auto"/>
      </w:rPr>
    </w:lvl>
    <w:lvl w:ilvl="4">
      <w:start w:val="1"/>
      <w:numFmt w:val="bullet"/>
      <w:lvlText w:val=""/>
      <w:lvlJc w:val="left"/>
      <w:pPr>
        <w:ind w:left="567" w:hanging="283"/>
      </w:pPr>
      <w:rPr>
        <w:rFonts w:ascii="Symbol" w:hAnsi="Symbol" w:hint="default"/>
        <w:color w:val="auto"/>
      </w:rPr>
    </w:lvl>
    <w:lvl w:ilvl="5">
      <w:start w:val="1"/>
      <w:numFmt w:val="bullet"/>
      <w:lvlText w:val="−"/>
      <w:lvlJc w:val="left"/>
      <w:pPr>
        <w:ind w:left="851" w:hanging="284"/>
      </w:pPr>
      <w:rPr>
        <w:rFonts w:ascii="Times New Roman" w:hAnsi="Times New Roman" w:cs="Times New Roman" w:hint="default"/>
        <w:color w:val="auto"/>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4123"/>
        </w:tabs>
        <w:ind w:left="4123"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761FE"/>
    <w:multiLevelType w:val="hybridMultilevel"/>
    <w:tmpl w:val="7DB867C8"/>
    <w:lvl w:ilvl="0" w:tplc="E7CC3B44">
      <w:start w:val="1"/>
      <w:numFmt w:val="lowerRoman"/>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1CE06D38"/>
    <w:multiLevelType w:val="hybridMultilevel"/>
    <w:tmpl w:val="92E6E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4C838A4"/>
    <w:multiLevelType w:val="hybridMultilevel"/>
    <w:tmpl w:val="5A26CF18"/>
    <w:lvl w:ilvl="0" w:tplc="5A90B1D8">
      <w:start w:val="4"/>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D33C3A"/>
    <w:multiLevelType w:val="hybridMultilevel"/>
    <w:tmpl w:val="7CC293FC"/>
    <w:lvl w:ilvl="0" w:tplc="7C822B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6751FDA"/>
    <w:multiLevelType w:val="hybridMultilevel"/>
    <w:tmpl w:val="BE2E65A4"/>
    <w:lvl w:ilvl="0" w:tplc="0C090001">
      <w:start w:val="1"/>
      <w:numFmt w:val="bullet"/>
      <w:lvlText w:val=""/>
      <w:lvlJc w:val="left"/>
      <w:pPr>
        <w:ind w:left="720" w:hanging="360"/>
      </w:pPr>
      <w:rPr>
        <w:rFonts w:ascii="Symbol" w:hAnsi="Symbol" w:hint="default"/>
      </w:rPr>
    </w:lvl>
    <w:lvl w:ilvl="1" w:tplc="B6B6F99E">
      <w:start w:val="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D57C5A"/>
    <w:multiLevelType w:val="multilevel"/>
    <w:tmpl w:val="239ED75E"/>
    <w:styleLink w:val="NumberedParagraphsList"/>
    <w:lvl w:ilvl="0">
      <w:start w:val="1"/>
      <w:numFmt w:val="none"/>
      <w:suff w:val="space"/>
      <w:lvlText w:val=""/>
      <w:lvlJc w:val="left"/>
      <w:pPr>
        <w:ind w:left="0" w:firstLine="0"/>
      </w:pPr>
      <w:rPr>
        <w:rFonts w:hint="default"/>
      </w:rPr>
    </w:lvl>
    <w:lvl w:ilvl="1">
      <w:start w:val="1"/>
      <w:numFmt w:val="decimal"/>
      <w:pStyle w:val="NumberedParagraphs"/>
      <w:lvlText w:val="%1%2."/>
      <w:lvlJc w:val="left"/>
      <w:pPr>
        <w:ind w:left="284" w:hanging="284"/>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6" w15:restartNumberingAfterBreak="0">
    <w:nsid w:val="37A75052"/>
    <w:multiLevelType w:val="hybridMultilevel"/>
    <w:tmpl w:val="D3FE65D8"/>
    <w:lvl w:ilvl="0" w:tplc="06A2C4AA">
      <w:start w:val="1"/>
      <w:numFmt w:val="decimal"/>
      <w:lvlText w:val="(%1)"/>
      <w:lvlJc w:val="left"/>
      <w:pPr>
        <w:ind w:left="1080" w:hanging="360"/>
      </w:pPr>
      <w:rPr>
        <w:rFonts w:hint="default"/>
      </w:rPr>
    </w:lvl>
    <w:lvl w:ilvl="1" w:tplc="7C822B96">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824752E"/>
    <w:multiLevelType w:val="hybridMultilevel"/>
    <w:tmpl w:val="78F6FDD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3FB547CE"/>
    <w:multiLevelType w:val="hybridMultilevel"/>
    <w:tmpl w:val="D656366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43D51381"/>
    <w:multiLevelType w:val="multilevel"/>
    <w:tmpl w:val="D1203646"/>
    <w:numStyleLink w:val="TableNumbersOAIC"/>
  </w:abstractNum>
  <w:abstractNum w:abstractNumId="20" w15:restartNumberingAfterBreak="0">
    <w:nsid w:val="4480289A"/>
    <w:multiLevelType w:val="hybridMultilevel"/>
    <w:tmpl w:val="A752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204B7C"/>
    <w:multiLevelType w:val="hybridMultilevel"/>
    <w:tmpl w:val="442EFF6E"/>
    <w:lvl w:ilvl="0" w:tplc="C002A97C">
      <w:start w:val="1"/>
      <w:numFmt w:val="decimal"/>
      <w:lvlText w:val="%1."/>
      <w:lvlJc w:val="left"/>
      <w:pPr>
        <w:ind w:left="1440" w:hanging="720"/>
      </w:pPr>
      <w:rPr>
        <w:rFonts w:hint="default"/>
        <w:i/>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2" w15:restartNumberingAfterBreak="0">
    <w:nsid w:val="48CC7A03"/>
    <w:multiLevelType w:val="hybridMultilevel"/>
    <w:tmpl w:val="7DB867C8"/>
    <w:lvl w:ilvl="0" w:tplc="E7CC3B44">
      <w:start w:val="1"/>
      <w:numFmt w:val="lowerRoman"/>
      <w:lvlText w:val="(%1)"/>
      <w:lvlJc w:val="left"/>
      <w:pPr>
        <w:ind w:left="2160" w:hanging="720"/>
      </w:pPr>
      <w:rPr>
        <w:rFonts w:hint="default"/>
        <w:i/>
      </w:rPr>
    </w:lvl>
    <w:lvl w:ilvl="1" w:tplc="658E7844">
      <w:start w:val="1"/>
      <w:numFmt w:val="decimal"/>
      <w:lvlText w:val="%2."/>
      <w:lvlJc w:val="left"/>
      <w:pPr>
        <w:ind w:left="2520" w:hanging="360"/>
      </w:pPr>
      <w:rPr>
        <w:rFonts w:hint="default"/>
        <w:i/>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4AB8303E"/>
    <w:multiLevelType w:val="hybridMultilevel"/>
    <w:tmpl w:val="0784A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D32AEE"/>
    <w:multiLevelType w:val="hybridMultilevel"/>
    <w:tmpl w:val="743C8F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B42BDD"/>
    <w:multiLevelType w:val="multilevel"/>
    <w:tmpl w:val="D446FADC"/>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26" w15:restartNumberingAfterBreak="0">
    <w:nsid w:val="583377CC"/>
    <w:multiLevelType w:val="multilevel"/>
    <w:tmpl w:val="4F62CCD2"/>
    <w:numStyleLink w:val="NumbersOAIC"/>
  </w:abstractNum>
  <w:abstractNum w:abstractNumId="27" w15:restartNumberingAfterBreak="0">
    <w:nsid w:val="5BC43C2A"/>
    <w:multiLevelType w:val="multilevel"/>
    <w:tmpl w:val="239ED75E"/>
    <w:numStyleLink w:val="NumberedParagraphsList"/>
  </w:abstractNum>
  <w:abstractNum w:abstractNumId="28" w15:restartNumberingAfterBreak="0">
    <w:nsid w:val="623143E1"/>
    <w:multiLevelType w:val="hybridMultilevel"/>
    <w:tmpl w:val="AF8CF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C3277A"/>
    <w:multiLevelType w:val="hybridMultilevel"/>
    <w:tmpl w:val="3AB24944"/>
    <w:lvl w:ilvl="0" w:tplc="AF0E5EC2">
      <w:start w:val="3"/>
      <w:numFmt w:val="lowerRoman"/>
      <w:lvlText w:val="(%1)"/>
      <w:lvlJc w:val="left"/>
      <w:pPr>
        <w:ind w:left="2160" w:hanging="72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4E7502"/>
    <w:multiLevelType w:val="hybridMultilevel"/>
    <w:tmpl w:val="23ACCE7E"/>
    <w:lvl w:ilvl="0" w:tplc="7C822B96">
      <w:start w:val="1"/>
      <w:numFmt w:val="lowerLetter"/>
      <w:lvlText w:val="(%1)"/>
      <w:lvlJc w:val="left"/>
      <w:pPr>
        <w:ind w:left="3850" w:hanging="360"/>
      </w:pPr>
      <w:rPr>
        <w:rFonts w:hint="default"/>
      </w:rPr>
    </w:lvl>
    <w:lvl w:ilvl="1" w:tplc="0C090019" w:tentative="1">
      <w:start w:val="1"/>
      <w:numFmt w:val="lowerLetter"/>
      <w:lvlText w:val="%2."/>
      <w:lvlJc w:val="left"/>
      <w:pPr>
        <w:ind w:left="4570" w:hanging="360"/>
      </w:pPr>
    </w:lvl>
    <w:lvl w:ilvl="2" w:tplc="0C09001B" w:tentative="1">
      <w:start w:val="1"/>
      <w:numFmt w:val="lowerRoman"/>
      <w:lvlText w:val="%3."/>
      <w:lvlJc w:val="right"/>
      <w:pPr>
        <w:ind w:left="5290" w:hanging="180"/>
      </w:pPr>
    </w:lvl>
    <w:lvl w:ilvl="3" w:tplc="0C09000F" w:tentative="1">
      <w:start w:val="1"/>
      <w:numFmt w:val="decimal"/>
      <w:lvlText w:val="%4."/>
      <w:lvlJc w:val="left"/>
      <w:pPr>
        <w:ind w:left="6010" w:hanging="360"/>
      </w:pPr>
    </w:lvl>
    <w:lvl w:ilvl="4" w:tplc="0C090019" w:tentative="1">
      <w:start w:val="1"/>
      <w:numFmt w:val="lowerLetter"/>
      <w:lvlText w:val="%5."/>
      <w:lvlJc w:val="left"/>
      <w:pPr>
        <w:ind w:left="6730" w:hanging="360"/>
      </w:pPr>
    </w:lvl>
    <w:lvl w:ilvl="5" w:tplc="0C09001B" w:tentative="1">
      <w:start w:val="1"/>
      <w:numFmt w:val="lowerRoman"/>
      <w:lvlText w:val="%6."/>
      <w:lvlJc w:val="right"/>
      <w:pPr>
        <w:ind w:left="7450" w:hanging="180"/>
      </w:pPr>
    </w:lvl>
    <w:lvl w:ilvl="6" w:tplc="0C09000F" w:tentative="1">
      <w:start w:val="1"/>
      <w:numFmt w:val="decimal"/>
      <w:lvlText w:val="%7."/>
      <w:lvlJc w:val="left"/>
      <w:pPr>
        <w:ind w:left="8170" w:hanging="360"/>
      </w:pPr>
    </w:lvl>
    <w:lvl w:ilvl="7" w:tplc="0C090019" w:tentative="1">
      <w:start w:val="1"/>
      <w:numFmt w:val="lowerLetter"/>
      <w:lvlText w:val="%8."/>
      <w:lvlJc w:val="left"/>
      <w:pPr>
        <w:ind w:left="8890" w:hanging="360"/>
      </w:pPr>
    </w:lvl>
    <w:lvl w:ilvl="8" w:tplc="0C09001B" w:tentative="1">
      <w:start w:val="1"/>
      <w:numFmt w:val="lowerRoman"/>
      <w:lvlText w:val="%9."/>
      <w:lvlJc w:val="right"/>
      <w:pPr>
        <w:ind w:left="9610" w:hanging="180"/>
      </w:pPr>
    </w:lvl>
  </w:abstractNum>
  <w:abstractNum w:abstractNumId="31"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0014CA"/>
    <w:multiLevelType w:val="hybridMultilevel"/>
    <w:tmpl w:val="3D5695D6"/>
    <w:lvl w:ilvl="0" w:tplc="B832C51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E03E52"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E93EBF"/>
    <w:multiLevelType w:val="hybridMultilevel"/>
    <w:tmpl w:val="9B801DDE"/>
    <w:lvl w:ilvl="0" w:tplc="43EC157C">
      <w:start w:val="1"/>
      <w:numFmt w:val="decimal"/>
      <w:pStyle w:val="Legnumberedpara"/>
      <w:lvlText w:val="%1"/>
      <w:lvlJc w:val="left"/>
      <w:pPr>
        <w:ind w:left="912" w:hanging="5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3"/>
  </w:num>
  <w:num w:numId="3">
    <w:abstractNumId w:val="33"/>
  </w:num>
  <w:num w:numId="4">
    <w:abstractNumId w:val="11"/>
  </w:num>
  <w:num w:numId="5">
    <w:abstractNumId w:val="6"/>
  </w:num>
  <w:num w:numId="6">
    <w:abstractNumId w:val="7"/>
  </w:num>
  <w:num w:numId="7">
    <w:abstractNumId w:val="25"/>
  </w:num>
  <w:num w:numId="8">
    <w:abstractNumId w:val="19"/>
  </w:num>
  <w:num w:numId="9">
    <w:abstractNumId w:val="15"/>
  </w:num>
  <w:num w:numId="10">
    <w:abstractNumId w:val="0"/>
  </w:num>
  <w:num w:numId="11">
    <w:abstractNumId w:val="26"/>
  </w:num>
  <w:num w:numId="12">
    <w:abstractNumId w:val="27"/>
  </w:num>
  <w:num w:numId="13">
    <w:abstractNumId w:val="4"/>
  </w:num>
  <w:num w:numId="14">
    <w:abstractNumId w:val="34"/>
  </w:num>
  <w:num w:numId="15">
    <w:abstractNumId w:val="32"/>
  </w:num>
  <w:num w:numId="16">
    <w:abstractNumId w:val="14"/>
  </w:num>
  <w:num w:numId="17">
    <w:abstractNumId w:val="22"/>
  </w:num>
  <w:num w:numId="18">
    <w:abstractNumId w:val="21"/>
  </w:num>
  <w:num w:numId="19">
    <w:abstractNumId w:val="30"/>
  </w:num>
  <w:num w:numId="20">
    <w:abstractNumId w:val="29"/>
  </w:num>
  <w:num w:numId="21">
    <w:abstractNumId w:val="13"/>
  </w:num>
  <w:num w:numId="22">
    <w:abstractNumId w:val="9"/>
  </w:num>
  <w:num w:numId="23">
    <w:abstractNumId w:val="1"/>
  </w:num>
  <w:num w:numId="24">
    <w:abstractNumId w:val="16"/>
  </w:num>
  <w:num w:numId="25">
    <w:abstractNumId w:val="12"/>
  </w:num>
  <w:num w:numId="26">
    <w:abstractNumId w:val="5"/>
  </w:num>
  <w:num w:numId="27">
    <w:abstractNumId w:val="2"/>
  </w:num>
  <w:num w:numId="28">
    <w:abstractNumId w:val="20"/>
  </w:num>
  <w:num w:numId="29">
    <w:abstractNumId w:val="24"/>
  </w:num>
  <w:num w:numId="30">
    <w:abstractNumId w:val="18"/>
  </w:num>
  <w:num w:numId="31">
    <w:abstractNumId w:val="10"/>
  </w:num>
  <w:num w:numId="32">
    <w:abstractNumId w:val="28"/>
  </w:num>
  <w:num w:numId="33">
    <w:abstractNumId w:val="23"/>
  </w:num>
  <w:num w:numId="34">
    <w:abstractNumId w:val="17"/>
  </w:num>
  <w:num w:numId="35">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B9"/>
    <w:rsid w:val="00002F88"/>
    <w:rsid w:val="00003276"/>
    <w:rsid w:val="00005974"/>
    <w:rsid w:val="00005E59"/>
    <w:rsid w:val="0000671A"/>
    <w:rsid w:val="00006825"/>
    <w:rsid w:val="000069C9"/>
    <w:rsid w:val="00007404"/>
    <w:rsid w:val="00010073"/>
    <w:rsid w:val="00011903"/>
    <w:rsid w:val="00011A27"/>
    <w:rsid w:val="0001275B"/>
    <w:rsid w:val="0001377B"/>
    <w:rsid w:val="0001467B"/>
    <w:rsid w:val="00015173"/>
    <w:rsid w:val="000153C5"/>
    <w:rsid w:val="000165F4"/>
    <w:rsid w:val="00020AFA"/>
    <w:rsid w:val="00021409"/>
    <w:rsid w:val="000236A2"/>
    <w:rsid w:val="00024628"/>
    <w:rsid w:val="0002699C"/>
    <w:rsid w:val="00026AD8"/>
    <w:rsid w:val="00026D02"/>
    <w:rsid w:val="000278DF"/>
    <w:rsid w:val="00030537"/>
    <w:rsid w:val="00031039"/>
    <w:rsid w:val="0003190F"/>
    <w:rsid w:val="00033FD9"/>
    <w:rsid w:val="00035945"/>
    <w:rsid w:val="0004086C"/>
    <w:rsid w:val="00041FFA"/>
    <w:rsid w:val="0004248F"/>
    <w:rsid w:val="000429E6"/>
    <w:rsid w:val="00043C6D"/>
    <w:rsid w:val="00043E5C"/>
    <w:rsid w:val="0004554D"/>
    <w:rsid w:val="00046328"/>
    <w:rsid w:val="000511E6"/>
    <w:rsid w:val="00051D1C"/>
    <w:rsid w:val="00052789"/>
    <w:rsid w:val="0005293B"/>
    <w:rsid w:val="00052AC3"/>
    <w:rsid w:val="00052FF6"/>
    <w:rsid w:val="000544A5"/>
    <w:rsid w:val="00055300"/>
    <w:rsid w:val="000554B4"/>
    <w:rsid w:val="00056B3C"/>
    <w:rsid w:val="00057CEF"/>
    <w:rsid w:val="00064D0E"/>
    <w:rsid w:val="00065483"/>
    <w:rsid w:val="00065BA7"/>
    <w:rsid w:val="00070021"/>
    <w:rsid w:val="00070455"/>
    <w:rsid w:val="00070E70"/>
    <w:rsid w:val="00071460"/>
    <w:rsid w:val="00074379"/>
    <w:rsid w:val="00074B90"/>
    <w:rsid w:val="00074CD1"/>
    <w:rsid w:val="00074D7E"/>
    <w:rsid w:val="0007523D"/>
    <w:rsid w:val="00075483"/>
    <w:rsid w:val="00075A24"/>
    <w:rsid w:val="0008084E"/>
    <w:rsid w:val="00081408"/>
    <w:rsid w:val="00082A86"/>
    <w:rsid w:val="0008338B"/>
    <w:rsid w:val="000866DA"/>
    <w:rsid w:val="00086CA9"/>
    <w:rsid w:val="000876C5"/>
    <w:rsid w:val="00087FA9"/>
    <w:rsid w:val="0009083C"/>
    <w:rsid w:val="000913C6"/>
    <w:rsid w:val="000916CB"/>
    <w:rsid w:val="00091A97"/>
    <w:rsid w:val="00092E56"/>
    <w:rsid w:val="00093B03"/>
    <w:rsid w:val="00093E2D"/>
    <w:rsid w:val="00094667"/>
    <w:rsid w:val="00095D5F"/>
    <w:rsid w:val="000964C9"/>
    <w:rsid w:val="00096761"/>
    <w:rsid w:val="00096968"/>
    <w:rsid w:val="00097305"/>
    <w:rsid w:val="000A002E"/>
    <w:rsid w:val="000A1791"/>
    <w:rsid w:val="000A443D"/>
    <w:rsid w:val="000B1568"/>
    <w:rsid w:val="000B1EAB"/>
    <w:rsid w:val="000B2663"/>
    <w:rsid w:val="000B4213"/>
    <w:rsid w:val="000B46AF"/>
    <w:rsid w:val="000B50AE"/>
    <w:rsid w:val="000B6108"/>
    <w:rsid w:val="000B6CA4"/>
    <w:rsid w:val="000C0E65"/>
    <w:rsid w:val="000C10E9"/>
    <w:rsid w:val="000C15CB"/>
    <w:rsid w:val="000C21B5"/>
    <w:rsid w:val="000C2BBD"/>
    <w:rsid w:val="000C34D9"/>
    <w:rsid w:val="000C42E0"/>
    <w:rsid w:val="000C61E7"/>
    <w:rsid w:val="000C6A2A"/>
    <w:rsid w:val="000C79DF"/>
    <w:rsid w:val="000C7B37"/>
    <w:rsid w:val="000D0535"/>
    <w:rsid w:val="000D318B"/>
    <w:rsid w:val="000D3446"/>
    <w:rsid w:val="000D483B"/>
    <w:rsid w:val="000D5DC6"/>
    <w:rsid w:val="000D7875"/>
    <w:rsid w:val="000D7A38"/>
    <w:rsid w:val="000D7EFA"/>
    <w:rsid w:val="000E1BC1"/>
    <w:rsid w:val="000E358A"/>
    <w:rsid w:val="000E3837"/>
    <w:rsid w:val="000E4646"/>
    <w:rsid w:val="000E48B4"/>
    <w:rsid w:val="000E4C12"/>
    <w:rsid w:val="000E6111"/>
    <w:rsid w:val="000F06F5"/>
    <w:rsid w:val="000F1D86"/>
    <w:rsid w:val="000F3D06"/>
    <w:rsid w:val="000F56CB"/>
    <w:rsid w:val="000F5CC5"/>
    <w:rsid w:val="000F75EF"/>
    <w:rsid w:val="001008C2"/>
    <w:rsid w:val="00101312"/>
    <w:rsid w:val="00101A22"/>
    <w:rsid w:val="001028E4"/>
    <w:rsid w:val="00103203"/>
    <w:rsid w:val="0010398E"/>
    <w:rsid w:val="00105CEF"/>
    <w:rsid w:val="00111980"/>
    <w:rsid w:val="001124D0"/>
    <w:rsid w:val="0011268F"/>
    <w:rsid w:val="00112F49"/>
    <w:rsid w:val="001146F2"/>
    <w:rsid w:val="0011669B"/>
    <w:rsid w:val="00116D63"/>
    <w:rsid w:val="00117CFA"/>
    <w:rsid w:val="00117E0C"/>
    <w:rsid w:val="00124466"/>
    <w:rsid w:val="00124B5E"/>
    <w:rsid w:val="00125222"/>
    <w:rsid w:val="00127FE0"/>
    <w:rsid w:val="0013015F"/>
    <w:rsid w:val="001307D8"/>
    <w:rsid w:val="00130DAC"/>
    <w:rsid w:val="001334A5"/>
    <w:rsid w:val="00135322"/>
    <w:rsid w:val="001361BE"/>
    <w:rsid w:val="0013699C"/>
    <w:rsid w:val="00136DA2"/>
    <w:rsid w:val="00137F8A"/>
    <w:rsid w:val="0014028B"/>
    <w:rsid w:val="00143D5A"/>
    <w:rsid w:val="001466FF"/>
    <w:rsid w:val="001546B3"/>
    <w:rsid w:val="00154900"/>
    <w:rsid w:val="001553CF"/>
    <w:rsid w:val="00162718"/>
    <w:rsid w:val="00165789"/>
    <w:rsid w:val="00166187"/>
    <w:rsid w:val="00166916"/>
    <w:rsid w:val="00166BC8"/>
    <w:rsid w:val="001712FA"/>
    <w:rsid w:val="00171C89"/>
    <w:rsid w:val="00171E96"/>
    <w:rsid w:val="00172870"/>
    <w:rsid w:val="001750D9"/>
    <w:rsid w:val="00176021"/>
    <w:rsid w:val="00176D62"/>
    <w:rsid w:val="00177114"/>
    <w:rsid w:val="00180941"/>
    <w:rsid w:val="00181BA6"/>
    <w:rsid w:val="00182889"/>
    <w:rsid w:val="00184C5A"/>
    <w:rsid w:val="00184CB9"/>
    <w:rsid w:val="00185A3F"/>
    <w:rsid w:val="00186984"/>
    <w:rsid w:val="00192351"/>
    <w:rsid w:val="001955BC"/>
    <w:rsid w:val="00197B06"/>
    <w:rsid w:val="001A0085"/>
    <w:rsid w:val="001A07AB"/>
    <w:rsid w:val="001A1D99"/>
    <w:rsid w:val="001A470F"/>
    <w:rsid w:val="001A51DE"/>
    <w:rsid w:val="001A624D"/>
    <w:rsid w:val="001B0DF9"/>
    <w:rsid w:val="001B12AB"/>
    <w:rsid w:val="001B13E7"/>
    <w:rsid w:val="001B1E36"/>
    <w:rsid w:val="001B21D4"/>
    <w:rsid w:val="001B232D"/>
    <w:rsid w:val="001B2358"/>
    <w:rsid w:val="001B2487"/>
    <w:rsid w:val="001B28B3"/>
    <w:rsid w:val="001B597A"/>
    <w:rsid w:val="001B74B5"/>
    <w:rsid w:val="001C0B8C"/>
    <w:rsid w:val="001C1932"/>
    <w:rsid w:val="001C2BE2"/>
    <w:rsid w:val="001C4846"/>
    <w:rsid w:val="001C51D3"/>
    <w:rsid w:val="001C5495"/>
    <w:rsid w:val="001C55BC"/>
    <w:rsid w:val="001C79D0"/>
    <w:rsid w:val="001C7A72"/>
    <w:rsid w:val="001D01A5"/>
    <w:rsid w:val="001D1540"/>
    <w:rsid w:val="001D2840"/>
    <w:rsid w:val="001D3883"/>
    <w:rsid w:val="001D3B38"/>
    <w:rsid w:val="001D4824"/>
    <w:rsid w:val="001D5594"/>
    <w:rsid w:val="001D5D9A"/>
    <w:rsid w:val="001D63F4"/>
    <w:rsid w:val="001E020A"/>
    <w:rsid w:val="001E05E0"/>
    <w:rsid w:val="001E2153"/>
    <w:rsid w:val="001E3D79"/>
    <w:rsid w:val="001E4FF0"/>
    <w:rsid w:val="001E72B6"/>
    <w:rsid w:val="001E7BE6"/>
    <w:rsid w:val="001F0E49"/>
    <w:rsid w:val="001F1C08"/>
    <w:rsid w:val="001F1E8D"/>
    <w:rsid w:val="001F1EE8"/>
    <w:rsid w:val="001F23BB"/>
    <w:rsid w:val="001F3AD0"/>
    <w:rsid w:val="001F412B"/>
    <w:rsid w:val="001F4257"/>
    <w:rsid w:val="001F77CC"/>
    <w:rsid w:val="001F7935"/>
    <w:rsid w:val="002011BF"/>
    <w:rsid w:val="00201C8C"/>
    <w:rsid w:val="00202E34"/>
    <w:rsid w:val="0020326C"/>
    <w:rsid w:val="0020681A"/>
    <w:rsid w:val="00206CC4"/>
    <w:rsid w:val="00207961"/>
    <w:rsid w:val="002124F4"/>
    <w:rsid w:val="00212738"/>
    <w:rsid w:val="00213108"/>
    <w:rsid w:val="0021443D"/>
    <w:rsid w:val="00215E9C"/>
    <w:rsid w:val="00216E37"/>
    <w:rsid w:val="00217632"/>
    <w:rsid w:val="002253C5"/>
    <w:rsid w:val="002265EF"/>
    <w:rsid w:val="002270B2"/>
    <w:rsid w:val="00230642"/>
    <w:rsid w:val="00232A46"/>
    <w:rsid w:val="002348D9"/>
    <w:rsid w:val="00234B9C"/>
    <w:rsid w:val="00236C2C"/>
    <w:rsid w:val="002401E0"/>
    <w:rsid w:val="00241D54"/>
    <w:rsid w:val="002423D6"/>
    <w:rsid w:val="0024260D"/>
    <w:rsid w:val="00242615"/>
    <w:rsid w:val="00243D15"/>
    <w:rsid w:val="0024470D"/>
    <w:rsid w:val="00245094"/>
    <w:rsid w:val="00245E0D"/>
    <w:rsid w:val="002500E4"/>
    <w:rsid w:val="002502FA"/>
    <w:rsid w:val="002507B8"/>
    <w:rsid w:val="00250D3C"/>
    <w:rsid w:val="00252D50"/>
    <w:rsid w:val="00255FA9"/>
    <w:rsid w:val="0025704A"/>
    <w:rsid w:val="002579E7"/>
    <w:rsid w:val="00257D40"/>
    <w:rsid w:val="0026132F"/>
    <w:rsid w:val="002631A9"/>
    <w:rsid w:val="002632ED"/>
    <w:rsid w:val="002641BA"/>
    <w:rsid w:val="002653FE"/>
    <w:rsid w:val="00265619"/>
    <w:rsid w:val="00266DD3"/>
    <w:rsid w:val="002675E3"/>
    <w:rsid w:val="00270920"/>
    <w:rsid w:val="00271B26"/>
    <w:rsid w:val="002734AC"/>
    <w:rsid w:val="00273E14"/>
    <w:rsid w:val="00277A19"/>
    <w:rsid w:val="00283019"/>
    <w:rsid w:val="0028351B"/>
    <w:rsid w:val="00283B45"/>
    <w:rsid w:val="00284962"/>
    <w:rsid w:val="00285026"/>
    <w:rsid w:val="002859F3"/>
    <w:rsid w:val="002861DE"/>
    <w:rsid w:val="00286D71"/>
    <w:rsid w:val="00286E35"/>
    <w:rsid w:val="00287662"/>
    <w:rsid w:val="002905E2"/>
    <w:rsid w:val="00290B35"/>
    <w:rsid w:val="00290B9D"/>
    <w:rsid w:val="00292CB9"/>
    <w:rsid w:val="00292E72"/>
    <w:rsid w:val="002934F6"/>
    <w:rsid w:val="002936B5"/>
    <w:rsid w:val="00294195"/>
    <w:rsid w:val="00294DA2"/>
    <w:rsid w:val="00297D3A"/>
    <w:rsid w:val="002A0F4A"/>
    <w:rsid w:val="002A2E8C"/>
    <w:rsid w:val="002A4D1A"/>
    <w:rsid w:val="002A5563"/>
    <w:rsid w:val="002A5F0D"/>
    <w:rsid w:val="002A5FD2"/>
    <w:rsid w:val="002B01BC"/>
    <w:rsid w:val="002B19E3"/>
    <w:rsid w:val="002B39C1"/>
    <w:rsid w:val="002B428B"/>
    <w:rsid w:val="002B4947"/>
    <w:rsid w:val="002B5C36"/>
    <w:rsid w:val="002B6A65"/>
    <w:rsid w:val="002C0C6F"/>
    <w:rsid w:val="002C135F"/>
    <w:rsid w:val="002C40E5"/>
    <w:rsid w:val="002C42B6"/>
    <w:rsid w:val="002C4D9C"/>
    <w:rsid w:val="002C5DF9"/>
    <w:rsid w:val="002C76A7"/>
    <w:rsid w:val="002D0EF0"/>
    <w:rsid w:val="002D1EC6"/>
    <w:rsid w:val="002D32F1"/>
    <w:rsid w:val="002D3A4E"/>
    <w:rsid w:val="002D5132"/>
    <w:rsid w:val="002D5327"/>
    <w:rsid w:val="002E1324"/>
    <w:rsid w:val="002E1BAB"/>
    <w:rsid w:val="002E4B0D"/>
    <w:rsid w:val="002E564C"/>
    <w:rsid w:val="002E568A"/>
    <w:rsid w:val="002E571C"/>
    <w:rsid w:val="002E585D"/>
    <w:rsid w:val="002E64A5"/>
    <w:rsid w:val="002E6844"/>
    <w:rsid w:val="002F0500"/>
    <w:rsid w:val="002F119E"/>
    <w:rsid w:val="002F2D16"/>
    <w:rsid w:val="002F3B2C"/>
    <w:rsid w:val="002F40AF"/>
    <w:rsid w:val="00302B5A"/>
    <w:rsid w:val="00302CAB"/>
    <w:rsid w:val="00304A6B"/>
    <w:rsid w:val="00307FDC"/>
    <w:rsid w:val="00312C15"/>
    <w:rsid w:val="00312EC4"/>
    <w:rsid w:val="0031444B"/>
    <w:rsid w:val="00315999"/>
    <w:rsid w:val="00316AFA"/>
    <w:rsid w:val="00320A54"/>
    <w:rsid w:val="00323F53"/>
    <w:rsid w:val="0032408B"/>
    <w:rsid w:val="00324E31"/>
    <w:rsid w:val="003272F3"/>
    <w:rsid w:val="00330482"/>
    <w:rsid w:val="0033100B"/>
    <w:rsid w:val="0033196E"/>
    <w:rsid w:val="003319E9"/>
    <w:rsid w:val="00333526"/>
    <w:rsid w:val="003338BA"/>
    <w:rsid w:val="00333C8A"/>
    <w:rsid w:val="00334106"/>
    <w:rsid w:val="003360CA"/>
    <w:rsid w:val="00337543"/>
    <w:rsid w:val="00342EB6"/>
    <w:rsid w:val="00343166"/>
    <w:rsid w:val="00343E08"/>
    <w:rsid w:val="00345880"/>
    <w:rsid w:val="00346AF8"/>
    <w:rsid w:val="00347C66"/>
    <w:rsid w:val="00350C2D"/>
    <w:rsid w:val="003523CF"/>
    <w:rsid w:val="00352B9D"/>
    <w:rsid w:val="0035372C"/>
    <w:rsid w:val="00360E79"/>
    <w:rsid w:val="00362321"/>
    <w:rsid w:val="0036443F"/>
    <w:rsid w:val="00365520"/>
    <w:rsid w:val="00366B5C"/>
    <w:rsid w:val="00367110"/>
    <w:rsid w:val="003674A9"/>
    <w:rsid w:val="0036754D"/>
    <w:rsid w:val="00367669"/>
    <w:rsid w:val="0037034C"/>
    <w:rsid w:val="00370E2D"/>
    <w:rsid w:val="00371CA6"/>
    <w:rsid w:val="0037297E"/>
    <w:rsid w:val="00372985"/>
    <w:rsid w:val="003730C1"/>
    <w:rsid w:val="00373101"/>
    <w:rsid w:val="0037381F"/>
    <w:rsid w:val="00374466"/>
    <w:rsid w:val="003749AF"/>
    <w:rsid w:val="00376D9E"/>
    <w:rsid w:val="00377DDC"/>
    <w:rsid w:val="00380805"/>
    <w:rsid w:val="00380BBA"/>
    <w:rsid w:val="0038261C"/>
    <w:rsid w:val="003830F4"/>
    <w:rsid w:val="0038352B"/>
    <w:rsid w:val="00383DB9"/>
    <w:rsid w:val="00387801"/>
    <w:rsid w:val="0039012F"/>
    <w:rsid w:val="00391109"/>
    <w:rsid w:val="00391539"/>
    <w:rsid w:val="00391C33"/>
    <w:rsid w:val="00392224"/>
    <w:rsid w:val="00392A63"/>
    <w:rsid w:val="0039354F"/>
    <w:rsid w:val="00394D69"/>
    <w:rsid w:val="00394DCA"/>
    <w:rsid w:val="00394DF3"/>
    <w:rsid w:val="003952A6"/>
    <w:rsid w:val="00395CA8"/>
    <w:rsid w:val="003A0617"/>
    <w:rsid w:val="003A1F7B"/>
    <w:rsid w:val="003A391C"/>
    <w:rsid w:val="003A396A"/>
    <w:rsid w:val="003A4BD5"/>
    <w:rsid w:val="003A602F"/>
    <w:rsid w:val="003A7464"/>
    <w:rsid w:val="003A7847"/>
    <w:rsid w:val="003B0590"/>
    <w:rsid w:val="003B62A1"/>
    <w:rsid w:val="003B734A"/>
    <w:rsid w:val="003C05A4"/>
    <w:rsid w:val="003C2E4F"/>
    <w:rsid w:val="003C34FA"/>
    <w:rsid w:val="003C6162"/>
    <w:rsid w:val="003C7A52"/>
    <w:rsid w:val="003D02CB"/>
    <w:rsid w:val="003D131F"/>
    <w:rsid w:val="003D393A"/>
    <w:rsid w:val="003D5BE5"/>
    <w:rsid w:val="003D75E1"/>
    <w:rsid w:val="003E2396"/>
    <w:rsid w:val="003E3F49"/>
    <w:rsid w:val="003E715C"/>
    <w:rsid w:val="003F173C"/>
    <w:rsid w:val="003F2C19"/>
    <w:rsid w:val="003F31E6"/>
    <w:rsid w:val="003F370F"/>
    <w:rsid w:val="003F3D8D"/>
    <w:rsid w:val="003F77D5"/>
    <w:rsid w:val="004004F6"/>
    <w:rsid w:val="00400799"/>
    <w:rsid w:val="004007C5"/>
    <w:rsid w:val="00400802"/>
    <w:rsid w:val="00400EAE"/>
    <w:rsid w:val="00402B65"/>
    <w:rsid w:val="00404B07"/>
    <w:rsid w:val="004064E4"/>
    <w:rsid w:val="00407FBE"/>
    <w:rsid w:val="00410598"/>
    <w:rsid w:val="004127CF"/>
    <w:rsid w:val="00415B1E"/>
    <w:rsid w:val="00415D98"/>
    <w:rsid w:val="00416E32"/>
    <w:rsid w:val="00417F93"/>
    <w:rsid w:val="00420A85"/>
    <w:rsid w:val="00420D0C"/>
    <w:rsid w:val="00420F91"/>
    <w:rsid w:val="004218E0"/>
    <w:rsid w:val="00423426"/>
    <w:rsid w:val="004247A4"/>
    <w:rsid w:val="00425A70"/>
    <w:rsid w:val="00425BBB"/>
    <w:rsid w:val="00425FC5"/>
    <w:rsid w:val="0043053B"/>
    <w:rsid w:val="004313AA"/>
    <w:rsid w:val="004336F5"/>
    <w:rsid w:val="004354B6"/>
    <w:rsid w:val="004400DA"/>
    <w:rsid w:val="0044050F"/>
    <w:rsid w:val="00442D80"/>
    <w:rsid w:val="0044324C"/>
    <w:rsid w:val="004439EE"/>
    <w:rsid w:val="00444406"/>
    <w:rsid w:val="00445D86"/>
    <w:rsid w:val="00447122"/>
    <w:rsid w:val="00447D14"/>
    <w:rsid w:val="00451CF4"/>
    <w:rsid w:val="00456CB5"/>
    <w:rsid w:val="00460915"/>
    <w:rsid w:val="00462EBD"/>
    <w:rsid w:val="004633C8"/>
    <w:rsid w:val="004644BD"/>
    <w:rsid w:val="00464732"/>
    <w:rsid w:val="00464FC1"/>
    <w:rsid w:val="00466875"/>
    <w:rsid w:val="00467375"/>
    <w:rsid w:val="00475A69"/>
    <w:rsid w:val="00475DD9"/>
    <w:rsid w:val="004766E3"/>
    <w:rsid w:val="00476A85"/>
    <w:rsid w:val="00476F98"/>
    <w:rsid w:val="004772A3"/>
    <w:rsid w:val="00477BC6"/>
    <w:rsid w:val="004808D5"/>
    <w:rsid w:val="004816F6"/>
    <w:rsid w:val="00482506"/>
    <w:rsid w:val="004831D7"/>
    <w:rsid w:val="00483AC3"/>
    <w:rsid w:val="00484517"/>
    <w:rsid w:val="00484F4D"/>
    <w:rsid w:val="00485B78"/>
    <w:rsid w:val="00487486"/>
    <w:rsid w:val="00490599"/>
    <w:rsid w:val="0049072A"/>
    <w:rsid w:val="00490774"/>
    <w:rsid w:val="00492767"/>
    <w:rsid w:val="00492BC5"/>
    <w:rsid w:val="00492EF2"/>
    <w:rsid w:val="0049372D"/>
    <w:rsid w:val="00493BFC"/>
    <w:rsid w:val="00496183"/>
    <w:rsid w:val="0049743F"/>
    <w:rsid w:val="00497864"/>
    <w:rsid w:val="004A2F90"/>
    <w:rsid w:val="004A4CC0"/>
    <w:rsid w:val="004A67DF"/>
    <w:rsid w:val="004B0C21"/>
    <w:rsid w:val="004B22EA"/>
    <w:rsid w:val="004C0831"/>
    <w:rsid w:val="004C1F5A"/>
    <w:rsid w:val="004C2044"/>
    <w:rsid w:val="004C33FC"/>
    <w:rsid w:val="004C4144"/>
    <w:rsid w:val="004C4983"/>
    <w:rsid w:val="004D02B7"/>
    <w:rsid w:val="004D07D9"/>
    <w:rsid w:val="004D09B5"/>
    <w:rsid w:val="004D1099"/>
    <w:rsid w:val="004D76F0"/>
    <w:rsid w:val="004E0535"/>
    <w:rsid w:val="004E1A19"/>
    <w:rsid w:val="004E1F1B"/>
    <w:rsid w:val="004E254F"/>
    <w:rsid w:val="004E360E"/>
    <w:rsid w:val="004E51B1"/>
    <w:rsid w:val="004E6221"/>
    <w:rsid w:val="004E6E08"/>
    <w:rsid w:val="004E75F9"/>
    <w:rsid w:val="004F2059"/>
    <w:rsid w:val="004F25D7"/>
    <w:rsid w:val="004F275B"/>
    <w:rsid w:val="004F2931"/>
    <w:rsid w:val="004F3096"/>
    <w:rsid w:val="004F4C09"/>
    <w:rsid w:val="004F51B4"/>
    <w:rsid w:val="005006EF"/>
    <w:rsid w:val="00500AD1"/>
    <w:rsid w:val="0050188C"/>
    <w:rsid w:val="00502F0A"/>
    <w:rsid w:val="00503156"/>
    <w:rsid w:val="0050346C"/>
    <w:rsid w:val="00503B0E"/>
    <w:rsid w:val="00504035"/>
    <w:rsid w:val="00504AA2"/>
    <w:rsid w:val="00504B39"/>
    <w:rsid w:val="00505718"/>
    <w:rsid w:val="00507DBC"/>
    <w:rsid w:val="005101FC"/>
    <w:rsid w:val="00513138"/>
    <w:rsid w:val="0051414C"/>
    <w:rsid w:val="00516672"/>
    <w:rsid w:val="00517828"/>
    <w:rsid w:val="00517BE4"/>
    <w:rsid w:val="00520D7C"/>
    <w:rsid w:val="005213C8"/>
    <w:rsid w:val="00522B24"/>
    <w:rsid w:val="00522D0F"/>
    <w:rsid w:val="00522FAE"/>
    <w:rsid w:val="00522FD5"/>
    <w:rsid w:val="0052329F"/>
    <w:rsid w:val="005232B0"/>
    <w:rsid w:val="00524778"/>
    <w:rsid w:val="0052583F"/>
    <w:rsid w:val="00525DFC"/>
    <w:rsid w:val="0052651C"/>
    <w:rsid w:val="00531D0C"/>
    <w:rsid w:val="00533108"/>
    <w:rsid w:val="0053458C"/>
    <w:rsid w:val="005351B4"/>
    <w:rsid w:val="00540407"/>
    <w:rsid w:val="00544413"/>
    <w:rsid w:val="00544D7B"/>
    <w:rsid w:val="005450A9"/>
    <w:rsid w:val="00545149"/>
    <w:rsid w:val="00546A7F"/>
    <w:rsid w:val="00546EE6"/>
    <w:rsid w:val="005475B0"/>
    <w:rsid w:val="00550767"/>
    <w:rsid w:val="00552807"/>
    <w:rsid w:val="00555DE2"/>
    <w:rsid w:val="00557657"/>
    <w:rsid w:val="00560FE3"/>
    <w:rsid w:val="005619A1"/>
    <w:rsid w:val="0056317B"/>
    <w:rsid w:val="005634D5"/>
    <w:rsid w:val="005634DF"/>
    <w:rsid w:val="005703A8"/>
    <w:rsid w:val="005704C9"/>
    <w:rsid w:val="00573C6F"/>
    <w:rsid w:val="00573D51"/>
    <w:rsid w:val="00575D7E"/>
    <w:rsid w:val="00576FE8"/>
    <w:rsid w:val="00577BF8"/>
    <w:rsid w:val="0058082B"/>
    <w:rsid w:val="00580888"/>
    <w:rsid w:val="00580A78"/>
    <w:rsid w:val="00580D19"/>
    <w:rsid w:val="005838CE"/>
    <w:rsid w:val="005839AD"/>
    <w:rsid w:val="005841E2"/>
    <w:rsid w:val="00584DA6"/>
    <w:rsid w:val="00585E58"/>
    <w:rsid w:val="00586881"/>
    <w:rsid w:val="00587FD9"/>
    <w:rsid w:val="0059015C"/>
    <w:rsid w:val="005907F7"/>
    <w:rsid w:val="00590A06"/>
    <w:rsid w:val="00590EE5"/>
    <w:rsid w:val="00591AC7"/>
    <w:rsid w:val="00591E8C"/>
    <w:rsid w:val="005934C8"/>
    <w:rsid w:val="00595C92"/>
    <w:rsid w:val="0059607B"/>
    <w:rsid w:val="00596749"/>
    <w:rsid w:val="00596A8E"/>
    <w:rsid w:val="00597494"/>
    <w:rsid w:val="0059772B"/>
    <w:rsid w:val="00597AAA"/>
    <w:rsid w:val="005A0311"/>
    <w:rsid w:val="005A134E"/>
    <w:rsid w:val="005A28F7"/>
    <w:rsid w:val="005A48B3"/>
    <w:rsid w:val="005A48DB"/>
    <w:rsid w:val="005A5114"/>
    <w:rsid w:val="005A5795"/>
    <w:rsid w:val="005A63D8"/>
    <w:rsid w:val="005B028C"/>
    <w:rsid w:val="005B0DA4"/>
    <w:rsid w:val="005B268E"/>
    <w:rsid w:val="005B4A4B"/>
    <w:rsid w:val="005B4B78"/>
    <w:rsid w:val="005B6DBD"/>
    <w:rsid w:val="005B791D"/>
    <w:rsid w:val="005C05D1"/>
    <w:rsid w:val="005C05FE"/>
    <w:rsid w:val="005C06A7"/>
    <w:rsid w:val="005C0937"/>
    <w:rsid w:val="005C36C6"/>
    <w:rsid w:val="005C5AD7"/>
    <w:rsid w:val="005C6183"/>
    <w:rsid w:val="005D04A0"/>
    <w:rsid w:val="005D29FA"/>
    <w:rsid w:val="005D3B97"/>
    <w:rsid w:val="005D50C9"/>
    <w:rsid w:val="005D50F3"/>
    <w:rsid w:val="005D5210"/>
    <w:rsid w:val="005D64EE"/>
    <w:rsid w:val="005D71F2"/>
    <w:rsid w:val="005E0230"/>
    <w:rsid w:val="005E140E"/>
    <w:rsid w:val="005E17E4"/>
    <w:rsid w:val="005E1CE9"/>
    <w:rsid w:val="005E2E2F"/>
    <w:rsid w:val="005E34FB"/>
    <w:rsid w:val="005E5A84"/>
    <w:rsid w:val="005E7B8A"/>
    <w:rsid w:val="005F158B"/>
    <w:rsid w:val="005F35AE"/>
    <w:rsid w:val="005F4C71"/>
    <w:rsid w:val="005F5750"/>
    <w:rsid w:val="005F6484"/>
    <w:rsid w:val="005F77A7"/>
    <w:rsid w:val="0060084B"/>
    <w:rsid w:val="006032D4"/>
    <w:rsid w:val="00606886"/>
    <w:rsid w:val="00613ACA"/>
    <w:rsid w:val="00613C56"/>
    <w:rsid w:val="00615093"/>
    <w:rsid w:val="00615867"/>
    <w:rsid w:val="006177BB"/>
    <w:rsid w:val="006205B0"/>
    <w:rsid w:val="00620FF1"/>
    <w:rsid w:val="006215DF"/>
    <w:rsid w:val="006216DC"/>
    <w:rsid w:val="006222D4"/>
    <w:rsid w:val="0062428B"/>
    <w:rsid w:val="00624852"/>
    <w:rsid w:val="006267EF"/>
    <w:rsid w:val="00627742"/>
    <w:rsid w:val="00630F51"/>
    <w:rsid w:val="006331C7"/>
    <w:rsid w:val="0063404E"/>
    <w:rsid w:val="00635778"/>
    <w:rsid w:val="00641875"/>
    <w:rsid w:val="00641DBA"/>
    <w:rsid w:val="006435D4"/>
    <w:rsid w:val="00646AF1"/>
    <w:rsid w:val="00647C64"/>
    <w:rsid w:val="0065204C"/>
    <w:rsid w:val="006554CD"/>
    <w:rsid w:val="00655902"/>
    <w:rsid w:val="00657352"/>
    <w:rsid w:val="006617C3"/>
    <w:rsid w:val="00662885"/>
    <w:rsid w:val="00662C52"/>
    <w:rsid w:val="0066418C"/>
    <w:rsid w:val="00664A40"/>
    <w:rsid w:val="00664A4E"/>
    <w:rsid w:val="0066568D"/>
    <w:rsid w:val="00670F41"/>
    <w:rsid w:val="00672C57"/>
    <w:rsid w:val="0067465A"/>
    <w:rsid w:val="00674BA8"/>
    <w:rsid w:val="00676C24"/>
    <w:rsid w:val="00677138"/>
    <w:rsid w:val="0068044D"/>
    <w:rsid w:val="00680AE8"/>
    <w:rsid w:val="00680F81"/>
    <w:rsid w:val="00683A70"/>
    <w:rsid w:val="00684951"/>
    <w:rsid w:val="00684F0B"/>
    <w:rsid w:val="006853C1"/>
    <w:rsid w:val="0068545E"/>
    <w:rsid w:val="006870EA"/>
    <w:rsid w:val="0068731C"/>
    <w:rsid w:val="0069144C"/>
    <w:rsid w:val="00691526"/>
    <w:rsid w:val="00691804"/>
    <w:rsid w:val="00692832"/>
    <w:rsid w:val="00693110"/>
    <w:rsid w:val="00695911"/>
    <w:rsid w:val="006A0285"/>
    <w:rsid w:val="006A22B6"/>
    <w:rsid w:val="006A30F2"/>
    <w:rsid w:val="006A32B2"/>
    <w:rsid w:val="006A4873"/>
    <w:rsid w:val="006A57BC"/>
    <w:rsid w:val="006A5BAB"/>
    <w:rsid w:val="006A712B"/>
    <w:rsid w:val="006B0953"/>
    <w:rsid w:val="006B3B24"/>
    <w:rsid w:val="006B56B7"/>
    <w:rsid w:val="006B7CF3"/>
    <w:rsid w:val="006C0D2D"/>
    <w:rsid w:val="006C14C3"/>
    <w:rsid w:val="006C15D6"/>
    <w:rsid w:val="006C2699"/>
    <w:rsid w:val="006C3B0B"/>
    <w:rsid w:val="006C4E86"/>
    <w:rsid w:val="006C4F8C"/>
    <w:rsid w:val="006C66AE"/>
    <w:rsid w:val="006D4FED"/>
    <w:rsid w:val="006D5685"/>
    <w:rsid w:val="006D75F6"/>
    <w:rsid w:val="006D7885"/>
    <w:rsid w:val="006E14BC"/>
    <w:rsid w:val="006E255B"/>
    <w:rsid w:val="006E31F6"/>
    <w:rsid w:val="006E324C"/>
    <w:rsid w:val="006E5324"/>
    <w:rsid w:val="006E5B05"/>
    <w:rsid w:val="006E7F1A"/>
    <w:rsid w:val="006F0893"/>
    <w:rsid w:val="006F1290"/>
    <w:rsid w:val="006F18EF"/>
    <w:rsid w:val="006F62C0"/>
    <w:rsid w:val="006F6614"/>
    <w:rsid w:val="006F770B"/>
    <w:rsid w:val="0070190B"/>
    <w:rsid w:val="0070442B"/>
    <w:rsid w:val="0070475E"/>
    <w:rsid w:val="0070498D"/>
    <w:rsid w:val="00704C09"/>
    <w:rsid w:val="00706DC0"/>
    <w:rsid w:val="0071194A"/>
    <w:rsid w:val="007120CF"/>
    <w:rsid w:val="00715D2F"/>
    <w:rsid w:val="0071692F"/>
    <w:rsid w:val="00716C37"/>
    <w:rsid w:val="00717C85"/>
    <w:rsid w:val="00720131"/>
    <w:rsid w:val="00720A74"/>
    <w:rsid w:val="00721F99"/>
    <w:rsid w:val="007224F1"/>
    <w:rsid w:val="00723198"/>
    <w:rsid w:val="007234E4"/>
    <w:rsid w:val="00723AA1"/>
    <w:rsid w:val="0073137D"/>
    <w:rsid w:val="00732D7C"/>
    <w:rsid w:val="0073449B"/>
    <w:rsid w:val="00735331"/>
    <w:rsid w:val="0074102D"/>
    <w:rsid w:val="0074245C"/>
    <w:rsid w:val="007433A4"/>
    <w:rsid w:val="007455FA"/>
    <w:rsid w:val="00745CD7"/>
    <w:rsid w:val="0074651D"/>
    <w:rsid w:val="00746D9F"/>
    <w:rsid w:val="00747059"/>
    <w:rsid w:val="00747A36"/>
    <w:rsid w:val="00747AB3"/>
    <w:rsid w:val="00750C45"/>
    <w:rsid w:val="007512E0"/>
    <w:rsid w:val="007523EE"/>
    <w:rsid w:val="00753224"/>
    <w:rsid w:val="00753B1E"/>
    <w:rsid w:val="00754A5A"/>
    <w:rsid w:val="00761B31"/>
    <w:rsid w:val="00762D90"/>
    <w:rsid w:val="0076316B"/>
    <w:rsid w:val="007632F0"/>
    <w:rsid w:val="0076355D"/>
    <w:rsid w:val="00765023"/>
    <w:rsid w:val="0076595C"/>
    <w:rsid w:val="00766535"/>
    <w:rsid w:val="0076756F"/>
    <w:rsid w:val="0077106C"/>
    <w:rsid w:val="0077128E"/>
    <w:rsid w:val="0077198B"/>
    <w:rsid w:val="00772095"/>
    <w:rsid w:val="007722F5"/>
    <w:rsid w:val="00773CCC"/>
    <w:rsid w:val="0077490C"/>
    <w:rsid w:val="00775A76"/>
    <w:rsid w:val="0078008E"/>
    <w:rsid w:val="00784138"/>
    <w:rsid w:val="007841E8"/>
    <w:rsid w:val="00784AD7"/>
    <w:rsid w:val="00786C3F"/>
    <w:rsid w:val="007874F8"/>
    <w:rsid w:val="00787531"/>
    <w:rsid w:val="00791C6F"/>
    <w:rsid w:val="00793B3B"/>
    <w:rsid w:val="007945FA"/>
    <w:rsid w:val="00794DCB"/>
    <w:rsid w:val="00795126"/>
    <w:rsid w:val="00795503"/>
    <w:rsid w:val="007A023D"/>
    <w:rsid w:val="007A3782"/>
    <w:rsid w:val="007A42CC"/>
    <w:rsid w:val="007A4788"/>
    <w:rsid w:val="007B042C"/>
    <w:rsid w:val="007B1235"/>
    <w:rsid w:val="007B1AB2"/>
    <w:rsid w:val="007B2C2B"/>
    <w:rsid w:val="007B405A"/>
    <w:rsid w:val="007C0AA3"/>
    <w:rsid w:val="007C192B"/>
    <w:rsid w:val="007C3B5E"/>
    <w:rsid w:val="007C3D1C"/>
    <w:rsid w:val="007C44EF"/>
    <w:rsid w:val="007C532F"/>
    <w:rsid w:val="007C592B"/>
    <w:rsid w:val="007D14C1"/>
    <w:rsid w:val="007D171E"/>
    <w:rsid w:val="007D2370"/>
    <w:rsid w:val="007D2A11"/>
    <w:rsid w:val="007D36AA"/>
    <w:rsid w:val="007D6331"/>
    <w:rsid w:val="007D6CEC"/>
    <w:rsid w:val="007D6DBF"/>
    <w:rsid w:val="007D7CB5"/>
    <w:rsid w:val="007E028C"/>
    <w:rsid w:val="007E0976"/>
    <w:rsid w:val="007E135F"/>
    <w:rsid w:val="007E4D1C"/>
    <w:rsid w:val="007E53DF"/>
    <w:rsid w:val="007E54DA"/>
    <w:rsid w:val="007E5AAA"/>
    <w:rsid w:val="007E6B6E"/>
    <w:rsid w:val="007E724B"/>
    <w:rsid w:val="007E78D6"/>
    <w:rsid w:val="007F211F"/>
    <w:rsid w:val="007F368B"/>
    <w:rsid w:val="007F39A5"/>
    <w:rsid w:val="007F4498"/>
    <w:rsid w:val="007F6AF0"/>
    <w:rsid w:val="007F713D"/>
    <w:rsid w:val="007F71DB"/>
    <w:rsid w:val="007F7B83"/>
    <w:rsid w:val="008006A1"/>
    <w:rsid w:val="00801315"/>
    <w:rsid w:val="008014B1"/>
    <w:rsid w:val="0080171D"/>
    <w:rsid w:val="008048C4"/>
    <w:rsid w:val="0080553C"/>
    <w:rsid w:val="00805B5B"/>
    <w:rsid w:val="008074A0"/>
    <w:rsid w:val="0080758A"/>
    <w:rsid w:val="008107D1"/>
    <w:rsid w:val="00813A79"/>
    <w:rsid w:val="008142A3"/>
    <w:rsid w:val="00814999"/>
    <w:rsid w:val="008151C2"/>
    <w:rsid w:val="00816883"/>
    <w:rsid w:val="00816D05"/>
    <w:rsid w:val="00817E32"/>
    <w:rsid w:val="0082154C"/>
    <w:rsid w:val="00821581"/>
    <w:rsid w:val="008249AF"/>
    <w:rsid w:val="00824C5E"/>
    <w:rsid w:val="00824D8A"/>
    <w:rsid w:val="00825106"/>
    <w:rsid w:val="008304E3"/>
    <w:rsid w:val="00831900"/>
    <w:rsid w:val="00833BF2"/>
    <w:rsid w:val="00834D0A"/>
    <w:rsid w:val="00835548"/>
    <w:rsid w:val="0083585A"/>
    <w:rsid w:val="008360AA"/>
    <w:rsid w:val="00836FCC"/>
    <w:rsid w:val="00837E41"/>
    <w:rsid w:val="00841124"/>
    <w:rsid w:val="00841530"/>
    <w:rsid w:val="00841C20"/>
    <w:rsid w:val="00841D30"/>
    <w:rsid w:val="00842858"/>
    <w:rsid w:val="00843ACB"/>
    <w:rsid w:val="00843FA4"/>
    <w:rsid w:val="00844C42"/>
    <w:rsid w:val="008474B5"/>
    <w:rsid w:val="008502AC"/>
    <w:rsid w:val="00851448"/>
    <w:rsid w:val="008527B0"/>
    <w:rsid w:val="00852E5D"/>
    <w:rsid w:val="008530D8"/>
    <w:rsid w:val="00853A34"/>
    <w:rsid w:val="00854349"/>
    <w:rsid w:val="00854990"/>
    <w:rsid w:val="008556A9"/>
    <w:rsid w:val="008578C1"/>
    <w:rsid w:val="00861677"/>
    <w:rsid w:val="00862DB1"/>
    <w:rsid w:val="00864401"/>
    <w:rsid w:val="00865B95"/>
    <w:rsid w:val="008669F2"/>
    <w:rsid w:val="008673F5"/>
    <w:rsid w:val="00867849"/>
    <w:rsid w:val="008679AB"/>
    <w:rsid w:val="00867C89"/>
    <w:rsid w:val="0087037F"/>
    <w:rsid w:val="00870442"/>
    <w:rsid w:val="008706D9"/>
    <w:rsid w:val="008717E3"/>
    <w:rsid w:val="00871EC2"/>
    <w:rsid w:val="00873B18"/>
    <w:rsid w:val="008748AF"/>
    <w:rsid w:val="00875444"/>
    <w:rsid w:val="00875B38"/>
    <w:rsid w:val="00877ECA"/>
    <w:rsid w:val="00881583"/>
    <w:rsid w:val="008816B5"/>
    <w:rsid w:val="00882AB6"/>
    <w:rsid w:val="0088399D"/>
    <w:rsid w:val="00883F27"/>
    <w:rsid w:val="00884421"/>
    <w:rsid w:val="00884E1F"/>
    <w:rsid w:val="00887506"/>
    <w:rsid w:val="008903DA"/>
    <w:rsid w:val="0089166C"/>
    <w:rsid w:val="008928AD"/>
    <w:rsid w:val="008933D0"/>
    <w:rsid w:val="0089434F"/>
    <w:rsid w:val="00894AFA"/>
    <w:rsid w:val="008951B5"/>
    <w:rsid w:val="008967D5"/>
    <w:rsid w:val="00896DDE"/>
    <w:rsid w:val="008976A3"/>
    <w:rsid w:val="008A19DA"/>
    <w:rsid w:val="008A3055"/>
    <w:rsid w:val="008A30E0"/>
    <w:rsid w:val="008A3B36"/>
    <w:rsid w:val="008A451C"/>
    <w:rsid w:val="008A6634"/>
    <w:rsid w:val="008A78B2"/>
    <w:rsid w:val="008A7E97"/>
    <w:rsid w:val="008B038F"/>
    <w:rsid w:val="008B04FA"/>
    <w:rsid w:val="008B3132"/>
    <w:rsid w:val="008B6380"/>
    <w:rsid w:val="008B784A"/>
    <w:rsid w:val="008C0616"/>
    <w:rsid w:val="008C071A"/>
    <w:rsid w:val="008C2312"/>
    <w:rsid w:val="008C2808"/>
    <w:rsid w:val="008C337E"/>
    <w:rsid w:val="008C339D"/>
    <w:rsid w:val="008C37EA"/>
    <w:rsid w:val="008C69C4"/>
    <w:rsid w:val="008C7F05"/>
    <w:rsid w:val="008D00A9"/>
    <w:rsid w:val="008D0C89"/>
    <w:rsid w:val="008D10E4"/>
    <w:rsid w:val="008D170B"/>
    <w:rsid w:val="008D304A"/>
    <w:rsid w:val="008D3120"/>
    <w:rsid w:val="008D335C"/>
    <w:rsid w:val="008D375E"/>
    <w:rsid w:val="008D4827"/>
    <w:rsid w:val="008D56E8"/>
    <w:rsid w:val="008D59DD"/>
    <w:rsid w:val="008D5BA7"/>
    <w:rsid w:val="008E1FB8"/>
    <w:rsid w:val="008E23BF"/>
    <w:rsid w:val="008E2D4F"/>
    <w:rsid w:val="008E3F43"/>
    <w:rsid w:val="008E4504"/>
    <w:rsid w:val="008E462B"/>
    <w:rsid w:val="008E4B9C"/>
    <w:rsid w:val="008E56AF"/>
    <w:rsid w:val="008E5974"/>
    <w:rsid w:val="008E6923"/>
    <w:rsid w:val="008E6AD7"/>
    <w:rsid w:val="008F13BD"/>
    <w:rsid w:val="008F3203"/>
    <w:rsid w:val="008F3CD4"/>
    <w:rsid w:val="008F3D9B"/>
    <w:rsid w:val="008F4404"/>
    <w:rsid w:val="008F5D12"/>
    <w:rsid w:val="008F6EFC"/>
    <w:rsid w:val="008F7AAA"/>
    <w:rsid w:val="00900653"/>
    <w:rsid w:val="00910ECF"/>
    <w:rsid w:val="009118D1"/>
    <w:rsid w:val="00912137"/>
    <w:rsid w:val="00913B1A"/>
    <w:rsid w:val="009152C2"/>
    <w:rsid w:val="00915F49"/>
    <w:rsid w:val="0091627A"/>
    <w:rsid w:val="0091631B"/>
    <w:rsid w:val="00916546"/>
    <w:rsid w:val="0091734E"/>
    <w:rsid w:val="009174CD"/>
    <w:rsid w:val="00917624"/>
    <w:rsid w:val="009205ED"/>
    <w:rsid w:val="00920D8A"/>
    <w:rsid w:val="00920E1E"/>
    <w:rsid w:val="00922141"/>
    <w:rsid w:val="00924677"/>
    <w:rsid w:val="0092650A"/>
    <w:rsid w:val="00927AB8"/>
    <w:rsid w:val="00930388"/>
    <w:rsid w:val="0093351F"/>
    <w:rsid w:val="00933531"/>
    <w:rsid w:val="00933BC0"/>
    <w:rsid w:val="00935089"/>
    <w:rsid w:val="00936949"/>
    <w:rsid w:val="009372EC"/>
    <w:rsid w:val="0093730B"/>
    <w:rsid w:val="00937962"/>
    <w:rsid w:val="00937BAE"/>
    <w:rsid w:val="009402FD"/>
    <w:rsid w:val="00940831"/>
    <w:rsid w:val="00940D0D"/>
    <w:rsid w:val="0094175D"/>
    <w:rsid w:val="00942386"/>
    <w:rsid w:val="00943061"/>
    <w:rsid w:val="00943964"/>
    <w:rsid w:val="00944703"/>
    <w:rsid w:val="00944A9C"/>
    <w:rsid w:val="009452FC"/>
    <w:rsid w:val="0094531B"/>
    <w:rsid w:val="00945AE8"/>
    <w:rsid w:val="009461DA"/>
    <w:rsid w:val="00950DA9"/>
    <w:rsid w:val="00952EA1"/>
    <w:rsid w:val="00952F7C"/>
    <w:rsid w:val="009543B2"/>
    <w:rsid w:val="00954840"/>
    <w:rsid w:val="00956347"/>
    <w:rsid w:val="009569AD"/>
    <w:rsid w:val="00960BBF"/>
    <w:rsid w:val="00962766"/>
    <w:rsid w:val="00963B6A"/>
    <w:rsid w:val="00963D2A"/>
    <w:rsid w:val="009673F6"/>
    <w:rsid w:val="00970FDE"/>
    <w:rsid w:val="009719DD"/>
    <w:rsid w:val="00972C7A"/>
    <w:rsid w:val="00975478"/>
    <w:rsid w:val="009762CF"/>
    <w:rsid w:val="00977C7A"/>
    <w:rsid w:val="00977EB1"/>
    <w:rsid w:val="00980882"/>
    <w:rsid w:val="00980B7A"/>
    <w:rsid w:val="00982F29"/>
    <w:rsid w:val="00983007"/>
    <w:rsid w:val="00983023"/>
    <w:rsid w:val="009835F6"/>
    <w:rsid w:val="0098580D"/>
    <w:rsid w:val="0098746C"/>
    <w:rsid w:val="00987EDD"/>
    <w:rsid w:val="009900AA"/>
    <w:rsid w:val="009901EA"/>
    <w:rsid w:val="00992B07"/>
    <w:rsid w:val="00992E20"/>
    <w:rsid w:val="00992F05"/>
    <w:rsid w:val="0099452A"/>
    <w:rsid w:val="00995D37"/>
    <w:rsid w:val="009961F6"/>
    <w:rsid w:val="009A06F5"/>
    <w:rsid w:val="009A0D0B"/>
    <w:rsid w:val="009A120D"/>
    <w:rsid w:val="009A2C5F"/>
    <w:rsid w:val="009A3F0F"/>
    <w:rsid w:val="009A3F2B"/>
    <w:rsid w:val="009B0C24"/>
    <w:rsid w:val="009B245C"/>
    <w:rsid w:val="009B2B44"/>
    <w:rsid w:val="009B4058"/>
    <w:rsid w:val="009B68BF"/>
    <w:rsid w:val="009C2680"/>
    <w:rsid w:val="009C68D8"/>
    <w:rsid w:val="009C72FB"/>
    <w:rsid w:val="009C7ADB"/>
    <w:rsid w:val="009C7C76"/>
    <w:rsid w:val="009D0E9B"/>
    <w:rsid w:val="009D1510"/>
    <w:rsid w:val="009D25CE"/>
    <w:rsid w:val="009D26F2"/>
    <w:rsid w:val="009D46B9"/>
    <w:rsid w:val="009E0CB6"/>
    <w:rsid w:val="009E551C"/>
    <w:rsid w:val="009E5DD1"/>
    <w:rsid w:val="009E5E3D"/>
    <w:rsid w:val="009E62EA"/>
    <w:rsid w:val="009E73F1"/>
    <w:rsid w:val="009E7698"/>
    <w:rsid w:val="009E7997"/>
    <w:rsid w:val="009F0185"/>
    <w:rsid w:val="009F0763"/>
    <w:rsid w:val="009F15D2"/>
    <w:rsid w:val="009F1EBB"/>
    <w:rsid w:val="009F3959"/>
    <w:rsid w:val="009F4370"/>
    <w:rsid w:val="009F4698"/>
    <w:rsid w:val="009F782D"/>
    <w:rsid w:val="009F7B8D"/>
    <w:rsid w:val="00A0089B"/>
    <w:rsid w:val="00A02E7B"/>
    <w:rsid w:val="00A031B8"/>
    <w:rsid w:val="00A05045"/>
    <w:rsid w:val="00A07A04"/>
    <w:rsid w:val="00A10D75"/>
    <w:rsid w:val="00A11B29"/>
    <w:rsid w:val="00A12689"/>
    <w:rsid w:val="00A12E02"/>
    <w:rsid w:val="00A12E73"/>
    <w:rsid w:val="00A13242"/>
    <w:rsid w:val="00A13724"/>
    <w:rsid w:val="00A14423"/>
    <w:rsid w:val="00A16A91"/>
    <w:rsid w:val="00A16BFB"/>
    <w:rsid w:val="00A17A70"/>
    <w:rsid w:val="00A17CF9"/>
    <w:rsid w:val="00A20417"/>
    <w:rsid w:val="00A21798"/>
    <w:rsid w:val="00A218D4"/>
    <w:rsid w:val="00A22777"/>
    <w:rsid w:val="00A22DB1"/>
    <w:rsid w:val="00A22F58"/>
    <w:rsid w:val="00A23ED5"/>
    <w:rsid w:val="00A247E9"/>
    <w:rsid w:val="00A271D1"/>
    <w:rsid w:val="00A306BD"/>
    <w:rsid w:val="00A30F08"/>
    <w:rsid w:val="00A31353"/>
    <w:rsid w:val="00A31DC7"/>
    <w:rsid w:val="00A3483E"/>
    <w:rsid w:val="00A3669A"/>
    <w:rsid w:val="00A369EE"/>
    <w:rsid w:val="00A37FC2"/>
    <w:rsid w:val="00A434B6"/>
    <w:rsid w:val="00A445C3"/>
    <w:rsid w:val="00A44E62"/>
    <w:rsid w:val="00A45501"/>
    <w:rsid w:val="00A45AD9"/>
    <w:rsid w:val="00A46B5A"/>
    <w:rsid w:val="00A51906"/>
    <w:rsid w:val="00A522D3"/>
    <w:rsid w:val="00A523B0"/>
    <w:rsid w:val="00A52F78"/>
    <w:rsid w:val="00A533D4"/>
    <w:rsid w:val="00A53703"/>
    <w:rsid w:val="00A53B35"/>
    <w:rsid w:val="00A54FCC"/>
    <w:rsid w:val="00A5548C"/>
    <w:rsid w:val="00A56E13"/>
    <w:rsid w:val="00A57496"/>
    <w:rsid w:val="00A57C6B"/>
    <w:rsid w:val="00A652EE"/>
    <w:rsid w:val="00A66D7B"/>
    <w:rsid w:val="00A67DB3"/>
    <w:rsid w:val="00A70D7A"/>
    <w:rsid w:val="00A720E6"/>
    <w:rsid w:val="00A72968"/>
    <w:rsid w:val="00A737DE"/>
    <w:rsid w:val="00A749AF"/>
    <w:rsid w:val="00A76636"/>
    <w:rsid w:val="00A77C32"/>
    <w:rsid w:val="00A81F6B"/>
    <w:rsid w:val="00A8325D"/>
    <w:rsid w:val="00A83988"/>
    <w:rsid w:val="00A83DD7"/>
    <w:rsid w:val="00A84B1F"/>
    <w:rsid w:val="00A85161"/>
    <w:rsid w:val="00A85E59"/>
    <w:rsid w:val="00A90B4A"/>
    <w:rsid w:val="00A91B00"/>
    <w:rsid w:val="00A91EAC"/>
    <w:rsid w:val="00A92AEF"/>
    <w:rsid w:val="00A92E97"/>
    <w:rsid w:val="00A93468"/>
    <w:rsid w:val="00A93C2E"/>
    <w:rsid w:val="00A95129"/>
    <w:rsid w:val="00A95A55"/>
    <w:rsid w:val="00A95B53"/>
    <w:rsid w:val="00A963FB"/>
    <w:rsid w:val="00A9674C"/>
    <w:rsid w:val="00AA0162"/>
    <w:rsid w:val="00AA09E7"/>
    <w:rsid w:val="00AA1AE4"/>
    <w:rsid w:val="00AA2A68"/>
    <w:rsid w:val="00AA2D51"/>
    <w:rsid w:val="00AA4114"/>
    <w:rsid w:val="00AA4174"/>
    <w:rsid w:val="00AA58AD"/>
    <w:rsid w:val="00AA58BC"/>
    <w:rsid w:val="00AA5C26"/>
    <w:rsid w:val="00AA5C4D"/>
    <w:rsid w:val="00AA609D"/>
    <w:rsid w:val="00AA616F"/>
    <w:rsid w:val="00AA6D1B"/>
    <w:rsid w:val="00AA7A07"/>
    <w:rsid w:val="00AB065E"/>
    <w:rsid w:val="00AB1BDB"/>
    <w:rsid w:val="00AB1F31"/>
    <w:rsid w:val="00AB3A57"/>
    <w:rsid w:val="00AB5674"/>
    <w:rsid w:val="00AB62DF"/>
    <w:rsid w:val="00AC29B7"/>
    <w:rsid w:val="00AC2D95"/>
    <w:rsid w:val="00AC4A37"/>
    <w:rsid w:val="00AC52BE"/>
    <w:rsid w:val="00AC5BE1"/>
    <w:rsid w:val="00AD010A"/>
    <w:rsid w:val="00AD0794"/>
    <w:rsid w:val="00AD1FDD"/>
    <w:rsid w:val="00AD2260"/>
    <w:rsid w:val="00AD569C"/>
    <w:rsid w:val="00AD6121"/>
    <w:rsid w:val="00AD7C93"/>
    <w:rsid w:val="00AD7CD5"/>
    <w:rsid w:val="00AE073A"/>
    <w:rsid w:val="00AE1B00"/>
    <w:rsid w:val="00AE1D42"/>
    <w:rsid w:val="00AE3CA0"/>
    <w:rsid w:val="00AE3E30"/>
    <w:rsid w:val="00AE43DF"/>
    <w:rsid w:val="00AE5E37"/>
    <w:rsid w:val="00AE6300"/>
    <w:rsid w:val="00AE6376"/>
    <w:rsid w:val="00AE653E"/>
    <w:rsid w:val="00AE76B3"/>
    <w:rsid w:val="00AE7D42"/>
    <w:rsid w:val="00AF004F"/>
    <w:rsid w:val="00AF1055"/>
    <w:rsid w:val="00AF21B8"/>
    <w:rsid w:val="00AF2668"/>
    <w:rsid w:val="00AF3690"/>
    <w:rsid w:val="00AF3EE6"/>
    <w:rsid w:val="00AF4C28"/>
    <w:rsid w:val="00AF4C63"/>
    <w:rsid w:val="00AF4FFB"/>
    <w:rsid w:val="00AF69B5"/>
    <w:rsid w:val="00AF70F4"/>
    <w:rsid w:val="00AF7792"/>
    <w:rsid w:val="00B00132"/>
    <w:rsid w:val="00B00351"/>
    <w:rsid w:val="00B01AC3"/>
    <w:rsid w:val="00B03F06"/>
    <w:rsid w:val="00B05441"/>
    <w:rsid w:val="00B075CD"/>
    <w:rsid w:val="00B10965"/>
    <w:rsid w:val="00B12520"/>
    <w:rsid w:val="00B12F40"/>
    <w:rsid w:val="00B1417C"/>
    <w:rsid w:val="00B146AA"/>
    <w:rsid w:val="00B1695B"/>
    <w:rsid w:val="00B1752A"/>
    <w:rsid w:val="00B22634"/>
    <w:rsid w:val="00B24405"/>
    <w:rsid w:val="00B246D6"/>
    <w:rsid w:val="00B270F0"/>
    <w:rsid w:val="00B305B4"/>
    <w:rsid w:val="00B30F35"/>
    <w:rsid w:val="00B32094"/>
    <w:rsid w:val="00B32EF0"/>
    <w:rsid w:val="00B32FC5"/>
    <w:rsid w:val="00B36485"/>
    <w:rsid w:val="00B41CBE"/>
    <w:rsid w:val="00B424A5"/>
    <w:rsid w:val="00B4385B"/>
    <w:rsid w:val="00B4388B"/>
    <w:rsid w:val="00B439B6"/>
    <w:rsid w:val="00B46F1D"/>
    <w:rsid w:val="00B47D19"/>
    <w:rsid w:val="00B5063F"/>
    <w:rsid w:val="00B51F48"/>
    <w:rsid w:val="00B53BA7"/>
    <w:rsid w:val="00B54097"/>
    <w:rsid w:val="00B5728E"/>
    <w:rsid w:val="00B5798F"/>
    <w:rsid w:val="00B60EA8"/>
    <w:rsid w:val="00B629B1"/>
    <w:rsid w:val="00B64EAB"/>
    <w:rsid w:val="00B6582A"/>
    <w:rsid w:val="00B66355"/>
    <w:rsid w:val="00B66499"/>
    <w:rsid w:val="00B74824"/>
    <w:rsid w:val="00B764A4"/>
    <w:rsid w:val="00B76723"/>
    <w:rsid w:val="00B80150"/>
    <w:rsid w:val="00B80C92"/>
    <w:rsid w:val="00B81659"/>
    <w:rsid w:val="00B83400"/>
    <w:rsid w:val="00B8396A"/>
    <w:rsid w:val="00B87AC3"/>
    <w:rsid w:val="00B90280"/>
    <w:rsid w:val="00B90C6E"/>
    <w:rsid w:val="00B91210"/>
    <w:rsid w:val="00B92096"/>
    <w:rsid w:val="00B97DC6"/>
    <w:rsid w:val="00BA11AF"/>
    <w:rsid w:val="00BA1F4B"/>
    <w:rsid w:val="00BA469E"/>
    <w:rsid w:val="00BA4DBD"/>
    <w:rsid w:val="00BA5608"/>
    <w:rsid w:val="00BA5B2C"/>
    <w:rsid w:val="00BA5E45"/>
    <w:rsid w:val="00BA6847"/>
    <w:rsid w:val="00BA7459"/>
    <w:rsid w:val="00BA755A"/>
    <w:rsid w:val="00BB052D"/>
    <w:rsid w:val="00BB26B3"/>
    <w:rsid w:val="00BB2F25"/>
    <w:rsid w:val="00BB5C78"/>
    <w:rsid w:val="00BB69E9"/>
    <w:rsid w:val="00BC3EB0"/>
    <w:rsid w:val="00BC7576"/>
    <w:rsid w:val="00BC79FF"/>
    <w:rsid w:val="00BD1376"/>
    <w:rsid w:val="00BD1613"/>
    <w:rsid w:val="00BD390D"/>
    <w:rsid w:val="00BD3A6E"/>
    <w:rsid w:val="00BD3B4A"/>
    <w:rsid w:val="00BD3CB0"/>
    <w:rsid w:val="00BD4A55"/>
    <w:rsid w:val="00BD57BB"/>
    <w:rsid w:val="00BD7EE9"/>
    <w:rsid w:val="00BE0369"/>
    <w:rsid w:val="00BE110D"/>
    <w:rsid w:val="00BE2F5F"/>
    <w:rsid w:val="00BE362C"/>
    <w:rsid w:val="00BE3B45"/>
    <w:rsid w:val="00BE6759"/>
    <w:rsid w:val="00BE793B"/>
    <w:rsid w:val="00BF1C47"/>
    <w:rsid w:val="00BF4104"/>
    <w:rsid w:val="00BF45E5"/>
    <w:rsid w:val="00BF5637"/>
    <w:rsid w:val="00BF6ABB"/>
    <w:rsid w:val="00BF6DB1"/>
    <w:rsid w:val="00BF7355"/>
    <w:rsid w:val="00BF7F30"/>
    <w:rsid w:val="00C0042E"/>
    <w:rsid w:val="00C016B7"/>
    <w:rsid w:val="00C024EF"/>
    <w:rsid w:val="00C025E3"/>
    <w:rsid w:val="00C035BF"/>
    <w:rsid w:val="00C03ED8"/>
    <w:rsid w:val="00C0457B"/>
    <w:rsid w:val="00C05A67"/>
    <w:rsid w:val="00C10428"/>
    <w:rsid w:val="00C11028"/>
    <w:rsid w:val="00C12959"/>
    <w:rsid w:val="00C13E2E"/>
    <w:rsid w:val="00C144FD"/>
    <w:rsid w:val="00C15F9D"/>
    <w:rsid w:val="00C177FC"/>
    <w:rsid w:val="00C223D0"/>
    <w:rsid w:val="00C22C48"/>
    <w:rsid w:val="00C253BC"/>
    <w:rsid w:val="00C25803"/>
    <w:rsid w:val="00C26A17"/>
    <w:rsid w:val="00C26B54"/>
    <w:rsid w:val="00C30786"/>
    <w:rsid w:val="00C32CA6"/>
    <w:rsid w:val="00C33B9B"/>
    <w:rsid w:val="00C348BA"/>
    <w:rsid w:val="00C348FD"/>
    <w:rsid w:val="00C35F07"/>
    <w:rsid w:val="00C36AEC"/>
    <w:rsid w:val="00C37726"/>
    <w:rsid w:val="00C3773E"/>
    <w:rsid w:val="00C43016"/>
    <w:rsid w:val="00C44DD0"/>
    <w:rsid w:val="00C46518"/>
    <w:rsid w:val="00C4776E"/>
    <w:rsid w:val="00C54D3D"/>
    <w:rsid w:val="00C552DB"/>
    <w:rsid w:val="00C57D7C"/>
    <w:rsid w:val="00C602C4"/>
    <w:rsid w:val="00C60594"/>
    <w:rsid w:val="00C6194E"/>
    <w:rsid w:val="00C62411"/>
    <w:rsid w:val="00C63137"/>
    <w:rsid w:val="00C63FC9"/>
    <w:rsid w:val="00C6590B"/>
    <w:rsid w:val="00C65DDC"/>
    <w:rsid w:val="00C661A9"/>
    <w:rsid w:val="00C67393"/>
    <w:rsid w:val="00C67894"/>
    <w:rsid w:val="00C71619"/>
    <w:rsid w:val="00C71DE6"/>
    <w:rsid w:val="00C734F6"/>
    <w:rsid w:val="00C73875"/>
    <w:rsid w:val="00C74357"/>
    <w:rsid w:val="00C74934"/>
    <w:rsid w:val="00C7762F"/>
    <w:rsid w:val="00C77648"/>
    <w:rsid w:val="00C8210E"/>
    <w:rsid w:val="00C83B52"/>
    <w:rsid w:val="00C90482"/>
    <w:rsid w:val="00C922B6"/>
    <w:rsid w:val="00C92E34"/>
    <w:rsid w:val="00C93A1E"/>
    <w:rsid w:val="00C945BB"/>
    <w:rsid w:val="00C948E7"/>
    <w:rsid w:val="00CA047F"/>
    <w:rsid w:val="00CA0593"/>
    <w:rsid w:val="00CA0940"/>
    <w:rsid w:val="00CA1425"/>
    <w:rsid w:val="00CA185E"/>
    <w:rsid w:val="00CA186B"/>
    <w:rsid w:val="00CA2480"/>
    <w:rsid w:val="00CA2649"/>
    <w:rsid w:val="00CA305F"/>
    <w:rsid w:val="00CA362D"/>
    <w:rsid w:val="00CA3B2B"/>
    <w:rsid w:val="00CA59B0"/>
    <w:rsid w:val="00CA5D09"/>
    <w:rsid w:val="00CA6B2D"/>
    <w:rsid w:val="00CA770D"/>
    <w:rsid w:val="00CB0A6A"/>
    <w:rsid w:val="00CB3EF0"/>
    <w:rsid w:val="00CB5224"/>
    <w:rsid w:val="00CB6557"/>
    <w:rsid w:val="00CB6D50"/>
    <w:rsid w:val="00CC1DFE"/>
    <w:rsid w:val="00CC3D19"/>
    <w:rsid w:val="00CC65AA"/>
    <w:rsid w:val="00CC6872"/>
    <w:rsid w:val="00CC6C4F"/>
    <w:rsid w:val="00CC740C"/>
    <w:rsid w:val="00CD0719"/>
    <w:rsid w:val="00CD2437"/>
    <w:rsid w:val="00CD2E3D"/>
    <w:rsid w:val="00CD3484"/>
    <w:rsid w:val="00CD44B0"/>
    <w:rsid w:val="00CD45E4"/>
    <w:rsid w:val="00CE01C8"/>
    <w:rsid w:val="00CE0F0A"/>
    <w:rsid w:val="00CE264F"/>
    <w:rsid w:val="00CE2B56"/>
    <w:rsid w:val="00CE31F7"/>
    <w:rsid w:val="00CE5F33"/>
    <w:rsid w:val="00CE713C"/>
    <w:rsid w:val="00CE7183"/>
    <w:rsid w:val="00CE7E64"/>
    <w:rsid w:val="00CF02FE"/>
    <w:rsid w:val="00CF07CA"/>
    <w:rsid w:val="00CF1250"/>
    <w:rsid w:val="00CF2B6F"/>
    <w:rsid w:val="00CF2D9A"/>
    <w:rsid w:val="00CF3E94"/>
    <w:rsid w:val="00CF4676"/>
    <w:rsid w:val="00CF4CCF"/>
    <w:rsid w:val="00CF6855"/>
    <w:rsid w:val="00CF6F3D"/>
    <w:rsid w:val="00CF7297"/>
    <w:rsid w:val="00D00B8D"/>
    <w:rsid w:val="00D00F8E"/>
    <w:rsid w:val="00D020C6"/>
    <w:rsid w:val="00D0312E"/>
    <w:rsid w:val="00D044F8"/>
    <w:rsid w:val="00D04D3C"/>
    <w:rsid w:val="00D06E67"/>
    <w:rsid w:val="00D07103"/>
    <w:rsid w:val="00D075C3"/>
    <w:rsid w:val="00D10083"/>
    <w:rsid w:val="00D10432"/>
    <w:rsid w:val="00D10B56"/>
    <w:rsid w:val="00D113AF"/>
    <w:rsid w:val="00D119A7"/>
    <w:rsid w:val="00D123A6"/>
    <w:rsid w:val="00D12ED6"/>
    <w:rsid w:val="00D130A2"/>
    <w:rsid w:val="00D14AFC"/>
    <w:rsid w:val="00D15AC6"/>
    <w:rsid w:val="00D15DB3"/>
    <w:rsid w:val="00D15EB0"/>
    <w:rsid w:val="00D175CD"/>
    <w:rsid w:val="00D227D4"/>
    <w:rsid w:val="00D22FA4"/>
    <w:rsid w:val="00D24130"/>
    <w:rsid w:val="00D25AF4"/>
    <w:rsid w:val="00D25FFE"/>
    <w:rsid w:val="00D3083F"/>
    <w:rsid w:val="00D31B45"/>
    <w:rsid w:val="00D3357A"/>
    <w:rsid w:val="00D335E4"/>
    <w:rsid w:val="00D373EA"/>
    <w:rsid w:val="00D416C2"/>
    <w:rsid w:val="00D428D9"/>
    <w:rsid w:val="00D4333D"/>
    <w:rsid w:val="00D445FD"/>
    <w:rsid w:val="00D450AD"/>
    <w:rsid w:val="00D46575"/>
    <w:rsid w:val="00D4690C"/>
    <w:rsid w:val="00D46B3D"/>
    <w:rsid w:val="00D47696"/>
    <w:rsid w:val="00D51C5F"/>
    <w:rsid w:val="00D51E09"/>
    <w:rsid w:val="00D536F7"/>
    <w:rsid w:val="00D55429"/>
    <w:rsid w:val="00D60A79"/>
    <w:rsid w:val="00D616F3"/>
    <w:rsid w:val="00D61A86"/>
    <w:rsid w:val="00D637A2"/>
    <w:rsid w:val="00D63C52"/>
    <w:rsid w:val="00D63D86"/>
    <w:rsid w:val="00D66BDF"/>
    <w:rsid w:val="00D66F3F"/>
    <w:rsid w:val="00D75401"/>
    <w:rsid w:val="00D75AC2"/>
    <w:rsid w:val="00D75FC1"/>
    <w:rsid w:val="00D7708D"/>
    <w:rsid w:val="00D77981"/>
    <w:rsid w:val="00D77A3F"/>
    <w:rsid w:val="00D80597"/>
    <w:rsid w:val="00D8165A"/>
    <w:rsid w:val="00D82418"/>
    <w:rsid w:val="00D82843"/>
    <w:rsid w:val="00D85C8A"/>
    <w:rsid w:val="00D8689E"/>
    <w:rsid w:val="00D9327D"/>
    <w:rsid w:val="00D93E7C"/>
    <w:rsid w:val="00D954CF"/>
    <w:rsid w:val="00DA0312"/>
    <w:rsid w:val="00DA5669"/>
    <w:rsid w:val="00DA6588"/>
    <w:rsid w:val="00DB012B"/>
    <w:rsid w:val="00DB627D"/>
    <w:rsid w:val="00DB6C45"/>
    <w:rsid w:val="00DC05A5"/>
    <w:rsid w:val="00DC1A50"/>
    <w:rsid w:val="00DC41D2"/>
    <w:rsid w:val="00DC4247"/>
    <w:rsid w:val="00DC50FE"/>
    <w:rsid w:val="00DC789B"/>
    <w:rsid w:val="00DD380C"/>
    <w:rsid w:val="00DD3F76"/>
    <w:rsid w:val="00DD49C2"/>
    <w:rsid w:val="00DD5CFE"/>
    <w:rsid w:val="00DD619E"/>
    <w:rsid w:val="00DD6B1F"/>
    <w:rsid w:val="00DD7ADC"/>
    <w:rsid w:val="00DE0C93"/>
    <w:rsid w:val="00DE17C2"/>
    <w:rsid w:val="00DE22F9"/>
    <w:rsid w:val="00DE2AE4"/>
    <w:rsid w:val="00DE36F5"/>
    <w:rsid w:val="00DE3B0B"/>
    <w:rsid w:val="00DE41F2"/>
    <w:rsid w:val="00DE4299"/>
    <w:rsid w:val="00DE50C6"/>
    <w:rsid w:val="00DE512D"/>
    <w:rsid w:val="00DE5E70"/>
    <w:rsid w:val="00DE696F"/>
    <w:rsid w:val="00DE7C5C"/>
    <w:rsid w:val="00DF0376"/>
    <w:rsid w:val="00DF0520"/>
    <w:rsid w:val="00DF11FE"/>
    <w:rsid w:val="00DF14D1"/>
    <w:rsid w:val="00DF26AC"/>
    <w:rsid w:val="00DF3360"/>
    <w:rsid w:val="00DF3769"/>
    <w:rsid w:val="00DF386F"/>
    <w:rsid w:val="00DF50E9"/>
    <w:rsid w:val="00DF6EBD"/>
    <w:rsid w:val="00E006AA"/>
    <w:rsid w:val="00E00BB1"/>
    <w:rsid w:val="00E00F5F"/>
    <w:rsid w:val="00E02118"/>
    <w:rsid w:val="00E037C8"/>
    <w:rsid w:val="00E04BD5"/>
    <w:rsid w:val="00E04C1A"/>
    <w:rsid w:val="00E0554F"/>
    <w:rsid w:val="00E06277"/>
    <w:rsid w:val="00E10035"/>
    <w:rsid w:val="00E114D3"/>
    <w:rsid w:val="00E128FD"/>
    <w:rsid w:val="00E12DF5"/>
    <w:rsid w:val="00E16631"/>
    <w:rsid w:val="00E20521"/>
    <w:rsid w:val="00E2293A"/>
    <w:rsid w:val="00E234E5"/>
    <w:rsid w:val="00E239AF"/>
    <w:rsid w:val="00E23C04"/>
    <w:rsid w:val="00E23FDC"/>
    <w:rsid w:val="00E25E9D"/>
    <w:rsid w:val="00E27E98"/>
    <w:rsid w:val="00E31505"/>
    <w:rsid w:val="00E31641"/>
    <w:rsid w:val="00E31BC6"/>
    <w:rsid w:val="00E323CA"/>
    <w:rsid w:val="00E35E35"/>
    <w:rsid w:val="00E36063"/>
    <w:rsid w:val="00E36B90"/>
    <w:rsid w:val="00E36FB9"/>
    <w:rsid w:val="00E42770"/>
    <w:rsid w:val="00E45029"/>
    <w:rsid w:val="00E46122"/>
    <w:rsid w:val="00E4665E"/>
    <w:rsid w:val="00E46DA6"/>
    <w:rsid w:val="00E5133D"/>
    <w:rsid w:val="00E51685"/>
    <w:rsid w:val="00E5172A"/>
    <w:rsid w:val="00E52E47"/>
    <w:rsid w:val="00E531B7"/>
    <w:rsid w:val="00E54E1B"/>
    <w:rsid w:val="00E551EB"/>
    <w:rsid w:val="00E55467"/>
    <w:rsid w:val="00E55773"/>
    <w:rsid w:val="00E55E95"/>
    <w:rsid w:val="00E572B2"/>
    <w:rsid w:val="00E57A1F"/>
    <w:rsid w:val="00E57AAA"/>
    <w:rsid w:val="00E60DDF"/>
    <w:rsid w:val="00E618BF"/>
    <w:rsid w:val="00E63FC8"/>
    <w:rsid w:val="00E652E7"/>
    <w:rsid w:val="00E67780"/>
    <w:rsid w:val="00E71BDD"/>
    <w:rsid w:val="00E7254D"/>
    <w:rsid w:val="00E7325F"/>
    <w:rsid w:val="00E73B23"/>
    <w:rsid w:val="00E7536E"/>
    <w:rsid w:val="00E75B46"/>
    <w:rsid w:val="00E75DF4"/>
    <w:rsid w:val="00E80794"/>
    <w:rsid w:val="00E83FA9"/>
    <w:rsid w:val="00E8476F"/>
    <w:rsid w:val="00E8519D"/>
    <w:rsid w:val="00E853D7"/>
    <w:rsid w:val="00E85CCA"/>
    <w:rsid w:val="00E85FA3"/>
    <w:rsid w:val="00E87899"/>
    <w:rsid w:val="00E91791"/>
    <w:rsid w:val="00E9190E"/>
    <w:rsid w:val="00E9246B"/>
    <w:rsid w:val="00E92DEC"/>
    <w:rsid w:val="00E941D7"/>
    <w:rsid w:val="00E94E49"/>
    <w:rsid w:val="00E951FA"/>
    <w:rsid w:val="00EA3D60"/>
    <w:rsid w:val="00EA60E3"/>
    <w:rsid w:val="00EA7277"/>
    <w:rsid w:val="00EA7B7B"/>
    <w:rsid w:val="00EB0D58"/>
    <w:rsid w:val="00EB1C81"/>
    <w:rsid w:val="00EB214F"/>
    <w:rsid w:val="00EB2765"/>
    <w:rsid w:val="00EB3345"/>
    <w:rsid w:val="00EB40FA"/>
    <w:rsid w:val="00EB61F5"/>
    <w:rsid w:val="00EB6DA7"/>
    <w:rsid w:val="00EC09D8"/>
    <w:rsid w:val="00EC23C9"/>
    <w:rsid w:val="00EC2701"/>
    <w:rsid w:val="00EC3510"/>
    <w:rsid w:val="00EC5810"/>
    <w:rsid w:val="00EC6035"/>
    <w:rsid w:val="00EC62DD"/>
    <w:rsid w:val="00EC76F9"/>
    <w:rsid w:val="00EC7BD1"/>
    <w:rsid w:val="00ED003D"/>
    <w:rsid w:val="00ED0EFD"/>
    <w:rsid w:val="00ED2668"/>
    <w:rsid w:val="00ED5B33"/>
    <w:rsid w:val="00ED78F9"/>
    <w:rsid w:val="00ED7D1B"/>
    <w:rsid w:val="00ED7E44"/>
    <w:rsid w:val="00EE0522"/>
    <w:rsid w:val="00EE074F"/>
    <w:rsid w:val="00EE13F9"/>
    <w:rsid w:val="00EE2B01"/>
    <w:rsid w:val="00EE4474"/>
    <w:rsid w:val="00EE54F2"/>
    <w:rsid w:val="00EE648F"/>
    <w:rsid w:val="00EF0A1C"/>
    <w:rsid w:val="00EF374C"/>
    <w:rsid w:val="00EF391F"/>
    <w:rsid w:val="00EF3F6E"/>
    <w:rsid w:val="00EF59B4"/>
    <w:rsid w:val="00EF630E"/>
    <w:rsid w:val="00EF66D0"/>
    <w:rsid w:val="00EF760F"/>
    <w:rsid w:val="00F006D8"/>
    <w:rsid w:val="00F006F9"/>
    <w:rsid w:val="00F00A81"/>
    <w:rsid w:val="00F033FC"/>
    <w:rsid w:val="00F03FBC"/>
    <w:rsid w:val="00F0690F"/>
    <w:rsid w:val="00F0744F"/>
    <w:rsid w:val="00F07D2F"/>
    <w:rsid w:val="00F1026C"/>
    <w:rsid w:val="00F1100A"/>
    <w:rsid w:val="00F12AB5"/>
    <w:rsid w:val="00F1364C"/>
    <w:rsid w:val="00F13E5C"/>
    <w:rsid w:val="00F147B7"/>
    <w:rsid w:val="00F16118"/>
    <w:rsid w:val="00F162BB"/>
    <w:rsid w:val="00F165C3"/>
    <w:rsid w:val="00F17558"/>
    <w:rsid w:val="00F17F47"/>
    <w:rsid w:val="00F20525"/>
    <w:rsid w:val="00F20911"/>
    <w:rsid w:val="00F20A42"/>
    <w:rsid w:val="00F21039"/>
    <w:rsid w:val="00F252B3"/>
    <w:rsid w:val="00F257EC"/>
    <w:rsid w:val="00F27572"/>
    <w:rsid w:val="00F27768"/>
    <w:rsid w:val="00F309CB"/>
    <w:rsid w:val="00F31B35"/>
    <w:rsid w:val="00F32A36"/>
    <w:rsid w:val="00F33B99"/>
    <w:rsid w:val="00F34130"/>
    <w:rsid w:val="00F34F7E"/>
    <w:rsid w:val="00F40354"/>
    <w:rsid w:val="00F4079C"/>
    <w:rsid w:val="00F408DC"/>
    <w:rsid w:val="00F4112E"/>
    <w:rsid w:val="00F4413D"/>
    <w:rsid w:val="00F44F59"/>
    <w:rsid w:val="00F457CC"/>
    <w:rsid w:val="00F46132"/>
    <w:rsid w:val="00F461F8"/>
    <w:rsid w:val="00F462A8"/>
    <w:rsid w:val="00F5108D"/>
    <w:rsid w:val="00F5132D"/>
    <w:rsid w:val="00F5250F"/>
    <w:rsid w:val="00F558EA"/>
    <w:rsid w:val="00F5648D"/>
    <w:rsid w:val="00F6061D"/>
    <w:rsid w:val="00F6254B"/>
    <w:rsid w:val="00F62BC8"/>
    <w:rsid w:val="00F647B7"/>
    <w:rsid w:val="00F65444"/>
    <w:rsid w:val="00F66585"/>
    <w:rsid w:val="00F66F35"/>
    <w:rsid w:val="00F6724E"/>
    <w:rsid w:val="00F67623"/>
    <w:rsid w:val="00F6767D"/>
    <w:rsid w:val="00F7126F"/>
    <w:rsid w:val="00F71496"/>
    <w:rsid w:val="00F73B76"/>
    <w:rsid w:val="00F76480"/>
    <w:rsid w:val="00F7720C"/>
    <w:rsid w:val="00F77DFE"/>
    <w:rsid w:val="00F80EDF"/>
    <w:rsid w:val="00F811B2"/>
    <w:rsid w:val="00F87EFC"/>
    <w:rsid w:val="00F905E6"/>
    <w:rsid w:val="00F90984"/>
    <w:rsid w:val="00F93D97"/>
    <w:rsid w:val="00F979D0"/>
    <w:rsid w:val="00FA1D38"/>
    <w:rsid w:val="00FA29AC"/>
    <w:rsid w:val="00FA452A"/>
    <w:rsid w:val="00FA5CC8"/>
    <w:rsid w:val="00FA626D"/>
    <w:rsid w:val="00FA75AB"/>
    <w:rsid w:val="00FA7BA5"/>
    <w:rsid w:val="00FA7F96"/>
    <w:rsid w:val="00FB005F"/>
    <w:rsid w:val="00FB062A"/>
    <w:rsid w:val="00FB330E"/>
    <w:rsid w:val="00FB51A4"/>
    <w:rsid w:val="00FB5E8C"/>
    <w:rsid w:val="00FB7A3D"/>
    <w:rsid w:val="00FB7A6E"/>
    <w:rsid w:val="00FC0D1B"/>
    <w:rsid w:val="00FC14AF"/>
    <w:rsid w:val="00FC3190"/>
    <w:rsid w:val="00FC3F06"/>
    <w:rsid w:val="00FC4152"/>
    <w:rsid w:val="00FC6005"/>
    <w:rsid w:val="00FC6FFE"/>
    <w:rsid w:val="00FC7ED0"/>
    <w:rsid w:val="00FD3665"/>
    <w:rsid w:val="00FD3666"/>
    <w:rsid w:val="00FD5BA9"/>
    <w:rsid w:val="00FD64FB"/>
    <w:rsid w:val="00FD6C7C"/>
    <w:rsid w:val="00FE0141"/>
    <w:rsid w:val="00FE0720"/>
    <w:rsid w:val="00FE0D48"/>
    <w:rsid w:val="00FE0ED2"/>
    <w:rsid w:val="00FE1EA7"/>
    <w:rsid w:val="00FE2067"/>
    <w:rsid w:val="00FE5117"/>
    <w:rsid w:val="00FE7912"/>
    <w:rsid w:val="00FE7F7A"/>
    <w:rsid w:val="00FF0110"/>
    <w:rsid w:val="00FF3DC0"/>
    <w:rsid w:val="00FF3DEA"/>
    <w:rsid w:val="00FF3F59"/>
    <w:rsid w:val="00FF49F3"/>
    <w:rsid w:val="00FF5E31"/>
    <w:rsid w:val="00FF6945"/>
    <w:rsid w:val="00FF6A79"/>
    <w:rsid w:val="00FF7E9F"/>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C3A1DB"/>
  <w15:docId w15:val="{BE922B93-0F48-4E26-9F58-590F5A7E3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qFormat="1"/>
    <w:lsdException w:name="List Bullet 4" w:semiHidden="1" w:unhideWhenUsed="1"/>
    <w:lsdException w:name="List Bullet 5" w:semiHidden="1" w:unhideWhenUsed="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126"/>
    <w:pPr>
      <w:spacing w:after="160"/>
      <w:ind w:left="0" w:firstLine="0"/>
    </w:pPr>
    <w:rPr>
      <w:rFonts w:asciiTheme="minorHAnsi" w:eastAsiaTheme="minorHAnsi" w:hAnsiTheme="minorHAnsi" w:cstheme="minorBidi"/>
      <w:sz w:val="24"/>
      <w:szCs w:val="22"/>
      <w:lang w:eastAsia="en-US"/>
    </w:rPr>
  </w:style>
  <w:style w:type="paragraph" w:styleId="Heading1">
    <w:name w:val="heading 1"/>
    <w:basedOn w:val="Normal"/>
    <w:next w:val="Normal"/>
    <w:link w:val="Heading1Char"/>
    <w:uiPriority w:val="1"/>
    <w:qFormat/>
    <w:rsid w:val="007E0976"/>
    <w:pPr>
      <w:keepNext/>
      <w:keepLines/>
      <w:spacing w:before="240" w:after="180"/>
      <w:outlineLvl w:val="0"/>
    </w:pPr>
    <w:rPr>
      <w:rFonts w:ascii="Source Sans Pro" w:eastAsia="SimHei" w:hAnsi="Source Sans Pro"/>
      <w:color w:val="002A3A" w:themeColor="text2"/>
      <w:spacing w:val="1"/>
      <w:sz w:val="48"/>
      <w:szCs w:val="32"/>
    </w:rPr>
  </w:style>
  <w:style w:type="paragraph" w:styleId="Heading2">
    <w:name w:val="heading 2"/>
    <w:basedOn w:val="Normal"/>
    <w:next w:val="Normal"/>
    <w:link w:val="Heading2Char"/>
    <w:uiPriority w:val="1"/>
    <w:qFormat/>
    <w:rsid w:val="007E0976"/>
    <w:pPr>
      <w:keepNext/>
      <w:keepLines/>
      <w:spacing w:before="240" w:after="140"/>
      <w:outlineLvl w:val="1"/>
    </w:pPr>
    <w:rPr>
      <w:rFonts w:ascii="Source Sans Pro" w:eastAsia="SimHei" w:hAnsi="Source Sans Pro"/>
      <w:color w:val="002A3A" w:themeColor="text2"/>
      <w:spacing w:val="1"/>
      <w:sz w:val="40"/>
      <w:szCs w:val="26"/>
    </w:rPr>
  </w:style>
  <w:style w:type="paragraph" w:styleId="Heading3">
    <w:name w:val="heading 3"/>
    <w:basedOn w:val="Normal"/>
    <w:next w:val="Normal"/>
    <w:link w:val="Heading3Char"/>
    <w:uiPriority w:val="9"/>
    <w:qFormat/>
    <w:rsid w:val="004A4CC0"/>
    <w:pPr>
      <w:keepNext/>
      <w:keepLines/>
      <w:spacing w:before="180"/>
      <w:outlineLvl w:val="2"/>
    </w:pPr>
    <w:rPr>
      <w:rFonts w:asciiTheme="majorHAnsi" w:eastAsiaTheme="majorEastAsia" w:hAnsiTheme="majorHAnsi" w:cstheme="majorBidi"/>
      <w:bCs/>
      <w:color w:val="002A3A" w:themeColor="text2"/>
      <w:sz w:val="30"/>
    </w:rPr>
  </w:style>
  <w:style w:type="paragraph" w:styleId="Heading4">
    <w:name w:val="heading 4"/>
    <w:basedOn w:val="Normal"/>
    <w:next w:val="Normal"/>
    <w:link w:val="Heading4Char"/>
    <w:uiPriority w:val="9"/>
    <w:qFormat/>
    <w:rsid w:val="00AD0794"/>
    <w:pPr>
      <w:keepNext/>
      <w:keepLines/>
      <w:spacing w:before="80" w:after="80"/>
      <w:outlineLvl w:val="3"/>
    </w:pPr>
    <w:rPr>
      <w:rFonts w:asciiTheme="majorHAnsi" w:eastAsiaTheme="majorEastAsia" w:hAnsiTheme="majorHAnsi" w:cstheme="majorBidi"/>
      <w:b/>
      <w:bCs/>
      <w:iCs/>
      <w:color w:val="002A3A" w:themeColor="text2"/>
    </w:rPr>
  </w:style>
  <w:style w:type="paragraph" w:styleId="Heading5">
    <w:name w:val="heading 5"/>
    <w:basedOn w:val="Normal"/>
    <w:next w:val="Normal"/>
    <w:link w:val="Heading5Char"/>
    <w:uiPriority w:val="9"/>
    <w:qFormat/>
    <w:rsid w:val="00A46B5A"/>
    <w:pPr>
      <w:keepNext/>
      <w:keepLines/>
      <w:spacing w:before="240"/>
      <w:outlineLvl w:val="4"/>
    </w:pPr>
    <w:rPr>
      <w:rFonts w:asciiTheme="majorHAnsi" w:eastAsiaTheme="majorEastAsia" w:hAnsiTheme="majorHAnsi" w:cstheme="majorBidi"/>
      <w:i/>
      <w:color w:val="002A3A" w:themeColor="text2"/>
    </w:rPr>
  </w:style>
  <w:style w:type="paragraph" w:styleId="Heading6">
    <w:name w:val="heading 6"/>
    <w:basedOn w:val="Normal"/>
    <w:next w:val="Normal"/>
    <w:link w:val="Heading6Char"/>
    <w:uiPriority w:val="9"/>
    <w:semiHidden/>
    <w:qFormat/>
    <w:rsid w:val="007945FA"/>
    <w:pPr>
      <w:keepNext/>
      <w:keepLines/>
      <w:spacing w:before="340"/>
      <w:outlineLvl w:val="5"/>
    </w:pPr>
    <w:rPr>
      <w:rFonts w:asciiTheme="majorHAnsi" w:eastAsiaTheme="majorEastAsia" w:hAnsiTheme="majorHAnsi" w:cstheme="majorBidi"/>
      <w:iCs/>
      <w:color w:val="002A3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1"/>
    <w:rsid w:val="007E0976"/>
    <w:rPr>
      <w:rFonts w:ascii="Source Sans Pro" w:eastAsia="SimHei" w:hAnsi="Source Sans Pro"/>
      <w:color w:val="002A3A" w:themeColor="text2"/>
      <w:spacing w:val="1"/>
      <w:sz w:val="48"/>
      <w:szCs w:val="32"/>
      <w:lang w:eastAsia="en-US"/>
    </w:rPr>
  </w:style>
  <w:style w:type="character" w:customStyle="1" w:styleId="Heading2Char">
    <w:name w:val="Heading 2 Char"/>
    <w:basedOn w:val="DefaultParagraphFont"/>
    <w:link w:val="Heading2"/>
    <w:uiPriority w:val="1"/>
    <w:rsid w:val="007E0976"/>
    <w:rPr>
      <w:rFonts w:ascii="Source Sans Pro" w:eastAsia="SimHei" w:hAnsi="Source Sans Pro"/>
      <w:color w:val="002A3A" w:themeColor="text2"/>
      <w:spacing w:val="1"/>
      <w:sz w:val="40"/>
      <w:szCs w:val="26"/>
      <w:lang w:eastAsia="en-US"/>
    </w:rPr>
  </w:style>
  <w:style w:type="character" w:customStyle="1" w:styleId="Heading3Char">
    <w:name w:val="Heading 3 Char"/>
    <w:basedOn w:val="DefaultParagraphFont"/>
    <w:link w:val="Heading3"/>
    <w:uiPriority w:val="9"/>
    <w:rsid w:val="004A4CC0"/>
    <w:rPr>
      <w:rFonts w:asciiTheme="majorHAnsi" w:eastAsiaTheme="majorEastAsia" w:hAnsiTheme="majorHAnsi" w:cstheme="majorBidi"/>
      <w:bCs/>
      <w:color w:val="002A3A" w:themeColor="text2"/>
      <w:sz w:val="30"/>
      <w:lang w:eastAsia="en-US"/>
    </w:rPr>
  </w:style>
  <w:style w:type="character" w:customStyle="1" w:styleId="Heading4Char">
    <w:name w:val="Heading 4 Char"/>
    <w:basedOn w:val="DefaultParagraphFont"/>
    <w:link w:val="Heading4"/>
    <w:uiPriority w:val="9"/>
    <w:rsid w:val="00AD0794"/>
    <w:rPr>
      <w:rFonts w:asciiTheme="majorHAnsi" w:eastAsiaTheme="majorEastAsia" w:hAnsiTheme="majorHAnsi" w:cstheme="majorBidi"/>
      <w:b/>
      <w:bCs/>
      <w:iCs/>
      <w:color w:val="002A3A" w:themeColor="text2"/>
      <w:sz w:val="24"/>
      <w:szCs w:val="22"/>
      <w:lang w:eastAsia="en-US"/>
    </w:rPr>
  </w:style>
  <w:style w:type="character" w:customStyle="1" w:styleId="Heading5Char">
    <w:name w:val="Heading 5 Char"/>
    <w:basedOn w:val="DefaultParagraphFont"/>
    <w:link w:val="Heading5"/>
    <w:uiPriority w:val="9"/>
    <w:rsid w:val="00A46B5A"/>
    <w:rPr>
      <w:rFonts w:asciiTheme="majorHAnsi" w:eastAsiaTheme="majorEastAsia" w:hAnsiTheme="majorHAnsi" w:cstheme="majorBidi"/>
      <w:i/>
      <w:color w:val="002A3A" w:themeColor="text2"/>
      <w:sz w:val="24"/>
      <w:szCs w:val="22"/>
      <w:lang w:eastAsia="en-US"/>
    </w:rPr>
  </w:style>
  <w:style w:type="paragraph" w:styleId="ListParagraph">
    <w:name w:val="List Paragraph"/>
    <w:basedOn w:val="Normal"/>
    <w:link w:val="ListParagraphChar"/>
    <w:uiPriority w:val="34"/>
    <w:qFormat/>
    <w:rsid w:val="008951B5"/>
    <w:pPr>
      <w:ind w:left="284"/>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semiHidden/>
    <w:qFormat/>
    <w:rsid w:val="00CE01C8"/>
    <w:pPr>
      <w:numPr>
        <w:ilvl w:val="1"/>
        <w:numId w:val="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3D5BE5"/>
    <w:pPr>
      <w:spacing w:after="0"/>
    </w:pPr>
    <w:rPr>
      <w:color w:val="002A3A" w:themeColor="text2"/>
      <w:sz w:val="18"/>
    </w:rPr>
  </w:style>
  <w:style w:type="character" w:customStyle="1" w:styleId="FooterChar">
    <w:name w:val="Footer Char"/>
    <w:basedOn w:val="DefaultParagraphFont"/>
    <w:link w:val="Footer"/>
    <w:uiPriority w:val="99"/>
    <w:rsid w:val="003D5BE5"/>
    <w:rPr>
      <w:rFonts w:asciiTheme="minorHAnsi" w:hAnsiTheme="minorHAnsi"/>
      <w:color w:val="002A3A" w:themeColor="text2"/>
      <w:sz w:val="18"/>
    </w:rPr>
  </w:style>
  <w:style w:type="paragraph" w:styleId="Title">
    <w:name w:val="Title"/>
    <w:basedOn w:val="Normal"/>
    <w:next w:val="Normal"/>
    <w:link w:val="TitleChar"/>
    <w:uiPriority w:val="10"/>
    <w:qFormat/>
    <w:rsid w:val="003319E9"/>
    <w:pPr>
      <w:adjustRightInd w:val="0"/>
      <w:spacing w:before="240" w:after="520" w:line="520" w:lineRule="atLeast"/>
    </w:pPr>
    <w:rPr>
      <w:rFonts w:ascii="Source Sans Pro Light" w:eastAsiaTheme="majorEastAsia" w:hAnsi="Source Sans Pro Light" w:cstheme="majorBidi"/>
      <w:color w:val="002A3A" w:themeColor="text2"/>
      <w:spacing w:val="-10"/>
      <w:kern w:val="28"/>
      <w:sz w:val="44"/>
      <w:szCs w:val="52"/>
    </w:rPr>
  </w:style>
  <w:style w:type="character" w:customStyle="1" w:styleId="TitleChar">
    <w:name w:val="Title Char"/>
    <w:basedOn w:val="DefaultParagraphFont"/>
    <w:link w:val="Title"/>
    <w:uiPriority w:val="10"/>
    <w:rsid w:val="00A306BD"/>
    <w:rPr>
      <w:rFonts w:ascii="Source Sans Pro Light" w:eastAsiaTheme="majorEastAsia" w:hAnsi="Source Sans Pro Light" w:cstheme="majorBidi"/>
      <w:color w:val="002A3A" w:themeColor="text2"/>
      <w:spacing w:val="-10"/>
      <w:kern w:val="28"/>
      <w:sz w:val="44"/>
      <w:szCs w:val="52"/>
    </w:rPr>
  </w:style>
  <w:style w:type="paragraph" w:customStyle="1" w:styleId="CoverURL">
    <w:name w:val="Cover URL"/>
    <w:basedOn w:val="Footer"/>
    <w:semiHidden/>
    <w:qFormat/>
    <w:rsid w:val="00093B03"/>
    <w:pPr>
      <w:jc w:val="right"/>
    </w:pPr>
    <w:rPr>
      <w:spacing w:val="-10"/>
      <w:sz w:val="40"/>
    </w:rPr>
  </w:style>
  <w:style w:type="paragraph" w:styleId="ListBullet2">
    <w:name w:val="List Bullet 2"/>
    <w:basedOn w:val="Normal"/>
    <w:uiPriority w:val="99"/>
    <w:qFormat/>
    <w:rsid w:val="00AF4C63"/>
    <w:pPr>
      <w:numPr>
        <w:ilvl w:val="1"/>
        <w:numId w:val="13"/>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93730B"/>
    <w:pPr>
      <w:numPr>
        <w:numId w:val="2"/>
      </w:numPr>
    </w:pPr>
  </w:style>
  <w:style w:type="table" w:styleId="TableGrid">
    <w:name w:val="Table Grid"/>
    <w:basedOn w:val="TableNormal"/>
    <w:uiPriority w:val="3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93730B"/>
    <w:pPr>
      <w:numPr>
        <w:numId w:val="11"/>
      </w:numPr>
    </w:pPr>
  </w:style>
  <w:style w:type="paragraph" w:styleId="ListNumber2">
    <w:name w:val="List Number 2"/>
    <w:basedOn w:val="Normal"/>
    <w:uiPriority w:val="99"/>
    <w:rsid w:val="0093730B"/>
    <w:pPr>
      <w:numPr>
        <w:ilvl w:val="1"/>
        <w:numId w:val="11"/>
      </w:numPr>
    </w:pPr>
  </w:style>
  <w:style w:type="paragraph" w:customStyle="1" w:styleId="TableHeading">
    <w:name w:val="Table Heading"/>
    <w:basedOn w:val="TableText"/>
    <w:qFormat/>
    <w:rsid w:val="00387801"/>
    <w:rPr>
      <w:color w:val="002A3A" w:themeColor="text2"/>
    </w:rPr>
  </w:style>
  <w:style w:type="paragraph" w:customStyle="1" w:styleId="TableText">
    <w:name w:val="Table Text"/>
    <w:basedOn w:val="Normal"/>
    <w:uiPriority w:val="60"/>
    <w:qFormat/>
    <w:rsid w:val="00387801"/>
    <w:pPr>
      <w:adjustRightInd w:val="0"/>
      <w:spacing w:before="60" w:after="60"/>
    </w:pPr>
    <w:rPr>
      <w:color w:val="000000" w:themeColor="text1"/>
    </w:rPr>
  </w:style>
  <w:style w:type="paragraph" w:customStyle="1" w:styleId="TableBullet">
    <w:name w:val="Table Bullet"/>
    <w:basedOn w:val="TableText"/>
    <w:link w:val="TableBulletChar"/>
    <w:qFormat/>
    <w:rsid w:val="00EB40FA"/>
    <w:pPr>
      <w:numPr>
        <w:numId w:val="3"/>
      </w:numPr>
      <w:ind w:left="170" w:hanging="170"/>
    </w:pPr>
  </w:style>
  <w:style w:type="paragraph" w:styleId="Caption">
    <w:name w:val="caption"/>
    <w:basedOn w:val="Normal"/>
    <w:next w:val="Normal"/>
    <w:uiPriority w:val="35"/>
    <w:qFormat/>
    <w:rsid w:val="001B74B5"/>
    <w:rPr>
      <w:b/>
      <w:iCs/>
      <w:color w:val="002A3A" w:themeColor="text2"/>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rsid w:val="00940831"/>
    <w:rPr>
      <w:color w:val="002A3A" w:themeColor="text2"/>
      <w:u w:val="single"/>
    </w:rPr>
  </w:style>
  <w:style w:type="table" w:customStyle="1" w:styleId="OAICTable">
    <w:name w:val="OAIC Table"/>
    <w:basedOn w:val="TableNormal"/>
    <w:uiPriority w:val="99"/>
    <w:rsid w:val="00387801"/>
    <w:pPr>
      <w:ind w:left="0" w:firstLine="0"/>
    </w:pPr>
    <w:rPr>
      <w:rFonts w:asciiTheme="minorHAnsi" w:hAnsiTheme="minorHAnsi"/>
    </w:rPr>
    <w:tblPr>
      <w:tblBorders>
        <w:bottom w:val="single" w:sz="4" w:space="0" w:color="DDD8D9" w:themeColor="accent6"/>
        <w:insideH w:val="single" w:sz="4" w:space="0" w:color="DDD8D9" w:themeColor="accent6"/>
      </w:tblBorders>
    </w:tblPr>
    <w:tcPr>
      <w:shd w:val="clear" w:color="auto" w:fill="auto"/>
    </w:tcPr>
    <w:tblStylePr w:type="firstRow">
      <w:rPr>
        <w:b/>
        <w:color w:val="auto"/>
        <w:sz w:val="22"/>
      </w:rPr>
      <w:tblPr/>
      <w:tcPr>
        <w:shd w:val="clear" w:color="auto" w:fill="DDD8D9" w:themeFill="accent6"/>
      </w:tc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93730B"/>
    <w:pPr>
      <w:numPr>
        <w:ilvl w:val="2"/>
        <w:numId w:val="11"/>
      </w:numPr>
      <w:ind w:left="851"/>
    </w:pPr>
  </w:style>
  <w:style w:type="paragraph" w:styleId="FootnoteText">
    <w:name w:val="footnote text"/>
    <w:basedOn w:val="Normal"/>
    <w:link w:val="FootnoteTextChar"/>
    <w:uiPriority w:val="99"/>
    <w:unhideWhenUsed/>
    <w:rsid w:val="002632ED"/>
    <w:pPr>
      <w:tabs>
        <w:tab w:val="left" w:pos="170"/>
      </w:tabs>
      <w:spacing w:after="60"/>
      <w:ind w:left="170" w:right="567" w:hanging="170"/>
    </w:pPr>
    <w:rPr>
      <w:sz w:val="18"/>
    </w:rPr>
  </w:style>
  <w:style w:type="character" w:customStyle="1" w:styleId="TableBulletChar">
    <w:name w:val="Table Bullet Char"/>
    <w:link w:val="TableBullet"/>
    <w:locked/>
    <w:rsid w:val="00EB40FA"/>
    <w:rPr>
      <w:rFonts w:asciiTheme="minorHAnsi" w:eastAsiaTheme="minorHAnsi" w:hAnsiTheme="minorHAnsi" w:cstheme="minorBidi"/>
      <w:color w:val="000000" w:themeColor="text1"/>
      <w:sz w:val="24"/>
      <w:szCs w:val="22"/>
      <w:lang w:eastAsia="en-US"/>
    </w:rPr>
  </w:style>
  <w:style w:type="character" w:customStyle="1" w:styleId="FootnoteTextChar">
    <w:name w:val="Footnote Text Char"/>
    <w:basedOn w:val="DefaultParagraphFont"/>
    <w:link w:val="FootnoteText"/>
    <w:uiPriority w:val="99"/>
    <w:rsid w:val="002632ED"/>
    <w:rPr>
      <w:rFonts w:asciiTheme="minorHAnsi" w:hAnsiTheme="minorHAnsi"/>
      <w:sz w:val="18"/>
    </w:rPr>
  </w:style>
  <w:style w:type="paragraph" w:styleId="Header">
    <w:name w:val="header"/>
    <w:basedOn w:val="Normal"/>
    <w:link w:val="HeaderChar"/>
    <w:uiPriority w:val="99"/>
    <w:rsid w:val="006C66AE"/>
    <w:pPr>
      <w:spacing w:after="0"/>
    </w:pPr>
    <w:rPr>
      <w:sz w:val="16"/>
    </w:rPr>
  </w:style>
  <w:style w:type="character" w:customStyle="1" w:styleId="HeaderChar">
    <w:name w:val="Header Char"/>
    <w:basedOn w:val="DefaultParagraphFont"/>
    <w:link w:val="Header"/>
    <w:uiPriority w:val="99"/>
    <w:rsid w:val="006C66AE"/>
    <w:rPr>
      <w:rFonts w:asciiTheme="minorHAnsi" w:hAnsiTheme="minorHAnsi"/>
      <w:sz w:val="16"/>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rsid w:val="00624852"/>
    <w:rPr>
      <w:color w:val="000000" w:themeColor="text1"/>
      <w:sz w:val="22"/>
    </w:rPr>
  </w:style>
  <w:style w:type="paragraph" w:customStyle="1" w:styleId="CalloutBox">
    <w:name w:val="Callout Box"/>
    <w:basedOn w:val="CallouttextB"/>
    <w:next w:val="Normal"/>
    <w:rsid w:val="00BD3B4A"/>
  </w:style>
  <w:style w:type="paragraph" w:customStyle="1" w:styleId="Source">
    <w:name w:val="Source"/>
    <w:next w:val="Normal"/>
    <w:uiPriority w:val="97"/>
    <w:semiHidden/>
    <w:rsid w:val="001B74B5"/>
    <w:pPr>
      <w:numPr>
        <w:numId w:val="5"/>
      </w:numPr>
    </w:pPr>
    <w:rPr>
      <w:rFonts w:asciiTheme="minorHAnsi" w:eastAsia="Times New Roman" w:hAnsiTheme="minorHAnsi" w:cstheme="minorHAnsi"/>
      <w:spacing w:val="-3"/>
      <w:sz w:val="18"/>
      <w:szCs w:val="14"/>
      <w:lang w:eastAsia="en-AU"/>
    </w:rPr>
  </w:style>
  <w:style w:type="paragraph" w:styleId="BalloonText">
    <w:name w:val="Balloon Text"/>
    <w:basedOn w:val="Normal"/>
    <w:link w:val="BalloonTextChar"/>
    <w:uiPriority w:val="99"/>
    <w:semiHidden/>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B2"/>
    <w:rPr>
      <w:rFonts w:ascii="Tahoma" w:hAnsi="Tahoma" w:cs="Tahoma"/>
      <w:sz w:val="16"/>
      <w:szCs w:val="16"/>
    </w:rPr>
  </w:style>
  <w:style w:type="paragraph" w:customStyle="1" w:styleId="FigureCaption">
    <w:name w:val="Figure Caption"/>
    <w:basedOn w:val="Normal"/>
    <w:next w:val="Normal"/>
    <w:rsid w:val="0093351F"/>
    <w:rPr>
      <w:b/>
      <w:color w:val="002A3A" w:themeColor="text2"/>
    </w:rPr>
  </w:style>
  <w:style w:type="paragraph" w:customStyle="1" w:styleId="TableCaption">
    <w:name w:val="Table Caption"/>
    <w:basedOn w:val="Normal"/>
    <w:next w:val="Normal"/>
    <w:rsid w:val="001B74B5"/>
    <w:rPr>
      <w:b/>
      <w:color w:val="002A3A" w:themeColor="text2"/>
    </w:rPr>
  </w:style>
  <w:style w:type="paragraph" w:styleId="TOC1">
    <w:name w:val="toc 1"/>
    <w:basedOn w:val="Normal"/>
    <w:next w:val="Normal"/>
    <w:uiPriority w:val="39"/>
    <w:semiHidden/>
    <w:rsid w:val="00B05441"/>
    <w:pPr>
      <w:tabs>
        <w:tab w:val="left" w:pos="397"/>
        <w:tab w:val="right" w:leader="dot" w:pos="9072"/>
      </w:tabs>
      <w:spacing w:after="140"/>
    </w:pPr>
    <w:rPr>
      <w:b/>
      <w:sz w:val="32"/>
    </w:rPr>
  </w:style>
  <w:style w:type="paragraph" w:styleId="TOC2">
    <w:name w:val="toc 2"/>
    <w:basedOn w:val="Normal"/>
    <w:next w:val="Normal"/>
    <w:uiPriority w:val="39"/>
    <w:semiHidden/>
    <w:rsid w:val="00D0312E"/>
    <w:pPr>
      <w:tabs>
        <w:tab w:val="left" w:pos="567"/>
        <w:tab w:val="right" w:leader="dot" w:pos="9072"/>
      </w:tabs>
      <w:spacing w:after="140"/>
    </w:pPr>
    <w:rPr>
      <w:b/>
      <w:sz w:val="32"/>
    </w:rPr>
  </w:style>
  <w:style w:type="paragraph" w:styleId="TOC3">
    <w:name w:val="toc 3"/>
    <w:basedOn w:val="Normal"/>
    <w:next w:val="Normal"/>
    <w:uiPriority w:val="39"/>
    <w:semiHidden/>
    <w:rsid w:val="00D0312E"/>
    <w:pPr>
      <w:tabs>
        <w:tab w:val="left" w:pos="737"/>
        <w:tab w:val="right" w:leader="dot" w:pos="9072"/>
      </w:tabs>
    </w:pPr>
    <w:rPr>
      <w:sz w:val="28"/>
    </w:rPr>
  </w:style>
  <w:style w:type="numbering" w:customStyle="1" w:styleId="BulletsOAIC">
    <w:name w:val="Bullets_OAIC"/>
    <w:uiPriority w:val="99"/>
    <w:rsid w:val="00AF4C63"/>
    <w:pPr>
      <w:numPr>
        <w:numId w:val="6"/>
      </w:numPr>
    </w:pPr>
  </w:style>
  <w:style w:type="paragraph" w:styleId="TOCHeading">
    <w:name w:val="TOC Heading"/>
    <w:basedOn w:val="Heading1"/>
    <w:next w:val="Normal"/>
    <w:uiPriority w:val="39"/>
    <w:semiHidden/>
    <w:qFormat/>
    <w:rsid w:val="008D56E8"/>
    <w:pPr>
      <w:spacing w:after="600" w:line="240" w:lineRule="atLeast"/>
      <w:contextualSpacing/>
      <w:outlineLvl w:val="9"/>
    </w:pPr>
    <w:rPr>
      <w:color w:val="B81D30" w:themeColor="accent1" w:themeShade="BF"/>
      <w:sz w:val="54"/>
    </w:rPr>
  </w:style>
  <w:style w:type="paragraph" w:styleId="ListBullet">
    <w:name w:val="List Bullet"/>
    <w:basedOn w:val="Normal"/>
    <w:uiPriority w:val="99"/>
    <w:qFormat/>
    <w:rsid w:val="00AF4C63"/>
    <w:pPr>
      <w:numPr>
        <w:numId w:val="13"/>
      </w:numPr>
    </w:pPr>
  </w:style>
  <w:style w:type="paragraph" w:customStyle="1" w:styleId="CoverDate">
    <w:name w:val="Cover Date"/>
    <w:basedOn w:val="Normal"/>
    <w:rsid w:val="00A22DB1"/>
    <w:pPr>
      <w:spacing w:after="0"/>
    </w:pPr>
    <w:rPr>
      <w:b/>
      <w:color w:val="7F7F7F" w:themeColor="text1" w:themeTint="80"/>
      <w:sz w:val="20"/>
    </w:rPr>
  </w:style>
  <w:style w:type="character" w:styleId="PageNumber">
    <w:name w:val="page number"/>
    <w:basedOn w:val="DefaultParagraphFont"/>
    <w:uiPriority w:val="99"/>
    <w:semiHidden/>
    <w:rsid w:val="0044324C"/>
    <w:rPr>
      <w:b w:val="0"/>
      <w:color w:val="000000" w:themeColor="text1"/>
    </w:rPr>
  </w:style>
  <w:style w:type="paragraph" w:customStyle="1" w:styleId="CoverHeading">
    <w:name w:val="Cover Heading"/>
    <w:basedOn w:val="Normal"/>
    <w:semiHidden/>
    <w:qFormat/>
    <w:rsid w:val="00420D0C"/>
    <w:pPr>
      <w:spacing w:before="360" w:line="194" w:lineRule="auto"/>
      <w:contextualSpacing/>
    </w:pPr>
    <w:rPr>
      <w:color w:val="FFFFFF" w:themeColor="background2"/>
      <w:sz w:val="60"/>
    </w:rPr>
  </w:style>
  <w:style w:type="paragraph" w:customStyle="1" w:styleId="CoverSubheading">
    <w:name w:val="Cover Subheading"/>
    <w:basedOn w:val="Normal"/>
    <w:rsid w:val="00A22DB1"/>
    <w:pPr>
      <w:spacing w:after="600" w:line="400" w:lineRule="atLeast"/>
      <w:contextualSpacing/>
    </w:pPr>
    <w:rPr>
      <w:b/>
      <w:color w:val="002A3A" w:themeColor="text2"/>
      <w:spacing w:val="-10"/>
      <w:sz w:val="32"/>
    </w:rPr>
  </w:style>
  <w:style w:type="paragraph" w:customStyle="1" w:styleId="CoverDetails">
    <w:name w:val="Cover Details"/>
    <w:basedOn w:val="Normal"/>
    <w:semiHidden/>
    <w:qFormat/>
    <w:rsid w:val="00C348FD"/>
    <w:pPr>
      <w:spacing w:after="100"/>
    </w:pPr>
    <w:rPr>
      <w:color w:val="FFFFFF" w:themeColor="background2"/>
      <w:spacing w:val="-6"/>
    </w:rPr>
  </w:style>
  <w:style w:type="paragraph" w:customStyle="1" w:styleId="CoverDetailsHeading">
    <w:name w:val="Cover Details Heading"/>
    <w:basedOn w:val="Normal"/>
    <w:semiHidden/>
    <w:qFormat/>
    <w:rsid w:val="00B87AC3"/>
    <w:pPr>
      <w:spacing w:after="80"/>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086C"/>
    <w:pPr>
      <w:numPr>
        <w:ilvl w:val="1"/>
        <w:numId w:val="12"/>
      </w:numPr>
    </w:pPr>
  </w:style>
  <w:style w:type="character" w:customStyle="1" w:styleId="Heading6Char">
    <w:name w:val="Heading 6 Char"/>
    <w:basedOn w:val="DefaultParagraphFont"/>
    <w:link w:val="Heading6"/>
    <w:uiPriority w:val="9"/>
    <w:semiHidden/>
    <w:rsid w:val="007945FA"/>
    <w:rPr>
      <w:rFonts w:asciiTheme="majorHAnsi" w:eastAsiaTheme="majorEastAsia" w:hAnsiTheme="majorHAnsi" w:cstheme="majorBidi"/>
      <w:iCs/>
      <w:color w:val="002A3A" w:themeColor="text2"/>
      <w:sz w:val="22"/>
    </w:rPr>
  </w:style>
  <w:style w:type="numbering" w:customStyle="1" w:styleId="NumberedParagraphsList">
    <w:name w:val="NumberedParagraphs List"/>
    <w:uiPriority w:val="99"/>
    <w:rsid w:val="0004086C"/>
    <w:pPr>
      <w:numPr>
        <w:numId w:val="9"/>
      </w:numPr>
    </w:pPr>
  </w:style>
  <w:style w:type="paragraph" w:styleId="TOC4">
    <w:name w:val="toc 4"/>
    <w:basedOn w:val="Normal"/>
    <w:next w:val="Normal"/>
    <w:uiPriority w:val="39"/>
    <w:semiHidden/>
    <w:rsid w:val="00D0312E"/>
    <w:pPr>
      <w:tabs>
        <w:tab w:val="left" w:pos="737"/>
        <w:tab w:val="right" w:leader="dot" w:pos="9072"/>
      </w:tabs>
    </w:pPr>
    <w:rPr>
      <w:sz w:val="20"/>
    </w:rPr>
  </w:style>
  <w:style w:type="paragraph" w:customStyle="1" w:styleId="IndentBullet1">
    <w:name w:val="Indent Bullet 1"/>
    <w:basedOn w:val="Normal"/>
    <w:qFormat/>
    <w:rsid w:val="00AF4C63"/>
    <w:pPr>
      <w:numPr>
        <w:ilvl w:val="4"/>
        <w:numId w:val="13"/>
      </w:numPr>
    </w:pPr>
  </w:style>
  <w:style w:type="paragraph" w:customStyle="1" w:styleId="IndentBullet2">
    <w:name w:val="Indent Bullet 2"/>
    <w:basedOn w:val="ListParagraph"/>
    <w:qFormat/>
    <w:rsid w:val="00AF4C63"/>
    <w:pPr>
      <w:numPr>
        <w:ilvl w:val="5"/>
        <w:numId w:val="13"/>
      </w:numPr>
    </w:pPr>
  </w:style>
  <w:style w:type="character" w:styleId="FollowedHyperlink">
    <w:name w:val="FollowedHyperlink"/>
    <w:basedOn w:val="DefaultParagraphFont"/>
    <w:uiPriority w:val="99"/>
    <w:semiHidden/>
    <w:unhideWhenUsed/>
    <w:rsid w:val="00E114D3"/>
    <w:rPr>
      <w:color w:val="000000" w:themeColor="followedHyperlink"/>
      <w:u w:val="single"/>
    </w:rPr>
  </w:style>
  <w:style w:type="paragraph" w:customStyle="1" w:styleId="Details">
    <w:name w:val="Details"/>
    <w:basedOn w:val="Normal"/>
    <w:rsid w:val="00624852"/>
    <w:pPr>
      <w:spacing w:before="120"/>
    </w:pPr>
  </w:style>
  <w:style w:type="paragraph" w:customStyle="1" w:styleId="Label">
    <w:name w:val="Label"/>
    <w:basedOn w:val="Details"/>
    <w:rsid w:val="00624852"/>
    <w:rPr>
      <w:b/>
    </w:rPr>
  </w:style>
  <w:style w:type="table" w:styleId="GridTable5Dark-Accent4">
    <w:name w:val="Grid Table 5 Dark Accent 4"/>
    <w:basedOn w:val="TableNormal"/>
    <w:uiPriority w:val="50"/>
    <w:rsid w:val="009F78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F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2B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2B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2B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2B6" w:themeFill="accent4"/>
      </w:tcPr>
    </w:tblStylePr>
    <w:tblStylePr w:type="band1Vert">
      <w:tblPr/>
      <w:tcPr>
        <w:shd w:val="clear" w:color="auto" w:fill="E6E0E1" w:themeFill="accent4" w:themeFillTint="66"/>
      </w:tcPr>
    </w:tblStylePr>
    <w:tblStylePr w:type="band1Horz">
      <w:tblPr/>
      <w:tcPr>
        <w:shd w:val="clear" w:color="auto" w:fill="E6E0E1" w:themeFill="accent4" w:themeFillTint="66"/>
      </w:tcPr>
    </w:tblStylePr>
  </w:style>
  <w:style w:type="table" w:styleId="ListTable7Colorful-Accent6">
    <w:name w:val="List Table 7 Colorful Accent 6"/>
    <w:basedOn w:val="TableNormal"/>
    <w:uiPriority w:val="52"/>
    <w:rsid w:val="009F782D"/>
    <w:rPr>
      <w:color w:val="A99D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8D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8D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8D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8D9" w:themeColor="accent6"/>
        </w:tcBorders>
        <w:shd w:val="clear" w:color="auto" w:fill="FFFFFF" w:themeFill="background1"/>
      </w:tcPr>
    </w:tblStylePr>
    <w:tblStylePr w:type="band1Vert">
      <w:tblPr/>
      <w:tcPr>
        <w:shd w:val="clear" w:color="auto" w:fill="F8F7F7" w:themeFill="accent6" w:themeFillTint="33"/>
      </w:tcPr>
    </w:tblStylePr>
    <w:tblStylePr w:type="band1Horz">
      <w:tblPr/>
      <w:tcPr>
        <w:shd w:val="clear" w:color="auto" w:fill="F8F7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0554F"/>
    <w:rPr>
      <w:color w:val="977E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B2B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B2B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B2B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B2B6" w:themeColor="accent4"/>
        </w:tcBorders>
        <w:shd w:val="clear" w:color="auto" w:fill="FFFFFF" w:themeFill="background1"/>
      </w:tcPr>
    </w:tblStylePr>
    <w:tblStylePr w:type="band1Vert">
      <w:tblPr/>
      <w:tcPr>
        <w:shd w:val="clear" w:color="auto" w:fill="F2EFF0" w:themeFill="accent4" w:themeFillTint="33"/>
      </w:tcPr>
    </w:tblStylePr>
    <w:tblStylePr w:type="band1Horz">
      <w:tblPr/>
      <w:tcPr>
        <w:shd w:val="clear" w:color="auto" w:fill="F2EF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otnoteReference">
    <w:name w:val="footnote reference"/>
    <w:basedOn w:val="DefaultParagraphFont"/>
    <w:uiPriority w:val="99"/>
    <w:semiHidden/>
    <w:unhideWhenUsed/>
    <w:rsid w:val="00B32094"/>
    <w:rPr>
      <w:vertAlign w:val="superscript"/>
    </w:rPr>
  </w:style>
  <w:style w:type="character" w:styleId="Strong">
    <w:name w:val="Strong"/>
    <w:basedOn w:val="DefaultParagraphFont"/>
    <w:uiPriority w:val="22"/>
    <w:qFormat/>
    <w:rsid w:val="003D5BE5"/>
    <w:rPr>
      <w:b/>
      <w:bCs/>
    </w:rPr>
  </w:style>
  <w:style w:type="paragraph" w:styleId="ListBullet3">
    <w:name w:val="List Bullet 3"/>
    <w:basedOn w:val="Normal"/>
    <w:uiPriority w:val="99"/>
    <w:qFormat/>
    <w:rsid w:val="00AF4C63"/>
    <w:pPr>
      <w:numPr>
        <w:ilvl w:val="2"/>
        <w:numId w:val="13"/>
      </w:numPr>
      <w:contextualSpacing/>
    </w:pPr>
  </w:style>
  <w:style w:type="numbering" w:customStyle="1" w:styleId="NumbersOAIC1">
    <w:name w:val="Numbers_OAIC1"/>
    <w:uiPriority w:val="99"/>
    <w:rsid w:val="003D5BE5"/>
  </w:style>
  <w:style w:type="numbering" w:customStyle="1" w:styleId="BulletsOAIC1">
    <w:name w:val="Bullets_OAIC1"/>
    <w:uiPriority w:val="99"/>
    <w:rsid w:val="003D5BE5"/>
  </w:style>
  <w:style w:type="paragraph" w:styleId="NoSpacing">
    <w:name w:val="No Spacing"/>
    <w:uiPriority w:val="1"/>
    <w:rsid w:val="00BD3B4A"/>
    <w:pPr>
      <w:ind w:left="0" w:firstLine="0"/>
    </w:pPr>
    <w:rPr>
      <w:rFonts w:asciiTheme="minorHAnsi" w:hAnsiTheme="minorHAnsi"/>
      <w:sz w:val="22"/>
    </w:rPr>
  </w:style>
  <w:style w:type="table" w:customStyle="1" w:styleId="CalloutA">
    <w:name w:val="Callout A"/>
    <w:basedOn w:val="TableNormal"/>
    <w:uiPriority w:val="99"/>
    <w:rsid w:val="00BD3B4A"/>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themeFill="accent6"/>
      <w:vAlign w:val="center"/>
    </w:tcPr>
  </w:style>
  <w:style w:type="table" w:customStyle="1" w:styleId="CalloutB">
    <w:name w:val="Callout B"/>
    <w:basedOn w:val="TableNormal"/>
    <w:uiPriority w:val="99"/>
    <w:rsid w:val="00BD3B4A"/>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F3DD6D" w:themeFill="accent5"/>
    </w:tcPr>
  </w:style>
  <w:style w:type="table" w:customStyle="1" w:styleId="CalloutC">
    <w:name w:val="Callout C"/>
    <w:basedOn w:val="TableNormal"/>
    <w:uiPriority w:val="99"/>
    <w:rsid w:val="00BD3B4A"/>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F3DD6D" w:themeFill="accent5"/>
      </w:tcPr>
    </w:tblStylePr>
    <w:tblStylePr w:type="swCell">
      <w:tblPr/>
      <w:tcPr>
        <w:shd w:val="clear" w:color="auto" w:fill="F3DD6D" w:themeFill="accent5"/>
      </w:tcPr>
    </w:tblStylePr>
  </w:style>
  <w:style w:type="table" w:customStyle="1" w:styleId="CalloutD">
    <w:name w:val="Callout D"/>
    <w:basedOn w:val="TableNormal"/>
    <w:uiPriority w:val="99"/>
    <w:rsid w:val="00BD3B4A"/>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hemeFill="accent6"/>
      </w:tcPr>
    </w:tblStylePr>
    <w:tblStylePr w:type="swCell">
      <w:tblPr/>
      <w:tcPr>
        <w:shd w:val="clear" w:color="auto" w:fill="DDD8D9" w:themeFill="accent6"/>
      </w:tcPr>
    </w:tblStylePr>
  </w:style>
  <w:style w:type="paragraph" w:customStyle="1" w:styleId="CallouttextA">
    <w:name w:val="Callout text A"/>
    <w:basedOn w:val="Normal"/>
    <w:next w:val="Normal"/>
    <w:rsid w:val="00BD3B4A"/>
    <w:pPr>
      <w:pBdr>
        <w:top w:val="single" w:sz="4" w:space="10" w:color="F3DD6D" w:themeColor="accent5"/>
        <w:left w:val="single" w:sz="4" w:space="10" w:color="F3DD6D" w:themeColor="accent5"/>
        <w:bottom w:val="single" w:sz="4" w:space="10" w:color="F3DD6D" w:themeColor="accent5"/>
        <w:right w:val="single" w:sz="4" w:space="10" w:color="F3DD6D" w:themeColor="accent5"/>
      </w:pBdr>
      <w:shd w:val="clear" w:color="auto" w:fill="F3DD6D" w:themeFill="accent5"/>
      <w:ind w:left="227" w:right="227"/>
    </w:pPr>
    <w:rPr>
      <w:spacing w:val="1"/>
    </w:rPr>
  </w:style>
  <w:style w:type="paragraph" w:customStyle="1" w:styleId="CallouttextB">
    <w:name w:val="Callout text B"/>
    <w:basedOn w:val="CallouttextA"/>
    <w:next w:val="Normal"/>
    <w:rsid w:val="00BD3B4A"/>
    <w:pPr>
      <w:pBdr>
        <w:top w:val="single" w:sz="4" w:space="10" w:color="DDD8D9" w:themeColor="accent6"/>
        <w:left w:val="single" w:sz="4" w:space="10" w:color="DDD8D9" w:themeColor="accent6"/>
        <w:bottom w:val="single" w:sz="4" w:space="10" w:color="DDD8D9" w:themeColor="accent6"/>
        <w:right w:val="single" w:sz="4" w:space="10" w:color="DDD8D9" w:themeColor="accent6"/>
      </w:pBdr>
      <w:shd w:val="clear" w:color="auto" w:fill="DDD8D9" w:themeFill="accent6"/>
    </w:pPr>
  </w:style>
  <w:style w:type="paragraph" w:styleId="MacroText">
    <w:name w:val="macro"/>
    <w:link w:val="MacroTextChar"/>
    <w:uiPriority w:val="99"/>
    <w:semiHidden/>
    <w:unhideWhenUsed/>
    <w:rsid w:val="008951B5"/>
    <w:pPr>
      <w:tabs>
        <w:tab w:val="left" w:pos="480"/>
        <w:tab w:val="left" w:pos="960"/>
        <w:tab w:val="left" w:pos="1440"/>
        <w:tab w:val="left" w:pos="1920"/>
        <w:tab w:val="left" w:pos="2400"/>
        <w:tab w:val="left" w:pos="2880"/>
        <w:tab w:val="left" w:pos="3360"/>
        <w:tab w:val="left" w:pos="3840"/>
        <w:tab w:val="left" w:pos="4320"/>
      </w:tabs>
      <w:spacing w:line="260" w:lineRule="atLeast"/>
      <w:ind w:firstLine="0"/>
    </w:pPr>
    <w:rPr>
      <w:rFonts w:ascii="Consolas" w:hAnsi="Consolas"/>
    </w:rPr>
  </w:style>
  <w:style w:type="character" w:customStyle="1" w:styleId="MacroTextChar">
    <w:name w:val="Macro Text Char"/>
    <w:basedOn w:val="DefaultParagraphFont"/>
    <w:link w:val="MacroText"/>
    <w:uiPriority w:val="99"/>
    <w:semiHidden/>
    <w:rsid w:val="008951B5"/>
    <w:rPr>
      <w:rFonts w:ascii="Consolas" w:hAnsi="Consolas"/>
    </w:rPr>
  </w:style>
  <w:style w:type="paragraph" w:styleId="ListNumber5">
    <w:name w:val="List Number 5"/>
    <w:basedOn w:val="Normal"/>
    <w:uiPriority w:val="99"/>
    <w:unhideWhenUsed/>
    <w:rsid w:val="008951B5"/>
    <w:pPr>
      <w:numPr>
        <w:numId w:val="10"/>
      </w:numPr>
      <w:contextualSpacing/>
    </w:pPr>
  </w:style>
  <w:style w:type="paragraph" w:styleId="ListBullet4">
    <w:name w:val="List Bullet 4"/>
    <w:basedOn w:val="Normal"/>
    <w:uiPriority w:val="99"/>
    <w:unhideWhenUsed/>
    <w:rsid w:val="00AF4C63"/>
    <w:pPr>
      <w:numPr>
        <w:ilvl w:val="3"/>
        <w:numId w:val="13"/>
      </w:numPr>
      <w:spacing w:before="180" w:after="0"/>
    </w:pPr>
  </w:style>
  <w:style w:type="table" w:customStyle="1" w:styleId="Agreement">
    <w:name w:val="Agreement"/>
    <w:basedOn w:val="TableNormal"/>
    <w:uiPriority w:val="99"/>
    <w:rsid w:val="008951B5"/>
    <w:pPr>
      <w:ind w:left="0" w:firstLine="0"/>
    </w:pPr>
    <w:rPr>
      <w:rFonts w:asciiTheme="minorHAnsi" w:hAnsiTheme="minorHAnsi"/>
    </w:rPr>
    <w:tblPr>
      <w:tblBorders>
        <w:insideH w:val="single" w:sz="4" w:space="0" w:color="DDD8D9" w:themeColor="accent6"/>
      </w:tblBorders>
    </w:tblPr>
    <w:tcPr>
      <w:vAlign w:val="bottom"/>
    </w:tcPr>
    <w:tblStylePr w:type="firstRow">
      <w:rPr>
        <w:rFonts w:asciiTheme="minorHAnsi" w:hAnsiTheme="minorHAnsi"/>
        <w:b w:val="0"/>
        <w:i w:val="0"/>
        <w:sz w:val="30"/>
      </w:rPr>
      <w:tblPr/>
      <w:tcPr>
        <w:shd w:val="clear" w:color="auto" w:fill="DDD8D9" w:themeFill="accent6"/>
      </w:tcPr>
    </w:tblStylePr>
    <w:tblStylePr w:type="lastRow">
      <w:pPr>
        <w:jc w:val="left"/>
      </w:pPr>
      <w:tblPr/>
      <w:tcPr>
        <w:shd w:val="clear" w:color="auto" w:fill="DDD8D9" w:themeFill="accent6"/>
      </w:tcPr>
    </w:tblStylePr>
    <w:tblStylePr w:type="swCell">
      <w:pPr>
        <w:jc w:val="left"/>
      </w:pPr>
      <w:tblPr/>
      <w:tcPr>
        <w:vAlign w:val="top"/>
      </w:tcPr>
    </w:tblStylePr>
  </w:style>
  <w:style w:type="table" w:customStyle="1" w:styleId="OAICForm">
    <w:name w:val="OAIC Form"/>
    <w:basedOn w:val="TableNormal"/>
    <w:uiPriority w:val="99"/>
    <w:rsid w:val="00387801"/>
    <w:pPr>
      <w:ind w:left="0" w:firstLine="0"/>
    </w:pPr>
    <w:tblPr>
      <w:tblBorders>
        <w:bottom w:val="single" w:sz="4" w:space="0" w:color="DDD8D9" w:themeColor="accent6"/>
        <w:insideH w:val="single" w:sz="4" w:space="0" w:color="DDD8D9" w:themeColor="accent6"/>
      </w:tblBorders>
    </w:tblPr>
    <w:tblStylePr w:type="firstCol">
      <w:tblPr/>
      <w:tcPr>
        <w:shd w:val="clear" w:color="auto" w:fill="DDD8D9" w:themeFill="accent6"/>
      </w:tcPr>
    </w:tblStylePr>
  </w:style>
  <w:style w:type="paragraph" w:customStyle="1" w:styleId="TableUnderline">
    <w:name w:val="Table Underline"/>
    <w:basedOn w:val="NoSpacing"/>
    <w:qFormat/>
    <w:rsid w:val="00F462A8"/>
    <w:pPr>
      <w:pBdr>
        <w:bottom w:val="single" w:sz="4" w:space="1" w:color="DDD8D9" w:themeColor="accent6"/>
      </w:pBdr>
      <w:spacing w:after="200"/>
    </w:pPr>
  </w:style>
  <w:style w:type="paragraph" w:customStyle="1" w:styleId="Heading1-RightAligned">
    <w:name w:val="Heading 1 - Right Aligned"/>
    <w:basedOn w:val="Heading1"/>
    <w:qFormat/>
    <w:rsid w:val="00F462A8"/>
    <w:pPr>
      <w:jc w:val="right"/>
    </w:pPr>
  </w:style>
  <w:style w:type="character" w:styleId="UnresolvedMention">
    <w:name w:val="Unresolved Mention"/>
    <w:basedOn w:val="DefaultParagraphFont"/>
    <w:uiPriority w:val="99"/>
    <w:semiHidden/>
    <w:unhideWhenUsed/>
    <w:rsid w:val="006F770B"/>
    <w:rPr>
      <w:color w:val="605E5C"/>
      <w:shd w:val="clear" w:color="auto" w:fill="E1DFDD"/>
    </w:rPr>
  </w:style>
  <w:style w:type="paragraph" w:customStyle="1" w:styleId="Legnumberedpara">
    <w:name w:val="Leg numbered para"/>
    <w:basedOn w:val="ListParagraph"/>
    <w:link w:val="LegnumberedparaChar"/>
    <w:qFormat/>
    <w:rsid w:val="009E0CB6"/>
    <w:pPr>
      <w:numPr>
        <w:numId w:val="14"/>
      </w:numPr>
      <w:ind w:left="426" w:hanging="426"/>
    </w:pPr>
    <w:rPr>
      <w:rFonts w:asciiTheme="majorHAnsi" w:hAnsiTheme="majorHAnsi"/>
      <w:color w:val="002A3A" w:themeColor="text2"/>
      <w:spacing w:val="10"/>
    </w:rPr>
  </w:style>
  <w:style w:type="character" w:customStyle="1" w:styleId="ListParagraphChar">
    <w:name w:val="List Paragraph Char"/>
    <w:basedOn w:val="DefaultParagraphFont"/>
    <w:link w:val="ListParagraph"/>
    <w:uiPriority w:val="34"/>
    <w:rsid w:val="00E23C04"/>
    <w:rPr>
      <w:rFonts w:asciiTheme="minorHAnsi" w:hAnsiTheme="minorHAnsi"/>
      <w:sz w:val="22"/>
    </w:rPr>
  </w:style>
  <w:style w:type="character" w:customStyle="1" w:styleId="LegnumberedparaChar">
    <w:name w:val="Leg numbered para Char"/>
    <w:basedOn w:val="ListParagraphChar"/>
    <w:link w:val="Legnumberedpara"/>
    <w:rsid w:val="009E0CB6"/>
    <w:rPr>
      <w:rFonts w:asciiTheme="majorHAnsi" w:eastAsiaTheme="minorHAnsi" w:hAnsiTheme="majorHAnsi" w:cstheme="minorBidi"/>
      <w:color w:val="002A3A" w:themeColor="text2"/>
      <w:spacing w:val="10"/>
      <w:sz w:val="24"/>
      <w:szCs w:val="22"/>
      <w:lang w:eastAsia="en-US"/>
    </w:rPr>
  </w:style>
  <w:style w:type="paragraph" w:styleId="NormalWeb">
    <w:name w:val="Normal (Web)"/>
    <w:basedOn w:val="Normal"/>
    <w:uiPriority w:val="99"/>
    <w:unhideWhenUsed/>
    <w:rsid w:val="00841C20"/>
    <w:pPr>
      <w:spacing w:before="100" w:beforeAutospacing="1" w:after="100" w:afterAutospacing="1"/>
    </w:pPr>
    <w:rPr>
      <w:rFonts w:ascii="Times New Roman" w:eastAsia="Times New Roman" w:hAnsi="Times New Roman"/>
      <w:szCs w:val="24"/>
      <w:lang w:eastAsia="en-AU"/>
    </w:rPr>
  </w:style>
  <w:style w:type="character" w:styleId="Emphasis">
    <w:name w:val="Emphasis"/>
    <w:basedOn w:val="DefaultParagraphFont"/>
    <w:uiPriority w:val="20"/>
    <w:qFormat/>
    <w:rsid w:val="00841C20"/>
    <w:rPr>
      <w:i/>
      <w:iCs/>
    </w:rPr>
  </w:style>
  <w:style w:type="paragraph" w:customStyle="1" w:styleId="paragraph">
    <w:name w:val="paragraph"/>
    <w:basedOn w:val="Normal"/>
    <w:rsid w:val="00DC4247"/>
    <w:pPr>
      <w:spacing w:before="100" w:beforeAutospacing="1" w:after="100" w:afterAutospacing="1"/>
    </w:pPr>
    <w:rPr>
      <w:rFonts w:ascii="Times New Roman" w:hAnsi="Times New Roman"/>
      <w:szCs w:val="24"/>
      <w:lang w:eastAsia="en-AU"/>
    </w:rPr>
  </w:style>
  <w:style w:type="paragraph" w:customStyle="1" w:styleId="Default">
    <w:name w:val="Default"/>
    <w:rsid w:val="00692832"/>
    <w:pPr>
      <w:autoSpaceDE w:val="0"/>
      <w:autoSpaceDN w:val="0"/>
      <w:adjustRightInd w:val="0"/>
      <w:ind w:left="0" w:firstLine="0"/>
    </w:pPr>
    <w:rPr>
      <w:rFonts w:cs="Arial"/>
      <w:color w:val="000000"/>
      <w:sz w:val="24"/>
      <w:szCs w:val="24"/>
    </w:rPr>
  </w:style>
  <w:style w:type="paragraph" w:styleId="Revision">
    <w:name w:val="Revision"/>
    <w:hidden/>
    <w:uiPriority w:val="99"/>
    <w:semiHidden/>
    <w:rsid w:val="00520D7C"/>
    <w:pPr>
      <w:ind w:left="0" w:firstLine="0"/>
    </w:pPr>
    <w:rPr>
      <w:rFonts w:asciiTheme="minorHAnsi" w:hAnsiTheme="minorHAnsi"/>
      <w:sz w:val="22"/>
    </w:rPr>
  </w:style>
  <w:style w:type="paragraph" w:customStyle="1" w:styleId="Bulletlist">
    <w:name w:val="Bullet list"/>
    <w:basedOn w:val="ListParagraph"/>
    <w:rsid w:val="00E00F5F"/>
    <w:pPr>
      <w:numPr>
        <w:numId w:val="15"/>
      </w:numPr>
      <w:spacing w:after="120"/>
      <w:ind w:hanging="578"/>
    </w:pPr>
    <w:rPr>
      <w:rFonts w:eastAsia="Times New Roman"/>
      <w:lang w:eastAsia="en-AU"/>
    </w:rPr>
  </w:style>
  <w:style w:type="paragraph" w:customStyle="1" w:styleId="ndissubsection">
    <w:name w:val="ndissubsection"/>
    <w:basedOn w:val="Normal"/>
    <w:rsid w:val="00E00F5F"/>
    <w:pPr>
      <w:spacing w:before="100" w:beforeAutospacing="1" w:after="100" w:afterAutospacing="1"/>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semiHidden/>
    <w:unhideWhenUsed/>
    <w:rsid w:val="00FE7F7A"/>
    <w:rPr>
      <w:sz w:val="16"/>
      <w:szCs w:val="16"/>
    </w:rPr>
  </w:style>
  <w:style w:type="paragraph" w:styleId="CommentText">
    <w:name w:val="annotation text"/>
    <w:basedOn w:val="Normal"/>
    <w:link w:val="CommentTextChar"/>
    <w:uiPriority w:val="99"/>
    <w:unhideWhenUsed/>
    <w:rsid w:val="00FE7F7A"/>
    <w:rPr>
      <w:sz w:val="20"/>
      <w:szCs w:val="20"/>
    </w:rPr>
  </w:style>
  <w:style w:type="character" w:customStyle="1" w:styleId="CommentTextChar">
    <w:name w:val="Comment Text Char"/>
    <w:basedOn w:val="DefaultParagraphFont"/>
    <w:link w:val="CommentText"/>
    <w:uiPriority w:val="99"/>
    <w:rsid w:val="00FE7F7A"/>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E7F7A"/>
    <w:rPr>
      <w:b/>
      <w:bCs/>
    </w:rPr>
  </w:style>
  <w:style w:type="character" w:customStyle="1" w:styleId="CommentSubjectChar">
    <w:name w:val="Comment Subject Char"/>
    <w:basedOn w:val="CommentTextChar"/>
    <w:link w:val="CommentSubject"/>
    <w:uiPriority w:val="99"/>
    <w:semiHidden/>
    <w:rsid w:val="00FE7F7A"/>
    <w:rPr>
      <w:rFonts w:ascii="Calibri" w:eastAsiaTheme="minorHAnsi" w:hAnsi="Calibri" w:cstheme="minorBidi"/>
      <w:b/>
      <w:bCs/>
      <w:lang w:eastAsia="en-US"/>
    </w:rPr>
  </w:style>
  <w:style w:type="paragraph" w:styleId="Quote">
    <w:name w:val="Quote"/>
    <w:basedOn w:val="Normal"/>
    <w:next w:val="Normal"/>
    <w:link w:val="QuoteChar"/>
    <w:uiPriority w:val="29"/>
    <w:qFormat/>
    <w:rsid w:val="0079512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795126"/>
    <w:rPr>
      <w:rFonts w:ascii="Calibri" w:eastAsiaTheme="minorHAnsi" w:hAnsi="Calibri" w:cstheme="minorBidi"/>
      <w:i/>
      <w:iCs/>
      <w:color w:val="404040" w:themeColor="text1" w:themeTint="BF"/>
      <w:sz w:val="24"/>
      <w:szCs w:val="22"/>
      <w:lang w:eastAsia="en-US"/>
    </w:rPr>
  </w:style>
  <w:style w:type="paragraph" w:customStyle="1" w:styleId="BodyNum">
    <w:name w:val="BodyNum"/>
    <w:aliases w:val="b1"/>
    <w:basedOn w:val="Normal"/>
    <w:rsid w:val="00912137"/>
    <w:pPr>
      <w:numPr>
        <w:numId w:val="35"/>
      </w:numPr>
      <w:spacing w:before="240" w:after="0"/>
    </w:pPr>
    <w:rPr>
      <w:rFonts w:ascii="Times New Roman" w:eastAsia="Times New Roman" w:hAnsi="Times New Roman" w:cs="Times New Roman"/>
      <w:szCs w:val="20"/>
      <w:lang w:eastAsia="en-AU"/>
    </w:rPr>
  </w:style>
  <w:style w:type="paragraph" w:customStyle="1" w:styleId="BodyPara">
    <w:name w:val="BodyPara"/>
    <w:aliases w:val="ba"/>
    <w:basedOn w:val="Normal"/>
    <w:rsid w:val="00912137"/>
    <w:pPr>
      <w:numPr>
        <w:ilvl w:val="1"/>
        <w:numId w:val="35"/>
      </w:numPr>
      <w:spacing w:before="240" w:after="0"/>
    </w:pPr>
    <w:rPr>
      <w:rFonts w:ascii="Times New Roman" w:eastAsia="Times New Roman" w:hAnsi="Times New Roman" w:cs="Times New Roman"/>
      <w:szCs w:val="20"/>
      <w:lang w:eastAsia="en-AU"/>
    </w:rPr>
  </w:style>
  <w:style w:type="paragraph" w:customStyle="1" w:styleId="BodyParaBullet">
    <w:name w:val="BodyParaBullet"/>
    <w:aliases w:val="bpb"/>
    <w:basedOn w:val="Normal"/>
    <w:rsid w:val="00912137"/>
    <w:pPr>
      <w:numPr>
        <w:ilvl w:val="2"/>
        <w:numId w:val="35"/>
      </w:numPr>
      <w:tabs>
        <w:tab w:val="left" w:pos="2160"/>
      </w:tabs>
      <w:spacing w:before="240" w:after="0"/>
    </w:pPr>
    <w:rPr>
      <w:rFonts w:ascii="Times New Roman" w:eastAsia="Times New Roman" w:hAnsi="Times New Roman" w:cs="Times New Roman"/>
      <w:szCs w:val="20"/>
      <w:lang w:eastAsia="en-AU"/>
    </w:rPr>
  </w:style>
  <w:style w:type="paragraph" w:customStyle="1" w:styleId="BodySubPara">
    <w:name w:val="BodySubPara"/>
    <w:aliases w:val="bi"/>
    <w:basedOn w:val="Normal"/>
    <w:rsid w:val="00912137"/>
    <w:pPr>
      <w:numPr>
        <w:ilvl w:val="3"/>
        <w:numId w:val="35"/>
      </w:numPr>
      <w:tabs>
        <w:tab w:val="clear" w:pos="4123"/>
        <w:tab w:val="num" w:pos="2160"/>
      </w:tabs>
      <w:spacing w:before="240" w:after="0"/>
      <w:ind w:left="2160"/>
    </w:pPr>
    <w:rPr>
      <w:rFonts w:ascii="Times New Roman" w:eastAsia="Times New Roman" w:hAnsi="Times New Roman" w:cs="Times New Roman"/>
      <w:szCs w:val="20"/>
      <w:lang w:eastAsia="en-AU"/>
    </w:rPr>
  </w:style>
  <w:style w:type="numbering" w:customStyle="1" w:styleId="OPCBodyList">
    <w:name w:val="OPCBodyList"/>
    <w:uiPriority w:val="99"/>
    <w:rsid w:val="0091213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21576">
      <w:bodyDiv w:val="1"/>
      <w:marLeft w:val="0"/>
      <w:marRight w:val="0"/>
      <w:marTop w:val="0"/>
      <w:marBottom w:val="0"/>
      <w:divBdr>
        <w:top w:val="none" w:sz="0" w:space="0" w:color="auto"/>
        <w:left w:val="none" w:sz="0" w:space="0" w:color="auto"/>
        <w:bottom w:val="none" w:sz="0" w:space="0" w:color="auto"/>
        <w:right w:val="none" w:sz="0" w:space="0" w:color="auto"/>
      </w:divBdr>
    </w:div>
    <w:div w:id="663626470">
      <w:bodyDiv w:val="1"/>
      <w:marLeft w:val="0"/>
      <w:marRight w:val="0"/>
      <w:marTop w:val="0"/>
      <w:marBottom w:val="0"/>
      <w:divBdr>
        <w:top w:val="none" w:sz="0" w:space="0" w:color="auto"/>
        <w:left w:val="none" w:sz="0" w:space="0" w:color="auto"/>
        <w:bottom w:val="none" w:sz="0" w:space="0" w:color="auto"/>
        <w:right w:val="none" w:sz="0" w:space="0" w:color="auto"/>
      </w:divBdr>
    </w:div>
    <w:div w:id="663895787">
      <w:bodyDiv w:val="1"/>
      <w:marLeft w:val="0"/>
      <w:marRight w:val="0"/>
      <w:marTop w:val="0"/>
      <w:marBottom w:val="0"/>
      <w:divBdr>
        <w:top w:val="none" w:sz="0" w:space="0" w:color="auto"/>
        <w:left w:val="none" w:sz="0" w:space="0" w:color="auto"/>
        <w:bottom w:val="none" w:sz="0" w:space="0" w:color="auto"/>
        <w:right w:val="none" w:sz="0" w:space="0" w:color="auto"/>
      </w:divBdr>
    </w:div>
    <w:div w:id="1041246885">
      <w:bodyDiv w:val="1"/>
      <w:marLeft w:val="0"/>
      <w:marRight w:val="0"/>
      <w:marTop w:val="0"/>
      <w:marBottom w:val="0"/>
      <w:divBdr>
        <w:top w:val="none" w:sz="0" w:space="0" w:color="auto"/>
        <w:left w:val="none" w:sz="0" w:space="0" w:color="auto"/>
        <w:bottom w:val="none" w:sz="0" w:space="0" w:color="auto"/>
        <w:right w:val="none" w:sz="0" w:space="0" w:color="auto"/>
      </w:divBdr>
    </w:div>
    <w:div w:id="1156801360">
      <w:bodyDiv w:val="1"/>
      <w:marLeft w:val="0"/>
      <w:marRight w:val="0"/>
      <w:marTop w:val="0"/>
      <w:marBottom w:val="0"/>
      <w:divBdr>
        <w:top w:val="none" w:sz="0" w:space="0" w:color="auto"/>
        <w:left w:val="none" w:sz="0" w:space="0" w:color="auto"/>
        <w:bottom w:val="none" w:sz="0" w:space="0" w:color="auto"/>
        <w:right w:val="none" w:sz="0" w:space="0" w:color="auto"/>
      </w:divBdr>
    </w:div>
    <w:div w:id="1179077937">
      <w:bodyDiv w:val="1"/>
      <w:marLeft w:val="0"/>
      <w:marRight w:val="0"/>
      <w:marTop w:val="0"/>
      <w:marBottom w:val="0"/>
      <w:divBdr>
        <w:top w:val="none" w:sz="0" w:space="0" w:color="auto"/>
        <w:left w:val="none" w:sz="0" w:space="0" w:color="auto"/>
        <w:bottom w:val="none" w:sz="0" w:space="0" w:color="auto"/>
        <w:right w:val="none" w:sz="0" w:space="0" w:color="auto"/>
      </w:divBdr>
    </w:div>
    <w:div w:id="1284730775">
      <w:bodyDiv w:val="1"/>
      <w:marLeft w:val="0"/>
      <w:marRight w:val="0"/>
      <w:marTop w:val="0"/>
      <w:marBottom w:val="0"/>
      <w:divBdr>
        <w:top w:val="none" w:sz="0" w:space="0" w:color="auto"/>
        <w:left w:val="none" w:sz="0" w:space="0" w:color="auto"/>
        <w:bottom w:val="none" w:sz="0" w:space="0" w:color="auto"/>
        <w:right w:val="none" w:sz="0" w:space="0" w:color="auto"/>
      </w:divBdr>
    </w:div>
    <w:div w:id="1355499026">
      <w:bodyDiv w:val="1"/>
      <w:marLeft w:val="0"/>
      <w:marRight w:val="0"/>
      <w:marTop w:val="0"/>
      <w:marBottom w:val="0"/>
      <w:divBdr>
        <w:top w:val="none" w:sz="0" w:space="0" w:color="auto"/>
        <w:left w:val="none" w:sz="0" w:space="0" w:color="auto"/>
        <w:bottom w:val="none" w:sz="0" w:space="0" w:color="auto"/>
        <w:right w:val="none" w:sz="0" w:space="0" w:color="auto"/>
      </w:divBdr>
    </w:div>
    <w:div w:id="1422142406">
      <w:bodyDiv w:val="1"/>
      <w:marLeft w:val="0"/>
      <w:marRight w:val="0"/>
      <w:marTop w:val="0"/>
      <w:marBottom w:val="0"/>
      <w:divBdr>
        <w:top w:val="none" w:sz="0" w:space="0" w:color="auto"/>
        <w:left w:val="none" w:sz="0" w:space="0" w:color="auto"/>
        <w:bottom w:val="none" w:sz="0" w:space="0" w:color="auto"/>
        <w:right w:val="none" w:sz="0" w:space="0" w:color="auto"/>
      </w:divBdr>
    </w:div>
    <w:div w:id="1480883337">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55045085">
      <w:bodyDiv w:val="1"/>
      <w:marLeft w:val="0"/>
      <w:marRight w:val="0"/>
      <w:marTop w:val="0"/>
      <w:marBottom w:val="0"/>
      <w:divBdr>
        <w:top w:val="none" w:sz="0" w:space="0" w:color="auto"/>
        <w:left w:val="none" w:sz="0" w:space="0" w:color="auto"/>
        <w:bottom w:val="none" w:sz="0" w:space="0" w:color="auto"/>
        <w:right w:val="none" w:sz="0" w:space="0" w:color="auto"/>
      </w:divBdr>
    </w:div>
    <w:div w:id="1580670817">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789201058">
      <w:bodyDiv w:val="1"/>
      <w:marLeft w:val="0"/>
      <w:marRight w:val="0"/>
      <w:marTop w:val="0"/>
      <w:marBottom w:val="0"/>
      <w:divBdr>
        <w:top w:val="none" w:sz="0" w:space="0" w:color="auto"/>
        <w:left w:val="none" w:sz="0" w:space="0" w:color="auto"/>
        <w:bottom w:val="none" w:sz="0" w:space="0" w:color="auto"/>
        <w:right w:val="none" w:sz="0" w:space="0" w:color="auto"/>
      </w:divBdr>
    </w:div>
    <w:div w:id="1791437776">
      <w:bodyDiv w:val="1"/>
      <w:marLeft w:val="0"/>
      <w:marRight w:val="0"/>
      <w:marTop w:val="0"/>
      <w:marBottom w:val="0"/>
      <w:divBdr>
        <w:top w:val="none" w:sz="0" w:space="0" w:color="auto"/>
        <w:left w:val="none" w:sz="0" w:space="0" w:color="auto"/>
        <w:bottom w:val="none" w:sz="0" w:space="0" w:color="auto"/>
        <w:right w:val="none" w:sz="0" w:space="0" w:color="auto"/>
      </w:divBdr>
    </w:div>
    <w:div w:id="1830057331">
      <w:bodyDiv w:val="1"/>
      <w:marLeft w:val="0"/>
      <w:marRight w:val="0"/>
      <w:marTop w:val="0"/>
      <w:marBottom w:val="0"/>
      <w:divBdr>
        <w:top w:val="none" w:sz="0" w:space="0" w:color="auto"/>
        <w:left w:val="none" w:sz="0" w:space="0" w:color="auto"/>
        <w:bottom w:val="none" w:sz="0" w:space="0" w:color="auto"/>
        <w:right w:val="none" w:sz="0" w:space="0" w:color="auto"/>
      </w:divBdr>
    </w:div>
    <w:div w:id="1876577681">
      <w:bodyDiv w:val="1"/>
      <w:marLeft w:val="0"/>
      <w:marRight w:val="0"/>
      <w:marTop w:val="0"/>
      <w:marBottom w:val="0"/>
      <w:divBdr>
        <w:top w:val="none" w:sz="0" w:space="0" w:color="auto"/>
        <w:left w:val="none" w:sz="0" w:space="0" w:color="auto"/>
        <w:bottom w:val="none" w:sz="0" w:space="0" w:color="auto"/>
        <w:right w:val="none" w:sz="0" w:space="0" w:color="auto"/>
      </w:divBdr>
    </w:div>
    <w:div w:id="18926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C2004A01224/latest/text" TargetMode="External"/><Relationship Id="rId1" Type="http://schemas.openxmlformats.org/officeDocument/2006/relationships/hyperlink" Target="https://sharedservicescentre-my.sharepoint.com/personal/nicole_bilac_oaic_gov_au/Documents/Desktop/Downloads/95%20EB/%20S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AIC MEMO">
      <a:dk1>
        <a:sysClr val="windowText" lastClr="000000"/>
      </a:dk1>
      <a:lt1>
        <a:sysClr val="window" lastClr="FFFFFF"/>
      </a:lt1>
      <a:dk2>
        <a:srgbClr val="002A3A"/>
      </a:dk2>
      <a:lt2>
        <a:srgbClr val="FFFFFF"/>
      </a:lt2>
      <a:accent1>
        <a:srgbClr val="E03E52"/>
      </a:accent1>
      <a:accent2>
        <a:srgbClr val="00A9CE"/>
      </a:accent2>
      <a:accent3>
        <a:srgbClr val="3CDBC0"/>
      </a:accent3>
      <a:accent4>
        <a:srgbClr val="C1B2B6"/>
      </a:accent4>
      <a:accent5>
        <a:srgbClr val="F3DD6D"/>
      </a:accent5>
      <a:accent6>
        <a:srgbClr val="DDD8D9"/>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E845E-579B-4713-87C6-C085ADA3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3018</Words>
  <Characters>20649</Characters>
  <Application>Microsoft Office Word</Application>
  <DocSecurity>0</DocSecurity>
  <Lines>794</Lines>
  <Paragraphs>606</Paragraphs>
  <ScaleCrop>false</ScaleCrop>
  <HeadingPairs>
    <vt:vector size="2" baseType="variant">
      <vt:variant>
        <vt:lpstr>Title</vt:lpstr>
      </vt:variant>
      <vt:variant>
        <vt:i4>1</vt:i4>
      </vt:variant>
    </vt:vector>
  </HeadingPairs>
  <TitlesOfParts>
    <vt:vector size="1" baseType="lpstr">
      <vt:lpstr/>
    </vt:vector>
  </TitlesOfParts>
  <Company>OAIC</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CARPENTER,Catherine</dc:creator>
  <cp:lastModifiedBy>Jenkins, Hayley</cp:lastModifiedBy>
  <cp:revision>5</cp:revision>
  <cp:lastPrinted>2018-01-11T04:04:00Z</cp:lastPrinted>
  <dcterms:created xsi:type="dcterms:W3CDTF">2024-03-27T01:54:00Z</dcterms:created>
  <dcterms:modified xsi:type="dcterms:W3CDTF">2024-03-27T04:26:00Z</dcterms:modified>
  <cp:category>Executive 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2023-02-15T22:21:50Z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197be969-255d-448c-9e48-a2eb67f2609f</vt:lpwstr>
  </property>
  <property fmtid="{D5CDD505-2E9C-101B-9397-08002B2CF9AE}" pid="8" name="MSIP_Label_79d889eb-932f-4752-8739-64d25806ef64_ContentBits">
    <vt:lpwstr>0</vt:lpwstr>
  </property>
</Properties>
</file>