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55175" w:rsidRDefault="00955175" w:rsidP="00E2168B">
      <w:pPr>
        <w:spacing w:before="280" w:after="240"/>
        <w:rPr>
          <w:b/>
          <w:sz w:val="32"/>
          <w:szCs w:val="32"/>
        </w:rPr>
      </w:pPr>
    </w:p>
    <w:p w14:paraId="657A3B2B" w14:textId="77777777" w:rsidR="00955175" w:rsidRPr="00D12339" w:rsidRDefault="00721A35" w:rsidP="00E2168B">
      <w:pPr>
        <w:spacing w:before="280" w:after="240"/>
        <w:rPr>
          <w:b/>
          <w:sz w:val="32"/>
          <w:szCs w:val="32"/>
        </w:rPr>
      </w:pPr>
      <w:r w:rsidRPr="00D12339">
        <w:rPr>
          <w:noProof/>
        </w:rPr>
        <w:drawing>
          <wp:anchor distT="0" distB="0" distL="114300" distR="114300" simplePos="0" relativeHeight="251657728" behindDoc="0" locked="0" layoutInCell="1" allowOverlap="1" wp14:anchorId="56B9D43B" wp14:editId="07777777">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955175" w:rsidRPr="00D12339" w:rsidRDefault="00955175" w:rsidP="00955175">
      <w:pPr>
        <w:pStyle w:val="LI-Title"/>
        <w:pBdr>
          <w:top w:val="none" w:sz="0" w:space="0" w:color="auto"/>
        </w:pBdr>
        <w:jc w:val="center"/>
      </w:pPr>
    </w:p>
    <w:p w14:paraId="5E2094A6" w14:textId="77777777" w:rsidR="00955175" w:rsidRPr="00D12339" w:rsidRDefault="00955175" w:rsidP="00955175">
      <w:pPr>
        <w:pStyle w:val="LI-Title"/>
        <w:pBdr>
          <w:top w:val="none" w:sz="0" w:space="0" w:color="auto"/>
        </w:pBdr>
        <w:jc w:val="center"/>
      </w:pPr>
      <w:r w:rsidRPr="00D12339">
        <w:t>Explanatory Statement</w:t>
      </w:r>
    </w:p>
    <w:p w14:paraId="5DAB6C7B" w14:textId="77777777" w:rsidR="00955175" w:rsidRPr="00D12339" w:rsidRDefault="00955175" w:rsidP="00955175">
      <w:pPr>
        <w:rPr>
          <w:lang w:eastAsia="en-AU"/>
        </w:rPr>
      </w:pPr>
    </w:p>
    <w:p w14:paraId="3F5B9594" w14:textId="77777777" w:rsidR="002C6E96" w:rsidRPr="00D12339" w:rsidRDefault="0019549E" w:rsidP="00C4170B">
      <w:pPr>
        <w:jc w:val="center"/>
        <w:rPr>
          <w:b/>
          <w:i/>
          <w:sz w:val="28"/>
          <w:szCs w:val="28"/>
          <w:lang w:eastAsia="en-AU"/>
        </w:rPr>
      </w:pPr>
      <w:bookmarkStart w:id="0" w:name="_Hlk150949945"/>
      <w:r w:rsidRPr="00D12339">
        <w:rPr>
          <w:b/>
          <w:i/>
          <w:sz w:val="28"/>
          <w:szCs w:val="28"/>
          <w:lang w:eastAsia="en-AU"/>
        </w:rPr>
        <w:t>ASIC Corporations (</w:t>
      </w:r>
      <w:proofErr w:type="spellStart"/>
      <w:r w:rsidRPr="00D12339">
        <w:rPr>
          <w:b/>
          <w:i/>
          <w:sz w:val="28"/>
          <w:szCs w:val="28"/>
          <w:lang w:eastAsia="en-AU"/>
        </w:rPr>
        <w:t>mFund</w:t>
      </w:r>
      <w:proofErr w:type="spellEnd"/>
      <w:r w:rsidRPr="00D12339">
        <w:rPr>
          <w:b/>
          <w:i/>
          <w:sz w:val="28"/>
          <w:szCs w:val="28"/>
          <w:lang w:eastAsia="en-AU"/>
        </w:rPr>
        <w:t>) Instrument 202</w:t>
      </w:r>
      <w:r w:rsidR="00C93769" w:rsidRPr="00D12339">
        <w:rPr>
          <w:b/>
          <w:i/>
          <w:sz w:val="28"/>
          <w:szCs w:val="28"/>
          <w:lang w:eastAsia="en-AU"/>
        </w:rPr>
        <w:t>4</w:t>
      </w:r>
      <w:r w:rsidRPr="00D12339">
        <w:rPr>
          <w:b/>
          <w:i/>
          <w:sz w:val="28"/>
          <w:szCs w:val="28"/>
          <w:lang w:eastAsia="en-AU"/>
        </w:rPr>
        <w:t>/</w:t>
      </w:r>
      <w:r w:rsidR="00EE7EB2" w:rsidRPr="00D12339">
        <w:rPr>
          <w:b/>
          <w:i/>
          <w:sz w:val="28"/>
          <w:szCs w:val="28"/>
          <w:lang w:eastAsia="en-AU"/>
        </w:rPr>
        <w:t>18</w:t>
      </w:r>
    </w:p>
    <w:p w14:paraId="113A9DAE" w14:textId="77777777" w:rsidR="00863657" w:rsidRPr="00D12339" w:rsidRDefault="00F800C9" w:rsidP="00F800C9">
      <w:pPr>
        <w:pStyle w:val="LI-BodyTextParaa"/>
        <w:ind w:left="0" w:firstLine="0"/>
      </w:pPr>
      <w:bookmarkStart w:id="1" w:name="BK_S3P1L1C1"/>
      <w:bookmarkEnd w:id="0"/>
      <w:bookmarkEnd w:id="1"/>
      <w:r w:rsidRPr="00D12339">
        <w:t xml:space="preserve">This is the Explanatory Statement for </w:t>
      </w:r>
      <w:r w:rsidR="00FB434C" w:rsidRPr="00D12339">
        <w:rPr>
          <w:i/>
          <w:iCs/>
        </w:rPr>
        <w:t>ASIC Corporations (</w:t>
      </w:r>
      <w:proofErr w:type="spellStart"/>
      <w:r w:rsidR="00FB434C" w:rsidRPr="00D12339">
        <w:rPr>
          <w:i/>
          <w:iCs/>
        </w:rPr>
        <w:t>mFund</w:t>
      </w:r>
      <w:proofErr w:type="spellEnd"/>
      <w:r w:rsidR="00FB434C" w:rsidRPr="00D12339">
        <w:rPr>
          <w:i/>
          <w:iCs/>
        </w:rPr>
        <w:t>) Instrument 202</w:t>
      </w:r>
      <w:r w:rsidR="00C93769" w:rsidRPr="00D12339">
        <w:rPr>
          <w:i/>
          <w:iCs/>
        </w:rPr>
        <w:t>4</w:t>
      </w:r>
      <w:r w:rsidR="00FB434C" w:rsidRPr="00D12339">
        <w:t>/</w:t>
      </w:r>
      <w:r w:rsidR="001A5FB8" w:rsidRPr="00D12339">
        <w:rPr>
          <w:i/>
          <w:iCs/>
        </w:rPr>
        <w:t>18</w:t>
      </w:r>
      <w:r w:rsidR="001A5FB8" w:rsidRPr="00D12339">
        <w:rPr>
          <w:i/>
        </w:rPr>
        <w:t xml:space="preserve"> </w:t>
      </w:r>
      <w:r w:rsidR="002C6E96" w:rsidRPr="00D12339">
        <w:rPr>
          <w:iCs/>
        </w:rPr>
        <w:t xml:space="preserve">(the </w:t>
      </w:r>
      <w:r w:rsidR="002C6E96" w:rsidRPr="00D12339">
        <w:rPr>
          <w:b/>
          <w:bCs/>
          <w:i/>
        </w:rPr>
        <w:t>Instrument</w:t>
      </w:r>
      <w:r w:rsidR="002C6E96" w:rsidRPr="00D12339">
        <w:rPr>
          <w:iCs/>
        </w:rPr>
        <w:t>)</w:t>
      </w:r>
      <w:r w:rsidR="0050464C" w:rsidRPr="00D12339">
        <w:rPr>
          <w:i/>
        </w:rPr>
        <w:t xml:space="preserve">. </w:t>
      </w:r>
    </w:p>
    <w:p w14:paraId="7017BA8F" w14:textId="77777777" w:rsidR="00F800C9" w:rsidRPr="00D12339" w:rsidRDefault="00863657" w:rsidP="00F800C9">
      <w:pPr>
        <w:pStyle w:val="LI-BodyTextParaa"/>
        <w:ind w:left="0" w:firstLine="0"/>
      </w:pPr>
      <w:r w:rsidRPr="00D12339">
        <w:t>Th</w:t>
      </w:r>
      <w:r w:rsidR="00F800C9" w:rsidRPr="00D12339">
        <w:t>e</w:t>
      </w:r>
      <w:r w:rsidRPr="00D12339">
        <w:t xml:space="preserve"> </w:t>
      </w:r>
      <w:r w:rsidR="00F800C9" w:rsidRPr="00D12339">
        <w:t>Explanatory Statement is approved by the Australian Securities and Investments Commission (</w:t>
      </w:r>
      <w:r w:rsidR="00F800C9" w:rsidRPr="00D12339">
        <w:rPr>
          <w:b/>
          <w:i/>
        </w:rPr>
        <w:t>ASIC</w:t>
      </w:r>
      <w:r w:rsidR="00F800C9" w:rsidRPr="00D12339">
        <w:t>).</w:t>
      </w:r>
    </w:p>
    <w:p w14:paraId="08423271" w14:textId="77777777" w:rsidR="00F800C9" w:rsidRPr="00D12339" w:rsidRDefault="005D1FEA" w:rsidP="006D6079">
      <w:pPr>
        <w:pStyle w:val="LI-BodyTextNumbered"/>
        <w:keepNext/>
        <w:ind w:left="0" w:firstLine="0"/>
        <w:rPr>
          <w:b/>
        </w:rPr>
      </w:pPr>
      <w:r w:rsidRPr="00D12339">
        <w:rPr>
          <w:b/>
        </w:rPr>
        <w:t>Summary</w:t>
      </w:r>
    </w:p>
    <w:p w14:paraId="64D87656" w14:textId="77777777" w:rsidR="0025147C" w:rsidRPr="00D12339" w:rsidRDefault="0025147C" w:rsidP="000C112C">
      <w:pPr>
        <w:pStyle w:val="LI-BodyTextParaa"/>
        <w:numPr>
          <w:ilvl w:val="0"/>
          <w:numId w:val="16"/>
        </w:numPr>
        <w:ind w:left="567" w:hanging="567"/>
        <w:rPr>
          <w:bCs/>
        </w:rPr>
      </w:pPr>
      <w:r w:rsidRPr="00D12339">
        <w:t>A responsible entity of a managed investment scheme</w:t>
      </w:r>
      <w:r w:rsidR="00FD0FC3" w:rsidRPr="00D12339">
        <w:t xml:space="preserve"> is generally required to </w:t>
      </w:r>
      <w:r w:rsidRPr="00D12339">
        <w:t xml:space="preserve">issue interests in the scheme to a retail </w:t>
      </w:r>
      <w:r w:rsidR="00D2401E" w:rsidRPr="00D12339">
        <w:t>client</w:t>
      </w:r>
      <w:r w:rsidRPr="00D12339">
        <w:t xml:space="preserve"> in response to an application made in an application form accompanying a Product Disclosure Statement</w:t>
      </w:r>
      <w:r w:rsidR="000C112C" w:rsidRPr="00D12339">
        <w:t xml:space="preserve"> (</w:t>
      </w:r>
      <w:r w:rsidR="000C112C" w:rsidRPr="00D12339">
        <w:rPr>
          <w:b/>
          <w:bCs/>
          <w:i/>
          <w:iCs/>
        </w:rPr>
        <w:t>PDS</w:t>
      </w:r>
      <w:r w:rsidR="000C112C" w:rsidRPr="00D12339">
        <w:t>)</w:t>
      </w:r>
      <w:r w:rsidRPr="00D12339">
        <w:t xml:space="preserve">. The Instrument provides conditional relief from the application form requirements for responsible entities that offer interests </w:t>
      </w:r>
      <w:r w:rsidR="00FD0FC3" w:rsidRPr="00D12339">
        <w:t xml:space="preserve">in the scheme </w:t>
      </w:r>
      <w:r w:rsidRPr="00D12339">
        <w:t xml:space="preserve">through an electronic application and settlement facility known as </w:t>
      </w:r>
      <w:r w:rsidR="00317E38" w:rsidRPr="00D12339">
        <w:t>‘</w:t>
      </w:r>
      <w:r w:rsidRPr="00D12339">
        <w:t>mFund</w:t>
      </w:r>
      <w:r w:rsidR="00317E38" w:rsidRPr="00D12339">
        <w:t>’,</w:t>
      </w:r>
      <w:r w:rsidRPr="00D12339">
        <w:t xml:space="preserve"> operated by ASX Limited </w:t>
      </w:r>
      <w:r w:rsidR="00097113" w:rsidRPr="00D12339">
        <w:t>(</w:t>
      </w:r>
      <w:r w:rsidR="00097113" w:rsidRPr="00D12339">
        <w:rPr>
          <w:b/>
          <w:bCs/>
          <w:i/>
          <w:iCs/>
        </w:rPr>
        <w:t>ASX</w:t>
      </w:r>
      <w:r w:rsidR="00097113" w:rsidRPr="00D12339">
        <w:t xml:space="preserve">) </w:t>
      </w:r>
      <w:r w:rsidRPr="00D12339">
        <w:t>and ASX Settlement Pty Limited</w:t>
      </w:r>
      <w:r w:rsidR="00097113" w:rsidRPr="00D12339">
        <w:t xml:space="preserve"> (</w:t>
      </w:r>
      <w:r w:rsidR="00097113" w:rsidRPr="00D12339">
        <w:rPr>
          <w:b/>
          <w:bCs/>
          <w:i/>
          <w:iCs/>
        </w:rPr>
        <w:t>ASX Settlement</w:t>
      </w:r>
      <w:r w:rsidR="00097113" w:rsidRPr="00D12339">
        <w:t>)</w:t>
      </w:r>
      <w:r w:rsidRPr="00D12339">
        <w:t>.</w:t>
      </w:r>
    </w:p>
    <w:p w14:paraId="4FD5051F" w14:textId="77777777" w:rsidR="004345A5" w:rsidRPr="00D12339" w:rsidRDefault="00044C9A" w:rsidP="008A6B8D">
      <w:pPr>
        <w:pStyle w:val="LI-BodyTextParaa"/>
        <w:numPr>
          <w:ilvl w:val="0"/>
          <w:numId w:val="16"/>
        </w:numPr>
        <w:ind w:left="567" w:hanging="567"/>
        <w:rPr>
          <w:bCs/>
        </w:rPr>
      </w:pPr>
      <w:r w:rsidRPr="00D12339">
        <w:rPr>
          <w:bCs/>
        </w:rPr>
        <w:t xml:space="preserve">The </w:t>
      </w:r>
      <w:r w:rsidR="008827E3" w:rsidRPr="00D12339">
        <w:rPr>
          <w:bCs/>
        </w:rPr>
        <w:t xml:space="preserve">Instrument replaces </w:t>
      </w:r>
      <w:r w:rsidR="002C6E96" w:rsidRPr="00D12339">
        <w:rPr>
          <w:bCs/>
        </w:rPr>
        <w:t>ASIC’s previous legislative instrument</w:t>
      </w:r>
      <w:r w:rsidR="008827E3" w:rsidRPr="00D12339">
        <w:rPr>
          <w:bCs/>
        </w:rPr>
        <w:t xml:space="preserve"> ASIC Class Order </w:t>
      </w:r>
      <w:hyperlink r:id="rId15" w:history="1">
        <w:r w:rsidR="008827E3" w:rsidRPr="00D12339">
          <w:rPr>
            <w:rStyle w:val="Hyperlink"/>
            <w:bCs/>
          </w:rPr>
          <w:t>[CO 13/1</w:t>
        </w:r>
        <w:r w:rsidR="001C2A49" w:rsidRPr="00D12339">
          <w:rPr>
            <w:rStyle w:val="Hyperlink"/>
            <w:bCs/>
          </w:rPr>
          <w:t>621</w:t>
        </w:r>
        <w:r w:rsidR="008827E3" w:rsidRPr="00D12339">
          <w:rPr>
            <w:rStyle w:val="Hyperlink"/>
            <w:bCs/>
          </w:rPr>
          <w:t>]</w:t>
        </w:r>
      </w:hyperlink>
      <w:r w:rsidR="008827E3" w:rsidRPr="00D12339">
        <w:rPr>
          <w:bCs/>
        </w:rPr>
        <w:t xml:space="preserve"> </w:t>
      </w:r>
      <w:r w:rsidR="001C2A49" w:rsidRPr="00D12339">
        <w:rPr>
          <w:i/>
          <w:iCs/>
          <w:color w:val="000000"/>
          <w:shd w:val="clear" w:color="auto" w:fill="FFFFFF"/>
        </w:rPr>
        <w:t>Exemption and declaration for the operation of mFund</w:t>
      </w:r>
      <w:r w:rsidR="008827E3" w:rsidRPr="00D12339">
        <w:rPr>
          <w:bCs/>
        </w:rPr>
        <w:t>, which sunsetted on 1 April 2024</w:t>
      </w:r>
      <w:r w:rsidR="00004154" w:rsidRPr="00D12339">
        <w:rPr>
          <w:bCs/>
        </w:rPr>
        <w:t xml:space="preserve">, which </w:t>
      </w:r>
      <w:r w:rsidR="00F92908" w:rsidRPr="00D12339">
        <w:rPr>
          <w:bCs/>
        </w:rPr>
        <w:t>is</w:t>
      </w:r>
      <w:r w:rsidR="00004154" w:rsidRPr="00D12339">
        <w:rPr>
          <w:bCs/>
        </w:rPr>
        <w:t xml:space="preserve"> repealed </w:t>
      </w:r>
      <w:r w:rsidR="0006646F" w:rsidRPr="00D12339">
        <w:rPr>
          <w:bCs/>
        </w:rPr>
        <w:t xml:space="preserve">by </w:t>
      </w:r>
      <w:r w:rsidR="0006646F" w:rsidRPr="00D12339">
        <w:rPr>
          <w:i/>
          <w:iCs/>
        </w:rPr>
        <w:t>ASIC Corporations (Repeal) Instrument 2024/19</w:t>
      </w:r>
      <w:r w:rsidR="008827E3" w:rsidRPr="00D12339">
        <w:rPr>
          <w:bCs/>
        </w:rPr>
        <w:t xml:space="preserve">. </w:t>
      </w:r>
    </w:p>
    <w:p w14:paraId="3C70ABF5" w14:textId="77777777" w:rsidR="005D1FEA" w:rsidRPr="008A6B8D" w:rsidRDefault="005D1FEA" w:rsidP="006D6079">
      <w:pPr>
        <w:pStyle w:val="LI-BodyTextNumbered"/>
        <w:keepNext/>
        <w:ind w:left="0" w:firstLine="0"/>
        <w:rPr>
          <w:b/>
        </w:rPr>
      </w:pPr>
      <w:r w:rsidRPr="00D12339">
        <w:rPr>
          <w:b/>
        </w:rPr>
        <w:t xml:space="preserve">Purpose of the </w:t>
      </w:r>
      <w:r w:rsidR="001E0BC3" w:rsidRPr="00D12339">
        <w:rPr>
          <w:b/>
        </w:rPr>
        <w:t>I</w:t>
      </w:r>
      <w:r w:rsidRPr="00D12339">
        <w:rPr>
          <w:b/>
        </w:rPr>
        <w:t>nstrument</w:t>
      </w:r>
    </w:p>
    <w:p w14:paraId="5788AE8E" w14:textId="77777777" w:rsidR="006B634B" w:rsidRDefault="00223B8C" w:rsidP="002A7F42">
      <w:pPr>
        <w:pStyle w:val="LI-BodyTextParaa"/>
        <w:numPr>
          <w:ilvl w:val="0"/>
          <w:numId w:val="16"/>
        </w:numPr>
        <w:ind w:left="567" w:hanging="567"/>
      </w:pPr>
      <w:bookmarkStart w:id="2" w:name="_Hlk534291624"/>
      <w:r>
        <w:t>Subs</w:t>
      </w:r>
      <w:r w:rsidR="006B634B">
        <w:t xml:space="preserve">ection 1016A(2) </w:t>
      </w:r>
      <w:r w:rsidR="00221D0C">
        <w:t xml:space="preserve">of the </w:t>
      </w:r>
      <w:r w:rsidR="00221D0C" w:rsidRPr="005316D9">
        <w:rPr>
          <w:i/>
          <w:iCs/>
        </w:rPr>
        <w:t>Corporations Act 2001</w:t>
      </w:r>
      <w:r w:rsidR="00221D0C">
        <w:t xml:space="preserve"> (</w:t>
      </w:r>
      <w:r w:rsidR="00221D0C" w:rsidRPr="005316D9">
        <w:rPr>
          <w:b/>
          <w:bCs/>
          <w:i/>
          <w:iCs/>
        </w:rPr>
        <w:t>Act</w:t>
      </w:r>
      <w:r w:rsidR="00221D0C">
        <w:t xml:space="preserve">) </w:t>
      </w:r>
      <w:r w:rsidR="006B634B">
        <w:t xml:space="preserve">requires that </w:t>
      </w:r>
      <w:r w:rsidR="0025078E">
        <w:t>a responsible entity may only issue of an interest in a managed investment scheme</w:t>
      </w:r>
      <w:r w:rsidR="006B634B">
        <w:t xml:space="preserve"> to a retail </w:t>
      </w:r>
      <w:r w:rsidR="00E4303E">
        <w:t>client</w:t>
      </w:r>
      <w:r w:rsidR="006B634B">
        <w:t xml:space="preserve"> if </w:t>
      </w:r>
      <w:r w:rsidR="00336E10">
        <w:t xml:space="preserve">an </w:t>
      </w:r>
      <w:r w:rsidR="006B634B">
        <w:t>application was made using an application form that</w:t>
      </w:r>
      <w:r w:rsidR="00336E10">
        <w:t xml:space="preserve"> </w:t>
      </w:r>
      <w:r w:rsidR="006B634B">
        <w:t>was included in or accompanied by a PDS that was given to the client and was not defective at the time the application was made</w:t>
      </w:r>
      <w:r w:rsidR="00336E10">
        <w:t>.</w:t>
      </w:r>
    </w:p>
    <w:p w14:paraId="59996F89" w14:textId="77777777" w:rsidR="006B634B" w:rsidRDefault="006B634B" w:rsidP="002A7F42">
      <w:pPr>
        <w:pStyle w:val="LI-BodyTextParaa"/>
        <w:numPr>
          <w:ilvl w:val="0"/>
          <w:numId w:val="16"/>
        </w:numPr>
        <w:ind w:left="567" w:hanging="567"/>
      </w:pPr>
      <w:r>
        <w:t xml:space="preserve">Currently, a responsible entity meets the application form requirement by only issuing products to retail </w:t>
      </w:r>
      <w:r w:rsidR="0034122F">
        <w:t>clients</w:t>
      </w:r>
      <w:r>
        <w:t xml:space="preserve"> who apply using an application form that accompanied the PDS, or </w:t>
      </w:r>
      <w:r w:rsidR="004F6F93">
        <w:t xml:space="preserve">by relying on relief </w:t>
      </w:r>
      <w:r w:rsidR="009E2E6E">
        <w:t xml:space="preserve">such as the relief </w:t>
      </w:r>
      <w:r w:rsidR="004F6F93">
        <w:t xml:space="preserve">available under </w:t>
      </w:r>
      <w:hyperlink r:id="rId16" w:history="1">
        <w:r w:rsidR="004F6F93" w:rsidRPr="00BE1862">
          <w:rPr>
            <w:rStyle w:val="Hyperlink"/>
            <w:i/>
            <w:iCs/>
            <w:shd w:val="clear" w:color="auto" w:fill="FFFFFF"/>
          </w:rPr>
          <w:t>ASIC Corporations (Application Form Requirements) Instrument 2017/241</w:t>
        </w:r>
      </w:hyperlink>
      <w:r w:rsidR="00336E10">
        <w:rPr>
          <w:i/>
          <w:iCs/>
          <w:color w:val="000000"/>
          <w:shd w:val="clear" w:color="auto" w:fill="FFFFFF"/>
        </w:rPr>
        <w:t>.</w:t>
      </w:r>
    </w:p>
    <w:p w14:paraId="3979DE0A" w14:textId="77777777" w:rsidR="002A7F42" w:rsidRPr="00C26266" w:rsidRDefault="002A7F42" w:rsidP="002A7F42">
      <w:pPr>
        <w:pStyle w:val="LI-BodyTextParaa"/>
        <w:numPr>
          <w:ilvl w:val="0"/>
          <w:numId w:val="16"/>
        </w:numPr>
        <w:ind w:left="567" w:hanging="567"/>
      </w:pPr>
      <w:r w:rsidRPr="00C26266">
        <w:t xml:space="preserve">ASX and ASX Settlement </w:t>
      </w:r>
      <w:r w:rsidR="009C2CA5">
        <w:t>applied to ASIC for</w:t>
      </w:r>
      <w:r w:rsidRPr="00C26266">
        <w:t xml:space="preserve"> relief from section 1016A </w:t>
      </w:r>
      <w:r w:rsidR="00A93A75">
        <w:t xml:space="preserve">of the Act </w:t>
      </w:r>
      <w:r w:rsidR="00B574D7">
        <w:t>prior</w:t>
      </w:r>
      <w:r w:rsidRPr="00C26266">
        <w:t xml:space="preserve"> </w:t>
      </w:r>
      <w:r w:rsidR="008C2F86">
        <w:t xml:space="preserve">to the </w:t>
      </w:r>
      <w:r w:rsidRPr="00C26266">
        <w:t xml:space="preserve">introduction of its </w:t>
      </w:r>
      <w:r w:rsidR="00DF5757">
        <w:t xml:space="preserve">electronic settlement facility, </w:t>
      </w:r>
      <w:proofErr w:type="spellStart"/>
      <w:r w:rsidR="00DF5757">
        <w:t>mFund</w:t>
      </w:r>
      <w:proofErr w:type="spellEnd"/>
      <w:r w:rsidR="00B574D7">
        <w:t xml:space="preserve"> and </w:t>
      </w:r>
      <w:hyperlink r:id="rId17" w:history="1">
        <w:r w:rsidR="00B574D7" w:rsidRPr="008C2F86">
          <w:rPr>
            <w:rStyle w:val="Hyperlink"/>
          </w:rPr>
          <w:t>ASIC consulted on the relief</w:t>
        </w:r>
      </w:hyperlink>
      <w:r w:rsidR="00B574D7">
        <w:t xml:space="preserve"> in 2013</w:t>
      </w:r>
      <w:r w:rsidR="00C10D30">
        <w:t xml:space="preserve"> prior to issuing ASIC Class Order [CO 13/1621]</w:t>
      </w:r>
      <w:r w:rsidRPr="00C26266">
        <w:t xml:space="preserve">. </w:t>
      </w:r>
      <w:r w:rsidR="0052048F" w:rsidRPr="00C26266">
        <w:t xml:space="preserve">mFund allows investors to electronically apply for or redeem units in </w:t>
      </w:r>
      <w:r w:rsidR="0052048F" w:rsidRPr="00C26266">
        <w:lastRenderedPageBreak/>
        <w:t>simple managed investment schemes that have been admitted to the service through brokers who are authorised to participate.</w:t>
      </w:r>
      <w:r w:rsidRPr="00C26266">
        <w:t xml:space="preserve"> </w:t>
      </w:r>
    </w:p>
    <w:p w14:paraId="6E881EB3" w14:textId="77777777" w:rsidR="002A7F42" w:rsidRPr="003F625E" w:rsidRDefault="00DF5757" w:rsidP="000F302E">
      <w:pPr>
        <w:pStyle w:val="LI-BodyTextParaa"/>
        <w:numPr>
          <w:ilvl w:val="0"/>
          <w:numId w:val="16"/>
        </w:numPr>
        <w:ind w:left="567" w:hanging="567"/>
      </w:pPr>
      <w:r w:rsidRPr="003F625E">
        <w:rPr>
          <w:color w:val="000000"/>
          <w:shd w:val="clear" w:color="auto" w:fill="FFFFFF"/>
        </w:rPr>
        <w:t>T</w:t>
      </w:r>
      <w:r w:rsidR="002A7F42" w:rsidRPr="003F625E">
        <w:rPr>
          <w:color w:val="000000"/>
          <w:shd w:val="clear" w:color="auto" w:fill="FFFFFF"/>
        </w:rPr>
        <w:t>he purpose of</w:t>
      </w:r>
      <w:r w:rsidR="00321038" w:rsidRPr="003F625E">
        <w:rPr>
          <w:color w:val="000000"/>
          <w:shd w:val="clear" w:color="auto" w:fill="FFFFFF"/>
        </w:rPr>
        <w:t xml:space="preserve"> the Instrument</w:t>
      </w:r>
      <w:r w:rsidR="002A7F42" w:rsidRPr="003F625E">
        <w:rPr>
          <w:color w:val="000000"/>
          <w:shd w:val="clear" w:color="auto" w:fill="FFFFFF"/>
        </w:rPr>
        <w:t xml:space="preserve"> is to </w:t>
      </w:r>
      <w:r w:rsidR="0074273E">
        <w:rPr>
          <w:color w:val="000000"/>
          <w:shd w:val="clear" w:color="auto" w:fill="FFFFFF"/>
        </w:rPr>
        <w:t xml:space="preserve">continue to </w:t>
      </w:r>
      <w:r w:rsidR="009C2CA5" w:rsidRPr="003F625E">
        <w:rPr>
          <w:color w:val="000000"/>
          <w:shd w:val="clear" w:color="auto" w:fill="FFFFFF"/>
        </w:rPr>
        <w:t xml:space="preserve">provide relief from section 1016A </w:t>
      </w:r>
      <w:r w:rsidR="00A93A75">
        <w:rPr>
          <w:color w:val="000000"/>
          <w:shd w:val="clear" w:color="auto" w:fill="FFFFFF"/>
        </w:rPr>
        <w:t xml:space="preserve">of the Act </w:t>
      </w:r>
      <w:r w:rsidR="009C2CA5" w:rsidRPr="003F625E">
        <w:rPr>
          <w:color w:val="000000"/>
          <w:shd w:val="clear" w:color="auto" w:fill="FFFFFF"/>
        </w:rPr>
        <w:t xml:space="preserve">to </w:t>
      </w:r>
      <w:r w:rsidRPr="003F625E">
        <w:rPr>
          <w:color w:val="000000"/>
          <w:shd w:val="clear" w:color="auto" w:fill="FFFFFF"/>
        </w:rPr>
        <w:t xml:space="preserve">responsible entities who offer and issue interests </w:t>
      </w:r>
      <w:r w:rsidR="009C2CA5" w:rsidRPr="003F625E">
        <w:rPr>
          <w:color w:val="000000"/>
          <w:shd w:val="clear" w:color="auto" w:fill="FFFFFF"/>
        </w:rPr>
        <w:t xml:space="preserve">in managed investment schemes </w:t>
      </w:r>
      <w:r w:rsidRPr="003F625E">
        <w:rPr>
          <w:color w:val="000000"/>
          <w:shd w:val="clear" w:color="auto" w:fill="FFFFFF"/>
        </w:rPr>
        <w:t xml:space="preserve">using mFund </w:t>
      </w:r>
      <w:r w:rsidR="0049029C">
        <w:rPr>
          <w:color w:val="000000"/>
          <w:shd w:val="clear" w:color="auto" w:fill="FFFFFF"/>
        </w:rPr>
        <w:t>given</w:t>
      </w:r>
      <w:r w:rsidR="009C2CA5" w:rsidRPr="003F625E">
        <w:rPr>
          <w:color w:val="000000"/>
          <w:shd w:val="clear" w:color="auto" w:fill="FFFFFF"/>
        </w:rPr>
        <w:t xml:space="preserve"> strict compliance is not feasible </w:t>
      </w:r>
      <w:r w:rsidR="0049029C">
        <w:rPr>
          <w:color w:val="000000"/>
          <w:shd w:val="clear" w:color="auto" w:fill="FFFFFF"/>
        </w:rPr>
        <w:t>as</w:t>
      </w:r>
      <w:r w:rsidR="00CA466D">
        <w:rPr>
          <w:color w:val="000000"/>
          <w:shd w:val="clear" w:color="auto" w:fill="FFFFFF"/>
        </w:rPr>
        <w:t xml:space="preserve"> </w:t>
      </w:r>
      <w:r w:rsidR="009C2CA5" w:rsidRPr="003F625E">
        <w:rPr>
          <w:color w:val="000000"/>
          <w:shd w:val="clear" w:color="auto" w:fill="FFFFFF"/>
        </w:rPr>
        <w:t xml:space="preserve">an application is </w:t>
      </w:r>
      <w:r w:rsidR="002A7F42" w:rsidRPr="003F625E">
        <w:rPr>
          <w:color w:val="000000"/>
          <w:shd w:val="clear" w:color="auto" w:fill="FFFFFF"/>
        </w:rPr>
        <w:t xml:space="preserve">submitted electronically </w:t>
      </w:r>
      <w:r w:rsidR="009C2CA5" w:rsidRPr="003F625E">
        <w:rPr>
          <w:color w:val="000000"/>
          <w:shd w:val="clear" w:color="auto" w:fill="FFFFFF"/>
        </w:rPr>
        <w:t xml:space="preserve">by a broker </w:t>
      </w:r>
      <w:r w:rsidR="002A7F42" w:rsidRPr="003F625E">
        <w:rPr>
          <w:color w:val="000000"/>
          <w:shd w:val="clear" w:color="auto" w:fill="FFFFFF"/>
        </w:rPr>
        <w:t xml:space="preserve">on behalf of the </w:t>
      </w:r>
      <w:r w:rsidR="00085F9F">
        <w:rPr>
          <w:color w:val="000000"/>
          <w:shd w:val="clear" w:color="auto" w:fill="FFFFFF"/>
        </w:rPr>
        <w:t>client</w:t>
      </w:r>
      <w:r w:rsidR="002A7F42" w:rsidRPr="003F625E">
        <w:rPr>
          <w:color w:val="000000"/>
          <w:shd w:val="clear" w:color="auto" w:fill="FFFFFF"/>
        </w:rPr>
        <w:t xml:space="preserve"> through mFund</w:t>
      </w:r>
      <w:r w:rsidR="009C2CA5" w:rsidRPr="003F625E">
        <w:rPr>
          <w:color w:val="000000"/>
          <w:shd w:val="clear" w:color="auto" w:fill="FFFFFF"/>
        </w:rPr>
        <w:t>.</w:t>
      </w:r>
      <w:r w:rsidR="002A7F42" w:rsidRPr="003F625E">
        <w:rPr>
          <w:color w:val="000000"/>
          <w:shd w:val="clear" w:color="auto" w:fill="FFFFFF"/>
        </w:rPr>
        <w:t xml:space="preserve"> </w:t>
      </w:r>
    </w:p>
    <w:p w14:paraId="459E2CCF" w14:textId="77777777" w:rsidR="00C26266" w:rsidRDefault="008454F2" w:rsidP="000F302E">
      <w:pPr>
        <w:pStyle w:val="LI-BodyTextParaa"/>
        <w:numPr>
          <w:ilvl w:val="0"/>
          <w:numId w:val="16"/>
        </w:numPr>
        <w:ind w:left="567" w:hanging="567"/>
      </w:pPr>
      <w:r>
        <w:t>Under the Instrument</w:t>
      </w:r>
      <w:r w:rsidR="00C26266">
        <w:t xml:space="preserve">, the policy objective of </w:t>
      </w:r>
      <w:r w:rsidR="00FB5528">
        <w:t>section</w:t>
      </w:r>
      <w:r w:rsidR="00C26266">
        <w:t>1016A</w:t>
      </w:r>
      <w:r w:rsidR="00FB5528">
        <w:t xml:space="preserve"> of the Act </w:t>
      </w:r>
      <w:r w:rsidR="00C26266">
        <w:t>(</w:t>
      </w:r>
      <w:r w:rsidR="00FB5528">
        <w:t>i.e</w:t>
      </w:r>
      <w:r w:rsidR="0016632C">
        <w:t>.</w:t>
      </w:r>
      <w:r w:rsidR="00FB5528">
        <w:t xml:space="preserve"> </w:t>
      </w:r>
      <w:r w:rsidR="00C26266">
        <w:t xml:space="preserve">to ensure that a retail </w:t>
      </w:r>
      <w:r w:rsidR="0072417E">
        <w:t>client</w:t>
      </w:r>
      <w:r w:rsidR="00C26266">
        <w:t xml:space="preserve"> is given a PDS before they are issued with products) </w:t>
      </w:r>
      <w:r w:rsidR="006F10CC">
        <w:t xml:space="preserve">is </w:t>
      </w:r>
      <w:r w:rsidR="00C26266">
        <w:t xml:space="preserve">fulfilled in an alternative manner. The responsible entity will not be restricted from issuing without an application form if the broker involved with the order accepts responsibility to give the retail </w:t>
      </w:r>
      <w:r w:rsidR="005C64F5">
        <w:t>client</w:t>
      </w:r>
      <w:r w:rsidR="00C26266">
        <w:t xml:space="preserve"> the current PDS or ensure the retai</w:t>
      </w:r>
      <w:r w:rsidR="005C64F5">
        <w:t>l client</w:t>
      </w:r>
      <w:r w:rsidR="00C26266">
        <w:t xml:space="preserve"> has been given the current PDS.</w:t>
      </w:r>
    </w:p>
    <w:p w14:paraId="6567C59A" w14:textId="77777777" w:rsidR="00976C59" w:rsidRPr="000F302E" w:rsidRDefault="007D46C8" w:rsidP="000F302E">
      <w:pPr>
        <w:pStyle w:val="LI-BodyTextParaa"/>
        <w:numPr>
          <w:ilvl w:val="0"/>
          <w:numId w:val="16"/>
        </w:numPr>
        <w:ind w:left="567" w:hanging="567"/>
      </w:pPr>
      <w:r>
        <w:t xml:space="preserve">In November 2023, </w:t>
      </w:r>
      <w:r w:rsidR="004257DE" w:rsidRPr="004257DE">
        <w:t xml:space="preserve">ASX </w:t>
      </w:r>
      <w:r w:rsidR="00777B16">
        <w:t xml:space="preserve">and ASX Settlement </w:t>
      </w:r>
      <w:hyperlink r:id="rId18" w:history="1">
        <w:r w:rsidRPr="00A1563A">
          <w:rPr>
            <w:rStyle w:val="Hyperlink"/>
          </w:rPr>
          <w:t>announced</w:t>
        </w:r>
      </w:hyperlink>
      <w:r>
        <w:t xml:space="preserve"> </w:t>
      </w:r>
      <w:r w:rsidR="004257DE">
        <w:t xml:space="preserve">that </w:t>
      </w:r>
      <w:r>
        <w:t>they</w:t>
      </w:r>
      <w:r w:rsidR="004257DE">
        <w:t xml:space="preserve"> ha</w:t>
      </w:r>
      <w:r>
        <w:t>d</w:t>
      </w:r>
      <w:r w:rsidR="004257DE">
        <w:t xml:space="preserve"> </w:t>
      </w:r>
      <w:r w:rsidR="004257DE" w:rsidRPr="004257DE">
        <w:t xml:space="preserve">determined to wind down and close the mFund service with a target removal date </w:t>
      </w:r>
      <w:r w:rsidR="004257DE">
        <w:t>of</w:t>
      </w:r>
      <w:r w:rsidR="004257DE" w:rsidRPr="004257DE">
        <w:t xml:space="preserve"> </w:t>
      </w:r>
      <w:r w:rsidR="004257DE">
        <w:t>managed investment schemes available under the facility</w:t>
      </w:r>
      <w:r w:rsidR="004257DE" w:rsidRPr="004257DE">
        <w:t xml:space="preserve"> by 31 May 2026</w:t>
      </w:r>
      <w:r w:rsidR="004257DE">
        <w:t>.</w:t>
      </w:r>
    </w:p>
    <w:p w14:paraId="3AC09A9B" w14:textId="77777777" w:rsidR="009A3F74" w:rsidRPr="003F625E" w:rsidRDefault="009A3F74" w:rsidP="006D6079">
      <w:pPr>
        <w:pStyle w:val="LI-BodyTextNumbered"/>
        <w:keepNext/>
        <w:ind w:left="0" w:firstLine="0"/>
        <w:rPr>
          <w:b/>
        </w:rPr>
      </w:pPr>
      <w:r w:rsidRPr="003F625E">
        <w:rPr>
          <w:b/>
        </w:rPr>
        <w:t>Consultation</w:t>
      </w:r>
    </w:p>
    <w:p w14:paraId="11299D5D" w14:textId="77777777" w:rsidR="009A3F74" w:rsidRPr="003F625E" w:rsidRDefault="008827E3" w:rsidP="0050464C">
      <w:pPr>
        <w:pStyle w:val="LI-BodyTextParaa"/>
        <w:numPr>
          <w:ilvl w:val="0"/>
          <w:numId w:val="16"/>
        </w:numPr>
        <w:ind w:left="567" w:hanging="567"/>
        <w:rPr>
          <w:bCs/>
        </w:rPr>
      </w:pPr>
      <w:r w:rsidRPr="003F625E">
        <w:t>Before making t</w:t>
      </w:r>
      <w:r w:rsidR="004345A5" w:rsidRPr="003F625E">
        <w:t xml:space="preserve">he </w:t>
      </w:r>
      <w:r w:rsidRPr="003F625E">
        <w:t xml:space="preserve">Instrument, </w:t>
      </w:r>
      <w:hyperlink r:id="rId19" w:history="1">
        <w:r w:rsidRPr="007719BE">
          <w:rPr>
            <w:rStyle w:val="Hyperlink"/>
          </w:rPr>
          <w:t>ASIC consulted publicly</w:t>
        </w:r>
      </w:hyperlink>
      <w:r w:rsidRPr="003F625E">
        <w:t xml:space="preserve">. </w:t>
      </w:r>
      <w:r w:rsidR="00A3139A">
        <w:t xml:space="preserve">Two submissions were received. </w:t>
      </w:r>
      <w:r w:rsidR="00D42DB5">
        <w:t>One</w:t>
      </w:r>
      <w:r w:rsidRPr="003F625E">
        <w:t xml:space="preserve"> submission agreed that [CO 13/</w:t>
      </w:r>
      <w:r w:rsidR="004345A5" w:rsidRPr="003F625E">
        <w:t>1621</w:t>
      </w:r>
      <w:r w:rsidRPr="003F625E">
        <w:t xml:space="preserve">] </w:t>
      </w:r>
      <w:r w:rsidR="004345A5" w:rsidRPr="003F625E">
        <w:t xml:space="preserve">was continuing to </w:t>
      </w:r>
      <w:r w:rsidRPr="003F625E">
        <w:t>operat</w:t>
      </w:r>
      <w:r w:rsidR="004345A5" w:rsidRPr="003F625E">
        <w:t>e</w:t>
      </w:r>
      <w:r w:rsidRPr="003F625E">
        <w:t xml:space="preserve"> effectively</w:t>
      </w:r>
      <w:r w:rsidR="00CC1634" w:rsidRPr="003F625E">
        <w:t xml:space="preserve"> and should be remade in substantially the same form</w:t>
      </w:r>
      <w:r w:rsidRPr="003F625E">
        <w:t xml:space="preserve">. </w:t>
      </w:r>
      <w:r w:rsidR="00A3139A">
        <w:t>The other submission did not provide any feedback on the operation of [CO 13/1621].</w:t>
      </w:r>
    </w:p>
    <w:p w14:paraId="42DC1A02" w14:textId="77777777" w:rsidR="005D1FEA" w:rsidRDefault="005D1FEA" w:rsidP="006D6079">
      <w:pPr>
        <w:pStyle w:val="LI-BodyTextNumbered"/>
        <w:keepNext/>
        <w:ind w:left="0" w:firstLine="0"/>
        <w:rPr>
          <w:b/>
        </w:rPr>
      </w:pPr>
      <w:r>
        <w:rPr>
          <w:b/>
        </w:rPr>
        <w:t xml:space="preserve">Operation of the </w:t>
      </w:r>
      <w:r w:rsidR="00DD2E14">
        <w:rPr>
          <w:b/>
        </w:rPr>
        <w:t>I</w:t>
      </w:r>
      <w:r>
        <w:rPr>
          <w:b/>
        </w:rPr>
        <w:t>nstrument</w:t>
      </w:r>
    </w:p>
    <w:p w14:paraId="7E0FA494" w14:textId="77777777" w:rsidR="00882602" w:rsidRPr="005477EC" w:rsidRDefault="00882602" w:rsidP="005477EC">
      <w:pPr>
        <w:pStyle w:val="LI-BodyTextParaa"/>
        <w:numPr>
          <w:ilvl w:val="0"/>
          <w:numId w:val="16"/>
        </w:numPr>
        <w:ind w:left="567" w:hanging="567"/>
        <w:rPr>
          <w:color w:val="000000"/>
          <w:shd w:val="clear" w:color="auto" w:fill="FFFFFF"/>
        </w:rPr>
      </w:pPr>
      <w:r w:rsidRPr="00882602">
        <w:rPr>
          <w:color w:val="000000"/>
          <w:shd w:val="clear" w:color="auto" w:fill="FFFFFF"/>
        </w:rPr>
        <w:t>The Instrument exempts a responsible entity of a registered scheme from the requirements in subsection</w:t>
      </w:r>
      <w:r w:rsidR="00247A1B">
        <w:rPr>
          <w:color w:val="000000"/>
          <w:shd w:val="clear" w:color="auto" w:fill="FFFFFF"/>
        </w:rPr>
        <w:t xml:space="preserve"> </w:t>
      </w:r>
      <w:r w:rsidRPr="00882602">
        <w:rPr>
          <w:color w:val="000000"/>
          <w:shd w:val="clear" w:color="auto" w:fill="FFFFFF"/>
        </w:rPr>
        <w:t>1016A(2) of the Act and imposes obligations on a financial services licensee</w:t>
      </w:r>
      <w:r w:rsidR="00B2029C">
        <w:rPr>
          <w:color w:val="000000"/>
          <w:shd w:val="clear" w:color="auto" w:fill="FFFFFF"/>
        </w:rPr>
        <w:t xml:space="preserve"> (</w:t>
      </w:r>
      <w:r w:rsidR="0039339D" w:rsidRPr="0039339D">
        <w:rPr>
          <w:b/>
          <w:bCs/>
          <w:i/>
          <w:iCs/>
          <w:color w:val="000000"/>
          <w:shd w:val="clear" w:color="auto" w:fill="FFFFFF"/>
        </w:rPr>
        <w:t>licensee</w:t>
      </w:r>
      <w:r w:rsidR="0039339D">
        <w:rPr>
          <w:color w:val="000000"/>
          <w:shd w:val="clear" w:color="auto" w:fill="FFFFFF"/>
        </w:rPr>
        <w:t>)</w:t>
      </w:r>
      <w:r w:rsidRPr="00882602">
        <w:rPr>
          <w:color w:val="000000"/>
          <w:shd w:val="clear" w:color="auto" w:fill="FFFFFF"/>
        </w:rPr>
        <w:t xml:space="preserve"> by notionally inserting subsections 1016A(2A)</w:t>
      </w:r>
      <w:r w:rsidR="0039339D">
        <w:rPr>
          <w:color w:val="000000"/>
          <w:shd w:val="clear" w:color="auto" w:fill="FFFFFF"/>
        </w:rPr>
        <w:t>,</w:t>
      </w:r>
      <w:r w:rsidRPr="00882602">
        <w:rPr>
          <w:color w:val="000000"/>
          <w:shd w:val="clear" w:color="auto" w:fill="FFFFFF"/>
        </w:rPr>
        <w:t xml:space="preserve"> </w:t>
      </w:r>
      <w:bookmarkStart w:id="3" w:name="_Hlk153124782"/>
      <w:r w:rsidRPr="00882602">
        <w:rPr>
          <w:color w:val="000000"/>
          <w:shd w:val="clear" w:color="auto" w:fill="FFFFFF"/>
        </w:rPr>
        <w:t xml:space="preserve">1016A(2B) </w:t>
      </w:r>
      <w:bookmarkEnd w:id="3"/>
      <w:r w:rsidR="0039339D">
        <w:rPr>
          <w:color w:val="000000"/>
          <w:shd w:val="clear" w:color="auto" w:fill="FFFFFF"/>
        </w:rPr>
        <w:t xml:space="preserve">and </w:t>
      </w:r>
      <w:r w:rsidR="0039339D" w:rsidRPr="00882602">
        <w:rPr>
          <w:color w:val="000000"/>
          <w:shd w:val="clear" w:color="auto" w:fill="FFFFFF"/>
        </w:rPr>
        <w:t>1016A(2</w:t>
      </w:r>
      <w:r w:rsidR="0039339D">
        <w:rPr>
          <w:color w:val="000000"/>
          <w:shd w:val="clear" w:color="auto" w:fill="FFFFFF"/>
        </w:rPr>
        <w:t>C</w:t>
      </w:r>
      <w:r w:rsidR="0039339D" w:rsidRPr="00882602">
        <w:rPr>
          <w:color w:val="000000"/>
          <w:shd w:val="clear" w:color="auto" w:fill="FFFFFF"/>
        </w:rPr>
        <w:t xml:space="preserve">) </w:t>
      </w:r>
      <w:r w:rsidRPr="00882602">
        <w:rPr>
          <w:color w:val="000000"/>
          <w:shd w:val="clear" w:color="auto" w:fill="FFFFFF"/>
        </w:rPr>
        <w:t>into the Act. </w:t>
      </w:r>
    </w:p>
    <w:p w14:paraId="39D22C72" w14:textId="77777777" w:rsidR="0013109A" w:rsidRPr="0013109A" w:rsidRDefault="00560EA3" w:rsidP="0013109A">
      <w:pPr>
        <w:pStyle w:val="LI-BodyTextParaa"/>
        <w:numPr>
          <w:ilvl w:val="0"/>
          <w:numId w:val="16"/>
        </w:numPr>
        <w:ind w:left="567" w:hanging="567"/>
        <w:rPr>
          <w:color w:val="000000"/>
          <w:shd w:val="clear" w:color="auto" w:fill="FFFFFF"/>
        </w:rPr>
      </w:pPr>
      <w:r>
        <w:rPr>
          <w:color w:val="000000"/>
          <w:shd w:val="clear" w:color="auto" w:fill="FFFFFF"/>
        </w:rPr>
        <w:t>Subsection 5</w:t>
      </w:r>
      <w:r w:rsidR="00364B53">
        <w:rPr>
          <w:color w:val="000000"/>
          <w:shd w:val="clear" w:color="auto" w:fill="FFFFFF"/>
        </w:rPr>
        <w:t>(1)</w:t>
      </w:r>
      <w:r w:rsidR="005477EC" w:rsidRPr="00882602">
        <w:rPr>
          <w:color w:val="000000"/>
          <w:shd w:val="clear" w:color="auto" w:fill="FFFFFF"/>
        </w:rPr>
        <w:t xml:space="preserve"> o</w:t>
      </w:r>
      <w:r w:rsidR="005477EC">
        <w:rPr>
          <w:color w:val="000000"/>
          <w:shd w:val="clear" w:color="auto" w:fill="FFFFFF"/>
        </w:rPr>
        <w:t>f the Instrument</w:t>
      </w:r>
      <w:r w:rsidR="005477EC" w:rsidRPr="00882602">
        <w:rPr>
          <w:color w:val="000000"/>
          <w:shd w:val="clear" w:color="auto" w:fill="FFFFFF"/>
        </w:rPr>
        <w:t xml:space="preserve"> exempts a responsible entity of a registered scheme from subsection 1016A(2) of the Act in relation to the issue of an interest in the scheme to a person (</w:t>
      </w:r>
      <w:r w:rsidR="005477EC" w:rsidRPr="00247A1B">
        <w:rPr>
          <w:b/>
          <w:bCs/>
          <w:i/>
          <w:iCs/>
          <w:color w:val="000000"/>
          <w:shd w:val="clear" w:color="auto" w:fill="FFFFFF"/>
        </w:rPr>
        <w:t>acquirer</w:t>
      </w:r>
      <w:r w:rsidR="005477EC" w:rsidRPr="00882602">
        <w:rPr>
          <w:color w:val="000000"/>
          <w:shd w:val="clear" w:color="auto" w:fill="FFFFFF"/>
        </w:rPr>
        <w:t xml:space="preserve">) in response to an electronic application made to the responsible entity on behalf of the acquirer through mFund. This exemption allows the responsible entity to issue an interest in a registered scheme to an acquirer in response to an electronic application made through mFund. </w:t>
      </w:r>
    </w:p>
    <w:p w14:paraId="7F00181A" w14:textId="77777777" w:rsidR="00E5314F" w:rsidRDefault="00364B53" w:rsidP="0013109A">
      <w:pPr>
        <w:pStyle w:val="LI-BodyTextParaa"/>
        <w:numPr>
          <w:ilvl w:val="0"/>
          <w:numId w:val="16"/>
        </w:numPr>
        <w:ind w:left="567" w:hanging="567"/>
        <w:rPr>
          <w:color w:val="000000"/>
          <w:shd w:val="clear" w:color="auto" w:fill="FFFFFF"/>
        </w:rPr>
      </w:pPr>
      <w:r>
        <w:rPr>
          <w:color w:val="000000"/>
          <w:shd w:val="clear" w:color="auto" w:fill="FFFFFF"/>
        </w:rPr>
        <w:t>Subsection 5(2)</w:t>
      </w:r>
      <w:r w:rsidR="0013109A" w:rsidRPr="00882602">
        <w:rPr>
          <w:color w:val="000000"/>
          <w:shd w:val="clear" w:color="auto" w:fill="FFFFFF"/>
        </w:rPr>
        <w:t xml:space="preserve"> of</w:t>
      </w:r>
      <w:r w:rsidR="00AC4C90">
        <w:rPr>
          <w:color w:val="000000"/>
          <w:shd w:val="clear" w:color="auto" w:fill="FFFFFF"/>
        </w:rPr>
        <w:t xml:space="preserve"> the Instrument</w:t>
      </w:r>
      <w:r w:rsidR="0013109A" w:rsidRPr="00882602">
        <w:rPr>
          <w:color w:val="000000"/>
          <w:shd w:val="clear" w:color="auto" w:fill="FFFFFF"/>
        </w:rPr>
        <w:t xml:space="preserve"> stipulates the circumstances in which the exemption in </w:t>
      </w:r>
      <w:r w:rsidR="004D6A2F">
        <w:rPr>
          <w:color w:val="000000"/>
          <w:shd w:val="clear" w:color="auto" w:fill="FFFFFF"/>
        </w:rPr>
        <w:t xml:space="preserve">subsection 5(1) </w:t>
      </w:r>
      <w:r w:rsidR="0013109A" w:rsidRPr="00882602">
        <w:rPr>
          <w:color w:val="000000"/>
          <w:shd w:val="clear" w:color="auto" w:fill="FFFFFF"/>
        </w:rPr>
        <w:t xml:space="preserve">applies. </w:t>
      </w:r>
      <w:r w:rsidR="00E5314F">
        <w:rPr>
          <w:color w:val="000000"/>
          <w:shd w:val="clear" w:color="auto" w:fill="FFFFFF"/>
        </w:rPr>
        <w:t>The specified circumstances are:</w:t>
      </w:r>
    </w:p>
    <w:p w14:paraId="3AC5B244" w14:textId="77777777" w:rsidR="00E5314F" w:rsidRDefault="0013109A" w:rsidP="00E5314F">
      <w:pPr>
        <w:pStyle w:val="LI-BodyTextParaa"/>
        <w:numPr>
          <w:ilvl w:val="0"/>
          <w:numId w:val="21"/>
        </w:numPr>
        <w:rPr>
          <w:color w:val="000000"/>
          <w:shd w:val="clear" w:color="auto" w:fill="FFFFFF"/>
        </w:rPr>
      </w:pPr>
      <w:r w:rsidRPr="00882602">
        <w:rPr>
          <w:color w:val="000000"/>
          <w:shd w:val="clear" w:color="auto" w:fill="FFFFFF"/>
        </w:rPr>
        <w:t>the application made through mFund must contain or be accompanied by an ‘electronic confirmation’ stating that a PDS with a specified date has been given to the acquirer by a financial services licensee (</w:t>
      </w:r>
      <w:r w:rsidRPr="00247A1B">
        <w:rPr>
          <w:b/>
          <w:bCs/>
          <w:i/>
          <w:iCs/>
          <w:color w:val="000000"/>
          <w:shd w:val="clear" w:color="auto" w:fill="FFFFFF"/>
        </w:rPr>
        <w:t>licensee</w:t>
      </w:r>
      <w:r w:rsidRPr="00882602">
        <w:rPr>
          <w:color w:val="000000"/>
          <w:shd w:val="clear" w:color="auto" w:fill="FFFFFF"/>
        </w:rPr>
        <w:t xml:space="preserve">) or an authorised representative of a licensee. </w:t>
      </w:r>
    </w:p>
    <w:p w14:paraId="3E54FF82" w14:textId="77777777" w:rsidR="00E5314F" w:rsidRPr="00882602" w:rsidRDefault="00E5314F" w:rsidP="00E5314F">
      <w:pPr>
        <w:pStyle w:val="LI-BodyTextParaa"/>
        <w:numPr>
          <w:ilvl w:val="0"/>
          <w:numId w:val="21"/>
        </w:numPr>
        <w:rPr>
          <w:color w:val="000000"/>
          <w:shd w:val="clear" w:color="auto" w:fill="FFFFFF"/>
        </w:rPr>
      </w:pPr>
      <w:r w:rsidRPr="00882602">
        <w:rPr>
          <w:color w:val="000000"/>
          <w:shd w:val="clear" w:color="auto" w:fill="FFFFFF"/>
        </w:rPr>
        <w:lastRenderedPageBreak/>
        <w:t xml:space="preserve">The PDS referred to in the confirmation must have been prepared by the responsible entity and must not have been defective as at the time when the application was made. The responsible entity must have had no reason to believe that the requirements of the ASX Operating Rules and ASX Settlement Operating Rules (the </w:t>
      </w:r>
      <w:r w:rsidRPr="00247A1B">
        <w:rPr>
          <w:b/>
          <w:bCs/>
          <w:i/>
          <w:iCs/>
          <w:color w:val="000000"/>
          <w:shd w:val="clear" w:color="auto" w:fill="FFFFFF"/>
        </w:rPr>
        <w:t>Rules</w:t>
      </w:r>
      <w:r w:rsidRPr="00882602">
        <w:rPr>
          <w:color w:val="000000"/>
          <w:shd w:val="clear" w:color="auto" w:fill="FFFFFF"/>
        </w:rPr>
        <w:t>) have not been satisfied in relation to the application. The Rules can be accessed through www.asx.com.au.</w:t>
      </w:r>
    </w:p>
    <w:p w14:paraId="10511462" w14:textId="77777777" w:rsidR="00E5314F" w:rsidRPr="00264A51" w:rsidRDefault="00E5314F" w:rsidP="00E5314F">
      <w:pPr>
        <w:pStyle w:val="LI-BodyTextParaa"/>
        <w:numPr>
          <w:ilvl w:val="0"/>
          <w:numId w:val="21"/>
        </w:numPr>
        <w:rPr>
          <w:color w:val="000000"/>
          <w:shd w:val="clear" w:color="auto" w:fill="FFFFFF"/>
        </w:rPr>
      </w:pPr>
      <w:r w:rsidRPr="00E177AF">
        <w:rPr>
          <w:color w:val="000000"/>
          <w:lang w:val="en-US"/>
        </w:rPr>
        <w:t>the responsible entity must reasonably believe that the PDS referred to in the confirmation was available free of charge on the website of ASX as at the time the application was made</w:t>
      </w:r>
      <w:r w:rsidR="00583FEF">
        <w:rPr>
          <w:color w:val="000000"/>
          <w:lang w:val="en-US"/>
        </w:rPr>
        <w:t>.</w:t>
      </w:r>
      <w:r w:rsidRPr="00264A51">
        <w:rPr>
          <w:color w:val="000000"/>
          <w:lang w:val="en-US"/>
        </w:rPr>
        <w:t>.</w:t>
      </w:r>
    </w:p>
    <w:p w14:paraId="09F53C02" w14:textId="77777777" w:rsidR="00882602" w:rsidRPr="00264A51" w:rsidRDefault="00E5314F" w:rsidP="007D4FE4">
      <w:pPr>
        <w:pStyle w:val="LI-BodyTextParaa"/>
        <w:numPr>
          <w:ilvl w:val="0"/>
          <w:numId w:val="21"/>
        </w:numPr>
        <w:rPr>
          <w:color w:val="000000"/>
          <w:shd w:val="clear" w:color="auto" w:fill="FFFFFF"/>
        </w:rPr>
      </w:pPr>
      <w:r w:rsidRPr="00264A51">
        <w:rPr>
          <w:color w:val="000000"/>
          <w:lang w:val="en-US"/>
        </w:rPr>
        <w:t xml:space="preserve"> mFund must be the subject of an exemption under section 791C of the Act. At the date of making this Instrument</w:t>
      </w:r>
      <w:r w:rsidR="00817B17">
        <w:rPr>
          <w:color w:val="000000"/>
          <w:lang w:val="en-US"/>
        </w:rPr>
        <w:t>,</w:t>
      </w:r>
      <w:r w:rsidRPr="00264A51">
        <w:rPr>
          <w:color w:val="000000"/>
          <w:lang w:val="en-US"/>
        </w:rPr>
        <w:t xml:space="preserve"> mFund was the subject of such an exemption.</w:t>
      </w:r>
      <w:r w:rsidR="00882602" w:rsidRPr="00264A51">
        <w:rPr>
          <w:color w:val="000000"/>
        </w:rPr>
        <w:t> </w:t>
      </w:r>
    </w:p>
    <w:p w14:paraId="4888C8D3" w14:textId="77777777" w:rsidR="00A46431" w:rsidRDefault="00924D01" w:rsidP="00A46431">
      <w:pPr>
        <w:pStyle w:val="LI-BodyTextParaa"/>
        <w:numPr>
          <w:ilvl w:val="0"/>
          <w:numId w:val="16"/>
        </w:numPr>
        <w:ind w:left="567" w:hanging="567"/>
        <w:rPr>
          <w:color w:val="000000"/>
          <w:shd w:val="clear" w:color="auto" w:fill="FFFFFF"/>
        </w:rPr>
      </w:pPr>
      <w:r>
        <w:rPr>
          <w:color w:val="000000"/>
          <w:shd w:val="clear" w:color="auto" w:fill="FFFFFF"/>
        </w:rPr>
        <w:t>Section</w:t>
      </w:r>
      <w:r w:rsidR="007D4FE4">
        <w:rPr>
          <w:color w:val="000000"/>
          <w:shd w:val="clear" w:color="auto" w:fill="FFFFFF"/>
        </w:rPr>
        <w:t xml:space="preserve"> 6 of the Instrument sets out the </w:t>
      </w:r>
      <w:r w:rsidR="00882602" w:rsidRPr="00882602">
        <w:rPr>
          <w:color w:val="000000"/>
          <w:shd w:val="clear" w:color="auto" w:fill="FFFFFF"/>
        </w:rPr>
        <w:t xml:space="preserve">conditions that a responsible entity that relies on the exemption in </w:t>
      </w:r>
      <w:r>
        <w:rPr>
          <w:color w:val="000000"/>
          <w:shd w:val="clear" w:color="auto" w:fill="FFFFFF"/>
        </w:rPr>
        <w:t>subsection 5(1)</w:t>
      </w:r>
      <w:r w:rsidR="00882602" w:rsidRPr="00882602">
        <w:rPr>
          <w:color w:val="000000"/>
          <w:shd w:val="clear" w:color="auto" w:fill="FFFFFF"/>
        </w:rPr>
        <w:t xml:space="preserve"> must comply with. In particular, the responsible entity must</w:t>
      </w:r>
      <w:r w:rsidR="00A46431">
        <w:rPr>
          <w:color w:val="000000"/>
          <w:shd w:val="clear" w:color="auto" w:fill="FFFFFF"/>
        </w:rPr>
        <w:t>:</w:t>
      </w:r>
    </w:p>
    <w:p w14:paraId="349F6D80" w14:textId="77777777" w:rsidR="00A46431" w:rsidRDefault="00882602" w:rsidP="00A46431">
      <w:pPr>
        <w:pStyle w:val="LI-BodyTextParaa"/>
        <w:numPr>
          <w:ilvl w:val="0"/>
          <w:numId w:val="23"/>
        </w:numPr>
        <w:rPr>
          <w:color w:val="000000"/>
          <w:shd w:val="clear" w:color="auto" w:fill="FFFFFF"/>
        </w:rPr>
      </w:pPr>
      <w:r w:rsidRPr="00A46431">
        <w:rPr>
          <w:color w:val="000000"/>
          <w:shd w:val="clear" w:color="auto" w:fill="FFFFFF"/>
        </w:rPr>
        <w:t xml:space="preserve">within 5 business days after the issue of the interest in a scheme, notify the acquirer in writing that a PDS with the date specified should have been given to the acquirer and if the acquirer has not received it, the acquirer should inform the responsible entity, and that the acquirer may obtain an electronic or hardcopy from the responsible entity free of charge. </w:t>
      </w:r>
    </w:p>
    <w:p w14:paraId="75B685EF" w14:textId="77777777" w:rsidR="00A46431" w:rsidRPr="00313837" w:rsidRDefault="00A46431" w:rsidP="00A46431">
      <w:pPr>
        <w:pStyle w:val="LI-BodyTextParaa"/>
        <w:numPr>
          <w:ilvl w:val="0"/>
          <w:numId w:val="23"/>
        </w:numPr>
        <w:rPr>
          <w:color w:val="000000"/>
          <w:shd w:val="clear" w:color="auto" w:fill="FFFFFF"/>
        </w:rPr>
      </w:pPr>
      <w:r w:rsidRPr="00A46431">
        <w:rPr>
          <w:color w:val="000000"/>
          <w:shd w:val="clear" w:color="auto" w:fill="FFFFFF"/>
        </w:rPr>
        <w:t xml:space="preserve">report to ASX in writing within 10 business days if it has reason to believe that a person who acquired an interest in the scheme as a retail client as a </w:t>
      </w:r>
      <w:r w:rsidRPr="00313837">
        <w:rPr>
          <w:color w:val="000000"/>
          <w:shd w:val="clear" w:color="auto" w:fill="FFFFFF"/>
        </w:rPr>
        <w:t>result of an application through mFund had not been given, before making the application, the PDS for the interest that was specified in the electronic confirmation in relation to the application;</w:t>
      </w:r>
      <w:r w:rsidR="008C393A">
        <w:rPr>
          <w:color w:val="000000"/>
          <w:shd w:val="clear" w:color="auto" w:fill="FFFFFF"/>
        </w:rPr>
        <w:t xml:space="preserve"> and</w:t>
      </w:r>
    </w:p>
    <w:p w14:paraId="743699EF" w14:textId="77777777" w:rsidR="00882602" w:rsidRPr="00313837" w:rsidRDefault="00A46431" w:rsidP="00336E10">
      <w:pPr>
        <w:pStyle w:val="LI-BodyTextParaa"/>
        <w:numPr>
          <w:ilvl w:val="0"/>
          <w:numId w:val="23"/>
        </w:numPr>
        <w:rPr>
          <w:color w:val="000000"/>
          <w:shd w:val="clear" w:color="auto" w:fill="FFFFFF"/>
        </w:rPr>
      </w:pPr>
      <w:r w:rsidRPr="00313837">
        <w:rPr>
          <w:color w:val="000000"/>
          <w:shd w:val="clear" w:color="auto" w:fill="FFFFFF"/>
        </w:rPr>
        <w:t>keep records for 7 years</w:t>
      </w:r>
      <w:r w:rsidR="006B6226" w:rsidRPr="00313837">
        <w:rPr>
          <w:color w:val="000000"/>
          <w:shd w:val="clear" w:color="auto" w:fill="FFFFFF"/>
        </w:rPr>
        <w:t>,</w:t>
      </w:r>
      <w:r w:rsidRPr="00313837">
        <w:rPr>
          <w:color w:val="000000"/>
          <w:shd w:val="clear" w:color="auto" w:fill="FFFFFF"/>
        </w:rPr>
        <w:t xml:space="preserve"> including</w:t>
      </w:r>
      <w:r w:rsidR="006B6226" w:rsidRPr="00313837">
        <w:rPr>
          <w:color w:val="000000"/>
          <w:shd w:val="clear" w:color="auto" w:fill="FFFFFF"/>
        </w:rPr>
        <w:t>,</w:t>
      </w:r>
      <w:r w:rsidRPr="00313837">
        <w:rPr>
          <w:color w:val="000000"/>
          <w:shd w:val="clear" w:color="auto" w:fill="FFFFFF"/>
        </w:rPr>
        <w:t xml:space="preserve"> a copy of all applications received through mFund and a record of any statement by an acquirer that states or implies that the acquirer was not given, before applying through mFund, the PDS that was specified in the electronic confirmation in relation to the acquirer’s application.</w:t>
      </w:r>
    </w:p>
    <w:p w14:paraId="14582F00" w14:textId="77777777" w:rsidR="00BE4E26" w:rsidRDefault="00BE4E26" w:rsidP="007D4FE4">
      <w:pPr>
        <w:pStyle w:val="LI-BodyTextParaa"/>
        <w:numPr>
          <w:ilvl w:val="0"/>
          <w:numId w:val="16"/>
        </w:numPr>
        <w:ind w:left="567" w:hanging="567"/>
        <w:rPr>
          <w:color w:val="000000"/>
          <w:shd w:val="clear" w:color="auto" w:fill="FFFFFF"/>
        </w:rPr>
      </w:pPr>
      <w:r>
        <w:rPr>
          <w:color w:val="000000"/>
          <w:shd w:val="clear" w:color="auto" w:fill="FFFFFF"/>
        </w:rPr>
        <w:t xml:space="preserve">Section 7 of the Instrument </w:t>
      </w:r>
      <w:bookmarkStart w:id="4" w:name="_Hlk153125289"/>
      <w:r>
        <w:rPr>
          <w:color w:val="000000"/>
          <w:shd w:val="clear" w:color="auto" w:fill="FFFFFF"/>
        </w:rPr>
        <w:t xml:space="preserve">clarifies that requirements in subsection 5(2) and conditions in section 6 of the Instrument </w:t>
      </w:r>
      <w:r w:rsidR="00AC4C90">
        <w:rPr>
          <w:color w:val="000000"/>
          <w:shd w:val="clear" w:color="auto" w:fill="FFFFFF"/>
        </w:rPr>
        <w:t xml:space="preserve">also </w:t>
      </w:r>
      <w:r>
        <w:rPr>
          <w:color w:val="000000"/>
          <w:shd w:val="clear" w:color="auto" w:fill="FFFFFF"/>
        </w:rPr>
        <w:t>apply to a supplementa</w:t>
      </w:r>
      <w:r w:rsidR="000B78AC">
        <w:rPr>
          <w:color w:val="000000"/>
          <w:shd w:val="clear" w:color="auto" w:fill="FFFFFF"/>
        </w:rPr>
        <w:t>ry PDS</w:t>
      </w:r>
      <w:r>
        <w:rPr>
          <w:color w:val="000000"/>
          <w:shd w:val="clear" w:color="auto" w:fill="FFFFFF"/>
        </w:rPr>
        <w:t>.</w:t>
      </w:r>
      <w:bookmarkEnd w:id="4"/>
    </w:p>
    <w:p w14:paraId="6D89D47F" w14:textId="77777777" w:rsidR="00882602" w:rsidRDefault="00911466" w:rsidP="007D4FE4">
      <w:pPr>
        <w:pStyle w:val="LI-BodyTextParaa"/>
        <w:numPr>
          <w:ilvl w:val="0"/>
          <w:numId w:val="16"/>
        </w:numPr>
        <w:ind w:left="567" w:hanging="567"/>
        <w:rPr>
          <w:color w:val="000000"/>
          <w:shd w:val="clear" w:color="auto" w:fill="FFFFFF"/>
        </w:rPr>
      </w:pPr>
      <w:r>
        <w:rPr>
          <w:color w:val="000000"/>
          <w:shd w:val="clear" w:color="auto" w:fill="FFFFFF"/>
        </w:rPr>
        <w:t>Section</w:t>
      </w:r>
      <w:r w:rsidR="00882602" w:rsidRPr="00882602">
        <w:rPr>
          <w:color w:val="000000"/>
          <w:shd w:val="clear" w:color="auto" w:fill="FFFFFF"/>
        </w:rPr>
        <w:t xml:space="preserve"> </w:t>
      </w:r>
      <w:r w:rsidR="00BE4E26">
        <w:rPr>
          <w:color w:val="000000"/>
          <w:shd w:val="clear" w:color="auto" w:fill="FFFFFF"/>
        </w:rPr>
        <w:t>8</w:t>
      </w:r>
      <w:r w:rsidR="00882602" w:rsidRPr="00882602">
        <w:rPr>
          <w:color w:val="000000"/>
          <w:shd w:val="clear" w:color="auto" w:fill="FFFFFF"/>
        </w:rPr>
        <w:t xml:space="preserve"> of the </w:t>
      </w:r>
      <w:r w:rsidR="007D4FE4">
        <w:rPr>
          <w:color w:val="000000"/>
          <w:shd w:val="clear" w:color="auto" w:fill="FFFFFF"/>
        </w:rPr>
        <w:t>Instrument</w:t>
      </w:r>
      <w:r w:rsidR="00882602" w:rsidRPr="00882602">
        <w:rPr>
          <w:color w:val="000000"/>
          <w:shd w:val="clear" w:color="auto" w:fill="FFFFFF"/>
        </w:rPr>
        <w:t xml:space="preserve"> insert</w:t>
      </w:r>
      <w:r w:rsidR="0049208F">
        <w:rPr>
          <w:color w:val="000000"/>
          <w:shd w:val="clear" w:color="auto" w:fill="FFFFFF"/>
        </w:rPr>
        <w:t>s</w:t>
      </w:r>
      <w:r w:rsidR="00882602" w:rsidRPr="00882602">
        <w:rPr>
          <w:color w:val="000000"/>
          <w:shd w:val="clear" w:color="auto" w:fill="FFFFFF"/>
        </w:rPr>
        <w:t xml:space="preserve"> subsections 1016A(2A)</w:t>
      </w:r>
      <w:r w:rsidR="00694D48">
        <w:rPr>
          <w:color w:val="000000"/>
          <w:shd w:val="clear" w:color="auto" w:fill="FFFFFF"/>
        </w:rPr>
        <w:t>,</w:t>
      </w:r>
      <w:r w:rsidR="00882602" w:rsidRPr="00882602">
        <w:rPr>
          <w:color w:val="000000"/>
          <w:shd w:val="clear" w:color="auto" w:fill="FFFFFF"/>
        </w:rPr>
        <w:t xml:space="preserve">1016A(2B) </w:t>
      </w:r>
      <w:r w:rsidR="00694D48">
        <w:rPr>
          <w:color w:val="000000"/>
          <w:shd w:val="clear" w:color="auto" w:fill="FFFFFF"/>
        </w:rPr>
        <w:t xml:space="preserve">and </w:t>
      </w:r>
      <w:r w:rsidR="00694D48" w:rsidRPr="00882602">
        <w:rPr>
          <w:color w:val="000000"/>
          <w:shd w:val="clear" w:color="auto" w:fill="FFFFFF"/>
        </w:rPr>
        <w:t>1016A(2</w:t>
      </w:r>
      <w:r w:rsidR="00694D48">
        <w:rPr>
          <w:color w:val="000000"/>
          <w:shd w:val="clear" w:color="auto" w:fill="FFFFFF"/>
        </w:rPr>
        <w:t>C</w:t>
      </w:r>
      <w:r w:rsidR="00694D48" w:rsidRPr="00882602">
        <w:rPr>
          <w:color w:val="000000"/>
          <w:shd w:val="clear" w:color="auto" w:fill="FFFFFF"/>
        </w:rPr>
        <w:t xml:space="preserve">) </w:t>
      </w:r>
      <w:r w:rsidR="00882602" w:rsidRPr="00882602">
        <w:rPr>
          <w:color w:val="000000"/>
          <w:shd w:val="clear" w:color="auto" w:fill="FFFFFF"/>
        </w:rPr>
        <w:t>into the Act. These subsections apply to a licensee who, or whose authorised representative, transmits an electronic application for the issue of an interest in a registered scheme through mFund.</w:t>
      </w:r>
    </w:p>
    <w:p w14:paraId="41C3CF39" w14:textId="77777777" w:rsidR="00911466" w:rsidRPr="00FC5928" w:rsidRDefault="00835C54" w:rsidP="007D4FE4">
      <w:pPr>
        <w:pStyle w:val="LI-BodyTextParaa"/>
        <w:numPr>
          <w:ilvl w:val="0"/>
          <w:numId w:val="16"/>
        </w:numPr>
        <w:ind w:left="567" w:hanging="567"/>
        <w:rPr>
          <w:color w:val="000000"/>
          <w:shd w:val="clear" w:color="auto" w:fill="FFFFFF"/>
        </w:rPr>
      </w:pPr>
      <w:r w:rsidRPr="00FC5928">
        <w:rPr>
          <w:color w:val="000000"/>
        </w:rPr>
        <w:t>Subsection 1016A(2A) of the Act stipulates the requirements that the licensee must satisfy before transmitting the electronic application through mFund and the requirements that the licensee must ensure </w:t>
      </w:r>
      <w:r w:rsidRPr="00FC5928">
        <w:rPr>
          <w:color w:val="000000"/>
          <w:lang w:val="en-US"/>
        </w:rPr>
        <w:t xml:space="preserve">an </w:t>
      </w:r>
      <w:proofErr w:type="spellStart"/>
      <w:r w:rsidRPr="00FC5928">
        <w:rPr>
          <w:color w:val="000000"/>
          <w:lang w:val="en-US"/>
        </w:rPr>
        <w:t>authorised</w:t>
      </w:r>
      <w:proofErr w:type="spellEnd"/>
      <w:r w:rsidRPr="00FC5928">
        <w:rPr>
          <w:color w:val="000000"/>
          <w:lang w:val="en-US"/>
        </w:rPr>
        <w:t xml:space="preserve"> representative </w:t>
      </w:r>
      <w:r w:rsidR="00C32F15">
        <w:rPr>
          <w:color w:val="000000"/>
          <w:lang w:val="en-US"/>
        </w:rPr>
        <w:t>satisfies</w:t>
      </w:r>
      <w:r w:rsidR="00C32F15" w:rsidRPr="00FC5928">
        <w:rPr>
          <w:color w:val="000000"/>
          <w:lang w:val="en-US"/>
        </w:rPr>
        <w:t xml:space="preserve"> </w:t>
      </w:r>
      <w:r w:rsidRPr="00FC5928">
        <w:rPr>
          <w:color w:val="000000"/>
          <w:lang w:val="en-US"/>
        </w:rPr>
        <w:t>before transmitting an electronic application through mFund.</w:t>
      </w:r>
    </w:p>
    <w:p w14:paraId="31C38CAB" w14:textId="77777777" w:rsidR="00835C54" w:rsidRPr="00FC5928" w:rsidRDefault="00835C54" w:rsidP="00B01144">
      <w:pPr>
        <w:pStyle w:val="LI-BodyTextParaa"/>
        <w:numPr>
          <w:ilvl w:val="0"/>
          <w:numId w:val="16"/>
        </w:numPr>
        <w:ind w:left="567" w:hanging="567"/>
        <w:rPr>
          <w:color w:val="000000"/>
          <w:shd w:val="clear" w:color="auto" w:fill="FFFFFF"/>
        </w:rPr>
      </w:pPr>
      <w:r w:rsidRPr="00FC5928">
        <w:rPr>
          <w:color w:val="000000"/>
        </w:rPr>
        <w:lastRenderedPageBreak/>
        <w:t>Subsection 1016A(2B) of the Act stipulates that subsection 1016A(2A) </w:t>
      </w:r>
      <w:r w:rsidRPr="00FC5928">
        <w:rPr>
          <w:color w:val="000000"/>
          <w:lang w:val="en-US"/>
        </w:rPr>
        <w:t>does not apply where the licensee or its authorised representative believes on ‘reasonable grounds’ that an issue is not a </w:t>
      </w:r>
      <w:r w:rsidRPr="00FC5928">
        <w:rPr>
          <w:i/>
          <w:iCs/>
          <w:color w:val="000000"/>
          <w:lang w:val="en-US"/>
        </w:rPr>
        <w:t>restricted issue</w:t>
      </w:r>
      <w:r w:rsidRPr="00FC5928">
        <w:rPr>
          <w:color w:val="000000"/>
          <w:lang w:val="en-US"/>
        </w:rPr>
        <w:t> as defined in subsection 1016A(1)</w:t>
      </w:r>
      <w:r w:rsidR="003B38B8">
        <w:rPr>
          <w:color w:val="000000"/>
          <w:lang w:val="en-US"/>
        </w:rPr>
        <w:t xml:space="preserve"> of the Act</w:t>
      </w:r>
      <w:r w:rsidRPr="00FC5928">
        <w:rPr>
          <w:i/>
          <w:iCs/>
          <w:color w:val="000000"/>
          <w:lang w:val="en-US"/>
        </w:rPr>
        <w:t>.</w:t>
      </w:r>
    </w:p>
    <w:p w14:paraId="7F6DDF76" w14:textId="77777777" w:rsidR="00882602" w:rsidRPr="00FC5928" w:rsidRDefault="0033012F" w:rsidP="0033012F">
      <w:pPr>
        <w:pStyle w:val="LI-BodyTextParaa"/>
        <w:numPr>
          <w:ilvl w:val="0"/>
          <w:numId w:val="16"/>
        </w:numPr>
        <w:ind w:left="567" w:hanging="567"/>
        <w:rPr>
          <w:color w:val="000000"/>
          <w:shd w:val="clear" w:color="auto" w:fill="FFFFFF"/>
        </w:rPr>
      </w:pPr>
      <w:r w:rsidRPr="00FC5928">
        <w:rPr>
          <w:color w:val="000000"/>
          <w:shd w:val="clear" w:color="auto" w:fill="FFFFFF"/>
        </w:rPr>
        <w:t>Subsection 1016A(2C) of the Act</w:t>
      </w:r>
      <w:r w:rsidR="003B38B8">
        <w:rPr>
          <w:color w:val="000000"/>
          <w:shd w:val="clear" w:color="auto" w:fill="FFFFFF"/>
        </w:rPr>
        <w:t>,</w:t>
      </w:r>
      <w:r w:rsidRPr="00FC5928">
        <w:rPr>
          <w:color w:val="000000"/>
          <w:shd w:val="clear" w:color="auto" w:fill="FFFFFF"/>
        </w:rPr>
        <w:t xml:space="preserve"> clarifies that requirements in subsections 1016A(2A) and 1016A(2B) also apply to a supplementary PDS.</w:t>
      </w:r>
    </w:p>
    <w:p w14:paraId="1F710B2C" w14:textId="77777777" w:rsidR="00C52E7C" w:rsidRPr="00C8348F" w:rsidRDefault="00C52E7C" w:rsidP="006D6079">
      <w:pPr>
        <w:pStyle w:val="LI-BodyTextParaa"/>
        <w:keepNext/>
        <w:ind w:left="567"/>
        <w:rPr>
          <w:b/>
          <w:bCs/>
        </w:rPr>
      </w:pPr>
      <w:r w:rsidRPr="00C8348F">
        <w:rPr>
          <w:b/>
          <w:bCs/>
        </w:rPr>
        <w:t xml:space="preserve">Legislative instrument </w:t>
      </w:r>
      <w:r w:rsidR="00610709" w:rsidRPr="00C8348F">
        <w:rPr>
          <w:b/>
          <w:bCs/>
        </w:rPr>
        <w:t xml:space="preserve">and </w:t>
      </w:r>
      <w:r w:rsidRPr="00C8348F">
        <w:rPr>
          <w:b/>
          <w:bCs/>
        </w:rPr>
        <w:t xml:space="preserve">primary legislation  </w:t>
      </w:r>
    </w:p>
    <w:p w14:paraId="4FC99BE7" w14:textId="77777777" w:rsidR="00F40136" w:rsidRPr="00C8348F" w:rsidRDefault="009B2CFE" w:rsidP="005316D9">
      <w:pPr>
        <w:pStyle w:val="LI-BodyTextParaa"/>
        <w:numPr>
          <w:ilvl w:val="0"/>
          <w:numId w:val="16"/>
        </w:numPr>
        <w:ind w:left="567" w:hanging="567"/>
        <w:rPr>
          <w:color w:val="000000"/>
          <w:shd w:val="clear" w:color="auto" w:fill="FFFFFF"/>
        </w:rPr>
      </w:pPr>
      <w:r>
        <w:t>The subject matter and policy implemented by this instrument is more appropriate for a legislative instrument rather than primary legislation because</w:t>
      </w:r>
      <w:r w:rsidRPr="00C8348F">
        <w:rPr>
          <w:color w:val="000000"/>
          <w:shd w:val="clear" w:color="auto" w:fill="FFFFFF"/>
        </w:rPr>
        <w:t xml:space="preserve"> </w:t>
      </w:r>
      <w:r>
        <w:rPr>
          <w:color w:val="000000"/>
          <w:shd w:val="clear" w:color="auto" w:fill="FFFFFF"/>
        </w:rPr>
        <w:t>t</w:t>
      </w:r>
      <w:r w:rsidR="00F40136" w:rsidRPr="00C8348F">
        <w:rPr>
          <w:color w:val="000000"/>
          <w:shd w:val="clear" w:color="auto" w:fill="FFFFFF"/>
        </w:rPr>
        <w:t>he</w:t>
      </w:r>
      <w:r w:rsidR="00A318CA" w:rsidRPr="00C8348F">
        <w:rPr>
          <w:color w:val="000000"/>
          <w:shd w:val="clear" w:color="auto" w:fill="FFFFFF"/>
        </w:rPr>
        <w:t xml:space="preserve"> </w:t>
      </w:r>
      <w:r w:rsidR="00F40136" w:rsidRPr="00C8348F">
        <w:rPr>
          <w:color w:val="000000"/>
          <w:shd w:val="clear" w:color="auto" w:fill="FFFFFF"/>
        </w:rPr>
        <w:t>Instrument contain technical detail which would otherwise introduce unnecessary complexity to the primary legislation.</w:t>
      </w:r>
      <w:r w:rsidR="00DF39F9">
        <w:rPr>
          <w:color w:val="000000"/>
          <w:shd w:val="clear" w:color="auto" w:fill="FFFFFF"/>
        </w:rPr>
        <w:t xml:space="preserve"> </w:t>
      </w:r>
      <w:r w:rsidR="009A2897" w:rsidRPr="00C523FE">
        <w:rPr>
          <w:color w:val="000000"/>
          <w:shd w:val="clear" w:color="auto" w:fill="FFFFFF"/>
        </w:rPr>
        <w:t xml:space="preserve">It will be a matter for the Government and for Parliament as to whether the Act or </w:t>
      </w:r>
      <w:r w:rsidR="0066084E" w:rsidRPr="004576B4">
        <w:rPr>
          <w:i/>
          <w:iCs/>
          <w:color w:val="000000"/>
          <w:shd w:val="clear" w:color="auto" w:fill="FFFFFF"/>
        </w:rPr>
        <w:t xml:space="preserve">the Corporations </w:t>
      </w:r>
      <w:r w:rsidR="009A2897" w:rsidRPr="004576B4">
        <w:rPr>
          <w:i/>
          <w:iCs/>
          <w:color w:val="000000"/>
          <w:shd w:val="clear" w:color="auto" w:fill="FFFFFF"/>
        </w:rPr>
        <w:t>Regulations</w:t>
      </w:r>
      <w:r w:rsidR="0066084E" w:rsidRPr="004576B4">
        <w:rPr>
          <w:i/>
          <w:iCs/>
          <w:color w:val="000000"/>
          <w:shd w:val="clear" w:color="auto" w:fill="FFFFFF"/>
        </w:rPr>
        <w:t xml:space="preserve"> 2001</w:t>
      </w:r>
      <w:r w:rsidR="0066084E">
        <w:rPr>
          <w:color w:val="000000"/>
          <w:shd w:val="clear" w:color="auto" w:fill="FFFFFF"/>
        </w:rPr>
        <w:t xml:space="preserve"> (</w:t>
      </w:r>
      <w:r w:rsidR="0066084E" w:rsidRPr="004576B4">
        <w:rPr>
          <w:b/>
          <w:bCs/>
          <w:i/>
          <w:iCs/>
          <w:color w:val="000000"/>
          <w:shd w:val="clear" w:color="auto" w:fill="FFFFFF"/>
        </w:rPr>
        <w:t>Regulations</w:t>
      </w:r>
      <w:r w:rsidR="0066084E">
        <w:rPr>
          <w:color w:val="000000"/>
          <w:shd w:val="clear" w:color="auto" w:fill="FFFFFF"/>
        </w:rPr>
        <w:t>)</w:t>
      </w:r>
      <w:r w:rsidR="009A2897" w:rsidRPr="00C523FE">
        <w:rPr>
          <w:color w:val="000000"/>
          <w:shd w:val="clear" w:color="auto" w:fill="FFFFFF"/>
        </w:rPr>
        <w:t xml:space="preserve"> may be amended in future to include the relief in the Instrument.</w:t>
      </w:r>
      <w:r w:rsidR="00F40136" w:rsidRPr="00C8348F">
        <w:rPr>
          <w:color w:val="000000"/>
          <w:shd w:val="clear" w:color="auto" w:fill="FFFFFF"/>
        </w:rPr>
        <w:t xml:space="preserve"> </w:t>
      </w:r>
    </w:p>
    <w:p w14:paraId="6619DA84" w14:textId="77777777" w:rsidR="005D1770" w:rsidRPr="00C8348F" w:rsidRDefault="00F61A66" w:rsidP="005316D9">
      <w:pPr>
        <w:pStyle w:val="LI-BodyTextParaa"/>
        <w:ind w:left="0" w:firstLine="0"/>
        <w:rPr>
          <w:color w:val="000000"/>
          <w:shd w:val="clear" w:color="auto" w:fill="FFFFFF"/>
        </w:rPr>
      </w:pPr>
      <w:r w:rsidRPr="00C8348F">
        <w:rPr>
          <w:b/>
          <w:bCs/>
        </w:rPr>
        <w:t>Duration</w:t>
      </w:r>
      <w:r w:rsidR="009A2319" w:rsidRPr="00C8348F">
        <w:rPr>
          <w:b/>
          <w:bCs/>
        </w:rPr>
        <w:t xml:space="preserve"> of the </w:t>
      </w:r>
      <w:r w:rsidR="007C0631">
        <w:rPr>
          <w:b/>
          <w:bCs/>
        </w:rPr>
        <w:t>I</w:t>
      </w:r>
      <w:r w:rsidR="009A2319" w:rsidRPr="00C8348F">
        <w:rPr>
          <w:b/>
          <w:bCs/>
        </w:rPr>
        <w:t>nstrument</w:t>
      </w:r>
      <w:r w:rsidRPr="00C8348F">
        <w:rPr>
          <w:u w:val="single"/>
        </w:rPr>
        <w:t xml:space="preserve"> </w:t>
      </w:r>
    </w:p>
    <w:p w14:paraId="5504FA8A" w14:textId="77777777" w:rsidR="009A2319" w:rsidRPr="00456AAB" w:rsidRDefault="00A62566" w:rsidP="005316D9">
      <w:pPr>
        <w:pStyle w:val="LI-BodyTextParaa"/>
        <w:numPr>
          <w:ilvl w:val="0"/>
          <w:numId w:val="16"/>
        </w:numPr>
        <w:ind w:left="567" w:hanging="567"/>
        <w:rPr>
          <w:color w:val="000000"/>
          <w:shd w:val="clear" w:color="auto" w:fill="FFFFFF"/>
        </w:rPr>
      </w:pPr>
      <w:bookmarkStart w:id="5" w:name="_Hlk137636193"/>
      <w:r w:rsidRPr="005316D9">
        <w:rPr>
          <w:color w:val="000000"/>
          <w:shd w:val="clear" w:color="auto" w:fill="FFFFFF"/>
        </w:rPr>
        <w:t>The duration of the Instrument is 5 years</w:t>
      </w:r>
      <w:r w:rsidRPr="00456AAB">
        <w:rPr>
          <w:color w:val="000000"/>
          <w:shd w:val="clear" w:color="auto" w:fill="FFFFFF"/>
        </w:rPr>
        <w:t xml:space="preserve"> </w:t>
      </w:r>
      <w:r w:rsidR="007F5469" w:rsidRPr="00456AAB">
        <w:rPr>
          <w:color w:val="000000"/>
          <w:shd w:val="clear" w:color="auto" w:fill="FFFFFF"/>
        </w:rPr>
        <w:t xml:space="preserve">ASIC considers that </w:t>
      </w:r>
      <w:r w:rsidR="00C8348F" w:rsidRPr="00456AAB">
        <w:rPr>
          <w:color w:val="000000"/>
          <w:shd w:val="clear" w:color="auto" w:fill="FFFFFF"/>
        </w:rPr>
        <w:t xml:space="preserve">a maximum of </w:t>
      </w:r>
      <w:r w:rsidR="007F5469" w:rsidRPr="00456AAB">
        <w:rPr>
          <w:color w:val="000000"/>
          <w:shd w:val="clear" w:color="auto" w:fill="FFFFFF"/>
        </w:rPr>
        <w:t>five years is the appropriate duration for the Instrument</w:t>
      </w:r>
      <w:r w:rsidR="00F5034B" w:rsidRPr="004167B4">
        <w:rPr>
          <w:color w:val="000000"/>
          <w:shd w:val="clear" w:color="auto" w:fill="FFFFFF"/>
        </w:rPr>
        <w:t>.</w:t>
      </w:r>
      <w:r w:rsidR="00313837" w:rsidRPr="004167B4">
        <w:rPr>
          <w:color w:val="000000"/>
          <w:shd w:val="clear" w:color="auto" w:fill="FFFFFF"/>
        </w:rPr>
        <w:t xml:space="preserve"> </w:t>
      </w:r>
      <w:r w:rsidR="004167B4" w:rsidRPr="004576B4">
        <w:t xml:space="preserve">If the operation of mFund ceases </w:t>
      </w:r>
      <w:r w:rsidR="00CA5A81">
        <w:t>on an earlier date</w:t>
      </w:r>
      <w:r w:rsidR="004167B4" w:rsidRPr="004576B4">
        <w:t xml:space="preserve">, </w:t>
      </w:r>
      <w:r w:rsidR="00ED4570">
        <w:t>based on the drafting of the Instrument</w:t>
      </w:r>
      <w:r w:rsidR="00483ABE">
        <w:t>,</w:t>
      </w:r>
      <w:r w:rsidR="00ED4570">
        <w:t xml:space="preserve"> </w:t>
      </w:r>
      <w:r w:rsidR="004167B4" w:rsidRPr="004576B4">
        <w:t>the relief in the</w:t>
      </w:r>
      <w:r w:rsidR="005B39B7">
        <w:t xml:space="preserve"> I</w:t>
      </w:r>
      <w:r w:rsidR="004167B4" w:rsidRPr="004576B4">
        <w:t>nstrument will no longer have any effect</w:t>
      </w:r>
      <w:r w:rsidR="004167B4">
        <w:t>.</w:t>
      </w:r>
      <w:r w:rsidR="004167B4" w:rsidRPr="00456AAB" w:rsidDel="00F5034B">
        <w:rPr>
          <w:color w:val="000000"/>
          <w:shd w:val="clear" w:color="auto" w:fill="FFFFFF"/>
        </w:rPr>
        <w:t xml:space="preserve"> </w:t>
      </w:r>
      <w:bookmarkEnd w:id="5"/>
    </w:p>
    <w:bookmarkEnd w:id="2"/>
    <w:p w14:paraId="6692C87E" w14:textId="77777777" w:rsidR="00F03BB5" w:rsidRDefault="00474B52" w:rsidP="006D6079">
      <w:pPr>
        <w:pStyle w:val="LI-BodyTextNumbered"/>
        <w:keepNext/>
        <w:ind w:left="0" w:firstLine="0"/>
        <w:rPr>
          <w:b/>
        </w:rPr>
      </w:pPr>
      <w:r>
        <w:rPr>
          <w:b/>
        </w:rPr>
        <w:t>Legislative authority</w:t>
      </w:r>
    </w:p>
    <w:p w14:paraId="678A8286" w14:textId="77777777" w:rsidR="00A318CA" w:rsidRPr="005316D9" w:rsidRDefault="00A318CA" w:rsidP="005316D9">
      <w:pPr>
        <w:pStyle w:val="LI-BodyTextParaa"/>
        <w:numPr>
          <w:ilvl w:val="0"/>
          <w:numId w:val="16"/>
        </w:numPr>
        <w:ind w:left="567" w:hanging="567"/>
        <w:rPr>
          <w:color w:val="000000"/>
          <w:shd w:val="clear" w:color="auto" w:fill="FFFFFF"/>
        </w:rPr>
      </w:pPr>
      <w:r w:rsidRPr="005316D9">
        <w:rPr>
          <w:color w:val="000000"/>
          <w:shd w:val="clear" w:color="auto" w:fill="FFFFFF"/>
        </w:rPr>
        <w:t xml:space="preserve">The Instrument is made under </w:t>
      </w:r>
      <w:r w:rsidR="00DD2E14" w:rsidRPr="005316D9">
        <w:rPr>
          <w:color w:val="000000"/>
          <w:shd w:val="clear" w:color="auto" w:fill="FFFFFF"/>
        </w:rPr>
        <w:t xml:space="preserve">paragraphs 1020F(1)(a) and(c) </w:t>
      </w:r>
      <w:r w:rsidRPr="005316D9">
        <w:rPr>
          <w:color w:val="000000"/>
          <w:shd w:val="clear" w:color="auto" w:fill="FFFFFF"/>
        </w:rPr>
        <w:t>of the</w:t>
      </w:r>
      <w:r w:rsidR="009E73FE">
        <w:rPr>
          <w:color w:val="000000"/>
          <w:shd w:val="clear" w:color="auto" w:fill="FFFFFF"/>
        </w:rPr>
        <w:t xml:space="preserve"> Act</w:t>
      </w:r>
      <w:r w:rsidRPr="005316D9">
        <w:rPr>
          <w:color w:val="000000"/>
          <w:shd w:val="clear" w:color="auto" w:fill="FFFFFF"/>
        </w:rPr>
        <w:t xml:space="preserve">. </w:t>
      </w:r>
    </w:p>
    <w:p w14:paraId="303E92FC" w14:textId="77777777" w:rsidR="00A318CA" w:rsidRPr="005316D9" w:rsidRDefault="00DD2E14" w:rsidP="005316D9">
      <w:pPr>
        <w:pStyle w:val="LI-BodyTextParaa"/>
        <w:numPr>
          <w:ilvl w:val="0"/>
          <w:numId w:val="16"/>
        </w:numPr>
        <w:ind w:left="567" w:hanging="567"/>
        <w:rPr>
          <w:color w:val="000000"/>
          <w:shd w:val="clear" w:color="auto" w:fill="FFFFFF"/>
        </w:rPr>
      </w:pPr>
      <w:r w:rsidRPr="005316D9">
        <w:rPr>
          <w:color w:val="000000"/>
          <w:shd w:val="clear" w:color="auto" w:fill="FFFFFF"/>
        </w:rPr>
        <w:t>The Instrument is a</w:t>
      </w:r>
      <w:r w:rsidR="00A318CA" w:rsidRPr="005316D9">
        <w:rPr>
          <w:color w:val="000000"/>
          <w:shd w:val="clear" w:color="auto" w:fill="FFFFFF"/>
        </w:rPr>
        <w:t xml:space="preserve"> disallowable legislative instrument. </w:t>
      </w:r>
    </w:p>
    <w:p w14:paraId="208956FF"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EA7BB48" w14:textId="77777777" w:rsidR="00223DCF" w:rsidRPr="005316D9" w:rsidRDefault="00223DCF" w:rsidP="005316D9">
      <w:pPr>
        <w:pStyle w:val="LI-BodyTextParaa"/>
        <w:numPr>
          <w:ilvl w:val="0"/>
          <w:numId w:val="16"/>
        </w:numPr>
        <w:ind w:left="567" w:hanging="567"/>
        <w:rPr>
          <w:color w:val="000000"/>
          <w:shd w:val="clear" w:color="auto" w:fill="FFFFFF"/>
        </w:rPr>
      </w:pPr>
      <w:r w:rsidRPr="005316D9">
        <w:rPr>
          <w:color w:val="000000"/>
          <w:shd w:val="clear" w:color="auto" w:fill="FFFFFF"/>
        </w:rPr>
        <w:t xml:space="preserve">The Explanatory Statement for a disallowable legislative instrument must contain a Statement of Compatibility with Human Rights under subsection 9(1) of the </w:t>
      </w:r>
      <w:r w:rsidRPr="007F5469">
        <w:rPr>
          <w:i/>
          <w:iCs/>
          <w:color w:val="000000"/>
          <w:shd w:val="clear" w:color="auto" w:fill="FFFFFF"/>
        </w:rPr>
        <w:t>Human Rights (Parliamentary Scrutiny) Act 2011</w:t>
      </w:r>
      <w:r w:rsidRPr="005316D9">
        <w:rPr>
          <w:color w:val="000000"/>
          <w:shd w:val="clear" w:color="auto" w:fill="FFFFFF"/>
        </w:rPr>
        <w:t xml:space="preserve">. A Statement of Compatibility with Human Rights is in the Attachment. </w:t>
      </w:r>
    </w:p>
    <w:p w14:paraId="035652D9"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468ADD15"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02EB378F" w14:textId="77777777" w:rsidR="00AE787B" w:rsidRPr="00EA17A6" w:rsidRDefault="00AE787B" w:rsidP="00223DCF">
      <w:pPr>
        <w:pStyle w:val="LI-BodyTextNumbered"/>
        <w:ind w:left="0" w:firstLine="0"/>
        <w:rPr>
          <w:iCs/>
        </w:rPr>
      </w:pPr>
      <w:bookmarkStart w:id="6" w:name="_Hlk534286677"/>
    </w:p>
    <w:p w14:paraId="267CF3CB"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7" w:name="_Hlk4054932"/>
      <w:r w:rsidRPr="00EA17A6">
        <w:rPr>
          <w:iCs/>
        </w:rPr>
        <w:t xml:space="preserve">the </w:t>
      </w:r>
      <w:r w:rsidRPr="00EA17A6">
        <w:rPr>
          <w:i/>
          <w:iCs/>
        </w:rPr>
        <w:t>Human Rights (Parliamentary Scrutiny) Act 2011</w:t>
      </w:r>
      <w:bookmarkEnd w:id="7"/>
      <w:r w:rsidRPr="00EA17A6">
        <w:rPr>
          <w:iCs/>
        </w:rPr>
        <w:t xml:space="preserve">.   </w:t>
      </w:r>
    </w:p>
    <w:p w14:paraId="71A804D1" w14:textId="77777777" w:rsidR="004A75E4" w:rsidRPr="003826D9" w:rsidRDefault="004A75E4" w:rsidP="003826D9">
      <w:pPr>
        <w:pStyle w:val="LI-BodyTextNumbered"/>
        <w:ind w:left="0" w:firstLine="0"/>
        <w:rPr>
          <w:i/>
          <w:iCs/>
        </w:rPr>
      </w:pPr>
      <w:r w:rsidRPr="00FB434C">
        <w:rPr>
          <w:i/>
          <w:iCs/>
        </w:rPr>
        <w:t>ASIC Corporations (</w:t>
      </w:r>
      <w:proofErr w:type="spellStart"/>
      <w:r w:rsidRPr="00FB434C">
        <w:rPr>
          <w:i/>
          <w:iCs/>
        </w:rPr>
        <w:t>mFund</w:t>
      </w:r>
      <w:proofErr w:type="spellEnd"/>
      <w:r w:rsidRPr="00FB434C">
        <w:rPr>
          <w:i/>
          <w:iCs/>
        </w:rPr>
        <w:t>)</w:t>
      </w:r>
      <w:r>
        <w:rPr>
          <w:i/>
          <w:iCs/>
        </w:rPr>
        <w:t xml:space="preserve"> </w:t>
      </w:r>
      <w:r w:rsidRPr="00FB434C">
        <w:rPr>
          <w:i/>
          <w:iCs/>
        </w:rPr>
        <w:t xml:space="preserve">Instrument </w:t>
      </w:r>
      <w:r w:rsidRPr="00D1018F">
        <w:rPr>
          <w:i/>
          <w:iCs/>
        </w:rPr>
        <w:t>202</w:t>
      </w:r>
      <w:r w:rsidR="0055659E" w:rsidRPr="00D1018F">
        <w:rPr>
          <w:i/>
          <w:iCs/>
        </w:rPr>
        <w:t>4</w:t>
      </w:r>
      <w:r w:rsidRPr="004576B4">
        <w:rPr>
          <w:i/>
          <w:iCs/>
        </w:rPr>
        <w:t>/</w:t>
      </w:r>
      <w:r w:rsidR="003A15C8" w:rsidRPr="004576B4">
        <w:rPr>
          <w:i/>
          <w:iCs/>
        </w:rPr>
        <w:t>18</w:t>
      </w:r>
      <w:r w:rsidR="003A15C8" w:rsidRPr="0050464C">
        <w:rPr>
          <w:i/>
        </w:rPr>
        <w:t xml:space="preserve"> </w:t>
      </w:r>
      <w:r w:rsidRPr="002C6E96">
        <w:rPr>
          <w:iCs/>
        </w:rPr>
        <w:t xml:space="preserve">(the </w:t>
      </w:r>
      <w:r w:rsidRPr="00EF618A">
        <w:rPr>
          <w:b/>
          <w:bCs/>
          <w:i/>
        </w:rPr>
        <w:t>Instrument</w:t>
      </w:r>
      <w:r w:rsidRPr="002C6E96">
        <w:rPr>
          <w:iCs/>
        </w:rPr>
        <w:t>)</w:t>
      </w:r>
      <w:r>
        <w:rPr>
          <w:i/>
        </w:rPr>
        <w:t>.</w:t>
      </w:r>
    </w:p>
    <w:p w14:paraId="6C0E1DE5" w14:textId="77777777" w:rsidR="00A318CA" w:rsidRPr="004C51D9" w:rsidRDefault="00223DCF" w:rsidP="004C51D9">
      <w:pPr>
        <w:pStyle w:val="LI-BodyTextNumbered"/>
        <w:ind w:left="567"/>
        <w:rPr>
          <w:u w:val="single"/>
        </w:rPr>
      </w:pPr>
      <w:r w:rsidRPr="004C51D9">
        <w:rPr>
          <w:u w:val="single"/>
        </w:rPr>
        <w:t>Overview</w:t>
      </w:r>
    </w:p>
    <w:p w14:paraId="34802563" w14:textId="77777777" w:rsidR="00CB2D96" w:rsidRPr="00EA17A6" w:rsidRDefault="004C51D9" w:rsidP="004C51D9">
      <w:pPr>
        <w:pStyle w:val="LI-BodyTextNumbered"/>
        <w:numPr>
          <w:ilvl w:val="0"/>
          <w:numId w:val="18"/>
        </w:numPr>
      </w:pPr>
      <w:r w:rsidRPr="004C51D9">
        <w:rPr>
          <w:color w:val="000000"/>
          <w:shd w:val="clear" w:color="auto" w:fill="FFFFFF"/>
        </w:rPr>
        <w:t xml:space="preserve">Generally, a responsible entity of a managed investment scheme may only issue interests in the scheme to a retail </w:t>
      </w:r>
      <w:r w:rsidR="000F3BF3">
        <w:rPr>
          <w:color w:val="000000"/>
          <w:shd w:val="clear" w:color="auto" w:fill="FFFFFF"/>
        </w:rPr>
        <w:t>client</w:t>
      </w:r>
      <w:r w:rsidRPr="004C51D9">
        <w:rPr>
          <w:color w:val="000000"/>
          <w:shd w:val="clear" w:color="auto" w:fill="FFFFFF"/>
        </w:rPr>
        <w:t xml:space="preserve"> in response to an application made in an application form accompanying a Product Disclosure Statement. The Instrument provides conditional relief from the application form requirements for responsible entities that offer interests through an electronic application and settlement facility known as mFund and operated by ASX Limited and ASX Settlement Pty Limited.</w:t>
      </w:r>
    </w:p>
    <w:p w14:paraId="39CA4D1A" w14:textId="77777777" w:rsidR="001872DC" w:rsidRPr="00EA17A6" w:rsidRDefault="001872DC" w:rsidP="001872DC">
      <w:pPr>
        <w:pStyle w:val="LI-BodyTextNumbered"/>
        <w:ind w:left="567"/>
        <w:rPr>
          <w:u w:val="single"/>
        </w:rPr>
      </w:pPr>
      <w:bookmarkStart w:id="8" w:name="_Hlk534286807"/>
      <w:bookmarkEnd w:id="6"/>
      <w:r w:rsidRPr="00EA17A6">
        <w:rPr>
          <w:u w:val="single"/>
        </w:rPr>
        <w:t>Assessment of human rights implications</w:t>
      </w:r>
    </w:p>
    <w:p w14:paraId="5DCDC4F0" w14:textId="77777777" w:rsidR="00946759" w:rsidRPr="00EA17A6" w:rsidRDefault="004C51D9" w:rsidP="00D306F8">
      <w:pPr>
        <w:pStyle w:val="LI-BodyTextNumbered"/>
        <w:ind w:left="567"/>
      </w:pPr>
      <w:r>
        <w:t>2</w:t>
      </w:r>
      <w:r w:rsidR="001872DC" w:rsidRPr="00EA17A6">
        <w:t>.</w:t>
      </w:r>
      <w:r w:rsidR="001872DC" w:rsidRPr="00EA17A6">
        <w:tab/>
      </w:r>
      <w:bookmarkEnd w:id="8"/>
      <w:r w:rsidR="001872DC" w:rsidRPr="00EA17A6">
        <w:t>Th</w:t>
      </w:r>
      <w:r w:rsidR="00A318CA">
        <w:t>e</w:t>
      </w:r>
      <w:r w:rsidR="001872DC" w:rsidRPr="00EA17A6">
        <w:t xml:space="preserve"> </w:t>
      </w:r>
      <w:r>
        <w:t>I</w:t>
      </w:r>
      <w:r w:rsidR="001872DC" w:rsidRPr="00EA17A6">
        <w:t xml:space="preserve">nstrument </w:t>
      </w:r>
      <w:r w:rsidR="00D306F8" w:rsidRPr="00EA17A6">
        <w:t>do</w:t>
      </w:r>
      <w:r>
        <w:t>es</w:t>
      </w:r>
      <w:r w:rsidR="00D306F8" w:rsidRPr="00EA17A6">
        <w:t xml:space="preserve"> not engage any of the applicable rights or freedoms</w:t>
      </w:r>
      <w:r w:rsidR="00A318CA">
        <w:t xml:space="preserve">. </w:t>
      </w:r>
      <w:r w:rsidR="00946759" w:rsidRPr="00EA17A6">
        <w:t xml:space="preserve">  </w:t>
      </w:r>
    </w:p>
    <w:p w14:paraId="2B2A7A39" w14:textId="77777777" w:rsidR="00CB2D96" w:rsidRPr="00EA17A6" w:rsidRDefault="00CB2D96" w:rsidP="00D306F8">
      <w:pPr>
        <w:pStyle w:val="LI-BodyTextNumbered"/>
        <w:ind w:left="567"/>
        <w:rPr>
          <w:u w:val="single"/>
        </w:rPr>
      </w:pPr>
      <w:r w:rsidRPr="00EA17A6">
        <w:rPr>
          <w:u w:val="single"/>
        </w:rPr>
        <w:t>Conclusion</w:t>
      </w:r>
    </w:p>
    <w:p w14:paraId="4E5B3D2D" w14:textId="77777777" w:rsidR="00CB2D96" w:rsidRPr="00EA17A6" w:rsidRDefault="00CB2D96" w:rsidP="00CB2D96">
      <w:pPr>
        <w:pStyle w:val="LI-BodyTextNumbered"/>
        <w:ind w:left="567"/>
      </w:pPr>
      <w:r w:rsidRPr="00EA17A6">
        <w:t>3.</w:t>
      </w:r>
      <w:r w:rsidRPr="00EA17A6">
        <w:tab/>
        <w:t xml:space="preserve">This </w:t>
      </w:r>
      <w:r w:rsidR="004C51D9">
        <w:t>I</w:t>
      </w:r>
      <w:r w:rsidRPr="00EA17A6">
        <w:t xml:space="preserve">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6A05A809" w14:textId="77777777" w:rsidR="00CB2D96" w:rsidRPr="00EA17A6" w:rsidRDefault="00CB2D96" w:rsidP="00D306F8">
      <w:pPr>
        <w:pStyle w:val="LI-BodyTextNumbered"/>
        <w:ind w:left="567"/>
      </w:pPr>
    </w:p>
    <w:sectPr w:rsidR="00CB2D96" w:rsidRPr="00EA17A6" w:rsidSect="00863657">
      <w:headerReference w:type="even" r:id="rId20"/>
      <w:headerReference w:type="default" r:id="rId21"/>
      <w:footerReference w:type="default" r:id="rId22"/>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15626A" w:rsidRDefault="0015626A" w:rsidP="00715914">
      <w:pPr>
        <w:spacing w:line="240" w:lineRule="auto"/>
      </w:pPr>
      <w:r>
        <w:separator/>
      </w:r>
    </w:p>
  </w:endnote>
  <w:endnote w:type="continuationSeparator" w:id="0">
    <w:p w14:paraId="72A3D3EC" w14:textId="77777777" w:rsidR="0015626A" w:rsidRDefault="0015626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5A39BBE3"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15626A" w:rsidRDefault="0015626A" w:rsidP="00715914">
      <w:pPr>
        <w:spacing w:line="240" w:lineRule="auto"/>
      </w:pPr>
      <w:r>
        <w:separator/>
      </w:r>
    </w:p>
  </w:footnote>
  <w:footnote w:type="continuationSeparator" w:id="0">
    <w:p w14:paraId="3DEEC669" w14:textId="77777777" w:rsidR="0015626A" w:rsidRDefault="0015626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3F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0D0B940D" w14:textId="77777777" w:rsidTr="001E77ED">
      <w:tc>
        <w:tcPr>
          <w:tcW w:w="4253" w:type="dxa"/>
          <w:shd w:val="clear" w:color="auto" w:fill="auto"/>
        </w:tcPr>
        <w:p w14:paraId="0E27B00A" w14:textId="77777777" w:rsidR="00F4215A" w:rsidRDefault="00F4215A" w:rsidP="00E40FF8">
          <w:pPr>
            <w:pStyle w:val="LI-Header"/>
            <w:pBdr>
              <w:bottom w:val="none" w:sz="0" w:space="0" w:color="auto"/>
            </w:pBdr>
            <w:jc w:val="left"/>
          </w:pPr>
        </w:p>
      </w:tc>
      <w:tc>
        <w:tcPr>
          <w:tcW w:w="4060" w:type="dxa"/>
          <w:shd w:val="clear" w:color="auto" w:fill="auto"/>
        </w:tcPr>
        <w:p w14:paraId="60061E4C" w14:textId="77777777" w:rsidR="00F4215A" w:rsidRDefault="00F4215A" w:rsidP="00F03BB5">
          <w:pPr>
            <w:pStyle w:val="LI-BodyTextNumbered"/>
          </w:pPr>
        </w:p>
      </w:tc>
    </w:tr>
  </w:tbl>
  <w:p w14:paraId="44EAFD9C"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31A"/>
    <w:multiLevelType w:val="hybridMultilevel"/>
    <w:tmpl w:val="3B06AAB6"/>
    <w:lvl w:ilvl="0" w:tplc="FFFFFFFF">
      <w:start w:val="1"/>
      <w:numFmt w:val="decimal"/>
      <w:lvlText w:val="%1."/>
      <w:lvlJc w:val="left"/>
      <w:pPr>
        <w:ind w:left="930" w:hanging="570"/>
      </w:pPr>
      <w:rPr>
        <w:rFonts w:hint="default"/>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6580D"/>
    <w:multiLevelType w:val="hybridMultilevel"/>
    <w:tmpl w:val="049C4368"/>
    <w:lvl w:ilvl="0" w:tplc="4BCAF9C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8F42F4"/>
    <w:multiLevelType w:val="hybridMultilevel"/>
    <w:tmpl w:val="6DF016E8"/>
    <w:lvl w:ilvl="0" w:tplc="FFFFFFFF">
      <w:start w:val="1"/>
      <w:numFmt w:val="decimal"/>
      <w:lvlText w:val="%1."/>
      <w:lvlJc w:val="left"/>
      <w:pPr>
        <w:ind w:left="930" w:hanging="570"/>
      </w:pPr>
      <w:rPr>
        <w:rFonts w:hint="default"/>
        <w:i w:val="0"/>
        <w:iCs/>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6441E2"/>
    <w:multiLevelType w:val="hybridMultilevel"/>
    <w:tmpl w:val="6E788C04"/>
    <w:lvl w:ilvl="0" w:tplc="FFFFFFFF">
      <w:start w:val="1"/>
      <w:numFmt w:val="decimal"/>
      <w:lvlText w:val="%1."/>
      <w:lvlJc w:val="left"/>
      <w:pPr>
        <w:ind w:left="930" w:hanging="570"/>
      </w:pPr>
      <w:rPr>
        <w:rFonts w:hint="default"/>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E3706"/>
    <w:multiLevelType w:val="hybridMultilevel"/>
    <w:tmpl w:val="049C43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6BA2E3E"/>
    <w:multiLevelType w:val="hybridMultilevel"/>
    <w:tmpl w:val="3B06AAB6"/>
    <w:lvl w:ilvl="0" w:tplc="FFFFFFFF">
      <w:start w:val="1"/>
      <w:numFmt w:val="decimal"/>
      <w:lvlText w:val="%1."/>
      <w:lvlJc w:val="left"/>
      <w:pPr>
        <w:ind w:left="570" w:hanging="570"/>
      </w:pPr>
      <w:rPr>
        <w:rFonts w:hint="default"/>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9F659B"/>
    <w:multiLevelType w:val="hybridMultilevel"/>
    <w:tmpl w:val="5484A78C"/>
    <w:lvl w:ilvl="0" w:tplc="397A6B54">
      <w:start w:val="1"/>
      <w:numFmt w:val="decimal"/>
      <w:lvlText w:val="%1."/>
      <w:lvlJc w:val="left"/>
      <w:pPr>
        <w:ind w:left="930" w:hanging="570"/>
      </w:pPr>
      <w:rPr>
        <w:rFonts w:hint="default"/>
        <w:i w:val="0"/>
        <w:i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B53F6"/>
    <w:multiLevelType w:val="hybridMultilevel"/>
    <w:tmpl w:val="BD7AA2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945B6D"/>
    <w:multiLevelType w:val="hybridMultilevel"/>
    <w:tmpl w:val="D06097F0"/>
    <w:lvl w:ilvl="0" w:tplc="8160AD04">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698892710">
    <w:abstractNumId w:val="9"/>
  </w:num>
  <w:num w:numId="2" w16cid:durableId="1078406380">
    <w:abstractNumId w:val="7"/>
  </w:num>
  <w:num w:numId="3" w16cid:durableId="611479481">
    <w:abstractNumId w:val="6"/>
  </w:num>
  <w:num w:numId="4" w16cid:durableId="1252465323">
    <w:abstractNumId w:val="5"/>
  </w:num>
  <w:num w:numId="5" w16cid:durableId="894124188">
    <w:abstractNumId w:val="4"/>
  </w:num>
  <w:num w:numId="6" w16cid:durableId="1725830206">
    <w:abstractNumId w:val="8"/>
  </w:num>
  <w:num w:numId="7" w16cid:durableId="1106459168">
    <w:abstractNumId w:val="3"/>
  </w:num>
  <w:num w:numId="8" w16cid:durableId="170873876">
    <w:abstractNumId w:val="2"/>
  </w:num>
  <w:num w:numId="9" w16cid:durableId="1177234316">
    <w:abstractNumId w:val="1"/>
  </w:num>
  <w:num w:numId="10" w16cid:durableId="1167402234">
    <w:abstractNumId w:val="0"/>
  </w:num>
  <w:num w:numId="11" w16cid:durableId="1140073621">
    <w:abstractNumId w:val="18"/>
  </w:num>
  <w:num w:numId="12" w16cid:durableId="261303119">
    <w:abstractNumId w:val="11"/>
  </w:num>
  <w:num w:numId="13" w16cid:durableId="873929420">
    <w:abstractNumId w:val="13"/>
  </w:num>
  <w:num w:numId="14" w16cid:durableId="713239779">
    <w:abstractNumId w:val="19"/>
  </w:num>
  <w:num w:numId="15" w16cid:durableId="1211187944">
    <w:abstractNumId w:val="21"/>
  </w:num>
  <w:num w:numId="16" w16cid:durableId="1966767395">
    <w:abstractNumId w:val="20"/>
  </w:num>
  <w:num w:numId="17" w16cid:durableId="1760440934">
    <w:abstractNumId w:val="14"/>
  </w:num>
  <w:num w:numId="18" w16cid:durableId="545072371">
    <w:abstractNumId w:val="17"/>
  </w:num>
  <w:num w:numId="19" w16cid:durableId="818963973">
    <w:abstractNumId w:val="10"/>
  </w:num>
  <w:num w:numId="20" w16cid:durableId="365564226">
    <w:abstractNumId w:val="15"/>
  </w:num>
  <w:num w:numId="21" w16cid:durableId="1433473324">
    <w:abstractNumId w:val="12"/>
  </w:num>
  <w:num w:numId="22" w16cid:durableId="2108384896">
    <w:abstractNumId w:val="22"/>
  </w:num>
  <w:num w:numId="23" w16cid:durableId="2017880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154"/>
    <w:rsid w:val="00004470"/>
    <w:rsid w:val="00005446"/>
    <w:rsid w:val="000136AF"/>
    <w:rsid w:val="00013B8D"/>
    <w:rsid w:val="00015719"/>
    <w:rsid w:val="00023D53"/>
    <w:rsid w:val="0002683D"/>
    <w:rsid w:val="00033864"/>
    <w:rsid w:val="0004140A"/>
    <w:rsid w:val="000437C1"/>
    <w:rsid w:val="00044C9A"/>
    <w:rsid w:val="0005365D"/>
    <w:rsid w:val="000614BF"/>
    <w:rsid w:val="0006250C"/>
    <w:rsid w:val="0006646F"/>
    <w:rsid w:val="00081794"/>
    <w:rsid w:val="00083422"/>
    <w:rsid w:val="00084FF4"/>
    <w:rsid w:val="00085F9F"/>
    <w:rsid w:val="00095E81"/>
    <w:rsid w:val="00097113"/>
    <w:rsid w:val="000A142F"/>
    <w:rsid w:val="000A5E55"/>
    <w:rsid w:val="000A6C39"/>
    <w:rsid w:val="000B58FA"/>
    <w:rsid w:val="000B78AC"/>
    <w:rsid w:val="000C112C"/>
    <w:rsid w:val="000C55A0"/>
    <w:rsid w:val="000D041F"/>
    <w:rsid w:val="000D05EF"/>
    <w:rsid w:val="000D4AF1"/>
    <w:rsid w:val="000E2261"/>
    <w:rsid w:val="000E3C2E"/>
    <w:rsid w:val="000F19B6"/>
    <w:rsid w:val="000F21C1"/>
    <w:rsid w:val="000F302E"/>
    <w:rsid w:val="000F3BF3"/>
    <w:rsid w:val="00102CA6"/>
    <w:rsid w:val="0010745C"/>
    <w:rsid w:val="00125141"/>
    <w:rsid w:val="001278C6"/>
    <w:rsid w:val="0013109A"/>
    <w:rsid w:val="00132CEB"/>
    <w:rsid w:val="001364CC"/>
    <w:rsid w:val="00137F10"/>
    <w:rsid w:val="00142B62"/>
    <w:rsid w:val="00146016"/>
    <w:rsid w:val="00153B32"/>
    <w:rsid w:val="0015626A"/>
    <w:rsid w:val="00157B8B"/>
    <w:rsid w:val="001624E1"/>
    <w:rsid w:val="0016632C"/>
    <w:rsid w:val="00166C2F"/>
    <w:rsid w:val="00171A6E"/>
    <w:rsid w:val="00174897"/>
    <w:rsid w:val="001809D7"/>
    <w:rsid w:val="001863C3"/>
    <w:rsid w:val="0018659E"/>
    <w:rsid w:val="001872DC"/>
    <w:rsid w:val="00192FFF"/>
    <w:rsid w:val="001939E1"/>
    <w:rsid w:val="00193F94"/>
    <w:rsid w:val="00194C3E"/>
    <w:rsid w:val="00195382"/>
    <w:rsid w:val="0019549E"/>
    <w:rsid w:val="00195BD4"/>
    <w:rsid w:val="001A5FB8"/>
    <w:rsid w:val="001A7061"/>
    <w:rsid w:val="001C2A49"/>
    <w:rsid w:val="001C61C5"/>
    <w:rsid w:val="001C69C4"/>
    <w:rsid w:val="001D37EF"/>
    <w:rsid w:val="001E0BC3"/>
    <w:rsid w:val="001E3590"/>
    <w:rsid w:val="001E7407"/>
    <w:rsid w:val="001E77ED"/>
    <w:rsid w:val="001E7E2B"/>
    <w:rsid w:val="001F02B1"/>
    <w:rsid w:val="001F5D5E"/>
    <w:rsid w:val="001F6219"/>
    <w:rsid w:val="001F6CD4"/>
    <w:rsid w:val="00206C4D"/>
    <w:rsid w:val="0021053C"/>
    <w:rsid w:val="00214679"/>
    <w:rsid w:val="00215AF1"/>
    <w:rsid w:val="0022087F"/>
    <w:rsid w:val="00220A36"/>
    <w:rsid w:val="00221D0C"/>
    <w:rsid w:val="00223B8C"/>
    <w:rsid w:val="00223DCF"/>
    <w:rsid w:val="00225065"/>
    <w:rsid w:val="002321E8"/>
    <w:rsid w:val="00236EEC"/>
    <w:rsid w:val="0024010F"/>
    <w:rsid w:val="00240749"/>
    <w:rsid w:val="00243018"/>
    <w:rsid w:val="00243EC0"/>
    <w:rsid w:val="00244742"/>
    <w:rsid w:val="00247A1B"/>
    <w:rsid w:val="0025078E"/>
    <w:rsid w:val="0025147C"/>
    <w:rsid w:val="002564A4"/>
    <w:rsid w:val="00264A51"/>
    <w:rsid w:val="0026736C"/>
    <w:rsid w:val="00267D21"/>
    <w:rsid w:val="00273187"/>
    <w:rsid w:val="00281308"/>
    <w:rsid w:val="00281752"/>
    <w:rsid w:val="00281813"/>
    <w:rsid w:val="00284719"/>
    <w:rsid w:val="00290F81"/>
    <w:rsid w:val="0029372D"/>
    <w:rsid w:val="00297ECB"/>
    <w:rsid w:val="002A4A6D"/>
    <w:rsid w:val="002A7328"/>
    <w:rsid w:val="002A7BCF"/>
    <w:rsid w:val="002A7F42"/>
    <w:rsid w:val="002B19F3"/>
    <w:rsid w:val="002B1A91"/>
    <w:rsid w:val="002B278E"/>
    <w:rsid w:val="002B3059"/>
    <w:rsid w:val="002B4A0D"/>
    <w:rsid w:val="002C6E96"/>
    <w:rsid w:val="002C7B6F"/>
    <w:rsid w:val="002D043A"/>
    <w:rsid w:val="002D4C72"/>
    <w:rsid w:val="002D6224"/>
    <w:rsid w:val="002E3F4B"/>
    <w:rsid w:val="002E4B39"/>
    <w:rsid w:val="002F1BD9"/>
    <w:rsid w:val="00304F8B"/>
    <w:rsid w:val="00313837"/>
    <w:rsid w:val="00317E38"/>
    <w:rsid w:val="00321038"/>
    <w:rsid w:val="00327DDF"/>
    <w:rsid w:val="0033012F"/>
    <w:rsid w:val="00331709"/>
    <w:rsid w:val="00334DE8"/>
    <w:rsid w:val="003354D2"/>
    <w:rsid w:val="00335BC6"/>
    <w:rsid w:val="00336E10"/>
    <w:rsid w:val="0033775E"/>
    <w:rsid w:val="0034122F"/>
    <w:rsid w:val="003415D3"/>
    <w:rsid w:val="00344701"/>
    <w:rsid w:val="00345BF4"/>
    <w:rsid w:val="003500CE"/>
    <w:rsid w:val="003528DA"/>
    <w:rsid w:val="00352B0F"/>
    <w:rsid w:val="003538B8"/>
    <w:rsid w:val="00356690"/>
    <w:rsid w:val="00357DD0"/>
    <w:rsid w:val="00360459"/>
    <w:rsid w:val="00364B53"/>
    <w:rsid w:val="00365497"/>
    <w:rsid w:val="003826D9"/>
    <w:rsid w:val="00387A96"/>
    <w:rsid w:val="0039339D"/>
    <w:rsid w:val="003A15C8"/>
    <w:rsid w:val="003A2178"/>
    <w:rsid w:val="003A2A48"/>
    <w:rsid w:val="003A726E"/>
    <w:rsid w:val="003B28C3"/>
    <w:rsid w:val="003B38B8"/>
    <w:rsid w:val="003B732F"/>
    <w:rsid w:val="003C6231"/>
    <w:rsid w:val="003D0BFE"/>
    <w:rsid w:val="003D5700"/>
    <w:rsid w:val="003E0F99"/>
    <w:rsid w:val="003E341B"/>
    <w:rsid w:val="003F3EFD"/>
    <w:rsid w:val="003F625E"/>
    <w:rsid w:val="0040053F"/>
    <w:rsid w:val="004116CD"/>
    <w:rsid w:val="004144EC"/>
    <w:rsid w:val="004167B4"/>
    <w:rsid w:val="004178D1"/>
    <w:rsid w:val="00417EB9"/>
    <w:rsid w:val="0042467F"/>
    <w:rsid w:val="00424CA9"/>
    <w:rsid w:val="004257DE"/>
    <w:rsid w:val="00431E9B"/>
    <w:rsid w:val="004345A5"/>
    <w:rsid w:val="004358CC"/>
    <w:rsid w:val="00435EEF"/>
    <w:rsid w:val="004379E3"/>
    <w:rsid w:val="0044015E"/>
    <w:rsid w:val="0044291A"/>
    <w:rsid w:val="00444ABD"/>
    <w:rsid w:val="00447DB4"/>
    <w:rsid w:val="0045007F"/>
    <w:rsid w:val="00456AAB"/>
    <w:rsid w:val="004576B4"/>
    <w:rsid w:val="00460F1D"/>
    <w:rsid w:val="00464131"/>
    <w:rsid w:val="00465DC1"/>
    <w:rsid w:val="00467661"/>
    <w:rsid w:val="004705B7"/>
    <w:rsid w:val="00472DBE"/>
    <w:rsid w:val="00474A19"/>
    <w:rsid w:val="00474B52"/>
    <w:rsid w:val="00481C24"/>
    <w:rsid w:val="004823C0"/>
    <w:rsid w:val="0048276B"/>
    <w:rsid w:val="00483ABE"/>
    <w:rsid w:val="0049029C"/>
    <w:rsid w:val="0049208F"/>
    <w:rsid w:val="00495D4D"/>
    <w:rsid w:val="00496B5F"/>
    <w:rsid w:val="00496F97"/>
    <w:rsid w:val="004A44FC"/>
    <w:rsid w:val="004A75E4"/>
    <w:rsid w:val="004B3442"/>
    <w:rsid w:val="004B5B44"/>
    <w:rsid w:val="004C1CB1"/>
    <w:rsid w:val="004C51D9"/>
    <w:rsid w:val="004D6A2F"/>
    <w:rsid w:val="004D7E7F"/>
    <w:rsid w:val="004E0467"/>
    <w:rsid w:val="004E063A"/>
    <w:rsid w:val="004E7BEC"/>
    <w:rsid w:val="004F131B"/>
    <w:rsid w:val="004F6F93"/>
    <w:rsid w:val="0050044F"/>
    <w:rsid w:val="0050464C"/>
    <w:rsid w:val="00505D3D"/>
    <w:rsid w:val="00506AF6"/>
    <w:rsid w:val="00507335"/>
    <w:rsid w:val="00516B8D"/>
    <w:rsid w:val="00517E56"/>
    <w:rsid w:val="0052048F"/>
    <w:rsid w:val="005316D9"/>
    <w:rsid w:val="00532049"/>
    <w:rsid w:val="00533B6D"/>
    <w:rsid w:val="005356A7"/>
    <w:rsid w:val="00536184"/>
    <w:rsid w:val="00537FBC"/>
    <w:rsid w:val="0054258F"/>
    <w:rsid w:val="005477EC"/>
    <w:rsid w:val="0055659E"/>
    <w:rsid w:val="005574D1"/>
    <w:rsid w:val="00560EA3"/>
    <w:rsid w:val="00561ABB"/>
    <w:rsid w:val="005657FE"/>
    <w:rsid w:val="00566021"/>
    <w:rsid w:val="00572BB1"/>
    <w:rsid w:val="0057670F"/>
    <w:rsid w:val="00583FEF"/>
    <w:rsid w:val="00584811"/>
    <w:rsid w:val="00585784"/>
    <w:rsid w:val="00593AA6"/>
    <w:rsid w:val="00594161"/>
    <w:rsid w:val="00594749"/>
    <w:rsid w:val="005965F6"/>
    <w:rsid w:val="005B0D8B"/>
    <w:rsid w:val="005B39B7"/>
    <w:rsid w:val="005B4067"/>
    <w:rsid w:val="005B496C"/>
    <w:rsid w:val="005B780C"/>
    <w:rsid w:val="005C2104"/>
    <w:rsid w:val="005C3F41"/>
    <w:rsid w:val="005C64F5"/>
    <w:rsid w:val="005C6CE5"/>
    <w:rsid w:val="005D0489"/>
    <w:rsid w:val="005D1770"/>
    <w:rsid w:val="005D1FEA"/>
    <w:rsid w:val="005D26D2"/>
    <w:rsid w:val="005D2D09"/>
    <w:rsid w:val="005D3D41"/>
    <w:rsid w:val="005E4810"/>
    <w:rsid w:val="005F1DB6"/>
    <w:rsid w:val="005F3AA4"/>
    <w:rsid w:val="005F4140"/>
    <w:rsid w:val="005F65CD"/>
    <w:rsid w:val="00600219"/>
    <w:rsid w:val="00601955"/>
    <w:rsid w:val="00603DC4"/>
    <w:rsid w:val="00607A71"/>
    <w:rsid w:val="00610709"/>
    <w:rsid w:val="006117CB"/>
    <w:rsid w:val="00620076"/>
    <w:rsid w:val="00634044"/>
    <w:rsid w:val="0063576F"/>
    <w:rsid w:val="00637A4A"/>
    <w:rsid w:val="00640161"/>
    <w:rsid w:val="00652769"/>
    <w:rsid w:val="0065542F"/>
    <w:rsid w:val="006554FF"/>
    <w:rsid w:val="0066084E"/>
    <w:rsid w:val="00666416"/>
    <w:rsid w:val="00670752"/>
    <w:rsid w:val="00670EA1"/>
    <w:rsid w:val="00677CC2"/>
    <w:rsid w:val="00682666"/>
    <w:rsid w:val="006905DE"/>
    <w:rsid w:val="0069207B"/>
    <w:rsid w:val="00693F29"/>
    <w:rsid w:val="00694D48"/>
    <w:rsid w:val="006B54C9"/>
    <w:rsid w:val="006B5789"/>
    <w:rsid w:val="006B6226"/>
    <w:rsid w:val="006B634B"/>
    <w:rsid w:val="006B654B"/>
    <w:rsid w:val="006C1360"/>
    <w:rsid w:val="006C30C5"/>
    <w:rsid w:val="006C48FA"/>
    <w:rsid w:val="006C7F8C"/>
    <w:rsid w:val="006D6079"/>
    <w:rsid w:val="006E5320"/>
    <w:rsid w:val="006E6246"/>
    <w:rsid w:val="006F10CC"/>
    <w:rsid w:val="006F318F"/>
    <w:rsid w:val="006F4226"/>
    <w:rsid w:val="0070017E"/>
    <w:rsid w:val="00700B2C"/>
    <w:rsid w:val="007025D4"/>
    <w:rsid w:val="00702EFD"/>
    <w:rsid w:val="007050A2"/>
    <w:rsid w:val="00713084"/>
    <w:rsid w:val="0071399B"/>
    <w:rsid w:val="00714F20"/>
    <w:rsid w:val="0071590F"/>
    <w:rsid w:val="00715914"/>
    <w:rsid w:val="00721A35"/>
    <w:rsid w:val="0072417E"/>
    <w:rsid w:val="00724F8A"/>
    <w:rsid w:val="00731E00"/>
    <w:rsid w:val="00741EE8"/>
    <w:rsid w:val="0074273E"/>
    <w:rsid w:val="007440B7"/>
    <w:rsid w:val="007500C8"/>
    <w:rsid w:val="00756272"/>
    <w:rsid w:val="007564DF"/>
    <w:rsid w:val="00757845"/>
    <w:rsid w:val="00765001"/>
    <w:rsid w:val="007662B5"/>
    <w:rsid w:val="0076681A"/>
    <w:rsid w:val="007715C9"/>
    <w:rsid w:val="00771613"/>
    <w:rsid w:val="007716B9"/>
    <w:rsid w:val="007719BE"/>
    <w:rsid w:val="00774EDD"/>
    <w:rsid w:val="0077506D"/>
    <w:rsid w:val="007757EC"/>
    <w:rsid w:val="00777B16"/>
    <w:rsid w:val="00780301"/>
    <w:rsid w:val="00783E89"/>
    <w:rsid w:val="007842CE"/>
    <w:rsid w:val="00785A9E"/>
    <w:rsid w:val="0079155F"/>
    <w:rsid w:val="00793915"/>
    <w:rsid w:val="007A48BD"/>
    <w:rsid w:val="007B0148"/>
    <w:rsid w:val="007B43E0"/>
    <w:rsid w:val="007B4C4F"/>
    <w:rsid w:val="007C0354"/>
    <w:rsid w:val="007C0631"/>
    <w:rsid w:val="007C2253"/>
    <w:rsid w:val="007C2438"/>
    <w:rsid w:val="007D230B"/>
    <w:rsid w:val="007D46C8"/>
    <w:rsid w:val="007D4FE4"/>
    <w:rsid w:val="007D60CA"/>
    <w:rsid w:val="007E163D"/>
    <w:rsid w:val="007E667A"/>
    <w:rsid w:val="007F28C9"/>
    <w:rsid w:val="007F4D51"/>
    <w:rsid w:val="007F5469"/>
    <w:rsid w:val="0080312D"/>
    <w:rsid w:val="00803587"/>
    <w:rsid w:val="008117E9"/>
    <w:rsid w:val="00817B17"/>
    <w:rsid w:val="00824498"/>
    <w:rsid w:val="008346A0"/>
    <w:rsid w:val="00835179"/>
    <w:rsid w:val="008356AC"/>
    <w:rsid w:val="00835C54"/>
    <w:rsid w:val="00840442"/>
    <w:rsid w:val="008454F2"/>
    <w:rsid w:val="008527C0"/>
    <w:rsid w:val="00856A31"/>
    <w:rsid w:val="00860B58"/>
    <w:rsid w:val="00863657"/>
    <w:rsid w:val="00867B37"/>
    <w:rsid w:val="008718DD"/>
    <w:rsid w:val="00872F33"/>
    <w:rsid w:val="008754D0"/>
    <w:rsid w:val="00882602"/>
    <w:rsid w:val="008827E3"/>
    <w:rsid w:val="008855C9"/>
    <w:rsid w:val="00886456"/>
    <w:rsid w:val="00891656"/>
    <w:rsid w:val="008945E0"/>
    <w:rsid w:val="0089527F"/>
    <w:rsid w:val="008A2D46"/>
    <w:rsid w:val="008A362B"/>
    <w:rsid w:val="008A46E1"/>
    <w:rsid w:val="008A4F43"/>
    <w:rsid w:val="008A6B8D"/>
    <w:rsid w:val="008B2706"/>
    <w:rsid w:val="008C0F29"/>
    <w:rsid w:val="008C2F86"/>
    <w:rsid w:val="008C393A"/>
    <w:rsid w:val="008D0EE0"/>
    <w:rsid w:val="008D3422"/>
    <w:rsid w:val="008E6067"/>
    <w:rsid w:val="008F54E7"/>
    <w:rsid w:val="008F5B07"/>
    <w:rsid w:val="008F76B0"/>
    <w:rsid w:val="009016BE"/>
    <w:rsid w:val="00903422"/>
    <w:rsid w:val="00910361"/>
    <w:rsid w:val="00911466"/>
    <w:rsid w:val="00912A58"/>
    <w:rsid w:val="009157B9"/>
    <w:rsid w:val="00915DF9"/>
    <w:rsid w:val="00916CB8"/>
    <w:rsid w:val="009225BD"/>
    <w:rsid w:val="00924D01"/>
    <w:rsid w:val="009254C3"/>
    <w:rsid w:val="00926940"/>
    <w:rsid w:val="00926FE0"/>
    <w:rsid w:val="00930A0A"/>
    <w:rsid w:val="00932377"/>
    <w:rsid w:val="00940F17"/>
    <w:rsid w:val="009441C2"/>
    <w:rsid w:val="00944739"/>
    <w:rsid w:val="009460DC"/>
    <w:rsid w:val="00946759"/>
    <w:rsid w:val="00947D5A"/>
    <w:rsid w:val="00951095"/>
    <w:rsid w:val="009532A5"/>
    <w:rsid w:val="00955175"/>
    <w:rsid w:val="0095528E"/>
    <w:rsid w:val="0096753E"/>
    <w:rsid w:val="00976C59"/>
    <w:rsid w:val="00982242"/>
    <w:rsid w:val="009868E9"/>
    <w:rsid w:val="0098707E"/>
    <w:rsid w:val="009944E6"/>
    <w:rsid w:val="009A2319"/>
    <w:rsid w:val="009A2897"/>
    <w:rsid w:val="009A3A6F"/>
    <w:rsid w:val="009A3F74"/>
    <w:rsid w:val="009A49C9"/>
    <w:rsid w:val="009B2CFE"/>
    <w:rsid w:val="009C2791"/>
    <w:rsid w:val="009C2CA5"/>
    <w:rsid w:val="009D1818"/>
    <w:rsid w:val="009D195A"/>
    <w:rsid w:val="009D7993"/>
    <w:rsid w:val="009E2E6E"/>
    <w:rsid w:val="009E5CFC"/>
    <w:rsid w:val="009E73FE"/>
    <w:rsid w:val="009E75A7"/>
    <w:rsid w:val="00A033C9"/>
    <w:rsid w:val="00A03AF1"/>
    <w:rsid w:val="00A079CB"/>
    <w:rsid w:val="00A12128"/>
    <w:rsid w:val="00A12F48"/>
    <w:rsid w:val="00A14F6A"/>
    <w:rsid w:val="00A15512"/>
    <w:rsid w:val="00A1563A"/>
    <w:rsid w:val="00A22C98"/>
    <w:rsid w:val="00A231E2"/>
    <w:rsid w:val="00A26768"/>
    <w:rsid w:val="00A3139A"/>
    <w:rsid w:val="00A318CA"/>
    <w:rsid w:val="00A33D55"/>
    <w:rsid w:val="00A34412"/>
    <w:rsid w:val="00A40424"/>
    <w:rsid w:val="00A44C99"/>
    <w:rsid w:val="00A46431"/>
    <w:rsid w:val="00A51773"/>
    <w:rsid w:val="00A52B0F"/>
    <w:rsid w:val="00A5405B"/>
    <w:rsid w:val="00A559B3"/>
    <w:rsid w:val="00A5632E"/>
    <w:rsid w:val="00A62566"/>
    <w:rsid w:val="00A64912"/>
    <w:rsid w:val="00A64D46"/>
    <w:rsid w:val="00A70A74"/>
    <w:rsid w:val="00A7685B"/>
    <w:rsid w:val="00A91966"/>
    <w:rsid w:val="00A93A75"/>
    <w:rsid w:val="00AA62FC"/>
    <w:rsid w:val="00AA66AC"/>
    <w:rsid w:val="00AB1DE8"/>
    <w:rsid w:val="00AB5AEC"/>
    <w:rsid w:val="00AB69D9"/>
    <w:rsid w:val="00AC0886"/>
    <w:rsid w:val="00AC4C90"/>
    <w:rsid w:val="00AD02B8"/>
    <w:rsid w:val="00AD1F73"/>
    <w:rsid w:val="00AD2105"/>
    <w:rsid w:val="00AD5315"/>
    <w:rsid w:val="00AD5641"/>
    <w:rsid w:val="00AD57D1"/>
    <w:rsid w:val="00AD7889"/>
    <w:rsid w:val="00AE0039"/>
    <w:rsid w:val="00AE787B"/>
    <w:rsid w:val="00AF021B"/>
    <w:rsid w:val="00AF06CF"/>
    <w:rsid w:val="00B01144"/>
    <w:rsid w:val="00B04305"/>
    <w:rsid w:val="00B056D1"/>
    <w:rsid w:val="00B07CDB"/>
    <w:rsid w:val="00B16A31"/>
    <w:rsid w:val="00B17DFD"/>
    <w:rsid w:val="00B2029C"/>
    <w:rsid w:val="00B2799D"/>
    <w:rsid w:val="00B308FE"/>
    <w:rsid w:val="00B33709"/>
    <w:rsid w:val="00B33B3C"/>
    <w:rsid w:val="00B33BD1"/>
    <w:rsid w:val="00B436FB"/>
    <w:rsid w:val="00B50ADC"/>
    <w:rsid w:val="00B51F32"/>
    <w:rsid w:val="00B566B1"/>
    <w:rsid w:val="00B574D7"/>
    <w:rsid w:val="00B577C8"/>
    <w:rsid w:val="00B63834"/>
    <w:rsid w:val="00B72734"/>
    <w:rsid w:val="00B80199"/>
    <w:rsid w:val="00B82D81"/>
    <w:rsid w:val="00B83204"/>
    <w:rsid w:val="00B9126E"/>
    <w:rsid w:val="00B923EA"/>
    <w:rsid w:val="00BA0B4F"/>
    <w:rsid w:val="00BA220B"/>
    <w:rsid w:val="00BA3A57"/>
    <w:rsid w:val="00BA7766"/>
    <w:rsid w:val="00BB4DB6"/>
    <w:rsid w:val="00BB4E1A"/>
    <w:rsid w:val="00BB5C17"/>
    <w:rsid w:val="00BC015E"/>
    <w:rsid w:val="00BC4C70"/>
    <w:rsid w:val="00BC5ECF"/>
    <w:rsid w:val="00BC7183"/>
    <w:rsid w:val="00BC76AC"/>
    <w:rsid w:val="00BD0ECB"/>
    <w:rsid w:val="00BD48CF"/>
    <w:rsid w:val="00BE12BE"/>
    <w:rsid w:val="00BE1862"/>
    <w:rsid w:val="00BE2155"/>
    <w:rsid w:val="00BE2213"/>
    <w:rsid w:val="00BE4E26"/>
    <w:rsid w:val="00BE6EF9"/>
    <w:rsid w:val="00BE719A"/>
    <w:rsid w:val="00BE720A"/>
    <w:rsid w:val="00BF0D73"/>
    <w:rsid w:val="00BF2465"/>
    <w:rsid w:val="00BF359E"/>
    <w:rsid w:val="00BF3B5C"/>
    <w:rsid w:val="00BF4F58"/>
    <w:rsid w:val="00BF4FFE"/>
    <w:rsid w:val="00BF75C9"/>
    <w:rsid w:val="00C0544A"/>
    <w:rsid w:val="00C06AC9"/>
    <w:rsid w:val="00C10D30"/>
    <w:rsid w:val="00C11452"/>
    <w:rsid w:val="00C17457"/>
    <w:rsid w:val="00C253BC"/>
    <w:rsid w:val="00C25E7F"/>
    <w:rsid w:val="00C26266"/>
    <w:rsid w:val="00C2746F"/>
    <w:rsid w:val="00C324A0"/>
    <w:rsid w:val="00C32F15"/>
    <w:rsid w:val="00C3300F"/>
    <w:rsid w:val="00C34E77"/>
    <w:rsid w:val="00C35875"/>
    <w:rsid w:val="00C35DAF"/>
    <w:rsid w:val="00C4170B"/>
    <w:rsid w:val="00C42BF8"/>
    <w:rsid w:val="00C45171"/>
    <w:rsid w:val="00C47D01"/>
    <w:rsid w:val="00C50043"/>
    <w:rsid w:val="00C50B97"/>
    <w:rsid w:val="00C52E7C"/>
    <w:rsid w:val="00C6434E"/>
    <w:rsid w:val="00C70CA8"/>
    <w:rsid w:val="00C7573B"/>
    <w:rsid w:val="00C7761F"/>
    <w:rsid w:val="00C8348F"/>
    <w:rsid w:val="00C836E4"/>
    <w:rsid w:val="00C86B32"/>
    <w:rsid w:val="00C92848"/>
    <w:rsid w:val="00C93769"/>
    <w:rsid w:val="00C93C03"/>
    <w:rsid w:val="00CA466D"/>
    <w:rsid w:val="00CA5A81"/>
    <w:rsid w:val="00CA66DC"/>
    <w:rsid w:val="00CB2C8E"/>
    <w:rsid w:val="00CB2D96"/>
    <w:rsid w:val="00CB602E"/>
    <w:rsid w:val="00CC1634"/>
    <w:rsid w:val="00CC1B05"/>
    <w:rsid w:val="00CC3AEC"/>
    <w:rsid w:val="00CD2E90"/>
    <w:rsid w:val="00CE0149"/>
    <w:rsid w:val="00CE051D"/>
    <w:rsid w:val="00CE1335"/>
    <w:rsid w:val="00CE3D2A"/>
    <w:rsid w:val="00CE493D"/>
    <w:rsid w:val="00CE541A"/>
    <w:rsid w:val="00CE6D42"/>
    <w:rsid w:val="00CF07FA"/>
    <w:rsid w:val="00CF0BB2"/>
    <w:rsid w:val="00CF3EE8"/>
    <w:rsid w:val="00CF5313"/>
    <w:rsid w:val="00D050E6"/>
    <w:rsid w:val="00D1018F"/>
    <w:rsid w:val="00D12339"/>
    <w:rsid w:val="00D13441"/>
    <w:rsid w:val="00D150E7"/>
    <w:rsid w:val="00D20A4B"/>
    <w:rsid w:val="00D20B33"/>
    <w:rsid w:val="00D2401E"/>
    <w:rsid w:val="00D306F8"/>
    <w:rsid w:val="00D32F65"/>
    <w:rsid w:val="00D341C4"/>
    <w:rsid w:val="00D37AA5"/>
    <w:rsid w:val="00D41A47"/>
    <w:rsid w:val="00D42DB5"/>
    <w:rsid w:val="00D442A2"/>
    <w:rsid w:val="00D45DBE"/>
    <w:rsid w:val="00D5004A"/>
    <w:rsid w:val="00D52DC2"/>
    <w:rsid w:val="00D53BCC"/>
    <w:rsid w:val="00D648BB"/>
    <w:rsid w:val="00D702DE"/>
    <w:rsid w:val="00D70DFB"/>
    <w:rsid w:val="00D732EC"/>
    <w:rsid w:val="00D73C22"/>
    <w:rsid w:val="00D766DF"/>
    <w:rsid w:val="00D81462"/>
    <w:rsid w:val="00D92531"/>
    <w:rsid w:val="00D936DA"/>
    <w:rsid w:val="00DA1845"/>
    <w:rsid w:val="00DA186E"/>
    <w:rsid w:val="00DA4116"/>
    <w:rsid w:val="00DB251C"/>
    <w:rsid w:val="00DB38AD"/>
    <w:rsid w:val="00DB4630"/>
    <w:rsid w:val="00DB51FD"/>
    <w:rsid w:val="00DB60A1"/>
    <w:rsid w:val="00DC1135"/>
    <w:rsid w:val="00DC4445"/>
    <w:rsid w:val="00DC4F88"/>
    <w:rsid w:val="00DD1E26"/>
    <w:rsid w:val="00DD2E14"/>
    <w:rsid w:val="00DE0A85"/>
    <w:rsid w:val="00DE79F9"/>
    <w:rsid w:val="00DF39F9"/>
    <w:rsid w:val="00DF4FE9"/>
    <w:rsid w:val="00DF5757"/>
    <w:rsid w:val="00E00B34"/>
    <w:rsid w:val="00E02907"/>
    <w:rsid w:val="00E039A0"/>
    <w:rsid w:val="00E05704"/>
    <w:rsid w:val="00E06CC3"/>
    <w:rsid w:val="00E11E44"/>
    <w:rsid w:val="00E13AFA"/>
    <w:rsid w:val="00E177AF"/>
    <w:rsid w:val="00E2168B"/>
    <w:rsid w:val="00E21F03"/>
    <w:rsid w:val="00E24835"/>
    <w:rsid w:val="00E3046C"/>
    <w:rsid w:val="00E338EF"/>
    <w:rsid w:val="00E36B9B"/>
    <w:rsid w:val="00E40FF8"/>
    <w:rsid w:val="00E4303E"/>
    <w:rsid w:val="00E5314F"/>
    <w:rsid w:val="00E534F6"/>
    <w:rsid w:val="00E544BB"/>
    <w:rsid w:val="00E578EC"/>
    <w:rsid w:val="00E60423"/>
    <w:rsid w:val="00E61C0A"/>
    <w:rsid w:val="00E63D7D"/>
    <w:rsid w:val="00E649D7"/>
    <w:rsid w:val="00E662CB"/>
    <w:rsid w:val="00E6790C"/>
    <w:rsid w:val="00E74DC7"/>
    <w:rsid w:val="00E8075A"/>
    <w:rsid w:val="00E818A6"/>
    <w:rsid w:val="00E85A91"/>
    <w:rsid w:val="00E87718"/>
    <w:rsid w:val="00E94D5E"/>
    <w:rsid w:val="00EA0BF6"/>
    <w:rsid w:val="00EA17A6"/>
    <w:rsid w:val="00EA7100"/>
    <w:rsid w:val="00EA7F9F"/>
    <w:rsid w:val="00EB0E70"/>
    <w:rsid w:val="00EB1274"/>
    <w:rsid w:val="00EC298D"/>
    <w:rsid w:val="00EC3372"/>
    <w:rsid w:val="00EC4757"/>
    <w:rsid w:val="00EC7EDB"/>
    <w:rsid w:val="00ED14FB"/>
    <w:rsid w:val="00ED2BB6"/>
    <w:rsid w:val="00ED34E1"/>
    <w:rsid w:val="00ED3B8D"/>
    <w:rsid w:val="00ED4570"/>
    <w:rsid w:val="00ED646D"/>
    <w:rsid w:val="00ED72DB"/>
    <w:rsid w:val="00ED796D"/>
    <w:rsid w:val="00EE698F"/>
    <w:rsid w:val="00EE7EB2"/>
    <w:rsid w:val="00EF15D3"/>
    <w:rsid w:val="00EF2E3A"/>
    <w:rsid w:val="00EF4296"/>
    <w:rsid w:val="00EF618A"/>
    <w:rsid w:val="00F02EF9"/>
    <w:rsid w:val="00F0334F"/>
    <w:rsid w:val="00F03BB5"/>
    <w:rsid w:val="00F047D8"/>
    <w:rsid w:val="00F05939"/>
    <w:rsid w:val="00F072A7"/>
    <w:rsid w:val="00F078DC"/>
    <w:rsid w:val="00F13866"/>
    <w:rsid w:val="00F14593"/>
    <w:rsid w:val="00F171A1"/>
    <w:rsid w:val="00F2311D"/>
    <w:rsid w:val="00F26687"/>
    <w:rsid w:val="00F26A14"/>
    <w:rsid w:val="00F32BA8"/>
    <w:rsid w:val="00F349F1"/>
    <w:rsid w:val="00F40136"/>
    <w:rsid w:val="00F4215A"/>
    <w:rsid w:val="00F4350D"/>
    <w:rsid w:val="00F45C97"/>
    <w:rsid w:val="00F46947"/>
    <w:rsid w:val="00F5034B"/>
    <w:rsid w:val="00F50532"/>
    <w:rsid w:val="00F52CA6"/>
    <w:rsid w:val="00F55139"/>
    <w:rsid w:val="00F564B7"/>
    <w:rsid w:val="00F567F7"/>
    <w:rsid w:val="00F61A66"/>
    <w:rsid w:val="00F61B09"/>
    <w:rsid w:val="00F62036"/>
    <w:rsid w:val="00F65B52"/>
    <w:rsid w:val="00F67BCA"/>
    <w:rsid w:val="00F73BD6"/>
    <w:rsid w:val="00F800C9"/>
    <w:rsid w:val="00F83989"/>
    <w:rsid w:val="00F85099"/>
    <w:rsid w:val="00F87E83"/>
    <w:rsid w:val="00F92908"/>
    <w:rsid w:val="00F9379C"/>
    <w:rsid w:val="00F94698"/>
    <w:rsid w:val="00F9632C"/>
    <w:rsid w:val="00F96CBE"/>
    <w:rsid w:val="00FA13A8"/>
    <w:rsid w:val="00FA1E52"/>
    <w:rsid w:val="00FA31DE"/>
    <w:rsid w:val="00FA3A80"/>
    <w:rsid w:val="00FA47D5"/>
    <w:rsid w:val="00FA7D17"/>
    <w:rsid w:val="00FB3BDA"/>
    <w:rsid w:val="00FB434C"/>
    <w:rsid w:val="00FB5528"/>
    <w:rsid w:val="00FC25AF"/>
    <w:rsid w:val="00FC3EB8"/>
    <w:rsid w:val="00FC5928"/>
    <w:rsid w:val="00FC7D25"/>
    <w:rsid w:val="00FD0FC3"/>
    <w:rsid w:val="00FD13CC"/>
    <w:rsid w:val="00FD2E53"/>
    <w:rsid w:val="00FE2FB8"/>
    <w:rsid w:val="00FE4688"/>
    <w:rsid w:val="00FE72D6"/>
    <w:rsid w:val="00FE79D0"/>
    <w:rsid w:val="00FF3858"/>
    <w:rsid w:val="00FF7C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220D"/>
  <w15:chartTrackingRefBased/>
  <w15:docId w15:val="{F8C8E886-AEA7-41C1-8212-5388CA0F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val="en-AU"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lang w:val="en-AU" w:eastAsia="en-AU"/>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lang w:val="en-AU" w:eastAsia="en-AU"/>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lang w:eastAsia="en-AU"/>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val="en-AU"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val="en-AU"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val="en-AU"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ListParagraph">
    <w:name w:val="List Paragraph"/>
    <w:basedOn w:val="Normal"/>
    <w:uiPriority w:val="34"/>
    <w:qFormat/>
    <w:rsid w:val="0028175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egalnumbering">
    <w:name w:val="legalnumbering"/>
    <w:basedOn w:val="Normal"/>
    <w:rsid w:val="00281752"/>
    <w:pPr>
      <w:spacing w:before="100" w:beforeAutospacing="1" w:after="100" w:afterAutospacing="1" w:line="240" w:lineRule="auto"/>
    </w:pPr>
    <w:rPr>
      <w:rFonts w:eastAsia="Times New Roman"/>
      <w:sz w:val="24"/>
      <w:szCs w:val="24"/>
      <w:lang w:eastAsia="en-AU"/>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paraa">
    <w:name w:val="subparaa"/>
    <w:basedOn w:val="Normal"/>
    <w:rsid w:val="0028175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F26687"/>
    <w:rPr>
      <w:sz w:val="22"/>
      <w:lang w:val="en-AU" w:eastAsia="en-US"/>
    </w:rPr>
  </w:style>
  <w:style w:type="character" w:styleId="UnresolvedMention">
    <w:name w:val="Unresolved Mention"/>
    <w:uiPriority w:val="99"/>
    <w:semiHidden/>
    <w:unhideWhenUsed/>
    <w:rsid w:val="00BE1862"/>
    <w:rPr>
      <w:color w:val="605E5C"/>
      <w:shd w:val="clear" w:color="auto" w:fill="E1DFDD"/>
    </w:rPr>
  </w:style>
  <w:style w:type="character" w:customStyle="1" w:styleId="normaltextrun">
    <w:name w:val="normaltextrun"/>
    <w:basedOn w:val="DefaultParagraphFont"/>
    <w:rsid w:val="0006646F"/>
  </w:style>
  <w:style w:type="character" w:styleId="FollowedHyperlink">
    <w:name w:val="FollowedHyperlink"/>
    <w:uiPriority w:val="99"/>
    <w:semiHidden/>
    <w:unhideWhenUsed/>
    <w:rsid w:val="008C2F8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1400">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06842478">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361444004">
      <w:bodyDiv w:val="1"/>
      <w:marLeft w:val="0"/>
      <w:marRight w:val="0"/>
      <w:marTop w:val="0"/>
      <w:marBottom w:val="0"/>
      <w:divBdr>
        <w:top w:val="none" w:sz="0" w:space="0" w:color="auto"/>
        <w:left w:val="none" w:sz="0" w:space="0" w:color="auto"/>
        <w:bottom w:val="none" w:sz="0" w:space="0" w:color="auto"/>
        <w:right w:val="none" w:sz="0" w:space="0" w:color="auto"/>
      </w:divBdr>
    </w:div>
    <w:div w:id="401098739">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901795998">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58006319">
      <w:bodyDiv w:val="1"/>
      <w:marLeft w:val="0"/>
      <w:marRight w:val="0"/>
      <w:marTop w:val="0"/>
      <w:marBottom w:val="0"/>
      <w:divBdr>
        <w:top w:val="none" w:sz="0" w:space="0" w:color="auto"/>
        <w:left w:val="none" w:sz="0" w:space="0" w:color="auto"/>
        <w:bottom w:val="none" w:sz="0" w:space="0" w:color="auto"/>
        <w:right w:val="none" w:sz="0" w:space="0" w:color="auto"/>
      </w:divBdr>
    </w:div>
    <w:div w:id="1588534463">
      <w:bodyDiv w:val="1"/>
      <w:marLeft w:val="0"/>
      <w:marRight w:val="0"/>
      <w:marTop w:val="0"/>
      <w:marBottom w:val="0"/>
      <w:divBdr>
        <w:top w:val="none" w:sz="0" w:space="0" w:color="auto"/>
        <w:left w:val="none" w:sz="0" w:space="0" w:color="auto"/>
        <w:bottom w:val="none" w:sz="0" w:space="0" w:color="auto"/>
        <w:right w:val="none" w:sz="0" w:space="0" w:color="auto"/>
      </w:divBdr>
    </w:div>
    <w:div w:id="1689915833">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039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sx.com.au/about/regulation/consultations-and-submiss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ic.gov.au/about-asic/news-centre/find-a-media-release/2014-releases/14-002mr-asic-issues-class-order-providing-relief-for-the-mfund-service/" TargetMode="External"/><Relationship Id="rId2" Type="http://schemas.openxmlformats.org/officeDocument/2006/relationships/customXml" Target="../customXml/item2.xml"/><Relationship Id="rId16" Type="http://schemas.openxmlformats.org/officeDocument/2006/relationships/hyperlink" Target="https://www.legislation.gov.au/Details/F2022C012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au/Details/F2016C01088"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asic.gov.au/about-asic/news-centre/news-items/asic-proposes-to-remake-managed-investment-scheme-legislative-instrumen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6d01ba57-bcb9-4c1f-9f73-80759da4b854">010950-786086710-442</_dlc_DocId>
    <_dlc_DocIdUrl xmlns="6d01ba57-bcb9-4c1f-9f73-80759da4b854">
      <Url>https://asiclink.sharepoint.com/teams/010950/_layouts/15/DocIdRedir.aspx?ID=010950-786086710-442</Url>
      <Description>010950-786086710-442</Description>
    </_dlc_DocIdUr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TaxCatchAll xmlns="db2b92ca-6ed0-4085-802d-4c686a2e8c3f">
      <Value>3</Value>
    </TaxCatchAll>
    <DocumentNotes xmlns="db2b92ca-6ed0-4085-802d-4c686a2e8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67329D49EF2FE94BA16D9A9FA4C7C5E9" ma:contentTypeVersion="25" ma:contentTypeDescription="Create a new document." ma:contentTypeScope="" ma:versionID="4eee952142d321facbb1fde01d01d759">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247B5-AFE3-4FF6-85E6-3B9552DA3B7D}">
  <ds:schemaRefs>
    <ds:schemaRef ds:uri="6d01ba57-bcb9-4c1f-9f73-80759da4b85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61E83ED2-DA83-415C-81A8-5B451E56C9E6}">
  <ds:schemaRefs>
    <ds:schemaRef ds:uri="http://schemas.microsoft.com/sharepoint/v3/contenttype/forms"/>
  </ds:schemaRefs>
</ds:datastoreItem>
</file>

<file path=customXml/itemProps3.xml><?xml version="1.0" encoding="utf-8"?>
<ds:datastoreItem xmlns:ds="http://schemas.openxmlformats.org/officeDocument/2006/customXml" ds:itemID="{24E52CFE-54F1-4F4C-8F55-18646A43E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B5D41-BDBB-4E86-9572-812287F1B63F}">
  <ds:schemaRefs>
    <ds:schemaRef ds:uri="http://schemas.microsoft.com/office/2006/metadata/longProperties"/>
  </ds:schemaRefs>
</ds:datastoreItem>
</file>

<file path=customXml/itemProps5.xml><?xml version="1.0" encoding="utf-8"?>
<ds:datastoreItem xmlns:ds="http://schemas.openxmlformats.org/officeDocument/2006/customXml" ds:itemID="{F164B10F-B78A-4A5C-8D12-848B667B1C9A}">
  <ds:schemaRefs>
    <ds:schemaRef ds:uri="http://schemas.microsoft.com/sharepoint/events"/>
  </ds:schemaRefs>
</ds:datastoreItem>
</file>

<file path=customXml/itemProps6.xml><?xml version="1.0" encoding="utf-8"?>
<ds:datastoreItem xmlns:ds="http://schemas.openxmlformats.org/officeDocument/2006/customXml" ds:itemID="{6CFDFF78-1A78-4A78-8FFA-3D6B27D902AE}">
  <ds:schemaRefs>
    <ds:schemaRef ds:uri="Microsoft.SharePoint.Taxonomy.ContentTypeSync"/>
  </ds:schemaRefs>
</ds:datastoreItem>
</file>

<file path=customXml/itemProps7.xml><?xml version="1.0" encoding="utf-8"?>
<ds:datastoreItem xmlns:ds="http://schemas.openxmlformats.org/officeDocument/2006/customXml" ds:itemID="{4D0C19D2-4787-4180-BFC1-6909B3FD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5</Pages>
  <Words>1604</Words>
  <Characters>9148</Characters>
  <Application>Microsoft Office Word</Application>
  <DocSecurity>0</DocSecurity>
  <PresentationFormat/>
  <Lines>76</Lines>
  <Paragraphs>21</Paragraphs>
  <ScaleCrop>false</ScaleCrop>
  <Company>ASIC</Company>
  <LinksUpToDate>false</LinksUpToDate>
  <CharactersWithSpaces>10731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ASIC</dc:creator>
  <cp:keywords/>
  <cp:lastModifiedBy>Narelle Kane</cp:lastModifiedBy>
  <cp:revision>2</cp:revision>
  <cp:lastPrinted>2019-01-03T21:56:00Z</cp:lastPrinted>
  <dcterms:created xsi:type="dcterms:W3CDTF">2024-03-22T00:10:00Z</dcterms:created>
  <dcterms:modified xsi:type="dcterms:W3CDTF">2024-03-22T00:10:00Z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3;#OFFICIAL|cffd3088-7a74-4edb-8c9e-fbf79371a422</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3;#OFFICIAL|cffd3088-7a74-4edb-8c9e-fbf79371a422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010950-786086710-441</vt:lpwstr>
  </property>
  <property fmtid="{D5CDD505-2E9C-101B-9397-08002B2CF9AE}" pid="62" name="_dlc_DocIdItemGuid">
    <vt:lpwstr>fb512038-1946-4cf3-8745-8e9475a529f3</vt:lpwstr>
  </property>
  <property fmtid="{D5CDD505-2E9C-101B-9397-08002B2CF9AE}" pid="63" name="_dlc_DocIdUrl">
    <vt:lpwstr>https://asiclink.sharepoint.com/teams/010950/_layouts/15/DocIdRedir.aspx?ID=010950-786086710-441, 010950-786086710-441</vt:lpwstr>
  </property>
  <property fmtid="{D5CDD505-2E9C-101B-9397-08002B2CF9AE}" pid="64" name="p1abb5e704a84578aa4b8ef0390c3b25">
    <vt:lpwstr>OFFICIAL|cffd3088-7a74-4edb-8c9e-fbf79371a422</vt:lpwstr>
  </property>
  <property fmtid="{D5CDD505-2E9C-101B-9397-08002B2CF9AE}" pid="65" name="DocumentNotes">
    <vt:lpwstr/>
  </property>
  <property fmtid="{D5CDD505-2E9C-101B-9397-08002B2CF9AE}" pid="66" name="NAPReason">
    <vt:lpwstr/>
  </property>
  <property fmtid="{D5CDD505-2E9C-101B-9397-08002B2CF9AE}" pid="67" name="MediaServiceImageTags">
    <vt:lpwstr/>
  </property>
  <property fmtid="{D5CDD505-2E9C-101B-9397-08002B2CF9AE}" pid="68" name="lcf76f155ced4ddcb4097134ff3c332f">
    <vt:lpwstr/>
  </property>
  <property fmtid="{D5CDD505-2E9C-101B-9397-08002B2CF9AE}" pid="69" name="ContentTypeId">
    <vt:lpwstr>0x010100B5F685A1365F544391EF8C813B164F3A0067329D49EF2FE94BA16D9A9FA4C7C5E9</vt:lpwstr>
  </property>
  <property fmtid="{D5CDD505-2E9C-101B-9397-08002B2CF9AE}" pid="70" name="MSIP_Label_a6aead41-07f8-4767-ac8e-ef1c9c793766_Enabled">
    <vt:lpwstr>true</vt:lpwstr>
  </property>
  <property fmtid="{D5CDD505-2E9C-101B-9397-08002B2CF9AE}" pid="71" name="MSIP_Label_a6aead41-07f8-4767-ac8e-ef1c9c793766_SetDate">
    <vt:lpwstr>2024-03-21T04:54:15Z</vt:lpwstr>
  </property>
  <property fmtid="{D5CDD505-2E9C-101B-9397-08002B2CF9AE}" pid="72" name="MSIP_Label_a6aead41-07f8-4767-ac8e-ef1c9c793766_Method">
    <vt:lpwstr>Standard</vt:lpwstr>
  </property>
  <property fmtid="{D5CDD505-2E9C-101B-9397-08002B2CF9AE}" pid="73" name="MSIP_Label_a6aead41-07f8-4767-ac8e-ef1c9c793766_Name">
    <vt:lpwstr>OFFICIAL</vt:lpwstr>
  </property>
  <property fmtid="{D5CDD505-2E9C-101B-9397-08002B2CF9AE}" pid="74" name="MSIP_Label_a6aead41-07f8-4767-ac8e-ef1c9c793766_SiteId">
    <vt:lpwstr>5f1de7c6-55cd-4bb2-902d-514c78cf10f4</vt:lpwstr>
  </property>
  <property fmtid="{D5CDD505-2E9C-101B-9397-08002B2CF9AE}" pid="75" name="MSIP_Label_a6aead41-07f8-4767-ac8e-ef1c9c793766_ActionId">
    <vt:lpwstr>6b85a884-ac20-48cc-8b48-0e5431d28ae5</vt:lpwstr>
  </property>
  <property fmtid="{D5CDD505-2E9C-101B-9397-08002B2CF9AE}" pid="76" name="MSIP_Label_a6aead41-07f8-4767-ac8e-ef1c9c793766_ContentBits">
    <vt:lpwstr>0</vt:lpwstr>
  </property>
</Properties>
</file>