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C1B4F" w14:textId="77777777" w:rsidR="001F2A16" w:rsidRPr="007A796B" w:rsidRDefault="001F2A16" w:rsidP="007A796B">
      <w:pPr>
        <w:pStyle w:val="Header"/>
        <w:pBdr>
          <w:top w:val="single" w:sz="4" w:space="1" w:color="auto"/>
          <w:bottom w:val="single" w:sz="4" w:space="1" w:color="auto"/>
        </w:pBdr>
        <w:tabs>
          <w:tab w:val="clear" w:pos="4153"/>
          <w:tab w:val="clear" w:pos="8306"/>
        </w:tabs>
        <w:spacing w:after="360"/>
        <w:jc w:val="center"/>
        <w:rPr>
          <w:rFonts w:ascii="Arial" w:hAnsi="Arial" w:cs="Arial"/>
          <w:sz w:val="34"/>
          <w:szCs w:val="34"/>
        </w:rPr>
      </w:pPr>
      <w:r w:rsidRPr="007A796B">
        <w:rPr>
          <w:rFonts w:ascii="Arial" w:hAnsi="Arial" w:cs="Arial"/>
          <w:sz w:val="34"/>
          <w:szCs w:val="34"/>
        </w:rPr>
        <w:t>Explanatory Statement</w:t>
      </w:r>
    </w:p>
    <w:p w14:paraId="68C4E1D3" w14:textId="77777777" w:rsidR="007A796B" w:rsidRDefault="00A23819" w:rsidP="007A796B">
      <w:pPr>
        <w:pStyle w:val="Header"/>
        <w:pBdr>
          <w:top w:val="single" w:sz="4" w:space="1" w:color="auto"/>
          <w:bottom w:val="single" w:sz="4" w:space="1" w:color="auto"/>
        </w:pBdr>
        <w:tabs>
          <w:tab w:val="clear" w:pos="4153"/>
          <w:tab w:val="clear" w:pos="8306"/>
        </w:tabs>
        <w:ind w:firstLine="709"/>
        <w:jc w:val="center"/>
        <w:rPr>
          <w:rFonts w:ascii="Arial" w:hAnsi="Arial" w:cs="Arial"/>
          <w:color w:val="000000" w:themeColor="text1"/>
          <w:sz w:val="34"/>
          <w:szCs w:val="34"/>
        </w:rPr>
      </w:pPr>
      <w:bookmarkStart w:id="0" w:name="_Hlk129007127"/>
      <w:r w:rsidRPr="007A796B">
        <w:rPr>
          <w:rFonts w:ascii="Arial" w:hAnsi="Arial" w:cs="Arial"/>
          <w:color w:val="000000" w:themeColor="text1"/>
          <w:sz w:val="34"/>
          <w:szCs w:val="34"/>
        </w:rPr>
        <w:t>Fringe Benefits Tax Assessment (Adequate Alternative Records</w:t>
      </w:r>
      <w:r w:rsidR="007622C7" w:rsidRPr="007A796B">
        <w:rPr>
          <w:rFonts w:ascii="Arial" w:hAnsi="Arial" w:cs="Arial"/>
          <w:color w:val="000000" w:themeColor="text1"/>
          <w:sz w:val="34"/>
          <w:szCs w:val="34"/>
        </w:rPr>
        <w:t xml:space="preserve"> </w:t>
      </w:r>
      <w:r w:rsidR="00055046" w:rsidRPr="007A796B">
        <w:rPr>
          <w:rFonts w:ascii="Arial" w:hAnsi="Arial" w:cs="Arial"/>
          <w:color w:val="000000" w:themeColor="text1"/>
          <w:sz w:val="34"/>
          <w:szCs w:val="34"/>
        </w:rPr>
        <w:t>–</w:t>
      </w:r>
      <w:r w:rsidR="007622C7" w:rsidRPr="007A796B">
        <w:rPr>
          <w:rFonts w:ascii="Arial" w:hAnsi="Arial" w:cs="Arial"/>
          <w:color w:val="000000" w:themeColor="text1"/>
          <w:sz w:val="34"/>
          <w:szCs w:val="34"/>
        </w:rPr>
        <w:t xml:space="preserve"> </w:t>
      </w:r>
      <w:r w:rsidRPr="007A796B">
        <w:rPr>
          <w:rFonts w:ascii="Arial" w:hAnsi="Arial" w:cs="Arial"/>
          <w:color w:val="000000" w:themeColor="text1"/>
          <w:sz w:val="34"/>
          <w:szCs w:val="34"/>
        </w:rPr>
        <w:t xml:space="preserve">Travel Diaries) </w:t>
      </w:r>
      <w:r w:rsidR="00B55D24" w:rsidRPr="007A796B">
        <w:rPr>
          <w:rFonts w:ascii="Arial" w:hAnsi="Arial" w:cs="Arial"/>
          <w:color w:val="000000" w:themeColor="text1"/>
          <w:sz w:val="34"/>
          <w:szCs w:val="34"/>
        </w:rPr>
        <w:t xml:space="preserve">Determination </w:t>
      </w:r>
      <w:r w:rsidRPr="007A796B">
        <w:rPr>
          <w:rFonts w:ascii="Arial" w:hAnsi="Arial" w:cs="Arial"/>
          <w:color w:val="000000" w:themeColor="text1"/>
          <w:sz w:val="34"/>
          <w:szCs w:val="34"/>
        </w:rPr>
        <w:t>202</w:t>
      </w:r>
      <w:r w:rsidR="00EB3D0D" w:rsidRPr="007A796B">
        <w:rPr>
          <w:rFonts w:ascii="Arial" w:hAnsi="Arial" w:cs="Arial"/>
          <w:color w:val="000000" w:themeColor="text1"/>
          <w:sz w:val="34"/>
          <w:szCs w:val="34"/>
        </w:rPr>
        <w:t>4</w:t>
      </w:r>
    </w:p>
    <w:bookmarkEnd w:id="0"/>
    <w:p w14:paraId="15AC1B52" w14:textId="5D60E1D7" w:rsidR="0099555F" w:rsidRPr="007A796B" w:rsidRDefault="0099555F" w:rsidP="007A796B">
      <w:pPr>
        <w:pStyle w:val="Header"/>
        <w:tabs>
          <w:tab w:val="clear" w:pos="4153"/>
          <w:tab w:val="clear" w:pos="8306"/>
        </w:tabs>
        <w:jc w:val="center"/>
        <w:rPr>
          <w:rFonts w:ascii="Arial" w:hAnsi="Arial" w:cs="Arial"/>
          <w:sz w:val="22"/>
          <w:szCs w:val="22"/>
        </w:rPr>
      </w:pPr>
    </w:p>
    <w:p w14:paraId="15AC1B53" w14:textId="77777777" w:rsidR="001F2A16" w:rsidRPr="007A796B" w:rsidRDefault="001F2A16" w:rsidP="007A796B">
      <w:pPr>
        <w:pStyle w:val="Header"/>
        <w:tabs>
          <w:tab w:val="clear" w:pos="4153"/>
          <w:tab w:val="clear" w:pos="8306"/>
        </w:tabs>
        <w:jc w:val="center"/>
        <w:rPr>
          <w:rFonts w:ascii="Arial" w:hAnsi="Arial" w:cs="Arial"/>
          <w:sz w:val="22"/>
          <w:szCs w:val="22"/>
        </w:rPr>
      </w:pPr>
    </w:p>
    <w:p w14:paraId="15AC1B54" w14:textId="72E1D7FF" w:rsidR="00486653" w:rsidRPr="007A796B" w:rsidRDefault="00486653" w:rsidP="007A796B">
      <w:pPr>
        <w:pStyle w:val="Heading2"/>
      </w:pPr>
      <w:r w:rsidRPr="007A796B">
        <w:t xml:space="preserve">General </w:t>
      </w:r>
      <w:r w:rsidR="00C620E9" w:rsidRPr="007A796B">
        <w:t>o</w:t>
      </w:r>
      <w:r w:rsidRPr="007A796B">
        <w:t xml:space="preserve">utline of </w:t>
      </w:r>
      <w:r w:rsidR="00C620E9" w:rsidRPr="007A796B">
        <w:t>i</w:t>
      </w:r>
      <w:r w:rsidRPr="007A796B">
        <w:t>nstrument</w:t>
      </w:r>
    </w:p>
    <w:p w14:paraId="37354D88" w14:textId="77777777" w:rsidR="00837E4D" w:rsidRPr="007A796B" w:rsidRDefault="00837E4D" w:rsidP="007A796B">
      <w:pPr>
        <w:numPr>
          <w:ilvl w:val="0"/>
          <w:numId w:val="1"/>
        </w:numPr>
        <w:tabs>
          <w:tab w:val="clear" w:pos="360"/>
        </w:tabs>
        <w:spacing w:after="120"/>
        <w:ind w:left="0" w:firstLine="0"/>
        <w:rPr>
          <w:rFonts w:ascii="Arial" w:hAnsi="Arial" w:cs="Arial"/>
          <w:sz w:val="22"/>
          <w:szCs w:val="22"/>
        </w:rPr>
      </w:pPr>
      <w:r w:rsidRPr="007A796B">
        <w:rPr>
          <w:rFonts w:ascii="Arial" w:hAnsi="Arial" w:cs="Arial"/>
          <w:sz w:val="22"/>
          <w:szCs w:val="22"/>
        </w:rPr>
        <w:t xml:space="preserve">This instrument is made under section 123AA of the </w:t>
      </w:r>
      <w:r w:rsidRPr="007A796B">
        <w:rPr>
          <w:rFonts w:ascii="Arial" w:hAnsi="Arial" w:cs="Arial"/>
          <w:i/>
          <w:iCs/>
          <w:sz w:val="22"/>
          <w:szCs w:val="22"/>
        </w:rPr>
        <w:t>Fringe Benefits Tax Assessment Act 1986</w:t>
      </w:r>
      <w:r w:rsidRPr="007A796B">
        <w:rPr>
          <w:rFonts w:ascii="Arial" w:hAnsi="Arial" w:cs="Arial"/>
          <w:sz w:val="22"/>
          <w:szCs w:val="22"/>
        </w:rPr>
        <w:t xml:space="preserve"> (FBTAA).</w:t>
      </w:r>
    </w:p>
    <w:p w14:paraId="12EC2710" w14:textId="083E87E9" w:rsidR="00837E4D" w:rsidRPr="007A796B" w:rsidRDefault="00837E4D" w:rsidP="007A796B">
      <w:pPr>
        <w:numPr>
          <w:ilvl w:val="0"/>
          <w:numId w:val="1"/>
        </w:numPr>
        <w:tabs>
          <w:tab w:val="clear" w:pos="360"/>
        </w:tabs>
        <w:spacing w:after="120"/>
        <w:ind w:left="0" w:firstLine="0"/>
        <w:rPr>
          <w:rFonts w:ascii="Arial" w:hAnsi="Arial" w:cs="Arial"/>
          <w:sz w:val="22"/>
          <w:szCs w:val="22"/>
        </w:rPr>
      </w:pPr>
      <w:r w:rsidRPr="007A796B">
        <w:rPr>
          <w:rFonts w:ascii="Arial" w:hAnsi="Arial" w:cs="Arial"/>
          <w:sz w:val="22"/>
          <w:szCs w:val="22"/>
        </w:rPr>
        <w:t>The instrument outlines the adequate alternative records the Commissioner of Taxation will accept as a</w:t>
      </w:r>
      <w:r w:rsidR="00666734" w:rsidRPr="007A796B">
        <w:rPr>
          <w:rFonts w:ascii="Arial" w:hAnsi="Arial" w:cs="Arial"/>
          <w:sz w:val="22"/>
          <w:szCs w:val="22"/>
        </w:rPr>
        <w:t>n alternative to</w:t>
      </w:r>
      <w:r w:rsidRPr="007A796B">
        <w:rPr>
          <w:rFonts w:ascii="Arial" w:hAnsi="Arial" w:cs="Arial"/>
          <w:sz w:val="22"/>
          <w:szCs w:val="22"/>
        </w:rPr>
        <w:t xml:space="preserve"> a ‘travel diary’ </w:t>
      </w:r>
      <w:r w:rsidR="00E248F2" w:rsidRPr="007A796B">
        <w:rPr>
          <w:rFonts w:ascii="Arial" w:hAnsi="Arial" w:cs="Arial"/>
          <w:sz w:val="22"/>
          <w:szCs w:val="22"/>
        </w:rPr>
        <w:t xml:space="preserve">(as defined in subsection 136(1) of the FBTAA) </w:t>
      </w:r>
      <w:r w:rsidRPr="007A796B">
        <w:rPr>
          <w:rFonts w:ascii="Arial" w:hAnsi="Arial" w:cs="Arial"/>
          <w:sz w:val="22"/>
          <w:szCs w:val="22"/>
        </w:rPr>
        <w:t>required under the following provisions:</w:t>
      </w:r>
    </w:p>
    <w:p w14:paraId="08A33D53" w14:textId="63445085" w:rsidR="00837E4D" w:rsidRPr="007A796B" w:rsidRDefault="00666734" w:rsidP="007A796B">
      <w:pPr>
        <w:numPr>
          <w:ilvl w:val="1"/>
          <w:numId w:val="3"/>
        </w:numPr>
        <w:tabs>
          <w:tab w:val="clear" w:pos="1440"/>
        </w:tabs>
        <w:spacing w:after="120"/>
        <w:ind w:left="1418" w:hanging="709"/>
        <w:rPr>
          <w:rFonts w:ascii="Arial" w:hAnsi="Arial" w:cs="Arial"/>
          <w:sz w:val="22"/>
          <w:szCs w:val="22"/>
        </w:rPr>
      </w:pPr>
      <w:r w:rsidRPr="007A796B">
        <w:rPr>
          <w:rFonts w:ascii="Arial" w:hAnsi="Arial" w:cs="Arial"/>
          <w:sz w:val="22"/>
          <w:szCs w:val="22"/>
        </w:rPr>
        <w:t>p</w:t>
      </w:r>
      <w:r w:rsidR="00837E4D" w:rsidRPr="007A796B">
        <w:rPr>
          <w:rFonts w:ascii="Arial" w:hAnsi="Arial" w:cs="Arial"/>
          <w:sz w:val="22"/>
          <w:szCs w:val="22"/>
        </w:rPr>
        <w:t xml:space="preserve">aragraph 24(1)(d) of </w:t>
      </w:r>
      <w:r w:rsidR="00CB461D" w:rsidRPr="007A796B">
        <w:rPr>
          <w:rFonts w:ascii="Arial" w:hAnsi="Arial" w:cs="Arial"/>
          <w:sz w:val="22"/>
          <w:szCs w:val="22"/>
        </w:rPr>
        <w:t xml:space="preserve">the </w:t>
      </w:r>
      <w:r w:rsidR="00837E4D" w:rsidRPr="007A796B">
        <w:rPr>
          <w:rFonts w:ascii="Arial" w:hAnsi="Arial" w:cs="Arial"/>
          <w:sz w:val="22"/>
          <w:szCs w:val="22"/>
        </w:rPr>
        <w:t>FBTAA for an expense payment fringe benefit that is an extended travel expense payment benefit (other than an international aircrew expense payment benefit)</w:t>
      </w:r>
      <w:r w:rsidRPr="007A796B">
        <w:rPr>
          <w:rFonts w:ascii="Arial" w:hAnsi="Arial" w:cs="Arial"/>
          <w:sz w:val="22"/>
          <w:szCs w:val="22"/>
        </w:rPr>
        <w:t>,</w:t>
      </w:r>
    </w:p>
    <w:p w14:paraId="79744894" w14:textId="65441258" w:rsidR="00837E4D" w:rsidRPr="007A796B" w:rsidRDefault="00666734" w:rsidP="007A796B">
      <w:pPr>
        <w:numPr>
          <w:ilvl w:val="1"/>
          <w:numId w:val="3"/>
        </w:numPr>
        <w:tabs>
          <w:tab w:val="clear" w:pos="1440"/>
        </w:tabs>
        <w:spacing w:after="120"/>
        <w:ind w:left="1418" w:hanging="709"/>
        <w:rPr>
          <w:rFonts w:ascii="Arial" w:hAnsi="Arial" w:cs="Arial"/>
          <w:sz w:val="22"/>
          <w:szCs w:val="22"/>
        </w:rPr>
      </w:pPr>
      <w:r w:rsidRPr="007A796B">
        <w:rPr>
          <w:rFonts w:ascii="Arial" w:hAnsi="Arial" w:cs="Arial"/>
          <w:sz w:val="22"/>
          <w:szCs w:val="22"/>
        </w:rPr>
        <w:t>p</w:t>
      </w:r>
      <w:r w:rsidR="00837E4D" w:rsidRPr="007A796B">
        <w:rPr>
          <w:rFonts w:ascii="Arial" w:hAnsi="Arial" w:cs="Arial"/>
          <w:sz w:val="22"/>
          <w:szCs w:val="22"/>
        </w:rPr>
        <w:t>aragraph 44(1)(d) of the FBTAA for a property fringe benefit that is an extended travel property benefit (other than an international aircrew property benefit)</w:t>
      </w:r>
      <w:r w:rsidRPr="007A796B">
        <w:rPr>
          <w:rFonts w:ascii="Arial" w:hAnsi="Arial" w:cs="Arial"/>
          <w:sz w:val="22"/>
          <w:szCs w:val="22"/>
        </w:rPr>
        <w:t>, and</w:t>
      </w:r>
    </w:p>
    <w:p w14:paraId="7D115524" w14:textId="7F80B3CC" w:rsidR="00837E4D" w:rsidRPr="007A796B" w:rsidRDefault="00666734" w:rsidP="007A796B">
      <w:pPr>
        <w:numPr>
          <w:ilvl w:val="1"/>
          <w:numId w:val="3"/>
        </w:numPr>
        <w:tabs>
          <w:tab w:val="clear" w:pos="1440"/>
        </w:tabs>
        <w:spacing w:after="120"/>
        <w:ind w:left="1418" w:hanging="709"/>
        <w:rPr>
          <w:rFonts w:ascii="Arial" w:hAnsi="Arial" w:cs="Arial"/>
          <w:sz w:val="22"/>
          <w:szCs w:val="22"/>
        </w:rPr>
      </w:pPr>
      <w:r w:rsidRPr="007A796B">
        <w:rPr>
          <w:rFonts w:ascii="Arial" w:hAnsi="Arial" w:cs="Arial"/>
          <w:sz w:val="22"/>
          <w:szCs w:val="22"/>
        </w:rPr>
        <w:t>p</w:t>
      </w:r>
      <w:r w:rsidR="00837E4D" w:rsidRPr="007A796B">
        <w:rPr>
          <w:rFonts w:ascii="Arial" w:hAnsi="Arial" w:cs="Arial"/>
          <w:sz w:val="22"/>
          <w:szCs w:val="22"/>
        </w:rPr>
        <w:t>aragraph 52(1)(d) of the FBTAA for a fringe benefit that is an extended travel residual benefit (other than an international aircrew residual benefit).</w:t>
      </w:r>
    </w:p>
    <w:p w14:paraId="1CFC3E31" w14:textId="77777777" w:rsidR="00837E4D" w:rsidRPr="007A796B" w:rsidRDefault="00837E4D" w:rsidP="007A796B">
      <w:pPr>
        <w:numPr>
          <w:ilvl w:val="0"/>
          <w:numId w:val="1"/>
        </w:numPr>
        <w:tabs>
          <w:tab w:val="clear" w:pos="360"/>
        </w:tabs>
        <w:spacing w:after="120"/>
        <w:ind w:left="0" w:firstLine="0"/>
        <w:rPr>
          <w:rFonts w:ascii="Arial" w:hAnsi="Arial" w:cs="Arial"/>
          <w:sz w:val="22"/>
          <w:szCs w:val="22"/>
        </w:rPr>
      </w:pPr>
      <w:r w:rsidRPr="007A796B">
        <w:rPr>
          <w:rFonts w:ascii="Arial" w:hAnsi="Arial" w:cs="Arial"/>
          <w:sz w:val="22"/>
          <w:szCs w:val="22"/>
        </w:rPr>
        <w:t xml:space="preserve">The instrument is a legislative instrument for the purposes of the </w:t>
      </w:r>
      <w:r w:rsidRPr="007A796B">
        <w:rPr>
          <w:rFonts w:ascii="Arial" w:hAnsi="Arial" w:cs="Arial"/>
          <w:i/>
          <w:sz w:val="22"/>
          <w:szCs w:val="22"/>
        </w:rPr>
        <w:t>Legislation Act 2003</w:t>
      </w:r>
      <w:r w:rsidRPr="007A796B">
        <w:rPr>
          <w:rFonts w:ascii="Arial" w:hAnsi="Arial" w:cs="Arial"/>
          <w:sz w:val="22"/>
          <w:szCs w:val="22"/>
        </w:rPr>
        <w:t>.</w:t>
      </w:r>
    </w:p>
    <w:p w14:paraId="15AC1B62" w14:textId="77777777" w:rsidR="006302F7" w:rsidRPr="007A796B" w:rsidRDefault="006302F7" w:rsidP="007A796B">
      <w:pPr>
        <w:autoSpaceDE w:val="0"/>
        <w:autoSpaceDN w:val="0"/>
        <w:adjustRightInd w:val="0"/>
        <w:spacing w:after="120"/>
        <w:rPr>
          <w:rFonts w:ascii="Arial" w:hAnsi="Arial" w:cs="Arial"/>
          <w:color w:val="000000"/>
          <w:sz w:val="22"/>
          <w:szCs w:val="22"/>
        </w:rPr>
      </w:pPr>
    </w:p>
    <w:p w14:paraId="15AC1B63" w14:textId="77777777" w:rsidR="001D02E6" w:rsidRPr="007A796B" w:rsidRDefault="001D02E6" w:rsidP="007A796B">
      <w:pPr>
        <w:pStyle w:val="Heading2"/>
      </w:pPr>
      <w:r w:rsidRPr="007A796B">
        <w:t>Date of effect</w:t>
      </w:r>
    </w:p>
    <w:p w14:paraId="1301EF55" w14:textId="77777777" w:rsidR="007A796B" w:rsidRPr="007A796B" w:rsidRDefault="002D15B2" w:rsidP="007A796B">
      <w:pPr>
        <w:pStyle w:val="ListParagraph"/>
        <w:numPr>
          <w:ilvl w:val="0"/>
          <w:numId w:val="1"/>
        </w:numPr>
        <w:tabs>
          <w:tab w:val="clear" w:pos="360"/>
        </w:tabs>
        <w:spacing w:after="120" w:line="240" w:lineRule="auto"/>
        <w:ind w:left="0" w:firstLine="0"/>
        <w:rPr>
          <w:rFonts w:ascii="Arial" w:hAnsi="Arial" w:cs="Arial"/>
          <w:bCs/>
        </w:rPr>
      </w:pPr>
      <w:r w:rsidRPr="007A796B">
        <w:rPr>
          <w:rFonts w:ascii="Arial" w:hAnsi="Arial" w:cs="Arial"/>
          <w:bCs/>
        </w:rPr>
        <w:t>This instrument commences on 1 April 2024.</w:t>
      </w:r>
    </w:p>
    <w:p w14:paraId="04DCBA4D" w14:textId="64184AFE" w:rsidR="00E248F2" w:rsidRPr="007A796B" w:rsidRDefault="00E248F2" w:rsidP="007A796B">
      <w:pPr>
        <w:autoSpaceDE w:val="0"/>
        <w:autoSpaceDN w:val="0"/>
        <w:adjustRightInd w:val="0"/>
        <w:spacing w:after="120"/>
        <w:rPr>
          <w:rFonts w:ascii="Arial" w:hAnsi="Arial" w:cs="Arial"/>
          <w:color w:val="000000"/>
          <w:sz w:val="22"/>
          <w:szCs w:val="22"/>
        </w:rPr>
      </w:pPr>
    </w:p>
    <w:p w14:paraId="15AC1B6C" w14:textId="54DEDD4D" w:rsidR="00486653" w:rsidRPr="007A796B" w:rsidRDefault="003B547B" w:rsidP="007A796B">
      <w:pPr>
        <w:pStyle w:val="Heading2"/>
      </w:pPr>
      <w:r w:rsidRPr="007A796B">
        <w:t>E</w:t>
      </w:r>
      <w:r w:rsidR="00486653" w:rsidRPr="007A796B">
        <w:t>ffect of this instrument</w:t>
      </w:r>
    </w:p>
    <w:p w14:paraId="55B97079" w14:textId="39EE1A32" w:rsidR="00A94ACF" w:rsidRPr="007A796B" w:rsidRDefault="00A94ACF" w:rsidP="007A796B">
      <w:pPr>
        <w:numPr>
          <w:ilvl w:val="0"/>
          <w:numId w:val="1"/>
        </w:numPr>
        <w:tabs>
          <w:tab w:val="clear" w:pos="360"/>
        </w:tabs>
        <w:spacing w:after="120"/>
        <w:ind w:left="0" w:firstLine="0"/>
        <w:rPr>
          <w:rFonts w:ascii="Arial" w:hAnsi="Arial" w:cs="Arial"/>
          <w:bCs/>
          <w:sz w:val="22"/>
          <w:szCs w:val="22"/>
        </w:rPr>
      </w:pPr>
      <w:r w:rsidRPr="007A796B">
        <w:rPr>
          <w:rFonts w:ascii="Arial" w:hAnsi="Arial" w:cs="Arial"/>
          <w:bCs/>
          <w:sz w:val="22"/>
          <w:szCs w:val="22"/>
        </w:rPr>
        <w:t xml:space="preserve">This instrument </w:t>
      </w:r>
      <w:r w:rsidR="00E515EC" w:rsidRPr="007A796B">
        <w:rPr>
          <w:rFonts w:ascii="Arial" w:hAnsi="Arial" w:cs="Arial"/>
          <w:bCs/>
          <w:sz w:val="22"/>
          <w:szCs w:val="22"/>
        </w:rPr>
        <w:t xml:space="preserve">may </w:t>
      </w:r>
      <w:r w:rsidRPr="007A796B">
        <w:rPr>
          <w:rFonts w:ascii="Arial" w:hAnsi="Arial" w:cs="Arial"/>
          <w:bCs/>
          <w:sz w:val="22"/>
          <w:szCs w:val="22"/>
        </w:rPr>
        <w:t>reduce compliance costs for employers by allowing them to rely on adequate alternative records (rather travel diaries) to meet their FBT record keeping obligations.</w:t>
      </w:r>
    </w:p>
    <w:p w14:paraId="65D8A141" w14:textId="77777777" w:rsidR="007A796B" w:rsidRPr="007A796B" w:rsidRDefault="00A94ACF" w:rsidP="007A796B">
      <w:pPr>
        <w:numPr>
          <w:ilvl w:val="0"/>
          <w:numId w:val="1"/>
        </w:numPr>
        <w:tabs>
          <w:tab w:val="clear" w:pos="360"/>
        </w:tabs>
        <w:spacing w:after="120"/>
        <w:ind w:left="0" w:firstLine="0"/>
        <w:rPr>
          <w:rFonts w:ascii="Arial" w:hAnsi="Arial" w:cs="Arial"/>
          <w:bCs/>
          <w:sz w:val="22"/>
          <w:szCs w:val="22"/>
        </w:rPr>
      </w:pPr>
      <w:r w:rsidRPr="007A796B">
        <w:rPr>
          <w:rFonts w:ascii="Arial" w:hAnsi="Arial" w:cs="Arial"/>
          <w:bCs/>
          <w:sz w:val="22"/>
          <w:szCs w:val="22"/>
        </w:rPr>
        <w:t>Section 123AA of the FBTAA allows the Commissioner to make a legislative instrument that specifies alternative records that employers can rely on, in lieu of statutory evidentiary documents, for FBT record keeping purposes.</w:t>
      </w:r>
    </w:p>
    <w:p w14:paraId="535704CD" w14:textId="77777777" w:rsidR="007A796B" w:rsidRPr="007A796B" w:rsidRDefault="0001161C" w:rsidP="007A796B">
      <w:pPr>
        <w:numPr>
          <w:ilvl w:val="0"/>
          <w:numId w:val="1"/>
        </w:numPr>
        <w:tabs>
          <w:tab w:val="clear" w:pos="360"/>
        </w:tabs>
        <w:spacing w:after="120"/>
        <w:ind w:left="0" w:firstLine="0"/>
        <w:rPr>
          <w:rFonts w:ascii="Arial" w:hAnsi="Arial" w:cs="Arial"/>
          <w:bCs/>
          <w:sz w:val="22"/>
          <w:szCs w:val="22"/>
        </w:rPr>
      </w:pPr>
      <w:r w:rsidRPr="007A796B">
        <w:rPr>
          <w:rFonts w:ascii="Arial" w:hAnsi="Arial" w:cs="Arial"/>
          <w:bCs/>
          <w:sz w:val="22"/>
          <w:szCs w:val="22"/>
        </w:rPr>
        <w:t>The instrument applies for the FBT year ending 31 March 202</w:t>
      </w:r>
      <w:r w:rsidR="00EE7FB7" w:rsidRPr="007A796B">
        <w:rPr>
          <w:rFonts w:ascii="Arial" w:hAnsi="Arial" w:cs="Arial"/>
          <w:bCs/>
          <w:sz w:val="22"/>
          <w:szCs w:val="22"/>
        </w:rPr>
        <w:t>5</w:t>
      </w:r>
      <w:r w:rsidRPr="007A796B">
        <w:rPr>
          <w:rFonts w:ascii="Arial" w:hAnsi="Arial" w:cs="Arial"/>
          <w:bCs/>
          <w:sz w:val="22"/>
          <w:szCs w:val="22"/>
        </w:rPr>
        <w:t>, and all subsequent FBT years</w:t>
      </w:r>
      <w:r w:rsidR="00CB461D" w:rsidRPr="007A796B">
        <w:rPr>
          <w:rFonts w:ascii="Arial" w:hAnsi="Arial" w:cs="Arial"/>
          <w:bCs/>
          <w:sz w:val="22"/>
          <w:szCs w:val="22"/>
        </w:rPr>
        <w:t> </w:t>
      </w:r>
      <w:r w:rsidRPr="007A796B">
        <w:rPr>
          <w:rFonts w:ascii="Arial" w:hAnsi="Arial" w:cs="Arial"/>
          <w:bCs/>
          <w:sz w:val="22"/>
          <w:szCs w:val="22"/>
        </w:rPr>
        <w:t>(paragraph 5(1)(a)). It allows an employer to which the instrument applies to accept adequate alternative records instead of a travel diary referred to in paragraphs 24(1)(d), 44(1)(d) and 52(1)(d) of the FBTAA.</w:t>
      </w:r>
    </w:p>
    <w:p w14:paraId="05051B1A" w14:textId="42AF1F78" w:rsidR="0001161C" w:rsidRPr="007A796B" w:rsidRDefault="0001161C" w:rsidP="007A796B">
      <w:pPr>
        <w:numPr>
          <w:ilvl w:val="0"/>
          <w:numId w:val="1"/>
        </w:numPr>
        <w:tabs>
          <w:tab w:val="clear" w:pos="360"/>
        </w:tabs>
        <w:spacing w:after="120"/>
        <w:ind w:left="0" w:firstLine="0"/>
        <w:rPr>
          <w:rFonts w:ascii="Arial" w:hAnsi="Arial" w:cs="Arial"/>
          <w:bCs/>
          <w:sz w:val="22"/>
          <w:szCs w:val="22"/>
        </w:rPr>
      </w:pPr>
      <w:r w:rsidRPr="007A796B">
        <w:rPr>
          <w:rFonts w:ascii="Arial" w:hAnsi="Arial" w:cs="Arial"/>
          <w:bCs/>
          <w:sz w:val="22"/>
          <w:szCs w:val="22"/>
        </w:rPr>
        <w:t>Section 6 sets out what records are adequate alternative records that can be accepted instead of a relevant employee declaration. It stipulates that the alternative records must be written in English and contain, at a minimum, the following information:</w:t>
      </w:r>
    </w:p>
    <w:p w14:paraId="1940F497" w14:textId="4C88638E" w:rsidR="005972B8" w:rsidRPr="007A796B" w:rsidRDefault="00EE7FB7" w:rsidP="007A796B">
      <w:pPr>
        <w:numPr>
          <w:ilvl w:val="1"/>
          <w:numId w:val="8"/>
        </w:numPr>
        <w:spacing w:after="120"/>
        <w:ind w:left="1418" w:hanging="709"/>
        <w:rPr>
          <w:rFonts w:ascii="Arial" w:hAnsi="Arial" w:cs="Arial"/>
          <w:sz w:val="22"/>
          <w:szCs w:val="22"/>
        </w:rPr>
      </w:pPr>
      <w:r w:rsidRPr="007A796B">
        <w:rPr>
          <w:rFonts w:ascii="Arial" w:hAnsi="Arial" w:cs="Arial"/>
          <w:sz w:val="22"/>
          <w:szCs w:val="22"/>
        </w:rPr>
        <w:t>t</w:t>
      </w:r>
      <w:r w:rsidR="005972B8" w:rsidRPr="007A796B">
        <w:rPr>
          <w:rFonts w:ascii="Arial" w:hAnsi="Arial" w:cs="Arial"/>
          <w:sz w:val="22"/>
          <w:szCs w:val="22"/>
        </w:rPr>
        <w:t xml:space="preserve">he name of the employee </w:t>
      </w:r>
      <w:r w:rsidR="00CB461D" w:rsidRPr="007A796B">
        <w:rPr>
          <w:rFonts w:ascii="Arial" w:hAnsi="Arial" w:cs="Arial"/>
          <w:sz w:val="22"/>
          <w:szCs w:val="22"/>
        </w:rPr>
        <w:t xml:space="preserve">who </w:t>
      </w:r>
      <w:r w:rsidR="005972B8" w:rsidRPr="007A796B">
        <w:rPr>
          <w:rFonts w:ascii="Arial" w:hAnsi="Arial" w:cs="Arial"/>
          <w:sz w:val="22"/>
          <w:szCs w:val="22"/>
        </w:rPr>
        <w:t>recei</w:t>
      </w:r>
      <w:r w:rsidR="00CB461D" w:rsidRPr="007A796B">
        <w:rPr>
          <w:rFonts w:ascii="Arial" w:hAnsi="Arial" w:cs="Arial"/>
          <w:sz w:val="22"/>
          <w:szCs w:val="22"/>
        </w:rPr>
        <w:t>ved</w:t>
      </w:r>
      <w:r w:rsidR="005972B8" w:rsidRPr="007A796B">
        <w:rPr>
          <w:rFonts w:ascii="Arial" w:hAnsi="Arial" w:cs="Arial"/>
          <w:sz w:val="22"/>
          <w:szCs w:val="22"/>
        </w:rPr>
        <w:t xml:space="preserve"> the benefit</w:t>
      </w:r>
      <w:r w:rsidR="00055046" w:rsidRPr="007A796B">
        <w:rPr>
          <w:rFonts w:ascii="Arial" w:hAnsi="Arial" w:cs="Arial"/>
          <w:sz w:val="22"/>
          <w:szCs w:val="22"/>
        </w:rPr>
        <w:t>,</w:t>
      </w:r>
    </w:p>
    <w:p w14:paraId="6BF3FDCC" w14:textId="2760102F" w:rsidR="005972B8" w:rsidRPr="007A796B" w:rsidRDefault="00EE7FB7" w:rsidP="007A796B">
      <w:pPr>
        <w:numPr>
          <w:ilvl w:val="1"/>
          <w:numId w:val="8"/>
        </w:numPr>
        <w:spacing w:after="120"/>
        <w:ind w:left="1418" w:hanging="709"/>
        <w:rPr>
          <w:rFonts w:ascii="Arial" w:hAnsi="Arial" w:cs="Arial"/>
          <w:sz w:val="22"/>
          <w:szCs w:val="22"/>
        </w:rPr>
      </w:pPr>
      <w:r w:rsidRPr="007A796B">
        <w:rPr>
          <w:rFonts w:ascii="Arial" w:hAnsi="Arial" w:cs="Arial"/>
          <w:sz w:val="22"/>
          <w:szCs w:val="22"/>
        </w:rPr>
        <w:t>t</w:t>
      </w:r>
      <w:r w:rsidR="005972B8" w:rsidRPr="007A796B">
        <w:rPr>
          <w:rFonts w:ascii="Arial" w:hAnsi="Arial" w:cs="Arial"/>
          <w:sz w:val="22"/>
          <w:szCs w:val="22"/>
        </w:rPr>
        <w:t>he duration of the travel</w:t>
      </w:r>
      <w:r w:rsidRPr="007A796B">
        <w:rPr>
          <w:rFonts w:ascii="Arial" w:hAnsi="Arial" w:cs="Arial"/>
          <w:sz w:val="22"/>
          <w:szCs w:val="22"/>
        </w:rPr>
        <w:t>, and</w:t>
      </w:r>
    </w:p>
    <w:p w14:paraId="0A5C7D1D" w14:textId="2B59AD7F" w:rsidR="005972B8" w:rsidRPr="007A796B" w:rsidRDefault="00EE7FB7" w:rsidP="007A796B">
      <w:pPr>
        <w:numPr>
          <w:ilvl w:val="1"/>
          <w:numId w:val="8"/>
        </w:numPr>
        <w:spacing w:after="120"/>
        <w:ind w:left="1418" w:hanging="709"/>
        <w:rPr>
          <w:rFonts w:ascii="Arial" w:hAnsi="Arial" w:cs="Arial"/>
          <w:sz w:val="22"/>
          <w:szCs w:val="22"/>
        </w:rPr>
      </w:pPr>
      <w:r w:rsidRPr="007A796B">
        <w:rPr>
          <w:rFonts w:ascii="Arial" w:hAnsi="Arial" w:cs="Arial"/>
          <w:sz w:val="22"/>
          <w:szCs w:val="22"/>
        </w:rPr>
        <w:t>f</w:t>
      </w:r>
      <w:r w:rsidR="005972B8" w:rsidRPr="007A796B">
        <w:rPr>
          <w:rFonts w:ascii="Arial" w:hAnsi="Arial" w:cs="Arial"/>
          <w:sz w:val="22"/>
          <w:szCs w:val="22"/>
        </w:rPr>
        <w:t>or each activity undertaken by the employee in the course of producing their assessable income while undertaking the travel, the:</w:t>
      </w:r>
    </w:p>
    <w:p w14:paraId="19387AB5" w14:textId="77777777" w:rsidR="005972B8" w:rsidRPr="007A796B" w:rsidRDefault="005972B8" w:rsidP="007A796B">
      <w:pPr>
        <w:numPr>
          <w:ilvl w:val="2"/>
          <w:numId w:val="9"/>
        </w:numPr>
        <w:spacing w:after="120"/>
        <w:ind w:left="2127" w:hanging="709"/>
        <w:rPr>
          <w:rFonts w:ascii="Arial" w:hAnsi="Arial" w:cs="Arial"/>
          <w:sz w:val="22"/>
          <w:szCs w:val="22"/>
        </w:rPr>
      </w:pPr>
      <w:r w:rsidRPr="007A796B">
        <w:rPr>
          <w:rFonts w:ascii="Arial" w:hAnsi="Arial" w:cs="Arial"/>
          <w:sz w:val="22"/>
          <w:szCs w:val="22"/>
        </w:rPr>
        <w:lastRenderedPageBreak/>
        <w:t>place where the activity was undertaken</w:t>
      </w:r>
    </w:p>
    <w:p w14:paraId="26C83BEF" w14:textId="77777777" w:rsidR="005972B8" w:rsidRPr="007A796B" w:rsidRDefault="005972B8" w:rsidP="007A796B">
      <w:pPr>
        <w:numPr>
          <w:ilvl w:val="2"/>
          <w:numId w:val="9"/>
        </w:numPr>
        <w:spacing w:after="120"/>
        <w:ind w:left="2127" w:hanging="709"/>
        <w:rPr>
          <w:rFonts w:ascii="Arial" w:hAnsi="Arial" w:cs="Arial"/>
          <w:sz w:val="22"/>
          <w:szCs w:val="22"/>
        </w:rPr>
      </w:pPr>
      <w:r w:rsidRPr="007A796B">
        <w:rPr>
          <w:rFonts w:ascii="Arial" w:hAnsi="Arial" w:cs="Arial"/>
          <w:sz w:val="22"/>
          <w:szCs w:val="22"/>
        </w:rPr>
        <w:t>date and approximate time the activity commenced</w:t>
      </w:r>
    </w:p>
    <w:p w14:paraId="6AB012EB" w14:textId="77777777" w:rsidR="005972B8" w:rsidRPr="007A796B" w:rsidRDefault="005972B8" w:rsidP="007A796B">
      <w:pPr>
        <w:numPr>
          <w:ilvl w:val="2"/>
          <w:numId w:val="9"/>
        </w:numPr>
        <w:spacing w:after="120"/>
        <w:ind w:left="2127" w:hanging="709"/>
        <w:rPr>
          <w:rFonts w:ascii="Arial" w:hAnsi="Arial" w:cs="Arial"/>
          <w:sz w:val="22"/>
          <w:szCs w:val="22"/>
        </w:rPr>
      </w:pPr>
      <w:r w:rsidRPr="007A796B">
        <w:rPr>
          <w:rFonts w:ascii="Arial" w:hAnsi="Arial" w:cs="Arial"/>
          <w:sz w:val="22"/>
          <w:szCs w:val="22"/>
        </w:rPr>
        <w:t>duration of the activity, and</w:t>
      </w:r>
    </w:p>
    <w:p w14:paraId="7FD2AC11" w14:textId="77777777" w:rsidR="005972B8" w:rsidRPr="007A796B" w:rsidRDefault="005972B8" w:rsidP="007A796B">
      <w:pPr>
        <w:numPr>
          <w:ilvl w:val="2"/>
          <w:numId w:val="9"/>
        </w:numPr>
        <w:spacing w:after="120"/>
        <w:ind w:left="2127" w:hanging="709"/>
        <w:rPr>
          <w:rFonts w:ascii="Arial" w:hAnsi="Arial" w:cs="Arial"/>
          <w:sz w:val="22"/>
          <w:szCs w:val="22"/>
        </w:rPr>
      </w:pPr>
      <w:r w:rsidRPr="007A796B">
        <w:rPr>
          <w:rFonts w:ascii="Arial" w:hAnsi="Arial" w:cs="Arial"/>
          <w:sz w:val="22"/>
          <w:szCs w:val="22"/>
        </w:rPr>
        <w:t>nature of the activity.</w:t>
      </w:r>
    </w:p>
    <w:p w14:paraId="501FFB31" w14:textId="77777777" w:rsidR="005972B8" w:rsidRPr="007A796B" w:rsidRDefault="005972B8" w:rsidP="007A796B">
      <w:pPr>
        <w:numPr>
          <w:ilvl w:val="0"/>
          <w:numId w:val="1"/>
        </w:numPr>
        <w:tabs>
          <w:tab w:val="clear" w:pos="360"/>
        </w:tabs>
        <w:spacing w:after="120"/>
        <w:ind w:left="0" w:firstLine="0"/>
        <w:rPr>
          <w:rFonts w:ascii="Arial" w:hAnsi="Arial" w:cs="Arial"/>
          <w:bCs/>
          <w:sz w:val="22"/>
          <w:szCs w:val="22"/>
        </w:rPr>
      </w:pPr>
      <w:r w:rsidRPr="007A796B">
        <w:rPr>
          <w:rFonts w:ascii="Arial" w:hAnsi="Arial" w:cs="Arial"/>
          <w:bCs/>
          <w:sz w:val="22"/>
          <w:szCs w:val="22"/>
        </w:rPr>
        <w:t xml:space="preserve">The </w:t>
      </w:r>
      <w:r w:rsidRPr="007A796B">
        <w:rPr>
          <w:rFonts w:ascii="Arial" w:hAnsi="Arial" w:cs="Arial"/>
          <w:sz w:val="22"/>
          <w:szCs w:val="22"/>
        </w:rPr>
        <w:t>detail</w:t>
      </w:r>
      <w:r w:rsidRPr="007A796B">
        <w:rPr>
          <w:rFonts w:ascii="Arial" w:hAnsi="Arial" w:cs="Arial"/>
          <w:bCs/>
          <w:sz w:val="22"/>
          <w:szCs w:val="22"/>
        </w:rPr>
        <w:t xml:space="preserve"> of each activity the employee undertakes in the course of producing their assessable income must be recorded before, at the time of, or as soon as reasonably practicable after the relevant activity took place. A record will not meet the prescribed requirements of this legislative instrument if it attempts to reconstruct an account of the employee’s activities at a significantly later date (such as, at the time the employer is lodging its FBT return for the year).</w:t>
      </w:r>
    </w:p>
    <w:p w14:paraId="56E3544C" w14:textId="012F676E" w:rsidR="009D2A3B" w:rsidRPr="007A796B" w:rsidRDefault="005972B8" w:rsidP="007A796B">
      <w:pPr>
        <w:numPr>
          <w:ilvl w:val="0"/>
          <w:numId w:val="1"/>
        </w:numPr>
        <w:tabs>
          <w:tab w:val="clear" w:pos="360"/>
        </w:tabs>
        <w:spacing w:after="120"/>
        <w:ind w:left="0" w:firstLine="0"/>
        <w:rPr>
          <w:rFonts w:ascii="Arial" w:hAnsi="Arial" w:cs="Arial"/>
          <w:sz w:val="22"/>
          <w:szCs w:val="22"/>
        </w:rPr>
      </w:pPr>
      <w:r w:rsidRPr="007A796B">
        <w:rPr>
          <w:rFonts w:ascii="Arial" w:hAnsi="Arial" w:cs="Arial"/>
          <w:bCs/>
          <w:sz w:val="22"/>
          <w:szCs w:val="22"/>
        </w:rPr>
        <w:t xml:space="preserve">There is no limit on the number of records that may, in aggregate, meet the minimum information requirements. Further, there is no prescribed type or form of record that the required information must be contained in. If multiple different records collectively contain the minimum information when viewed together, the records will be accepted in aggregate as satisfying the requirements. For example, records </w:t>
      </w:r>
      <w:r w:rsidR="009D2A3B" w:rsidRPr="007A796B">
        <w:rPr>
          <w:rFonts w:ascii="Arial" w:hAnsi="Arial" w:cs="Arial"/>
          <w:bCs/>
          <w:sz w:val="22"/>
          <w:szCs w:val="22"/>
        </w:rPr>
        <w:t>can be stored electronically or in paper form</w:t>
      </w:r>
      <w:r w:rsidR="00CB461D" w:rsidRPr="007A796B">
        <w:rPr>
          <w:rFonts w:ascii="Arial" w:hAnsi="Arial" w:cs="Arial"/>
          <w:bCs/>
          <w:sz w:val="22"/>
          <w:szCs w:val="22"/>
        </w:rPr>
        <w:t>, and the required information could be contained in various types of documents</w:t>
      </w:r>
      <w:r w:rsidR="009D2A3B" w:rsidRPr="007A796B">
        <w:rPr>
          <w:rFonts w:ascii="Arial" w:hAnsi="Arial" w:cs="Arial"/>
          <w:bCs/>
          <w:sz w:val="22"/>
          <w:szCs w:val="22"/>
        </w:rPr>
        <w:t xml:space="preserve"> </w:t>
      </w:r>
      <w:r w:rsidR="00CB461D" w:rsidRPr="007A796B">
        <w:rPr>
          <w:rFonts w:ascii="Arial" w:hAnsi="Arial" w:cs="Arial"/>
          <w:bCs/>
          <w:sz w:val="22"/>
          <w:szCs w:val="22"/>
        </w:rPr>
        <w:t>such as employment</w:t>
      </w:r>
      <w:r w:rsidR="009D2A3B" w:rsidRPr="007A796B">
        <w:rPr>
          <w:rFonts w:ascii="Arial" w:hAnsi="Arial" w:cs="Arial"/>
          <w:bCs/>
          <w:sz w:val="22"/>
          <w:szCs w:val="22"/>
        </w:rPr>
        <w:t xml:space="preserve"> contracts, payroll records, job descriptions, employer and employee correspondence (for example email</w:t>
      </w:r>
      <w:r w:rsidR="00CB461D" w:rsidRPr="007A796B">
        <w:rPr>
          <w:rFonts w:ascii="Arial" w:hAnsi="Arial" w:cs="Arial"/>
          <w:bCs/>
          <w:sz w:val="22"/>
          <w:szCs w:val="22"/>
        </w:rPr>
        <w:t>s</w:t>
      </w:r>
      <w:r w:rsidR="009D2A3B" w:rsidRPr="007A796B">
        <w:rPr>
          <w:rFonts w:ascii="Arial" w:hAnsi="Arial" w:cs="Arial"/>
          <w:bCs/>
          <w:sz w:val="22"/>
          <w:szCs w:val="22"/>
        </w:rPr>
        <w:t xml:space="preserve"> or text message</w:t>
      </w:r>
      <w:r w:rsidR="00CB461D" w:rsidRPr="007A796B">
        <w:rPr>
          <w:rFonts w:ascii="Arial" w:hAnsi="Arial" w:cs="Arial"/>
          <w:bCs/>
          <w:sz w:val="22"/>
          <w:szCs w:val="22"/>
        </w:rPr>
        <w:t>s</w:t>
      </w:r>
      <w:r w:rsidR="009D2A3B" w:rsidRPr="007A796B">
        <w:rPr>
          <w:rFonts w:ascii="Arial" w:hAnsi="Arial" w:cs="Arial"/>
          <w:bCs/>
          <w:sz w:val="22"/>
          <w:szCs w:val="22"/>
        </w:rPr>
        <w:t>), logbooks, employer policies</w:t>
      </w:r>
      <w:r w:rsidR="000343A6" w:rsidRPr="007A796B">
        <w:rPr>
          <w:rFonts w:ascii="Arial" w:hAnsi="Arial" w:cs="Arial"/>
          <w:bCs/>
          <w:sz w:val="22"/>
          <w:szCs w:val="22"/>
        </w:rPr>
        <w:t>, hotel receipts, employee itiner</w:t>
      </w:r>
      <w:r w:rsidR="00EB3D0D" w:rsidRPr="007A796B">
        <w:rPr>
          <w:rFonts w:ascii="Arial" w:hAnsi="Arial" w:cs="Arial"/>
          <w:bCs/>
          <w:sz w:val="22"/>
          <w:szCs w:val="22"/>
        </w:rPr>
        <w:t>ar</w:t>
      </w:r>
      <w:r w:rsidR="000343A6" w:rsidRPr="007A796B">
        <w:rPr>
          <w:rFonts w:ascii="Arial" w:hAnsi="Arial" w:cs="Arial"/>
          <w:bCs/>
          <w:sz w:val="22"/>
          <w:szCs w:val="22"/>
        </w:rPr>
        <w:t>ies, conference programs</w:t>
      </w:r>
      <w:r w:rsidR="00156427" w:rsidRPr="007A796B">
        <w:rPr>
          <w:rFonts w:ascii="Arial" w:hAnsi="Arial" w:cs="Arial"/>
          <w:bCs/>
          <w:sz w:val="22"/>
          <w:szCs w:val="22"/>
        </w:rPr>
        <w:t xml:space="preserve"> and</w:t>
      </w:r>
      <w:r w:rsidR="009D2A3B" w:rsidRPr="007A796B">
        <w:rPr>
          <w:rFonts w:ascii="Arial" w:hAnsi="Arial" w:cs="Arial"/>
          <w:bCs/>
          <w:sz w:val="22"/>
          <w:szCs w:val="22"/>
        </w:rPr>
        <w:t xml:space="preserve"> calculations of private travel.</w:t>
      </w:r>
    </w:p>
    <w:p w14:paraId="5DDCC11D" w14:textId="1E48D965" w:rsidR="009D2A3B" w:rsidRPr="007A796B" w:rsidRDefault="009D2A3B" w:rsidP="007A796B">
      <w:pPr>
        <w:numPr>
          <w:ilvl w:val="0"/>
          <w:numId w:val="1"/>
        </w:numPr>
        <w:tabs>
          <w:tab w:val="clear" w:pos="360"/>
        </w:tabs>
        <w:spacing w:after="120"/>
        <w:ind w:left="0" w:firstLine="0"/>
        <w:rPr>
          <w:rFonts w:ascii="Arial" w:hAnsi="Arial" w:cs="Arial"/>
          <w:sz w:val="22"/>
          <w:szCs w:val="22"/>
        </w:rPr>
      </w:pPr>
      <w:r w:rsidRPr="007A796B">
        <w:rPr>
          <w:rFonts w:ascii="Arial" w:hAnsi="Arial" w:cs="Arial"/>
          <w:sz w:val="22"/>
          <w:szCs w:val="22"/>
        </w:rPr>
        <w:t>Records can only be accepted as an alternative to the declaration if they are obtained and held by the employer by the employer’s declaration date</w:t>
      </w:r>
      <w:r w:rsidR="00CB461D" w:rsidRPr="007A796B">
        <w:rPr>
          <w:rFonts w:ascii="Arial" w:hAnsi="Arial" w:cs="Arial"/>
          <w:sz w:val="22"/>
          <w:szCs w:val="22"/>
        </w:rPr>
        <w:t>. T</w:t>
      </w:r>
      <w:r w:rsidRPr="007A796B">
        <w:rPr>
          <w:rFonts w:ascii="Arial" w:hAnsi="Arial" w:cs="Arial"/>
          <w:sz w:val="22"/>
          <w:szCs w:val="22"/>
        </w:rPr>
        <w:t xml:space="preserve">his is the date </w:t>
      </w:r>
      <w:r w:rsidR="00CB461D" w:rsidRPr="007A796B">
        <w:rPr>
          <w:rFonts w:ascii="Arial" w:hAnsi="Arial" w:cs="Arial"/>
          <w:sz w:val="22"/>
          <w:szCs w:val="22"/>
        </w:rPr>
        <w:t>o</w:t>
      </w:r>
      <w:r w:rsidRPr="007A796B">
        <w:rPr>
          <w:rFonts w:ascii="Arial" w:hAnsi="Arial" w:cs="Arial"/>
          <w:sz w:val="22"/>
          <w:szCs w:val="22"/>
        </w:rPr>
        <w:t>f lodgment of their FBT return for the relevant year</w:t>
      </w:r>
      <w:r w:rsidR="00CB461D" w:rsidRPr="007A796B">
        <w:rPr>
          <w:rFonts w:ascii="Arial" w:hAnsi="Arial" w:cs="Arial"/>
          <w:sz w:val="22"/>
          <w:szCs w:val="22"/>
        </w:rPr>
        <w:t>, or such later date as the Commissioner allows</w:t>
      </w:r>
      <w:r w:rsidRPr="007A796B">
        <w:rPr>
          <w:rFonts w:ascii="Arial" w:hAnsi="Arial" w:cs="Arial"/>
          <w:sz w:val="22"/>
          <w:szCs w:val="22"/>
        </w:rPr>
        <w:t>. This is because section</w:t>
      </w:r>
      <w:r w:rsidR="00CB461D" w:rsidRPr="007A796B">
        <w:rPr>
          <w:rFonts w:ascii="Arial" w:hAnsi="Arial" w:cs="Arial"/>
          <w:sz w:val="22"/>
          <w:szCs w:val="22"/>
        </w:rPr>
        <w:t> </w:t>
      </w:r>
      <w:r w:rsidRPr="007A796B">
        <w:rPr>
          <w:rFonts w:ascii="Arial" w:hAnsi="Arial" w:cs="Arial"/>
          <w:sz w:val="22"/>
          <w:szCs w:val="22"/>
        </w:rPr>
        <w:t>123AA of the FBTAA deems the employee to have the travel diary at the time that they hold the records, and the underlying travel diary is required to be obtained by the declaration date.</w:t>
      </w:r>
    </w:p>
    <w:p w14:paraId="5484982E" w14:textId="77777777" w:rsidR="00E248F2" w:rsidRPr="007A796B" w:rsidRDefault="00E248F2" w:rsidP="007A796B">
      <w:pPr>
        <w:autoSpaceDE w:val="0"/>
        <w:autoSpaceDN w:val="0"/>
        <w:adjustRightInd w:val="0"/>
        <w:spacing w:after="120"/>
        <w:rPr>
          <w:rFonts w:ascii="Arial" w:hAnsi="Arial" w:cs="Arial"/>
          <w:color w:val="000000"/>
          <w:sz w:val="22"/>
          <w:szCs w:val="22"/>
        </w:rPr>
      </w:pPr>
    </w:p>
    <w:p w14:paraId="29023943" w14:textId="559BC941" w:rsidR="005972B8" w:rsidRPr="007A796B" w:rsidRDefault="005972B8" w:rsidP="007A796B">
      <w:pPr>
        <w:pStyle w:val="Heading2"/>
      </w:pPr>
      <w:r w:rsidRPr="007A796B">
        <w:t>Example 1</w:t>
      </w:r>
    </w:p>
    <w:p w14:paraId="555B8865" w14:textId="6BC8C4CA" w:rsidR="005972B8" w:rsidRPr="007A796B" w:rsidRDefault="005972B8" w:rsidP="007A796B">
      <w:pPr>
        <w:spacing w:after="120"/>
        <w:ind w:left="709"/>
        <w:rPr>
          <w:rFonts w:ascii="Arial" w:hAnsi="Arial" w:cs="Arial"/>
          <w:bCs/>
          <w:sz w:val="22"/>
          <w:szCs w:val="22"/>
        </w:rPr>
      </w:pPr>
      <w:r w:rsidRPr="007A796B">
        <w:rPr>
          <w:rFonts w:ascii="Arial" w:hAnsi="Arial" w:cs="Arial"/>
          <w:bCs/>
          <w:sz w:val="22"/>
          <w:szCs w:val="22"/>
        </w:rPr>
        <w:t xml:space="preserve">Company Ltd sends their employee, Samara, overseas to conduct business with a foreign client. Samara’s travel lasts a total of 14 days, and she is </w:t>
      </w:r>
      <w:r w:rsidR="00156427" w:rsidRPr="007A796B">
        <w:rPr>
          <w:rFonts w:ascii="Arial" w:hAnsi="Arial" w:cs="Arial"/>
          <w:bCs/>
          <w:sz w:val="22"/>
          <w:szCs w:val="22"/>
        </w:rPr>
        <w:t>undertaking work</w:t>
      </w:r>
      <w:r w:rsidRPr="007A796B">
        <w:rPr>
          <w:rFonts w:ascii="Arial" w:hAnsi="Arial" w:cs="Arial"/>
          <w:bCs/>
          <w:sz w:val="22"/>
          <w:szCs w:val="22"/>
        </w:rPr>
        <w:t xml:space="preserve"> for the duration of the travel.</w:t>
      </w:r>
    </w:p>
    <w:p w14:paraId="338C685A" w14:textId="373650C9" w:rsidR="005972B8" w:rsidRPr="007A796B" w:rsidRDefault="005972B8" w:rsidP="007A796B">
      <w:pPr>
        <w:spacing w:after="120"/>
        <w:ind w:left="709"/>
        <w:rPr>
          <w:rFonts w:ascii="Arial" w:hAnsi="Arial" w:cs="Arial"/>
          <w:bCs/>
          <w:sz w:val="22"/>
          <w:szCs w:val="22"/>
        </w:rPr>
      </w:pPr>
      <w:r w:rsidRPr="007A796B">
        <w:rPr>
          <w:rFonts w:ascii="Arial" w:hAnsi="Arial" w:cs="Arial"/>
          <w:bCs/>
          <w:sz w:val="22"/>
          <w:szCs w:val="22"/>
        </w:rPr>
        <w:t xml:space="preserve">Company Ltd reimburses Samara for the costs of her flights and accommodation. </w:t>
      </w:r>
      <w:r w:rsidR="00AF13B9" w:rsidRPr="007A796B">
        <w:rPr>
          <w:rFonts w:ascii="Arial" w:hAnsi="Arial" w:cs="Arial"/>
          <w:bCs/>
          <w:sz w:val="22"/>
          <w:szCs w:val="22"/>
        </w:rPr>
        <w:t>As t</w:t>
      </w:r>
      <w:r w:rsidRPr="007A796B">
        <w:rPr>
          <w:rFonts w:ascii="Arial" w:hAnsi="Arial" w:cs="Arial"/>
          <w:bCs/>
          <w:sz w:val="22"/>
          <w:szCs w:val="22"/>
        </w:rPr>
        <w:t>hese reimbursements constitute expense payment fringe benefits, the ‘otherwise deductible rule’ in section 24 of the FBTAA</w:t>
      </w:r>
      <w:r w:rsidR="00156427" w:rsidRPr="007A796B">
        <w:rPr>
          <w:rFonts w:ascii="Arial" w:hAnsi="Arial" w:cs="Arial"/>
          <w:bCs/>
          <w:sz w:val="22"/>
          <w:szCs w:val="22"/>
        </w:rPr>
        <w:t xml:space="preserve"> may apply to reduce the taxable value of the benefit</w:t>
      </w:r>
      <w:r w:rsidRPr="007A796B">
        <w:rPr>
          <w:rFonts w:ascii="Arial" w:hAnsi="Arial" w:cs="Arial"/>
          <w:bCs/>
          <w:sz w:val="22"/>
          <w:szCs w:val="22"/>
        </w:rPr>
        <w:t>.</w:t>
      </w:r>
    </w:p>
    <w:p w14:paraId="2C8C207C" w14:textId="3CCAC820" w:rsidR="005972B8" w:rsidRPr="007A796B" w:rsidRDefault="005972B8" w:rsidP="007A796B">
      <w:pPr>
        <w:spacing w:after="120"/>
        <w:ind w:left="709"/>
        <w:rPr>
          <w:rFonts w:ascii="Arial" w:hAnsi="Arial" w:cs="Arial"/>
          <w:bCs/>
          <w:sz w:val="22"/>
          <w:szCs w:val="22"/>
        </w:rPr>
      </w:pPr>
      <w:r w:rsidRPr="007A796B">
        <w:rPr>
          <w:rFonts w:ascii="Arial" w:hAnsi="Arial" w:cs="Arial"/>
          <w:bCs/>
          <w:sz w:val="22"/>
          <w:szCs w:val="22"/>
        </w:rPr>
        <w:t>Samara maintains a work calendar on Company Ltd’s systems to schedule and record her appointments and activities. She uses this calendar to record all</w:t>
      </w:r>
      <w:r w:rsidR="007A796B" w:rsidRPr="007A796B">
        <w:rPr>
          <w:rFonts w:ascii="Arial" w:hAnsi="Arial" w:cs="Arial"/>
          <w:bCs/>
          <w:sz w:val="22"/>
          <w:szCs w:val="22"/>
        </w:rPr>
        <w:t xml:space="preserve"> </w:t>
      </w:r>
      <w:r w:rsidRPr="007A796B">
        <w:rPr>
          <w:rFonts w:ascii="Arial" w:hAnsi="Arial" w:cs="Arial"/>
          <w:bCs/>
          <w:sz w:val="22"/>
          <w:szCs w:val="22"/>
        </w:rPr>
        <w:t>business activities</w:t>
      </w:r>
      <w:r w:rsidR="007A796B" w:rsidRPr="007A796B">
        <w:rPr>
          <w:rFonts w:ascii="Arial" w:hAnsi="Arial" w:cs="Arial"/>
          <w:bCs/>
          <w:sz w:val="22"/>
          <w:szCs w:val="22"/>
        </w:rPr>
        <w:t xml:space="preserve"> </w:t>
      </w:r>
      <w:r w:rsidRPr="007A796B">
        <w:rPr>
          <w:rFonts w:ascii="Arial" w:hAnsi="Arial" w:cs="Arial"/>
          <w:bCs/>
          <w:sz w:val="22"/>
          <w:szCs w:val="22"/>
        </w:rPr>
        <w:t>undertake</w:t>
      </w:r>
      <w:r w:rsidR="0079705B" w:rsidRPr="007A796B">
        <w:rPr>
          <w:rFonts w:ascii="Arial" w:hAnsi="Arial" w:cs="Arial"/>
          <w:bCs/>
          <w:sz w:val="22"/>
          <w:szCs w:val="22"/>
        </w:rPr>
        <w:t>n</w:t>
      </w:r>
      <w:r w:rsidRPr="007A796B">
        <w:rPr>
          <w:rFonts w:ascii="Arial" w:hAnsi="Arial" w:cs="Arial"/>
          <w:bCs/>
          <w:sz w:val="22"/>
          <w:szCs w:val="22"/>
        </w:rPr>
        <w:t xml:space="preserve"> while </w:t>
      </w:r>
      <w:r w:rsidR="0079705B" w:rsidRPr="007A796B">
        <w:rPr>
          <w:rFonts w:ascii="Arial" w:hAnsi="Arial" w:cs="Arial"/>
          <w:bCs/>
          <w:sz w:val="22"/>
          <w:szCs w:val="22"/>
        </w:rPr>
        <w:t xml:space="preserve">she is </w:t>
      </w:r>
      <w:r w:rsidRPr="007A796B">
        <w:rPr>
          <w:rFonts w:ascii="Arial" w:hAnsi="Arial" w:cs="Arial"/>
          <w:bCs/>
          <w:sz w:val="22"/>
          <w:szCs w:val="22"/>
        </w:rPr>
        <w:t>overseas. Activities in the calendar are generally recorded in advance, and if Samara has unplanned changes to her schedule she updates the calendar at the time of the change or shortly afterward.</w:t>
      </w:r>
    </w:p>
    <w:p w14:paraId="16C6FC15" w14:textId="0FDBF84A" w:rsidR="005972B8" w:rsidRPr="007A796B" w:rsidRDefault="005972B8" w:rsidP="007A796B">
      <w:pPr>
        <w:spacing w:after="120"/>
        <w:ind w:left="709"/>
        <w:rPr>
          <w:rFonts w:ascii="Arial" w:hAnsi="Arial" w:cs="Arial"/>
          <w:bCs/>
          <w:sz w:val="22"/>
          <w:szCs w:val="22"/>
        </w:rPr>
      </w:pPr>
      <w:r w:rsidRPr="007A796B">
        <w:rPr>
          <w:rFonts w:ascii="Arial" w:hAnsi="Arial" w:cs="Arial"/>
          <w:bCs/>
          <w:sz w:val="22"/>
          <w:szCs w:val="22"/>
        </w:rPr>
        <w:t>In applying to receive the reimbursement, Samara gives Company Ltd’s payroll administration team access to her work calendar for the period of the travel.</w:t>
      </w:r>
    </w:p>
    <w:p w14:paraId="6AC16C98" w14:textId="5FC7AF91" w:rsidR="005972B8" w:rsidRPr="007A796B" w:rsidRDefault="005972B8" w:rsidP="007A796B">
      <w:pPr>
        <w:spacing w:after="120"/>
        <w:ind w:left="709"/>
        <w:rPr>
          <w:rFonts w:ascii="Arial" w:hAnsi="Arial" w:cs="Arial"/>
          <w:bCs/>
          <w:sz w:val="22"/>
          <w:szCs w:val="22"/>
        </w:rPr>
      </w:pPr>
      <w:r w:rsidRPr="007A796B">
        <w:rPr>
          <w:rFonts w:ascii="Arial" w:hAnsi="Arial" w:cs="Arial"/>
          <w:bCs/>
          <w:sz w:val="22"/>
          <w:szCs w:val="22"/>
        </w:rPr>
        <w:t>As the benefits are extended travel expense payment benefits, Company Ltd needs to obtain a travel diary from Samara to apply the ‘otherwise deductible rule’, pursuant to paragraph 24(1)(d) of the FBTAA.</w:t>
      </w:r>
    </w:p>
    <w:p w14:paraId="1970018D" w14:textId="61FD34CD" w:rsidR="005972B8" w:rsidRPr="007A796B" w:rsidRDefault="005972B8" w:rsidP="007A796B">
      <w:pPr>
        <w:spacing w:after="120"/>
        <w:ind w:left="709"/>
        <w:rPr>
          <w:rFonts w:ascii="Arial" w:hAnsi="Arial" w:cs="Arial"/>
          <w:bCs/>
          <w:sz w:val="22"/>
          <w:szCs w:val="22"/>
        </w:rPr>
      </w:pPr>
      <w:r w:rsidRPr="007A796B">
        <w:rPr>
          <w:rFonts w:ascii="Arial" w:hAnsi="Arial" w:cs="Arial"/>
          <w:bCs/>
          <w:sz w:val="22"/>
          <w:szCs w:val="22"/>
        </w:rPr>
        <w:t xml:space="preserve">Instead of obtaining a travel diary, Company Ltd can rely on section 123AA of the FBTAA. In accordance with the </w:t>
      </w:r>
      <w:r w:rsidR="00055046" w:rsidRPr="007A796B">
        <w:rPr>
          <w:rFonts w:ascii="Arial" w:hAnsi="Arial" w:cs="Arial"/>
          <w:bCs/>
          <w:sz w:val="22"/>
          <w:szCs w:val="22"/>
        </w:rPr>
        <w:t>l</w:t>
      </w:r>
      <w:r w:rsidRPr="007A796B">
        <w:rPr>
          <w:rFonts w:ascii="Arial" w:hAnsi="Arial" w:cs="Arial"/>
          <w:bCs/>
          <w:sz w:val="22"/>
          <w:szCs w:val="22"/>
        </w:rPr>
        <w:t xml:space="preserve">egislative </w:t>
      </w:r>
      <w:r w:rsidR="00055046" w:rsidRPr="007A796B">
        <w:rPr>
          <w:rFonts w:ascii="Arial" w:hAnsi="Arial" w:cs="Arial"/>
          <w:bCs/>
          <w:sz w:val="22"/>
          <w:szCs w:val="22"/>
        </w:rPr>
        <w:t>i</w:t>
      </w:r>
      <w:r w:rsidRPr="007A796B">
        <w:rPr>
          <w:rFonts w:ascii="Arial" w:hAnsi="Arial" w:cs="Arial"/>
          <w:bCs/>
          <w:sz w:val="22"/>
          <w:szCs w:val="22"/>
        </w:rPr>
        <w:t>nstrument, Samara’s work calendar contains the required minimum information to be relied upon as an alternative to the travel diary.</w:t>
      </w:r>
    </w:p>
    <w:p w14:paraId="1BF5C6EE" w14:textId="77777777" w:rsidR="00E248F2" w:rsidRPr="007A796B" w:rsidRDefault="00E248F2" w:rsidP="007A796B">
      <w:pPr>
        <w:autoSpaceDE w:val="0"/>
        <w:autoSpaceDN w:val="0"/>
        <w:adjustRightInd w:val="0"/>
        <w:spacing w:after="120"/>
        <w:rPr>
          <w:rFonts w:ascii="Arial" w:hAnsi="Arial" w:cs="Arial"/>
          <w:color w:val="000000"/>
          <w:sz w:val="22"/>
          <w:szCs w:val="22"/>
        </w:rPr>
      </w:pPr>
    </w:p>
    <w:p w14:paraId="57B0F59C" w14:textId="6EEB2342" w:rsidR="0040623A" w:rsidRPr="007A796B" w:rsidRDefault="000343A6" w:rsidP="007A796B">
      <w:pPr>
        <w:pStyle w:val="Heading2"/>
      </w:pPr>
      <w:r w:rsidRPr="007A796B">
        <w:lastRenderedPageBreak/>
        <w:t>Example 2</w:t>
      </w:r>
    </w:p>
    <w:p w14:paraId="46685252" w14:textId="49DF9688" w:rsidR="00327789" w:rsidRPr="007A796B" w:rsidRDefault="00327789" w:rsidP="007A796B">
      <w:pPr>
        <w:spacing w:after="120"/>
        <w:ind w:left="709"/>
        <w:rPr>
          <w:rFonts w:ascii="Arial" w:hAnsi="Arial" w:cs="Arial"/>
          <w:bCs/>
          <w:sz w:val="22"/>
          <w:szCs w:val="22"/>
        </w:rPr>
      </w:pPr>
      <w:r w:rsidRPr="007A796B">
        <w:rPr>
          <w:rFonts w:ascii="Arial" w:hAnsi="Arial" w:cs="Arial"/>
          <w:bCs/>
          <w:sz w:val="22"/>
          <w:szCs w:val="22"/>
        </w:rPr>
        <w:t xml:space="preserve">ACo Pty Ltd sends their employee, Ted, to a </w:t>
      </w:r>
      <w:proofErr w:type="gramStart"/>
      <w:r w:rsidRPr="007A796B">
        <w:rPr>
          <w:rFonts w:ascii="Arial" w:hAnsi="Arial" w:cs="Arial"/>
          <w:bCs/>
          <w:sz w:val="22"/>
          <w:szCs w:val="22"/>
        </w:rPr>
        <w:t>week long</w:t>
      </w:r>
      <w:proofErr w:type="gramEnd"/>
      <w:r w:rsidRPr="007A796B">
        <w:rPr>
          <w:rFonts w:ascii="Arial" w:hAnsi="Arial" w:cs="Arial"/>
          <w:bCs/>
          <w:sz w:val="22"/>
          <w:szCs w:val="22"/>
        </w:rPr>
        <w:t xml:space="preserve"> (Monday to Friday) conference at the Sunshine Coast in Queensland. Ted flies to Queensland on Sunday afternoon and checks into the conference venue.</w:t>
      </w:r>
    </w:p>
    <w:p w14:paraId="7DC0FBD6" w14:textId="60975EAB" w:rsidR="00327789" w:rsidRPr="007A796B" w:rsidRDefault="00F80303" w:rsidP="007A796B">
      <w:pPr>
        <w:spacing w:after="120"/>
        <w:ind w:left="709"/>
        <w:rPr>
          <w:rFonts w:ascii="Arial" w:hAnsi="Arial" w:cs="Arial"/>
          <w:bCs/>
          <w:sz w:val="22"/>
          <w:szCs w:val="22"/>
        </w:rPr>
      </w:pPr>
      <w:r w:rsidRPr="007A796B">
        <w:rPr>
          <w:rFonts w:ascii="Arial" w:hAnsi="Arial" w:cs="Arial"/>
          <w:bCs/>
          <w:sz w:val="22"/>
          <w:szCs w:val="22"/>
        </w:rPr>
        <w:t>ACo’s travel policy allows extra days to be added onto business travel, where the extra days are less than 50% of the business travel, the employee pays for additional costs, and manager approval</w:t>
      </w:r>
      <w:r w:rsidR="00055046" w:rsidRPr="007A796B">
        <w:rPr>
          <w:rFonts w:ascii="Arial" w:hAnsi="Arial" w:cs="Arial"/>
          <w:bCs/>
          <w:sz w:val="22"/>
          <w:szCs w:val="22"/>
        </w:rPr>
        <w:t xml:space="preserve"> is provided</w:t>
      </w:r>
      <w:r w:rsidRPr="007A796B">
        <w:rPr>
          <w:rFonts w:ascii="Arial" w:hAnsi="Arial" w:cs="Arial"/>
          <w:bCs/>
          <w:sz w:val="22"/>
          <w:szCs w:val="22"/>
        </w:rPr>
        <w:t>.</w:t>
      </w:r>
      <w:r w:rsidR="00327789" w:rsidRPr="007A796B">
        <w:rPr>
          <w:rFonts w:ascii="Arial" w:hAnsi="Arial" w:cs="Arial"/>
          <w:bCs/>
          <w:sz w:val="22"/>
          <w:szCs w:val="22"/>
        </w:rPr>
        <w:t xml:space="preserve"> Ted obtains his manager’s approval to stay 2 extra nights in Queensland </w:t>
      </w:r>
      <w:r w:rsidR="00F05CF2" w:rsidRPr="007A796B">
        <w:rPr>
          <w:rFonts w:ascii="Arial" w:hAnsi="Arial" w:cs="Arial"/>
          <w:bCs/>
          <w:sz w:val="22"/>
          <w:szCs w:val="22"/>
        </w:rPr>
        <w:t>(</w:t>
      </w:r>
      <w:r w:rsidR="00021176" w:rsidRPr="007A796B">
        <w:rPr>
          <w:rFonts w:ascii="Arial" w:hAnsi="Arial" w:cs="Arial"/>
          <w:bCs/>
          <w:sz w:val="22"/>
          <w:szCs w:val="22"/>
        </w:rPr>
        <w:t xml:space="preserve">i.e., </w:t>
      </w:r>
      <w:r w:rsidR="00F05CF2" w:rsidRPr="007A796B">
        <w:rPr>
          <w:rFonts w:ascii="Arial" w:hAnsi="Arial" w:cs="Arial"/>
          <w:bCs/>
          <w:sz w:val="22"/>
          <w:szCs w:val="22"/>
        </w:rPr>
        <w:t>Friday and Saturday</w:t>
      </w:r>
      <w:r w:rsidR="00021176" w:rsidRPr="007A796B">
        <w:rPr>
          <w:rFonts w:ascii="Arial" w:hAnsi="Arial" w:cs="Arial"/>
          <w:bCs/>
          <w:sz w:val="22"/>
          <w:szCs w:val="22"/>
        </w:rPr>
        <w:t xml:space="preserve"> nights</w:t>
      </w:r>
      <w:r w:rsidR="00F05CF2" w:rsidRPr="007A796B">
        <w:rPr>
          <w:rFonts w:ascii="Arial" w:hAnsi="Arial" w:cs="Arial"/>
          <w:bCs/>
          <w:sz w:val="22"/>
          <w:szCs w:val="22"/>
        </w:rPr>
        <w:t>). He</w:t>
      </w:r>
      <w:r w:rsidR="00327789" w:rsidRPr="007A796B">
        <w:rPr>
          <w:rFonts w:ascii="Arial" w:hAnsi="Arial" w:cs="Arial"/>
          <w:bCs/>
          <w:sz w:val="22"/>
          <w:szCs w:val="22"/>
        </w:rPr>
        <w:t xml:space="preserve"> flies home on </w:t>
      </w:r>
      <w:r w:rsidR="00851939" w:rsidRPr="007A796B">
        <w:rPr>
          <w:rFonts w:ascii="Arial" w:hAnsi="Arial" w:cs="Arial"/>
          <w:bCs/>
          <w:sz w:val="22"/>
          <w:szCs w:val="22"/>
        </w:rPr>
        <w:t xml:space="preserve">the following </w:t>
      </w:r>
      <w:r w:rsidR="00327789" w:rsidRPr="007A796B">
        <w:rPr>
          <w:rFonts w:ascii="Arial" w:hAnsi="Arial" w:cs="Arial"/>
          <w:bCs/>
          <w:sz w:val="22"/>
          <w:szCs w:val="22"/>
        </w:rPr>
        <w:t>Sunday.</w:t>
      </w:r>
    </w:p>
    <w:p w14:paraId="4A5B2AA7" w14:textId="5404B4E9" w:rsidR="00327789" w:rsidRPr="007A796B" w:rsidRDefault="00327789" w:rsidP="007A796B">
      <w:pPr>
        <w:spacing w:after="120"/>
        <w:ind w:left="709"/>
        <w:rPr>
          <w:rFonts w:ascii="Arial" w:hAnsi="Arial" w:cs="Arial"/>
          <w:bCs/>
          <w:sz w:val="22"/>
          <w:szCs w:val="22"/>
        </w:rPr>
      </w:pPr>
      <w:r w:rsidRPr="007A796B">
        <w:rPr>
          <w:rFonts w:ascii="Arial" w:hAnsi="Arial" w:cs="Arial"/>
          <w:bCs/>
          <w:sz w:val="22"/>
          <w:szCs w:val="22"/>
        </w:rPr>
        <w:t xml:space="preserve">ACo pays for Ted’s </w:t>
      </w:r>
      <w:r w:rsidR="001C0A95" w:rsidRPr="007A796B">
        <w:rPr>
          <w:rFonts w:ascii="Arial" w:hAnsi="Arial" w:cs="Arial"/>
          <w:bCs/>
          <w:sz w:val="22"/>
          <w:szCs w:val="22"/>
        </w:rPr>
        <w:t xml:space="preserve">conference attendance fee, </w:t>
      </w:r>
      <w:r w:rsidRPr="007A796B">
        <w:rPr>
          <w:rFonts w:ascii="Arial" w:hAnsi="Arial" w:cs="Arial"/>
          <w:bCs/>
          <w:sz w:val="22"/>
          <w:szCs w:val="22"/>
        </w:rPr>
        <w:t>flights, accommodation for the week (excluding the 2 extra nights)</w:t>
      </w:r>
      <w:r w:rsidR="00F86BBA" w:rsidRPr="007A796B">
        <w:rPr>
          <w:rFonts w:ascii="Arial" w:hAnsi="Arial" w:cs="Arial"/>
          <w:bCs/>
          <w:sz w:val="22"/>
          <w:szCs w:val="22"/>
        </w:rPr>
        <w:t xml:space="preserve">. ACo </w:t>
      </w:r>
      <w:r w:rsidR="001C0A95" w:rsidRPr="007A796B">
        <w:rPr>
          <w:rFonts w:ascii="Arial" w:hAnsi="Arial" w:cs="Arial"/>
          <w:bCs/>
          <w:sz w:val="22"/>
          <w:szCs w:val="22"/>
        </w:rPr>
        <w:t xml:space="preserve">reimburses Ted for </w:t>
      </w:r>
      <w:r w:rsidRPr="007A796B">
        <w:rPr>
          <w:rFonts w:ascii="Arial" w:hAnsi="Arial" w:cs="Arial"/>
          <w:bCs/>
          <w:sz w:val="22"/>
          <w:szCs w:val="22"/>
        </w:rPr>
        <w:t xml:space="preserve">any </w:t>
      </w:r>
      <w:r w:rsidR="00F86BBA" w:rsidRPr="007A796B">
        <w:rPr>
          <w:rFonts w:ascii="Arial" w:hAnsi="Arial" w:cs="Arial"/>
          <w:bCs/>
          <w:sz w:val="22"/>
          <w:szCs w:val="22"/>
        </w:rPr>
        <w:t xml:space="preserve">travel to and from the airport, and for </w:t>
      </w:r>
      <w:r w:rsidR="001C0A95" w:rsidRPr="007A796B">
        <w:rPr>
          <w:rFonts w:ascii="Arial" w:hAnsi="Arial" w:cs="Arial"/>
          <w:bCs/>
          <w:sz w:val="22"/>
          <w:szCs w:val="22"/>
        </w:rPr>
        <w:t>meals</w:t>
      </w:r>
      <w:r w:rsidRPr="007A796B">
        <w:rPr>
          <w:rFonts w:ascii="Arial" w:hAnsi="Arial" w:cs="Arial"/>
          <w:bCs/>
          <w:sz w:val="22"/>
          <w:szCs w:val="22"/>
        </w:rPr>
        <w:t xml:space="preserve"> not provided during the conference.</w:t>
      </w:r>
    </w:p>
    <w:p w14:paraId="1E48BD32" w14:textId="628023D5" w:rsidR="00F86BBA" w:rsidRPr="007A796B" w:rsidRDefault="001C0A95" w:rsidP="007A796B">
      <w:pPr>
        <w:spacing w:after="120"/>
        <w:ind w:left="709"/>
        <w:rPr>
          <w:rFonts w:ascii="Arial" w:hAnsi="Arial" w:cs="Arial"/>
          <w:bCs/>
          <w:sz w:val="22"/>
          <w:szCs w:val="22"/>
        </w:rPr>
      </w:pPr>
      <w:r w:rsidRPr="007A796B">
        <w:rPr>
          <w:rFonts w:ascii="Arial" w:hAnsi="Arial" w:cs="Arial"/>
          <w:bCs/>
          <w:sz w:val="22"/>
          <w:szCs w:val="22"/>
        </w:rPr>
        <w:t>Ted provides ACo with a copy of his flight itinerary,</w:t>
      </w:r>
      <w:r w:rsidR="00E01597" w:rsidRPr="007A796B">
        <w:rPr>
          <w:rFonts w:ascii="Arial" w:hAnsi="Arial" w:cs="Arial"/>
          <w:bCs/>
          <w:sz w:val="22"/>
          <w:szCs w:val="22"/>
        </w:rPr>
        <w:t xml:space="preserve"> conference and accommodation </w:t>
      </w:r>
      <w:r w:rsidR="008D180A" w:rsidRPr="007A796B">
        <w:rPr>
          <w:rFonts w:ascii="Arial" w:hAnsi="Arial" w:cs="Arial"/>
          <w:bCs/>
          <w:sz w:val="22"/>
          <w:szCs w:val="22"/>
        </w:rPr>
        <w:t xml:space="preserve">tax </w:t>
      </w:r>
      <w:r w:rsidR="00E01597" w:rsidRPr="007A796B">
        <w:rPr>
          <w:rFonts w:ascii="Arial" w:hAnsi="Arial" w:cs="Arial"/>
          <w:bCs/>
          <w:sz w:val="22"/>
          <w:szCs w:val="22"/>
        </w:rPr>
        <w:t>invoice, and conference itinerary. When Ted returns to work on the Monday, he also provides receipts for</w:t>
      </w:r>
      <w:r w:rsidR="00F86BBA" w:rsidRPr="007A796B">
        <w:rPr>
          <w:rFonts w:ascii="Arial" w:hAnsi="Arial" w:cs="Arial"/>
          <w:bCs/>
          <w:sz w:val="22"/>
          <w:szCs w:val="22"/>
        </w:rPr>
        <w:t xml:space="preserve"> travel to and from the airport and receipts for</w:t>
      </w:r>
      <w:r w:rsidR="00E01597" w:rsidRPr="007A796B">
        <w:rPr>
          <w:rFonts w:ascii="Arial" w:hAnsi="Arial" w:cs="Arial"/>
          <w:bCs/>
          <w:sz w:val="22"/>
          <w:szCs w:val="22"/>
        </w:rPr>
        <w:t xml:space="preserve"> meals not </w:t>
      </w:r>
      <w:r w:rsidR="00F86BBA" w:rsidRPr="007A796B">
        <w:rPr>
          <w:rFonts w:ascii="Arial" w:hAnsi="Arial" w:cs="Arial"/>
          <w:bCs/>
          <w:sz w:val="22"/>
          <w:szCs w:val="22"/>
        </w:rPr>
        <w:t>provided</w:t>
      </w:r>
      <w:r w:rsidR="00E01597" w:rsidRPr="007A796B">
        <w:rPr>
          <w:rFonts w:ascii="Arial" w:hAnsi="Arial" w:cs="Arial"/>
          <w:bCs/>
          <w:sz w:val="22"/>
          <w:szCs w:val="22"/>
        </w:rPr>
        <w:t xml:space="preserve"> during the conference</w:t>
      </w:r>
      <w:r w:rsidR="00F86BBA" w:rsidRPr="007A796B">
        <w:rPr>
          <w:rFonts w:ascii="Arial" w:hAnsi="Arial" w:cs="Arial"/>
          <w:bCs/>
          <w:sz w:val="22"/>
          <w:szCs w:val="22"/>
        </w:rPr>
        <w:t>.</w:t>
      </w:r>
    </w:p>
    <w:p w14:paraId="6A25AAF5" w14:textId="24F3C21D" w:rsidR="00F86BBA" w:rsidRPr="007A796B" w:rsidRDefault="00F86BBA" w:rsidP="007A796B">
      <w:pPr>
        <w:spacing w:after="120"/>
        <w:ind w:left="709"/>
        <w:rPr>
          <w:rFonts w:ascii="Arial" w:hAnsi="Arial" w:cs="Arial"/>
          <w:bCs/>
          <w:sz w:val="22"/>
          <w:szCs w:val="22"/>
        </w:rPr>
      </w:pPr>
      <w:r w:rsidRPr="007A796B">
        <w:rPr>
          <w:rFonts w:ascii="Arial" w:hAnsi="Arial" w:cs="Arial"/>
          <w:bCs/>
          <w:sz w:val="22"/>
          <w:szCs w:val="22"/>
        </w:rPr>
        <w:t xml:space="preserve">As the benefits are extended travel expense payment benefits, ACo needs to obtain a travel diary from </w:t>
      </w:r>
      <w:r w:rsidR="0060563C" w:rsidRPr="007A796B">
        <w:rPr>
          <w:rFonts w:ascii="Arial" w:hAnsi="Arial" w:cs="Arial"/>
          <w:bCs/>
          <w:sz w:val="22"/>
          <w:szCs w:val="22"/>
        </w:rPr>
        <w:t>Ted</w:t>
      </w:r>
      <w:r w:rsidRPr="007A796B">
        <w:rPr>
          <w:rFonts w:ascii="Arial" w:hAnsi="Arial" w:cs="Arial"/>
          <w:bCs/>
          <w:sz w:val="22"/>
          <w:szCs w:val="22"/>
        </w:rPr>
        <w:t xml:space="preserve"> to apply the ‘otherwise deductible rule’, pursuant to paragraph 24(1)(d) of the FBTAA.</w:t>
      </w:r>
    </w:p>
    <w:p w14:paraId="67CC7366" w14:textId="0E5B222A" w:rsidR="00327789" w:rsidRPr="007A796B" w:rsidRDefault="00F86BBA" w:rsidP="007A796B">
      <w:pPr>
        <w:spacing w:after="120"/>
        <w:ind w:left="709"/>
        <w:rPr>
          <w:rFonts w:ascii="Arial" w:hAnsi="Arial" w:cs="Arial"/>
          <w:bCs/>
          <w:sz w:val="22"/>
          <w:szCs w:val="22"/>
        </w:rPr>
      </w:pPr>
      <w:r w:rsidRPr="007A796B">
        <w:rPr>
          <w:rFonts w:ascii="Arial" w:hAnsi="Arial" w:cs="Arial"/>
          <w:bCs/>
          <w:sz w:val="22"/>
          <w:szCs w:val="22"/>
        </w:rPr>
        <w:t xml:space="preserve">Instead of obtaining a travel diary, ACo can rely on section 123AA of the FBTAA. In accordance with the </w:t>
      </w:r>
      <w:r w:rsidR="00AF6BA0" w:rsidRPr="007A796B">
        <w:rPr>
          <w:rFonts w:ascii="Arial" w:hAnsi="Arial" w:cs="Arial"/>
          <w:bCs/>
          <w:sz w:val="22"/>
          <w:szCs w:val="22"/>
        </w:rPr>
        <w:t>l</w:t>
      </w:r>
      <w:r w:rsidRPr="007A796B">
        <w:rPr>
          <w:rFonts w:ascii="Arial" w:hAnsi="Arial" w:cs="Arial"/>
          <w:bCs/>
          <w:sz w:val="22"/>
          <w:szCs w:val="22"/>
        </w:rPr>
        <w:t xml:space="preserve">egislative </w:t>
      </w:r>
      <w:r w:rsidR="00AF6BA0" w:rsidRPr="007A796B">
        <w:rPr>
          <w:rFonts w:ascii="Arial" w:hAnsi="Arial" w:cs="Arial"/>
          <w:bCs/>
          <w:sz w:val="22"/>
          <w:szCs w:val="22"/>
        </w:rPr>
        <w:t>i</w:t>
      </w:r>
      <w:r w:rsidRPr="007A796B">
        <w:rPr>
          <w:rFonts w:ascii="Arial" w:hAnsi="Arial" w:cs="Arial"/>
          <w:bCs/>
          <w:sz w:val="22"/>
          <w:szCs w:val="22"/>
        </w:rPr>
        <w:t>nstrument, Ted’s flight itinerary, conference itinerary, accommodation invoice, receipts and email</w:t>
      </w:r>
      <w:r w:rsidR="00AF6BA0" w:rsidRPr="007A796B">
        <w:rPr>
          <w:rFonts w:ascii="Arial" w:hAnsi="Arial" w:cs="Arial"/>
          <w:bCs/>
          <w:sz w:val="22"/>
          <w:szCs w:val="22"/>
        </w:rPr>
        <w:t xml:space="preserve"> records</w:t>
      </w:r>
      <w:r w:rsidRPr="007A796B">
        <w:rPr>
          <w:rFonts w:ascii="Arial" w:hAnsi="Arial" w:cs="Arial"/>
          <w:bCs/>
          <w:sz w:val="22"/>
          <w:szCs w:val="22"/>
        </w:rPr>
        <w:t xml:space="preserve"> contain the required minimum information to be relied upon as an alternative to the travel diary.</w:t>
      </w:r>
    </w:p>
    <w:p w14:paraId="2644A9AF" w14:textId="593A5D3A" w:rsidR="00327789" w:rsidRPr="007A796B" w:rsidRDefault="00327789" w:rsidP="007A796B">
      <w:pPr>
        <w:autoSpaceDE w:val="0"/>
        <w:autoSpaceDN w:val="0"/>
        <w:adjustRightInd w:val="0"/>
        <w:spacing w:after="120"/>
        <w:rPr>
          <w:rFonts w:ascii="Arial" w:hAnsi="Arial" w:cs="Arial"/>
          <w:color w:val="000000"/>
          <w:sz w:val="22"/>
          <w:szCs w:val="22"/>
        </w:rPr>
      </w:pPr>
    </w:p>
    <w:p w14:paraId="528AF1A9" w14:textId="3067B547" w:rsidR="00C620E9" w:rsidRPr="007A796B" w:rsidRDefault="00640CC2" w:rsidP="007A796B">
      <w:pPr>
        <w:pStyle w:val="Heading2"/>
      </w:pPr>
      <w:r w:rsidRPr="007A796B">
        <w:t>Compliance cost assessment</w:t>
      </w:r>
    </w:p>
    <w:p w14:paraId="2DE3DB53" w14:textId="1F2A0CE2" w:rsidR="006D1F76" w:rsidRPr="007A796B" w:rsidRDefault="006D1F76" w:rsidP="00EC2C0D">
      <w:pPr>
        <w:numPr>
          <w:ilvl w:val="0"/>
          <w:numId w:val="1"/>
        </w:numPr>
        <w:spacing w:after="120"/>
        <w:rPr>
          <w:rFonts w:ascii="Arial" w:hAnsi="Arial" w:cs="Arial"/>
          <w:sz w:val="22"/>
          <w:szCs w:val="22"/>
        </w:rPr>
      </w:pPr>
      <w:r w:rsidRPr="007A796B">
        <w:rPr>
          <w:rFonts w:ascii="Arial" w:hAnsi="Arial" w:cs="Arial"/>
          <w:sz w:val="22"/>
          <w:szCs w:val="22"/>
        </w:rPr>
        <w:t xml:space="preserve">Minor – </w:t>
      </w:r>
      <w:r w:rsidR="00AF6BA0" w:rsidRPr="007A796B">
        <w:rPr>
          <w:rFonts w:ascii="Arial" w:hAnsi="Arial" w:cs="Arial"/>
          <w:sz w:val="22"/>
          <w:szCs w:val="22"/>
        </w:rPr>
        <w:t>t</w:t>
      </w:r>
      <w:r w:rsidRPr="007A796B">
        <w:rPr>
          <w:rFonts w:ascii="Arial" w:hAnsi="Arial" w:cs="Arial"/>
          <w:sz w:val="22"/>
          <w:szCs w:val="22"/>
        </w:rPr>
        <w:t>here will be no additional regulatory impacts as the instrument is minor and mach</w:t>
      </w:r>
      <w:r w:rsidR="002D15B2" w:rsidRPr="007A796B">
        <w:rPr>
          <w:rFonts w:ascii="Arial" w:hAnsi="Arial" w:cs="Arial"/>
          <w:sz w:val="22"/>
          <w:szCs w:val="22"/>
        </w:rPr>
        <w:t>in</w:t>
      </w:r>
      <w:r w:rsidRPr="007A796B">
        <w:rPr>
          <w:rFonts w:ascii="Arial" w:hAnsi="Arial" w:cs="Arial"/>
          <w:sz w:val="22"/>
          <w:szCs w:val="22"/>
        </w:rPr>
        <w:t xml:space="preserve">ery in nature </w:t>
      </w:r>
      <w:r w:rsidR="00A466EF" w:rsidRPr="007A796B">
        <w:rPr>
          <w:rFonts w:ascii="Arial" w:hAnsi="Arial" w:cs="Arial"/>
          <w:sz w:val="22"/>
          <w:szCs w:val="22"/>
        </w:rPr>
        <w:t>(</w:t>
      </w:r>
      <w:bookmarkStart w:id="1" w:name="_Hlk151376426"/>
      <w:r w:rsidR="00A466EF" w:rsidRPr="007A796B">
        <w:rPr>
          <w:rFonts w:ascii="Arial" w:hAnsi="Arial" w:cs="Arial"/>
          <w:sz w:val="22"/>
          <w:szCs w:val="22"/>
        </w:rPr>
        <w:t xml:space="preserve">The Office of Impact Assessment reference: </w:t>
      </w:r>
      <w:bookmarkEnd w:id="1"/>
      <w:r w:rsidRPr="007A796B">
        <w:rPr>
          <w:rFonts w:ascii="Arial" w:hAnsi="Arial" w:cs="Arial"/>
          <w:sz w:val="22"/>
          <w:szCs w:val="22"/>
        </w:rPr>
        <w:t>OBPR23-04436</w:t>
      </w:r>
      <w:r w:rsidR="00A466EF" w:rsidRPr="007A796B">
        <w:rPr>
          <w:rFonts w:ascii="Arial" w:hAnsi="Arial" w:cs="Arial"/>
          <w:sz w:val="22"/>
          <w:szCs w:val="22"/>
        </w:rPr>
        <w:t>)</w:t>
      </w:r>
      <w:r w:rsidR="0040623A" w:rsidRPr="007A796B">
        <w:rPr>
          <w:rFonts w:ascii="Arial" w:hAnsi="Arial" w:cs="Arial"/>
          <w:sz w:val="22"/>
          <w:szCs w:val="22"/>
        </w:rPr>
        <w:t>.</w:t>
      </w:r>
    </w:p>
    <w:p w14:paraId="78A7E339" w14:textId="77777777" w:rsidR="00FD0AF2" w:rsidRPr="007A796B" w:rsidRDefault="00FD0AF2" w:rsidP="007A796B">
      <w:pPr>
        <w:autoSpaceDE w:val="0"/>
        <w:autoSpaceDN w:val="0"/>
        <w:adjustRightInd w:val="0"/>
        <w:spacing w:after="120"/>
        <w:rPr>
          <w:rFonts w:ascii="Arial" w:hAnsi="Arial" w:cs="Arial"/>
          <w:color w:val="000000"/>
          <w:sz w:val="22"/>
          <w:szCs w:val="22"/>
        </w:rPr>
      </w:pPr>
    </w:p>
    <w:p w14:paraId="15AC1B73" w14:textId="77777777" w:rsidR="00486653" w:rsidRPr="007A796B" w:rsidRDefault="00486653" w:rsidP="007A796B">
      <w:pPr>
        <w:pStyle w:val="Heading2"/>
      </w:pPr>
      <w:r w:rsidRPr="007A796B">
        <w:t>Background</w:t>
      </w:r>
    </w:p>
    <w:p w14:paraId="03148CB5" w14:textId="5B3F5AC4" w:rsidR="00FE25A0" w:rsidRPr="007A796B" w:rsidRDefault="00FE25A0" w:rsidP="00EC2C0D">
      <w:pPr>
        <w:numPr>
          <w:ilvl w:val="0"/>
          <w:numId w:val="1"/>
        </w:numPr>
        <w:spacing w:after="120"/>
        <w:rPr>
          <w:rFonts w:ascii="Arial" w:eastAsia="Calibri" w:hAnsi="Arial" w:cs="Arial"/>
          <w:sz w:val="22"/>
          <w:szCs w:val="22"/>
          <w:lang w:eastAsia="en-US"/>
        </w:rPr>
      </w:pPr>
      <w:r w:rsidRPr="007A796B">
        <w:rPr>
          <w:rFonts w:ascii="Arial" w:hAnsi="Arial" w:cs="Arial"/>
          <w:sz w:val="22"/>
          <w:szCs w:val="22"/>
        </w:rPr>
        <w:t>Where an employer provides certain fringe benefits, they are able to reduce the taxable value of the fringe benefit by the amount that their employee would have been able to claim as a once</w:t>
      </w:r>
      <w:r w:rsidR="00FC6CF3" w:rsidRPr="007A796B">
        <w:rPr>
          <w:rFonts w:ascii="Arial" w:hAnsi="Arial" w:cs="Arial"/>
          <w:sz w:val="22"/>
          <w:szCs w:val="22"/>
        </w:rPr>
        <w:noBreakHyphen/>
      </w:r>
      <w:r w:rsidRPr="007A796B">
        <w:rPr>
          <w:rFonts w:ascii="Arial" w:hAnsi="Arial" w:cs="Arial"/>
          <w:sz w:val="22"/>
          <w:szCs w:val="22"/>
        </w:rPr>
        <w:t xml:space="preserve">only deduction if they had incurred the expenditure to obtain the benefit. This is known as the ‘otherwise deductible rule’ and is </w:t>
      </w:r>
      <w:r w:rsidR="00C00929" w:rsidRPr="007A796B">
        <w:rPr>
          <w:rFonts w:ascii="Arial" w:hAnsi="Arial" w:cs="Arial"/>
          <w:sz w:val="22"/>
          <w:szCs w:val="22"/>
        </w:rPr>
        <w:t xml:space="preserve">contained </w:t>
      </w:r>
      <w:r w:rsidRPr="007A796B">
        <w:rPr>
          <w:rFonts w:ascii="Arial" w:hAnsi="Arial" w:cs="Arial"/>
          <w:sz w:val="22"/>
          <w:szCs w:val="22"/>
        </w:rPr>
        <w:t>in:</w:t>
      </w:r>
    </w:p>
    <w:p w14:paraId="4666A7A9" w14:textId="1E6CEA7A" w:rsidR="00FE25A0" w:rsidRPr="007A796B" w:rsidRDefault="00FE25A0" w:rsidP="007A796B">
      <w:pPr>
        <w:numPr>
          <w:ilvl w:val="1"/>
          <w:numId w:val="5"/>
        </w:numPr>
        <w:tabs>
          <w:tab w:val="clear" w:pos="1440"/>
        </w:tabs>
        <w:spacing w:after="120"/>
        <w:ind w:left="1418" w:hanging="709"/>
        <w:rPr>
          <w:rFonts w:ascii="Arial" w:eastAsia="Calibri" w:hAnsi="Arial" w:cs="Arial"/>
          <w:sz w:val="22"/>
          <w:szCs w:val="22"/>
          <w:lang w:eastAsia="en-US"/>
        </w:rPr>
      </w:pPr>
      <w:r w:rsidRPr="007A796B">
        <w:rPr>
          <w:rFonts w:ascii="Arial" w:hAnsi="Arial" w:cs="Arial"/>
          <w:sz w:val="22"/>
          <w:szCs w:val="22"/>
        </w:rPr>
        <w:t>section 24 of the FBTAA for an expense payment fringe benefit</w:t>
      </w:r>
      <w:r w:rsidR="009D0A0F" w:rsidRPr="007A796B">
        <w:rPr>
          <w:rFonts w:ascii="Arial" w:hAnsi="Arial" w:cs="Arial"/>
          <w:sz w:val="22"/>
          <w:szCs w:val="22"/>
        </w:rPr>
        <w:t>,</w:t>
      </w:r>
    </w:p>
    <w:p w14:paraId="6B3AE92B" w14:textId="77777777" w:rsidR="00FE25A0" w:rsidRPr="007A796B" w:rsidRDefault="00FE25A0" w:rsidP="007A796B">
      <w:pPr>
        <w:numPr>
          <w:ilvl w:val="1"/>
          <w:numId w:val="5"/>
        </w:numPr>
        <w:tabs>
          <w:tab w:val="clear" w:pos="1440"/>
        </w:tabs>
        <w:spacing w:after="120"/>
        <w:ind w:left="1418" w:hanging="709"/>
        <w:rPr>
          <w:rFonts w:ascii="Arial" w:eastAsia="Calibri" w:hAnsi="Arial" w:cs="Arial"/>
          <w:sz w:val="22"/>
          <w:szCs w:val="22"/>
          <w:lang w:eastAsia="en-US"/>
        </w:rPr>
      </w:pPr>
      <w:r w:rsidRPr="007A796B">
        <w:rPr>
          <w:rFonts w:ascii="Arial" w:hAnsi="Arial" w:cs="Arial"/>
          <w:sz w:val="22"/>
          <w:szCs w:val="22"/>
        </w:rPr>
        <w:t>section 44 of the FBTAA for a property fringe benefit, and</w:t>
      </w:r>
    </w:p>
    <w:p w14:paraId="4E10013E" w14:textId="77777777" w:rsidR="00FE25A0" w:rsidRPr="007A796B" w:rsidRDefault="00FE25A0" w:rsidP="007A796B">
      <w:pPr>
        <w:numPr>
          <w:ilvl w:val="1"/>
          <w:numId w:val="5"/>
        </w:numPr>
        <w:tabs>
          <w:tab w:val="clear" w:pos="1440"/>
        </w:tabs>
        <w:spacing w:after="120"/>
        <w:ind w:left="1418" w:hanging="709"/>
        <w:rPr>
          <w:rFonts w:ascii="Arial" w:eastAsia="Calibri" w:hAnsi="Arial" w:cs="Arial"/>
          <w:sz w:val="22"/>
          <w:szCs w:val="22"/>
          <w:lang w:eastAsia="en-US"/>
        </w:rPr>
      </w:pPr>
      <w:r w:rsidRPr="007A796B">
        <w:rPr>
          <w:rFonts w:ascii="Arial" w:hAnsi="Arial" w:cs="Arial"/>
          <w:sz w:val="22"/>
          <w:szCs w:val="22"/>
        </w:rPr>
        <w:t>section 52 of the FBTAA for a residual fringe benefit.</w:t>
      </w:r>
    </w:p>
    <w:p w14:paraId="570C93A5" w14:textId="77777777" w:rsidR="00FE25A0" w:rsidRPr="007A796B" w:rsidRDefault="00FE25A0" w:rsidP="00EC2C0D">
      <w:pPr>
        <w:numPr>
          <w:ilvl w:val="0"/>
          <w:numId w:val="1"/>
        </w:numPr>
        <w:spacing w:after="120"/>
        <w:rPr>
          <w:rFonts w:ascii="Arial" w:hAnsi="Arial" w:cs="Arial"/>
          <w:sz w:val="22"/>
          <w:szCs w:val="22"/>
        </w:rPr>
      </w:pPr>
      <w:r w:rsidRPr="007A796B">
        <w:rPr>
          <w:rFonts w:ascii="Arial" w:hAnsi="Arial" w:cs="Arial"/>
          <w:sz w:val="22"/>
          <w:szCs w:val="22"/>
        </w:rPr>
        <w:t>For an employer to apply the ‘otherwise deductible rule’ they must have certain documentation to substantiate the extent to which the travel-related fringe benefit would have been deductible to the employee. Specific documentation, namely a ‘travel diary’, is required for benefits that concern ‘extended travel’, pursuant to:</w:t>
      </w:r>
    </w:p>
    <w:p w14:paraId="1888FEE7" w14:textId="4D97DBD7" w:rsidR="00FE25A0" w:rsidRPr="007A796B" w:rsidRDefault="009D0A0F" w:rsidP="007A796B">
      <w:pPr>
        <w:numPr>
          <w:ilvl w:val="1"/>
          <w:numId w:val="6"/>
        </w:numPr>
        <w:tabs>
          <w:tab w:val="clear" w:pos="1440"/>
        </w:tabs>
        <w:spacing w:after="120"/>
        <w:ind w:left="1418" w:hanging="709"/>
        <w:rPr>
          <w:rFonts w:ascii="Arial" w:hAnsi="Arial" w:cs="Arial"/>
          <w:sz w:val="22"/>
          <w:szCs w:val="22"/>
        </w:rPr>
      </w:pPr>
      <w:r w:rsidRPr="007A796B">
        <w:rPr>
          <w:rFonts w:ascii="Arial" w:hAnsi="Arial" w:cs="Arial"/>
          <w:sz w:val="22"/>
          <w:szCs w:val="22"/>
        </w:rPr>
        <w:t>P</w:t>
      </w:r>
      <w:r w:rsidR="00FE25A0" w:rsidRPr="007A796B">
        <w:rPr>
          <w:rFonts w:ascii="Arial" w:hAnsi="Arial" w:cs="Arial"/>
          <w:sz w:val="22"/>
          <w:szCs w:val="22"/>
        </w:rPr>
        <w:t>aragraph 24(1)(d) of FBTAA for an expense payment fringe benefit that is an extended travel expense payment benefit (other than an international aircrew expense payment benefit)</w:t>
      </w:r>
      <w:r w:rsidRPr="007A796B">
        <w:rPr>
          <w:rFonts w:ascii="Arial" w:hAnsi="Arial" w:cs="Arial"/>
          <w:sz w:val="22"/>
          <w:szCs w:val="22"/>
        </w:rPr>
        <w:t>,</w:t>
      </w:r>
    </w:p>
    <w:p w14:paraId="1C014FAD" w14:textId="77777777" w:rsidR="007A796B" w:rsidRPr="007A796B" w:rsidRDefault="00851939" w:rsidP="007A796B">
      <w:pPr>
        <w:numPr>
          <w:ilvl w:val="1"/>
          <w:numId w:val="6"/>
        </w:numPr>
        <w:tabs>
          <w:tab w:val="clear" w:pos="1440"/>
        </w:tabs>
        <w:spacing w:after="120"/>
        <w:ind w:left="1418" w:hanging="709"/>
        <w:rPr>
          <w:rFonts w:ascii="Arial" w:hAnsi="Arial" w:cs="Arial"/>
          <w:sz w:val="22"/>
          <w:szCs w:val="22"/>
        </w:rPr>
      </w:pPr>
      <w:r w:rsidRPr="007A796B">
        <w:rPr>
          <w:rFonts w:ascii="Arial" w:hAnsi="Arial" w:cs="Arial"/>
          <w:sz w:val="22"/>
          <w:szCs w:val="22"/>
        </w:rPr>
        <w:t>p</w:t>
      </w:r>
      <w:r w:rsidR="00FE25A0" w:rsidRPr="007A796B">
        <w:rPr>
          <w:rFonts w:ascii="Arial" w:hAnsi="Arial" w:cs="Arial"/>
          <w:sz w:val="22"/>
          <w:szCs w:val="22"/>
        </w:rPr>
        <w:t xml:space="preserve">aragraph 44(1)(d) of the FBTAA for a property fringe benefit that is an </w:t>
      </w:r>
      <w:bookmarkStart w:id="2" w:name="_Hlk91163325"/>
      <w:r w:rsidR="00FE25A0" w:rsidRPr="007A796B">
        <w:rPr>
          <w:rFonts w:ascii="Arial" w:hAnsi="Arial" w:cs="Arial"/>
          <w:sz w:val="22"/>
          <w:szCs w:val="22"/>
        </w:rPr>
        <w:t>extended travel property benefit</w:t>
      </w:r>
      <w:bookmarkEnd w:id="2"/>
      <w:r w:rsidR="00FE25A0" w:rsidRPr="007A796B">
        <w:rPr>
          <w:rFonts w:ascii="Arial" w:hAnsi="Arial" w:cs="Arial"/>
          <w:sz w:val="22"/>
          <w:szCs w:val="22"/>
        </w:rPr>
        <w:t xml:space="preserve"> (other than an international aircrew property benefit)</w:t>
      </w:r>
      <w:r w:rsidRPr="007A796B">
        <w:rPr>
          <w:rFonts w:ascii="Arial" w:hAnsi="Arial" w:cs="Arial"/>
          <w:sz w:val="22"/>
          <w:szCs w:val="22"/>
        </w:rPr>
        <w:t>, and</w:t>
      </w:r>
    </w:p>
    <w:p w14:paraId="6EDFDBE4" w14:textId="4C600DE1" w:rsidR="00FE25A0" w:rsidRPr="007A796B" w:rsidRDefault="00851939" w:rsidP="007A796B">
      <w:pPr>
        <w:numPr>
          <w:ilvl w:val="1"/>
          <w:numId w:val="6"/>
        </w:numPr>
        <w:tabs>
          <w:tab w:val="clear" w:pos="1440"/>
        </w:tabs>
        <w:spacing w:after="120"/>
        <w:ind w:left="1418" w:hanging="709"/>
        <w:rPr>
          <w:rFonts w:ascii="Arial" w:hAnsi="Arial" w:cs="Arial"/>
          <w:sz w:val="22"/>
          <w:szCs w:val="22"/>
        </w:rPr>
      </w:pPr>
      <w:r w:rsidRPr="007A796B">
        <w:rPr>
          <w:rFonts w:ascii="Arial" w:hAnsi="Arial" w:cs="Arial"/>
          <w:sz w:val="22"/>
          <w:szCs w:val="22"/>
        </w:rPr>
        <w:t>p</w:t>
      </w:r>
      <w:r w:rsidR="00FE25A0" w:rsidRPr="007A796B">
        <w:rPr>
          <w:rFonts w:ascii="Arial" w:hAnsi="Arial" w:cs="Arial"/>
          <w:sz w:val="22"/>
          <w:szCs w:val="22"/>
        </w:rPr>
        <w:t>aragraph 52(1)(d) of the FBTAA for a fringe benefit that is an extended travel residual benefit (other than an international aircrew residual benefit).</w:t>
      </w:r>
    </w:p>
    <w:p w14:paraId="1D039CA9" w14:textId="77777777" w:rsidR="00FE25A0" w:rsidRPr="007A796B" w:rsidRDefault="00FE25A0" w:rsidP="00EC2C0D">
      <w:pPr>
        <w:numPr>
          <w:ilvl w:val="0"/>
          <w:numId w:val="1"/>
        </w:numPr>
        <w:spacing w:after="120"/>
        <w:rPr>
          <w:rFonts w:ascii="Arial" w:hAnsi="Arial" w:cs="Arial"/>
          <w:sz w:val="22"/>
          <w:szCs w:val="22"/>
        </w:rPr>
      </w:pPr>
      <w:r w:rsidRPr="007A796B">
        <w:rPr>
          <w:rFonts w:ascii="Arial" w:hAnsi="Arial" w:cs="Arial"/>
          <w:sz w:val="22"/>
          <w:szCs w:val="22"/>
        </w:rPr>
        <w:lastRenderedPageBreak/>
        <w:t>A fringe benefit concerns ‘extended travel’ where it is in respect of travel by the recipient:</w:t>
      </w:r>
    </w:p>
    <w:p w14:paraId="2E9DC95A" w14:textId="77777777" w:rsidR="00FE25A0" w:rsidRPr="007A796B" w:rsidRDefault="00FE25A0" w:rsidP="007A796B">
      <w:pPr>
        <w:numPr>
          <w:ilvl w:val="1"/>
          <w:numId w:val="7"/>
        </w:numPr>
        <w:tabs>
          <w:tab w:val="clear" w:pos="1440"/>
        </w:tabs>
        <w:spacing w:after="120"/>
        <w:ind w:left="1418" w:hanging="709"/>
        <w:rPr>
          <w:rFonts w:ascii="Arial" w:hAnsi="Arial" w:cs="Arial"/>
          <w:sz w:val="22"/>
          <w:szCs w:val="22"/>
        </w:rPr>
      </w:pPr>
      <w:r w:rsidRPr="007A796B">
        <w:rPr>
          <w:rFonts w:ascii="Arial" w:hAnsi="Arial" w:cs="Arial"/>
          <w:sz w:val="22"/>
          <w:szCs w:val="22"/>
        </w:rPr>
        <w:t>outside Australia for more than five consecutive nights, or</w:t>
      </w:r>
    </w:p>
    <w:p w14:paraId="76423FE2" w14:textId="6A262DEE" w:rsidR="00FE25A0" w:rsidRPr="007A796B" w:rsidRDefault="00FE25A0" w:rsidP="007A796B">
      <w:pPr>
        <w:numPr>
          <w:ilvl w:val="1"/>
          <w:numId w:val="7"/>
        </w:numPr>
        <w:tabs>
          <w:tab w:val="clear" w:pos="1440"/>
        </w:tabs>
        <w:spacing w:after="120"/>
        <w:ind w:left="1418" w:hanging="709"/>
        <w:rPr>
          <w:rFonts w:ascii="Arial" w:hAnsi="Arial" w:cs="Arial"/>
          <w:sz w:val="22"/>
          <w:szCs w:val="22"/>
        </w:rPr>
      </w:pPr>
      <w:r w:rsidRPr="007A796B">
        <w:rPr>
          <w:rFonts w:ascii="Arial" w:hAnsi="Arial" w:cs="Arial"/>
          <w:sz w:val="22"/>
          <w:szCs w:val="22"/>
        </w:rPr>
        <w:t>within Australia for more than five consecutive nights, where the travel is not exclusively for performing employment-related duties</w:t>
      </w:r>
      <w:r w:rsidR="006230ED" w:rsidRPr="007A796B">
        <w:rPr>
          <w:rFonts w:ascii="Arial" w:hAnsi="Arial" w:cs="Arial"/>
          <w:sz w:val="22"/>
          <w:szCs w:val="22"/>
        </w:rPr>
        <w:t xml:space="preserve"> (see the definitions in subsection 136(1) of the FBTAA for ‘extended travel expense payment benefit’; ‘extended travel property benefit’ and ‘extended travel residual benefit’)</w:t>
      </w:r>
      <w:r w:rsidRPr="007A796B">
        <w:rPr>
          <w:rFonts w:ascii="Arial" w:hAnsi="Arial" w:cs="Arial"/>
          <w:sz w:val="22"/>
          <w:szCs w:val="22"/>
        </w:rPr>
        <w:t>.</w:t>
      </w:r>
    </w:p>
    <w:p w14:paraId="1FE260D7" w14:textId="55BCE624" w:rsidR="006230ED" w:rsidRPr="007A796B" w:rsidRDefault="006230ED" w:rsidP="00EC2C0D">
      <w:pPr>
        <w:numPr>
          <w:ilvl w:val="0"/>
          <w:numId w:val="1"/>
        </w:numPr>
        <w:spacing w:after="120"/>
        <w:rPr>
          <w:rFonts w:ascii="Arial" w:hAnsi="Arial" w:cs="Arial"/>
          <w:sz w:val="22"/>
          <w:szCs w:val="22"/>
        </w:rPr>
      </w:pPr>
      <w:r w:rsidRPr="007A796B">
        <w:rPr>
          <w:rFonts w:ascii="Arial" w:hAnsi="Arial" w:cs="Arial"/>
          <w:sz w:val="22"/>
          <w:szCs w:val="22"/>
        </w:rPr>
        <w:t>The fact that the business travel requires the employee to stay away over a weekend will not, itself, mean the trip is not undertaken exclusively in the course of their employment.</w:t>
      </w:r>
    </w:p>
    <w:p w14:paraId="6699B829" w14:textId="1765AE09" w:rsidR="00FE25A0" w:rsidRPr="007A796B" w:rsidRDefault="00FE25A0" w:rsidP="00EC2C0D">
      <w:pPr>
        <w:numPr>
          <w:ilvl w:val="0"/>
          <w:numId w:val="1"/>
        </w:numPr>
        <w:spacing w:after="120"/>
        <w:rPr>
          <w:rFonts w:ascii="Arial" w:hAnsi="Arial" w:cs="Arial"/>
          <w:sz w:val="22"/>
          <w:szCs w:val="22"/>
        </w:rPr>
      </w:pPr>
      <w:r w:rsidRPr="007A796B">
        <w:rPr>
          <w:rFonts w:ascii="Arial" w:hAnsi="Arial" w:cs="Arial"/>
          <w:sz w:val="22"/>
          <w:szCs w:val="22"/>
        </w:rPr>
        <w:t xml:space="preserve">In determining whether a travel diary (or corresponding alternative records) needs to be kept, an employer </w:t>
      </w:r>
      <w:r w:rsidR="009D0A0F" w:rsidRPr="007A796B">
        <w:rPr>
          <w:rFonts w:ascii="Arial" w:hAnsi="Arial" w:cs="Arial"/>
          <w:sz w:val="22"/>
          <w:szCs w:val="22"/>
        </w:rPr>
        <w:t xml:space="preserve">must </w:t>
      </w:r>
      <w:r w:rsidRPr="007A796B">
        <w:rPr>
          <w:rFonts w:ascii="Arial" w:hAnsi="Arial" w:cs="Arial"/>
          <w:sz w:val="22"/>
          <w:szCs w:val="22"/>
        </w:rPr>
        <w:t>assess the number of nights the employee is away from home. The number of nights away from home includes transit time.</w:t>
      </w:r>
    </w:p>
    <w:p w14:paraId="323AEEDD" w14:textId="23D7E3BA" w:rsidR="00FE25A0" w:rsidRPr="007A796B" w:rsidRDefault="00FE25A0" w:rsidP="00EC2C0D">
      <w:pPr>
        <w:numPr>
          <w:ilvl w:val="0"/>
          <w:numId w:val="1"/>
        </w:numPr>
        <w:spacing w:after="120"/>
        <w:rPr>
          <w:rFonts w:ascii="Arial" w:hAnsi="Arial" w:cs="Arial"/>
          <w:sz w:val="22"/>
          <w:szCs w:val="22"/>
        </w:rPr>
      </w:pPr>
      <w:r w:rsidRPr="007A796B">
        <w:rPr>
          <w:rFonts w:ascii="Arial" w:hAnsi="Arial" w:cs="Arial"/>
          <w:sz w:val="22"/>
          <w:szCs w:val="22"/>
        </w:rPr>
        <w:t xml:space="preserve">This instrument prescribes alternative records that an employer can use instead of a ‘travel diary’ to reduce the taxable value of these benefits under the ‘otherwise deductible rule’ for the </w:t>
      </w:r>
      <w:r w:rsidR="00754B36" w:rsidRPr="007A796B">
        <w:rPr>
          <w:rFonts w:ascii="Arial" w:hAnsi="Arial" w:cs="Arial"/>
          <w:sz w:val="22"/>
          <w:szCs w:val="22"/>
        </w:rPr>
        <w:t xml:space="preserve">relevant FBT </w:t>
      </w:r>
      <w:r w:rsidRPr="007A796B">
        <w:rPr>
          <w:rFonts w:ascii="Arial" w:hAnsi="Arial" w:cs="Arial"/>
          <w:sz w:val="22"/>
          <w:szCs w:val="22"/>
        </w:rPr>
        <w:t>year.</w:t>
      </w:r>
    </w:p>
    <w:p w14:paraId="15AC1B76" w14:textId="28CE2A00" w:rsidR="00486653" w:rsidRPr="007A796B" w:rsidRDefault="00486653" w:rsidP="007A796B">
      <w:pPr>
        <w:autoSpaceDE w:val="0"/>
        <w:autoSpaceDN w:val="0"/>
        <w:adjustRightInd w:val="0"/>
        <w:spacing w:after="120"/>
        <w:rPr>
          <w:rFonts w:ascii="Arial" w:hAnsi="Arial" w:cs="Arial"/>
          <w:color w:val="000000"/>
          <w:sz w:val="22"/>
          <w:szCs w:val="22"/>
        </w:rPr>
      </w:pPr>
    </w:p>
    <w:p w14:paraId="15AC1B77" w14:textId="77777777" w:rsidR="00486653" w:rsidRPr="007A796B" w:rsidRDefault="00E10B37" w:rsidP="007A796B">
      <w:pPr>
        <w:pStyle w:val="Heading2"/>
      </w:pPr>
      <w:r w:rsidRPr="007A796B">
        <w:t>Consultation</w:t>
      </w:r>
    </w:p>
    <w:p w14:paraId="0EA05892" w14:textId="3F72CCA6" w:rsidR="006D1F76" w:rsidRPr="007A796B" w:rsidRDefault="006D1F76" w:rsidP="00EC2C0D">
      <w:pPr>
        <w:numPr>
          <w:ilvl w:val="0"/>
          <w:numId w:val="1"/>
        </w:numPr>
        <w:spacing w:after="120"/>
        <w:rPr>
          <w:rFonts w:ascii="Arial" w:hAnsi="Arial" w:cs="Arial"/>
          <w:sz w:val="22"/>
          <w:szCs w:val="22"/>
        </w:rPr>
      </w:pPr>
      <w:r w:rsidRPr="007A796B">
        <w:rPr>
          <w:rFonts w:ascii="Arial" w:hAnsi="Arial" w:cs="Arial"/>
          <w:sz w:val="22"/>
          <w:szCs w:val="22"/>
        </w:rPr>
        <w:t xml:space="preserve">Subsection 17(1) of the </w:t>
      </w:r>
      <w:r w:rsidRPr="007A796B">
        <w:rPr>
          <w:rFonts w:ascii="Arial" w:hAnsi="Arial" w:cs="Arial"/>
          <w:i/>
          <w:iCs/>
          <w:sz w:val="22"/>
          <w:szCs w:val="22"/>
        </w:rPr>
        <w:t>Legislation Act 2003</w:t>
      </w:r>
      <w:r w:rsidRPr="007A796B">
        <w:rPr>
          <w:rFonts w:ascii="Arial" w:hAnsi="Arial" w:cs="Arial"/>
          <w:sz w:val="22"/>
          <w:szCs w:val="22"/>
        </w:rPr>
        <w:t xml:space="preserve"> requires that the </w:t>
      </w:r>
      <w:r w:rsidR="00690EBA" w:rsidRPr="007A796B">
        <w:rPr>
          <w:rFonts w:ascii="Arial" w:hAnsi="Arial" w:cs="Arial"/>
          <w:sz w:val="22"/>
          <w:szCs w:val="22"/>
        </w:rPr>
        <w:t>Commissioner</w:t>
      </w:r>
      <w:r w:rsidRPr="007A796B">
        <w:rPr>
          <w:rFonts w:ascii="Arial" w:hAnsi="Arial" w:cs="Arial"/>
          <w:sz w:val="22"/>
          <w:szCs w:val="22"/>
        </w:rPr>
        <w:t xml:space="preserve"> undertake appropriate </w:t>
      </w:r>
      <w:r w:rsidR="009D0A0F" w:rsidRPr="007A796B">
        <w:rPr>
          <w:rFonts w:ascii="Arial" w:hAnsi="Arial" w:cs="Arial"/>
          <w:sz w:val="22"/>
          <w:szCs w:val="22"/>
        </w:rPr>
        <w:t xml:space="preserve">and </w:t>
      </w:r>
      <w:r w:rsidRPr="007A796B">
        <w:rPr>
          <w:rFonts w:ascii="Arial" w:hAnsi="Arial" w:cs="Arial"/>
          <w:sz w:val="22"/>
          <w:szCs w:val="22"/>
        </w:rPr>
        <w:t xml:space="preserve">reasonably practicable </w:t>
      </w:r>
      <w:r w:rsidR="009D0A0F" w:rsidRPr="007A796B">
        <w:rPr>
          <w:rFonts w:ascii="Arial" w:hAnsi="Arial" w:cs="Arial"/>
          <w:sz w:val="22"/>
          <w:szCs w:val="22"/>
        </w:rPr>
        <w:t xml:space="preserve">consultation </w:t>
      </w:r>
      <w:r w:rsidRPr="007A796B">
        <w:rPr>
          <w:rFonts w:ascii="Arial" w:hAnsi="Arial" w:cs="Arial"/>
          <w:sz w:val="22"/>
          <w:szCs w:val="22"/>
        </w:rPr>
        <w:t>before making a legislative instrument.</w:t>
      </w:r>
    </w:p>
    <w:p w14:paraId="1A077FA5" w14:textId="77777777" w:rsidR="007A796B" w:rsidRPr="007A796B" w:rsidRDefault="006D1F76" w:rsidP="00EC2C0D">
      <w:pPr>
        <w:numPr>
          <w:ilvl w:val="0"/>
          <w:numId w:val="1"/>
        </w:numPr>
        <w:spacing w:after="120"/>
        <w:rPr>
          <w:rFonts w:ascii="Arial" w:hAnsi="Arial" w:cs="Arial"/>
          <w:sz w:val="22"/>
          <w:szCs w:val="22"/>
        </w:rPr>
      </w:pPr>
      <w:r w:rsidRPr="007A796B">
        <w:rPr>
          <w:rFonts w:ascii="Arial" w:hAnsi="Arial" w:cs="Arial"/>
          <w:sz w:val="22"/>
          <w:szCs w:val="22"/>
        </w:rPr>
        <w:t xml:space="preserve">For this instrument, broad public consultation was undertaken </w:t>
      </w:r>
      <w:r w:rsidR="0043044C" w:rsidRPr="007A796B">
        <w:rPr>
          <w:rFonts w:ascii="Arial" w:hAnsi="Arial" w:cs="Arial"/>
          <w:sz w:val="22"/>
          <w:szCs w:val="22"/>
        </w:rPr>
        <w:t>from</w:t>
      </w:r>
      <w:r w:rsidRPr="007A796B">
        <w:rPr>
          <w:rFonts w:ascii="Arial" w:hAnsi="Arial" w:cs="Arial"/>
          <w:sz w:val="22"/>
          <w:szCs w:val="22"/>
        </w:rPr>
        <w:t xml:space="preserve"> </w:t>
      </w:r>
      <w:r w:rsidR="00340400" w:rsidRPr="007A796B">
        <w:rPr>
          <w:rFonts w:ascii="Arial" w:hAnsi="Arial" w:cs="Arial"/>
          <w:sz w:val="22"/>
          <w:szCs w:val="22"/>
        </w:rPr>
        <w:t>9 to 30 September 2022</w:t>
      </w:r>
      <w:r w:rsidRPr="007A796B">
        <w:rPr>
          <w:rFonts w:ascii="Arial" w:hAnsi="Arial" w:cs="Arial"/>
          <w:sz w:val="22"/>
          <w:szCs w:val="22"/>
        </w:rPr>
        <w:t xml:space="preserve">. Targeted consultation was also undertaken </w:t>
      </w:r>
      <w:r w:rsidR="0043044C" w:rsidRPr="007A796B">
        <w:rPr>
          <w:rFonts w:ascii="Arial" w:hAnsi="Arial" w:cs="Arial"/>
          <w:sz w:val="22"/>
          <w:szCs w:val="22"/>
        </w:rPr>
        <w:t>from</w:t>
      </w:r>
      <w:r w:rsidRPr="007A796B">
        <w:rPr>
          <w:rFonts w:ascii="Arial" w:hAnsi="Arial" w:cs="Arial"/>
          <w:sz w:val="22"/>
          <w:szCs w:val="22"/>
        </w:rPr>
        <w:t xml:space="preserve"> 28 September </w:t>
      </w:r>
      <w:r w:rsidR="00817A63" w:rsidRPr="007A796B">
        <w:rPr>
          <w:rFonts w:ascii="Arial" w:hAnsi="Arial" w:cs="Arial"/>
          <w:sz w:val="22"/>
          <w:szCs w:val="22"/>
        </w:rPr>
        <w:t>202</w:t>
      </w:r>
      <w:r w:rsidR="000662B8" w:rsidRPr="007A796B">
        <w:rPr>
          <w:rFonts w:ascii="Arial" w:hAnsi="Arial" w:cs="Arial"/>
          <w:sz w:val="22"/>
          <w:szCs w:val="22"/>
        </w:rPr>
        <w:t>2</w:t>
      </w:r>
      <w:r w:rsidR="00817A63" w:rsidRPr="007A796B">
        <w:rPr>
          <w:rFonts w:ascii="Arial" w:hAnsi="Arial" w:cs="Arial"/>
          <w:sz w:val="22"/>
          <w:szCs w:val="22"/>
        </w:rPr>
        <w:t xml:space="preserve"> </w:t>
      </w:r>
      <w:r w:rsidRPr="007A796B">
        <w:rPr>
          <w:rFonts w:ascii="Arial" w:hAnsi="Arial" w:cs="Arial"/>
          <w:sz w:val="22"/>
          <w:szCs w:val="22"/>
        </w:rPr>
        <w:t>to 14 October 2022.</w:t>
      </w:r>
    </w:p>
    <w:p w14:paraId="419FD27D" w14:textId="77777777" w:rsidR="007A796B" w:rsidRPr="007A796B" w:rsidRDefault="006D1F76" w:rsidP="00EC2C0D">
      <w:pPr>
        <w:numPr>
          <w:ilvl w:val="0"/>
          <w:numId w:val="1"/>
        </w:numPr>
        <w:spacing w:after="120"/>
        <w:rPr>
          <w:rFonts w:ascii="Arial" w:hAnsi="Arial" w:cs="Arial"/>
          <w:sz w:val="22"/>
          <w:szCs w:val="22"/>
        </w:rPr>
      </w:pPr>
      <w:r w:rsidRPr="007A796B">
        <w:rPr>
          <w:rFonts w:ascii="Arial" w:hAnsi="Arial" w:cs="Arial"/>
          <w:sz w:val="22"/>
          <w:szCs w:val="22"/>
        </w:rPr>
        <w:t xml:space="preserve">The draft instrument and draft explanatory statement were published </w:t>
      </w:r>
      <w:r w:rsidR="007A4123" w:rsidRPr="007A796B">
        <w:rPr>
          <w:rFonts w:ascii="Arial" w:hAnsi="Arial" w:cs="Arial"/>
          <w:sz w:val="22"/>
          <w:szCs w:val="22"/>
        </w:rPr>
        <w:t>on</w:t>
      </w:r>
      <w:r w:rsidRPr="007A796B">
        <w:rPr>
          <w:rFonts w:ascii="Arial" w:hAnsi="Arial" w:cs="Arial"/>
          <w:sz w:val="22"/>
          <w:szCs w:val="22"/>
        </w:rPr>
        <w:t xml:space="preserve"> the </w:t>
      </w:r>
      <w:r w:rsidR="002513E5" w:rsidRPr="007A796B">
        <w:rPr>
          <w:rFonts w:ascii="Arial" w:hAnsi="Arial" w:cs="Arial"/>
          <w:sz w:val="22"/>
          <w:szCs w:val="22"/>
        </w:rPr>
        <w:t>Treasury Consultation web page</w:t>
      </w:r>
      <w:r w:rsidR="00340400" w:rsidRPr="007A796B">
        <w:rPr>
          <w:rFonts w:ascii="Arial" w:hAnsi="Arial" w:cs="Arial"/>
          <w:sz w:val="22"/>
          <w:szCs w:val="22"/>
        </w:rPr>
        <w:t xml:space="preserve"> </w:t>
      </w:r>
      <w:r w:rsidR="002513E5" w:rsidRPr="007A796B">
        <w:rPr>
          <w:rFonts w:ascii="Arial" w:hAnsi="Arial" w:cs="Arial"/>
          <w:sz w:val="22"/>
          <w:szCs w:val="22"/>
        </w:rPr>
        <w:t xml:space="preserve">available at </w:t>
      </w:r>
      <w:hyperlink r:id="rId8" w:history="1">
        <w:r w:rsidR="002513E5" w:rsidRPr="007A796B">
          <w:rPr>
            <w:rStyle w:val="Hyperlink"/>
            <w:rFonts w:ascii="Arial" w:hAnsi="Arial" w:cs="Arial"/>
            <w:sz w:val="22"/>
            <w:szCs w:val="22"/>
          </w:rPr>
          <w:t>treasury.gov.au</w:t>
        </w:r>
      </w:hyperlink>
      <w:r w:rsidR="002513E5" w:rsidRPr="007A796B">
        <w:rPr>
          <w:rFonts w:ascii="Arial" w:hAnsi="Arial" w:cs="Arial"/>
          <w:sz w:val="22"/>
          <w:szCs w:val="22"/>
        </w:rPr>
        <w:t xml:space="preserve"> </w:t>
      </w:r>
      <w:r w:rsidR="00340400" w:rsidRPr="007A796B">
        <w:rPr>
          <w:rFonts w:ascii="Arial" w:hAnsi="Arial" w:cs="Arial"/>
          <w:sz w:val="22"/>
          <w:szCs w:val="22"/>
        </w:rPr>
        <w:t>as part of a joint Treasury</w:t>
      </w:r>
      <w:r w:rsidR="002513E5" w:rsidRPr="007A796B">
        <w:rPr>
          <w:rFonts w:ascii="Arial" w:hAnsi="Arial" w:cs="Arial"/>
          <w:sz w:val="22"/>
          <w:szCs w:val="22"/>
        </w:rPr>
        <w:t>-</w:t>
      </w:r>
      <w:r w:rsidR="00340400" w:rsidRPr="007A796B">
        <w:rPr>
          <w:rFonts w:ascii="Arial" w:hAnsi="Arial" w:cs="Arial"/>
          <w:sz w:val="22"/>
          <w:szCs w:val="22"/>
        </w:rPr>
        <w:t>ATO consultation process.</w:t>
      </w:r>
    </w:p>
    <w:p w14:paraId="583EEB67" w14:textId="77777777" w:rsidR="007A796B" w:rsidRPr="007A796B" w:rsidRDefault="000325C1" w:rsidP="00EC2C0D">
      <w:pPr>
        <w:numPr>
          <w:ilvl w:val="0"/>
          <w:numId w:val="1"/>
        </w:numPr>
        <w:spacing w:after="120"/>
        <w:rPr>
          <w:rFonts w:ascii="Arial" w:hAnsi="Arial" w:cs="Arial"/>
          <w:sz w:val="22"/>
          <w:szCs w:val="22"/>
        </w:rPr>
      </w:pPr>
      <w:r w:rsidRPr="007A796B">
        <w:rPr>
          <w:rFonts w:ascii="Arial" w:hAnsi="Arial" w:cs="Arial"/>
          <w:sz w:val="22"/>
          <w:szCs w:val="22"/>
        </w:rPr>
        <w:t>T</w:t>
      </w:r>
      <w:r w:rsidR="006D1F76" w:rsidRPr="007A796B">
        <w:rPr>
          <w:rFonts w:ascii="Arial" w:hAnsi="Arial" w:cs="Arial"/>
          <w:sz w:val="22"/>
          <w:szCs w:val="22"/>
        </w:rPr>
        <w:t>he legislative instrument and explanatory statement w</w:t>
      </w:r>
      <w:r w:rsidR="00340400" w:rsidRPr="007A796B">
        <w:rPr>
          <w:rFonts w:ascii="Arial" w:hAnsi="Arial" w:cs="Arial"/>
          <w:sz w:val="22"/>
          <w:szCs w:val="22"/>
        </w:rPr>
        <w:t>ere</w:t>
      </w:r>
      <w:r w:rsidR="006D1F76" w:rsidRPr="007A796B">
        <w:rPr>
          <w:rFonts w:ascii="Arial" w:hAnsi="Arial" w:cs="Arial"/>
          <w:sz w:val="22"/>
          <w:szCs w:val="22"/>
        </w:rPr>
        <w:t xml:space="preserve"> amended</w:t>
      </w:r>
      <w:r w:rsidRPr="007A796B">
        <w:rPr>
          <w:rFonts w:ascii="Arial" w:hAnsi="Arial" w:cs="Arial"/>
          <w:sz w:val="22"/>
          <w:szCs w:val="22"/>
        </w:rPr>
        <w:t xml:space="preserve"> </w:t>
      </w:r>
      <w:r w:rsidR="00187E49" w:rsidRPr="007A796B">
        <w:rPr>
          <w:rFonts w:ascii="Arial" w:hAnsi="Arial" w:cs="Arial"/>
          <w:sz w:val="22"/>
          <w:szCs w:val="22"/>
        </w:rPr>
        <w:t xml:space="preserve">to reflect </w:t>
      </w:r>
      <w:r w:rsidRPr="007A796B">
        <w:rPr>
          <w:rFonts w:ascii="Arial" w:hAnsi="Arial" w:cs="Arial"/>
          <w:sz w:val="22"/>
          <w:szCs w:val="22"/>
        </w:rPr>
        <w:t>feedback received</w:t>
      </w:r>
      <w:r w:rsidR="00187E49" w:rsidRPr="007A796B">
        <w:rPr>
          <w:rFonts w:ascii="Arial" w:hAnsi="Arial" w:cs="Arial"/>
          <w:sz w:val="22"/>
          <w:szCs w:val="22"/>
        </w:rPr>
        <w:t xml:space="preserve"> through consultation</w:t>
      </w:r>
      <w:r w:rsidR="006D1F76" w:rsidRPr="007A796B">
        <w:rPr>
          <w:rFonts w:ascii="Arial" w:hAnsi="Arial" w:cs="Arial"/>
          <w:sz w:val="22"/>
          <w:szCs w:val="22"/>
        </w:rPr>
        <w:t xml:space="preserve">. The main issues raised included </w:t>
      </w:r>
      <w:r w:rsidR="00F4509E" w:rsidRPr="007A796B">
        <w:rPr>
          <w:rFonts w:ascii="Arial" w:hAnsi="Arial" w:cs="Arial"/>
          <w:sz w:val="22"/>
          <w:szCs w:val="22"/>
        </w:rPr>
        <w:t xml:space="preserve">the </w:t>
      </w:r>
      <w:r w:rsidR="006D1F76" w:rsidRPr="007A796B">
        <w:rPr>
          <w:rFonts w:ascii="Arial" w:hAnsi="Arial" w:cs="Arial"/>
          <w:sz w:val="22"/>
          <w:szCs w:val="22"/>
        </w:rPr>
        <w:t>use of internal policies and documents, itineraries and receipts as alternat</w:t>
      </w:r>
      <w:r w:rsidR="007A4123" w:rsidRPr="007A796B">
        <w:rPr>
          <w:rFonts w:ascii="Arial" w:hAnsi="Arial" w:cs="Arial"/>
          <w:sz w:val="22"/>
          <w:szCs w:val="22"/>
        </w:rPr>
        <w:t>ive</w:t>
      </w:r>
      <w:r w:rsidR="006D1F76" w:rsidRPr="007A796B">
        <w:rPr>
          <w:rFonts w:ascii="Arial" w:hAnsi="Arial" w:cs="Arial"/>
          <w:sz w:val="22"/>
          <w:szCs w:val="22"/>
        </w:rPr>
        <w:t xml:space="preserve"> records</w:t>
      </w:r>
      <w:r w:rsidR="009D0A0F" w:rsidRPr="007A796B">
        <w:rPr>
          <w:rFonts w:ascii="Arial" w:hAnsi="Arial" w:cs="Arial"/>
          <w:sz w:val="22"/>
          <w:szCs w:val="22"/>
        </w:rPr>
        <w:t>,</w:t>
      </w:r>
      <w:r w:rsidR="006D1F76" w:rsidRPr="007A796B">
        <w:rPr>
          <w:rFonts w:ascii="Arial" w:hAnsi="Arial" w:cs="Arial"/>
          <w:sz w:val="22"/>
          <w:szCs w:val="22"/>
        </w:rPr>
        <w:t xml:space="preserve"> and </w:t>
      </w:r>
      <w:r w:rsidR="00F4509E" w:rsidRPr="007A796B">
        <w:rPr>
          <w:rFonts w:ascii="Arial" w:hAnsi="Arial" w:cs="Arial"/>
          <w:sz w:val="22"/>
          <w:szCs w:val="22"/>
        </w:rPr>
        <w:t xml:space="preserve">a suggestion for </w:t>
      </w:r>
      <w:r w:rsidR="009D0A0F" w:rsidRPr="007A796B">
        <w:rPr>
          <w:rFonts w:ascii="Arial" w:hAnsi="Arial" w:cs="Arial"/>
          <w:sz w:val="22"/>
          <w:szCs w:val="22"/>
        </w:rPr>
        <w:t xml:space="preserve">different </w:t>
      </w:r>
      <w:r w:rsidR="006D1F76" w:rsidRPr="007A796B">
        <w:rPr>
          <w:rFonts w:ascii="Arial" w:hAnsi="Arial" w:cs="Arial"/>
          <w:sz w:val="22"/>
          <w:szCs w:val="22"/>
        </w:rPr>
        <w:t xml:space="preserve">examples </w:t>
      </w:r>
      <w:r w:rsidR="00F4509E" w:rsidRPr="007A796B">
        <w:rPr>
          <w:rFonts w:ascii="Arial" w:hAnsi="Arial" w:cs="Arial"/>
          <w:sz w:val="22"/>
          <w:szCs w:val="22"/>
        </w:rPr>
        <w:t xml:space="preserve">in the explanatory statement </w:t>
      </w:r>
      <w:r w:rsidR="006D1F76" w:rsidRPr="007A796B">
        <w:rPr>
          <w:rFonts w:ascii="Arial" w:hAnsi="Arial" w:cs="Arial"/>
          <w:sz w:val="22"/>
          <w:szCs w:val="22"/>
        </w:rPr>
        <w:t>to account for employers’ differing circumstances.</w:t>
      </w:r>
    </w:p>
    <w:p w14:paraId="09F9159E" w14:textId="77777777" w:rsidR="007A796B" w:rsidRPr="007A796B" w:rsidRDefault="007A796B" w:rsidP="007A796B">
      <w:pPr>
        <w:autoSpaceDE w:val="0"/>
        <w:autoSpaceDN w:val="0"/>
        <w:adjustRightInd w:val="0"/>
        <w:spacing w:after="120"/>
        <w:rPr>
          <w:rFonts w:ascii="Arial" w:hAnsi="Arial" w:cs="Arial"/>
          <w:color w:val="000000"/>
          <w:sz w:val="22"/>
          <w:szCs w:val="22"/>
        </w:rPr>
      </w:pPr>
    </w:p>
    <w:p w14:paraId="433BCE97" w14:textId="77777777" w:rsidR="007A796B" w:rsidRPr="007A796B" w:rsidRDefault="007A796B" w:rsidP="007A796B">
      <w:pPr>
        <w:autoSpaceDE w:val="0"/>
        <w:autoSpaceDN w:val="0"/>
        <w:adjustRightInd w:val="0"/>
        <w:spacing w:after="120"/>
        <w:rPr>
          <w:rFonts w:ascii="Arial" w:hAnsi="Arial" w:cs="Arial"/>
          <w:color w:val="000000"/>
          <w:sz w:val="22"/>
          <w:szCs w:val="22"/>
        </w:rPr>
      </w:pPr>
    </w:p>
    <w:p w14:paraId="5B3D9059" w14:textId="77777777" w:rsidR="007A796B" w:rsidRPr="007A796B" w:rsidRDefault="007A796B" w:rsidP="007A796B">
      <w:pPr>
        <w:autoSpaceDE w:val="0"/>
        <w:autoSpaceDN w:val="0"/>
        <w:adjustRightInd w:val="0"/>
        <w:spacing w:after="120"/>
        <w:rPr>
          <w:rFonts w:ascii="Arial" w:hAnsi="Arial" w:cs="Arial"/>
          <w:color w:val="000000"/>
          <w:sz w:val="22"/>
          <w:szCs w:val="22"/>
        </w:rPr>
      </w:pPr>
    </w:p>
    <w:p w14:paraId="69FE8C27" w14:textId="68713CFC" w:rsidR="009371D0" w:rsidRPr="007A796B" w:rsidRDefault="007E0A01" w:rsidP="007A796B">
      <w:pPr>
        <w:pStyle w:val="Heading3"/>
        <w:spacing w:before="0"/>
        <w:rPr>
          <w:i/>
          <w:sz w:val="20"/>
          <w:szCs w:val="20"/>
        </w:rPr>
      </w:pPr>
      <w:r w:rsidRPr="007A796B">
        <w:rPr>
          <w:i/>
          <w:sz w:val="20"/>
          <w:szCs w:val="20"/>
        </w:rPr>
        <w:t>Legislative references</w:t>
      </w:r>
    </w:p>
    <w:p w14:paraId="3A564BA2" w14:textId="474AFB54" w:rsidR="00FE25A0" w:rsidRPr="007A796B" w:rsidRDefault="00FE25A0" w:rsidP="007A796B">
      <w:pPr>
        <w:rPr>
          <w:rFonts w:ascii="Arial" w:hAnsi="Arial" w:cs="Arial"/>
          <w:i/>
          <w:sz w:val="20"/>
        </w:rPr>
      </w:pPr>
      <w:r w:rsidRPr="007A796B">
        <w:rPr>
          <w:rFonts w:ascii="Arial" w:hAnsi="Arial" w:cs="Arial"/>
          <w:i/>
          <w:sz w:val="20"/>
        </w:rPr>
        <w:t>Acts Interpretation Act 1901</w:t>
      </w:r>
    </w:p>
    <w:p w14:paraId="1BA068C2" w14:textId="77777777" w:rsidR="00FE25A0" w:rsidRPr="007A796B" w:rsidRDefault="00FE25A0" w:rsidP="007A796B">
      <w:pPr>
        <w:rPr>
          <w:rFonts w:ascii="Arial" w:hAnsi="Arial" w:cs="Arial"/>
          <w:i/>
          <w:sz w:val="20"/>
        </w:rPr>
      </w:pPr>
      <w:r w:rsidRPr="007A796B">
        <w:rPr>
          <w:rFonts w:ascii="Arial" w:hAnsi="Arial" w:cs="Arial"/>
          <w:i/>
          <w:sz w:val="20"/>
        </w:rPr>
        <w:t>Fringe Benefits Tax Assessment Act 1986</w:t>
      </w:r>
    </w:p>
    <w:p w14:paraId="568C65D1" w14:textId="77777777" w:rsidR="00537004" w:rsidRPr="007A796B" w:rsidRDefault="00537004" w:rsidP="007A796B">
      <w:pPr>
        <w:rPr>
          <w:rFonts w:ascii="Arial" w:hAnsi="Arial" w:cs="Arial"/>
          <w:sz w:val="20"/>
        </w:rPr>
      </w:pPr>
      <w:r w:rsidRPr="007A796B">
        <w:rPr>
          <w:rFonts w:ascii="Arial" w:hAnsi="Arial" w:cs="Arial"/>
          <w:i/>
          <w:sz w:val="20"/>
        </w:rPr>
        <w:t>Human Rights (Parliamentary Scrutiny) Act 2011</w:t>
      </w:r>
    </w:p>
    <w:p w14:paraId="73DFAB52" w14:textId="4251CED9" w:rsidR="00FE25A0" w:rsidRPr="007A796B" w:rsidRDefault="00FE25A0" w:rsidP="007A796B">
      <w:pPr>
        <w:rPr>
          <w:rFonts w:ascii="Arial" w:hAnsi="Arial" w:cs="Arial"/>
          <w:i/>
          <w:sz w:val="20"/>
        </w:rPr>
      </w:pPr>
      <w:r w:rsidRPr="007A796B">
        <w:rPr>
          <w:rFonts w:ascii="Arial" w:hAnsi="Arial" w:cs="Arial"/>
          <w:i/>
          <w:sz w:val="20"/>
        </w:rPr>
        <w:t>Income Tax Assessment Act 1997</w:t>
      </w:r>
    </w:p>
    <w:p w14:paraId="2298A3A1" w14:textId="6D14838F" w:rsidR="00FE25A0" w:rsidRPr="007A796B" w:rsidRDefault="00A55CC2" w:rsidP="007A796B">
      <w:pPr>
        <w:rPr>
          <w:rFonts w:ascii="Arial" w:hAnsi="Arial" w:cs="Arial"/>
          <w:sz w:val="20"/>
        </w:rPr>
      </w:pPr>
      <w:r w:rsidRPr="007A796B">
        <w:rPr>
          <w:rFonts w:ascii="Arial" w:hAnsi="Arial" w:cs="Arial"/>
          <w:i/>
          <w:iCs/>
          <w:sz w:val="20"/>
        </w:rPr>
        <w:t>Legislation Act 2003</w:t>
      </w:r>
    </w:p>
    <w:p w14:paraId="15AC1BA6" w14:textId="071C8BC4" w:rsidR="00101CD5" w:rsidRPr="007A796B" w:rsidRDefault="00101CD5" w:rsidP="007A796B">
      <w:pPr>
        <w:spacing w:after="120"/>
        <w:rPr>
          <w:rFonts w:ascii="Arial" w:hAnsi="Arial" w:cs="Arial"/>
          <w:sz w:val="22"/>
          <w:szCs w:val="22"/>
        </w:rPr>
      </w:pPr>
      <w:r w:rsidRPr="007A796B">
        <w:rPr>
          <w:rFonts w:ascii="Arial" w:hAnsi="Arial" w:cs="Arial"/>
          <w:sz w:val="22"/>
          <w:szCs w:val="22"/>
        </w:rPr>
        <w:br w:type="page"/>
      </w:r>
    </w:p>
    <w:p w14:paraId="15AC1BAC" w14:textId="6B4B8273" w:rsidR="00333567" w:rsidRPr="007A796B" w:rsidRDefault="00E53399" w:rsidP="007A796B">
      <w:pPr>
        <w:pStyle w:val="Heading3"/>
        <w:spacing w:before="0" w:after="120"/>
        <w:jc w:val="center"/>
        <w:rPr>
          <w:sz w:val="22"/>
          <w:szCs w:val="22"/>
        </w:rPr>
      </w:pPr>
      <w:r w:rsidRPr="007A796B">
        <w:rPr>
          <w:sz w:val="22"/>
          <w:szCs w:val="22"/>
        </w:rPr>
        <w:lastRenderedPageBreak/>
        <w:t xml:space="preserve">Statement of compatibility </w:t>
      </w:r>
      <w:r w:rsidR="00C11D03" w:rsidRPr="007A796B">
        <w:rPr>
          <w:sz w:val="22"/>
          <w:szCs w:val="22"/>
        </w:rPr>
        <w:t>with Human Rights</w:t>
      </w:r>
    </w:p>
    <w:p w14:paraId="15AC1BAD" w14:textId="10C7DC69" w:rsidR="00E53399" w:rsidRPr="007A796B" w:rsidRDefault="004F5EB1" w:rsidP="007A796B">
      <w:pPr>
        <w:spacing w:after="120"/>
        <w:rPr>
          <w:rFonts w:ascii="Arial" w:hAnsi="Arial" w:cs="Arial"/>
          <w:sz w:val="22"/>
          <w:szCs w:val="22"/>
        </w:rPr>
      </w:pPr>
      <w:r w:rsidRPr="007A796B">
        <w:rPr>
          <w:rFonts w:ascii="Arial" w:hAnsi="Arial" w:cs="Arial"/>
          <w:sz w:val="22"/>
          <w:szCs w:val="22"/>
        </w:rPr>
        <w:t>P</w:t>
      </w:r>
      <w:r w:rsidR="00E53399" w:rsidRPr="007A796B">
        <w:rPr>
          <w:rFonts w:ascii="Arial" w:hAnsi="Arial" w:cs="Arial"/>
          <w:sz w:val="22"/>
          <w:szCs w:val="22"/>
        </w:rPr>
        <w:t xml:space="preserve">repared in accordance with Part 3 of the </w:t>
      </w:r>
      <w:r w:rsidR="00E53399" w:rsidRPr="007A796B">
        <w:rPr>
          <w:rFonts w:ascii="Arial" w:hAnsi="Arial" w:cs="Arial"/>
          <w:i/>
          <w:iCs/>
          <w:sz w:val="22"/>
          <w:szCs w:val="22"/>
        </w:rPr>
        <w:t>Human Rights (Parliamentary Scrutiny) Act 2011</w:t>
      </w:r>
    </w:p>
    <w:p w14:paraId="5E5F5C25" w14:textId="77777777" w:rsidR="00B55D24" w:rsidRPr="007A796B" w:rsidRDefault="00B55D24" w:rsidP="007A796B">
      <w:pPr>
        <w:spacing w:after="120"/>
        <w:rPr>
          <w:rFonts w:ascii="Arial" w:hAnsi="Arial" w:cs="Arial"/>
          <w:sz w:val="22"/>
          <w:szCs w:val="22"/>
        </w:rPr>
      </w:pPr>
    </w:p>
    <w:p w14:paraId="15AC1BAF" w14:textId="7A10B60A" w:rsidR="002A26FE" w:rsidRPr="007A796B" w:rsidRDefault="005D456E" w:rsidP="007A796B">
      <w:pPr>
        <w:pStyle w:val="Heading2"/>
        <w:jc w:val="center"/>
      </w:pPr>
      <w:r w:rsidRPr="007A796B">
        <w:t xml:space="preserve">Fringe Benefits Assessment (Adequate Alternative Records </w:t>
      </w:r>
      <w:r w:rsidR="009D0A0F" w:rsidRPr="007A796B">
        <w:t>–</w:t>
      </w:r>
      <w:r w:rsidRPr="007A796B">
        <w:t xml:space="preserve"> Travel Diaries) </w:t>
      </w:r>
      <w:r w:rsidR="00B55D24" w:rsidRPr="007A796B">
        <w:t xml:space="preserve">Determination </w:t>
      </w:r>
      <w:r w:rsidRPr="007A796B">
        <w:t>202</w:t>
      </w:r>
      <w:r w:rsidR="00EB3D0D" w:rsidRPr="007A796B">
        <w:t>4</w:t>
      </w:r>
    </w:p>
    <w:p w14:paraId="54F9AC2D" w14:textId="7A5EA0D3" w:rsidR="009371D0" w:rsidRPr="007A796B" w:rsidRDefault="00075B58" w:rsidP="007A796B">
      <w:pPr>
        <w:autoSpaceDE w:val="0"/>
        <w:autoSpaceDN w:val="0"/>
        <w:adjustRightInd w:val="0"/>
        <w:spacing w:after="120"/>
        <w:rPr>
          <w:rFonts w:ascii="Arial" w:hAnsi="Arial" w:cs="Arial"/>
          <w:i/>
          <w:color w:val="000000"/>
          <w:sz w:val="22"/>
          <w:szCs w:val="22"/>
        </w:rPr>
      </w:pPr>
      <w:r w:rsidRPr="007A796B">
        <w:rPr>
          <w:rFonts w:ascii="Arial" w:hAnsi="Arial" w:cs="Arial"/>
          <w:color w:val="000000"/>
          <w:sz w:val="22"/>
          <w:szCs w:val="22"/>
        </w:rPr>
        <w:t xml:space="preserve">This </w:t>
      </w:r>
      <w:r w:rsidR="003B547B" w:rsidRPr="007A796B">
        <w:rPr>
          <w:rFonts w:ascii="Arial" w:hAnsi="Arial" w:cs="Arial"/>
          <w:color w:val="000000"/>
          <w:sz w:val="22"/>
          <w:szCs w:val="22"/>
        </w:rPr>
        <w:t>l</w:t>
      </w:r>
      <w:r w:rsidRPr="007A796B">
        <w:rPr>
          <w:rFonts w:ascii="Arial" w:hAnsi="Arial" w:cs="Arial"/>
          <w:color w:val="000000"/>
          <w:sz w:val="22"/>
          <w:szCs w:val="22"/>
        </w:rPr>
        <w:t xml:space="preserve">egislative </w:t>
      </w:r>
      <w:r w:rsidR="003B547B" w:rsidRPr="007A796B">
        <w:rPr>
          <w:rFonts w:ascii="Arial" w:hAnsi="Arial" w:cs="Arial"/>
          <w:color w:val="000000"/>
          <w:sz w:val="22"/>
          <w:szCs w:val="22"/>
        </w:rPr>
        <w:t>i</w:t>
      </w:r>
      <w:r w:rsidRPr="007A796B">
        <w:rPr>
          <w:rFonts w:ascii="Arial" w:hAnsi="Arial" w:cs="Arial"/>
          <w:color w:val="000000"/>
          <w:sz w:val="22"/>
          <w:szCs w:val="22"/>
        </w:rPr>
        <w:t xml:space="preserve">nstrument is compatible with the human rights and freedoms recognised or declared in the international instruments listed in section 3 of the </w:t>
      </w:r>
      <w:r w:rsidRPr="007A796B">
        <w:rPr>
          <w:rFonts w:ascii="Arial" w:hAnsi="Arial" w:cs="Arial"/>
          <w:i/>
          <w:color w:val="000000"/>
          <w:sz w:val="22"/>
          <w:szCs w:val="22"/>
        </w:rPr>
        <w:t>Human Righ</w:t>
      </w:r>
      <w:r w:rsidR="00101CD5" w:rsidRPr="007A796B">
        <w:rPr>
          <w:rFonts w:ascii="Arial" w:hAnsi="Arial" w:cs="Arial"/>
          <w:i/>
          <w:color w:val="000000"/>
          <w:sz w:val="22"/>
          <w:szCs w:val="22"/>
        </w:rPr>
        <w:t>ts (Parliamentary Scrutiny) Act </w:t>
      </w:r>
      <w:r w:rsidRPr="007A796B">
        <w:rPr>
          <w:rFonts w:ascii="Arial" w:hAnsi="Arial" w:cs="Arial"/>
          <w:i/>
          <w:color w:val="000000"/>
          <w:sz w:val="22"/>
          <w:szCs w:val="22"/>
        </w:rPr>
        <w:t>2011.</w:t>
      </w:r>
    </w:p>
    <w:p w14:paraId="1B4CC9F2" w14:textId="77777777" w:rsidR="00053C39" w:rsidRPr="007A796B" w:rsidRDefault="00053C39" w:rsidP="007A796B">
      <w:pPr>
        <w:autoSpaceDE w:val="0"/>
        <w:autoSpaceDN w:val="0"/>
        <w:adjustRightInd w:val="0"/>
        <w:spacing w:after="120"/>
        <w:rPr>
          <w:rFonts w:ascii="Arial" w:hAnsi="Arial" w:cs="Arial"/>
          <w:color w:val="000000"/>
          <w:sz w:val="22"/>
          <w:szCs w:val="22"/>
        </w:rPr>
      </w:pPr>
    </w:p>
    <w:p w14:paraId="15AC1BB3" w14:textId="2377D27B" w:rsidR="00075B58" w:rsidRPr="007A796B" w:rsidRDefault="00075B58" w:rsidP="007A796B">
      <w:pPr>
        <w:pStyle w:val="Heading2"/>
      </w:pPr>
      <w:bookmarkStart w:id="3" w:name="_Hlk129081098"/>
      <w:r w:rsidRPr="007A796B">
        <w:t xml:space="preserve">Overview of </w:t>
      </w:r>
      <w:r w:rsidR="007E0A01" w:rsidRPr="007A796B">
        <w:t xml:space="preserve">the </w:t>
      </w:r>
      <w:r w:rsidR="003B547B" w:rsidRPr="007A796B">
        <w:t>l</w:t>
      </w:r>
      <w:r w:rsidRPr="007A796B">
        <w:t xml:space="preserve">egislative </w:t>
      </w:r>
      <w:r w:rsidR="003B547B" w:rsidRPr="007A796B">
        <w:t>i</w:t>
      </w:r>
      <w:r w:rsidRPr="007A796B">
        <w:t>nstrument</w:t>
      </w:r>
    </w:p>
    <w:bookmarkEnd w:id="3"/>
    <w:p w14:paraId="3C4ED8A9" w14:textId="77777777" w:rsidR="007A796B" w:rsidRPr="007A796B" w:rsidRDefault="00DD012B" w:rsidP="007A796B">
      <w:pPr>
        <w:spacing w:after="120"/>
        <w:rPr>
          <w:rFonts w:ascii="Arial" w:hAnsi="Arial" w:cs="Arial"/>
          <w:bCs/>
          <w:sz w:val="22"/>
          <w:szCs w:val="22"/>
        </w:rPr>
      </w:pPr>
      <w:r w:rsidRPr="007A796B">
        <w:rPr>
          <w:rFonts w:ascii="Arial" w:hAnsi="Arial" w:cs="Arial"/>
          <w:bCs/>
          <w:sz w:val="22"/>
          <w:szCs w:val="22"/>
        </w:rPr>
        <w:t>The instrument specifies records that the Commissioner of Taxation will accept from an employer, in certain circumstances, as an alternative to an employee providing a travel diary for certain fringe benefits in respect of travel</w:t>
      </w:r>
      <w:r w:rsidR="005D456E" w:rsidRPr="007A796B">
        <w:rPr>
          <w:rFonts w:ascii="Arial" w:hAnsi="Arial" w:cs="Arial"/>
          <w:bCs/>
          <w:sz w:val="22"/>
          <w:szCs w:val="22"/>
        </w:rPr>
        <w:t>.</w:t>
      </w:r>
    </w:p>
    <w:p w14:paraId="66F9E797" w14:textId="00D9BDB1" w:rsidR="00053C39" w:rsidRPr="007A796B" w:rsidRDefault="00053C39" w:rsidP="007A796B">
      <w:pPr>
        <w:spacing w:after="120"/>
        <w:rPr>
          <w:rFonts w:ascii="Arial" w:hAnsi="Arial" w:cs="Arial"/>
          <w:bCs/>
          <w:sz w:val="22"/>
          <w:szCs w:val="22"/>
        </w:rPr>
      </w:pPr>
    </w:p>
    <w:p w14:paraId="15AC1BB6" w14:textId="77777777" w:rsidR="00075B58" w:rsidRPr="007A796B" w:rsidRDefault="00075B58" w:rsidP="007A796B">
      <w:pPr>
        <w:pStyle w:val="Heading2"/>
      </w:pPr>
      <w:r w:rsidRPr="007A796B">
        <w:t>Human rights implications</w:t>
      </w:r>
    </w:p>
    <w:p w14:paraId="5B88BA58" w14:textId="77777777" w:rsidR="007A796B" w:rsidRPr="007A796B" w:rsidRDefault="005D456E" w:rsidP="007A796B">
      <w:pPr>
        <w:pStyle w:val="Heading2"/>
        <w:rPr>
          <w:b w:val="0"/>
        </w:rPr>
      </w:pPr>
      <w:r w:rsidRPr="007A796B">
        <w:rPr>
          <w:b w:val="0"/>
        </w:rPr>
        <w:t xml:space="preserve">This legislative instrument does not engage any of the applicable rights or freedoms because it merely provides employers with an option to use acceptable alternative records instead of an employee </w:t>
      </w:r>
      <w:r w:rsidR="00CB5F3D" w:rsidRPr="007A796B">
        <w:rPr>
          <w:b w:val="0"/>
        </w:rPr>
        <w:t>travel diary</w:t>
      </w:r>
      <w:r w:rsidRPr="007A796B">
        <w:rPr>
          <w:b w:val="0"/>
        </w:rPr>
        <w:t>. Importantly, it will help reduce employers’ record keeping compliance costs</w:t>
      </w:r>
      <w:r w:rsidR="00701576" w:rsidRPr="007A796B">
        <w:rPr>
          <w:b w:val="0"/>
        </w:rPr>
        <w:t xml:space="preserve"> in relation to the fringe benefits tax law</w:t>
      </w:r>
      <w:r w:rsidRPr="007A796B">
        <w:rPr>
          <w:b w:val="0"/>
        </w:rPr>
        <w:t xml:space="preserve"> and provide them with certainty regarding their record keeping obligations.</w:t>
      </w:r>
    </w:p>
    <w:p w14:paraId="758FD063" w14:textId="37DAAF6D" w:rsidR="00053C39" w:rsidRPr="007A796B" w:rsidRDefault="00053C39" w:rsidP="007A796B">
      <w:pPr>
        <w:spacing w:after="120"/>
        <w:rPr>
          <w:rFonts w:ascii="Arial" w:hAnsi="Arial" w:cs="Arial"/>
          <w:sz w:val="22"/>
          <w:szCs w:val="22"/>
        </w:rPr>
      </w:pPr>
    </w:p>
    <w:p w14:paraId="15AC1BB9" w14:textId="77777777" w:rsidR="00075B58" w:rsidRPr="007A796B" w:rsidRDefault="00075B58" w:rsidP="007A796B">
      <w:pPr>
        <w:pStyle w:val="Heading2"/>
      </w:pPr>
      <w:r w:rsidRPr="007A796B">
        <w:t>Conclusion</w:t>
      </w:r>
    </w:p>
    <w:p w14:paraId="23B1EBD1" w14:textId="3FFBEE95" w:rsidR="005D456E" w:rsidRPr="007A796B" w:rsidRDefault="005D456E" w:rsidP="007A796B">
      <w:pPr>
        <w:spacing w:after="120"/>
        <w:rPr>
          <w:rFonts w:ascii="Arial" w:hAnsi="Arial" w:cs="Arial"/>
          <w:sz w:val="22"/>
          <w:szCs w:val="22"/>
        </w:rPr>
      </w:pPr>
      <w:r w:rsidRPr="007A796B">
        <w:rPr>
          <w:rFonts w:ascii="Arial" w:hAnsi="Arial" w:cs="Arial"/>
          <w:sz w:val="22"/>
          <w:szCs w:val="22"/>
        </w:rPr>
        <w:t xml:space="preserve">This </w:t>
      </w:r>
      <w:r w:rsidR="00B55D24" w:rsidRPr="007A796B">
        <w:rPr>
          <w:rFonts w:ascii="Arial" w:hAnsi="Arial" w:cs="Arial"/>
          <w:sz w:val="22"/>
          <w:szCs w:val="22"/>
        </w:rPr>
        <w:t>l</w:t>
      </w:r>
      <w:r w:rsidRPr="007A796B">
        <w:rPr>
          <w:rFonts w:ascii="Arial" w:hAnsi="Arial" w:cs="Arial"/>
          <w:sz w:val="22"/>
          <w:szCs w:val="22"/>
        </w:rPr>
        <w:t xml:space="preserve">egislative </w:t>
      </w:r>
      <w:r w:rsidR="00B55D24" w:rsidRPr="007A796B">
        <w:rPr>
          <w:rFonts w:ascii="Arial" w:hAnsi="Arial" w:cs="Arial"/>
          <w:sz w:val="22"/>
          <w:szCs w:val="22"/>
        </w:rPr>
        <w:t>i</w:t>
      </w:r>
      <w:r w:rsidRPr="007A796B">
        <w:rPr>
          <w:rFonts w:ascii="Arial" w:hAnsi="Arial" w:cs="Arial"/>
          <w:sz w:val="22"/>
          <w:szCs w:val="22"/>
        </w:rPr>
        <w:t>nstrument is compatible with human rights as it does not raise any human rights issues.</w:t>
      </w:r>
    </w:p>
    <w:sectPr w:rsidR="005D456E" w:rsidRPr="007A796B" w:rsidSect="00081520">
      <w:headerReference w:type="default" r:id="rId9"/>
      <w:headerReference w:type="first" r:id="rId10"/>
      <w:pgSz w:w="11906" w:h="16838" w:code="9"/>
      <w:pgMar w:top="1440" w:right="1133" w:bottom="1358" w:left="993"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C546F" w14:textId="77777777" w:rsidR="00A51105" w:rsidRDefault="00A51105">
      <w:r>
        <w:separator/>
      </w:r>
    </w:p>
  </w:endnote>
  <w:endnote w:type="continuationSeparator" w:id="0">
    <w:p w14:paraId="4E956B9E" w14:textId="77777777" w:rsidR="00A51105" w:rsidRDefault="00A51105">
      <w:r>
        <w:continuationSeparator/>
      </w:r>
    </w:p>
  </w:endnote>
  <w:endnote w:type="continuationNotice" w:id="1">
    <w:p w14:paraId="3A61D318" w14:textId="77777777" w:rsidR="00A51105" w:rsidRDefault="00A511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F804D" w14:textId="77777777" w:rsidR="00A51105" w:rsidRDefault="00A51105">
      <w:r>
        <w:separator/>
      </w:r>
    </w:p>
  </w:footnote>
  <w:footnote w:type="continuationSeparator" w:id="0">
    <w:p w14:paraId="14A47114" w14:textId="77777777" w:rsidR="00A51105" w:rsidRDefault="00A51105">
      <w:r>
        <w:continuationSeparator/>
      </w:r>
    </w:p>
  </w:footnote>
  <w:footnote w:type="continuationNotice" w:id="1">
    <w:p w14:paraId="2F7F5172" w14:textId="77777777" w:rsidR="00A51105" w:rsidRDefault="00A511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C1BCD" w14:textId="77777777" w:rsidR="00587C50" w:rsidRDefault="00587C50" w:rsidP="001828A4">
    <w:pPr>
      <w:pStyle w:val="Header"/>
      <w:tabs>
        <w:tab w:val="clear" w:pos="4153"/>
        <w:tab w:val="clear" w:pos="8306"/>
        <w:tab w:val="center" w:pos="1418"/>
        <w:tab w:val="right" w:pos="878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C1BCF" w14:textId="77777777" w:rsidR="00587C50" w:rsidRDefault="003D0CBA" w:rsidP="001828A4">
    <w:pPr>
      <w:pStyle w:val="Header"/>
      <w:tabs>
        <w:tab w:val="clear" w:pos="4153"/>
        <w:tab w:val="clear" w:pos="8306"/>
      </w:tabs>
      <w:rPr>
        <w:rFonts w:ascii="Arial" w:hAnsi="Arial" w:cs="Arial"/>
        <w:sz w:val="20"/>
      </w:rPr>
    </w:pPr>
    <w:r>
      <w:rPr>
        <w:noProof/>
      </w:rPr>
      <w:drawing>
        <wp:inline distT="0" distB="0" distL="0" distR="0" wp14:anchorId="15AC1BD1" wp14:editId="7E403F57">
          <wp:extent cx="2413635" cy="701675"/>
          <wp:effectExtent l="0" t="0" r="5715" b="3175"/>
          <wp:docPr id="3" name="Picture 3"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The ATO logo containing the Federal Government crest and the words Australian Taxation Off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p>
  <w:p w14:paraId="15AC1BD0" w14:textId="77777777" w:rsidR="00CC1833" w:rsidRPr="001A6644" w:rsidRDefault="00CC1833" w:rsidP="00767CE8">
    <w:pPr>
      <w:pStyle w:val="Header"/>
      <w:tabs>
        <w:tab w:val="clear" w:pos="4153"/>
        <w:tab w:val="clear" w:pos="83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1412"/>
    <w:multiLevelType w:val="hybridMultilevel"/>
    <w:tmpl w:val="424E2224"/>
    <w:lvl w:ilvl="0" w:tplc="BFA813DA">
      <w:start w:val="1"/>
      <w:numFmt w:val="decimal"/>
      <w:lvlText w:val="%1."/>
      <w:lvlJc w:val="left"/>
      <w:pPr>
        <w:tabs>
          <w:tab w:val="num" w:pos="360"/>
        </w:tabs>
        <w:ind w:left="360" w:hanging="360"/>
      </w:pPr>
      <w:rPr>
        <w:rFonts w:ascii="Arial" w:eastAsia="Times New Roman" w:hAnsi="Arial" w:cs="Arial"/>
        <w:color w:val="auto"/>
        <w:sz w:val="22"/>
        <w:szCs w:val="22"/>
      </w:rPr>
    </w:lvl>
    <w:lvl w:ilvl="1" w:tplc="C2ACD91E">
      <w:start w:val="1"/>
      <w:numFmt w:val="lowerLetter"/>
      <w:lvlText w:val="(%2)"/>
      <w:lvlJc w:val="left"/>
      <w:pPr>
        <w:tabs>
          <w:tab w:val="num" w:pos="1440"/>
        </w:tabs>
        <w:ind w:left="1440" w:hanging="360"/>
      </w:pPr>
      <w:rPr>
        <w:rFonts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CE555A7"/>
    <w:multiLevelType w:val="hybridMultilevel"/>
    <w:tmpl w:val="53F4446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B7EC8BD2">
      <w:start w:val="1"/>
      <w:numFmt w:val="decimal"/>
      <w:lvlText w:val="(%4)"/>
      <w:lvlJc w:val="left"/>
      <w:pPr>
        <w:ind w:left="786" w:hanging="360"/>
      </w:pPr>
      <w:rPr>
        <w:rFonts w:hint="default"/>
        <w:b w:val="0"/>
        <w:i w:val="0"/>
      </w:rPr>
    </w:lvl>
    <w:lvl w:ilvl="4" w:tplc="0C090001">
      <w:start w:val="1"/>
      <w:numFmt w:val="bullet"/>
      <w:lvlText w:val=""/>
      <w:lvlJc w:val="left"/>
      <w:pPr>
        <w:ind w:left="1070" w:hanging="360"/>
      </w:pPr>
      <w:rPr>
        <w:rFonts w:ascii="Symbol" w:hAnsi="Symbol" w:hint="default"/>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15:restartNumberingAfterBreak="0">
    <w:nsid w:val="1CA35254"/>
    <w:multiLevelType w:val="hybridMultilevel"/>
    <w:tmpl w:val="2B3261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68A7A66"/>
    <w:multiLevelType w:val="hybridMultilevel"/>
    <w:tmpl w:val="C090E41C"/>
    <w:lvl w:ilvl="0" w:tplc="CFFA2EB6">
      <w:start w:val="18"/>
      <w:numFmt w:val="decimal"/>
      <w:lvlText w:val="%1."/>
      <w:lvlJc w:val="left"/>
      <w:pPr>
        <w:tabs>
          <w:tab w:val="num" w:pos="360"/>
        </w:tabs>
        <w:ind w:left="360" w:hanging="360"/>
      </w:pPr>
      <w:rPr>
        <w:rFonts w:hint="default"/>
        <w:i w:val="0"/>
        <w:iCs w:val="0"/>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FCC3903"/>
    <w:multiLevelType w:val="hybridMultilevel"/>
    <w:tmpl w:val="AF6AECEE"/>
    <w:lvl w:ilvl="0" w:tplc="AFEEC97A">
      <w:start w:val="1"/>
      <w:numFmt w:val="decimal"/>
      <w:lvlText w:val="%1."/>
      <w:lvlJc w:val="left"/>
      <w:pPr>
        <w:tabs>
          <w:tab w:val="num" w:pos="360"/>
        </w:tabs>
        <w:ind w:left="360" w:hanging="360"/>
      </w:pPr>
      <w:rPr>
        <w:rFonts w:hint="default"/>
        <w:i w:val="0"/>
        <w:iCs w:val="0"/>
        <w:color w:val="auto"/>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489F4ECD"/>
    <w:multiLevelType w:val="hybridMultilevel"/>
    <w:tmpl w:val="8C02BFEA"/>
    <w:lvl w:ilvl="0" w:tplc="0C090017">
      <w:start w:val="1"/>
      <w:numFmt w:val="lowerLetter"/>
      <w:lvlText w:val="%1)"/>
      <w:lvlJc w:val="left"/>
      <w:pPr>
        <w:ind w:left="1069" w:hanging="360"/>
      </w:pPr>
    </w:lvl>
    <w:lvl w:ilvl="1" w:tplc="0C090019">
      <w:start w:val="1"/>
      <w:numFmt w:val="lowerLetter"/>
      <w:lvlText w:val="%2."/>
      <w:lvlJc w:val="left"/>
      <w:pPr>
        <w:ind w:left="1789" w:hanging="360"/>
      </w:pPr>
    </w:lvl>
    <w:lvl w:ilvl="2" w:tplc="0C09001B">
      <w:start w:val="1"/>
      <w:numFmt w:val="lowerRoman"/>
      <w:lvlText w:val="%3."/>
      <w:lvlJc w:val="right"/>
      <w:pPr>
        <w:ind w:left="2509" w:hanging="180"/>
      </w:pPr>
    </w:lvl>
    <w:lvl w:ilvl="3" w:tplc="0C09000F">
      <w:start w:val="1"/>
      <w:numFmt w:val="decimal"/>
      <w:lvlText w:val="%4."/>
      <w:lvlJc w:val="left"/>
      <w:pPr>
        <w:ind w:left="3229" w:hanging="360"/>
      </w:pPr>
    </w:lvl>
    <w:lvl w:ilvl="4" w:tplc="0C090019">
      <w:start w:val="1"/>
      <w:numFmt w:val="lowerLetter"/>
      <w:lvlText w:val="%5."/>
      <w:lvlJc w:val="left"/>
      <w:pPr>
        <w:ind w:left="3949" w:hanging="360"/>
      </w:pPr>
    </w:lvl>
    <w:lvl w:ilvl="5" w:tplc="0C09001B">
      <w:start w:val="1"/>
      <w:numFmt w:val="lowerRoman"/>
      <w:lvlText w:val="%6."/>
      <w:lvlJc w:val="right"/>
      <w:pPr>
        <w:ind w:left="4669" w:hanging="180"/>
      </w:pPr>
    </w:lvl>
    <w:lvl w:ilvl="6" w:tplc="0C09000F">
      <w:start w:val="1"/>
      <w:numFmt w:val="decimal"/>
      <w:lvlText w:val="%7."/>
      <w:lvlJc w:val="left"/>
      <w:pPr>
        <w:ind w:left="5389" w:hanging="360"/>
      </w:pPr>
    </w:lvl>
    <w:lvl w:ilvl="7" w:tplc="0C090019">
      <w:start w:val="1"/>
      <w:numFmt w:val="lowerLetter"/>
      <w:lvlText w:val="%8."/>
      <w:lvlJc w:val="left"/>
      <w:pPr>
        <w:ind w:left="6109" w:hanging="360"/>
      </w:pPr>
    </w:lvl>
    <w:lvl w:ilvl="8" w:tplc="0C09001B">
      <w:start w:val="1"/>
      <w:numFmt w:val="lowerRoman"/>
      <w:lvlText w:val="%9."/>
      <w:lvlJc w:val="right"/>
      <w:pPr>
        <w:ind w:left="6829" w:hanging="180"/>
      </w:pPr>
    </w:lvl>
  </w:abstractNum>
  <w:abstractNum w:abstractNumId="6" w15:restartNumberingAfterBreak="0">
    <w:nsid w:val="48F400B8"/>
    <w:multiLevelType w:val="multilevel"/>
    <w:tmpl w:val="95820D20"/>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91C6F8E"/>
    <w:multiLevelType w:val="hybridMultilevel"/>
    <w:tmpl w:val="B9DA9A58"/>
    <w:lvl w:ilvl="0" w:tplc="BFA813DA">
      <w:start w:val="1"/>
      <w:numFmt w:val="decimal"/>
      <w:lvlText w:val="%1."/>
      <w:lvlJc w:val="left"/>
      <w:pPr>
        <w:tabs>
          <w:tab w:val="num" w:pos="360"/>
        </w:tabs>
        <w:ind w:left="360" w:hanging="360"/>
      </w:pPr>
      <w:rPr>
        <w:rFonts w:ascii="Arial" w:eastAsia="Times New Roman" w:hAnsi="Arial" w:cs="Arial"/>
        <w:color w:val="auto"/>
        <w:sz w:val="22"/>
        <w:szCs w:val="22"/>
      </w:rPr>
    </w:lvl>
    <w:lvl w:ilvl="1" w:tplc="C2ACD91E">
      <w:start w:val="1"/>
      <w:numFmt w:val="lowerLetter"/>
      <w:lvlText w:val="(%2)"/>
      <w:lvlJc w:val="left"/>
      <w:pPr>
        <w:tabs>
          <w:tab w:val="num" w:pos="1440"/>
        </w:tabs>
        <w:ind w:left="1440" w:hanging="360"/>
      </w:pPr>
      <w:rPr>
        <w:rFonts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4CA8178D"/>
    <w:multiLevelType w:val="hybridMultilevel"/>
    <w:tmpl w:val="768C5DE4"/>
    <w:lvl w:ilvl="0" w:tplc="02224C8E">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542F4B10"/>
    <w:multiLevelType w:val="hybridMultilevel"/>
    <w:tmpl w:val="E9CAA774"/>
    <w:lvl w:ilvl="0" w:tplc="BFA813DA">
      <w:start w:val="1"/>
      <w:numFmt w:val="decimal"/>
      <w:lvlText w:val="%1."/>
      <w:lvlJc w:val="left"/>
      <w:pPr>
        <w:tabs>
          <w:tab w:val="num" w:pos="360"/>
        </w:tabs>
        <w:ind w:left="360" w:hanging="360"/>
      </w:pPr>
      <w:rPr>
        <w:rFonts w:ascii="Arial" w:eastAsia="Times New Roman" w:hAnsi="Arial" w:cs="Arial"/>
        <w:color w:val="auto"/>
        <w:sz w:val="22"/>
        <w:szCs w:val="22"/>
      </w:rPr>
    </w:lvl>
    <w:lvl w:ilvl="1" w:tplc="C2ACD91E">
      <w:start w:val="1"/>
      <w:numFmt w:val="lowerLetter"/>
      <w:lvlText w:val="(%2)"/>
      <w:lvlJc w:val="left"/>
      <w:pPr>
        <w:tabs>
          <w:tab w:val="num" w:pos="1440"/>
        </w:tabs>
        <w:ind w:left="1440" w:hanging="360"/>
      </w:pPr>
      <w:rPr>
        <w:rFonts w:hint="default"/>
        <w:color w:val="auto"/>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6D372820"/>
    <w:multiLevelType w:val="hybridMultilevel"/>
    <w:tmpl w:val="41B05196"/>
    <w:lvl w:ilvl="0" w:tplc="BFA813DA">
      <w:start w:val="1"/>
      <w:numFmt w:val="decimal"/>
      <w:lvlText w:val="%1."/>
      <w:lvlJc w:val="left"/>
      <w:pPr>
        <w:tabs>
          <w:tab w:val="num" w:pos="360"/>
        </w:tabs>
        <w:ind w:left="360" w:hanging="360"/>
      </w:pPr>
      <w:rPr>
        <w:rFonts w:ascii="Arial" w:eastAsia="Times New Roman" w:hAnsi="Arial" w:cs="Arial"/>
        <w:color w:val="auto"/>
        <w:sz w:val="22"/>
        <w:szCs w:val="22"/>
      </w:rPr>
    </w:lvl>
    <w:lvl w:ilvl="1" w:tplc="C2ACD91E">
      <w:start w:val="1"/>
      <w:numFmt w:val="lowerLetter"/>
      <w:lvlText w:val="(%2)"/>
      <w:lvlJc w:val="left"/>
      <w:pPr>
        <w:tabs>
          <w:tab w:val="num" w:pos="1440"/>
        </w:tabs>
        <w:ind w:left="1440" w:hanging="360"/>
      </w:pPr>
      <w:rPr>
        <w:rFonts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777234C5"/>
    <w:multiLevelType w:val="multilevel"/>
    <w:tmpl w:val="4F2CBB8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30600151">
    <w:abstractNumId w:val="4"/>
  </w:num>
  <w:num w:numId="2" w16cid:durableId="964458899">
    <w:abstractNumId w:val="1"/>
  </w:num>
  <w:num w:numId="3" w16cid:durableId="369847276">
    <w:abstractNumId w:val="0"/>
  </w:num>
  <w:num w:numId="4" w16cid:durableId="6003407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1313170">
    <w:abstractNumId w:val="9"/>
  </w:num>
  <w:num w:numId="6" w16cid:durableId="891771807">
    <w:abstractNumId w:val="10"/>
  </w:num>
  <w:num w:numId="7" w16cid:durableId="1402094577">
    <w:abstractNumId w:val="7"/>
  </w:num>
  <w:num w:numId="8" w16cid:durableId="473527909">
    <w:abstractNumId w:val="6"/>
  </w:num>
  <w:num w:numId="9" w16cid:durableId="276641725">
    <w:abstractNumId w:val="11"/>
  </w:num>
  <w:num w:numId="10" w16cid:durableId="2116747314">
    <w:abstractNumId w:val="3"/>
  </w:num>
  <w:num w:numId="11" w16cid:durableId="583535116">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34351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7875699">
    <w:abstractNumId w:val="5"/>
  </w:num>
  <w:num w:numId="14" w16cid:durableId="152705661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18"/>
    <w:rsid w:val="00010066"/>
    <w:rsid w:val="0001161C"/>
    <w:rsid w:val="000117B2"/>
    <w:rsid w:val="0001796D"/>
    <w:rsid w:val="00017BF0"/>
    <w:rsid w:val="00021176"/>
    <w:rsid w:val="0002568B"/>
    <w:rsid w:val="000325C1"/>
    <w:rsid w:val="000343A6"/>
    <w:rsid w:val="00043FA7"/>
    <w:rsid w:val="00044383"/>
    <w:rsid w:val="00053C39"/>
    <w:rsid w:val="00055046"/>
    <w:rsid w:val="000552E8"/>
    <w:rsid w:val="00056585"/>
    <w:rsid w:val="0005674F"/>
    <w:rsid w:val="00056C6A"/>
    <w:rsid w:val="00065C6E"/>
    <w:rsid w:val="000662B8"/>
    <w:rsid w:val="00067404"/>
    <w:rsid w:val="00072E6E"/>
    <w:rsid w:val="00073F1B"/>
    <w:rsid w:val="00075B58"/>
    <w:rsid w:val="00081520"/>
    <w:rsid w:val="00081BA5"/>
    <w:rsid w:val="000A2488"/>
    <w:rsid w:val="000B11DD"/>
    <w:rsid w:val="000B1785"/>
    <w:rsid w:val="000C390A"/>
    <w:rsid w:val="000C77DD"/>
    <w:rsid w:val="000E295B"/>
    <w:rsid w:val="000E45A0"/>
    <w:rsid w:val="00101CD5"/>
    <w:rsid w:val="00107460"/>
    <w:rsid w:val="00112415"/>
    <w:rsid w:val="0013678D"/>
    <w:rsid w:val="00140A34"/>
    <w:rsid w:val="00145A3D"/>
    <w:rsid w:val="00146ED8"/>
    <w:rsid w:val="00156427"/>
    <w:rsid w:val="00167202"/>
    <w:rsid w:val="001749B2"/>
    <w:rsid w:val="001828A4"/>
    <w:rsid w:val="00187E49"/>
    <w:rsid w:val="001A3BE2"/>
    <w:rsid w:val="001A41BF"/>
    <w:rsid w:val="001C0A95"/>
    <w:rsid w:val="001C35E7"/>
    <w:rsid w:val="001C4578"/>
    <w:rsid w:val="001D02E6"/>
    <w:rsid w:val="001F0184"/>
    <w:rsid w:val="001F28A6"/>
    <w:rsid w:val="001F2A16"/>
    <w:rsid w:val="001F2DDF"/>
    <w:rsid w:val="001F6921"/>
    <w:rsid w:val="001F7C3E"/>
    <w:rsid w:val="00201969"/>
    <w:rsid w:val="0021222C"/>
    <w:rsid w:val="00213FA5"/>
    <w:rsid w:val="0021496E"/>
    <w:rsid w:val="00222AFB"/>
    <w:rsid w:val="0023733A"/>
    <w:rsid w:val="0024044F"/>
    <w:rsid w:val="00240CFB"/>
    <w:rsid w:val="00245D00"/>
    <w:rsid w:val="002513E5"/>
    <w:rsid w:val="00256331"/>
    <w:rsid w:val="00257F2D"/>
    <w:rsid w:val="002614AB"/>
    <w:rsid w:val="00262F9F"/>
    <w:rsid w:val="00266D2D"/>
    <w:rsid w:val="0027331F"/>
    <w:rsid w:val="00285E76"/>
    <w:rsid w:val="002949C3"/>
    <w:rsid w:val="002A10A4"/>
    <w:rsid w:val="002A26FE"/>
    <w:rsid w:val="002B1423"/>
    <w:rsid w:val="002C3AE5"/>
    <w:rsid w:val="002D15B2"/>
    <w:rsid w:val="002E07F6"/>
    <w:rsid w:val="002F1257"/>
    <w:rsid w:val="00310C61"/>
    <w:rsid w:val="003171B3"/>
    <w:rsid w:val="0032559D"/>
    <w:rsid w:val="00327789"/>
    <w:rsid w:val="00331616"/>
    <w:rsid w:val="00333567"/>
    <w:rsid w:val="00340400"/>
    <w:rsid w:val="00344575"/>
    <w:rsid w:val="0035113C"/>
    <w:rsid w:val="00354525"/>
    <w:rsid w:val="00363790"/>
    <w:rsid w:val="00374380"/>
    <w:rsid w:val="00374385"/>
    <w:rsid w:val="00380CC4"/>
    <w:rsid w:val="003A3A91"/>
    <w:rsid w:val="003B547B"/>
    <w:rsid w:val="003B7EC1"/>
    <w:rsid w:val="003C0686"/>
    <w:rsid w:val="003D08CF"/>
    <w:rsid w:val="003D0CBA"/>
    <w:rsid w:val="003D0F6A"/>
    <w:rsid w:val="003D4BA8"/>
    <w:rsid w:val="003E5269"/>
    <w:rsid w:val="00405394"/>
    <w:rsid w:val="0040623A"/>
    <w:rsid w:val="004066E4"/>
    <w:rsid w:val="0040680B"/>
    <w:rsid w:val="00407361"/>
    <w:rsid w:val="00417C55"/>
    <w:rsid w:val="00424A7B"/>
    <w:rsid w:val="004266CE"/>
    <w:rsid w:val="0043044C"/>
    <w:rsid w:val="004447C1"/>
    <w:rsid w:val="00446AA8"/>
    <w:rsid w:val="0045590D"/>
    <w:rsid w:val="00462084"/>
    <w:rsid w:val="0046211F"/>
    <w:rsid w:val="0046787B"/>
    <w:rsid w:val="00486653"/>
    <w:rsid w:val="00493CA7"/>
    <w:rsid w:val="004A5FDA"/>
    <w:rsid w:val="004A7DE1"/>
    <w:rsid w:val="004D098C"/>
    <w:rsid w:val="004D24A9"/>
    <w:rsid w:val="004D41FE"/>
    <w:rsid w:val="004D6FE1"/>
    <w:rsid w:val="004E5357"/>
    <w:rsid w:val="004F4A07"/>
    <w:rsid w:val="004F5EB1"/>
    <w:rsid w:val="004F6887"/>
    <w:rsid w:val="005030AD"/>
    <w:rsid w:val="0051249C"/>
    <w:rsid w:val="005176E7"/>
    <w:rsid w:val="00520330"/>
    <w:rsid w:val="00524B6B"/>
    <w:rsid w:val="00526403"/>
    <w:rsid w:val="00533635"/>
    <w:rsid w:val="00534FB5"/>
    <w:rsid w:val="00537004"/>
    <w:rsid w:val="005413EE"/>
    <w:rsid w:val="0054319B"/>
    <w:rsid w:val="005442F9"/>
    <w:rsid w:val="00560099"/>
    <w:rsid w:val="00566150"/>
    <w:rsid w:val="00587443"/>
    <w:rsid w:val="00587C50"/>
    <w:rsid w:val="005917F3"/>
    <w:rsid w:val="005972B8"/>
    <w:rsid w:val="005B0ACD"/>
    <w:rsid w:val="005B50A2"/>
    <w:rsid w:val="005C3408"/>
    <w:rsid w:val="005D14AE"/>
    <w:rsid w:val="005D1792"/>
    <w:rsid w:val="005D1EE0"/>
    <w:rsid w:val="005D456E"/>
    <w:rsid w:val="005D611B"/>
    <w:rsid w:val="005F1ACE"/>
    <w:rsid w:val="005F256D"/>
    <w:rsid w:val="005F3760"/>
    <w:rsid w:val="005F50A4"/>
    <w:rsid w:val="0060183A"/>
    <w:rsid w:val="00603110"/>
    <w:rsid w:val="0060563C"/>
    <w:rsid w:val="00611C8E"/>
    <w:rsid w:val="006230ED"/>
    <w:rsid w:val="00624954"/>
    <w:rsid w:val="006302F7"/>
    <w:rsid w:val="00631F30"/>
    <w:rsid w:val="00640CC2"/>
    <w:rsid w:val="00642420"/>
    <w:rsid w:val="00646158"/>
    <w:rsid w:val="006513F4"/>
    <w:rsid w:val="0066622C"/>
    <w:rsid w:val="00666487"/>
    <w:rsid w:val="00666734"/>
    <w:rsid w:val="00673B37"/>
    <w:rsid w:val="00690EBA"/>
    <w:rsid w:val="006945EA"/>
    <w:rsid w:val="006A36D0"/>
    <w:rsid w:val="006B0B31"/>
    <w:rsid w:val="006B5470"/>
    <w:rsid w:val="006D0138"/>
    <w:rsid w:val="006D1F76"/>
    <w:rsid w:val="006D6F52"/>
    <w:rsid w:val="006E14D6"/>
    <w:rsid w:val="006F5DAF"/>
    <w:rsid w:val="00701576"/>
    <w:rsid w:val="00701718"/>
    <w:rsid w:val="00710359"/>
    <w:rsid w:val="00712FFF"/>
    <w:rsid w:val="00722DBF"/>
    <w:rsid w:val="00735157"/>
    <w:rsid w:val="00754B36"/>
    <w:rsid w:val="007622C7"/>
    <w:rsid w:val="0076271C"/>
    <w:rsid w:val="00767CE8"/>
    <w:rsid w:val="00775490"/>
    <w:rsid w:val="00795D0C"/>
    <w:rsid w:val="0079705B"/>
    <w:rsid w:val="00797F42"/>
    <w:rsid w:val="007A4123"/>
    <w:rsid w:val="007A55BA"/>
    <w:rsid w:val="007A796B"/>
    <w:rsid w:val="007C1FBD"/>
    <w:rsid w:val="007C54B3"/>
    <w:rsid w:val="007C5C8E"/>
    <w:rsid w:val="007E0A01"/>
    <w:rsid w:val="007E22F5"/>
    <w:rsid w:val="007E6BA7"/>
    <w:rsid w:val="007F163A"/>
    <w:rsid w:val="007F25F3"/>
    <w:rsid w:val="007F4901"/>
    <w:rsid w:val="00811079"/>
    <w:rsid w:val="00817A63"/>
    <w:rsid w:val="00826DEB"/>
    <w:rsid w:val="00832A78"/>
    <w:rsid w:val="00836B02"/>
    <w:rsid w:val="00837E4D"/>
    <w:rsid w:val="008467D4"/>
    <w:rsid w:val="00850FB0"/>
    <w:rsid w:val="00851939"/>
    <w:rsid w:val="0085238E"/>
    <w:rsid w:val="00853428"/>
    <w:rsid w:val="008540EA"/>
    <w:rsid w:val="00866A00"/>
    <w:rsid w:val="008702A6"/>
    <w:rsid w:val="00872F9B"/>
    <w:rsid w:val="00873997"/>
    <w:rsid w:val="008757CE"/>
    <w:rsid w:val="0088392C"/>
    <w:rsid w:val="00897C0E"/>
    <w:rsid w:val="00897E31"/>
    <w:rsid w:val="008A046F"/>
    <w:rsid w:val="008A405A"/>
    <w:rsid w:val="008A6A6A"/>
    <w:rsid w:val="008B650A"/>
    <w:rsid w:val="008B787C"/>
    <w:rsid w:val="008C3898"/>
    <w:rsid w:val="008C66CC"/>
    <w:rsid w:val="008D180A"/>
    <w:rsid w:val="008F483C"/>
    <w:rsid w:val="008F7AE8"/>
    <w:rsid w:val="00910595"/>
    <w:rsid w:val="00910756"/>
    <w:rsid w:val="00912D61"/>
    <w:rsid w:val="009214A5"/>
    <w:rsid w:val="009322D7"/>
    <w:rsid w:val="00932BDE"/>
    <w:rsid w:val="009371D0"/>
    <w:rsid w:val="00950199"/>
    <w:rsid w:val="00954213"/>
    <w:rsid w:val="00967725"/>
    <w:rsid w:val="0098195F"/>
    <w:rsid w:val="009902F8"/>
    <w:rsid w:val="00993BB8"/>
    <w:rsid w:val="0099555F"/>
    <w:rsid w:val="009A22A1"/>
    <w:rsid w:val="009B3A1B"/>
    <w:rsid w:val="009B6332"/>
    <w:rsid w:val="009C0912"/>
    <w:rsid w:val="009C4DB3"/>
    <w:rsid w:val="009C7443"/>
    <w:rsid w:val="009D0A0F"/>
    <w:rsid w:val="009D20F2"/>
    <w:rsid w:val="009D2A3B"/>
    <w:rsid w:val="009D6694"/>
    <w:rsid w:val="009F0300"/>
    <w:rsid w:val="00A00AA1"/>
    <w:rsid w:val="00A167A8"/>
    <w:rsid w:val="00A21F0A"/>
    <w:rsid w:val="00A23819"/>
    <w:rsid w:val="00A26011"/>
    <w:rsid w:val="00A35C99"/>
    <w:rsid w:val="00A466EF"/>
    <w:rsid w:val="00A506C2"/>
    <w:rsid w:val="00A51105"/>
    <w:rsid w:val="00A554E1"/>
    <w:rsid w:val="00A55CC2"/>
    <w:rsid w:val="00A62886"/>
    <w:rsid w:val="00A74C38"/>
    <w:rsid w:val="00A77D24"/>
    <w:rsid w:val="00A8572F"/>
    <w:rsid w:val="00A93E07"/>
    <w:rsid w:val="00A94ACF"/>
    <w:rsid w:val="00A979CF"/>
    <w:rsid w:val="00AA4DF8"/>
    <w:rsid w:val="00AB780C"/>
    <w:rsid w:val="00AC2448"/>
    <w:rsid w:val="00AD0B0B"/>
    <w:rsid w:val="00AD5ADE"/>
    <w:rsid w:val="00AE7138"/>
    <w:rsid w:val="00AF13B9"/>
    <w:rsid w:val="00AF3EBD"/>
    <w:rsid w:val="00AF4CAF"/>
    <w:rsid w:val="00AF6BA0"/>
    <w:rsid w:val="00B117BA"/>
    <w:rsid w:val="00B14A22"/>
    <w:rsid w:val="00B15F23"/>
    <w:rsid w:val="00B16309"/>
    <w:rsid w:val="00B16508"/>
    <w:rsid w:val="00B20D87"/>
    <w:rsid w:val="00B21BCC"/>
    <w:rsid w:val="00B24053"/>
    <w:rsid w:val="00B31550"/>
    <w:rsid w:val="00B55D24"/>
    <w:rsid w:val="00B578AC"/>
    <w:rsid w:val="00B62F06"/>
    <w:rsid w:val="00B6433F"/>
    <w:rsid w:val="00B64CF5"/>
    <w:rsid w:val="00B66BE1"/>
    <w:rsid w:val="00B76C9B"/>
    <w:rsid w:val="00B823A1"/>
    <w:rsid w:val="00B8428B"/>
    <w:rsid w:val="00B91DAE"/>
    <w:rsid w:val="00B97977"/>
    <w:rsid w:val="00BA41F5"/>
    <w:rsid w:val="00BB3C9C"/>
    <w:rsid w:val="00BC326B"/>
    <w:rsid w:val="00BC3A9B"/>
    <w:rsid w:val="00BF4822"/>
    <w:rsid w:val="00C00929"/>
    <w:rsid w:val="00C01D22"/>
    <w:rsid w:val="00C104B6"/>
    <w:rsid w:val="00C10F02"/>
    <w:rsid w:val="00C114F4"/>
    <w:rsid w:val="00C11D03"/>
    <w:rsid w:val="00C31967"/>
    <w:rsid w:val="00C34C96"/>
    <w:rsid w:val="00C371DE"/>
    <w:rsid w:val="00C409AE"/>
    <w:rsid w:val="00C4143E"/>
    <w:rsid w:val="00C42D50"/>
    <w:rsid w:val="00C4433F"/>
    <w:rsid w:val="00C54DF8"/>
    <w:rsid w:val="00C60B49"/>
    <w:rsid w:val="00C620E9"/>
    <w:rsid w:val="00C7440A"/>
    <w:rsid w:val="00C865ED"/>
    <w:rsid w:val="00C8775A"/>
    <w:rsid w:val="00C943E8"/>
    <w:rsid w:val="00CA0877"/>
    <w:rsid w:val="00CA6B59"/>
    <w:rsid w:val="00CB0796"/>
    <w:rsid w:val="00CB3B6C"/>
    <w:rsid w:val="00CB461D"/>
    <w:rsid w:val="00CB54FF"/>
    <w:rsid w:val="00CB5F3D"/>
    <w:rsid w:val="00CB75F1"/>
    <w:rsid w:val="00CC1833"/>
    <w:rsid w:val="00CC189F"/>
    <w:rsid w:val="00CC3368"/>
    <w:rsid w:val="00CF19C4"/>
    <w:rsid w:val="00CF2B0A"/>
    <w:rsid w:val="00D13C04"/>
    <w:rsid w:val="00D20A78"/>
    <w:rsid w:val="00D23010"/>
    <w:rsid w:val="00D278BA"/>
    <w:rsid w:val="00D27B81"/>
    <w:rsid w:val="00D40454"/>
    <w:rsid w:val="00D4059C"/>
    <w:rsid w:val="00D53D8F"/>
    <w:rsid w:val="00D61C76"/>
    <w:rsid w:val="00D77015"/>
    <w:rsid w:val="00D92B48"/>
    <w:rsid w:val="00DB1693"/>
    <w:rsid w:val="00DC4F3A"/>
    <w:rsid w:val="00DC72E0"/>
    <w:rsid w:val="00DD012B"/>
    <w:rsid w:val="00DD5B07"/>
    <w:rsid w:val="00DE6821"/>
    <w:rsid w:val="00DF2022"/>
    <w:rsid w:val="00DF34BE"/>
    <w:rsid w:val="00DF5D59"/>
    <w:rsid w:val="00E01597"/>
    <w:rsid w:val="00E0529B"/>
    <w:rsid w:val="00E10B37"/>
    <w:rsid w:val="00E10D41"/>
    <w:rsid w:val="00E2037B"/>
    <w:rsid w:val="00E239E4"/>
    <w:rsid w:val="00E248F2"/>
    <w:rsid w:val="00E34101"/>
    <w:rsid w:val="00E36A38"/>
    <w:rsid w:val="00E36DA0"/>
    <w:rsid w:val="00E4433C"/>
    <w:rsid w:val="00E515EC"/>
    <w:rsid w:val="00E53399"/>
    <w:rsid w:val="00E6152D"/>
    <w:rsid w:val="00E77995"/>
    <w:rsid w:val="00E87099"/>
    <w:rsid w:val="00EA28E6"/>
    <w:rsid w:val="00EB3D0D"/>
    <w:rsid w:val="00EC2C0D"/>
    <w:rsid w:val="00ED0A9E"/>
    <w:rsid w:val="00EE7FB7"/>
    <w:rsid w:val="00EF1592"/>
    <w:rsid w:val="00EF78C4"/>
    <w:rsid w:val="00F04CD7"/>
    <w:rsid w:val="00F05CF2"/>
    <w:rsid w:val="00F23E15"/>
    <w:rsid w:val="00F244A2"/>
    <w:rsid w:val="00F32002"/>
    <w:rsid w:val="00F35064"/>
    <w:rsid w:val="00F374D8"/>
    <w:rsid w:val="00F40D6A"/>
    <w:rsid w:val="00F44C3E"/>
    <w:rsid w:val="00F4509E"/>
    <w:rsid w:val="00F539FB"/>
    <w:rsid w:val="00F5684D"/>
    <w:rsid w:val="00F57AB6"/>
    <w:rsid w:val="00F6480F"/>
    <w:rsid w:val="00F64868"/>
    <w:rsid w:val="00F70C2E"/>
    <w:rsid w:val="00F80303"/>
    <w:rsid w:val="00F84DF2"/>
    <w:rsid w:val="00F86713"/>
    <w:rsid w:val="00F86BBA"/>
    <w:rsid w:val="00F932E0"/>
    <w:rsid w:val="00FB7701"/>
    <w:rsid w:val="00FC40F0"/>
    <w:rsid w:val="00FC6CF3"/>
    <w:rsid w:val="00FC6D3B"/>
    <w:rsid w:val="00FD0129"/>
    <w:rsid w:val="00FD0AF2"/>
    <w:rsid w:val="00FE059E"/>
    <w:rsid w:val="00FE0BA8"/>
    <w:rsid w:val="00FE17ED"/>
    <w:rsid w:val="00FE25A0"/>
    <w:rsid w:val="00FE7EB8"/>
    <w:rsid w:val="00FF3F40"/>
    <w:rsid w:val="00FF4315"/>
    <w:rsid w:val="2185AB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C1B4F"/>
  <w15:docId w15:val="{65D6C54A-4035-4BB8-B7EE-73961A937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555F"/>
    <w:rPr>
      <w:sz w:val="24"/>
    </w:rPr>
  </w:style>
  <w:style w:type="paragraph" w:styleId="Heading2">
    <w:name w:val="heading 2"/>
    <w:basedOn w:val="Normal"/>
    <w:next w:val="Normal"/>
    <w:link w:val="Heading2Char"/>
    <w:qFormat/>
    <w:rsid w:val="00240CFB"/>
    <w:pPr>
      <w:keepNext/>
      <w:spacing w:after="120"/>
      <w:outlineLvl w:val="1"/>
    </w:pPr>
    <w:rPr>
      <w:rFonts w:ascii="Arial" w:hAnsi="Arial" w:cs="Arial"/>
      <w:b/>
      <w:sz w:val="22"/>
      <w:szCs w:val="22"/>
    </w:rPr>
  </w:style>
  <w:style w:type="paragraph" w:styleId="Heading3">
    <w:name w:val="heading 3"/>
    <w:basedOn w:val="Normal"/>
    <w:next w:val="Normal"/>
    <w:qFormat/>
    <w:rsid w:val="00E5339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rFonts w:ascii="Arial" w:hAnsi="Arial"/>
      <w:b/>
      <w:sz w:val="40"/>
      <w:lang w:eastAsia="en-US"/>
    </w:rPr>
  </w:style>
  <w:style w:type="paragraph" w:styleId="FootnoteText">
    <w:name w:val="footnote text"/>
    <w:basedOn w:val="Normal"/>
    <w:link w:val="FootnoteTextChar"/>
    <w:semiHidden/>
    <w:rsid w:val="00F35064"/>
    <w:rPr>
      <w:sz w:val="20"/>
    </w:rPr>
  </w:style>
  <w:style w:type="character" w:styleId="FootnoteReference">
    <w:name w:val="footnote reference"/>
    <w:basedOn w:val="DefaultParagraphFont"/>
    <w:semiHidden/>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semiHidden/>
    <w:rsid w:val="00A26011"/>
    <w:rPr>
      <w:sz w:val="16"/>
      <w:szCs w:val="16"/>
    </w:rPr>
  </w:style>
  <w:style w:type="paragraph" w:styleId="CommentText">
    <w:name w:val="annotation text"/>
    <w:basedOn w:val="Normal"/>
    <w:link w:val="CommentTextChar"/>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uiPriority w:val="34"/>
    <w:qFormat/>
    <w:rsid w:val="00075B58"/>
    <w:pPr>
      <w:spacing w:after="200" w:line="276" w:lineRule="auto"/>
      <w:ind w:left="720"/>
    </w:pPr>
    <w:rPr>
      <w:rFonts w:ascii="Calibri" w:eastAsia="Calibri" w:hAnsi="Calibri"/>
      <w:sz w:val="22"/>
      <w:szCs w:val="22"/>
      <w:lang w:eastAsia="en-US"/>
    </w:rPr>
  </w:style>
  <w:style w:type="character" w:customStyle="1" w:styleId="HeaderChar">
    <w:name w:val="Header Char"/>
    <w:basedOn w:val="DefaultParagraphFont"/>
    <w:link w:val="Header"/>
    <w:rsid w:val="00AC2448"/>
    <w:rPr>
      <w:sz w:val="24"/>
    </w:rPr>
  </w:style>
  <w:style w:type="character" w:customStyle="1" w:styleId="CommentTextChar">
    <w:name w:val="Comment Text Char"/>
    <w:basedOn w:val="DefaultParagraphFont"/>
    <w:link w:val="CommentText"/>
    <w:semiHidden/>
    <w:rsid w:val="00640CC2"/>
  </w:style>
  <w:style w:type="character" w:customStyle="1" w:styleId="FootnoteTextChar">
    <w:name w:val="Footnote Text Char"/>
    <w:basedOn w:val="DefaultParagraphFont"/>
    <w:link w:val="FootnoteText"/>
    <w:semiHidden/>
    <w:rsid w:val="00837E4D"/>
  </w:style>
  <w:style w:type="character" w:customStyle="1" w:styleId="Heading2Char">
    <w:name w:val="Heading 2 Char"/>
    <w:basedOn w:val="DefaultParagraphFont"/>
    <w:link w:val="Heading2"/>
    <w:rsid w:val="005D456E"/>
    <w:rPr>
      <w:rFonts w:ascii="Arial" w:hAnsi="Arial" w:cs="Arial"/>
      <w:b/>
      <w:sz w:val="22"/>
      <w:szCs w:val="22"/>
    </w:rPr>
  </w:style>
  <w:style w:type="paragraph" w:styleId="Revision">
    <w:name w:val="Revision"/>
    <w:hidden/>
    <w:uiPriority w:val="99"/>
    <w:semiHidden/>
    <w:rsid w:val="00F40D6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44095">
      <w:bodyDiv w:val="1"/>
      <w:marLeft w:val="0"/>
      <w:marRight w:val="0"/>
      <w:marTop w:val="0"/>
      <w:marBottom w:val="0"/>
      <w:divBdr>
        <w:top w:val="none" w:sz="0" w:space="0" w:color="auto"/>
        <w:left w:val="none" w:sz="0" w:space="0" w:color="auto"/>
        <w:bottom w:val="none" w:sz="0" w:space="0" w:color="auto"/>
        <w:right w:val="none" w:sz="0" w:space="0" w:color="auto"/>
      </w:divBdr>
    </w:div>
    <w:div w:id="432214794">
      <w:bodyDiv w:val="1"/>
      <w:marLeft w:val="0"/>
      <w:marRight w:val="0"/>
      <w:marTop w:val="0"/>
      <w:marBottom w:val="0"/>
      <w:divBdr>
        <w:top w:val="none" w:sz="0" w:space="0" w:color="auto"/>
        <w:left w:val="none" w:sz="0" w:space="0" w:color="auto"/>
        <w:bottom w:val="none" w:sz="0" w:space="0" w:color="auto"/>
        <w:right w:val="none" w:sz="0" w:space="0" w:color="auto"/>
      </w:divBdr>
    </w:div>
    <w:div w:id="582565863">
      <w:bodyDiv w:val="1"/>
      <w:marLeft w:val="0"/>
      <w:marRight w:val="0"/>
      <w:marTop w:val="0"/>
      <w:marBottom w:val="0"/>
      <w:divBdr>
        <w:top w:val="none" w:sz="0" w:space="0" w:color="auto"/>
        <w:left w:val="none" w:sz="0" w:space="0" w:color="auto"/>
        <w:bottom w:val="none" w:sz="0" w:space="0" w:color="auto"/>
        <w:right w:val="none" w:sz="0" w:space="0" w:color="auto"/>
      </w:divBdr>
    </w:div>
    <w:div w:id="880554215">
      <w:bodyDiv w:val="1"/>
      <w:marLeft w:val="0"/>
      <w:marRight w:val="0"/>
      <w:marTop w:val="0"/>
      <w:marBottom w:val="0"/>
      <w:divBdr>
        <w:top w:val="none" w:sz="0" w:space="0" w:color="auto"/>
        <w:left w:val="none" w:sz="0" w:space="0" w:color="auto"/>
        <w:bottom w:val="none" w:sz="0" w:space="0" w:color="auto"/>
        <w:right w:val="none" w:sz="0" w:space="0" w:color="auto"/>
      </w:divBdr>
    </w:div>
    <w:div w:id="967664789">
      <w:bodyDiv w:val="1"/>
      <w:marLeft w:val="0"/>
      <w:marRight w:val="0"/>
      <w:marTop w:val="0"/>
      <w:marBottom w:val="0"/>
      <w:divBdr>
        <w:top w:val="none" w:sz="0" w:space="0" w:color="auto"/>
        <w:left w:val="none" w:sz="0" w:space="0" w:color="auto"/>
        <w:bottom w:val="none" w:sz="0" w:space="0" w:color="auto"/>
        <w:right w:val="none" w:sz="0" w:space="0" w:color="auto"/>
      </w:divBdr>
    </w:div>
    <w:div w:id="984242822">
      <w:bodyDiv w:val="1"/>
      <w:marLeft w:val="0"/>
      <w:marRight w:val="0"/>
      <w:marTop w:val="0"/>
      <w:marBottom w:val="0"/>
      <w:divBdr>
        <w:top w:val="none" w:sz="0" w:space="0" w:color="auto"/>
        <w:left w:val="none" w:sz="0" w:space="0" w:color="auto"/>
        <w:bottom w:val="none" w:sz="0" w:space="0" w:color="auto"/>
        <w:right w:val="none" w:sz="0" w:space="0" w:color="auto"/>
      </w:divBdr>
    </w:div>
    <w:div w:id="1093629081">
      <w:bodyDiv w:val="1"/>
      <w:marLeft w:val="84"/>
      <w:marRight w:val="84"/>
      <w:marTop w:val="84"/>
      <w:marBottom w:val="84"/>
      <w:divBdr>
        <w:top w:val="none" w:sz="0" w:space="0" w:color="auto"/>
        <w:left w:val="none" w:sz="0" w:space="0" w:color="auto"/>
        <w:bottom w:val="none" w:sz="0" w:space="0" w:color="auto"/>
        <w:right w:val="none" w:sz="0" w:space="0" w:color="auto"/>
      </w:divBdr>
    </w:div>
    <w:div w:id="1114254097">
      <w:bodyDiv w:val="1"/>
      <w:marLeft w:val="0"/>
      <w:marRight w:val="0"/>
      <w:marTop w:val="0"/>
      <w:marBottom w:val="0"/>
      <w:divBdr>
        <w:top w:val="none" w:sz="0" w:space="0" w:color="auto"/>
        <w:left w:val="none" w:sz="0" w:space="0" w:color="auto"/>
        <w:bottom w:val="none" w:sz="0" w:space="0" w:color="auto"/>
        <w:right w:val="none" w:sz="0" w:space="0" w:color="auto"/>
      </w:divBdr>
    </w:div>
    <w:div w:id="1122305291">
      <w:bodyDiv w:val="1"/>
      <w:marLeft w:val="0"/>
      <w:marRight w:val="0"/>
      <w:marTop w:val="0"/>
      <w:marBottom w:val="0"/>
      <w:divBdr>
        <w:top w:val="none" w:sz="0" w:space="0" w:color="auto"/>
        <w:left w:val="none" w:sz="0" w:space="0" w:color="auto"/>
        <w:bottom w:val="none" w:sz="0" w:space="0" w:color="auto"/>
        <w:right w:val="none" w:sz="0" w:space="0" w:color="auto"/>
      </w:divBdr>
    </w:div>
    <w:div w:id="1666742735">
      <w:bodyDiv w:val="1"/>
      <w:marLeft w:val="0"/>
      <w:marRight w:val="0"/>
      <w:marTop w:val="0"/>
      <w:marBottom w:val="0"/>
      <w:divBdr>
        <w:top w:val="none" w:sz="0" w:space="0" w:color="auto"/>
        <w:left w:val="none" w:sz="0" w:space="0" w:color="auto"/>
        <w:bottom w:val="none" w:sz="0" w:space="0" w:color="auto"/>
        <w:right w:val="none" w:sz="0" w:space="0" w:color="auto"/>
      </w:divBdr>
    </w:div>
    <w:div w:id="1978874426">
      <w:bodyDiv w:val="1"/>
      <w:marLeft w:val="0"/>
      <w:marRight w:val="0"/>
      <w:marTop w:val="0"/>
      <w:marBottom w:val="0"/>
      <w:divBdr>
        <w:top w:val="none" w:sz="0" w:space="0" w:color="auto"/>
        <w:left w:val="none" w:sz="0" w:space="0" w:color="auto"/>
        <w:bottom w:val="none" w:sz="0" w:space="0" w:color="auto"/>
        <w:right w:val="none" w:sz="0" w:space="0" w:color="auto"/>
      </w:divBdr>
    </w:div>
    <w:div w:id="2112429026">
      <w:bodyDiv w:val="1"/>
      <w:marLeft w:val="84"/>
      <w:marRight w:val="84"/>
      <w:marTop w:val="84"/>
      <w:marBottom w:val="84"/>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easury.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54540-4688-4A8B-A2F6-C5AAB7255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1842</Words>
  <Characters>10503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Manager/>
  <Company/>
  <LinksUpToDate>false</LinksUpToDate>
  <CharactersWithSpaces>12321</CharactersWithSpaces>
  <SharedDoc>false</SharedDoc>
  <HLinks>
    <vt:vector size="12" baseType="variant">
      <vt:variant>
        <vt:i4>131145</vt:i4>
      </vt:variant>
      <vt:variant>
        <vt:i4>3</vt:i4>
      </vt:variant>
      <vt:variant>
        <vt:i4>0</vt:i4>
      </vt:variant>
      <vt:variant>
        <vt:i4>5</vt:i4>
      </vt:variant>
      <vt:variant>
        <vt:lpwstr>http://www.ag.gov.au/Humanrightsandantidiscrimination/Pages/Statements-of-Compatibility-templates.aspx</vt:lpwstr>
      </vt:variant>
      <vt:variant>
        <vt:lpwstr>doesnot</vt:lpwstr>
      </vt:variant>
      <vt:variant>
        <vt:i4>131145</vt:i4>
      </vt:variant>
      <vt:variant>
        <vt:i4>0</vt:i4>
      </vt:variant>
      <vt:variant>
        <vt:i4>0</vt:i4>
      </vt:variant>
      <vt:variant>
        <vt:i4>5</vt:i4>
      </vt:variant>
      <vt:variant>
        <vt:lpwstr>http://www.ag.gov.au/Humanrightsandantidiscrimination/Pages/Statements-of-Compatibility-templates.aspx</vt:lpwstr>
      </vt:variant>
      <vt:variant>
        <vt:lpwstr>doesnot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dc:creator>
  <cp:keywords/>
  <dc:description/>
  <cp:lastModifiedBy>Rebecca Legh</cp:lastModifiedBy>
  <cp:revision>2</cp:revision>
  <dcterms:created xsi:type="dcterms:W3CDTF">2024-03-18T23:33:00Z</dcterms:created>
  <dcterms:modified xsi:type="dcterms:W3CDTF">2024-03-18T23:33:00Z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0x0101003476BE985E42DF45A4F88C1729A1833E00EB570E1B7CF71D4AAE1CCE80AB5AB89A</vt:lpwstr>
  </property>
  <property fmtid="{D5CDD505-2E9C-101B-9397-08002B2CF9AE}" pid="3" name="_dlc_DocIdItemGuid">
    <vt:lpwstr>b656b0e3-6c83-4cb0-a20f-1d7fa106d433</vt:lpwstr>
  </property>
  <property fmtid="{D5CDD505-2E9C-101B-9397-08002B2CF9AE}" pid="4" name="Security Classification">
    <vt:lpwstr>1;#OFFICIAL|5d128361-bbb7-4b9a-ac60-b26612a0ec1b</vt:lpwstr>
  </property>
  <property fmtid="{D5CDD505-2E9C-101B-9397-08002B2CF9AE}" pid="5" name="IsABRSLetter">
    <vt:bool>false</vt:bool>
  </property>
</Properties>
</file>