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7A565" w14:textId="77777777" w:rsidR="00745CC7" w:rsidRDefault="00745CC7" w:rsidP="00745CC7">
      <w:pPr>
        <w:shd w:val="clear" w:color="auto" w:fill="FFFFFF"/>
        <w:spacing w:after="0" w:line="240" w:lineRule="auto"/>
        <w:ind w:right="91"/>
        <w:rPr>
          <w:rFonts w:ascii="Times New Roman" w:eastAsia="Times New Roman" w:hAnsi="Times New Roman" w:cs="Times New Roman"/>
          <w:b/>
          <w:bCs/>
          <w:color w:val="000000"/>
          <w:sz w:val="24"/>
          <w:szCs w:val="24"/>
          <w:u w:val="single"/>
          <w:lang w:eastAsia="en-AU"/>
        </w:rPr>
      </w:pPr>
    </w:p>
    <w:p w14:paraId="7D00D0C1" w14:textId="77777777" w:rsidR="00853A2B" w:rsidRPr="00853A2B" w:rsidRDefault="00853A2B" w:rsidP="00C57590">
      <w:pPr>
        <w:shd w:val="clear" w:color="auto" w:fill="FFFFFF"/>
        <w:spacing w:after="120" w:line="240" w:lineRule="auto"/>
        <w:ind w:right="91"/>
        <w:jc w:val="center"/>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color w:val="000000"/>
          <w:sz w:val="24"/>
          <w:szCs w:val="24"/>
          <w:u w:val="single"/>
          <w:lang w:eastAsia="en-AU"/>
        </w:rPr>
        <w:t>EXPLANATORY STATEMENT</w:t>
      </w:r>
    </w:p>
    <w:p w14:paraId="4EB89F9F" w14:textId="77777777" w:rsidR="00605AB0" w:rsidRPr="00202780" w:rsidRDefault="00853A2B" w:rsidP="00605AB0">
      <w:pPr>
        <w:jc w:val="center"/>
        <w:rPr>
          <w:rFonts w:ascii="Times New Roman" w:hAnsi="Times New Roman" w:cs="Times New Roman"/>
          <w:sz w:val="24"/>
        </w:rPr>
      </w:pPr>
      <w:r w:rsidRPr="00202780">
        <w:rPr>
          <w:rFonts w:ascii="Times New Roman" w:eastAsia="Times New Roman" w:hAnsi="Times New Roman" w:cs="Times New Roman"/>
          <w:b/>
          <w:bCs/>
          <w:color w:val="000000"/>
          <w:sz w:val="28"/>
          <w:szCs w:val="24"/>
          <w:lang w:eastAsia="en-AU"/>
        </w:rPr>
        <w:t> </w:t>
      </w:r>
      <w:r w:rsidR="00605AB0" w:rsidRPr="00202780">
        <w:rPr>
          <w:rFonts w:ascii="Times New Roman" w:hAnsi="Times New Roman" w:cs="Times New Roman"/>
          <w:sz w:val="24"/>
        </w:rPr>
        <w:t>Issued by authority of the Attorney-General</w:t>
      </w:r>
    </w:p>
    <w:p w14:paraId="23557DBE" w14:textId="283A2193" w:rsidR="00853A2B" w:rsidRPr="00202780" w:rsidRDefault="00605AB0" w:rsidP="00605AB0">
      <w:pPr>
        <w:shd w:val="clear" w:color="auto" w:fill="FFFFFF"/>
        <w:spacing w:after="0" w:line="240" w:lineRule="auto"/>
        <w:ind w:right="91"/>
        <w:jc w:val="center"/>
        <w:rPr>
          <w:rFonts w:ascii="Times New Roman" w:hAnsi="Times New Roman" w:cs="Times New Roman"/>
          <w:i/>
          <w:sz w:val="24"/>
        </w:rPr>
      </w:pPr>
      <w:r w:rsidRPr="00202780">
        <w:rPr>
          <w:rFonts w:ascii="Times New Roman" w:hAnsi="Times New Roman" w:cs="Times New Roman"/>
          <w:sz w:val="24"/>
        </w:rPr>
        <w:t xml:space="preserve">In compliance with section 15J of the </w:t>
      </w:r>
      <w:r w:rsidRPr="00202780">
        <w:rPr>
          <w:rFonts w:ascii="Times New Roman" w:hAnsi="Times New Roman" w:cs="Times New Roman"/>
          <w:i/>
          <w:sz w:val="24"/>
        </w:rPr>
        <w:t>Legislation Act 2003</w:t>
      </w:r>
    </w:p>
    <w:p w14:paraId="2DF1B8D1" w14:textId="77777777" w:rsidR="00DB1775" w:rsidRPr="00853A2B" w:rsidRDefault="00DB1775" w:rsidP="00DB1775">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0"/>
          <w:szCs w:val="20"/>
          <w:lang w:eastAsia="en-AU"/>
        </w:rPr>
        <w:t> </w:t>
      </w:r>
    </w:p>
    <w:p w14:paraId="2D4C003F" w14:textId="22C0C98D" w:rsidR="00DB1775" w:rsidRPr="00853A2B" w:rsidRDefault="00DB1775" w:rsidP="00605AB0">
      <w:pPr>
        <w:shd w:val="clear" w:color="auto" w:fill="FFFFFF"/>
        <w:spacing w:after="0" w:line="240" w:lineRule="auto"/>
        <w:ind w:right="91"/>
        <w:jc w:val="center"/>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i/>
          <w:iCs/>
          <w:color w:val="000000"/>
          <w:sz w:val="24"/>
          <w:szCs w:val="24"/>
          <w:lang w:eastAsia="en-AU"/>
        </w:rPr>
        <w:t>Commonwealth Places (Application of Laws) Act 1970</w:t>
      </w:r>
    </w:p>
    <w:p w14:paraId="57B22DF4" w14:textId="0BC68CB4" w:rsidR="00DB1775" w:rsidRPr="00853A2B" w:rsidRDefault="00DB1775" w:rsidP="00605AB0">
      <w:pPr>
        <w:shd w:val="clear" w:color="auto" w:fill="FFFFFF"/>
        <w:spacing w:after="0" w:line="240" w:lineRule="auto"/>
        <w:ind w:right="91"/>
        <w:jc w:val="center"/>
        <w:rPr>
          <w:rFonts w:ascii="Times New Roman" w:eastAsia="Times New Roman" w:hAnsi="Times New Roman" w:cs="Times New Roman"/>
          <w:color w:val="000000"/>
          <w:sz w:val="24"/>
          <w:szCs w:val="24"/>
          <w:lang w:eastAsia="en-AU"/>
        </w:rPr>
      </w:pPr>
    </w:p>
    <w:p w14:paraId="6999C4E7" w14:textId="59C9DAA5" w:rsidR="00DB1775" w:rsidRPr="00853A2B" w:rsidRDefault="00DB1775" w:rsidP="00605AB0">
      <w:pPr>
        <w:spacing w:after="0" w:line="240" w:lineRule="auto"/>
        <w:ind w:right="91"/>
        <w:jc w:val="center"/>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i/>
          <w:iCs/>
          <w:color w:val="000000"/>
          <w:sz w:val="24"/>
          <w:szCs w:val="24"/>
          <w:lang w:eastAsia="en-AU"/>
        </w:rPr>
        <w:t xml:space="preserve">Commonwealth Places (Application of Laws) </w:t>
      </w:r>
      <w:r>
        <w:rPr>
          <w:rFonts w:ascii="Times New Roman" w:eastAsia="Times New Roman" w:hAnsi="Times New Roman" w:cs="Times New Roman"/>
          <w:i/>
          <w:iCs/>
          <w:color w:val="000000"/>
          <w:sz w:val="24"/>
          <w:szCs w:val="24"/>
          <w:lang w:eastAsia="en-AU"/>
        </w:rPr>
        <w:t>Regulation</w:t>
      </w:r>
      <w:r w:rsidR="00002D4E">
        <w:rPr>
          <w:rFonts w:ascii="Times New Roman" w:eastAsia="Times New Roman" w:hAnsi="Times New Roman" w:cs="Times New Roman"/>
          <w:i/>
          <w:iCs/>
          <w:color w:val="000000"/>
          <w:sz w:val="24"/>
          <w:szCs w:val="24"/>
          <w:lang w:eastAsia="en-AU"/>
        </w:rPr>
        <w:t>s</w:t>
      </w:r>
      <w:r w:rsidRPr="00853A2B">
        <w:rPr>
          <w:rFonts w:ascii="Times New Roman" w:eastAsia="Times New Roman" w:hAnsi="Times New Roman" w:cs="Times New Roman"/>
          <w:i/>
          <w:iCs/>
          <w:color w:val="000000"/>
          <w:sz w:val="24"/>
          <w:szCs w:val="24"/>
          <w:lang w:eastAsia="en-AU"/>
        </w:rPr>
        <w:t xml:space="preserve"> </w:t>
      </w:r>
      <w:r>
        <w:rPr>
          <w:rFonts w:ascii="Times New Roman" w:eastAsia="Times New Roman" w:hAnsi="Times New Roman" w:cs="Times New Roman"/>
          <w:i/>
          <w:iCs/>
          <w:color w:val="000000"/>
          <w:sz w:val="24"/>
          <w:szCs w:val="24"/>
          <w:lang w:eastAsia="en-AU"/>
        </w:rPr>
        <w:t>2024</w:t>
      </w:r>
    </w:p>
    <w:p w14:paraId="667DCA93" w14:textId="02D14B1D" w:rsidR="00CE72BE" w:rsidRDefault="00CE72BE"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323B459E" w14:textId="3D5B47BC" w:rsidR="00CE72BE" w:rsidRPr="00CE72BE" w:rsidRDefault="00CE72BE" w:rsidP="00CE72BE">
      <w:pPr>
        <w:spacing w:beforeLines="120" w:before="288" w:after="0" w:line="240" w:lineRule="auto"/>
        <w:ind w:right="91"/>
        <w:rPr>
          <w:rFonts w:ascii="Times New Roman" w:eastAsia="Times New Roman" w:hAnsi="Times New Roman" w:cs="Times New Roman"/>
          <w:b/>
          <w:sz w:val="24"/>
          <w:szCs w:val="20"/>
          <w:lang w:eastAsia="en-AU"/>
        </w:rPr>
      </w:pPr>
      <w:r w:rsidRPr="00CE72BE">
        <w:rPr>
          <w:rFonts w:ascii="Times New Roman" w:eastAsia="Times New Roman" w:hAnsi="Times New Roman" w:cs="Times New Roman"/>
          <w:b/>
          <w:sz w:val="24"/>
          <w:szCs w:val="20"/>
          <w:lang w:eastAsia="en-AU"/>
        </w:rPr>
        <w:t>PURPOSE AND OPERATION OF THE INSTRUMENT</w:t>
      </w:r>
    </w:p>
    <w:p w14:paraId="0F32F81C" w14:textId="77777777" w:rsidR="00CE72BE" w:rsidRDefault="00CE72BE"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1D5684BB" w14:textId="77777777" w:rsidR="009F429C" w:rsidRPr="007D2BA7" w:rsidRDefault="009F429C" w:rsidP="009F429C">
      <w:pPr>
        <w:shd w:val="clear" w:color="auto" w:fill="FFFFFF"/>
        <w:spacing w:after="0" w:line="240" w:lineRule="atLeast"/>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w:t>
      </w:r>
      <w:r w:rsidRPr="00853A2B">
        <w:rPr>
          <w:rFonts w:ascii="Times New Roman" w:eastAsia="Times New Roman" w:hAnsi="Times New Roman" w:cs="Times New Roman"/>
          <w:color w:val="000000"/>
          <w:sz w:val="24"/>
          <w:szCs w:val="24"/>
          <w:lang w:eastAsia="en-AU"/>
        </w:rPr>
        <w:t>he </w:t>
      </w:r>
      <w:r>
        <w:rPr>
          <w:rFonts w:ascii="Times New Roman" w:hAnsi="Times New Roman" w:cs="Times New Roman"/>
          <w:i/>
          <w:iCs/>
          <w:color w:val="000000"/>
          <w:sz w:val="24"/>
          <w:szCs w:val="24"/>
        </w:rPr>
        <w:t>Commonwealth Places (Application of Laws) Act 1970</w:t>
      </w:r>
      <w:r>
        <w:rPr>
          <w:rFonts w:ascii="Times New Roman" w:hAnsi="Times New Roman" w:cs="Times New Roman"/>
          <w:iCs/>
          <w:color w:val="000000"/>
          <w:sz w:val="24"/>
          <w:szCs w:val="24"/>
        </w:rPr>
        <w:t xml:space="preserve"> (the Act)</w:t>
      </w:r>
      <w:r>
        <w:rPr>
          <w:rFonts w:ascii="Times New Roman" w:eastAsia="Times New Roman" w:hAnsi="Times New Roman" w:cs="Times New Roman"/>
          <w:iCs/>
          <w:color w:val="000000"/>
          <w:sz w:val="24"/>
          <w:szCs w:val="24"/>
          <w:lang w:eastAsia="en-AU"/>
        </w:rPr>
        <w:t xml:space="preserve"> </w:t>
      </w:r>
      <w:r w:rsidRPr="00A445F0">
        <w:rPr>
          <w:rFonts w:ascii="Times New Roman" w:hAnsi="Times New Roman" w:cs="Times New Roman"/>
          <w:color w:val="000000"/>
          <w:sz w:val="24"/>
          <w:szCs w:val="24"/>
        </w:rPr>
        <w:t>‘picks up’ and applies the laws of a State as Commonwealth laws in Commonwealth places. Under the Act, a Commonwealth place is a place for which the Parliament of Australia has the exclusive right to make laws by virtue of section 52 of the Constitution (section 4(1) refers).</w:t>
      </w:r>
    </w:p>
    <w:p w14:paraId="1B2EA8EB" w14:textId="77777777" w:rsidR="009F429C" w:rsidRDefault="009F429C" w:rsidP="009F429C">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6812EE93" w14:textId="77777777" w:rsidR="009F429C" w:rsidRPr="00853A2B" w:rsidRDefault="009F429C" w:rsidP="009F429C">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Subsection 4(1) of the Act provides that the laws of a State that are in force will apply in relation to each place in that State that is a Commonwealth place.</w:t>
      </w:r>
      <w:r>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Under the Act, a Commonwealth place is a place for which the Parliament of Australia has the exclusive right to make laws by virtue of section 52 of the Constitution.</w:t>
      </w:r>
    </w:p>
    <w:p w14:paraId="395767E0" w14:textId="77777777" w:rsidR="009F429C" w:rsidRPr="00853A2B" w:rsidRDefault="009F429C" w:rsidP="009F429C">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6938DA7C" w14:textId="77777777" w:rsidR="009F429C" w:rsidRPr="00853A2B" w:rsidRDefault="009F429C" w:rsidP="009F429C">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Section 22 of the Act provides that the Governor-General may make regulations, not inconsistent with the Act, prescribing all matters that are required or permitted to be prescribed, or are necessary or convenient to be prescribed for carrying out or giving effect to the Act.</w:t>
      </w:r>
    </w:p>
    <w:p w14:paraId="798A0108" w14:textId="77777777" w:rsidR="00DB1775"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3E568AF0" w14:textId="43102FA2" w:rsidR="00DB1775" w:rsidRPr="00D042BD"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sz w:val="24"/>
          <w:lang w:eastAsia="en-AU"/>
        </w:rPr>
        <w:t xml:space="preserve">The </w:t>
      </w:r>
      <w:r w:rsidRPr="00394954">
        <w:rPr>
          <w:rFonts w:ascii="Times New Roman" w:eastAsia="Times New Roman" w:hAnsi="Times New Roman" w:cs="Times New Roman"/>
          <w:i/>
          <w:sz w:val="24"/>
          <w:lang w:eastAsia="en-AU"/>
        </w:rPr>
        <w:t>Commonwealth Places (Application of Laws) Regulation</w:t>
      </w:r>
      <w:r w:rsidR="00002D4E">
        <w:rPr>
          <w:rFonts w:ascii="Times New Roman" w:eastAsia="Times New Roman" w:hAnsi="Times New Roman" w:cs="Times New Roman"/>
          <w:i/>
          <w:sz w:val="24"/>
          <w:lang w:eastAsia="en-AU"/>
        </w:rPr>
        <w:t>s</w:t>
      </w:r>
      <w:r w:rsidRPr="00394954">
        <w:rPr>
          <w:rFonts w:ascii="Times New Roman" w:eastAsia="Times New Roman" w:hAnsi="Times New Roman" w:cs="Times New Roman"/>
          <w:i/>
          <w:sz w:val="24"/>
          <w:lang w:eastAsia="en-AU"/>
        </w:rPr>
        <w:t xml:space="preserve"> 20</w:t>
      </w:r>
      <w:r>
        <w:rPr>
          <w:rFonts w:ascii="Times New Roman" w:eastAsia="Times New Roman" w:hAnsi="Times New Roman" w:cs="Times New Roman"/>
          <w:i/>
          <w:sz w:val="24"/>
          <w:lang w:eastAsia="en-AU"/>
        </w:rPr>
        <w:t>2</w:t>
      </w:r>
      <w:r w:rsidRPr="00394954">
        <w:rPr>
          <w:rFonts w:ascii="Times New Roman" w:eastAsia="Times New Roman" w:hAnsi="Times New Roman" w:cs="Times New Roman"/>
          <w:i/>
          <w:sz w:val="24"/>
          <w:lang w:eastAsia="en-AU"/>
        </w:rPr>
        <w:t>4</w:t>
      </w:r>
      <w:r w:rsidR="005D0150">
        <w:rPr>
          <w:rFonts w:ascii="Times New Roman" w:eastAsia="Times New Roman" w:hAnsi="Times New Roman" w:cs="Times New Roman"/>
          <w:sz w:val="24"/>
          <w:lang w:eastAsia="en-AU"/>
        </w:rPr>
        <w:t xml:space="preserve"> </w:t>
      </w:r>
      <w:r w:rsidR="001A7BF3">
        <w:rPr>
          <w:rFonts w:ascii="Times New Roman" w:eastAsia="Times New Roman" w:hAnsi="Times New Roman" w:cs="Times New Roman"/>
          <w:sz w:val="24"/>
          <w:lang w:eastAsia="en-AU"/>
        </w:rPr>
        <w:t>(the Regulation</w:t>
      </w:r>
      <w:r w:rsidR="00002D4E">
        <w:rPr>
          <w:rFonts w:ascii="Times New Roman" w:eastAsia="Times New Roman" w:hAnsi="Times New Roman" w:cs="Times New Roman"/>
          <w:sz w:val="24"/>
          <w:lang w:eastAsia="en-AU"/>
        </w:rPr>
        <w:t>s</w:t>
      </w:r>
      <w:r w:rsidR="001A7BF3">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set out various matters which give effect to the Act. </w:t>
      </w:r>
    </w:p>
    <w:p w14:paraId="191CFCEB" w14:textId="77777777"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081F9426" w14:textId="7C962B00" w:rsidR="00DB1775" w:rsidRPr="00853A2B" w:rsidRDefault="003D4254"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w:t>
      </w:r>
      <w:r w:rsidR="00DB1775" w:rsidRPr="00853A2B">
        <w:rPr>
          <w:rFonts w:ascii="Times New Roman" w:eastAsia="Times New Roman" w:hAnsi="Times New Roman" w:cs="Times New Roman"/>
          <w:color w:val="000000"/>
          <w:sz w:val="24"/>
          <w:szCs w:val="24"/>
          <w:lang w:eastAsia="en-AU"/>
        </w:rPr>
        <w:t>Regulation</w:t>
      </w:r>
      <w:r w:rsidR="00002D4E">
        <w:rPr>
          <w:rFonts w:ascii="Times New Roman" w:eastAsia="Times New Roman" w:hAnsi="Times New Roman" w:cs="Times New Roman"/>
          <w:color w:val="000000"/>
          <w:sz w:val="24"/>
          <w:szCs w:val="24"/>
          <w:lang w:eastAsia="en-AU"/>
        </w:rPr>
        <w:t>s</w:t>
      </w:r>
      <w:r w:rsidR="00DB1775" w:rsidRPr="00853A2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prescribe </w:t>
      </w:r>
      <w:r w:rsidR="00DB1775" w:rsidRPr="00853A2B">
        <w:rPr>
          <w:rFonts w:ascii="Times New Roman" w:eastAsia="Times New Roman" w:hAnsi="Times New Roman" w:cs="Times New Roman"/>
          <w:color w:val="000000"/>
          <w:sz w:val="24"/>
          <w:szCs w:val="24"/>
          <w:lang w:eastAsia="en-AU"/>
        </w:rPr>
        <w:t>the list of airports that are ‘designated State airports’ for the purposes of the Act. A designated State airport is defined in section 3 of the Act as a</w:t>
      </w:r>
      <w:r w:rsidR="002322A1">
        <w:rPr>
          <w:rFonts w:ascii="Times New Roman" w:eastAsia="Times New Roman" w:hAnsi="Times New Roman" w:cs="Times New Roman"/>
          <w:color w:val="000000"/>
          <w:sz w:val="24"/>
          <w:szCs w:val="24"/>
          <w:lang w:eastAsia="en-AU"/>
        </w:rPr>
        <w:t>n airport that is a</w:t>
      </w:r>
      <w:r w:rsidR="00DB1775" w:rsidRPr="00853A2B">
        <w:rPr>
          <w:rFonts w:ascii="Times New Roman" w:eastAsia="Times New Roman" w:hAnsi="Times New Roman" w:cs="Times New Roman"/>
          <w:color w:val="000000"/>
          <w:sz w:val="24"/>
          <w:szCs w:val="24"/>
          <w:lang w:eastAsia="en-AU"/>
        </w:rPr>
        <w:t xml:space="preserve"> Commonwealth place</w:t>
      </w:r>
      <w:r w:rsidR="002322A1">
        <w:rPr>
          <w:rFonts w:ascii="Times New Roman" w:eastAsia="Times New Roman" w:hAnsi="Times New Roman" w:cs="Times New Roman"/>
          <w:color w:val="000000"/>
          <w:sz w:val="24"/>
          <w:szCs w:val="24"/>
          <w:lang w:eastAsia="en-AU"/>
        </w:rPr>
        <w:t>,</w:t>
      </w:r>
      <w:r w:rsidR="00DB1775" w:rsidRPr="00853A2B">
        <w:rPr>
          <w:rFonts w:ascii="Times New Roman" w:eastAsia="Times New Roman" w:hAnsi="Times New Roman" w:cs="Times New Roman"/>
          <w:color w:val="000000"/>
          <w:sz w:val="24"/>
          <w:szCs w:val="24"/>
          <w:lang w:eastAsia="en-AU"/>
        </w:rPr>
        <w:t xml:space="preserve"> is situated in a State or States and </w:t>
      </w:r>
      <w:r w:rsidR="002322A1">
        <w:rPr>
          <w:rFonts w:ascii="Times New Roman" w:eastAsia="Times New Roman" w:hAnsi="Times New Roman" w:cs="Times New Roman"/>
          <w:color w:val="000000"/>
          <w:sz w:val="24"/>
          <w:szCs w:val="24"/>
          <w:lang w:eastAsia="en-AU"/>
        </w:rPr>
        <w:t>is</w:t>
      </w:r>
      <w:r w:rsidR="00DB1775" w:rsidRPr="00853A2B">
        <w:rPr>
          <w:rFonts w:ascii="Times New Roman" w:eastAsia="Times New Roman" w:hAnsi="Times New Roman" w:cs="Times New Roman"/>
          <w:color w:val="000000"/>
          <w:sz w:val="24"/>
          <w:szCs w:val="24"/>
          <w:lang w:eastAsia="en-AU"/>
        </w:rPr>
        <w:t xml:space="preserve"> prescribed by </w:t>
      </w:r>
      <w:r w:rsidR="003033EA">
        <w:rPr>
          <w:rFonts w:ascii="Times New Roman" w:eastAsia="Times New Roman" w:hAnsi="Times New Roman" w:cs="Times New Roman"/>
          <w:color w:val="000000"/>
          <w:sz w:val="24"/>
          <w:szCs w:val="24"/>
          <w:lang w:eastAsia="en-AU"/>
        </w:rPr>
        <w:t xml:space="preserve">the </w:t>
      </w:r>
      <w:r w:rsidR="008A2678">
        <w:rPr>
          <w:rFonts w:ascii="Times New Roman" w:eastAsia="Times New Roman" w:hAnsi="Times New Roman" w:cs="Times New Roman"/>
          <w:color w:val="000000"/>
          <w:sz w:val="24"/>
          <w:szCs w:val="24"/>
          <w:lang w:eastAsia="en-AU"/>
        </w:rPr>
        <w:t>R</w:t>
      </w:r>
      <w:r w:rsidR="00DB1775" w:rsidRPr="00853A2B">
        <w:rPr>
          <w:rFonts w:ascii="Times New Roman" w:eastAsia="Times New Roman" w:hAnsi="Times New Roman" w:cs="Times New Roman"/>
          <w:color w:val="000000"/>
          <w:sz w:val="24"/>
          <w:szCs w:val="24"/>
          <w:lang w:eastAsia="en-AU"/>
        </w:rPr>
        <w:t>egulations.</w:t>
      </w:r>
    </w:p>
    <w:p w14:paraId="3E8321F0" w14:textId="77777777"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47B9CD80" w14:textId="6E9E4EDC" w:rsidR="00DB1775" w:rsidRPr="00853A2B" w:rsidRDefault="007239F3"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Section</w:t>
      </w:r>
      <w:r w:rsidRPr="00853A2B">
        <w:rPr>
          <w:rFonts w:ascii="Times New Roman" w:eastAsia="Times New Roman" w:hAnsi="Times New Roman" w:cs="Times New Roman"/>
          <w:color w:val="000000"/>
          <w:sz w:val="24"/>
          <w:szCs w:val="24"/>
          <w:lang w:eastAsia="en-AU"/>
        </w:rPr>
        <w:t xml:space="preserve"> </w:t>
      </w:r>
      <w:r w:rsidR="00EA12F3">
        <w:rPr>
          <w:rFonts w:ascii="Times New Roman" w:eastAsia="Times New Roman" w:hAnsi="Times New Roman" w:cs="Times New Roman"/>
          <w:color w:val="000000"/>
          <w:sz w:val="24"/>
          <w:szCs w:val="24"/>
          <w:lang w:eastAsia="en-AU"/>
        </w:rPr>
        <w:t>6</w:t>
      </w:r>
      <w:r w:rsidR="00DB1775" w:rsidRPr="00853A2B">
        <w:rPr>
          <w:rFonts w:ascii="Times New Roman" w:eastAsia="Times New Roman" w:hAnsi="Times New Roman" w:cs="Times New Roman"/>
          <w:color w:val="000000"/>
          <w:sz w:val="24"/>
          <w:szCs w:val="24"/>
          <w:lang w:eastAsia="en-AU"/>
        </w:rPr>
        <w:t xml:space="preserve"> </w:t>
      </w:r>
      <w:r w:rsidR="003D4254">
        <w:rPr>
          <w:rFonts w:ascii="Times New Roman" w:eastAsia="Times New Roman" w:hAnsi="Times New Roman" w:cs="Times New Roman"/>
          <w:color w:val="000000"/>
          <w:sz w:val="24"/>
          <w:szCs w:val="24"/>
          <w:lang w:eastAsia="en-AU"/>
        </w:rPr>
        <w:t>prescribes t</w:t>
      </w:r>
      <w:r w:rsidR="00DB1775" w:rsidRPr="00853A2B">
        <w:rPr>
          <w:rFonts w:ascii="Times New Roman" w:eastAsia="Times New Roman" w:hAnsi="Times New Roman" w:cs="Times New Roman"/>
          <w:color w:val="000000"/>
          <w:sz w:val="24"/>
          <w:szCs w:val="24"/>
          <w:lang w:eastAsia="en-AU"/>
        </w:rPr>
        <w:t>he following airports as designated State airports: Adelaide Airport, Brisbane Airport, Coolangatta (Gold Coast) Airport, Hobart Airport, Melbourne (Tullamarine) Airport, Perth Airport, and Sydney (Kingsford Smith) Airport.</w:t>
      </w:r>
      <w:r w:rsidR="003C2335">
        <w:rPr>
          <w:rFonts w:ascii="Times New Roman" w:eastAsia="Times New Roman" w:hAnsi="Times New Roman" w:cs="Times New Roman"/>
          <w:color w:val="000000"/>
          <w:sz w:val="24"/>
          <w:szCs w:val="24"/>
          <w:lang w:eastAsia="en-AU"/>
        </w:rPr>
        <w:t xml:space="preserve"> </w:t>
      </w:r>
      <w:r w:rsidR="00DB1775" w:rsidRPr="00D35227">
        <w:rPr>
          <w:rFonts w:ascii="Times New Roman" w:eastAsia="Times New Roman" w:hAnsi="Times New Roman" w:cs="Times New Roman"/>
          <w:sz w:val="24"/>
          <w:szCs w:val="24"/>
          <w:lang w:eastAsia="en-AU"/>
        </w:rPr>
        <w:t xml:space="preserve">This replicates </w:t>
      </w:r>
      <w:r w:rsidR="00A354A2">
        <w:rPr>
          <w:rFonts w:ascii="Times New Roman" w:eastAsia="Times New Roman" w:hAnsi="Times New Roman" w:cs="Times New Roman"/>
          <w:sz w:val="24"/>
          <w:szCs w:val="24"/>
          <w:lang w:eastAsia="en-AU"/>
        </w:rPr>
        <w:t>section</w:t>
      </w:r>
      <w:r w:rsidR="00DB1775" w:rsidRPr="00D35227">
        <w:rPr>
          <w:rFonts w:ascii="Times New Roman" w:eastAsia="Times New Roman" w:hAnsi="Times New Roman" w:cs="Times New Roman"/>
          <w:sz w:val="24"/>
          <w:szCs w:val="24"/>
          <w:lang w:eastAsia="en-AU"/>
        </w:rPr>
        <w:t xml:space="preserve"> </w:t>
      </w:r>
      <w:r w:rsidR="008B696F" w:rsidRPr="00D35227">
        <w:rPr>
          <w:rFonts w:ascii="Times New Roman" w:eastAsia="Times New Roman" w:hAnsi="Times New Roman" w:cs="Times New Roman"/>
          <w:sz w:val="24"/>
          <w:szCs w:val="24"/>
          <w:lang w:eastAsia="en-AU"/>
        </w:rPr>
        <w:t xml:space="preserve">5 </w:t>
      </w:r>
      <w:r w:rsidR="00DB1775" w:rsidRPr="00D35227">
        <w:rPr>
          <w:rFonts w:ascii="Times New Roman" w:eastAsia="Times New Roman" w:hAnsi="Times New Roman" w:cs="Times New Roman"/>
          <w:sz w:val="24"/>
          <w:szCs w:val="24"/>
          <w:lang w:eastAsia="en-AU"/>
        </w:rPr>
        <w:t>of the repealed </w:t>
      </w:r>
      <w:r w:rsidR="00DB1775" w:rsidRPr="00D35227">
        <w:rPr>
          <w:rFonts w:ascii="Times New Roman" w:eastAsia="Times New Roman" w:hAnsi="Times New Roman" w:cs="Times New Roman"/>
          <w:i/>
          <w:iCs/>
          <w:sz w:val="24"/>
          <w:szCs w:val="24"/>
          <w:lang w:eastAsia="en-AU"/>
        </w:rPr>
        <w:t>Commonwealth Places (Application of Laws) Regulation</w:t>
      </w:r>
      <w:r w:rsidR="008555C3" w:rsidRPr="00D35227">
        <w:rPr>
          <w:rFonts w:ascii="Times New Roman" w:eastAsia="Times New Roman" w:hAnsi="Times New Roman" w:cs="Times New Roman"/>
          <w:i/>
          <w:iCs/>
          <w:sz w:val="24"/>
          <w:szCs w:val="24"/>
          <w:lang w:eastAsia="en-AU"/>
        </w:rPr>
        <w:t xml:space="preserve"> 2014</w:t>
      </w:r>
      <w:r w:rsidR="00DB1775" w:rsidRPr="00D35227">
        <w:rPr>
          <w:rFonts w:ascii="Times New Roman" w:eastAsia="Times New Roman" w:hAnsi="Times New Roman" w:cs="Times New Roman"/>
          <w:i/>
          <w:iCs/>
          <w:sz w:val="24"/>
          <w:szCs w:val="24"/>
          <w:lang w:eastAsia="en-AU"/>
        </w:rPr>
        <w:t> </w:t>
      </w:r>
      <w:r w:rsidR="00DB1775" w:rsidRPr="00D35227">
        <w:rPr>
          <w:rFonts w:ascii="Times New Roman" w:eastAsia="Times New Roman" w:hAnsi="Times New Roman" w:cs="Times New Roman"/>
          <w:sz w:val="24"/>
          <w:szCs w:val="24"/>
          <w:lang w:eastAsia="en-AU"/>
        </w:rPr>
        <w:t>(</w:t>
      </w:r>
      <w:r w:rsidR="008555C3" w:rsidRPr="00D35227">
        <w:rPr>
          <w:rFonts w:ascii="Times New Roman" w:eastAsia="Times New Roman" w:hAnsi="Times New Roman" w:cs="Times New Roman"/>
          <w:sz w:val="24"/>
          <w:szCs w:val="24"/>
          <w:lang w:eastAsia="en-AU"/>
        </w:rPr>
        <w:t xml:space="preserve">2014 </w:t>
      </w:r>
      <w:r w:rsidR="00DB1775" w:rsidRPr="00D35227">
        <w:rPr>
          <w:rFonts w:ascii="Times New Roman" w:eastAsia="Times New Roman" w:hAnsi="Times New Roman" w:cs="Times New Roman"/>
          <w:sz w:val="24"/>
          <w:szCs w:val="24"/>
          <w:lang w:eastAsia="en-AU"/>
        </w:rPr>
        <w:t>Regulation)</w:t>
      </w:r>
      <w:r w:rsidR="00DB1775" w:rsidRPr="00D35227">
        <w:rPr>
          <w:rFonts w:ascii="Times New Roman" w:eastAsia="Times New Roman" w:hAnsi="Times New Roman" w:cs="Times New Roman"/>
          <w:i/>
          <w:iCs/>
          <w:sz w:val="24"/>
          <w:szCs w:val="24"/>
          <w:lang w:eastAsia="en-AU"/>
        </w:rPr>
        <w:t>.</w:t>
      </w:r>
    </w:p>
    <w:p w14:paraId="3E0D951F" w14:textId="77777777"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2A1E9623" w14:textId="02B2F0DB"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xml:space="preserve">The list of airports </w:t>
      </w:r>
      <w:r w:rsidR="003D4254">
        <w:rPr>
          <w:rFonts w:ascii="Times New Roman" w:eastAsia="Times New Roman" w:hAnsi="Times New Roman" w:cs="Times New Roman"/>
          <w:color w:val="000000"/>
          <w:sz w:val="24"/>
          <w:szCs w:val="24"/>
          <w:lang w:eastAsia="en-AU"/>
        </w:rPr>
        <w:t xml:space="preserve">does </w:t>
      </w:r>
      <w:r w:rsidRPr="00853A2B">
        <w:rPr>
          <w:rFonts w:ascii="Times New Roman" w:eastAsia="Times New Roman" w:hAnsi="Times New Roman" w:cs="Times New Roman"/>
          <w:color w:val="000000"/>
          <w:sz w:val="24"/>
          <w:szCs w:val="24"/>
          <w:lang w:eastAsia="en-AU"/>
        </w:rPr>
        <w:t>not include Canberra Airport, Darwin Airport, Alice Springs Airport or Cairns Airport as they do not fall under the definition of a ‘designated State airport’ under the Act.</w:t>
      </w:r>
      <w:r w:rsidR="00605AB0">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Canberra, Darwin and Alice Springs Airports are Territory airports and Cairns Airport is not a Commonwealth place.</w:t>
      </w:r>
    </w:p>
    <w:p w14:paraId="72728851" w14:textId="77777777"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0B8EB64B" w14:textId="68A6FCB3" w:rsidR="00DB1775" w:rsidRPr="00853A2B" w:rsidRDefault="00DB1775" w:rsidP="00D02EDD">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 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sidR="00AF5A00">
        <w:rPr>
          <w:rFonts w:ascii="Times New Roman" w:eastAsia="Times New Roman" w:hAnsi="Times New Roman" w:cs="Times New Roman"/>
          <w:color w:val="000000"/>
          <w:sz w:val="24"/>
          <w:szCs w:val="24"/>
          <w:lang w:eastAsia="en-AU"/>
        </w:rPr>
        <w:t xml:space="preserve">ensure </w:t>
      </w:r>
      <w:r w:rsidRPr="00853A2B">
        <w:rPr>
          <w:rFonts w:ascii="Times New Roman" w:eastAsia="Times New Roman" w:hAnsi="Times New Roman" w:cs="Times New Roman"/>
          <w:color w:val="000000"/>
          <w:sz w:val="24"/>
          <w:szCs w:val="24"/>
          <w:lang w:eastAsia="en-AU"/>
        </w:rPr>
        <w:t>that changes to the Act made by the </w:t>
      </w:r>
      <w:r w:rsidRPr="00853A2B">
        <w:rPr>
          <w:rFonts w:ascii="Times New Roman" w:eastAsia="Times New Roman" w:hAnsi="Times New Roman" w:cs="Times New Roman"/>
          <w:i/>
          <w:iCs/>
          <w:color w:val="000000"/>
          <w:sz w:val="24"/>
          <w:szCs w:val="24"/>
          <w:lang w:eastAsia="en-AU"/>
        </w:rPr>
        <w:t>Aviation Crimes and Policing Legislation Amendment Act 2011</w:t>
      </w:r>
      <w:r w:rsidRPr="00853A2B">
        <w:rPr>
          <w:rFonts w:ascii="Times New Roman" w:eastAsia="Times New Roman" w:hAnsi="Times New Roman" w:cs="Times New Roman"/>
          <w:color w:val="000000"/>
          <w:sz w:val="24"/>
          <w:szCs w:val="24"/>
          <w:lang w:eastAsia="en-AU"/>
        </w:rPr>
        <w:t xml:space="preserve">, which commenced on 30 March 2011, continue to be supported. This Act concerned the policing powers of the Australian Federal Police (AFP) in </w:t>
      </w:r>
      <w:r w:rsidRPr="00853A2B">
        <w:rPr>
          <w:rFonts w:ascii="Times New Roman" w:eastAsia="Times New Roman" w:hAnsi="Times New Roman" w:cs="Times New Roman"/>
          <w:color w:val="000000"/>
          <w:sz w:val="24"/>
          <w:szCs w:val="24"/>
          <w:lang w:eastAsia="en-AU"/>
        </w:rPr>
        <w:lastRenderedPageBreak/>
        <w:t xml:space="preserve">certain airports. Prior to 2011, the AFP and State police worked together under a Unified Policing Model in airports that are Commonwealth places. Following the 2009 Federal Audit of Police Capabilities, it was recommended that this model be replaced by an </w:t>
      </w:r>
      <w:r w:rsidR="005A359B">
        <w:rPr>
          <w:rFonts w:ascii="Times New Roman" w:eastAsia="Times New Roman" w:hAnsi="Times New Roman" w:cs="Times New Roman"/>
          <w:color w:val="000000"/>
          <w:sz w:val="24"/>
          <w:szCs w:val="24"/>
          <w:lang w:eastAsia="en-AU"/>
        </w:rPr>
        <w:t>‘a</w:t>
      </w:r>
      <w:r w:rsidRPr="00853A2B">
        <w:rPr>
          <w:rFonts w:ascii="Times New Roman" w:eastAsia="Times New Roman" w:hAnsi="Times New Roman" w:cs="Times New Roman"/>
          <w:color w:val="000000"/>
          <w:sz w:val="24"/>
          <w:szCs w:val="24"/>
          <w:lang w:eastAsia="en-AU"/>
        </w:rPr>
        <w:t>ll-</w:t>
      </w:r>
      <w:r w:rsidR="005A359B">
        <w:rPr>
          <w:rFonts w:ascii="Times New Roman" w:eastAsia="Times New Roman" w:hAnsi="Times New Roman" w:cs="Times New Roman"/>
          <w:color w:val="000000"/>
          <w:sz w:val="24"/>
          <w:szCs w:val="24"/>
          <w:lang w:eastAsia="en-AU"/>
        </w:rPr>
        <w:t>i</w:t>
      </w:r>
      <w:r w:rsidRPr="00853A2B">
        <w:rPr>
          <w:rFonts w:ascii="Times New Roman" w:eastAsia="Times New Roman" w:hAnsi="Times New Roman" w:cs="Times New Roman"/>
          <w:color w:val="000000"/>
          <w:sz w:val="24"/>
          <w:szCs w:val="24"/>
          <w:lang w:eastAsia="en-AU"/>
        </w:rPr>
        <w:t>n</w:t>
      </w:r>
      <w:r w:rsidR="005A359B">
        <w:rPr>
          <w:rFonts w:ascii="Times New Roman" w:eastAsia="Times New Roman" w:hAnsi="Times New Roman" w:cs="Times New Roman"/>
          <w:color w:val="000000"/>
          <w:sz w:val="24"/>
          <w:szCs w:val="24"/>
          <w:lang w:eastAsia="en-AU"/>
        </w:rPr>
        <w:t>’</w:t>
      </w:r>
      <w:r w:rsidR="00555FC3">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policing and security model at Australia’s </w:t>
      </w:r>
      <w:r w:rsidR="00E947AB">
        <w:rPr>
          <w:rFonts w:ascii="Times New Roman" w:eastAsia="Times New Roman" w:hAnsi="Times New Roman" w:cs="Times New Roman"/>
          <w:color w:val="000000"/>
          <w:sz w:val="24"/>
          <w:szCs w:val="24"/>
          <w:lang w:eastAsia="en-AU"/>
        </w:rPr>
        <w:t>11</w:t>
      </w:r>
      <w:r w:rsidR="00E947AB" w:rsidRPr="00853A2B">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major airports, where the AFP is responsible for security and policing. </w:t>
      </w:r>
      <w:r w:rsidR="00E32EA2">
        <w:rPr>
          <w:rFonts w:ascii="Times New Roman" w:eastAsia="Times New Roman" w:hAnsi="Times New Roman" w:cs="Times New Roman"/>
          <w:color w:val="000000"/>
          <w:sz w:val="24"/>
          <w:szCs w:val="24"/>
          <w:lang w:eastAsia="en-AU"/>
        </w:rPr>
        <w:t>To this end</w:t>
      </w:r>
      <w:r w:rsidRPr="00853A2B">
        <w:rPr>
          <w:rFonts w:ascii="Times New Roman" w:eastAsia="Times New Roman" w:hAnsi="Times New Roman" w:cs="Times New Roman"/>
          <w:color w:val="000000"/>
          <w:sz w:val="24"/>
          <w:szCs w:val="24"/>
          <w:lang w:eastAsia="en-AU"/>
        </w:rPr>
        <w:t xml:space="preserve">, </w:t>
      </w:r>
      <w:r w:rsidR="00053D3B">
        <w:rPr>
          <w:rFonts w:ascii="Times New Roman" w:eastAsia="Times New Roman" w:hAnsi="Times New Roman" w:cs="Times New Roman"/>
          <w:color w:val="000000"/>
          <w:sz w:val="24"/>
          <w:szCs w:val="24"/>
          <w:lang w:eastAsia="en-AU"/>
        </w:rPr>
        <w:t xml:space="preserve">subsection </w:t>
      </w:r>
      <w:r w:rsidR="005E0554">
        <w:rPr>
          <w:rFonts w:ascii="Times New Roman" w:eastAsia="Times New Roman" w:hAnsi="Times New Roman" w:cs="Times New Roman"/>
          <w:color w:val="000000"/>
          <w:sz w:val="24"/>
          <w:szCs w:val="24"/>
          <w:lang w:eastAsia="en-AU"/>
        </w:rPr>
        <w:t>5(</w:t>
      </w:r>
      <w:r w:rsidR="00053D3B">
        <w:rPr>
          <w:rFonts w:ascii="Times New Roman" w:eastAsia="Times New Roman" w:hAnsi="Times New Roman" w:cs="Times New Roman"/>
          <w:color w:val="000000"/>
          <w:sz w:val="24"/>
          <w:szCs w:val="24"/>
          <w:lang w:eastAsia="en-AU"/>
        </w:rPr>
        <w:t>3A</w:t>
      </w:r>
      <w:r w:rsidR="005E0554">
        <w:rPr>
          <w:rFonts w:ascii="Times New Roman" w:eastAsia="Times New Roman" w:hAnsi="Times New Roman" w:cs="Times New Roman"/>
          <w:color w:val="000000"/>
          <w:sz w:val="24"/>
          <w:szCs w:val="24"/>
          <w:lang w:eastAsia="en-AU"/>
        </w:rPr>
        <w:t>)</w:t>
      </w:r>
      <w:r w:rsidR="00053D3B">
        <w:rPr>
          <w:rFonts w:ascii="Times New Roman" w:eastAsia="Times New Roman" w:hAnsi="Times New Roman" w:cs="Times New Roman"/>
          <w:color w:val="000000"/>
          <w:sz w:val="24"/>
          <w:szCs w:val="24"/>
          <w:lang w:eastAsia="en-AU"/>
        </w:rPr>
        <w:t xml:space="preserve"> of the Act </w:t>
      </w:r>
      <w:r w:rsidR="00921BFC">
        <w:rPr>
          <w:rFonts w:ascii="Times New Roman" w:eastAsia="Times New Roman" w:hAnsi="Times New Roman" w:cs="Times New Roman"/>
          <w:color w:val="000000"/>
          <w:sz w:val="24"/>
          <w:szCs w:val="24"/>
          <w:lang w:eastAsia="en-AU"/>
        </w:rPr>
        <w:t xml:space="preserve">operates to </w:t>
      </w:r>
      <w:r w:rsidR="00E32EA2">
        <w:rPr>
          <w:rFonts w:ascii="Times New Roman" w:eastAsia="Times New Roman" w:hAnsi="Times New Roman" w:cs="Times New Roman"/>
          <w:color w:val="000000"/>
          <w:sz w:val="24"/>
          <w:szCs w:val="24"/>
          <w:lang w:eastAsia="en-AU"/>
        </w:rPr>
        <w:t>enable</w:t>
      </w:r>
      <w:r w:rsidR="00E32EA2" w:rsidRPr="00853A2B">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the AFP </w:t>
      </w:r>
      <w:r w:rsidR="00E32EA2">
        <w:rPr>
          <w:rFonts w:ascii="Times New Roman" w:eastAsia="Times New Roman" w:hAnsi="Times New Roman" w:cs="Times New Roman"/>
          <w:color w:val="000000"/>
          <w:sz w:val="24"/>
          <w:szCs w:val="24"/>
          <w:lang w:eastAsia="en-AU"/>
        </w:rPr>
        <w:t>to</w:t>
      </w:r>
      <w:r w:rsidRPr="00853A2B">
        <w:rPr>
          <w:rFonts w:ascii="Times New Roman" w:eastAsia="Times New Roman" w:hAnsi="Times New Roman" w:cs="Times New Roman"/>
          <w:color w:val="000000"/>
          <w:sz w:val="24"/>
          <w:szCs w:val="24"/>
          <w:lang w:eastAsia="en-AU"/>
        </w:rPr>
        <w:t xml:space="preserve"> access certain specified investigatory powers within the </w:t>
      </w:r>
      <w:r w:rsidRPr="00853A2B">
        <w:rPr>
          <w:rFonts w:ascii="Times New Roman" w:eastAsia="Times New Roman" w:hAnsi="Times New Roman" w:cs="Times New Roman"/>
          <w:i/>
          <w:iCs/>
          <w:color w:val="000000"/>
          <w:sz w:val="24"/>
          <w:szCs w:val="24"/>
          <w:lang w:eastAsia="en-AU"/>
        </w:rPr>
        <w:t>Crimes Act 1914 </w:t>
      </w:r>
      <w:r w:rsidRPr="00853A2B">
        <w:rPr>
          <w:rFonts w:ascii="Times New Roman" w:eastAsia="Times New Roman" w:hAnsi="Times New Roman" w:cs="Times New Roman"/>
          <w:color w:val="000000"/>
          <w:sz w:val="24"/>
          <w:szCs w:val="24"/>
          <w:lang w:eastAsia="en-AU"/>
        </w:rPr>
        <w:t>(</w:t>
      </w:r>
      <w:proofErr w:type="spellStart"/>
      <w:r w:rsidRPr="00853A2B">
        <w:rPr>
          <w:rFonts w:ascii="Times New Roman" w:eastAsia="Times New Roman" w:hAnsi="Times New Roman" w:cs="Times New Roman"/>
          <w:color w:val="000000"/>
          <w:sz w:val="24"/>
          <w:szCs w:val="24"/>
          <w:lang w:eastAsia="en-AU"/>
        </w:rPr>
        <w:t>Cth</w:t>
      </w:r>
      <w:proofErr w:type="spellEnd"/>
      <w:r w:rsidRPr="00853A2B">
        <w:rPr>
          <w:rFonts w:ascii="Times New Roman" w:eastAsia="Times New Roman" w:hAnsi="Times New Roman" w:cs="Times New Roman"/>
          <w:color w:val="000000"/>
          <w:sz w:val="24"/>
          <w:szCs w:val="24"/>
          <w:lang w:eastAsia="en-AU"/>
        </w:rPr>
        <w:t>)</w:t>
      </w:r>
      <w:r w:rsidR="00E32EA2">
        <w:rPr>
          <w:rFonts w:ascii="Times New Roman" w:eastAsia="Times New Roman" w:hAnsi="Times New Roman" w:cs="Times New Roman"/>
          <w:color w:val="000000"/>
          <w:sz w:val="24"/>
          <w:szCs w:val="24"/>
          <w:lang w:eastAsia="en-AU"/>
        </w:rPr>
        <w:t xml:space="preserve"> at the designated airports prescribed </w:t>
      </w:r>
      <w:r w:rsidR="003068C1">
        <w:rPr>
          <w:rFonts w:ascii="Times New Roman" w:eastAsia="Times New Roman" w:hAnsi="Times New Roman" w:cs="Times New Roman"/>
          <w:color w:val="000000"/>
          <w:sz w:val="24"/>
          <w:szCs w:val="24"/>
          <w:lang w:eastAsia="en-AU"/>
        </w:rPr>
        <w:t>by</w:t>
      </w:r>
      <w:r w:rsidR="00E32EA2">
        <w:rPr>
          <w:rFonts w:ascii="Times New Roman" w:eastAsia="Times New Roman" w:hAnsi="Times New Roman" w:cs="Times New Roman"/>
          <w:color w:val="000000"/>
          <w:sz w:val="24"/>
          <w:szCs w:val="24"/>
          <w:lang w:eastAsia="en-AU"/>
        </w:rPr>
        <w:t xml:space="preserve"> </w:t>
      </w:r>
      <w:r w:rsidR="0085224B">
        <w:rPr>
          <w:rFonts w:ascii="Times New Roman" w:eastAsia="Times New Roman" w:hAnsi="Times New Roman" w:cs="Times New Roman"/>
          <w:color w:val="000000"/>
          <w:sz w:val="24"/>
          <w:szCs w:val="24"/>
          <w:lang w:eastAsia="en-AU"/>
        </w:rPr>
        <w:t xml:space="preserve">the </w:t>
      </w:r>
      <w:r w:rsidR="0085224B" w:rsidRPr="0085224B">
        <w:rPr>
          <w:rFonts w:ascii="Times New Roman" w:eastAsia="Times New Roman" w:hAnsi="Times New Roman" w:cs="Times New Roman"/>
          <w:color w:val="000000"/>
          <w:sz w:val="24"/>
          <w:szCs w:val="24"/>
          <w:lang w:eastAsia="en-AU"/>
        </w:rPr>
        <w:t>R</w:t>
      </w:r>
      <w:r w:rsidR="00E32EA2" w:rsidRPr="0085224B">
        <w:rPr>
          <w:rFonts w:ascii="Times New Roman" w:eastAsia="Times New Roman" w:hAnsi="Times New Roman" w:cs="Times New Roman"/>
          <w:color w:val="000000"/>
          <w:sz w:val="24"/>
          <w:szCs w:val="24"/>
          <w:lang w:eastAsia="en-AU"/>
        </w:rPr>
        <w:t>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w:t>
      </w:r>
      <w:r w:rsidR="00605AB0">
        <w:rPr>
          <w:rFonts w:ascii="Times New Roman" w:eastAsia="Times New Roman" w:hAnsi="Times New Roman" w:cs="Times New Roman"/>
          <w:color w:val="000000"/>
          <w:sz w:val="24"/>
          <w:szCs w:val="24"/>
          <w:lang w:eastAsia="en-AU"/>
        </w:rPr>
        <w:t xml:space="preserve"> </w:t>
      </w:r>
      <w:r w:rsidR="00002D4E">
        <w:rPr>
          <w:rFonts w:ascii="Times New Roman" w:eastAsia="Times New Roman" w:hAnsi="Times New Roman" w:cs="Times New Roman"/>
          <w:color w:val="000000"/>
          <w:sz w:val="24"/>
          <w:szCs w:val="24"/>
          <w:lang w:eastAsia="en-AU"/>
        </w:rPr>
        <w:t xml:space="preserve">Section </w:t>
      </w:r>
      <w:r w:rsidR="00F267ED">
        <w:rPr>
          <w:rFonts w:ascii="Times New Roman" w:eastAsia="Times New Roman" w:hAnsi="Times New Roman" w:cs="Times New Roman"/>
          <w:color w:val="000000"/>
          <w:sz w:val="24"/>
          <w:szCs w:val="24"/>
          <w:lang w:eastAsia="en-AU"/>
        </w:rPr>
        <w:t>6</w:t>
      </w:r>
      <w:r w:rsidRPr="00853A2B">
        <w:rPr>
          <w:rFonts w:ascii="Times New Roman" w:eastAsia="Times New Roman" w:hAnsi="Times New Roman" w:cs="Times New Roman"/>
          <w:color w:val="000000"/>
          <w:sz w:val="24"/>
          <w:szCs w:val="24"/>
          <w:lang w:eastAsia="en-AU"/>
        </w:rPr>
        <w:t xml:space="preserve"> </w:t>
      </w:r>
      <w:r w:rsidR="008032E8">
        <w:rPr>
          <w:rFonts w:ascii="Times New Roman" w:eastAsia="Times New Roman" w:hAnsi="Times New Roman" w:cs="Times New Roman"/>
          <w:color w:val="000000"/>
          <w:sz w:val="24"/>
          <w:szCs w:val="24"/>
          <w:lang w:eastAsia="en-AU"/>
        </w:rPr>
        <w:t xml:space="preserve">ensures </w:t>
      </w:r>
      <w:r w:rsidRPr="00853A2B">
        <w:rPr>
          <w:rFonts w:ascii="Times New Roman" w:eastAsia="Times New Roman" w:hAnsi="Times New Roman" w:cs="Times New Roman"/>
          <w:color w:val="000000"/>
          <w:sz w:val="24"/>
          <w:szCs w:val="24"/>
          <w:lang w:eastAsia="en-AU"/>
        </w:rPr>
        <w:t>these airports continue to be prescribed for this purpose.</w:t>
      </w:r>
    </w:p>
    <w:p w14:paraId="7CF4256C" w14:textId="77777777"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3D4C99B2" w14:textId="7B47A62B" w:rsidR="00DB1775"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Consultation was undertaken by the Attorney-General’s Department with the AFP</w:t>
      </w:r>
      <w:r w:rsidR="00E22BC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the</w:t>
      </w:r>
      <w:r w:rsidR="00605AB0">
        <w:rPr>
          <w:rFonts w:ascii="Times New Roman" w:eastAsia="Times New Roman" w:hAnsi="Times New Roman" w:cs="Times New Roman"/>
          <w:color w:val="000000"/>
          <w:sz w:val="24"/>
          <w:szCs w:val="24"/>
          <w:lang w:eastAsia="en-AU"/>
        </w:rPr>
        <w:t xml:space="preserve"> Department of Infrastructure, Transport, Regional Development, Communications and the Arts (DITRDCA)</w:t>
      </w:r>
      <w:r w:rsidR="00E22BC9">
        <w:rPr>
          <w:rFonts w:ascii="Times New Roman" w:eastAsia="Times New Roman" w:hAnsi="Times New Roman" w:cs="Times New Roman"/>
          <w:color w:val="000000"/>
          <w:sz w:val="24"/>
          <w:szCs w:val="24"/>
          <w:lang w:eastAsia="en-AU"/>
        </w:rPr>
        <w:t xml:space="preserve"> and Liquor and Gaming NSW.</w:t>
      </w:r>
    </w:p>
    <w:p w14:paraId="4E8252ED" w14:textId="519025BE" w:rsidR="0030607E" w:rsidRPr="00071BBB" w:rsidRDefault="0030607E" w:rsidP="0030607E">
      <w:pPr>
        <w:spacing w:beforeLines="120" w:before="288" w:after="0"/>
        <w:ind w:right="91"/>
        <w:rPr>
          <w:rFonts w:ascii="Times New Roman" w:hAnsi="Times New Roman" w:cs="Times New Roman"/>
          <w:sz w:val="24"/>
        </w:rPr>
      </w:pPr>
      <w:r w:rsidRPr="00071BBB">
        <w:rPr>
          <w:rFonts w:ascii="Times New Roman" w:hAnsi="Times New Roman" w:cs="Times New Roman"/>
          <w:sz w:val="24"/>
        </w:rPr>
        <w:t>The Office of Impact Analysis has been consulted (OIA Reference:</w:t>
      </w:r>
      <w:r w:rsidR="00ED2890" w:rsidRPr="00071BBB">
        <w:rPr>
          <w:rFonts w:ascii="Times New Roman" w:hAnsi="Times New Roman" w:cs="Times New Roman"/>
          <w:sz w:val="24"/>
        </w:rPr>
        <w:t xml:space="preserve"> OIA23-06253</w:t>
      </w:r>
      <w:r w:rsidRPr="00071BBB">
        <w:rPr>
          <w:rFonts w:ascii="Times New Roman" w:hAnsi="Times New Roman" w:cs="Times New Roman"/>
          <w:sz w:val="24"/>
        </w:rPr>
        <w:t>) and has advised that an Impact Analysis is not required.</w:t>
      </w:r>
    </w:p>
    <w:p w14:paraId="3EB10613" w14:textId="77777777" w:rsidR="00DB1775" w:rsidRPr="00853A2B" w:rsidRDefault="00DB1775"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50087D39" w14:textId="3707D67B" w:rsidR="00202780" w:rsidRPr="00202780" w:rsidRDefault="00202780" w:rsidP="00202780">
      <w:pPr>
        <w:shd w:val="clear" w:color="auto" w:fill="FFFFFF"/>
        <w:spacing w:after="0" w:line="240" w:lineRule="atLeast"/>
        <w:ind w:right="91"/>
        <w:rPr>
          <w:rFonts w:ascii="Times New Roman" w:eastAsia="Times New Roman" w:hAnsi="Times New Roman" w:cs="Times New Roman"/>
          <w:color w:val="000000"/>
          <w:sz w:val="28"/>
          <w:szCs w:val="24"/>
          <w:lang w:eastAsia="en-AU"/>
        </w:rPr>
      </w:pPr>
      <w:r w:rsidRPr="00202780">
        <w:rPr>
          <w:rFonts w:ascii="Times New Roman" w:hAnsi="Times New Roman" w:cs="Times New Roman"/>
          <w:sz w:val="24"/>
        </w:rPr>
        <w:t xml:space="preserve">A Statement of Compatibility with Human Rights (the Statement) has been completed in accordance with the </w:t>
      </w:r>
      <w:r w:rsidRPr="00202780">
        <w:rPr>
          <w:rFonts w:ascii="Times New Roman" w:hAnsi="Times New Roman" w:cs="Times New Roman"/>
          <w:i/>
          <w:sz w:val="24"/>
        </w:rPr>
        <w:t xml:space="preserve">Human Rights (Parliamentary Scrutiny) Act 2011. </w:t>
      </w:r>
      <w:r w:rsidRPr="00202780">
        <w:rPr>
          <w:rFonts w:ascii="Times New Roman" w:hAnsi="Times New Roman" w:cs="Times New Roman"/>
          <w:sz w:val="24"/>
        </w:rPr>
        <w:t>The overall assessment is that the Regulation</w:t>
      </w:r>
      <w:r w:rsidR="00002D4E">
        <w:rPr>
          <w:rFonts w:ascii="Times New Roman" w:hAnsi="Times New Roman" w:cs="Times New Roman"/>
          <w:sz w:val="24"/>
        </w:rPr>
        <w:t>s</w:t>
      </w:r>
      <w:r w:rsidRPr="00202780">
        <w:rPr>
          <w:rFonts w:ascii="Times New Roman" w:hAnsi="Times New Roman" w:cs="Times New Roman"/>
          <w:sz w:val="24"/>
        </w:rPr>
        <w:t xml:space="preserve"> </w:t>
      </w:r>
      <w:r w:rsidR="00AC665E">
        <w:rPr>
          <w:rFonts w:ascii="Times New Roman" w:hAnsi="Times New Roman" w:cs="Times New Roman"/>
          <w:sz w:val="24"/>
        </w:rPr>
        <w:t>are</w:t>
      </w:r>
      <w:r w:rsidRPr="00202780">
        <w:rPr>
          <w:rFonts w:ascii="Times New Roman" w:hAnsi="Times New Roman" w:cs="Times New Roman"/>
          <w:sz w:val="24"/>
        </w:rPr>
        <w:t xml:space="preserve"> compatible with human rights. A copy of the Statement is at </w:t>
      </w:r>
      <w:r w:rsidRPr="00202780">
        <w:rPr>
          <w:rFonts w:ascii="Times New Roman" w:hAnsi="Times New Roman" w:cs="Times New Roman"/>
          <w:b/>
          <w:sz w:val="24"/>
          <w:u w:val="single"/>
        </w:rPr>
        <w:t>Attachment A</w:t>
      </w:r>
      <w:r w:rsidR="00072720">
        <w:rPr>
          <w:rFonts w:ascii="Times New Roman" w:hAnsi="Times New Roman" w:cs="Times New Roman"/>
          <w:sz w:val="24"/>
        </w:rPr>
        <w:t>.</w:t>
      </w:r>
    </w:p>
    <w:p w14:paraId="70B8D111" w14:textId="01B85F04" w:rsidR="00202780" w:rsidRPr="00202780" w:rsidRDefault="00202780" w:rsidP="00202780">
      <w:pPr>
        <w:spacing w:beforeLines="120" w:before="288" w:after="0"/>
        <w:ind w:right="91"/>
        <w:rPr>
          <w:rFonts w:ascii="Times New Roman" w:hAnsi="Times New Roman" w:cs="Times New Roman"/>
          <w:sz w:val="24"/>
        </w:rPr>
      </w:pPr>
      <w:r w:rsidRPr="00202780">
        <w:rPr>
          <w:rFonts w:ascii="Times New Roman" w:hAnsi="Times New Roman" w:cs="Times New Roman"/>
          <w:sz w:val="24"/>
        </w:rPr>
        <w:t>Details of the Regulation</w:t>
      </w:r>
      <w:r w:rsidR="00002D4E">
        <w:rPr>
          <w:rFonts w:ascii="Times New Roman" w:hAnsi="Times New Roman" w:cs="Times New Roman"/>
          <w:sz w:val="24"/>
        </w:rPr>
        <w:t>s</w:t>
      </w:r>
      <w:r w:rsidRPr="00202780">
        <w:rPr>
          <w:rFonts w:ascii="Times New Roman" w:hAnsi="Times New Roman" w:cs="Times New Roman"/>
          <w:sz w:val="24"/>
        </w:rPr>
        <w:t xml:space="preserve"> are set out at </w:t>
      </w:r>
      <w:r w:rsidRPr="00202780">
        <w:rPr>
          <w:rFonts w:ascii="Times New Roman" w:hAnsi="Times New Roman" w:cs="Times New Roman"/>
          <w:b/>
          <w:sz w:val="24"/>
          <w:u w:val="single"/>
        </w:rPr>
        <w:t>Attachment B</w:t>
      </w:r>
      <w:r w:rsidRPr="00202780">
        <w:rPr>
          <w:rFonts w:ascii="Times New Roman" w:hAnsi="Times New Roman" w:cs="Times New Roman"/>
          <w:sz w:val="24"/>
        </w:rPr>
        <w:t>.</w:t>
      </w:r>
    </w:p>
    <w:p w14:paraId="44ACA057" w14:textId="77777777" w:rsidR="00202780" w:rsidRDefault="00202780" w:rsidP="00DB1775">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7530F320" w14:textId="1274A2DC" w:rsidR="00DB1775" w:rsidRPr="00853A2B" w:rsidRDefault="00DB1775" w:rsidP="00DB1775">
      <w:pPr>
        <w:shd w:val="clear" w:color="auto" w:fill="FFFFFF"/>
        <w:spacing w:after="24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 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sidR="00B11B19">
        <w:rPr>
          <w:rFonts w:ascii="Times New Roman" w:eastAsia="Times New Roman" w:hAnsi="Times New Roman" w:cs="Times New Roman"/>
          <w:color w:val="000000"/>
          <w:sz w:val="24"/>
          <w:szCs w:val="24"/>
          <w:lang w:eastAsia="en-AU"/>
        </w:rPr>
        <w:t>are</w:t>
      </w:r>
      <w:r w:rsidR="008032E8">
        <w:rPr>
          <w:rFonts w:ascii="Times New Roman" w:eastAsia="Times New Roman" w:hAnsi="Times New Roman" w:cs="Times New Roman"/>
          <w:color w:val="000000"/>
          <w:sz w:val="24"/>
          <w:szCs w:val="24"/>
          <w:lang w:eastAsia="en-AU"/>
        </w:rPr>
        <w:t xml:space="preserve"> a </w:t>
      </w:r>
      <w:r w:rsidRPr="00853A2B">
        <w:rPr>
          <w:rFonts w:ascii="Times New Roman" w:eastAsia="Times New Roman" w:hAnsi="Times New Roman" w:cs="Times New Roman"/>
          <w:color w:val="000000"/>
          <w:sz w:val="24"/>
          <w:szCs w:val="24"/>
          <w:lang w:eastAsia="en-AU"/>
        </w:rPr>
        <w:t>legislative instrument for the purposes of the </w:t>
      </w:r>
      <w:r w:rsidRPr="00853A2B">
        <w:rPr>
          <w:rFonts w:ascii="Times New Roman" w:eastAsia="Times New Roman" w:hAnsi="Times New Roman" w:cs="Times New Roman"/>
          <w:i/>
          <w:iCs/>
          <w:color w:val="000000"/>
          <w:sz w:val="24"/>
          <w:szCs w:val="24"/>
          <w:lang w:eastAsia="en-AU"/>
        </w:rPr>
        <w:t>Legislati</w:t>
      </w:r>
      <w:r w:rsidR="00C57590">
        <w:rPr>
          <w:rFonts w:ascii="Times New Roman" w:eastAsia="Times New Roman" w:hAnsi="Times New Roman" w:cs="Times New Roman"/>
          <w:i/>
          <w:iCs/>
          <w:color w:val="000000"/>
          <w:sz w:val="24"/>
          <w:szCs w:val="24"/>
          <w:lang w:eastAsia="en-AU"/>
        </w:rPr>
        <w:t>on</w:t>
      </w:r>
      <w:r w:rsidR="003E4FDF">
        <w:rPr>
          <w:rFonts w:ascii="Times New Roman" w:eastAsia="Times New Roman" w:hAnsi="Times New Roman" w:cs="Times New Roman"/>
          <w:i/>
          <w:iCs/>
          <w:color w:val="000000"/>
          <w:sz w:val="24"/>
          <w:szCs w:val="24"/>
          <w:lang w:eastAsia="en-AU"/>
        </w:rPr>
        <w:t xml:space="preserve"> </w:t>
      </w:r>
      <w:r w:rsidRPr="00853A2B">
        <w:rPr>
          <w:rFonts w:ascii="Times New Roman" w:eastAsia="Times New Roman" w:hAnsi="Times New Roman" w:cs="Times New Roman"/>
          <w:i/>
          <w:iCs/>
          <w:color w:val="000000"/>
          <w:sz w:val="24"/>
          <w:szCs w:val="24"/>
          <w:lang w:eastAsia="en-AU"/>
        </w:rPr>
        <w:t>Act 2003</w:t>
      </w:r>
      <w:r w:rsidRPr="00853A2B">
        <w:rPr>
          <w:rFonts w:ascii="Times New Roman" w:eastAsia="Times New Roman" w:hAnsi="Times New Roman" w:cs="Times New Roman"/>
          <w:color w:val="000000"/>
          <w:sz w:val="24"/>
          <w:szCs w:val="24"/>
          <w:lang w:eastAsia="en-AU"/>
        </w:rPr>
        <w:t>.</w:t>
      </w:r>
    </w:p>
    <w:p w14:paraId="3FA4B044" w14:textId="77777777" w:rsidR="00DB1775" w:rsidRPr="00853A2B" w:rsidRDefault="00DB1775" w:rsidP="00DB1775">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0"/>
          <w:szCs w:val="20"/>
          <w:lang w:eastAsia="en-AU"/>
        </w:rPr>
        <w:t> </w:t>
      </w:r>
    </w:p>
    <w:p w14:paraId="2C0AFA65" w14:textId="77777777" w:rsidR="00DB1775" w:rsidRPr="00853A2B" w:rsidRDefault="00DB1775" w:rsidP="00DB1775">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4C26DAC2"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53306B31"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5479A41F"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08D2A77D"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2CB4BE98"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0A9A78B5"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462FFA15"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5C8FDF91"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60833AA1"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65C649EF" w14:textId="77777777" w:rsidR="00202780" w:rsidRDefault="00202780" w:rsidP="00DB1775">
      <w:pPr>
        <w:shd w:val="clear" w:color="auto" w:fill="FFFFFF"/>
        <w:spacing w:after="0" w:line="240" w:lineRule="auto"/>
        <w:rPr>
          <w:rFonts w:ascii="Times New Roman" w:eastAsia="Times New Roman" w:hAnsi="Times New Roman" w:cs="Times New Roman"/>
          <w:color w:val="000000"/>
          <w:sz w:val="24"/>
          <w:szCs w:val="24"/>
          <w:lang w:eastAsia="en-AU"/>
        </w:rPr>
      </w:pPr>
    </w:p>
    <w:p w14:paraId="31C5C324" w14:textId="77777777" w:rsidR="0085224B" w:rsidRDefault="0085224B" w:rsidP="00202780">
      <w:pPr>
        <w:shd w:val="clear" w:color="auto" w:fill="FFFFFF"/>
        <w:spacing w:after="0" w:line="240" w:lineRule="auto"/>
        <w:ind w:right="91"/>
        <w:jc w:val="right"/>
        <w:rPr>
          <w:rFonts w:ascii="Times New Roman" w:eastAsia="Times New Roman" w:hAnsi="Times New Roman" w:cs="Times New Roman"/>
          <w:b/>
          <w:bCs/>
          <w:color w:val="000000"/>
          <w:sz w:val="24"/>
          <w:szCs w:val="24"/>
          <w:u w:val="single"/>
          <w:lang w:eastAsia="en-AU"/>
        </w:rPr>
      </w:pPr>
    </w:p>
    <w:p w14:paraId="38026CE4" w14:textId="77777777" w:rsidR="0085224B" w:rsidRDefault="0085224B" w:rsidP="00202780">
      <w:pPr>
        <w:shd w:val="clear" w:color="auto" w:fill="FFFFFF"/>
        <w:spacing w:after="0" w:line="240" w:lineRule="auto"/>
        <w:ind w:right="91"/>
        <w:jc w:val="right"/>
        <w:rPr>
          <w:rFonts w:ascii="Times New Roman" w:eastAsia="Times New Roman" w:hAnsi="Times New Roman" w:cs="Times New Roman"/>
          <w:b/>
          <w:bCs/>
          <w:color w:val="000000"/>
          <w:sz w:val="24"/>
          <w:szCs w:val="24"/>
          <w:u w:val="single"/>
          <w:lang w:eastAsia="en-AU"/>
        </w:rPr>
      </w:pPr>
    </w:p>
    <w:p w14:paraId="49BB5CBB" w14:textId="77777777" w:rsidR="0085224B" w:rsidRDefault="0085224B" w:rsidP="00202780">
      <w:pPr>
        <w:shd w:val="clear" w:color="auto" w:fill="FFFFFF"/>
        <w:spacing w:after="0" w:line="240" w:lineRule="auto"/>
        <w:ind w:right="91"/>
        <w:jc w:val="right"/>
        <w:rPr>
          <w:rFonts w:ascii="Times New Roman" w:eastAsia="Times New Roman" w:hAnsi="Times New Roman" w:cs="Times New Roman"/>
          <w:b/>
          <w:bCs/>
          <w:color w:val="000000"/>
          <w:sz w:val="24"/>
          <w:szCs w:val="24"/>
          <w:u w:val="single"/>
          <w:lang w:eastAsia="en-AU"/>
        </w:rPr>
      </w:pPr>
    </w:p>
    <w:p w14:paraId="78F81442" w14:textId="77777777" w:rsidR="0091068D" w:rsidRDefault="0091068D" w:rsidP="00202780">
      <w:pPr>
        <w:shd w:val="clear" w:color="auto" w:fill="FFFFFF"/>
        <w:spacing w:after="0" w:line="240" w:lineRule="auto"/>
        <w:ind w:right="91"/>
        <w:jc w:val="right"/>
        <w:rPr>
          <w:rFonts w:ascii="Times New Roman" w:eastAsia="Times New Roman" w:hAnsi="Times New Roman" w:cs="Times New Roman"/>
          <w:b/>
          <w:bCs/>
          <w:color w:val="000000"/>
          <w:sz w:val="24"/>
          <w:szCs w:val="24"/>
          <w:u w:val="single"/>
          <w:lang w:eastAsia="en-AU"/>
        </w:rPr>
      </w:pPr>
    </w:p>
    <w:p w14:paraId="687423B5" w14:textId="77777777" w:rsidR="00C57590" w:rsidRDefault="00C57590">
      <w:pPr>
        <w:rPr>
          <w:rFonts w:ascii="Times New Roman" w:eastAsia="Times New Roman" w:hAnsi="Times New Roman" w:cs="Times New Roman"/>
          <w:b/>
          <w:bCs/>
          <w:color w:val="000000"/>
          <w:sz w:val="24"/>
          <w:szCs w:val="24"/>
          <w:u w:val="single"/>
          <w:lang w:eastAsia="en-AU"/>
        </w:rPr>
      </w:pPr>
      <w:r>
        <w:rPr>
          <w:rFonts w:ascii="Times New Roman" w:eastAsia="Times New Roman" w:hAnsi="Times New Roman" w:cs="Times New Roman"/>
          <w:b/>
          <w:bCs/>
          <w:color w:val="000000"/>
          <w:sz w:val="24"/>
          <w:szCs w:val="24"/>
          <w:u w:val="single"/>
          <w:lang w:eastAsia="en-AU"/>
        </w:rPr>
        <w:br w:type="page"/>
      </w:r>
    </w:p>
    <w:p w14:paraId="480201AB" w14:textId="43492744" w:rsidR="00202780" w:rsidRPr="00853A2B" w:rsidRDefault="00202780" w:rsidP="00202780">
      <w:pPr>
        <w:shd w:val="clear" w:color="auto" w:fill="FFFFFF"/>
        <w:spacing w:after="0" w:line="240" w:lineRule="auto"/>
        <w:ind w:right="91"/>
        <w:jc w:val="right"/>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color w:val="000000"/>
          <w:sz w:val="24"/>
          <w:szCs w:val="24"/>
          <w:u w:val="single"/>
          <w:lang w:eastAsia="en-AU"/>
        </w:rPr>
        <w:lastRenderedPageBreak/>
        <w:t>ATTACHMENT</w:t>
      </w:r>
      <w:r>
        <w:rPr>
          <w:rFonts w:ascii="Times New Roman" w:eastAsia="Times New Roman" w:hAnsi="Times New Roman" w:cs="Times New Roman"/>
          <w:b/>
          <w:bCs/>
          <w:color w:val="000000"/>
          <w:sz w:val="24"/>
          <w:szCs w:val="24"/>
          <w:u w:val="single"/>
          <w:lang w:eastAsia="en-AU"/>
        </w:rPr>
        <w:t xml:space="preserve"> A</w:t>
      </w:r>
    </w:p>
    <w:p w14:paraId="7A30F997" w14:textId="48C148F9" w:rsidR="00202780" w:rsidRDefault="00202780" w:rsidP="00202780">
      <w:pPr>
        <w:shd w:val="clear" w:color="auto" w:fill="FFFFFF"/>
        <w:spacing w:after="0" w:line="240" w:lineRule="auto"/>
        <w:jc w:val="right"/>
        <w:rPr>
          <w:rFonts w:ascii="Times New Roman" w:eastAsia="Times New Roman" w:hAnsi="Times New Roman" w:cs="Times New Roman"/>
          <w:color w:val="000000"/>
          <w:sz w:val="24"/>
          <w:szCs w:val="24"/>
          <w:lang w:eastAsia="en-AU"/>
        </w:rPr>
      </w:pPr>
    </w:p>
    <w:p w14:paraId="5C83EF82" w14:textId="69393C76" w:rsidR="00DB1775" w:rsidRPr="00B76A06" w:rsidRDefault="00DB1775" w:rsidP="00270BD5">
      <w:pPr>
        <w:shd w:val="clear" w:color="auto" w:fill="FFFFFF"/>
        <w:spacing w:after="0" w:line="240" w:lineRule="auto"/>
        <w:jc w:val="center"/>
        <w:rPr>
          <w:rFonts w:ascii="Open Sans" w:eastAsia="Times New Roman" w:hAnsi="Open Sans" w:cs="Times New Roman"/>
          <w:color w:val="000000"/>
          <w:sz w:val="21"/>
          <w:szCs w:val="21"/>
          <w:lang w:eastAsia="en-AU"/>
        </w:rPr>
      </w:pPr>
      <w:r w:rsidRPr="00853A2B">
        <w:rPr>
          <w:rFonts w:ascii="Times New Roman" w:eastAsia="Times New Roman" w:hAnsi="Times New Roman" w:cs="Times New Roman"/>
          <w:color w:val="000000"/>
          <w:sz w:val="24"/>
          <w:szCs w:val="24"/>
          <w:lang w:eastAsia="en-AU"/>
        </w:rPr>
        <w:br w:type="textWrapping" w:clear="all"/>
      </w:r>
      <w:bookmarkStart w:id="0" w:name="_Toc290210739"/>
      <w:r w:rsidRPr="00853A2B">
        <w:rPr>
          <w:rFonts w:ascii="Times New Roman" w:eastAsia="Times New Roman" w:hAnsi="Times New Roman" w:cs="Times New Roman"/>
          <w:b/>
          <w:bCs/>
          <w:color w:val="000000"/>
          <w:sz w:val="24"/>
          <w:szCs w:val="24"/>
          <w:lang w:eastAsia="en-AU"/>
        </w:rPr>
        <w:t>Statement of Compatibility with Human Rights</w:t>
      </w:r>
      <w:bookmarkEnd w:id="0"/>
    </w:p>
    <w:p w14:paraId="22F0D240" w14:textId="53D1681D" w:rsidR="00DB1775" w:rsidRPr="00853A2B" w:rsidRDefault="00DB1775" w:rsidP="00C57590">
      <w:pPr>
        <w:shd w:val="clear" w:color="auto" w:fill="FFFFFF"/>
        <w:spacing w:before="240" w:after="24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0BBE9999" w14:textId="3E361189" w:rsidR="00DB1775" w:rsidRPr="00270BD5" w:rsidRDefault="00DB1775" w:rsidP="00C57590">
      <w:pPr>
        <w:shd w:val="clear" w:color="auto" w:fill="FFFFFF"/>
        <w:spacing w:before="240" w:after="240" w:line="240" w:lineRule="auto"/>
        <w:jc w:val="center"/>
        <w:rPr>
          <w:rFonts w:ascii="Times New Roman" w:eastAsia="Times New Roman" w:hAnsi="Times New Roman" w:cs="Times New Roman"/>
          <w:i/>
          <w:color w:val="000000"/>
          <w:sz w:val="24"/>
          <w:szCs w:val="24"/>
          <w:lang w:eastAsia="en-AU"/>
        </w:rPr>
      </w:pPr>
      <w:r w:rsidRPr="00270BD5">
        <w:rPr>
          <w:rFonts w:ascii="Times New Roman" w:eastAsia="Times New Roman" w:hAnsi="Times New Roman" w:cs="Times New Roman"/>
          <w:b/>
          <w:bCs/>
          <w:i/>
          <w:color w:val="000000"/>
          <w:sz w:val="24"/>
          <w:szCs w:val="24"/>
          <w:lang w:eastAsia="en-AU"/>
        </w:rPr>
        <w:t>Commonwealth Places (Application of Laws) Regulation</w:t>
      </w:r>
      <w:r w:rsidR="00002D4E">
        <w:rPr>
          <w:rFonts w:ascii="Times New Roman" w:eastAsia="Times New Roman" w:hAnsi="Times New Roman" w:cs="Times New Roman"/>
          <w:b/>
          <w:bCs/>
          <w:i/>
          <w:color w:val="000000"/>
          <w:sz w:val="24"/>
          <w:szCs w:val="24"/>
          <w:lang w:eastAsia="en-AU"/>
        </w:rPr>
        <w:t>s</w:t>
      </w:r>
      <w:r w:rsidRPr="00270BD5">
        <w:rPr>
          <w:rFonts w:ascii="Times New Roman" w:eastAsia="Times New Roman" w:hAnsi="Times New Roman" w:cs="Times New Roman"/>
          <w:b/>
          <w:bCs/>
          <w:i/>
          <w:color w:val="000000"/>
          <w:sz w:val="24"/>
          <w:szCs w:val="24"/>
          <w:lang w:eastAsia="en-AU"/>
        </w:rPr>
        <w:t xml:space="preserve"> 2024</w:t>
      </w:r>
    </w:p>
    <w:p w14:paraId="2A174CD6" w14:textId="65292E1C" w:rsidR="00DB1775" w:rsidRPr="007B38C6" w:rsidRDefault="00DB1775" w:rsidP="00C57590">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C57590">
        <w:rPr>
          <w:rFonts w:ascii="Times New Roman" w:eastAsia="Times New Roman" w:hAnsi="Times New Roman" w:cs="Times New Roman"/>
          <w:color w:val="000000"/>
          <w:sz w:val="24"/>
          <w:szCs w:val="24"/>
          <w:lang w:eastAsia="en-AU"/>
        </w:rPr>
        <w:t>Th</w:t>
      </w:r>
      <w:r w:rsidR="00C57590" w:rsidRPr="00C57590">
        <w:rPr>
          <w:rFonts w:ascii="Times New Roman" w:eastAsia="Times New Roman" w:hAnsi="Times New Roman" w:cs="Times New Roman"/>
          <w:color w:val="000000"/>
          <w:sz w:val="24"/>
          <w:szCs w:val="24"/>
          <w:lang w:eastAsia="en-AU"/>
        </w:rPr>
        <w:t>e</w:t>
      </w:r>
      <w:r w:rsidR="00C57590">
        <w:rPr>
          <w:rFonts w:ascii="Times New Roman" w:eastAsia="Times New Roman" w:hAnsi="Times New Roman" w:cs="Times New Roman"/>
          <w:color w:val="000000"/>
          <w:sz w:val="24"/>
          <w:szCs w:val="24"/>
          <w:lang w:eastAsia="en-AU"/>
        </w:rPr>
        <w:t xml:space="preserve"> </w:t>
      </w:r>
      <w:r w:rsidR="00C57590">
        <w:rPr>
          <w:rFonts w:ascii="Times New Roman" w:eastAsia="Times New Roman" w:hAnsi="Times New Roman" w:cs="Times New Roman"/>
          <w:i/>
          <w:color w:val="000000"/>
          <w:sz w:val="24"/>
          <w:szCs w:val="24"/>
          <w:lang w:eastAsia="en-AU"/>
        </w:rPr>
        <w:t>Commonwealth Places (Application of Laws) Regulation</w:t>
      </w:r>
      <w:r w:rsidR="00002D4E">
        <w:rPr>
          <w:rFonts w:ascii="Times New Roman" w:eastAsia="Times New Roman" w:hAnsi="Times New Roman" w:cs="Times New Roman"/>
          <w:i/>
          <w:color w:val="000000"/>
          <w:sz w:val="24"/>
          <w:szCs w:val="24"/>
          <w:lang w:eastAsia="en-AU"/>
        </w:rPr>
        <w:t>s</w:t>
      </w:r>
      <w:r w:rsidR="00C57590">
        <w:rPr>
          <w:rFonts w:ascii="Times New Roman" w:eastAsia="Times New Roman" w:hAnsi="Times New Roman" w:cs="Times New Roman"/>
          <w:i/>
          <w:color w:val="000000"/>
          <w:sz w:val="24"/>
          <w:szCs w:val="24"/>
          <w:lang w:eastAsia="en-AU"/>
        </w:rPr>
        <w:t xml:space="preserve"> 2024</w:t>
      </w:r>
      <w:r w:rsidRPr="007B38C6">
        <w:rPr>
          <w:rFonts w:ascii="Times New Roman" w:eastAsia="Times New Roman" w:hAnsi="Times New Roman" w:cs="Times New Roman"/>
          <w:color w:val="000000"/>
          <w:sz w:val="24"/>
          <w:szCs w:val="24"/>
          <w:lang w:eastAsia="en-AU"/>
        </w:rPr>
        <w:t xml:space="preserve"> </w:t>
      </w:r>
      <w:r w:rsidR="00C57590">
        <w:rPr>
          <w:rFonts w:ascii="Times New Roman" w:eastAsia="Times New Roman" w:hAnsi="Times New Roman" w:cs="Times New Roman"/>
          <w:iCs/>
          <w:color w:val="000000"/>
          <w:sz w:val="24"/>
          <w:szCs w:val="24"/>
          <w:lang w:eastAsia="en-AU"/>
        </w:rPr>
        <w:t>(the Regulation</w:t>
      </w:r>
      <w:r w:rsidR="00002D4E">
        <w:rPr>
          <w:rFonts w:ascii="Times New Roman" w:eastAsia="Times New Roman" w:hAnsi="Times New Roman" w:cs="Times New Roman"/>
          <w:iCs/>
          <w:color w:val="000000"/>
          <w:sz w:val="24"/>
          <w:szCs w:val="24"/>
          <w:lang w:eastAsia="en-AU"/>
        </w:rPr>
        <w:t>s</w:t>
      </w:r>
      <w:r w:rsidR="00C57590">
        <w:rPr>
          <w:rFonts w:ascii="Times New Roman" w:eastAsia="Times New Roman" w:hAnsi="Times New Roman" w:cs="Times New Roman"/>
          <w:iCs/>
          <w:color w:val="000000"/>
          <w:sz w:val="24"/>
          <w:szCs w:val="24"/>
          <w:lang w:eastAsia="en-AU"/>
        </w:rPr>
        <w:t xml:space="preserve">) </w:t>
      </w:r>
      <w:r w:rsidR="004C4C3F">
        <w:rPr>
          <w:rFonts w:ascii="Times New Roman" w:eastAsia="Times New Roman" w:hAnsi="Times New Roman" w:cs="Times New Roman"/>
          <w:color w:val="000000"/>
          <w:sz w:val="24"/>
          <w:szCs w:val="24"/>
          <w:lang w:eastAsia="en-AU"/>
        </w:rPr>
        <w:t>are</w:t>
      </w:r>
      <w:r w:rsidR="008032E8" w:rsidRPr="007B38C6">
        <w:rPr>
          <w:rFonts w:ascii="Times New Roman" w:eastAsia="Times New Roman" w:hAnsi="Times New Roman" w:cs="Times New Roman"/>
          <w:color w:val="000000"/>
          <w:sz w:val="24"/>
          <w:szCs w:val="24"/>
          <w:lang w:eastAsia="en-AU"/>
        </w:rPr>
        <w:t xml:space="preserve"> </w:t>
      </w:r>
      <w:r w:rsidRPr="007B38C6">
        <w:rPr>
          <w:rFonts w:ascii="Times New Roman" w:eastAsia="Times New Roman" w:hAnsi="Times New Roman" w:cs="Times New Roman"/>
          <w:color w:val="000000"/>
          <w:sz w:val="24"/>
          <w:szCs w:val="24"/>
          <w:lang w:eastAsia="en-AU"/>
        </w:rPr>
        <w:t>compatible with the human rights and freedoms recognised or declared in the international instruments listed in section 3 of the </w:t>
      </w:r>
      <w:r w:rsidRPr="007B38C6">
        <w:rPr>
          <w:rFonts w:ascii="Times New Roman" w:eastAsia="Times New Roman" w:hAnsi="Times New Roman" w:cs="Times New Roman"/>
          <w:i/>
          <w:iCs/>
          <w:color w:val="000000"/>
          <w:sz w:val="24"/>
          <w:szCs w:val="24"/>
          <w:lang w:eastAsia="en-AU"/>
        </w:rPr>
        <w:t>Human Rights (Parliamentary Scrutiny) Act 2011</w:t>
      </w:r>
      <w:r w:rsidRPr="007B38C6">
        <w:rPr>
          <w:rFonts w:ascii="Times New Roman" w:eastAsia="Times New Roman" w:hAnsi="Times New Roman" w:cs="Times New Roman"/>
          <w:color w:val="000000"/>
          <w:sz w:val="24"/>
          <w:szCs w:val="24"/>
          <w:lang w:eastAsia="en-AU"/>
        </w:rPr>
        <w:t>.</w:t>
      </w:r>
    </w:p>
    <w:p w14:paraId="5AEB87CE" w14:textId="5FA90648" w:rsidR="00DB1775" w:rsidRPr="007B38C6"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7B38C6">
        <w:rPr>
          <w:rFonts w:ascii="Times New Roman" w:eastAsia="Times New Roman" w:hAnsi="Times New Roman" w:cs="Times New Roman"/>
          <w:b/>
          <w:bCs/>
          <w:color w:val="000000"/>
          <w:sz w:val="24"/>
          <w:szCs w:val="24"/>
          <w:lang w:eastAsia="en-AU"/>
        </w:rPr>
        <w:t>Overview of the Regulation</w:t>
      </w:r>
      <w:r w:rsidR="00002D4E">
        <w:rPr>
          <w:rFonts w:ascii="Times New Roman" w:eastAsia="Times New Roman" w:hAnsi="Times New Roman" w:cs="Times New Roman"/>
          <w:b/>
          <w:bCs/>
          <w:color w:val="000000"/>
          <w:sz w:val="24"/>
          <w:szCs w:val="24"/>
          <w:lang w:eastAsia="en-AU"/>
        </w:rPr>
        <w:t>s</w:t>
      </w:r>
    </w:p>
    <w:p w14:paraId="64673A1E" w14:textId="5E65864F" w:rsidR="00DB1775" w:rsidRPr="00853A2B" w:rsidRDefault="00DB1775" w:rsidP="003646ED">
      <w:pPr>
        <w:shd w:val="clear" w:color="auto" w:fill="FFFFFF"/>
        <w:spacing w:after="0" w:line="240" w:lineRule="auto"/>
        <w:rPr>
          <w:rFonts w:ascii="Times New Roman" w:eastAsia="Times New Roman" w:hAnsi="Times New Roman" w:cs="Times New Roman"/>
          <w:color w:val="000000"/>
          <w:sz w:val="24"/>
          <w:szCs w:val="24"/>
          <w:lang w:eastAsia="en-AU"/>
        </w:rPr>
      </w:pPr>
      <w:r w:rsidRPr="007B38C6">
        <w:rPr>
          <w:rFonts w:ascii="Times New Roman" w:eastAsia="Times New Roman" w:hAnsi="Times New Roman" w:cs="Times New Roman"/>
          <w:color w:val="000000"/>
          <w:sz w:val="24"/>
          <w:szCs w:val="24"/>
          <w:lang w:eastAsia="en-AU"/>
        </w:rPr>
        <w:t>The </w:t>
      </w:r>
      <w:r w:rsidR="00C57590" w:rsidRPr="00270BD5">
        <w:rPr>
          <w:rFonts w:ascii="Times New Roman" w:eastAsia="Times New Roman" w:hAnsi="Times New Roman" w:cs="Times New Roman"/>
          <w:iCs/>
          <w:color w:val="000000"/>
          <w:sz w:val="24"/>
          <w:szCs w:val="24"/>
          <w:lang w:eastAsia="en-AU"/>
        </w:rPr>
        <w:t>Regulation</w:t>
      </w:r>
      <w:r w:rsidR="00002D4E">
        <w:rPr>
          <w:rFonts w:ascii="Times New Roman" w:eastAsia="Times New Roman" w:hAnsi="Times New Roman" w:cs="Times New Roman"/>
          <w:iCs/>
          <w:color w:val="000000"/>
          <w:sz w:val="24"/>
          <w:szCs w:val="24"/>
          <w:lang w:eastAsia="en-AU"/>
        </w:rPr>
        <w:t>s</w:t>
      </w:r>
      <w:r w:rsidRPr="007B38C6">
        <w:rPr>
          <w:rFonts w:ascii="Times New Roman" w:eastAsia="Times New Roman" w:hAnsi="Times New Roman" w:cs="Times New Roman"/>
          <w:i/>
          <w:iCs/>
          <w:color w:val="000000"/>
          <w:sz w:val="24"/>
          <w:szCs w:val="24"/>
          <w:lang w:eastAsia="en-AU"/>
        </w:rPr>
        <w:t> </w:t>
      </w:r>
      <w:r w:rsidRPr="007B38C6">
        <w:rPr>
          <w:rFonts w:ascii="Times New Roman" w:eastAsia="Times New Roman" w:hAnsi="Times New Roman" w:cs="Times New Roman"/>
          <w:color w:val="000000"/>
          <w:sz w:val="24"/>
          <w:szCs w:val="24"/>
          <w:lang w:eastAsia="en-AU"/>
        </w:rPr>
        <w:t>give effect to the </w:t>
      </w:r>
      <w:r w:rsidRPr="007B38C6">
        <w:rPr>
          <w:rFonts w:ascii="Times New Roman" w:eastAsia="Times New Roman" w:hAnsi="Times New Roman" w:cs="Times New Roman"/>
          <w:i/>
          <w:iCs/>
          <w:color w:val="000000"/>
          <w:sz w:val="24"/>
          <w:szCs w:val="24"/>
          <w:lang w:eastAsia="en-AU"/>
        </w:rPr>
        <w:t>Commonwealth Places (Application of Laws) Act 1970 </w:t>
      </w:r>
      <w:r w:rsidRPr="007B38C6">
        <w:rPr>
          <w:rFonts w:ascii="Times New Roman" w:eastAsia="Times New Roman" w:hAnsi="Times New Roman" w:cs="Times New Roman"/>
          <w:color w:val="000000"/>
          <w:sz w:val="24"/>
          <w:szCs w:val="24"/>
          <w:lang w:eastAsia="en-AU"/>
        </w:rPr>
        <w:t>(the Act) by</w:t>
      </w:r>
      <w:r w:rsidR="00434C89">
        <w:rPr>
          <w:rFonts w:ascii="Times New Roman" w:eastAsia="Times New Roman" w:hAnsi="Times New Roman" w:cs="Times New Roman"/>
          <w:color w:val="000000"/>
          <w:sz w:val="14"/>
          <w:szCs w:val="14"/>
          <w:lang w:eastAsia="en-AU"/>
        </w:rPr>
        <w:t xml:space="preserve"> </w:t>
      </w:r>
      <w:r w:rsidRPr="007B38C6">
        <w:rPr>
          <w:rFonts w:ascii="Times New Roman" w:eastAsia="Times New Roman" w:hAnsi="Times New Roman" w:cs="Times New Roman"/>
          <w:color w:val="000000"/>
          <w:sz w:val="24"/>
          <w:szCs w:val="24"/>
          <w:lang w:eastAsia="en-AU"/>
        </w:rPr>
        <w:t>ensuring the Australian Federal Police (AFP) has access to certain investigative powers contained in the </w:t>
      </w:r>
      <w:r w:rsidR="00934F8E" w:rsidRPr="00200E8A">
        <w:rPr>
          <w:rFonts w:ascii="Times New Roman" w:eastAsia="Times New Roman" w:hAnsi="Times New Roman" w:cs="Times New Roman"/>
          <w:i/>
          <w:iCs/>
          <w:color w:val="000000"/>
          <w:sz w:val="24"/>
          <w:szCs w:val="24"/>
          <w:lang w:eastAsia="en-AU"/>
        </w:rPr>
        <w:t>Crimes Act</w:t>
      </w:r>
      <w:r w:rsidR="00E947AB" w:rsidRPr="00200E8A">
        <w:rPr>
          <w:rFonts w:ascii="Times New Roman" w:eastAsia="Times New Roman" w:hAnsi="Times New Roman" w:cs="Times New Roman"/>
          <w:i/>
          <w:iCs/>
          <w:color w:val="000000"/>
          <w:sz w:val="24"/>
          <w:szCs w:val="24"/>
          <w:lang w:eastAsia="en-AU"/>
        </w:rPr>
        <w:t xml:space="preserve"> 1914</w:t>
      </w:r>
      <w:r w:rsidRPr="007B38C6">
        <w:rPr>
          <w:rFonts w:ascii="Times New Roman" w:eastAsia="Times New Roman" w:hAnsi="Times New Roman" w:cs="Times New Roman"/>
          <w:color w:val="000000"/>
          <w:sz w:val="24"/>
          <w:szCs w:val="24"/>
          <w:lang w:eastAsia="en-AU"/>
        </w:rPr>
        <w:t xml:space="preserve"> </w:t>
      </w:r>
      <w:r w:rsidR="00E947AB" w:rsidRPr="00853A2B">
        <w:rPr>
          <w:rFonts w:ascii="Times New Roman" w:eastAsia="Times New Roman" w:hAnsi="Times New Roman" w:cs="Times New Roman"/>
          <w:color w:val="000000"/>
          <w:sz w:val="24"/>
          <w:szCs w:val="24"/>
          <w:lang w:eastAsia="en-AU"/>
        </w:rPr>
        <w:t xml:space="preserve">(Crimes Act) </w:t>
      </w:r>
      <w:r w:rsidRPr="007B38C6">
        <w:rPr>
          <w:rFonts w:ascii="Times New Roman" w:eastAsia="Times New Roman" w:hAnsi="Times New Roman" w:cs="Times New Roman"/>
          <w:color w:val="000000"/>
          <w:sz w:val="24"/>
          <w:szCs w:val="24"/>
          <w:lang w:eastAsia="en-AU"/>
        </w:rPr>
        <w:t>at specific airports</w:t>
      </w:r>
      <w:r w:rsidR="003646ED">
        <w:rPr>
          <w:rFonts w:ascii="Times New Roman" w:eastAsia="Times New Roman" w:hAnsi="Times New Roman" w:cs="Times New Roman"/>
          <w:color w:val="000000"/>
          <w:sz w:val="24"/>
          <w:szCs w:val="24"/>
          <w:lang w:eastAsia="en-AU"/>
        </w:rPr>
        <w:t>.</w:t>
      </w:r>
    </w:p>
    <w:p w14:paraId="351DF85E" w14:textId="2CCEE6A5" w:rsidR="00180E4F" w:rsidRDefault="00DB1775" w:rsidP="00180E4F">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 Act has the effect of applying the provisions of the laws of a State as Commonwealth laws in Commonwealth places.</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A Commonwealth place is defined in the Act as a place with respect to which the Commonwealth Government has exclusive power to make laws for the peace, order, and good government of the Commonwealth by virtue of s</w:t>
      </w:r>
      <w:r w:rsidR="000221D1">
        <w:rPr>
          <w:rFonts w:ascii="Times New Roman" w:eastAsia="Times New Roman" w:hAnsi="Times New Roman" w:cs="Times New Roman"/>
          <w:color w:val="000000"/>
          <w:sz w:val="24"/>
          <w:szCs w:val="24"/>
          <w:lang w:eastAsia="en-AU"/>
        </w:rPr>
        <w:t xml:space="preserve">ection </w:t>
      </w:r>
      <w:r w:rsidRPr="00853A2B">
        <w:rPr>
          <w:rFonts w:ascii="Times New Roman" w:eastAsia="Times New Roman" w:hAnsi="Times New Roman" w:cs="Times New Roman"/>
          <w:color w:val="000000"/>
          <w:sz w:val="24"/>
          <w:szCs w:val="24"/>
          <w:lang w:eastAsia="en-AU"/>
        </w:rPr>
        <w:t>52 of the Constitution. </w:t>
      </w:r>
      <w:r w:rsidR="00180E4F">
        <w:rPr>
          <w:rFonts w:ascii="Times New Roman" w:eastAsia="Times New Roman" w:hAnsi="Times New Roman" w:cs="Times New Roman"/>
          <w:color w:val="000000"/>
          <w:sz w:val="24"/>
          <w:szCs w:val="24"/>
          <w:lang w:eastAsia="en-AU"/>
        </w:rPr>
        <w:t xml:space="preserve"> </w:t>
      </w:r>
    </w:p>
    <w:p w14:paraId="1967025B" w14:textId="77DE6C3F" w:rsidR="00FB5671" w:rsidRDefault="00DB1775" w:rsidP="00FB5671">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xml:space="preserve">In relation to policing, the Act </w:t>
      </w:r>
      <w:r w:rsidR="0010698D">
        <w:rPr>
          <w:rFonts w:ascii="Times New Roman" w:eastAsia="Times New Roman" w:hAnsi="Times New Roman" w:cs="Times New Roman"/>
          <w:color w:val="000000"/>
          <w:sz w:val="24"/>
          <w:szCs w:val="24"/>
          <w:lang w:eastAsia="en-AU"/>
        </w:rPr>
        <w:t xml:space="preserve">generally </w:t>
      </w:r>
      <w:r w:rsidRPr="00853A2B">
        <w:rPr>
          <w:rFonts w:ascii="Times New Roman" w:eastAsia="Times New Roman" w:hAnsi="Times New Roman" w:cs="Times New Roman"/>
          <w:color w:val="000000"/>
          <w:sz w:val="24"/>
          <w:szCs w:val="24"/>
          <w:lang w:eastAsia="en-AU"/>
        </w:rPr>
        <w:t>renders standard Commonwealth arrest and search powers in the</w:t>
      </w:r>
      <w:r w:rsidR="00E947AB" w:rsidRPr="00853A2B" w:rsidDel="00E947AB">
        <w:rPr>
          <w:rFonts w:ascii="Times New Roman" w:eastAsia="Times New Roman" w:hAnsi="Times New Roman" w:cs="Times New Roman"/>
          <w:i/>
          <w:iCs/>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Crimes Act inapplicable to ‘applied’ State offences committed in Commonwealth places.</w:t>
      </w:r>
      <w:r w:rsidR="00ED7549">
        <w:rPr>
          <w:rFonts w:ascii="Times New Roman" w:eastAsia="Times New Roman" w:hAnsi="Times New Roman" w:cs="Times New Roman"/>
          <w:color w:val="000000"/>
          <w:sz w:val="24"/>
          <w:szCs w:val="24"/>
          <w:lang w:eastAsia="en-AU"/>
        </w:rPr>
        <w:t xml:space="preserve"> M</w:t>
      </w:r>
      <w:r w:rsidR="00EF6197">
        <w:rPr>
          <w:rFonts w:ascii="Times New Roman" w:eastAsia="Times New Roman" w:hAnsi="Times New Roman" w:cs="Times New Roman"/>
          <w:color w:val="000000"/>
          <w:sz w:val="24"/>
          <w:szCs w:val="24"/>
          <w:lang w:eastAsia="en-AU"/>
        </w:rPr>
        <w:t>ost of these</w:t>
      </w:r>
      <w:r w:rsidRPr="00853A2B">
        <w:rPr>
          <w:rFonts w:ascii="Times New Roman" w:eastAsia="Times New Roman" w:hAnsi="Times New Roman" w:cs="Times New Roman"/>
          <w:color w:val="000000"/>
          <w:sz w:val="24"/>
          <w:szCs w:val="24"/>
          <w:lang w:eastAsia="en-AU"/>
        </w:rPr>
        <w:t xml:space="preserve"> offences can only be dealt with using the relevant applied State police powers (i.e. State </w:t>
      </w:r>
      <w:r w:rsidR="000219DE">
        <w:rPr>
          <w:rFonts w:ascii="Times New Roman" w:eastAsia="Times New Roman" w:hAnsi="Times New Roman" w:cs="Times New Roman"/>
          <w:color w:val="000000"/>
          <w:sz w:val="24"/>
          <w:szCs w:val="24"/>
          <w:lang w:eastAsia="en-AU"/>
        </w:rPr>
        <w:t xml:space="preserve">arrest and search </w:t>
      </w:r>
      <w:r w:rsidRPr="00853A2B">
        <w:rPr>
          <w:rFonts w:ascii="Times New Roman" w:eastAsia="Times New Roman" w:hAnsi="Times New Roman" w:cs="Times New Roman"/>
          <w:color w:val="000000"/>
          <w:sz w:val="24"/>
          <w:szCs w:val="24"/>
          <w:lang w:eastAsia="en-AU"/>
        </w:rPr>
        <w:t>powers) and the AFP has limited</w:t>
      </w:r>
      <w:r w:rsidR="007A40C3">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access to those powers in Commonwealth places</w:t>
      </w:r>
      <w:r w:rsidRPr="00270BD5">
        <w:rPr>
          <w:rFonts w:ascii="Times New Roman" w:eastAsia="Times New Roman" w:hAnsi="Times New Roman" w:cs="Times New Roman"/>
          <w:color w:val="000000"/>
          <w:sz w:val="24"/>
          <w:szCs w:val="24"/>
          <w:lang w:eastAsia="en-AU"/>
        </w:rPr>
        <w:t>.</w:t>
      </w:r>
      <w:r w:rsidR="007A40C3" w:rsidRPr="00270BD5">
        <w:rPr>
          <w:rFonts w:ascii="Times New Roman" w:eastAsia="Times New Roman" w:hAnsi="Times New Roman" w:cs="Times New Roman"/>
          <w:color w:val="000000"/>
          <w:sz w:val="24"/>
          <w:szCs w:val="24"/>
          <w:lang w:eastAsia="en-AU"/>
        </w:rPr>
        <w:t xml:space="preserve"> </w:t>
      </w:r>
    </w:p>
    <w:p w14:paraId="76EA0026" w14:textId="595748B0"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Prior to 2011, the AFP and State police worked together as part of a ‘hybrid policing model’ in airports that are Commonwealth places.</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In 2011, following the 2009 Federal Audit of Police Capabilities, this model was replaced with an ‘all-in policing and security model’, under which the AFP took responsibility for the policing and security of Australia’s </w:t>
      </w:r>
      <w:r w:rsidR="00DB7E89">
        <w:rPr>
          <w:rFonts w:ascii="Times New Roman" w:eastAsia="Times New Roman" w:hAnsi="Times New Roman" w:cs="Times New Roman"/>
          <w:color w:val="000000"/>
          <w:sz w:val="24"/>
          <w:szCs w:val="24"/>
          <w:lang w:eastAsia="en-AU"/>
        </w:rPr>
        <w:t>11</w:t>
      </w:r>
      <w:r w:rsidR="00DB7E89" w:rsidRPr="00853A2B">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major airports.</w:t>
      </w:r>
      <w:r w:rsidR="007A4989">
        <w:rPr>
          <w:rFonts w:ascii="Times New Roman" w:eastAsia="Times New Roman" w:hAnsi="Times New Roman" w:cs="Times New Roman"/>
          <w:color w:val="000000"/>
          <w:sz w:val="24"/>
          <w:szCs w:val="24"/>
          <w:lang w:eastAsia="en-AU"/>
        </w:rPr>
        <w:t xml:space="preserve"> </w:t>
      </w:r>
      <w:r w:rsidR="00A60C84">
        <w:rPr>
          <w:rFonts w:ascii="Times New Roman" w:eastAsia="Times New Roman" w:hAnsi="Times New Roman" w:cs="Times New Roman"/>
          <w:color w:val="000000"/>
          <w:sz w:val="24"/>
          <w:szCs w:val="24"/>
          <w:lang w:eastAsia="en-AU"/>
        </w:rPr>
        <w:t xml:space="preserve">As a result of this audit, </w:t>
      </w:r>
      <w:r w:rsidRPr="00853A2B">
        <w:rPr>
          <w:rFonts w:ascii="Times New Roman" w:eastAsia="Times New Roman" w:hAnsi="Times New Roman" w:cs="Times New Roman"/>
          <w:color w:val="000000"/>
          <w:sz w:val="24"/>
          <w:szCs w:val="24"/>
          <w:lang w:eastAsia="en-AU"/>
        </w:rPr>
        <w:t>the </w:t>
      </w:r>
      <w:r w:rsidRPr="00853A2B">
        <w:rPr>
          <w:rFonts w:ascii="Times New Roman" w:eastAsia="Times New Roman" w:hAnsi="Times New Roman" w:cs="Times New Roman"/>
          <w:i/>
          <w:iCs/>
          <w:color w:val="000000"/>
          <w:sz w:val="24"/>
          <w:szCs w:val="24"/>
          <w:lang w:eastAsia="en-AU"/>
        </w:rPr>
        <w:t>Aviation Crimes and Policing Legislation Amendment Act 2011</w:t>
      </w:r>
      <w:r w:rsidR="00881BF9">
        <w:rPr>
          <w:rFonts w:ascii="Times New Roman" w:eastAsia="Times New Roman" w:hAnsi="Times New Roman" w:cs="Times New Roman"/>
          <w:color w:val="000000"/>
          <w:sz w:val="24"/>
          <w:szCs w:val="24"/>
          <w:lang w:eastAsia="en-AU"/>
        </w:rPr>
        <w:t xml:space="preserve"> </w:t>
      </w:r>
      <w:r w:rsidR="00CD627E">
        <w:rPr>
          <w:rFonts w:ascii="Times New Roman" w:eastAsia="Times New Roman" w:hAnsi="Times New Roman" w:cs="Times New Roman"/>
          <w:color w:val="000000"/>
          <w:sz w:val="24"/>
          <w:szCs w:val="24"/>
          <w:lang w:eastAsia="en-AU"/>
        </w:rPr>
        <w:t xml:space="preserve">inserted an exception into the Act (subsection 5(3A)) </w:t>
      </w:r>
      <w:r w:rsidR="00881BF9">
        <w:rPr>
          <w:rFonts w:ascii="Times New Roman" w:eastAsia="Times New Roman" w:hAnsi="Times New Roman" w:cs="Times New Roman"/>
          <w:color w:val="000000"/>
          <w:sz w:val="24"/>
          <w:szCs w:val="24"/>
          <w:lang w:eastAsia="en-AU"/>
        </w:rPr>
        <w:t xml:space="preserve">which </w:t>
      </w:r>
      <w:r w:rsidRPr="00853A2B">
        <w:rPr>
          <w:rFonts w:ascii="Times New Roman" w:eastAsia="Times New Roman" w:hAnsi="Times New Roman" w:cs="Times New Roman"/>
          <w:color w:val="000000"/>
          <w:sz w:val="24"/>
          <w:szCs w:val="24"/>
          <w:lang w:eastAsia="en-AU"/>
        </w:rPr>
        <w:t>enable</w:t>
      </w:r>
      <w:r w:rsidR="004361D7">
        <w:rPr>
          <w:rFonts w:ascii="Times New Roman" w:eastAsia="Times New Roman" w:hAnsi="Times New Roman" w:cs="Times New Roman"/>
          <w:color w:val="000000"/>
          <w:sz w:val="24"/>
          <w:szCs w:val="24"/>
          <w:lang w:eastAsia="en-AU"/>
        </w:rPr>
        <w:t>s</w:t>
      </w:r>
      <w:r w:rsidR="00881BF9">
        <w:rPr>
          <w:rFonts w:ascii="Times New Roman" w:eastAsia="Times New Roman" w:hAnsi="Times New Roman" w:cs="Times New Roman"/>
          <w:color w:val="000000"/>
          <w:sz w:val="24"/>
          <w:szCs w:val="24"/>
          <w:lang w:eastAsia="en-AU"/>
        </w:rPr>
        <w:t xml:space="preserve"> the AFP to use</w:t>
      </w:r>
      <w:r w:rsidRPr="00853A2B">
        <w:rPr>
          <w:rFonts w:ascii="Times New Roman" w:eastAsia="Times New Roman" w:hAnsi="Times New Roman" w:cs="Times New Roman"/>
          <w:color w:val="000000"/>
          <w:sz w:val="24"/>
          <w:szCs w:val="24"/>
          <w:lang w:eastAsia="en-AU"/>
        </w:rPr>
        <w:t xml:space="preserve"> the otherwise inapplicable Commonwealth police powers in relation to applied State offences at designated airports</w:t>
      </w:r>
      <w:r w:rsidR="008F23CA">
        <w:rPr>
          <w:rFonts w:ascii="Times New Roman" w:eastAsia="Times New Roman" w:hAnsi="Times New Roman" w:cs="Times New Roman"/>
          <w:color w:val="000000"/>
          <w:sz w:val="24"/>
          <w:szCs w:val="24"/>
          <w:lang w:eastAsia="en-AU"/>
        </w:rPr>
        <w:t xml:space="preserve">. The </w:t>
      </w:r>
      <w:r w:rsidR="008C3486">
        <w:rPr>
          <w:rFonts w:ascii="Times New Roman" w:eastAsia="Times New Roman" w:hAnsi="Times New Roman" w:cs="Times New Roman"/>
          <w:color w:val="000000"/>
          <w:sz w:val="24"/>
          <w:szCs w:val="24"/>
          <w:lang w:eastAsia="en-AU"/>
        </w:rPr>
        <w:t xml:space="preserve">exception </w:t>
      </w:r>
      <w:r w:rsidR="00051C48">
        <w:rPr>
          <w:rFonts w:ascii="Times New Roman" w:eastAsia="Times New Roman" w:hAnsi="Times New Roman" w:cs="Times New Roman"/>
          <w:color w:val="000000"/>
          <w:sz w:val="24"/>
          <w:szCs w:val="24"/>
          <w:lang w:eastAsia="en-AU"/>
        </w:rPr>
        <w:t>allows the AFP to use</w:t>
      </w:r>
      <w:r w:rsidR="008C3486">
        <w:rPr>
          <w:rFonts w:ascii="Times New Roman" w:eastAsia="Times New Roman" w:hAnsi="Times New Roman" w:cs="Times New Roman"/>
          <w:color w:val="000000"/>
          <w:sz w:val="24"/>
          <w:szCs w:val="24"/>
          <w:lang w:eastAsia="en-AU"/>
        </w:rPr>
        <w:t xml:space="preserve"> the following </w:t>
      </w:r>
      <w:r w:rsidR="008F23CA">
        <w:rPr>
          <w:rFonts w:ascii="Times New Roman" w:eastAsia="Times New Roman" w:hAnsi="Times New Roman" w:cs="Times New Roman"/>
          <w:color w:val="000000"/>
          <w:sz w:val="24"/>
          <w:szCs w:val="24"/>
          <w:lang w:eastAsia="en-AU"/>
        </w:rPr>
        <w:t xml:space="preserve">powers </w:t>
      </w:r>
      <w:r w:rsidR="008C3486">
        <w:rPr>
          <w:rFonts w:ascii="Times New Roman" w:eastAsia="Times New Roman" w:hAnsi="Times New Roman" w:cs="Times New Roman"/>
          <w:color w:val="000000"/>
          <w:sz w:val="24"/>
          <w:szCs w:val="24"/>
          <w:lang w:eastAsia="en-AU"/>
        </w:rPr>
        <w:t>in</w:t>
      </w:r>
      <w:r w:rsidR="00CD627E">
        <w:rPr>
          <w:rFonts w:ascii="Times New Roman" w:eastAsia="Times New Roman" w:hAnsi="Times New Roman" w:cs="Times New Roman"/>
          <w:color w:val="000000"/>
          <w:sz w:val="24"/>
          <w:szCs w:val="24"/>
          <w:lang w:eastAsia="en-AU"/>
        </w:rPr>
        <w:t xml:space="preserve"> the Crimes Act</w:t>
      </w:r>
      <w:r w:rsidR="00A60C84">
        <w:rPr>
          <w:rFonts w:ascii="Times New Roman" w:eastAsia="Times New Roman" w:hAnsi="Times New Roman" w:cs="Times New Roman"/>
          <w:color w:val="000000"/>
          <w:sz w:val="24"/>
          <w:szCs w:val="24"/>
          <w:lang w:eastAsia="en-AU"/>
        </w:rPr>
        <w:t>:</w:t>
      </w:r>
      <w:r w:rsidRPr="00853A2B">
        <w:rPr>
          <w:rFonts w:ascii="Times New Roman" w:eastAsia="Times New Roman" w:hAnsi="Times New Roman" w:cs="Times New Roman"/>
          <w:color w:val="000000"/>
          <w:sz w:val="24"/>
          <w:szCs w:val="24"/>
          <w:lang w:eastAsia="en-AU"/>
        </w:rPr>
        <w:t xml:space="preserve">  </w:t>
      </w:r>
    </w:p>
    <w:p w14:paraId="541549E5" w14:textId="06AEAF85" w:rsidR="00DB1775" w:rsidRPr="00853A2B" w:rsidRDefault="00DB1775" w:rsidP="00DB1775">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Part IAA (dealing with search, information gathering, arrest and related powers)</w:t>
      </w:r>
    </w:p>
    <w:p w14:paraId="4FC0A8C3" w14:textId="76903876" w:rsidR="00DB1775" w:rsidRPr="00853A2B" w:rsidRDefault="00DB1775" w:rsidP="00DB1775">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Section 9 (which provides for the seizure and condemnation of forfeitable goods)</w:t>
      </w:r>
    </w:p>
    <w:p w14:paraId="2D172120" w14:textId="15D2FB15" w:rsidR="00DB1775" w:rsidRPr="00853A2B" w:rsidRDefault="00DB1775" w:rsidP="00DB1775">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Section 13 (allowing the institution of proceedings in respect of offences)</w:t>
      </w:r>
    </w:p>
    <w:p w14:paraId="6B5E8BC2" w14:textId="4F478B0F" w:rsidR="00DB1775" w:rsidRPr="00853A2B" w:rsidRDefault="00DB1775" w:rsidP="00DB1775">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Section 15 (dealing with remand of defendants)</w:t>
      </w:r>
    </w:p>
    <w:p w14:paraId="25248817" w14:textId="77777777" w:rsidR="00DB1775" w:rsidRPr="00853A2B" w:rsidRDefault="00DB1775" w:rsidP="00DB1775">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Part ID (dealing with forensic procedures).</w:t>
      </w:r>
    </w:p>
    <w:p w14:paraId="0585A284" w14:textId="56272862" w:rsidR="00DB1775" w:rsidRPr="00853A2B" w:rsidRDefault="00A65568"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Regulation</w:t>
      </w:r>
      <w:r w:rsidR="00002D4E">
        <w:rPr>
          <w:rFonts w:ascii="Times New Roman" w:eastAsia="Times New Roman" w:hAnsi="Times New Roman" w:cs="Times New Roman"/>
          <w:color w:val="000000"/>
          <w:sz w:val="24"/>
          <w:szCs w:val="24"/>
          <w:lang w:eastAsia="en-AU"/>
        </w:rPr>
        <w:t>s</w:t>
      </w:r>
      <w:r>
        <w:rPr>
          <w:rFonts w:ascii="Times New Roman" w:eastAsia="Times New Roman" w:hAnsi="Times New Roman" w:cs="Times New Roman"/>
          <w:color w:val="000000"/>
          <w:sz w:val="24"/>
          <w:szCs w:val="24"/>
          <w:lang w:eastAsia="en-AU"/>
        </w:rPr>
        <w:t xml:space="preserve"> </w:t>
      </w:r>
      <w:r w:rsidR="00DB1775" w:rsidRPr="00853A2B">
        <w:rPr>
          <w:rFonts w:ascii="Times New Roman" w:eastAsia="Times New Roman" w:hAnsi="Times New Roman" w:cs="Times New Roman"/>
          <w:color w:val="000000"/>
          <w:sz w:val="24"/>
          <w:szCs w:val="24"/>
          <w:lang w:eastAsia="en-AU"/>
        </w:rPr>
        <w:t xml:space="preserve">list </w:t>
      </w:r>
      <w:r>
        <w:rPr>
          <w:rFonts w:ascii="Times New Roman" w:eastAsia="Times New Roman" w:hAnsi="Times New Roman" w:cs="Times New Roman"/>
          <w:color w:val="000000"/>
          <w:sz w:val="24"/>
          <w:szCs w:val="24"/>
          <w:lang w:eastAsia="en-AU"/>
        </w:rPr>
        <w:t xml:space="preserve">the </w:t>
      </w:r>
      <w:r w:rsidR="00DB1775" w:rsidRPr="00853A2B">
        <w:rPr>
          <w:rFonts w:ascii="Times New Roman" w:eastAsia="Times New Roman" w:hAnsi="Times New Roman" w:cs="Times New Roman"/>
          <w:color w:val="000000"/>
          <w:sz w:val="24"/>
          <w:szCs w:val="24"/>
          <w:lang w:eastAsia="en-AU"/>
        </w:rPr>
        <w:t>airports that fall within the definition of a ‘designated state airport’ for the purposes of subsection 5(3A) of the Act, namely Adelaide Airport, Brisbane Airport, Coolangatta (Gold Coast) Airport, Hobart Airport, Melbourne (Tullamarine) Airport, Perth Airport, and Sydney (Kingsford Smith) Airport.</w:t>
      </w:r>
      <w:r w:rsidR="007A4989">
        <w:rPr>
          <w:rFonts w:ascii="Times New Roman" w:eastAsia="Times New Roman" w:hAnsi="Times New Roman" w:cs="Times New Roman"/>
          <w:color w:val="000000"/>
          <w:sz w:val="24"/>
          <w:szCs w:val="24"/>
          <w:lang w:eastAsia="en-AU"/>
        </w:rPr>
        <w:t xml:space="preserve"> </w:t>
      </w:r>
      <w:r w:rsidR="00DB1775" w:rsidRPr="006D58DC">
        <w:rPr>
          <w:rFonts w:ascii="Times New Roman" w:eastAsia="Times New Roman" w:hAnsi="Times New Roman" w:cs="Times New Roman"/>
          <w:color w:val="000000"/>
          <w:sz w:val="24"/>
          <w:szCs w:val="24"/>
          <w:lang w:eastAsia="en-AU"/>
        </w:rPr>
        <w:t>The </w:t>
      </w:r>
      <w:r w:rsidR="00411454">
        <w:rPr>
          <w:rFonts w:ascii="Times New Roman" w:eastAsia="Times New Roman" w:hAnsi="Times New Roman" w:cs="Times New Roman"/>
          <w:iCs/>
          <w:color w:val="000000"/>
          <w:sz w:val="24"/>
          <w:szCs w:val="24"/>
          <w:lang w:eastAsia="en-AU"/>
        </w:rPr>
        <w:t>Regulation</w:t>
      </w:r>
      <w:r w:rsidR="00002D4E">
        <w:rPr>
          <w:rFonts w:ascii="Times New Roman" w:eastAsia="Times New Roman" w:hAnsi="Times New Roman" w:cs="Times New Roman"/>
          <w:iCs/>
          <w:color w:val="000000"/>
          <w:sz w:val="24"/>
          <w:szCs w:val="24"/>
          <w:lang w:eastAsia="en-AU"/>
        </w:rPr>
        <w:t>s</w:t>
      </w:r>
      <w:r w:rsidR="00DB1775" w:rsidRPr="006D58DC">
        <w:rPr>
          <w:rFonts w:ascii="Times New Roman" w:eastAsia="Times New Roman" w:hAnsi="Times New Roman" w:cs="Times New Roman"/>
          <w:color w:val="000000"/>
          <w:sz w:val="24"/>
          <w:szCs w:val="24"/>
          <w:lang w:eastAsia="en-AU"/>
        </w:rPr>
        <w:t> preserve this list of designated state airports.</w:t>
      </w:r>
      <w:r w:rsidR="007A4989">
        <w:rPr>
          <w:rFonts w:ascii="Times New Roman" w:eastAsia="Times New Roman" w:hAnsi="Times New Roman" w:cs="Times New Roman"/>
          <w:color w:val="000000"/>
          <w:sz w:val="24"/>
          <w:szCs w:val="24"/>
          <w:lang w:eastAsia="en-AU"/>
        </w:rPr>
        <w:t xml:space="preserve"> </w:t>
      </w:r>
      <w:r w:rsidR="00DB1775" w:rsidRPr="006D58DC">
        <w:rPr>
          <w:rFonts w:ascii="Times New Roman" w:eastAsia="Times New Roman" w:hAnsi="Times New Roman" w:cs="Times New Roman"/>
          <w:color w:val="000000"/>
          <w:sz w:val="24"/>
          <w:szCs w:val="24"/>
          <w:lang w:eastAsia="en-AU"/>
        </w:rPr>
        <w:t>This</w:t>
      </w:r>
      <w:r w:rsidR="00DB1775" w:rsidRPr="00853A2B">
        <w:rPr>
          <w:rFonts w:ascii="Times New Roman" w:eastAsia="Times New Roman" w:hAnsi="Times New Roman" w:cs="Times New Roman"/>
          <w:color w:val="000000"/>
          <w:sz w:val="24"/>
          <w:szCs w:val="24"/>
          <w:lang w:eastAsia="en-AU"/>
        </w:rPr>
        <w:t xml:space="preserve"> is necessary to ensure the AFP continues to have the appropriate range of Commonwealth powers to conduct investigations for applied State </w:t>
      </w:r>
      <w:r w:rsidR="00DB1775" w:rsidRPr="00853A2B">
        <w:rPr>
          <w:rFonts w:ascii="Times New Roman" w:eastAsia="Times New Roman" w:hAnsi="Times New Roman" w:cs="Times New Roman"/>
          <w:color w:val="000000"/>
          <w:sz w:val="24"/>
          <w:szCs w:val="24"/>
          <w:lang w:eastAsia="en-AU"/>
        </w:rPr>
        <w:lastRenderedPageBreak/>
        <w:t>offences committed at those Commonwealth place airports, given the AFP is the primary policing agency at those airports.</w:t>
      </w:r>
    </w:p>
    <w:p w14:paraId="243C53F0" w14:textId="2EAD20B2"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color w:val="000000"/>
          <w:sz w:val="24"/>
          <w:szCs w:val="24"/>
          <w:lang w:eastAsia="en-AU"/>
        </w:rPr>
        <w:t>Human rights implications</w:t>
      </w:r>
      <w:r w:rsidR="006B46F4">
        <w:rPr>
          <w:rFonts w:ascii="Times New Roman" w:eastAsia="Times New Roman" w:hAnsi="Times New Roman" w:cs="Times New Roman"/>
          <w:b/>
          <w:bCs/>
          <w:color w:val="000000"/>
          <w:sz w:val="24"/>
          <w:szCs w:val="24"/>
          <w:lang w:eastAsia="en-AU"/>
        </w:rPr>
        <w:t xml:space="preserve"> </w:t>
      </w:r>
    </w:p>
    <w:p w14:paraId="396CE0CD" w14:textId="374509A6" w:rsidR="00DB1775" w:rsidRPr="00853A2B" w:rsidRDefault="00A268AB"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w:t>
      </w:r>
      <w:r w:rsidR="00752F3D">
        <w:rPr>
          <w:rFonts w:ascii="Times New Roman" w:eastAsia="Times New Roman" w:hAnsi="Times New Roman" w:cs="Times New Roman"/>
          <w:color w:val="000000"/>
          <w:sz w:val="24"/>
          <w:szCs w:val="24"/>
          <w:lang w:eastAsia="en-AU"/>
        </w:rPr>
        <w:t>he Regulation</w:t>
      </w:r>
      <w:r w:rsidR="00002D4E">
        <w:rPr>
          <w:rFonts w:ascii="Times New Roman" w:eastAsia="Times New Roman" w:hAnsi="Times New Roman" w:cs="Times New Roman"/>
          <w:color w:val="000000"/>
          <w:sz w:val="24"/>
          <w:szCs w:val="24"/>
          <w:lang w:eastAsia="en-AU"/>
        </w:rPr>
        <w:t>s</w:t>
      </w:r>
      <w:r w:rsidR="00752F3D">
        <w:rPr>
          <w:rFonts w:ascii="Times New Roman" w:eastAsia="Times New Roman" w:hAnsi="Times New Roman" w:cs="Times New Roman"/>
          <w:color w:val="000000"/>
          <w:sz w:val="24"/>
          <w:szCs w:val="24"/>
          <w:lang w:eastAsia="en-AU"/>
        </w:rPr>
        <w:t xml:space="preserve"> </w:t>
      </w:r>
      <w:r w:rsidR="00DB1775" w:rsidRPr="00853A2B">
        <w:rPr>
          <w:rFonts w:ascii="Times New Roman" w:eastAsia="Times New Roman" w:hAnsi="Times New Roman" w:cs="Times New Roman"/>
          <w:color w:val="000000"/>
          <w:sz w:val="24"/>
          <w:szCs w:val="24"/>
          <w:lang w:eastAsia="en-AU"/>
        </w:rPr>
        <w:t>engage the following human rights:</w:t>
      </w:r>
    </w:p>
    <w:p w14:paraId="20F8DE4F" w14:textId="113BED17" w:rsidR="00DB1775" w:rsidRPr="00853A2B" w:rsidRDefault="00DB1775" w:rsidP="00DB1775">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the right to protection against arbitrary or unlawful interference with privacy (</w:t>
      </w:r>
      <w:r w:rsidR="0078053D">
        <w:rPr>
          <w:rFonts w:ascii="Times New Roman" w:eastAsia="Times New Roman" w:hAnsi="Times New Roman" w:cs="Times New Roman"/>
          <w:color w:val="000000"/>
          <w:sz w:val="24"/>
          <w:szCs w:val="24"/>
          <w:lang w:eastAsia="en-AU"/>
        </w:rPr>
        <w:t>a</w:t>
      </w:r>
      <w:r w:rsidRPr="00853A2B">
        <w:rPr>
          <w:rFonts w:ascii="Times New Roman" w:eastAsia="Times New Roman" w:hAnsi="Times New Roman" w:cs="Times New Roman"/>
          <w:color w:val="000000"/>
          <w:sz w:val="24"/>
          <w:szCs w:val="24"/>
          <w:lang w:eastAsia="en-AU"/>
        </w:rPr>
        <w:t>rticle 17 of the International Covenant on Civil and Political Rights (ICCPR))</w:t>
      </w:r>
    </w:p>
    <w:p w14:paraId="068F2DDE" w14:textId="537B07A1" w:rsidR="00C61513" w:rsidRPr="00853A2B" w:rsidRDefault="00DB1775" w:rsidP="00C61513">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the right to life and prohibition on torture and cruel, inhuman or degrading treatment or punishment (</w:t>
      </w:r>
      <w:r w:rsidR="0078053D">
        <w:rPr>
          <w:rFonts w:ascii="Times New Roman" w:eastAsia="Times New Roman" w:hAnsi="Times New Roman" w:cs="Times New Roman"/>
          <w:color w:val="000000"/>
          <w:sz w:val="24"/>
          <w:szCs w:val="24"/>
          <w:lang w:eastAsia="en-AU"/>
        </w:rPr>
        <w:t>a</w:t>
      </w:r>
      <w:r w:rsidRPr="00853A2B">
        <w:rPr>
          <w:rFonts w:ascii="Times New Roman" w:eastAsia="Times New Roman" w:hAnsi="Times New Roman" w:cs="Times New Roman"/>
          <w:color w:val="000000"/>
          <w:sz w:val="24"/>
          <w:szCs w:val="24"/>
          <w:lang w:eastAsia="en-AU"/>
        </w:rPr>
        <w:t>rticle</w:t>
      </w:r>
      <w:r w:rsidR="0078053D">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6 and 7 of the ICCPR)</w:t>
      </w:r>
    </w:p>
    <w:p w14:paraId="2807B3ED" w14:textId="36AF9750" w:rsidR="00C61513" w:rsidRDefault="00DB1775" w:rsidP="00C61513">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the right to liberty and security of person and freedom from arbitrary detention (</w:t>
      </w:r>
      <w:r w:rsidR="0078053D">
        <w:rPr>
          <w:rFonts w:ascii="Times New Roman" w:eastAsia="Times New Roman" w:hAnsi="Times New Roman" w:cs="Times New Roman"/>
          <w:color w:val="000000"/>
          <w:sz w:val="24"/>
          <w:szCs w:val="24"/>
          <w:lang w:eastAsia="en-AU"/>
        </w:rPr>
        <w:t>a</w:t>
      </w:r>
      <w:r w:rsidRPr="00853A2B">
        <w:rPr>
          <w:rFonts w:ascii="Times New Roman" w:eastAsia="Times New Roman" w:hAnsi="Times New Roman" w:cs="Times New Roman"/>
          <w:color w:val="000000"/>
          <w:sz w:val="24"/>
          <w:szCs w:val="24"/>
          <w:lang w:eastAsia="en-AU"/>
        </w:rPr>
        <w:t>rticle 9 of the ICCPR)</w:t>
      </w:r>
    </w:p>
    <w:p w14:paraId="6C903EEB" w14:textId="344468DF" w:rsidR="00C61513" w:rsidRDefault="00C61513" w:rsidP="00C61513">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r w:rsidRPr="00853A2B">
        <w:rPr>
          <w:rFonts w:ascii="Symbol" w:eastAsia="Times New Roman" w:hAnsi="Symbol" w:cs="Times New Roman"/>
          <w:color w:val="000000"/>
          <w:sz w:val="24"/>
          <w:szCs w:val="24"/>
          <w:lang w:eastAsia="en-AU"/>
        </w:rPr>
        <w:t></w:t>
      </w:r>
      <w:r w:rsidRPr="00853A2B">
        <w:rPr>
          <w:rFonts w:ascii="Times New Roman" w:eastAsia="Times New Roman" w:hAnsi="Times New Roman" w:cs="Times New Roman"/>
          <w:color w:val="000000"/>
          <w:sz w:val="14"/>
          <w:szCs w:val="14"/>
          <w:lang w:eastAsia="en-AU"/>
        </w:rPr>
        <w:t>         </w:t>
      </w:r>
      <w:r w:rsidRPr="00853A2B">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color w:val="000000"/>
          <w:sz w:val="24"/>
          <w:szCs w:val="24"/>
          <w:lang w:eastAsia="en-AU"/>
        </w:rPr>
        <w:t>right to freedom of movement (</w:t>
      </w:r>
      <w:r w:rsidR="0078053D">
        <w:rPr>
          <w:rFonts w:ascii="Times New Roman" w:eastAsia="Times New Roman" w:hAnsi="Times New Roman" w:cs="Times New Roman"/>
          <w:color w:val="000000"/>
          <w:sz w:val="24"/>
          <w:szCs w:val="24"/>
          <w:lang w:eastAsia="en-AU"/>
        </w:rPr>
        <w:t>a</w:t>
      </w:r>
      <w:r>
        <w:rPr>
          <w:rFonts w:ascii="Times New Roman" w:eastAsia="Times New Roman" w:hAnsi="Times New Roman" w:cs="Times New Roman"/>
          <w:color w:val="000000"/>
          <w:sz w:val="24"/>
          <w:szCs w:val="24"/>
          <w:lang w:eastAsia="en-AU"/>
        </w:rPr>
        <w:t>rticle 12 of the ICCPR).</w:t>
      </w:r>
    </w:p>
    <w:p w14:paraId="7FB8750F" w14:textId="77777777" w:rsidR="00C61513" w:rsidRDefault="00C61513" w:rsidP="00C61513">
      <w:pPr>
        <w:shd w:val="clear" w:color="auto" w:fill="FFFFFF"/>
        <w:spacing w:after="0" w:line="276" w:lineRule="atLeast"/>
        <w:ind w:left="714" w:hanging="357"/>
        <w:rPr>
          <w:rFonts w:ascii="Times New Roman" w:eastAsia="Times New Roman" w:hAnsi="Times New Roman" w:cs="Times New Roman"/>
          <w:color w:val="000000"/>
          <w:sz w:val="24"/>
          <w:szCs w:val="24"/>
          <w:lang w:eastAsia="en-AU"/>
        </w:rPr>
      </w:pPr>
    </w:p>
    <w:p w14:paraId="3D4FB27D" w14:textId="33B4AA47" w:rsidR="00DB1775" w:rsidRPr="00853A2B" w:rsidRDefault="00DB1775" w:rsidP="004A407E">
      <w:pPr>
        <w:shd w:val="clear" w:color="auto" w:fill="FFFFFF"/>
        <w:spacing w:after="0" w:line="276" w:lineRule="atLeast"/>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i/>
          <w:iCs/>
          <w:color w:val="000000"/>
          <w:sz w:val="24"/>
          <w:szCs w:val="24"/>
          <w:lang w:eastAsia="en-AU"/>
        </w:rPr>
        <w:t>Right to protection against arbitrary or unlawful interference with privacy</w:t>
      </w:r>
    </w:p>
    <w:p w14:paraId="357F410C" w14:textId="329A2E2E" w:rsidR="00DB1775" w:rsidRPr="00853A2B" w:rsidRDefault="00DB1775" w:rsidP="00DB1775">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Article 17 of the ICCPR provides that no one shall be subjected to arbitrary or unlawful interference with their privacy.</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This right may be subject </w:t>
      </w:r>
      <w:r w:rsidR="00F25051">
        <w:rPr>
          <w:rFonts w:ascii="Times New Roman" w:eastAsia="Times New Roman" w:hAnsi="Times New Roman" w:cs="Times New Roman"/>
          <w:color w:val="000000"/>
          <w:sz w:val="24"/>
          <w:szCs w:val="24"/>
          <w:lang w:eastAsia="en-AU"/>
        </w:rPr>
        <w:t xml:space="preserve">to </w:t>
      </w:r>
      <w:r w:rsidR="007877A7">
        <w:rPr>
          <w:rFonts w:ascii="Times New Roman" w:eastAsia="Times New Roman" w:hAnsi="Times New Roman" w:cs="Times New Roman"/>
          <w:color w:val="000000"/>
          <w:sz w:val="24"/>
          <w:szCs w:val="24"/>
          <w:lang w:eastAsia="en-AU"/>
        </w:rPr>
        <w:t>p</w:t>
      </w:r>
      <w:r w:rsidRPr="00853A2B">
        <w:rPr>
          <w:rFonts w:ascii="Times New Roman" w:eastAsia="Times New Roman" w:hAnsi="Times New Roman" w:cs="Times New Roman"/>
          <w:color w:val="000000"/>
          <w:sz w:val="24"/>
          <w:szCs w:val="24"/>
          <w:lang w:eastAsia="en-AU"/>
        </w:rPr>
        <w:t>ermissible limitations, where the limitations are authorised by law and are not arbitrary.</w:t>
      </w:r>
    </w:p>
    <w:p w14:paraId="6DEF48D1" w14:textId="43FD822F" w:rsidR="00DB1775" w:rsidRPr="00853A2B" w:rsidRDefault="00DB1775" w:rsidP="00DB1775">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 term ‘unlawful’ means no interference can take place except in cases authorised by law.</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What is ‘arbitrary’ will be determined by the circumstances of each particular case.</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In order for an interference with the right to privacy not to be ‘arbitrary’, the interference must be for a reason consistent with the provisions, aims and objectives of the ICCPR and be reasonable in the particular circumstances.</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The United Nations Human Rights Committee has interpreted ‘reasonableness’ in this context to imply that any interference with privacy must be proportiona</w:t>
      </w:r>
      <w:r w:rsidR="000401B1">
        <w:rPr>
          <w:rFonts w:ascii="Times New Roman" w:eastAsia="Times New Roman" w:hAnsi="Times New Roman" w:cs="Times New Roman"/>
          <w:color w:val="000000"/>
          <w:sz w:val="24"/>
          <w:szCs w:val="24"/>
          <w:lang w:eastAsia="en-AU"/>
        </w:rPr>
        <w:t>te</w:t>
      </w:r>
      <w:r w:rsidRPr="00853A2B">
        <w:rPr>
          <w:rFonts w:ascii="Times New Roman" w:eastAsia="Times New Roman" w:hAnsi="Times New Roman" w:cs="Times New Roman"/>
          <w:color w:val="000000"/>
          <w:sz w:val="24"/>
          <w:szCs w:val="24"/>
          <w:lang w:eastAsia="en-AU"/>
        </w:rPr>
        <w:t xml:space="preserve"> to the end sought and be necessary in the circumstances of any given case.</w:t>
      </w:r>
    </w:p>
    <w:p w14:paraId="0FC96381" w14:textId="6E8FFB2C"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xml:space="preserve">The </w:t>
      </w:r>
      <w:r w:rsidR="00F77AC6">
        <w:rPr>
          <w:rFonts w:ascii="Times New Roman" w:eastAsia="Times New Roman" w:hAnsi="Times New Roman" w:cs="Times New Roman"/>
          <w:color w:val="000000"/>
          <w:sz w:val="24"/>
          <w:szCs w:val="24"/>
          <w:lang w:eastAsia="en-AU"/>
        </w:rPr>
        <w:t>Regulation</w:t>
      </w:r>
      <w:r w:rsidR="00002D4E">
        <w:rPr>
          <w:rFonts w:ascii="Times New Roman" w:eastAsia="Times New Roman" w:hAnsi="Times New Roman" w:cs="Times New Roman"/>
          <w:color w:val="000000"/>
          <w:sz w:val="24"/>
          <w:szCs w:val="24"/>
          <w:lang w:eastAsia="en-AU"/>
        </w:rPr>
        <w:t>s</w:t>
      </w:r>
      <w:r w:rsidR="00F77AC6">
        <w:rPr>
          <w:rFonts w:ascii="Times New Roman" w:eastAsia="Times New Roman" w:hAnsi="Times New Roman" w:cs="Times New Roman"/>
          <w:color w:val="000000"/>
          <w:sz w:val="24"/>
          <w:szCs w:val="24"/>
          <w:lang w:eastAsia="en-AU"/>
        </w:rPr>
        <w:t xml:space="preserve"> limit </w:t>
      </w:r>
      <w:r w:rsidRPr="00853A2B">
        <w:rPr>
          <w:rFonts w:ascii="Times New Roman" w:eastAsia="Times New Roman" w:hAnsi="Times New Roman" w:cs="Times New Roman"/>
          <w:color w:val="000000"/>
          <w:sz w:val="24"/>
          <w:szCs w:val="24"/>
          <w:lang w:eastAsia="en-AU"/>
        </w:rPr>
        <w:t xml:space="preserve">the right to privacy under article 17 of the ICCPR by enabling law enforcement </w:t>
      </w:r>
      <w:proofErr w:type="gramStart"/>
      <w:r w:rsidRPr="00853A2B">
        <w:rPr>
          <w:rFonts w:ascii="Times New Roman" w:eastAsia="Times New Roman" w:hAnsi="Times New Roman" w:cs="Times New Roman"/>
          <w:color w:val="000000"/>
          <w:sz w:val="24"/>
          <w:szCs w:val="24"/>
          <w:lang w:eastAsia="en-AU"/>
        </w:rPr>
        <w:t>officers</w:t>
      </w:r>
      <w:proofErr w:type="gramEnd"/>
      <w:r w:rsidRPr="00853A2B">
        <w:rPr>
          <w:rFonts w:ascii="Times New Roman" w:eastAsia="Times New Roman" w:hAnsi="Times New Roman" w:cs="Times New Roman"/>
          <w:color w:val="000000"/>
          <w:sz w:val="24"/>
          <w:szCs w:val="24"/>
          <w:lang w:eastAsia="en-AU"/>
        </w:rPr>
        <w:t xml:space="preserve"> access to the search and information gathering powers available in Part IAA of the Crimes Act</w:t>
      </w:r>
      <w:r w:rsidRPr="00853A2B">
        <w:rPr>
          <w:rFonts w:ascii="Times New Roman" w:eastAsia="Times New Roman" w:hAnsi="Times New Roman" w:cs="Times New Roman"/>
          <w:i/>
          <w:iCs/>
          <w:color w:val="000000"/>
          <w:sz w:val="24"/>
          <w:szCs w:val="24"/>
          <w:lang w:eastAsia="en-AU"/>
        </w:rPr>
        <w:t>.</w:t>
      </w:r>
      <w:r w:rsidR="004B34AA">
        <w:rPr>
          <w:rFonts w:ascii="Times New Roman" w:eastAsia="Times New Roman" w:hAnsi="Times New Roman" w:cs="Times New Roman"/>
          <w:i/>
          <w:iCs/>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These powers are to be exercised responsibly and there are a number of safeguards intended to ensure that a police officer conducting any search has regard to a searched person’s right to privacy and maintenance of dignity throughout a search.</w:t>
      </w:r>
      <w:r w:rsidR="004B34AA">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In particular, there are rules for conduct of a strip search including that the search must be conducted in a private area (</w:t>
      </w:r>
      <w:r w:rsidR="00246D03">
        <w:rPr>
          <w:rFonts w:ascii="Times New Roman" w:eastAsia="Times New Roman" w:hAnsi="Times New Roman" w:cs="Times New Roman"/>
          <w:color w:val="000000"/>
          <w:sz w:val="24"/>
          <w:szCs w:val="24"/>
          <w:lang w:eastAsia="en-AU"/>
        </w:rPr>
        <w:t>paragraph</w:t>
      </w:r>
      <w:r w:rsidRPr="00853A2B">
        <w:rPr>
          <w:rFonts w:ascii="Times New Roman" w:eastAsia="Times New Roman" w:hAnsi="Times New Roman" w:cs="Times New Roman"/>
          <w:color w:val="000000"/>
          <w:sz w:val="24"/>
          <w:szCs w:val="24"/>
          <w:lang w:eastAsia="en-AU"/>
        </w:rPr>
        <w:t xml:space="preserve"> 3ZI(1)(a)) and conducted by an officer of the same sex (</w:t>
      </w:r>
      <w:r w:rsidR="00246D03">
        <w:rPr>
          <w:rFonts w:ascii="Times New Roman" w:eastAsia="Times New Roman" w:hAnsi="Times New Roman" w:cs="Times New Roman"/>
          <w:color w:val="000000"/>
          <w:sz w:val="24"/>
          <w:szCs w:val="24"/>
          <w:lang w:eastAsia="en-AU"/>
        </w:rPr>
        <w:t>paragraph</w:t>
      </w:r>
      <w:r w:rsidRPr="00853A2B">
        <w:rPr>
          <w:rFonts w:ascii="Times New Roman" w:eastAsia="Times New Roman" w:hAnsi="Times New Roman" w:cs="Times New Roman"/>
          <w:color w:val="000000"/>
          <w:sz w:val="24"/>
          <w:szCs w:val="24"/>
          <w:lang w:eastAsia="en-AU"/>
        </w:rPr>
        <w:t> </w:t>
      </w:r>
      <w:r w:rsidRPr="00CC4EE4">
        <w:rPr>
          <w:rFonts w:ascii="Times New Roman" w:eastAsia="Times New Roman" w:hAnsi="Times New Roman" w:cs="Times New Roman"/>
          <w:color w:val="000000"/>
          <w:sz w:val="24"/>
          <w:szCs w:val="24"/>
          <w:lang w:eastAsia="en-AU"/>
        </w:rPr>
        <w:t>3ZI(1)(b)).</w:t>
      </w:r>
      <w:r w:rsidR="004B34AA" w:rsidRPr="00CC4EE4">
        <w:rPr>
          <w:rFonts w:ascii="Times New Roman" w:eastAsia="Times New Roman" w:hAnsi="Times New Roman" w:cs="Times New Roman"/>
          <w:color w:val="000000"/>
          <w:sz w:val="24"/>
          <w:szCs w:val="24"/>
          <w:lang w:eastAsia="en-AU"/>
        </w:rPr>
        <w:t xml:space="preserve"> </w:t>
      </w:r>
      <w:r w:rsidRPr="00CC4EE4">
        <w:rPr>
          <w:rFonts w:ascii="Times New Roman" w:eastAsia="Times New Roman" w:hAnsi="Times New Roman" w:cs="Times New Roman"/>
          <w:color w:val="000000"/>
          <w:sz w:val="24"/>
          <w:szCs w:val="24"/>
          <w:lang w:eastAsia="en-AU"/>
        </w:rPr>
        <w:t>There are also add</w:t>
      </w:r>
      <w:r w:rsidRPr="00853A2B">
        <w:rPr>
          <w:rFonts w:ascii="Times New Roman" w:eastAsia="Times New Roman" w:hAnsi="Times New Roman" w:cs="Times New Roman"/>
          <w:color w:val="000000"/>
          <w:sz w:val="24"/>
          <w:szCs w:val="24"/>
          <w:lang w:eastAsia="en-AU"/>
        </w:rPr>
        <w:t>itional requirements that must be met in relation to children</w:t>
      </w:r>
      <w:r w:rsidR="002906D4">
        <w:rPr>
          <w:rFonts w:ascii="Times New Roman" w:eastAsia="Times New Roman" w:hAnsi="Times New Roman" w:cs="Times New Roman"/>
          <w:color w:val="000000"/>
          <w:sz w:val="24"/>
          <w:szCs w:val="24"/>
          <w:lang w:eastAsia="en-AU"/>
        </w:rPr>
        <w:t>. For example, p</w:t>
      </w:r>
      <w:r w:rsidR="0094705A">
        <w:rPr>
          <w:rFonts w:ascii="Times New Roman" w:eastAsia="Times New Roman" w:hAnsi="Times New Roman" w:cs="Times New Roman"/>
          <w:color w:val="000000"/>
          <w:sz w:val="24"/>
          <w:szCs w:val="24"/>
          <w:lang w:eastAsia="en-AU"/>
        </w:rPr>
        <w:t>aragraph 3ZI(1)(e) provides that a strip search must not be conducted on a person who is under 10</w:t>
      </w:r>
      <w:r w:rsidR="002906D4">
        <w:rPr>
          <w:rFonts w:ascii="Times New Roman" w:eastAsia="Times New Roman" w:hAnsi="Times New Roman" w:cs="Times New Roman"/>
          <w:color w:val="000000"/>
          <w:sz w:val="24"/>
          <w:szCs w:val="24"/>
          <w:lang w:eastAsia="en-AU"/>
        </w:rPr>
        <w:t xml:space="preserve"> and s</w:t>
      </w:r>
      <w:r w:rsidR="0094705A">
        <w:rPr>
          <w:rFonts w:ascii="Times New Roman" w:eastAsia="Times New Roman" w:hAnsi="Times New Roman" w:cs="Times New Roman"/>
          <w:color w:val="000000"/>
          <w:sz w:val="24"/>
          <w:szCs w:val="24"/>
          <w:lang w:eastAsia="en-AU"/>
        </w:rPr>
        <w:t>ubparagraph 3ZI(1)(f)(ii) stipulates that if a person is at least 10 but under 18, a strip search must be conducted in the presence of a parent or guardian of the person being</w:t>
      </w:r>
      <w:r w:rsidR="00473039">
        <w:rPr>
          <w:rFonts w:ascii="Times New Roman" w:eastAsia="Times New Roman" w:hAnsi="Times New Roman" w:cs="Times New Roman"/>
          <w:color w:val="000000"/>
          <w:sz w:val="24"/>
          <w:szCs w:val="24"/>
          <w:lang w:eastAsia="en-AU"/>
        </w:rPr>
        <w:t xml:space="preserve"> searched</w:t>
      </w:r>
      <w:r w:rsidR="0094705A">
        <w:rPr>
          <w:rFonts w:ascii="Times New Roman" w:eastAsia="Times New Roman" w:hAnsi="Times New Roman" w:cs="Times New Roman"/>
          <w:color w:val="000000"/>
          <w:sz w:val="24"/>
          <w:szCs w:val="24"/>
          <w:lang w:eastAsia="en-AU"/>
        </w:rPr>
        <w:t>.</w:t>
      </w:r>
      <w:r w:rsidRPr="00853A2B">
        <w:rPr>
          <w:rFonts w:ascii="Times New Roman" w:eastAsia="Times New Roman" w:hAnsi="Times New Roman" w:cs="Times New Roman"/>
          <w:color w:val="000000"/>
          <w:sz w:val="24"/>
          <w:szCs w:val="24"/>
          <w:lang w:eastAsia="en-AU"/>
        </w:rPr>
        <w:t> Similarly, the search and seizure powers available under section 9 of the Crimes Act are restricted to circumstances where there are ‘reasonable grounds’ (s</w:t>
      </w:r>
      <w:r w:rsidR="00EA09CB">
        <w:rPr>
          <w:rFonts w:ascii="Times New Roman" w:eastAsia="Times New Roman" w:hAnsi="Times New Roman" w:cs="Times New Roman"/>
          <w:color w:val="000000"/>
          <w:sz w:val="24"/>
          <w:szCs w:val="24"/>
          <w:lang w:eastAsia="en-AU"/>
        </w:rPr>
        <w:t>ubsection</w:t>
      </w:r>
      <w:r w:rsidR="00A268AB">
        <w:rPr>
          <w:rFonts w:ascii="Times New Roman" w:eastAsia="Times New Roman" w:hAnsi="Times New Roman" w:cs="Times New Roman"/>
          <w:color w:val="000000"/>
          <w:sz w:val="24"/>
          <w:szCs w:val="24"/>
          <w:lang w:eastAsia="en-AU"/>
        </w:rPr>
        <w:t> </w:t>
      </w:r>
      <w:r w:rsidRPr="00853A2B">
        <w:rPr>
          <w:rFonts w:ascii="Times New Roman" w:eastAsia="Times New Roman" w:hAnsi="Times New Roman" w:cs="Times New Roman"/>
          <w:color w:val="000000"/>
          <w:sz w:val="24"/>
          <w:szCs w:val="24"/>
          <w:lang w:eastAsia="en-AU"/>
        </w:rPr>
        <w:t>9(1)) to support the use of the powers.</w:t>
      </w:r>
    </w:p>
    <w:p w14:paraId="3BFAFCCB" w14:textId="7D99BA47"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 forensic procedures, including on the retention of data from those procedures, set out in Part ID of the Crimes Act</w:t>
      </w:r>
      <w:r w:rsidRPr="00853A2B">
        <w:rPr>
          <w:rFonts w:ascii="Times New Roman" w:eastAsia="Times New Roman" w:hAnsi="Times New Roman" w:cs="Times New Roman"/>
          <w:i/>
          <w:iCs/>
          <w:color w:val="000000"/>
          <w:sz w:val="24"/>
          <w:szCs w:val="24"/>
          <w:lang w:eastAsia="en-AU"/>
        </w:rPr>
        <w:t> </w:t>
      </w:r>
      <w:r w:rsidRPr="00853A2B">
        <w:rPr>
          <w:rFonts w:ascii="Times New Roman" w:eastAsia="Times New Roman" w:hAnsi="Times New Roman" w:cs="Times New Roman"/>
          <w:color w:val="000000"/>
          <w:sz w:val="24"/>
          <w:szCs w:val="24"/>
          <w:lang w:eastAsia="en-AU"/>
        </w:rPr>
        <w:t>also limit the right to privacy under article 17 of the ICCPR.</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Part ID allows for the collection and use of DNA material for law enforcement purposes and establishes a scheme for the matching and inter-jurisdictional exchange of DNA profiles between Commonwealth, State and Territory law enforcement agencies.</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Information collected under Part ID is included within the National Criminal Investigation DNA Database (NCIDD) as a ‘DNA profile.’</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Importantly, the NCIDD does not contain any personal information that would identify a person to whom a particular DNA profile relates, protecting the personal privacy of the individual.</w:t>
      </w:r>
      <w:r w:rsidR="007A4989">
        <w:rPr>
          <w:rFonts w:ascii="Times New Roman" w:eastAsia="Times New Roman" w:hAnsi="Times New Roman" w:cs="Times New Roman"/>
          <w:color w:val="000000"/>
          <w:sz w:val="24"/>
          <w:szCs w:val="24"/>
          <w:lang w:eastAsia="en-AU"/>
        </w:rPr>
        <w:t xml:space="preserve"> </w:t>
      </w:r>
      <w:r w:rsidR="00CD524A">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ection 23YO </w:t>
      </w:r>
      <w:r w:rsidR="00CD524A">
        <w:rPr>
          <w:rFonts w:ascii="Times New Roman" w:eastAsia="Times New Roman" w:hAnsi="Times New Roman" w:cs="Times New Roman"/>
          <w:color w:val="000000"/>
          <w:sz w:val="24"/>
          <w:szCs w:val="24"/>
          <w:lang w:eastAsia="en-AU"/>
        </w:rPr>
        <w:t>of the Crimes Act criminalises the</w:t>
      </w:r>
      <w:r w:rsidRPr="00853A2B">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lastRenderedPageBreak/>
        <w:t>unauthorised disclosure of any information stored in the NCIDD or any other information revealed by a forensic procedure carried out under Part ID.</w:t>
      </w:r>
      <w:r w:rsidR="007A4989">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Part ID also ensures that any forensic procedure must be carried out in accordance with certain rules and procedures, for example ensuring that the procedure is conducted in circumstances affording reasonable privacy to the suspect (s</w:t>
      </w:r>
      <w:r w:rsidR="00EA09CB">
        <w:rPr>
          <w:rFonts w:ascii="Times New Roman" w:eastAsia="Times New Roman" w:hAnsi="Times New Roman" w:cs="Times New Roman"/>
          <w:color w:val="000000"/>
          <w:sz w:val="24"/>
          <w:szCs w:val="24"/>
          <w:lang w:eastAsia="en-AU"/>
        </w:rPr>
        <w:t>ection</w:t>
      </w:r>
      <w:r w:rsidRPr="00853A2B">
        <w:rPr>
          <w:rFonts w:ascii="Times New Roman" w:eastAsia="Times New Roman" w:hAnsi="Times New Roman" w:cs="Times New Roman"/>
          <w:color w:val="000000"/>
          <w:sz w:val="24"/>
          <w:szCs w:val="24"/>
          <w:lang w:eastAsia="en-AU"/>
        </w:rPr>
        <w:t xml:space="preserve"> 23XI). </w:t>
      </w:r>
    </w:p>
    <w:p w14:paraId="26C0C2AD" w14:textId="354945CC"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xml:space="preserve">Although </w:t>
      </w:r>
      <w:r w:rsidR="008032E8">
        <w:rPr>
          <w:rFonts w:ascii="Times New Roman" w:eastAsia="Times New Roman" w:hAnsi="Times New Roman" w:cs="Times New Roman"/>
          <w:color w:val="000000"/>
          <w:sz w:val="24"/>
          <w:szCs w:val="24"/>
          <w:lang w:eastAsia="en-AU"/>
        </w:rPr>
        <w:t xml:space="preserve">the </w:t>
      </w:r>
      <w:r w:rsidRPr="00853A2B">
        <w:rPr>
          <w:rFonts w:ascii="Times New Roman" w:eastAsia="Times New Roman" w:hAnsi="Times New Roman" w:cs="Times New Roman"/>
          <w:color w:val="000000"/>
          <w:sz w:val="24"/>
          <w:szCs w:val="24"/>
          <w:lang w:eastAsia="en-AU"/>
        </w:rPr>
        <w:t>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sidR="008032E8">
        <w:rPr>
          <w:rFonts w:ascii="Times New Roman" w:eastAsia="Times New Roman" w:hAnsi="Times New Roman" w:cs="Times New Roman"/>
          <w:color w:val="000000"/>
          <w:sz w:val="24"/>
          <w:szCs w:val="24"/>
          <w:lang w:eastAsia="en-AU"/>
        </w:rPr>
        <w:t>limit</w:t>
      </w:r>
      <w:r w:rsidRPr="00853A2B">
        <w:rPr>
          <w:rFonts w:ascii="Times New Roman" w:eastAsia="Times New Roman" w:hAnsi="Times New Roman" w:cs="Times New Roman"/>
          <w:color w:val="000000"/>
          <w:sz w:val="24"/>
          <w:szCs w:val="24"/>
          <w:lang w:eastAsia="en-AU"/>
        </w:rPr>
        <w:t xml:space="preserve">, to some extent, the right to privacy under article 17 of the ICCPR, this is necessary to achieve legitimate law enforcement </w:t>
      </w:r>
      <w:r w:rsidR="00AA60CC" w:rsidRPr="00853A2B">
        <w:rPr>
          <w:rFonts w:ascii="Times New Roman" w:eastAsia="Times New Roman" w:hAnsi="Times New Roman" w:cs="Times New Roman"/>
          <w:color w:val="000000"/>
          <w:sz w:val="24"/>
          <w:szCs w:val="24"/>
          <w:lang w:eastAsia="en-AU"/>
        </w:rPr>
        <w:t>objectives</w:t>
      </w:r>
      <w:r w:rsidR="000F5F61">
        <w:rPr>
          <w:rFonts w:ascii="Times New Roman" w:eastAsia="Times New Roman" w:hAnsi="Times New Roman" w:cs="Times New Roman"/>
          <w:color w:val="000000"/>
          <w:sz w:val="24"/>
          <w:szCs w:val="24"/>
          <w:lang w:eastAsia="en-AU"/>
        </w:rPr>
        <w:t>,</w:t>
      </w:r>
      <w:r w:rsidR="00AA60CC">
        <w:rPr>
          <w:rFonts w:ascii="Times New Roman" w:eastAsia="Times New Roman" w:hAnsi="Times New Roman" w:cs="Times New Roman"/>
          <w:color w:val="000000"/>
          <w:sz w:val="24"/>
          <w:szCs w:val="24"/>
          <w:lang w:eastAsia="en-AU"/>
        </w:rPr>
        <w:t xml:space="preserve"> including maintaining airport security and </w:t>
      </w:r>
      <w:r w:rsidR="000F5F61">
        <w:rPr>
          <w:rFonts w:ascii="Times New Roman" w:eastAsia="Times New Roman" w:hAnsi="Times New Roman" w:cs="Times New Roman"/>
          <w:color w:val="000000"/>
          <w:sz w:val="24"/>
          <w:szCs w:val="24"/>
          <w:lang w:eastAsia="en-AU"/>
        </w:rPr>
        <w:t>upholding</w:t>
      </w:r>
      <w:r w:rsidR="00AA60CC">
        <w:rPr>
          <w:rFonts w:ascii="Times New Roman" w:eastAsia="Times New Roman" w:hAnsi="Times New Roman" w:cs="Times New Roman"/>
          <w:color w:val="000000"/>
          <w:sz w:val="24"/>
          <w:szCs w:val="24"/>
          <w:lang w:eastAsia="en-AU"/>
        </w:rPr>
        <w:t xml:space="preserve"> community safety. Further, </w:t>
      </w:r>
      <w:r w:rsidR="000F5F61">
        <w:rPr>
          <w:rFonts w:ascii="Times New Roman" w:eastAsia="Times New Roman" w:hAnsi="Times New Roman" w:cs="Times New Roman"/>
          <w:color w:val="000000"/>
          <w:sz w:val="24"/>
          <w:szCs w:val="24"/>
          <w:lang w:eastAsia="en-AU"/>
        </w:rPr>
        <w:t xml:space="preserve">there are </w:t>
      </w:r>
      <w:r w:rsidRPr="00853A2B">
        <w:rPr>
          <w:rFonts w:ascii="Times New Roman" w:eastAsia="Times New Roman" w:hAnsi="Times New Roman" w:cs="Times New Roman"/>
          <w:color w:val="000000"/>
          <w:sz w:val="24"/>
          <w:szCs w:val="24"/>
          <w:lang w:eastAsia="en-AU"/>
        </w:rPr>
        <w:t xml:space="preserve">a number of safeguards which ensure </w:t>
      </w:r>
      <w:r w:rsidR="00AA60CC">
        <w:rPr>
          <w:rFonts w:ascii="Times New Roman" w:eastAsia="Times New Roman" w:hAnsi="Times New Roman" w:cs="Times New Roman"/>
          <w:color w:val="000000"/>
          <w:sz w:val="24"/>
          <w:szCs w:val="24"/>
          <w:lang w:eastAsia="en-AU"/>
        </w:rPr>
        <w:t>the Regulation</w:t>
      </w:r>
      <w:r w:rsidR="00002D4E">
        <w:rPr>
          <w:rFonts w:ascii="Times New Roman" w:eastAsia="Times New Roman" w:hAnsi="Times New Roman" w:cs="Times New Roman"/>
          <w:color w:val="000000"/>
          <w:sz w:val="24"/>
          <w:szCs w:val="24"/>
          <w:lang w:eastAsia="en-AU"/>
        </w:rPr>
        <w:t>s</w:t>
      </w:r>
      <w:r w:rsidR="00AA60CC">
        <w:rPr>
          <w:rFonts w:ascii="Times New Roman" w:eastAsia="Times New Roman" w:hAnsi="Times New Roman" w:cs="Times New Roman"/>
          <w:color w:val="000000"/>
          <w:sz w:val="24"/>
          <w:szCs w:val="24"/>
          <w:lang w:eastAsia="en-AU"/>
        </w:rPr>
        <w:t xml:space="preserve"> </w:t>
      </w:r>
      <w:r w:rsidR="007239F3">
        <w:rPr>
          <w:rFonts w:ascii="Times New Roman" w:eastAsia="Times New Roman" w:hAnsi="Times New Roman" w:cs="Times New Roman"/>
          <w:color w:val="000000"/>
          <w:sz w:val="24"/>
          <w:szCs w:val="24"/>
          <w:lang w:eastAsia="en-AU"/>
        </w:rPr>
        <w:t>are</w:t>
      </w:r>
      <w:r w:rsidR="007239F3" w:rsidRPr="00853A2B">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a reasonable and proportionate means of achieving these </w:t>
      </w:r>
      <w:r w:rsidR="00AA60CC">
        <w:rPr>
          <w:rFonts w:ascii="Times New Roman" w:eastAsia="Times New Roman" w:hAnsi="Times New Roman" w:cs="Times New Roman"/>
          <w:color w:val="000000"/>
          <w:sz w:val="24"/>
          <w:szCs w:val="24"/>
          <w:lang w:eastAsia="en-AU"/>
        </w:rPr>
        <w:t>objectives</w:t>
      </w:r>
      <w:r w:rsidRPr="00853A2B">
        <w:rPr>
          <w:rFonts w:ascii="Times New Roman" w:eastAsia="Times New Roman" w:hAnsi="Times New Roman" w:cs="Times New Roman"/>
          <w:color w:val="000000"/>
          <w:sz w:val="24"/>
          <w:szCs w:val="24"/>
          <w:lang w:eastAsia="en-AU"/>
        </w:rPr>
        <w:t>. </w:t>
      </w:r>
    </w:p>
    <w:p w14:paraId="7BDAEF67" w14:textId="77777777" w:rsidR="00A43F06"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i/>
          <w:iCs/>
          <w:color w:val="000000"/>
          <w:sz w:val="24"/>
          <w:szCs w:val="24"/>
          <w:lang w:eastAsia="en-AU"/>
        </w:rPr>
        <w:t>Right to life and prohibition on torture and cruel, inhuman or degrading treatment or punishment</w:t>
      </w:r>
      <w:r w:rsidR="00B63E53">
        <w:rPr>
          <w:rFonts w:ascii="Times New Roman" w:eastAsia="Times New Roman" w:hAnsi="Times New Roman" w:cs="Times New Roman"/>
          <w:b/>
          <w:bCs/>
          <w:i/>
          <w:iCs/>
          <w:color w:val="000000"/>
          <w:sz w:val="24"/>
          <w:szCs w:val="24"/>
          <w:lang w:eastAsia="en-AU"/>
        </w:rPr>
        <w:t xml:space="preserve"> </w:t>
      </w:r>
    </w:p>
    <w:p w14:paraId="32228968" w14:textId="201E9A80" w:rsidR="00DB1775" w:rsidRPr="00853A2B" w:rsidRDefault="00A43F06"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Suba</w:t>
      </w:r>
      <w:r w:rsidR="00DB1775" w:rsidRPr="00853A2B">
        <w:rPr>
          <w:rFonts w:ascii="Times New Roman" w:eastAsia="Times New Roman" w:hAnsi="Times New Roman" w:cs="Times New Roman"/>
          <w:color w:val="000000"/>
          <w:sz w:val="24"/>
          <w:szCs w:val="24"/>
          <w:lang w:eastAsia="en-AU"/>
        </w:rPr>
        <w:t>rticle 6(1) of the ICCPR guarantees every human being the inherent right to life, stating that no one shall be arbitrarily deprived of his or her life.</w:t>
      </w:r>
      <w:r w:rsidR="001755F1">
        <w:rPr>
          <w:rFonts w:ascii="Times New Roman" w:eastAsia="Times New Roman" w:hAnsi="Times New Roman" w:cs="Times New Roman"/>
          <w:color w:val="000000"/>
          <w:sz w:val="24"/>
          <w:szCs w:val="24"/>
          <w:lang w:eastAsia="en-AU"/>
        </w:rPr>
        <w:t xml:space="preserve"> </w:t>
      </w:r>
      <w:r w:rsidR="00DB1775" w:rsidRPr="00853A2B">
        <w:rPr>
          <w:rFonts w:ascii="Times New Roman" w:eastAsia="Times New Roman" w:hAnsi="Times New Roman" w:cs="Times New Roman"/>
          <w:color w:val="000000"/>
          <w:sz w:val="24"/>
          <w:szCs w:val="24"/>
          <w:lang w:eastAsia="en-AU"/>
        </w:rPr>
        <w:t>Article 7 of the ICCPR guarantees that no one shall be subjected to torture or to cruel, inhuman or degrading treatment or punishment. </w:t>
      </w:r>
    </w:p>
    <w:p w14:paraId="71FE2B2D" w14:textId="57076472"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w:t>
      </w:r>
      <w:r w:rsidRPr="00853A2B">
        <w:rPr>
          <w:rFonts w:ascii="Times New Roman" w:eastAsia="Times New Roman" w:hAnsi="Times New Roman" w:cs="Times New Roman"/>
          <w:color w:val="000000"/>
          <w:sz w:val="24"/>
          <w:szCs w:val="24"/>
          <w:lang w:eastAsia="en-AU"/>
        </w:rPr>
        <w:t>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sidR="00417F52">
        <w:rPr>
          <w:rFonts w:ascii="Times New Roman" w:eastAsia="Times New Roman" w:hAnsi="Times New Roman" w:cs="Times New Roman"/>
          <w:color w:val="000000"/>
          <w:sz w:val="24"/>
          <w:szCs w:val="24"/>
          <w:lang w:eastAsia="en-AU"/>
        </w:rPr>
        <w:t>engage</w:t>
      </w:r>
      <w:r w:rsidRPr="00853A2B">
        <w:rPr>
          <w:rFonts w:ascii="Times New Roman" w:eastAsia="Times New Roman" w:hAnsi="Times New Roman" w:cs="Times New Roman"/>
          <w:color w:val="000000"/>
          <w:sz w:val="24"/>
          <w:szCs w:val="24"/>
          <w:lang w:eastAsia="en-AU"/>
        </w:rPr>
        <w:t xml:space="preserve"> this right by allowing police officers to access the arrest powers set out in Part IAA of the Crimes Act, which include provision for the use of force. However, the use of force when conducting arrests is limited to ‘as necessary and reasonable</w:t>
      </w:r>
      <w:r w:rsidR="00455DB3">
        <w:rPr>
          <w:rFonts w:ascii="Times New Roman" w:eastAsia="Times New Roman" w:hAnsi="Times New Roman" w:cs="Times New Roman"/>
          <w:color w:val="000000"/>
          <w:sz w:val="24"/>
          <w:szCs w:val="24"/>
          <w:lang w:eastAsia="en-AU"/>
        </w:rPr>
        <w:t>’</w:t>
      </w:r>
      <w:r w:rsidRPr="00853A2B">
        <w:rPr>
          <w:rFonts w:ascii="Times New Roman" w:eastAsia="Times New Roman" w:hAnsi="Times New Roman" w:cs="Times New Roman"/>
          <w:color w:val="000000"/>
          <w:sz w:val="24"/>
          <w:szCs w:val="24"/>
          <w:lang w:eastAsia="en-AU"/>
        </w:rPr>
        <w:t xml:space="preserve"> in the</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circumstances as specified in </w:t>
      </w:r>
      <w:r w:rsidR="000D1300">
        <w:rPr>
          <w:rFonts w:ascii="Times New Roman" w:eastAsia="Times New Roman" w:hAnsi="Times New Roman" w:cs="Times New Roman"/>
          <w:color w:val="000000"/>
          <w:sz w:val="24"/>
          <w:szCs w:val="24"/>
          <w:lang w:eastAsia="en-AU"/>
        </w:rPr>
        <w:t>sub</w:t>
      </w:r>
      <w:r w:rsidRPr="00853A2B">
        <w:rPr>
          <w:rFonts w:ascii="Times New Roman" w:eastAsia="Times New Roman" w:hAnsi="Times New Roman" w:cs="Times New Roman"/>
          <w:color w:val="000000"/>
          <w:sz w:val="24"/>
          <w:szCs w:val="24"/>
          <w:lang w:eastAsia="en-AU"/>
        </w:rPr>
        <w:t>section 3ZC(1). Furthermore, in the course of arresting a</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person for an offence</w:t>
      </w:r>
      <w:r w:rsidR="00B63E53">
        <w:rPr>
          <w:rFonts w:ascii="Times New Roman" w:eastAsia="Times New Roman" w:hAnsi="Times New Roman" w:cs="Times New Roman"/>
          <w:color w:val="000000"/>
          <w:sz w:val="24"/>
          <w:szCs w:val="24"/>
          <w:lang w:eastAsia="en-AU"/>
        </w:rPr>
        <w:t>,</w:t>
      </w:r>
      <w:r w:rsidRPr="00853A2B">
        <w:rPr>
          <w:rFonts w:ascii="Times New Roman" w:eastAsia="Times New Roman" w:hAnsi="Times New Roman" w:cs="Times New Roman"/>
          <w:color w:val="000000"/>
          <w:sz w:val="24"/>
          <w:szCs w:val="24"/>
          <w:lang w:eastAsia="en-AU"/>
        </w:rPr>
        <w:t xml:space="preserve"> the officer is not able to do anything that is likely to cause death, or grievous bodily harm, unless the officer believes on reasonable grounds that doing that thing is necessary to protect life or to prevent serious injury to another person (s</w:t>
      </w:r>
      <w:r w:rsidR="0087162F">
        <w:rPr>
          <w:rFonts w:ascii="Times New Roman" w:eastAsia="Times New Roman" w:hAnsi="Times New Roman" w:cs="Times New Roman"/>
          <w:color w:val="000000"/>
          <w:sz w:val="24"/>
          <w:szCs w:val="24"/>
          <w:lang w:eastAsia="en-AU"/>
        </w:rPr>
        <w:t xml:space="preserve">ubsection </w:t>
      </w:r>
      <w:r w:rsidRPr="00853A2B">
        <w:rPr>
          <w:rFonts w:ascii="Times New Roman" w:eastAsia="Times New Roman" w:hAnsi="Times New Roman" w:cs="Times New Roman"/>
          <w:color w:val="000000"/>
          <w:sz w:val="24"/>
          <w:szCs w:val="24"/>
          <w:lang w:eastAsia="en-AU"/>
        </w:rPr>
        <w:t>3ZC(2)). </w:t>
      </w:r>
    </w:p>
    <w:p w14:paraId="3ECB59BB" w14:textId="4AFA8F6B"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There are procedures in place in the event that the use of force is considered reasonable by the officer.</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 xml:space="preserve">Law enforcement officers who </w:t>
      </w:r>
      <w:r w:rsidR="009D6A9C">
        <w:rPr>
          <w:rFonts w:ascii="Times New Roman" w:eastAsia="Times New Roman" w:hAnsi="Times New Roman" w:cs="Times New Roman"/>
          <w:color w:val="000000"/>
          <w:sz w:val="24"/>
          <w:szCs w:val="24"/>
          <w:lang w:eastAsia="en-AU"/>
        </w:rPr>
        <w:t>access</w:t>
      </w:r>
      <w:r w:rsidRPr="00853A2B">
        <w:rPr>
          <w:rFonts w:ascii="Times New Roman" w:eastAsia="Times New Roman" w:hAnsi="Times New Roman" w:cs="Times New Roman"/>
          <w:color w:val="000000"/>
          <w:sz w:val="24"/>
          <w:szCs w:val="24"/>
          <w:lang w:eastAsia="en-AU"/>
        </w:rPr>
        <w:t xml:space="preserve"> these arrest powers are trained and authorised to do so under the </w:t>
      </w:r>
      <w:r w:rsidRPr="00853A2B">
        <w:rPr>
          <w:rFonts w:ascii="Times New Roman" w:eastAsia="Times New Roman" w:hAnsi="Times New Roman" w:cs="Times New Roman"/>
          <w:i/>
          <w:iCs/>
          <w:color w:val="000000"/>
          <w:sz w:val="24"/>
          <w:szCs w:val="24"/>
          <w:lang w:eastAsia="en-AU"/>
        </w:rPr>
        <w:t>Australian Federal Police Act 1979 </w:t>
      </w:r>
      <w:r w:rsidRPr="00853A2B">
        <w:rPr>
          <w:rFonts w:ascii="Times New Roman" w:eastAsia="Times New Roman" w:hAnsi="Times New Roman" w:cs="Times New Roman"/>
          <w:color w:val="000000"/>
          <w:sz w:val="24"/>
          <w:szCs w:val="24"/>
          <w:lang w:eastAsia="en-AU"/>
        </w:rPr>
        <w:t>or equivalent State legislation.</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In addition, the Crimes Act</w:t>
      </w:r>
      <w:r w:rsidRPr="00853A2B">
        <w:rPr>
          <w:rFonts w:ascii="Times New Roman" w:eastAsia="Times New Roman" w:hAnsi="Times New Roman" w:cs="Times New Roman"/>
          <w:i/>
          <w:iCs/>
          <w:color w:val="000000"/>
          <w:sz w:val="24"/>
          <w:szCs w:val="24"/>
          <w:lang w:eastAsia="en-AU"/>
        </w:rPr>
        <w:t> </w:t>
      </w:r>
      <w:r w:rsidRPr="00853A2B">
        <w:rPr>
          <w:rFonts w:ascii="Times New Roman" w:eastAsia="Times New Roman" w:hAnsi="Times New Roman" w:cs="Times New Roman"/>
          <w:color w:val="000000"/>
          <w:sz w:val="24"/>
          <w:szCs w:val="24"/>
          <w:lang w:eastAsia="en-AU"/>
        </w:rPr>
        <w:t>contains a number of safeguards to ensure that these powers cannot be used arbitrarily, including the requirement in section 3ZD for persons to be informed of the grounds of arrest.</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This will ensure that arrest powers are used effectively and in a manner that does not endanger the officer, those subject to arrest or the public. </w:t>
      </w:r>
    </w:p>
    <w:p w14:paraId="1A3E227E" w14:textId="02A40B63"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Accordingly, any potential limitation</w:t>
      </w:r>
      <w:r w:rsidR="009D6A9C">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on article</w:t>
      </w:r>
      <w:r w:rsidR="00BB70C0">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6 </w:t>
      </w:r>
      <w:r w:rsidR="00BB70C0">
        <w:rPr>
          <w:rFonts w:ascii="Times New Roman" w:eastAsia="Times New Roman" w:hAnsi="Times New Roman" w:cs="Times New Roman"/>
          <w:color w:val="000000"/>
          <w:sz w:val="24"/>
          <w:szCs w:val="24"/>
          <w:lang w:eastAsia="en-AU"/>
        </w:rPr>
        <w:t>and</w:t>
      </w:r>
      <w:r w:rsidRPr="00853A2B">
        <w:rPr>
          <w:rFonts w:ascii="Times New Roman" w:eastAsia="Times New Roman" w:hAnsi="Times New Roman" w:cs="Times New Roman"/>
          <w:color w:val="000000"/>
          <w:sz w:val="24"/>
          <w:szCs w:val="24"/>
          <w:lang w:eastAsia="en-AU"/>
        </w:rPr>
        <w:t xml:space="preserve"> 7 of the ICCPR imposed as a result of the 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sidR="009D6A9C">
        <w:rPr>
          <w:rFonts w:ascii="Times New Roman" w:eastAsia="Times New Roman" w:hAnsi="Times New Roman" w:cs="Times New Roman"/>
          <w:color w:val="000000"/>
          <w:sz w:val="24"/>
          <w:szCs w:val="24"/>
          <w:lang w:eastAsia="en-AU"/>
        </w:rPr>
        <w:t>are</w:t>
      </w:r>
      <w:r w:rsidRPr="00853A2B">
        <w:rPr>
          <w:rFonts w:ascii="Times New Roman" w:eastAsia="Times New Roman" w:hAnsi="Times New Roman" w:cs="Times New Roman"/>
          <w:color w:val="000000"/>
          <w:sz w:val="24"/>
          <w:szCs w:val="24"/>
          <w:lang w:eastAsia="en-AU"/>
        </w:rPr>
        <w:t xml:space="preserve"> reasonable, necessary and proportionate.</w:t>
      </w:r>
    </w:p>
    <w:p w14:paraId="5CBE0128" w14:textId="77777777" w:rsidR="00DB1775" w:rsidRPr="00853A2B" w:rsidRDefault="00DB1775" w:rsidP="00E21E8F">
      <w:pPr>
        <w:keepNext/>
        <w:shd w:val="clear" w:color="auto" w:fill="FFFFFF"/>
        <w:spacing w:before="240" w:after="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i/>
          <w:iCs/>
          <w:color w:val="000000"/>
          <w:sz w:val="24"/>
          <w:szCs w:val="24"/>
          <w:lang w:eastAsia="en-AU"/>
        </w:rPr>
        <w:t>Right to security of the person and freedom from arbitrary detention</w:t>
      </w:r>
    </w:p>
    <w:p w14:paraId="003F3D04" w14:textId="0ECD6F5E"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Article 9(1) of the ICCPR guarantees the right to liberty and security of person and enshrines that no person shall be subjected to arbitrary arrest or detention.</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This right requires that persons not be subject to arrest and detention except as provided for by law, and provided that the law itself and the manner of its execution are not arbitrary.</w:t>
      </w:r>
    </w:p>
    <w:p w14:paraId="151481FF" w14:textId="51A5523D"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 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sidR="00EF11CF">
        <w:rPr>
          <w:rFonts w:ascii="Times New Roman" w:eastAsia="Times New Roman" w:hAnsi="Times New Roman" w:cs="Times New Roman"/>
          <w:color w:val="000000"/>
          <w:sz w:val="24"/>
          <w:szCs w:val="24"/>
          <w:lang w:eastAsia="en-AU"/>
        </w:rPr>
        <w:t xml:space="preserve">limit </w:t>
      </w:r>
      <w:r w:rsidRPr="00853A2B">
        <w:rPr>
          <w:rFonts w:ascii="Times New Roman" w:eastAsia="Times New Roman" w:hAnsi="Times New Roman" w:cs="Times New Roman"/>
          <w:color w:val="000000"/>
          <w:sz w:val="24"/>
          <w:szCs w:val="24"/>
          <w:lang w:eastAsia="en-AU"/>
        </w:rPr>
        <w:t>this right by making available the arrest powers in Part IAA and the remand of defendant</w:t>
      </w:r>
      <w:r w:rsidR="00A4128C">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set out in section 15 of the Crimes Act</w:t>
      </w:r>
      <w:r w:rsidRPr="00853A2B">
        <w:rPr>
          <w:rFonts w:ascii="Times New Roman" w:eastAsia="Times New Roman" w:hAnsi="Times New Roman" w:cs="Times New Roman"/>
          <w:i/>
          <w:iCs/>
          <w:color w:val="000000"/>
          <w:sz w:val="24"/>
          <w:szCs w:val="24"/>
          <w:lang w:eastAsia="en-AU"/>
        </w:rPr>
        <w:t>.</w:t>
      </w:r>
      <w:r w:rsidR="007A4989">
        <w:rPr>
          <w:rFonts w:ascii="Times New Roman" w:eastAsia="Times New Roman" w:hAnsi="Times New Roman" w:cs="Times New Roman"/>
          <w:i/>
          <w:iCs/>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This limitation of article 9 is necessary to ensure that there is adequate security and policing in airports.</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This serves the purpose of ensuring the legislative framework surrounding Australia’s aviation regime is sufficient and appropriate.</w:t>
      </w:r>
    </w:p>
    <w:p w14:paraId="294FA07A" w14:textId="0504752D" w:rsidR="00FC2E43" w:rsidRDefault="00DB1775" w:rsidP="0091441B">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These limitations are proportionate in that they are appropriately circumscribed.</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There is a clear threshold that must be met before an arrest can occur, namely ‘the constable believes on reasonable grounds that the person has committed or is committing the offence’ (</w:t>
      </w:r>
      <w:r w:rsidR="002512ED">
        <w:rPr>
          <w:rFonts w:ascii="Times New Roman" w:eastAsia="Times New Roman" w:hAnsi="Times New Roman" w:cs="Times New Roman"/>
          <w:color w:val="000000"/>
          <w:sz w:val="24"/>
          <w:szCs w:val="24"/>
          <w:lang w:eastAsia="en-AU"/>
        </w:rPr>
        <w:t xml:space="preserve">paragraph </w:t>
      </w:r>
      <w:r w:rsidRPr="00853A2B">
        <w:rPr>
          <w:rFonts w:ascii="Times New Roman" w:eastAsia="Times New Roman" w:hAnsi="Times New Roman" w:cs="Times New Roman"/>
          <w:color w:val="000000"/>
          <w:sz w:val="24"/>
          <w:szCs w:val="24"/>
          <w:lang w:eastAsia="en-AU"/>
        </w:rPr>
        <w:lastRenderedPageBreak/>
        <w:t>3W(1)(a)).</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In addition, when exercising the right to arrest specified in Part IAA of the Crimes Act</w:t>
      </w:r>
      <w:r w:rsidRPr="00853A2B">
        <w:rPr>
          <w:rFonts w:ascii="Times New Roman" w:eastAsia="Times New Roman" w:hAnsi="Times New Roman" w:cs="Times New Roman"/>
          <w:i/>
          <w:iCs/>
          <w:color w:val="000000"/>
          <w:sz w:val="24"/>
          <w:szCs w:val="24"/>
          <w:lang w:eastAsia="en-AU"/>
        </w:rPr>
        <w:t>, </w:t>
      </w:r>
      <w:r w:rsidRPr="00853A2B">
        <w:rPr>
          <w:rFonts w:ascii="Times New Roman" w:eastAsia="Times New Roman" w:hAnsi="Times New Roman" w:cs="Times New Roman"/>
          <w:color w:val="000000"/>
          <w:sz w:val="24"/>
          <w:szCs w:val="24"/>
          <w:lang w:eastAsia="en-AU"/>
        </w:rPr>
        <w:t>an officer must comply with a range of basic safeguards.</w:t>
      </w:r>
      <w:r w:rsidR="001755F1">
        <w:rPr>
          <w:rFonts w:ascii="Times New Roman" w:eastAsia="Times New Roman" w:hAnsi="Times New Roman" w:cs="Times New Roman"/>
          <w:color w:val="000000"/>
          <w:sz w:val="24"/>
          <w:szCs w:val="24"/>
          <w:lang w:eastAsia="en-AU"/>
        </w:rPr>
        <w:t xml:space="preserve"> </w:t>
      </w:r>
      <w:r w:rsidRPr="00853A2B">
        <w:rPr>
          <w:rFonts w:ascii="Times New Roman" w:eastAsia="Times New Roman" w:hAnsi="Times New Roman" w:cs="Times New Roman"/>
          <w:color w:val="000000"/>
          <w:sz w:val="24"/>
          <w:szCs w:val="24"/>
          <w:lang w:eastAsia="en-AU"/>
        </w:rPr>
        <w:t>For example, the right in</w:t>
      </w:r>
      <w:r w:rsidR="0087162F">
        <w:rPr>
          <w:rFonts w:ascii="Times New Roman" w:eastAsia="Times New Roman" w:hAnsi="Times New Roman" w:cs="Times New Roman"/>
          <w:color w:val="000000"/>
          <w:sz w:val="24"/>
          <w:szCs w:val="24"/>
          <w:lang w:eastAsia="en-AU"/>
        </w:rPr>
        <w:t xml:space="preserve"> sub</w:t>
      </w:r>
      <w:r w:rsidRPr="00853A2B">
        <w:rPr>
          <w:rFonts w:ascii="Times New Roman" w:eastAsia="Times New Roman" w:hAnsi="Times New Roman" w:cs="Times New Roman"/>
          <w:color w:val="000000"/>
          <w:sz w:val="24"/>
          <w:szCs w:val="24"/>
          <w:lang w:eastAsia="en-AU"/>
        </w:rPr>
        <w:t>article 9(2) to be informed, at the time arrest, of the reasons for arrest and to be promptly informed of any charges is provided for in section 3ZD of the Crimes Act.</w:t>
      </w:r>
    </w:p>
    <w:p w14:paraId="2BA60AA4" w14:textId="7FB79457" w:rsidR="00EF66A0" w:rsidRDefault="00EF66A0" w:rsidP="00EF66A0">
      <w:pPr>
        <w:spacing w:after="120" w:line="256" w:lineRule="auto"/>
        <w:contextualSpacing/>
        <w:rPr>
          <w:rFonts w:ascii="Times New Roman" w:hAnsi="Times New Roman" w:cs="Times New Roman"/>
          <w:color w:val="222222"/>
          <w:sz w:val="24"/>
          <w:szCs w:val="24"/>
          <w:shd w:val="clear" w:color="auto" w:fill="FFFFFF"/>
        </w:rPr>
      </w:pPr>
      <w:r>
        <w:rPr>
          <w:rFonts w:ascii="Times New Roman" w:eastAsia="Times New Roman" w:hAnsi="Times New Roman" w:cs="Times New Roman"/>
          <w:b/>
          <w:i/>
          <w:color w:val="000000"/>
          <w:sz w:val="24"/>
          <w:szCs w:val="24"/>
          <w:lang w:eastAsia="en-AU"/>
        </w:rPr>
        <w:t>Right to freedom of movement</w:t>
      </w:r>
      <w:r>
        <w:rPr>
          <w:rFonts w:ascii="Times New Roman" w:eastAsia="Times New Roman" w:hAnsi="Times New Roman" w:cs="Times New Roman"/>
          <w:color w:val="000000"/>
          <w:sz w:val="24"/>
          <w:szCs w:val="24"/>
          <w:lang w:eastAsia="en-AU"/>
        </w:rPr>
        <w:t xml:space="preserve">                                                                                          </w:t>
      </w:r>
      <w:r w:rsidRPr="00D549BF">
        <w:rPr>
          <w:rFonts w:ascii="Times New Roman" w:eastAsia="Times New Roman" w:hAnsi="Times New Roman" w:cs="Times New Roman"/>
          <w:color w:val="000000"/>
          <w:sz w:val="24"/>
          <w:szCs w:val="24"/>
          <w:lang w:eastAsia="en-AU"/>
        </w:rPr>
        <w:t xml:space="preserve">Article 12 of the ICCPR provides that everyone has the right to freedom of movement, including </w:t>
      </w:r>
      <w:r w:rsidRPr="00D549BF">
        <w:rPr>
          <w:rFonts w:ascii="Times New Roman" w:hAnsi="Times New Roman" w:cs="Times New Roman"/>
          <w:color w:val="222222"/>
          <w:sz w:val="24"/>
          <w:szCs w:val="24"/>
          <w:shd w:val="clear" w:color="auto" w:fill="FFFFFF"/>
        </w:rPr>
        <w:t>the right to move freely within a country for those who are lawfully within the country, the right to leave any country and the right to enter a country of which a person is a citizen. The right may be restricted, either by way of derogation under article 4 of the ICCPR, or to protect national security, public order, public health or morals or the rights and freedoms of others, as allowed by article 12(3).</w:t>
      </w:r>
    </w:p>
    <w:p w14:paraId="1BF2FEDC" w14:textId="77777777" w:rsidR="00EF66A0" w:rsidRDefault="00EF66A0" w:rsidP="00EF66A0">
      <w:pPr>
        <w:spacing w:after="120" w:line="256" w:lineRule="auto"/>
        <w:contextualSpacing/>
        <w:rPr>
          <w:rFonts w:ascii="Times New Roman" w:eastAsia="Times New Roman" w:hAnsi="Times New Roman" w:cs="Times New Roman"/>
          <w:color w:val="000000"/>
          <w:sz w:val="24"/>
          <w:szCs w:val="24"/>
          <w:lang w:eastAsia="en-AU"/>
        </w:rPr>
      </w:pPr>
    </w:p>
    <w:p w14:paraId="2647E3E1" w14:textId="3DC8F684" w:rsidR="00EF66A0" w:rsidRPr="0091068D" w:rsidRDefault="00EF66A0" w:rsidP="00EF66A0">
      <w:pPr>
        <w:spacing w:after="120" w:line="256" w:lineRule="auto"/>
        <w:contextualSpacing/>
        <w:rPr>
          <w:rFonts w:ascii="Times New Roman" w:hAnsi="Times New Roman" w:cs="Times New Roman"/>
          <w:sz w:val="24"/>
          <w:szCs w:val="24"/>
        </w:rPr>
      </w:pPr>
      <w:r w:rsidRPr="00D549BF">
        <w:rPr>
          <w:rFonts w:ascii="Times New Roman" w:eastAsia="Times New Roman" w:hAnsi="Times New Roman" w:cs="Times New Roman"/>
          <w:color w:val="000000"/>
          <w:sz w:val="24"/>
          <w:szCs w:val="24"/>
          <w:lang w:eastAsia="en-AU"/>
        </w:rPr>
        <w:t>The Regulation</w:t>
      </w:r>
      <w:r w:rsidR="00002D4E">
        <w:rPr>
          <w:rFonts w:ascii="Times New Roman" w:eastAsia="Times New Roman" w:hAnsi="Times New Roman" w:cs="Times New Roman"/>
          <w:color w:val="000000"/>
          <w:sz w:val="24"/>
          <w:szCs w:val="24"/>
          <w:lang w:eastAsia="en-AU"/>
        </w:rPr>
        <w:t>s</w:t>
      </w:r>
      <w:r w:rsidRPr="00D549BF">
        <w:rPr>
          <w:rFonts w:ascii="Times New Roman" w:eastAsia="Times New Roman" w:hAnsi="Times New Roman" w:cs="Times New Roman"/>
          <w:color w:val="000000"/>
          <w:sz w:val="24"/>
          <w:szCs w:val="24"/>
          <w:lang w:eastAsia="en-AU"/>
        </w:rPr>
        <w:t xml:space="preserve"> </w:t>
      </w:r>
      <w:r w:rsidR="00D36354">
        <w:rPr>
          <w:rFonts w:ascii="Times New Roman" w:eastAsia="Times New Roman" w:hAnsi="Times New Roman" w:cs="Times New Roman"/>
          <w:color w:val="000000"/>
          <w:sz w:val="24"/>
          <w:szCs w:val="24"/>
          <w:lang w:eastAsia="en-AU"/>
        </w:rPr>
        <w:t>limit</w:t>
      </w:r>
      <w:r w:rsidR="00D36354" w:rsidRPr="00D549BF">
        <w:rPr>
          <w:rFonts w:ascii="Times New Roman" w:eastAsia="Times New Roman" w:hAnsi="Times New Roman" w:cs="Times New Roman"/>
          <w:color w:val="000000"/>
          <w:sz w:val="24"/>
          <w:szCs w:val="24"/>
          <w:lang w:eastAsia="en-AU"/>
        </w:rPr>
        <w:t xml:space="preserve"> </w:t>
      </w:r>
      <w:r w:rsidRPr="00D549BF">
        <w:rPr>
          <w:rFonts w:ascii="Times New Roman" w:eastAsia="Times New Roman" w:hAnsi="Times New Roman" w:cs="Times New Roman"/>
          <w:color w:val="000000"/>
          <w:sz w:val="24"/>
          <w:szCs w:val="24"/>
          <w:lang w:eastAsia="en-AU"/>
        </w:rPr>
        <w:t>this right by making available the arrest powers in Part IAA and the remand of the defendant set out in section 15 of the Crimes Act</w:t>
      </w:r>
      <w:r w:rsidR="00A80092">
        <w:rPr>
          <w:rFonts w:ascii="Times New Roman" w:eastAsia="Times New Roman" w:hAnsi="Times New Roman" w:cs="Times New Roman"/>
          <w:color w:val="000000"/>
          <w:sz w:val="24"/>
          <w:szCs w:val="24"/>
          <w:lang w:eastAsia="en-AU"/>
        </w:rPr>
        <w:t>, which could have the effect of limiting a person’s movement</w:t>
      </w:r>
      <w:r w:rsidR="00A80092" w:rsidRPr="00A80092">
        <w:rPr>
          <w:rFonts w:ascii="Times New Roman" w:eastAsia="Times New Roman" w:hAnsi="Times New Roman" w:cs="Times New Roman"/>
          <w:iCs/>
          <w:color w:val="000000"/>
          <w:sz w:val="24"/>
          <w:szCs w:val="24"/>
          <w:lang w:eastAsia="en-AU"/>
        </w:rPr>
        <w:t>.</w:t>
      </w:r>
      <w:r w:rsidR="00A80092">
        <w:rPr>
          <w:rFonts w:ascii="Times New Roman" w:hAnsi="Times New Roman" w:cs="Times New Roman"/>
          <w:sz w:val="24"/>
          <w:szCs w:val="24"/>
        </w:rPr>
        <w:t xml:space="preserve"> </w:t>
      </w:r>
      <w:r w:rsidR="003A5C45">
        <w:rPr>
          <w:rFonts w:ascii="Times New Roman" w:hAnsi="Times New Roman" w:cs="Times New Roman"/>
          <w:sz w:val="24"/>
          <w:szCs w:val="24"/>
        </w:rPr>
        <w:t>However, as discussed above in relation to the rights to security of the person and freedom from arbitrary detention, these powers have specific parameters and requirements that police officers must abide by</w:t>
      </w:r>
      <w:r w:rsidR="00FB1B67">
        <w:rPr>
          <w:rFonts w:ascii="Times New Roman" w:hAnsi="Times New Roman" w:cs="Times New Roman"/>
          <w:sz w:val="24"/>
          <w:szCs w:val="24"/>
        </w:rPr>
        <w:t xml:space="preserve"> that</w:t>
      </w:r>
      <w:r w:rsidR="003A5C45">
        <w:rPr>
          <w:rFonts w:ascii="Times New Roman" w:hAnsi="Times New Roman" w:cs="Times New Roman"/>
          <w:sz w:val="24"/>
          <w:szCs w:val="24"/>
        </w:rPr>
        <w:t xml:space="preserve"> also </w:t>
      </w:r>
      <w:r w:rsidR="00FB1B67">
        <w:rPr>
          <w:rFonts w:ascii="Times New Roman" w:hAnsi="Times New Roman" w:cs="Times New Roman"/>
          <w:sz w:val="24"/>
          <w:szCs w:val="24"/>
        </w:rPr>
        <w:t xml:space="preserve">operate to </w:t>
      </w:r>
      <w:r w:rsidR="003A5C45">
        <w:rPr>
          <w:rFonts w:ascii="Times New Roman" w:hAnsi="Times New Roman" w:cs="Times New Roman"/>
          <w:sz w:val="24"/>
          <w:szCs w:val="24"/>
        </w:rPr>
        <w:t>protect the right to freedom of movement under article 12</w:t>
      </w:r>
      <w:r w:rsidR="00FB1B67">
        <w:rPr>
          <w:rFonts w:ascii="Times New Roman" w:hAnsi="Times New Roman" w:cs="Times New Roman"/>
          <w:sz w:val="24"/>
          <w:szCs w:val="24"/>
        </w:rPr>
        <w:t xml:space="preserve"> of the ICCPR</w:t>
      </w:r>
      <w:r w:rsidR="003A5C45">
        <w:rPr>
          <w:rFonts w:ascii="Times New Roman" w:hAnsi="Times New Roman" w:cs="Times New Roman"/>
          <w:sz w:val="24"/>
          <w:szCs w:val="24"/>
        </w:rPr>
        <w:t xml:space="preserve">. </w:t>
      </w:r>
      <w:r w:rsidRPr="00853A2B">
        <w:rPr>
          <w:rFonts w:ascii="Times New Roman" w:eastAsia="Times New Roman" w:hAnsi="Times New Roman" w:cs="Times New Roman"/>
          <w:color w:val="000000"/>
          <w:sz w:val="24"/>
          <w:szCs w:val="24"/>
          <w:lang w:eastAsia="en-AU"/>
        </w:rPr>
        <w:t xml:space="preserve">Although </w:t>
      </w:r>
      <w:r>
        <w:rPr>
          <w:rFonts w:ascii="Times New Roman" w:eastAsia="Times New Roman" w:hAnsi="Times New Roman" w:cs="Times New Roman"/>
          <w:color w:val="000000"/>
          <w:sz w:val="24"/>
          <w:szCs w:val="24"/>
          <w:lang w:eastAsia="en-AU"/>
        </w:rPr>
        <w:t xml:space="preserve">the </w:t>
      </w:r>
      <w:r w:rsidRPr="00853A2B">
        <w:rPr>
          <w:rFonts w:ascii="Times New Roman" w:eastAsia="Times New Roman" w:hAnsi="Times New Roman" w:cs="Times New Roman"/>
          <w:color w:val="000000"/>
          <w:sz w:val="24"/>
          <w:szCs w:val="24"/>
          <w:lang w:eastAsia="en-AU"/>
        </w:rPr>
        <w:t>Regulation</w:t>
      </w:r>
      <w:r w:rsidR="00002D4E">
        <w:rPr>
          <w:rFonts w:ascii="Times New Roman" w:eastAsia="Times New Roman" w:hAnsi="Times New Roman" w:cs="Times New Roman"/>
          <w:color w:val="000000"/>
          <w:sz w:val="24"/>
          <w:szCs w:val="24"/>
          <w:lang w:eastAsia="en-AU"/>
        </w:rPr>
        <w:t>s</w:t>
      </w:r>
      <w:r w:rsidRPr="00853A2B">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limit this right to some extent,</w:t>
      </w:r>
      <w:r w:rsidRPr="00853A2B">
        <w:rPr>
          <w:rFonts w:ascii="Times New Roman" w:eastAsia="Times New Roman" w:hAnsi="Times New Roman" w:cs="Times New Roman"/>
          <w:color w:val="000000"/>
          <w:sz w:val="24"/>
          <w:szCs w:val="24"/>
          <w:lang w:eastAsia="en-AU"/>
        </w:rPr>
        <w:t xml:space="preserve"> </w:t>
      </w:r>
      <w:r w:rsidR="00FD410B">
        <w:rPr>
          <w:rFonts w:ascii="Times New Roman" w:eastAsia="Times New Roman" w:hAnsi="Times New Roman" w:cs="Times New Roman"/>
          <w:color w:val="000000"/>
          <w:sz w:val="24"/>
          <w:szCs w:val="24"/>
          <w:lang w:eastAsia="en-AU"/>
        </w:rPr>
        <w:t>these limitations are reasonable and proportionate and are</w:t>
      </w:r>
      <w:r w:rsidRPr="00853A2B">
        <w:rPr>
          <w:rFonts w:ascii="Times New Roman" w:eastAsia="Times New Roman" w:hAnsi="Times New Roman" w:cs="Times New Roman"/>
          <w:color w:val="000000"/>
          <w:sz w:val="24"/>
          <w:szCs w:val="24"/>
          <w:lang w:eastAsia="en-AU"/>
        </w:rPr>
        <w:t xml:space="preserve"> necessary </w:t>
      </w:r>
      <w:r>
        <w:rPr>
          <w:rFonts w:ascii="Times New Roman" w:eastAsia="Times New Roman" w:hAnsi="Times New Roman" w:cs="Times New Roman"/>
          <w:color w:val="000000"/>
          <w:sz w:val="24"/>
          <w:szCs w:val="24"/>
          <w:lang w:eastAsia="en-AU"/>
        </w:rPr>
        <w:t xml:space="preserve">for law enforcement to </w:t>
      </w:r>
      <w:r w:rsidR="00A80092">
        <w:rPr>
          <w:rFonts w:ascii="Times New Roman" w:eastAsia="Times New Roman" w:hAnsi="Times New Roman" w:cs="Times New Roman"/>
          <w:color w:val="000000"/>
          <w:sz w:val="24"/>
          <w:szCs w:val="24"/>
          <w:lang w:eastAsia="en-AU"/>
        </w:rPr>
        <w:t>protect</w:t>
      </w:r>
      <w:r>
        <w:rPr>
          <w:rFonts w:ascii="Times New Roman" w:eastAsia="Times New Roman" w:hAnsi="Times New Roman" w:cs="Times New Roman"/>
          <w:color w:val="000000"/>
          <w:sz w:val="24"/>
          <w:szCs w:val="24"/>
          <w:lang w:eastAsia="en-AU"/>
        </w:rPr>
        <w:t xml:space="preserve"> national security, maintain airport security and uphold community safety.</w:t>
      </w:r>
    </w:p>
    <w:p w14:paraId="64AAA7D6" w14:textId="5FC9DBE2" w:rsidR="0013541C" w:rsidRDefault="0013541C" w:rsidP="00BA3CEF">
      <w:pPr>
        <w:shd w:val="clear" w:color="auto" w:fill="FFFFFF"/>
        <w:spacing w:before="120" w:after="120" w:line="240" w:lineRule="auto"/>
        <w:rPr>
          <w:rFonts w:ascii="Times New Roman" w:hAnsi="Times New Roman" w:cs="Times New Roman"/>
          <w:color w:val="000000"/>
          <w:sz w:val="24"/>
          <w:szCs w:val="24"/>
        </w:rPr>
      </w:pPr>
    </w:p>
    <w:p w14:paraId="7AD08181" w14:textId="77777777" w:rsidR="00DB1775" w:rsidRPr="00853A2B" w:rsidRDefault="00DB1775" w:rsidP="00DB1775">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color w:val="000000"/>
          <w:sz w:val="24"/>
          <w:szCs w:val="24"/>
          <w:lang w:eastAsia="en-AU"/>
        </w:rPr>
        <w:t>Conclusion</w:t>
      </w:r>
    </w:p>
    <w:p w14:paraId="2C05191E" w14:textId="48C78111" w:rsidR="00DB1775" w:rsidRPr="00853A2B" w:rsidRDefault="00DB1775" w:rsidP="00DB1775">
      <w:pPr>
        <w:shd w:val="clear" w:color="auto" w:fill="FFFFFF"/>
        <w:spacing w:before="240" w:after="0" w:line="240" w:lineRule="auto"/>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Th</w:t>
      </w:r>
      <w:r w:rsidR="009D6A9C">
        <w:rPr>
          <w:rFonts w:ascii="Times New Roman" w:eastAsia="Times New Roman" w:hAnsi="Times New Roman" w:cs="Times New Roman"/>
          <w:color w:val="000000"/>
          <w:sz w:val="24"/>
          <w:szCs w:val="24"/>
          <w:lang w:eastAsia="en-AU"/>
        </w:rPr>
        <w:t>is Disallowable</w:t>
      </w:r>
      <w:r w:rsidRPr="00853A2B">
        <w:rPr>
          <w:rFonts w:ascii="Times New Roman" w:eastAsia="Times New Roman" w:hAnsi="Times New Roman" w:cs="Times New Roman"/>
          <w:color w:val="000000"/>
          <w:sz w:val="24"/>
          <w:szCs w:val="24"/>
          <w:lang w:eastAsia="en-AU"/>
        </w:rPr>
        <w:t xml:space="preserve"> Legislative Instrument is compatible with human rights because to the extent that it may limit human rights, those limitations are reasonable, necessary and proportionate.</w:t>
      </w:r>
    </w:p>
    <w:p w14:paraId="5AA15310" w14:textId="3F51BCC0" w:rsidR="00DB1775" w:rsidRPr="00853A2B" w:rsidRDefault="00DB1775" w:rsidP="00A65568">
      <w:pPr>
        <w:shd w:val="clear" w:color="auto" w:fill="FFFFFF"/>
        <w:spacing w:before="240" w:after="0" w:line="240" w:lineRule="auto"/>
        <w:rPr>
          <w:rFonts w:ascii="Times New Roman" w:eastAsia="Times New Roman" w:hAnsi="Times New Roman" w:cs="Times New Roman"/>
          <w:color w:val="000000"/>
          <w:sz w:val="24"/>
          <w:szCs w:val="24"/>
          <w:lang w:eastAsia="en-AU"/>
        </w:rPr>
      </w:pPr>
    </w:p>
    <w:p w14:paraId="79FC6B5E" w14:textId="77777777" w:rsidR="00DB1775" w:rsidRPr="00853A2B" w:rsidRDefault="00DB1775" w:rsidP="00DB1775">
      <w:pPr>
        <w:shd w:val="clear" w:color="auto" w:fill="FFFFFF"/>
        <w:spacing w:before="240" w:after="0" w:line="240" w:lineRule="auto"/>
        <w:ind w:left="720" w:hanging="720"/>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63AFFE31" w14:textId="77777777" w:rsidR="00DB1775" w:rsidRPr="00853A2B" w:rsidRDefault="00DB1775" w:rsidP="00DB1775">
      <w:pPr>
        <w:shd w:val="clear" w:color="auto" w:fill="FFFFFF"/>
        <w:spacing w:before="240" w:after="0" w:line="240" w:lineRule="auto"/>
        <w:ind w:left="720" w:hanging="720"/>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color w:val="000000"/>
          <w:sz w:val="24"/>
          <w:szCs w:val="24"/>
          <w:lang w:eastAsia="en-AU"/>
        </w:rPr>
        <w:t> </w:t>
      </w:r>
    </w:p>
    <w:p w14:paraId="0BE399F2" w14:textId="77777777" w:rsidR="000F6638" w:rsidRDefault="000F6638">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5FC2C637" w14:textId="6C8A2CBF" w:rsidR="00202780" w:rsidRPr="000F6638" w:rsidRDefault="00202780" w:rsidP="000F6638">
      <w:pPr>
        <w:shd w:val="clear" w:color="auto" w:fill="FFFFFF"/>
        <w:spacing w:after="0" w:line="240" w:lineRule="auto"/>
        <w:jc w:val="right"/>
        <w:rPr>
          <w:rFonts w:ascii="Open Sans" w:eastAsia="Times New Roman" w:hAnsi="Open Sans" w:cs="Times New Roman"/>
          <w:color w:val="000000"/>
          <w:sz w:val="21"/>
          <w:szCs w:val="21"/>
          <w:lang w:eastAsia="en-AU"/>
        </w:rPr>
      </w:pPr>
      <w:r w:rsidRPr="00853A2B">
        <w:rPr>
          <w:rFonts w:ascii="Times New Roman" w:eastAsia="Times New Roman" w:hAnsi="Times New Roman" w:cs="Times New Roman"/>
          <w:b/>
          <w:bCs/>
          <w:color w:val="000000"/>
          <w:sz w:val="24"/>
          <w:szCs w:val="24"/>
          <w:u w:val="single"/>
          <w:lang w:eastAsia="en-AU"/>
        </w:rPr>
        <w:lastRenderedPageBreak/>
        <w:t>ATTACHMENT</w:t>
      </w:r>
      <w:r>
        <w:rPr>
          <w:rFonts w:ascii="Times New Roman" w:eastAsia="Times New Roman" w:hAnsi="Times New Roman" w:cs="Times New Roman"/>
          <w:b/>
          <w:bCs/>
          <w:color w:val="000000"/>
          <w:sz w:val="24"/>
          <w:szCs w:val="24"/>
          <w:u w:val="single"/>
          <w:lang w:eastAsia="en-AU"/>
        </w:rPr>
        <w:t xml:space="preserve"> B</w:t>
      </w:r>
    </w:p>
    <w:p w14:paraId="6CBC58EC" w14:textId="77777777" w:rsidR="00DB1775" w:rsidRPr="00853A2B" w:rsidRDefault="00DB1775" w:rsidP="00DB1775">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853A2B">
        <w:rPr>
          <w:rFonts w:ascii="Times New Roman" w:eastAsia="Times New Roman" w:hAnsi="Times New Roman" w:cs="Times New Roman"/>
          <w:b/>
          <w:bCs/>
          <w:color w:val="000000"/>
          <w:sz w:val="20"/>
          <w:szCs w:val="20"/>
          <w:lang w:eastAsia="en-AU"/>
        </w:rPr>
        <w:t> </w:t>
      </w:r>
    </w:p>
    <w:p w14:paraId="0DCFF5D2" w14:textId="77777777" w:rsidR="00002D4E" w:rsidRPr="00853A2B" w:rsidRDefault="00002D4E" w:rsidP="00002D4E">
      <w:pPr>
        <w:shd w:val="clear" w:color="auto" w:fill="FFFFFF"/>
        <w:spacing w:before="240" w:after="0" w:line="240" w:lineRule="auto"/>
        <w:ind w:right="91"/>
        <w:rPr>
          <w:rFonts w:ascii="Times New Roman" w:eastAsia="Times New Roman" w:hAnsi="Times New Roman" w:cs="Times New Roman"/>
          <w:color w:val="000000"/>
          <w:sz w:val="24"/>
          <w:szCs w:val="24"/>
          <w:lang w:eastAsia="en-AU"/>
        </w:rPr>
      </w:pPr>
      <w:r w:rsidRPr="004D03A7">
        <w:rPr>
          <w:rFonts w:ascii="Times New Roman" w:eastAsia="Times New Roman" w:hAnsi="Times New Roman" w:cs="Times New Roman"/>
          <w:b/>
          <w:bCs/>
          <w:color w:val="000000"/>
          <w:sz w:val="24"/>
          <w:szCs w:val="24"/>
          <w:u w:val="single"/>
          <w:lang w:eastAsia="en-AU"/>
        </w:rPr>
        <w:t xml:space="preserve">Details of the </w:t>
      </w:r>
      <w:r w:rsidRPr="004D03A7">
        <w:rPr>
          <w:rFonts w:ascii="Times New Roman" w:eastAsia="Times New Roman" w:hAnsi="Times New Roman" w:cs="Times New Roman"/>
          <w:b/>
          <w:bCs/>
          <w:i/>
          <w:iCs/>
          <w:color w:val="000000"/>
          <w:sz w:val="24"/>
          <w:szCs w:val="24"/>
          <w:u w:val="single"/>
          <w:lang w:eastAsia="en-AU"/>
        </w:rPr>
        <w:t>Commonwealth Places (Application of Laws) Regulation</w:t>
      </w:r>
      <w:r>
        <w:rPr>
          <w:rFonts w:ascii="Times New Roman" w:eastAsia="Times New Roman" w:hAnsi="Times New Roman" w:cs="Times New Roman"/>
          <w:b/>
          <w:bCs/>
          <w:i/>
          <w:iCs/>
          <w:color w:val="000000"/>
          <w:sz w:val="24"/>
          <w:szCs w:val="24"/>
          <w:u w:val="single"/>
          <w:lang w:eastAsia="en-AU"/>
        </w:rPr>
        <w:t>s</w:t>
      </w:r>
      <w:r w:rsidRPr="004D03A7">
        <w:rPr>
          <w:rFonts w:ascii="Times New Roman" w:eastAsia="Times New Roman" w:hAnsi="Times New Roman" w:cs="Times New Roman"/>
          <w:b/>
          <w:bCs/>
          <w:i/>
          <w:iCs/>
          <w:color w:val="000000"/>
          <w:sz w:val="24"/>
          <w:szCs w:val="24"/>
          <w:u w:val="single"/>
          <w:lang w:eastAsia="en-AU"/>
        </w:rPr>
        <w:t xml:space="preserve"> 2024</w:t>
      </w:r>
    </w:p>
    <w:p w14:paraId="7E162D5C" w14:textId="77777777" w:rsidR="00002D4E" w:rsidRPr="008429B6" w:rsidRDefault="00002D4E" w:rsidP="00002D4E">
      <w:pPr>
        <w:shd w:val="clear" w:color="auto" w:fill="FFFFFF"/>
        <w:spacing w:before="240" w:after="0" w:line="240" w:lineRule="auto"/>
        <w:rPr>
          <w:rFonts w:ascii="Times New Roman" w:eastAsia="Times New Roman" w:hAnsi="Times New Roman" w:cs="Times New Roman"/>
          <w:color w:val="000000"/>
          <w:sz w:val="24"/>
          <w:szCs w:val="24"/>
          <w:u w:val="single"/>
          <w:lang w:eastAsia="en-AU"/>
        </w:rPr>
      </w:pPr>
      <w:r w:rsidRPr="008429B6">
        <w:rPr>
          <w:rFonts w:ascii="Times New Roman" w:eastAsia="Times New Roman" w:hAnsi="Times New Roman" w:cs="Times New Roman"/>
          <w:bCs/>
          <w:color w:val="000000"/>
          <w:sz w:val="24"/>
          <w:szCs w:val="24"/>
          <w:u w:val="single"/>
          <w:lang w:eastAsia="en-AU"/>
        </w:rPr>
        <w:t>Section 1 – Name of Regulation</w:t>
      </w:r>
      <w:r>
        <w:rPr>
          <w:rFonts w:ascii="Times New Roman" w:eastAsia="Times New Roman" w:hAnsi="Times New Roman" w:cs="Times New Roman"/>
          <w:bCs/>
          <w:color w:val="000000"/>
          <w:sz w:val="24"/>
          <w:szCs w:val="24"/>
          <w:u w:val="single"/>
          <w:lang w:eastAsia="en-AU"/>
        </w:rPr>
        <w:t>s</w:t>
      </w:r>
    </w:p>
    <w:p w14:paraId="33D72BD7" w14:textId="2454D05E" w:rsidR="00002D4E" w:rsidRDefault="00002D4E" w:rsidP="00002D4E">
      <w:pPr>
        <w:shd w:val="clear" w:color="auto" w:fill="FFFFFF"/>
        <w:spacing w:after="0" w:line="240" w:lineRule="atLeast"/>
        <w:ind w:right="91"/>
        <w:rPr>
          <w:rFonts w:ascii="Times New Roman" w:eastAsia="Times New Roman" w:hAnsi="Times New Roman" w:cs="Times New Roman"/>
          <w:color w:val="000000"/>
          <w:sz w:val="24"/>
          <w:szCs w:val="24"/>
          <w:lang w:eastAsia="en-AU"/>
        </w:rPr>
      </w:pPr>
    </w:p>
    <w:p w14:paraId="60B9B60A" w14:textId="203CD9DC" w:rsidR="00002D4E" w:rsidRDefault="00002D4E" w:rsidP="00002D4E">
      <w:pPr>
        <w:shd w:val="clear" w:color="auto" w:fill="FFFFFF"/>
        <w:spacing w:after="0" w:line="240" w:lineRule="atLeast"/>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section provides that the name of the Regulations is the </w:t>
      </w:r>
      <w:r>
        <w:rPr>
          <w:rFonts w:ascii="Times New Roman" w:eastAsia="Times New Roman" w:hAnsi="Times New Roman" w:cs="Times New Roman"/>
          <w:i/>
          <w:iCs/>
          <w:color w:val="000000"/>
          <w:sz w:val="24"/>
          <w:szCs w:val="24"/>
          <w:lang w:eastAsia="en-AU"/>
        </w:rPr>
        <w:t>Commonwealth Places (Application of Laws) Regulations 2024.</w:t>
      </w:r>
    </w:p>
    <w:p w14:paraId="4F897CCB" w14:textId="77777777" w:rsidR="00002D4E" w:rsidRPr="008429B6" w:rsidRDefault="00002D4E" w:rsidP="00002D4E">
      <w:pPr>
        <w:shd w:val="clear" w:color="auto" w:fill="FFFFFF"/>
        <w:spacing w:before="240" w:after="0" w:line="240" w:lineRule="auto"/>
        <w:rPr>
          <w:rFonts w:ascii="Times New Roman" w:eastAsia="Times New Roman" w:hAnsi="Times New Roman" w:cs="Times New Roman"/>
          <w:color w:val="000000"/>
          <w:sz w:val="24"/>
          <w:szCs w:val="24"/>
          <w:u w:val="single"/>
          <w:lang w:eastAsia="en-AU"/>
        </w:rPr>
      </w:pPr>
      <w:r w:rsidRPr="008429B6">
        <w:rPr>
          <w:rFonts w:ascii="Times New Roman" w:eastAsia="Times New Roman" w:hAnsi="Times New Roman" w:cs="Times New Roman"/>
          <w:bCs/>
          <w:color w:val="000000"/>
          <w:sz w:val="24"/>
          <w:szCs w:val="24"/>
          <w:u w:val="single"/>
          <w:lang w:eastAsia="en-AU"/>
        </w:rPr>
        <w:t>Section 2 – Commencement</w:t>
      </w:r>
    </w:p>
    <w:p w14:paraId="68854572" w14:textId="50817530" w:rsidR="00002D4E" w:rsidRDefault="00002D4E" w:rsidP="00002D4E">
      <w:pPr>
        <w:shd w:val="clear" w:color="auto" w:fill="FFFFFF"/>
        <w:spacing w:before="24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section provides that the Regulations</w:t>
      </w:r>
      <w:r w:rsidR="007239F3">
        <w:rPr>
          <w:rFonts w:ascii="Times New Roman" w:eastAsia="Times New Roman" w:hAnsi="Times New Roman" w:cs="Times New Roman"/>
          <w:color w:val="000000"/>
          <w:sz w:val="24"/>
          <w:szCs w:val="24"/>
          <w:lang w:eastAsia="en-AU"/>
        </w:rPr>
        <w:t xml:space="preserve"> are </w:t>
      </w:r>
      <w:r>
        <w:rPr>
          <w:rFonts w:ascii="Times New Roman" w:eastAsia="Times New Roman" w:hAnsi="Times New Roman" w:cs="Times New Roman"/>
          <w:color w:val="000000"/>
          <w:sz w:val="24"/>
          <w:szCs w:val="24"/>
          <w:lang w:eastAsia="en-AU"/>
        </w:rPr>
        <w:t>to commence on the day after it is registered on the Federal Register of Legislation.</w:t>
      </w:r>
    </w:p>
    <w:p w14:paraId="5BC60E1D" w14:textId="77777777" w:rsidR="00002D4E" w:rsidRPr="008429B6" w:rsidRDefault="00002D4E" w:rsidP="00002D4E">
      <w:pPr>
        <w:shd w:val="clear" w:color="auto" w:fill="FFFFFF"/>
        <w:spacing w:before="240" w:after="0" w:line="240" w:lineRule="auto"/>
        <w:rPr>
          <w:rFonts w:ascii="Times New Roman" w:eastAsia="Times New Roman" w:hAnsi="Times New Roman" w:cs="Times New Roman"/>
          <w:color w:val="000000"/>
          <w:sz w:val="24"/>
          <w:szCs w:val="24"/>
          <w:u w:val="single"/>
          <w:lang w:eastAsia="en-AU"/>
        </w:rPr>
      </w:pPr>
      <w:r w:rsidRPr="008429B6">
        <w:rPr>
          <w:rFonts w:ascii="Times New Roman" w:eastAsia="Times New Roman" w:hAnsi="Times New Roman" w:cs="Times New Roman"/>
          <w:bCs/>
          <w:color w:val="000000"/>
          <w:sz w:val="24"/>
          <w:szCs w:val="24"/>
          <w:u w:val="single"/>
          <w:lang w:eastAsia="en-AU"/>
        </w:rPr>
        <w:t>Section 3 – Authority</w:t>
      </w:r>
    </w:p>
    <w:p w14:paraId="5818575C" w14:textId="41C9F371" w:rsidR="00002D4E" w:rsidRDefault="00002D4E" w:rsidP="00002D4E">
      <w:pPr>
        <w:shd w:val="clear" w:color="auto" w:fill="FFFFFF"/>
        <w:spacing w:before="24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section provides that the </w:t>
      </w:r>
      <w:r>
        <w:rPr>
          <w:rFonts w:ascii="Times New Roman" w:eastAsia="Times New Roman" w:hAnsi="Times New Roman" w:cs="Times New Roman"/>
          <w:i/>
          <w:color w:val="000000"/>
          <w:sz w:val="24"/>
          <w:szCs w:val="24"/>
          <w:lang w:eastAsia="en-AU"/>
        </w:rPr>
        <w:t xml:space="preserve">Commonwealth Places (Application of Laws) Regulations 2024 </w:t>
      </w:r>
      <w:r w:rsidR="007239F3">
        <w:rPr>
          <w:rFonts w:ascii="Times New Roman" w:eastAsia="Times New Roman" w:hAnsi="Times New Roman" w:cs="Times New Roman"/>
          <w:color w:val="000000"/>
          <w:sz w:val="24"/>
          <w:szCs w:val="24"/>
          <w:lang w:eastAsia="en-AU"/>
        </w:rPr>
        <w:t>are</w:t>
      </w:r>
      <w:r>
        <w:rPr>
          <w:rFonts w:ascii="Times New Roman" w:eastAsia="Times New Roman" w:hAnsi="Times New Roman" w:cs="Times New Roman"/>
          <w:color w:val="000000"/>
          <w:sz w:val="24"/>
          <w:szCs w:val="24"/>
          <w:lang w:eastAsia="en-AU"/>
        </w:rPr>
        <w:t xml:space="preserve"> made under the </w:t>
      </w:r>
      <w:r>
        <w:rPr>
          <w:rFonts w:ascii="Times New Roman" w:eastAsia="Times New Roman" w:hAnsi="Times New Roman" w:cs="Times New Roman"/>
          <w:i/>
          <w:color w:val="000000"/>
          <w:sz w:val="24"/>
          <w:szCs w:val="24"/>
          <w:lang w:eastAsia="en-AU"/>
        </w:rPr>
        <w:t>Commonwealth Places (Application of Laws) Act 1970.</w:t>
      </w:r>
    </w:p>
    <w:p w14:paraId="38DC42AF" w14:textId="77777777" w:rsidR="00002D4E" w:rsidRPr="008429B6" w:rsidRDefault="00002D4E" w:rsidP="00002D4E">
      <w:pPr>
        <w:shd w:val="clear" w:color="auto" w:fill="FFFFFF"/>
        <w:spacing w:before="240" w:after="0" w:line="240" w:lineRule="auto"/>
        <w:rPr>
          <w:rFonts w:ascii="Times New Roman" w:eastAsia="Times New Roman" w:hAnsi="Times New Roman" w:cs="Times New Roman"/>
          <w:color w:val="000000"/>
          <w:sz w:val="24"/>
          <w:szCs w:val="24"/>
          <w:u w:val="single"/>
          <w:lang w:eastAsia="en-AU"/>
        </w:rPr>
      </w:pPr>
      <w:r w:rsidRPr="008429B6">
        <w:rPr>
          <w:rFonts w:ascii="Times New Roman" w:eastAsia="Times New Roman" w:hAnsi="Times New Roman" w:cs="Times New Roman"/>
          <w:bCs/>
          <w:color w:val="000000"/>
          <w:sz w:val="24"/>
          <w:szCs w:val="24"/>
          <w:u w:val="single"/>
          <w:lang w:eastAsia="en-AU"/>
        </w:rPr>
        <w:t>Section 4 – Schedules</w:t>
      </w:r>
    </w:p>
    <w:p w14:paraId="74F6FA61" w14:textId="700BF3DD" w:rsidR="00002D4E" w:rsidRDefault="00002D4E" w:rsidP="00002D4E">
      <w:pPr>
        <w:shd w:val="clear" w:color="auto" w:fill="FFFFFF"/>
        <w:spacing w:before="240"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sz w:val="24"/>
          <w:szCs w:val="24"/>
          <w:lang w:eastAsia="en-AU"/>
        </w:rPr>
        <w:t xml:space="preserve">This section provides that each instrument that is specified in a Schedule to this instrument is amended or repealed as set out in the applicable items in the Schedule concerned, and any other item in a Schedule to this instrument has effect according to its terms. </w:t>
      </w:r>
    </w:p>
    <w:p w14:paraId="41F04E07" w14:textId="77777777" w:rsidR="00002D4E" w:rsidRPr="008429B6" w:rsidRDefault="00002D4E" w:rsidP="00002D4E">
      <w:pPr>
        <w:shd w:val="clear" w:color="auto" w:fill="FFFFFF"/>
        <w:spacing w:before="240" w:after="0" w:line="240" w:lineRule="auto"/>
        <w:rPr>
          <w:rFonts w:ascii="Times New Roman" w:eastAsia="Times New Roman" w:hAnsi="Times New Roman" w:cs="Times New Roman"/>
          <w:sz w:val="24"/>
          <w:szCs w:val="24"/>
          <w:u w:val="single"/>
          <w:lang w:eastAsia="en-AU"/>
        </w:rPr>
      </w:pPr>
      <w:r w:rsidRPr="008429B6">
        <w:rPr>
          <w:rFonts w:ascii="Times New Roman" w:eastAsia="Times New Roman" w:hAnsi="Times New Roman" w:cs="Times New Roman"/>
          <w:bCs/>
          <w:color w:val="000000"/>
          <w:sz w:val="24"/>
          <w:szCs w:val="24"/>
          <w:u w:val="single"/>
          <w:lang w:eastAsia="en-AU"/>
        </w:rPr>
        <w:t>Section 5 – Definitions</w:t>
      </w:r>
      <w:bookmarkStart w:id="1" w:name="_GoBack"/>
      <w:bookmarkEnd w:id="1"/>
    </w:p>
    <w:p w14:paraId="3AEE46DF" w14:textId="48BBF6CE" w:rsidR="00002D4E" w:rsidRDefault="00002D4E" w:rsidP="00002D4E">
      <w:pPr>
        <w:shd w:val="clear" w:color="auto" w:fill="FFFFFF"/>
        <w:spacing w:before="24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section defines ‘Act’ as the </w:t>
      </w:r>
      <w:r>
        <w:rPr>
          <w:rFonts w:ascii="Times New Roman" w:eastAsia="Times New Roman" w:hAnsi="Times New Roman" w:cs="Times New Roman"/>
          <w:i/>
          <w:iCs/>
          <w:color w:val="000000"/>
          <w:sz w:val="24"/>
          <w:szCs w:val="24"/>
          <w:lang w:eastAsia="en-AU"/>
        </w:rPr>
        <w:t>Commonwealth Places (Application of Laws) Act 1970 </w:t>
      </w:r>
      <w:r>
        <w:rPr>
          <w:rFonts w:ascii="Times New Roman" w:eastAsia="Times New Roman" w:hAnsi="Times New Roman" w:cs="Times New Roman"/>
          <w:color w:val="000000"/>
          <w:sz w:val="24"/>
          <w:szCs w:val="24"/>
          <w:lang w:eastAsia="en-AU"/>
        </w:rPr>
        <w:t>for the purposes of the Regulations. </w:t>
      </w:r>
    </w:p>
    <w:p w14:paraId="6221BB2B" w14:textId="77777777" w:rsidR="00002D4E" w:rsidRPr="008429B6" w:rsidRDefault="00002D4E" w:rsidP="00002D4E">
      <w:pPr>
        <w:shd w:val="clear" w:color="auto" w:fill="FFFFFF"/>
        <w:spacing w:before="240" w:after="0" w:line="240" w:lineRule="auto"/>
        <w:rPr>
          <w:rFonts w:ascii="Times New Roman" w:eastAsia="Times New Roman" w:hAnsi="Times New Roman" w:cs="Times New Roman"/>
          <w:color w:val="000000"/>
          <w:sz w:val="24"/>
          <w:szCs w:val="24"/>
          <w:u w:val="single"/>
          <w:lang w:eastAsia="en-AU"/>
        </w:rPr>
      </w:pPr>
      <w:r w:rsidRPr="008429B6">
        <w:rPr>
          <w:rFonts w:ascii="Times New Roman" w:eastAsia="Times New Roman" w:hAnsi="Times New Roman" w:cs="Times New Roman"/>
          <w:bCs/>
          <w:color w:val="000000"/>
          <w:sz w:val="24"/>
          <w:szCs w:val="24"/>
          <w:u w:val="single"/>
          <w:lang w:eastAsia="en-AU"/>
        </w:rPr>
        <w:t>Section 6 – Designated State airports</w:t>
      </w:r>
    </w:p>
    <w:p w14:paraId="43163883" w14:textId="6242B43E" w:rsidR="00002D4E" w:rsidRDefault="00002D4E" w:rsidP="00002D4E">
      <w:pPr>
        <w:shd w:val="clear" w:color="auto" w:fill="FFFFFF"/>
        <w:spacing w:before="240"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section prescribes the designated airports to which section 3 of the Act applies. These are Adelaide Airport, Brisbane Airport, Coolangatta (Gold Coast) Airport, Hobart Airport, Melbourne (Tullamarine) Airport, Perth Airport and Sydney (Kingsford Smith) Airport. </w:t>
      </w:r>
    </w:p>
    <w:p w14:paraId="4682D5E7" w14:textId="6EB43728" w:rsidR="00002D4E" w:rsidRPr="008C34F1" w:rsidRDefault="00002D4E" w:rsidP="00002D4E">
      <w:pPr>
        <w:shd w:val="clear" w:color="auto" w:fill="FFFFFF"/>
        <w:spacing w:before="240"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airports that are prescribed in this </w:t>
      </w:r>
      <w:r w:rsidR="006C6BCB">
        <w:rPr>
          <w:rFonts w:ascii="Times New Roman" w:eastAsia="Times New Roman" w:hAnsi="Times New Roman" w:cs="Times New Roman"/>
          <w:color w:val="000000"/>
          <w:sz w:val="24"/>
          <w:szCs w:val="24"/>
          <w:lang w:eastAsia="en-AU"/>
        </w:rPr>
        <w:t>s</w:t>
      </w:r>
      <w:r w:rsidR="00762733">
        <w:rPr>
          <w:rFonts w:ascii="Times New Roman" w:eastAsia="Times New Roman" w:hAnsi="Times New Roman" w:cs="Times New Roman"/>
          <w:color w:val="000000"/>
          <w:sz w:val="24"/>
          <w:szCs w:val="24"/>
          <w:lang w:eastAsia="en-AU"/>
        </w:rPr>
        <w:t>ection</w:t>
      </w:r>
      <w:r>
        <w:rPr>
          <w:rFonts w:ascii="Times New Roman" w:eastAsia="Times New Roman" w:hAnsi="Times New Roman" w:cs="Times New Roman"/>
          <w:color w:val="000000"/>
          <w:sz w:val="24"/>
          <w:szCs w:val="24"/>
          <w:lang w:eastAsia="en-AU"/>
        </w:rPr>
        <w:t xml:space="preserve"> do not include Canberra Airport, Darwin Airport, Alice Springs Airport or Cairns Airport. This is because Canberra, Darwin and Alice Springs are Territory airports, rather than State airports, and Cairns airport is not a Commonwealth place.</w:t>
      </w:r>
    </w:p>
    <w:p w14:paraId="296FF9D9" w14:textId="77777777" w:rsidR="00C27005" w:rsidRPr="00853A2B" w:rsidRDefault="00C27005" w:rsidP="00DB1775">
      <w:pPr>
        <w:shd w:val="clear" w:color="auto" w:fill="FFFFFF"/>
        <w:spacing w:after="0" w:line="240" w:lineRule="auto"/>
        <w:ind w:right="91"/>
        <w:rPr>
          <w:rFonts w:ascii="Times New Roman" w:eastAsia="Times New Roman" w:hAnsi="Times New Roman" w:cs="Times New Roman"/>
          <w:color w:val="000000"/>
          <w:sz w:val="24"/>
          <w:szCs w:val="24"/>
          <w:lang w:eastAsia="en-AU"/>
        </w:rPr>
      </w:pPr>
    </w:p>
    <w:sectPr w:rsidR="00C27005" w:rsidRPr="00853A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43D4" w14:textId="77777777" w:rsidR="0081454B" w:rsidRDefault="0081454B" w:rsidP="007215F9">
      <w:pPr>
        <w:spacing w:after="0" w:line="240" w:lineRule="auto"/>
      </w:pPr>
      <w:r>
        <w:separator/>
      </w:r>
    </w:p>
  </w:endnote>
  <w:endnote w:type="continuationSeparator" w:id="0">
    <w:p w14:paraId="02B7AC83" w14:textId="77777777" w:rsidR="0081454B" w:rsidRDefault="0081454B" w:rsidP="0072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86C4" w14:textId="77777777" w:rsidR="0081454B" w:rsidRDefault="0081454B" w:rsidP="007215F9">
      <w:pPr>
        <w:spacing w:after="0" w:line="240" w:lineRule="auto"/>
      </w:pPr>
      <w:r>
        <w:separator/>
      </w:r>
    </w:p>
  </w:footnote>
  <w:footnote w:type="continuationSeparator" w:id="0">
    <w:p w14:paraId="3B13976F" w14:textId="77777777" w:rsidR="0081454B" w:rsidRDefault="0081454B" w:rsidP="00721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B71"/>
    <w:multiLevelType w:val="hybridMultilevel"/>
    <w:tmpl w:val="817E6132"/>
    <w:lvl w:ilvl="0" w:tplc="D794E92E">
      <w:start w:val="1"/>
      <w:numFmt w:val="bullet"/>
      <w:lvlText w:val=""/>
      <w:lvlJc w:val="left"/>
      <w:pPr>
        <w:ind w:left="720" w:hanging="360"/>
      </w:pPr>
      <w:rPr>
        <w:rFonts w:ascii="Symbol" w:hAnsi="Symbol" w:hint="default"/>
      </w:rPr>
    </w:lvl>
    <w:lvl w:ilvl="1" w:tplc="0F3E189A" w:tentative="1">
      <w:start w:val="1"/>
      <w:numFmt w:val="bullet"/>
      <w:lvlText w:val="o"/>
      <w:lvlJc w:val="left"/>
      <w:pPr>
        <w:ind w:left="1440" w:hanging="360"/>
      </w:pPr>
      <w:rPr>
        <w:rFonts w:ascii="Courier New" w:hAnsi="Courier New" w:cs="Courier New" w:hint="default"/>
      </w:rPr>
    </w:lvl>
    <w:lvl w:ilvl="2" w:tplc="556EC12E" w:tentative="1">
      <w:start w:val="1"/>
      <w:numFmt w:val="bullet"/>
      <w:lvlText w:val=""/>
      <w:lvlJc w:val="left"/>
      <w:pPr>
        <w:ind w:left="2160" w:hanging="360"/>
      </w:pPr>
      <w:rPr>
        <w:rFonts w:ascii="Wingdings" w:hAnsi="Wingdings" w:hint="default"/>
      </w:rPr>
    </w:lvl>
    <w:lvl w:ilvl="3" w:tplc="B6927EDC" w:tentative="1">
      <w:start w:val="1"/>
      <w:numFmt w:val="bullet"/>
      <w:lvlText w:val=""/>
      <w:lvlJc w:val="left"/>
      <w:pPr>
        <w:ind w:left="2880" w:hanging="360"/>
      </w:pPr>
      <w:rPr>
        <w:rFonts w:ascii="Symbol" w:hAnsi="Symbol" w:hint="default"/>
      </w:rPr>
    </w:lvl>
    <w:lvl w:ilvl="4" w:tplc="44FE37B6" w:tentative="1">
      <w:start w:val="1"/>
      <w:numFmt w:val="bullet"/>
      <w:lvlText w:val="o"/>
      <w:lvlJc w:val="left"/>
      <w:pPr>
        <w:ind w:left="3600" w:hanging="360"/>
      </w:pPr>
      <w:rPr>
        <w:rFonts w:ascii="Courier New" w:hAnsi="Courier New" w:cs="Courier New" w:hint="default"/>
      </w:rPr>
    </w:lvl>
    <w:lvl w:ilvl="5" w:tplc="CEDEA546" w:tentative="1">
      <w:start w:val="1"/>
      <w:numFmt w:val="bullet"/>
      <w:lvlText w:val=""/>
      <w:lvlJc w:val="left"/>
      <w:pPr>
        <w:ind w:left="4320" w:hanging="360"/>
      </w:pPr>
      <w:rPr>
        <w:rFonts w:ascii="Wingdings" w:hAnsi="Wingdings" w:hint="default"/>
      </w:rPr>
    </w:lvl>
    <w:lvl w:ilvl="6" w:tplc="22BA815E" w:tentative="1">
      <w:start w:val="1"/>
      <w:numFmt w:val="bullet"/>
      <w:lvlText w:val=""/>
      <w:lvlJc w:val="left"/>
      <w:pPr>
        <w:ind w:left="5040" w:hanging="360"/>
      </w:pPr>
      <w:rPr>
        <w:rFonts w:ascii="Symbol" w:hAnsi="Symbol" w:hint="default"/>
      </w:rPr>
    </w:lvl>
    <w:lvl w:ilvl="7" w:tplc="697E662A" w:tentative="1">
      <w:start w:val="1"/>
      <w:numFmt w:val="bullet"/>
      <w:lvlText w:val="o"/>
      <w:lvlJc w:val="left"/>
      <w:pPr>
        <w:ind w:left="5760" w:hanging="360"/>
      </w:pPr>
      <w:rPr>
        <w:rFonts w:ascii="Courier New" w:hAnsi="Courier New" w:cs="Courier New" w:hint="default"/>
      </w:rPr>
    </w:lvl>
    <w:lvl w:ilvl="8" w:tplc="EB6050C8" w:tentative="1">
      <w:start w:val="1"/>
      <w:numFmt w:val="bullet"/>
      <w:lvlText w:val=""/>
      <w:lvlJc w:val="left"/>
      <w:pPr>
        <w:ind w:left="6480" w:hanging="360"/>
      </w:pPr>
      <w:rPr>
        <w:rFonts w:ascii="Wingdings" w:hAnsi="Wingdings" w:hint="default"/>
      </w:rPr>
    </w:lvl>
  </w:abstractNum>
  <w:abstractNum w:abstractNumId="1" w15:restartNumberingAfterBreak="0">
    <w:nsid w:val="3D9B12BE"/>
    <w:multiLevelType w:val="hybridMultilevel"/>
    <w:tmpl w:val="742661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698435AE"/>
    <w:multiLevelType w:val="hybridMultilevel"/>
    <w:tmpl w:val="413AC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2B"/>
    <w:rsid w:val="00001FBD"/>
    <w:rsid w:val="00002D4E"/>
    <w:rsid w:val="00020076"/>
    <w:rsid w:val="000219DE"/>
    <w:rsid w:val="000221D1"/>
    <w:rsid w:val="000231A5"/>
    <w:rsid w:val="00024F46"/>
    <w:rsid w:val="000401B1"/>
    <w:rsid w:val="000422F6"/>
    <w:rsid w:val="0004714C"/>
    <w:rsid w:val="00051C48"/>
    <w:rsid w:val="00051FD5"/>
    <w:rsid w:val="00053D3B"/>
    <w:rsid w:val="00054C17"/>
    <w:rsid w:val="0006047E"/>
    <w:rsid w:val="00065E97"/>
    <w:rsid w:val="00071BBB"/>
    <w:rsid w:val="00072720"/>
    <w:rsid w:val="00072DEC"/>
    <w:rsid w:val="00095D04"/>
    <w:rsid w:val="000A5D36"/>
    <w:rsid w:val="000B27D3"/>
    <w:rsid w:val="000B2FB9"/>
    <w:rsid w:val="000B4322"/>
    <w:rsid w:val="000B740E"/>
    <w:rsid w:val="000B79E6"/>
    <w:rsid w:val="000C1A1A"/>
    <w:rsid w:val="000C5B2C"/>
    <w:rsid w:val="000D1300"/>
    <w:rsid w:val="000D3F13"/>
    <w:rsid w:val="000E576C"/>
    <w:rsid w:val="000F0E8F"/>
    <w:rsid w:val="000F5F61"/>
    <w:rsid w:val="000F6638"/>
    <w:rsid w:val="000F7F8D"/>
    <w:rsid w:val="00101A7C"/>
    <w:rsid w:val="0010698D"/>
    <w:rsid w:val="001136EA"/>
    <w:rsid w:val="00125710"/>
    <w:rsid w:val="00126A58"/>
    <w:rsid w:val="00126B52"/>
    <w:rsid w:val="00130D44"/>
    <w:rsid w:val="0013541C"/>
    <w:rsid w:val="00144A12"/>
    <w:rsid w:val="00144B6D"/>
    <w:rsid w:val="001535FD"/>
    <w:rsid w:val="00161597"/>
    <w:rsid w:val="001755F1"/>
    <w:rsid w:val="00180E4F"/>
    <w:rsid w:val="00182961"/>
    <w:rsid w:val="00184532"/>
    <w:rsid w:val="00187131"/>
    <w:rsid w:val="00191751"/>
    <w:rsid w:val="00192291"/>
    <w:rsid w:val="0019411A"/>
    <w:rsid w:val="001A0D2A"/>
    <w:rsid w:val="001A43E7"/>
    <w:rsid w:val="001A7BF3"/>
    <w:rsid w:val="001B4660"/>
    <w:rsid w:val="001C1351"/>
    <w:rsid w:val="001C71C3"/>
    <w:rsid w:val="001D7E8E"/>
    <w:rsid w:val="001F23DA"/>
    <w:rsid w:val="001F3EA0"/>
    <w:rsid w:val="00200E8A"/>
    <w:rsid w:val="00202780"/>
    <w:rsid w:val="002115FF"/>
    <w:rsid w:val="00212AEE"/>
    <w:rsid w:val="00214489"/>
    <w:rsid w:val="00215315"/>
    <w:rsid w:val="00215994"/>
    <w:rsid w:val="00217D41"/>
    <w:rsid w:val="002273F6"/>
    <w:rsid w:val="00232174"/>
    <w:rsid w:val="002322A1"/>
    <w:rsid w:val="002422FE"/>
    <w:rsid w:val="00243BEB"/>
    <w:rsid w:val="00243E6C"/>
    <w:rsid w:val="00246D03"/>
    <w:rsid w:val="00250EA6"/>
    <w:rsid w:val="002512ED"/>
    <w:rsid w:val="00254448"/>
    <w:rsid w:val="002571BE"/>
    <w:rsid w:val="002614DF"/>
    <w:rsid w:val="00270BD5"/>
    <w:rsid w:val="00287345"/>
    <w:rsid w:val="002906D4"/>
    <w:rsid w:val="002A6CD8"/>
    <w:rsid w:val="002A70F0"/>
    <w:rsid w:val="002B489B"/>
    <w:rsid w:val="002D6C5D"/>
    <w:rsid w:val="002E1A0F"/>
    <w:rsid w:val="002E5A9A"/>
    <w:rsid w:val="002E7B68"/>
    <w:rsid w:val="002F13BB"/>
    <w:rsid w:val="00302226"/>
    <w:rsid w:val="003033EA"/>
    <w:rsid w:val="0030607E"/>
    <w:rsid w:val="003068C1"/>
    <w:rsid w:val="00306C0F"/>
    <w:rsid w:val="00310AFE"/>
    <w:rsid w:val="00314022"/>
    <w:rsid w:val="00324AE1"/>
    <w:rsid w:val="00325D9C"/>
    <w:rsid w:val="00332EA8"/>
    <w:rsid w:val="00337217"/>
    <w:rsid w:val="00337B51"/>
    <w:rsid w:val="003646ED"/>
    <w:rsid w:val="003702C5"/>
    <w:rsid w:val="00376CE5"/>
    <w:rsid w:val="00381B96"/>
    <w:rsid w:val="00383375"/>
    <w:rsid w:val="00384226"/>
    <w:rsid w:val="003946B3"/>
    <w:rsid w:val="003949DF"/>
    <w:rsid w:val="003966B3"/>
    <w:rsid w:val="003A31C0"/>
    <w:rsid w:val="003A5C45"/>
    <w:rsid w:val="003B086F"/>
    <w:rsid w:val="003B158E"/>
    <w:rsid w:val="003B38B5"/>
    <w:rsid w:val="003B3917"/>
    <w:rsid w:val="003C2335"/>
    <w:rsid w:val="003C62D7"/>
    <w:rsid w:val="003D4254"/>
    <w:rsid w:val="003D5BD8"/>
    <w:rsid w:val="003E4FDF"/>
    <w:rsid w:val="003E55FF"/>
    <w:rsid w:val="003F0EC1"/>
    <w:rsid w:val="00401360"/>
    <w:rsid w:val="00404126"/>
    <w:rsid w:val="00405989"/>
    <w:rsid w:val="00411454"/>
    <w:rsid w:val="00417F52"/>
    <w:rsid w:val="004219B2"/>
    <w:rsid w:val="00423954"/>
    <w:rsid w:val="00431235"/>
    <w:rsid w:val="00434C89"/>
    <w:rsid w:val="004361D7"/>
    <w:rsid w:val="00436A7B"/>
    <w:rsid w:val="00444CA1"/>
    <w:rsid w:val="00444E6E"/>
    <w:rsid w:val="00455DB3"/>
    <w:rsid w:val="004608C9"/>
    <w:rsid w:val="004652A6"/>
    <w:rsid w:val="00466122"/>
    <w:rsid w:val="00471AF3"/>
    <w:rsid w:val="0047245F"/>
    <w:rsid w:val="00473039"/>
    <w:rsid w:val="00483F74"/>
    <w:rsid w:val="004920FD"/>
    <w:rsid w:val="0049569D"/>
    <w:rsid w:val="004A407E"/>
    <w:rsid w:val="004B34AA"/>
    <w:rsid w:val="004C4C3F"/>
    <w:rsid w:val="004D4E64"/>
    <w:rsid w:val="004D6E2B"/>
    <w:rsid w:val="004D7EFA"/>
    <w:rsid w:val="004E385E"/>
    <w:rsid w:val="0050476E"/>
    <w:rsid w:val="00511ABF"/>
    <w:rsid w:val="005315B0"/>
    <w:rsid w:val="00536A9A"/>
    <w:rsid w:val="005462E7"/>
    <w:rsid w:val="00550799"/>
    <w:rsid w:val="00550B4E"/>
    <w:rsid w:val="00551E63"/>
    <w:rsid w:val="00555FC3"/>
    <w:rsid w:val="00556885"/>
    <w:rsid w:val="0055791D"/>
    <w:rsid w:val="00560370"/>
    <w:rsid w:val="00560C70"/>
    <w:rsid w:val="00565CFB"/>
    <w:rsid w:val="00585488"/>
    <w:rsid w:val="00586C7F"/>
    <w:rsid w:val="005939F7"/>
    <w:rsid w:val="005A1B74"/>
    <w:rsid w:val="005A2FDA"/>
    <w:rsid w:val="005A359B"/>
    <w:rsid w:val="005B1F80"/>
    <w:rsid w:val="005C1D73"/>
    <w:rsid w:val="005C225D"/>
    <w:rsid w:val="005D0150"/>
    <w:rsid w:val="005D75CA"/>
    <w:rsid w:val="005D7EE8"/>
    <w:rsid w:val="005E0554"/>
    <w:rsid w:val="005E36E5"/>
    <w:rsid w:val="005E6233"/>
    <w:rsid w:val="005F0D12"/>
    <w:rsid w:val="005F3C78"/>
    <w:rsid w:val="005F5086"/>
    <w:rsid w:val="0060108B"/>
    <w:rsid w:val="00604D0D"/>
    <w:rsid w:val="00605AB0"/>
    <w:rsid w:val="00615533"/>
    <w:rsid w:val="00616FB7"/>
    <w:rsid w:val="00617A17"/>
    <w:rsid w:val="00623E03"/>
    <w:rsid w:val="00624CCB"/>
    <w:rsid w:val="00626470"/>
    <w:rsid w:val="00630B52"/>
    <w:rsid w:val="006322D6"/>
    <w:rsid w:val="00635A8D"/>
    <w:rsid w:val="006416C5"/>
    <w:rsid w:val="00644025"/>
    <w:rsid w:val="006554F8"/>
    <w:rsid w:val="006678DE"/>
    <w:rsid w:val="006756C3"/>
    <w:rsid w:val="0067619F"/>
    <w:rsid w:val="00691CDA"/>
    <w:rsid w:val="00692E90"/>
    <w:rsid w:val="00697AAC"/>
    <w:rsid w:val="006A1574"/>
    <w:rsid w:val="006B46F4"/>
    <w:rsid w:val="006B4AD9"/>
    <w:rsid w:val="006B670C"/>
    <w:rsid w:val="006C396C"/>
    <w:rsid w:val="006C6BCB"/>
    <w:rsid w:val="006D36C3"/>
    <w:rsid w:val="006D58DC"/>
    <w:rsid w:val="006E0F26"/>
    <w:rsid w:val="006E2AD6"/>
    <w:rsid w:val="006F0F17"/>
    <w:rsid w:val="006F1786"/>
    <w:rsid w:val="006F1E5C"/>
    <w:rsid w:val="006F269D"/>
    <w:rsid w:val="006F45EC"/>
    <w:rsid w:val="006F4FBB"/>
    <w:rsid w:val="006F7D72"/>
    <w:rsid w:val="00703165"/>
    <w:rsid w:val="007076C2"/>
    <w:rsid w:val="0071116B"/>
    <w:rsid w:val="0071269E"/>
    <w:rsid w:val="00715F96"/>
    <w:rsid w:val="00716FAC"/>
    <w:rsid w:val="007215F9"/>
    <w:rsid w:val="007239F3"/>
    <w:rsid w:val="00724C25"/>
    <w:rsid w:val="007311AC"/>
    <w:rsid w:val="00736699"/>
    <w:rsid w:val="00737610"/>
    <w:rsid w:val="00745CC7"/>
    <w:rsid w:val="0075150A"/>
    <w:rsid w:val="007516CE"/>
    <w:rsid w:val="00752F3D"/>
    <w:rsid w:val="00754D50"/>
    <w:rsid w:val="00762733"/>
    <w:rsid w:val="0078053D"/>
    <w:rsid w:val="007808E1"/>
    <w:rsid w:val="007877A7"/>
    <w:rsid w:val="00794D3C"/>
    <w:rsid w:val="007A40C3"/>
    <w:rsid w:val="007A4989"/>
    <w:rsid w:val="007A6256"/>
    <w:rsid w:val="007B0EA3"/>
    <w:rsid w:val="007B38C6"/>
    <w:rsid w:val="007B6351"/>
    <w:rsid w:val="007C537E"/>
    <w:rsid w:val="007D18B4"/>
    <w:rsid w:val="007D437A"/>
    <w:rsid w:val="007E4902"/>
    <w:rsid w:val="007E7900"/>
    <w:rsid w:val="007F641C"/>
    <w:rsid w:val="0080222B"/>
    <w:rsid w:val="008032E8"/>
    <w:rsid w:val="0080435F"/>
    <w:rsid w:val="008044F6"/>
    <w:rsid w:val="0081454B"/>
    <w:rsid w:val="00816016"/>
    <w:rsid w:val="00822159"/>
    <w:rsid w:val="00822EEC"/>
    <w:rsid w:val="008231E7"/>
    <w:rsid w:val="00823FA0"/>
    <w:rsid w:val="00830AE7"/>
    <w:rsid w:val="00832A0D"/>
    <w:rsid w:val="00845CD7"/>
    <w:rsid w:val="0085224B"/>
    <w:rsid w:val="00853A2B"/>
    <w:rsid w:val="008555C3"/>
    <w:rsid w:val="00855B4F"/>
    <w:rsid w:val="00856BEC"/>
    <w:rsid w:val="008622AE"/>
    <w:rsid w:val="008665AA"/>
    <w:rsid w:val="00871260"/>
    <w:rsid w:val="0087162F"/>
    <w:rsid w:val="0087716F"/>
    <w:rsid w:val="00881BF9"/>
    <w:rsid w:val="008839B6"/>
    <w:rsid w:val="008907C4"/>
    <w:rsid w:val="00890F47"/>
    <w:rsid w:val="008A2678"/>
    <w:rsid w:val="008A7AA9"/>
    <w:rsid w:val="008B0E90"/>
    <w:rsid w:val="008B696F"/>
    <w:rsid w:val="008C09D0"/>
    <w:rsid w:val="008C28CE"/>
    <w:rsid w:val="008C3486"/>
    <w:rsid w:val="008D697E"/>
    <w:rsid w:val="008E12FF"/>
    <w:rsid w:val="008E5512"/>
    <w:rsid w:val="008F23CA"/>
    <w:rsid w:val="00902DDC"/>
    <w:rsid w:val="0091068D"/>
    <w:rsid w:val="0091441B"/>
    <w:rsid w:val="00921BFC"/>
    <w:rsid w:val="0093125C"/>
    <w:rsid w:val="00934F8E"/>
    <w:rsid w:val="00940548"/>
    <w:rsid w:val="00940712"/>
    <w:rsid w:val="009412D6"/>
    <w:rsid w:val="00946A24"/>
    <w:rsid w:val="0094705A"/>
    <w:rsid w:val="00952043"/>
    <w:rsid w:val="009603AF"/>
    <w:rsid w:val="00966DAE"/>
    <w:rsid w:val="00967C4C"/>
    <w:rsid w:val="0098505E"/>
    <w:rsid w:val="00987BC2"/>
    <w:rsid w:val="009945B4"/>
    <w:rsid w:val="0099552B"/>
    <w:rsid w:val="00996ACE"/>
    <w:rsid w:val="00997377"/>
    <w:rsid w:val="009B3880"/>
    <w:rsid w:val="009B400A"/>
    <w:rsid w:val="009B5249"/>
    <w:rsid w:val="009B605F"/>
    <w:rsid w:val="009C4C13"/>
    <w:rsid w:val="009D6A9C"/>
    <w:rsid w:val="009E57D6"/>
    <w:rsid w:val="009E7536"/>
    <w:rsid w:val="009F429C"/>
    <w:rsid w:val="00A0457C"/>
    <w:rsid w:val="00A13374"/>
    <w:rsid w:val="00A22030"/>
    <w:rsid w:val="00A268AB"/>
    <w:rsid w:val="00A31B64"/>
    <w:rsid w:val="00A32949"/>
    <w:rsid w:val="00A32E18"/>
    <w:rsid w:val="00A354A2"/>
    <w:rsid w:val="00A4128C"/>
    <w:rsid w:val="00A43F06"/>
    <w:rsid w:val="00A54251"/>
    <w:rsid w:val="00A54781"/>
    <w:rsid w:val="00A60C84"/>
    <w:rsid w:val="00A65568"/>
    <w:rsid w:val="00A7043A"/>
    <w:rsid w:val="00A80092"/>
    <w:rsid w:val="00A92B39"/>
    <w:rsid w:val="00AA4145"/>
    <w:rsid w:val="00AA5E7A"/>
    <w:rsid w:val="00AA60CC"/>
    <w:rsid w:val="00AC665E"/>
    <w:rsid w:val="00AD0857"/>
    <w:rsid w:val="00AE0D36"/>
    <w:rsid w:val="00AE33BC"/>
    <w:rsid w:val="00AE3941"/>
    <w:rsid w:val="00AE4344"/>
    <w:rsid w:val="00AE5418"/>
    <w:rsid w:val="00AF0605"/>
    <w:rsid w:val="00AF5A00"/>
    <w:rsid w:val="00B03080"/>
    <w:rsid w:val="00B11B19"/>
    <w:rsid w:val="00B2156C"/>
    <w:rsid w:val="00B51EF0"/>
    <w:rsid w:val="00B53E07"/>
    <w:rsid w:val="00B63E53"/>
    <w:rsid w:val="00B642B8"/>
    <w:rsid w:val="00B73B74"/>
    <w:rsid w:val="00B76A06"/>
    <w:rsid w:val="00B936AA"/>
    <w:rsid w:val="00B94894"/>
    <w:rsid w:val="00BA3CEF"/>
    <w:rsid w:val="00BB70C0"/>
    <w:rsid w:val="00BC4782"/>
    <w:rsid w:val="00BC6198"/>
    <w:rsid w:val="00BC7CF2"/>
    <w:rsid w:val="00BD676A"/>
    <w:rsid w:val="00BE1E86"/>
    <w:rsid w:val="00BE7494"/>
    <w:rsid w:val="00BE7D1C"/>
    <w:rsid w:val="00BF1A86"/>
    <w:rsid w:val="00BF1B76"/>
    <w:rsid w:val="00BF5A8D"/>
    <w:rsid w:val="00C16572"/>
    <w:rsid w:val="00C27005"/>
    <w:rsid w:val="00C278D7"/>
    <w:rsid w:val="00C31A91"/>
    <w:rsid w:val="00C31E42"/>
    <w:rsid w:val="00C346D2"/>
    <w:rsid w:val="00C357EB"/>
    <w:rsid w:val="00C43233"/>
    <w:rsid w:val="00C4343F"/>
    <w:rsid w:val="00C437D8"/>
    <w:rsid w:val="00C5353F"/>
    <w:rsid w:val="00C54E9E"/>
    <w:rsid w:val="00C56B79"/>
    <w:rsid w:val="00C57590"/>
    <w:rsid w:val="00C61361"/>
    <w:rsid w:val="00C61513"/>
    <w:rsid w:val="00C65F14"/>
    <w:rsid w:val="00C70771"/>
    <w:rsid w:val="00C8292B"/>
    <w:rsid w:val="00C85CDA"/>
    <w:rsid w:val="00C86FF3"/>
    <w:rsid w:val="00CA4E60"/>
    <w:rsid w:val="00CB5D65"/>
    <w:rsid w:val="00CB6363"/>
    <w:rsid w:val="00CC4714"/>
    <w:rsid w:val="00CC4EE4"/>
    <w:rsid w:val="00CD524A"/>
    <w:rsid w:val="00CD627E"/>
    <w:rsid w:val="00CD6A0F"/>
    <w:rsid w:val="00CE5384"/>
    <w:rsid w:val="00CE72BE"/>
    <w:rsid w:val="00CF4C1E"/>
    <w:rsid w:val="00D00548"/>
    <w:rsid w:val="00D02EDD"/>
    <w:rsid w:val="00D04010"/>
    <w:rsid w:val="00D07ADC"/>
    <w:rsid w:val="00D13DE7"/>
    <w:rsid w:val="00D146A6"/>
    <w:rsid w:val="00D22035"/>
    <w:rsid w:val="00D26981"/>
    <w:rsid w:val="00D27440"/>
    <w:rsid w:val="00D30A5D"/>
    <w:rsid w:val="00D31EF2"/>
    <w:rsid w:val="00D35227"/>
    <w:rsid w:val="00D36354"/>
    <w:rsid w:val="00D43CF0"/>
    <w:rsid w:val="00D447A8"/>
    <w:rsid w:val="00D549BF"/>
    <w:rsid w:val="00D676CB"/>
    <w:rsid w:val="00D7250C"/>
    <w:rsid w:val="00D734D2"/>
    <w:rsid w:val="00D86376"/>
    <w:rsid w:val="00D90648"/>
    <w:rsid w:val="00D94AB5"/>
    <w:rsid w:val="00DA02A5"/>
    <w:rsid w:val="00DA1E4B"/>
    <w:rsid w:val="00DA58CF"/>
    <w:rsid w:val="00DB1775"/>
    <w:rsid w:val="00DB1FFD"/>
    <w:rsid w:val="00DB7E89"/>
    <w:rsid w:val="00DC7CF6"/>
    <w:rsid w:val="00DD17D7"/>
    <w:rsid w:val="00DF5AE9"/>
    <w:rsid w:val="00E03A62"/>
    <w:rsid w:val="00E055B1"/>
    <w:rsid w:val="00E16159"/>
    <w:rsid w:val="00E21E8F"/>
    <w:rsid w:val="00E22BC9"/>
    <w:rsid w:val="00E25315"/>
    <w:rsid w:val="00E312BC"/>
    <w:rsid w:val="00E32EA2"/>
    <w:rsid w:val="00E33586"/>
    <w:rsid w:val="00E34CDE"/>
    <w:rsid w:val="00E34F75"/>
    <w:rsid w:val="00E35770"/>
    <w:rsid w:val="00E40492"/>
    <w:rsid w:val="00E4210A"/>
    <w:rsid w:val="00E47D6C"/>
    <w:rsid w:val="00E715CA"/>
    <w:rsid w:val="00E7210D"/>
    <w:rsid w:val="00E7684D"/>
    <w:rsid w:val="00E947AB"/>
    <w:rsid w:val="00E94DEB"/>
    <w:rsid w:val="00E9539D"/>
    <w:rsid w:val="00E95798"/>
    <w:rsid w:val="00EA09CB"/>
    <w:rsid w:val="00EA12F3"/>
    <w:rsid w:val="00EB026B"/>
    <w:rsid w:val="00EC7CAC"/>
    <w:rsid w:val="00ED0741"/>
    <w:rsid w:val="00ED2890"/>
    <w:rsid w:val="00ED7549"/>
    <w:rsid w:val="00EE4EAB"/>
    <w:rsid w:val="00EF11CF"/>
    <w:rsid w:val="00EF54E0"/>
    <w:rsid w:val="00EF6197"/>
    <w:rsid w:val="00EF66A0"/>
    <w:rsid w:val="00F02625"/>
    <w:rsid w:val="00F079E3"/>
    <w:rsid w:val="00F07DB3"/>
    <w:rsid w:val="00F108A9"/>
    <w:rsid w:val="00F12950"/>
    <w:rsid w:val="00F25051"/>
    <w:rsid w:val="00F259A1"/>
    <w:rsid w:val="00F267ED"/>
    <w:rsid w:val="00F30748"/>
    <w:rsid w:val="00F30C1A"/>
    <w:rsid w:val="00F36136"/>
    <w:rsid w:val="00F3768C"/>
    <w:rsid w:val="00F47C55"/>
    <w:rsid w:val="00F71A80"/>
    <w:rsid w:val="00F73B40"/>
    <w:rsid w:val="00F77AC6"/>
    <w:rsid w:val="00F8387A"/>
    <w:rsid w:val="00F95457"/>
    <w:rsid w:val="00F971EF"/>
    <w:rsid w:val="00F97633"/>
    <w:rsid w:val="00FB1B67"/>
    <w:rsid w:val="00FB2CD4"/>
    <w:rsid w:val="00FB5671"/>
    <w:rsid w:val="00FC2E43"/>
    <w:rsid w:val="00FD17EB"/>
    <w:rsid w:val="00FD410B"/>
    <w:rsid w:val="00FD58FC"/>
    <w:rsid w:val="00FE00E5"/>
    <w:rsid w:val="00FE3D0D"/>
    <w:rsid w:val="00FE54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8A8E"/>
  <w15:chartTrackingRefBased/>
  <w15:docId w15:val="{BEE89E62-D43D-4AD9-BB3F-81E24B24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853A2B"/>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53A2B"/>
    <w:rPr>
      <w:rFonts w:ascii="Times New Roman" w:eastAsia="Times New Roman" w:hAnsi="Times New Roman" w:cs="Times New Roman"/>
      <w:b/>
      <w:bCs/>
      <w:sz w:val="15"/>
      <w:szCs w:val="15"/>
      <w:lang w:eastAsia="en-AU"/>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853A2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elltext">
    <w:name w:val="celltext"/>
    <w:basedOn w:val="Normal"/>
    <w:rsid w:val="00853A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DB1775"/>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745CC7"/>
    <w:rPr>
      <w:color w:val="0000FF"/>
      <w:u w:val="single"/>
    </w:rPr>
  </w:style>
  <w:style w:type="character" w:styleId="CommentReference">
    <w:name w:val="annotation reference"/>
    <w:basedOn w:val="DefaultParagraphFont"/>
    <w:uiPriority w:val="99"/>
    <w:semiHidden/>
    <w:unhideWhenUsed/>
    <w:rsid w:val="00AE4344"/>
    <w:rPr>
      <w:sz w:val="16"/>
      <w:szCs w:val="16"/>
    </w:rPr>
  </w:style>
  <w:style w:type="paragraph" w:styleId="CommentText">
    <w:name w:val="annotation text"/>
    <w:basedOn w:val="Normal"/>
    <w:link w:val="CommentTextChar"/>
    <w:uiPriority w:val="99"/>
    <w:semiHidden/>
    <w:unhideWhenUsed/>
    <w:rsid w:val="00AE4344"/>
    <w:pPr>
      <w:spacing w:line="240" w:lineRule="auto"/>
    </w:pPr>
    <w:rPr>
      <w:sz w:val="20"/>
      <w:szCs w:val="20"/>
    </w:rPr>
  </w:style>
  <w:style w:type="character" w:customStyle="1" w:styleId="CommentTextChar">
    <w:name w:val="Comment Text Char"/>
    <w:basedOn w:val="DefaultParagraphFont"/>
    <w:link w:val="CommentText"/>
    <w:uiPriority w:val="99"/>
    <w:semiHidden/>
    <w:rsid w:val="00AE4344"/>
    <w:rPr>
      <w:sz w:val="20"/>
      <w:szCs w:val="20"/>
    </w:rPr>
  </w:style>
  <w:style w:type="paragraph" w:styleId="CommentSubject">
    <w:name w:val="annotation subject"/>
    <w:basedOn w:val="CommentText"/>
    <w:next w:val="CommentText"/>
    <w:link w:val="CommentSubjectChar"/>
    <w:uiPriority w:val="99"/>
    <w:semiHidden/>
    <w:unhideWhenUsed/>
    <w:rsid w:val="00AE4344"/>
    <w:rPr>
      <w:b/>
      <w:bCs/>
    </w:rPr>
  </w:style>
  <w:style w:type="character" w:customStyle="1" w:styleId="CommentSubjectChar">
    <w:name w:val="Comment Subject Char"/>
    <w:basedOn w:val="CommentTextChar"/>
    <w:link w:val="CommentSubject"/>
    <w:uiPriority w:val="99"/>
    <w:semiHidden/>
    <w:rsid w:val="00AE4344"/>
    <w:rPr>
      <w:b/>
      <w:bCs/>
      <w:sz w:val="20"/>
      <w:szCs w:val="20"/>
    </w:rPr>
  </w:style>
  <w:style w:type="paragraph" w:styleId="BalloonText">
    <w:name w:val="Balloon Text"/>
    <w:basedOn w:val="Normal"/>
    <w:link w:val="BalloonTextChar"/>
    <w:uiPriority w:val="99"/>
    <w:semiHidden/>
    <w:unhideWhenUsed/>
    <w:rsid w:val="00AE4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344"/>
    <w:rPr>
      <w:rFonts w:ascii="Segoe UI" w:hAnsi="Segoe UI" w:cs="Segoe UI"/>
      <w:sz w:val="18"/>
      <w:szCs w:val="18"/>
    </w:rPr>
  </w:style>
  <w:style w:type="paragraph" w:customStyle="1" w:styleId="Default">
    <w:name w:val="Default"/>
    <w:link w:val="DefaultChar"/>
    <w:rsid w:val="00C31E4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DefaultChar">
    <w:name w:val="Default Char"/>
    <w:basedOn w:val="DefaultParagraphFont"/>
    <w:link w:val="Default"/>
    <w:rsid w:val="00C31E42"/>
    <w:rPr>
      <w:rFonts w:ascii="Times New Roman" w:eastAsia="Times New Roman" w:hAnsi="Times New Roman" w:cs="Times New Roman"/>
      <w:color w:val="000000"/>
      <w:sz w:val="24"/>
      <w:szCs w:val="24"/>
      <w:lang w:eastAsia="en-AU"/>
    </w:rPr>
  </w:style>
  <w:style w:type="paragraph" w:customStyle="1" w:styleId="ActHead5">
    <w:name w:val="ActHead 5"/>
    <w:aliases w:val="s"/>
    <w:basedOn w:val="Normal"/>
    <w:next w:val="subsection"/>
    <w:link w:val="ActHead5Char"/>
    <w:qFormat/>
    <w:rsid w:val="007215F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215F9"/>
  </w:style>
  <w:style w:type="paragraph" w:customStyle="1" w:styleId="subsection">
    <w:name w:val="subsection"/>
    <w:aliases w:val="ss,Subsection"/>
    <w:basedOn w:val="Normal"/>
    <w:link w:val="subsectionChar"/>
    <w:rsid w:val="007215F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Definition">
    <w:name w:val="Definition"/>
    <w:aliases w:val="dd"/>
    <w:basedOn w:val="Normal"/>
    <w:rsid w:val="007215F9"/>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7215F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abletext">
    <w:name w:val="Tabletext"/>
    <w:aliases w:val="tt"/>
    <w:basedOn w:val="Normal"/>
    <w:rsid w:val="007215F9"/>
    <w:pPr>
      <w:spacing w:before="60" w:after="0" w:line="240" w:lineRule="atLeast"/>
    </w:pPr>
    <w:rPr>
      <w:rFonts w:ascii="Times New Roman" w:eastAsia="Times New Roman" w:hAnsi="Times New Roman" w:cs="Times New Roman"/>
      <w:sz w:val="20"/>
      <w:szCs w:val="20"/>
      <w:lang w:eastAsia="en-AU"/>
    </w:rPr>
  </w:style>
  <w:style w:type="paragraph" w:customStyle="1" w:styleId="notetext">
    <w:name w:val="note(text)"/>
    <w:aliases w:val="n"/>
    <w:basedOn w:val="Normal"/>
    <w:link w:val="notetextChar"/>
    <w:rsid w:val="007215F9"/>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Tabletext"/>
    <w:rsid w:val="007215F9"/>
    <w:pPr>
      <w:keepNext/>
      <w:spacing w:before="60" w:after="0" w:line="240" w:lineRule="atLeast"/>
    </w:pPr>
    <w:rPr>
      <w:rFonts w:ascii="Times New Roman" w:eastAsia="Times New Roman" w:hAnsi="Times New Roman" w:cs="Times New Roman"/>
      <w:b/>
      <w:sz w:val="20"/>
      <w:szCs w:val="20"/>
      <w:lang w:eastAsia="en-AU"/>
    </w:rPr>
  </w:style>
  <w:style w:type="character" w:customStyle="1" w:styleId="subsectionChar">
    <w:name w:val="subsection Char"/>
    <w:aliases w:val="ss Char"/>
    <w:basedOn w:val="DefaultParagraphFont"/>
    <w:link w:val="subsection"/>
    <w:locked/>
    <w:rsid w:val="007215F9"/>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7215F9"/>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7215F9"/>
    <w:rPr>
      <w:rFonts w:ascii="Times New Roman" w:eastAsia="Times New Roman" w:hAnsi="Times New Roman" w:cs="Times New Roman"/>
      <w:b/>
      <w:kern w:val="28"/>
      <w:sz w:val="24"/>
      <w:szCs w:val="20"/>
      <w:lang w:eastAsia="en-AU"/>
    </w:rPr>
  </w:style>
  <w:style w:type="paragraph" w:styleId="Header">
    <w:name w:val="header"/>
    <w:basedOn w:val="Normal"/>
    <w:link w:val="HeaderChar"/>
    <w:uiPriority w:val="99"/>
    <w:unhideWhenUsed/>
    <w:rsid w:val="00465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2A6"/>
  </w:style>
  <w:style w:type="paragraph" w:styleId="Footer">
    <w:name w:val="footer"/>
    <w:basedOn w:val="Normal"/>
    <w:link w:val="FooterChar"/>
    <w:uiPriority w:val="99"/>
    <w:unhideWhenUsed/>
    <w:rsid w:val="00465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9827">
      <w:bodyDiv w:val="1"/>
      <w:marLeft w:val="0"/>
      <w:marRight w:val="0"/>
      <w:marTop w:val="0"/>
      <w:marBottom w:val="0"/>
      <w:divBdr>
        <w:top w:val="none" w:sz="0" w:space="0" w:color="auto"/>
        <w:left w:val="none" w:sz="0" w:space="0" w:color="auto"/>
        <w:bottom w:val="none" w:sz="0" w:space="0" w:color="auto"/>
        <w:right w:val="none" w:sz="0" w:space="0" w:color="auto"/>
      </w:divBdr>
    </w:div>
    <w:div w:id="114060051">
      <w:bodyDiv w:val="1"/>
      <w:marLeft w:val="0"/>
      <w:marRight w:val="0"/>
      <w:marTop w:val="0"/>
      <w:marBottom w:val="0"/>
      <w:divBdr>
        <w:top w:val="none" w:sz="0" w:space="0" w:color="auto"/>
        <w:left w:val="none" w:sz="0" w:space="0" w:color="auto"/>
        <w:bottom w:val="none" w:sz="0" w:space="0" w:color="auto"/>
        <w:right w:val="none" w:sz="0" w:space="0" w:color="auto"/>
      </w:divBdr>
    </w:div>
    <w:div w:id="1120416530">
      <w:bodyDiv w:val="1"/>
      <w:marLeft w:val="0"/>
      <w:marRight w:val="0"/>
      <w:marTop w:val="0"/>
      <w:marBottom w:val="0"/>
      <w:divBdr>
        <w:top w:val="none" w:sz="0" w:space="0" w:color="auto"/>
        <w:left w:val="none" w:sz="0" w:space="0" w:color="auto"/>
        <w:bottom w:val="none" w:sz="0" w:space="0" w:color="auto"/>
        <w:right w:val="none" w:sz="0" w:space="0" w:color="auto"/>
      </w:divBdr>
    </w:div>
    <w:div w:id="1195579309">
      <w:bodyDiv w:val="1"/>
      <w:marLeft w:val="0"/>
      <w:marRight w:val="0"/>
      <w:marTop w:val="0"/>
      <w:marBottom w:val="0"/>
      <w:divBdr>
        <w:top w:val="none" w:sz="0" w:space="0" w:color="auto"/>
        <w:left w:val="none" w:sz="0" w:space="0" w:color="auto"/>
        <w:bottom w:val="none" w:sz="0" w:space="0" w:color="auto"/>
        <w:right w:val="none" w:sz="0" w:space="0" w:color="auto"/>
      </w:divBdr>
    </w:div>
    <w:div w:id="1405297802">
      <w:bodyDiv w:val="1"/>
      <w:marLeft w:val="0"/>
      <w:marRight w:val="0"/>
      <w:marTop w:val="0"/>
      <w:marBottom w:val="0"/>
      <w:divBdr>
        <w:top w:val="none" w:sz="0" w:space="0" w:color="auto"/>
        <w:left w:val="none" w:sz="0" w:space="0" w:color="auto"/>
        <w:bottom w:val="none" w:sz="0" w:space="0" w:color="auto"/>
        <w:right w:val="none" w:sz="0" w:space="0" w:color="auto"/>
      </w:divBdr>
    </w:div>
    <w:div w:id="16410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809B5E98909574683D77039029A216F" ma:contentTypeVersion="" ma:contentTypeDescription="PDMS Document Site Content Type" ma:contentTypeScope="" ma:versionID="004f0f021dbdf821e71f3621de1e0c97">
  <xsd:schema xmlns:xsd="http://www.w3.org/2001/XMLSchema" xmlns:xs="http://www.w3.org/2001/XMLSchema" xmlns:p="http://schemas.microsoft.com/office/2006/metadata/properties" xmlns:ns2="E10C89BA-8572-4089-A72F-D31EF339AACB" targetNamespace="http://schemas.microsoft.com/office/2006/metadata/properties" ma:root="true" ma:fieldsID="11a37db09ed5cb35cbb2b99478255ef9" ns2:_="">
    <xsd:import namespace="E10C89BA-8572-4089-A72F-D31EF339AAC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89BA-8572-4089-A72F-D31EF339AAC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10C89BA-8572-4089-A72F-D31EF339AA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297E-9CE3-404D-A401-6FC7E8144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89BA-8572-4089-A72F-D31EF339A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7AFFE-1895-4E4A-BC1F-2379FE1CFB93}">
  <ds:schemaRefs>
    <ds:schemaRef ds:uri="http://schemas.microsoft.com/sharepoint/v3/contenttype/forms"/>
  </ds:schemaRefs>
</ds:datastoreItem>
</file>

<file path=customXml/itemProps3.xml><?xml version="1.0" encoding="utf-8"?>
<ds:datastoreItem xmlns:ds="http://schemas.openxmlformats.org/officeDocument/2006/customXml" ds:itemID="{415165D3-6FE3-4E22-AC0F-2DFE4A8A34D4}">
  <ds:schemaRefs>
    <ds:schemaRef ds:uri="http://schemas.microsoft.com/office/infopath/2007/PartnerControls"/>
    <ds:schemaRef ds:uri="http://schemas.openxmlformats.org/package/2006/metadata/core-properties"/>
    <ds:schemaRef ds:uri="E10C89BA-8572-4089-A72F-D31EF339AACB"/>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44DD026-9DB7-4C1E-BC54-C61A832B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Samkhar, Tenzing</dc:creator>
  <cp:keywords/>
  <dc:description/>
  <cp:lastModifiedBy>Samkhar, Tenzing</cp:lastModifiedBy>
  <cp:revision>2</cp:revision>
  <dcterms:created xsi:type="dcterms:W3CDTF">2024-03-15T03:24:00Z</dcterms:created>
  <dcterms:modified xsi:type="dcterms:W3CDTF">2024-03-15T03:24:00Z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0x010100266966F133664895A6EE3632470D45F5005809B5E98909574683D77039029A216F</vt:lpwstr>
  </property>
</Properties>
</file>