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A456" w14:textId="77777777" w:rsidR="0012540D" w:rsidRPr="00C24956" w:rsidRDefault="0012540D" w:rsidP="00C523F8">
      <w:pPr>
        <w:jc w:val="center"/>
        <w:rPr>
          <w:b/>
          <w:bCs/>
          <w:sz w:val="28"/>
        </w:rPr>
      </w:pPr>
      <w:r w:rsidRPr="00C24956">
        <w:rPr>
          <w:b/>
          <w:bCs/>
          <w:sz w:val="28"/>
        </w:rPr>
        <w:t>EXPLANATORY STATEMENT</w:t>
      </w:r>
    </w:p>
    <w:p w14:paraId="742DAD36" w14:textId="77777777" w:rsidR="00C523F8" w:rsidRDefault="00C523F8" w:rsidP="000D3373">
      <w:pPr>
        <w:jc w:val="center"/>
        <w:rPr>
          <w:b/>
          <w:i/>
        </w:rPr>
      </w:pPr>
    </w:p>
    <w:p w14:paraId="4DB0A374" w14:textId="388C29D5" w:rsidR="009D7EA4" w:rsidRDefault="009D7EA4" w:rsidP="000D3373">
      <w:pPr>
        <w:jc w:val="center"/>
        <w:rPr>
          <w:b/>
          <w:i/>
        </w:rPr>
      </w:pPr>
      <w:r>
        <w:rPr>
          <w:b/>
          <w:i/>
        </w:rPr>
        <w:t>Social Security Act 1991</w:t>
      </w:r>
    </w:p>
    <w:p w14:paraId="01013416" w14:textId="77777777" w:rsidR="00C523F8" w:rsidRDefault="00C523F8" w:rsidP="000D3373">
      <w:pPr>
        <w:jc w:val="center"/>
        <w:rPr>
          <w:b/>
          <w:i/>
        </w:rPr>
      </w:pPr>
    </w:p>
    <w:p w14:paraId="250575DF" w14:textId="3945BD32" w:rsidR="0012540D" w:rsidRPr="00C24956" w:rsidRDefault="00585C98" w:rsidP="000D3373">
      <w:pPr>
        <w:jc w:val="center"/>
        <w:rPr>
          <w:b/>
          <w:bCs/>
          <w:i/>
        </w:rPr>
      </w:pPr>
      <w:r w:rsidRPr="00C24956">
        <w:rPr>
          <w:b/>
          <w:i/>
        </w:rPr>
        <w:t xml:space="preserve">Social Security </w:t>
      </w:r>
      <w:r w:rsidR="00853E39" w:rsidRPr="00C24956">
        <w:rPr>
          <w:b/>
          <w:i/>
        </w:rPr>
        <w:t>(</w:t>
      </w:r>
      <w:r w:rsidRPr="00C24956">
        <w:rPr>
          <w:b/>
          <w:i/>
        </w:rPr>
        <w:t>Exempt Lump Sum</w:t>
      </w:r>
      <w:r w:rsidR="00853E39" w:rsidRPr="00C24956">
        <w:rPr>
          <w:b/>
          <w:i/>
        </w:rPr>
        <w:t>)</w:t>
      </w:r>
      <w:r w:rsidRPr="00C24956">
        <w:rPr>
          <w:b/>
          <w:i/>
        </w:rPr>
        <w:t xml:space="preserve"> (</w:t>
      </w:r>
      <w:r w:rsidR="004F6E5F" w:rsidRPr="00C24956">
        <w:rPr>
          <w:b/>
          <w:i/>
        </w:rPr>
        <w:t xml:space="preserve">HILDA Survey </w:t>
      </w:r>
      <w:r w:rsidR="008E5DC9">
        <w:rPr>
          <w:b/>
          <w:i/>
        </w:rPr>
        <w:t>Respondent Incentive</w:t>
      </w:r>
      <w:r w:rsidR="004F6E5F" w:rsidRPr="00C24956">
        <w:rPr>
          <w:b/>
          <w:i/>
        </w:rPr>
        <w:t xml:space="preserve"> Payment</w:t>
      </w:r>
      <w:r w:rsidR="00C94936" w:rsidRPr="00C24956">
        <w:rPr>
          <w:b/>
          <w:i/>
        </w:rPr>
        <w:t>)</w:t>
      </w:r>
      <w:r w:rsidRPr="00C24956">
        <w:rPr>
          <w:b/>
          <w:i/>
        </w:rPr>
        <w:t xml:space="preserve"> Determination 20</w:t>
      </w:r>
      <w:r w:rsidR="00C24956">
        <w:rPr>
          <w:b/>
          <w:i/>
        </w:rPr>
        <w:t>24</w:t>
      </w:r>
    </w:p>
    <w:p w14:paraId="0C3F5498" w14:textId="77777777" w:rsidR="00C523F8" w:rsidRDefault="00C523F8" w:rsidP="000D3373">
      <w:pPr>
        <w:rPr>
          <w:b/>
          <w:bCs/>
        </w:rPr>
      </w:pPr>
    </w:p>
    <w:p w14:paraId="5D87C4F3" w14:textId="20B9A017" w:rsidR="00C24956" w:rsidRDefault="00C24956" w:rsidP="000D3373">
      <w:pPr>
        <w:rPr>
          <w:b/>
          <w:bCs/>
        </w:rPr>
      </w:pPr>
      <w:r>
        <w:rPr>
          <w:b/>
          <w:bCs/>
        </w:rPr>
        <w:t>Purpose</w:t>
      </w:r>
    </w:p>
    <w:p w14:paraId="440A1358" w14:textId="77777777" w:rsidR="00C523F8" w:rsidRDefault="00C523F8" w:rsidP="000D3373"/>
    <w:p w14:paraId="3C9B8F6B" w14:textId="2D5F9A24" w:rsidR="00A556FB" w:rsidRPr="00A556FB" w:rsidRDefault="00A556FB" w:rsidP="000D3373">
      <w:r w:rsidRPr="00A556FB">
        <w:t xml:space="preserve">The </w:t>
      </w:r>
      <w:r w:rsidRPr="00A556FB">
        <w:rPr>
          <w:i/>
        </w:rPr>
        <w:t xml:space="preserve">Social Security (Exempt Lump Sum) (HILDA Survey </w:t>
      </w:r>
      <w:r w:rsidR="008E5DC9">
        <w:rPr>
          <w:i/>
        </w:rPr>
        <w:t xml:space="preserve">Respondent Incentive </w:t>
      </w:r>
      <w:r w:rsidRPr="00A556FB">
        <w:rPr>
          <w:i/>
        </w:rPr>
        <w:t xml:space="preserve">Payment) Determination 2024 </w:t>
      </w:r>
      <w:r w:rsidRPr="00A556FB">
        <w:t>(the Determination) determines that a</w:t>
      </w:r>
      <w:r w:rsidR="008E5DC9">
        <w:t xml:space="preserve">n incentive </w:t>
      </w:r>
      <w:r w:rsidRPr="00A556FB">
        <w:t xml:space="preserve"> </w:t>
      </w:r>
      <w:r w:rsidR="008E5DC9">
        <w:t xml:space="preserve">payment made to </w:t>
      </w:r>
      <w:r w:rsidR="00C523F8">
        <w:t>a person</w:t>
      </w:r>
      <w:r w:rsidR="008E5DC9">
        <w:t xml:space="preserve"> for </w:t>
      </w:r>
      <w:r w:rsidR="00E9022A">
        <w:t xml:space="preserve">their </w:t>
      </w:r>
      <w:r w:rsidR="008E5DC9">
        <w:t xml:space="preserve">participation in the </w:t>
      </w:r>
      <w:r w:rsidR="00C523F8" w:rsidRPr="00C24956">
        <w:t xml:space="preserve">Household, Income and Labour Dynamics in Australia </w:t>
      </w:r>
      <w:r w:rsidR="00C523F8">
        <w:t>(</w:t>
      </w:r>
      <w:r w:rsidRPr="00A556FB">
        <w:t>HILDA</w:t>
      </w:r>
      <w:r w:rsidR="00C523F8">
        <w:t>)</w:t>
      </w:r>
      <w:r w:rsidRPr="00A556FB">
        <w:t xml:space="preserve"> Survey is an exempt lump sum under paragraph</w:t>
      </w:r>
      <w:r w:rsidR="00C523F8">
        <w:t> </w:t>
      </w:r>
      <w:r w:rsidRPr="00A556FB">
        <w:t xml:space="preserve">8(11)(d) of the </w:t>
      </w:r>
      <w:r w:rsidRPr="00A556FB">
        <w:rPr>
          <w:i/>
        </w:rPr>
        <w:t xml:space="preserve">Social Security Act 1991 </w:t>
      </w:r>
      <w:r w:rsidRPr="00A556FB">
        <w:t xml:space="preserve">(the Act). </w:t>
      </w:r>
    </w:p>
    <w:p w14:paraId="33D3C8DB" w14:textId="77777777" w:rsidR="00C523F8" w:rsidRDefault="00C523F8" w:rsidP="000D3373"/>
    <w:p w14:paraId="5F80A66C" w14:textId="5042EFEC" w:rsidR="00A556FB" w:rsidRPr="00110AD5" w:rsidRDefault="00110AD5" w:rsidP="000D3373">
      <w:pPr>
        <w:rPr>
          <w:b/>
          <w:bCs/>
        </w:rPr>
      </w:pPr>
      <w:r>
        <w:t>The</w:t>
      </w:r>
      <w:r w:rsidRPr="00C24956">
        <w:t xml:space="preserve"> effect of this Determination is that </w:t>
      </w:r>
      <w:r w:rsidR="008E5DC9">
        <w:t xml:space="preserve">incentive </w:t>
      </w:r>
      <w:r w:rsidRPr="00C24956">
        <w:t>payment</w:t>
      </w:r>
      <w:r w:rsidR="00186FE1">
        <w:t>s</w:t>
      </w:r>
      <w:r w:rsidRPr="00C24956">
        <w:t xml:space="preserve"> made to participants in the HILDA Survey on behalf of </w:t>
      </w:r>
      <w:r w:rsidR="009F4FC0">
        <w:t>t</w:t>
      </w:r>
      <w:r w:rsidR="003F5726">
        <w:t>he Department of Social</w:t>
      </w:r>
      <w:r w:rsidR="00C523F8">
        <w:t> </w:t>
      </w:r>
      <w:r w:rsidR="003F5726">
        <w:t>Services (</w:t>
      </w:r>
      <w:r w:rsidRPr="00C24956">
        <w:t>DSS</w:t>
      </w:r>
      <w:r w:rsidR="003F5726">
        <w:t>)</w:t>
      </w:r>
      <w:r w:rsidRPr="00C24956">
        <w:t xml:space="preserve">, </w:t>
      </w:r>
      <w:r w:rsidR="001760AE">
        <w:t>are</w:t>
      </w:r>
      <w:r w:rsidR="001760AE" w:rsidRPr="00C24956">
        <w:t xml:space="preserve"> not assessed as income under the social security law. </w:t>
      </w:r>
      <w:r w:rsidR="001760AE">
        <w:t xml:space="preserve"> </w:t>
      </w:r>
      <w:r w:rsidR="00A556FB" w:rsidRPr="00A556FB">
        <w:t xml:space="preserve">This ensures that a HILDA Survey </w:t>
      </w:r>
      <w:r w:rsidR="008E5DC9">
        <w:t xml:space="preserve">respondent incentive </w:t>
      </w:r>
      <w:r w:rsidR="00186FE1">
        <w:t>p</w:t>
      </w:r>
      <w:r>
        <w:t>ayment</w:t>
      </w:r>
      <w:r w:rsidR="001760AE" w:rsidRPr="00C24956">
        <w:t xml:space="preserve"> will not be taken into account when assessing a person’s eligibility or rate of social security </w:t>
      </w:r>
      <w:r w:rsidR="00922AB5">
        <w:t>payments</w:t>
      </w:r>
      <w:r w:rsidR="001760AE" w:rsidRPr="00C24956">
        <w:t xml:space="preserve"> under the social security income test.</w:t>
      </w:r>
    </w:p>
    <w:p w14:paraId="184B39F2" w14:textId="77777777" w:rsidR="00C523F8" w:rsidRDefault="00C523F8" w:rsidP="000D3373">
      <w:pPr>
        <w:rPr>
          <w:b/>
          <w:bCs/>
        </w:rPr>
      </w:pPr>
    </w:p>
    <w:p w14:paraId="657D733F" w14:textId="6E7BA3E3" w:rsidR="00F855B5" w:rsidRDefault="00F855B5" w:rsidP="000D3373">
      <w:pPr>
        <w:rPr>
          <w:b/>
          <w:bCs/>
        </w:rPr>
      </w:pPr>
      <w:r w:rsidRPr="00C24956">
        <w:rPr>
          <w:b/>
          <w:bCs/>
        </w:rPr>
        <w:t>Background</w:t>
      </w:r>
    </w:p>
    <w:p w14:paraId="44972ECC" w14:textId="77777777" w:rsidR="00C523F8" w:rsidRDefault="00C523F8" w:rsidP="000D3373">
      <w:pPr>
        <w:rPr>
          <w:bCs/>
          <w:i/>
        </w:rPr>
      </w:pPr>
    </w:p>
    <w:p w14:paraId="18BB14F3" w14:textId="786B39D9" w:rsidR="00932D32" w:rsidRPr="00932D32" w:rsidRDefault="00932D32" w:rsidP="000D3373">
      <w:pPr>
        <w:rPr>
          <w:bCs/>
          <w:i/>
        </w:rPr>
      </w:pPr>
      <w:r>
        <w:rPr>
          <w:bCs/>
          <w:i/>
        </w:rPr>
        <w:t>Income and Asset</w:t>
      </w:r>
      <w:r w:rsidR="00741396">
        <w:rPr>
          <w:bCs/>
          <w:i/>
        </w:rPr>
        <w:t>s</w:t>
      </w:r>
      <w:r>
        <w:rPr>
          <w:bCs/>
          <w:i/>
        </w:rPr>
        <w:t xml:space="preserve"> Test</w:t>
      </w:r>
      <w:r w:rsidR="00C523F8">
        <w:rPr>
          <w:bCs/>
          <w:i/>
        </w:rPr>
        <w:t>s</w:t>
      </w:r>
    </w:p>
    <w:p w14:paraId="641319D1" w14:textId="77777777" w:rsidR="00C523F8" w:rsidRDefault="00C523F8" w:rsidP="000D3373"/>
    <w:p w14:paraId="5C1F78AE" w14:textId="73788324" w:rsidR="00E60450" w:rsidRPr="00B069DC" w:rsidRDefault="00110AD5" w:rsidP="000D3373">
      <w:r>
        <w:t>When determining a person’s eligibility for a social security payment</w:t>
      </w:r>
      <w:r w:rsidR="00B069DC">
        <w:t>,</w:t>
      </w:r>
      <w:r>
        <w:t xml:space="preserve"> income and asset</w:t>
      </w:r>
      <w:r w:rsidR="00741396">
        <w:t>s</w:t>
      </w:r>
      <w:r>
        <w:t xml:space="preserve"> test</w:t>
      </w:r>
      <w:r w:rsidR="00C55C3B">
        <w:t xml:space="preserve">s are both </w:t>
      </w:r>
      <w:r>
        <w:t>applie</w:t>
      </w:r>
      <w:r w:rsidR="00C55C3B">
        <w:t>d</w:t>
      </w:r>
      <w:r w:rsidR="00B069DC">
        <w:t xml:space="preserve">, with the test that results in the lower amount </w:t>
      </w:r>
      <w:r w:rsidR="00C55C3B">
        <w:t>of the social</w:t>
      </w:r>
      <w:r w:rsidR="00C523F8">
        <w:t> </w:t>
      </w:r>
      <w:r w:rsidR="00C55C3B">
        <w:t xml:space="preserve">security payment </w:t>
      </w:r>
      <w:r w:rsidR="00B069DC">
        <w:t xml:space="preserve">being applied to the person. </w:t>
      </w:r>
      <w:r w:rsidR="00C523F8">
        <w:t xml:space="preserve"> </w:t>
      </w:r>
      <w:r w:rsidR="00B069DC">
        <w:t>I</w:t>
      </w:r>
      <w:r w:rsidR="00B069DC" w:rsidRPr="00320970">
        <w:t>ncome i</w:t>
      </w:r>
      <w:r w:rsidR="00B069DC">
        <w:t xml:space="preserve">s defined in </w:t>
      </w:r>
      <w:r w:rsidR="00C523F8">
        <w:t>sub</w:t>
      </w:r>
      <w:r w:rsidR="00932D32">
        <w:t>section</w:t>
      </w:r>
      <w:r w:rsidR="00C523F8">
        <w:t> </w:t>
      </w:r>
      <w:r w:rsidR="00932D32">
        <w:t xml:space="preserve">8(1) of </w:t>
      </w:r>
      <w:r w:rsidR="00B069DC">
        <w:t>the Act, and i</w:t>
      </w:r>
      <w:r w:rsidR="00B069DC" w:rsidRPr="00320970">
        <w:t>ncludes an</w:t>
      </w:r>
      <w:r w:rsidR="00B069DC">
        <w:t>y</w:t>
      </w:r>
      <w:r w:rsidR="00B069DC" w:rsidRPr="00320970">
        <w:t xml:space="preserve"> income amount earned, derived or received for a person’s own use or benefit</w:t>
      </w:r>
      <w:r w:rsidR="00B069DC">
        <w:t>, a periodical payment by way of gift or allowance or a periodical benefit by way of gift or allowance</w:t>
      </w:r>
      <w:r w:rsidR="00B069DC" w:rsidRPr="00320970">
        <w:t xml:space="preserve">. </w:t>
      </w:r>
      <w:r w:rsidR="00C523F8">
        <w:t xml:space="preserve"> </w:t>
      </w:r>
      <w:r w:rsidR="00B069DC" w:rsidRPr="00320970">
        <w:t xml:space="preserve">However, the </w:t>
      </w:r>
      <w:r w:rsidR="00B069DC">
        <w:t>Act specifically exempts s</w:t>
      </w:r>
      <w:r w:rsidR="00B069DC" w:rsidRPr="00C24956">
        <w:t>ome amounts that would otherwise be income</w:t>
      </w:r>
      <w:r w:rsidR="00B069DC" w:rsidRPr="00320970">
        <w:t xml:space="preserve"> for the purposes of the income test</w:t>
      </w:r>
      <w:r w:rsidR="00B069DC">
        <w:t xml:space="preserve">. </w:t>
      </w:r>
    </w:p>
    <w:p w14:paraId="75086847" w14:textId="77777777" w:rsidR="00C523F8" w:rsidRDefault="00C523F8" w:rsidP="000D3373"/>
    <w:p w14:paraId="3C848678" w14:textId="3DEE2B85" w:rsidR="00D22861" w:rsidRDefault="004F3ABB" w:rsidP="000D3373">
      <w:r w:rsidRPr="00C24956">
        <w:t xml:space="preserve">Paragraph 8(11)(d) of the Act allows the </w:t>
      </w:r>
      <w:r w:rsidR="00555C20" w:rsidRPr="00C24956">
        <w:t xml:space="preserve">DSS </w:t>
      </w:r>
      <w:r w:rsidRPr="00C24956">
        <w:t>Secretary to determine that an amount, or class of amounts, is an “exempt lump sum” for the purposes of the Act.  An exempt lump sum is excluded from the definition of “ordinary income” und</w:t>
      </w:r>
      <w:r w:rsidR="00E60450" w:rsidRPr="00C24956">
        <w:t>er subsection 8(1) of the Act, meaning the</w:t>
      </w:r>
      <w:r w:rsidRPr="00C24956">
        <w:t xml:space="preserve"> lump sum amount is not to be taken into account under the social security income test</w:t>
      </w:r>
      <w:r w:rsidR="00E60450" w:rsidRPr="00C24956">
        <w:t>.</w:t>
      </w:r>
      <w:r w:rsidR="002D2521" w:rsidRPr="00C24956">
        <w:t xml:space="preserve"> </w:t>
      </w:r>
      <w:r w:rsidR="00DE0F58" w:rsidRPr="00C24956">
        <w:t xml:space="preserve"> </w:t>
      </w:r>
    </w:p>
    <w:p w14:paraId="493067F1" w14:textId="77777777" w:rsidR="00C523F8" w:rsidRDefault="00C523F8" w:rsidP="000D3373"/>
    <w:p w14:paraId="3E659336" w14:textId="0BCF3FD5" w:rsidR="00654D37" w:rsidRPr="00C24956" w:rsidRDefault="00092042" w:rsidP="000D3373">
      <w:r w:rsidRPr="00C24956">
        <w:t>T</w:t>
      </w:r>
      <w:r w:rsidR="002D2521" w:rsidRPr="00C24956">
        <w:t xml:space="preserve">he exemption of </w:t>
      </w:r>
      <w:r w:rsidR="005856EE">
        <w:t>a</w:t>
      </w:r>
      <w:r w:rsidR="002D2521" w:rsidRPr="00C24956">
        <w:t xml:space="preserve"> </w:t>
      </w:r>
      <w:r w:rsidR="00D53F40" w:rsidRPr="00C24956">
        <w:t xml:space="preserve">HILDA Survey </w:t>
      </w:r>
      <w:r w:rsidR="008E5DC9">
        <w:t xml:space="preserve">respondent incentive </w:t>
      </w:r>
      <w:r w:rsidR="00186FE1">
        <w:t>p</w:t>
      </w:r>
      <w:r w:rsidR="002D2521" w:rsidRPr="00C24956">
        <w:t xml:space="preserve">ayment from the assessment of a person’s income </w:t>
      </w:r>
      <w:r w:rsidR="00A921CA" w:rsidRPr="00C24956">
        <w:t>could</w:t>
      </w:r>
      <w:r w:rsidR="00654D37" w:rsidRPr="00C24956">
        <w:t xml:space="preserve"> </w:t>
      </w:r>
      <w:r w:rsidR="002D2521" w:rsidRPr="00C24956">
        <w:t xml:space="preserve">beneficially impact that person’s eligibility for a social security payment </w:t>
      </w:r>
      <w:r w:rsidR="00805A73" w:rsidRPr="00C24956">
        <w:t>and</w:t>
      </w:r>
      <w:r w:rsidR="00AB7F37" w:rsidRPr="00C24956">
        <w:t>,</w:t>
      </w:r>
      <w:r w:rsidR="002D2521" w:rsidRPr="00C24956">
        <w:t xml:space="preserve"> if the</w:t>
      </w:r>
      <w:r w:rsidR="00932D32">
        <w:t xml:space="preserve">y are eligible, the rate of </w:t>
      </w:r>
      <w:r w:rsidR="002D2521" w:rsidRPr="00C24956">
        <w:t xml:space="preserve">payment they are entitled to receive.  </w:t>
      </w:r>
    </w:p>
    <w:p w14:paraId="141B2877" w14:textId="77777777" w:rsidR="00C523F8" w:rsidRDefault="00C523F8" w:rsidP="000D3373"/>
    <w:p w14:paraId="59CD5CF3" w14:textId="35524806" w:rsidR="002D2521" w:rsidRPr="00C523F8" w:rsidRDefault="00654D37" w:rsidP="000D3373">
      <w:r w:rsidRPr="00C24956">
        <w:t>T</w:t>
      </w:r>
      <w:r w:rsidR="002D2521" w:rsidRPr="00C24956">
        <w:t xml:space="preserve">he exemption of </w:t>
      </w:r>
      <w:r w:rsidR="005856EE">
        <w:t>a</w:t>
      </w:r>
      <w:r w:rsidR="002D2521" w:rsidRPr="00C24956">
        <w:t xml:space="preserve"> </w:t>
      </w:r>
      <w:r w:rsidR="004F6E5F" w:rsidRPr="00C24956">
        <w:t xml:space="preserve">HILDA Survey </w:t>
      </w:r>
      <w:r w:rsidR="008E5DC9">
        <w:t xml:space="preserve">respondent incentive </w:t>
      </w:r>
      <w:r w:rsidR="00186FE1">
        <w:t>p</w:t>
      </w:r>
      <w:r w:rsidR="004F6E5F" w:rsidRPr="00C24956">
        <w:t>ayment fr</w:t>
      </w:r>
      <w:r w:rsidR="002D2521" w:rsidRPr="00C24956">
        <w:t>om the income</w:t>
      </w:r>
      <w:r w:rsidR="00FB70CB" w:rsidRPr="00C24956">
        <w:t xml:space="preserve"> test does not mean that any on</w:t>
      </w:r>
      <w:r w:rsidR="002D2521" w:rsidRPr="00C24956">
        <w:t xml:space="preserve">going income generated by the lump sum </w:t>
      </w:r>
      <w:r w:rsidRPr="00C24956">
        <w:t>is exempt from the income test, nor does it mean that</w:t>
      </w:r>
      <w:r w:rsidR="002D2521" w:rsidRPr="00C24956">
        <w:t xml:space="preserve"> any asset produced from the lump sum </w:t>
      </w:r>
      <w:r w:rsidRPr="00C24956">
        <w:t xml:space="preserve">is </w:t>
      </w:r>
      <w:r w:rsidR="002D2521" w:rsidRPr="00C24956">
        <w:lastRenderedPageBreak/>
        <w:t>exempt</w:t>
      </w:r>
      <w:r w:rsidRPr="00C24956">
        <w:t xml:space="preserve"> from the social security assets test. </w:t>
      </w:r>
      <w:r w:rsidR="00DE0F58" w:rsidRPr="00C24956">
        <w:t xml:space="preserve"> </w:t>
      </w:r>
      <w:r w:rsidRPr="00C24956">
        <w:t xml:space="preserve">This is consistent with the treatment of </w:t>
      </w:r>
      <w:r w:rsidRPr="00C523F8">
        <w:t>other lump sum payments exempted under</w:t>
      </w:r>
      <w:r w:rsidR="0097730F" w:rsidRPr="00C523F8">
        <w:t xml:space="preserve"> paragraph 8(11)(d) of the Act.</w:t>
      </w:r>
    </w:p>
    <w:p w14:paraId="5B77C2E2" w14:textId="77777777" w:rsidR="00C523F8" w:rsidRDefault="00C523F8" w:rsidP="000D3373">
      <w:pPr>
        <w:rPr>
          <w:i/>
        </w:rPr>
      </w:pPr>
    </w:p>
    <w:p w14:paraId="1329332E" w14:textId="6CF05848" w:rsidR="006370A1" w:rsidRPr="00C523F8" w:rsidRDefault="00C94936" w:rsidP="000D3373">
      <w:pPr>
        <w:rPr>
          <w:i/>
        </w:rPr>
      </w:pPr>
      <w:r w:rsidRPr="00C523F8">
        <w:rPr>
          <w:i/>
        </w:rPr>
        <w:t xml:space="preserve">Household, Income and Labour Dynamics in Australia (HILDA) </w:t>
      </w:r>
      <w:r w:rsidR="00202784" w:rsidRPr="00C523F8">
        <w:rPr>
          <w:i/>
        </w:rPr>
        <w:t>S</w:t>
      </w:r>
      <w:r w:rsidRPr="00C523F8">
        <w:rPr>
          <w:i/>
        </w:rPr>
        <w:t xml:space="preserve">urvey </w:t>
      </w:r>
    </w:p>
    <w:p w14:paraId="4CF2B741" w14:textId="77777777" w:rsidR="00C523F8" w:rsidRDefault="00C523F8" w:rsidP="000D3373"/>
    <w:p w14:paraId="2E9D2A0D" w14:textId="1FEC23B6" w:rsidR="003F5726" w:rsidRPr="00C523F8" w:rsidRDefault="003F5726" w:rsidP="000D3373">
      <w:r w:rsidRPr="00C523F8">
        <w:t>The</w:t>
      </w:r>
      <w:r w:rsidR="002574E2" w:rsidRPr="00C523F8">
        <w:t xml:space="preserve"> HILDA </w:t>
      </w:r>
      <w:r w:rsidRPr="00C523F8">
        <w:t xml:space="preserve">Survey was initiated, and is funded, by the Australian Government through DSS. </w:t>
      </w:r>
      <w:r w:rsidR="00264649" w:rsidRPr="00C523F8">
        <w:t xml:space="preserve"> The </w:t>
      </w:r>
      <w:r w:rsidRPr="00C523F8">
        <w:t>management of the HILDA Survey rests with the Melbourne</w:t>
      </w:r>
      <w:r w:rsidR="00264649" w:rsidRPr="00C523F8">
        <w:t xml:space="preserve"> Institute </w:t>
      </w:r>
      <w:r w:rsidR="002616CE" w:rsidRPr="00C523F8">
        <w:t xml:space="preserve">of Applied Economics and Social Research (the Melbourne Institute) </w:t>
      </w:r>
      <w:r w:rsidR="00264649" w:rsidRPr="00E9022A">
        <w:t>who designed the survey</w:t>
      </w:r>
      <w:r w:rsidRPr="00E9022A">
        <w:t>.</w:t>
      </w:r>
      <w:r w:rsidR="00E8192E">
        <w:t xml:space="preserve">  </w:t>
      </w:r>
      <w:r w:rsidR="00264649" w:rsidRPr="000D3373">
        <w:t>The Melbourne Institute is a department within the </w:t>
      </w:r>
      <w:r w:rsidR="00E9022A">
        <w:t>Faculty of Business and Economics</w:t>
      </w:r>
      <w:r w:rsidR="00E9022A" w:rsidRPr="00C523F8" w:rsidDel="00E9022A">
        <w:t xml:space="preserve"> </w:t>
      </w:r>
      <w:r w:rsidR="00264649" w:rsidRPr="00C523F8">
        <w:t>at the University of Melbourne.</w:t>
      </w:r>
      <w:r w:rsidRPr="00C523F8">
        <w:t xml:space="preserve"> </w:t>
      </w:r>
    </w:p>
    <w:p w14:paraId="0F0B31B1" w14:textId="77777777" w:rsidR="00C523F8" w:rsidRDefault="00C523F8" w:rsidP="000D3373"/>
    <w:p w14:paraId="4C44F9E0" w14:textId="40E79350" w:rsidR="00555C20" w:rsidRPr="00C523F8" w:rsidRDefault="002616CE" w:rsidP="000D3373">
      <w:r w:rsidRPr="00C523F8">
        <w:t>The HILDA</w:t>
      </w:r>
      <w:r w:rsidRPr="000D3373">
        <w:t xml:space="preserve"> Survey is a household-based panel study that collects valuable information about economic and personal wellbeing, labour market dynamics and family life from the same group of Australians over the course of their lives.</w:t>
      </w:r>
      <w:r w:rsidR="00DF4E92" w:rsidRPr="000D3373">
        <w:t xml:space="preserve">  </w:t>
      </w:r>
      <w:r w:rsidR="003C7FBB" w:rsidRPr="00C523F8">
        <w:t>Interviews are conducted annu</w:t>
      </w:r>
      <w:r w:rsidR="00BE48C4" w:rsidRPr="00C523F8">
        <w:t xml:space="preserve">ally with adult members of each </w:t>
      </w:r>
      <w:r w:rsidR="003C7FBB" w:rsidRPr="00C523F8">
        <w:t>household</w:t>
      </w:r>
      <w:r w:rsidR="004A604F" w:rsidRPr="00C523F8">
        <w:t xml:space="preserve"> and p</w:t>
      </w:r>
      <w:r w:rsidR="00142A2A" w:rsidRPr="00C523F8">
        <w:t>articipation is voluntary.</w:t>
      </w:r>
      <w:r w:rsidR="003C7FBB" w:rsidRPr="00C523F8">
        <w:t xml:space="preserve">  </w:t>
      </w:r>
    </w:p>
    <w:p w14:paraId="5045C8EA" w14:textId="77777777" w:rsidR="00C523F8" w:rsidRDefault="00C523F8" w:rsidP="000D3373"/>
    <w:p w14:paraId="6B60D152" w14:textId="4122C3DA" w:rsidR="00E52381" w:rsidRPr="000D3373" w:rsidRDefault="00555C20" w:rsidP="000D3373">
      <w:pPr>
        <w:rPr>
          <w:color w:val="0000FF"/>
          <w:u w:val="single"/>
        </w:rPr>
      </w:pPr>
      <w:r w:rsidRPr="00C523F8">
        <w:t>DSS re</w:t>
      </w:r>
      <w:r w:rsidR="0098310B" w:rsidRPr="00C523F8">
        <w:t xml:space="preserve">lies on accurate research data, </w:t>
      </w:r>
      <w:r w:rsidRPr="00C523F8">
        <w:t>including data made avai</w:t>
      </w:r>
      <w:r w:rsidR="0098310B" w:rsidRPr="00C523F8">
        <w:t xml:space="preserve">lable through the HILDA Survey, </w:t>
      </w:r>
      <w:r w:rsidRPr="00C523F8">
        <w:t>to inform its business decisions.  Academics and other research</w:t>
      </w:r>
      <w:r w:rsidR="006874E3" w:rsidRPr="00C523F8">
        <w:t>ers can apply to use the HIL</w:t>
      </w:r>
      <w:r w:rsidR="006874E3" w:rsidRPr="00E8192E">
        <w:t>DA g</w:t>
      </w:r>
      <w:r w:rsidRPr="00E8192E">
        <w:t>eneral release datasets for their research.</w:t>
      </w:r>
      <w:r w:rsidR="00BC4289" w:rsidRPr="00E8192E">
        <w:t xml:space="preserve"> </w:t>
      </w:r>
      <w:r w:rsidR="00C523F8" w:rsidRPr="00E8192E">
        <w:t xml:space="preserve"> </w:t>
      </w:r>
      <w:r w:rsidR="000E37DA" w:rsidRPr="00E8192E">
        <w:t>Information on the HILDA Survey is</w:t>
      </w:r>
      <w:r w:rsidR="00B24132" w:rsidRPr="00E8192E">
        <w:t xml:space="preserve"> available on the internet at</w:t>
      </w:r>
      <w:r w:rsidR="00604F5F" w:rsidRPr="00E8192E">
        <w:t>:</w:t>
      </w:r>
      <w:r w:rsidR="00B24132" w:rsidRPr="00E8192E">
        <w:t xml:space="preserve"> </w:t>
      </w:r>
      <w:hyperlink r:id="rId13" w:history="1">
        <w:r w:rsidR="00E52381" w:rsidRPr="00C523F8">
          <w:rPr>
            <w:rStyle w:val="Hyperlink"/>
          </w:rPr>
          <w:t>HILDA Survey (unimelb.edu.au)</w:t>
        </w:r>
      </w:hyperlink>
    </w:p>
    <w:p w14:paraId="04F1C870" w14:textId="77777777" w:rsidR="00C523F8" w:rsidRDefault="00C523F8" w:rsidP="000D3373">
      <w:pPr>
        <w:rPr>
          <w:bCs/>
          <w:i/>
        </w:rPr>
      </w:pPr>
    </w:p>
    <w:p w14:paraId="75547E31" w14:textId="32B5F2D5" w:rsidR="00121BE3" w:rsidRPr="00C523F8" w:rsidRDefault="005B72FD" w:rsidP="000D3373">
      <w:pPr>
        <w:rPr>
          <w:bCs/>
          <w:i/>
        </w:rPr>
      </w:pPr>
      <w:r w:rsidRPr="00C523F8">
        <w:rPr>
          <w:bCs/>
          <w:i/>
        </w:rPr>
        <w:t xml:space="preserve">HILDA Survey </w:t>
      </w:r>
      <w:r w:rsidR="008E5DC9" w:rsidRPr="00C523F8">
        <w:rPr>
          <w:bCs/>
          <w:i/>
        </w:rPr>
        <w:t xml:space="preserve">respondent incentive </w:t>
      </w:r>
      <w:r w:rsidR="005856EE" w:rsidRPr="00C523F8">
        <w:rPr>
          <w:bCs/>
          <w:i/>
        </w:rPr>
        <w:t>p</w:t>
      </w:r>
      <w:r w:rsidRPr="00C523F8">
        <w:rPr>
          <w:bCs/>
          <w:i/>
        </w:rPr>
        <w:t>ayment</w:t>
      </w:r>
    </w:p>
    <w:p w14:paraId="245D5E36" w14:textId="77777777" w:rsidR="00C523F8" w:rsidRDefault="00C523F8" w:rsidP="000D3373"/>
    <w:p w14:paraId="5972C03B" w14:textId="746F756B" w:rsidR="00DB7177" w:rsidRPr="00C523F8" w:rsidRDefault="00121BE3" w:rsidP="000D3373">
      <w:r w:rsidRPr="00C523F8">
        <w:t xml:space="preserve">The HILDA Survey </w:t>
      </w:r>
      <w:r w:rsidR="00AB7F37" w:rsidRPr="00C523F8">
        <w:t>is</w:t>
      </w:r>
      <w:r w:rsidRPr="00C523F8">
        <w:t xml:space="preserve"> </w:t>
      </w:r>
      <w:r w:rsidR="002574E2" w:rsidRPr="00C523F8">
        <w:t>administered</w:t>
      </w:r>
      <w:r w:rsidR="00D85D48" w:rsidRPr="00C523F8">
        <w:t xml:space="preserve"> by the Melbourne</w:t>
      </w:r>
      <w:r w:rsidR="00E8192E">
        <w:t xml:space="preserve"> Institute</w:t>
      </w:r>
      <w:r w:rsidR="00EE02D8" w:rsidRPr="00C523F8">
        <w:t xml:space="preserve"> </w:t>
      </w:r>
      <w:r w:rsidR="00B33AC5">
        <w:t>with the data collection subcontracted to</w:t>
      </w:r>
      <w:r w:rsidR="00EE02D8" w:rsidRPr="00C523F8">
        <w:t xml:space="preserve"> Roy Morgan Research </w:t>
      </w:r>
      <w:r w:rsidR="003D2A8F">
        <w:t xml:space="preserve">(the subcontractor) </w:t>
      </w:r>
      <w:r w:rsidR="00EE02D8" w:rsidRPr="00C523F8">
        <w:t>since 2008</w:t>
      </w:r>
      <w:r w:rsidR="00227B89" w:rsidRPr="00C523F8">
        <w:t>.</w:t>
      </w:r>
      <w:r w:rsidR="00D85D48" w:rsidRPr="00C523F8">
        <w:t xml:space="preserve"> </w:t>
      </w:r>
    </w:p>
    <w:p w14:paraId="355C21AC" w14:textId="77777777" w:rsidR="00C523F8" w:rsidRDefault="00C523F8" w:rsidP="000D3373"/>
    <w:p w14:paraId="4A816E0B" w14:textId="6304E56D" w:rsidR="003D2A8F" w:rsidRDefault="00B33AC5" w:rsidP="000D3373">
      <w:r>
        <w:t>Each year,</w:t>
      </w:r>
      <w:r w:rsidR="001F49C7" w:rsidRPr="00C523F8">
        <w:t xml:space="preserve"> </w:t>
      </w:r>
      <w:r w:rsidR="00DB7177" w:rsidRPr="00C523F8">
        <w:t xml:space="preserve">participants </w:t>
      </w:r>
      <w:r w:rsidR="005856EE" w:rsidRPr="00C523F8">
        <w:t xml:space="preserve">in the HILDA Survey </w:t>
      </w:r>
      <w:r>
        <w:t>are</w:t>
      </w:r>
      <w:r w:rsidRPr="00C523F8">
        <w:t xml:space="preserve"> </w:t>
      </w:r>
      <w:r w:rsidR="00DB7177" w:rsidRPr="00C523F8">
        <w:t>provided with</w:t>
      </w:r>
      <w:r w:rsidR="00121BE3" w:rsidRPr="00C523F8">
        <w:t xml:space="preserve"> a one-off payment </w:t>
      </w:r>
      <w:r w:rsidR="003D2A8F">
        <w:t xml:space="preserve">by the subcontractor on behalf of DSS </w:t>
      </w:r>
      <w:r w:rsidR="008E5DC9" w:rsidRPr="00C523F8">
        <w:t xml:space="preserve">as an </w:t>
      </w:r>
      <w:r w:rsidR="002574E2" w:rsidRPr="00C523F8">
        <w:t xml:space="preserve">incentive </w:t>
      </w:r>
      <w:r w:rsidR="008E5DC9" w:rsidRPr="00C523F8">
        <w:t xml:space="preserve">to participate in the </w:t>
      </w:r>
      <w:r w:rsidR="002574E2" w:rsidRPr="00C523F8">
        <w:t>survey</w:t>
      </w:r>
      <w:r w:rsidR="003D2A8F">
        <w:t>.</w:t>
      </w:r>
    </w:p>
    <w:p w14:paraId="4759EF1A" w14:textId="2A1E27CA" w:rsidR="001F49C7" w:rsidRPr="00C523F8" w:rsidRDefault="003D2A8F" w:rsidP="000D3373">
      <w:r>
        <w:t xml:space="preserve">Participants </w:t>
      </w:r>
      <w:r w:rsidR="001F49C7" w:rsidRPr="00C523F8">
        <w:t xml:space="preserve">also </w:t>
      </w:r>
      <w:r w:rsidR="00DB7177" w:rsidRPr="00C523F8">
        <w:rPr>
          <w:color w:val="2D2D2D"/>
          <w:spacing w:val="-2"/>
        </w:rPr>
        <w:t xml:space="preserve">receive </w:t>
      </w:r>
      <w:r w:rsidR="00C32F58" w:rsidRPr="00C523F8">
        <w:rPr>
          <w:color w:val="2D2D2D"/>
          <w:spacing w:val="-2"/>
        </w:rPr>
        <w:t>an additional amount</w:t>
      </w:r>
      <w:r w:rsidR="00DB7177" w:rsidRPr="00C523F8">
        <w:rPr>
          <w:color w:val="2D2D2D"/>
          <w:spacing w:val="-2"/>
        </w:rPr>
        <w:t xml:space="preserve"> on the completion of </w:t>
      </w:r>
      <w:r w:rsidR="001F49C7" w:rsidRPr="00C523F8">
        <w:rPr>
          <w:color w:val="2D2D2D"/>
          <w:spacing w:val="-2"/>
        </w:rPr>
        <w:t xml:space="preserve">a separate </w:t>
      </w:r>
      <w:r w:rsidR="00186FE1" w:rsidRPr="00C523F8">
        <w:rPr>
          <w:color w:val="2D2D2D"/>
          <w:spacing w:val="-2"/>
        </w:rPr>
        <w:t xml:space="preserve">personal </w:t>
      </w:r>
      <w:r w:rsidR="001F49C7" w:rsidRPr="00C523F8">
        <w:rPr>
          <w:color w:val="2D2D2D"/>
          <w:spacing w:val="-2"/>
        </w:rPr>
        <w:t>q</w:t>
      </w:r>
      <w:r w:rsidR="00DB7177" w:rsidRPr="00C523F8">
        <w:rPr>
          <w:color w:val="2D2D2D"/>
          <w:spacing w:val="-2"/>
        </w:rPr>
        <w:t>uestionnaire.</w:t>
      </w:r>
      <w:r w:rsidR="00B36ADD" w:rsidRPr="00C523F8">
        <w:rPr>
          <w:color w:val="2D2D2D"/>
          <w:spacing w:val="-2"/>
        </w:rPr>
        <w:t xml:space="preserve">  Both of these payments are </w:t>
      </w:r>
      <w:r w:rsidR="008E5DC9" w:rsidRPr="00C523F8">
        <w:rPr>
          <w:color w:val="2D2D2D"/>
          <w:spacing w:val="-2"/>
        </w:rPr>
        <w:t xml:space="preserve">regarded as </w:t>
      </w:r>
      <w:r w:rsidR="00B36ADD" w:rsidRPr="00C523F8">
        <w:rPr>
          <w:color w:val="2D2D2D"/>
          <w:spacing w:val="-2"/>
        </w:rPr>
        <w:t xml:space="preserve">HILDA Survey </w:t>
      </w:r>
      <w:r w:rsidR="008E5DC9" w:rsidRPr="00C523F8">
        <w:rPr>
          <w:color w:val="2D2D2D"/>
          <w:spacing w:val="-2"/>
        </w:rPr>
        <w:t xml:space="preserve">respondent incentive </w:t>
      </w:r>
      <w:r w:rsidR="00B36ADD" w:rsidRPr="00C523F8">
        <w:rPr>
          <w:color w:val="2D2D2D"/>
          <w:spacing w:val="-2"/>
        </w:rPr>
        <w:t xml:space="preserve">payments </w:t>
      </w:r>
      <w:r w:rsidR="008E5DC9" w:rsidRPr="00C523F8">
        <w:rPr>
          <w:color w:val="2D2D2D"/>
          <w:spacing w:val="-2"/>
        </w:rPr>
        <w:t>for the purposes of</w:t>
      </w:r>
      <w:r w:rsidR="00B36ADD" w:rsidRPr="00C523F8">
        <w:rPr>
          <w:color w:val="2D2D2D"/>
          <w:spacing w:val="-2"/>
        </w:rPr>
        <w:t xml:space="preserve"> the Determination.</w:t>
      </w:r>
      <w:r w:rsidR="00DF4E92" w:rsidRPr="00C523F8">
        <w:rPr>
          <w:color w:val="2D2D2D"/>
          <w:spacing w:val="-2"/>
        </w:rPr>
        <w:t xml:space="preserve"> </w:t>
      </w:r>
    </w:p>
    <w:p w14:paraId="0A0121C0" w14:textId="77777777" w:rsidR="00C523F8" w:rsidRDefault="00C523F8" w:rsidP="000D3373"/>
    <w:p w14:paraId="75E9E00B" w14:textId="512ED01C" w:rsidR="00121BE3" w:rsidRPr="00E9022A" w:rsidRDefault="00121BE3" w:rsidP="000D3373">
      <w:r w:rsidRPr="00C523F8">
        <w:t xml:space="preserve">The </w:t>
      </w:r>
      <w:r w:rsidR="00186FE1" w:rsidRPr="00C523F8">
        <w:t>incentive pay</w:t>
      </w:r>
      <w:r w:rsidR="001F49C7" w:rsidRPr="00C523F8">
        <w:t xml:space="preserve">ments </w:t>
      </w:r>
      <w:r w:rsidRPr="00C523F8">
        <w:t>are determined b</w:t>
      </w:r>
      <w:r w:rsidR="00E8192E">
        <w:t>y</w:t>
      </w:r>
      <w:r w:rsidRPr="00C523F8">
        <w:t xml:space="preserve"> the </w:t>
      </w:r>
      <w:r w:rsidR="00AB7F37" w:rsidRPr="00C523F8">
        <w:t>Melbourne</w:t>
      </w:r>
      <w:r w:rsidRPr="00C523F8">
        <w:t xml:space="preserve"> </w:t>
      </w:r>
      <w:r w:rsidR="00E8192E">
        <w:t xml:space="preserve">Institute </w:t>
      </w:r>
      <w:r w:rsidRPr="00C523F8">
        <w:t xml:space="preserve">and DSS.  </w:t>
      </w:r>
      <w:r w:rsidR="00311BB9" w:rsidRPr="00C523F8">
        <w:t>A</w:t>
      </w:r>
      <w:r w:rsidRPr="00C523F8">
        <w:t xml:space="preserve">n increase </w:t>
      </w:r>
      <w:r w:rsidR="00AC2A8B" w:rsidRPr="00C523F8">
        <w:t>in</w:t>
      </w:r>
      <w:r w:rsidR="001F2E94" w:rsidRPr="00C523F8">
        <w:t xml:space="preserve"> the </w:t>
      </w:r>
      <w:r w:rsidR="008C1B27" w:rsidRPr="00C523F8">
        <w:t xml:space="preserve">amount of </w:t>
      </w:r>
      <w:r w:rsidR="00C55C3B" w:rsidRPr="00C523F8">
        <w:t xml:space="preserve">incentive </w:t>
      </w:r>
      <w:r w:rsidRPr="00C523F8">
        <w:t>payment</w:t>
      </w:r>
      <w:r w:rsidR="008C1B27" w:rsidRPr="00C523F8">
        <w:t>s</w:t>
      </w:r>
      <w:r w:rsidRPr="00C523F8">
        <w:t xml:space="preserve"> is </w:t>
      </w:r>
      <w:r w:rsidR="00311BB9" w:rsidRPr="00C523F8">
        <w:t xml:space="preserve">generally </w:t>
      </w:r>
      <w:r w:rsidRPr="00E9022A">
        <w:t xml:space="preserve">agreed </w:t>
      </w:r>
      <w:r w:rsidR="008C1B27" w:rsidRPr="00E9022A">
        <w:t xml:space="preserve">on </w:t>
      </w:r>
      <w:r w:rsidRPr="00E9022A">
        <w:t>every 3 or 4 years.</w:t>
      </w:r>
    </w:p>
    <w:p w14:paraId="1DA89AF4" w14:textId="77777777" w:rsidR="00C523F8" w:rsidRDefault="00C523F8" w:rsidP="000D3373"/>
    <w:p w14:paraId="28450F6B" w14:textId="20212E97" w:rsidR="00D22861" w:rsidRPr="00C523F8" w:rsidRDefault="00AE330E" w:rsidP="000D3373">
      <w:r>
        <w:t>These payments</w:t>
      </w:r>
      <w:r w:rsidR="00E8192E">
        <w:t xml:space="preserve"> have been exempt from the social security income test </w:t>
      </w:r>
      <w:r w:rsidR="00435F0A">
        <w:t>in accordance with</w:t>
      </w:r>
      <w:r w:rsidR="00E8192E">
        <w:t xml:space="preserve"> t</w:t>
      </w:r>
      <w:r w:rsidR="0098310B" w:rsidRPr="00C523F8">
        <w:t xml:space="preserve">he current </w:t>
      </w:r>
      <w:r w:rsidR="008A5A10" w:rsidRPr="00C523F8">
        <w:t>d</w:t>
      </w:r>
      <w:r w:rsidR="0098310B" w:rsidRPr="00C523F8">
        <w:t xml:space="preserve">etermination, the </w:t>
      </w:r>
      <w:r w:rsidR="0098310B" w:rsidRPr="00C523F8">
        <w:rPr>
          <w:i/>
        </w:rPr>
        <w:t>Social Security (Exempt Lump Sum) (HILDA Survey Lump Sum Participant Payment) Determination</w:t>
      </w:r>
      <w:r w:rsidR="0098310B" w:rsidRPr="00C523F8">
        <w:t xml:space="preserve"> </w:t>
      </w:r>
      <w:r w:rsidR="0098310B" w:rsidRPr="00C523F8">
        <w:rPr>
          <w:i/>
        </w:rPr>
        <w:t>2014</w:t>
      </w:r>
      <w:r w:rsidR="00E8192E">
        <w:t>.</w:t>
      </w:r>
      <w:r w:rsidR="0098310B" w:rsidRPr="00C523F8">
        <w:rPr>
          <w:i/>
        </w:rPr>
        <w:t xml:space="preserve"> </w:t>
      </w:r>
      <w:r w:rsidR="00E8192E">
        <w:t xml:space="preserve"> This</w:t>
      </w:r>
      <w:r w:rsidR="00FB5DCA">
        <w:t xml:space="preserve"> instrument</w:t>
      </w:r>
      <w:r w:rsidR="00E8192E">
        <w:t xml:space="preserve"> </w:t>
      </w:r>
      <w:r w:rsidR="0098310B" w:rsidRPr="00C523F8">
        <w:t>is due to sunset on 1</w:t>
      </w:r>
      <w:r w:rsidR="00FB5DCA">
        <w:t> </w:t>
      </w:r>
      <w:r w:rsidR="0098310B" w:rsidRPr="00C523F8">
        <w:t xml:space="preserve">April 2024. </w:t>
      </w:r>
      <w:r w:rsidR="008A5A10" w:rsidRPr="00C523F8">
        <w:t xml:space="preserve"> </w:t>
      </w:r>
      <w:r w:rsidR="0098310B" w:rsidRPr="00C523F8">
        <w:t xml:space="preserve">The Determination </w:t>
      </w:r>
      <w:r w:rsidR="00E8192E">
        <w:t xml:space="preserve">continues </w:t>
      </w:r>
      <w:r>
        <w:t xml:space="preserve">to ensure that incentive payments are exempt for income test purposes, but </w:t>
      </w:r>
      <w:r w:rsidR="00EE02D8" w:rsidRPr="00C523F8">
        <w:t xml:space="preserve">has been revised </w:t>
      </w:r>
      <w:r w:rsidR="00EE6594" w:rsidRPr="00C523F8">
        <w:t xml:space="preserve">to </w:t>
      </w:r>
      <w:r w:rsidR="00E8192E">
        <w:t xml:space="preserve">simplify the terms and </w:t>
      </w:r>
      <w:r w:rsidR="00173F0E" w:rsidRPr="00C523F8">
        <w:t xml:space="preserve">better </w:t>
      </w:r>
      <w:r w:rsidR="00EE6594" w:rsidRPr="00C523F8">
        <w:t xml:space="preserve">reflect </w:t>
      </w:r>
      <w:r w:rsidR="00173F0E" w:rsidRPr="00C523F8">
        <w:t xml:space="preserve">the current </w:t>
      </w:r>
      <w:r w:rsidR="00FB5DCA">
        <w:t>participant payment arrangements</w:t>
      </w:r>
      <w:r w:rsidR="00FB5DCA" w:rsidRPr="00C523F8">
        <w:t xml:space="preserve"> </w:t>
      </w:r>
      <w:r w:rsidR="00173F0E" w:rsidRPr="00C523F8">
        <w:t>used for the HILDA Survey</w:t>
      </w:r>
      <w:r w:rsidR="00EE6594" w:rsidRPr="00C523F8">
        <w:t>.</w:t>
      </w:r>
      <w:r w:rsidR="00E8192E">
        <w:t xml:space="preserve"> </w:t>
      </w:r>
      <w:r w:rsidR="00EE6594" w:rsidRPr="00C523F8">
        <w:t xml:space="preserve"> </w:t>
      </w:r>
    </w:p>
    <w:p w14:paraId="0D497E97" w14:textId="34052A1A" w:rsidR="00D22861" w:rsidRPr="00E9022A" w:rsidRDefault="00D22861" w:rsidP="00C523F8"/>
    <w:p w14:paraId="7C6D3470" w14:textId="77777777" w:rsidR="00C24956" w:rsidRPr="00C24956" w:rsidRDefault="00C24956" w:rsidP="000D3373">
      <w:pPr>
        <w:rPr>
          <w:bCs/>
        </w:rPr>
      </w:pPr>
      <w:r w:rsidRPr="00C24956">
        <w:rPr>
          <w:b/>
          <w:bCs/>
        </w:rPr>
        <w:t>Consultation</w:t>
      </w:r>
    </w:p>
    <w:p w14:paraId="756EDACC" w14:textId="2EA99EDE" w:rsidR="00577B60" w:rsidRDefault="00577B60" w:rsidP="00C523F8">
      <w:pPr>
        <w:jc w:val="both"/>
      </w:pPr>
    </w:p>
    <w:p w14:paraId="4D43CA5E" w14:textId="3B649FAA" w:rsidR="00577B60" w:rsidRPr="00820D11" w:rsidRDefault="00820D11" w:rsidP="00E8192E">
      <w:r>
        <w:rPr>
          <w:color w:val="111111"/>
          <w:shd w:val="clear" w:color="auto" w:fill="FFFFFF"/>
        </w:rPr>
        <w:t xml:space="preserve">Internal consultation </w:t>
      </w:r>
      <w:r w:rsidR="00162ABD">
        <w:rPr>
          <w:color w:val="111111"/>
          <w:shd w:val="clear" w:color="auto" w:fill="FFFFFF"/>
        </w:rPr>
        <w:t xml:space="preserve">on the text of the Determination </w:t>
      </w:r>
      <w:r>
        <w:rPr>
          <w:color w:val="111111"/>
          <w:shd w:val="clear" w:color="auto" w:fill="FFFFFF"/>
        </w:rPr>
        <w:t xml:space="preserve">has been </w:t>
      </w:r>
      <w:r w:rsidR="00C523F8">
        <w:rPr>
          <w:color w:val="111111"/>
          <w:shd w:val="clear" w:color="auto" w:fill="FFFFFF"/>
        </w:rPr>
        <w:t xml:space="preserve">undertaken </w:t>
      </w:r>
      <w:r>
        <w:rPr>
          <w:color w:val="111111"/>
          <w:shd w:val="clear" w:color="auto" w:fill="FFFFFF"/>
        </w:rPr>
        <w:t xml:space="preserve">with </w:t>
      </w:r>
      <w:r w:rsidRPr="000D3373">
        <w:rPr>
          <w:shd w:val="clear" w:color="auto" w:fill="FFFFFF"/>
        </w:rPr>
        <w:t xml:space="preserve">the </w:t>
      </w:r>
      <w:r w:rsidRPr="000D3373">
        <w:t>Longitudinal Studies, Research and Methods Section, Data Strategy Branch in DSS</w:t>
      </w:r>
      <w:r>
        <w:t>.</w:t>
      </w:r>
    </w:p>
    <w:p w14:paraId="644A6CC6" w14:textId="29225741" w:rsidR="0045662A" w:rsidRDefault="0045662A" w:rsidP="00E8192E"/>
    <w:p w14:paraId="257A281D" w14:textId="27EA91DD" w:rsidR="0045662A" w:rsidRPr="003D2A8F" w:rsidRDefault="003D2A8F" w:rsidP="00E8192E">
      <w:r>
        <w:t>DSS</w:t>
      </w:r>
      <w:r w:rsidR="0045662A" w:rsidRPr="000D3373">
        <w:t xml:space="preserve"> </w:t>
      </w:r>
      <w:r w:rsidR="00820D11">
        <w:t xml:space="preserve">has also </w:t>
      </w:r>
      <w:r w:rsidR="0045662A" w:rsidRPr="000D3373">
        <w:t xml:space="preserve">consulted </w:t>
      </w:r>
      <w:r w:rsidR="00820D11">
        <w:t xml:space="preserve">with </w:t>
      </w:r>
      <w:r w:rsidR="0045662A" w:rsidRPr="000D3373">
        <w:t xml:space="preserve">the </w:t>
      </w:r>
      <w:r w:rsidR="00C523F8">
        <w:t>Department of Veterans’ Affairs and the Department of Agriculture, Fisheries and Forestry</w:t>
      </w:r>
      <w:r w:rsidR="0045662A" w:rsidRPr="000D3373">
        <w:t xml:space="preserve"> on the intention to make th</w:t>
      </w:r>
      <w:r w:rsidR="00C523F8">
        <w:t>e Determination</w:t>
      </w:r>
      <w:r w:rsidR="00FB5DCA">
        <w:t xml:space="preserve">, </w:t>
      </w:r>
      <w:r w:rsidR="00162ABD">
        <w:t>given the effect of</w:t>
      </w:r>
      <w:r w:rsidR="00FB5DCA" w:rsidRPr="003B4BF1">
        <w:rPr>
          <w:color w:val="FF0000"/>
        </w:rPr>
        <w:t xml:space="preserve"> </w:t>
      </w:r>
      <w:r w:rsidR="00FB5DCA" w:rsidRPr="000D3373">
        <w:t xml:space="preserve">this instrument </w:t>
      </w:r>
      <w:r w:rsidR="00162ABD" w:rsidRPr="000D3373">
        <w:t>on</w:t>
      </w:r>
      <w:r w:rsidR="00FB5DCA" w:rsidRPr="000D3373">
        <w:t xml:space="preserve"> income support recipients</w:t>
      </w:r>
      <w:r w:rsidR="0045662A" w:rsidRPr="003D2A8F">
        <w:t>.</w:t>
      </w:r>
    </w:p>
    <w:p w14:paraId="15CB4F23" w14:textId="77777777" w:rsidR="00C523F8" w:rsidRDefault="00C523F8" w:rsidP="000D3373">
      <w:pPr>
        <w:rPr>
          <w:b/>
          <w:lang w:eastAsia="en-AU"/>
        </w:rPr>
      </w:pPr>
    </w:p>
    <w:p w14:paraId="7E9E8F77" w14:textId="6CEA984F" w:rsidR="00C24956" w:rsidRPr="00C24956" w:rsidRDefault="00C24956" w:rsidP="000D3373">
      <w:pPr>
        <w:rPr>
          <w:lang w:eastAsia="en-AU"/>
        </w:rPr>
      </w:pPr>
      <w:r w:rsidRPr="00C24956">
        <w:rPr>
          <w:b/>
          <w:bCs/>
        </w:rPr>
        <w:t>Impact</w:t>
      </w:r>
      <w:r w:rsidRPr="00C24956">
        <w:rPr>
          <w:b/>
          <w:lang w:eastAsia="en-AU"/>
        </w:rPr>
        <w:t xml:space="preserve"> Analysis</w:t>
      </w:r>
    </w:p>
    <w:p w14:paraId="23F2BDDF" w14:textId="77777777" w:rsidR="0098310B" w:rsidRDefault="0098310B" w:rsidP="00C523F8">
      <w:pPr>
        <w:jc w:val="both"/>
      </w:pPr>
    </w:p>
    <w:p w14:paraId="326ACE62" w14:textId="46EA4AA6" w:rsidR="0098310B" w:rsidRPr="00641C25" w:rsidRDefault="003D2A8F" w:rsidP="00C523F8">
      <w:r>
        <w:t>DSS</w:t>
      </w:r>
      <w:r w:rsidR="0098310B" w:rsidRPr="00641C25">
        <w:t xml:space="preserve"> consulted with the Office of Impact Analysis who confirmed an Impact Analysis</w:t>
      </w:r>
      <w:r w:rsidR="0098310B">
        <w:t xml:space="preserve"> is not required </w:t>
      </w:r>
      <w:r w:rsidR="00BA6EB6">
        <w:t>(OIA24-06426)</w:t>
      </w:r>
      <w:r w:rsidR="0098310B" w:rsidRPr="00641C25">
        <w:t xml:space="preserve">. </w:t>
      </w:r>
      <w:r w:rsidR="00C523F8">
        <w:t xml:space="preserve"> </w:t>
      </w:r>
      <w:r w:rsidR="0098310B" w:rsidRPr="00641C25">
        <w:t>The </w:t>
      </w:r>
      <w:r w:rsidR="008A5A10">
        <w:t>D</w:t>
      </w:r>
      <w:r w:rsidR="0098310B" w:rsidRPr="00641C25">
        <w:t>etermination is not regulatory in nature, will not impact on business activity and will have no, or minimal, compliance costs or competition impact.</w:t>
      </w:r>
    </w:p>
    <w:p w14:paraId="467C4C2F" w14:textId="77777777" w:rsidR="0098310B" w:rsidRPr="00641C25" w:rsidRDefault="0098310B" w:rsidP="00C523F8">
      <w:pPr>
        <w:jc w:val="both"/>
      </w:pPr>
    </w:p>
    <w:p w14:paraId="35909BB2" w14:textId="77777777" w:rsidR="0012540D" w:rsidRPr="00C24956" w:rsidRDefault="0012540D" w:rsidP="000D3373">
      <w:pPr>
        <w:rPr>
          <w:bCs/>
        </w:rPr>
      </w:pPr>
      <w:r w:rsidRPr="00C24956">
        <w:rPr>
          <w:b/>
          <w:bCs/>
        </w:rPr>
        <w:t>Explanation of Provisions</w:t>
      </w:r>
    </w:p>
    <w:p w14:paraId="6886D338" w14:textId="77777777" w:rsidR="00C523F8" w:rsidRDefault="00C523F8" w:rsidP="000D3373">
      <w:pPr>
        <w:rPr>
          <w:b/>
          <w:bCs/>
        </w:rPr>
      </w:pPr>
    </w:p>
    <w:p w14:paraId="07B1DCB3" w14:textId="35D2C1C3" w:rsidR="002479BC" w:rsidRPr="00C24956" w:rsidRDefault="00ED31B8" w:rsidP="000D3373">
      <w:r w:rsidRPr="00C24956">
        <w:rPr>
          <w:b/>
          <w:bCs/>
        </w:rPr>
        <w:t>Section 1</w:t>
      </w:r>
      <w:r w:rsidR="00F80FC0" w:rsidRPr="00C24956">
        <w:rPr>
          <w:bCs/>
        </w:rPr>
        <w:t xml:space="preserve"> </w:t>
      </w:r>
      <w:r w:rsidR="0098310B">
        <w:rPr>
          <w:bCs/>
        </w:rPr>
        <w:t xml:space="preserve">provides that the name of the </w:t>
      </w:r>
      <w:r w:rsidR="008A5A10">
        <w:rPr>
          <w:bCs/>
        </w:rPr>
        <w:t>Determination</w:t>
      </w:r>
      <w:r w:rsidR="0098310B">
        <w:rPr>
          <w:bCs/>
        </w:rPr>
        <w:t xml:space="preserve"> is the</w:t>
      </w:r>
      <w:r w:rsidR="0098310B" w:rsidRPr="0098310B">
        <w:t xml:space="preserve"> </w:t>
      </w:r>
      <w:r w:rsidR="0098310B" w:rsidRPr="000D3373">
        <w:rPr>
          <w:bCs/>
          <w:i/>
        </w:rPr>
        <w:t xml:space="preserve">Social Security (Exempt Lump Sum) (HILDA </w:t>
      </w:r>
      <w:r w:rsidR="00341189">
        <w:rPr>
          <w:bCs/>
          <w:i/>
        </w:rPr>
        <w:t xml:space="preserve">Survey </w:t>
      </w:r>
      <w:r w:rsidR="008C1B27" w:rsidRPr="000D3373">
        <w:rPr>
          <w:bCs/>
          <w:i/>
        </w:rPr>
        <w:t xml:space="preserve">Respondent Incentive </w:t>
      </w:r>
      <w:r w:rsidR="0098310B" w:rsidRPr="000D3373">
        <w:rPr>
          <w:bCs/>
          <w:i/>
        </w:rPr>
        <w:t>Payment) Determination 2024</w:t>
      </w:r>
      <w:r w:rsidR="0098310B">
        <w:rPr>
          <w:bCs/>
        </w:rPr>
        <w:t>.</w:t>
      </w:r>
    </w:p>
    <w:p w14:paraId="0E4D15A4" w14:textId="77777777" w:rsidR="00C523F8" w:rsidRDefault="00C523F8" w:rsidP="000D3373">
      <w:pPr>
        <w:rPr>
          <w:b/>
          <w:bCs/>
        </w:rPr>
      </w:pPr>
    </w:p>
    <w:p w14:paraId="4D6C7B1F" w14:textId="4AE35552" w:rsidR="005806D2" w:rsidRPr="00C24956" w:rsidRDefault="004B2D29" w:rsidP="000D3373">
      <w:r w:rsidRPr="00C24956">
        <w:rPr>
          <w:b/>
          <w:bCs/>
        </w:rPr>
        <w:t>Section 2</w:t>
      </w:r>
      <w:r w:rsidR="00F80FC0" w:rsidRPr="00C24956">
        <w:rPr>
          <w:bCs/>
        </w:rPr>
        <w:t xml:space="preserve"> </w:t>
      </w:r>
      <w:r w:rsidR="0098310B">
        <w:rPr>
          <w:bCs/>
        </w:rPr>
        <w:t xml:space="preserve">provides that the </w:t>
      </w:r>
      <w:r w:rsidR="00F80FC0" w:rsidRPr="00C24956">
        <w:t>Determination commences on</w:t>
      </w:r>
      <w:r w:rsidR="003B4583" w:rsidRPr="00C24956">
        <w:t xml:space="preserve"> </w:t>
      </w:r>
      <w:r w:rsidR="00F54FFB">
        <w:t>the day after it is registered on the Federal Register of Legislation.</w:t>
      </w:r>
    </w:p>
    <w:p w14:paraId="620C26FA" w14:textId="77777777" w:rsidR="00C523F8" w:rsidRDefault="00C523F8" w:rsidP="000D3373">
      <w:pPr>
        <w:rPr>
          <w:b/>
        </w:rPr>
      </w:pPr>
    </w:p>
    <w:p w14:paraId="55BC21A9" w14:textId="3E7D2549" w:rsidR="006866E5" w:rsidRPr="00C24956" w:rsidRDefault="006866E5" w:rsidP="000D3373">
      <w:r w:rsidRPr="00C24956">
        <w:rPr>
          <w:b/>
        </w:rPr>
        <w:t>Section 3</w:t>
      </w:r>
      <w:r w:rsidRPr="00C24956">
        <w:t xml:space="preserve"> </w:t>
      </w:r>
      <w:r w:rsidR="0098310B">
        <w:t>provides that the authority for making the Determination is paragraph</w:t>
      </w:r>
      <w:r w:rsidR="008A5A10">
        <w:t> </w:t>
      </w:r>
      <w:r w:rsidR="0098310B">
        <w:t>8(11)(d) of the Act.</w:t>
      </w:r>
    </w:p>
    <w:p w14:paraId="6C147E00" w14:textId="77777777" w:rsidR="00C523F8" w:rsidRDefault="00C523F8" w:rsidP="000D3373">
      <w:pPr>
        <w:pStyle w:val="Default"/>
        <w:rPr>
          <w:b/>
          <w:bCs/>
          <w:color w:val="auto"/>
        </w:rPr>
      </w:pPr>
    </w:p>
    <w:p w14:paraId="2D644296" w14:textId="24159C28" w:rsidR="009D5985" w:rsidRDefault="00FA00BC" w:rsidP="000D3373">
      <w:pPr>
        <w:pStyle w:val="Default"/>
        <w:rPr>
          <w:bCs/>
          <w:color w:val="auto"/>
        </w:rPr>
      </w:pPr>
      <w:r w:rsidRPr="00C24956">
        <w:rPr>
          <w:b/>
          <w:bCs/>
          <w:color w:val="auto"/>
        </w:rPr>
        <w:t>Section 4</w:t>
      </w:r>
      <w:r w:rsidR="005806D2" w:rsidRPr="00C24956">
        <w:rPr>
          <w:b/>
          <w:bCs/>
          <w:color w:val="auto"/>
        </w:rPr>
        <w:t xml:space="preserve"> </w:t>
      </w:r>
      <w:r w:rsidR="00CB397B">
        <w:rPr>
          <w:bCs/>
          <w:color w:val="auto"/>
        </w:rPr>
        <w:t xml:space="preserve">provides the definitions of key terms used in the Determination. </w:t>
      </w:r>
      <w:r w:rsidR="00AD6C87" w:rsidRPr="00C24956">
        <w:rPr>
          <w:bCs/>
          <w:color w:val="auto"/>
        </w:rPr>
        <w:t xml:space="preserve"> </w:t>
      </w:r>
    </w:p>
    <w:p w14:paraId="4E868351" w14:textId="77777777" w:rsidR="00C523F8" w:rsidRDefault="00C523F8" w:rsidP="000D3373">
      <w:pPr>
        <w:pStyle w:val="Default"/>
        <w:rPr>
          <w:b/>
          <w:bCs/>
          <w:color w:val="auto"/>
        </w:rPr>
      </w:pPr>
    </w:p>
    <w:p w14:paraId="7A5B476F" w14:textId="160164D9" w:rsidR="00F54FFB" w:rsidRPr="00C24956" w:rsidRDefault="00F54FFB" w:rsidP="000D3373">
      <w:pPr>
        <w:pStyle w:val="Default"/>
        <w:rPr>
          <w:bCs/>
          <w:color w:val="auto"/>
        </w:rPr>
      </w:pPr>
      <w:r w:rsidRPr="00F54FFB">
        <w:rPr>
          <w:b/>
          <w:bCs/>
          <w:color w:val="auto"/>
        </w:rPr>
        <w:t>Section 5</w:t>
      </w:r>
      <w:r>
        <w:rPr>
          <w:bCs/>
          <w:color w:val="auto"/>
        </w:rPr>
        <w:t xml:space="preserve"> provides that each instrument that is specified in a Schedule to this instrument is amended or repealed as set out in the applicable items in the Schedule concerned.</w:t>
      </w:r>
    </w:p>
    <w:p w14:paraId="0A6B2B27" w14:textId="77777777" w:rsidR="00C523F8" w:rsidRDefault="00C523F8" w:rsidP="000D3373">
      <w:pPr>
        <w:pStyle w:val="Default"/>
        <w:rPr>
          <w:b/>
        </w:rPr>
      </w:pPr>
    </w:p>
    <w:p w14:paraId="1AD07074" w14:textId="101A8BD1" w:rsidR="005806D2" w:rsidRDefault="00355098" w:rsidP="000D3373">
      <w:pPr>
        <w:pStyle w:val="Default"/>
      </w:pPr>
      <w:r w:rsidRPr="00C24956">
        <w:rPr>
          <w:b/>
        </w:rPr>
        <w:t xml:space="preserve">Section </w:t>
      </w:r>
      <w:r w:rsidR="00F54FFB">
        <w:rPr>
          <w:b/>
        </w:rPr>
        <w:t>6</w:t>
      </w:r>
      <w:r w:rsidR="00FA00BC" w:rsidRPr="00C24956">
        <w:t xml:space="preserve"> </w:t>
      </w:r>
      <w:r w:rsidR="00CB397B">
        <w:t>provides</w:t>
      </w:r>
      <w:r w:rsidRPr="00C24956">
        <w:t xml:space="preserve"> that for </w:t>
      </w:r>
      <w:r w:rsidR="00CB397B">
        <w:t xml:space="preserve">the purposes of </w:t>
      </w:r>
      <w:r w:rsidR="00985ADA">
        <w:t xml:space="preserve">the Act, </w:t>
      </w:r>
      <w:r w:rsidRPr="00C24956">
        <w:t xml:space="preserve">a </w:t>
      </w:r>
      <w:r w:rsidR="00E926F4">
        <w:t xml:space="preserve">respondent incentive payment </w:t>
      </w:r>
      <w:r w:rsidR="00985ADA">
        <w:t xml:space="preserve">is an exempt lump sum under </w:t>
      </w:r>
      <w:r w:rsidR="00985ADA" w:rsidRPr="00C24956">
        <w:t>paragraph 8(11)(d) of the Act</w:t>
      </w:r>
      <w:r w:rsidR="00985ADA">
        <w:t>.</w:t>
      </w:r>
    </w:p>
    <w:p w14:paraId="666928AA" w14:textId="77777777" w:rsidR="00C523F8" w:rsidRDefault="00C523F8" w:rsidP="000D3373">
      <w:pPr>
        <w:pStyle w:val="Default"/>
        <w:rPr>
          <w:b/>
        </w:rPr>
      </w:pPr>
    </w:p>
    <w:p w14:paraId="081A7592" w14:textId="4B506616" w:rsidR="000E567C" w:rsidRDefault="000E567C" w:rsidP="000D3373">
      <w:pPr>
        <w:pStyle w:val="Default"/>
        <w:rPr>
          <w:b/>
        </w:rPr>
      </w:pPr>
      <w:r w:rsidRPr="00DA7D59">
        <w:rPr>
          <w:b/>
        </w:rPr>
        <w:t>Sc</w:t>
      </w:r>
      <w:r w:rsidR="00A46EE8" w:rsidRPr="00DA7D59">
        <w:rPr>
          <w:b/>
        </w:rPr>
        <w:t>hedule 1 - Repeals</w:t>
      </w:r>
      <w:r w:rsidRPr="00DA7D59">
        <w:rPr>
          <w:b/>
        </w:rPr>
        <w:t xml:space="preserve"> </w:t>
      </w:r>
    </w:p>
    <w:p w14:paraId="3D5862EE" w14:textId="77777777" w:rsidR="00C523F8" w:rsidRDefault="00C523F8" w:rsidP="000D3373">
      <w:pPr>
        <w:pStyle w:val="Default"/>
        <w:rPr>
          <w:b/>
        </w:rPr>
      </w:pPr>
    </w:p>
    <w:p w14:paraId="5989DA5A" w14:textId="7E9861FB" w:rsidR="00A46EE8" w:rsidRPr="00AE330E" w:rsidRDefault="00A46EE8" w:rsidP="000D3373">
      <w:pPr>
        <w:pStyle w:val="Default"/>
        <w:rPr>
          <w:b/>
          <w:bCs/>
          <w:color w:val="auto"/>
        </w:rPr>
      </w:pPr>
      <w:r>
        <w:rPr>
          <w:b/>
        </w:rPr>
        <w:t>Item</w:t>
      </w:r>
      <w:r w:rsidR="008A5A10">
        <w:rPr>
          <w:b/>
        </w:rPr>
        <w:t xml:space="preserve"> </w:t>
      </w:r>
      <w:r>
        <w:rPr>
          <w:b/>
        </w:rPr>
        <w:t xml:space="preserve">1 </w:t>
      </w:r>
      <w:r w:rsidRPr="00DA7D59">
        <w:t>repeals the</w:t>
      </w:r>
      <w:r w:rsidRPr="00DA7D59">
        <w:rPr>
          <w:bCs/>
          <w:i/>
        </w:rPr>
        <w:t xml:space="preserve"> Social Security (Exempt Lump Sum) (HILDA Survey Lump Sum Participant Payment) Determination 20</w:t>
      </w:r>
      <w:r>
        <w:rPr>
          <w:bCs/>
          <w:i/>
        </w:rPr>
        <w:t>1</w:t>
      </w:r>
      <w:r w:rsidRPr="00DA7D59">
        <w:rPr>
          <w:bCs/>
          <w:i/>
        </w:rPr>
        <w:t>4</w:t>
      </w:r>
      <w:r>
        <w:rPr>
          <w:bCs/>
          <w:i/>
        </w:rPr>
        <w:t>.</w:t>
      </w:r>
      <w:r w:rsidR="00AE330E">
        <w:rPr>
          <w:bCs/>
        </w:rPr>
        <w:t xml:space="preserve">  </w:t>
      </w:r>
    </w:p>
    <w:p w14:paraId="4976C0D2" w14:textId="77777777" w:rsidR="005D10D5" w:rsidRPr="00C24956" w:rsidRDefault="00421FDF" w:rsidP="00E8192E">
      <w:pPr>
        <w:keepNext/>
        <w:outlineLvl w:val="2"/>
        <w:rPr>
          <w:b/>
          <w:bCs/>
        </w:rPr>
      </w:pPr>
      <w:r w:rsidRPr="00C24956">
        <w:rPr>
          <w:b/>
          <w:bCs/>
        </w:rPr>
        <w:br w:type="page"/>
      </w:r>
    </w:p>
    <w:p w14:paraId="6BD01858" w14:textId="77777777" w:rsidR="00853E39" w:rsidRPr="00C24956" w:rsidRDefault="00853E39" w:rsidP="00E8192E">
      <w:pPr>
        <w:keepNext/>
        <w:jc w:val="center"/>
        <w:outlineLvl w:val="2"/>
        <w:rPr>
          <w:b/>
          <w:bCs/>
        </w:rPr>
      </w:pPr>
      <w:r w:rsidRPr="00C24956">
        <w:rPr>
          <w:b/>
          <w:bCs/>
        </w:rPr>
        <w:t>Statement of Compatibility with Human Rights</w:t>
      </w:r>
    </w:p>
    <w:p w14:paraId="2942E2EE" w14:textId="77777777" w:rsidR="00853E39" w:rsidRPr="00C24956" w:rsidRDefault="00853E39" w:rsidP="00E8192E">
      <w:pPr>
        <w:jc w:val="both"/>
      </w:pPr>
    </w:p>
    <w:p w14:paraId="06087ACA" w14:textId="77777777" w:rsidR="00853E39" w:rsidRPr="00C24956" w:rsidRDefault="00853E39" w:rsidP="00E8192E">
      <w:pPr>
        <w:jc w:val="center"/>
        <w:rPr>
          <w:i/>
        </w:rPr>
      </w:pPr>
      <w:r w:rsidRPr="00C24956">
        <w:t>Prepared in accordance with Part 3 of the</w:t>
      </w:r>
      <w:r w:rsidRPr="00C24956">
        <w:rPr>
          <w:i/>
        </w:rPr>
        <w:t xml:space="preserve"> Human Rights (Parliamentary Scrutiny) Act 2011</w:t>
      </w:r>
    </w:p>
    <w:p w14:paraId="7C56A27E" w14:textId="77777777" w:rsidR="00C523F8" w:rsidRDefault="00C523F8" w:rsidP="000D3373">
      <w:pPr>
        <w:jc w:val="center"/>
        <w:rPr>
          <w:b/>
          <w:i/>
        </w:rPr>
      </w:pPr>
    </w:p>
    <w:p w14:paraId="6B2FEF84" w14:textId="1C3B2445" w:rsidR="00C523F8" w:rsidRDefault="00C523F8" w:rsidP="000D3373">
      <w:pPr>
        <w:jc w:val="center"/>
        <w:rPr>
          <w:b/>
          <w:i/>
        </w:rPr>
      </w:pPr>
      <w:r>
        <w:rPr>
          <w:b/>
          <w:i/>
        </w:rPr>
        <w:t>Social Security Act 1991</w:t>
      </w:r>
    </w:p>
    <w:p w14:paraId="23EB1AB9" w14:textId="77777777" w:rsidR="00C523F8" w:rsidRDefault="00C523F8" w:rsidP="000D3373">
      <w:pPr>
        <w:jc w:val="center"/>
        <w:rPr>
          <w:b/>
          <w:i/>
        </w:rPr>
      </w:pPr>
    </w:p>
    <w:p w14:paraId="0E5B3EF3" w14:textId="657298B5" w:rsidR="00853E39" w:rsidRPr="00C24956" w:rsidRDefault="00853E39" w:rsidP="000D3373">
      <w:pPr>
        <w:jc w:val="center"/>
        <w:rPr>
          <w:b/>
          <w:bCs/>
          <w:i/>
        </w:rPr>
      </w:pPr>
      <w:r w:rsidRPr="00C24956">
        <w:rPr>
          <w:b/>
          <w:i/>
        </w:rPr>
        <w:t xml:space="preserve">Social Security </w:t>
      </w:r>
      <w:r w:rsidR="006417FD" w:rsidRPr="00C24956">
        <w:rPr>
          <w:b/>
          <w:i/>
        </w:rPr>
        <w:t>(</w:t>
      </w:r>
      <w:r w:rsidRPr="00C24956">
        <w:rPr>
          <w:b/>
          <w:i/>
        </w:rPr>
        <w:t>Exempt Lump Sum</w:t>
      </w:r>
      <w:r w:rsidR="006417FD" w:rsidRPr="00C24956">
        <w:rPr>
          <w:b/>
          <w:i/>
        </w:rPr>
        <w:t>)</w:t>
      </w:r>
      <w:r w:rsidRPr="00C24956">
        <w:rPr>
          <w:b/>
          <w:i/>
        </w:rPr>
        <w:t xml:space="preserve"> (</w:t>
      </w:r>
      <w:r w:rsidR="004F6E5F" w:rsidRPr="00C24956">
        <w:rPr>
          <w:b/>
          <w:i/>
        </w:rPr>
        <w:t xml:space="preserve">HILDA Survey </w:t>
      </w:r>
      <w:r w:rsidR="00C523F8">
        <w:rPr>
          <w:b/>
          <w:i/>
        </w:rPr>
        <w:t>Respondent Incentive</w:t>
      </w:r>
      <w:r w:rsidR="00C523F8" w:rsidRPr="00C24956">
        <w:rPr>
          <w:b/>
          <w:i/>
        </w:rPr>
        <w:t xml:space="preserve"> </w:t>
      </w:r>
      <w:r w:rsidR="004F6E5F" w:rsidRPr="00C24956">
        <w:rPr>
          <w:b/>
          <w:i/>
        </w:rPr>
        <w:t>Payment</w:t>
      </w:r>
      <w:r w:rsidR="00A97311" w:rsidRPr="00C24956">
        <w:rPr>
          <w:b/>
          <w:i/>
        </w:rPr>
        <w:t>)</w:t>
      </w:r>
      <w:r w:rsidRPr="00C24956">
        <w:rPr>
          <w:b/>
          <w:i/>
        </w:rPr>
        <w:t xml:space="preserve"> Determination </w:t>
      </w:r>
      <w:r w:rsidR="00CB397B">
        <w:rPr>
          <w:b/>
          <w:i/>
        </w:rPr>
        <w:t>2024</w:t>
      </w:r>
    </w:p>
    <w:p w14:paraId="10640280" w14:textId="77777777" w:rsidR="00C523F8" w:rsidRDefault="00C523F8" w:rsidP="000D3373">
      <w:pPr>
        <w:outlineLvl w:val="2"/>
      </w:pPr>
    </w:p>
    <w:p w14:paraId="2A2EFAFF" w14:textId="10E1A51E" w:rsidR="00853E39" w:rsidRPr="00C24956" w:rsidRDefault="00853E39" w:rsidP="000D3373">
      <w:pPr>
        <w:outlineLvl w:val="2"/>
        <w:rPr>
          <w:i/>
        </w:rPr>
      </w:pPr>
      <w:r w:rsidRPr="00C24956">
        <w:t xml:space="preserve">The </w:t>
      </w:r>
      <w:r w:rsidR="00C523F8" w:rsidRPr="000D3373">
        <w:rPr>
          <w:i/>
        </w:rPr>
        <w:t>Social Security (Exempt Lump Sum) (HILDA Survey Respondent Incentive Payment) Determination 2024</w:t>
      </w:r>
      <w:r w:rsidR="00C523F8">
        <w:t xml:space="preserve"> (Determination) </w:t>
      </w:r>
      <w:r w:rsidRPr="00C24956">
        <w:t>is compatible with the human rights and freedoms recognised or declared in the international instruments listed in section</w:t>
      </w:r>
      <w:r w:rsidR="00C523F8">
        <w:t> </w:t>
      </w:r>
      <w:r w:rsidRPr="00C24956">
        <w:t>3 of the</w:t>
      </w:r>
      <w:r w:rsidRPr="00C24956">
        <w:rPr>
          <w:i/>
        </w:rPr>
        <w:t xml:space="preserve"> Human Rights (Parliamentary Scrutiny) Act 2011.</w:t>
      </w:r>
    </w:p>
    <w:p w14:paraId="675FC1A8" w14:textId="77777777" w:rsidR="00853E39" w:rsidRPr="00C24956" w:rsidRDefault="00853E39" w:rsidP="00C523F8">
      <w:pPr>
        <w:rPr>
          <w:i/>
        </w:rPr>
      </w:pPr>
    </w:p>
    <w:p w14:paraId="5F952CA3" w14:textId="3B883090" w:rsidR="00853E39" w:rsidRPr="00C24956" w:rsidRDefault="00853E39" w:rsidP="00C523F8">
      <w:pPr>
        <w:outlineLvl w:val="2"/>
        <w:rPr>
          <w:i/>
        </w:rPr>
      </w:pPr>
      <w:r w:rsidRPr="00C24956">
        <w:rPr>
          <w:i/>
        </w:rPr>
        <w:t xml:space="preserve">Overview of the </w:t>
      </w:r>
      <w:r w:rsidR="00C523F8">
        <w:rPr>
          <w:i/>
        </w:rPr>
        <w:t>Determination</w:t>
      </w:r>
    </w:p>
    <w:p w14:paraId="6BF570BF" w14:textId="77777777" w:rsidR="00C523F8" w:rsidRDefault="00C523F8" w:rsidP="000D3373"/>
    <w:p w14:paraId="78DE448D" w14:textId="2310A0D8" w:rsidR="00853E39" w:rsidRDefault="00853E39" w:rsidP="000D3373">
      <w:r w:rsidRPr="00C24956">
        <w:t xml:space="preserve">The effect of the Determination is that a person who receives </w:t>
      </w:r>
      <w:r w:rsidR="005640D0" w:rsidRPr="00C24956">
        <w:t>a</w:t>
      </w:r>
      <w:r w:rsidR="00E926F4">
        <w:t xml:space="preserve">n incentive </w:t>
      </w:r>
      <w:r w:rsidR="005640D0" w:rsidRPr="00C24956">
        <w:t xml:space="preserve">payment </w:t>
      </w:r>
      <w:r w:rsidR="00E926F4">
        <w:t xml:space="preserve">for their </w:t>
      </w:r>
      <w:r w:rsidR="005640D0" w:rsidRPr="00C24956">
        <w:t>participa</w:t>
      </w:r>
      <w:r w:rsidR="00E926F4">
        <w:t xml:space="preserve">tion </w:t>
      </w:r>
      <w:r w:rsidR="005640D0" w:rsidRPr="00C24956">
        <w:t xml:space="preserve">in the Household, Income and Labour Dynamics in Australia (HILDA) </w:t>
      </w:r>
      <w:r w:rsidR="00183DE0" w:rsidRPr="00C24956">
        <w:t>S</w:t>
      </w:r>
      <w:r w:rsidR="005640D0" w:rsidRPr="00C24956">
        <w:t>urvey</w:t>
      </w:r>
      <w:r w:rsidR="00D85D48" w:rsidRPr="00C24956">
        <w:t xml:space="preserve"> on behalf of the Department of Social</w:t>
      </w:r>
      <w:r w:rsidR="004C2C51">
        <w:t> </w:t>
      </w:r>
      <w:r w:rsidR="00D85D48" w:rsidRPr="00C24956">
        <w:t>Services</w:t>
      </w:r>
      <w:r w:rsidR="005640D0" w:rsidRPr="00C24956">
        <w:t xml:space="preserve"> (</w:t>
      </w:r>
      <w:r w:rsidR="00E92F2E" w:rsidRPr="00C24956">
        <w:t xml:space="preserve">HILDA Survey </w:t>
      </w:r>
      <w:r w:rsidR="00E926F4">
        <w:t xml:space="preserve">respondent incentive </w:t>
      </w:r>
      <w:r w:rsidR="00CD7BEF">
        <w:t>p</w:t>
      </w:r>
      <w:r w:rsidR="00E92F2E" w:rsidRPr="00C24956">
        <w:t>ayment</w:t>
      </w:r>
      <w:r w:rsidR="005640D0" w:rsidRPr="00C24956">
        <w:t>)</w:t>
      </w:r>
      <w:r w:rsidR="00A27029" w:rsidRPr="00C24956">
        <w:t xml:space="preserve"> </w:t>
      </w:r>
      <w:r w:rsidRPr="00C24956">
        <w:t xml:space="preserve">will not have that </w:t>
      </w:r>
      <w:r w:rsidR="005640D0" w:rsidRPr="00C24956">
        <w:t>payment</w:t>
      </w:r>
      <w:r w:rsidRPr="00C24956">
        <w:t xml:space="preserve"> assessed as income under the social security law. </w:t>
      </w:r>
      <w:r w:rsidR="00AE330E">
        <w:t xml:space="preserve"> </w:t>
      </w:r>
    </w:p>
    <w:p w14:paraId="7A6804AC" w14:textId="77777777" w:rsidR="00D22861" w:rsidRPr="00C24956" w:rsidRDefault="00D22861" w:rsidP="000D3373"/>
    <w:p w14:paraId="3ECACED4" w14:textId="719677AD" w:rsidR="00853E39" w:rsidRDefault="00853E39" w:rsidP="000D3373">
      <w:pPr>
        <w:outlineLvl w:val="2"/>
        <w:rPr>
          <w:i/>
        </w:rPr>
      </w:pPr>
      <w:r w:rsidRPr="00C24956">
        <w:rPr>
          <w:i/>
        </w:rPr>
        <w:t>Human rights implications</w:t>
      </w:r>
    </w:p>
    <w:p w14:paraId="347A21FB" w14:textId="77777777" w:rsidR="00D22861" w:rsidRPr="00C24956" w:rsidRDefault="00D22861" w:rsidP="000D3373">
      <w:pPr>
        <w:outlineLvl w:val="2"/>
        <w:rPr>
          <w:i/>
        </w:rPr>
      </w:pPr>
    </w:p>
    <w:p w14:paraId="54A16D4A" w14:textId="553DFA10" w:rsidR="00853E39" w:rsidRPr="00C24956" w:rsidRDefault="00853E39" w:rsidP="000D3373">
      <w:pPr>
        <w:autoSpaceDE w:val="0"/>
        <w:autoSpaceDN w:val="0"/>
        <w:adjustRightInd w:val="0"/>
      </w:pPr>
      <w:r w:rsidRPr="00C24956">
        <w:t xml:space="preserve">The Determination engages the right to social security under Article 9 of the International Covenant on Economic, Social and Cultural Rights (ICESCR). </w:t>
      </w:r>
      <w:r w:rsidR="008A5A10">
        <w:t xml:space="preserve"> </w:t>
      </w:r>
      <w:r w:rsidRPr="00C24956">
        <w:t xml:space="preserve">The right to social security requires that a system be established under domestic law, and that public authorities must take responsibility for the effective administration of the system. </w:t>
      </w:r>
      <w:r w:rsidR="008A5A10">
        <w:t xml:space="preserve"> </w:t>
      </w:r>
      <w:r w:rsidRPr="00C24956">
        <w:t>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4DE2E3B4" w14:textId="77777777" w:rsidR="00C523F8" w:rsidRDefault="00C523F8" w:rsidP="000D3373">
      <w:pPr>
        <w:autoSpaceDE w:val="0"/>
        <w:autoSpaceDN w:val="0"/>
        <w:adjustRightInd w:val="0"/>
      </w:pPr>
    </w:p>
    <w:p w14:paraId="779AA2DF" w14:textId="656342D4" w:rsidR="00853E39" w:rsidRPr="00C24956" w:rsidRDefault="00853E39" w:rsidP="000D3373">
      <w:pPr>
        <w:autoSpaceDE w:val="0"/>
        <w:autoSpaceDN w:val="0"/>
        <w:adjustRightInd w:val="0"/>
      </w:pPr>
      <w:r w:rsidRPr="00C24956">
        <w:t xml:space="preserve">The changes made by the Determination will operate beneficially as a </w:t>
      </w:r>
      <w:r w:rsidR="0085223C" w:rsidRPr="00C24956">
        <w:t xml:space="preserve">HILDA Survey </w:t>
      </w:r>
      <w:r w:rsidR="00E926F4">
        <w:t xml:space="preserve">respondent incentive </w:t>
      </w:r>
      <w:r w:rsidR="00CD7BEF">
        <w:t>p</w:t>
      </w:r>
      <w:r w:rsidR="0085223C" w:rsidRPr="00C24956">
        <w:t>ayment</w:t>
      </w:r>
      <w:r w:rsidRPr="00C24956">
        <w:t xml:space="preserve"> will not be taken into account when assessing a person’s eligibility or rate of social security </w:t>
      </w:r>
      <w:r w:rsidR="00922AB5">
        <w:t>payments</w:t>
      </w:r>
      <w:r w:rsidR="00922AB5" w:rsidRPr="00C24956">
        <w:t xml:space="preserve"> </w:t>
      </w:r>
      <w:r w:rsidRPr="00C24956">
        <w:t xml:space="preserve">under the social security income test. </w:t>
      </w:r>
      <w:r w:rsidR="008A5A10">
        <w:t xml:space="preserve"> </w:t>
      </w:r>
      <w:r w:rsidRPr="00C24956">
        <w:t xml:space="preserve">If </w:t>
      </w:r>
      <w:r w:rsidR="0085223C" w:rsidRPr="00C24956">
        <w:t xml:space="preserve">HILDA Survey </w:t>
      </w:r>
      <w:r w:rsidR="00E926F4">
        <w:t xml:space="preserve">respondent incentive </w:t>
      </w:r>
      <w:r w:rsidR="00CD7BEF">
        <w:t>p</w:t>
      </w:r>
      <w:r w:rsidR="0085223C" w:rsidRPr="00C24956">
        <w:t>ayment</w:t>
      </w:r>
      <w:r w:rsidR="00CD7BEF">
        <w:t>s</w:t>
      </w:r>
      <w:r w:rsidRPr="00C24956">
        <w:t xml:space="preserve"> </w:t>
      </w:r>
      <w:r w:rsidR="00CD7BEF">
        <w:t>are</w:t>
      </w:r>
      <w:r w:rsidRPr="00C24956">
        <w:t xml:space="preserve"> not exempted, a person in receipt of </w:t>
      </w:r>
      <w:r w:rsidR="00CD7BEF">
        <w:t>a</w:t>
      </w:r>
      <w:r w:rsidRPr="00C24956">
        <w:t xml:space="preserve"> </w:t>
      </w:r>
      <w:r w:rsidR="0085223C" w:rsidRPr="00C24956">
        <w:t>p</w:t>
      </w:r>
      <w:r w:rsidR="005247E6" w:rsidRPr="00C24956">
        <w:t>ayment</w:t>
      </w:r>
      <w:r w:rsidR="00FB70CB" w:rsidRPr="00C24956">
        <w:t xml:space="preserve"> </w:t>
      </w:r>
      <w:r w:rsidRPr="00C24956">
        <w:t>may not be eligible for a social security payment or if they are eligible, their rate of payment might be reduced.</w:t>
      </w:r>
    </w:p>
    <w:p w14:paraId="2A7FD205" w14:textId="1FAF1616" w:rsidR="00853E39" w:rsidRPr="00C24956" w:rsidRDefault="00853E39" w:rsidP="000D3373">
      <w:pPr>
        <w:autoSpaceDE w:val="0"/>
        <w:autoSpaceDN w:val="0"/>
        <w:adjustRightInd w:val="0"/>
      </w:pPr>
    </w:p>
    <w:p w14:paraId="04A8C59D" w14:textId="77777777" w:rsidR="00853E39" w:rsidRPr="00C24956" w:rsidRDefault="00853E39" w:rsidP="00C523F8">
      <w:pPr>
        <w:rPr>
          <w:bCs/>
          <w:i/>
        </w:rPr>
      </w:pPr>
      <w:r w:rsidRPr="00C24956">
        <w:rPr>
          <w:bCs/>
          <w:i/>
        </w:rPr>
        <w:t xml:space="preserve">Conclusion </w:t>
      </w:r>
    </w:p>
    <w:p w14:paraId="59B1C990" w14:textId="77777777" w:rsidR="00853E39" w:rsidRPr="00C24956" w:rsidRDefault="00853E39" w:rsidP="00E8192E"/>
    <w:p w14:paraId="148E75A1" w14:textId="469CA5A3" w:rsidR="00853E39" w:rsidRPr="00C24956" w:rsidRDefault="00853E39" w:rsidP="00E8192E">
      <w:r w:rsidRPr="00C24956">
        <w:t xml:space="preserve">This Determination </w:t>
      </w:r>
      <w:r w:rsidR="001760AE">
        <w:t>is compatible with</w:t>
      </w:r>
      <w:r w:rsidRPr="00C24956">
        <w:t xml:space="preserve"> human right</w:t>
      </w:r>
      <w:r w:rsidR="001760AE">
        <w:t>s as it supports a person’s right</w:t>
      </w:r>
      <w:r w:rsidRPr="00C24956">
        <w:t xml:space="preserve"> to social security.</w:t>
      </w:r>
    </w:p>
    <w:p w14:paraId="38434C93" w14:textId="77777777" w:rsidR="00853E39" w:rsidRPr="00C24956" w:rsidRDefault="00853E39" w:rsidP="00E8192E">
      <w:pPr>
        <w:jc w:val="both"/>
      </w:pPr>
    </w:p>
    <w:p w14:paraId="027DD407" w14:textId="45959DCB" w:rsidR="005C167C" w:rsidRPr="00C24956" w:rsidRDefault="00CB397B" w:rsidP="00E8192E">
      <w:pPr>
        <w:rPr>
          <w:lang w:eastAsia="en-AU"/>
        </w:rPr>
      </w:pPr>
      <w:r>
        <w:rPr>
          <w:b/>
        </w:rPr>
        <w:t>Gillian Beer</w:t>
      </w:r>
      <w:r w:rsidR="00853E39" w:rsidRPr="00C24956">
        <w:rPr>
          <w:b/>
        </w:rPr>
        <w:t xml:space="preserve">, </w:t>
      </w:r>
      <w:r w:rsidR="00311BB9" w:rsidRPr="00C24956">
        <w:rPr>
          <w:b/>
        </w:rPr>
        <w:t xml:space="preserve">Branch Manager, </w:t>
      </w:r>
      <w:r>
        <w:rPr>
          <w:b/>
        </w:rPr>
        <w:t xml:space="preserve">Payment Structures and </w:t>
      </w:r>
      <w:r w:rsidR="00311BB9" w:rsidRPr="00C24956">
        <w:rPr>
          <w:b/>
        </w:rPr>
        <w:t>Seniors Branch</w:t>
      </w:r>
      <w:r>
        <w:rPr>
          <w:b/>
        </w:rPr>
        <w:t>, D</w:t>
      </w:r>
      <w:r w:rsidR="00853E39" w:rsidRPr="00C24956">
        <w:rPr>
          <w:b/>
        </w:rPr>
        <w:t xml:space="preserve">elegate of the Secretary of the Department of </w:t>
      </w:r>
      <w:r w:rsidR="005247E6" w:rsidRPr="00C24956">
        <w:rPr>
          <w:b/>
        </w:rPr>
        <w:t>Social Services</w:t>
      </w:r>
    </w:p>
    <w:sectPr w:rsidR="005C167C" w:rsidRPr="00C24956">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ED99" w14:textId="77777777" w:rsidR="00B22740" w:rsidRDefault="00B22740">
      <w:r>
        <w:separator/>
      </w:r>
    </w:p>
  </w:endnote>
  <w:endnote w:type="continuationSeparator" w:id="0">
    <w:p w14:paraId="11D61D8C" w14:textId="77777777" w:rsidR="00B22740" w:rsidRDefault="00B2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635"/>
      <w:gridCol w:w="7009"/>
      <w:gridCol w:w="662"/>
    </w:tblGrid>
    <w:tr w:rsidR="009A080E" w:rsidRPr="00B812EE" w14:paraId="2AEE91AB" w14:textId="77777777" w:rsidTr="00B812EE">
      <w:tc>
        <w:tcPr>
          <w:tcW w:w="648" w:type="dxa"/>
        </w:tcPr>
        <w:p w14:paraId="18346C9D" w14:textId="77777777" w:rsidR="009A080E" w:rsidRPr="00B812EE" w:rsidRDefault="009A080E" w:rsidP="00B812EE">
          <w:pPr>
            <w:pStyle w:val="Header"/>
            <w:tabs>
              <w:tab w:val="left" w:pos="7920"/>
            </w:tabs>
            <w:rPr>
              <w:rFonts w:ascii="Arial" w:hAnsi="Arial" w:cs="Arial"/>
              <w:sz w:val="20"/>
            </w:rPr>
          </w:pPr>
        </w:p>
        <w:p w14:paraId="2E377CBB" w14:textId="77777777" w:rsidR="009A080E" w:rsidRPr="00B812EE" w:rsidRDefault="009A080E" w:rsidP="00B812EE">
          <w:pPr>
            <w:pStyle w:val="Header"/>
            <w:tabs>
              <w:tab w:val="left" w:pos="7920"/>
            </w:tabs>
            <w:rPr>
              <w:rFonts w:ascii="Arial" w:hAnsi="Arial" w:cs="Arial"/>
              <w:sz w:val="20"/>
            </w:rPr>
          </w:pPr>
        </w:p>
      </w:tc>
      <w:tc>
        <w:tcPr>
          <w:tcW w:w="7200" w:type="dxa"/>
        </w:tcPr>
        <w:p w14:paraId="21B8E688" w14:textId="77777777" w:rsidR="009A080E" w:rsidRPr="00DA7D59" w:rsidRDefault="009A080E" w:rsidP="00B812EE">
          <w:pPr>
            <w:pStyle w:val="Header"/>
            <w:tabs>
              <w:tab w:val="left" w:pos="7920"/>
            </w:tabs>
            <w:rPr>
              <w:iCs/>
              <w:sz w:val="20"/>
            </w:rPr>
          </w:pPr>
        </w:p>
        <w:p w14:paraId="4D70A5A7" w14:textId="0253C04F" w:rsidR="009A080E" w:rsidRPr="00DA7D59" w:rsidRDefault="00D0797B" w:rsidP="008E5DC9">
          <w:pPr>
            <w:pStyle w:val="Header"/>
            <w:tabs>
              <w:tab w:val="left" w:pos="7920"/>
            </w:tabs>
            <w:jc w:val="center"/>
            <w:rPr>
              <w:sz w:val="20"/>
            </w:rPr>
          </w:pPr>
          <w:r>
            <w:rPr>
              <w:i/>
              <w:iCs/>
              <w:sz w:val="20"/>
            </w:rPr>
            <w:t>Explanatory Statement – Social Security (Exempt Lump Sum)(HILDA Survey Respondent Incentive Payment) 2024</w:t>
          </w:r>
        </w:p>
      </w:tc>
      <w:tc>
        <w:tcPr>
          <w:tcW w:w="674" w:type="dxa"/>
        </w:tcPr>
        <w:p w14:paraId="758FE4FC" w14:textId="77777777" w:rsidR="009A080E" w:rsidRPr="00DA7D59" w:rsidRDefault="009A080E" w:rsidP="00B812EE">
          <w:pPr>
            <w:pStyle w:val="Header"/>
            <w:tabs>
              <w:tab w:val="left" w:pos="7920"/>
            </w:tabs>
            <w:rPr>
              <w:rStyle w:val="PageNumber"/>
              <w:sz w:val="20"/>
              <w:szCs w:val="20"/>
            </w:rPr>
          </w:pPr>
        </w:p>
        <w:p w14:paraId="2C509846" w14:textId="0B4025CC" w:rsidR="009A080E" w:rsidRPr="00D22861" w:rsidRDefault="009A080E" w:rsidP="00B812EE">
          <w:pPr>
            <w:pStyle w:val="Header"/>
            <w:tabs>
              <w:tab w:val="left" w:pos="7920"/>
            </w:tabs>
            <w:jc w:val="center"/>
            <w:rPr>
              <w:i/>
              <w:sz w:val="20"/>
              <w:szCs w:val="20"/>
            </w:rPr>
          </w:pPr>
          <w:r w:rsidRPr="00D22861">
            <w:rPr>
              <w:rStyle w:val="PageNumber"/>
              <w:i/>
              <w:sz w:val="20"/>
              <w:szCs w:val="20"/>
            </w:rPr>
            <w:fldChar w:fldCharType="begin"/>
          </w:r>
          <w:r w:rsidRPr="00D22861">
            <w:rPr>
              <w:rStyle w:val="PageNumber"/>
              <w:i/>
              <w:sz w:val="20"/>
              <w:szCs w:val="20"/>
            </w:rPr>
            <w:instrText xml:space="preserve"> PAGE </w:instrText>
          </w:r>
          <w:r w:rsidRPr="00D22861">
            <w:rPr>
              <w:rStyle w:val="PageNumber"/>
              <w:i/>
              <w:sz w:val="20"/>
              <w:szCs w:val="20"/>
            </w:rPr>
            <w:fldChar w:fldCharType="separate"/>
          </w:r>
          <w:r w:rsidR="007B19B3">
            <w:rPr>
              <w:rStyle w:val="PageNumber"/>
              <w:i/>
              <w:noProof/>
              <w:sz w:val="20"/>
              <w:szCs w:val="20"/>
            </w:rPr>
            <w:t>1</w:t>
          </w:r>
          <w:r w:rsidRPr="00D22861">
            <w:rPr>
              <w:rStyle w:val="PageNumber"/>
              <w:i/>
              <w:sz w:val="20"/>
              <w:szCs w:val="20"/>
            </w:rPr>
            <w:fldChar w:fldCharType="end"/>
          </w:r>
        </w:p>
      </w:tc>
    </w:tr>
  </w:tbl>
  <w:p w14:paraId="1D57179A" w14:textId="77777777" w:rsidR="009A080E" w:rsidRPr="00BC4A7B" w:rsidRDefault="009A080E" w:rsidP="00BC4A7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0DFC" w14:textId="77777777" w:rsidR="00B22740" w:rsidRDefault="00B22740">
      <w:r>
        <w:separator/>
      </w:r>
    </w:p>
  </w:footnote>
  <w:footnote w:type="continuationSeparator" w:id="0">
    <w:p w14:paraId="5BE34809" w14:textId="77777777" w:rsidR="00B22740" w:rsidRDefault="00B22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68C"/>
    <w:multiLevelType w:val="multilevel"/>
    <w:tmpl w:val="5A4A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E5A94"/>
    <w:multiLevelType w:val="hybridMultilevel"/>
    <w:tmpl w:val="41BA04C6"/>
    <w:lvl w:ilvl="0" w:tplc="0C090015">
      <w:start w:val="1"/>
      <w:numFmt w:val="upperLetter"/>
      <w:lvlText w:val="%1."/>
      <w:lvlJc w:val="left"/>
      <w:pPr>
        <w:tabs>
          <w:tab w:val="num" w:pos="780"/>
        </w:tabs>
        <w:ind w:left="780" w:hanging="360"/>
      </w:pPr>
      <w:rPr>
        <w:rFont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AD25227"/>
    <w:multiLevelType w:val="hybridMultilevel"/>
    <w:tmpl w:val="D93A3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A6548F"/>
    <w:multiLevelType w:val="hybridMultilevel"/>
    <w:tmpl w:val="FB42A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5243C01"/>
    <w:multiLevelType w:val="hybridMultilevel"/>
    <w:tmpl w:val="4900EE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8525B"/>
    <w:multiLevelType w:val="hybridMultilevel"/>
    <w:tmpl w:val="41A01C90"/>
    <w:lvl w:ilvl="0" w:tplc="8E8873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596E59"/>
    <w:multiLevelType w:val="hybridMultilevel"/>
    <w:tmpl w:val="135CF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B26F8B"/>
    <w:multiLevelType w:val="hybridMultilevel"/>
    <w:tmpl w:val="F4FABD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DFC74A3"/>
    <w:multiLevelType w:val="hybridMultilevel"/>
    <w:tmpl w:val="A9269F50"/>
    <w:lvl w:ilvl="0" w:tplc="AFACC6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79552610">
    <w:abstractNumId w:val="4"/>
  </w:num>
  <w:num w:numId="2" w16cid:durableId="1659378200">
    <w:abstractNumId w:val="7"/>
  </w:num>
  <w:num w:numId="3" w16cid:durableId="1723825858">
    <w:abstractNumId w:val="1"/>
  </w:num>
  <w:num w:numId="4" w16cid:durableId="2126727075">
    <w:abstractNumId w:val="8"/>
  </w:num>
  <w:num w:numId="5" w16cid:durableId="849292888">
    <w:abstractNumId w:val="5"/>
  </w:num>
  <w:num w:numId="6" w16cid:durableId="232935952">
    <w:abstractNumId w:val="2"/>
  </w:num>
  <w:num w:numId="7" w16cid:durableId="769666292">
    <w:abstractNumId w:val="6"/>
  </w:num>
  <w:num w:numId="8" w16cid:durableId="1375352334">
    <w:abstractNumId w:val="0"/>
  </w:num>
  <w:num w:numId="9" w16cid:durableId="1118140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40D"/>
    <w:rsid w:val="000031C9"/>
    <w:rsid w:val="00035A35"/>
    <w:rsid w:val="00035D0D"/>
    <w:rsid w:val="00040E59"/>
    <w:rsid w:val="000418F1"/>
    <w:rsid w:val="00043D56"/>
    <w:rsid w:val="00056E9B"/>
    <w:rsid w:val="00060808"/>
    <w:rsid w:val="00074647"/>
    <w:rsid w:val="00083D37"/>
    <w:rsid w:val="00090E1E"/>
    <w:rsid w:val="00092042"/>
    <w:rsid w:val="000A48EC"/>
    <w:rsid w:val="000B1C43"/>
    <w:rsid w:val="000C47E0"/>
    <w:rsid w:val="000D3373"/>
    <w:rsid w:val="000D3A7F"/>
    <w:rsid w:val="000D527A"/>
    <w:rsid w:val="000E37DA"/>
    <w:rsid w:val="000E4EE2"/>
    <w:rsid w:val="000E567C"/>
    <w:rsid w:val="000E7496"/>
    <w:rsid w:val="000F5F54"/>
    <w:rsid w:val="000F67F6"/>
    <w:rsid w:val="000F6C4E"/>
    <w:rsid w:val="001017C6"/>
    <w:rsid w:val="00102E77"/>
    <w:rsid w:val="00110AD5"/>
    <w:rsid w:val="001132AC"/>
    <w:rsid w:val="001154B3"/>
    <w:rsid w:val="001203B6"/>
    <w:rsid w:val="00121BE3"/>
    <w:rsid w:val="00124801"/>
    <w:rsid w:val="0012540D"/>
    <w:rsid w:val="001418D6"/>
    <w:rsid w:val="00142A2A"/>
    <w:rsid w:val="0014585B"/>
    <w:rsid w:val="00145FE0"/>
    <w:rsid w:val="00157CE4"/>
    <w:rsid w:val="00162ABD"/>
    <w:rsid w:val="00173F0E"/>
    <w:rsid w:val="001760AE"/>
    <w:rsid w:val="001823EB"/>
    <w:rsid w:val="00182610"/>
    <w:rsid w:val="00183DE0"/>
    <w:rsid w:val="00183E6F"/>
    <w:rsid w:val="001867A2"/>
    <w:rsid w:val="00186FE1"/>
    <w:rsid w:val="00190D41"/>
    <w:rsid w:val="00191C9F"/>
    <w:rsid w:val="00192BB1"/>
    <w:rsid w:val="00196E6A"/>
    <w:rsid w:val="00197332"/>
    <w:rsid w:val="00197404"/>
    <w:rsid w:val="00197E58"/>
    <w:rsid w:val="001B33F7"/>
    <w:rsid w:val="001B63B1"/>
    <w:rsid w:val="001B7017"/>
    <w:rsid w:val="001B7756"/>
    <w:rsid w:val="001C32DA"/>
    <w:rsid w:val="001C7D2C"/>
    <w:rsid w:val="001D0AFF"/>
    <w:rsid w:val="001D7696"/>
    <w:rsid w:val="001E0AE9"/>
    <w:rsid w:val="001E5296"/>
    <w:rsid w:val="001E7E1A"/>
    <w:rsid w:val="001F2707"/>
    <w:rsid w:val="001F2E94"/>
    <w:rsid w:val="001F2F9E"/>
    <w:rsid w:val="001F49C7"/>
    <w:rsid w:val="00202784"/>
    <w:rsid w:val="00206E6A"/>
    <w:rsid w:val="00212E49"/>
    <w:rsid w:val="00216011"/>
    <w:rsid w:val="00216739"/>
    <w:rsid w:val="00222D0C"/>
    <w:rsid w:val="002256A3"/>
    <w:rsid w:val="00227B89"/>
    <w:rsid w:val="0023324D"/>
    <w:rsid w:val="00233F63"/>
    <w:rsid w:val="00234224"/>
    <w:rsid w:val="002413A8"/>
    <w:rsid w:val="00244037"/>
    <w:rsid w:val="002479BC"/>
    <w:rsid w:val="002546F1"/>
    <w:rsid w:val="002550EF"/>
    <w:rsid w:val="0025626C"/>
    <w:rsid w:val="002574E2"/>
    <w:rsid w:val="0026075B"/>
    <w:rsid w:val="00261572"/>
    <w:rsid w:val="002616CE"/>
    <w:rsid w:val="002639A6"/>
    <w:rsid w:val="00264649"/>
    <w:rsid w:val="00265113"/>
    <w:rsid w:val="00265B5D"/>
    <w:rsid w:val="002759C7"/>
    <w:rsid w:val="00283132"/>
    <w:rsid w:val="00287712"/>
    <w:rsid w:val="00293FB7"/>
    <w:rsid w:val="002A7030"/>
    <w:rsid w:val="002B1756"/>
    <w:rsid w:val="002B3B86"/>
    <w:rsid w:val="002C0639"/>
    <w:rsid w:val="002C2FB4"/>
    <w:rsid w:val="002C7EC3"/>
    <w:rsid w:val="002D2521"/>
    <w:rsid w:val="002D37B5"/>
    <w:rsid w:val="002E0AF6"/>
    <w:rsid w:val="002E385F"/>
    <w:rsid w:val="002E5E0F"/>
    <w:rsid w:val="002F040D"/>
    <w:rsid w:val="002F34D0"/>
    <w:rsid w:val="0030486D"/>
    <w:rsid w:val="00304961"/>
    <w:rsid w:val="003067D9"/>
    <w:rsid w:val="00311BB9"/>
    <w:rsid w:val="0031439F"/>
    <w:rsid w:val="003203BF"/>
    <w:rsid w:val="0032738F"/>
    <w:rsid w:val="0033580E"/>
    <w:rsid w:val="00337209"/>
    <w:rsid w:val="0034070A"/>
    <w:rsid w:val="00341189"/>
    <w:rsid w:val="00344534"/>
    <w:rsid w:val="00347EAB"/>
    <w:rsid w:val="003545E5"/>
    <w:rsid w:val="00355098"/>
    <w:rsid w:val="0036035D"/>
    <w:rsid w:val="00360EE5"/>
    <w:rsid w:val="00362581"/>
    <w:rsid w:val="00364A17"/>
    <w:rsid w:val="0038269B"/>
    <w:rsid w:val="0038447D"/>
    <w:rsid w:val="003900B7"/>
    <w:rsid w:val="00395033"/>
    <w:rsid w:val="00395274"/>
    <w:rsid w:val="003A6654"/>
    <w:rsid w:val="003B19CB"/>
    <w:rsid w:val="003B4583"/>
    <w:rsid w:val="003B4977"/>
    <w:rsid w:val="003C3DF1"/>
    <w:rsid w:val="003C713C"/>
    <w:rsid w:val="003C7FBB"/>
    <w:rsid w:val="003D2A8F"/>
    <w:rsid w:val="003D788C"/>
    <w:rsid w:val="003E06AA"/>
    <w:rsid w:val="003E1881"/>
    <w:rsid w:val="003E727A"/>
    <w:rsid w:val="003E7E8E"/>
    <w:rsid w:val="003F3289"/>
    <w:rsid w:val="003F4256"/>
    <w:rsid w:val="003F5726"/>
    <w:rsid w:val="00405FDC"/>
    <w:rsid w:val="004124B8"/>
    <w:rsid w:val="00421FDF"/>
    <w:rsid w:val="004235D5"/>
    <w:rsid w:val="004245FA"/>
    <w:rsid w:val="00426AAF"/>
    <w:rsid w:val="00426AF9"/>
    <w:rsid w:val="00431396"/>
    <w:rsid w:val="00435F0A"/>
    <w:rsid w:val="0044188F"/>
    <w:rsid w:val="00443044"/>
    <w:rsid w:val="0045197A"/>
    <w:rsid w:val="00454591"/>
    <w:rsid w:val="004545EA"/>
    <w:rsid w:val="0045662A"/>
    <w:rsid w:val="0046262A"/>
    <w:rsid w:val="00464303"/>
    <w:rsid w:val="00465269"/>
    <w:rsid w:val="00465BF0"/>
    <w:rsid w:val="00482765"/>
    <w:rsid w:val="004844E5"/>
    <w:rsid w:val="00487B26"/>
    <w:rsid w:val="0049158A"/>
    <w:rsid w:val="0049202D"/>
    <w:rsid w:val="00493539"/>
    <w:rsid w:val="0049584C"/>
    <w:rsid w:val="0049669C"/>
    <w:rsid w:val="00497ABD"/>
    <w:rsid w:val="004A44D8"/>
    <w:rsid w:val="004A604F"/>
    <w:rsid w:val="004B2D29"/>
    <w:rsid w:val="004B6007"/>
    <w:rsid w:val="004C2C51"/>
    <w:rsid w:val="004C381E"/>
    <w:rsid w:val="004C7385"/>
    <w:rsid w:val="004D247F"/>
    <w:rsid w:val="004D2B2B"/>
    <w:rsid w:val="004D2B2C"/>
    <w:rsid w:val="004E0469"/>
    <w:rsid w:val="004E6B2F"/>
    <w:rsid w:val="004F28B0"/>
    <w:rsid w:val="004F3397"/>
    <w:rsid w:val="004F3ABB"/>
    <w:rsid w:val="004F6E5F"/>
    <w:rsid w:val="0051166B"/>
    <w:rsid w:val="005137EB"/>
    <w:rsid w:val="00514AC3"/>
    <w:rsid w:val="00520804"/>
    <w:rsid w:val="0052347E"/>
    <w:rsid w:val="005247E6"/>
    <w:rsid w:val="00527E00"/>
    <w:rsid w:val="00533D99"/>
    <w:rsid w:val="00537740"/>
    <w:rsid w:val="0054121B"/>
    <w:rsid w:val="005453B8"/>
    <w:rsid w:val="00551FD7"/>
    <w:rsid w:val="00551FE5"/>
    <w:rsid w:val="00553BF3"/>
    <w:rsid w:val="00555C20"/>
    <w:rsid w:val="00557DCC"/>
    <w:rsid w:val="005638B3"/>
    <w:rsid w:val="005640D0"/>
    <w:rsid w:val="00571B4A"/>
    <w:rsid w:val="00572DA6"/>
    <w:rsid w:val="00577B60"/>
    <w:rsid w:val="005803D6"/>
    <w:rsid w:val="005806D2"/>
    <w:rsid w:val="005856EE"/>
    <w:rsid w:val="00585C98"/>
    <w:rsid w:val="0058639E"/>
    <w:rsid w:val="005A262A"/>
    <w:rsid w:val="005A2D4C"/>
    <w:rsid w:val="005A6351"/>
    <w:rsid w:val="005B1CA6"/>
    <w:rsid w:val="005B72FD"/>
    <w:rsid w:val="005C167C"/>
    <w:rsid w:val="005C4AD3"/>
    <w:rsid w:val="005C63D0"/>
    <w:rsid w:val="005D10D5"/>
    <w:rsid w:val="005D4AE7"/>
    <w:rsid w:val="005D6782"/>
    <w:rsid w:val="005E4971"/>
    <w:rsid w:val="005E5220"/>
    <w:rsid w:val="005E5464"/>
    <w:rsid w:val="005F1A31"/>
    <w:rsid w:val="005F4B1C"/>
    <w:rsid w:val="005F583E"/>
    <w:rsid w:val="00604F5F"/>
    <w:rsid w:val="006067DF"/>
    <w:rsid w:val="00606F33"/>
    <w:rsid w:val="00607910"/>
    <w:rsid w:val="0061498D"/>
    <w:rsid w:val="00615E60"/>
    <w:rsid w:val="006272F9"/>
    <w:rsid w:val="006336FF"/>
    <w:rsid w:val="00635557"/>
    <w:rsid w:val="006370A1"/>
    <w:rsid w:val="00641531"/>
    <w:rsid w:val="006417FD"/>
    <w:rsid w:val="0064359E"/>
    <w:rsid w:val="006458C0"/>
    <w:rsid w:val="006469AF"/>
    <w:rsid w:val="006536BF"/>
    <w:rsid w:val="00654D37"/>
    <w:rsid w:val="00661BB3"/>
    <w:rsid w:val="00665417"/>
    <w:rsid w:val="00666969"/>
    <w:rsid w:val="00671B00"/>
    <w:rsid w:val="006727C6"/>
    <w:rsid w:val="0067593D"/>
    <w:rsid w:val="006817AC"/>
    <w:rsid w:val="00685D1C"/>
    <w:rsid w:val="006866E5"/>
    <w:rsid w:val="00686C94"/>
    <w:rsid w:val="00686D92"/>
    <w:rsid w:val="006871C9"/>
    <w:rsid w:val="006874E3"/>
    <w:rsid w:val="00690C5C"/>
    <w:rsid w:val="006931EB"/>
    <w:rsid w:val="006A1823"/>
    <w:rsid w:val="006B1EFD"/>
    <w:rsid w:val="006C7E4F"/>
    <w:rsid w:val="006D491F"/>
    <w:rsid w:val="006E4A52"/>
    <w:rsid w:val="006F2F1A"/>
    <w:rsid w:val="006F3467"/>
    <w:rsid w:val="006F35E7"/>
    <w:rsid w:val="006F43D4"/>
    <w:rsid w:val="006F4850"/>
    <w:rsid w:val="006F562E"/>
    <w:rsid w:val="006F5773"/>
    <w:rsid w:val="006F5DDF"/>
    <w:rsid w:val="006F66A6"/>
    <w:rsid w:val="006F7470"/>
    <w:rsid w:val="0070190E"/>
    <w:rsid w:val="00703B30"/>
    <w:rsid w:val="00714352"/>
    <w:rsid w:val="00721412"/>
    <w:rsid w:val="00726455"/>
    <w:rsid w:val="007365E5"/>
    <w:rsid w:val="00741396"/>
    <w:rsid w:val="007435EF"/>
    <w:rsid w:val="00767222"/>
    <w:rsid w:val="007674FE"/>
    <w:rsid w:val="00767A61"/>
    <w:rsid w:val="007769F0"/>
    <w:rsid w:val="007805A7"/>
    <w:rsid w:val="00787D78"/>
    <w:rsid w:val="0079084F"/>
    <w:rsid w:val="0079356C"/>
    <w:rsid w:val="007B0A0C"/>
    <w:rsid w:val="007B19B3"/>
    <w:rsid w:val="007B6288"/>
    <w:rsid w:val="007D06A9"/>
    <w:rsid w:val="007D25FE"/>
    <w:rsid w:val="007E6280"/>
    <w:rsid w:val="007E7164"/>
    <w:rsid w:val="00801867"/>
    <w:rsid w:val="0080301F"/>
    <w:rsid w:val="00805584"/>
    <w:rsid w:val="00805A73"/>
    <w:rsid w:val="0080742E"/>
    <w:rsid w:val="00807A26"/>
    <w:rsid w:val="00811347"/>
    <w:rsid w:val="00812096"/>
    <w:rsid w:val="0082004B"/>
    <w:rsid w:val="00820D11"/>
    <w:rsid w:val="00827958"/>
    <w:rsid w:val="00833CCB"/>
    <w:rsid w:val="00837EE4"/>
    <w:rsid w:val="0085223C"/>
    <w:rsid w:val="00853E39"/>
    <w:rsid w:val="0086144C"/>
    <w:rsid w:val="00870638"/>
    <w:rsid w:val="0087767E"/>
    <w:rsid w:val="00880857"/>
    <w:rsid w:val="00882799"/>
    <w:rsid w:val="00884900"/>
    <w:rsid w:val="00886F9B"/>
    <w:rsid w:val="008930E0"/>
    <w:rsid w:val="0089349A"/>
    <w:rsid w:val="00895BF0"/>
    <w:rsid w:val="008A5A10"/>
    <w:rsid w:val="008B459B"/>
    <w:rsid w:val="008C1B27"/>
    <w:rsid w:val="008C1E85"/>
    <w:rsid w:val="008C2766"/>
    <w:rsid w:val="008C7AC4"/>
    <w:rsid w:val="008D2E34"/>
    <w:rsid w:val="008D3471"/>
    <w:rsid w:val="008D4665"/>
    <w:rsid w:val="008D72DF"/>
    <w:rsid w:val="008D7B3B"/>
    <w:rsid w:val="008E4B6D"/>
    <w:rsid w:val="008E52FA"/>
    <w:rsid w:val="008E5DC9"/>
    <w:rsid w:val="008F4D9C"/>
    <w:rsid w:val="0090299A"/>
    <w:rsid w:val="00902E34"/>
    <w:rsid w:val="00903B40"/>
    <w:rsid w:val="009047E1"/>
    <w:rsid w:val="00905AFE"/>
    <w:rsid w:val="00907BFE"/>
    <w:rsid w:val="00910EBC"/>
    <w:rsid w:val="0091634D"/>
    <w:rsid w:val="0092209F"/>
    <w:rsid w:val="00922AB5"/>
    <w:rsid w:val="00925544"/>
    <w:rsid w:val="00932D32"/>
    <w:rsid w:val="00933B2D"/>
    <w:rsid w:val="0094644A"/>
    <w:rsid w:val="00950296"/>
    <w:rsid w:val="0096508C"/>
    <w:rsid w:val="009732A1"/>
    <w:rsid w:val="00975CD4"/>
    <w:rsid w:val="0097730F"/>
    <w:rsid w:val="0098310B"/>
    <w:rsid w:val="00985ADA"/>
    <w:rsid w:val="009A080E"/>
    <w:rsid w:val="009A3637"/>
    <w:rsid w:val="009A4AC6"/>
    <w:rsid w:val="009A5DF4"/>
    <w:rsid w:val="009B0137"/>
    <w:rsid w:val="009B3DFE"/>
    <w:rsid w:val="009C4007"/>
    <w:rsid w:val="009D2C88"/>
    <w:rsid w:val="009D4C21"/>
    <w:rsid w:val="009D5985"/>
    <w:rsid w:val="009D6AA4"/>
    <w:rsid w:val="009D6CF5"/>
    <w:rsid w:val="009D7EA4"/>
    <w:rsid w:val="009E46EE"/>
    <w:rsid w:val="009F22FE"/>
    <w:rsid w:val="009F4FC0"/>
    <w:rsid w:val="009F5511"/>
    <w:rsid w:val="009F6668"/>
    <w:rsid w:val="00A023D4"/>
    <w:rsid w:val="00A03937"/>
    <w:rsid w:val="00A04B86"/>
    <w:rsid w:val="00A111F4"/>
    <w:rsid w:val="00A13F02"/>
    <w:rsid w:val="00A27029"/>
    <w:rsid w:val="00A45006"/>
    <w:rsid w:val="00A46EE8"/>
    <w:rsid w:val="00A556FB"/>
    <w:rsid w:val="00A5753D"/>
    <w:rsid w:val="00A62069"/>
    <w:rsid w:val="00A65F74"/>
    <w:rsid w:val="00A67CBB"/>
    <w:rsid w:val="00A7065D"/>
    <w:rsid w:val="00A745C1"/>
    <w:rsid w:val="00A75F31"/>
    <w:rsid w:val="00A770C1"/>
    <w:rsid w:val="00A777FE"/>
    <w:rsid w:val="00A86856"/>
    <w:rsid w:val="00A91BD0"/>
    <w:rsid w:val="00A921CA"/>
    <w:rsid w:val="00A97311"/>
    <w:rsid w:val="00AA1818"/>
    <w:rsid w:val="00AB6868"/>
    <w:rsid w:val="00AB7F37"/>
    <w:rsid w:val="00AC008A"/>
    <w:rsid w:val="00AC2400"/>
    <w:rsid w:val="00AC2A8B"/>
    <w:rsid w:val="00AC3963"/>
    <w:rsid w:val="00AD6C87"/>
    <w:rsid w:val="00AE0F3C"/>
    <w:rsid w:val="00AE330E"/>
    <w:rsid w:val="00AE79B5"/>
    <w:rsid w:val="00AF4C22"/>
    <w:rsid w:val="00AF7E3E"/>
    <w:rsid w:val="00B001E6"/>
    <w:rsid w:val="00B0253E"/>
    <w:rsid w:val="00B05884"/>
    <w:rsid w:val="00B05A34"/>
    <w:rsid w:val="00B069DC"/>
    <w:rsid w:val="00B07821"/>
    <w:rsid w:val="00B10835"/>
    <w:rsid w:val="00B16F79"/>
    <w:rsid w:val="00B17404"/>
    <w:rsid w:val="00B20290"/>
    <w:rsid w:val="00B204FE"/>
    <w:rsid w:val="00B21863"/>
    <w:rsid w:val="00B22740"/>
    <w:rsid w:val="00B228C2"/>
    <w:rsid w:val="00B24132"/>
    <w:rsid w:val="00B265B6"/>
    <w:rsid w:val="00B33AC5"/>
    <w:rsid w:val="00B36830"/>
    <w:rsid w:val="00B36ADD"/>
    <w:rsid w:val="00B4130B"/>
    <w:rsid w:val="00B42D51"/>
    <w:rsid w:val="00B51AFF"/>
    <w:rsid w:val="00B55662"/>
    <w:rsid w:val="00B57959"/>
    <w:rsid w:val="00B66157"/>
    <w:rsid w:val="00B74347"/>
    <w:rsid w:val="00B812EE"/>
    <w:rsid w:val="00B81322"/>
    <w:rsid w:val="00B81616"/>
    <w:rsid w:val="00B903DE"/>
    <w:rsid w:val="00B92F0A"/>
    <w:rsid w:val="00BA43C5"/>
    <w:rsid w:val="00BA6EB6"/>
    <w:rsid w:val="00BB0528"/>
    <w:rsid w:val="00BB3FF7"/>
    <w:rsid w:val="00BB5EFC"/>
    <w:rsid w:val="00BC060A"/>
    <w:rsid w:val="00BC0F5A"/>
    <w:rsid w:val="00BC4289"/>
    <w:rsid w:val="00BC4A7B"/>
    <w:rsid w:val="00BC4BD6"/>
    <w:rsid w:val="00BC7B8C"/>
    <w:rsid w:val="00BD1871"/>
    <w:rsid w:val="00BD6B0B"/>
    <w:rsid w:val="00BE2F26"/>
    <w:rsid w:val="00BE36FF"/>
    <w:rsid w:val="00BE48C4"/>
    <w:rsid w:val="00BE6640"/>
    <w:rsid w:val="00BF220C"/>
    <w:rsid w:val="00BF2B15"/>
    <w:rsid w:val="00BF4A7E"/>
    <w:rsid w:val="00BF5B9D"/>
    <w:rsid w:val="00C008DF"/>
    <w:rsid w:val="00C00CE0"/>
    <w:rsid w:val="00C07E60"/>
    <w:rsid w:val="00C16471"/>
    <w:rsid w:val="00C24956"/>
    <w:rsid w:val="00C26215"/>
    <w:rsid w:val="00C27879"/>
    <w:rsid w:val="00C30698"/>
    <w:rsid w:val="00C30D5F"/>
    <w:rsid w:val="00C3140A"/>
    <w:rsid w:val="00C32931"/>
    <w:rsid w:val="00C32C87"/>
    <w:rsid w:val="00C32F58"/>
    <w:rsid w:val="00C435CE"/>
    <w:rsid w:val="00C523F8"/>
    <w:rsid w:val="00C55C3B"/>
    <w:rsid w:val="00C5726E"/>
    <w:rsid w:val="00C603AC"/>
    <w:rsid w:val="00C664F1"/>
    <w:rsid w:val="00C728B3"/>
    <w:rsid w:val="00C7630F"/>
    <w:rsid w:val="00C774B6"/>
    <w:rsid w:val="00C77CDC"/>
    <w:rsid w:val="00C833CF"/>
    <w:rsid w:val="00C90F22"/>
    <w:rsid w:val="00C910C2"/>
    <w:rsid w:val="00C92EA8"/>
    <w:rsid w:val="00C93683"/>
    <w:rsid w:val="00C9374A"/>
    <w:rsid w:val="00C94936"/>
    <w:rsid w:val="00CB397B"/>
    <w:rsid w:val="00CC20B9"/>
    <w:rsid w:val="00CC6E12"/>
    <w:rsid w:val="00CD7BEF"/>
    <w:rsid w:val="00CE2803"/>
    <w:rsid w:val="00CE42BD"/>
    <w:rsid w:val="00CF3D33"/>
    <w:rsid w:val="00D00954"/>
    <w:rsid w:val="00D0797B"/>
    <w:rsid w:val="00D115B1"/>
    <w:rsid w:val="00D22861"/>
    <w:rsid w:val="00D25AD6"/>
    <w:rsid w:val="00D310B7"/>
    <w:rsid w:val="00D32EDC"/>
    <w:rsid w:val="00D4045D"/>
    <w:rsid w:val="00D41241"/>
    <w:rsid w:val="00D53F40"/>
    <w:rsid w:val="00D571FF"/>
    <w:rsid w:val="00D60D60"/>
    <w:rsid w:val="00D64346"/>
    <w:rsid w:val="00D647F4"/>
    <w:rsid w:val="00D67C49"/>
    <w:rsid w:val="00D714A1"/>
    <w:rsid w:val="00D775B7"/>
    <w:rsid w:val="00D84149"/>
    <w:rsid w:val="00D84935"/>
    <w:rsid w:val="00D857DE"/>
    <w:rsid w:val="00D85D48"/>
    <w:rsid w:val="00DA2260"/>
    <w:rsid w:val="00DA7D59"/>
    <w:rsid w:val="00DB3EA4"/>
    <w:rsid w:val="00DB6549"/>
    <w:rsid w:val="00DB7177"/>
    <w:rsid w:val="00DC0E02"/>
    <w:rsid w:val="00DC142E"/>
    <w:rsid w:val="00DD2780"/>
    <w:rsid w:val="00DD28E5"/>
    <w:rsid w:val="00DD744D"/>
    <w:rsid w:val="00DE0F58"/>
    <w:rsid w:val="00DE1880"/>
    <w:rsid w:val="00DE1B3B"/>
    <w:rsid w:val="00DE2D68"/>
    <w:rsid w:val="00DE6992"/>
    <w:rsid w:val="00DE718C"/>
    <w:rsid w:val="00DF4E92"/>
    <w:rsid w:val="00E01FBA"/>
    <w:rsid w:val="00E02C23"/>
    <w:rsid w:val="00E03A85"/>
    <w:rsid w:val="00E04363"/>
    <w:rsid w:val="00E06EA4"/>
    <w:rsid w:val="00E0779A"/>
    <w:rsid w:val="00E07E6C"/>
    <w:rsid w:val="00E11666"/>
    <w:rsid w:val="00E26D45"/>
    <w:rsid w:val="00E31069"/>
    <w:rsid w:val="00E311F6"/>
    <w:rsid w:val="00E331C3"/>
    <w:rsid w:val="00E332EB"/>
    <w:rsid w:val="00E33AB5"/>
    <w:rsid w:val="00E358DF"/>
    <w:rsid w:val="00E37CE2"/>
    <w:rsid w:val="00E435A3"/>
    <w:rsid w:val="00E44E18"/>
    <w:rsid w:val="00E46AF8"/>
    <w:rsid w:val="00E51DDA"/>
    <w:rsid w:val="00E52381"/>
    <w:rsid w:val="00E54A26"/>
    <w:rsid w:val="00E60450"/>
    <w:rsid w:val="00E65991"/>
    <w:rsid w:val="00E67FBB"/>
    <w:rsid w:val="00E75B6A"/>
    <w:rsid w:val="00E762BA"/>
    <w:rsid w:val="00E8192E"/>
    <w:rsid w:val="00E87D39"/>
    <w:rsid w:val="00E9022A"/>
    <w:rsid w:val="00E92124"/>
    <w:rsid w:val="00E926F4"/>
    <w:rsid w:val="00E92ACF"/>
    <w:rsid w:val="00E92F2E"/>
    <w:rsid w:val="00EA2233"/>
    <w:rsid w:val="00EA4490"/>
    <w:rsid w:val="00EB308B"/>
    <w:rsid w:val="00EB3AF2"/>
    <w:rsid w:val="00EB6A6D"/>
    <w:rsid w:val="00EC57DC"/>
    <w:rsid w:val="00ED31B8"/>
    <w:rsid w:val="00ED51A5"/>
    <w:rsid w:val="00EE02D8"/>
    <w:rsid w:val="00EE6594"/>
    <w:rsid w:val="00EF13F0"/>
    <w:rsid w:val="00EF338A"/>
    <w:rsid w:val="00EF40AA"/>
    <w:rsid w:val="00F02B1A"/>
    <w:rsid w:val="00F06BC1"/>
    <w:rsid w:val="00F07EAE"/>
    <w:rsid w:val="00F11E46"/>
    <w:rsid w:val="00F213E8"/>
    <w:rsid w:val="00F22E61"/>
    <w:rsid w:val="00F27528"/>
    <w:rsid w:val="00F367AD"/>
    <w:rsid w:val="00F411EB"/>
    <w:rsid w:val="00F412AD"/>
    <w:rsid w:val="00F46062"/>
    <w:rsid w:val="00F46103"/>
    <w:rsid w:val="00F50746"/>
    <w:rsid w:val="00F52DFB"/>
    <w:rsid w:val="00F54FFB"/>
    <w:rsid w:val="00F55F11"/>
    <w:rsid w:val="00F60036"/>
    <w:rsid w:val="00F613D0"/>
    <w:rsid w:val="00F62D75"/>
    <w:rsid w:val="00F66428"/>
    <w:rsid w:val="00F67296"/>
    <w:rsid w:val="00F67BB2"/>
    <w:rsid w:val="00F80FC0"/>
    <w:rsid w:val="00F84735"/>
    <w:rsid w:val="00F855B5"/>
    <w:rsid w:val="00F85744"/>
    <w:rsid w:val="00F86F9F"/>
    <w:rsid w:val="00F93D1C"/>
    <w:rsid w:val="00F966C6"/>
    <w:rsid w:val="00FA00BC"/>
    <w:rsid w:val="00FA1347"/>
    <w:rsid w:val="00FA2A12"/>
    <w:rsid w:val="00FA459A"/>
    <w:rsid w:val="00FB5DCA"/>
    <w:rsid w:val="00FB70CB"/>
    <w:rsid w:val="00FC55A9"/>
    <w:rsid w:val="00FD63F5"/>
    <w:rsid w:val="00FD79FD"/>
    <w:rsid w:val="00FE4131"/>
    <w:rsid w:val="00FF0B05"/>
    <w:rsid w:val="00FF364A"/>
    <w:rsid w:val="00FF7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A0E4"/>
  <w15:chartTrackingRefBased/>
  <w15:docId w15:val="{3439CC95-AD7B-41B0-8DB7-EF65D15F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80E"/>
    <w:rPr>
      <w:sz w:val="24"/>
      <w:szCs w:val="24"/>
      <w:lang w:eastAsia="en-US"/>
    </w:rPr>
  </w:style>
  <w:style w:type="paragraph" w:styleId="Heading2">
    <w:name w:val="heading 2"/>
    <w:basedOn w:val="Normal"/>
    <w:link w:val="Heading2Char"/>
    <w:uiPriority w:val="9"/>
    <w:qFormat/>
    <w:rsid w:val="002616CE"/>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144C"/>
    <w:pPr>
      <w:tabs>
        <w:tab w:val="center" w:pos="4153"/>
        <w:tab w:val="right" w:pos="8306"/>
      </w:tabs>
    </w:pPr>
  </w:style>
  <w:style w:type="paragraph" w:styleId="Footer">
    <w:name w:val="footer"/>
    <w:basedOn w:val="Normal"/>
    <w:rsid w:val="0086144C"/>
    <w:pPr>
      <w:tabs>
        <w:tab w:val="center" w:pos="4153"/>
        <w:tab w:val="right" w:pos="8306"/>
      </w:tabs>
    </w:pPr>
  </w:style>
  <w:style w:type="paragraph" w:customStyle="1" w:styleId="CharCharChar">
    <w:name w:val="Char Char Char"/>
    <w:basedOn w:val="Normal"/>
    <w:rsid w:val="00F06BC1"/>
    <w:pPr>
      <w:spacing w:after="160" w:line="240" w:lineRule="exact"/>
    </w:pPr>
    <w:rPr>
      <w:rFonts w:ascii="Verdana" w:hAnsi="Verdana"/>
      <w:sz w:val="20"/>
      <w:lang w:val="en-US"/>
    </w:rPr>
  </w:style>
  <w:style w:type="paragraph" w:styleId="BalloonText">
    <w:name w:val="Balloon Text"/>
    <w:basedOn w:val="Normal"/>
    <w:semiHidden/>
    <w:rsid w:val="00551FE5"/>
    <w:rPr>
      <w:rFonts w:ascii="Tahoma" w:hAnsi="Tahoma" w:cs="Tahoma"/>
      <w:sz w:val="16"/>
      <w:szCs w:val="16"/>
    </w:rPr>
  </w:style>
  <w:style w:type="table" w:styleId="TableGrid">
    <w:name w:val="Table Grid"/>
    <w:basedOn w:val="TableNormal"/>
    <w:rsid w:val="00BC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C4A7B"/>
  </w:style>
  <w:style w:type="paragraph" w:customStyle="1" w:styleId="Default">
    <w:name w:val="Default"/>
    <w:rsid w:val="005F583E"/>
    <w:pPr>
      <w:autoSpaceDE w:val="0"/>
      <w:autoSpaceDN w:val="0"/>
      <w:adjustRightInd w:val="0"/>
    </w:pPr>
    <w:rPr>
      <w:color w:val="000000"/>
      <w:sz w:val="24"/>
      <w:szCs w:val="24"/>
    </w:rPr>
  </w:style>
  <w:style w:type="character" w:styleId="CommentReference">
    <w:name w:val="annotation reference"/>
    <w:uiPriority w:val="99"/>
    <w:rsid w:val="008C7AC4"/>
    <w:rPr>
      <w:sz w:val="16"/>
      <w:szCs w:val="16"/>
    </w:rPr>
  </w:style>
  <w:style w:type="paragraph" w:styleId="CommentText">
    <w:name w:val="annotation text"/>
    <w:basedOn w:val="Normal"/>
    <w:link w:val="CommentTextChar"/>
    <w:uiPriority w:val="99"/>
    <w:rsid w:val="008C7AC4"/>
    <w:rPr>
      <w:sz w:val="20"/>
      <w:szCs w:val="20"/>
    </w:rPr>
  </w:style>
  <w:style w:type="character" w:customStyle="1" w:styleId="CommentTextChar">
    <w:name w:val="Comment Text Char"/>
    <w:link w:val="CommentText"/>
    <w:uiPriority w:val="99"/>
    <w:rsid w:val="008C7AC4"/>
    <w:rPr>
      <w:lang w:eastAsia="en-US"/>
    </w:rPr>
  </w:style>
  <w:style w:type="paragraph" w:styleId="CommentSubject">
    <w:name w:val="annotation subject"/>
    <w:basedOn w:val="CommentText"/>
    <w:next w:val="CommentText"/>
    <w:link w:val="CommentSubjectChar"/>
    <w:rsid w:val="008C7AC4"/>
    <w:rPr>
      <w:b/>
      <w:bCs/>
    </w:rPr>
  </w:style>
  <w:style w:type="character" w:customStyle="1" w:styleId="CommentSubjectChar">
    <w:name w:val="Comment Subject Char"/>
    <w:link w:val="CommentSubject"/>
    <w:rsid w:val="008C7AC4"/>
    <w:rPr>
      <w:b/>
      <w:bCs/>
      <w:lang w:eastAsia="en-US"/>
    </w:rPr>
  </w:style>
  <w:style w:type="character" w:styleId="Hyperlink">
    <w:name w:val="Hyperlink"/>
    <w:uiPriority w:val="99"/>
    <w:unhideWhenUsed/>
    <w:rsid w:val="00B24132"/>
    <w:rPr>
      <w:color w:val="0000FF"/>
      <w:u w:val="single"/>
    </w:rPr>
  </w:style>
  <w:style w:type="paragraph" w:styleId="NormalWeb">
    <w:name w:val="Normal (Web)"/>
    <w:basedOn w:val="Normal"/>
    <w:uiPriority w:val="99"/>
    <w:rsid w:val="00A556FB"/>
    <w:pPr>
      <w:spacing w:before="100" w:beforeAutospacing="1" w:after="100" w:afterAutospacing="1"/>
    </w:pPr>
    <w:rPr>
      <w:lang w:eastAsia="en-AU"/>
    </w:rPr>
  </w:style>
  <w:style w:type="character" w:styleId="FollowedHyperlink">
    <w:name w:val="FollowedHyperlink"/>
    <w:basedOn w:val="DefaultParagraphFont"/>
    <w:rsid w:val="001B7017"/>
    <w:rPr>
      <w:color w:val="954F72" w:themeColor="followedHyperlink"/>
      <w:u w:val="single"/>
    </w:rPr>
  </w:style>
  <w:style w:type="character" w:customStyle="1" w:styleId="Heading2Char">
    <w:name w:val="Heading 2 Char"/>
    <w:basedOn w:val="DefaultParagraphFont"/>
    <w:link w:val="Heading2"/>
    <w:uiPriority w:val="9"/>
    <w:rsid w:val="002616CE"/>
    <w:rPr>
      <w:b/>
      <w:bCs/>
      <w:sz w:val="36"/>
      <w:szCs w:val="36"/>
    </w:rPr>
  </w:style>
  <w:style w:type="paragraph" w:styleId="Revision">
    <w:name w:val="Revision"/>
    <w:hidden/>
    <w:uiPriority w:val="99"/>
    <w:semiHidden/>
    <w:rsid w:val="00B36ADD"/>
    <w:rPr>
      <w:sz w:val="24"/>
      <w:szCs w:val="24"/>
      <w:lang w:eastAsia="en-US"/>
    </w:rPr>
  </w:style>
  <w:style w:type="paragraph" w:styleId="ListParagraph">
    <w:name w:val="List Paragraph"/>
    <w:basedOn w:val="Normal"/>
    <w:uiPriority w:val="34"/>
    <w:qFormat/>
    <w:rsid w:val="00456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02203">
      <w:bodyDiv w:val="1"/>
      <w:marLeft w:val="0"/>
      <w:marRight w:val="0"/>
      <w:marTop w:val="0"/>
      <w:marBottom w:val="0"/>
      <w:divBdr>
        <w:top w:val="none" w:sz="0" w:space="0" w:color="auto"/>
        <w:left w:val="none" w:sz="0" w:space="0" w:color="auto"/>
        <w:bottom w:val="none" w:sz="0" w:space="0" w:color="auto"/>
        <w:right w:val="none" w:sz="0" w:space="0" w:color="auto"/>
      </w:divBdr>
    </w:div>
    <w:div w:id="908884161">
      <w:bodyDiv w:val="1"/>
      <w:marLeft w:val="0"/>
      <w:marRight w:val="0"/>
      <w:marTop w:val="0"/>
      <w:marBottom w:val="0"/>
      <w:divBdr>
        <w:top w:val="none" w:sz="0" w:space="0" w:color="auto"/>
        <w:left w:val="none" w:sz="0" w:space="0" w:color="auto"/>
        <w:bottom w:val="none" w:sz="0" w:space="0" w:color="auto"/>
        <w:right w:val="none" w:sz="0" w:space="0" w:color="auto"/>
      </w:divBdr>
    </w:div>
    <w:div w:id="1657145542">
      <w:bodyDiv w:val="1"/>
      <w:marLeft w:val="0"/>
      <w:marRight w:val="0"/>
      <w:marTop w:val="0"/>
      <w:marBottom w:val="0"/>
      <w:divBdr>
        <w:top w:val="none" w:sz="0" w:space="0" w:color="auto"/>
        <w:left w:val="none" w:sz="0" w:space="0" w:color="auto"/>
        <w:bottom w:val="none" w:sz="0" w:space="0" w:color="auto"/>
        <w:right w:val="none" w:sz="0" w:space="0" w:color="auto"/>
      </w:divBdr>
    </w:div>
    <w:div w:id="18208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lbourneinstitute.unimelb.edu.au/hilda"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61D3BD1151E01341B2BE52F3FF3278B0" ma:contentTypeVersion="8" ma:contentTypeDescription="Ddocs' Word Content Type" ma:contentTypeScope="" ma:versionID="ed3084abc851e90018a2ab7939ce5232">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ba3f16002f5445ca421699f8c5b602f4"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Props1.xml><?xml version="1.0" encoding="utf-8"?>
<ds:datastoreItem xmlns:ds="http://schemas.openxmlformats.org/officeDocument/2006/customXml" ds:itemID="{CADA81A5-BFDD-4DB5-BF44-2AE3F71C9369}">
  <ds:schemaRefs>
    <ds:schemaRef ds:uri="office.server.policy"/>
  </ds:schemaRefs>
</ds:datastoreItem>
</file>

<file path=customXml/itemProps2.xml><?xml version="1.0" encoding="utf-8"?>
<ds:datastoreItem xmlns:ds="http://schemas.openxmlformats.org/officeDocument/2006/customXml" ds:itemID="{E2172C4B-74C3-4B8F-829B-55A0F39CC79F}">
  <ds:schemaRefs>
    <ds:schemaRef ds:uri="http://schemas.openxmlformats.org/officeDocument/2006/bibliography"/>
  </ds:schemaRefs>
</ds:datastoreItem>
</file>

<file path=customXml/itemProps3.xml><?xml version="1.0" encoding="utf-8"?>
<ds:datastoreItem xmlns:ds="http://schemas.openxmlformats.org/officeDocument/2006/customXml" ds:itemID="{D4B2C68F-0E33-4A22-9166-BA32637E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20C680-228E-4F7B-AC70-BFF780908F91}">
  <ds:schemaRefs>
    <ds:schemaRef ds:uri="http://schemas.microsoft.com/office/2006/metadata/longProperties"/>
  </ds:schemaRefs>
</ds:datastoreItem>
</file>

<file path=customXml/itemProps5.xml><?xml version="1.0" encoding="utf-8"?>
<ds:datastoreItem xmlns:ds="http://schemas.openxmlformats.org/officeDocument/2006/customXml" ds:itemID="{B0C69E80-C94F-4C71-A06A-A81348A9F025}">
  <ds:schemaRefs>
    <ds:schemaRef ds:uri="http://schemas.microsoft.com/sharepoint/events"/>
  </ds:schemaRefs>
</ds:datastoreItem>
</file>

<file path=customXml/itemProps6.xml><?xml version="1.0" encoding="utf-8"?>
<ds:datastoreItem xmlns:ds="http://schemas.openxmlformats.org/officeDocument/2006/customXml" ds:itemID="{E7A2C792-33B7-4A03-B6A7-0555C31A23C0}">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7467</Characters>
  <Application>Microsoft Office Word</Application>
  <DocSecurity>4</DocSecurity>
  <Lines>183</Lines>
  <Paragraphs>49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Families, Community Services and Indigenous Affairs</Company>
  <LinksUpToDate>false</LinksUpToDate>
  <CharactersWithSpaces>8828</CharactersWithSpaces>
  <SharedDoc>false</SharedDoc>
  <HLinks>
    <vt:vector size="12" baseType="variant">
      <vt:variant>
        <vt:i4>262212</vt:i4>
      </vt:variant>
      <vt:variant>
        <vt:i4>0</vt:i4>
      </vt:variant>
      <vt:variant>
        <vt:i4>0</vt:i4>
      </vt:variant>
      <vt:variant>
        <vt:i4>5</vt:i4>
      </vt:variant>
      <vt:variant>
        <vt:lpwstr>http://www.melbourneinstitute.com/hilda/</vt:lpwstr>
      </vt:variant>
      <vt:variant>
        <vt:lpwstr/>
      </vt:variant>
      <vt:variant>
        <vt:i4>8192119</vt:i4>
      </vt:variant>
      <vt:variant>
        <vt:i4>0</vt:i4>
      </vt:variant>
      <vt:variant>
        <vt:i4>0</vt:i4>
      </vt:variant>
      <vt:variant>
        <vt:i4>5</vt:i4>
      </vt:variant>
      <vt:variant>
        <vt:lpwstr>https://melbourneinstitute.unimelb.edu.au/__data/assets/pdf_file/0011/4382057/HILDA_Statistical_Report_2022.pdf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leeben</dc:creator>
  <cp:keywords>[SEC=OFFICIAL:Sensitive]</cp:keywords>
  <cp:lastModifiedBy>MARTIN, Grace</cp:lastModifiedBy>
  <cp:revision>2</cp:revision>
  <cp:lastPrinted>2024-03-14T01:05:00Z</cp:lastPrinted>
  <dcterms:created xsi:type="dcterms:W3CDTF">2024-03-14T21:30:00Z</dcterms:created>
  <dcterms:modified xsi:type="dcterms:W3CDTF">2024-03-14T21:30:00Z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0x0101009EDC4876AF524A70BD125A9D2C0D191E0C0061D3BD1151E01341B2BE52F3FF3278B0</vt:lpwstr>
  </property>
  <property fmtid="{D5CDD505-2E9C-101B-9397-08002B2CF9AE}" pid="3" name="_dlc_ExpireDate">
    <vt:lpwstr>2015-12-14T15:59:48Z</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 Sensitive</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InsertionValue">
    <vt:lpwstr>OFFICIAL: Sensitive</vt:lpwstr>
  </property>
  <property fmtid="{D5CDD505-2E9C-101B-9397-08002B2CF9AE}" pid="10" name="PM_Originating_FileId">
    <vt:lpwstr>7DF769F9ABE446F9A6BF301EFD3D7099</vt:lpwstr>
  </property>
  <property fmtid="{D5CDD505-2E9C-101B-9397-08002B2CF9AE}" pid="11" name="PM_ProtectiveMarkingValue_Footer">
    <vt:lpwstr>OFFICIAL: Sensitive</vt:lpwstr>
  </property>
  <property fmtid="{D5CDD505-2E9C-101B-9397-08002B2CF9AE}" pid="12" name="PM_Originator_Hash_SHA1">
    <vt:lpwstr>3F657069075C61DD59D67AE005C6C4E2E9E025E3</vt:lpwstr>
  </property>
  <property fmtid="{D5CDD505-2E9C-101B-9397-08002B2CF9AE}" pid="13" name="PM_OriginationTimeStamp">
    <vt:lpwstr>2024-02-26T22:50:51Z</vt:lpwstr>
  </property>
  <property fmtid="{D5CDD505-2E9C-101B-9397-08002B2CF9AE}" pid="14" name="PM_ProtectiveMarkingValue_Header">
    <vt:lpwstr>OFFICIAL: Sensitive</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 Sensitive</vt:lpwstr>
  </property>
  <property fmtid="{D5CDD505-2E9C-101B-9397-08002B2CF9AE}" pid="21" name="PM_Hash_Version">
    <vt:lpwstr>2022.1</vt:lpwstr>
  </property>
  <property fmtid="{D5CDD505-2E9C-101B-9397-08002B2CF9AE}" pid="22" name="PM_Hash_Salt_Prev">
    <vt:lpwstr>561DA9CCDA94450050F6FA06A7FF15CA</vt:lpwstr>
  </property>
  <property fmtid="{D5CDD505-2E9C-101B-9397-08002B2CF9AE}" pid="23" name="PM_Hash_Salt">
    <vt:lpwstr>86DCCBE0BD7812452B86880E0A030E42</vt:lpwstr>
  </property>
  <property fmtid="{D5CDD505-2E9C-101B-9397-08002B2CF9AE}" pid="24" name="PM_Hash_SHA1">
    <vt:lpwstr>06AAD91FD2485C42E0F6ACA8D358F910DCEB1FF3</vt:lpwstr>
  </property>
  <property fmtid="{D5CDD505-2E9C-101B-9397-08002B2CF9AE}" pid="25" name="PM_OriginatorUserAccountName_SHA256">
    <vt:lpwstr>16F3C359B604D740CF1599E6486A970CEC9E3D95C163131557DCEEA41E3DF4BD</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PMHMAC">
    <vt:lpwstr>v=2022.1;a=SHA256;h=C764371253854229C88AD48780C073586D9293E44E29C8A4F7C1CC3DDC792CD1</vt:lpwstr>
  </property>
  <property fmtid="{D5CDD505-2E9C-101B-9397-08002B2CF9AE}" pid="30" name="MSIP_Label_d7a0bb3f-afec-4815-b70d-2a788d74835f_Enabled">
    <vt:lpwstr>true</vt:lpwstr>
  </property>
  <property fmtid="{D5CDD505-2E9C-101B-9397-08002B2CF9AE}" pid="31" name="MSIP_Label_d7a0bb3f-afec-4815-b70d-2a788d74835f_Name">
    <vt:lpwstr>OFFICIAL:Sensitive</vt:lpwstr>
  </property>
  <property fmtid="{D5CDD505-2E9C-101B-9397-08002B2CF9AE}" pid="32" name="MSIP_Label_d7a0bb3f-afec-4815-b70d-2a788d74835f_Method">
    <vt:lpwstr>Privileged</vt:lpwstr>
  </property>
  <property fmtid="{D5CDD505-2E9C-101B-9397-08002B2CF9AE}" pid="33" name="MSIP_Label_d7a0bb3f-afec-4815-b70d-2a788d74835f_SiteId">
    <vt:lpwstr>61e36dd1-ca6e-4d61-aa0a-2b4eb88317a3</vt:lpwstr>
  </property>
  <property fmtid="{D5CDD505-2E9C-101B-9397-08002B2CF9AE}" pid="34" name="MSIP_Label_d7a0bb3f-afec-4815-b70d-2a788d74835f_SetDate">
    <vt:lpwstr>2024-02-26T22:50:51Z</vt:lpwstr>
  </property>
  <property fmtid="{D5CDD505-2E9C-101B-9397-08002B2CF9AE}" pid="35" name="MSIP_Label_d7a0bb3f-afec-4815-b70d-2a788d74835f_ContentBits">
    <vt:lpwstr>0</vt:lpwstr>
  </property>
  <property fmtid="{D5CDD505-2E9C-101B-9397-08002B2CF9AE}" pid="36" name="MSIP_Label_d7a0bb3f-afec-4815-b70d-2a788d74835f_ActionId">
    <vt:lpwstr>23f6433f9ab847b399b65f9b88e6978e</vt:lpwstr>
  </property>
  <property fmtid="{D5CDD505-2E9C-101B-9397-08002B2CF9AE}" pid="37" name="PMUuid">
    <vt:lpwstr>v=2022.2;d=gov.au;g=ABA70C08-925C-5FA3-8765-3178156983AC</vt:lpwstr>
  </property>
</Properties>
</file>