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CA2A0" w14:textId="77777777" w:rsidR="00E70C38" w:rsidRPr="0094560A" w:rsidRDefault="00E70C38" w:rsidP="00E70C38">
      <w:pPr>
        <w:keepNext/>
        <w:spacing w:line="240" w:lineRule="auto"/>
        <w:jc w:val="center"/>
        <w:outlineLvl w:val="0"/>
        <w:rPr>
          <w:rFonts w:eastAsia="Times New Roman" w:cs="Times New Roman"/>
          <w:b/>
          <w:bCs/>
          <w:caps/>
          <w:kern w:val="32"/>
          <w:sz w:val="24"/>
          <w:szCs w:val="24"/>
          <w:u w:val="single"/>
        </w:rPr>
      </w:pPr>
      <w:r w:rsidRPr="0094560A">
        <w:rPr>
          <w:rFonts w:eastAsia="Times New Roman" w:cs="Times New Roman"/>
          <w:b/>
          <w:bCs/>
          <w:caps/>
          <w:kern w:val="32"/>
          <w:sz w:val="24"/>
          <w:szCs w:val="24"/>
          <w:u w:val="single"/>
        </w:rPr>
        <w:t>STATUTE LAW AMENDMENT (PRESCRIBED FORMS) REGULATIONS 2024</w:t>
      </w:r>
    </w:p>
    <w:p w14:paraId="7A37B1B5" w14:textId="77777777" w:rsidR="00E70C38" w:rsidRPr="0094560A" w:rsidRDefault="00E70C38" w:rsidP="00E70C38">
      <w:pPr>
        <w:rPr>
          <w:rFonts w:eastAsia="Calibri" w:cs="Times New Roman"/>
        </w:rPr>
      </w:pPr>
    </w:p>
    <w:p w14:paraId="45A967F0" w14:textId="77777777" w:rsidR="00E70C38" w:rsidRPr="0094560A" w:rsidRDefault="00E70C38" w:rsidP="00E70C38">
      <w:pPr>
        <w:keepNext/>
        <w:spacing w:line="240" w:lineRule="auto"/>
        <w:jc w:val="center"/>
        <w:outlineLvl w:val="0"/>
        <w:rPr>
          <w:rFonts w:eastAsia="Times New Roman" w:cs="Times New Roman"/>
          <w:b/>
          <w:bCs/>
          <w:caps/>
          <w:kern w:val="32"/>
          <w:sz w:val="24"/>
          <w:szCs w:val="32"/>
          <w:u w:val="single"/>
        </w:rPr>
      </w:pPr>
    </w:p>
    <w:p w14:paraId="0F052D58" w14:textId="77777777" w:rsidR="00E70C38" w:rsidRPr="0094560A" w:rsidRDefault="00E70C38" w:rsidP="00E70C38">
      <w:pPr>
        <w:keepNext/>
        <w:spacing w:line="240" w:lineRule="auto"/>
        <w:jc w:val="center"/>
        <w:outlineLvl w:val="0"/>
        <w:rPr>
          <w:rFonts w:eastAsia="Times New Roman" w:cs="Times New Roman"/>
          <w:b/>
          <w:bCs/>
          <w:caps/>
          <w:kern w:val="32"/>
          <w:sz w:val="24"/>
          <w:szCs w:val="32"/>
          <w:u w:val="single"/>
        </w:rPr>
      </w:pPr>
      <w:r w:rsidRPr="0094560A">
        <w:rPr>
          <w:rFonts w:eastAsia="Times New Roman" w:cs="Times New Roman"/>
          <w:b/>
          <w:bCs/>
          <w:caps/>
          <w:kern w:val="32"/>
          <w:sz w:val="24"/>
          <w:szCs w:val="24"/>
          <w:u w:val="single"/>
        </w:rPr>
        <w:t xml:space="preserve">EXPLANATORY STATEMENT </w:t>
      </w:r>
      <w:r w:rsidRPr="0094560A">
        <w:rPr>
          <w:rFonts w:ascii="Cambria" w:eastAsia="Times New Roman" w:hAnsi="Cambria" w:cs="Times New Roman"/>
          <w:bCs/>
          <w:caps/>
          <w:kern w:val="32"/>
          <w:sz w:val="32"/>
          <w:szCs w:val="32"/>
        </w:rPr>
        <w:br/>
      </w:r>
    </w:p>
    <w:p w14:paraId="54A94390" w14:textId="77777777" w:rsidR="00E70C38" w:rsidRPr="0094560A" w:rsidRDefault="00E70C38" w:rsidP="00E70C38">
      <w:pPr>
        <w:spacing w:line="360" w:lineRule="auto"/>
        <w:jc w:val="center"/>
        <w:rPr>
          <w:rFonts w:eastAsia="Calibri" w:cs="Times New Roman"/>
          <w:sz w:val="24"/>
        </w:rPr>
      </w:pPr>
      <w:r w:rsidRPr="0094560A">
        <w:rPr>
          <w:rFonts w:eastAsia="Calibri" w:cs="Times New Roman"/>
          <w:sz w:val="24"/>
        </w:rPr>
        <w:t>Issued by authority of the Attorney</w:t>
      </w:r>
      <w:r w:rsidRPr="0094560A">
        <w:rPr>
          <w:rFonts w:eastAsia="Calibri" w:cs="Times New Roman"/>
          <w:sz w:val="24"/>
        </w:rPr>
        <w:noBreakHyphen/>
        <w:t>General</w:t>
      </w:r>
    </w:p>
    <w:p w14:paraId="7C91C6CC" w14:textId="77777777" w:rsidR="00E70C38" w:rsidRPr="0094560A" w:rsidRDefault="00E70C38" w:rsidP="00E70C38">
      <w:pPr>
        <w:spacing w:line="360" w:lineRule="auto"/>
        <w:jc w:val="center"/>
        <w:rPr>
          <w:rFonts w:eastAsia="Calibri" w:cs="Times New Roman"/>
          <w:i/>
          <w:iCs/>
          <w:sz w:val="24"/>
        </w:rPr>
      </w:pPr>
      <w:r w:rsidRPr="0094560A">
        <w:rPr>
          <w:rFonts w:eastAsia="Calibri" w:cs="Times New Roman"/>
          <w:sz w:val="24"/>
        </w:rPr>
        <w:t xml:space="preserve">in compliance with section 15J of the </w:t>
      </w:r>
      <w:r w:rsidRPr="0094560A">
        <w:rPr>
          <w:rFonts w:eastAsia="Calibri" w:cs="Times New Roman"/>
          <w:i/>
          <w:iCs/>
          <w:sz w:val="24"/>
        </w:rPr>
        <w:t>Legislation Act 2003</w:t>
      </w:r>
    </w:p>
    <w:p w14:paraId="7F8477FE" w14:textId="77777777" w:rsidR="00E70C38" w:rsidRPr="0094560A" w:rsidRDefault="00E70C38" w:rsidP="00E70C38">
      <w:pPr>
        <w:spacing w:line="360" w:lineRule="auto"/>
        <w:jc w:val="center"/>
        <w:rPr>
          <w:rFonts w:eastAsia="Calibri" w:cs="Times New Roman"/>
        </w:rPr>
      </w:pPr>
    </w:p>
    <w:p w14:paraId="17FC3D18" w14:textId="77777777" w:rsidR="00E70C38" w:rsidRPr="0094560A" w:rsidRDefault="00E70C38" w:rsidP="00E70C38">
      <w:pPr>
        <w:spacing w:line="360" w:lineRule="auto"/>
        <w:rPr>
          <w:rFonts w:eastAsia="Calibri" w:cs="Times New Roman"/>
          <w:b/>
          <w:bCs/>
          <w:caps/>
          <w:sz w:val="24"/>
          <w:szCs w:val="24"/>
        </w:rPr>
      </w:pPr>
      <w:r w:rsidRPr="0094560A">
        <w:rPr>
          <w:rFonts w:eastAsia="Calibri" w:cs="Times New Roman"/>
          <w:b/>
          <w:bCs/>
          <w:caps/>
          <w:sz w:val="24"/>
          <w:szCs w:val="24"/>
        </w:rPr>
        <w:t>Purpose and operation of the Instrument</w:t>
      </w:r>
    </w:p>
    <w:p w14:paraId="361E5E0F" w14:textId="7B6A0805" w:rsidR="00100035" w:rsidRPr="0094560A" w:rsidRDefault="00E70C38" w:rsidP="00100035">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This instrument </w:t>
      </w:r>
      <w:r w:rsidR="00E61514" w:rsidRPr="0094560A">
        <w:rPr>
          <w:rFonts w:eastAsia="Times New Roman" w:cs="Times New Roman"/>
          <w:sz w:val="24"/>
          <w:lang w:eastAsia="en-AU"/>
        </w:rPr>
        <w:t xml:space="preserve">makes minor consequential amendments to </w:t>
      </w:r>
      <w:r w:rsidR="000E2979" w:rsidRPr="0094560A">
        <w:rPr>
          <w:rFonts w:eastAsia="Times New Roman" w:cs="Times New Roman"/>
          <w:sz w:val="24"/>
          <w:lang w:eastAsia="en-AU"/>
        </w:rPr>
        <w:t>r</w:t>
      </w:r>
      <w:r w:rsidR="00E61514" w:rsidRPr="0094560A">
        <w:rPr>
          <w:rFonts w:eastAsia="Times New Roman" w:cs="Times New Roman"/>
          <w:sz w:val="24"/>
          <w:lang w:eastAsia="en-AU"/>
        </w:rPr>
        <w:t>egulations across the Commonwealth statute book</w:t>
      </w:r>
      <w:r w:rsidR="00100035" w:rsidRPr="0094560A">
        <w:rPr>
          <w:rFonts w:eastAsia="Times New Roman" w:cs="Times New Roman"/>
          <w:sz w:val="24"/>
          <w:lang w:eastAsia="en-AU"/>
        </w:rPr>
        <w:t xml:space="preserve"> in order to </w:t>
      </w:r>
      <w:r w:rsidR="00E61514" w:rsidRPr="0094560A">
        <w:rPr>
          <w:rFonts w:eastAsia="Times New Roman" w:cs="Times New Roman"/>
          <w:sz w:val="24"/>
          <w:lang w:eastAsia="en-AU"/>
        </w:rPr>
        <w:t xml:space="preserve">implement Schedule 1 of the </w:t>
      </w:r>
      <w:r w:rsidR="00E61514" w:rsidRPr="0094560A">
        <w:rPr>
          <w:rFonts w:eastAsia="Times New Roman" w:cs="Times New Roman"/>
          <w:i/>
          <w:sz w:val="24"/>
          <w:lang w:eastAsia="en-AU"/>
        </w:rPr>
        <w:t>Statute Law Amendment (Prescribed Forms and Other Updates) Act 2023</w:t>
      </w:r>
      <w:r w:rsidR="00336D72" w:rsidRPr="0094560A">
        <w:rPr>
          <w:rFonts w:eastAsia="Times New Roman" w:cs="Times New Roman"/>
          <w:sz w:val="24"/>
          <w:lang w:eastAsia="en-AU"/>
        </w:rPr>
        <w:t xml:space="preserve"> (Statute Law Amendment Act).</w:t>
      </w:r>
    </w:p>
    <w:p w14:paraId="66CFAD91" w14:textId="453A5C51" w:rsidR="00F23CF9" w:rsidRPr="0094560A" w:rsidRDefault="00100035" w:rsidP="00796ED9">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 Schedule 1 </w:t>
      </w:r>
      <w:r w:rsidR="0025511F" w:rsidRPr="0094560A">
        <w:rPr>
          <w:rFonts w:eastAsia="Times New Roman" w:cs="Times New Roman"/>
          <w:sz w:val="24"/>
          <w:lang w:eastAsia="en-AU"/>
        </w:rPr>
        <w:t xml:space="preserve">to </w:t>
      </w:r>
      <w:r w:rsidRPr="0094560A">
        <w:rPr>
          <w:rFonts w:eastAsia="Times New Roman" w:cs="Times New Roman"/>
          <w:sz w:val="24"/>
          <w:lang w:eastAsia="en-AU"/>
        </w:rPr>
        <w:t>the Statute Law Amendment Act amended 33 primary Commonwealth Acts that require forms to be prescribed by regulations</w:t>
      </w:r>
      <w:r w:rsidR="0025511F" w:rsidRPr="0094560A">
        <w:rPr>
          <w:rFonts w:eastAsia="Times New Roman" w:cs="Times New Roman"/>
          <w:sz w:val="24"/>
          <w:lang w:eastAsia="en-AU"/>
        </w:rPr>
        <w:t>. It replaced</w:t>
      </w:r>
      <w:r w:rsidRPr="0094560A">
        <w:rPr>
          <w:rFonts w:eastAsia="Times New Roman" w:cs="Times New Roman"/>
          <w:sz w:val="24"/>
          <w:lang w:eastAsia="en-AU"/>
        </w:rPr>
        <w:t xml:space="preserve"> the prescriptions</w:t>
      </w:r>
      <w:r w:rsidR="0025511F" w:rsidRPr="0094560A">
        <w:rPr>
          <w:rFonts w:eastAsia="Times New Roman" w:cs="Times New Roman"/>
          <w:sz w:val="24"/>
          <w:lang w:eastAsia="en-AU"/>
        </w:rPr>
        <w:t xml:space="preserve"> in primary legislation</w:t>
      </w:r>
      <w:r w:rsidRPr="0094560A">
        <w:rPr>
          <w:rFonts w:eastAsia="Times New Roman" w:cs="Times New Roman"/>
          <w:sz w:val="24"/>
          <w:lang w:eastAsia="en-AU"/>
        </w:rPr>
        <w:t xml:space="preserve"> with other, more flexible, approaches that take into account the best modern practices available in the relevant circumstances of the particular form</w:t>
      </w:r>
      <w:r w:rsidR="00F54C64" w:rsidRPr="0094560A">
        <w:rPr>
          <w:rFonts w:eastAsia="Times New Roman" w:cs="Times New Roman"/>
          <w:sz w:val="24"/>
          <w:lang w:eastAsia="en-AU"/>
        </w:rPr>
        <w:t>, f</w:t>
      </w:r>
      <w:r w:rsidR="0025511F" w:rsidRPr="0094560A">
        <w:rPr>
          <w:rFonts w:eastAsia="Times New Roman" w:cs="Times New Roman"/>
          <w:sz w:val="24"/>
          <w:lang w:eastAsia="en-AU"/>
        </w:rPr>
        <w:t xml:space="preserve">or example, </w:t>
      </w:r>
      <w:r w:rsidR="00A877C1" w:rsidRPr="0094560A">
        <w:rPr>
          <w:rFonts w:eastAsia="Times New Roman" w:cs="Times New Roman"/>
          <w:sz w:val="24"/>
          <w:lang w:eastAsia="en-AU"/>
        </w:rPr>
        <w:t xml:space="preserve">by </w:t>
      </w:r>
      <w:r w:rsidR="0025511F" w:rsidRPr="0094560A">
        <w:rPr>
          <w:rFonts w:eastAsia="Times New Roman" w:cs="Times New Roman"/>
          <w:sz w:val="24"/>
          <w:lang w:eastAsia="en-AU"/>
        </w:rPr>
        <w:t>enabling regulations to directly mandate the requirements themselves rather than requiring particular forms or providing for the forms to be approved by notifiable instrument.</w:t>
      </w:r>
    </w:p>
    <w:p w14:paraId="5E96CCBA" w14:textId="72C4B447" w:rsidR="00E70C38" w:rsidRPr="0094560A" w:rsidRDefault="00100035" w:rsidP="000970B9">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The main purpose of this instrument is to </w:t>
      </w:r>
      <w:r w:rsidR="002F5164" w:rsidRPr="0094560A">
        <w:rPr>
          <w:rFonts w:eastAsia="Times New Roman" w:cs="Times New Roman"/>
          <w:sz w:val="24"/>
          <w:lang w:eastAsia="en-AU"/>
        </w:rPr>
        <w:t xml:space="preserve">amend 22 regulations made under 22 respective Acts (the Primary Acts) to align with and support Schedule 1 to the Amendment Act. </w:t>
      </w:r>
      <w:r w:rsidR="00A877C1" w:rsidRPr="0094560A">
        <w:rPr>
          <w:rFonts w:eastAsia="Times New Roman" w:cs="Times New Roman"/>
          <w:sz w:val="24"/>
          <w:lang w:eastAsia="en-AU"/>
        </w:rPr>
        <w:t xml:space="preserve">The </w:t>
      </w:r>
      <w:r w:rsidR="00E70C38" w:rsidRPr="0094560A">
        <w:rPr>
          <w:rFonts w:eastAsia="Times New Roman" w:cs="Times New Roman"/>
          <w:sz w:val="24"/>
          <w:lang w:eastAsia="en-AU"/>
        </w:rPr>
        <w:t>amendments are minor and technical in nature. The amendments either make no change or only minor changes to the substance of the law.</w:t>
      </w:r>
    </w:p>
    <w:p w14:paraId="5A38F627" w14:textId="77777777" w:rsidR="00E70C38" w:rsidRPr="0094560A" w:rsidRDefault="00E70C38" w:rsidP="00E70C38">
      <w:pPr>
        <w:spacing w:before="240" w:line="360" w:lineRule="auto"/>
        <w:rPr>
          <w:rFonts w:eastAsia="Calibri" w:cs="Times New Roman"/>
          <w:b/>
          <w:bCs/>
          <w:caps/>
          <w:sz w:val="24"/>
          <w:szCs w:val="24"/>
        </w:rPr>
      </w:pPr>
      <w:r w:rsidRPr="0094560A">
        <w:rPr>
          <w:rFonts w:eastAsia="Calibri" w:cs="Times New Roman"/>
          <w:b/>
          <w:bCs/>
          <w:caps/>
          <w:sz w:val="24"/>
          <w:szCs w:val="24"/>
        </w:rPr>
        <w:t>Consultation</w:t>
      </w:r>
    </w:p>
    <w:p w14:paraId="5648164D" w14:textId="3632B6C2" w:rsidR="00E70C38" w:rsidRPr="0094560A" w:rsidRDefault="00E70C38" w:rsidP="00205865">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Before the instrument was made, the Attorney-General considered the general obligation to consult </w:t>
      </w:r>
      <w:r w:rsidR="00E61514" w:rsidRPr="0094560A">
        <w:rPr>
          <w:rFonts w:eastAsia="Times New Roman" w:cs="Times New Roman"/>
          <w:sz w:val="24"/>
          <w:lang w:eastAsia="en-AU"/>
        </w:rPr>
        <w:t xml:space="preserve">required </w:t>
      </w:r>
      <w:r w:rsidRPr="0094560A">
        <w:rPr>
          <w:rFonts w:eastAsia="Times New Roman" w:cs="Times New Roman"/>
          <w:sz w:val="24"/>
          <w:lang w:eastAsia="en-AU"/>
        </w:rPr>
        <w:t xml:space="preserve">by section 17 of the </w:t>
      </w:r>
      <w:r w:rsidRPr="0094560A">
        <w:rPr>
          <w:rFonts w:eastAsia="Times New Roman" w:cs="Times New Roman"/>
          <w:i/>
          <w:sz w:val="24"/>
          <w:lang w:eastAsia="en-AU"/>
        </w:rPr>
        <w:t>Legislation Act 2003</w:t>
      </w:r>
      <w:r w:rsidRPr="0094560A">
        <w:rPr>
          <w:rFonts w:eastAsia="Times New Roman" w:cs="Times New Roman"/>
          <w:sz w:val="24"/>
          <w:lang w:eastAsia="en-AU"/>
        </w:rPr>
        <w:t>.</w:t>
      </w:r>
    </w:p>
    <w:p w14:paraId="268C6389" w14:textId="2BAB73C6" w:rsidR="00E70C38" w:rsidRPr="0094560A" w:rsidRDefault="00EA0B18" w:rsidP="00205865">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In developing the proposed Regulations, the Attorney-General’s Department consulted with </w:t>
      </w:r>
      <w:r w:rsidRPr="0094560A">
        <w:rPr>
          <w:rFonts w:eastAsia="Times New Roman" w:cs="Times New Roman"/>
          <w:iCs/>
          <w:sz w:val="24"/>
          <w:lang w:eastAsia="en-AU"/>
        </w:rPr>
        <w:t xml:space="preserve">the departments administering the legislation being amended. </w:t>
      </w:r>
      <w:r w:rsidR="00E70C38" w:rsidRPr="0094560A">
        <w:rPr>
          <w:rFonts w:eastAsia="Times New Roman" w:cs="Times New Roman"/>
          <w:sz w:val="24"/>
          <w:lang w:eastAsia="en-AU"/>
        </w:rPr>
        <w:t xml:space="preserve">As the instrument only makes small technical changes to the text of the law and does not affect the interpretation of the law, it was not considered necessary to consult further outside of those </w:t>
      </w:r>
      <w:r w:rsidR="000E2979" w:rsidRPr="0094560A">
        <w:rPr>
          <w:rFonts w:eastAsia="Times New Roman" w:cs="Times New Roman"/>
          <w:sz w:val="24"/>
          <w:lang w:eastAsia="en-AU"/>
        </w:rPr>
        <w:t>d</w:t>
      </w:r>
      <w:r w:rsidR="00E70C38" w:rsidRPr="0094560A">
        <w:rPr>
          <w:rFonts w:eastAsia="Times New Roman" w:cs="Times New Roman"/>
          <w:sz w:val="24"/>
          <w:lang w:eastAsia="en-AU"/>
        </w:rPr>
        <w:t>epartments.</w:t>
      </w:r>
      <w:r w:rsidRPr="0094560A">
        <w:rPr>
          <w:rFonts w:eastAsia="Times New Roman" w:cs="Times New Roman"/>
          <w:sz w:val="24"/>
          <w:lang w:eastAsia="en-AU"/>
        </w:rPr>
        <w:t xml:space="preserve"> </w:t>
      </w:r>
      <w:r w:rsidRPr="0094560A">
        <w:rPr>
          <w:rFonts w:eastAsia="Times New Roman" w:cs="Times New Roman"/>
          <w:iCs/>
          <w:sz w:val="24"/>
          <w:lang w:eastAsia="en-AU"/>
        </w:rPr>
        <w:t>The Regulations form part of the general statute law revision legislation progressed periodically by the Office of Parliamentary Counsel to keep the Commonwealth statute book accurate and up to date.</w:t>
      </w:r>
    </w:p>
    <w:p w14:paraId="72D35742" w14:textId="77777777" w:rsidR="00E70C38" w:rsidRPr="0094560A" w:rsidRDefault="00E70C38" w:rsidP="00E70C38">
      <w:pPr>
        <w:spacing w:before="240" w:line="360" w:lineRule="auto"/>
        <w:rPr>
          <w:rFonts w:eastAsia="Calibri" w:cs="Times New Roman"/>
          <w:b/>
          <w:bCs/>
          <w:caps/>
          <w:sz w:val="24"/>
          <w:szCs w:val="24"/>
        </w:rPr>
      </w:pPr>
      <w:r w:rsidRPr="0094560A">
        <w:rPr>
          <w:rFonts w:eastAsia="Calibri" w:cs="Times New Roman"/>
          <w:b/>
          <w:bCs/>
          <w:caps/>
          <w:sz w:val="24"/>
          <w:szCs w:val="24"/>
        </w:rPr>
        <w:t>Policy Impact analysis</w:t>
      </w:r>
    </w:p>
    <w:p w14:paraId="30C76CAC" w14:textId="5299F21D" w:rsidR="00E70C38" w:rsidRPr="0094560A" w:rsidRDefault="00E70C38" w:rsidP="00205865">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Regulations </w:t>
      </w:r>
      <w:r w:rsidR="00553954" w:rsidRPr="0094560A">
        <w:rPr>
          <w:rFonts w:eastAsia="Times New Roman" w:cs="Times New Roman"/>
          <w:sz w:val="24"/>
          <w:lang w:eastAsia="en-AU"/>
        </w:rPr>
        <w:t xml:space="preserve">made for the purposes of Statute Update Bills </w:t>
      </w:r>
      <w:r w:rsidRPr="0094560A">
        <w:rPr>
          <w:rFonts w:eastAsia="Times New Roman" w:cs="Times New Roman"/>
          <w:sz w:val="24"/>
          <w:lang w:eastAsia="en-AU"/>
        </w:rPr>
        <w:t xml:space="preserve">are machinery of government instruments, and are therefore not subject to the regulatory impact assessment requirements set out by the Office of Impact Analysis (OIA). The OIA reference for this standing exemption is </w:t>
      </w:r>
      <w:r w:rsidR="0067729D" w:rsidRPr="0094560A">
        <w:rPr>
          <w:rFonts w:eastAsia="Times New Roman" w:cs="Times New Roman"/>
          <w:sz w:val="24"/>
          <w:lang w:eastAsia="en-AU"/>
        </w:rPr>
        <w:t>OIA23-06091.</w:t>
      </w:r>
    </w:p>
    <w:p w14:paraId="6DA0D953" w14:textId="77777777" w:rsidR="00E70C38" w:rsidRPr="0094560A" w:rsidRDefault="00E70C38" w:rsidP="00E70C38">
      <w:pPr>
        <w:pageBreakBefore/>
        <w:spacing w:line="360" w:lineRule="auto"/>
        <w:rPr>
          <w:rFonts w:eastAsia="Calibri" w:cs="Times New Roman"/>
          <w:b/>
          <w:bCs/>
          <w:caps/>
          <w:sz w:val="24"/>
          <w:szCs w:val="24"/>
        </w:rPr>
      </w:pPr>
      <w:r w:rsidRPr="0094560A">
        <w:rPr>
          <w:rFonts w:eastAsia="Calibri" w:cs="Times New Roman"/>
          <w:b/>
          <w:bCs/>
          <w:caps/>
          <w:sz w:val="24"/>
          <w:szCs w:val="24"/>
        </w:rPr>
        <w:lastRenderedPageBreak/>
        <w:t>Statement of Compatibility with Human Rights</w:t>
      </w:r>
    </w:p>
    <w:p w14:paraId="4EBE32FF" w14:textId="77777777" w:rsidR="00E70C38" w:rsidRPr="0094560A" w:rsidRDefault="00E70C38" w:rsidP="00E70C38">
      <w:pPr>
        <w:spacing w:line="360" w:lineRule="auto"/>
        <w:rPr>
          <w:rFonts w:eastAsia="Calibri" w:cs="Times New Roman"/>
          <w:i/>
          <w:iCs/>
          <w:color w:val="000000"/>
        </w:rPr>
      </w:pPr>
      <w:r w:rsidRPr="0094560A">
        <w:rPr>
          <w:rFonts w:eastAsia="Calibri" w:cs="Times New Roman"/>
          <w:i/>
          <w:iCs/>
          <w:color w:val="000000"/>
        </w:rPr>
        <w:t>Prepared in accordance with Part 3 of the Human Rights (Parliamentary Scrutiny) Act 2011</w:t>
      </w:r>
    </w:p>
    <w:p w14:paraId="71B74590" w14:textId="5F1FFFF3" w:rsidR="00E70C38" w:rsidRPr="0094560A" w:rsidRDefault="00226C35" w:rsidP="00E70C38">
      <w:pPr>
        <w:keepNext/>
        <w:spacing w:before="240" w:after="60" w:line="240" w:lineRule="auto"/>
        <w:outlineLvl w:val="0"/>
        <w:rPr>
          <w:rFonts w:eastAsia="Times New Roman" w:cs="Times New Roman"/>
          <w:b/>
          <w:kern w:val="28"/>
          <w:sz w:val="24"/>
          <w:szCs w:val="24"/>
          <w:lang w:eastAsia="en-AU"/>
        </w:rPr>
      </w:pPr>
      <w:r w:rsidRPr="0094560A">
        <w:rPr>
          <w:rFonts w:eastAsia="Times New Roman" w:cs="Times New Roman"/>
          <w:b/>
          <w:kern w:val="28"/>
          <w:sz w:val="24"/>
          <w:szCs w:val="24"/>
          <w:lang w:eastAsia="en-AU"/>
        </w:rPr>
        <w:t>Statute Law Amendment (Prescribed Forms) Regulations</w:t>
      </w:r>
      <w:r w:rsidR="00E70C38" w:rsidRPr="0094560A">
        <w:rPr>
          <w:rFonts w:eastAsia="Times New Roman" w:cs="Times New Roman"/>
          <w:b/>
          <w:kern w:val="28"/>
          <w:sz w:val="24"/>
          <w:szCs w:val="24"/>
          <w:lang w:eastAsia="en-AU"/>
        </w:rPr>
        <w:t xml:space="preserve"> 202</w:t>
      </w:r>
      <w:r w:rsidRPr="0094560A">
        <w:rPr>
          <w:rFonts w:eastAsia="Times New Roman" w:cs="Times New Roman"/>
          <w:b/>
          <w:kern w:val="28"/>
          <w:sz w:val="24"/>
          <w:szCs w:val="24"/>
          <w:lang w:eastAsia="en-AU"/>
        </w:rPr>
        <w:t>4</w:t>
      </w:r>
    </w:p>
    <w:p w14:paraId="1EF498DB" w14:textId="77777777" w:rsidR="00E70C38" w:rsidRPr="0094560A" w:rsidRDefault="00E70C38" w:rsidP="00E70C38">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This instrument is compatible with the human rights and freedoms recognised or declared in the international instruments listed in section 3 of the </w:t>
      </w:r>
      <w:r w:rsidRPr="0094560A">
        <w:rPr>
          <w:rFonts w:eastAsia="Times New Roman" w:cs="Times New Roman"/>
          <w:i/>
          <w:sz w:val="24"/>
          <w:lang w:eastAsia="en-AU"/>
        </w:rPr>
        <w:t>Human Rights (Parliamentary Scrutiny) Act 2011</w:t>
      </w:r>
      <w:r w:rsidRPr="0094560A">
        <w:rPr>
          <w:rFonts w:eastAsia="Times New Roman" w:cs="Times New Roman"/>
          <w:sz w:val="24"/>
          <w:lang w:eastAsia="en-AU"/>
        </w:rPr>
        <w:t>.</w:t>
      </w:r>
    </w:p>
    <w:p w14:paraId="2898C0A2" w14:textId="77777777" w:rsidR="00E70C38" w:rsidRPr="0094560A" w:rsidRDefault="00E70C38" w:rsidP="00E70C38">
      <w:pPr>
        <w:keepNext/>
        <w:spacing w:before="240" w:after="60" w:line="240" w:lineRule="auto"/>
        <w:outlineLvl w:val="0"/>
        <w:rPr>
          <w:rFonts w:eastAsia="Times New Roman" w:cs="Times New Roman"/>
          <w:b/>
          <w:kern w:val="28"/>
          <w:sz w:val="24"/>
          <w:szCs w:val="24"/>
          <w:lang w:eastAsia="en-AU"/>
        </w:rPr>
      </w:pPr>
      <w:r w:rsidRPr="0094560A">
        <w:rPr>
          <w:rFonts w:eastAsia="Times New Roman" w:cs="Times New Roman"/>
          <w:b/>
          <w:kern w:val="28"/>
          <w:sz w:val="24"/>
          <w:szCs w:val="24"/>
          <w:lang w:eastAsia="en-AU"/>
        </w:rPr>
        <w:t>Overview of the instrument</w:t>
      </w:r>
    </w:p>
    <w:p w14:paraId="4983A3F9" w14:textId="4241E457" w:rsidR="00100035" w:rsidRPr="0094560A" w:rsidRDefault="00E70C38" w:rsidP="00100035">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This instrument</w:t>
      </w:r>
      <w:r w:rsidR="00100035" w:rsidRPr="0094560A">
        <w:rPr>
          <w:rFonts w:eastAsia="Times New Roman" w:cs="Times New Roman"/>
          <w:sz w:val="24"/>
          <w:lang w:eastAsia="en-AU"/>
        </w:rPr>
        <w:t xml:space="preserve"> makes minor and consequential amendments to 2</w:t>
      </w:r>
      <w:r w:rsidR="004D294C" w:rsidRPr="0094560A">
        <w:rPr>
          <w:rFonts w:eastAsia="Times New Roman" w:cs="Times New Roman"/>
          <w:sz w:val="24"/>
          <w:lang w:eastAsia="en-AU"/>
        </w:rPr>
        <w:t>2</w:t>
      </w:r>
      <w:r w:rsidR="00100035" w:rsidRPr="0094560A">
        <w:rPr>
          <w:rFonts w:eastAsia="Times New Roman" w:cs="Times New Roman"/>
          <w:sz w:val="24"/>
          <w:lang w:eastAsia="en-AU"/>
        </w:rPr>
        <w:t xml:space="preserve"> </w:t>
      </w:r>
      <w:r w:rsidR="000E2979" w:rsidRPr="0094560A">
        <w:rPr>
          <w:rFonts w:eastAsia="Times New Roman" w:cs="Times New Roman"/>
          <w:sz w:val="24"/>
          <w:lang w:eastAsia="en-AU"/>
        </w:rPr>
        <w:t>r</w:t>
      </w:r>
      <w:r w:rsidR="00100035" w:rsidRPr="0094560A">
        <w:rPr>
          <w:rFonts w:eastAsia="Times New Roman" w:cs="Times New Roman"/>
          <w:sz w:val="24"/>
          <w:lang w:eastAsia="en-AU"/>
        </w:rPr>
        <w:t xml:space="preserve">egulations across the Commonwealth statute book in order to implement Schedule 1 of the </w:t>
      </w:r>
      <w:r w:rsidR="002C309A" w:rsidRPr="0094560A">
        <w:rPr>
          <w:rFonts w:eastAsia="Times New Roman" w:cs="Times New Roman"/>
          <w:sz w:val="24"/>
          <w:lang w:eastAsia="en-AU"/>
        </w:rPr>
        <w:t>Statute Law Amendment Act</w:t>
      </w:r>
      <w:r w:rsidR="00100035" w:rsidRPr="0094560A">
        <w:rPr>
          <w:rFonts w:eastAsia="Times New Roman" w:cs="Times New Roman"/>
          <w:sz w:val="24"/>
          <w:lang w:eastAsia="en-AU"/>
        </w:rPr>
        <w:t>.</w:t>
      </w:r>
    </w:p>
    <w:p w14:paraId="5A366FD5" w14:textId="33DADD12" w:rsidR="00100035" w:rsidRPr="0094560A" w:rsidRDefault="00100035" w:rsidP="002B7A17">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Schedule 1 </w:t>
      </w:r>
      <w:r w:rsidR="002B7A17" w:rsidRPr="0094560A">
        <w:rPr>
          <w:rFonts w:eastAsia="Times New Roman" w:cs="Times New Roman"/>
          <w:sz w:val="24"/>
          <w:lang w:eastAsia="en-AU"/>
        </w:rPr>
        <w:t xml:space="preserve">to </w:t>
      </w:r>
      <w:r w:rsidRPr="0094560A">
        <w:rPr>
          <w:rFonts w:eastAsia="Times New Roman" w:cs="Times New Roman"/>
          <w:sz w:val="24"/>
          <w:lang w:eastAsia="en-AU"/>
        </w:rPr>
        <w:t xml:space="preserve">the Statute Law Amendment Act amended 33 primary Commonwealth Acts that require forms to be prescribed by regulations, replacing the prescriptions </w:t>
      </w:r>
      <w:r w:rsidR="00472640" w:rsidRPr="0094560A">
        <w:rPr>
          <w:rFonts w:eastAsia="Times New Roman" w:cs="Times New Roman"/>
          <w:sz w:val="24"/>
          <w:lang w:eastAsia="en-AU"/>
        </w:rPr>
        <w:t xml:space="preserve">in primary legislation </w:t>
      </w:r>
      <w:r w:rsidRPr="0094560A">
        <w:rPr>
          <w:rFonts w:eastAsia="Times New Roman" w:cs="Times New Roman"/>
          <w:sz w:val="24"/>
          <w:lang w:eastAsia="en-AU"/>
        </w:rPr>
        <w:t xml:space="preserve">with other, more flexible, approaches that take into account the best modern practices available in the relevant circumstances of the particular form. </w:t>
      </w:r>
      <w:r w:rsidR="002B7A17" w:rsidRPr="0094560A">
        <w:rPr>
          <w:rFonts w:eastAsia="Times New Roman" w:cs="Times New Roman"/>
          <w:sz w:val="24"/>
          <w:lang w:eastAsia="en-AU"/>
        </w:rPr>
        <w:t>For example,</w:t>
      </w:r>
      <w:r w:rsidR="00472640" w:rsidRPr="0094560A">
        <w:rPr>
          <w:rFonts w:eastAsia="Times New Roman" w:cs="Times New Roman"/>
          <w:sz w:val="24"/>
          <w:lang w:eastAsia="en-AU"/>
        </w:rPr>
        <w:t xml:space="preserve"> by</w:t>
      </w:r>
      <w:r w:rsidR="002B7A17" w:rsidRPr="0094560A">
        <w:rPr>
          <w:rFonts w:eastAsia="Times New Roman" w:cs="Times New Roman"/>
          <w:sz w:val="24"/>
          <w:lang w:eastAsia="en-AU"/>
        </w:rPr>
        <w:t xml:space="preserve"> enabling regulations to directly mandate the requirements themselves rather than requiring particular forms or providing for the forms to be approved by notifiable instrument.</w:t>
      </w:r>
    </w:p>
    <w:p w14:paraId="74DDA3C1" w14:textId="6B852B80" w:rsidR="00E70C38" w:rsidRPr="0094560A" w:rsidRDefault="007D5D24" w:rsidP="00E70C38">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The main purpose of this instrument is to make changes to 2</w:t>
      </w:r>
      <w:r w:rsidR="004D294C" w:rsidRPr="0094560A">
        <w:rPr>
          <w:rFonts w:eastAsia="Times New Roman" w:cs="Times New Roman"/>
          <w:sz w:val="24"/>
          <w:lang w:eastAsia="en-AU"/>
        </w:rPr>
        <w:t>2</w:t>
      </w:r>
      <w:r w:rsidRPr="0094560A">
        <w:rPr>
          <w:rFonts w:eastAsia="Times New Roman" w:cs="Times New Roman"/>
          <w:sz w:val="24"/>
          <w:lang w:eastAsia="en-AU"/>
        </w:rPr>
        <w:t xml:space="preserve"> </w:t>
      </w:r>
      <w:r w:rsidR="000E2979" w:rsidRPr="0094560A">
        <w:rPr>
          <w:rFonts w:eastAsia="Times New Roman" w:cs="Times New Roman"/>
          <w:sz w:val="24"/>
          <w:lang w:eastAsia="en-AU"/>
        </w:rPr>
        <w:t>r</w:t>
      </w:r>
      <w:r w:rsidRPr="0094560A">
        <w:rPr>
          <w:rFonts w:eastAsia="Times New Roman" w:cs="Times New Roman"/>
          <w:sz w:val="24"/>
          <w:lang w:eastAsia="en-AU"/>
        </w:rPr>
        <w:t xml:space="preserve">egulations that correspond with the amendments to primary Acts made by Schedule 1 </w:t>
      </w:r>
      <w:r w:rsidR="002F5164" w:rsidRPr="0094560A">
        <w:rPr>
          <w:rFonts w:eastAsia="Times New Roman" w:cs="Times New Roman"/>
          <w:sz w:val="24"/>
          <w:lang w:eastAsia="en-AU"/>
        </w:rPr>
        <w:t xml:space="preserve">to </w:t>
      </w:r>
      <w:r w:rsidRPr="0094560A">
        <w:rPr>
          <w:rFonts w:eastAsia="Times New Roman" w:cs="Times New Roman"/>
          <w:sz w:val="24"/>
          <w:lang w:eastAsia="en-AU"/>
        </w:rPr>
        <w:t>the Statute</w:t>
      </w:r>
      <w:r w:rsidR="000E2979" w:rsidRPr="0094560A">
        <w:rPr>
          <w:rFonts w:eastAsia="Times New Roman" w:cs="Times New Roman"/>
          <w:sz w:val="24"/>
          <w:lang w:eastAsia="en-AU"/>
        </w:rPr>
        <w:t> </w:t>
      </w:r>
      <w:r w:rsidRPr="0094560A">
        <w:rPr>
          <w:rFonts w:eastAsia="Times New Roman" w:cs="Times New Roman"/>
          <w:sz w:val="24"/>
          <w:lang w:eastAsia="en-AU"/>
        </w:rPr>
        <w:t>Law</w:t>
      </w:r>
      <w:r w:rsidR="000E2979" w:rsidRPr="0094560A">
        <w:rPr>
          <w:rFonts w:eastAsia="Times New Roman" w:cs="Times New Roman"/>
          <w:sz w:val="24"/>
          <w:lang w:eastAsia="en-AU"/>
        </w:rPr>
        <w:t> </w:t>
      </w:r>
      <w:r w:rsidRPr="0094560A">
        <w:rPr>
          <w:rFonts w:eastAsia="Times New Roman" w:cs="Times New Roman"/>
          <w:sz w:val="24"/>
          <w:lang w:eastAsia="en-AU"/>
        </w:rPr>
        <w:t>Amendment Act,</w:t>
      </w:r>
      <w:r w:rsidR="002F5164" w:rsidRPr="0094560A">
        <w:rPr>
          <w:rFonts w:eastAsia="Times New Roman" w:cs="Times New Roman"/>
          <w:sz w:val="24"/>
          <w:lang w:eastAsia="en-AU"/>
        </w:rPr>
        <w:t xml:space="preserve"> to align with and support Schedule 1 to the Amendment Act.</w:t>
      </w:r>
      <w:r w:rsidRPr="0094560A">
        <w:rPr>
          <w:rFonts w:eastAsia="Times New Roman" w:cs="Times New Roman"/>
          <w:sz w:val="24"/>
          <w:lang w:eastAsia="en-AU"/>
        </w:rPr>
        <w:t xml:space="preserve"> </w:t>
      </w:r>
      <w:r w:rsidR="00E70C38" w:rsidRPr="0094560A">
        <w:rPr>
          <w:rFonts w:eastAsia="Times New Roman" w:cs="Times New Roman"/>
          <w:sz w:val="24"/>
          <w:lang w:eastAsia="en-AU"/>
        </w:rPr>
        <w:t>The amendments are minor and technical in nature. The amendments either make no change or only minor changes to the substance of the law.</w:t>
      </w:r>
    </w:p>
    <w:p w14:paraId="75E01DD8" w14:textId="77777777" w:rsidR="00E70C38" w:rsidRPr="0094560A" w:rsidRDefault="00E70C38" w:rsidP="00E70C38">
      <w:pPr>
        <w:spacing w:before="240" w:line="240" w:lineRule="auto"/>
        <w:rPr>
          <w:rFonts w:eastAsia="Times New Roman" w:cs="Times New Roman"/>
          <w:b/>
          <w:sz w:val="24"/>
          <w:lang w:eastAsia="en-AU"/>
        </w:rPr>
      </w:pPr>
      <w:r w:rsidRPr="0094560A">
        <w:rPr>
          <w:rFonts w:eastAsia="Times New Roman" w:cs="Times New Roman"/>
          <w:b/>
          <w:sz w:val="24"/>
          <w:lang w:eastAsia="en-AU"/>
        </w:rPr>
        <w:t>Human rights implications</w:t>
      </w:r>
    </w:p>
    <w:p w14:paraId="31E5D5B1" w14:textId="77777777" w:rsidR="00E70C38" w:rsidRPr="0094560A" w:rsidRDefault="00E70C38" w:rsidP="00E70C38">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This instrument does not engage any human rights issues as it makes minor improvements and technical corrections to the statute book. It makes either no change or only minor changes to the substance of the law.</w:t>
      </w:r>
    </w:p>
    <w:p w14:paraId="5943A245" w14:textId="77777777" w:rsidR="00E70C38" w:rsidRPr="0094560A" w:rsidRDefault="00E70C38" w:rsidP="00E70C38">
      <w:pPr>
        <w:spacing w:before="240" w:line="240" w:lineRule="auto"/>
        <w:rPr>
          <w:rFonts w:eastAsia="Times New Roman" w:cs="Times New Roman"/>
          <w:b/>
          <w:sz w:val="24"/>
          <w:lang w:eastAsia="en-AU"/>
        </w:rPr>
      </w:pPr>
      <w:r w:rsidRPr="0094560A">
        <w:rPr>
          <w:rFonts w:eastAsia="Times New Roman" w:cs="Times New Roman"/>
          <w:b/>
          <w:sz w:val="24"/>
          <w:lang w:eastAsia="en-AU"/>
        </w:rPr>
        <w:t>Conclusion</w:t>
      </w:r>
    </w:p>
    <w:p w14:paraId="12B50909" w14:textId="77777777" w:rsidR="00E70C38" w:rsidRPr="0094560A" w:rsidRDefault="00E70C38" w:rsidP="00E70C38">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This instrument is compatible with human rights as it does not engage any human rights issues.</w:t>
      </w:r>
    </w:p>
    <w:p w14:paraId="46285B30" w14:textId="77777777" w:rsidR="00E70C38" w:rsidRPr="0094560A" w:rsidRDefault="00E70C38" w:rsidP="00E70C38">
      <w:pPr>
        <w:pageBreakBefore/>
        <w:spacing w:line="360" w:lineRule="auto"/>
        <w:rPr>
          <w:rFonts w:eastAsia="Calibri" w:cs="Times New Roman"/>
          <w:b/>
          <w:bCs/>
          <w:sz w:val="24"/>
          <w:szCs w:val="24"/>
        </w:rPr>
      </w:pPr>
      <w:r w:rsidRPr="0094560A">
        <w:rPr>
          <w:rFonts w:eastAsia="Calibri" w:cs="Times New Roman"/>
          <w:b/>
          <w:bCs/>
          <w:sz w:val="24"/>
          <w:szCs w:val="24"/>
        </w:rPr>
        <w:lastRenderedPageBreak/>
        <w:t>NOTES ON SECTIONS</w:t>
      </w:r>
    </w:p>
    <w:p w14:paraId="153F0DC4" w14:textId="77777777" w:rsidR="00E70C38" w:rsidRPr="0094560A" w:rsidRDefault="00E70C38" w:rsidP="00E70C38">
      <w:pPr>
        <w:rPr>
          <w:rFonts w:eastAsia="Calibri" w:cs="Times New Roman"/>
          <w:b/>
        </w:rPr>
      </w:pPr>
      <w:bookmarkStart w:id="0" w:name="_Toc476553967"/>
    </w:p>
    <w:p w14:paraId="2EFFDD10" w14:textId="77777777" w:rsidR="00E70C38" w:rsidRPr="0094560A" w:rsidRDefault="00E70C38" w:rsidP="00E70C38">
      <w:pPr>
        <w:rPr>
          <w:rFonts w:eastAsia="Calibri" w:cs="Times New Roman"/>
          <w:b/>
          <w:sz w:val="24"/>
          <w:szCs w:val="24"/>
        </w:rPr>
      </w:pPr>
      <w:r w:rsidRPr="0094560A">
        <w:rPr>
          <w:rFonts w:eastAsia="Calibri" w:cs="Times New Roman"/>
          <w:b/>
          <w:sz w:val="24"/>
          <w:szCs w:val="24"/>
        </w:rPr>
        <w:t>Schedule 1—Amendments</w:t>
      </w:r>
      <w:bookmarkEnd w:id="0"/>
      <w:r w:rsidRPr="0094560A">
        <w:rPr>
          <w:rFonts w:eastAsia="Calibri" w:cs="Times New Roman"/>
          <w:b/>
          <w:sz w:val="24"/>
          <w:szCs w:val="24"/>
        </w:rPr>
        <w:br/>
      </w:r>
    </w:p>
    <w:p w14:paraId="28D085E2" w14:textId="77777777" w:rsidR="00E70C38" w:rsidRPr="0094560A" w:rsidRDefault="00E70C38" w:rsidP="00E70C38">
      <w:pPr>
        <w:rPr>
          <w:rFonts w:eastAsia="Calibri" w:cs="Times New Roman"/>
          <w:b/>
          <w:i/>
          <w:sz w:val="24"/>
          <w:szCs w:val="24"/>
        </w:rPr>
      </w:pPr>
      <w:r w:rsidRPr="0094560A">
        <w:rPr>
          <w:rFonts w:eastAsia="Calibri" w:cs="Times New Roman"/>
          <w:b/>
          <w:i/>
          <w:sz w:val="24"/>
          <w:szCs w:val="24"/>
        </w:rPr>
        <w:t>Items 1 to 4</w:t>
      </w:r>
    </w:p>
    <w:p w14:paraId="62ACE520" w14:textId="5D227E42" w:rsidR="00E70C38" w:rsidRPr="0094560A" w:rsidRDefault="00E70C38" w:rsidP="00E70C38">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Items 1 to 4 are consequential amendments </w:t>
      </w:r>
      <w:r w:rsidR="0099797E"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1" w:name="_Toc145345562"/>
      <w:r w:rsidRPr="0094560A">
        <w:rPr>
          <w:rFonts w:eastAsia="Times New Roman" w:cs="Times New Roman"/>
          <w:i/>
          <w:sz w:val="24"/>
          <w:lang w:eastAsia="en-AU"/>
        </w:rPr>
        <w:t>Airports Regulations 1997</w:t>
      </w:r>
      <w:bookmarkEnd w:id="1"/>
      <w:r w:rsidRPr="0094560A">
        <w:rPr>
          <w:rFonts w:eastAsia="Times New Roman" w:cs="Times New Roman"/>
          <w:sz w:val="24"/>
          <w:lang w:eastAsia="en-AU"/>
        </w:rPr>
        <w:t xml:space="preserve"> from amendments of the </w:t>
      </w:r>
      <w:r w:rsidRPr="0094560A">
        <w:rPr>
          <w:rFonts w:eastAsia="Times New Roman" w:cs="Times New Roman"/>
          <w:i/>
          <w:sz w:val="24"/>
          <w:lang w:eastAsia="en-AU"/>
        </w:rPr>
        <w:t>Airports Act 1996</w:t>
      </w:r>
      <w:r w:rsidRPr="0094560A">
        <w:rPr>
          <w:rFonts w:eastAsia="Times New Roman" w:cs="Times New Roman"/>
          <w:sz w:val="24"/>
          <w:lang w:eastAsia="en-AU"/>
        </w:rPr>
        <w:t xml:space="preserve"> made by Schedule 1 to the </w:t>
      </w:r>
      <w:r w:rsidR="006C7F41"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1DDED50B" w14:textId="67EE0EED" w:rsidR="00E70C38" w:rsidRPr="0094560A" w:rsidRDefault="00E70C38" w:rsidP="00E70C38">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142(5) of the </w:t>
      </w:r>
      <w:r w:rsidRPr="0094560A">
        <w:rPr>
          <w:rFonts w:eastAsia="Times New Roman" w:cs="Times New Roman"/>
          <w:i/>
          <w:sz w:val="24"/>
          <w:lang w:eastAsia="en-AU"/>
        </w:rPr>
        <w:t>Airports Act 199</w:t>
      </w:r>
      <w:r w:rsidRPr="0094560A">
        <w:rPr>
          <w:rFonts w:eastAsia="Times New Roman" w:cs="Times New Roman"/>
          <w:sz w:val="24"/>
          <w:lang w:eastAsia="en-AU"/>
        </w:rPr>
        <w:t xml:space="preserve">6 now requires an auditor’s certificate to contain the information prescribed by the regulations rather than being in the prescribed form. Item 1 amends </w:t>
      </w:r>
      <w:proofErr w:type="spellStart"/>
      <w:r w:rsidRPr="0094560A">
        <w:rPr>
          <w:rFonts w:eastAsia="Times New Roman" w:cs="Times New Roman"/>
          <w:sz w:val="24"/>
          <w:lang w:eastAsia="en-AU"/>
        </w:rPr>
        <w:t>subregulation</w:t>
      </w:r>
      <w:proofErr w:type="spellEnd"/>
      <w:r w:rsidRPr="0094560A">
        <w:rPr>
          <w:rFonts w:eastAsia="Times New Roman" w:cs="Times New Roman"/>
          <w:sz w:val="24"/>
          <w:lang w:eastAsia="en-AU"/>
        </w:rPr>
        <w:t xml:space="preserve"> 7.05(2) of the </w:t>
      </w:r>
      <w:r w:rsidRPr="0094560A">
        <w:rPr>
          <w:rFonts w:eastAsia="Times New Roman" w:cs="Times New Roman"/>
          <w:i/>
          <w:sz w:val="24"/>
          <w:lang w:eastAsia="en-AU"/>
        </w:rPr>
        <w:t>Airports Regulations 1997</w:t>
      </w:r>
      <w:r w:rsidRPr="0094560A">
        <w:rPr>
          <w:rFonts w:eastAsia="Times New Roman" w:cs="Times New Roman"/>
          <w:sz w:val="24"/>
          <w:lang w:eastAsia="en-AU"/>
        </w:rPr>
        <w:t xml:space="preserve"> to </w:t>
      </w:r>
      <w:r w:rsidR="00383D8C" w:rsidRPr="0094560A">
        <w:rPr>
          <w:rFonts w:eastAsia="Times New Roman" w:cs="Times New Roman"/>
          <w:sz w:val="24"/>
          <w:lang w:eastAsia="en-AU"/>
        </w:rPr>
        <w:t>replicate the new wording in its authorising provision</w:t>
      </w:r>
      <w:r w:rsidRPr="0094560A">
        <w:rPr>
          <w:rFonts w:eastAsia="Times New Roman" w:cs="Times New Roman"/>
          <w:sz w:val="24"/>
          <w:lang w:eastAsia="en-AU"/>
        </w:rPr>
        <w:t>. Items 2 and 3 amend subparagraphs 7.05(2)(a)(ii) and (b)(ii) and paragraph 7.05(2)(c) of those regulations to remove a redundant reference to “and” at the end of them.</w:t>
      </w:r>
    </w:p>
    <w:p w14:paraId="3C340C8D" w14:textId="3FB80B82" w:rsidR="006F0AD6" w:rsidRPr="0094560A" w:rsidRDefault="00E70C38" w:rsidP="006F0AD6">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4 substitutes </w:t>
      </w:r>
      <w:proofErr w:type="spellStart"/>
      <w:r w:rsidRPr="0094560A">
        <w:rPr>
          <w:rFonts w:eastAsia="Times New Roman" w:cs="Times New Roman"/>
          <w:sz w:val="24"/>
          <w:lang w:eastAsia="en-AU"/>
        </w:rPr>
        <w:t>subregulation</w:t>
      </w:r>
      <w:proofErr w:type="spellEnd"/>
      <w:r w:rsidRPr="0094560A">
        <w:rPr>
          <w:rFonts w:eastAsia="Times New Roman" w:cs="Times New Roman"/>
          <w:sz w:val="24"/>
          <w:lang w:eastAsia="en-AU"/>
        </w:rPr>
        <w:t xml:space="preserve"> 7.05(3) of the </w:t>
      </w:r>
      <w:r w:rsidRPr="0094560A">
        <w:rPr>
          <w:rFonts w:eastAsia="Times New Roman" w:cs="Times New Roman"/>
          <w:i/>
          <w:sz w:val="24"/>
          <w:lang w:eastAsia="en-AU"/>
        </w:rPr>
        <w:t>Airports Regulations 1997</w:t>
      </w:r>
      <w:r w:rsidRPr="0094560A">
        <w:rPr>
          <w:rFonts w:eastAsia="Times New Roman" w:cs="Times New Roman"/>
          <w:sz w:val="24"/>
          <w:lang w:eastAsia="en-AU"/>
        </w:rPr>
        <w:t xml:space="preserve"> to clarify that paragraphs 7.05(2)(a), (b) and (c) of those regulations do not apply if the auditor’s certificate is in the form required by the </w:t>
      </w:r>
      <w:r w:rsidRPr="0094560A">
        <w:rPr>
          <w:rFonts w:eastAsia="Times New Roman" w:cs="Times New Roman"/>
          <w:i/>
          <w:sz w:val="24"/>
          <w:lang w:eastAsia="en-AU"/>
        </w:rPr>
        <w:t>Corporations Act 2001</w:t>
      </w:r>
      <w:r w:rsidRPr="0094560A">
        <w:rPr>
          <w:rFonts w:eastAsia="Times New Roman" w:cs="Times New Roman"/>
          <w:sz w:val="24"/>
          <w:lang w:eastAsia="en-AU"/>
        </w:rPr>
        <w:t xml:space="preserve"> for an auditor’s report under Part 2M.3 of that Act</w:t>
      </w:r>
      <w:r w:rsidR="006F0AD6" w:rsidRPr="0094560A">
        <w:rPr>
          <w:rFonts w:eastAsia="Times New Roman" w:cs="Times New Roman"/>
          <w:sz w:val="24"/>
          <w:lang w:eastAsia="en-AU"/>
        </w:rPr>
        <w:t>.</w:t>
      </w:r>
      <w:r w:rsidR="006F0AD6" w:rsidRPr="0094560A">
        <w:rPr>
          <w:rFonts w:eastAsia="Times New Roman" w:cs="Times New Roman"/>
          <w:sz w:val="24"/>
          <w:lang w:eastAsia="en-AU"/>
        </w:rPr>
        <w:br/>
      </w:r>
    </w:p>
    <w:p w14:paraId="74AFEF62" w14:textId="77777777" w:rsidR="00E70C38" w:rsidRPr="0094560A" w:rsidRDefault="00E70C38" w:rsidP="00E70C38">
      <w:pPr>
        <w:rPr>
          <w:rFonts w:eastAsia="Calibri" w:cs="Times New Roman"/>
          <w:b/>
          <w:i/>
          <w:sz w:val="24"/>
          <w:szCs w:val="24"/>
        </w:rPr>
      </w:pPr>
      <w:r w:rsidRPr="0094560A">
        <w:rPr>
          <w:rFonts w:eastAsia="Calibri" w:cs="Times New Roman"/>
          <w:b/>
          <w:i/>
          <w:sz w:val="24"/>
          <w:szCs w:val="24"/>
        </w:rPr>
        <w:t>Items 5 to 7</w:t>
      </w:r>
    </w:p>
    <w:p w14:paraId="1C7F7013" w14:textId="6EFEB369" w:rsidR="00E70C38" w:rsidRPr="0094560A" w:rsidRDefault="00E70C38" w:rsidP="00236735">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Items 5 to 7 are consequential amendments </w:t>
      </w:r>
      <w:r w:rsidR="0099797E"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2" w:name="_Toc145345563"/>
      <w:r w:rsidRPr="0094560A">
        <w:rPr>
          <w:rFonts w:eastAsia="Times New Roman" w:cs="Times New Roman"/>
          <w:i/>
          <w:sz w:val="24"/>
          <w:lang w:eastAsia="en-AU"/>
        </w:rPr>
        <w:t>Australian Radiation Protection and Nuclear Safety Regulations 2018</w:t>
      </w:r>
      <w:bookmarkEnd w:id="2"/>
      <w:r w:rsidRPr="0094560A">
        <w:rPr>
          <w:rFonts w:eastAsia="Times New Roman" w:cs="Times New Roman"/>
          <w:sz w:val="24"/>
          <w:lang w:eastAsia="en-AU"/>
        </w:rPr>
        <w:t xml:space="preserve"> from amendments </w:t>
      </w:r>
      <w:r w:rsidR="0099797E"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Australian Radiation Protection and Nuclear Safety Act 1998</w:t>
      </w:r>
      <w:r w:rsidRPr="0094560A">
        <w:rPr>
          <w:rFonts w:eastAsia="Times New Roman" w:cs="Times New Roman"/>
          <w:sz w:val="24"/>
          <w:lang w:eastAsia="en-AU"/>
        </w:rPr>
        <w:t xml:space="preserve"> made by Schedule 1 to the </w:t>
      </w:r>
      <w:r w:rsidR="006C7F41"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7E4998BF" w14:textId="362E8FC0" w:rsidR="0097588B" w:rsidRPr="0094560A" w:rsidRDefault="00E70C38" w:rsidP="008A0E8C">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62(3) of the </w:t>
      </w:r>
      <w:r w:rsidRPr="0094560A">
        <w:rPr>
          <w:rFonts w:eastAsia="Times New Roman" w:cs="Times New Roman"/>
          <w:i/>
          <w:sz w:val="24"/>
          <w:lang w:eastAsia="en-AU"/>
        </w:rPr>
        <w:t>Australian Radiation Protection and Nuclear Safety Act 1998</w:t>
      </w:r>
      <w:r w:rsidRPr="0094560A">
        <w:rPr>
          <w:rFonts w:eastAsia="Times New Roman" w:cs="Times New Roman"/>
          <w:sz w:val="24"/>
          <w:lang w:eastAsia="en-AU"/>
        </w:rPr>
        <w:t xml:space="preserve"> now requires an identity card </w:t>
      </w:r>
      <w:r w:rsidR="00927419" w:rsidRPr="0094560A">
        <w:rPr>
          <w:rFonts w:eastAsia="Times New Roman" w:cs="Times New Roman"/>
          <w:sz w:val="24"/>
          <w:lang w:eastAsia="en-AU"/>
        </w:rPr>
        <w:t xml:space="preserve">of </w:t>
      </w:r>
      <w:r w:rsidRPr="0094560A">
        <w:rPr>
          <w:rFonts w:eastAsia="Times New Roman" w:cs="Times New Roman"/>
          <w:sz w:val="24"/>
          <w:lang w:eastAsia="en-AU"/>
        </w:rPr>
        <w:t xml:space="preserve">an inspector to be in the form approved in an instrument under subsection 62(3A) of that Act rather than being in the form prescribed by the regulations. </w:t>
      </w:r>
    </w:p>
    <w:p w14:paraId="070EE7E3" w14:textId="5625AC23" w:rsidR="00CE7ACA" w:rsidRPr="0094560A" w:rsidRDefault="00E70C38" w:rsidP="0097588B">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5 amends the simplified outline in section 82 of the </w:t>
      </w:r>
      <w:r w:rsidRPr="0094560A">
        <w:rPr>
          <w:rFonts w:eastAsia="Times New Roman" w:cs="Times New Roman"/>
          <w:i/>
          <w:sz w:val="24"/>
          <w:lang w:eastAsia="en-AU"/>
        </w:rPr>
        <w:t>Australian Radiation Protection and Nuclear Safety Regulations 2018</w:t>
      </w:r>
      <w:r w:rsidRPr="0094560A">
        <w:rPr>
          <w:rFonts w:eastAsia="Times New Roman" w:cs="Times New Roman"/>
          <w:sz w:val="24"/>
          <w:lang w:eastAsia="en-AU"/>
        </w:rPr>
        <w:t xml:space="preserve"> to remove the reference to inspectors’ identity cards being in a particular form. </w:t>
      </w:r>
    </w:p>
    <w:p w14:paraId="5FFB4AEA" w14:textId="69AF59A4" w:rsidR="00E70C38" w:rsidRPr="0094560A" w:rsidRDefault="00E70C38" w:rsidP="00CE7ACA">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 6 repeals section 83 of those regulations, which refers to the form of the identity card being in Schedule 2 to those regulations and item 7 repeals Schedule 2 to those regulations which sets out the form.</w:t>
      </w:r>
    </w:p>
    <w:p w14:paraId="4B6A99CD" w14:textId="77777777" w:rsidR="008A0E8C" w:rsidRPr="0094560A" w:rsidRDefault="008A0E8C" w:rsidP="006F0AD6">
      <w:pPr>
        <w:rPr>
          <w:rFonts w:eastAsia="Calibri" w:cs="Times New Roman"/>
          <w:b/>
          <w:i/>
          <w:sz w:val="24"/>
          <w:szCs w:val="24"/>
        </w:rPr>
      </w:pPr>
    </w:p>
    <w:p w14:paraId="4675CDD2" w14:textId="77777777" w:rsidR="00E70C38" w:rsidRPr="0094560A" w:rsidRDefault="00E70C38" w:rsidP="00E70C38">
      <w:pPr>
        <w:rPr>
          <w:rFonts w:eastAsia="Calibri" w:cs="Times New Roman"/>
          <w:b/>
          <w:i/>
          <w:sz w:val="24"/>
          <w:szCs w:val="24"/>
        </w:rPr>
      </w:pPr>
      <w:r w:rsidRPr="0094560A">
        <w:rPr>
          <w:rFonts w:eastAsia="Calibri" w:cs="Times New Roman"/>
          <w:b/>
          <w:i/>
          <w:sz w:val="24"/>
          <w:szCs w:val="24"/>
        </w:rPr>
        <w:t>Items 8 and 9</w:t>
      </w:r>
    </w:p>
    <w:p w14:paraId="3065D0D3" w14:textId="725B041E" w:rsidR="00E70C38" w:rsidRPr="0094560A" w:rsidRDefault="00E70C38" w:rsidP="006F0AD6">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Items 8 and 9 are consequential amendments </w:t>
      </w:r>
      <w:r w:rsidR="00BC060A"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3" w:name="_Toc145345564"/>
      <w:r w:rsidRPr="0094560A">
        <w:rPr>
          <w:rFonts w:eastAsia="Times New Roman" w:cs="Times New Roman"/>
          <w:i/>
          <w:sz w:val="24"/>
          <w:lang w:eastAsia="en-AU"/>
        </w:rPr>
        <w:t>Australian Security Intelligence Organisation Regulation 2016</w:t>
      </w:r>
      <w:bookmarkEnd w:id="3"/>
      <w:r w:rsidRPr="0094560A">
        <w:rPr>
          <w:rFonts w:eastAsia="Times New Roman" w:cs="Times New Roman"/>
          <w:sz w:val="24"/>
          <w:lang w:eastAsia="en-AU"/>
        </w:rPr>
        <w:t xml:space="preserve"> from amendments </w:t>
      </w:r>
      <w:r w:rsidR="00BC060A"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Australian Security Intelligence Organisation Act 1979</w:t>
      </w:r>
      <w:r w:rsidRPr="0094560A">
        <w:rPr>
          <w:rFonts w:eastAsia="Times New Roman" w:cs="Times New Roman"/>
          <w:sz w:val="24"/>
          <w:lang w:eastAsia="en-AU"/>
        </w:rPr>
        <w:t xml:space="preserve"> made by Schedule 1 to the </w:t>
      </w:r>
      <w:r w:rsidR="006C7F41"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3D1EFE25" w14:textId="70D6746F" w:rsidR="005E3F3E" w:rsidRPr="0094560A" w:rsidRDefault="00C26673" w:rsidP="00C26673">
      <w:pPr>
        <w:pStyle w:val="BodyNum"/>
        <w:numPr>
          <w:ilvl w:val="0"/>
          <w:numId w:val="23"/>
        </w:numPr>
        <w:tabs>
          <w:tab w:val="left" w:pos="720"/>
        </w:tabs>
      </w:pPr>
      <w:bookmarkStart w:id="4" w:name="_Hlk157413432"/>
      <w:r w:rsidRPr="0094560A">
        <w:t xml:space="preserve">Subsections 38(1) and 38A(2) of the </w:t>
      </w:r>
      <w:r w:rsidRPr="0094560A">
        <w:rPr>
          <w:i/>
        </w:rPr>
        <w:t xml:space="preserve">Australian Security Intelligence Organisation Act 1979 </w:t>
      </w:r>
      <w:r w:rsidR="00005D95" w:rsidRPr="0094560A">
        <w:t xml:space="preserve">now </w:t>
      </w:r>
      <w:r w:rsidRPr="0094560A">
        <w:t xml:space="preserve">require notice of an adverse or qualified security assessment to contain the information prescribed by the regulations rather than requiring the notice to be in a prescribed </w:t>
      </w:r>
      <w:r w:rsidRPr="0094560A">
        <w:lastRenderedPageBreak/>
        <w:t xml:space="preserve">form. Section 9 of the </w:t>
      </w:r>
      <w:r w:rsidRPr="0094560A">
        <w:rPr>
          <w:i/>
        </w:rPr>
        <w:t xml:space="preserve">Australian Security Intelligence Organisation Regulation 2016 </w:t>
      </w:r>
      <w:r w:rsidRPr="0094560A">
        <w:t xml:space="preserve">refers to the notice needing to contain information in accordance with the prescribed form at Schedule 1 to that regulation. </w:t>
      </w:r>
    </w:p>
    <w:p w14:paraId="00BBB251" w14:textId="04F9C258" w:rsidR="005A0C06" w:rsidRPr="0094560A" w:rsidRDefault="00C26673" w:rsidP="00C26673">
      <w:pPr>
        <w:pStyle w:val="BodyNum"/>
        <w:numPr>
          <w:ilvl w:val="0"/>
          <w:numId w:val="23"/>
        </w:numPr>
        <w:tabs>
          <w:tab w:val="left" w:pos="720"/>
        </w:tabs>
      </w:pPr>
      <w:r w:rsidRPr="0094560A">
        <w:t xml:space="preserve">Item 8 </w:t>
      </w:r>
      <w:r w:rsidR="003519FE" w:rsidRPr="0094560A">
        <w:t>substitutes</w:t>
      </w:r>
      <w:r w:rsidRPr="0094560A">
        <w:t xml:space="preserve"> section 9 by providing that Schedule 1 directly sets out the prescribed information rather than requiring a particular form. </w:t>
      </w:r>
    </w:p>
    <w:p w14:paraId="1FF1416C" w14:textId="48BD34E8" w:rsidR="00C26673" w:rsidRPr="0094560A" w:rsidRDefault="00C26673" w:rsidP="00C26673">
      <w:pPr>
        <w:pStyle w:val="BodyNum"/>
        <w:numPr>
          <w:ilvl w:val="0"/>
          <w:numId w:val="23"/>
        </w:numPr>
        <w:tabs>
          <w:tab w:val="left" w:pos="720"/>
        </w:tabs>
      </w:pPr>
      <w:r w:rsidRPr="0094560A">
        <w:t xml:space="preserve">Item 9 </w:t>
      </w:r>
      <w:r w:rsidR="007324D4" w:rsidRPr="0094560A">
        <w:t>amends</w:t>
      </w:r>
      <w:r w:rsidR="00DE3693" w:rsidRPr="0094560A">
        <w:t xml:space="preserve"> </w:t>
      </w:r>
      <w:r w:rsidRPr="0094560A">
        <w:t>Schedule 1 to that regulation to remove a reference to Form 1, with the effect that Schedule 1 directly mandate</w:t>
      </w:r>
      <w:r w:rsidR="00DE3693" w:rsidRPr="0094560A">
        <w:t>s</w:t>
      </w:r>
      <w:r w:rsidRPr="0094560A">
        <w:t xml:space="preserve"> the required information in the notice rather than requiring it to be in a prescribed form.</w:t>
      </w:r>
      <w:bookmarkEnd w:id="4"/>
    </w:p>
    <w:p w14:paraId="6C3ED679" w14:textId="63B31E1A" w:rsidR="00E70C38" w:rsidRPr="0094560A" w:rsidRDefault="00E70C38" w:rsidP="00787ABC">
      <w:pPr>
        <w:spacing w:before="240" w:line="240" w:lineRule="auto"/>
        <w:rPr>
          <w:rFonts w:eastAsia="Times New Roman" w:cs="Times New Roman"/>
          <w:b/>
          <w:i/>
          <w:sz w:val="24"/>
          <w:lang w:eastAsia="en-AU"/>
        </w:rPr>
      </w:pPr>
      <w:r w:rsidRPr="0094560A">
        <w:rPr>
          <w:rFonts w:eastAsia="Times New Roman" w:cs="Times New Roman"/>
          <w:b/>
          <w:i/>
          <w:sz w:val="24"/>
          <w:lang w:eastAsia="en-AU"/>
        </w:rPr>
        <w:t>Item 10</w:t>
      </w:r>
    </w:p>
    <w:p w14:paraId="41B6CAA8" w14:textId="0278CF86"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10 is a consequential amendment </w:t>
      </w:r>
      <w:r w:rsidR="00135A33"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5" w:name="_Toc145345567"/>
      <w:r w:rsidRPr="0094560A">
        <w:rPr>
          <w:rFonts w:eastAsia="Times New Roman" w:cs="Times New Roman"/>
          <w:i/>
          <w:sz w:val="24"/>
          <w:lang w:eastAsia="en-AU"/>
        </w:rPr>
        <w:t>Building Energy Efficiency Disclosure Regulations 2010</w:t>
      </w:r>
      <w:bookmarkEnd w:id="5"/>
      <w:r w:rsidRPr="0094560A">
        <w:rPr>
          <w:rFonts w:eastAsia="Times New Roman" w:cs="Times New Roman"/>
          <w:sz w:val="24"/>
          <w:lang w:eastAsia="en-AU"/>
        </w:rPr>
        <w:t xml:space="preserve"> from amendments </w:t>
      </w:r>
      <w:r w:rsidR="00135A33"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 xml:space="preserve">Building Energy Efficiency Disclosure Act 2010 </w:t>
      </w:r>
      <w:r w:rsidRPr="0094560A">
        <w:rPr>
          <w:rFonts w:eastAsia="Times New Roman" w:cs="Times New Roman"/>
          <w:sz w:val="24"/>
          <w:lang w:eastAsia="en-AU"/>
        </w:rPr>
        <w:t xml:space="preserve">made by Schedule 1 to the </w:t>
      </w:r>
      <w:r w:rsidR="006C7F41" w:rsidRPr="0094560A">
        <w:rPr>
          <w:rFonts w:eastAsia="Times New Roman" w:cs="Times New Roman"/>
          <w:sz w:val="24"/>
          <w:lang w:eastAsia="en-AU"/>
        </w:rPr>
        <w:t>Statute Law Amendment Act</w:t>
      </w:r>
      <w:r w:rsidR="00AA2E1B" w:rsidRPr="0094560A">
        <w:rPr>
          <w:rFonts w:eastAsia="Times New Roman" w:cs="Times New Roman"/>
          <w:i/>
          <w:sz w:val="24"/>
          <w:lang w:eastAsia="en-AU"/>
        </w:rPr>
        <w:t>.</w:t>
      </w:r>
    </w:p>
    <w:p w14:paraId="6C0B888F" w14:textId="312EAFA0" w:rsidR="0097588B"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35(2) of the </w:t>
      </w:r>
      <w:r w:rsidRPr="0094560A">
        <w:rPr>
          <w:rFonts w:eastAsia="Times New Roman" w:cs="Times New Roman"/>
          <w:i/>
          <w:sz w:val="24"/>
          <w:lang w:eastAsia="en-AU"/>
        </w:rPr>
        <w:t>Building Energy Efficiency Disclosure Act 2010</w:t>
      </w:r>
      <w:r w:rsidRPr="0094560A">
        <w:rPr>
          <w:rFonts w:eastAsia="Times New Roman" w:cs="Times New Roman"/>
          <w:sz w:val="24"/>
          <w:lang w:eastAsia="en-AU"/>
        </w:rPr>
        <w:t xml:space="preserve"> now requires an identity card </w:t>
      </w:r>
      <w:r w:rsidR="00927419" w:rsidRPr="0094560A">
        <w:rPr>
          <w:rFonts w:eastAsia="Times New Roman" w:cs="Times New Roman"/>
          <w:sz w:val="24"/>
          <w:lang w:eastAsia="en-AU"/>
        </w:rPr>
        <w:t>of</w:t>
      </w:r>
      <w:r w:rsidRPr="0094560A">
        <w:rPr>
          <w:rFonts w:eastAsia="Times New Roman" w:cs="Times New Roman"/>
          <w:sz w:val="24"/>
          <w:lang w:eastAsia="en-AU"/>
        </w:rPr>
        <w:t xml:space="preserve"> an auditor to satisfy the requirements prescribed by the regulations rather than being in the form prescribed by the regulations. </w:t>
      </w:r>
    </w:p>
    <w:p w14:paraId="1C895BAF" w14:textId="094FDBC0"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10 amends regulation 10 of the </w:t>
      </w:r>
      <w:r w:rsidRPr="0094560A">
        <w:rPr>
          <w:rFonts w:eastAsia="Times New Roman" w:cs="Times New Roman"/>
          <w:i/>
          <w:sz w:val="24"/>
          <w:lang w:eastAsia="en-AU"/>
        </w:rPr>
        <w:t>Building Energy Efficiency Disclosure Regulations 2010</w:t>
      </w:r>
      <w:r w:rsidRPr="0094560A">
        <w:rPr>
          <w:rFonts w:eastAsia="Times New Roman" w:cs="Times New Roman"/>
          <w:sz w:val="24"/>
          <w:lang w:eastAsia="en-AU"/>
        </w:rPr>
        <w:t xml:space="preserve"> to require an identity card to contain </w:t>
      </w:r>
      <w:r w:rsidR="00263783" w:rsidRPr="0094560A">
        <w:rPr>
          <w:rFonts w:eastAsia="Times New Roman" w:cs="Times New Roman"/>
          <w:sz w:val="24"/>
          <w:lang w:eastAsia="en-AU"/>
        </w:rPr>
        <w:t>certain information, rather than being in a particular form.</w:t>
      </w:r>
    </w:p>
    <w:p w14:paraId="5C8F1B72" w14:textId="77777777" w:rsidR="00E70C38" w:rsidRPr="0094560A" w:rsidRDefault="00E70C38" w:rsidP="006C0AD2">
      <w:pPr>
        <w:spacing w:before="240" w:line="240" w:lineRule="auto"/>
        <w:rPr>
          <w:rFonts w:eastAsia="Times New Roman" w:cs="Times New Roman"/>
          <w:b/>
          <w:i/>
          <w:sz w:val="24"/>
          <w:lang w:eastAsia="en-AU"/>
        </w:rPr>
      </w:pPr>
      <w:r w:rsidRPr="0094560A">
        <w:rPr>
          <w:rFonts w:eastAsia="Times New Roman" w:cs="Times New Roman"/>
          <w:b/>
          <w:i/>
          <w:sz w:val="24"/>
          <w:lang w:eastAsia="en-AU"/>
        </w:rPr>
        <w:t>Items 11 and 12</w:t>
      </w:r>
    </w:p>
    <w:p w14:paraId="791CBA34" w14:textId="1260302B"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Items 11 and 12 are consequential amendments </w:t>
      </w:r>
      <w:r w:rsidR="006143AF"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6" w:name="_Toc145345568"/>
      <w:r w:rsidRPr="0094560A">
        <w:rPr>
          <w:rFonts w:eastAsia="Times New Roman" w:cs="Times New Roman"/>
          <w:i/>
          <w:sz w:val="24"/>
          <w:lang w:eastAsia="en-AU"/>
        </w:rPr>
        <w:t>Copyright Regulations 2017</w:t>
      </w:r>
      <w:bookmarkEnd w:id="6"/>
      <w:r w:rsidRPr="0094560A">
        <w:rPr>
          <w:rFonts w:eastAsia="Times New Roman" w:cs="Times New Roman"/>
          <w:sz w:val="24"/>
          <w:lang w:eastAsia="en-AU"/>
        </w:rPr>
        <w:t xml:space="preserve"> from amendments of the </w:t>
      </w:r>
      <w:r w:rsidRPr="0094560A">
        <w:rPr>
          <w:rFonts w:eastAsia="Times New Roman" w:cs="Times New Roman"/>
          <w:i/>
          <w:sz w:val="24"/>
          <w:lang w:eastAsia="en-AU"/>
        </w:rPr>
        <w:t>Copyright Act 1968</w:t>
      </w:r>
      <w:r w:rsidRPr="0094560A">
        <w:rPr>
          <w:rFonts w:eastAsia="Times New Roman" w:cs="Times New Roman"/>
          <w:sz w:val="24"/>
          <w:lang w:eastAsia="en-AU"/>
        </w:rPr>
        <w:t xml:space="preserve"> made by Schedule 1 to the </w:t>
      </w:r>
      <w:r w:rsidR="006C7F41" w:rsidRPr="0094560A">
        <w:rPr>
          <w:rFonts w:eastAsia="Times New Roman" w:cs="Times New Roman"/>
          <w:sz w:val="24"/>
          <w:lang w:eastAsia="en-AU"/>
        </w:rPr>
        <w:t>Statute Law Amendment Act.</w:t>
      </w:r>
    </w:p>
    <w:p w14:paraId="19EBF445" w14:textId="77777777" w:rsidR="000618FC"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135AEA(3) of the </w:t>
      </w:r>
      <w:r w:rsidRPr="0094560A">
        <w:rPr>
          <w:rFonts w:eastAsia="Times New Roman" w:cs="Times New Roman"/>
          <w:i/>
          <w:sz w:val="24"/>
          <w:lang w:eastAsia="en-AU"/>
        </w:rPr>
        <w:t>Copyright Act 1968</w:t>
      </w:r>
      <w:r w:rsidRPr="0094560A">
        <w:rPr>
          <w:rFonts w:eastAsia="Times New Roman" w:cs="Times New Roman"/>
          <w:sz w:val="24"/>
          <w:lang w:eastAsia="en-AU"/>
        </w:rPr>
        <w:t xml:space="preserve"> now requires claims for release of seized copies to contain the information prescribed by the regulations rather than being in the form prescribed by the regulations. </w:t>
      </w:r>
    </w:p>
    <w:p w14:paraId="3EBFB88D" w14:textId="553DCF6D" w:rsidR="000618FC" w:rsidRPr="0094560A" w:rsidRDefault="00E70C38" w:rsidP="008A02F8">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11 amends section 54 of the </w:t>
      </w:r>
      <w:r w:rsidRPr="0094560A">
        <w:rPr>
          <w:rFonts w:eastAsia="Times New Roman" w:cs="Times New Roman"/>
          <w:i/>
          <w:sz w:val="24"/>
          <w:lang w:eastAsia="en-AU"/>
        </w:rPr>
        <w:t>Copyright Regulations 2017</w:t>
      </w:r>
      <w:r w:rsidRPr="0094560A">
        <w:rPr>
          <w:rFonts w:eastAsia="Times New Roman" w:cs="Times New Roman"/>
          <w:sz w:val="24"/>
          <w:lang w:eastAsia="en-AU"/>
        </w:rPr>
        <w:t xml:space="preserve"> to update a cross</w:t>
      </w:r>
      <w:r w:rsidRPr="0094560A">
        <w:rPr>
          <w:rFonts w:eastAsia="Times New Roman" w:cs="Times New Roman"/>
          <w:sz w:val="24"/>
          <w:lang w:eastAsia="en-AU"/>
        </w:rPr>
        <w:noBreakHyphen/>
        <w:t xml:space="preserve">reference </w:t>
      </w:r>
      <w:r w:rsidR="00226AF6" w:rsidRPr="0094560A">
        <w:rPr>
          <w:rFonts w:eastAsia="Times New Roman" w:cs="Times New Roman"/>
          <w:sz w:val="24"/>
          <w:lang w:eastAsia="en-AU"/>
        </w:rPr>
        <w:t xml:space="preserve">to </w:t>
      </w:r>
      <w:r w:rsidR="0015598F" w:rsidRPr="0094560A">
        <w:rPr>
          <w:rFonts w:eastAsia="Times New Roman" w:cs="Times New Roman"/>
          <w:sz w:val="24"/>
          <w:lang w:eastAsia="en-AU"/>
        </w:rPr>
        <w:t xml:space="preserve">the relevant provision in the </w:t>
      </w:r>
      <w:r w:rsidR="0015598F" w:rsidRPr="0094560A">
        <w:rPr>
          <w:rFonts w:eastAsia="Times New Roman" w:cs="Times New Roman"/>
          <w:i/>
          <w:sz w:val="24"/>
          <w:lang w:eastAsia="en-AU"/>
        </w:rPr>
        <w:t>Copyright Act 1968</w:t>
      </w:r>
      <w:r w:rsidR="0015598F" w:rsidRPr="0094560A">
        <w:rPr>
          <w:rFonts w:eastAsia="Times New Roman" w:cs="Times New Roman"/>
          <w:sz w:val="24"/>
          <w:lang w:eastAsia="en-AU"/>
        </w:rPr>
        <w:t xml:space="preserve">. This update is consequential to the amendments made to subsection 135AEA(3) of the Copyright Act, which has changed the numbering of relevant provisions. Section 54 of the </w:t>
      </w:r>
      <w:r w:rsidR="0015598F" w:rsidRPr="0094560A">
        <w:rPr>
          <w:rFonts w:eastAsia="Times New Roman" w:cs="Times New Roman"/>
          <w:i/>
          <w:sz w:val="24"/>
          <w:lang w:eastAsia="en-AU"/>
        </w:rPr>
        <w:t>Copyright Regulations 2017</w:t>
      </w:r>
      <w:r w:rsidR="0015598F" w:rsidRPr="0094560A">
        <w:rPr>
          <w:rFonts w:eastAsia="Times New Roman" w:cs="Times New Roman"/>
          <w:sz w:val="24"/>
          <w:lang w:eastAsia="en-AU"/>
        </w:rPr>
        <w:t xml:space="preserve"> currently refers to information prescribed for the purposes of ‘subsection 135EA(3)(b)’. Item 11 updates this cross-reference to ‘subsection 135EA(3)’. </w:t>
      </w:r>
      <w:r w:rsidRPr="0094560A">
        <w:rPr>
          <w:rFonts w:eastAsia="Times New Roman" w:cs="Times New Roman"/>
          <w:sz w:val="24"/>
          <w:lang w:eastAsia="en-AU"/>
        </w:rPr>
        <w:t>Section</w:t>
      </w:r>
      <w:r w:rsidR="0053407F" w:rsidRPr="0094560A">
        <w:rPr>
          <w:rFonts w:eastAsia="Times New Roman" w:cs="Times New Roman"/>
          <w:sz w:val="24"/>
          <w:lang w:eastAsia="en-AU"/>
        </w:rPr>
        <w:t> </w:t>
      </w:r>
      <w:r w:rsidRPr="0094560A">
        <w:rPr>
          <w:rFonts w:eastAsia="Times New Roman" w:cs="Times New Roman"/>
          <w:sz w:val="24"/>
          <w:lang w:eastAsia="en-AU"/>
        </w:rPr>
        <w:t xml:space="preserve">135ZZQ of the Copyright Act 1968 now requires an identity card </w:t>
      </w:r>
      <w:r w:rsidR="00927419" w:rsidRPr="0094560A">
        <w:rPr>
          <w:rFonts w:eastAsia="Times New Roman" w:cs="Times New Roman"/>
          <w:sz w:val="24"/>
          <w:lang w:eastAsia="en-AU"/>
        </w:rPr>
        <w:t>of</w:t>
      </w:r>
      <w:r w:rsidRPr="0094560A">
        <w:rPr>
          <w:rFonts w:eastAsia="Times New Roman" w:cs="Times New Roman"/>
          <w:sz w:val="24"/>
          <w:lang w:eastAsia="en-AU"/>
        </w:rPr>
        <w:t xml:space="preserve"> persons authorised by a collecting society to satisfy the requirements prescribed by the regulations rather than being in the prescribed form. </w:t>
      </w:r>
    </w:p>
    <w:p w14:paraId="1A8094D1" w14:textId="7342530A"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12 amends section 55 of the </w:t>
      </w:r>
      <w:r w:rsidRPr="0094560A">
        <w:rPr>
          <w:rFonts w:eastAsia="Times New Roman" w:cs="Times New Roman"/>
          <w:i/>
          <w:sz w:val="24"/>
          <w:lang w:eastAsia="en-AU"/>
        </w:rPr>
        <w:t>Copyright Regulations 2017</w:t>
      </w:r>
      <w:r w:rsidRPr="0094560A">
        <w:rPr>
          <w:rFonts w:eastAsia="Times New Roman" w:cs="Times New Roman"/>
          <w:sz w:val="24"/>
          <w:lang w:eastAsia="en-AU"/>
        </w:rPr>
        <w:t xml:space="preserve"> </w:t>
      </w:r>
      <w:r w:rsidR="0015598F" w:rsidRPr="0094560A">
        <w:rPr>
          <w:rFonts w:eastAsia="Times New Roman" w:cs="Times New Roman"/>
          <w:sz w:val="24"/>
          <w:lang w:eastAsia="en-AU"/>
        </w:rPr>
        <w:t>to outline the required information in an identity card, and remove the reference to the prescribed form of an identity card being a form that includes that information.</w:t>
      </w:r>
    </w:p>
    <w:p w14:paraId="51D9CFEB" w14:textId="77777777" w:rsidR="00E70C38" w:rsidRPr="0094560A" w:rsidRDefault="00E70C38" w:rsidP="00981272">
      <w:pPr>
        <w:keepNext/>
        <w:spacing w:before="240" w:line="240" w:lineRule="auto"/>
        <w:rPr>
          <w:rFonts w:eastAsia="Times New Roman" w:cs="Times New Roman"/>
          <w:b/>
          <w:i/>
          <w:sz w:val="24"/>
          <w:lang w:eastAsia="en-AU"/>
        </w:rPr>
      </w:pPr>
      <w:r w:rsidRPr="0094560A">
        <w:rPr>
          <w:rFonts w:eastAsia="Times New Roman" w:cs="Times New Roman"/>
          <w:b/>
          <w:i/>
          <w:sz w:val="24"/>
          <w:lang w:eastAsia="en-AU"/>
        </w:rPr>
        <w:lastRenderedPageBreak/>
        <w:t>Item 13</w:t>
      </w:r>
    </w:p>
    <w:p w14:paraId="2C0A5AD7" w14:textId="6561CA53"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13 is a consequential amendment </w:t>
      </w:r>
      <w:r w:rsidR="00CD1946"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7" w:name="_Toc145345569"/>
      <w:r w:rsidRPr="0094560A">
        <w:rPr>
          <w:rFonts w:eastAsia="Times New Roman" w:cs="Times New Roman"/>
          <w:i/>
          <w:sz w:val="24"/>
          <w:lang w:eastAsia="en-AU"/>
        </w:rPr>
        <w:t>Corporations (Aboriginal and Torres Strait Islander) Regulations 2017</w:t>
      </w:r>
      <w:bookmarkEnd w:id="7"/>
      <w:r w:rsidRPr="0094560A">
        <w:rPr>
          <w:rFonts w:eastAsia="Times New Roman" w:cs="Times New Roman"/>
          <w:sz w:val="24"/>
          <w:lang w:eastAsia="en-AU"/>
        </w:rPr>
        <w:t xml:space="preserve"> from amendments </w:t>
      </w:r>
      <w:r w:rsidR="00AA1231"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Corporations (Aboriginal and Torres Strait Islander) Act 2006</w:t>
      </w:r>
      <w:r w:rsidRPr="0094560A">
        <w:rPr>
          <w:rFonts w:eastAsia="Times New Roman" w:cs="Times New Roman"/>
          <w:sz w:val="24"/>
          <w:lang w:eastAsia="en-AU"/>
        </w:rPr>
        <w:t xml:space="preserve"> made by Schedule 1 to </w:t>
      </w:r>
      <w:r w:rsidR="00AA2E1B"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7A459AEE" w14:textId="7C1EB15E" w:rsidR="000618FC"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Subsection 447</w:t>
      </w:r>
      <w:r w:rsidRPr="0094560A">
        <w:rPr>
          <w:rFonts w:eastAsia="Times New Roman" w:cs="Times New Roman"/>
          <w:sz w:val="24"/>
          <w:lang w:eastAsia="en-AU"/>
        </w:rPr>
        <w:noBreakHyphen/>
        <w:t xml:space="preserve">5(1) of the </w:t>
      </w:r>
      <w:bookmarkStart w:id="8" w:name="_Toc39153057"/>
      <w:r w:rsidRPr="0094560A">
        <w:rPr>
          <w:rFonts w:eastAsia="Times New Roman" w:cs="Times New Roman"/>
          <w:i/>
          <w:sz w:val="24"/>
          <w:lang w:eastAsia="en-AU"/>
        </w:rPr>
        <w:t>Corporations (Aboriginal and Torres Strait Islander) Act 2006</w:t>
      </w:r>
      <w:bookmarkEnd w:id="8"/>
      <w:r w:rsidRPr="0094560A">
        <w:rPr>
          <w:rFonts w:eastAsia="Times New Roman" w:cs="Times New Roman"/>
          <w:sz w:val="24"/>
          <w:lang w:eastAsia="en-AU"/>
        </w:rPr>
        <w:t xml:space="preserve"> now requires an identity card </w:t>
      </w:r>
      <w:r w:rsidR="00927419" w:rsidRPr="0094560A">
        <w:rPr>
          <w:rFonts w:eastAsia="Times New Roman" w:cs="Times New Roman"/>
          <w:sz w:val="24"/>
          <w:lang w:eastAsia="en-AU"/>
        </w:rPr>
        <w:t>of</w:t>
      </w:r>
      <w:r w:rsidRPr="0094560A">
        <w:rPr>
          <w:rFonts w:eastAsia="Times New Roman" w:cs="Times New Roman"/>
          <w:sz w:val="24"/>
          <w:lang w:eastAsia="en-AU"/>
        </w:rPr>
        <w:t xml:space="preserve"> an authorised officer to contain the information prescribed by the regulations rather than being in the form prescribed by the regulations. </w:t>
      </w:r>
    </w:p>
    <w:p w14:paraId="244BB63C" w14:textId="75B15F02"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13 substitutes section 47 of </w:t>
      </w:r>
      <w:r w:rsidRPr="0094560A">
        <w:rPr>
          <w:rFonts w:eastAsia="Times New Roman" w:cs="Times New Roman"/>
          <w:i/>
          <w:sz w:val="24"/>
          <w:lang w:eastAsia="en-AU"/>
        </w:rPr>
        <w:t>the Corporations (Aboriginal and Torres Strait Islander) Regulations 2017</w:t>
      </w:r>
      <w:r w:rsidRPr="0094560A">
        <w:rPr>
          <w:rFonts w:eastAsia="Times New Roman" w:cs="Times New Roman"/>
          <w:sz w:val="24"/>
          <w:lang w:eastAsia="en-AU"/>
        </w:rPr>
        <w:t xml:space="preserve"> to require an identity card to contain various information</w:t>
      </w:r>
      <w:r w:rsidR="00D324D0" w:rsidRPr="0094560A">
        <w:rPr>
          <w:rFonts w:eastAsia="Times New Roman" w:cs="Times New Roman"/>
          <w:sz w:val="24"/>
          <w:lang w:eastAsia="en-AU"/>
        </w:rPr>
        <w:t>, rather than providing that the prescribed form is any form that contains that information.</w:t>
      </w:r>
    </w:p>
    <w:p w14:paraId="079AE442" w14:textId="77777777" w:rsidR="00E70C38" w:rsidRPr="0094560A" w:rsidRDefault="00E70C38" w:rsidP="00AA1231">
      <w:pPr>
        <w:spacing w:before="240" w:line="240" w:lineRule="auto"/>
        <w:rPr>
          <w:rFonts w:eastAsia="Times New Roman" w:cs="Times New Roman"/>
          <w:b/>
          <w:i/>
          <w:sz w:val="24"/>
          <w:lang w:eastAsia="en-AU"/>
        </w:rPr>
      </w:pPr>
      <w:r w:rsidRPr="0094560A">
        <w:rPr>
          <w:rFonts w:eastAsia="Times New Roman" w:cs="Times New Roman"/>
          <w:b/>
          <w:i/>
          <w:sz w:val="24"/>
          <w:lang w:eastAsia="en-AU"/>
        </w:rPr>
        <w:t>Item 14</w:t>
      </w:r>
    </w:p>
    <w:p w14:paraId="5C335DE4" w14:textId="5B83AEBF"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14 is a consequential amendment </w:t>
      </w:r>
      <w:r w:rsidR="00D30DE7"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9" w:name="_Toc145345571"/>
      <w:r w:rsidRPr="0094560A">
        <w:rPr>
          <w:rFonts w:eastAsia="Times New Roman" w:cs="Times New Roman"/>
          <w:i/>
          <w:sz w:val="24"/>
          <w:lang w:eastAsia="en-AU"/>
        </w:rPr>
        <w:t>Customs Regulation 2015</w:t>
      </w:r>
      <w:bookmarkEnd w:id="9"/>
      <w:r w:rsidRPr="0094560A">
        <w:rPr>
          <w:rFonts w:eastAsia="Times New Roman" w:cs="Times New Roman"/>
          <w:sz w:val="24"/>
          <w:lang w:eastAsia="en-AU"/>
        </w:rPr>
        <w:t xml:space="preserve"> from amendments of the </w:t>
      </w:r>
      <w:r w:rsidRPr="0094560A">
        <w:rPr>
          <w:rFonts w:eastAsia="Times New Roman" w:cs="Times New Roman"/>
          <w:i/>
          <w:sz w:val="24"/>
          <w:lang w:eastAsia="en-AU"/>
        </w:rPr>
        <w:t>Customs Act 1901</w:t>
      </w:r>
      <w:r w:rsidRPr="0094560A">
        <w:rPr>
          <w:rFonts w:eastAsia="Times New Roman" w:cs="Times New Roman"/>
          <w:sz w:val="24"/>
          <w:lang w:eastAsia="en-AU"/>
        </w:rPr>
        <w:t xml:space="preserve"> made by Schedule 1 to the </w:t>
      </w:r>
      <w:r w:rsidR="00AA1AB3"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3E782AE6" w14:textId="77777777" w:rsidR="000327C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114C(1) of the </w:t>
      </w:r>
      <w:r w:rsidRPr="0094560A">
        <w:rPr>
          <w:rFonts w:eastAsia="Times New Roman" w:cs="Times New Roman"/>
          <w:i/>
          <w:sz w:val="24"/>
          <w:lang w:eastAsia="en-AU"/>
        </w:rPr>
        <w:t>Customs Act 1901</w:t>
      </w:r>
      <w:r w:rsidRPr="0094560A">
        <w:rPr>
          <w:rFonts w:eastAsia="Times New Roman" w:cs="Times New Roman"/>
          <w:sz w:val="24"/>
          <w:lang w:eastAsia="en-AU"/>
        </w:rPr>
        <w:t xml:space="preserve"> now requires an export entry advice to satisfy the requirements prescribed by the regulations rather than being in a manner and form specified in the regulations.</w:t>
      </w:r>
    </w:p>
    <w:p w14:paraId="39A5CA39" w14:textId="3F4B5B2B"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14 amends subsection 83(1) of the </w:t>
      </w:r>
      <w:r w:rsidRPr="0094560A">
        <w:rPr>
          <w:rFonts w:eastAsia="Times New Roman" w:cs="Times New Roman"/>
          <w:i/>
          <w:sz w:val="24"/>
          <w:lang w:eastAsia="en-AU"/>
        </w:rPr>
        <w:t>Customs Regulation 2015</w:t>
      </w:r>
      <w:r w:rsidRPr="0094560A">
        <w:rPr>
          <w:rFonts w:eastAsia="Times New Roman" w:cs="Times New Roman"/>
          <w:sz w:val="24"/>
          <w:lang w:eastAsia="en-AU"/>
        </w:rPr>
        <w:t xml:space="preserve"> </w:t>
      </w:r>
      <w:r w:rsidR="00EE15C6" w:rsidRPr="0094560A">
        <w:rPr>
          <w:rFonts w:eastAsia="Times New Roman" w:cs="Times New Roman"/>
          <w:sz w:val="24"/>
          <w:lang w:eastAsia="en-AU"/>
        </w:rPr>
        <w:t>to set out the requirements for an export entry advice and to remove the reference to the form in which that advice must be given.</w:t>
      </w:r>
    </w:p>
    <w:p w14:paraId="284BB0BE" w14:textId="77777777" w:rsidR="00E70C38" w:rsidRPr="0094560A" w:rsidRDefault="00E70C38" w:rsidP="001A2CB1">
      <w:pPr>
        <w:spacing w:before="240" w:line="240" w:lineRule="auto"/>
        <w:rPr>
          <w:rFonts w:eastAsia="Times New Roman" w:cs="Times New Roman"/>
          <w:b/>
          <w:i/>
          <w:sz w:val="24"/>
          <w:lang w:eastAsia="en-AU"/>
        </w:rPr>
      </w:pPr>
      <w:r w:rsidRPr="0094560A">
        <w:rPr>
          <w:rFonts w:eastAsia="Times New Roman" w:cs="Times New Roman"/>
          <w:b/>
          <w:i/>
          <w:sz w:val="24"/>
          <w:lang w:eastAsia="en-AU"/>
        </w:rPr>
        <w:t>Item 15</w:t>
      </w:r>
    </w:p>
    <w:p w14:paraId="7AC84029" w14:textId="0803F292"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15 is a consequential amendment </w:t>
      </w:r>
      <w:r w:rsidR="001A2CB1"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10" w:name="_Toc145345572"/>
      <w:r w:rsidRPr="0094560A">
        <w:rPr>
          <w:rFonts w:eastAsia="Times New Roman" w:cs="Times New Roman"/>
          <w:i/>
          <w:sz w:val="24"/>
          <w:lang w:eastAsia="en-AU"/>
        </w:rPr>
        <w:t>Defence Trade Controls Regulation 2013</w:t>
      </w:r>
      <w:bookmarkEnd w:id="10"/>
      <w:r w:rsidRPr="0094560A">
        <w:rPr>
          <w:rFonts w:eastAsia="Times New Roman" w:cs="Times New Roman"/>
          <w:sz w:val="24"/>
          <w:lang w:eastAsia="en-AU"/>
        </w:rPr>
        <w:t xml:space="preserve"> from amendments </w:t>
      </w:r>
      <w:r w:rsidR="002643AE"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Defence Trade Controls Act 2012</w:t>
      </w:r>
      <w:r w:rsidRPr="0094560A">
        <w:rPr>
          <w:rFonts w:eastAsia="Times New Roman" w:cs="Times New Roman"/>
          <w:sz w:val="24"/>
          <w:lang w:eastAsia="en-AU"/>
        </w:rPr>
        <w:t xml:space="preserve"> made by Schedule 1 to the </w:t>
      </w:r>
      <w:r w:rsidR="00AA1AB3"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34CAB2ED" w14:textId="5D1A90EB" w:rsidR="000327C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40(2) </w:t>
      </w:r>
      <w:r w:rsidR="0097588B"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Defence Trade Controls Act 2012</w:t>
      </w:r>
      <w:r w:rsidRPr="0094560A">
        <w:rPr>
          <w:rFonts w:eastAsia="Times New Roman" w:cs="Times New Roman"/>
          <w:sz w:val="24"/>
          <w:lang w:eastAsia="en-AU"/>
        </w:rPr>
        <w:t xml:space="preserve"> now requires that an identity card </w:t>
      </w:r>
      <w:r w:rsidR="00927419" w:rsidRPr="0094560A">
        <w:rPr>
          <w:rFonts w:eastAsia="Times New Roman" w:cs="Times New Roman"/>
          <w:sz w:val="24"/>
          <w:lang w:eastAsia="en-AU"/>
        </w:rPr>
        <w:t>of</w:t>
      </w:r>
      <w:r w:rsidRPr="0094560A">
        <w:rPr>
          <w:rFonts w:eastAsia="Times New Roman" w:cs="Times New Roman"/>
          <w:sz w:val="24"/>
          <w:lang w:eastAsia="en-AU"/>
        </w:rPr>
        <w:t xml:space="preserve"> an authorised person </w:t>
      </w:r>
      <w:r w:rsidR="00F41EF3" w:rsidRPr="0094560A">
        <w:rPr>
          <w:rFonts w:eastAsia="Times New Roman" w:cs="Times New Roman"/>
          <w:sz w:val="24"/>
          <w:lang w:eastAsia="en-AU"/>
        </w:rPr>
        <w:t xml:space="preserve">must </w:t>
      </w:r>
      <w:r w:rsidRPr="0094560A">
        <w:rPr>
          <w:rFonts w:eastAsia="Times New Roman" w:cs="Times New Roman"/>
          <w:sz w:val="24"/>
          <w:lang w:eastAsia="en-AU"/>
        </w:rPr>
        <w:t xml:space="preserve">satisfy the requirements prescribed by the regulations rather than being in the form prescribed by the regulations. </w:t>
      </w:r>
    </w:p>
    <w:p w14:paraId="0893676C" w14:textId="77777777" w:rsidR="0053407F" w:rsidRPr="0094560A" w:rsidRDefault="00E70C38" w:rsidP="00A30A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15 amends section 23 of the </w:t>
      </w:r>
      <w:r w:rsidRPr="0094560A">
        <w:rPr>
          <w:rFonts w:eastAsia="Times New Roman" w:cs="Times New Roman"/>
          <w:i/>
          <w:sz w:val="24"/>
          <w:lang w:eastAsia="en-AU"/>
        </w:rPr>
        <w:t>Defence Trade Controls Regulation 2013</w:t>
      </w:r>
      <w:r w:rsidRPr="0094560A">
        <w:rPr>
          <w:rFonts w:eastAsia="Times New Roman" w:cs="Times New Roman"/>
          <w:sz w:val="24"/>
          <w:lang w:eastAsia="en-AU"/>
        </w:rPr>
        <w:t xml:space="preserve"> to require an identity card to contain </w:t>
      </w:r>
      <w:r w:rsidR="00B52ED8" w:rsidRPr="0094560A">
        <w:rPr>
          <w:rFonts w:eastAsia="Times New Roman" w:cs="Times New Roman"/>
          <w:sz w:val="24"/>
          <w:lang w:eastAsia="en-AU"/>
        </w:rPr>
        <w:t xml:space="preserve">certain information, and remove a reference to the form of a notice. </w:t>
      </w:r>
    </w:p>
    <w:p w14:paraId="486A517B" w14:textId="48F560E7" w:rsidR="00E70C38" w:rsidRPr="0094560A" w:rsidRDefault="00E70C38" w:rsidP="0053407F">
      <w:pPr>
        <w:spacing w:before="240" w:line="240" w:lineRule="auto"/>
        <w:rPr>
          <w:rFonts w:eastAsia="Times New Roman" w:cs="Times New Roman"/>
          <w:b/>
          <w:i/>
          <w:sz w:val="24"/>
          <w:lang w:eastAsia="en-AU"/>
        </w:rPr>
      </w:pPr>
      <w:r w:rsidRPr="0094560A">
        <w:rPr>
          <w:rFonts w:eastAsia="Times New Roman" w:cs="Times New Roman"/>
          <w:b/>
          <w:i/>
          <w:sz w:val="24"/>
          <w:lang w:eastAsia="en-AU"/>
        </w:rPr>
        <w:t>Items 16 to 21</w:t>
      </w:r>
    </w:p>
    <w:p w14:paraId="31C4AA6F" w14:textId="2A51F03D"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Items 16 to 21 are consequential amendments </w:t>
      </w:r>
      <w:r w:rsidR="00857B18"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11" w:name="_Toc145345573"/>
      <w:r w:rsidRPr="0094560A">
        <w:rPr>
          <w:rFonts w:eastAsia="Times New Roman" w:cs="Times New Roman"/>
          <w:i/>
          <w:sz w:val="24"/>
          <w:lang w:eastAsia="en-AU"/>
        </w:rPr>
        <w:t>Designs Regulations 2004</w:t>
      </w:r>
      <w:bookmarkEnd w:id="11"/>
      <w:r w:rsidRPr="0094560A">
        <w:rPr>
          <w:rFonts w:eastAsia="Times New Roman" w:cs="Times New Roman"/>
          <w:sz w:val="24"/>
          <w:lang w:eastAsia="en-AU"/>
        </w:rPr>
        <w:t xml:space="preserve"> from amendments </w:t>
      </w:r>
      <w:r w:rsidR="00857B18"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Designs Act 2003</w:t>
      </w:r>
      <w:r w:rsidRPr="0094560A">
        <w:rPr>
          <w:rFonts w:eastAsia="Times New Roman" w:cs="Times New Roman"/>
          <w:sz w:val="24"/>
          <w:lang w:eastAsia="en-AU"/>
        </w:rPr>
        <w:t xml:space="preserve"> made by Schedule 1 to </w:t>
      </w:r>
      <w:r w:rsidR="00B96FDC"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2AF5E040" w14:textId="77777777" w:rsidR="00451979"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33(4) of the </w:t>
      </w:r>
      <w:r w:rsidRPr="0094560A">
        <w:rPr>
          <w:rFonts w:eastAsia="Times New Roman" w:cs="Times New Roman"/>
          <w:i/>
          <w:sz w:val="24"/>
          <w:lang w:eastAsia="en-AU"/>
        </w:rPr>
        <w:t>Designs Act 2003</w:t>
      </w:r>
      <w:r w:rsidRPr="0094560A">
        <w:rPr>
          <w:rFonts w:eastAsia="Times New Roman" w:cs="Times New Roman"/>
          <w:sz w:val="24"/>
          <w:lang w:eastAsia="en-AU"/>
        </w:rPr>
        <w:t xml:space="preserve"> now requires a notice stating that a design application has lapsed to satisfy the requirements prescribed by the regulations rather than being in the form prescribed by the regulations. </w:t>
      </w:r>
    </w:p>
    <w:p w14:paraId="60CB3A7D" w14:textId="60A81336"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lastRenderedPageBreak/>
        <w:t xml:space="preserve">Item 16 substitutes the heading to regulation 3.15 of the </w:t>
      </w:r>
      <w:r w:rsidRPr="0094560A">
        <w:rPr>
          <w:rFonts w:eastAsia="Times New Roman" w:cs="Times New Roman"/>
          <w:i/>
          <w:sz w:val="24"/>
          <w:lang w:eastAsia="en-AU"/>
        </w:rPr>
        <w:t>Designs Regulations 2004</w:t>
      </w:r>
      <w:r w:rsidRPr="0094560A">
        <w:rPr>
          <w:rFonts w:eastAsia="Times New Roman" w:cs="Times New Roman"/>
          <w:sz w:val="24"/>
          <w:lang w:eastAsia="en-AU"/>
        </w:rPr>
        <w:t xml:space="preserve"> to remove the reference to the form of the notice and to just refer to the notice of lapsing of a design application and item 17 amends paragraph 3.15(a) of those regulations to remove a reference to the form of a notice.</w:t>
      </w:r>
    </w:p>
    <w:p w14:paraId="6F8FC944" w14:textId="77777777"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45(4) of the </w:t>
      </w:r>
      <w:r w:rsidRPr="0094560A">
        <w:rPr>
          <w:rFonts w:eastAsia="Times New Roman" w:cs="Times New Roman"/>
          <w:i/>
          <w:sz w:val="24"/>
          <w:lang w:eastAsia="en-AU"/>
        </w:rPr>
        <w:t>Designs Act 2003</w:t>
      </w:r>
      <w:r w:rsidRPr="0094560A">
        <w:rPr>
          <w:rFonts w:eastAsia="Times New Roman" w:cs="Times New Roman"/>
          <w:sz w:val="24"/>
          <w:lang w:eastAsia="en-AU"/>
        </w:rPr>
        <w:t xml:space="preserve"> now requires a notice stating that a design has been registered to satisfy the requirements prescribed by the regulations rather than being in the form prescribed by the regulations. Item 18 amends paragraph 4.08(2)(a) of the </w:t>
      </w:r>
      <w:r w:rsidRPr="0094560A">
        <w:rPr>
          <w:rFonts w:eastAsia="Times New Roman" w:cs="Times New Roman"/>
          <w:i/>
          <w:sz w:val="24"/>
          <w:lang w:eastAsia="en-AU"/>
        </w:rPr>
        <w:t>Designs Regulations 2004</w:t>
      </w:r>
      <w:r w:rsidRPr="0094560A">
        <w:rPr>
          <w:rFonts w:eastAsia="Times New Roman" w:cs="Times New Roman"/>
          <w:sz w:val="24"/>
          <w:lang w:eastAsia="en-AU"/>
        </w:rPr>
        <w:t xml:space="preserve"> to remove a reference to the form of a notice.</w:t>
      </w:r>
    </w:p>
    <w:p w14:paraId="0E3B296A" w14:textId="77777777" w:rsidR="009D3F1A"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52(4) of the </w:t>
      </w:r>
      <w:r w:rsidRPr="0094560A">
        <w:rPr>
          <w:rFonts w:eastAsia="Times New Roman" w:cs="Times New Roman"/>
          <w:i/>
          <w:sz w:val="24"/>
          <w:lang w:eastAsia="en-AU"/>
        </w:rPr>
        <w:t>Designs Act 2003</w:t>
      </w:r>
      <w:r w:rsidRPr="0094560A">
        <w:rPr>
          <w:rFonts w:eastAsia="Times New Roman" w:cs="Times New Roman"/>
          <w:sz w:val="24"/>
          <w:lang w:eastAsia="en-AU"/>
        </w:rPr>
        <w:t xml:space="preserve"> now requires a notice stating that the registration of a design has been revoked to satisfy the requirements prescribed by the regulations rather than being in the form prescribed by the regulations. </w:t>
      </w:r>
    </w:p>
    <w:p w14:paraId="7A291934" w14:textId="1B9A6C58"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19 amends paragraph 4.13(a) of the </w:t>
      </w:r>
      <w:r w:rsidRPr="0094560A">
        <w:rPr>
          <w:rFonts w:eastAsia="Times New Roman" w:cs="Times New Roman"/>
          <w:i/>
          <w:sz w:val="24"/>
          <w:lang w:eastAsia="en-AU"/>
        </w:rPr>
        <w:t>Designs Regulations 2004</w:t>
      </w:r>
      <w:r w:rsidRPr="0094560A">
        <w:rPr>
          <w:rFonts w:eastAsia="Times New Roman" w:cs="Times New Roman"/>
          <w:sz w:val="24"/>
          <w:lang w:eastAsia="en-AU"/>
        </w:rPr>
        <w:t xml:space="preserve"> to remove a reference to the form of a notice.</w:t>
      </w:r>
    </w:p>
    <w:p w14:paraId="231A6AD8" w14:textId="77777777" w:rsidR="009D3F1A"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Paragraph 67(3)(c) of the </w:t>
      </w:r>
      <w:r w:rsidRPr="0094560A">
        <w:rPr>
          <w:rFonts w:eastAsia="Times New Roman" w:cs="Times New Roman"/>
          <w:i/>
          <w:sz w:val="24"/>
          <w:lang w:eastAsia="en-AU"/>
        </w:rPr>
        <w:t>Designs Act 2003</w:t>
      </w:r>
      <w:r w:rsidRPr="0094560A">
        <w:rPr>
          <w:rFonts w:eastAsia="Times New Roman" w:cs="Times New Roman"/>
          <w:sz w:val="24"/>
          <w:lang w:eastAsia="en-AU"/>
        </w:rPr>
        <w:t xml:space="preserve"> now requires a notice stating that an examination of a design has been completed and that infringement proceedings may be commenced to satisfy the requirements prescribed by the regulations rather than being in the form prescribed by the regulations. </w:t>
      </w:r>
    </w:p>
    <w:p w14:paraId="15B8E87D" w14:textId="0EB078E4"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20 amends paragraph 5.06(2)(a) of the </w:t>
      </w:r>
      <w:r w:rsidRPr="0094560A">
        <w:rPr>
          <w:rFonts w:eastAsia="Times New Roman" w:cs="Times New Roman"/>
          <w:i/>
          <w:sz w:val="24"/>
          <w:lang w:eastAsia="en-AU"/>
        </w:rPr>
        <w:t>Designs Regulations 2004</w:t>
      </w:r>
      <w:r w:rsidRPr="0094560A">
        <w:rPr>
          <w:rFonts w:eastAsia="Times New Roman" w:cs="Times New Roman"/>
          <w:sz w:val="24"/>
          <w:lang w:eastAsia="en-AU"/>
        </w:rPr>
        <w:t xml:space="preserve"> to remove a reference to the form of a notice.</w:t>
      </w:r>
    </w:p>
    <w:p w14:paraId="121957CD" w14:textId="77777777" w:rsidR="00CD7044"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68(3) of the </w:t>
      </w:r>
      <w:r w:rsidRPr="0094560A">
        <w:rPr>
          <w:rFonts w:eastAsia="Times New Roman" w:cs="Times New Roman"/>
          <w:i/>
          <w:sz w:val="24"/>
          <w:lang w:eastAsia="en-AU"/>
        </w:rPr>
        <w:t>Designs Act 2003</w:t>
      </w:r>
      <w:r w:rsidRPr="0094560A">
        <w:rPr>
          <w:rFonts w:eastAsia="Times New Roman" w:cs="Times New Roman"/>
          <w:sz w:val="24"/>
          <w:lang w:eastAsia="en-AU"/>
        </w:rPr>
        <w:t xml:space="preserve"> now requires a notice stating that the registration of a design has been revoked and that the design is taken never to have been registered to satisfy the requirements prescribed by the regulations rather than being in the form prescribed by the regulations. </w:t>
      </w:r>
    </w:p>
    <w:p w14:paraId="71BBBBFA" w14:textId="3FE6BE25"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21 amends paragraph 5.07(a) of the </w:t>
      </w:r>
      <w:r w:rsidRPr="0094560A">
        <w:rPr>
          <w:rFonts w:eastAsia="Times New Roman" w:cs="Times New Roman"/>
          <w:i/>
          <w:sz w:val="24"/>
          <w:lang w:eastAsia="en-AU"/>
        </w:rPr>
        <w:t>Designs Regulations 2004</w:t>
      </w:r>
      <w:r w:rsidRPr="0094560A">
        <w:rPr>
          <w:rFonts w:eastAsia="Times New Roman" w:cs="Times New Roman"/>
          <w:sz w:val="24"/>
          <w:lang w:eastAsia="en-AU"/>
        </w:rPr>
        <w:t xml:space="preserve"> to remove a reference to the form of a notice.</w:t>
      </w:r>
    </w:p>
    <w:p w14:paraId="4A276B58" w14:textId="77777777" w:rsidR="00E70C38" w:rsidRPr="0094560A" w:rsidRDefault="00E70C38" w:rsidP="00A67868">
      <w:pPr>
        <w:keepNext/>
        <w:keepLines/>
        <w:spacing w:before="240" w:line="240" w:lineRule="auto"/>
        <w:rPr>
          <w:rFonts w:eastAsia="Times New Roman" w:cs="Times New Roman"/>
          <w:b/>
          <w:i/>
          <w:sz w:val="24"/>
          <w:lang w:eastAsia="en-AU"/>
        </w:rPr>
      </w:pPr>
      <w:r w:rsidRPr="0094560A">
        <w:rPr>
          <w:rFonts w:eastAsia="Times New Roman" w:cs="Times New Roman"/>
          <w:b/>
          <w:i/>
          <w:sz w:val="24"/>
          <w:lang w:eastAsia="en-AU"/>
        </w:rPr>
        <w:t>Item 22</w:t>
      </w:r>
    </w:p>
    <w:p w14:paraId="654DDCD1" w14:textId="7D2CB437" w:rsidR="00E70C38" w:rsidRPr="0094560A" w:rsidRDefault="00E70C38" w:rsidP="00A67868">
      <w:pPr>
        <w:keepNext/>
        <w:keepLines/>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22 is a consequential amendment </w:t>
      </w:r>
      <w:r w:rsidR="00DD6421"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12" w:name="_Toc145345575"/>
      <w:r w:rsidRPr="0094560A">
        <w:rPr>
          <w:rFonts w:eastAsia="Times New Roman" w:cs="Times New Roman"/>
          <w:i/>
          <w:sz w:val="24"/>
          <w:lang w:eastAsia="en-AU"/>
        </w:rPr>
        <w:t>Fuel Quality Standards Regulations 2019</w:t>
      </w:r>
      <w:bookmarkEnd w:id="12"/>
      <w:r w:rsidRPr="0094560A">
        <w:rPr>
          <w:rFonts w:eastAsia="Times New Roman" w:cs="Times New Roman"/>
          <w:sz w:val="24"/>
          <w:lang w:eastAsia="en-AU"/>
        </w:rPr>
        <w:t xml:space="preserve"> from amendments </w:t>
      </w:r>
      <w:r w:rsidR="00DD6421"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Fuel Quality Standards Act 2000</w:t>
      </w:r>
      <w:r w:rsidRPr="0094560A">
        <w:rPr>
          <w:rFonts w:eastAsia="Times New Roman" w:cs="Times New Roman"/>
          <w:sz w:val="24"/>
          <w:lang w:eastAsia="en-AU"/>
        </w:rPr>
        <w:t xml:space="preserve"> made by Schedule 1 to the </w:t>
      </w:r>
      <w:r w:rsidR="00B96FDC"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021EFBF2" w14:textId="5AD18E03" w:rsidR="009024AF"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39(2) of the </w:t>
      </w:r>
      <w:r w:rsidRPr="0094560A">
        <w:rPr>
          <w:rFonts w:eastAsia="Times New Roman" w:cs="Times New Roman"/>
          <w:i/>
          <w:sz w:val="24"/>
          <w:lang w:eastAsia="en-AU"/>
        </w:rPr>
        <w:t>Fuel Quality Standards Act 2000</w:t>
      </w:r>
      <w:r w:rsidRPr="0094560A">
        <w:rPr>
          <w:rFonts w:eastAsia="Times New Roman" w:cs="Times New Roman"/>
          <w:sz w:val="24"/>
          <w:lang w:eastAsia="en-AU"/>
        </w:rPr>
        <w:t xml:space="preserve"> now requires an identity card </w:t>
      </w:r>
      <w:r w:rsidR="00927419" w:rsidRPr="0094560A">
        <w:rPr>
          <w:rFonts w:eastAsia="Times New Roman" w:cs="Times New Roman"/>
          <w:sz w:val="24"/>
          <w:lang w:eastAsia="en-AU"/>
        </w:rPr>
        <w:t>of</w:t>
      </w:r>
      <w:r w:rsidRPr="0094560A">
        <w:rPr>
          <w:rFonts w:eastAsia="Times New Roman" w:cs="Times New Roman"/>
          <w:sz w:val="24"/>
          <w:lang w:eastAsia="en-AU"/>
        </w:rPr>
        <w:t xml:space="preserve"> an inspector to satisfy the requirements prescribed by the regulations rather than being in the form prescribed by the regulations. </w:t>
      </w:r>
    </w:p>
    <w:p w14:paraId="771D338F" w14:textId="7016F559"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22 substitutes section 21 of the </w:t>
      </w:r>
      <w:r w:rsidRPr="0094560A">
        <w:rPr>
          <w:rFonts w:eastAsia="Times New Roman" w:cs="Times New Roman"/>
          <w:i/>
          <w:sz w:val="24"/>
          <w:lang w:eastAsia="en-AU"/>
        </w:rPr>
        <w:t>Fuel Quality Standards Regulations 2019</w:t>
      </w:r>
      <w:r w:rsidRPr="0094560A">
        <w:rPr>
          <w:rFonts w:eastAsia="Times New Roman" w:cs="Times New Roman"/>
          <w:sz w:val="24"/>
          <w:lang w:eastAsia="en-AU"/>
        </w:rPr>
        <w:t xml:space="preserve"> to require an identity card to </w:t>
      </w:r>
      <w:r w:rsidR="00091D0C" w:rsidRPr="0094560A">
        <w:rPr>
          <w:rFonts w:eastAsia="Times New Roman" w:cs="Times New Roman"/>
          <w:sz w:val="24"/>
          <w:lang w:eastAsia="en-AU"/>
        </w:rPr>
        <w:t>contain certain information.</w:t>
      </w:r>
    </w:p>
    <w:p w14:paraId="364FFBE5" w14:textId="77777777" w:rsidR="00E70C38" w:rsidRPr="0094560A" w:rsidRDefault="00E70C38" w:rsidP="009024AF">
      <w:pPr>
        <w:spacing w:before="240" w:line="240" w:lineRule="auto"/>
        <w:rPr>
          <w:rFonts w:eastAsia="Times New Roman" w:cs="Times New Roman"/>
          <w:b/>
          <w:i/>
          <w:sz w:val="24"/>
          <w:lang w:eastAsia="en-AU"/>
        </w:rPr>
      </w:pPr>
      <w:r w:rsidRPr="0094560A">
        <w:rPr>
          <w:rFonts w:eastAsia="Times New Roman" w:cs="Times New Roman"/>
          <w:b/>
          <w:i/>
          <w:sz w:val="24"/>
          <w:lang w:eastAsia="en-AU"/>
        </w:rPr>
        <w:t>Item 23</w:t>
      </w:r>
    </w:p>
    <w:p w14:paraId="357F5F47" w14:textId="2A95BDEF"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23 is a consequential amendment </w:t>
      </w:r>
      <w:r w:rsidR="00911662"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13" w:name="_Toc145345577"/>
      <w:r w:rsidRPr="0094560A">
        <w:rPr>
          <w:rFonts w:eastAsia="Times New Roman" w:cs="Times New Roman"/>
          <w:i/>
          <w:sz w:val="24"/>
          <w:lang w:eastAsia="en-AU"/>
        </w:rPr>
        <w:t>Great Barrier Reef Marine Park Regulations 2019</w:t>
      </w:r>
      <w:bookmarkEnd w:id="13"/>
      <w:r w:rsidRPr="0094560A">
        <w:rPr>
          <w:rFonts w:eastAsia="Times New Roman" w:cs="Times New Roman"/>
          <w:i/>
          <w:sz w:val="24"/>
          <w:lang w:eastAsia="en-AU"/>
        </w:rPr>
        <w:t xml:space="preserve"> </w:t>
      </w:r>
      <w:r w:rsidRPr="0094560A">
        <w:rPr>
          <w:rFonts w:eastAsia="Times New Roman" w:cs="Times New Roman"/>
          <w:sz w:val="24"/>
          <w:lang w:eastAsia="en-AU"/>
        </w:rPr>
        <w:t xml:space="preserve">from amendments </w:t>
      </w:r>
      <w:r w:rsidR="00DD1E1C"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Great Barrier Reef Marine Park Act 1975</w:t>
      </w:r>
      <w:r w:rsidRPr="0094560A">
        <w:rPr>
          <w:rFonts w:eastAsia="Times New Roman" w:cs="Times New Roman"/>
          <w:sz w:val="24"/>
          <w:lang w:eastAsia="en-AU"/>
        </w:rPr>
        <w:t xml:space="preserve"> made by Schedule 1 to the </w:t>
      </w:r>
      <w:r w:rsidR="00B96FDC"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7276ED86" w14:textId="3067BFFC"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lastRenderedPageBreak/>
        <w:t xml:space="preserve">Subsection 45(1) of the </w:t>
      </w:r>
      <w:r w:rsidRPr="0094560A">
        <w:rPr>
          <w:rFonts w:eastAsia="Times New Roman" w:cs="Times New Roman"/>
          <w:i/>
          <w:sz w:val="24"/>
          <w:lang w:eastAsia="en-AU"/>
        </w:rPr>
        <w:t xml:space="preserve">Great Barrier Reef Marine Park Act 1975 </w:t>
      </w:r>
      <w:r w:rsidRPr="0094560A">
        <w:rPr>
          <w:rFonts w:eastAsia="Times New Roman" w:cs="Times New Roman"/>
          <w:sz w:val="24"/>
          <w:lang w:eastAsia="en-AU"/>
        </w:rPr>
        <w:t xml:space="preserve">now requires an identity card </w:t>
      </w:r>
      <w:r w:rsidR="00927419" w:rsidRPr="0094560A">
        <w:rPr>
          <w:rFonts w:eastAsia="Times New Roman" w:cs="Times New Roman"/>
          <w:sz w:val="24"/>
          <w:lang w:eastAsia="en-AU"/>
        </w:rPr>
        <w:t>of</w:t>
      </w:r>
      <w:r w:rsidRPr="0094560A">
        <w:rPr>
          <w:rFonts w:eastAsia="Times New Roman" w:cs="Times New Roman"/>
          <w:sz w:val="24"/>
          <w:lang w:eastAsia="en-AU"/>
        </w:rPr>
        <w:t xml:space="preserve"> an inspector to be in the form approved in an instrument under subsection 45(1A) of that Act rather than being in the form prescribed by the regulations. Item 23 repeals section 254 of the </w:t>
      </w:r>
      <w:r w:rsidRPr="0094560A">
        <w:rPr>
          <w:rFonts w:eastAsia="Times New Roman" w:cs="Times New Roman"/>
          <w:i/>
          <w:sz w:val="24"/>
          <w:lang w:eastAsia="en-AU"/>
        </w:rPr>
        <w:t>Great Barrier Reef Marine Park Regulations 2019</w:t>
      </w:r>
      <w:r w:rsidRPr="0094560A">
        <w:rPr>
          <w:rFonts w:eastAsia="Times New Roman" w:cs="Times New Roman"/>
          <w:sz w:val="24"/>
          <w:lang w:eastAsia="en-AU"/>
        </w:rPr>
        <w:t xml:space="preserve"> which currently sets out the form of an identity card.</w:t>
      </w:r>
    </w:p>
    <w:p w14:paraId="57831980" w14:textId="77777777" w:rsidR="00E70C38" w:rsidRPr="0094560A" w:rsidRDefault="00E70C38" w:rsidP="00863C14">
      <w:pPr>
        <w:keepNext/>
        <w:spacing w:before="240" w:line="240" w:lineRule="auto"/>
        <w:rPr>
          <w:rFonts w:eastAsia="Times New Roman" w:cs="Times New Roman"/>
          <w:b/>
          <w:i/>
          <w:sz w:val="24"/>
          <w:lang w:eastAsia="en-AU"/>
        </w:rPr>
      </w:pPr>
      <w:r w:rsidRPr="0094560A">
        <w:rPr>
          <w:rFonts w:eastAsia="Times New Roman" w:cs="Times New Roman"/>
          <w:b/>
          <w:i/>
          <w:sz w:val="24"/>
          <w:lang w:eastAsia="en-AU"/>
        </w:rPr>
        <w:t>Items 24 and 25</w:t>
      </w:r>
    </w:p>
    <w:p w14:paraId="5B762C06" w14:textId="31813115" w:rsidR="00E70C38" w:rsidRPr="0094560A" w:rsidRDefault="00E70C38" w:rsidP="00863C14">
      <w:pPr>
        <w:keepNext/>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Items 24 and 25 are consequential amendments </w:t>
      </w:r>
      <w:r w:rsidR="00DD0BEC"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14" w:name="_Toc145345578"/>
      <w:r w:rsidRPr="0094560A">
        <w:rPr>
          <w:rFonts w:eastAsia="Times New Roman" w:cs="Times New Roman"/>
          <w:i/>
          <w:sz w:val="24"/>
          <w:lang w:eastAsia="en-AU"/>
        </w:rPr>
        <w:t>Health Insurance Regulations 2018</w:t>
      </w:r>
      <w:bookmarkEnd w:id="14"/>
      <w:r w:rsidRPr="0094560A">
        <w:rPr>
          <w:rFonts w:eastAsia="Times New Roman" w:cs="Times New Roman"/>
          <w:sz w:val="24"/>
          <w:lang w:eastAsia="en-AU"/>
        </w:rPr>
        <w:t xml:space="preserve"> from amendments </w:t>
      </w:r>
      <w:r w:rsidR="00A94C64" w:rsidRPr="0094560A">
        <w:rPr>
          <w:rFonts w:eastAsia="Times New Roman" w:cs="Times New Roman"/>
          <w:sz w:val="24"/>
          <w:lang w:eastAsia="en-AU"/>
        </w:rPr>
        <w:t>to</w:t>
      </w:r>
      <w:r w:rsidRPr="0094560A">
        <w:rPr>
          <w:rFonts w:eastAsia="Times New Roman" w:cs="Times New Roman"/>
          <w:sz w:val="24"/>
          <w:lang w:eastAsia="en-AU"/>
        </w:rPr>
        <w:t xml:space="preserve"> the Health Insurance Act 1973 made by Schedule 1 to the </w:t>
      </w:r>
      <w:r w:rsidR="00B96FDC"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5F83CAEE" w14:textId="77777777"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40(1) of the </w:t>
      </w:r>
      <w:r w:rsidRPr="0094560A">
        <w:rPr>
          <w:rFonts w:eastAsia="Times New Roman" w:cs="Times New Roman"/>
          <w:i/>
          <w:sz w:val="24"/>
          <w:lang w:eastAsia="en-AU"/>
        </w:rPr>
        <w:t>Health Insurance Act 1973</w:t>
      </w:r>
      <w:r w:rsidRPr="0094560A">
        <w:rPr>
          <w:rFonts w:eastAsia="Times New Roman" w:cs="Times New Roman"/>
          <w:sz w:val="24"/>
          <w:lang w:eastAsia="en-AU"/>
        </w:rPr>
        <w:t xml:space="preserve"> now requires an application from an organization for approval as an organization under Part IV of that Act to be in the approved form, rather than being in the prescribed form, and to be signed in accordance with the regulations.</w:t>
      </w:r>
    </w:p>
    <w:p w14:paraId="5E0CE3C0" w14:textId="77777777"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41(1) of the </w:t>
      </w:r>
      <w:r w:rsidRPr="0094560A">
        <w:rPr>
          <w:rFonts w:eastAsia="Times New Roman" w:cs="Times New Roman"/>
          <w:i/>
          <w:sz w:val="24"/>
          <w:lang w:eastAsia="en-AU"/>
        </w:rPr>
        <w:t>Health Insurance Act 1973</w:t>
      </w:r>
      <w:r w:rsidRPr="0094560A">
        <w:rPr>
          <w:rFonts w:eastAsia="Times New Roman" w:cs="Times New Roman"/>
          <w:sz w:val="24"/>
          <w:lang w:eastAsia="en-AU"/>
        </w:rPr>
        <w:t xml:space="preserve"> now requires an application from an approved organization for approval of a health service provided, or to be provided, by the organization to be in the approved form, rather than being in the prescribed form, and to be signed in accordance with the regulations.</w:t>
      </w:r>
    </w:p>
    <w:p w14:paraId="2F8A2E0B" w14:textId="77777777"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24 substitutes sections 81 and 82 of the </w:t>
      </w:r>
      <w:r w:rsidRPr="0094560A">
        <w:rPr>
          <w:rFonts w:eastAsia="Times New Roman" w:cs="Times New Roman"/>
          <w:i/>
          <w:sz w:val="24"/>
          <w:lang w:eastAsia="en-AU"/>
        </w:rPr>
        <w:t>Health Insurance Regulations 2018</w:t>
      </w:r>
      <w:r w:rsidRPr="0094560A">
        <w:rPr>
          <w:rFonts w:eastAsia="Times New Roman" w:cs="Times New Roman"/>
          <w:sz w:val="24"/>
          <w:lang w:eastAsia="en-AU"/>
        </w:rPr>
        <w:t xml:space="preserve"> to set out those signing requirements for the organization or approved organization and item 25 repeals Schedule 2 to those regulations which sets out the application forms.</w:t>
      </w:r>
    </w:p>
    <w:p w14:paraId="6315280C" w14:textId="77777777" w:rsidR="00E70C38" w:rsidRPr="0094560A" w:rsidRDefault="00E70C38" w:rsidP="003454A9">
      <w:pPr>
        <w:spacing w:before="240" w:line="240" w:lineRule="auto"/>
        <w:rPr>
          <w:rFonts w:eastAsia="Times New Roman" w:cs="Times New Roman"/>
          <w:b/>
          <w:i/>
          <w:sz w:val="24"/>
          <w:lang w:eastAsia="en-AU"/>
        </w:rPr>
      </w:pPr>
      <w:r w:rsidRPr="0094560A">
        <w:rPr>
          <w:rFonts w:eastAsia="Times New Roman" w:cs="Times New Roman"/>
          <w:b/>
          <w:i/>
          <w:sz w:val="24"/>
          <w:lang w:eastAsia="en-AU"/>
        </w:rPr>
        <w:t>Items 26 to 28</w:t>
      </w:r>
    </w:p>
    <w:p w14:paraId="3DAE3C36" w14:textId="1B376DDE"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Items 26 to 28 are consequential amendments </w:t>
      </w:r>
      <w:r w:rsidR="005D2048"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15" w:name="_Toc145345581"/>
      <w:r w:rsidRPr="0094560A">
        <w:rPr>
          <w:rFonts w:eastAsia="Times New Roman" w:cs="Times New Roman"/>
          <w:i/>
          <w:sz w:val="24"/>
          <w:lang w:eastAsia="en-AU"/>
        </w:rPr>
        <w:t>Migration Regulations 1994</w:t>
      </w:r>
      <w:bookmarkEnd w:id="15"/>
      <w:r w:rsidRPr="0094560A">
        <w:rPr>
          <w:rFonts w:eastAsia="Times New Roman" w:cs="Times New Roman"/>
          <w:sz w:val="24"/>
          <w:lang w:eastAsia="en-AU"/>
        </w:rPr>
        <w:t xml:space="preserve"> from amendments </w:t>
      </w:r>
      <w:r w:rsidR="005D2048"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Migration Act 1958</w:t>
      </w:r>
      <w:r w:rsidRPr="0094560A">
        <w:rPr>
          <w:rFonts w:eastAsia="Times New Roman" w:cs="Times New Roman"/>
          <w:sz w:val="24"/>
          <w:lang w:eastAsia="en-AU"/>
        </w:rPr>
        <w:t xml:space="preserve"> made by Schedule 1 to the </w:t>
      </w:r>
      <w:r w:rsidR="00B96FDC"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1B478057" w14:textId="3F75421C" w:rsidR="00DD35F9"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140W(2) of the </w:t>
      </w:r>
      <w:r w:rsidRPr="0094560A">
        <w:rPr>
          <w:rFonts w:eastAsia="Times New Roman" w:cs="Times New Roman"/>
          <w:i/>
          <w:sz w:val="24"/>
          <w:lang w:eastAsia="en-AU"/>
        </w:rPr>
        <w:t>Migration Act 1958</w:t>
      </w:r>
      <w:r w:rsidRPr="0094560A">
        <w:rPr>
          <w:rFonts w:eastAsia="Times New Roman" w:cs="Times New Roman"/>
          <w:sz w:val="24"/>
          <w:lang w:eastAsia="en-AU"/>
        </w:rPr>
        <w:t xml:space="preserve"> now requires an identity card </w:t>
      </w:r>
      <w:r w:rsidR="000D1500" w:rsidRPr="0094560A">
        <w:rPr>
          <w:rFonts w:eastAsia="Times New Roman" w:cs="Times New Roman"/>
          <w:sz w:val="24"/>
          <w:lang w:eastAsia="en-AU"/>
        </w:rPr>
        <w:t>of</w:t>
      </w:r>
      <w:r w:rsidRPr="0094560A">
        <w:rPr>
          <w:rFonts w:eastAsia="Times New Roman" w:cs="Times New Roman"/>
          <w:sz w:val="24"/>
          <w:lang w:eastAsia="en-AU"/>
        </w:rPr>
        <w:t xml:space="preserve"> an appointed inspector to be in the approved form rather than being in the form prescribed by the regulations. </w:t>
      </w:r>
    </w:p>
    <w:p w14:paraId="6048B403" w14:textId="18F9DB93"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26 repeals regulation 2.102B of the </w:t>
      </w:r>
      <w:r w:rsidRPr="0094560A">
        <w:rPr>
          <w:rFonts w:eastAsia="Times New Roman" w:cs="Times New Roman"/>
          <w:i/>
          <w:sz w:val="24"/>
          <w:lang w:eastAsia="en-AU"/>
        </w:rPr>
        <w:t>Migration Regulations 1994</w:t>
      </w:r>
      <w:r w:rsidRPr="0094560A">
        <w:rPr>
          <w:rFonts w:eastAsia="Times New Roman" w:cs="Times New Roman"/>
          <w:sz w:val="24"/>
          <w:lang w:eastAsia="en-AU"/>
        </w:rPr>
        <w:t xml:space="preserve"> which refers to a document being in accordance with prescribed Form 4 and item 28 repeals Form 4</w:t>
      </w:r>
      <w:r w:rsidR="00FE5227" w:rsidRPr="0094560A">
        <w:rPr>
          <w:rFonts w:eastAsia="Times New Roman" w:cs="Times New Roman"/>
          <w:sz w:val="24"/>
          <w:lang w:eastAsia="en-AU"/>
        </w:rPr>
        <w:t>, as these prescribed forms are no longer relevant.</w:t>
      </w:r>
    </w:p>
    <w:p w14:paraId="7419473A" w14:textId="77777777" w:rsidR="00600C30"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274(3) of the </w:t>
      </w:r>
      <w:r w:rsidRPr="0094560A">
        <w:rPr>
          <w:rFonts w:eastAsia="Times New Roman" w:cs="Times New Roman"/>
          <w:i/>
          <w:sz w:val="24"/>
          <w:lang w:eastAsia="en-AU"/>
        </w:rPr>
        <w:t>Migration Act 1958</w:t>
      </w:r>
      <w:r w:rsidRPr="0094560A">
        <w:rPr>
          <w:rFonts w:eastAsia="Times New Roman" w:cs="Times New Roman"/>
          <w:sz w:val="24"/>
          <w:lang w:eastAsia="en-AU"/>
        </w:rPr>
        <w:t xml:space="preserve"> now requires a document for the purposes of subsection 274(2) of that Act to be in the approved form and to contain certain information rather than being in the prescribed form and containing certain information. </w:t>
      </w:r>
    </w:p>
    <w:p w14:paraId="602ED378" w14:textId="44696155"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 27 repeals regulation 5.33 of the</w:t>
      </w:r>
      <w:r w:rsidRPr="0094560A">
        <w:rPr>
          <w:rFonts w:eastAsia="Times New Roman" w:cs="Times New Roman"/>
          <w:i/>
          <w:sz w:val="24"/>
          <w:lang w:eastAsia="en-AU"/>
        </w:rPr>
        <w:t xml:space="preserve"> Migration Regulations 1994</w:t>
      </w:r>
      <w:r w:rsidRPr="0094560A">
        <w:rPr>
          <w:rFonts w:eastAsia="Times New Roman" w:cs="Times New Roman"/>
          <w:sz w:val="24"/>
          <w:lang w:eastAsia="en-AU"/>
        </w:rPr>
        <w:t xml:space="preserve"> which refers to an identity card being in accordance with prescribed Form 3</w:t>
      </w:r>
      <w:r w:rsidR="005D5F18" w:rsidRPr="0094560A">
        <w:rPr>
          <w:rFonts w:eastAsia="Times New Roman" w:cs="Times New Roman"/>
          <w:sz w:val="24"/>
          <w:lang w:eastAsia="en-AU"/>
        </w:rPr>
        <w:t>,</w:t>
      </w:r>
      <w:r w:rsidRPr="0094560A">
        <w:rPr>
          <w:rFonts w:eastAsia="Times New Roman" w:cs="Times New Roman"/>
          <w:sz w:val="24"/>
          <w:lang w:eastAsia="en-AU"/>
        </w:rPr>
        <w:t xml:space="preserve"> and item 28 repeals Form 3</w:t>
      </w:r>
      <w:r w:rsidR="00FE5227" w:rsidRPr="0094560A">
        <w:rPr>
          <w:rFonts w:eastAsia="Times New Roman" w:cs="Times New Roman"/>
          <w:sz w:val="24"/>
          <w:lang w:eastAsia="en-AU"/>
        </w:rPr>
        <w:t>, as these prescribed forms are no longer relevant.</w:t>
      </w:r>
    </w:p>
    <w:p w14:paraId="7F739083" w14:textId="77777777" w:rsidR="00E70C38" w:rsidRPr="0094560A" w:rsidRDefault="00E70C38" w:rsidP="00864EA3">
      <w:pPr>
        <w:spacing w:before="240" w:line="240" w:lineRule="auto"/>
        <w:rPr>
          <w:rFonts w:eastAsia="Times New Roman" w:cs="Times New Roman"/>
          <w:b/>
          <w:i/>
          <w:sz w:val="24"/>
          <w:lang w:eastAsia="en-AU"/>
        </w:rPr>
      </w:pPr>
      <w:r w:rsidRPr="0094560A">
        <w:rPr>
          <w:rFonts w:eastAsia="Times New Roman" w:cs="Times New Roman"/>
          <w:b/>
          <w:i/>
          <w:sz w:val="24"/>
          <w:lang w:eastAsia="en-AU"/>
        </w:rPr>
        <w:t>Item 29</w:t>
      </w:r>
    </w:p>
    <w:p w14:paraId="0F7BDD57" w14:textId="2859D22A"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29 is a consequential amendment </w:t>
      </w:r>
      <w:r w:rsidR="007E5FED"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16" w:name="_Toc145345582"/>
      <w:r w:rsidRPr="0094560A">
        <w:rPr>
          <w:rFonts w:eastAsia="Times New Roman" w:cs="Times New Roman"/>
          <w:i/>
          <w:sz w:val="24"/>
          <w:lang w:eastAsia="en-AU"/>
        </w:rPr>
        <w:t>National Environment Protection Measures (Implementation) Regulations 1999</w:t>
      </w:r>
      <w:bookmarkEnd w:id="16"/>
      <w:r w:rsidRPr="0094560A">
        <w:rPr>
          <w:rFonts w:eastAsia="Times New Roman" w:cs="Times New Roman"/>
          <w:sz w:val="24"/>
          <w:lang w:eastAsia="en-AU"/>
        </w:rPr>
        <w:t xml:space="preserve"> from amendments </w:t>
      </w:r>
      <w:r w:rsidR="00B16B54"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 xml:space="preserve">National Environment </w:t>
      </w:r>
      <w:r w:rsidRPr="0094560A">
        <w:rPr>
          <w:rFonts w:eastAsia="Times New Roman" w:cs="Times New Roman"/>
          <w:i/>
          <w:sz w:val="24"/>
          <w:lang w:eastAsia="en-AU"/>
        </w:rPr>
        <w:lastRenderedPageBreak/>
        <w:t>Protection Measures (Implementation) Act 1998</w:t>
      </w:r>
      <w:r w:rsidRPr="0094560A">
        <w:rPr>
          <w:rFonts w:eastAsia="Times New Roman" w:cs="Times New Roman"/>
          <w:sz w:val="24"/>
          <w:lang w:eastAsia="en-AU"/>
        </w:rPr>
        <w:t xml:space="preserve"> made by Schedule 1 to </w:t>
      </w:r>
      <w:r w:rsidR="00B96FDC" w:rsidRPr="0094560A">
        <w:rPr>
          <w:rFonts w:eastAsia="Times New Roman" w:cs="Times New Roman"/>
          <w:sz w:val="24"/>
          <w:lang w:eastAsia="en-AU"/>
        </w:rPr>
        <w:t>the Statute Law Amendment Act</w:t>
      </w:r>
      <w:r w:rsidRPr="0094560A">
        <w:rPr>
          <w:rFonts w:eastAsia="Times New Roman" w:cs="Times New Roman"/>
          <w:sz w:val="24"/>
          <w:lang w:eastAsia="en-AU"/>
        </w:rPr>
        <w:t>.</w:t>
      </w:r>
    </w:p>
    <w:p w14:paraId="28F86F98" w14:textId="77777777" w:rsidR="00F56799"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40(1) of the </w:t>
      </w:r>
      <w:r w:rsidRPr="0094560A">
        <w:rPr>
          <w:rFonts w:eastAsia="Times New Roman" w:cs="Times New Roman"/>
          <w:i/>
          <w:sz w:val="24"/>
          <w:lang w:eastAsia="en-AU"/>
        </w:rPr>
        <w:t>National Environment Protection Measures (Implementation) Act 1998</w:t>
      </w:r>
      <w:r w:rsidRPr="0094560A">
        <w:rPr>
          <w:rFonts w:eastAsia="Times New Roman" w:cs="Times New Roman"/>
          <w:sz w:val="24"/>
          <w:lang w:eastAsia="en-AU"/>
        </w:rPr>
        <w:t xml:space="preserve"> now refers to an annual report being given in writing. </w:t>
      </w:r>
    </w:p>
    <w:p w14:paraId="1DE70DE0" w14:textId="19C7C5EF"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29 repeals </w:t>
      </w:r>
      <w:proofErr w:type="spellStart"/>
      <w:r w:rsidRPr="0094560A">
        <w:rPr>
          <w:rFonts w:eastAsia="Times New Roman" w:cs="Times New Roman"/>
          <w:sz w:val="24"/>
          <w:lang w:eastAsia="en-AU"/>
        </w:rPr>
        <w:t>subregulation</w:t>
      </w:r>
      <w:proofErr w:type="spellEnd"/>
      <w:r w:rsidRPr="0094560A">
        <w:rPr>
          <w:rFonts w:eastAsia="Times New Roman" w:cs="Times New Roman"/>
          <w:sz w:val="24"/>
          <w:lang w:eastAsia="en-AU"/>
        </w:rPr>
        <w:t> 7(1) of the National Environment Protection Measures (Implementation) Regulations 1999 which also refers to such a report being in writing</w:t>
      </w:r>
      <w:r w:rsidR="00A855B9" w:rsidRPr="0094560A">
        <w:rPr>
          <w:rFonts w:eastAsia="Times New Roman" w:cs="Times New Roman"/>
          <w:sz w:val="24"/>
          <w:lang w:eastAsia="en-AU"/>
        </w:rPr>
        <w:t>, to avoid duplication of the amendments made to the National Environmental Protection Measures (Implementation) Act.</w:t>
      </w:r>
    </w:p>
    <w:p w14:paraId="440C17DA" w14:textId="77777777" w:rsidR="00E70C38" w:rsidRPr="0094560A" w:rsidRDefault="00E70C38" w:rsidP="00F56799">
      <w:pPr>
        <w:spacing w:before="240" w:line="240" w:lineRule="auto"/>
        <w:rPr>
          <w:rFonts w:eastAsia="Times New Roman" w:cs="Times New Roman"/>
          <w:b/>
          <w:i/>
          <w:sz w:val="24"/>
          <w:lang w:eastAsia="en-AU"/>
        </w:rPr>
      </w:pPr>
      <w:r w:rsidRPr="0094560A">
        <w:rPr>
          <w:rFonts w:eastAsia="Times New Roman" w:cs="Times New Roman"/>
          <w:b/>
          <w:i/>
          <w:sz w:val="24"/>
          <w:lang w:eastAsia="en-AU"/>
        </w:rPr>
        <w:t>Items 30 to 35</w:t>
      </w:r>
    </w:p>
    <w:p w14:paraId="1EFBD8FE" w14:textId="0210E48C"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Items 30 to 35 are consequential amendments </w:t>
      </w:r>
      <w:r w:rsidR="00D67C0A"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17" w:name="_Toc145345583"/>
      <w:r w:rsidRPr="0094560A">
        <w:rPr>
          <w:rFonts w:eastAsia="Times New Roman" w:cs="Times New Roman"/>
          <w:i/>
          <w:sz w:val="24"/>
          <w:lang w:eastAsia="en-AU"/>
        </w:rPr>
        <w:t>National Greenhouse and Energy Reporting Regulations 2008</w:t>
      </w:r>
      <w:bookmarkEnd w:id="17"/>
      <w:r w:rsidRPr="0094560A">
        <w:rPr>
          <w:rFonts w:eastAsia="Times New Roman" w:cs="Times New Roman"/>
          <w:sz w:val="24"/>
          <w:lang w:eastAsia="en-AU"/>
        </w:rPr>
        <w:t xml:space="preserve"> from amendments </w:t>
      </w:r>
      <w:r w:rsidR="006279C8"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National Greenhouse and Energy Reporting Act 2007</w:t>
      </w:r>
      <w:r w:rsidRPr="0094560A">
        <w:rPr>
          <w:rFonts w:eastAsia="Times New Roman" w:cs="Times New Roman"/>
          <w:sz w:val="24"/>
          <w:lang w:eastAsia="en-AU"/>
        </w:rPr>
        <w:t xml:space="preserve"> made by Schedule 1 to the </w:t>
      </w:r>
      <w:r w:rsidR="005F2292"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00B92C56" w14:textId="77777777" w:rsidR="00806A54"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Paragraph 15(d) of the </w:t>
      </w:r>
      <w:r w:rsidRPr="0094560A">
        <w:rPr>
          <w:rFonts w:eastAsia="Times New Roman" w:cs="Times New Roman"/>
          <w:i/>
          <w:sz w:val="24"/>
          <w:lang w:eastAsia="en-AU"/>
        </w:rPr>
        <w:t>National Greenhouse and Energy Reporting Act 2007</w:t>
      </w:r>
      <w:r w:rsidRPr="0094560A">
        <w:rPr>
          <w:rFonts w:eastAsia="Times New Roman" w:cs="Times New Roman"/>
          <w:sz w:val="24"/>
          <w:lang w:eastAsia="en-AU"/>
        </w:rPr>
        <w:t xml:space="preserve"> now requires an application from a controlling corporation to be registered to comply with any requirements prescribed by the regulations rather than being in the form specified in the regulations. </w:t>
      </w:r>
    </w:p>
    <w:p w14:paraId="3EC05719" w14:textId="66B48475" w:rsidR="00E70C38" w:rsidRPr="0094560A" w:rsidRDefault="0001363D"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In line with this </w:t>
      </w:r>
      <w:r w:rsidR="00454E2D" w:rsidRPr="0094560A">
        <w:rPr>
          <w:rFonts w:eastAsia="Times New Roman" w:cs="Times New Roman"/>
          <w:sz w:val="24"/>
          <w:lang w:eastAsia="en-AU"/>
        </w:rPr>
        <w:t>amendment</w:t>
      </w:r>
      <w:r w:rsidRPr="0094560A">
        <w:rPr>
          <w:rFonts w:eastAsia="Times New Roman" w:cs="Times New Roman"/>
          <w:sz w:val="24"/>
          <w:lang w:eastAsia="en-AU"/>
        </w:rPr>
        <w:t xml:space="preserve"> to prescribe requirements in the regulations, i</w:t>
      </w:r>
      <w:r w:rsidR="00E70C38" w:rsidRPr="0094560A">
        <w:rPr>
          <w:rFonts w:eastAsia="Times New Roman" w:cs="Times New Roman"/>
          <w:sz w:val="24"/>
          <w:lang w:eastAsia="en-AU"/>
        </w:rPr>
        <w:t xml:space="preserve">tem 30 substitutes regulation 3.03 of the </w:t>
      </w:r>
      <w:r w:rsidR="00E70C38" w:rsidRPr="0094560A">
        <w:rPr>
          <w:rFonts w:eastAsia="Times New Roman" w:cs="Times New Roman"/>
          <w:i/>
          <w:sz w:val="24"/>
          <w:lang w:eastAsia="en-AU"/>
        </w:rPr>
        <w:t>National Greenhouse and Energy Reporting Regulations 2008</w:t>
      </w:r>
      <w:r w:rsidR="00E70C38" w:rsidRPr="0094560A">
        <w:rPr>
          <w:rFonts w:eastAsia="Times New Roman" w:cs="Times New Roman"/>
          <w:sz w:val="24"/>
          <w:lang w:eastAsia="en-AU"/>
        </w:rPr>
        <w:t xml:space="preserve"> to prescribe a requirement that an application under section 12 or 14 of that Act must be signed by an executive officer of the controlling corporation.</w:t>
      </w:r>
    </w:p>
    <w:p w14:paraId="3EDF542D" w14:textId="77777777" w:rsidR="00CC7D4F"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20(2) of the </w:t>
      </w:r>
      <w:r w:rsidRPr="0094560A">
        <w:rPr>
          <w:rFonts w:eastAsia="Times New Roman" w:cs="Times New Roman"/>
          <w:i/>
          <w:sz w:val="24"/>
          <w:lang w:eastAsia="en-AU"/>
        </w:rPr>
        <w:t>National Greenhouse and Energy Reporting Act 2007</w:t>
      </w:r>
      <w:r w:rsidRPr="0094560A">
        <w:rPr>
          <w:rFonts w:eastAsia="Times New Roman" w:cs="Times New Roman"/>
          <w:sz w:val="24"/>
          <w:lang w:eastAsia="en-AU"/>
        </w:rPr>
        <w:t xml:space="preserve"> now requires an application by a registered corporation or another person for a determination about the provision of information to be in a form approved by the Regulator and comply with any requirements prescribed by the regulations rather than being in the manner and form specified in the regulations. </w:t>
      </w:r>
    </w:p>
    <w:p w14:paraId="351CEAC7" w14:textId="77777777" w:rsidR="008864AC"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31 amends the heading to regulation 4.33 of the </w:t>
      </w:r>
      <w:r w:rsidRPr="0094560A">
        <w:rPr>
          <w:rFonts w:eastAsia="Times New Roman" w:cs="Times New Roman"/>
          <w:i/>
          <w:sz w:val="24"/>
          <w:lang w:eastAsia="en-AU"/>
        </w:rPr>
        <w:t>National Greenhouse and Energy Reporting Regulations 2008</w:t>
      </w:r>
      <w:r w:rsidRPr="0094560A">
        <w:rPr>
          <w:rFonts w:eastAsia="Times New Roman" w:cs="Times New Roman"/>
          <w:sz w:val="24"/>
          <w:lang w:eastAsia="en-AU"/>
        </w:rPr>
        <w:t xml:space="preserve"> to remove the reference to an application being in a form and to refer instead to there being requirements for an application. </w:t>
      </w:r>
    </w:p>
    <w:p w14:paraId="6D5D1064" w14:textId="66F0F133" w:rsidR="008864AC"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32 amends </w:t>
      </w:r>
      <w:proofErr w:type="spellStart"/>
      <w:r w:rsidRPr="0094560A">
        <w:rPr>
          <w:rFonts w:eastAsia="Times New Roman" w:cs="Times New Roman"/>
          <w:sz w:val="24"/>
          <w:lang w:eastAsia="en-AU"/>
        </w:rPr>
        <w:t>subregulation</w:t>
      </w:r>
      <w:proofErr w:type="spellEnd"/>
      <w:r w:rsidRPr="0094560A">
        <w:rPr>
          <w:rFonts w:eastAsia="Times New Roman" w:cs="Times New Roman"/>
          <w:sz w:val="24"/>
          <w:lang w:eastAsia="en-AU"/>
        </w:rPr>
        <w:t> 4.33(1) of those regulations to update a cross</w:t>
      </w:r>
      <w:r w:rsidRPr="0094560A">
        <w:rPr>
          <w:rFonts w:eastAsia="Times New Roman" w:cs="Times New Roman"/>
          <w:sz w:val="24"/>
          <w:lang w:eastAsia="en-AU"/>
        </w:rPr>
        <w:noBreakHyphen/>
        <w:t>reference to reflect that regulation 4.33 of those regulations is made for the purposes of paragraph</w:t>
      </w:r>
      <w:r w:rsidR="00483E1B">
        <w:rPr>
          <w:rFonts w:eastAsia="Times New Roman" w:cs="Times New Roman"/>
          <w:sz w:val="24"/>
          <w:lang w:eastAsia="en-AU"/>
        </w:rPr>
        <w:t> </w:t>
      </w:r>
      <w:r w:rsidRPr="0094560A">
        <w:rPr>
          <w:rFonts w:eastAsia="Times New Roman" w:cs="Times New Roman"/>
          <w:sz w:val="24"/>
          <w:lang w:eastAsia="en-AU"/>
        </w:rPr>
        <w:t xml:space="preserve">20(2)(b) of that Act. </w:t>
      </w:r>
    </w:p>
    <w:p w14:paraId="73DA3737" w14:textId="3167921C"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 33 repeals paragraphs 4.33(1)(a) and (b) of those regulations and substitutes paragraph 4.33(1)(a) of those regulations to require that an application be signed by an executive officer of the registered corporation or by the other person.</w:t>
      </w:r>
    </w:p>
    <w:p w14:paraId="19C70682" w14:textId="374ECFE7" w:rsidR="008864AC"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58(1) of the </w:t>
      </w:r>
      <w:r w:rsidRPr="0094560A">
        <w:rPr>
          <w:rFonts w:eastAsia="Times New Roman" w:cs="Times New Roman"/>
          <w:i/>
          <w:sz w:val="24"/>
          <w:lang w:eastAsia="en-AU"/>
        </w:rPr>
        <w:t>National Greenhouse and Energy Reporting Act 2007</w:t>
      </w:r>
      <w:r w:rsidRPr="0094560A">
        <w:rPr>
          <w:rFonts w:eastAsia="Times New Roman" w:cs="Times New Roman"/>
          <w:sz w:val="24"/>
          <w:lang w:eastAsia="en-AU"/>
        </w:rPr>
        <w:t xml:space="preserve"> now requires an identity card </w:t>
      </w:r>
      <w:r w:rsidR="000D1500" w:rsidRPr="0094560A">
        <w:rPr>
          <w:rFonts w:eastAsia="Times New Roman" w:cs="Times New Roman"/>
          <w:sz w:val="24"/>
          <w:lang w:eastAsia="en-AU"/>
        </w:rPr>
        <w:t>of</w:t>
      </w:r>
      <w:r w:rsidRPr="0094560A">
        <w:rPr>
          <w:rFonts w:eastAsia="Times New Roman" w:cs="Times New Roman"/>
          <w:sz w:val="24"/>
          <w:lang w:eastAsia="en-AU"/>
        </w:rPr>
        <w:t xml:space="preserve"> </w:t>
      </w:r>
      <w:r w:rsidR="000D1500" w:rsidRPr="0094560A">
        <w:rPr>
          <w:rFonts w:eastAsia="Times New Roman" w:cs="Times New Roman"/>
          <w:sz w:val="24"/>
          <w:lang w:eastAsia="en-AU"/>
        </w:rPr>
        <w:t xml:space="preserve">an </w:t>
      </w:r>
      <w:r w:rsidRPr="0094560A">
        <w:rPr>
          <w:rFonts w:eastAsia="Times New Roman" w:cs="Times New Roman"/>
          <w:sz w:val="24"/>
          <w:lang w:eastAsia="en-AU"/>
        </w:rPr>
        <w:t xml:space="preserve">authorised officer to satisfy the requirements prescribed by the regulations rather than being in the form specified by the regulations. </w:t>
      </w:r>
    </w:p>
    <w:p w14:paraId="6435CD5C" w14:textId="77777777" w:rsidR="008864AC"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34 substitutes the heading to regulation 6.04 of the National Greenhouse and Energy Reporting Regulations 2008 to just refer to identity cards rather than the form of identity cards. </w:t>
      </w:r>
    </w:p>
    <w:p w14:paraId="158530B8" w14:textId="620C6405"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lastRenderedPageBreak/>
        <w:t xml:space="preserve">Item 35 amends regulation 6.04 of those regulations to require an identity card to contain </w:t>
      </w:r>
      <w:r w:rsidR="00ED3525" w:rsidRPr="0094560A">
        <w:t>certain information, rather than referring to the particular form of that identity card.</w:t>
      </w:r>
    </w:p>
    <w:p w14:paraId="31AAC083" w14:textId="77777777" w:rsidR="00E70C38" w:rsidRPr="0094560A" w:rsidRDefault="00E70C38" w:rsidP="00C64D7B">
      <w:pPr>
        <w:spacing w:before="240" w:line="240" w:lineRule="auto"/>
        <w:rPr>
          <w:rFonts w:eastAsia="Times New Roman" w:cs="Times New Roman"/>
          <w:b/>
          <w:i/>
          <w:sz w:val="24"/>
          <w:lang w:eastAsia="en-AU"/>
        </w:rPr>
      </w:pPr>
      <w:r w:rsidRPr="0094560A">
        <w:rPr>
          <w:rFonts w:eastAsia="Times New Roman" w:cs="Times New Roman"/>
          <w:b/>
          <w:i/>
          <w:sz w:val="24"/>
          <w:lang w:eastAsia="en-AU"/>
        </w:rPr>
        <w:t>Items 36 to 49</w:t>
      </w:r>
    </w:p>
    <w:p w14:paraId="7EA827DE" w14:textId="3E87D5E6"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Items 36 to 49 are consequential amendments </w:t>
      </w:r>
      <w:r w:rsidR="003C2EDD"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18" w:name="_Toc145345586"/>
      <w:r w:rsidRPr="0094560A">
        <w:rPr>
          <w:rFonts w:eastAsia="Times New Roman" w:cs="Times New Roman"/>
          <w:i/>
          <w:sz w:val="24"/>
          <w:lang w:eastAsia="en-AU"/>
        </w:rPr>
        <w:t>National Health and Medical Research Council Regulation 2016</w:t>
      </w:r>
      <w:bookmarkEnd w:id="18"/>
      <w:r w:rsidRPr="0094560A">
        <w:rPr>
          <w:rFonts w:eastAsia="Times New Roman" w:cs="Times New Roman"/>
          <w:i/>
          <w:sz w:val="24"/>
          <w:lang w:eastAsia="en-AU"/>
        </w:rPr>
        <w:t xml:space="preserve"> </w:t>
      </w:r>
      <w:r w:rsidRPr="0094560A">
        <w:rPr>
          <w:rFonts w:eastAsia="Times New Roman" w:cs="Times New Roman"/>
          <w:sz w:val="24"/>
          <w:lang w:eastAsia="en-AU"/>
        </w:rPr>
        <w:t xml:space="preserve">from amendments </w:t>
      </w:r>
      <w:r w:rsidR="003C2EDD"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National Health and Medical Research Council Act 1992</w:t>
      </w:r>
      <w:r w:rsidRPr="0094560A">
        <w:rPr>
          <w:rFonts w:eastAsia="Times New Roman" w:cs="Times New Roman"/>
          <w:sz w:val="24"/>
          <w:lang w:eastAsia="en-AU"/>
        </w:rPr>
        <w:t xml:space="preserve"> made by Schedule 1 to the </w:t>
      </w:r>
      <w:r w:rsidR="004F6471"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57AFC8DF" w14:textId="77777777" w:rsidR="00B2119A"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12(2) of the </w:t>
      </w:r>
      <w:r w:rsidRPr="0094560A">
        <w:rPr>
          <w:rFonts w:eastAsia="Times New Roman" w:cs="Times New Roman"/>
          <w:i/>
          <w:sz w:val="24"/>
          <w:lang w:eastAsia="en-AU"/>
        </w:rPr>
        <w:t>National Health and Medical Research Council Act 1992</w:t>
      </w:r>
      <w:r w:rsidRPr="0094560A">
        <w:rPr>
          <w:rFonts w:eastAsia="Times New Roman" w:cs="Times New Roman"/>
          <w:sz w:val="24"/>
          <w:lang w:eastAsia="en-AU"/>
        </w:rPr>
        <w:t xml:space="preserve"> now requires that a notice from the Council about a proposed regulatory recommendation to be published on the NHMRC’s website rather than being in the manner and form specified in the regulations. </w:t>
      </w:r>
    </w:p>
    <w:p w14:paraId="31783097" w14:textId="77777777" w:rsidR="00B2119A"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36 amends the heading to section 6 of the </w:t>
      </w:r>
      <w:r w:rsidRPr="0094560A">
        <w:rPr>
          <w:rFonts w:eastAsia="Times New Roman" w:cs="Times New Roman"/>
          <w:i/>
          <w:sz w:val="24"/>
          <w:lang w:eastAsia="en-AU"/>
        </w:rPr>
        <w:t>National Health and Medical Research Council Regulation 2016</w:t>
      </w:r>
      <w:r w:rsidRPr="0094560A">
        <w:rPr>
          <w:rFonts w:eastAsia="Times New Roman" w:cs="Times New Roman"/>
          <w:sz w:val="24"/>
          <w:lang w:eastAsia="en-AU"/>
        </w:rPr>
        <w:t xml:space="preserve"> to refer to information required in a notice rather than the manner and form of a notice. </w:t>
      </w:r>
    </w:p>
    <w:p w14:paraId="1E9B38D6" w14:textId="5AC56A59" w:rsidR="00B2119A"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37 repeals subsection 6(1) of that regulation </w:t>
      </w:r>
      <w:r w:rsidR="007E762D" w:rsidRPr="0094560A">
        <w:rPr>
          <w:rFonts w:eastAsia="Times New Roman" w:cs="Times New Roman"/>
          <w:sz w:val="24"/>
          <w:lang w:eastAsia="en-AU"/>
        </w:rPr>
        <w:t>because</w:t>
      </w:r>
      <w:r w:rsidRPr="0094560A">
        <w:rPr>
          <w:rFonts w:eastAsia="Times New Roman" w:cs="Times New Roman"/>
          <w:sz w:val="24"/>
          <w:lang w:eastAsia="en-AU"/>
        </w:rPr>
        <w:t xml:space="preserve"> the requirement to publish the notice on the NHMRC’s website is now </w:t>
      </w:r>
      <w:r w:rsidR="007E762D" w:rsidRPr="0094560A">
        <w:rPr>
          <w:rFonts w:eastAsia="Times New Roman" w:cs="Times New Roman"/>
          <w:sz w:val="24"/>
          <w:lang w:eastAsia="en-AU"/>
        </w:rPr>
        <w:t>imposed by the</w:t>
      </w:r>
      <w:r w:rsidRPr="0094560A">
        <w:rPr>
          <w:rFonts w:eastAsia="Times New Roman" w:cs="Times New Roman"/>
          <w:sz w:val="24"/>
          <w:lang w:eastAsia="en-AU"/>
        </w:rPr>
        <w:t xml:space="preserve"> Act</w:t>
      </w:r>
      <w:r w:rsidR="007E762D" w:rsidRPr="0094560A">
        <w:rPr>
          <w:rFonts w:eastAsia="Times New Roman" w:cs="Times New Roman"/>
          <w:sz w:val="24"/>
          <w:lang w:eastAsia="en-AU"/>
        </w:rPr>
        <w:t>, and is consequentially no longer needed</w:t>
      </w:r>
      <w:r w:rsidRPr="0094560A">
        <w:rPr>
          <w:rFonts w:eastAsia="Times New Roman" w:cs="Times New Roman"/>
          <w:sz w:val="24"/>
          <w:lang w:eastAsia="en-AU"/>
        </w:rPr>
        <w:t xml:space="preserve"> in the regulation. </w:t>
      </w:r>
    </w:p>
    <w:p w14:paraId="140E7E64" w14:textId="6AECEF0A"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Items 38 and 39 amend paragraphs 6(2)(c) and (3)(b) of that regulation to remove the cross</w:t>
      </w:r>
      <w:r w:rsidRPr="0094560A">
        <w:rPr>
          <w:rFonts w:eastAsia="Times New Roman" w:cs="Times New Roman"/>
          <w:sz w:val="24"/>
          <w:lang w:eastAsia="en-AU"/>
        </w:rPr>
        <w:noBreakHyphen/>
        <w:t>reference to the publication of the notice under subsection 6(1) of that regulation and to refer instead to the publication of the notice on the NHMRC’s website.</w:t>
      </w:r>
    </w:p>
    <w:p w14:paraId="19DED01A" w14:textId="628DB338" w:rsidR="00274854"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Paragraph 13(d) of the </w:t>
      </w:r>
      <w:r w:rsidRPr="0094560A">
        <w:rPr>
          <w:rFonts w:eastAsia="Times New Roman" w:cs="Times New Roman"/>
          <w:i/>
          <w:sz w:val="24"/>
          <w:lang w:eastAsia="en-AU"/>
        </w:rPr>
        <w:t>National Health and Medical Research Council Act 1992</w:t>
      </w:r>
      <w:r w:rsidRPr="0094560A">
        <w:rPr>
          <w:rFonts w:eastAsia="Times New Roman" w:cs="Times New Roman"/>
          <w:sz w:val="24"/>
          <w:lang w:eastAsia="en-AU"/>
        </w:rPr>
        <w:t xml:space="preserve"> now requires that a notice from the Council or Australian Health Ethics Committee containing a summary of draft guidelines be published on the NHMRC’s website rather than being in the manner and form specified in the regulations. </w:t>
      </w:r>
    </w:p>
    <w:p w14:paraId="656E413C" w14:textId="77777777" w:rsidR="00274854"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40 amends the heading to section 7 of the </w:t>
      </w:r>
      <w:r w:rsidRPr="0094560A">
        <w:rPr>
          <w:rFonts w:eastAsia="Times New Roman" w:cs="Times New Roman"/>
          <w:i/>
          <w:sz w:val="24"/>
          <w:lang w:eastAsia="en-AU"/>
        </w:rPr>
        <w:t>National Health and Medical Research Council Regulation 2016</w:t>
      </w:r>
      <w:r w:rsidRPr="0094560A">
        <w:rPr>
          <w:rFonts w:eastAsia="Times New Roman" w:cs="Times New Roman"/>
          <w:sz w:val="24"/>
          <w:lang w:eastAsia="en-AU"/>
        </w:rPr>
        <w:t xml:space="preserve"> to refer to information required in a notice rather than the manner and form of a notice. </w:t>
      </w:r>
    </w:p>
    <w:p w14:paraId="2DB06073" w14:textId="0E947960" w:rsidR="00695243"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41 repeals subsection 7(1) of that regulation </w:t>
      </w:r>
      <w:r w:rsidR="0050346D" w:rsidRPr="0094560A">
        <w:rPr>
          <w:rFonts w:eastAsia="Times New Roman" w:cs="Times New Roman"/>
          <w:sz w:val="24"/>
          <w:lang w:eastAsia="en-AU"/>
        </w:rPr>
        <w:t>because</w:t>
      </w:r>
      <w:r w:rsidRPr="0094560A">
        <w:rPr>
          <w:rFonts w:eastAsia="Times New Roman" w:cs="Times New Roman"/>
          <w:sz w:val="24"/>
          <w:lang w:eastAsia="en-AU"/>
        </w:rPr>
        <w:t xml:space="preserve"> the requirement to publish the notice on the NHMRC’s website is </w:t>
      </w:r>
      <w:r w:rsidR="0050346D" w:rsidRPr="0094560A">
        <w:rPr>
          <w:rFonts w:eastAsia="Times New Roman" w:cs="Times New Roman"/>
          <w:sz w:val="24"/>
          <w:lang w:eastAsia="en-AU"/>
        </w:rPr>
        <w:t xml:space="preserve">imposed by the </w:t>
      </w:r>
      <w:r w:rsidRPr="0094560A">
        <w:rPr>
          <w:rFonts w:eastAsia="Times New Roman" w:cs="Times New Roman"/>
          <w:sz w:val="24"/>
          <w:lang w:eastAsia="en-AU"/>
        </w:rPr>
        <w:t xml:space="preserve"> Act and is </w:t>
      </w:r>
      <w:r w:rsidR="0050346D" w:rsidRPr="0094560A">
        <w:rPr>
          <w:rFonts w:eastAsia="Times New Roman" w:cs="Times New Roman"/>
          <w:sz w:val="24"/>
          <w:lang w:eastAsia="en-AU"/>
        </w:rPr>
        <w:t xml:space="preserve">consequently </w:t>
      </w:r>
      <w:r w:rsidRPr="0094560A">
        <w:rPr>
          <w:rFonts w:eastAsia="Times New Roman" w:cs="Times New Roman"/>
          <w:sz w:val="24"/>
          <w:lang w:eastAsia="en-AU"/>
        </w:rPr>
        <w:t xml:space="preserve">no longer needed in that regulation. </w:t>
      </w:r>
      <w:r w:rsidR="0050346D" w:rsidRPr="0094560A">
        <w:rPr>
          <w:rFonts w:eastAsia="Times New Roman" w:cs="Times New Roman"/>
          <w:sz w:val="24"/>
          <w:lang w:eastAsia="en-AU"/>
        </w:rPr>
        <w:t>To reflect</w:t>
      </w:r>
      <w:r w:rsidRPr="0094560A">
        <w:rPr>
          <w:rFonts w:eastAsia="Times New Roman" w:cs="Times New Roman"/>
          <w:sz w:val="24"/>
          <w:lang w:eastAsia="en-AU"/>
        </w:rPr>
        <w:t xml:space="preserve"> that section 7 of that regulation will contain no other subsections, item 42 removes the subsection number from subsection 7(2) of that regulation. </w:t>
      </w:r>
    </w:p>
    <w:p w14:paraId="0B1376DB" w14:textId="0C22CA1D"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 43 amends paragraph 7(2)(b) of that regulation to remove the cross</w:t>
      </w:r>
      <w:r w:rsidRPr="0094560A">
        <w:rPr>
          <w:rFonts w:eastAsia="Times New Roman" w:cs="Times New Roman"/>
          <w:sz w:val="24"/>
          <w:lang w:eastAsia="en-AU"/>
        </w:rPr>
        <w:noBreakHyphen/>
        <w:t>reference to the publication of the notice under subsection 7(1) of that regulation and to refer instead to the publication of the notice on the NHMRC’s website.</w:t>
      </w:r>
    </w:p>
    <w:p w14:paraId="22074605" w14:textId="71011FA7" w:rsidR="00695243"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Subsections 14(2), (4) and (6) of the </w:t>
      </w:r>
      <w:r w:rsidRPr="0094560A">
        <w:rPr>
          <w:rFonts w:eastAsia="Times New Roman" w:cs="Times New Roman"/>
          <w:i/>
          <w:sz w:val="24"/>
          <w:lang w:eastAsia="en-AU"/>
        </w:rPr>
        <w:t>National Health and Medical Research Council Act 1992</w:t>
      </w:r>
      <w:r w:rsidRPr="0094560A">
        <w:rPr>
          <w:rFonts w:eastAsia="Times New Roman" w:cs="Times New Roman"/>
          <w:sz w:val="24"/>
          <w:lang w:eastAsia="en-AU"/>
        </w:rPr>
        <w:t xml:space="preserve"> now require that a notice from the CEO, Council or Australian Health Ethics Committee about interim regulatory recommendations or guidelines be published on the NHMRC’s website rather than being in the manner and form specified in the regulations. </w:t>
      </w:r>
    </w:p>
    <w:p w14:paraId="43C90E5C" w14:textId="77777777" w:rsidR="00695243"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44 amends the heading to section 8 of the </w:t>
      </w:r>
      <w:r w:rsidRPr="0094560A">
        <w:rPr>
          <w:rFonts w:eastAsia="Times New Roman" w:cs="Times New Roman"/>
          <w:i/>
          <w:sz w:val="24"/>
          <w:lang w:eastAsia="en-AU"/>
        </w:rPr>
        <w:t>National Health and Medical Research Council Regulation 201</w:t>
      </w:r>
      <w:r w:rsidRPr="0094560A">
        <w:rPr>
          <w:rFonts w:eastAsia="Times New Roman" w:cs="Times New Roman"/>
          <w:sz w:val="24"/>
          <w:lang w:eastAsia="en-AU"/>
        </w:rPr>
        <w:t xml:space="preserve">6 to refer to information required in a notice rather than the manner and form of a notice. </w:t>
      </w:r>
    </w:p>
    <w:p w14:paraId="01535A96" w14:textId="6D0A8B2D" w:rsidR="00695243"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lastRenderedPageBreak/>
        <w:t xml:space="preserve">Item 45 repeals subsection 8(1) of that regulation </w:t>
      </w:r>
      <w:r w:rsidR="0028192A" w:rsidRPr="0094560A">
        <w:rPr>
          <w:rFonts w:eastAsia="Times New Roman" w:cs="Times New Roman"/>
          <w:sz w:val="24"/>
          <w:lang w:eastAsia="en-AU"/>
        </w:rPr>
        <w:t>because</w:t>
      </w:r>
      <w:r w:rsidRPr="0094560A">
        <w:rPr>
          <w:rFonts w:eastAsia="Times New Roman" w:cs="Times New Roman"/>
          <w:sz w:val="24"/>
          <w:lang w:eastAsia="en-AU"/>
        </w:rPr>
        <w:t xml:space="preserve"> the requirement to publish the notice on the NHMRC’s website is now </w:t>
      </w:r>
      <w:r w:rsidR="0028192A" w:rsidRPr="0094560A">
        <w:rPr>
          <w:rFonts w:eastAsia="Times New Roman" w:cs="Times New Roman"/>
          <w:sz w:val="24"/>
          <w:lang w:eastAsia="en-AU"/>
        </w:rPr>
        <w:t xml:space="preserve">imposed by </w:t>
      </w:r>
      <w:r w:rsidRPr="0094560A">
        <w:rPr>
          <w:rFonts w:eastAsia="Times New Roman" w:cs="Times New Roman"/>
          <w:sz w:val="24"/>
          <w:lang w:eastAsia="en-AU"/>
        </w:rPr>
        <w:t xml:space="preserve">that Act and is </w:t>
      </w:r>
      <w:r w:rsidR="0028192A" w:rsidRPr="0094560A">
        <w:rPr>
          <w:rFonts w:eastAsia="Times New Roman" w:cs="Times New Roman"/>
          <w:sz w:val="24"/>
          <w:lang w:eastAsia="en-AU"/>
        </w:rPr>
        <w:t xml:space="preserve">consequently </w:t>
      </w:r>
      <w:r w:rsidRPr="0094560A">
        <w:rPr>
          <w:rFonts w:eastAsia="Times New Roman" w:cs="Times New Roman"/>
          <w:sz w:val="24"/>
          <w:lang w:eastAsia="en-AU"/>
        </w:rPr>
        <w:t xml:space="preserve">no longer needed in that regulation. </w:t>
      </w:r>
      <w:r w:rsidR="003C47D9" w:rsidRPr="0094560A">
        <w:rPr>
          <w:rFonts w:eastAsia="Times New Roman" w:cs="Times New Roman"/>
          <w:sz w:val="24"/>
          <w:lang w:eastAsia="en-AU"/>
        </w:rPr>
        <w:t>To reflect</w:t>
      </w:r>
      <w:r w:rsidRPr="0094560A">
        <w:rPr>
          <w:rFonts w:eastAsia="Times New Roman" w:cs="Times New Roman"/>
          <w:sz w:val="24"/>
          <w:lang w:eastAsia="en-AU"/>
        </w:rPr>
        <w:t xml:space="preserve"> that section 8 of that regulation will contain no other subsections, item 46 removes the subsection number from subsection 8(2) of that regulation. </w:t>
      </w:r>
    </w:p>
    <w:p w14:paraId="04C36FB3" w14:textId="1338B3B8"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 47 amends paragraph 8(2)(c) of that regulation to remove the cross</w:t>
      </w:r>
      <w:r w:rsidRPr="0094560A">
        <w:rPr>
          <w:rFonts w:eastAsia="Times New Roman" w:cs="Times New Roman"/>
          <w:sz w:val="24"/>
          <w:lang w:eastAsia="en-AU"/>
        </w:rPr>
        <w:noBreakHyphen/>
        <w:t>reference to the publication of the notice under subsection 8(1) of that regulation and to refer instead to the publication of the notice on the NHMRC’s website.</w:t>
      </w:r>
    </w:p>
    <w:p w14:paraId="3EC35124" w14:textId="77777777" w:rsidR="00A26313"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14B(2) of the </w:t>
      </w:r>
      <w:r w:rsidRPr="0094560A">
        <w:rPr>
          <w:rFonts w:eastAsia="Times New Roman" w:cs="Times New Roman"/>
          <w:i/>
          <w:sz w:val="24"/>
          <w:lang w:eastAsia="en-AU"/>
        </w:rPr>
        <w:t>National Health and Medical Research Council Act 1992</w:t>
      </w:r>
      <w:r w:rsidRPr="0094560A">
        <w:rPr>
          <w:rFonts w:eastAsia="Times New Roman" w:cs="Times New Roman"/>
          <w:sz w:val="24"/>
          <w:lang w:eastAsia="en-AU"/>
        </w:rPr>
        <w:t xml:space="preserve"> now requires a notice from the Council or Australian Ethics Committee about its reasons for dispensing with any requirements for consultation steps to be published on the NHMRC’s website rather than being in the manner and form specified in the regulations. </w:t>
      </w:r>
    </w:p>
    <w:p w14:paraId="136D0188" w14:textId="77777777" w:rsidR="00DB4946"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48 amends the heading to section 9 of the </w:t>
      </w:r>
      <w:r w:rsidRPr="0094560A">
        <w:rPr>
          <w:rFonts w:eastAsia="Times New Roman" w:cs="Times New Roman"/>
          <w:i/>
          <w:sz w:val="24"/>
          <w:lang w:eastAsia="en-AU"/>
        </w:rPr>
        <w:t>National Health and Medical Research Council Regulation 2016</w:t>
      </w:r>
      <w:r w:rsidRPr="0094560A">
        <w:rPr>
          <w:rFonts w:eastAsia="Times New Roman" w:cs="Times New Roman"/>
          <w:sz w:val="24"/>
          <w:lang w:eastAsia="en-AU"/>
        </w:rPr>
        <w:t xml:space="preserve"> to refer to notice requirements rather than the manner and form of a notice.</w:t>
      </w:r>
    </w:p>
    <w:p w14:paraId="58A0EC16" w14:textId="7862B33F"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49 amends subsection 9(1) of that regulation to remove the requirement to publish the notice on the NHMRC’s website </w:t>
      </w:r>
      <w:r w:rsidR="003367A8" w:rsidRPr="0094560A">
        <w:rPr>
          <w:rFonts w:eastAsia="Times New Roman" w:cs="Times New Roman"/>
          <w:sz w:val="24"/>
          <w:lang w:eastAsia="en-AU"/>
        </w:rPr>
        <w:t>because</w:t>
      </w:r>
      <w:r w:rsidRPr="0094560A">
        <w:rPr>
          <w:rFonts w:eastAsia="Times New Roman" w:cs="Times New Roman"/>
          <w:sz w:val="24"/>
          <w:lang w:eastAsia="en-AU"/>
        </w:rPr>
        <w:t xml:space="preserve"> the requirement to publish the notice on the NHMRC’s website is now </w:t>
      </w:r>
      <w:r w:rsidR="003367A8" w:rsidRPr="0094560A">
        <w:rPr>
          <w:rFonts w:eastAsia="Times New Roman" w:cs="Times New Roman"/>
          <w:sz w:val="24"/>
          <w:lang w:eastAsia="en-AU"/>
        </w:rPr>
        <w:t>imposed</w:t>
      </w:r>
      <w:r w:rsidRPr="0094560A">
        <w:rPr>
          <w:rFonts w:eastAsia="Times New Roman" w:cs="Times New Roman"/>
          <w:sz w:val="24"/>
          <w:lang w:eastAsia="en-AU"/>
        </w:rPr>
        <w:t xml:space="preserve"> that Act</w:t>
      </w:r>
      <w:r w:rsidR="003367A8" w:rsidRPr="0094560A">
        <w:rPr>
          <w:rFonts w:eastAsia="Times New Roman" w:cs="Times New Roman"/>
          <w:sz w:val="24"/>
          <w:lang w:eastAsia="en-AU"/>
        </w:rPr>
        <w:t>, and consequently is no longer needed in that regulation</w:t>
      </w:r>
      <w:r w:rsidRPr="0094560A">
        <w:rPr>
          <w:rFonts w:eastAsia="Times New Roman" w:cs="Times New Roman"/>
          <w:sz w:val="24"/>
          <w:lang w:eastAsia="en-AU"/>
        </w:rPr>
        <w:t>.</w:t>
      </w:r>
    </w:p>
    <w:p w14:paraId="308DDB77" w14:textId="77777777" w:rsidR="00E70C38" w:rsidRPr="0094560A" w:rsidRDefault="00E70C38" w:rsidP="006058E2">
      <w:pPr>
        <w:spacing w:before="240" w:line="240" w:lineRule="auto"/>
        <w:rPr>
          <w:rFonts w:eastAsia="Times New Roman" w:cs="Times New Roman"/>
          <w:b/>
          <w:i/>
          <w:sz w:val="24"/>
          <w:lang w:eastAsia="en-AU"/>
        </w:rPr>
      </w:pPr>
      <w:r w:rsidRPr="0094560A">
        <w:rPr>
          <w:rFonts w:eastAsia="Times New Roman" w:cs="Times New Roman"/>
          <w:b/>
          <w:i/>
          <w:sz w:val="24"/>
          <w:lang w:eastAsia="en-AU"/>
        </w:rPr>
        <w:t>Item 50</w:t>
      </w:r>
    </w:p>
    <w:p w14:paraId="4D29250B" w14:textId="1920B4F1"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50 is a consequential amendment </w:t>
      </w:r>
      <w:r w:rsidR="00D2479E"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19" w:name="_Toc145345587"/>
      <w:r w:rsidRPr="0094560A">
        <w:rPr>
          <w:rFonts w:eastAsia="Times New Roman" w:cs="Times New Roman"/>
          <w:i/>
          <w:sz w:val="24"/>
          <w:lang w:eastAsia="en-AU"/>
        </w:rPr>
        <w:t>National Health Security Regulations 2018</w:t>
      </w:r>
      <w:bookmarkEnd w:id="19"/>
      <w:r w:rsidRPr="0094560A">
        <w:rPr>
          <w:rFonts w:eastAsia="Times New Roman" w:cs="Times New Roman"/>
          <w:sz w:val="24"/>
          <w:lang w:eastAsia="en-AU"/>
        </w:rPr>
        <w:t xml:space="preserve"> from amendments of the </w:t>
      </w:r>
      <w:r w:rsidRPr="0094560A">
        <w:rPr>
          <w:rFonts w:eastAsia="Times New Roman" w:cs="Times New Roman"/>
          <w:i/>
          <w:sz w:val="24"/>
          <w:lang w:eastAsia="en-AU"/>
        </w:rPr>
        <w:t>National Health Security Act 2007</w:t>
      </w:r>
      <w:r w:rsidRPr="0094560A">
        <w:rPr>
          <w:rFonts w:eastAsia="Times New Roman" w:cs="Times New Roman"/>
          <w:sz w:val="24"/>
          <w:lang w:eastAsia="en-AU"/>
        </w:rPr>
        <w:t xml:space="preserve"> made by Schedule 1 to the </w:t>
      </w:r>
      <w:r w:rsidR="0042190D"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4DD7318D" w14:textId="30568B3E" w:rsidR="00A522BC"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64(2) of the </w:t>
      </w:r>
      <w:r w:rsidRPr="0094560A">
        <w:rPr>
          <w:rFonts w:eastAsia="Times New Roman" w:cs="Times New Roman"/>
          <w:i/>
          <w:sz w:val="24"/>
          <w:lang w:eastAsia="en-AU"/>
        </w:rPr>
        <w:t>National Health Security Act 2007</w:t>
      </w:r>
      <w:r w:rsidRPr="0094560A">
        <w:rPr>
          <w:rFonts w:eastAsia="Times New Roman" w:cs="Times New Roman"/>
          <w:sz w:val="24"/>
          <w:lang w:eastAsia="en-AU"/>
        </w:rPr>
        <w:t xml:space="preserve"> now requires an identity card </w:t>
      </w:r>
      <w:r w:rsidR="000D1500" w:rsidRPr="0094560A">
        <w:rPr>
          <w:rFonts w:eastAsia="Times New Roman" w:cs="Times New Roman"/>
          <w:sz w:val="24"/>
          <w:lang w:eastAsia="en-AU"/>
        </w:rPr>
        <w:t>of</w:t>
      </w:r>
      <w:r w:rsidRPr="0094560A">
        <w:rPr>
          <w:rFonts w:eastAsia="Times New Roman" w:cs="Times New Roman"/>
          <w:sz w:val="24"/>
          <w:lang w:eastAsia="en-AU"/>
        </w:rPr>
        <w:t xml:space="preserve"> an inspector to satisfy the requirements prescribed by the regulations rather than being in the form prescribed by the regulations. </w:t>
      </w:r>
    </w:p>
    <w:p w14:paraId="3E7EF568" w14:textId="1065FF91"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50 amends section 24 of the </w:t>
      </w:r>
      <w:r w:rsidRPr="0094560A">
        <w:rPr>
          <w:rFonts w:eastAsia="Times New Roman" w:cs="Times New Roman"/>
          <w:i/>
          <w:sz w:val="24"/>
          <w:lang w:eastAsia="en-AU"/>
        </w:rPr>
        <w:t>National Health Security Regulations 2018</w:t>
      </w:r>
      <w:r w:rsidRPr="0094560A">
        <w:rPr>
          <w:rFonts w:eastAsia="Times New Roman" w:cs="Times New Roman"/>
          <w:sz w:val="24"/>
          <w:lang w:eastAsia="en-AU"/>
        </w:rPr>
        <w:t xml:space="preserve"> to require an identity card to contain </w:t>
      </w:r>
      <w:r w:rsidR="001255BC" w:rsidRPr="0094560A">
        <w:t>certain information, rather than referring to the particular form of that identity card.</w:t>
      </w:r>
    </w:p>
    <w:p w14:paraId="27996B87" w14:textId="77777777" w:rsidR="00E70C38" w:rsidRPr="0094560A" w:rsidRDefault="00E70C38" w:rsidP="005404A9">
      <w:pPr>
        <w:spacing w:before="240" w:line="240" w:lineRule="auto"/>
        <w:rPr>
          <w:rFonts w:eastAsia="Times New Roman" w:cs="Times New Roman"/>
          <w:b/>
          <w:i/>
          <w:sz w:val="24"/>
          <w:lang w:eastAsia="en-AU"/>
        </w:rPr>
      </w:pPr>
      <w:r w:rsidRPr="0094560A">
        <w:rPr>
          <w:rFonts w:eastAsia="Times New Roman" w:cs="Times New Roman"/>
          <w:b/>
          <w:i/>
          <w:sz w:val="24"/>
          <w:lang w:eastAsia="en-AU"/>
        </w:rPr>
        <w:t>Items 51 to 55</w:t>
      </w:r>
    </w:p>
    <w:p w14:paraId="43BEDE3A" w14:textId="665B5F79"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Items 51 to 55 are consequential amendments </w:t>
      </w:r>
      <w:r w:rsidR="00E046C5"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20" w:name="_Toc145345588"/>
      <w:r w:rsidRPr="0094560A">
        <w:rPr>
          <w:rFonts w:eastAsia="Times New Roman" w:cs="Times New Roman"/>
          <w:i/>
          <w:sz w:val="24"/>
          <w:lang w:eastAsia="en-AU"/>
        </w:rPr>
        <w:t>National Trade Measurement Regulations 2009</w:t>
      </w:r>
      <w:bookmarkEnd w:id="20"/>
      <w:r w:rsidRPr="0094560A">
        <w:rPr>
          <w:rFonts w:eastAsia="Times New Roman" w:cs="Times New Roman"/>
          <w:sz w:val="24"/>
          <w:lang w:eastAsia="en-AU"/>
        </w:rPr>
        <w:t xml:space="preserve"> from amendments </w:t>
      </w:r>
      <w:r w:rsidR="00E046C5"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National Measurement Act 1960</w:t>
      </w:r>
      <w:r w:rsidRPr="0094560A">
        <w:rPr>
          <w:rFonts w:eastAsia="Times New Roman" w:cs="Times New Roman"/>
          <w:sz w:val="24"/>
          <w:lang w:eastAsia="en-AU"/>
        </w:rPr>
        <w:t xml:space="preserve"> made by Schedule 1 to the </w:t>
      </w:r>
      <w:r w:rsidR="0042190D"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66CCD9B6" w14:textId="0F36D713" w:rsidR="008B2E7A"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18MB(1) of the </w:t>
      </w:r>
      <w:r w:rsidRPr="0094560A">
        <w:rPr>
          <w:rFonts w:eastAsia="Times New Roman" w:cs="Times New Roman"/>
          <w:i/>
          <w:sz w:val="24"/>
          <w:lang w:eastAsia="en-AU"/>
        </w:rPr>
        <w:t>National Measurement Act 1960</w:t>
      </w:r>
      <w:r w:rsidRPr="0094560A">
        <w:rPr>
          <w:rFonts w:eastAsia="Times New Roman" w:cs="Times New Roman"/>
          <w:sz w:val="24"/>
          <w:lang w:eastAsia="en-AU"/>
        </w:rPr>
        <w:t xml:space="preserve"> now requires an identity card </w:t>
      </w:r>
      <w:r w:rsidR="000D1500" w:rsidRPr="0094560A">
        <w:rPr>
          <w:rFonts w:eastAsia="Times New Roman" w:cs="Times New Roman"/>
          <w:sz w:val="24"/>
          <w:lang w:eastAsia="en-AU"/>
        </w:rPr>
        <w:t>of</w:t>
      </w:r>
      <w:r w:rsidRPr="0094560A">
        <w:rPr>
          <w:rFonts w:eastAsia="Times New Roman" w:cs="Times New Roman"/>
          <w:sz w:val="24"/>
          <w:lang w:eastAsia="en-AU"/>
        </w:rPr>
        <w:t xml:space="preserve"> a trade measurement inspector to contain information prescribed by the regulations rather than being in the form prescribed by the regulations. </w:t>
      </w:r>
    </w:p>
    <w:p w14:paraId="7BFC4230" w14:textId="77777777" w:rsidR="008C7F6C"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51 substitute the heading to regulation 6.2 of the </w:t>
      </w:r>
      <w:r w:rsidRPr="0094560A">
        <w:rPr>
          <w:rFonts w:eastAsia="Times New Roman" w:cs="Times New Roman"/>
          <w:i/>
          <w:sz w:val="24"/>
          <w:lang w:eastAsia="en-AU"/>
        </w:rPr>
        <w:t>National Trade Measurement Regulations 2009</w:t>
      </w:r>
      <w:r w:rsidRPr="0094560A">
        <w:rPr>
          <w:rFonts w:eastAsia="Times New Roman" w:cs="Times New Roman"/>
          <w:sz w:val="24"/>
          <w:lang w:eastAsia="en-AU"/>
        </w:rPr>
        <w:t xml:space="preserve"> to refer to information that an identity card must contain rather than the prescribed form of identity cards. </w:t>
      </w:r>
    </w:p>
    <w:p w14:paraId="4157C942" w14:textId="77777777" w:rsidR="008C7F6C"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lastRenderedPageBreak/>
        <w:t xml:space="preserve">Item 52 amends regulation 6.2 of those regulations to remove the reference to the form of an identity card and to refer instead to the prescribed information. </w:t>
      </w:r>
    </w:p>
    <w:p w14:paraId="669DBFCB" w14:textId="77777777" w:rsidR="008C7F6C"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 53 amends paragraph 6.2(h) of those regulations to change the punctation at the end of that paragraph to reflect the repeal of paragraph 6.2(</w:t>
      </w:r>
      <w:proofErr w:type="spellStart"/>
      <w:r w:rsidRPr="0094560A">
        <w:rPr>
          <w:rFonts w:eastAsia="Times New Roman" w:cs="Times New Roman"/>
          <w:sz w:val="24"/>
          <w:lang w:eastAsia="en-AU"/>
        </w:rPr>
        <w:t>i</w:t>
      </w:r>
      <w:proofErr w:type="spellEnd"/>
      <w:r w:rsidRPr="0094560A">
        <w:rPr>
          <w:rFonts w:eastAsia="Times New Roman" w:cs="Times New Roman"/>
          <w:sz w:val="24"/>
          <w:lang w:eastAsia="en-AU"/>
        </w:rPr>
        <w:t xml:space="preserve">) of those regulations. </w:t>
      </w:r>
    </w:p>
    <w:p w14:paraId="73A5FE3B" w14:textId="7D836521" w:rsidR="008C7F6C"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 54 repeals paragraph 6.2(</w:t>
      </w:r>
      <w:proofErr w:type="spellStart"/>
      <w:r w:rsidRPr="0094560A">
        <w:rPr>
          <w:rFonts w:eastAsia="Times New Roman" w:cs="Times New Roman"/>
          <w:sz w:val="24"/>
          <w:lang w:eastAsia="en-AU"/>
        </w:rPr>
        <w:t>i</w:t>
      </w:r>
      <w:proofErr w:type="spellEnd"/>
      <w:r w:rsidRPr="0094560A">
        <w:rPr>
          <w:rFonts w:eastAsia="Times New Roman" w:cs="Times New Roman"/>
          <w:sz w:val="24"/>
          <w:lang w:eastAsia="en-AU"/>
        </w:rPr>
        <w:t>) of those regulations that covers an identity card including the class of trade measurement inspector to which the inspector is appointed</w:t>
      </w:r>
      <w:r w:rsidR="00DA6BEA" w:rsidRPr="0094560A">
        <w:rPr>
          <w:rFonts w:eastAsia="Times New Roman" w:cs="Times New Roman"/>
          <w:sz w:val="24"/>
          <w:lang w:eastAsia="en-AU"/>
        </w:rPr>
        <w:t>, because</w:t>
      </w:r>
      <w:r w:rsidRPr="0094560A">
        <w:rPr>
          <w:rFonts w:eastAsia="Times New Roman" w:cs="Times New Roman"/>
          <w:sz w:val="24"/>
          <w:lang w:eastAsia="en-AU"/>
        </w:rPr>
        <w:t xml:space="preserve"> subsection 18MB(1) of that Act already requires an identity card to identify the class of trade measurement inspector to which the inspector is appointed. </w:t>
      </w:r>
    </w:p>
    <w:p w14:paraId="0C603C27" w14:textId="4CD3C7D4"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 55 amends note 1 to regulation 6.2 of those regulations to remove the reference to the form of an identity card.</w:t>
      </w:r>
    </w:p>
    <w:p w14:paraId="62F058EA" w14:textId="77777777" w:rsidR="00E70C38" w:rsidRPr="0094560A" w:rsidRDefault="00E70C38" w:rsidP="008C7F6C">
      <w:pPr>
        <w:spacing w:before="240" w:line="240" w:lineRule="auto"/>
        <w:rPr>
          <w:rFonts w:eastAsia="Times New Roman" w:cs="Times New Roman"/>
          <w:b/>
          <w:i/>
          <w:sz w:val="24"/>
          <w:lang w:eastAsia="en-AU"/>
        </w:rPr>
      </w:pPr>
      <w:r w:rsidRPr="0094560A">
        <w:rPr>
          <w:rFonts w:eastAsia="Times New Roman" w:cs="Times New Roman"/>
          <w:b/>
          <w:i/>
          <w:sz w:val="24"/>
          <w:lang w:eastAsia="en-AU"/>
        </w:rPr>
        <w:t>Items 56 and 57</w:t>
      </w:r>
    </w:p>
    <w:p w14:paraId="3990046A" w14:textId="441D130B"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Items 56 and 57 are consequential amendments </w:t>
      </w:r>
      <w:r w:rsidR="00E61EFF"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21" w:name="_Toc145345590"/>
      <w:r w:rsidRPr="0094560A">
        <w:rPr>
          <w:rFonts w:eastAsia="Times New Roman" w:cs="Times New Roman"/>
          <w:i/>
          <w:sz w:val="24"/>
          <w:lang w:eastAsia="en-AU"/>
        </w:rPr>
        <w:t>Protection of the Sea (Civil Liability) Regulations 1983</w:t>
      </w:r>
      <w:bookmarkEnd w:id="21"/>
      <w:r w:rsidRPr="0094560A">
        <w:rPr>
          <w:rFonts w:eastAsia="Times New Roman" w:cs="Times New Roman"/>
          <w:sz w:val="24"/>
          <w:lang w:eastAsia="en-AU"/>
        </w:rPr>
        <w:t xml:space="preserve"> from amendments </w:t>
      </w:r>
      <w:r w:rsidR="00E61EFF"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Protection of the Sea (Civil Liability) Act 198</w:t>
      </w:r>
      <w:r w:rsidRPr="0094560A">
        <w:rPr>
          <w:rFonts w:eastAsia="Times New Roman" w:cs="Times New Roman"/>
          <w:sz w:val="24"/>
          <w:lang w:eastAsia="en-AU"/>
        </w:rPr>
        <w:t xml:space="preserve">1 made by Schedule 1 to the </w:t>
      </w:r>
      <w:r w:rsidR="006460C6" w:rsidRPr="0094560A">
        <w:rPr>
          <w:rFonts w:eastAsia="Times New Roman" w:cs="Times New Roman"/>
          <w:sz w:val="24"/>
          <w:lang w:eastAsia="en-AU"/>
        </w:rPr>
        <w:t>Statute Law Amendment Act</w:t>
      </w:r>
      <w:r w:rsidR="006460C6" w:rsidRPr="0094560A">
        <w:rPr>
          <w:rFonts w:eastAsia="Times New Roman" w:cs="Times New Roman"/>
          <w:i/>
          <w:sz w:val="24"/>
          <w:lang w:eastAsia="en-AU"/>
        </w:rPr>
        <w:t>.</w:t>
      </w:r>
    </w:p>
    <w:p w14:paraId="2AD1F58E" w14:textId="5E8A847F" w:rsidR="00C80E2B"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16(2) of the </w:t>
      </w:r>
      <w:r w:rsidRPr="0094560A">
        <w:rPr>
          <w:rFonts w:eastAsia="Times New Roman" w:cs="Times New Roman"/>
          <w:i/>
          <w:sz w:val="24"/>
          <w:lang w:eastAsia="en-AU"/>
        </w:rPr>
        <w:t>Protection of the Sea (Civil Liability) Act 1981</w:t>
      </w:r>
      <w:r w:rsidRPr="0094560A">
        <w:rPr>
          <w:rFonts w:eastAsia="Times New Roman" w:cs="Times New Roman"/>
          <w:sz w:val="24"/>
          <w:lang w:eastAsia="en-AU"/>
        </w:rPr>
        <w:t xml:space="preserve"> now requires an application by the owner, master or agent of certain ships for the issue of an insurance certificate in respect of the ship to be in accordance with the form approved in an instrument under subsection 16(2A) of that Act rather than being in accordance with the prescribed form. Subsection 16(4) of that Act now requires an insurance certificate issued under subsection</w:t>
      </w:r>
      <w:r w:rsidR="00ED4DCF">
        <w:rPr>
          <w:rFonts w:eastAsia="Times New Roman" w:cs="Times New Roman"/>
          <w:sz w:val="24"/>
          <w:lang w:eastAsia="en-AU"/>
        </w:rPr>
        <w:t> </w:t>
      </w:r>
      <w:r w:rsidRPr="0094560A">
        <w:rPr>
          <w:rFonts w:eastAsia="Times New Roman" w:cs="Times New Roman"/>
          <w:sz w:val="24"/>
          <w:lang w:eastAsia="en-AU"/>
        </w:rPr>
        <w:t xml:space="preserve">16(3) of that Act in respect of a ship to be in accordance with the form approved in an instrument under subsection 16(4A) of that Act rather than being in accordance with the prescribed form. </w:t>
      </w:r>
    </w:p>
    <w:p w14:paraId="7262E9EE" w14:textId="77777777" w:rsidR="00C80E2B"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56 repeals regulations 6 and 8 of the </w:t>
      </w:r>
      <w:r w:rsidRPr="0094560A">
        <w:rPr>
          <w:rFonts w:eastAsia="Times New Roman" w:cs="Times New Roman"/>
          <w:i/>
          <w:sz w:val="24"/>
          <w:lang w:eastAsia="en-AU"/>
        </w:rPr>
        <w:t>Protection of the Sea (Civil Liability) Regulations 1983</w:t>
      </w:r>
      <w:r w:rsidRPr="0094560A">
        <w:rPr>
          <w:rFonts w:eastAsia="Times New Roman" w:cs="Times New Roman"/>
          <w:sz w:val="24"/>
          <w:lang w:eastAsia="en-AU"/>
        </w:rPr>
        <w:t xml:space="preserve"> which currently refer to the prescribed forms being in Schedules 1 and 2 to those regulations. </w:t>
      </w:r>
    </w:p>
    <w:p w14:paraId="65063690" w14:textId="53C61D67"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 57 repeals Schedules 1 and 2 to those regulations which set out the prescribed forms.</w:t>
      </w:r>
    </w:p>
    <w:p w14:paraId="3A682D45" w14:textId="77777777" w:rsidR="00E70C38" w:rsidRPr="0094560A" w:rsidRDefault="00E70C38" w:rsidP="00B10A3F">
      <w:pPr>
        <w:spacing w:before="240" w:line="240" w:lineRule="auto"/>
        <w:rPr>
          <w:rFonts w:eastAsia="Times New Roman" w:cs="Times New Roman"/>
          <w:b/>
          <w:i/>
          <w:sz w:val="24"/>
          <w:lang w:eastAsia="en-AU"/>
        </w:rPr>
      </w:pPr>
      <w:r w:rsidRPr="0094560A">
        <w:rPr>
          <w:rFonts w:eastAsia="Times New Roman" w:cs="Times New Roman"/>
          <w:b/>
          <w:i/>
          <w:sz w:val="24"/>
          <w:lang w:eastAsia="en-AU"/>
        </w:rPr>
        <w:t>Items 58 to 60</w:t>
      </w:r>
    </w:p>
    <w:p w14:paraId="499D8CAD" w14:textId="54DAD082"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Items 58 to 60 are consequential amendments </w:t>
      </w:r>
      <w:r w:rsidR="00C3484A"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22" w:name="_Toc145345591"/>
      <w:r w:rsidRPr="0094560A">
        <w:rPr>
          <w:rFonts w:eastAsia="Times New Roman" w:cs="Times New Roman"/>
          <w:i/>
          <w:sz w:val="24"/>
          <w:lang w:eastAsia="en-AU"/>
        </w:rPr>
        <w:t>Regulatory Powers (Standard Provisions) Regulation 2015</w:t>
      </w:r>
      <w:bookmarkEnd w:id="22"/>
      <w:r w:rsidRPr="0094560A">
        <w:rPr>
          <w:rFonts w:eastAsia="Times New Roman" w:cs="Times New Roman"/>
          <w:sz w:val="24"/>
          <w:lang w:eastAsia="en-AU"/>
        </w:rPr>
        <w:t xml:space="preserve"> from amendments </w:t>
      </w:r>
      <w:r w:rsidR="00C3484A"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Regulatory Powers (Standard Provisions) Act 2014</w:t>
      </w:r>
      <w:r w:rsidRPr="0094560A">
        <w:rPr>
          <w:rFonts w:eastAsia="Times New Roman" w:cs="Times New Roman"/>
          <w:sz w:val="24"/>
          <w:lang w:eastAsia="en-AU"/>
        </w:rPr>
        <w:t xml:space="preserve"> made by Schedule 1 to </w:t>
      </w:r>
      <w:r w:rsidR="002136B1" w:rsidRPr="0094560A">
        <w:rPr>
          <w:rFonts w:eastAsia="Times New Roman" w:cs="Times New Roman"/>
          <w:sz w:val="24"/>
          <w:lang w:eastAsia="en-AU"/>
        </w:rPr>
        <w:t>the Statute Law Amendment Act</w:t>
      </w:r>
      <w:r w:rsidRPr="0094560A">
        <w:rPr>
          <w:rFonts w:eastAsia="Times New Roman" w:cs="Times New Roman"/>
          <w:sz w:val="24"/>
          <w:lang w:eastAsia="en-AU"/>
        </w:rPr>
        <w:t>.</w:t>
      </w:r>
    </w:p>
    <w:p w14:paraId="0261FD2F" w14:textId="2E034B3B" w:rsidR="00AE5169"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Subsections 35(2) and 76(2) of the </w:t>
      </w:r>
      <w:r w:rsidRPr="0094560A">
        <w:rPr>
          <w:rFonts w:eastAsia="Times New Roman" w:cs="Times New Roman"/>
          <w:i/>
          <w:sz w:val="24"/>
          <w:lang w:eastAsia="en-AU"/>
        </w:rPr>
        <w:t>Regulatory Powers (Standard Provisions) Act</w:t>
      </w:r>
      <w:r w:rsidR="00ED4DCF">
        <w:rPr>
          <w:rFonts w:eastAsia="Times New Roman" w:cs="Times New Roman"/>
          <w:i/>
          <w:sz w:val="24"/>
          <w:lang w:eastAsia="en-AU"/>
        </w:rPr>
        <w:t> </w:t>
      </w:r>
      <w:r w:rsidRPr="0094560A">
        <w:rPr>
          <w:rFonts w:eastAsia="Times New Roman" w:cs="Times New Roman"/>
          <w:i/>
          <w:sz w:val="24"/>
          <w:lang w:eastAsia="en-AU"/>
        </w:rPr>
        <w:t xml:space="preserve">2014 </w:t>
      </w:r>
      <w:r w:rsidRPr="0094560A">
        <w:rPr>
          <w:rFonts w:eastAsia="Times New Roman" w:cs="Times New Roman"/>
          <w:sz w:val="24"/>
          <w:lang w:eastAsia="en-AU"/>
        </w:rPr>
        <w:t xml:space="preserve">now require an identity card </w:t>
      </w:r>
      <w:r w:rsidR="000D1500" w:rsidRPr="0094560A">
        <w:rPr>
          <w:rFonts w:eastAsia="Times New Roman" w:cs="Times New Roman"/>
          <w:sz w:val="24"/>
          <w:lang w:eastAsia="en-AU"/>
        </w:rPr>
        <w:t>of</w:t>
      </w:r>
      <w:r w:rsidRPr="0094560A">
        <w:rPr>
          <w:rFonts w:eastAsia="Times New Roman" w:cs="Times New Roman"/>
          <w:sz w:val="24"/>
          <w:lang w:eastAsia="en-AU"/>
        </w:rPr>
        <w:t xml:space="preserve"> an authorised person to satisfy the requirements prescribed by the regulations rather than being in the form prescribed by the regulations. </w:t>
      </w:r>
    </w:p>
    <w:p w14:paraId="3FC98ECA" w14:textId="77777777" w:rsidR="00137BA3"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58 amends the heading to section 5 of the </w:t>
      </w:r>
      <w:r w:rsidRPr="0094560A">
        <w:rPr>
          <w:rFonts w:eastAsia="Times New Roman" w:cs="Times New Roman"/>
          <w:i/>
          <w:sz w:val="24"/>
          <w:lang w:eastAsia="en-AU"/>
        </w:rPr>
        <w:t>Regulatory Powers (Standard Provisions) Regulation 2015</w:t>
      </w:r>
      <w:r w:rsidRPr="0094560A">
        <w:rPr>
          <w:rFonts w:eastAsia="Times New Roman" w:cs="Times New Roman"/>
          <w:sz w:val="24"/>
          <w:lang w:eastAsia="en-AU"/>
        </w:rPr>
        <w:t xml:space="preserve"> to remove the reference to the prescribed form of identity cards. </w:t>
      </w:r>
    </w:p>
    <w:p w14:paraId="3A1D1A55" w14:textId="0987F4DE" w:rsidR="00137BA3"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Item 59 amends subsection 5(1) of that regulation to remove a reference to the identity card having to be in the prescribed form. </w:t>
      </w:r>
    </w:p>
    <w:p w14:paraId="3C2AB62B" w14:textId="09A97C24"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lastRenderedPageBreak/>
        <w:t>Item 60 amends paragraphs 5(1)(a) and (b) of that regulation to refer to the requirements that an identity card must satisfy</w:t>
      </w:r>
      <w:r w:rsidR="00C74BBC" w:rsidRPr="0094560A">
        <w:rPr>
          <w:rFonts w:eastAsia="Times New Roman" w:cs="Times New Roman"/>
          <w:sz w:val="24"/>
          <w:lang w:eastAsia="en-AU"/>
        </w:rPr>
        <w:t>,</w:t>
      </w:r>
      <w:r w:rsidRPr="0094560A">
        <w:rPr>
          <w:rFonts w:eastAsia="Times New Roman" w:cs="Times New Roman"/>
          <w:sz w:val="24"/>
          <w:lang w:eastAsia="en-AU"/>
        </w:rPr>
        <w:t xml:space="preserve"> rather than </w:t>
      </w:r>
      <w:r w:rsidR="00C74BBC" w:rsidRPr="0094560A">
        <w:rPr>
          <w:rFonts w:eastAsia="Times New Roman" w:cs="Times New Roman"/>
          <w:sz w:val="24"/>
          <w:lang w:eastAsia="en-AU"/>
        </w:rPr>
        <w:t xml:space="preserve">referring to </w:t>
      </w:r>
      <w:r w:rsidRPr="0094560A">
        <w:rPr>
          <w:rFonts w:eastAsia="Times New Roman" w:cs="Times New Roman"/>
          <w:sz w:val="24"/>
          <w:lang w:eastAsia="en-AU"/>
        </w:rPr>
        <w:t>the identity card having to be in a particular form.</w:t>
      </w:r>
    </w:p>
    <w:p w14:paraId="4FF2AC53" w14:textId="73C0CA75" w:rsidR="00E70C38" w:rsidRPr="0094560A" w:rsidRDefault="00E70C38" w:rsidP="00C86CFD">
      <w:pPr>
        <w:spacing w:before="240" w:line="240" w:lineRule="auto"/>
        <w:rPr>
          <w:rFonts w:eastAsia="Times New Roman" w:cs="Times New Roman"/>
          <w:b/>
          <w:i/>
          <w:sz w:val="24"/>
          <w:lang w:eastAsia="en-AU"/>
        </w:rPr>
      </w:pPr>
      <w:r w:rsidRPr="0094560A">
        <w:rPr>
          <w:rFonts w:eastAsia="Times New Roman" w:cs="Times New Roman"/>
          <w:b/>
          <w:i/>
          <w:sz w:val="24"/>
          <w:lang w:eastAsia="en-AU"/>
        </w:rPr>
        <w:t>Items 6</w:t>
      </w:r>
      <w:r w:rsidR="008216DF" w:rsidRPr="0094560A">
        <w:rPr>
          <w:rFonts w:eastAsia="Times New Roman" w:cs="Times New Roman"/>
          <w:b/>
          <w:i/>
          <w:sz w:val="24"/>
          <w:lang w:eastAsia="en-AU"/>
        </w:rPr>
        <w:t>1</w:t>
      </w:r>
      <w:r w:rsidRPr="0094560A">
        <w:rPr>
          <w:rFonts w:eastAsia="Times New Roman" w:cs="Times New Roman"/>
          <w:b/>
          <w:i/>
          <w:sz w:val="24"/>
          <w:lang w:eastAsia="en-AU"/>
        </w:rPr>
        <w:t xml:space="preserve"> and 6</w:t>
      </w:r>
      <w:r w:rsidR="008216DF" w:rsidRPr="0094560A">
        <w:rPr>
          <w:rFonts w:eastAsia="Times New Roman" w:cs="Times New Roman"/>
          <w:b/>
          <w:i/>
          <w:sz w:val="24"/>
          <w:lang w:eastAsia="en-AU"/>
        </w:rPr>
        <w:t>2</w:t>
      </w:r>
    </w:p>
    <w:p w14:paraId="2BC9C59F" w14:textId="64592389"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Items 6</w:t>
      </w:r>
      <w:r w:rsidR="008216DF" w:rsidRPr="0094560A">
        <w:rPr>
          <w:rFonts w:eastAsia="Times New Roman" w:cs="Times New Roman"/>
          <w:sz w:val="24"/>
          <w:lang w:eastAsia="en-AU"/>
        </w:rPr>
        <w:t>1</w:t>
      </w:r>
      <w:r w:rsidRPr="0094560A">
        <w:rPr>
          <w:rFonts w:eastAsia="Times New Roman" w:cs="Times New Roman"/>
          <w:sz w:val="24"/>
          <w:lang w:eastAsia="en-AU"/>
        </w:rPr>
        <w:t xml:space="preserve"> and 6</w:t>
      </w:r>
      <w:r w:rsidR="008216DF" w:rsidRPr="0094560A">
        <w:rPr>
          <w:rFonts w:eastAsia="Times New Roman" w:cs="Times New Roman"/>
          <w:sz w:val="24"/>
          <w:lang w:eastAsia="en-AU"/>
        </w:rPr>
        <w:t>2</w:t>
      </w:r>
      <w:r w:rsidRPr="0094560A">
        <w:rPr>
          <w:rFonts w:eastAsia="Times New Roman" w:cs="Times New Roman"/>
          <w:sz w:val="24"/>
          <w:lang w:eastAsia="en-AU"/>
        </w:rPr>
        <w:t xml:space="preserve"> are consequential amendments </w:t>
      </w:r>
      <w:r w:rsidR="00AC26F3"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23" w:name="_Toc145345594"/>
      <w:r w:rsidRPr="0094560A">
        <w:rPr>
          <w:rFonts w:eastAsia="Times New Roman" w:cs="Times New Roman"/>
          <w:i/>
          <w:sz w:val="24"/>
          <w:lang w:eastAsia="en-AU"/>
        </w:rPr>
        <w:t>Trade Marks Regulations 1995</w:t>
      </w:r>
      <w:bookmarkEnd w:id="23"/>
      <w:r w:rsidRPr="0094560A">
        <w:rPr>
          <w:rFonts w:eastAsia="Times New Roman" w:cs="Times New Roman"/>
          <w:sz w:val="24"/>
          <w:lang w:eastAsia="en-AU"/>
        </w:rPr>
        <w:t xml:space="preserve"> from amendments </w:t>
      </w:r>
      <w:r w:rsidR="00E95BDD"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Trade Marks Act 1995</w:t>
      </w:r>
      <w:r w:rsidRPr="0094560A">
        <w:rPr>
          <w:rFonts w:eastAsia="Times New Roman" w:cs="Times New Roman"/>
          <w:sz w:val="24"/>
          <w:lang w:eastAsia="en-AU"/>
        </w:rPr>
        <w:t xml:space="preserve"> made by Schedule 1 to the </w:t>
      </w:r>
      <w:r w:rsidR="00337171"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641432E6" w14:textId="77777777" w:rsidR="00C40D4B"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136(3) of the </w:t>
      </w:r>
      <w:r w:rsidRPr="0094560A">
        <w:rPr>
          <w:rFonts w:eastAsia="Times New Roman" w:cs="Times New Roman"/>
          <w:i/>
          <w:sz w:val="24"/>
          <w:lang w:eastAsia="en-AU"/>
        </w:rPr>
        <w:t>Trade Marks Act 1995</w:t>
      </w:r>
      <w:r w:rsidRPr="0094560A">
        <w:rPr>
          <w:rFonts w:eastAsia="Times New Roman" w:cs="Times New Roman"/>
          <w:sz w:val="24"/>
          <w:lang w:eastAsia="en-AU"/>
        </w:rPr>
        <w:t xml:space="preserve"> now requires that a claim to the Comptroller</w:t>
      </w:r>
      <w:r w:rsidRPr="0094560A">
        <w:rPr>
          <w:rFonts w:eastAsia="Times New Roman" w:cs="Times New Roman"/>
          <w:sz w:val="24"/>
          <w:lang w:eastAsia="en-AU"/>
        </w:rPr>
        <w:noBreakHyphen/>
        <w:t xml:space="preserve">General of Customs for the release of seized goods to contain the information prescribed by the regulations rather than being in the form prescribed by the regulations. </w:t>
      </w:r>
    </w:p>
    <w:p w14:paraId="3F4ED527" w14:textId="024EEB6A" w:rsidR="0079485B"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 6</w:t>
      </w:r>
      <w:r w:rsidR="008216DF" w:rsidRPr="0094560A">
        <w:rPr>
          <w:rFonts w:eastAsia="Times New Roman" w:cs="Times New Roman"/>
          <w:sz w:val="24"/>
          <w:lang w:eastAsia="en-AU"/>
        </w:rPr>
        <w:t>1</w:t>
      </w:r>
      <w:r w:rsidRPr="0094560A">
        <w:rPr>
          <w:rFonts w:eastAsia="Times New Roman" w:cs="Times New Roman"/>
          <w:sz w:val="24"/>
          <w:lang w:eastAsia="en-AU"/>
        </w:rPr>
        <w:t xml:space="preserve"> repeals </w:t>
      </w:r>
      <w:proofErr w:type="spellStart"/>
      <w:r w:rsidRPr="0094560A">
        <w:rPr>
          <w:rFonts w:eastAsia="Times New Roman" w:cs="Times New Roman"/>
          <w:sz w:val="24"/>
          <w:lang w:eastAsia="en-AU"/>
        </w:rPr>
        <w:t>subregulation</w:t>
      </w:r>
      <w:proofErr w:type="spellEnd"/>
      <w:r w:rsidRPr="0094560A">
        <w:rPr>
          <w:rFonts w:eastAsia="Times New Roman" w:cs="Times New Roman"/>
          <w:sz w:val="24"/>
          <w:lang w:eastAsia="en-AU"/>
        </w:rPr>
        <w:t xml:space="preserve"> 13.5(1) of the </w:t>
      </w:r>
      <w:r w:rsidRPr="0094560A">
        <w:rPr>
          <w:rFonts w:eastAsia="Times New Roman" w:cs="Times New Roman"/>
          <w:i/>
          <w:sz w:val="24"/>
          <w:lang w:eastAsia="en-AU"/>
        </w:rPr>
        <w:t>Trade Marks Regulations 1995</w:t>
      </w:r>
      <w:r w:rsidRPr="0094560A">
        <w:rPr>
          <w:rFonts w:eastAsia="Times New Roman" w:cs="Times New Roman"/>
          <w:sz w:val="24"/>
          <w:lang w:eastAsia="en-AU"/>
        </w:rPr>
        <w:t xml:space="preserve"> </w:t>
      </w:r>
      <w:r w:rsidR="00631CC9" w:rsidRPr="0094560A">
        <w:rPr>
          <w:rFonts w:eastAsia="Times New Roman" w:cs="Times New Roman"/>
          <w:sz w:val="24"/>
          <w:lang w:eastAsia="en-AU"/>
        </w:rPr>
        <w:t>because</w:t>
      </w:r>
      <w:r w:rsidRPr="0094560A">
        <w:rPr>
          <w:rFonts w:eastAsia="Times New Roman" w:cs="Times New Roman"/>
          <w:sz w:val="24"/>
          <w:lang w:eastAsia="en-AU"/>
        </w:rPr>
        <w:t xml:space="preserve"> it requires a claim to be in a form approved by the Comptroller</w:t>
      </w:r>
      <w:r w:rsidRPr="0094560A">
        <w:rPr>
          <w:rFonts w:eastAsia="Times New Roman" w:cs="Times New Roman"/>
          <w:sz w:val="24"/>
          <w:lang w:eastAsia="en-AU"/>
        </w:rPr>
        <w:noBreakHyphen/>
        <w:t xml:space="preserve">General of Customs. </w:t>
      </w:r>
    </w:p>
    <w:p w14:paraId="76AF2A98" w14:textId="28A9FC67"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 6</w:t>
      </w:r>
      <w:r w:rsidR="008216DF" w:rsidRPr="0094560A">
        <w:rPr>
          <w:rFonts w:eastAsia="Times New Roman" w:cs="Times New Roman"/>
          <w:sz w:val="24"/>
          <w:lang w:eastAsia="en-AU"/>
        </w:rPr>
        <w:t>2</w:t>
      </w:r>
      <w:r w:rsidRPr="0094560A">
        <w:rPr>
          <w:rFonts w:eastAsia="Times New Roman" w:cs="Times New Roman"/>
          <w:sz w:val="24"/>
          <w:lang w:eastAsia="en-AU"/>
        </w:rPr>
        <w:t xml:space="preserve"> amends </w:t>
      </w:r>
      <w:proofErr w:type="spellStart"/>
      <w:r w:rsidRPr="0094560A">
        <w:rPr>
          <w:rFonts w:eastAsia="Times New Roman" w:cs="Times New Roman"/>
          <w:sz w:val="24"/>
          <w:lang w:eastAsia="en-AU"/>
        </w:rPr>
        <w:t>subregulation</w:t>
      </w:r>
      <w:proofErr w:type="spellEnd"/>
      <w:r w:rsidRPr="0094560A">
        <w:rPr>
          <w:rFonts w:eastAsia="Times New Roman" w:cs="Times New Roman"/>
          <w:sz w:val="24"/>
          <w:lang w:eastAsia="en-AU"/>
        </w:rPr>
        <w:t> 13.5(2) of those regulations to update a cross</w:t>
      </w:r>
      <w:r w:rsidRPr="0094560A">
        <w:rPr>
          <w:rFonts w:eastAsia="Times New Roman" w:cs="Times New Roman"/>
          <w:sz w:val="24"/>
          <w:lang w:eastAsia="en-AU"/>
        </w:rPr>
        <w:noBreakHyphen/>
        <w:t xml:space="preserve">reference to that Act to now refer to that </w:t>
      </w:r>
      <w:proofErr w:type="spellStart"/>
      <w:r w:rsidRPr="0094560A">
        <w:rPr>
          <w:rFonts w:eastAsia="Times New Roman" w:cs="Times New Roman"/>
          <w:sz w:val="24"/>
          <w:lang w:eastAsia="en-AU"/>
        </w:rPr>
        <w:t>subregulation</w:t>
      </w:r>
      <w:proofErr w:type="spellEnd"/>
      <w:r w:rsidRPr="0094560A">
        <w:rPr>
          <w:rFonts w:eastAsia="Times New Roman" w:cs="Times New Roman"/>
          <w:sz w:val="24"/>
          <w:lang w:eastAsia="en-AU"/>
        </w:rPr>
        <w:t xml:space="preserve"> being made for the purposes of subsection</w:t>
      </w:r>
      <w:r w:rsidR="00631CC9" w:rsidRPr="0094560A">
        <w:rPr>
          <w:rFonts w:eastAsia="Times New Roman" w:cs="Times New Roman"/>
          <w:sz w:val="24"/>
          <w:lang w:eastAsia="en-AU"/>
        </w:rPr>
        <w:t> </w:t>
      </w:r>
      <w:r w:rsidRPr="0094560A">
        <w:rPr>
          <w:rFonts w:eastAsia="Times New Roman" w:cs="Times New Roman"/>
          <w:sz w:val="24"/>
          <w:lang w:eastAsia="en-AU"/>
        </w:rPr>
        <w:t>136(3) of that Act rather than paragraph 136(3)(b) of that Act.</w:t>
      </w:r>
    </w:p>
    <w:p w14:paraId="3901EE26" w14:textId="791FF917" w:rsidR="00E70C38" w:rsidRPr="0094560A" w:rsidRDefault="00E70C38" w:rsidP="000C477D">
      <w:pPr>
        <w:spacing w:before="240" w:line="240" w:lineRule="auto"/>
        <w:rPr>
          <w:rFonts w:eastAsia="Times New Roman" w:cs="Times New Roman"/>
          <w:b/>
          <w:i/>
          <w:sz w:val="24"/>
          <w:lang w:eastAsia="en-AU"/>
        </w:rPr>
      </w:pPr>
      <w:r w:rsidRPr="0094560A">
        <w:rPr>
          <w:rFonts w:eastAsia="Times New Roman" w:cs="Times New Roman"/>
          <w:b/>
          <w:i/>
          <w:sz w:val="24"/>
          <w:lang w:eastAsia="en-AU"/>
        </w:rPr>
        <w:t>Item 6</w:t>
      </w:r>
      <w:r w:rsidR="0015230B" w:rsidRPr="0094560A">
        <w:rPr>
          <w:rFonts w:eastAsia="Times New Roman" w:cs="Times New Roman"/>
          <w:b/>
          <w:i/>
          <w:sz w:val="24"/>
          <w:lang w:eastAsia="en-AU"/>
        </w:rPr>
        <w:t>3</w:t>
      </w:r>
    </w:p>
    <w:p w14:paraId="1A19F50F" w14:textId="488E008A" w:rsidR="00E70C38"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 6</w:t>
      </w:r>
      <w:r w:rsidR="0015230B" w:rsidRPr="0094560A">
        <w:rPr>
          <w:rFonts w:eastAsia="Times New Roman" w:cs="Times New Roman"/>
          <w:sz w:val="24"/>
          <w:lang w:eastAsia="en-AU"/>
        </w:rPr>
        <w:t>3</w:t>
      </w:r>
      <w:r w:rsidRPr="0094560A">
        <w:rPr>
          <w:rFonts w:eastAsia="Times New Roman" w:cs="Times New Roman"/>
          <w:sz w:val="24"/>
          <w:lang w:eastAsia="en-AU"/>
        </w:rPr>
        <w:t xml:space="preserve"> is a consequential amendment </w:t>
      </w:r>
      <w:r w:rsidR="00314857" w:rsidRPr="0094560A">
        <w:rPr>
          <w:rFonts w:eastAsia="Times New Roman" w:cs="Times New Roman"/>
          <w:sz w:val="24"/>
          <w:lang w:eastAsia="en-AU"/>
        </w:rPr>
        <w:t>to</w:t>
      </w:r>
      <w:r w:rsidRPr="0094560A">
        <w:rPr>
          <w:rFonts w:eastAsia="Times New Roman" w:cs="Times New Roman"/>
          <w:sz w:val="24"/>
          <w:lang w:eastAsia="en-AU"/>
        </w:rPr>
        <w:t xml:space="preserve"> the </w:t>
      </w:r>
      <w:bookmarkStart w:id="24" w:name="_Toc145345595"/>
      <w:r w:rsidRPr="0094560A">
        <w:rPr>
          <w:rFonts w:eastAsia="Times New Roman" w:cs="Times New Roman"/>
          <w:i/>
          <w:sz w:val="24"/>
          <w:lang w:eastAsia="en-AU"/>
        </w:rPr>
        <w:t>Transport Safety Investigation Regulations 2021</w:t>
      </w:r>
      <w:bookmarkEnd w:id="24"/>
      <w:r w:rsidRPr="0094560A">
        <w:rPr>
          <w:rFonts w:eastAsia="Times New Roman" w:cs="Times New Roman"/>
          <w:sz w:val="24"/>
          <w:lang w:eastAsia="en-AU"/>
        </w:rPr>
        <w:t xml:space="preserve"> from amendments </w:t>
      </w:r>
      <w:r w:rsidR="006F0456" w:rsidRPr="0094560A">
        <w:rPr>
          <w:rFonts w:eastAsia="Times New Roman" w:cs="Times New Roman"/>
          <w:sz w:val="24"/>
          <w:lang w:eastAsia="en-AU"/>
        </w:rPr>
        <w:t>to</w:t>
      </w:r>
      <w:r w:rsidRPr="0094560A">
        <w:rPr>
          <w:rFonts w:eastAsia="Times New Roman" w:cs="Times New Roman"/>
          <w:sz w:val="24"/>
          <w:lang w:eastAsia="en-AU"/>
        </w:rPr>
        <w:t xml:space="preserve"> the </w:t>
      </w:r>
      <w:r w:rsidRPr="0094560A">
        <w:rPr>
          <w:rFonts w:eastAsia="Times New Roman" w:cs="Times New Roman"/>
          <w:i/>
          <w:sz w:val="24"/>
          <w:lang w:eastAsia="en-AU"/>
        </w:rPr>
        <w:t>Transport Safety Investigation Act 2003</w:t>
      </w:r>
      <w:r w:rsidRPr="0094560A">
        <w:rPr>
          <w:rFonts w:eastAsia="Times New Roman" w:cs="Times New Roman"/>
          <w:sz w:val="24"/>
          <w:lang w:eastAsia="en-AU"/>
        </w:rPr>
        <w:t xml:space="preserve"> made by Schedule 1 to the </w:t>
      </w:r>
      <w:r w:rsidR="00113A36" w:rsidRPr="0094560A">
        <w:rPr>
          <w:rFonts w:eastAsia="Times New Roman" w:cs="Times New Roman"/>
          <w:sz w:val="24"/>
          <w:lang w:eastAsia="en-AU"/>
        </w:rPr>
        <w:t>Statute Law Amendment Act</w:t>
      </w:r>
      <w:r w:rsidRPr="0094560A">
        <w:rPr>
          <w:rFonts w:eastAsia="Times New Roman" w:cs="Times New Roman"/>
          <w:sz w:val="24"/>
          <w:lang w:eastAsia="en-AU"/>
        </w:rPr>
        <w:t>.</w:t>
      </w:r>
    </w:p>
    <w:p w14:paraId="2DC3BF66" w14:textId="1C44CC6C" w:rsidR="00727D30" w:rsidRPr="0094560A" w:rsidRDefault="00E70C38" w:rsidP="00C75BE1">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 xml:space="preserve">Subsection 29(2) of the </w:t>
      </w:r>
      <w:r w:rsidRPr="0094560A">
        <w:rPr>
          <w:rFonts w:eastAsia="Times New Roman" w:cs="Times New Roman"/>
          <w:i/>
          <w:sz w:val="24"/>
          <w:lang w:eastAsia="en-AU"/>
        </w:rPr>
        <w:t>Transport Safety Investigation Act 2003</w:t>
      </w:r>
      <w:r w:rsidRPr="0094560A">
        <w:rPr>
          <w:rFonts w:eastAsia="Times New Roman" w:cs="Times New Roman"/>
          <w:sz w:val="24"/>
          <w:lang w:eastAsia="en-AU"/>
        </w:rPr>
        <w:t xml:space="preserve"> now requires an identity card </w:t>
      </w:r>
      <w:r w:rsidR="00791B22" w:rsidRPr="0094560A">
        <w:rPr>
          <w:rFonts w:eastAsia="Times New Roman" w:cs="Times New Roman"/>
          <w:sz w:val="24"/>
          <w:lang w:eastAsia="en-AU"/>
        </w:rPr>
        <w:t>of</w:t>
      </w:r>
      <w:r w:rsidRPr="0094560A">
        <w:rPr>
          <w:rFonts w:eastAsia="Times New Roman" w:cs="Times New Roman"/>
          <w:sz w:val="24"/>
          <w:lang w:eastAsia="en-AU"/>
        </w:rPr>
        <w:t xml:space="preserve"> a person who can exercise premises powers to contain the information prescribed by the regulations</w:t>
      </w:r>
      <w:r w:rsidR="006F389B" w:rsidRPr="0094560A">
        <w:rPr>
          <w:rFonts w:eastAsia="Times New Roman" w:cs="Times New Roman"/>
          <w:sz w:val="24"/>
          <w:lang w:eastAsia="en-AU"/>
        </w:rPr>
        <w:t>,</w:t>
      </w:r>
      <w:r w:rsidRPr="0094560A">
        <w:rPr>
          <w:rFonts w:eastAsia="Times New Roman" w:cs="Times New Roman"/>
          <w:sz w:val="24"/>
          <w:lang w:eastAsia="en-AU"/>
        </w:rPr>
        <w:t xml:space="preserve"> rather than </w:t>
      </w:r>
      <w:r w:rsidR="006F389B" w:rsidRPr="0094560A">
        <w:rPr>
          <w:rFonts w:eastAsia="Times New Roman" w:cs="Times New Roman"/>
          <w:sz w:val="24"/>
          <w:lang w:eastAsia="en-AU"/>
        </w:rPr>
        <w:t xml:space="preserve">requiring that it be </w:t>
      </w:r>
      <w:r w:rsidRPr="0094560A">
        <w:rPr>
          <w:rFonts w:eastAsia="Times New Roman" w:cs="Times New Roman"/>
          <w:sz w:val="24"/>
          <w:lang w:eastAsia="en-AU"/>
        </w:rPr>
        <w:t xml:space="preserve">in the form prescribed by the regulations. </w:t>
      </w:r>
    </w:p>
    <w:p w14:paraId="1BA6B3F6" w14:textId="524AAE05" w:rsidR="00580154" w:rsidRPr="0094560A" w:rsidRDefault="00E70C38" w:rsidP="00675618">
      <w:pPr>
        <w:numPr>
          <w:ilvl w:val="0"/>
          <w:numId w:val="23"/>
        </w:numPr>
        <w:spacing w:before="240" w:line="240" w:lineRule="auto"/>
        <w:rPr>
          <w:rFonts w:eastAsia="Times New Roman" w:cs="Times New Roman"/>
          <w:sz w:val="24"/>
          <w:lang w:eastAsia="en-AU"/>
        </w:rPr>
      </w:pPr>
      <w:r w:rsidRPr="0094560A">
        <w:rPr>
          <w:rFonts w:eastAsia="Times New Roman" w:cs="Times New Roman"/>
          <w:sz w:val="24"/>
          <w:lang w:eastAsia="en-AU"/>
        </w:rPr>
        <w:t>Item 6</w:t>
      </w:r>
      <w:r w:rsidR="00BC62DD" w:rsidRPr="0094560A">
        <w:rPr>
          <w:rFonts w:eastAsia="Times New Roman" w:cs="Times New Roman"/>
          <w:sz w:val="24"/>
          <w:lang w:eastAsia="en-AU"/>
        </w:rPr>
        <w:t>3</w:t>
      </w:r>
      <w:r w:rsidRPr="0094560A">
        <w:rPr>
          <w:rFonts w:eastAsia="Times New Roman" w:cs="Times New Roman"/>
          <w:sz w:val="24"/>
          <w:lang w:eastAsia="en-AU"/>
        </w:rPr>
        <w:t xml:space="preserve"> amends section 42 of the </w:t>
      </w:r>
      <w:r w:rsidRPr="0094560A">
        <w:rPr>
          <w:rFonts w:eastAsia="Times New Roman" w:cs="Times New Roman"/>
          <w:i/>
          <w:sz w:val="24"/>
          <w:lang w:eastAsia="en-AU"/>
        </w:rPr>
        <w:t>Transport Safety Investigation Regulations 2021</w:t>
      </w:r>
      <w:r w:rsidRPr="0094560A">
        <w:rPr>
          <w:rFonts w:eastAsia="Times New Roman" w:cs="Times New Roman"/>
          <w:sz w:val="24"/>
          <w:lang w:eastAsia="en-AU"/>
        </w:rPr>
        <w:t xml:space="preserve"> to refer to the information that an identity card must contain rather than the identity card having to be in a particular form.</w:t>
      </w:r>
      <w:bookmarkStart w:id="25" w:name="_GoBack"/>
      <w:bookmarkEnd w:id="25"/>
    </w:p>
    <w:sectPr w:rsidR="00580154" w:rsidRPr="0094560A" w:rsidSect="008E17F3">
      <w:headerReference w:type="default" r:id="rId11"/>
      <w:footerReference w:type="even" r:id="rId12"/>
      <w:footerReference w:type="default" r:id="rId13"/>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82604" w14:textId="77777777" w:rsidR="0025729B" w:rsidRDefault="0025729B" w:rsidP="008E17F3">
      <w:pPr>
        <w:spacing w:line="240" w:lineRule="auto"/>
      </w:pPr>
      <w:r>
        <w:separator/>
      </w:r>
    </w:p>
  </w:endnote>
  <w:endnote w:type="continuationSeparator" w:id="0">
    <w:p w14:paraId="538737B3" w14:textId="77777777" w:rsidR="0025729B" w:rsidRDefault="0025729B"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07AA" w14:textId="77777777" w:rsidR="0025729B" w:rsidRDefault="0025729B"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4F84">
      <w:rPr>
        <w:rStyle w:val="PageNumber"/>
        <w:noProof/>
      </w:rPr>
      <w:t>1</w:t>
    </w:r>
    <w:r>
      <w:rPr>
        <w:rStyle w:val="PageNumber"/>
      </w:rPr>
      <w:fldChar w:fldCharType="end"/>
    </w:r>
  </w:p>
  <w:p w14:paraId="47ADEA49" w14:textId="77777777" w:rsidR="0025729B" w:rsidRDefault="0025729B"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ECEF2" w14:textId="77777777" w:rsidR="0025729B" w:rsidRDefault="0025729B" w:rsidP="008E17F3">
    <w:pPr>
      <w:pStyle w:val="Footer"/>
      <w:tabs>
        <w:tab w:val="clear" w:pos="4153"/>
        <w:tab w:val="clear" w:pos="8306"/>
        <w:tab w:val="left" w:pos="7680"/>
      </w:tabs>
      <w:ind w:right="27"/>
      <w:rPr>
        <w:sz w:val="16"/>
      </w:rPr>
    </w:pPr>
    <w:r w:rsidRPr="00B96450">
      <w:rPr>
        <w:b/>
        <w:noProof/>
        <w:sz w:val="16"/>
        <w:lang w:val="en-US"/>
      </w:rPr>
      <mc:AlternateContent>
        <mc:Choice Requires="wps">
          <w:drawing>
            <wp:anchor distT="0" distB="0" distL="114300" distR="114300" simplePos="0" relativeHeight="251661312" behindDoc="1" locked="1" layoutInCell="1" allowOverlap="1" wp14:anchorId="2CF99A1B" wp14:editId="7E99BF38">
              <wp:simplePos x="0" y="0"/>
              <wp:positionH relativeFrom="page">
                <wp:align>center</wp:align>
              </wp:positionH>
              <wp:positionV relativeFrom="paragraph">
                <wp:posOffset>0</wp:posOffset>
              </wp:positionV>
              <wp:extent cx="5773003" cy="395785"/>
              <wp:effectExtent l="0" t="0" r="0" b="4445"/>
              <wp:wrapNone/>
              <wp:docPr id="1" name="Text Box 1"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6093F2" w14:textId="77777777" w:rsidR="0025729B" w:rsidRPr="00324EB0" w:rsidRDefault="0025729B" w:rsidP="0096243C">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F99A1B" id="_x0000_t202" coordsize="21600,21600" o:spt="202" path="m,l,21600r21600,l21600,xe">
              <v:stroke joinstyle="miter"/>
              <v:path gradientshapeok="t" o:connecttype="rect"/>
            </v:shapetype>
            <v:shape id="Text Box 1" o:spid="_x0000_s1027" type="#_x0000_t202" alt="Sec-Footerprimary"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" stroked="f" strokeweight=".5pt">
              <v:textbox>
                <w:txbxContent>
                  <w:p w14:paraId="1A6093F2" w14:textId="77777777" w:rsidR="0025729B" w:rsidRPr="00324EB0" w:rsidRDefault="0025729B" w:rsidP="0096243C">
                    <w:pPr>
                      <w:jc w:val="center"/>
                      <w:rPr>
                        <w:rFonts w:ascii="Arial" w:hAnsi="Arial" w:cs="Arial"/>
                        <w:b/>
                        <w:sz w:val="40"/>
                      </w:rPr>
                    </w:pPr>
                  </w:p>
                </w:txbxContent>
              </v:textbox>
              <w10:wrap anchorx="page"/>
              <w10:anchorlock/>
            </v:shape>
          </w:pict>
        </mc:Fallback>
      </mc:AlternateContent>
    </w:r>
    <w:r>
      <w:rPr>
        <w:sz w:val="16"/>
      </w:rPr>
      <w:tab/>
    </w:r>
    <w:r>
      <w:rPr>
        <w:sz w:val="16"/>
      </w:rPr>
      <w:tab/>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87D7D" w14:textId="77777777" w:rsidR="0025729B" w:rsidRDefault="0025729B" w:rsidP="008E17F3">
      <w:pPr>
        <w:spacing w:line="240" w:lineRule="auto"/>
      </w:pPr>
      <w:r>
        <w:separator/>
      </w:r>
    </w:p>
  </w:footnote>
  <w:footnote w:type="continuationSeparator" w:id="0">
    <w:p w14:paraId="7492DE54" w14:textId="77777777" w:rsidR="0025729B" w:rsidRDefault="0025729B"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8047" w14:textId="77777777" w:rsidR="0025729B" w:rsidRDefault="0025729B">
    <w:pPr>
      <w:pStyle w:val="Header"/>
    </w:pPr>
    <w:r w:rsidRPr="00324EB0">
      <w:rPr>
        <w:b/>
        <w:noProof/>
        <w:lang w:val="en-US"/>
      </w:rPr>
      <mc:AlternateContent>
        <mc:Choice Requires="wps">
          <w:drawing>
            <wp:anchor distT="0" distB="0" distL="114300" distR="114300" simplePos="0" relativeHeight="251659264" behindDoc="1" locked="1" layoutInCell="1" allowOverlap="1" wp14:anchorId="433426E8" wp14:editId="42C57A82">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B31C1E" w14:textId="77777777" w:rsidR="0025729B" w:rsidRPr="00324EB0" w:rsidRDefault="0025729B" w:rsidP="00124450">
                          <w:pP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3426E8" id="_x0000_t202" coordsize="21600,21600" o:spt="202" path="m,l,21600r21600,l21600,xe">
              <v:stroke joinstyle="miter"/>
              <v:path gradientshapeok="t" o:connecttype="rect"/>
            </v:shapetype>
            <v:shape id="Text Box 107" o:spid="_x0000_s1026"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" stroked="f" strokeweight=".5pt">
              <v:textbox>
                <w:txbxContent>
                  <w:p w14:paraId="20B31C1E" w14:textId="77777777" w:rsidR="0025729B" w:rsidRPr="00324EB0" w:rsidRDefault="0025729B" w:rsidP="00124450">
                    <w:pPr>
                      <w:rPr>
                        <w:rFonts w:ascii="Arial" w:hAnsi="Arial" w:cs="Arial"/>
                        <w:b/>
                        <w:sz w:val="40"/>
                      </w:rPr>
                    </w:pP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709F4"/>
    <w:multiLevelType w:val="multilevel"/>
    <w:tmpl w:val="14B4802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925F10"/>
    <w:multiLevelType w:val="hybridMultilevel"/>
    <w:tmpl w:val="6DE45C2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F52025"/>
    <w:multiLevelType w:val="hybridMultilevel"/>
    <w:tmpl w:val="ECB80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B1665B"/>
    <w:multiLevelType w:val="hybridMultilevel"/>
    <w:tmpl w:val="E9F86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EC52C5"/>
    <w:multiLevelType w:val="hybridMultilevel"/>
    <w:tmpl w:val="44BEC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382FEC"/>
    <w:multiLevelType w:val="hybridMultilevel"/>
    <w:tmpl w:val="C736E83C"/>
    <w:lvl w:ilvl="0" w:tplc="0C090001">
      <w:start w:val="1"/>
      <w:numFmt w:val="bullet"/>
      <w:lvlText w:val=""/>
      <w:lvlJc w:val="left"/>
      <w:pPr>
        <w:ind w:left="720" w:hanging="360"/>
      </w:pPr>
      <w:rPr>
        <w:rFonts w:ascii="Symbol" w:hAnsi="Symbol" w:hint="default"/>
      </w:rPr>
    </w:lvl>
    <w:lvl w:ilvl="1" w:tplc="CB646F90">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CBD671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DA10B48"/>
    <w:multiLevelType w:val="hybridMultilevel"/>
    <w:tmpl w:val="001CB04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A7347E"/>
    <w:multiLevelType w:val="hybridMultilevel"/>
    <w:tmpl w:val="F7DEC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A1580E"/>
    <w:multiLevelType w:val="hybridMultilevel"/>
    <w:tmpl w:val="D6062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044137"/>
    <w:multiLevelType w:val="hybridMultilevel"/>
    <w:tmpl w:val="411E6804"/>
    <w:lvl w:ilvl="0" w:tplc="0AD619E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num>
  <w:num w:numId="13">
    <w:abstractNumId w:val="13"/>
  </w:num>
  <w:num w:numId="14">
    <w:abstractNumId w:val="13"/>
    <w:lvlOverride w:ilvl="0">
      <w:lvl w:ilvl="0">
        <w:start w:val="1"/>
        <w:numFmt w:val="decimal"/>
        <w:pStyle w:val="BodyNum"/>
        <w:lvlText w:val="%1"/>
        <w:lvlJc w:val="left"/>
        <w:pPr>
          <w:tabs>
            <w:tab w:val="num" w:pos="720"/>
          </w:tabs>
          <w:ind w:left="0" w:firstLine="0"/>
        </w:pPr>
        <w:rPr>
          <w:rFonts w:hint="default"/>
        </w:rPr>
      </w:lvl>
    </w:lvlOverride>
    <w:lvlOverride w:ilvl="1">
      <w:lvl w:ilvl="1">
        <w:start w:val="1"/>
        <w:numFmt w:val="lowerLetter"/>
        <w:pStyle w:val="BodyPara"/>
        <w:lvlText w:val="(%2)"/>
        <w:lvlJc w:val="left"/>
        <w:pPr>
          <w:tabs>
            <w:tab w:val="num" w:pos="1440"/>
          </w:tabs>
          <w:ind w:left="1440" w:hanging="720"/>
        </w:pPr>
        <w:rPr>
          <w:rFonts w:hint="default"/>
        </w:rPr>
      </w:lvl>
    </w:lvlOverride>
    <w:lvlOverride w:ilvl="2">
      <w:lvl w:ilvl="2">
        <w:start w:val="1"/>
        <w:numFmt w:val="bullet"/>
        <w:pStyle w:val="BodyParaBullet"/>
        <w:lvlText w:val=""/>
        <w:lvlJc w:val="left"/>
        <w:pPr>
          <w:tabs>
            <w:tab w:val="num" w:pos="1440"/>
          </w:tabs>
          <w:ind w:left="1440" w:hanging="720"/>
        </w:pPr>
        <w:rPr>
          <w:rFonts w:ascii="Symbol" w:hAnsi="Symbol" w:hint="default"/>
        </w:rPr>
      </w:lvl>
    </w:lvlOverride>
    <w:lvlOverride w:ilvl="3">
      <w:lvl w:ilvl="3">
        <w:start w:val="1"/>
        <w:numFmt w:val="lowerRoman"/>
        <w:pStyle w:val="BodySubPara"/>
        <w:lvlText w:val="(%4)"/>
        <w:lvlJc w:val="left"/>
        <w:pPr>
          <w:tabs>
            <w:tab w:val="num" w:pos="2160"/>
          </w:tabs>
          <w:ind w:left="2160" w:hanging="72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1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 w:ilvl="0">
        <w:start w:val="1"/>
        <w:numFmt w:val="decimal"/>
        <w:pStyle w:val="BodyNum"/>
        <w:lvlText w:val="%1"/>
        <w:lvlJc w:val="left"/>
        <w:pPr>
          <w:tabs>
            <w:tab w:val="num" w:pos="720"/>
          </w:tabs>
          <w:ind w:left="0" w:firstLine="0"/>
        </w:pPr>
        <w:rPr>
          <w:rFonts w:hint="default"/>
        </w:rPr>
      </w:lvl>
    </w:lvlOverride>
    <w:lvlOverride w:ilvl="1">
      <w:lvl w:ilvl="1">
        <w:start w:val="1"/>
        <w:numFmt w:val="lowerLetter"/>
        <w:pStyle w:val="BodyPara"/>
        <w:lvlText w:val="(%2)"/>
        <w:lvlJc w:val="left"/>
        <w:pPr>
          <w:tabs>
            <w:tab w:val="num" w:pos="1440"/>
          </w:tabs>
          <w:ind w:left="1440" w:hanging="720"/>
        </w:pPr>
        <w:rPr>
          <w:rFonts w:hint="default"/>
        </w:rPr>
      </w:lvl>
    </w:lvlOverride>
    <w:lvlOverride w:ilvl="2">
      <w:lvl w:ilvl="2">
        <w:start w:val="1"/>
        <w:numFmt w:val="bullet"/>
        <w:pStyle w:val="BodyParaBullet"/>
        <w:lvlText w:val=""/>
        <w:lvlJc w:val="left"/>
        <w:pPr>
          <w:tabs>
            <w:tab w:val="num" w:pos="1440"/>
          </w:tabs>
          <w:ind w:left="1440" w:hanging="720"/>
        </w:pPr>
        <w:rPr>
          <w:rFonts w:ascii="Symbol" w:hAnsi="Symbol" w:hint="default"/>
        </w:rPr>
      </w:lvl>
    </w:lvlOverride>
    <w:lvlOverride w:ilvl="3">
      <w:lvl w:ilvl="3">
        <w:start w:val="1"/>
        <w:numFmt w:val="lowerRoman"/>
        <w:pStyle w:val="BodySubPara"/>
        <w:lvlText w:val="(%4)"/>
        <w:lvlJc w:val="left"/>
        <w:pPr>
          <w:tabs>
            <w:tab w:val="num" w:pos="2160"/>
          </w:tabs>
          <w:ind w:left="2160" w:hanging="72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17"/>
  </w:num>
  <w:num w:numId="19">
    <w:abstractNumId w:val="14"/>
  </w:num>
  <w:num w:numId="20">
    <w:abstractNumId w:val="15"/>
  </w:num>
  <w:num w:numId="21">
    <w:abstractNumId w:val="12"/>
  </w:num>
  <w:num w:numId="22">
    <w:abstractNumId w:val="21"/>
  </w:num>
  <w:num w:numId="2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4"/>
  </w:num>
  <w:num w:numId="26">
    <w:abstractNumId w:val="10"/>
  </w:num>
  <w:num w:numId="27">
    <w:abstractNumId w:val="23"/>
  </w:num>
  <w:num w:numId="28">
    <w:abstractNumId w:val="16"/>
  </w:num>
  <w:num w:numId="29">
    <w:abstractNumId w:val="20"/>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 w:ilvl="0">
        <w:start w:val="1"/>
        <w:numFmt w:val="decimal"/>
        <w:pStyle w:val="BodyNum"/>
        <w:lvlText w:val="%1"/>
        <w:lvlJc w:val="left"/>
        <w:pPr>
          <w:tabs>
            <w:tab w:val="num" w:pos="720"/>
          </w:tabs>
          <w:ind w:left="0" w:firstLine="0"/>
        </w:pPr>
        <w:rPr>
          <w:rFonts w:hint="default"/>
        </w:rPr>
      </w:lvl>
    </w:lvlOverride>
    <w:lvlOverride w:ilvl="1">
      <w:startOverride w:val="1"/>
      <w:lvl w:ilvl="1">
        <w:start w:val="1"/>
        <w:numFmt w:val="lowerLetter"/>
        <w:pStyle w:val="BodyPara"/>
        <w:lvlText w:val="(%2)"/>
        <w:lvlJc w:val="left"/>
        <w:pPr>
          <w:tabs>
            <w:tab w:val="num" w:pos="1440"/>
          </w:tabs>
          <w:ind w:left="1440" w:hanging="720"/>
        </w:pPr>
        <w:rPr>
          <w:rFonts w:hint="default"/>
        </w:rPr>
      </w:lvl>
    </w:lvlOverride>
    <w:lvlOverride w:ilvl="2">
      <w:startOverride w:val="1"/>
      <w:lvl w:ilvl="2">
        <w:start w:val="1"/>
        <w:numFmt w:val="bullet"/>
        <w:pStyle w:val="BodyParaBullet"/>
        <w:lvlText w:val=""/>
        <w:lvlJc w:val="left"/>
        <w:pPr>
          <w:tabs>
            <w:tab w:val="num" w:pos="1440"/>
          </w:tabs>
          <w:ind w:left="1440" w:hanging="720"/>
        </w:pPr>
        <w:rPr>
          <w:rFonts w:ascii="Symbol" w:hAnsi="Symbol" w:hint="default"/>
        </w:rPr>
      </w:lvl>
    </w:lvlOverride>
    <w:lvlOverride w:ilvl="3">
      <w:startOverride w:val="1"/>
      <w:lvl w:ilvl="3">
        <w:start w:val="1"/>
        <w:numFmt w:val="lowerRoman"/>
        <w:pStyle w:val="BodySubPara"/>
        <w:lvlText w:val="(%4)"/>
        <w:lvlJc w:val="left"/>
        <w:pPr>
          <w:tabs>
            <w:tab w:val="num" w:pos="2160"/>
          </w:tabs>
          <w:ind w:left="2160" w:hanging="72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50"/>
    <w:rsid w:val="00005D95"/>
    <w:rsid w:val="00007092"/>
    <w:rsid w:val="000115D0"/>
    <w:rsid w:val="0001363D"/>
    <w:rsid w:val="000136AF"/>
    <w:rsid w:val="00022B7E"/>
    <w:rsid w:val="000327C8"/>
    <w:rsid w:val="00036B0B"/>
    <w:rsid w:val="00056743"/>
    <w:rsid w:val="000614BF"/>
    <w:rsid w:val="000618FC"/>
    <w:rsid w:val="00091D0C"/>
    <w:rsid w:val="000A1351"/>
    <w:rsid w:val="000B5757"/>
    <w:rsid w:val="000C477D"/>
    <w:rsid w:val="000C604C"/>
    <w:rsid w:val="000C6F75"/>
    <w:rsid w:val="000D05EF"/>
    <w:rsid w:val="000D1500"/>
    <w:rsid w:val="000E2979"/>
    <w:rsid w:val="00100035"/>
    <w:rsid w:val="0010745C"/>
    <w:rsid w:val="00113A36"/>
    <w:rsid w:val="00114E5C"/>
    <w:rsid w:val="00124450"/>
    <w:rsid w:val="001255BC"/>
    <w:rsid w:val="00131FCD"/>
    <w:rsid w:val="00133D87"/>
    <w:rsid w:val="00135A33"/>
    <w:rsid w:val="00137BA3"/>
    <w:rsid w:val="00145944"/>
    <w:rsid w:val="00150651"/>
    <w:rsid w:val="0015230B"/>
    <w:rsid w:val="0015598F"/>
    <w:rsid w:val="00166C2F"/>
    <w:rsid w:val="00174846"/>
    <w:rsid w:val="001756C2"/>
    <w:rsid w:val="00184EB2"/>
    <w:rsid w:val="001939E1"/>
    <w:rsid w:val="00195382"/>
    <w:rsid w:val="001A2CB1"/>
    <w:rsid w:val="001A7908"/>
    <w:rsid w:val="001B29D6"/>
    <w:rsid w:val="001B7BCA"/>
    <w:rsid w:val="001C69C4"/>
    <w:rsid w:val="001D2443"/>
    <w:rsid w:val="001D610D"/>
    <w:rsid w:val="001E0F3B"/>
    <w:rsid w:val="001E3590"/>
    <w:rsid w:val="001E37DB"/>
    <w:rsid w:val="001E7407"/>
    <w:rsid w:val="001E7CA4"/>
    <w:rsid w:val="001F0AD2"/>
    <w:rsid w:val="002006A0"/>
    <w:rsid w:val="002008C3"/>
    <w:rsid w:val="0020169E"/>
    <w:rsid w:val="00205865"/>
    <w:rsid w:val="002136B1"/>
    <w:rsid w:val="002149A7"/>
    <w:rsid w:val="00226AF6"/>
    <w:rsid w:val="00226C35"/>
    <w:rsid w:val="00233C1D"/>
    <w:rsid w:val="002361C7"/>
    <w:rsid w:val="00236735"/>
    <w:rsid w:val="00253D1B"/>
    <w:rsid w:val="0025511F"/>
    <w:rsid w:val="0025729B"/>
    <w:rsid w:val="00263783"/>
    <w:rsid w:val="002643AE"/>
    <w:rsid w:val="00274854"/>
    <w:rsid w:val="0028192A"/>
    <w:rsid w:val="002938C0"/>
    <w:rsid w:val="00295FBA"/>
    <w:rsid w:val="002970D7"/>
    <w:rsid w:val="00297ECB"/>
    <w:rsid w:val="002A311B"/>
    <w:rsid w:val="002B7A17"/>
    <w:rsid w:val="002C309A"/>
    <w:rsid w:val="002C6954"/>
    <w:rsid w:val="002D043A"/>
    <w:rsid w:val="002D0CEF"/>
    <w:rsid w:val="002D6A8E"/>
    <w:rsid w:val="002F5164"/>
    <w:rsid w:val="003018CB"/>
    <w:rsid w:val="00311448"/>
    <w:rsid w:val="00314857"/>
    <w:rsid w:val="00314DAD"/>
    <w:rsid w:val="00322919"/>
    <w:rsid w:val="00327153"/>
    <w:rsid w:val="003367A8"/>
    <w:rsid w:val="00336D72"/>
    <w:rsid w:val="00337171"/>
    <w:rsid w:val="003454A9"/>
    <w:rsid w:val="003519FE"/>
    <w:rsid w:val="00352B0F"/>
    <w:rsid w:val="00360FB0"/>
    <w:rsid w:val="00383D8C"/>
    <w:rsid w:val="003B5735"/>
    <w:rsid w:val="003B62BF"/>
    <w:rsid w:val="003C2EDD"/>
    <w:rsid w:val="003C47D9"/>
    <w:rsid w:val="003D0BFE"/>
    <w:rsid w:val="003D1299"/>
    <w:rsid w:val="003D5700"/>
    <w:rsid w:val="003D6F8A"/>
    <w:rsid w:val="003E4160"/>
    <w:rsid w:val="004116CD"/>
    <w:rsid w:val="0042100F"/>
    <w:rsid w:val="0042190D"/>
    <w:rsid w:val="00424CA9"/>
    <w:rsid w:val="004324CD"/>
    <w:rsid w:val="0044291A"/>
    <w:rsid w:val="00450A86"/>
    <w:rsid w:val="00451979"/>
    <w:rsid w:val="00454E2D"/>
    <w:rsid w:val="004560FB"/>
    <w:rsid w:val="00461782"/>
    <w:rsid w:val="004653F8"/>
    <w:rsid w:val="00472640"/>
    <w:rsid w:val="00483E1B"/>
    <w:rsid w:val="00496F97"/>
    <w:rsid w:val="004D294C"/>
    <w:rsid w:val="004D4E71"/>
    <w:rsid w:val="004D7700"/>
    <w:rsid w:val="004E0C57"/>
    <w:rsid w:val="004F166D"/>
    <w:rsid w:val="004F6471"/>
    <w:rsid w:val="0050346D"/>
    <w:rsid w:val="00516B8D"/>
    <w:rsid w:val="0052457F"/>
    <w:rsid w:val="00527D9E"/>
    <w:rsid w:val="00530FFF"/>
    <w:rsid w:val="005327A0"/>
    <w:rsid w:val="0053297D"/>
    <w:rsid w:val="0053407F"/>
    <w:rsid w:val="005350FF"/>
    <w:rsid w:val="00537FBC"/>
    <w:rsid w:val="005403D9"/>
    <w:rsid w:val="005404A9"/>
    <w:rsid w:val="00551DF9"/>
    <w:rsid w:val="0055231C"/>
    <w:rsid w:val="0055251B"/>
    <w:rsid w:val="00553954"/>
    <w:rsid w:val="005558B1"/>
    <w:rsid w:val="00580154"/>
    <w:rsid w:val="0058061C"/>
    <w:rsid w:val="00584811"/>
    <w:rsid w:val="00594161"/>
    <w:rsid w:val="00594749"/>
    <w:rsid w:val="0059673B"/>
    <w:rsid w:val="005A0C06"/>
    <w:rsid w:val="005A0D6A"/>
    <w:rsid w:val="005B0BDD"/>
    <w:rsid w:val="005D0F1D"/>
    <w:rsid w:val="005D2048"/>
    <w:rsid w:val="005D5F18"/>
    <w:rsid w:val="005E3F3E"/>
    <w:rsid w:val="005E4C27"/>
    <w:rsid w:val="005F2292"/>
    <w:rsid w:val="00600219"/>
    <w:rsid w:val="00600C30"/>
    <w:rsid w:val="006058E2"/>
    <w:rsid w:val="006143AF"/>
    <w:rsid w:val="00620054"/>
    <w:rsid w:val="006207A3"/>
    <w:rsid w:val="0062336D"/>
    <w:rsid w:val="00623DC7"/>
    <w:rsid w:val="006262E8"/>
    <w:rsid w:val="006279B8"/>
    <w:rsid w:val="006279C8"/>
    <w:rsid w:val="00631CC9"/>
    <w:rsid w:val="006460C6"/>
    <w:rsid w:val="00664C50"/>
    <w:rsid w:val="00675618"/>
    <w:rsid w:val="0067729D"/>
    <w:rsid w:val="00677CC2"/>
    <w:rsid w:val="00680F77"/>
    <w:rsid w:val="00690AEB"/>
    <w:rsid w:val="0069207B"/>
    <w:rsid w:val="00692BCF"/>
    <w:rsid w:val="00695243"/>
    <w:rsid w:val="006B30D9"/>
    <w:rsid w:val="006C0AD2"/>
    <w:rsid w:val="006C0F2C"/>
    <w:rsid w:val="006C7F41"/>
    <w:rsid w:val="006C7F8C"/>
    <w:rsid w:val="006D7572"/>
    <w:rsid w:val="006D77BA"/>
    <w:rsid w:val="006E16B0"/>
    <w:rsid w:val="006E2E9F"/>
    <w:rsid w:val="006E7DC9"/>
    <w:rsid w:val="006F0456"/>
    <w:rsid w:val="006F0AD6"/>
    <w:rsid w:val="006F389B"/>
    <w:rsid w:val="006F4F08"/>
    <w:rsid w:val="00704A73"/>
    <w:rsid w:val="00704C4C"/>
    <w:rsid w:val="007050FA"/>
    <w:rsid w:val="00710DA8"/>
    <w:rsid w:val="007276BC"/>
    <w:rsid w:val="00727D30"/>
    <w:rsid w:val="00731E00"/>
    <w:rsid w:val="007324D4"/>
    <w:rsid w:val="00733990"/>
    <w:rsid w:val="007574B1"/>
    <w:rsid w:val="00766393"/>
    <w:rsid w:val="007715C9"/>
    <w:rsid w:val="00774EDD"/>
    <w:rsid w:val="00775577"/>
    <w:rsid w:val="007757EC"/>
    <w:rsid w:val="007769A7"/>
    <w:rsid w:val="00776EFB"/>
    <w:rsid w:val="007812C0"/>
    <w:rsid w:val="00782D9D"/>
    <w:rsid w:val="00786831"/>
    <w:rsid w:val="00787ABC"/>
    <w:rsid w:val="00791B22"/>
    <w:rsid w:val="0079485B"/>
    <w:rsid w:val="00796601"/>
    <w:rsid w:val="00796ED9"/>
    <w:rsid w:val="007A4570"/>
    <w:rsid w:val="007B5604"/>
    <w:rsid w:val="007C0EF6"/>
    <w:rsid w:val="007C303D"/>
    <w:rsid w:val="007C59C9"/>
    <w:rsid w:val="007D5D24"/>
    <w:rsid w:val="007E5FED"/>
    <w:rsid w:val="007E6E43"/>
    <w:rsid w:val="007E762D"/>
    <w:rsid w:val="007F3ADD"/>
    <w:rsid w:val="007F587E"/>
    <w:rsid w:val="008006B2"/>
    <w:rsid w:val="00802F63"/>
    <w:rsid w:val="0080391E"/>
    <w:rsid w:val="00805808"/>
    <w:rsid w:val="00806A54"/>
    <w:rsid w:val="00816C80"/>
    <w:rsid w:val="008216DF"/>
    <w:rsid w:val="00833114"/>
    <w:rsid w:val="00856A31"/>
    <w:rsid w:val="00857B18"/>
    <w:rsid w:val="00863C14"/>
    <w:rsid w:val="00864EA3"/>
    <w:rsid w:val="008754D0"/>
    <w:rsid w:val="008864AC"/>
    <w:rsid w:val="008A0E8C"/>
    <w:rsid w:val="008A5373"/>
    <w:rsid w:val="008B2E7A"/>
    <w:rsid w:val="008B76E6"/>
    <w:rsid w:val="008C7F6C"/>
    <w:rsid w:val="008E17F3"/>
    <w:rsid w:val="008E3B8C"/>
    <w:rsid w:val="008F1C9D"/>
    <w:rsid w:val="009024AF"/>
    <w:rsid w:val="00911662"/>
    <w:rsid w:val="00927419"/>
    <w:rsid w:val="00927661"/>
    <w:rsid w:val="00944424"/>
    <w:rsid w:val="009452FA"/>
    <w:rsid w:val="0094560A"/>
    <w:rsid w:val="0094622F"/>
    <w:rsid w:val="0096243C"/>
    <w:rsid w:val="00971E7F"/>
    <w:rsid w:val="0097588B"/>
    <w:rsid w:val="00981272"/>
    <w:rsid w:val="0098638B"/>
    <w:rsid w:val="0099797E"/>
    <w:rsid w:val="009D3F1A"/>
    <w:rsid w:val="009D58C1"/>
    <w:rsid w:val="00A1095B"/>
    <w:rsid w:val="00A231E2"/>
    <w:rsid w:val="00A26313"/>
    <w:rsid w:val="00A522BC"/>
    <w:rsid w:val="00A6394A"/>
    <w:rsid w:val="00A64912"/>
    <w:rsid w:val="00A67868"/>
    <w:rsid w:val="00A70A74"/>
    <w:rsid w:val="00A7598B"/>
    <w:rsid w:val="00A75E5D"/>
    <w:rsid w:val="00A855B9"/>
    <w:rsid w:val="00A877C1"/>
    <w:rsid w:val="00A91B5C"/>
    <w:rsid w:val="00A94C64"/>
    <w:rsid w:val="00A952DB"/>
    <w:rsid w:val="00AA1231"/>
    <w:rsid w:val="00AA1AB3"/>
    <w:rsid w:val="00AA1F38"/>
    <w:rsid w:val="00AA2826"/>
    <w:rsid w:val="00AA2E1B"/>
    <w:rsid w:val="00AB02C1"/>
    <w:rsid w:val="00AB102B"/>
    <w:rsid w:val="00AC22CC"/>
    <w:rsid w:val="00AC25AE"/>
    <w:rsid w:val="00AC26F3"/>
    <w:rsid w:val="00AC3DC1"/>
    <w:rsid w:val="00AC60FA"/>
    <w:rsid w:val="00AD4F84"/>
    <w:rsid w:val="00AD5641"/>
    <w:rsid w:val="00AE0D12"/>
    <w:rsid w:val="00AE5169"/>
    <w:rsid w:val="00B018E5"/>
    <w:rsid w:val="00B07631"/>
    <w:rsid w:val="00B10A3F"/>
    <w:rsid w:val="00B16B54"/>
    <w:rsid w:val="00B2119A"/>
    <w:rsid w:val="00B252A3"/>
    <w:rsid w:val="00B271E0"/>
    <w:rsid w:val="00B33B3C"/>
    <w:rsid w:val="00B41442"/>
    <w:rsid w:val="00B52ED8"/>
    <w:rsid w:val="00B66A53"/>
    <w:rsid w:val="00B91D6D"/>
    <w:rsid w:val="00B96450"/>
    <w:rsid w:val="00B96FDC"/>
    <w:rsid w:val="00BA5250"/>
    <w:rsid w:val="00BB28AC"/>
    <w:rsid w:val="00BB39DC"/>
    <w:rsid w:val="00BC060A"/>
    <w:rsid w:val="00BC62DD"/>
    <w:rsid w:val="00BD0ED2"/>
    <w:rsid w:val="00BD26A8"/>
    <w:rsid w:val="00BD46EE"/>
    <w:rsid w:val="00BE719A"/>
    <w:rsid w:val="00BE720A"/>
    <w:rsid w:val="00BF6B42"/>
    <w:rsid w:val="00C14689"/>
    <w:rsid w:val="00C26673"/>
    <w:rsid w:val="00C3484A"/>
    <w:rsid w:val="00C350AB"/>
    <w:rsid w:val="00C357DA"/>
    <w:rsid w:val="00C40D4B"/>
    <w:rsid w:val="00C42BF8"/>
    <w:rsid w:val="00C45554"/>
    <w:rsid w:val="00C50043"/>
    <w:rsid w:val="00C547AC"/>
    <w:rsid w:val="00C61CDD"/>
    <w:rsid w:val="00C64D7B"/>
    <w:rsid w:val="00C74BBC"/>
    <w:rsid w:val="00C7573B"/>
    <w:rsid w:val="00C75BE1"/>
    <w:rsid w:val="00C80E2B"/>
    <w:rsid w:val="00C83868"/>
    <w:rsid w:val="00C86CFD"/>
    <w:rsid w:val="00CB2823"/>
    <w:rsid w:val="00CB3D6B"/>
    <w:rsid w:val="00CB48D8"/>
    <w:rsid w:val="00CC7D4F"/>
    <w:rsid w:val="00CD1946"/>
    <w:rsid w:val="00CD7044"/>
    <w:rsid w:val="00CE7ACA"/>
    <w:rsid w:val="00CF0BB2"/>
    <w:rsid w:val="00D001E2"/>
    <w:rsid w:val="00D131E1"/>
    <w:rsid w:val="00D13441"/>
    <w:rsid w:val="00D1637B"/>
    <w:rsid w:val="00D2479E"/>
    <w:rsid w:val="00D30DE7"/>
    <w:rsid w:val="00D324D0"/>
    <w:rsid w:val="00D67C0A"/>
    <w:rsid w:val="00D70DFB"/>
    <w:rsid w:val="00D74749"/>
    <w:rsid w:val="00D766DF"/>
    <w:rsid w:val="00D95F65"/>
    <w:rsid w:val="00DA3B57"/>
    <w:rsid w:val="00DA6BEA"/>
    <w:rsid w:val="00DB3CFE"/>
    <w:rsid w:val="00DB4946"/>
    <w:rsid w:val="00DD0BEC"/>
    <w:rsid w:val="00DD1E1C"/>
    <w:rsid w:val="00DD35F9"/>
    <w:rsid w:val="00DD6421"/>
    <w:rsid w:val="00DE3693"/>
    <w:rsid w:val="00DE7073"/>
    <w:rsid w:val="00E046C5"/>
    <w:rsid w:val="00E04E52"/>
    <w:rsid w:val="00E35395"/>
    <w:rsid w:val="00E61514"/>
    <w:rsid w:val="00E61EFF"/>
    <w:rsid w:val="00E70C38"/>
    <w:rsid w:val="00E74DC7"/>
    <w:rsid w:val="00E77332"/>
    <w:rsid w:val="00E82770"/>
    <w:rsid w:val="00E85E21"/>
    <w:rsid w:val="00E86220"/>
    <w:rsid w:val="00E95BDD"/>
    <w:rsid w:val="00EA0B18"/>
    <w:rsid w:val="00EB6320"/>
    <w:rsid w:val="00ED0C49"/>
    <w:rsid w:val="00ED3525"/>
    <w:rsid w:val="00ED4DCF"/>
    <w:rsid w:val="00EE15C6"/>
    <w:rsid w:val="00EF19AB"/>
    <w:rsid w:val="00EF2E3A"/>
    <w:rsid w:val="00F04811"/>
    <w:rsid w:val="00F058AB"/>
    <w:rsid w:val="00F078DC"/>
    <w:rsid w:val="00F172B0"/>
    <w:rsid w:val="00F23CF9"/>
    <w:rsid w:val="00F23E5F"/>
    <w:rsid w:val="00F41EF3"/>
    <w:rsid w:val="00F458A9"/>
    <w:rsid w:val="00F473EB"/>
    <w:rsid w:val="00F51269"/>
    <w:rsid w:val="00F54C64"/>
    <w:rsid w:val="00F56799"/>
    <w:rsid w:val="00F759C7"/>
    <w:rsid w:val="00F817C4"/>
    <w:rsid w:val="00F93878"/>
    <w:rsid w:val="00FB2303"/>
    <w:rsid w:val="00FD13D9"/>
    <w:rsid w:val="00FD456C"/>
    <w:rsid w:val="00FE495E"/>
    <w:rsid w:val="00FE5227"/>
    <w:rsid w:val="00FE7E1B"/>
    <w:rsid w:val="00FF14EC"/>
    <w:rsid w:val="00FF3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50C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C69C4"/>
    <w:pPr>
      <w:spacing w:line="260" w:lineRule="atLeast"/>
    </w:pPr>
    <w:rPr>
      <w:sz w:val="22"/>
    </w:rPr>
  </w:style>
  <w:style w:type="paragraph" w:styleId="Heading1">
    <w:name w:val="heading 1"/>
    <w:basedOn w:val="Normal"/>
    <w:next w:val="Normal"/>
    <w:link w:val="Heading1Char"/>
    <w:uiPriority w:val="9"/>
    <w:qFormat/>
    <w:rsid w:val="00B96450"/>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B96450"/>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B96450"/>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B96450"/>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B96450"/>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B96450"/>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B96450"/>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B96450"/>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B96450"/>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link w:val="OPCParaBaseChar"/>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link w:val="ItemChar"/>
    <w:rsid w:val="00C42BF8"/>
    <w:pPr>
      <w:keepLines/>
      <w:spacing w:before="80" w:line="240" w:lineRule="auto"/>
      <w:ind w:left="709"/>
    </w:pPr>
  </w:style>
  <w:style w:type="paragraph" w:customStyle="1" w:styleId="ItemHead">
    <w:name w:val="ItemHead"/>
    <w:aliases w:val="ih"/>
    <w:basedOn w:val="OPCParaBase"/>
    <w:next w:val="Item"/>
    <w:link w:val="ItemHeadChar"/>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A91B5C"/>
    <w:pPr>
      <w:spacing w:line="240" w:lineRule="auto"/>
      <w:ind w:left="958"/>
    </w:pPr>
    <w:rPr>
      <w:sz w:val="24"/>
    </w:rPr>
  </w:style>
  <w:style w:type="paragraph" w:styleId="TOC6">
    <w:name w:val="toc 6"/>
    <w:basedOn w:val="OPCParaBase"/>
    <w:next w:val="Normal"/>
    <w:uiPriority w:val="39"/>
    <w:unhideWhenUsed/>
    <w:rsid w:val="00A91B5C"/>
    <w:pPr>
      <w:spacing w:line="240" w:lineRule="auto"/>
      <w:ind w:left="1202"/>
    </w:pPr>
    <w:rPr>
      <w:sz w:val="24"/>
    </w:rPr>
  </w:style>
  <w:style w:type="paragraph" w:styleId="TOC7">
    <w:name w:val="toc 7"/>
    <w:basedOn w:val="OPCParaBase"/>
    <w:next w:val="Normal"/>
    <w:uiPriority w:val="39"/>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Heading1Char">
    <w:name w:val="Heading 1 Char"/>
    <w:basedOn w:val="DefaultParagraphFont"/>
    <w:link w:val="Heading1"/>
    <w:uiPriority w:val="9"/>
    <w:rsid w:val="00B96450"/>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semiHidden/>
    <w:rsid w:val="00B96450"/>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semiHidden/>
    <w:rsid w:val="00B96450"/>
    <w:rPr>
      <w:rFonts w:ascii="Cambria" w:eastAsia="Times New Roman" w:hAnsi="Cambria"/>
      <w:b/>
      <w:bCs/>
      <w:color w:val="4F81BD"/>
      <w:sz w:val="22"/>
    </w:rPr>
  </w:style>
  <w:style w:type="character" w:customStyle="1" w:styleId="Heading4Char">
    <w:name w:val="Heading 4 Char"/>
    <w:basedOn w:val="DefaultParagraphFont"/>
    <w:link w:val="Heading4"/>
    <w:uiPriority w:val="9"/>
    <w:semiHidden/>
    <w:rsid w:val="00B96450"/>
    <w:rPr>
      <w:rFonts w:ascii="Cambria" w:eastAsia="Times New Roman" w:hAnsi="Cambria"/>
      <w:b/>
      <w:bCs/>
      <w:i/>
      <w:iCs/>
      <w:color w:val="4F81BD"/>
      <w:sz w:val="22"/>
    </w:rPr>
  </w:style>
  <w:style w:type="character" w:customStyle="1" w:styleId="Heading5Char">
    <w:name w:val="Heading 5 Char"/>
    <w:basedOn w:val="DefaultParagraphFont"/>
    <w:link w:val="Heading5"/>
    <w:uiPriority w:val="9"/>
    <w:semiHidden/>
    <w:rsid w:val="00B96450"/>
    <w:rPr>
      <w:rFonts w:ascii="Cambria" w:eastAsia="Times New Roman" w:hAnsi="Cambria"/>
      <w:color w:val="243F60"/>
      <w:sz w:val="22"/>
    </w:rPr>
  </w:style>
  <w:style w:type="character" w:customStyle="1" w:styleId="Heading6Char">
    <w:name w:val="Heading 6 Char"/>
    <w:basedOn w:val="DefaultParagraphFont"/>
    <w:link w:val="Heading6"/>
    <w:uiPriority w:val="9"/>
    <w:semiHidden/>
    <w:rsid w:val="00B96450"/>
    <w:rPr>
      <w:rFonts w:ascii="Cambria" w:eastAsia="Times New Roman" w:hAnsi="Cambria"/>
      <w:i/>
      <w:iCs/>
      <w:color w:val="243F60"/>
      <w:sz w:val="22"/>
    </w:rPr>
  </w:style>
  <w:style w:type="character" w:customStyle="1" w:styleId="Heading7Char">
    <w:name w:val="Heading 7 Char"/>
    <w:basedOn w:val="DefaultParagraphFont"/>
    <w:link w:val="Heading7"/>
    <w:uiPriority w:val="9"/>
    <w:semiHidden/>
    <w:rsid w:val="00B96450"/>
    <w:rPr>
      <w:rFonts w:ascii="Cambria" w:eastAsia="Times New Roman" w:hAnsi="Cambria"/>
      <w:i/>
      <w:iCs/>
      <w:color w:val="404040"/>
      <w:sz w:val="22"/>
    </w:rPr>
  </w:style>
  <w:style w:type="character" w:customStyle="1" w:styleId="Heading8Char">
    <w:name w:val="Heading 8 Char"/>
    <w:basedOn w:val="DefaultParagraphFont"/>
    <w:link w:val="Heading8"/>
    <w:uiPriority w:val="9"/>
    <w:semiHidden/>
    <w:rsid w:val="00B96450"/>
    <w:rPr>
      <w:rFonts w:ascii="Cambria" w:eastAsia="Times New Roman" w:hAnsi="Cambria"/>
      <w:color w:val="404040"/>
    </w:rPr>
  </w:style>
  <w:style w:type="character" w:customStyle="1" w:styleId="Heading9Char">
    <w:name w:val="Heading 9 Char"/>
    <w:basedOn w:val="DefaultParagraphFont"/>
    <w:link w:val="Heading9"/>
    <w:uiPriority w:val="9"/>
    <w:semiHidden/>
    <w:rsid w:val="00B96450"/>
    <w:rPr>
      <w:rFonts w:ascii="Cambria" w:eastAsia="Times New Roman" w:hAnsi="Cambria"/>
      <w:i/>
      <w:iCs/>
      <w:color w:val="404040"/>
    </w:rPr>
  </w:style>
  <w:style w:type="character" w:styleId="LineNumber">
    <w:name w:val="line number"/>
    <w:uiPriority w:val="99"/>
    <w:semiHidden/>
    <w:unhideWhenUsed/>
    <w:rsid w:val="00B96450"/>
    <w:rPr>
      <w:sz w:val="16"/>
    </w:rPr>
  </w:style>
  <w:style w:type="table" w:customStyle="1" w:styleId="CFlag">
    <w:name w:val="CFlag"/>
    <w:basedOn w:val="TableNormal"/>
    <w:uiPriority w:val="99"/>
    <w:rsid w:val="00B96450"/>
    <w:rPr>
      <w:rFonts w:eastAsia="Times New Roman" w:cs="Times New Roman"/>
      <w:lang w:eastAsia="en-AU"/>
    </w:rPr>
    <w:tblPr/>
  </w:style>
  <w:style w:type="character" w:customStyle="1" w:styleId="ActHead6Char">
    <w:name w:val="ActHead 6 Char"/>
    <w:aliases w:val="as Char"/>
    <w:link w:val="ActHead6"/>
    <w:rsid w:val="00B96450"/>
    <w:rPr>
      <w:rFonts w:ascii="Arial" w:eastAsia="Times New Roman" w:hAnsi="Arial" w:cs="Times New Roman"/>
      <w:b/>
      <w:kern w:val="28"/>
      <w:sz w:val="32"/>
      <w:lang w:eastAsia="en-AU"/>
    </w:rPr>
  </w:style>
  <w:style w:type="character" w:customStyle="1" w:styleId="ItemHeadChar">
    <w:name w:val="ItemHead Char"/>
    <w:aliases w:val="ih Char"/>
    <w:link w:val="ItemHead"/>
    <w:rsid w:val="00B96450"/>
    <w:rPr>
      <w:rFonts w:ascii="Arial" w:eastAsia="Times New Roman" w:hAnsi="Arial" w:cs="Times New Roman"/>
      <w:b/>
      <w:kern w:val="28"/>
      <w:sz w:val="24"/>
      <w:lang w:eastAsia="en-AU"/>
    </w:rPr>
  </w:style>
  <w:style w:type="character" w:customStyle="1" w:styleId="paragraphChar">
    <w:name w:val="paragraph Char"/>
    <w:aliases w:val="a Char"/>
    <w:link w:val="paragraph"/>
    <w:rsid w:val="00B96450"/>
    <w:rPr>
      <w:rFonts w:eastAsia="Times New Roman" w:cs="Times New Roman"/>
      <w:sz w:val="22"/>
      <w:lang w:eastAsia="en-AU"/>
    </w:rPr>
  </w:style>
  <w:style w:type="character" w:customStyle="1" w:styleId="OPCParaBaseChar">
    <w:name w:val="OPCParaBase Char"/>
    <w:link w:val="OPCParaBase"/>
    <w:rsid w:val="00B96450"/>
    <w:rPr>
      <w:rFonts w:eastAsia="Times New Roman" w:cs="Times New Roman"/>
      <w:sz w:val="22"/>
      <w:lang w:eastAsia="en-AU"/>
    </w:rPr>
  </w:style>
  <w:style w:type="character" w:customStyle="1" w:styleId="ItemChar">
    <w:name w:val="Item Char"/>
    <w:aliases w:val="i Char"/>
    <w:link w:val="Item"/>
    <w:rsid w:val="00B96450"/>
    <w:rPr>
      <w:rFonts w:eastAsia="Times New Roman" w:cs="Times New Roman"/>
      <w:sz w:val="22"/>
      <w:lang w:eastAsia="en-AU"/>
    </w:rPr>
  </w:style>
  <w:style w:type="paragraph" w:styleId="BodyText">
    <w:name w:val="Body Text"/>
    <w:basedOn w:val="Normal"/>
    <w:link w:val="BodyTextChar"/>
    <w:uiPriority w:val="99"/>
    <w:semiHidden/>
    <w:unhideWhenUsed/>
    <w:rsid w:val="00B96450"/>
    <w:pPr>
      <w:spacing w:after="120"/>
    </w:pPr>
  </w:style>
  <w:style w:type="character" w:customStyle="1" w:styleId="BodyTextChar">
    <w:name w:val="Body Text Char"/>
    <w:basedOn w:val="DefaultParagraphFont"/>
    <w:link w:val="BodyText"/>
    <w:uiPriority w:val="99"/>
    <w:semiHidden/>
    <w:rsid w:val="00B96450"/>
    <w:rPr>
      <w:sz w:val="22"/>
    </w:rPr>
  </w:style>
  <w:style w:type="paragraph" w:styleId="BodyTextFirstIndent">
    <w:name w:val="Body Text First Indent"/>
    <w:basedOn w:val="BodyText"/>
    <w:link w:val="BodyTextFirstIndentChar"/>
    <w:uiPriority w:val="99"/>
    <w:unhideWhenUsed/>
    <w:rsid w:val="00B96450"/>
    <w:pPr>
      <w:spacing w:after="0"/>
      <w:ind w:firstLine="360"/>
    </w:pPr>
  </w:style>
  <w:style w:type="character" w:customStyle="1" w:styleId="BodyTextFirstIndentChar">
    <w:name w:val="Body Text First Indent Char"/>
    <w:basedOn w:val="BodyTextChar"/>
    <w:link w:val="BodyTextFirstIndent"/>
    <w:uiPriority w:val="99"/>
    <w:rsid w:val="00B96450"/>
    <w:rPr>
      <w:sz w:val="22"/>
    </w:rPr>
  </w:style>
  <w:style w:type="paragraph" w:customStyle="1" w:styleId="Head3AGD">
    <w:name w:val="Head 3 AGD"/>
    <w:aliases w:val="3AGD"/>
    <w:basedOn w:val="Head3"/>
    <w:next w:val="Head3"/>
    <w:rsid w:val="00B96450"/>
    <w:rPr>
      <w:i w:val="0"/>
    </w:rPr>
  </w:style>
  <w:style w:type="paragraph" w:customStyle="1" w:styleId="SOText">
    <w:name w:val="SO Text"/>
    <w:aliases w:val="sot"/>
    <w:link w:val="SOTextChar"/>
    <w:rsid w:val="00B9645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96450"/>
    <w:rPr>
      <w:sz w:val="22"/>
    </w:rPr>
  </w:style>
  <w:style w:type="paragraph" w:customStyle="1" w:styleId="FileName">
    <w:name w:val="FileName"/>
    <w:basedOn w:val="Normal"/>
    <w:rsid w:val="00B96450"/>
  </w:style>
  <w:style w:type="paragraph" w:customStyle="1" w:styleId="Transitional">
    <w:name w:val="Transitional"/>
    <w:aliases w:val="tr"/>
    <w:basedOn w:val="ItemHead"/>
    <w:next w:val="Item"/>
    <w:rsid w:val="00B96450"/>
    <w:pPr>
      <w:keepNext/>
    </w:pPr>
  </w:style>
  <w:style w:type="paragraph" w:styleId="ListParagraph">
    <w:name w:val="List Paragraph"/>
    <w:basedOn w:val="Normal"/>
    <w:uiPriority w:val="34"/>
    <w:qFormat/>
    <w:rsid w:val="00B96450"/>
    <w:pPr>
      <w:spacing w:after="200" w:line="276" w:lineRule="auto"/>
      <w:ind w:left="720"/>
      <w:contextualSpacing/>
    </w:pPr>
    <w:rPr>
      <w:rFonts w:ascii="Arial" w:hAnsi="Arial"/>
      <w:szCs w:val="22"/>
    </w:rPr>
  </w:style>
  <w:style w:type="character" w:styleId="Hyperlink">
    <w:name w:val="Hyperlink"/>
    <w:basedOn w:val="DefaultParagraphFont"/>
    <w:uiPriority w:val="99"/>
    <w:unhideWhenUsed/>
    <w:rsid w:val="00B96450"/>
    <w:rPr>
      <w:color w:val="0000FF" w:themeColor="hyperlink"/>
      <w:u w:val="single"/>
    </w:rPr>
  </w:style>
  <w:style w:type="numbering" w:customStyle="1" w:styleId="OPCBodyList1">
    <w:name w:val="OPCBodyList1"/>
    <w:uiPriority w:val="99"/>
    <w:rsid w:val="00E70C38"/>
  </w:style>
  <w:style w:type="character" w:styleId="CommentReference">
    <w:name w:val="annotation reference"/>
    <w:basedOn w:val="DefaultParagraphFont"/>
    <w:uiPriority w:val="99"/>
    <w:semiHidden/>
    <w:unhideWhenUsed/>
    <w:rsid w:val="007769A7"/>
    <w:rPr>
      <w:sz w:val="16"/>
      <w:szCs w:val="16"/>
    </w:rPr>
  </w:style>
  <w:style w:type="paragraph" w:styleId="CommentText">
    <w:name w:val="annotation text"/>
    <w:basedOn w:val="Normal"/>
    <w:link w:val="CommentTextChar"/>
    <w:uiPriority w:val="99"/>
    <w:semiHidden/>
    <w:unhideWhenUsed/>
    <w:rsid w:val="007769A7"/>
    <w:pPr>
      <w:spacing w:line="240" w:lineRule="auto"/>
    </w:pPr>
    <w:rPr>
      <w:sz w:val="20"/>
    </w:rPr>
  </w:style>
  <w:style w:type="character" w:customStyle="1" w:styleId="CommentTextChar">
    <w:name w:val="Comment Text Char"/>
    <w:basedOn w:val="DefaultParagraphFont"/>
    <w:link w:val="CommentText"/>
    <w:uiPriority w:val="99"/>
    <w:semiHidden/>
    <w:rsid w:val="007769A7"/>
  </w:style>
  <w:style w:type="paragraph" w:styleId="CommentSubject">
    <w:name w:val="annotation subject"/>
    <w:basedOn w:val="CommentText"/>
    <w:next w:val="CommentText"/>
    <w:link w:val="CommentSubjectChar"/>
    <w:uiPriority w:val="99"/>
    <w:semiHidden/>
    <w:unhideWhenUsed/>
    <w:rsid w:val="007769A7"/>
    <w:rPr>
      <w:b/>
      <w:bCs/>
    </w:rPr>
  </w:style>
  <w:style w:type="character" w:customStyle="1" w:styleId="CommentSubjectChar">
    <w:name w:val="Comment Subject Char"/>
    <w:basedOn w:val="CommentTextChar"/>
    <w:link w:val="CommentSubject"/>
    <w:uiPriority w:val="99"/>
    <w:semiHidden/>
    <w:rsid w:val="007769A7"/>
    <w:rPr>
      <w:b/>
      <w:bCs/>
    </w:rPr>
  </w:style>
  <w:style w:type="paragraph" w:customStyle="1" w:styleId="bodynum0">
    <w:name w:val="bodynum"/>
    <w:basedOn w:val="Normal"/>
    <w:rsid w:val="00F23CF9"/>
    <w:pPr>
      <w:spacing w:before="100" w:beforeAutospacing="1" w:after="100" w:afterAutospacing="1" w:line="240" w:lineRule="auto"/>
    </w:pPr>
    <w:rPr>
      <w:rFonts w:eastAsia="Times New Roman" w:cs="Times New Roman"/>
      <w:sz w:val="24"/>
      <w:szCs w:val="24"/>
      <w:lang w:eastAsia="en-AU"/>
    </w:rPr>
  </w:style>
  <w:style w:type="paragraph" w:customStyle="1" w:styleId="bodypara0">
    <w:name w:val="bodypara"/>
    <w:basedOn w:val="Normal"/>
    <w:rsid w:val="00F23CF9"/>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927051">
      <w:bodyDiv w:val="1"/>
      <w:marLeft w:val="0"/>
      <w:marRight w:val="0"/>
      <w:marTop w:val="0"/>
      <w:marBottom w:val="0"/>
      <w:divBdr>
        <w:top w:val="none" w:sz="0" w:space="0" w:color="auto"/>
        <w:left w:val="none" w:sz="0" w:space="0" w:color="auto"/>
        <w:bottom w:val="none" w:sz="0" w:space="0" w:color="auto"/>
        <w:right w:val="none" w:sz="0" w:space="0" w:color="auto"/>
      </w:divBdr>
    </w:div>
    <w:div w:id="913272888">
      <w:bodyDiv w:val="1"/>
      <w:marLeft w:val="0"/>
      <w:marRight w:val="0"/>
      <w:marTop w:val="0"/>
      <w:marBottom w:val="0"/>
      <w:divBdr>
        <w:top w:val="none" w:sz="0" w:space="0" w:color="auto"/>
        <w:left w:val="none" w:sz="0" w:space="0" w:color="auto"/>
        <w:bottom w:val="none" w:sz="0" w:space="0" w:color="auto"/>
        <w:right w:val="none" w:sz="0" w:space="0" w:color="auto"/>
      </w:divBdr>
    </w:div>
    <w:div w:id="1070427912">
      <w:bodyDiv w:val="1"/>
      <w:marLeft w:val="0"/>
      <w:marRight w:val="0"/>
      <w:marTop w:val="0"/>
      <w:marBottom w:val="0"/>
      <w:divBdr>
        <w:top w:val="none" w:sz="0" w:space="0" w:color="auto"/>
        <w:left w:val="none" w:sz="0" w:space="0" w:color="auto"/>
        <w:bottom w:val="none" w:sz="0" w:space="0" w:color="auto"/>
        <w:right w:val="none" w:sz="0" w:space="0" w:color="auto"/>
      </w:divBdr>
    </w:div>
    <w:div w:id="1667128047">
      <w:bodyDiv w:val="1"/>
      <w:marLeft w:val="0"/>
      <w:marRight w:val="0"/>
      <w:marTop w:val="0"/>
      <w:marBottom w:val="0"/>
      <w:divBdr>
        <w:top w:val="none" w:sz="0" w:space="0" w:color="auto"/>
        <w:left w:val="none" w:sz="0" w:space="0" w:color="auto"/>
        <w:bottom w:val="none" w:sz="0" w:space="0" w:color="auto"/>
        <w:right w:val="none" w:sz="0" w:space="0" w:color="auto"/>
      </w:divBdr>
    </w:div>
    <w:div w:id="1905070056">
      <w:bodyDiv w:val="1"/>
      <w:marLeft w:val="0"/>
      <w:marRight w:val="0"/>
      <w:marTop w:val="0"/>
      <w:marBottom w:val="0"/>
      <w:divBdr>
        <w:top w:val="none" w:sz="0" w:space="0" w:color="auto"/>
        <w:left w:val="none" w:sz="0" w:space="0" w:color="auto"/>
        <w:bottom w:val="none" w:sz="0" w:space="0" w:color="auto"/>
        <w:right w:val="none" w:sz="0" w:space="0" w:color="auto"/>
      </w:divBdr>
    </w:div>
    <w:div w:id="1982153618">
      <w:bodyDiv w:val="1"/>
      <w:marLeft w:val="0"/>
      <w:marRight w:val="0"/>
      <w:marTop w:val="0"/>
      <w:marBottom w:val="0"/>
      <w:divBdr>
        <w:top w:val="none" w:sz="0" w:space="0" w:color="auto"/>
        <w:left w:val="none" w:sz="0" w:space="0" w:color="auto"/>
        <w:bottom w:val="none" w:sz="0" w:space="0" w:color="auto"/>
        <w:right w:val="none" w:sz="0" w:space="0" w:color="auto"/>
      </w:divBdr>
    </w:div>
    <w:div w:id="204389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AF74ECF-E915-4538-BE7C-3315142F07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A95E2C9BE3B1A438CBEC29F572712C4" ma:contentTypeVersion="" ma:contentTypeDescription="PDMS Document Site Content Type" ma:contentTypeScope="" ma:versionID="274f3ec047ac8045eff5d9c85beff4dc">
  <xsd:schema xmlns:xsd="http://www.w3.org/2001/XMLSchema" xmlns:xs="http://www.w3.org/2001/XMLSchema" xmlns:p="http://schemas.microsoft.com/office/2006/metadata/properties" xmlns:ns2="CAF74ECF-E915-4538-BE7C-3315142F07F9" targetNamespace="http://schemas.microsoft.com/office/2006/metadata/properties" ma:root="true" ma:fieldsID="ab0fee38913a9017176cc4c18002ce6e" ns2:_="">
    <xsd:import namespace="CAF74ECF-E915-4538-BE7C-3315142F07F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4ECF-E915-4538-BE7C-3315142F07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D678-EF64-4C3C-9A91-56908B6DA093}">
  <ds:schemaRefs>
    <ds:schemaRef ds:uri="http://schemas.microsoft.com/office/2006/metadata/properties"/>
    <ds:schemaRef ds:uri="http://purl.org/dc/terms/"/>
    <ds:schemaRef ds:uri="http://schemas.microsoft.com/office/2006/documentManagement/types"/>
    <ds:schemaRef ds:uri="CAF74ECF-E915-4538-BE7C-3315142F07F9"/>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4DFD03F-081F-4607-AEE1-9BDC458E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4ECF-E915-4538-BE7C-3315142F0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70FB1-07C0-4A0E-9444-2DE1B3C8E3DF}">
  <ds:schemaRefs>
    <ds:schemaRef ds:uri="http://schemas.microsoft.com/sharepoint/v3/contenttype/forms"/>
  </ds:schemaRefs>
</ds:datastoreItem>
</file>

<file path=customXml/itemProps4.xml><?xml version="1.0" encoding="utf-8"?>
<ds:datastoreItem xmlns:ds="http://schemas.openxmlformats.org/officeDocument/2006/customXml" ds:itemID="{3A5A4C6F-76DF-4943-92D9-E764D5F4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4479</Words>
  <Characters>25533</Characters>
  <Application>Microsoft Office Word</Application>
  <DocSecurity>0</DocSecurity>
  <PresentationFormat/>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2023-09-14T01:55:00Z</cp:lastPrinted>
  <dcterms:created xsi:type="dcterms:W3CDTF">2023-12-05T08:37:00Z</dcterms:created>
  <dcterms:modified xsi:type="dcterms:W3CDTF">2024-03-08T01:08:00Z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ntentTypeId">
    <vt:lpwstr>0x010100266966F133664895A6EE3632470D45F500FA95E2C9BE3B1A438CBEC29F572712C4</vt:lpwstr>
  </property>
</Properties>
</file>