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91571" w14:textId="26A2A6CE" w:rsidR="00BA2C23" w:rsidRDefault="00BA2C23" w:rsidP="0077226A">
      <w:pPr>
        <w:pStyle w:val="Heading1"/>
        <w:spacing w:before="0" w:after="0"/>
        <w:jc w:val="center"/>
        <w:rPr>
          <w:rFonts w:ascii="Times New Roman" w:hAnsi="Times New Roman"/>
          <w:b/>
          <w:sz w:val="24"/>
          <w:szCs w:val="24"/>
          <w:u w:val="single"/>
        </w:rPr>
      </w:pPr>
      <w:bookmarkStart w:id="0" w:name="_Hlk153446964"/>
      <w:r>
        <w:rPr>
          <w:rFonts w:ascii="Times New Roman" w:hAnsi="Times New Roman"/>
          <w:b/>
          <w:sz w:val="24"/>
          <w:szCs w:val="24"/>
          <w:u w:val="single"/>
        </w:rPr>
        <w:t xml:space="preserve">Legislation (Exemptions and Other Matters) Amendment (2024 Measures No. 1) Regulations 2024 </w:t>
      </w:r>
    </w:p>
    <w:p w14:paraId="48E5FE95" w14:textId="77777777" w:rsidR="00D616B8" w:rsidRPr="00D616B8" w:rsidRDefault="00D616B8" w:rsidP="00547E54"/>
    <w:bookmarkEnd w:id="0"/>
    <w:p w14:paraId="69385AE7" w14:textId="77777777" w:rsidR="00BA2C23" w:rsidRDefault="00BA2C23" w:rsidP="00547E54">
      <w:pPr>
        <w:pStyle w:val="Heading1"/>
        <w:spacing w:before="0" w:after="0"/>
        <w:jc w:val="center"/>
        <w:rPr>
          <w:rFonts w:ascii="Times New Roman" w:hAnsi="Times New Roman"/>
          <w:caps w:val="0"/>
          <w:sz w:val="24"/>
          <w:szCs w:val="24"/>
        </w:rPr>
      </w:pPr>
      <w:r>
        <w:rPr>
          <w:rFonts w:ascii="Times New Roman" w:hAnsi="Times New Roman"/>
          <w:b/>
          <w:sz w:val="24"/>
          <w:szCs w:val="24"/>
        </w:rPr>
        <w:t xml:space="preserve">EXPLANATORY STATEMENT </w:t>
      </w:r>
      <w:r>
        <w:rPr>
          <w:rFonts w:ascii="Times New Roman" w:hAnsi="Times New Roman"/>
          <w:b/>
          <w:sz w:val="24"/>
          <w:szCs w:val="24"/>
        </w:rPr>
        <w:br/>
      </w:r>
    </w:p>
    <w:p w14:paraId="32043B5E" w14:textId="77777777" w:rsidR="00BA2C23" w:rsidRDefault="00BA2C23" w:rsidP="00547E54">
      <w:pPr>
        <w:spacing w:after="0"/>
        <w:jc w:val="center"/>
        <w:rPr>
          <w:rFonts w:ascii="Times New Roman" w:hAnsi="Times New Roman" w:cs="Times New Roman"/>
          <w:sz w:val="24"/>
          <w:szCs w:val="24"/>
        </w:rPr>
      </w:pPr>
      <w:r>
        <w:rPr>
          <w:rFonts w:ascii="Times New Roman" w:hAnsi="Times New Roman" w:cs="Times New Roman"/>
          <w:sz w:val="24"/>
          <w:szCs w:val="24"/>
        </w:rPr>
        <w:t xml:space="preserve">Issued by authority of the Attorney-General </w:t>
      </w:r>
    </w:p>
    <w:p w14:paraId="67664AC1" w14:textId="77777777" w:rsidR="00BA2C23" w:rsidRDefault="00BA2C23" w:rsidP="00547E54">
      <w:pPr>
        <w:pStyle w:val="NoSpacing"/>
        <w:spacing w:line="276" w:lineRule="auto"/>
        <w:rPr>
          <w:sz w:val="24"/>
          <w:szCs w:val="24"/>
        </w:rPr>
      </w:pPr>
    </w:p>
    <w:p w14:paraId="5A4EC480" w14:textId="77777777" w:rsidR="00BA2C23" w:rsidRDefault="00BA2C23" w:rsidP="00547E54">
      <w:pPr>
        <w:spacing w:after="0"/>
        <w:rPr>
          <w:rFonts w:ascii="Times New Roman" w:hAnsi="Times New Roman" w:cs="Times New Roman"/>
          <w:b/>
          <w:caps/>
          <w:sz w:val="24"/>
          <w:szCs w:val="24"/>
        </w:rPr>
      </w:pPr>
      <w:r>
        <w:rPr>
          <w:rFonts w:ascii="Times New Roman" w:hAnsi="Times New Roman" w:cs="Times New Roman"/>
          <w:b/>
          <w:caps/>
          <w:sz w:val="24"/>
          <w:szCs w:val="24"/>
        </w:rPr>
        <w:t>Purpose and operation of the Instrument</w:t>
      </w:r>
    </w:p>
    <w:p w14:paraId="1AD53C0B" w14:textId="77777777" w:rsidR="00BA2C23" w:rsidRDefault="00BA2C23" w:rsidP="00547E54">
      <w:pPr>
        <w:pStyle w:val="Basetext"/>
        <w:spacing w:before="0"/>
        <w:rPr>
          <w:color w:val="000000"/>
          <w:sz w:val="24"/>
          <w:szCs w:val="24"/>
          <w:lang w:eastAsia="en-AU"/>
        </w:rPr>
      </w:pPr>
    </w:p>
    <w:p w14:paraId="016D27CC" w14:textId="77777777" w:rsidR="00BA2C23" w:rsidRDefault="00BA2C23" w:rsidP="00547E54">
      <w:pPr>
        <w:pStyle w:val="Basetext"/>
        <w:spacing w:before="0"/>
        <w:rPr>
          <w:color w:val="000000"/>
          <w:sz w:val="24"/>
          <w:szCs w:val="24"/>
          <w:lang w:eastAsia="en-AU"/>
        </w:rPr>
      </w:pPr>
      <w:r>
        <w:rPr>
          <w:color w:val="000000"/>
          <w:sz w:val="24"/>
          <w:szCs w:val="24"/>
          <w:lang w:eastAsia="en-AU"/>
        </w:rPr>
        <w:t>The </w:t>
      </w:r>
      <w:r>
        <w:rPr>
          <w:i/>
          <w:iCs/>
          <w:color w:val="000000"/>
          <w:sz w:val="24"/>
          <w:szCs w:val="24"/>
          <w:lang w:eastAsia="en-AU"/>
        </w:rPr>
        <w:t>Legislation Act 2003</w:t>
      </w:r>
      <w:r>
        <w:rPr>
          <w:color w:val="000000"/>
          <w:sz w:val="24"/>
          <w:szCs w:val="24"/>
          <w:lang w:eastAsia="en-AU"/>
        </w:rPr>
        <w:t> (Legislation Act) establishes a comprehensive regime for the publication of Commonwealth Acts and instruments. It also provides for the registration, tabling, parliamentary scrutiny, disallowance and sunsetting of instruments.</w:t>
      </w:r>
    </w:p>
    <w:p w14:paraId="539C809E" w14:textId="77777777" w:rsidR="00BA2C23" w:rsidRDefault="00BA2C23" w:rsidP="00547E54">
      <w:pPr>
        <w:shd w:val="clear" w:color="auto" w:fill="FFFFFF"/>
        <w:spacing w:after="0"/>
        <w:ind w:right="91"/>
        <w:rPr>
          <w:rFonts w:ascii="Times New Roman" w:eastAsia="Times New Roman" w:hAnsi="Times New Roman" w:cs="Times New Roman"/>
          <w:color w:val="000000"/>
          <w:sz w:val="24"/>
          <w:szCs w:val="24"/>
          <w:lang w:eastAsia="en-AU"/>
        </w:rPr>
      </w:pPr>
    </w:p>
    <w:p w14:paraId="35FF207E" w14:textId="77777777" w:rsidR="00BA2C23" w:rsidRDefault="00BA2C23" w:rsidP="00547E54">
      <w:pPr>
        <w:shd w:val="clear" w:color="auto" w:fill="FFFFFF"/>
        <w:spacing w:after="0"/>
        <w:ind w:right="91"/>
        <w:rPr>
          <w:rFonts w:ascii="Calibri" w:eastAsia="Times New Roman" w:hAnsi="Calibri" w:cs="Calibri"/>
          <w:color w:val="000000"/>
          <w:sz w:val="24"/>
          <w:szCs w:val="24"/>
          <w:lang w:eastAsia="en-AU"/>
        </w:rPr>
      </w:pPr>
      <w:r>
        <w:rPr>
          <w:rFonts w:ascii="Times New Roman" w:eastAsia="Times New Roman" w:hAnsi="Times New Roman" w:cs="Times New Roman"/>
          <w:color w:val="000000"/>
          <w:sz w:val="24"/>
          <w:szCs w:val="24"/>
          <w:lang w:eastAsia="en-AU"/>
        </w:rPr>
        <w:t>Section 62 of the Legislation Act provides that the Governor-General may make regulations prescribing all matters required or permitted by the Act to be prescribed by regulation, or necessary or convenient to be prescribed, for carrying out or giving effect to that Act.</w:t>
      </w:r>
    </w:p>
    <w:p w14:paraId="178E40B7" w14:textId="77777777" w:rsidR="00BA2C23" w:rsidRDefault="00BA2C23" w:rsidP="00547E54">
      <w:pPr>
        <w:pStyle w:val="Basetext"/>
        <w:spacing w:before="0"/>
        <w:rPr>
          <w:color w:val="000000"/>
          <w:sz w:val="24"/>
          <w:szCs w:val="24"/>
          <w:lang w:eastAsia="en-AU"/>
        </w:rPr>
      </w:pPr>
    </w:p>
    <w:p w14:paraId="47557623" w14:textId="77777777" w:rsidR="00BA2C23" w:rsidRDefault="00BA2C23" w:rsidP="00547E54">
      <w:pPr>
        <w:pStyle w:val="Basetext"/>
        <w:spacing w:before="0"/>
        <w:rPr>
          <w:color w:val="000000"/>
          <w:sz w:val="24"/>
          <w:szCs w:val="24"/>
          <w:lang w:eastAsia="en-AU"/>
        </w:rPr>
      </w:pPr>
      <w:bookmarkStart w:id="1" w:name="_Hlk152926285"/>
      <w:r>
        <w:rPr>
          <w:color w:val="000000"/>
          <w:sz w:val="24"/>
          <w:szCs w:val="24"/>
          <w:lang w:eastAsia="en-AU"/>
        </w:rPr>
        <w:t>Part 2 of Chapter 3 of the Legislation Act provides for mechanisms that facilitate parliamentary scrutiny of legislative instruments, including the disallowance regime. Disallowance is the process by which instruments are subject to veto by Parliament where the Parliament, with a majority vote in either House of the Parliament, may disallow a disallowable instrument in part or in full. This may result in an instrument ceasing to have effect. Legislative instruments must be laid before each House of Parliament, and are subject to disallowance for 15 sitting days in each House after being tabled. The purpose of the disallowance process is to ensure full and comprehensive parliamentary oversight and scrutiny of legislative instruments, by enabling senators and members of the House of Representative to move a motion to disallow the instrument under consideration. It also provides a mechanism of checks and balances on the executive where it is empowered to make delegated legislation under an Act of Parliament.</w:t>
      </w:r>
    </w:p>
    <w:bookmarkEnd w:id="1"/>
    <w:p w14:paraId="34A1E565" w14:textId="77777777" w:rsidR="00BA2C23" w:rsidRDefault="00BA2C23" w:rsidP="00547E54">
      <w:pPr>
        <w:pStyle w:val="Basetext"/>
        <w:spacing w:before="0"/>
        <w:rPr>
          <w:color w:val="000000"/>
          <w:sz w:val="24"/>
          <w:szCs w:val="24"/>
          <w:lang w:eastAsia="en-AU"/>
        </w:rPr>
      </w:pPr>
    </w:p>
    <w:p w14:paraId="41EA34E0" w14:textId="77777777" w:rsidR="00BA2C23" w:rsidRDefault="00BA2C23" w:rsidP="00547E54">
      <w:pPr>
        <w:pStyle w:val="Basetext"/>
        <w:spacing w:before="0"/>
        <w:rPr>
          <w:color w:val="000000"/>
          <w:sz w:val="24"/>
          <w:szCs w:val="24"/>
          <w:lang w:eastAsia="en-AU"/>
        </w:rPr>
      </w:pPr>
      <w:r>
        <w:rPr>
          <w:color w:val="000000"/>
          <w:sz w:val="24"/>
          <w:szCs w:val="24"/>
          <w:lang w:eastAsia="en-AU"/>
        </w:rPr>
        <w:t xml:space="preserve">Section 44 of the Legislation Act provides that the disallowance requirements in Part 2 of Chapter 3 do not apply to certain instruments, including instruments which are prescribed by the regulations as being exempt from disallowance for the purposes of paragraph 44(2)(b) of the Legislation Act. </w:t>
      </w:r>
    </w:p>
    <w:p w14:paraId="50FB3F67" w14:textId="77777777" w:rsidR="00BA2C23" w:rsidRDefault="00BA2C23" w:rsidP="00547E54">
      <w:pPr>
        <w:pStyle w:val="Basetext"/>
        <w:spacing w:before="0"/>
        <w:rPr>
          <w:color w:val="000000"/>
          <w:sz w:val="24"/>
          <w:szCs w:val="24"/>
          <w:lang w:eastAsia="en-AU"/>
        </w:rPr>
      </w:pPr>
    </w:p>
    <w:p w14:paraId="51BC3DF0" w14:textId="77777777" w:rsidR="00BA2C23" w:rsidRDefault="00BA2C23" w:rsidP="00547E54">
      <w:pPr>
        <w:pStyle w:val="Basetext"/>
        <w:spacing w:before="0"/>
        <w:rPr>
          <w:color w:val="000000"/>
          <w:sz w:val="24"/>
          <w:szCs w:val="24"/>
          <w:lang w:eastAsia="en-AU"/>
        </w:rPr>
      </w:pPr>
      <w:r>
        <w:rPr>
          <w:color w:val="000000"/>
          <w:sz w:val="24"/>
          <w:szCs w:val="24"/>
          <w:lang w:eastAsia="en-AU"/>
        </w:rPr>
        <w:t>Part 4 of Chapter 3 of the Legislation Act provides for the sunsetting of legislative instruments. Sunsetting is the process by which instruments are automatically repealed after a fixed period of time, generally 10 years after their registration, unless steps are taken to preserve their operation, or the instruments are exempt from sunsetting. As set out in section 49 of the Legislation Act, the purpose of sunsetting is to ensure that legislative instruments continue to be fit-for-purpose and are kept up to date through regular review.</w:t>
      </w:r>
    </w:p>
    <w:p w14:paraId="3DA11321" w14:textId="77777777" w:rsidR="00BA2C23" w:rsidRDefault="00BA2C23" w:rsidP="00547E54">
      <w:pPr>
        <w:pStyle w:val="Basetext"/>
        <w:spacing w:before="0"/>
        <w:rPr>
          <w:color w:val="000000"/>
          <w:sz w:val="24"/>
          <w:szCs w:val="24"/>
          <w:lang w:eastAsia="en-AU"/>
        </w:rPr>
      </w:pPr>
    </w:p>
    <w:p w14:paraId="6767A4E3" w14:textId="77777777" w:rsidR="00BA2C23" w:rsidRDefault="00BA2C23" w:rsidP="00547E54">
      <w:pPr>
        <w:pStyle w:val="Basetext"/>
        <w:spacing w:before="0"/>
        <w:rPr>
          <w:color w:val="000000"/>
          <w:sz w:val="24"/>
          <w:szCs w:val="24"/>
          <w:lang w:eastAsia="en-AU"/>
        </w:rPr>
      </w:pPr>
      <w:r>
        <w:rPr>
          <w:color w:val="000000"/>
          <w:sz w:val="24"/>
          <w:szCs w:val="24"/>
          <w:lang w:eastAsia="en-AU"/>
        </w:rPr>
        <w:t xml:space="preserve">Section 54 of the Legislation Act provides that the sunsetting regime in Part 4 of Chapter 3 </w:t>
      </w:r>
      <w:r>
        <w:rPr>
          <w:color w:val="000000"/>
          <w:sz w:val="24"/>
          <w:szCs w:val="24"/>
          <w:lang w:eastAsia="en-AU"/>
        </w:rPr>
        <w:lastRenderedPageBreak/>
        <w:t xml:space="preserve">does not apply to certain instruments, including instruments which are prescribed by the regulations as being exempt from sunsetting for the purposes of paragraph 54(2)(b) of the Legislation Act. </w:t>
      </w:r>
    </w:p>
    <w:p w14:paraId="0E2D98BF" w14:textId="77777777" w:rsidR="00BA2C23" w:rsidRDefault="00BA2C23" w:rsidP="00547E54">
      <w:pPr>
        <w:pStyle w:val="Basetext"/>
        <w:spacing w:before="0"/>
        <w:rPr>
          <w:color w:val="000000"/>
          <w:sz w:val="24"/>
          <w:szCs w:val="24"/>
          <w:lang w:eastAsia="en-AU"/>
        </w:rPr>
      </w:pPr>
    </w:p>
    <w:p w14:paraId="064989AB" w14:textId="77777777" w:rsidR="00BA2C23" w:rsidRDefault="00BA2C23" w:rsidP="00547E54">
      <w:pPr>
        <w:pStyle w:val="Basetext"/>
        <w:keepLines/>
        <w:spacing w:before="0"/>
        <w:rPr>
          <w:color w:val="000000"/>
          <w:sz w:val="24"/>
          <w:szCs w:val="24"/>
          <w:lang w:eastAsia="en-AU"/>
        </w:rPr>
      </w:pPr>
      <w:r>
        <w:rPr>
          <w:color w:val="000000"/>
          <w:sz w:val="24"/>
          <w:szCs w:val="24"/>
          <w:lang w:eastAsia="en-AU"/>
        </w:rPr>
        <w:t xml:space="preserve">Relevantly, the </w:t>
      </w:r>
      <w:bookmarkStart w:id="2" w:name="_Hlk152162344"/>
      <w:r>
        <w:rPr>
          <w:i/>
          <w:color w:val="000000"/>
          <w:sz w:val="24"/>
          <w:szCs w:val="24"/>
          <w:lang w:eastAsia="en-AU"/>
        </w:rPr>
        <w:t xml:space="preserve">Legislation (Exemptions and Other Matters) Regulation 2015 </w:t>
      </w:r>
      <w:bookmarkEnd w:id="2"/>
      <w:r>
        <w:rPr>
          <w:color w:val="000000"/>
          <w:sz w:val="24"/>
          <w:szCs w:val="24"/>
          <w:lang w:eastAsia="en-AU"/>
        </w:rPr>
        <w:t>(the Principal Regulations) prescribes instruments that are exempt from sunsetting or disallowance. The Principal Regulations prescribe classes of legislative instruments (at section 9) and particular legislative instruments (at section 10) that are exempt from disallowance under paragraph 44(2)(b) of the Legislation Act. The Principal Regulations also prescribe classes of legislative instruments (section 11) and particular legislative instruments (section 12) that are exempt from sunsetting under paragraph 54(2)(b) of the Legislation Act. In this way, the Principal Regulations serve as a central source of sunsetting and disallowance exemptions, facilitating their whole-of-government management and ensuring that accurate sunsetting and disallowance information can be readily provided to Australian Government agencies, the Parliament and the general public.</w:t>
      </w:r>
    </w:p>
    <w:p w14:paraId="4E331407" w14:textId="77777777" w:rsidR="00BA2C23" w:rsidRPr="0048284A" w:rsidRDefault="00BA2C23" w:rsidP="00547E54">
      <w:pPr>
        <w:pStyle w:val="Basetext"/>
        <w:spacing w:before="0"/>
        <w:rPr>
          <w:i/>
          <w:color w:val="000000"/>
          <w:sz w:val="24"/>
          <w:szCs w:val="24"/>
          <w:lang w:eastAsia="en-AU"/>
        </w:rPr>
      </w:pPr>
    </w:p>
    <w:p w14:paraId="0985BF44" w14:textId="5F5E0514" w:rsidR="0048284A" w:rsidRPr="0048284A" w:rsidRDefault="00BA2C23" w:rsidP="00F04E76">
      <w:pPr>
        <w:spacing w:after="0"/>
        <w:rPr>
          <w:rFonts w:ascii="Times New Roman" w:hAnsi="Times New Roman" w:cs="Times New Roman"/>
          <w:sz w:val="24"/>
          <w:szCs w:val="24"/>
        </w:rPr>
      </w:pPr>
      <w:r w:rsidRPr="00C40D32">
        <w:rPr>
          <w:rFonts w:ascii="Times New Roman" w:hAnsi="Times New Roman" w:cs="Times New Roman"/>
          <w:color w:val="000000"/>
          <w:sz w:val="24"/>
          <w:szCs w:val="24"/>
          <w:lang w:eastAsia="en-AU"/>
        </w:rPr>
        <w:t>The</w:t>
      </w:r>
      <w:r w:rsidRPr="0048284A">
        <w:rPr>
          <w:rFonts w:ascii="Times New Roman" w:hAnsi="Times New Roman" w:cs="Times New Roman"/>
          <w:i/>
          <w:color w:val="000000"/>
          <w:sz w:val="24"/>
          <w:szCs w:val="24"/>
          <w:lang w:eastAsia="en-AU"/>
        </w:rPr>
        <w:t xml:space="preserve"> </w:t>
      </w:r>
      <w:r w:rsidR="00C40D32">
        <w:rPr>
          <w:rFonts w:ascii="Times New Roman" w:hAnsi="Times New Roman" w:cs="Times New Roman"/>
          <w:i/>
          <w:sz w:val="24"/>
          <w:szCs w:val="24"/>
        </w:rPr>
        <w:t>Legislation (Exemptions and Other Matters) Amendment (2024 Measures No. 1) Regulations 2024</w:t>
      </w:r>
      <w:r w:rsidR="00C40D32">
        <w:rPr>
          <w:rFonts w:ascii="Times New Roman" w:hAnsi="Times New Roman" w:cs="Times New Roman"/>
          <w:sz w:val="24"/>
          <w:szCs w:val="24"/>
        </w:rPr>
        <w:t xml:space="preserve"> </w:t>
      </w:r>
      <w:r w:rsidRPr="0048284A">
        <w:rPr>
          <w:rFonts w:ascii="Times New Roman" w:hAnsi="Times New Roman" w:cs="Times New Roman"/>
          <w:color w:val="000000"/>
          <w:sz w:val="24"/>
          <w:szCs w:val="24"/>
          <w:lang w:eastAsia="en-AU"/>
        </w:rPr>
        <w:t xml:space="preserve">(Amendment Regulations) </w:t>
      </w:r>
      <w:r w:rsidR="0048284A" w:rsidRPr="0048284A">
        <w:rPr>
          <w:rFonts w:ascii="Times New Roman" w:hAnsi="Times New Roman" w:cs="Times New Roman"/>
          <w:sz w:val="24"/>
          <w:szCs w:val="24"/>
        </w:rPr>
        <w:t>amend the Principal Regulations to:</w:t>
      </w:r>
    </w:p>
    <w:p w14:paraId="6B0738CA" w14:textId="3A01132B" w:rsidR="0048284A" w:rsidRPr="0048284A" w:rsidRDefault="0048284A" w:rsidP="00F04E76">
      <w:pPr>
        <w:pStyle w:val="ListParagraph"/>
        <w:numPr>
          <w:ilvl w:val="0"/>
          <w:numId w:val="21"/>
        </w:numPr>
        <w:spacing w:after="0"/>
        <w:rPr>
          <w:rFonts w:ascii="Times New Roman" w:hAnsi="Times New Roman" w:cs="Times New Roman"/>
          <w:sz w:val="24"/>
          <w:szCs w:val="24"/>
        </w:rPr>
      </w:pPr>
      <w:r w:rsidRPr="0048284A">
        <w:rPr>
          <w:rFonts w:ascii="Times New Roman" w:hAnsi="Times New Roman" w:cs="Times New Roman"/>
          <w:sz w:val="24"/>
          <w:szCs w:val="24"/>
        </w:rPr>
        <w:t xml:space="preserve">repeal an existing exemption from disallowance under item 7 of section 10 for funding rules, and variations of funding rules, made under the </w:t>
      </w:r>
      <w:r w:rsidRPr="0048284A">
        <w:rPr>
          <w:rFonts w:ascii="Times New Roman" w:hAnsi="Times New Roman" w:cs="Times New Roman"/>
          <w:i/>
          <w:sz w:val="24"/>
          <w:szCs w:val="24"/>
        </w:rPr>
        <w:t>Australian Research Council Act 2001</w:t>
      </w:r>
      <w:r w:rsidRPr="0048284A">
        <w:rPr>
          <w:rFonts w:ascii="Times New Roman" w:hAnsi="Times New Roman" w:cs="Times New Roman"/>
          <w:sz w:val="24"/>
          <w:szCs w:val="24"/>
        </w:rPr>
        <w:t xml:space="preserve"> (ARC Act)</w:t>
      </w:r>
      <w:r w:rsidR="002B289D">
        <w:rPr>
          <w:rFonts w:ascii="Times New Roman" w:hAnsi="Times New Roman" w:cs="Times New Roman"/>
          <w:sz w:val="24"/>
          <w:szCs w:val="24"/>
        </w:rPr>
        <w:t>;</w:t>
      </w:r>
    </w:p>
    <w:p w14:paraId="60165D37" w14:textId="18B81DF4" w:rsidR="00A230C2" w:rsidRDefault="0048284A" w:rsidP="00F04E76">
      <w:pPr>
        <w:pStyle w:val="ListParagraph"/>
        <w:numPr>
          <w:ilvl w:val="0"/>
          <w:numId w:val="21"/>
        </w:numPr>
        <w:spacing w:after="0"/>
        <w:rPr>
          <w:rFonts w:ascii="Times New Roman" w:hAnsi="Times New Roman" w:cs="Times New Roman"/>
          <w:sz w:val="24"/>
          <w:szCs w:val="24"/>
        </w:rPr>
      </w:pPr>
      <w:r w:rsidRPr="0048284A">
        <w:rPr>
          <w:rFonts w:ascii="Times New Roman" w:hAnsi="Times New Roman" w:cs="Times New Roman"/>
          <w:sz w:val="24"/>
          <w:szCs w:val="24"/>
        </w:rPr>
        <w:t>provide a transitional period between 1 July 2024 and 1 July 2025 during which variations of existing funding rules would continue to be exempt from disallowance</w:t>
      </w:r>
      <w:r w:rsidR="002B289D">
        <w:rPr>
          <w:rFonts w:ascii="Times New Roman" w:hAnsi="Times New Roman" w:cs="Times New Roman"/>
          <w:sz w:val="24"/>
          <w:szCs w:val="24"/>
        </w:rPr>
        <w:t>; and</w:t>
      </w:r>
    </w:p>
    <w:p w14:paraId="631D7406" w14:textId="3B9537C0" w:rsidR="0048284A" w:rsidRPr="00A230C2" w:rsidRDefault="0048284A" w:rsidP="00F04E76">
      <w:pPr>
        <w:pStyle w:val="ListParagraph"/>
        <w:numPr>
          <w:ilvl w:val="0"/>
          <w:numId w:val="21"/>
        </w:numPr>
        <w:spacing w:after="0"/>
        <w:rPr>
          <w:rFonts w:ascii="Times New Roman" w:hAnsi="Times New Roman" w:cs="Times New Roman"/>
          <w:sz w:val="24"/>
          <w:szCs w:val="24"/>
        </w:rPr>
      </w:pPr>
      <w:r w:rsidRPr="00A230C2">
        <w:rPr>
          <w:rFonts w:ascii="Times New Roman" w:hAnsi="Times New Roman" w:cs="Times New Roman"/>
          <w:sz w:val="24"/>
          <w:szCs w:val="24"/>
        </w:rPr>
        <w:t xml:space="preserve">prescribe two additional instruments to be exempt from sunsetting under section 12, the </w:t>
      </w:r>
      <w:r w:rsidRPr="00A230C2">
        <w:rPr>
          <w:rFonts w:ascii="Times New Roman" w:hAnsi="Times New Roman" w:cs="Times New Roman"/>
          <w:i/>
          <w:sz w:val="24"/>
          <w:szCs w:val="24"/>
        </w:rPr>
        <w:t>Air Navigation (Aircraft Engine Emissions) Regulations</w:t>
      </w:r>
      <w:r w:rsidR="00F27487">
        <w:rPr>
          <w:rFonts w:ascii="Times New Roman" w:hAnsi="Times New Roman" w:cs="Times New Roman"/>
          <w:i/>
          <w:sz w:val="24"/>
          <w:szCs w:val="24"/>
        </w:rPr>
        <w:t xml:space="preserve"> 1995</w:t>
      </w:r>
      <w:r w:rsidRPr="00A230C2">
        <w:rPr>
          <w:rFonts w:ascii="Times New Roman" w:hAnsi="Times New Roman" w:cs="Times New Roman"/>
          <w:i/>
          <w:sz w:val="24"/>
          <w:szCs w:val="24"/>
        </w:rPr>
        <w:t xml:space="preserve"> </w:t>
      </w:r>
      <w:r w:rsidRPr="00A230C2">
        <w:rPr>
          <w:rFonts w:ascii="Times New Roman" w:hAnsi="Times New Roman" w:cs="Times New Roman"/>
          <w:sz w:val="24"/>
          <w:szCs w:val="24"/>
        </w:rPr>
        <w:t>and</w:t>
      </w:r>
      <w:r w:rsidRPr="00A230C2">
        <w:rPr>
          <w:rFonts w:ascii="Times New Roman" w:hAnsi="Times New Roman" w:cs="Times New Roman"/>
          <w:i/>
          <w:sz w:val="24"/>
          <w:szCs w:val="24"/>
        </w:rPr>
        <w:t xml:space="preserve"> </w:t>
      </w:r>
      <w:r w:rsidRPr="00A230C2">
        <w:rPr>
          <w:rFonts w:ascii="Times New Roman" w:hAnsi="Times New Roman" w:cs="Times New Roman"/>
          <w:sz w:val="24"/>
          <w:szCs w:val="24"/>
        </w:rPr>
        <w:t xml:space="preserve">the </w:t>
      </w:r>
      <w:r w:rsidRPr="00A230C2">
        <w:rPr>
          <w:rFonts w:ascii="Times New Roman" w:hAnsi="Times New Roman" w:cs="Times New Roman"/>
          <w:i/>
          <w:sz w:val="24"/>
          <w:szCs w:val="24"/>
        </w:rPr>
        <w:t xml:space="preserve">Air Navigation (Aircraft Noise) Regulations 2018 </w:t>
      </w:r>
      <w:r w:rsidRPr="00A230C2">
        <w:rPr>
          <w:rFonts w:ascii="Times New Roman" w:hAnsi="Times New Roman" w:cs="Times New Roman"/>
          <w:sz w:val="24"/>
          <w:szCs w:val="24"/>
        </w:rPr>
        <w:t xml:space="preserve">(together ‘the Emissions and Noise Regulations’). </w:t>
      </w:r>
    </w:p>
    <w:p w14:paraId="057B96AD" w14:textId="77777777" w:rsidR="00BA2C23" w:rsidRDefault="00BA2C23" w:rsidP="0077226A">
      <w:pPr>
        <w:pStyle w:val="Basetext"/>
        <w:spacing w:before="0"/>
        <w:rPr>
          <w:i/>
          <w:sz w:val="24"/>
          <w:szCs w:val="24"/>
        </w:rPr>
      </w:pPr>
    </w:p>
    <w:p w14:paraId="71502238" w14:textId="77777777" w:rsidR="00BA2C23" w:rsidRDefault="00BA2C23">
      <w:pPr>
        <w:pStyle w:val="Basetext"/>
        <w:spacing w:before="0"/>
        <w:rPr>
          <w:b/>
          <w:i/>
          <w:color w:val="000000"/>
          <w:sz w:val="24"/>
          <w:szCs w:val="24"/>
          <w:lang w:eastAsia="en-AU"/>
        </w:rPr>
      </w:pPr>
      <w:r>
        <w:rPr>
          <w:b/>
          <w:i/>
          <w:color w:val="000000"/>
          <w:sz w:val="24"/>
          <w:szCs w:val="24"/>
          <w:lang w:eastAsia="en-AU"/>
        </w:rPr>
        <w:t>Repealing an exemption from disallowance – Funding rules and any variation of those rules made under sections 60 and 61 of the Australian Research Council Act 2001</w:t>
      </w:r>
    </w:p>
    <w:p w14:paraId="2A3DA11A" w14:textId="77777777" w:rsidR="00BA2C23" w:rsidRDefault="00BA2C23">
      <w:pPr>
        <w:spacing w:after="0"/>
        <w:rPr>
          <w:rFonts w:ascii="Times New Roman" w:eastAsia="Times New Roman" w:hAnsi="Times New Roman" w:cs="Times New Roman"/>
          <w:snapToGrid w:val="0"/>
          <w:color w:val="000000"/>
          <w:sz w:val="24"/>
          <w:szCs w:val="24"/>
          <w:lang w:eastAsia="en-AU"/>
        </w:rPr>
      </w:pPr>
    </w:p>
    <w:p w14:paraId="195A2582" w14:textId="77777777" w:rsidR="00BA2C23" w:rsidRDefault="00BA2C23">
      <w:pPr>
        <w:spacing w:after="0"/>
        <w:rPr>
          <w:rFonts w:ascii="Times New Roman" w:eastAsia="Times New Roman" w:hAnsi="Times New Roman" w:cs="Times New Roman"/>
          <w:snapToGrid w:val="0"/>
          <w:color w:val="000000"/>
          <w:sz w:val="24"/>
          <w:szCs w:val="24"/>
          <w:lang w:eastAsia="en-AU"/>
        </w:rPr>
      </w:pPr>
      <w:r>
        <w:rPr>
          <w:rFonts w:ascii="Times New Roman" w:eastAsia="Times New Roman" w:hAnsi="Times New Roman" w:cs="Times New Roman"/>
          <w:snapToGrid w:val="0"/>
          <w:color w:val="000000"/>
          <w:sz w:val="24"/>
          <w:szCs w:val="24"/>
          <w:lang w:eastAsia="en-AU"/>
        </w:rPr>
        <w:t>Table item 7 of section 10 of the Principal Regulations provides an exemption from disallowance under section 44 of the Legislation Act for the following instruments:</w:t>
      </w:r>
      <w:r>
        <w:rPr>
          <w:rFonts w:ascii="Times New Roman" w:eastAsia="Times New Roman" w:hAnsi="Times New Roman" w:cs="Times New Roman"/>
          <w:snapToGrid w:val="0"/>
          <w:color w:val="000000"/>
          <w:sz w:val="24"/>
          <w:szCs w:val="24"/>
          <w:lang w:eastAsia="en-AU"/>
        </w:rPr>
        <w:tab/>
      </w:r>
    </w:p>
    <w:p w14:paraId="325DB582" w14:textId="77777777" w:rsidR="00BA2C23" w:rsidRDefault="00BA2C23">
      <w:pPr>
        <w:pStyle w:val="ListParagraph"/>
        <w:numPr>
          <w:ilvl w:val="0"/>
          <w:numId w:val="11"/>
        </w:numPr>
        <w:spacing w:before="120" w:after="0"/>
        <w:ind w:left="714" w:hanging="357"/>
        <w:rPr>
          <w:rFonts w:ascii="Times New Roman" w:eastAsia="Times New Roman" w:hAnsi="Times New Roman" w:cs="Times New Roman"/>
          <w:snapToGrid w:val="0"/>
          <w:color w:val="000000"/>
          <w:sz w:val="24"/>
          <w:szCs w:val="24"/>
          <w:lang w:eastAsia="en-AU"/>
        </w:rPr>
      </w:pPr>
      <w:r>
        <w:rPr>
          <w:rFonts w:ascii="Times New Roman" w:eastAsia="Times New Roman" w:hAnsi="Times New Roman" w:cs="Times New Roman"/>
          <w:snapToGrid w:val="0"/>
          <w:color w:val="000000"/>
          <w:sz w:val="24"/>
          <w:szCs w:val="24"/>
          <w:lang w:eastAsia="en-AU"/>
        </w:rPr>
        <w:t xml:space="preserve">a rule made under section 60 of the </w:t>
      </w:r>
      <w:r>
        <w:rPr>
          <w:rFonts w:ascii="Times New Roman" w:eastAsia="Times New Roman" w:hAnsi="Times New Roman" w:cs="Times New Roman"/>
          <w:i/>
          <w:snapToGrid w:val="0"/>
          <w:color w:val="000000"/>
          <w:sz w:val="24"/>
          <w:szCs w:val="24"/>
          <w:lang w:eastAsia="en-AU"/>
        </w:rPr>
        <w:t>Australian Research Council Act 2001</w:t>
      </w:r>
      <w:r>
        <w:rPr>
          <w:rFonts w:ascii="Times New Roman" w:eastAsia="Times New Roman" w:hAnsi="Times New Roman" w:cs="Times New Roman"/>
          <w:snapToGrid w:val="0"/>
          <w:color w:val="000000"/>
          <w:sz w:val="24"/>
          <w:szCs w:val="24"/>
          <w:lang w:eastAsia="en-AU"/>
        </w:rPr>
        <w:t>; and</w:t>
      </w:r>
    </w:p>
    <w:p w14:paraId="5009086E" w14:textId="77777777" w:rsidR="00BA2C23" w:rsidRDefault="00BA2C23">
      <w:pPr>
        <w:pStyle w:val="ListParagraph"/>
        <w:numPr>
          <w:ilvl w:val="0"/>
          <w:numId w:val="11"/>
        </w:numPr>
        <w:spacing w:before="120" w:after="0"/>
        <w:ind w:left="714" w:hanging="357"/>
        <w:rPr>
          <w:rFonts w:ascii="Times New Roman" w:eastAsia="Times New Roman" w:hAnsi="Times New Roman" w:cs="Times New Roman"/>
          <w:snapToGrid w:val="0"/>
          <w:color w:val="000000"/>
          <w:sz w:val="24"/>
          <w:szCs w:val="24"/>
          <w:lang w:eastAsia="en-AU"/>
        </w:rPr>
      </w:pPr>
      <w:r>
        <w:rPr>
          <w:rFonts w:ascii="Times New Roman" w:eastAsia="Times New Roman" w:hAnsi="Times New Roman" w:cs="Times New Roman"/>
          <w:snapToGrid w:val="0"/>
          <w:color w:val="000000"/>
          <w:sz w:val="24"/>
          <w:szCs w:val="24"/>
          <w:lang w:eastAsia="en-AU"/>
        </w:rPr>
        <w:t>a variation of a set of rules made under section 61 of that Act.</w:t>
      </w:r>
    </w:p>
    <w:p w14:paraId="132E80FD" w14:textId="77777777" w:rsidR="00D9227C" w:rsidRDefault="00D9227C">
      <w:pPr>
        <w:spacing w:after="0"/>
        <w:rPr>
          <w:rFonts w:ascii="Times New Roman" w:eastAsia="Times New Roman" w:hAnsi="Times New Roman" w:cs="Times New Roman"/>
          <w:snapToGrid w:val="0"/>
          <w:color w:val="000000"/>
          <w:sz w:val="24"/>
          <w:szCs w:val="24"/>
          <w:lang w:eastAsia="en-AU"/>
        </w:rPr>
      </w:pPr>
    </w:p>
    <w:p w14:paraId="14DCBA06" w14:textId="33FEE890" w:rsidR="00D9227C" w:rsidRDefault="00D9227C">
      <w:pPr>
        <w:spacing w:after="0"/>
        <w:rPr>
          <w:rFonts w:ascii="Times New Roman" w:eastAsia="Times New Roman" w:hAnsi="Times New Roman" w:cs="Times New Roman"/>
          <w:snapToGrid w:val="0"/>
          <w:color w:val="000000"/>
          <w:sz w:val="24"/>
          <w:szCs w:val="24"/>
          <w:lang w:eastAsia="en-AU"/>
        </w:rPr>
      </w:pPr>
      <w:r>
        <w:rPr>
          <w:rFonts w:ascii="Times New Roman" w:eastAsia="Times New Roman" w:hAnsi="Times New Roman" w:cs="Times New Roman"/>
          <w:snapToGrid w:val="0"/>
          <w:color w:val="000000"/>
          <w:sz w:val="24"/>
          <w:szCs w:val="24"/>
          <w:lang w:eastAsia="en-AU"/>
        </w:rPr>
        <w:t xml:space="preserve">Rules </w:t>
      </w:r>
      <w:r w:rsidR="0048284A">
        <w:rPr>
          <w:rFonts w:ascii="Times New Roman" w:eastAsia="Times New Roman" w:hAnsi="Times New Roman" w:cs="Times New Roman"/>
          <w:snapToGrid w:val="0"/>
          <w:color w:val="000000"/>
          <w:sz w:val="24"/>
          <w:szCs w:val="24"/>
          <w:lang w:eastAsia="en-AU"/>
        </w:rPr>
        <w:t xml:space="preserve">made </w:t>
      </w:r>
      <w:r>
        <w:rPr>
          <w:rFonts w:ascii="Times New Roman" w:eastAsia="Times New Roman" w:hAnsi="Times New Roman" w:cs="Times New Roman"/>
          <w:snapToGrid w:val="0"/>
          <w:color w:val="000000"/>
          <w:sz w:val="24"/>
          <w:szCs w:val="24"/>
          <w:lang w:eastAsia="en-AU"/>
        </w:rPr>
        <w:t xml:space="preserve">under section 60 of the </w:t>
      </w:r>
      <w:r>
        <w:rPr>
          <w:rFonts w:ascii="Times New Roman" w:eastAsia="Times New Roman" w:hAnsi="Times New Roman" w:cs="Times New Roman"/>
          <w:i/>
          <w:snapToGrid w:val="0"/>
          <w:color w:val="000000"/>
          <w:sz w:val="24"/>
          <w:szCs w:val="24"/>
          <w:lang w:eastAsia="en-AU"/>
        </w:rPr>
        <w:t xml:space="preserve">Australian Research Council Act 2001 </w:t>
      </w:r>
      <w:r>
        <w:rPr>
          <w:rFonts w:ascii="Times New Roman" w:eastAsia="Times New Roman" w:hAnsi="Times New Roman" w:cs="Times New Roman"/>
          <w:snapToGrid w:val="0"/>
          <w:color w:val="000000"/>
          <w:sz w:val="24"/>
          <w:szCs w:val="24"/>
          <w:lang w:eastAsia="en-AU"/>
        </w:rPr>
        <w:t>(ARC Act) are</w:t>
      </w:r>
      <w:r w:rsidR="0004508C">
        <w:rPr>
          <w:rFonts w:ascii="Times New Roman" w:eastAsia="Times New Roman" w:hAnsi="Times New Roman" w:cs="Times New Roman"/>
          <w:snapToGrid w:val="0"/>
          <w:color w:val="000000"/>
          <w:sz w:val="24"/>
          <w:szCs w:val="24"/>
          <w:lang w:eastAsia="en-AU"/>
        </w:rPr>
        <w:t xml:space="preserve"> </w:t>
      </w:r>
      <w:r>
        <w:rPr>
          <w:rFonts w:ascii="Times New Roman" w:eastAsia="Times New Roman" w:hAnsi="Times New Roman" w:cs="Times New Roman"/>
          <w:snapToGrid w:val="0"/>
          <w:color w:val="000000"/>
          <w:sz w:val="24"/>
          <w:szCs w:val="24"/>
          <w:lang w:eastAsia="en-AU"/>
        </w:rPr>
        <w:t>related to funding</w:t>
      </w:r>
      <w:r w:rsidR="00254191">
        <w:rPr>
          <w:rFonts w:ascii="Times New Roman" w:eastAsia="Times New Roman" w:hAnsi="Times New Roman" w:cs="Times New Roman"/>
          <w:snapToGrid w:val="0"/>
          <w:color w:val="000000"/>
          <w:sz w:val="24"/>
          <w:szCs w:val="24"/>
          <w:lang w:eastAsia="en-AU"/>
        </w:rPr>
        <w:t xml:space="preserve"> arrangements for the Australian Research Council (ARC) to administer grant programs</w:t>
      </w:r>
      <w:r>
        <w:rPr>
          <w:rFonts w:ascii="Times New Roman" w:eastAsia="Times New Roman" w:hAnsi="Times New Roman" w:cs="Times New Roman"/>
          <w:snapToGrid w:val="0"/>
          <w:color w:val="000000"/>
          <w:sz w:val="24"/>
          <w:szCs w:val="24"/>
          <w:lang w:eastAsia="en-AU"/>
        </w:rPr>
        <w:t>.</w:t>
      </w:r>
    </w:p>
    <w:p w14:paraId="552CA0DF" w14:textId="77777777" w:rsidR="008A79BB" w:rsidRDefault="008A79BB">
      <w:pPr>
        <w:spacing w:after="0"/>
        <w:rPr>
          <w:rFonts w:ascii="Times New Roman" w:eastAsia="Times New Roman" w:hAnsi="Times New Roman" w:cs="Times New Roman"/>
          <w:snapToGrid w:val="0"/>
          <w:color w:val="000000"/>
          <w:sz w:val="24"/>
          <w:szCs w:val="24"/>
          <w:lang w:eastAsia="en-AU"/>
        </w:rPr>
      </w:pPr>
    </w:p>
    <w:p w14:paraId="4C17D005" w14:textId="6EE85C10" w:rsidR="008A79BB" w:rsidRDefault="008A79BB">
      <w:pPr>
        <w:spacing w:after="0"/>
        <w:rPr>
          <w:rFonts w:ascii="Times New Roman" w:eastAsia="Times New Roman" w:hAnsi="Times New Roman" w:cs="Times New Roman"/>
          <w:snapToGrid w:val="0"/>
          <w:color w:val="000000"/>
          <w:sz w:val="24"/>
          <w:szCs w:val="24"/>
          <w:lang w:eastAsia="en-AU"/>
        </w:rPr>
      </w:pPr>
      <w:r w:rsidRPr="008A79BB">
        <w:rPr>
          <w:rFonts w:ascii="Times New Roman" w:eastAsia="Times New Roman" w:hAnsi="Times New Roman" w:cs="Times New Roman"/>
          <w:snapToGrid w:val="0"/>
          <w:color w:val="000000"/>
          <w:sz w:val="24"/>
          <w:szCs w:val="24"/>
          <w:lang w:eastAsia="en-AU"/>
        </w:rPr>
        <w:t xml:space="preserve">The existing exemption from disallowance under item 7 of section 10 of the Principal Regulations </w:t>
      </w:r>
      <w:r w:rsidR="000A44AD">
        <w:rPr>
          <w:rFonts w:ascii="Times New Roman" w:eastAsia="Times New Roman" w:hAnsi="Times New Roman" w:cs="Times New Roman"/>
          <w:snapToGrid w:val="0"/>
          <w:color w:val="000000"/>
          <w:sz w:val="24"/>
          <w:szCs w:val="24"/>
          <w:lang w:eastAsia="en-AU"/>
        </w:rPr>
        <w:t xml:space="preserve">applies to </w:t>
      </w:r>
      <w:r w:rsidR="006E5B8D">
        <w:rPr>
          <w:rFonts w:ascii="Times New Roman" w:eastAsia="Times New Roman" w:hAnsi="Times New Roman" w:cs="Times New Roman"/>
          <w:snapToGrid w:val="0"/>
          <w:color w:val="000000"/>
          <w:sz w:val="24"/>
          <w:szCs w:val="24"/>
          <w:lang w:eastAsia="en-AU"/>
        </w:rPr>
        <w:t>funding</w:t>
      </w:r>
      <w:r w:rsidRPr="008A79BB">
        <w:rPr>
          <w:rFonts w:ascii="Times New Roman" w:eastAsia="Times New Roman" w:hAnsi="Times New Roman" w:cs="Times New Roman"/>
          <w:snapToGrid w:val="0"/>
          <w:color w:val="000000"/>
          <w:sz w:val="24"/>
          <w:szCs w:val="24"/>
          <w:lang w:eastAsia="en-AU"/>
        </w:rPr>
        <w:t xml:space="preserve"> rules made under section 60 of the ARC Act and </w:t>
      </w:r>
      <w:r w:rsidR="006E5B8D">
        <w:rPr>
          <w:rFonts w:ascii="Times New Roman" w:eastAsia="Times New Roman" w:hAnsi="Times New Roman" w:cs="Times New Roman"/>
          <w:snapToGrid w:val="0"/>
          <w:color w:val="000000"/>
          <w:sz w:val="24"/>
          <w:szCs w:val="24"/>
          <w:lang w:eastAsia="en-AU"/>
        </w:rPr>
        <w:t xml:space="preserve">any </w:t>
      </w:r>
      <w:r w:rsidRPr="008A79BB">
        <w:rPr>
          <w:rFonts w:ascii="Times New Roman" w:eastAsia="Times New Roman" w:hAnsi="Times New Roman" w:cs="Times New Roman"/>
          <w:snapToGrid w:val="0"/>
          <w:color w:val="000000"/>
          <w:sz w:val="24"/>
          <w:szCs w:val="24"/>
          <w:lang w:eastAsia="en-AU"/>
        </w:rPr>
        <w:t xml:space="preserve">variation </w:t>
      </w:r>
      <w:r w:rsidRPr="008A79BB">
        <w:rPr>
          <w:rFonts w:ascii="Times New Roman" w:eastAsia="Times New Roman" w:hAnsi="Times New Roman" w:cs="Times New Roman"/>
          <w:snapToGrid w:val="0"/>
          <w:color w:val="000000"/>
          <w:sz w:val="24"/>
          <w:szCs w:val="24"/>
          <w:lang w:eastAsia="en-AU"/>
        </w:rPr>
        <w:lastRenderedPageBreak/>
        <w:t xml:space="preserve">of </w:t>
      </w:r>
      <w:r w:rsidR="006E5B8D">
        <w:rPr>
          <w:rFonts w:ascii="Times New Roman" w:eastAsia="Times New Roman" w:hAnsi="Times New Roman" w:cs="Times New Roman"/>
          <w:snapToGrid w:val="0"/>
          <w:color w:val="000000"/>
          <w:sz w:val="24"/>
          <w:szCs w:val="24"/>
          <w:lang w:eastAsia="en-AU"/>
        </w:rPr>
        <w:t xml:space="preserve">those </w:t>
      </w:r>
      <w:r w:rsidRPr="008A79BB">
        <w:rPr>
          <w:rFonts w:ascii="Times New Roman" w:eastAsia="Times New Roman" w:hAnsi="Times New Roman" w:cs="Times New Roman"/>
          <w:snapToGrid w:val="0"/>
          <w:color w:val="000000"/>
          <w:sz w:val="24"/>
          <w:szCs w:val="24"/>
          <w:lang w:eastAsia="en-AU"/>
        </w:rPr>
        <w:t xml:space="preserve">rules made under section 61 of that Act. The Government response to the 2023 Final </w:t>
      </w:r>
      <w:proofErr w:type="gramStart"/>
      <w:r w:rsidRPr="008A79BB">
        <w:rPr>
          <w:rFonts w:ascii="Times New Roman" w:eastAsia="Times New Roman" w:hAnsi="Times New Roman" w:cs="Times New Roman"/>
          <w:snapToGrid w:val="0"/>
          <w:color w:val="000000"/>
          <w:sz w:val="24"/>
          <w:szCs w:val="24"/>
          <w:lang w:eastAsia="en-AU"/>
        </w:rPr>
        <w:t>Report</w:t>
      </w:r>
      <w:r w:rsidR="00261A36">
        <w:rPr>
          <w:rFonts w:ascii="Times New Roman" w:eastAsia="Times New Roman" w:hAnsi="Times New Roman" w:cs="Times New Roman"/>
          <w:snapToGrid w:val="0"/>
          <w:color w:val="000000"/>
          <w:sz w:val="24"/>
          <w:szCs w:val="24"/>
          <w:lang w:eastAsia="en-AU"/>
        </w:rPr>
        <w:t>,</w:t>
      </w:r>
      <w:r w:rsidRPr="008A79BB">
        <w:rPr>
          <w:rFonts w:ascii="Times New Roman" w:eastAsia="Times New Roman" w:hAnsi="Times New Roman" w:cs="Times New Roman"/>
          <w:snapToGrid w:val="0"/>
          <w:color w:val="000000"/>
          <w:sz w:val="24"/>
          <w:szCs w:val="24"/>
          <w:lang w:eastAsia="en-AU"/>
        </w:rPr>
        <w:t xml:space="preserve">  </w:t>
      </w:r>
      <w:r w:rsidR="00261A36">
        <w:rPr>
          <w:rFonts w:ascii="Times New Roman" w:eastAsia="Times New Roman" w:hAnsi="Times New Roman" w:cs="Times New Roman"/>
          <w:snapToGrid w:val="0"/>
          <w:color w:val="000000"/>
          <w:sz w:val="24"/>
          <w:szCs w:val="24"/>
          <w:lang w:eastAsia="en-AU"/>
        </w:rPr>
        <w:t>‘</w:t>
      </w:r>
      <w:proofErr w:type="gramEnd"/>
      <w:r w:rsidRPr="008A79BB">
        <w:rPr>
          <w:rFonts w:ascii="Times New Roman" w:eastAsia="Times New Roman" w:hAnsi="Times New Roman" w:cs="Times New Roman"/>
          <w:snapToGrid w:val="0"/>
          <w:color w:val="000000"/>
          <w:sz w:val="24"/>
          <w:szCs w:val="24"/>
          <w:lang w:eastAsia="en-AU"/>
        </w:rPr>
        <w:t xml:space="preserve">Trusting Australia’s Ability: Review of the </w:t>
      </w:r>
      <w:r w:rsidRPr="00CE4872">
        <w:rPr>
          <w:rFonts w:ascii="Times New Roman" w:eastAsia="Times New Roman" w:hAnsi="Times New Roman" w:cs="Times New Roman"/>
          <w:i/>
          <w:snapToGrid w:val="0"/>
          <w:color w:val="000000"/>
          <w:sz w:val="24"/>
          <w:szCs w:val="24"/>
          <w:lang w:eastAsia="en-AU"/>
        </w:rPr>
        <w:t>Australian Research Council Act 2001</w:t>
      </w:r>
      <w:r w:rsidR="00261A36">
        <w:rPr>
          <w:rFonts w:ascii="Times New Roman" w:eastAsia="Times New Roman" w:hAnsi="Times New Roman" w:cs="Times New Roman"/>
          <w:snapToGrid w:val="0"/>
          <w:color w:val="000000"/>
          <w:sz w:val="24"/>
          <w:szCs w:val="24"/>
          <w:lang w:eastAsia="en-AU"/>
        </w:rPr>
        <w:t>’,</w:t>
      </w:r>
      <w:r w:rsidRPr="008A79BB">
        <w:rPr>
          <w:rFonts w:ascii="Times New Roman" w:eastAsia="Times New Roman" w:hAnsi="Times New Roman" w:cs="Times New Roman"/>
          <w:snapToGrid w:val="0"/>
          <w:color w:val="000000"/>
          <w:sz w:val="24"/>
          <w:szCs w:val="24"/>
          <w:lang w:eastAsia="en-AU"/>
        </w:rPr>
        <w:t xml:space="preserve"> agreed that funding rules, and variations of funding rules, should be subject to disallowance. Accordingly, the Australian Research Council Amendment (Review Response) Bill 2023 (Amendment Bill) would repeal and replace sections 60 and 61 of the ARC Act. The new provisions would remove the legislative note providing that funding rules made under the provision are exempt from disallowance. This Bill was introduced in Parliament on 29 November 2023, and, subject to passage through Parliament, would commence on 1 July 2024.</w:t>
      </w:r>
    </w:p>
    <w:p w14:paraId="13E2C5F2" w14:textId="7DD0A349" w:rsidR="008A79BB" w:rsidRDefault="008A79BB">
      <w:pPr>
        <w:spacing w:after="0"/>
        <w:rPr>
          <w:rFonts w:ascii="Times New Roman" w:eastAsia="Times New Roman" w:hAnsi="Times New Roman" w:cs="Times New Roman"/>
          <w:snapToGrid w:val="0"/>
          <w:color w:val="000000"/>
          <w:sz w:val="24"/>
          <w:szCs w:val="24"/>
          <w:lang w:eastAsia="en-AU"/>
        </w:rPr>
      </w:pPr>
    </w:p>
    <w:p w14:paraId="1E3FCD46" w14:textId="6320C068" w:rsidR="008A79BB" w:rsidRPr="008A79BB" w:rsidRDefault="008A79BB">
      <w:pPr>
        <w:spacing w:after="0"/>
        <w:rPr>
          <w:rFonts w:ascii="Times New Roman" w:eastAsia="Times New Roman" w:hAnsi="Times New Roman" w:cs="Times New Roman"/>
          <w:snapToGrid w:val="0"/>
          <w:color w:val="000000"/>
          <w:sz w:val="24"/>
          <w:szCs w:val="24"/>
          <w:lang w:eastAsia="en-AU"/>
        </w:rPr>
      </w:pPr>
      <w:r w:rsidRPr="008A79BB">
        <w:rPr>
          <w:rFonts w:ascii="Times New Roman" w:eastAsia="Times New Roman" w:hAnsi="Times New Roman" w:cs="Times New Roman"/>
          <w:snapToGrid w:val="0"/>
          <w:color w:val="000000"/>
          <w:sz w:val="24"/>
          <w:szCs w:val="24"/>
          <w:lang w:eastAsia="en-AU"/>
        </w:rPr>
        <w:t xml:space="preserve">To give effect to the Government response, the </w:t>
      </w:r>
      <w:r>
        <w:rPr>
          <w:rFonts w:ascii="Times New Roman" w:eastAsia="Times New Roman" w:hAnsi="Times New Roman" w:cs="Times New Roman"/>
          <w:snapToGrid w:val="0"/>
          <w:color w:val="000000"/>
          <w:sz w:val="24"/>
          <w:szCs w:val="24"/>
          <w:lang w:eastAsia="en-AU"/>
        </w:rPr>
        <w:t>Amendment</w:t>
      </w:r>
      <w:r w:rsidRPr="008A79BB">
        <w:rPr>
          <w:rFonts w:ascii="Times New Roman" w:eastAsia="Times New Roman" w:hAnsi="Times New Roman" w:cs="Times New Roman"/>
          <w:snapToGrid w:val="0"/>
          <w:color w:val="000000"/>
          <w:sz w:val="24"/>
          <w:szCs w:val="24"/>
          <w:lang w:eastAsia="en-AU"/>
        </w:rPr>
        <w:t xml:space="preserve"> Regulations would repeal the substantive disallowance exemption under section 10 of the Principal Regulations. This change would subject all new funding rules, and variations of new funding rules, made after 1</w:t>
      </w:r>
      <w:r w:rsidR="00F27487">
        <w:rPr>
          <w:rFonts w:ascii="Times New Roman" w:eastAsia="Times New Roman" w:hAnsi="Times New Roman" w:cs="Times New Roman"/>
          <w:snapToGrid w:val="0"/>
          <w:color w:val="000000"/>
          <w:sz w:val="24"/>
          <w:szCs w:val="24"/>
          <w:lang w:eastAsia="en-AU"/>
        </w:rPr>
        <w:t> </w:t>
      </w:r>
      <w:r w:rsidRPr="008A79BB">
        <w:rPr>
          <w:rFonts w:ascii="Times New Roman" w:eastAsia="Times New Roman" w:hAnsi="Times New Roman" w:cs="Times New Roman"/>
          <w:snapToGrid w:val="0"/>
          <w:color w:val="000000"/>
          <w:sz w:val="24"/>
          <w:szCs w:val="24"/>
          <w:lang w:eastAsia="en-AU"/>
        </w:rPr>
        <w:t>July 2024, to the disallowance process, ensuring parliamentary oversight and scrutiny of the legislative instruments.</w:t>
      </w:r>
    </w:p>
    <w:p w14:paraId="72D9358B" w14:textId="434252E0" w:rsidR="00D9227C" w:rsidRPr="00D9227C" w:rsidRDefault="00D9227C">
      <w:pPr>
        <w:spacing w:after="0"/>
        <w:rPr>
          <w:rFonts w:ascii="Times New Roman" w:eastAsia="Times New Roman" w:hAnsi="Times New Roman" w:cs="Times New Roman"/>
          <w:snapToGrid w:val="0"/>
          <w:color w:val="000000"/>
          <w:sz w:val="24"/>
          <w:szCs w:val="24"/>
          <w:lang w:eastAsia="en-AU"/>
        </w:rPr>
      </w:pPr>
    </w:p>
    <w:p w14:paraId="2B179B95" w14:textId="4C1F9945" w:rsidR="002B289D" w:rsidRPr="00333BF0" w:rsidRDefault="002B289D" w:rsidP="00F04E76">
      <w:pPr>
        <w:spacing w:after="0"/>
        <w:rPr>
          <w:rFonts w:ascii="Times New Roman" w:hAnsi="Times New Roman" w:cs="Times New Roman"/>
          <w:sz w:val="24"/>
          <w:szCs w:val="24"/>
        </w:rPr>
      </w:pPr>
      <w:r>
        <w:rPr>
          <w:rFonts w:ascii="Times New Roman" w:hAnsi="Times New Roman" w:cs="Times New Roman"/>
          <w:sz w:val="24"/>
          <w:szCs w:val="24"/>
        </w:rPr>
        <w:t xml:space="preserve">However, funding rules </w:t>
      </w:r>
      <w:r w:rsidRPr="00333BF0">
        <w:rPr>
          <w:rFonts w:ascii="Times New Roman" w:hAnsi="Times New Roman" w:cs="Times New Roman"/>
          <w:sz w:val="24"/>
          <w:szCs w:val="24"/>
        </w:rPr>
        <w:t xml:space="preserve">made before </w:t>
      </w:r>
      <w:r>
        <w:rPr>
          <w:rFonts w:ascii="Times New Roman" w:hAnsi="Times New Roman" w:cs="Times New Roman"/>
          <w:sz w:val="24"/>
          <w:szCs w:val="24"/>
        </w:rPr>
        <w:t>the commencement of the Amendment Bill</w:t>
      </w:r>
      <w:r w:rsidR="006E5B8D">
        <w:rPr>
          <w:rFonts w:ascii="Times New Roman" w:hAnsi="Times New Roman" w:cs="Times New Roman"/>
          <w:sz w:val="24"/>
          <w:szCs w:val="24"/>
        </w:rPr>
        <w:t xml:space="preserve">, and instruments that vary those funding rules, </w:t>
      </w:r>
      <w:r w:rsidR="00C209A2">
        <w:rPr>
          <w:rFonts w:ascii="Times New Roman" w:hAnsi="Times New Roman" w:cs="Times New Roman"/>
          <w:sz w:val="24"/>
          <w:szCs w:val="24"/>
        </w:rPr>
        <w:t>will</w:t>
      </w:r>
      <w:r w:rsidRPr="00333BF0">
        <w:rPr>
          <w:rFonts w:ascii="Times New Roman" w:hAnsi="Times New Roman" w:cs="Times New Roman"/>
          <w:sz w:val="24"/>
          <w:szCs w:val="24"/>
        </w:rPr>
        <w:t xml:space="preserve"> continue to be exempt from disallowance </w:t>
      </w:r>
      <w:r>
        <w:rPr>
          <w:rFonts w:ascii="Times New Roman" w:hAnsi="Times New Roman" w:cs="Times New Roman"/>
          <w:sz w:val="24"/>
          <w:szCs w:val="24"/>
        </w:rPr>
        <w:t xml:space="preserve">during the transitional period. </w:t>
      </w:r>
    </w:p>
    <w:p w14:paraId="43B86C42" w14:textId="77777777" w:rsidR="002B289D" w:rsidRPr="00333BF0" w:rsidRDefault="002B289D" w:rsidP="00F04E76">
      <w:pPr>
        <w:spacing w:after="0"/>
        <w:rPr>
          <w:rFonts w:ascii="Times New Roman" w:hAnsi="Times New Roman" w:cs="Times New Roman"/>
          <w:sz w:val="24"/>
          <w:szCs w:val="24"/>
        </w:rPr>
      </w:pPr>
      <w:r w:rsidRPr="00333BF0">
        <w:rPr>
          <w:rFonts w:ascii="Times New Roman" w:hAnsi="Times New Roman" w:cs="Times New Roman"/>
          <w:sz w:val="24"/>
          <w:szCs w:val="24"/>
        </w:rPr>
        <w:t>  </w:t>
      </w:r>
    </w:p>
    <w:p w14:paraId="0B578F3B" w14:textId="2CF40400" w:rsidR="002B289D" w:rsidRPr="00AC4B4C" w:rsidRDefault="002B289D" w:rsidP="00F04E76">
      <w:pPr>
        <w:spacing w:after="0"/>
        <w:rPr>
          <w:rFonts w:ascii="Times New Roman" w:hAnsi="Times New Roman" w:cs="Times New Roman"/>
          <w:sz w:val="24"/>
          <w:szCs w:val="24"/>
        </w:rPr>
      </w:pPr>
      <w:r w:rsidRPr="00333BF0">
        <w:rPr>
          <w:rFonts w:ascii="Times New Roman" w:hAnsi="Times New Roman" w:cs="Times New Roman"/>
          <w:sz w:val="24"/>
          <w:szCs w:val="24"/>
        </w:rPr>
        <w:t xml:space="preserve">The </w:t>
      </w:r>
      <w:r w:rsidR="00C209A2">
        <w:rPr>
          <w:rFonts w:ascii="Times New Roman" w:hAnsi="Times New Roman" w:cs="Times New Roman"/>
          <w:sz w:val="24"/>
          <w:szCs w:val="24"/>
        </w:rPr>
        <w:t>Amendment</w:t>
      </w:r>
      <w:r w:rsidRPr="00333BF0">
        <w:rPr>
          <w:rFonts w:ascii="Times New Roman" w:hAnsi="Times New Roman" w:cs="Times New Roman"/>
          <w:sz w:val="24"/>
          <w:szCs w:val="24"/>
        </w:rPr>
        <w:t xml:space="preserve"> Regulations provide for a transitional period between 1 July 2024 and 1 July 2025</w:t>
      </w:r>
      <w:r>
        <w:rPr>
          <w:rFonts w:ascii="Times New Roman" w:hAnsi="Times New Roman" w:cs="Times New Roman"/>
          <w:sz w:val="24"/>
          <w:szCs w:val="24"/>
        </w:rPr>
        <w:t>.</w:t>
      </w:r>
      <w:r w:rsidRPr="00333BF0">
        <w:rPr>
          <w:rFonts w:ascii="Times New Roman" w:hAnsi="Times New Roman" w:cs="Times New Roman"/>
          <w:sz w:val="24"/>
          <w:szCs w:val="24"/>
        </w:rPr>
        <w:t xml:space="preserve"> </w:t>
      </w:r>
      <w:r>
        <w:rPr>
          <w:rFonts w:ascii="Times New Roman" w:hAnsi="Times New Roman" w:cs="Times New Roman"/>
          <w:sz w:val="24"/>
          <w:szCs w:val="24"/>
        </w:rPr>
        <w:t>D</w:t>
      </w:r>
      <w:r w:rsidRPr="00333BF0">
        <w:rPr>
          <w:rFonts w:ascii="Times New Roman" w:hAnsi="Times New Roman" w:cs="Times New Roman"/>
          <w:sz w:val="24"/>
          <w:szCs w:val="24"/>
        </w:rPr>
        <w:t xml:space="preserve">uring </w:t>
      </w:r>
      <w:r>
        <w:rPr>
          <w:rFonts w:ascii="Times New Roman" w:hAnsi="Times New Roman" w:cs="Times New Roman"/>
          <w:sz w:val="24"/>
          <w:szCs w:val="24"/>
        </w:rPr>
        <w:t>this period,</w:t>
      </w:r>
      <w:r w:rsidRPr="00333BF0">
        <w:rPr>
          <w:rFonts w:ascii="Times New Roman" w:hAnsi="Times New Roman" w:cs="Times New Roman"/>
          <w:sz w:val="24"/>
          <w:szCs w:val="24"/>
        </w:rPr>
        <w:t xml:space="preserve"> </w:t>
      </w:r>
      <w:r>
        <w:rPr>
          <w:rFonts w:ascii="Times New Roman" w:hAnsi="Times New Roman" w:cs="Times New Roman"/>
          <w:sz w:val="24"/>
          <w:szCs w:val="24"/>
        </w:rPr>
        <w:t xml:space="preserve">existing </w:t>
      </w:r>
      <w:r w:rsidRPr="00333BF0">
        <w:rPr>
          <w:rFonts w:ascii="Times New Roman" w:hAnsi="Times New Roman" w:cs="Times New Roman"/>
          <w:sz w:val="24"/>
          <w:szCs w:val="24"/>
        </w:rPr>
        <w:t xml:space="preserve">funding rules and </w:t>
      </w:r>
      <w:r>
        <w:rPr>
          <w:rFonts w:ascii="Times New Roman" w:hAnsi="Times New Roman" w:cs="Times New Roman"/>
          <w:sz w:val="24"/>
          <w:szCs w:val="24"/>
        </w:rPr>
        <w:t>instruments which vary existing funding rules</w:t>
      </w:r>
      <w:r w:rsidR="006E5B8D">
        <w:rPr>
          <w:rFonts w:ascii="Times New Roman" w:hAnsi="Times New Roman" w:cs="Times New Roman"/>
          <w:sz w:val="24"/>
          <w:szCs w:val="24"/>
        </w:rPr>
        <w:t>,</w:t>
      </w:r>
      <w:r w:rsidRPr="00333BF0">
        <w:rPr>
          <w:rFonts w:ascii="Times New Roman" w:hAnsi="Times New Roman" w:cs="Times New Roman"/>
          <w:sz w:val="24"/>
          <w:szCs w:val="24"/>
        </w:rPr>
        <w:t xml:space="preserve"> </w:t>
      </w:r>
      <w:r w:rsidR="00C209A2">
        <w:rPr>
          <w:rFonts w:ascii="Times New Roman" w:hAnsi="Times New Roman" w:cs="Times New Roman"/>
          <w:sz w:val="24"/>
          <w:szCs w:val="24"/>
        </w:rPr>
        <w:t>remain</w:t>
      </w:r>
      <w:r w:rsidRPr="00333BF0">
        <w:rPr>
          <w:rFonts w:ascii="Times New Roman" w:hAnsi="Times New Roman" w:cs="Times New Roman"/>
          <w:sz w:val="24"/>
          <w:szCs w:val="24"/>
        </w:rPr>
        <w:t xml:space="preserve"> subject to the existing provisions of the ARC Act as in force immediately before 1 July 2024, and remain exempt from disallowance</w:t>
      </w:r>
      <w:r>
        <w:rPr>
          <w:rFonts w:ascii="Times New Roman" w:hAnsi="Times New Roman" w:cs="Times New Roman"/>
          <w:sz w:val="24"/>
          <w:szCs w:val="24"/>
        </w:rPr>
        <w:t xml:space="preserve"> under the Principal Regulations</w:t>
      </w:r>
      <w:r w:rsidRPr="00333BF0">
        <w:rPr>
          <w:rFonts w:ascii="Times New Roman" w:hAnsi="Times New Roman" w:cs="Times New Roman"/>
          <w:sz w:val="24"/>
          <w:szCs w:val="24"/>
        </w:rPr>
        <w:t>.</w:t>
      </w:r>
      <w:r w:rsidRPr="00FE7FBE">
        <w:rPr>
          <w:rFonts w:ascii="Times New Roman" w:hAnsi="Times New Roman" w:cs="Times New Roman"/>
          <w:sz w:val="24"/>
          <w:szCs w:val="24"/>
        </w:rPr>
        <w:t xml:space="preserve"> </w:t>
      </w:r>
      <w:r>
        <w:rPr>
          <w:rFonts w:ascii="Times New Roman" w:hAnsi="Times New Roman" w:cs="Times New Roman"/>
          <w:sz w:val="24"/>
          <w:szCs w:val="24"/>
        </w:rPr>
        <w:t xml:space="preserve">Existing funding rules </w:t>
      </w:r>
      <w:r w:rsidRPr="00333BF0">
        <w:rPr>
          <w:rFonts w:ascii="Times New Roman" w:hAnsi="Times New Roman" w:cs="Times New Roman"/>
          <w:sz w:val="24"/>
          <w:szCs w:val="24"/>
        </w:rPr>
        <w:t xml:space="preserve">will continue to be relied upon by the ARC until </w:t>
      </w:r>
      <w:r>
        <w:rPr>
          <w:rFonts w:ascii="Times New Roman" w:hAnsi="Times New Roman" w:cs="Times New Roman"/>
          <w:sz w:val="24"/>
          <w:szCs w:val="24"/>
        </w:rPr>
        <w:t>1 July 2025. These existing funding rules will continue to apply to grants that have been approved and are in progress, and grants that have yet to be approved but the relevant organisation has submitted an application for such a grant prior to 1 July 2024. As such, c</w:t>
      </w:r>
      <w:r w:rsidRPr="00333BF0">
        <w:rPr>
          <w:rFonts w:ascii="Times New Roman" w:hAnsi="Times New Roman" w:cs="Times New Roman"/>
          <w:sz w:val="24"/>
          <w:szCs w:val="24"/>
        </w:rPr>
        <w:t xml:space="preserve">ontinuing to exempt the variations of these funding rules until </w:t>
      </w:r>
      <w:r>
        <w:rPr>
          <w:rFonts w:ascii="Times New Roman" w:hAnsi="Times New Roman" w:cs="Times New Roman"/>
          <w:sz w:val="24"/>
          <w:szCs w:val="24"/>
        </w:rPr>
        <w:t>1 July 2025</w:t>
      </w:r>
      <w:r w:rsidRPr="00333BF0">
        <w:rPr>
          <w:rFonts w:ascii="Times New Roman" w:hAnsi="Times New Roman" w:cs="Times New Roman"/>
          <w:sz w:val="24"/>
          <w:szCs w:val="24"/>
        </w:rPr>
        <w:t xml:space="preserve"> </w:t>
      </w:r>
      <w:r>
        <w:rPr>
          <w:rFonts w:ascii="Times New Roman" w:hAnsi="Times New Roman" w:cs="Times New Roman"/>
          <w:sz w:val="24"/>
          <w:szCs w:val="24"/>
        </w:rPr>
        <w:t>is necessary to provide</w:t>
      </w:r>
      <w:r w:rsidRPr="00333BF0">
        <w:rPr>
          <w:rFonts w:ascii="Times New Roman" w:hAnsi="Times New Roman" w:cs="Times New Roman"/>
          <w:sz w:val="24"/>
          <w:szCs w:val="24"/>
        </w:rPr>
        <w:t xml:space="preserve"> certainty </w:t>
      </w:r>
      <w:r>
        <w:rPr>
          <w:rFonts w:ascii="Times New Roman" w:hAnsi="Times New Roman" w:cs="Times New Roman"/>
          <w:sz w:val="24"/>
          <w:szCs w:val="24"/>
        </w:rPr>
        <w:t>for</w:t>
      </w:r>
      <w:r w:rsidRPr="00333BF0">
        <w:rPr>
          <w:rFonts w:ascii="Times New Roman" w:hAnsi="Times New Roman" w:cs="Times New Roman"/>
          <w:sz w:val="24"/>
          <w:szCs w:val="24"/>
        </w:rPr>
        <w:t xml:space="preserve"> grant processes underway during this period.</w:t>
      </w:r>
    </w:p>
    <w:p w14:paraId="7F757CD7" w14:textId="77777777" w:rsidR="001D5A71" w:rsidRDefault="001D5A71" w:rsidP="0077226A">
      <w:pPr>
        <w:pStyle w:val="Basetext"/>
        <w:spacing w:before="0"/>
        <w:rPr>
          <w:i/>
          <w:sz w:val="24"/>
          <w:szCs w:val="24"/>
        </w:rPr>
      </w:pPr>
    </w:p>
    <w:p w14:paraId="60263E57" w14:textId="10C79197" w:rsidR="00BA2C23" w:rsidRDefault="00BA2C23">
      <w:pPr>
        <w:pStyle w:val="Basetext"/>
        <w:spacing w:before="0"/>
        <w:rPr>
          <w:b/>
          <w:i/>
          <w:sz w:val="24"/>
          <w:szCs w:val="24"/>
        </w:rPr>
      </w:pPr>
      <w:r>
        <w:rPr>
          <w:b/>
          <w:i/>
          <w:sz w:val="24"/>
          <w:szCs w:val="24"/>
        </w:rPr>
        <w:t xml:space="preserve">Exemption from sunsetting – Air Navigation (Aircraft Engine Emissions) Regulations </w:t>
      </w:r>
      <w:r w:rsidR="0077226A">
        <w:rPr>
          <w:b/>
          <w:i/>
          <w:sz w:val="24"/>
          <w:szCs w:val="24"/>
        </w:rPr>
        <w:t xml:space="preserve">1995 </w:t>
      </w:r>
      <w:r>
        <w:rPr>
          <w:b/>
          <w:i/>
          <w:sz w:val="24"/>
          <w:szCs w:val="24"/>
        </w:rPr>
        <w:t>and Air Navigation (Aircraft Noise) Regulations 2018</w:t>
      </w:r>
    </w:p>
    <w:p w14:paraId="363283E5" w14:textId="77777777" w:rsidR="00BA2C23" w:rsidRDefault="00BA2C23">
      <w:pPr>
        <w:pStyle w:val="Basetext"/>
        <w:spacing w:before="0"/>
        <w:rPr>
          <w:color w:val="000000"/>
          <w:sz w:val="24"/>
          <w:szCs w:val="24"/>
          <w:lang w:eastAsia="en-AU"/>
        </w:rPr>
      </w:pPr>
    </w:p>
    <w:p w14:paraId="4AFABE6F" w14:textId="7DF16CB4" w:rsidR="00BA2C23" w:rsidRDefault="00BA2C23">
      <w:pPr>
        <w:pStyle w:val="Basetext"/>
        <w:spacing w:before="0"/>
        <w:rPr>
          <w:sz w:val="24"/>
          <w:szCs w:val="24"/>
        </w:rPr>
      </w:pPr>
      <w:r>
        <w:rPr>
          <w:color w:val="000000"/>
          <w:sz w:val="24"/>
          <w:szCs w:val="24"/>
          <w:lang w:eastAsia="en-AU"/>
        </w:rPr>
        <w:t>The Amendment Regulations exempt the</w:t>
      </w:r>
      <w:r>
        <w:rPr>
          <w:i/>
          <w:sz w:val="24"/>
          <w:szCs w:val="24"/>
        </w:rPr>
        <w:t xml:space="preserve"> Air Navigation (Aircraft Engine Emissions) Regulations</w:t>
      </w:r>
      <w:r w:rsidR="0077226A">
        <w:rPr>
          <w:i/>
          <w:sz w:val="24"/>
          <w:szCs w:val="24"/>
        </w:rPr>
        <w:t xml:space="preserve"> 1995</w:t>
      </w:r>
      <w:r>
        <w:rPr>
          <w:i/>
          <w:sz w:val="24"/>
          <w:szCs w:val="24"/>
        </w:rPr>
        <w:t xml:space="preserve"> </w:t>
      </w:r>
      <w:r>
        <w:rPr>
          <w:sz w:val="24"/>
          <w:szCs w:val="24"/>
        </w:rPr>
        <w:t>(Emissions Regulations) and</w:t>
      </w:r>
      <w:r>
        <w:rPr>
          <w:i/>
          <w:sz w:val="24"/>
          <w:szCs w:val="24"/>
        </w:rPr>
        <w:t xml:space="preserve"> </w:t>
      </w:r>
      <w:r>
        <w:rPr>
          <w:sz w:val="24"/>
          <w:szCs w:val="24"/>
        </w:rPr>
        <w:t xml:space="preserve">the </w:t>
      </w:r>
      <w:r>
        <w:rPr>
          <w:i/>
          <w:sz w:val="24"/>
          <w:szCs w:val="24"/>
        </w:rPr>
        <w:t xml:space="preserve">Air Navigation (Aircraft Noise) Regulations 2018 </w:t>
      </w:r>
      <w:r>
        <w:rPr>
          <w:sz w:val="24"/>
          <w:szCs w:val="24"/>
        </w:rPr>
        <w:t xml:space="preserve">(Noise Regulations) (together the ‘Emissions and Noise Regulations’) from sunsetting under section 12 of the Principal Regulations. </w:t>
      </w:r>
    </w:p>
    <w:p w14:paraId="106884CA" w14:textId="77777777" w:rsidR="00BA2C23" w:rsidRDefault="00BA2C23">
      <w:pPr>
        <w:pStyle w:val="Basetext"/>
        <w:spacing w:before="0"/>
        <w:rPr>
          <w:sz w:val="24"/>
          <w:szCs w:val="24"/>
        </w:rPr>
      </w:pPr>
    </w:p>
    <w:p w14:paraId="14BAF268" w14:textId="77777777" w:rsidR="00BA2C23" w:rsidRDefault="00BA2C23">
      <w:pPr>
        <w:pStyle w:val="Basetext"/>
        <w:spacing w:before="0"/>
        <w:rPr>
          <w:sz w:val="24"/>
          <w:szCs w:val="24"/>
        </w:rPr>
      </w:pPr>
      <w:r>
        <w:rPr>
          <w:sz w:val="24"/>
          <w:szCs w:val="24"/>
        </w:rPr>
        <w:t xml:space="preserve">The Emissions and Noise Regulations are made under the </w:t>
      </w:r>
      <w:r>
        <w:rPr>
          <w:i/>
          <w:sz w:val="24"/>
          <w:szCs w:val="24"/>
        </w:rPr>
        <w:t>Air Navigation Act 1920</w:t>
      </w:r>
      <w:r>
        <w:rPr>
          <w:sz w:val="24"/>
          <w:szCs w:val="24"/>
        </w:rPr>
        <w:t xml:space="preserve"> and implement regimes to regulate intentional fuel venting, smoke emissions, gaseous emissions and aircraft noise. </w:t>
      </w:r>
    </w:p>
    <w:p w14:paraId="62F23C06" w14:textId="77777777" w:rsidR="00BA2C23" w:rsidRDefault="00BA2C23">
      <w:pPr>
        <w:pStyle w:val="Basetext"/>
        <w:spacing w:before="0"/>
        <w:rPr>
          <w:sz w:val="24"/>
          <w:szCs w:val="24"/>
        </w:rPr>
      </w:pPr>
    </w:p>
    <w:p w14:paraId="01F58D85" w14:textId="77777777" w:rsidR="00BA2C23" w:rsidRDefault="00BA2C23">
      <w:pPr>
        <w:pStyle w:val="Basetext"/>
        <w:spacing w:before="0"/>
        <w:rPr>
          <w:sz w:val="24"/>
          <w:szCs w:val="24"/>
        </w:rPr>
      </w:pPr>
      <w:r>
        <w:rPr>
          <w:sz w:val="24"/>
          <w:szCs w:val="24"/>
        </w:rPr>
        <w:t xml:space="preserve">The Emissions Regulations provide a regime for regulating the emission of pollutants from </w:t>
      </w:r>
      <w:r>
        <w:rPr>
          <w:sz w:val="24"/>
          <w:szCs w:val="24"/>
        </w:rPr>
        <w:lastRenderedPageBreak/>
        <w:t>aircraft engines.</w:t>
      </w:r>
      <w:r>
        <w:t xml:space="preserve"> </w:t>
      </w:r>
      <w:r>
        <w:rPr>
          <w:sz w:val="24"/>
          <w:szCs w:val="24"/>
        </w:rPr>
        <w:t>Aircraft are not permitted to engage in air navigation in Australia unless aircraft engines comply with certain internationally agreed standards for fuel venting and smoke and gaseous emissions. The overarching objective of the Emissions Regulations is to facilitate the safe development of civil aviation in line with formal standards relating to aircraft engine emissions that have an adverse impact on the environment.</w:t>
      </w:r>
    </w:p>
    <w:p w14:paraId="4442EAE7" w14:textId="77777777" w:rsidR="00BA2C23" w:rsidRDefault="00BA2C23">
      <w:pPr>
        <w:pStyle w:val="Basetext"/>
        <w:spacing w:before="0"/>
        <w:rPr>
          <w:sz w:val="24"/>
          <w:szCs w:val="24"/>
        </w:rPr>
      </w:pPr>
    </w:p>
    <w:p w14:paraId="563A739D" w14:textId="77777777" w:rsidR="00BA2C23" w:rsidRDefault="00BA2C23">
      <w:pPr>
        <w:pStyle w:val="Basetext"/>
        <w:spacing w:before="0"/>
        <w:rPr>
          <w:sz w:val="24"/>
          <w:szCs w:val="24"/>
        </w:rPr>
      </w:pPr>
      <w:r>
        <w:rPr>
          <w:sz w:val="24"/>
          <w:szCs w:val="24"/>
        </w:rPr>
        <w:t>The Noise Regulations provide a regime for regulating aircraft noise. Aircraft are not permitted to engage in air navigation in Australia unless they are compliant with certain internationally agreed noise standards. The overarching objective of the Noise Regulations is to facilitate the safe development of civil aviation in line with formal standards relating to aircraft noise by ensuring aircraft comply with Volume I of Annex 16 of the Convention on International Civil Aviation (Chicago Convention).</w:t>
      </w:r>
    </w:p>
    <w:p w14:paraId="1B723AC2" w14:textId="77777777" w:rsidR="00BA2C23" w:rsidRDefault="00BA2C23">
      <w:pPr>
        <w:pStyle w:val="Basetext"/>
        <w:spacing w:before="0"/>
        <w:rPr>
          <w:sz w:val="24"/>
          <w:szCs w:val="24"/>
        </w:rPr>
      </w:pPr>
    </w:p>
    <w:p w14:paraId="0844ED76" w14:textId="77777777" w:rsidR="00BA2C23" w:rsidRDefault="00BA2C23">
      <w:pPr>
        <w:pStyle w:val="Basetext"/>
        <w:spacing w:before="0"/>
        <w:rPr>
          <w:sz w:val="24"/>
          <w:szCs w:val="24"/>
        </w:rPr>
      </w:pPr>
      <w:r>
        <w:rPr>
          <w:sz w:val="24"/>
          <w:szCs w:val="24"/>
        </w:rPr>
        <w:t>It is appropriate that the Emissions and Noise Regulations be exempt from sunsetting as they are part of an intergovernmental scheme, pursuant to the criterion provided in the Attorney</w:t>
      </w:r>
      <w:r>
        <w:rPr>
          <w:sz w:val="24"/>
          <w:szCs w:val="24"/>
        </w:rPr>
        <w:noBreakHyphen/>
        <w:t xml:space="preserve">General’s Department’s </w:t>
      </w:r>
      <w:r>
        <w:rPr>
          <w:i/>
          <w:sz w:val="24"/>
          <w:szCs w:val="24"/>
        </w:rPr>
        <w:t>Guide to managing sunsetting of legislative instruments</w:t>
      </w:r>
      <w:r>
        <w:rPr>
          <w:sz w:val="24"/>
          <w:szCs w:val="24"/>
        </w:rPr>
        <w:t>.</w:t>
      </w:r>
    </w:p>
    <w:p w14:paraId="57567832" w14:textId="77777777" w:rsidR="00BA2C23" w:rsidRDefault="00BA2C23">
      <w:pPr>
        <w:pStyle w:val="Basetext"/>
        <w:spacing w:before="0"/>
        <w:rPr>
          <w:sz w:val="24"/>
          <w:szCs w:val="24"/>
        </w:rPr>
      </w:pPr>
    </w:p>
    <w:p w14:paraId="2B4DF613" w14:textId="77777777" w:rsidR="00BA2C23" w:rsidRDefault="00BA2C23">
      <w:pPr>
        <w:pStyle w:val="Basetext"/>
        <w:spacing w:before="0"/>
        <w:rPr>
          <w:sz w:val="24"/>
          <w:szCs w:val="24"/>
        </w:rPr>
      </w:pPr>
      <w:r>
        <w:rPr>
          <w:sz w:val="24"/>
          <w:szCs w:val="24"/>
        </w:rPr>
        <w:t>In 1937 and 1938, all States enacted legislation (the State Air Navigation Acts) to apply the Air Navigation Regulations made under the Air Navigation Act 1920-1936 of the Commonwealth of Australia, to air navigation within the jurisdiction of each State. Other than in Victoria, all other State Air Navigation Acts remain in force.</w:t>
      </w:r>
    </w:p>
    <w:p w14:paraId="68E5FD8F" w14:textId="77777777" w:rsidR="00BA2C23" w:rsidRDefault="00BA2C23">
      <w:pPr>
        <w:pStyle w:val="Basetext"/>
        <w:spacing w:before="0"/>
        <w:rPr>
          <w:sz w:val="24"/>
          <w:szCs w:val="24"/>
        </w:rPr>
      </w:pPr>
    </w:p>
    <w:p w14:paraId="5A3D3BCD" w14:textId="77777777" w:rsidR="00BA2C23" w:rsidRDefault="00BA2C23">
      <w:pPr>
        <w:pStyle w:val="Basetext"/>
        <w:spacing w:before="0"/>
        <w:rPr>
          <w:sz w:val="24"/>
          <w:szCs w:val="24"/>
        </w:rPr>
      </w:pPr>
      <w:r>
        <w:rPr>
          <w:sz w:val="24"/>
          <w:szCs w:val="24"/>
        </w:rPr>
        <w:t xml:space="preserve">As the Emissions and Noise Regulations are applied to intra-state air navigation through the intergovernmental scheme, it would be inappropriate for the Commonwealth to unilaterally permit the Emissions Regulations or Noise Regulations to sunset. Such an outcome would significantly undermine the regulation of aircraft noise and engine emissions, exacerbating existing community sensitivities around other unrelated engine emissions and noise issues.   </w:t>
      </w:r>
    </w:p>
    <w:p w14:paraId="7A2C140A" w14:textId="77777777" w:rsidR="00BA2C23" w:rsidRDefault="00BA2C23">
      <w:pPr>
        <w:pStyle w:val="Basetext"/>
        <w:spacing w:before="0"/>
        <w:rPr>
          <w:sz w:val="24"/>
          <w:szCs w:val="24"/>
        </w:rPr>
      </w:pPr>
    </w:p>
    <w:p w14:paraId="0809CB68" w14:textId="77777777" w:rsidR="00BA2C23" w:rsidRDefault="00BA2C23">
      <w:pPr>
        <w:pStyle w:val="Basetext"/>
        <w:spacing w:before="0"/>
        <w:rPr>
          <w:sz w:val="24"/>
          <w:szCs w:val="24"/>
        </w:rPr>
      </w:pPr>
      <w:r>
        <w:rPr>
          <w:sz w:val="24"/>
          <w:szCs w:val="24"/>
        </w:rPr>
        <w:t>The Department of Infrastructure, Transport, Regional Development, Communications and the Arts will establish a review process so the Emissions and Noise Regulations remain fit for purpose, and only remain in force for as long as they are needed. Regular reviews will be undertaken, in accordance with Australia’s obligations as a contracting State under the Chicago Convention.</w:t>
      </w:r>
    </w:p>
    <w:p w14:paraId="7ACD0D59" w14:textId="77777777" w:rsidR="00BA2C23" w:rsidRDefault="00BA2C23">
      <w:pPr>
        <w:pStyle w:val="Basetext"/>
        <w:spacing w:before="0"/>
        <w:rPr>
          <w:sz w:val="24"/>
          <w:szCs w:val="24"/>
          <w:lang w:eastAsia="en-AU"/>
        </w:rPr>
      </w:pPr>
    </w:p>
    <w:p w14:paraId="278614DB" w14:textId="77777777" w:rsidR="00BA2C23" w:rsidRDefault="00BA2C23">
      <w:pPr>
        <w:pStyle w:val="Basetext"/>
        <w:spacing w:before="0"/>
        <w:rPr>
          <w:sz w:val="24"/>
          <w:szCs w:val="24"/>
        </w:rPr>
      </w:pPr>
      <w:r>
        <w:rPr>
          <w:sz w:val="24"/>
          <w:szCs w:val="24"/>
          <w:lang w:eastAsia="en-AU"/>
        </w:rPr>
        <w:t xml:space="preserve">Consequently, it is not suitable to subject the </w:t>
      </w:r>
      <w:r>
        <w:rPr>
          <w:sz w:val="24"/>
          <w:szCs w:val="24"/>
        </w:rPr>
        <w:t xml:space="preserve">Emissions and Noise Regulations </w:t>
      </w:r>
      <w:r>
        <w:rPr>
          <w:sz w:val="24"/>
          <w:szCs w:val="24"/>
          <w:lang w:eastAsia="en-AU"/>
        </w:rPr>
        <w:t xml:space="preserve">to the requirements of sunsetting given the instruments are part of an intergovernmental scheme. </w:t>
      </w:r>
    </w:p>
    <w:p w14:paraId="5DDAE368" w14:textId="77777777" w:rsidR="00BA2C23" w:rsidRDefault="00BA2C23">
      <w:pPr>
        <w:pStyle w:val="Basetext"/>
        <w:spacing w:before="0"/>
        <w:rPr>
          <w:i/>
          <w:color w:val="000000"/>
          <w:sz w:val="24"/>
          <w:szCs w:val="24"/>
          <w:lang w:eastAsia="en-AU"/>
        </w:rPr>
      </w:pPr>
    </w:p>
    <w:p w14:paraId="3153026B" w14:textId="77777777" w:rsidR="00BA2C23" w:rsidRDefault="00BA2C23">
      <w:pPr>
        <w:spacing w:after="0"/>
        <w:rPr>
          <w:rFonts w:ascii="Times New Roman" w:hAnsi="Times New Roman" w:cs="Times New Roman"/>
          <w:b/>
          <w:caps/>
          <w:sz w:val="24"/>
          <w:szCs w:val="24"/>
        </w:rPr>
      </w:pPr>
      <w:r>
        <w:rPr>
          <w:rFonts w:ascii="Times New Roman" w:hAnsi="Times New Roman" w:cs="Times New Roman"/>
          <w:b/>
          <w:caps/>
          <w:sz w:val="24"/>
          <w:szCs w:val="24"/>
        </w:rPr>
        <w:t>Consultation</w:t>
      </w:r>
    </w:p>
    <w:p w14:paraId="5890A374" w14:textId="77777777" w:rsidR="00BA2C23" w:rsidRDefault="00BA2C23">
      <w:pPr>
        <w:pStyle w:val="Basetext"/>
        <w:spacing w:before="0"/>
        <w:rPr>
          <w:rFonts w:eastAsia="Calibri"/>
          <w:sz w:val="24"/>
          <w:szCs w:val="24"/>
          <w:lang w:val="en-GB"/>
        </w:rPr>
      </w:pPr>
    </w:p>
    <w:p w14:paraId="3FDB7826" w14:textId="77777777" w:rsidR="00BA2C23" w:rsidRDefault="00BA2C23">
      <w:pPr>
        <w:pStyle w:val="Basetext"/>
        <w:spacing w:before="0"/>
        <w:rPr>
          <w:rFonts w:eastAsia="Calibri"/>
          <w:sz w:val="24"/>
          <w:szCs w:val="24"/>
          <w:lang w:val="en-GB"/>
        </w:rPr>
      </w:pPr>
      <w:r>
        <w:rPr>
          <w:rFonts w:eastAsia="Calibri"/>
          <w:sz w:val="24"/>
          <w:szCs w:val="24"/>
          <w:lang w:val="en-GB"/>
        </w:rPr>
        <w:t>Before the Amendment Regulations were issued, the Attorney</w:t>
      </w:r>
      <w:r>
        <w:rPr>
          <w:rFonts w:eastAsia="Calibri"/>
          <w:sz w:val="24"/>
          <w:szCs w:val="24"/>
          <w:lang w:val="en-GB"/>
        </w:rPr>
        <w:noBreakHyphen/>
        <w:t xml:space="preserve">General considered the general obligation to consult imposed by section 17 of the Legislation Act. </w:t>
      </w:r>
    </w:p>
    <w:p w14:paraId="619D2FEE" w14:textId="77777777" w:rsidR="00BA2C23" w:rsidRDefault="00BA2C23">
      <w:pPr>
        <w:pStyle w:val="Basetext"/>
        <w:spacing w:before="0"/>
        <w:rPr>
          <w:rFonts w:eastAsia="Calibri"/>
          <w:sz w:val="24"/>
          <w:szCs w:val="24"/>
          <w:lang w:eastAsia="en-AU"/>
        </w:rPr>
      </w:pPr>
    </w:p>
    <w:p w14:paraId="474681B8" w14:textId="2C22D62E" w:rsidR="00D42E21" w:rsidRDefault="00BA2C23">
      <w:pPr>
        <w:pStyle w:val="Basetext"/>
        <w:spacing w:before="0"/>
        <w:rPr>
          <w:sz w:val="24"/>
        </w:rPr>
      </w:pPr>
      <w:r>
        <w:rPr>
          <w:sz w:val="24"/>
        </w:rPr>
        <w:t xml:space="preserve">The Minister for Education, the Hon Jason Clare MP, has portfolio responsibility for funding rules, and variations of funding rules, made under the ARC Act. </w:t>
      </w:r>
      <w:r w:rsidR="00D42E21">
        <w:rPr>
          <w:sz w:val="24"/>
        </w:rPr>
        <w:t xml:space="preserve">On 22 August 2023, the </w:t>
      </w:r>
      <w:r w:rsidR="00D42E21">
        <w:rPr>
          <w:sz w:val="24"/>
        </w:rPr>
        <w:lastRenderedPageBreak/>
        <w:t xml:space="preserve">Minister for Education announced at the Australian Financial Review Higher Education Summit the intention to make the funding rules a disallowable legislative instrument. </w:t>
      </w:r>
    </w:p>
    <w:p w14:paraId="58749C72" w14:textId="225EBC3B" w:rsidR="008143CF" w:rsidRDefault="00D42E21">
      <w:pPr>
        <w:pStyle w:val="Basetext"/>
        <w:spacing w:before="0"/>
        <w:rPr>
          <w:sz w:val="24"/>
        </w:rPr>
      </w:pPr>
      <w:r>
        <w:rPr>
          <w:sz w:val="24"/>
        </w:rPr>
        <w:t xml:space="preserve">In October-November 2023, the Department of Education conducted consultation on the amendments to the ARC Act with higher education research peak bodies and representative groups, and across Government. Interested parties were also invited to contribute through this consultation. Eleven formal submissions were received which have informed the final policy settings and amendments to the ARC Act. Peak bodies such as Universities Australia, Science and Technology Australia and Innovative Research Universities were supportive of the amendment to subject the making of funding rules to disallowance, recognising it as a sensible approach that provides appropriate scrutiny of funding arrangements. The Chair of the Review of the ARC Act also confirmed support for the change. </w:t>
      </w:r>
      <w:bookmarkStart w:id="3" w:name="_Hlk154046150"/>
      <w:r>
        <w:rPr>
          <w:sz w:val="24"/>
        </w:rPr>
        <w:t xml:space="preserve">The Australian Technology Network of Universities was also supportive but </w:t>
      </w:r>
      <w:r w:rsidR="0077226A">
        <w:rPr>
          <w:sz w:val="24"/>
        </w:rPr>
        <w:t xml:space="preserve">indicated a need for caution to ensure </w:t>
      </w:r>
      <w:r>
        <w:rPr>
          <w:sz w:val="24"/>
        </w:rPr>
        <w:t xml:space="preserve">mitigations are in place if the funding rules are disallowed. The Regional Universities Network and the Australasian Research Management Society were not supportive of making the funding rules disallowable due to the perceived risk of delays to, or political interference with, the operations of the ARC. </w:t>
      </w:r>
      <w:bookmarkEnd w:id="3"/>
    </w:p>
    <w:p w14:paraId="5935AFBA" w14:textId="77777777" w:rsidR="008143CF" w:rsidRDefault="008143CF">
      <w:pPr>
        <w:pStyle w:val="Basetext"/>
        <w:spacing w:before="0"/>
        <w:rPr>
          <w:sz w:val="24"/>
        </w:rPr>
      </w:pPr>
    </w:p>
    <w:p w14:paraId="6644AD67" w14:textId="43571311" w:rsidR="00BA2C23" w:rsidRDefault="000B3AF7">
      <w:pPr>
        <w:pStyle w:val="Basetext"/>
        <w:spacing w:before="0"/>
        <w:rPr>
          <w:sz w:val="24"/>
        </w:rPr>
      </w:pPr>
      <w:r w:rsidRPr="000B3AF7">
        <w:rPr>
          <w:sz w:val="24"/>
        </w:rPr>
        <w:t xml:space="preserve">The ARC will mitigate any perceived risk of delays, or risk of disallowance, of the funding rules by ensuring that there is advanced planning and communication with relevant groups regarding the making of funding rules for research programs. </w:t>
      </w:r>
      <w:r>
        <w:rPr>
          <w:sz w:val="24"/>
        </w:rPr>
        <w:t>As the</w:t>
      </w:r>
      <w:r w:rsidRPr="000B3AF7">
        <w:rPr>
          <w:sz w:val="24"/>
        </w:rPr>
        <w:t xml:space="preserve"> Review of the ARC Act recommended greater transparency and oversight of ARC funding</w:t>
      </w:r>
      <w:r>
        <w:rPr>
          <w:sz w:val="24"/>
        </w:rPr>
        <w:t xml:space="preserve">, </w:t>
      </w:r>
      <w:r w:rsidR="0077226A">
        <w:rPr>
          <w:sz w:val="24"/>
        </w:rPr>
        <w:t>making</w:t>
      </w:r>
      <w:r w:rsidR="0077226A" w:rsidRPr="000B3AF7">
        <w:rPr>
          <w:sz w:val="24"/>
        </w:rPr>
        <w:t xml:space="preserve"> </w:t>
      </w:r>
      <w:r w:rsidRPr="000B3AF7">
        <w:rPr>
          <w:sz w:val="24"/>
        </w:rPr>
        <w:t xml:space="preserve">funding rules as disallowable legislative instruments will enable them to be subject to Parliamentary scrutiny. </w:t>
      </w:r>
      <w:r w:rsidR="00BA2C23">
        <w:rPr>
          <w:sz w:val="24"/>
        </w:rPr>
        <w:t>The Department</w:t>
      </w:r>
      <w:r>
        <w:rPr>
          <w:sz w:val="24"/>
        </w:rPr>
        <w:t> </w:t>
      </w:r>
      <w:r w:rsidR="00BA2C23">
        <w:rPr>
          <w:sz w:val="24"/>
        </w:rPr>
        <w:t>of</w:t>
      </w:r>
      <w:r>
        <w:rPr>
          <w:sz w:val="24"/>
        </w:rPr>
        <w:t> </w:t>
      </w:r>
      <w:r w:rsidR="00BA2C23">
        <w:rPr>
          <w:sz w:val="24"/>
        </w:rPr>
        <w:t xml:space="preserve">Education </w:t>
      </w:r>
      <w:r w:rsidR="00D42E21">
        <w:rPr>
          <w:sz w:val="24"/>
        </w:rPr>
        <w:t xml:space="preserve">also </w:t>
      </w:r>
      <w:r w:rsidR="00BA2C23">
        <w:rPr>
          <w:sz w:val="24"/>
        </w:rPr>
        <w:t>consulted the Attorney</w:t>
      </w:r>
      <w:r>
        <w:rPr>
          <w:sz w:val="24"/>
        </w:rPr>
        <w:noBreakHyphen/>
      </w:r>
      <w:r w:rsidR="00BA2C23">
        <w:rPr>
          <w:sz w:val="24"/>
        </w:rPr>
        <w:t xml:space="preserve">General’s Department on repealing the exemption from disallowance for the funding rules. </w:t>
      </w:r>
    </w:p>
    <w:p w14:paraId="73BD307E" w14:textId="77777777" w:rsidR="00BA2C23" w:rsidRDefault="00BA2C23">
      <w:pPr>
        <w:pStyle w:val="Basetext"/>
        <w:spacing w:before="0"/>
        <w:rPr>
          <w:sz w:val="24"/>
        </w:rPr>
      </w:pPr>
    </w:p>
    <w:p w14:paraId="3BFA3714" w14:textId="77777777" w:rsidR="00BA2C23" w:rsidRDefault="00BA2C23">
      <w:pPr>
        <w:pStyle w:val="Basetext"/>
        <w:spacing w:before="0"/>
        <w:rPr>
          <w:rFonts w:eastAsia="Calibri"/>
          <w:sz w:val="24"/>
          <w:szCs w:val="24"/>
          <w:lang w:eastAsia="en-AU"/>
        </w:rPr>
      </w:pPr>
      <w:r>
        <w:rPr>
          <w:rFonts w:eastAsia="Calibri"/>
          <w:sz w:val="24"/>
          <w:szCs w:val="24"/>
          <w:lang w:eastAsia="en-AU"/>
        </w:rPr>
        <w:t>The Minister for Infrastructure, Transport, Regional Development and Local Government, the Hon Catherine King MP, who has portfolio responsibility for the Emissions and Noise Regulations, wrote to the Attorney</w:t>
      </w:r>
      <w:r>
        <w:rPr>
          <w:rFonts w:eastAsia="Calibri"/>
          <w:sz w:val="24"/>
          <w:szCs w:val="24"/>
          <w:lang w:eastAsia="en-AU"/>
        </w:rPr>
        <w:noBreakHyphen/>
        <w:t xml:space="preserve">General requesting that the exemption be made. </w:t>
      </w:r>
      <w:bookmarkStart w:id="4" w:name="_Hlk152070607"/>
      <w:r>
        <w:rPr>
          <w:rFonts w:eastAsia="Calibri"/>
          <w:sz w:val="24"/>
          <w:szCs w:val="24"/>
          <w:lang w:eastAsia="en-AU"/>
        </w:rPr>
        <w:t xml:space="preserve">The Department of Infrastructure, Transport, Regional Development, </w:t>
      </w:r>
      <w:bookmarkStart w:id="5" w:name="_Hlk152055918"/>
      <w:r>
        <w:rPr>
          <w:rFonts w:eastAsia="Calibri"/>
          <w:sz w:val="24"/>
          <w:szCs w:val="24"/>
          <w:lang w:eastAsia="en-AU"/>
        </w:rPr>
        <w:t>Communications and the Art</w:t>
      </w:r>
      <w:bookmarkEnd w:id="4"/>
      <w:r>
        <w:rPr>
          <w:rFonts w:eastAsia="Calibri"/>
          <w:sz w:val="24"/>
          <w:szCs w:val="24"/>
          <w:lang w:eastAsia="en-AU"/>
        </w:rPr>
        <w:t>s</w:t>
      </w:r>
      <w:bookmarkEnd w:id="5"/>
      <w:r>
        <w:rPr>
          <w:rFonts w:eastAsia="Calibri"/>
          <w:sz w:val="24"/>
          <w:szCs w:val="24"/>
          <w:lang w:eastAsia="en-AU"/>
        </w:rPr>
        <w:t xml:space="preserve"> (DITRDCA) considered stakeholder views on the new exemption from sunsetting, and key stakeholders will continue to be kept updated through the available consultation mechanisms, for instance through existing airport consultation forums, as well as DITRDCA’s website. Consistent with Australia’s obligations under the Chicago Convention, DITRDCA regularly reviews the ongoing appropriateness of the Emissions and Noise Regulations following changes to standards at Volume II of Annex 16 of the Chicago Convention, in consultation with relevant portfolio agencies.  DITRDCA</w:t>
      </w:r>
      <w:r>
        <w:rPr>
          <w:rStyle w:val="CommentReference"/>
          <w:rFonts w:asciiTheme="minorHAnsi" w:eastAsiaTheme="minorHAnsi" w:hAnsiTheme="minorHAnsi" w:cstheme="minorBidi"/>
        </w:rPr>
        <w:t xml:space="preserve"> </w:t>
      </w:r>
      <w:r>
        <w:rPr>
          <w:rFonts w:eastAsia="Calibri"/>
          <w:sz w:val="24"/>
          <w:szCs w:val="24"/>
          <w:lang w:eastAsia="en-AU"/>
        </w:rPr>
        <w:t>has not consulted with industry on the exemption as the Emissions and Noise Regulations contain strict requirements to meet Australia’s obligations under the Chicago Convention.</w:t>
      </w:r>
      <w:r>
        <w:t xml:space="preserve"> </w:t>
      </w:r>
      <w:r>
        <w:rPr>
          <w:rFonts w:eastAsia="Calibri"/>
          <w:sz w:val="24"/>
          <w:szCs w:val="24"/>
          <w:lang w:eastAsia="en-AU"/>
        </w:rPr>
        <w:t>Given this, public consultation on the exemption was not considered appropriate and was not undertaken.</w:t>
      </w:r>
    </w:p>
    <w:p w14:paraId="091FC3EC" w14:textId="77777777" w:rsidR="00BA2C23" w:rsidRDefault="00BA2C23">
      <w:pPr>
        <w:pStyle w:val="Basetext"/>
        <w:spacing w:before="0"/>
        <w:rPr>
          <w:sz w:val="24"/>
        </w:rPr>
      </w:pPr>
    </w:p>
    <w:p w14:paraId="22ABFD6B" w14:textId="77777777" w:rsidR="00BA2C23" w:rsidRDefault="00BA2C23" w:rsidP="00F04E76">
      <w:pPr>
        <w:keepNext/>
        <w:spacing w:after="0"/>
        <w:rPr>
          <w:rFonts w:ascii="Times New Roman" w:hAnsi="Times New Roman" w:cs="Times New Roman"/>
          <w:b/>
          <w:caps/>
          <w:sz w:val="24"/>
          <w:szCs w:val="24"/>
        </w:rPr>
      </w:pPr>
      <w:bookmarkStart w:id="6" w:name="_Hlk152233177"/>
      <w:r>
        <w:rPr>
          <w:rFonts w:ascii="Times New Roman" w:hAnsi="Times New Roman" w:cs="Times New Roman"/>
          <w:b/>
          <w:caps/>
          <w:sz w:val="24"/>
          <w:szCs w:val="24"/>
        </w:rPr>
        <w:t>Regulation Impact Statement</w:t>
      </w:r>
    </w:p>
    <w:p w14:paraId="3B25ACB1" w14:textId="77777777" w:rsidR="00BA2C23" w:rsidRDefault="00BA2C23" w:rsidP="00F04E76">
      <w:pPr>
        <w:pStyle w:val="Basetext"/>
        <w:keepNext/>
        <w:spacing w:before="0"/>
        <w:rPr>
          <w:rFonts w:eastAsia="Calibri"/>
          <w:sz w:val="24"/>
          <w:szCs w:val="24"/>
          <w:lang w:eastAsia="en-AU"/>
        </w:rPr>
      </w:pPr>
    </w:p>
    <w:p w14:paraId="2F5ECC55" w14:textId="77777777" w:rsidR="00BA2C23" w:rsidRDefault="00BA2C23" w:rsidP="00F04E76">
      <w:pPr>
        <w:pStyle w:val="Basetext"/>
        <w:keepNext/>
        <w:spacing w:before="0"/>
        <w:rPr>
          <w:rFonts w:eastAsia="Calibri"/>
          <w:sz w:val="24"/>
          <w:szCs w:val="24"/>
          <w:lang w:eastAsia="en-AU"/>
        </w:rPr>
      </w:pPr>
      <w:r>
        <w:rPr>
          <w:rFonts w:eastAsia="Calibri"/>
          <w:sz w:val="24"/>
          <w:szCs w:val="24"/>
          <w:lang w:eastAsia="en-AU"/>
        </w:rPr>
        <w:t xml:space="preserve">The Amendment Regulations do not have any regulatory impact. The Office of Impact </w:t>
      </w:r>
      <w:r>
        <w:rPr>
          <w:rFonts w:eastAsia="Calibri"/>
          <w:sz w:val="24"/>
          <w:szCs w:val="24"/>
          <w:lang w:eastAsia="en-AU"/>
        </w:rPr>
        <w:lastRenderedPageBreak/>
        <w:t>Analysis (OIA) reference is OIA23-06111.</w:t>
      </w:r>
    </w:p>
    <w:bookmarkEnd w:id="6"/>
    <w:p w14:paraId="62D19E09" w14:textId="77777777" w:rsidR="00BA2C23" w:rsidRDefault="00BA2C23">
      <w:pPr>
        <w:pStyle w:val="Body"/>
        <w:spacing w:before="0" w:line="276" w:lineRule="auto"/>
        <w:rPr>
          <w:b/>
          <w:szCs w:val="24"/>
        </w:rPr>
      </w:pPr>
    </w:p>
    <w:p w14:paraId="1EA8B236" w14:textId="77777777" w:rsidR="00BA2C23" w:rsidRDefault="00BA2C23">
      <w:pPr>
        <w:pStyle w:val="Body"/>
        <w:spacing w:before="0" w:line="276" w:lineRule="auto"/>
        <w:rPr>
          <w:b/>
          <w:szCs w:val="24"/>
        </w:rPr>
      </w:pPr>
      <w:r>
        <w:rPr>
          <w:b/>
          <w:szCs w:val="24"/>
        </w:rPr>
        <w:t>OTHER DETAILS</w:t>
      </w:r>
    </w:p>
    <w:p w14:paraId="48C98D85" w14:textId="77777777" w:rsidR="00BA2C23" w:rsidRDefault="00BA2C23">
      <w:pPr>
        <w:pStyle w:val="Body"/>
        <w:spacing w:before="0" w:line="276" w:lineRule="auto"/>
        <w:rPr>
          <w:szCs w:val="24"/>
        </w:rPr>
      </w:pPr>
    </w:p>
    <w:p w14:paraId="7747013A" w14:textId="77777777" w:rsidR="00BA2C23" w:rsidRDefault="00BA2C23">
      <w:pPr>
        <w:pStyle w:val="Body"/>
        <w:spacing w:before="0" w:line="276" w:lineRule="auto"/>
        <w:rPr>
          <w:b/>
          <w:szCs w:val="24"/>
        </w:rPr>
      </w:pPr>
      <w:r>
        <w:rPr>
          <w:szCs w:val="24"/>
        </w:rPr>
        <w:t xml:space="preserve">A Statement of Compatibility under subsection 9(1) of the </w:t>
      </w:r>
      <w:r>
        <w:rPr>
          <w:i/>
          <w:szCs w:val="24"/>
        </w:rPr>
        <w:t xml:space="preserve">Human Rights (Parliamentary Scrutiny) Act 2011 </w:t>
      </w:r>
      <w:r>
        <w:rPr>
          <w:szCs w:val="24"/>
        </w:rPr>
        <w:t xml:space="preserve">is at </w:t>
      </w:r>
      <w:r>
        <w:rPr>
          <w:szCs w:val="24"/>
          <w:u w:val="single"/>
        </w:rPr>
        <w:t>Attachment A.</w:t>
      </w:r>
      <w:r>
        <w:rPr>
          <w:szCs w:val="24"/>
        </w:rPr>
        <w:t xml:space="preserve"> </w:t>
      </w:r>
    </w:p>
    <w:p w14:paraId="7A070D12" w14:textId="77777777" w:rsidR="00BA2C23" w:rsidRDefault="00BA2C23">
      <w:pPr>
        <w:widowControl w:val="0"/>
        <w:spacing w:after="0"/>
        <w:ind w:right="748"/>
        <w:rPr>
          <w:rFonts w:ascii="Times New Roman" w:eastAsia="Times New Roman" w:hAnsi="Times New Roman" w:cs="Times New Roman"/>
          <w:sz w:val="24"/>
          <w:szCs w:val="24"/>
          <w:lang w:eastAsia="en-AU"/>
        </w:rPr>
      </w:pPr>
    </w:p>
    <w:p w14:paraId="7B8D673E" w14:textId="77777777" w:rsidR="00BA2C23" w:rsidRDefault="00BA2C23">
      <w:pPr>
        <w:widowControl w:val="0"/>
        <w:spacing w:after="0"/>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Details of the Amendment Regulations are set out in </w:t>
      </w:r>
      <w:r>
        <w:rPr>
          <w:rFonts w:ascii="Times New Roman" w:eastAsia="Times New Roman" w:hAnsi="Times New Roman" w:cs="Times New Roman"/>
          <w:sz w:val="24"/>
          <w:szCs w:val="24"/>
          <w:u w:val="single"/>
          <w:lang w:eastAsia="en-AU"/>
        </w:rPr>
        <w:t>Attachment B</w:t>
      </w:r>
      <w:r>
        <w:rPr>
          <w:rFonts w:ascii="Times New Roman" w:eastAsia="Times New Roman" w:hAnsi="Times New Roman" w:cs="Times New Roman"/>
          <w:sz w:val="24"/>
          <w:szCs w:val="24"/>
          <w:lang w:eastAsia="en-AU"/>
        </w:rPr>
        <w:t>.</w:t>
      </w:r>
    </w:p>
    <w:p w14:paraId="7ABEB187" w14:textId="77777777" w:rsidR="00BA2C23" w:rsidRDefault="00BA2C23">
      <w:pPr>
        <w:widowControl w:val="0"/>
        <w:spacing w:after="0"/>
        <w:ind w:right="748"/>
        <w:rPr>
          <w:rFonts w:ascii="Times New Roman" w:eastAsia="Times New Roman" w:hAnsi="Times New Roman" w:cs="Times New Roman"/>
          <w:sz w:val="24"/>
          <w:szCs w:val="24"/>
          <w:lang w:eastAsia="en-AU"/>
        </w:rPr>
      </w:pPr>
    </w:p>
    <w:p w14:paraId="00AD7990" w14:textId="196BEFAB" w:rsidR="00BA2C23" w:rsidRDefault="00BA2C23">
      <w:pPr>
        <w:widowControl w:val="0"/>
        <w:spacing w:after="0"/>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Legislation Act specifies no conditions that need to be satisfied before the power to make the </w:t>
      </w:r>
      <w:r w:rsidR="00395DA8">
        <w:rPr>
          <w:rFonts w:ascii="Times New Roman" w:eastAsia="Times New Roman" w:hAnsi="Times New Roman" w:cs="Times New Roman"/>
          <w:sz w:val="24"/>
          <w:szCs w:val="24"/>
          <w:lang w:eastAsia="en-AU"/>
        </w:rPr>
        <w:t xml:space="preserve">Amendment </w:t>
      </w:r>
      <w:r>
        <w:rPr>
          <w:rFonts w:ascii="Times New Roman" w:eastAsia="Times New Roman" w:hAnsi="Times New Roman" w:cs="Times New Roman"/>
          <w:sz w:val="24"/>
          <w:szCs w:val="24"/>
          <w:lang w:eastAsia="en-AU"/>
        </w:rPr>
        <w:t xml:space="preserve">Regulations may be exercised. </w:t>
      </w:r>
    </w:p>
    <w:p w14:paraId="1A1D43FC" w14:textId="77777777" w:rsidR="00BA2C23" w:rsidRDefault="00BA2C23">
      <w:pPr>
        <w:widowControl w:val="0"/>
        <w:spacing w:after="0"/>
        <w:ind w:right="748"/>
        <w:rPr>
          <w:rFonts w:ascii="Times New Roman" w:eastAsia="Times New Roman" w:hAnsi="Times New Roman" w:cs="Times New Roman"/>
          <w:sz w:val="24"/>
          <w:szCs w:val="24"/>
          <w:lang w:eastAsia="en-AU"/>
        </w:rPr>
      </w:pPr>
    </w:p>
    <w:p w14:paraId="6FC5D6A3" w14:textId="77777777" w:rsidR="00BA2C23" w:rsidRDefault="00BA2C23">
      <w:pPr>
        <w:widowControl w:val="0"/>
        <w:spacing w:after="0"/>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Amendment Regulations are a legislative instrument for the purposes of the Legislation Act.</w:t>
      </w:r>
    </w:p>
    <w:p w14:paraId="13C82A7C" w14:textId="77777777" w:rsidR="00BA2C23" w:rsidRDefault="00BA2C23">
      <w:pPr>
        <w:widowControl w:val="0"/>
        <w:spacing w:after="0"/>
        <w:ind w:right="748"/>
        <w:rPr>
          <w:rFonts w:ascii="Times New Roman" w:eastAsia="Times New Roman" w:hAnsi="Times New Roman" w:cs="Times New Roman"/>
          <w:sz w:val="24"/>
          <w:szCs w:val="24"/>
          <w:lang w:eastAsia="en-AU"/>
        </w:rPr>
      </w:pPr>
    </w:p>
    <w:p w14:paraId="7F9B1930" w14:textId="22CEB130" w:rsidR="00D16E77" w:rsidRDefault="00D16E77" w:rsidP="00F04E76">
      <w:pPr>
        <w:spacing w:after="0"/>
        <w:rPr>
          <w:rFonts w:ascii="Times New Roman" w:hAnsi="Times New Roman" w:cs="Times New Roman"/>
          <w:sz w:val="24"/>
          <w:szCs w:val="24"/>
        </w:rPr>
      </w:pPr>
      <w:r>
        <w:rPr>
          <w:rFonts w:ascii="Times New Roman" w:hAnsi="Times New Roman" w:cs="Times New Roman"/>
          <w:sz w:val="24"/>
          <w:szCs w:val="24"/>
        </w:rPr>
        <w:t xml:space="preserve">Sections 1 to 4 and </w:t>
      </w:r>
      <w:r w:rsidR="002B289D">
        <w:rPr>
          <w:rFonts w:ascii="Times New Roman" w:hAnsi="Times New Roman" w:cs="Times New Roman"/>
          <w:sz w:val="24"/>
          <w:szCs w:val="24"/>
        </w:rPr>
        <w:t xml:space="preserve">Part </w:t>
      </w:r>
      <w:r w:rsidR="00C55D41">
        <w:rPr>
          <w:rFonts w:ascii="Times New Roman" w:hAnsi="Times New Roman" w:cs="Times New Roman"/>
          <w:sz w:val="24"/>
          <w:szCs w:val="24"/>
        </w:rPr>
        <w:t xml:space="preserve">2 of </w:t>
      </w:r>
      <w:r>
        <w:rPr>
          <w:rFonts w:ascii="Times New Roman" w:hAnsi="Times New Roman" w:cs="Times New Roman"/>
          <w:sz w:val="24"/>
          <w:szCs w:val="24"/>
        </w:rPr>
        <w:t xml:space="preserve">Schedule 1 </w:t>
      </w:r>
      <w:r w:rsidR="00C55D41">
        <w:rPr>
          <w:rFonts w:ascii="Times New Roman" w:hAnsi="Times New Roman" w:cs="Times New Roman"/>
          <w:sz w:val="24"/>
          <w:szCs w:val="24"/>
        </w:rPr>
        <w:t>to</w:t>
      </w:r>
      <w:r>
        <w:rPr>
          <w:rFonts w:ascii="Times New Roman" w:hAnsi="Times New Roman" w:cs="Times New Roman"/>
          <w:sz w:val="24"/>
          <w:szCs w:val="24"/>
        </w:rPr>
        <w:t xml:space="preserve"> the Amendment</w:t>
      </w:r>
      <w:r w:rsidRPr="00BE1997">
        <w:rPr>
          <w:rFonts w:ascii="Times New Roman" w:hAnsi="Times New Roman" w:cs="Times New Roman"/>
          <w:sz w:val="24"/>
          <w:szCs w:val="24"/>
        </w:rPr>
        <w:t xml:space="preserve"> Regulations commence on the day after their registration. </w:t>
      </w:r>
    </w:p>
    <w:p w14:paraId="13A17F4E" w14:textId="77777777" w:rsidR="0021327C" w:rsidRPr="00BE1997" w:rsidRDefault="0021327C" w:rsidP="00F04E76">
      <w:pPr>
        <w:spacing w:after="0"/>
        <w:rPr>
          <w:rFonts w:ascii="Times New Roman" w:hAnsi="Times New Roman" w:cs="Times New Roman"/>
          <w:sz w:val="24"/>
          <w:szCs w:val="24"/>
        </w:rPr>
      </w:pPr>
    </w:p>
    <w:p w14:paraId="7C223F38" w14:textId="6917CFEA" w:rsidR="00D16E77" w:rsidRDefault="002B289D" w:rsidP="00F04E76">
      <w:pPr>
        <w:spacing w:after="0"/>
        <w:rPr>
          <w:rFonts w:ascii="Times New Roman" w:hAnsi="Times New Roman" w:cs="Times New Roman"/>
          <w:sz w:val="24"/>
          <w:szCs w:val="24"/>
        </w:rPr>
      </w:pPr>
      <w:r>
        <w:rPr>
          <w:rFonts w:ascii="Times New Roman" w:hAnsi="Times New Roman" w:cs="Times New Roman"/>
          <w:sz w:val="24"/>
          <w:szCs w:val="24"/>
        </w:rPr>
        <w:t>Part 1</w:t>
      </w:r>
      <w:r w:rsidR="00C55D41">
        <w:rPr>
          <w:rFonts w:ascii="Times New Roman" w:hAnsi="Times New Roman" w:cs="Times New Roman"/>
          <w:sz w:val="24"/>
          <w:szCs w:val="24"/>
        </w:rPr>
        <w:t xml:space="preserve"> of </w:t>
      </w:r>
      <w:r w:rsidR="00D16E77">
        <w:rPr>
          <w:rFonts w:ascii="Times New Roman" w:hAnsi="Times New Roman" w:cs="Times New Roman"/>
          <w:sz w:val="24"/>
          <w:szCs w:val="24"/>
        </w:rPr>
        <w:t xml:space="preserve">Schedule 1 </w:t>
      </w:r>
      <w:r w:rsidR="00C55D41">
        <w:rPr>
          <w:rFonts w:ascii="Times New Roman" w:hAnsi="Times New Roman" w:cs="Times New Roman"/>
          <w:sz w:val="24"/>
          <w:szCs w:val="24"/>
        </w:rPr>
        <w:t>to</w:t>
      </w:r>
      <w:r w:rsidR="00D16E77">
        <w:rPr>
          <w:rFonts w:ascii="Times New Roman" w:hAnsi="Times New Roman" w:cs="Times New Roman"/>
          <w:sz w:val="24"/>
          <w:szCs w:val="24"/>
        </w:rPr>
        <w:t xml:space="preserve"> the Amendment</w:t>
      </w:r>
      <w:r w:rsidR="00D16E77" w:rsidRPr="00BE1997">
        <w:rPr>
          <w:rFonts w:ascii="Times New Roman" w:hAnsi="Times New Roman" w:cs="Times New Roman"/>
          <w:sz w:val="24"/>
          <w:szCs w:val="24"/>
        </w:rPr>
        <w:t xml:space="preserve"> </w:t>
      </w:r>
      <w:r w:rsidR="00D16E77">
        <w:rPr>
          <w:rFonts w:ascii="Times New Roman" w:hAnsi="Times New Roman" w:cs="Times New Roman"/>
          <w:sz w:val="24"/>
          <w:szCs w:val="24"/>
        </w:rPr>
        <w:t xml:space="preserve">Regulations commence </w:t>
      </w:r>
      <w:r w:rsidRPr="002B289D">
        <w:rPr>
          <w:rFonts w:ascii="Times New Roman" w:hAnsi="Times New Roman" w:cs="Times New Roman"/>
          <w:sz w:val="24"/>
          <w:szCs w:val="24"/>
        </w:rPr>
        <w:t xml:space="preserve">at the same time as Schedule 3 to the </w:t>
      </w:r>
      <w:r w:rsidRPr="002B289D">
        <w:rPr>
          <w:rFonts w:ascii="Times New Roman" w:hAnsi="Times New Roman" w:cs="Times New Roman"/>
          <w:i/>
          <w:sz w:val="24"/>
          <w:szCs w:val="24"/>
        </w:rPr>
        <w:t xml:space="preserve">Australian Research Council Amendment (Review Response) Act 2024 </w:t>
      </w:r>
      <w:r w:rsidRPr="002B289D">
        <w:rPr>
          <w:rFonts w:ascii="Times New Roman" w:hAnsi="Times New Roman" w:cs="Times New Roman"/>
          <w:sz w:val="24"/>
          <w:szCs w:val="24"/>
        </w:rPr>
        <w:t xml:space="preserve">(Amendment Act) commences. This Part </w:t>
      </w:r>
      <w:r>
        <w:rPr>
          <w:rFonts w:ascii="Times New Roman" w:hAnsi="Times New Roman" w:cs="Times New Roman"/>
          <w:sz w:val="24"/>
          <w:szCs w:val="24"/>
        </w:rPr>
        <w:t>will</w:t>
      </w:r>
      <w:r w:rsidRPr="002B289D">
        <w:rPr>
          <w:rFonts w:ascii="Times New Roman" w:hAnsi="Times New Roman" w:cs="Times New Roman"/>
          <w:sz w:val="24"/>
          <w:szCs w:val="24"/>
        </w:rPr>
        <w:t xml:space="preserve"> not commence if Schedule 3 to the Amendment Act does not commence.</w:t>
      </w:r>
    </w:p>
    <w:p w14:paraId="3F75C70F" w14:textId="77777777" w:rsidR="00BA2C23" w:rsidRDefault="00BA2C23" w:rsidP="0077226A">
      <w:pPr>
        <w:widowControl w:val="0"/>
        <w:spacing w:after="0"/>
        <w:ind w:right="748"/>
        <w:rPr>
          <w:sz w:val="24"/>
          <w:szCs w:val="24"/>
        </w:rPr>
      </w:pPr>
    </w:p>
    <w:p w14:paraId="246260FF" w14:textId="77777777" w:rsidR="00BA2C23" w:rsidRDefault="00BA2C23">
      <w:pPr>
        <w:widowControl w:val="0"/>
        <w:spacing w:after="0"/>
        <w:ind w:right="748"/>
        <w:rPr>
          <w:sz w:val="24"/>
          <w:szCs w:val="24"/>
        </w:rPr>
      </w:pPr>
      <w:r>
        <w:rPr>
          <w:rFonts w:ascii="Times New Roman" w:eastAsia="Times New Roman" w:hAnsi="Times New Roman" w:cs="Times New Roman"/>
          <w:sz w:val="24"/>
          <w:szCs w:val="24"/>
          <w:lang w:eastAsia="en-AU"/>
        </w:rPr>
        <w:t xml:space="preserve">The Amendment Regulations, the Principal Regulations and the Legislation Act are available on the Federal Register of Legislation </w:t>
      </w:r>
      <w:hyperlink r:id="rId11" w:history="1">
        <w:r>
          <w:rPr>
            <w:rStyle w:val="Hyperlink"/>
            <w:rFonts w:ascii="Times New Roman" w:hAnsi="Times New Roman"/>
            <w:sz w:val="24"/>
            <w:szCs w:val="24"/>
          </w:rPr>
          <w:t>https://www.legislation.gov.au/</w:t>
        </w:r>
      </w:hyperlink>
      <w:r>
        <w:rPr>
          <w:rFonts w:ascii="Times New Roman" w:eastAsia="Times New Roman" w:hAnsi="Times New Roman" w:cs="Times New Roman"/>
          <w:sz w:val="24"/>
          <w:szCs w:val="24"/>
          <w:lang w:eastAsia="en-AU"/>
        </w:rPr>
        <w:t>.</w:t>
      </w:r>
    </w:p>
    <w:p w14:paraId="6D2FCDB5" w14:textId="77777777" w:rsidR="00BA2C23" w:rsidRDefault="00BA2C23">
      <w:pPr>
        <w:spacing w:after="0"/>
        <w:rPr>
          <w:rFonts w:ascii="Times New Roman" w:hAnsi="Times New Roman" w:cs="Times New Roman"/>
          <w:b/>
          <w:caps/>
          <w:sz w:val="24"/>
          <w:szCs w:val="24"/>
        </w:rPr>
      </w:pPr>
      <w:r>
        <w:rPr>
          <w:rFonts w:ascii="Times New Roman" w:hAnsi="Times New Roman" w:cs="Times New Roman"/>
          <w:b/>
          <w:caps/>
          <w:sz w:val="24"/>
          <w:szCs w:val="24"/>
        </w:rPr>
        <w:br w:type="page"/>
      </w:r>
    </w:p>
    <w:p w14:paraId="5DF385FF" w14:textId="77777777" w:rsidR="00BA2C23" w:rsidRDefault="00BA2C23">
      <w:pPr>
        <w:spacing w:after="0"/>
        <w:ind w:left="6480" w:firstLine="720"/>
        <w:rPr>
          <w:rFonts w:ascii="Times New Roman" w:eastAsia="Calibri" w:hAnsi="Times New Roman" w:cs="Times New Roman"/>
          <w:sz w:val="24"/>
          <w:szCs w:val="24"/>
          <w:lang w:eastAsia="en-AU"/>
        </w:rPr>
      </w:pPr>
      <w:r>
        <w:rPr>
          <w:rFonts w:ascii="Times New Roman" w:hAnsi="Times New Roman" w:cs="Times New Roman"/>
          <w:b/>
          <w:sz w:val="24"/>
          <w:szCs w:val="24"/>
        </w:rPr>
        <w:lastRenderedPageBreak/>
        <w:t>Attachment A</w:t>
      </w:r>
    </w:p>
    <w:p w14:paraId="6268818B" w14:textId="77777777" w:rsidR="00BA2C23" w:rsidRDefault="00BA2C23">
      <w:pPr>
        <w:spacing w:after="0"/>
        <w:rPr>
          <w:rFonts w:ascii="Times New Roman" w:hAnsi="Times New Roman" w:cs="Times New Roman"/>
          <w:b/>
          <w:caps/>
          <w:sz w:val="24"/>
          <w:szCs w:val="24"/>
        </w:rPr>
      </w:pPr>
    </w:p>
    <w:p w14:paraId="5E3E9FA4" w14:textId="77777777" w:rsidR="00BA2C23" w:rsidRDefault="00BA2C23">
      <w:pPr>
        <w:spacing w:after="0"/>
        <w:rPr>
          <w:rFonts w:ascii="Times New Roman" w:hAnsi="Times New Roman" w:cs="Times New Roman"/>
          <w:b/>
          <w:caps/>
          <w:sz w:val="24"/>
          <w:szCs w:val="24"/>
        </w:rPr>
      </w:pPr>
      <w:r>
        <w:rPr>
          <w:rFonts w:ascii="Times New Roman" w:hAnsi="Times New Roman" w:cs="Times New Roman"/>
          <w:b/>
          <w:caps/>
          <w:sz w:val="24"/>
          <w:szCs w:val="24"/>
        </w:rPr>
        <w:t>Statement of Compatibility with Human Rights</w:t>
      </w:r>
    </w:p>
    <w:p w14:paraId="237F30DE" w14:textId="77777777" w:rsidR="00BA2C23" w:rsidRDefault="00BA2C23">
      <w:pPr>
        <w:keepNext/>
        <w:spacing w:after="0"/>
        <w:ind w:right="748"/>
        <w:rPr>
          <w:rFonts w:ascii="Times New Roman" w:eastAsia="Times New Roman" w:hAnsi="Times New Roman" w:cs="Times New Roman"/>
          <w:sz w:val="24"/>
          <w:lang w:eastAsia="en-AU"/>
        </w:rPr>
      </w:pPr>
    </w:p>
    <w:p w14:paraId="618289C4" w14:textId="77777777" w:rsidR="00BA2C23" w:rsidRDefault="00BA2C23">
      <w:pPr>
        <w:keepNext/>
        <w:spacing w:after="0"/>
        <w:ind w:right="748"/>
        <w:rPr>
          <w:rFonts w:ascii="Times New Roman" w:eastAsia="Times New Roman" w:hAnsi="Times New Roman" w:cs="Times New Roman"/>
          <w:i/>
          <w:sz w:val="24"/>
          <w:lang w:eastAsia="en-AU"/>
        </w:rPr>
      </w:pPr>
      <w:r>
        <w:rPr>
          <w:rFonts w:ascii="Times New Roman" w:eastAsia="Times New Roman" w:hAnsi="Times New Roman" w:cs="Times New Roman"/>
          <w:sz w:val="24"/>
          <w:lang w:eastAsia="en-AU"/>
        </w:rPr>
        <w:t>Prepared in accordance with Part 3 of the</w:t>
      </w:r>
      <w:r>
        <w:rPr>
          <w:rFonts w:ascii="Times New Roman" w:eastAsia="Times New Roman" w:hAnsi="Times New Roman" w:cs="Times New Roman"/>
          <w:i/>
          <w:sz w:val="24"/>
          <w:lang w:eastAsia="en-AU"/>
        </w:rPr>
        <w:t xml:space="preserve"> Human Rights (Parliamentary Scrutiny) Act 2011.</w:t>
      </w:r>
    </w:p>
    <w:p w14:paraId="67EC0B3A" w14:textId="77777777" w:rsidR="00BA2C23" w:rsidRDefault="00BA2C23">
      <w:pPr>
        <w:keepNext/>
        <w:spacing w:after="0"/>
        <w:ind w:right="748"/>
        <w:rPr>
          <w:rFonts w:ascii="Times New Roman" w:eastAsia="Times New Roman" w:hAnsi="Times New Roman" w:cs="Times New Roman"/>
          <w:i/>
          <w:sz w:val="20"/>
          <w:lang w:eastAsia="en-AU"/>
        </w:rPr>
      </w:pPr>
    </w:p>
    <w:p w14:paraId="3A4AEF45" w14:textId="2C0D0B39" w:rsidR="00BA2C23" w:rsidRDefault="00C40D32">
      <w:pPr>
        <w:pStyle w:val="NoSpacing"/>
        <w:spacing w:line="276" w:lineRule="auto"/>
        <w:rPr>
          <w:rFonts w:ascii="Times New Roman" w:hAnsi="Times New Roman" w:cs="Times New Roman"/>
          <w:b/>
          <w:i/>
          <w:sz w:val="24"/>
          <w:szCs w:val="24"/>
        </w:rPr>
      </w:pPr>
      <w:r w:rsidRPr="00C40D32">
        <w:rPr>
          <w:rFonts w:ascii="Times New Roman" w:hAnsi="Times New Roman" w:cs="Times New Roman"/>
          <w:b/>
          <w:i/>
          <w:sz w:val="24"/>
          <w:szCs w:val="24"/>
        </w:rPr>
        <w:t>Legislation (Exemptions and Other Matters) Amendment (2024 Measures No. 1) Regulations 2024</w:t>
      </w:r>
    </w:p>
    <w:p w14:paraId="0B744A00" w14:textId="77777777" w:rsidR="00C40D32" w:rsidRDefault="00C40D32">
      <w:pPr>
        <w:pStyle w:val="NoSpacing"/>
        <w:spacing w:line="276" w:lineRule="auto"/>
        <w:rPr>
          <w:rFonts w:ascii="Times New Roman" w:hAnsi="Times New Roman" w:cs="Times New Roman"/>
          <w:b/>
          <w:sz w:val="16"/>
          <w:szCs w:val="24"/>
        </w:rPr>
      </w:pPr>
    </w:p>
    <w:p w14:paraId="67C9ED80" w14:textId="77777777" w:rsidR="00BA2C23" w:rsidRDefault="00BA2C23">
      <w:pPr>
        <w:pStyle w:val="NoSpacing"/>
        <w:spacing w:line="276" w:lineRule="auto"/>
        <w:rPr>
          <w:rFonts w:ascii="Times New Roman" w:hAnsi="Times New Roman" w:cs="Times New Roman"/>
          <w:i/>
          <w:iCs/>
          <w:sz w:val="24"/>
          <w:szCs w:val="24"/>
        </w:rPr>
      </w:pPr>
      <w:r>
        <w:rPr>
          <w:rFonts w:ascii="Times New Roman" w:hAnsi="Times New Roman" w:cs="Times New Roman"/>
          <w:sz w:val="24"/>
          <w:szCs w:val="24"/>
        </w:rPr>
        <w:t xml:space="preserve">The </w:t>
      </w:r>
      <w:bookmarkStart w:id="7" w:name="_Hlk153447040"/>
      <w:r>
        <w:rPr>
          <w:rFonts w:ascii="Times New Roman" w:hAnsi="Times New Roman" w:cs="Times New Roman"/>
          <w:i/>
          <w:sz w:val="24"/>
          <w:szCs w:val="24"/>
        </w:rPr>
        <w:t>Legislation (Exemptions and Other Matters) Amendment (2024 Measures No. 1) Regulations 2024</w:t>
      </w:r>
      <w:r>
        <w:rPr>
          <w:rFonts w:ascii="Times New Roman" w:hAnsi="Times New Roman" w:cs="Times New Roman"/>
          <w:sz w:val="24"/>
          <w:szCs w:val="24"/>
        </w:rPr>
        <w:t xml:space="preserve"> </w:t>
      </w:r>
      <w:bookmarkEnd w:id="7"/>
      <w:r>
        <w:rPr>
          <w:rFonts w:ascii="Times New Roman" w:hAnsi="Times New Roman" w:cs="Times New Roman"/>
          <w:sz w:val="24"/>
          <w:szCs w:val="24"/>
        </w:rPr>
        <w:t xml:space="preserve">(the Amendment Regulations) are compatible with the human rights and freedoms recognised or declared in the international instruments listed in section 3 of the </w:t>
      </w:r>
      <w:r>
        <w:rPr>
          <w:rFonts w:ascii="Times New Roman" w:hAnsi="Times New Roman" w:cs="Times New Roman"/>
          <w:i/>
          <w:iCs/>
          <w:sz w:val="24"/>
          <w:szCs w:val="24"/>
        </w:rPr>
        <w:t xml:space="preserve">Human Rights (Parliamentary Scrutiny) Act 2011 </w:t>
      </w:r>
      <w:r>
        <w:rPr>
          <w:rFonts w:ascii="Times New Roman" w:hAnsi="Times New Roman" w:cs="Times New Roman"/>
          <w:iCs/>
          <w:sz w:val="24"/>
          <w:szCs w:val="24"/>
        </w:rPr>
        <w:t>(the Human Rights Act)</w:t>
      </w:r>
      <w:r>
        <w:rPr>
          <w:rFonts w:ascii="Times New Roman" w:hAnsi="Times New Roman" w:cs="Times New Roman"/>
          <w:i/>
          <w:iCs/>
          <w:sz w:val="24"/>
          <w:szCs w:val="24"/>
        </w:rPr>
        <w:t>.</w:t>
      </w:r>
    </w:p>
    <w:p w14:paraId="48A9339F" w14:textId="77777777" w:rsidR="00BA2C23" w:rsidRDefault="00BA2C23">
      <w:pPr>
        <w:pStyle w:val="NoSpacing"/>
        <w:spacing w:line="276" w:lineRule="auto"/>
        <w:rPr>
          <w:rFonts w:ascii="Times New Roman" w:hAnsi="Times New Roman" w:cs="Times New Roman"/>
          <w:iCs/>
          <w:sz w:val="24"/>
          <w:szCs w:val="24"/>
        </w:rPr>
      </w:pPr>
    </w:p>
    <w:p w14:paraId="1E2E38B9" w14:textId="77777777" w:rsidR="00BA2C23" w:rsidRDefault="00BA2C23">
      <w:pPr>
        <w:pStyle w:val="NoSpacing"/>
        <w:spacing w:line="276" w:lineRule="auto"/>
        <w:rPr>
          <w:rFonts w:ascii="Times New Roman" w:hAnsi="Times New Roman" w:cs="Times New Roman"/>
          <w:iCs/>
          <w:sz w:val="24"/>
          <w:szCs w:val="24"/>
        </w:rPr>
      </w:pPr>
      <w:r>
        <w:rPr>
          <w:rFonts w:ascii="Times New Roman" w:hAnsi="Times New Roman" w:cs="Times New Roman"/>
          <w:b/>
          <w:iCs/>
          <w:sz w:val="24"/>
          <w:szCs w:val="24"/>
        </w:rPr>
        <w:t>Overview</w:t>
      </w:r>
    </w:p>
    <w:p w14:paraId="6E42E280" w14:textId="77777777" w:rsidR="00BA2C23" w:rsidRDefault="00BA2C23">
      <w:pPr>
        <w:pStyle w:val="Paragraph"/>
        <w:tabs>
          <w:tab w:val="left" w:pos="567"/>
        </w:tabs>
        <w:spacing w:before="0" w:line="276" w:lineRule="auto"/>
      </w:pPr>
    </w:p>
    <w:p w14:paraId="16F84BC7" w14:textId="77777777" w:rsidR="00BA2C23" w:rsidRDefault="00BA2C23">
      <w:pPr>
        <w:pStyle w:val="Paragraph"/>
        <w:tabs>
          <w:tab w:val="left" w:pos="567"/>
        </w:tabs>
        <w:spacing w:before="0" w:line="276" w:lineRule="auto"/>
        <w:rPr>
          <w:szCs w:val="24"/>
        </w:rPr>
      </w:pPr>
      <w:r>
        <w:t xml:space="preserve">The </w:t>
      </w:r>
      <w:r>
        <w:rPr>
          <w:i/>
        </w:rPr>
        <w:t xml:space="preserve">Legislation Act 2003 </w:t>
      </w:r>
      <w:r>
        <w:t xml:space="preserve">(Legislation Act) establishes a comprehensive regime for the publication of Commonwealth Acts and Instruments and provides for the sunsetting and disallowance of legislative instruments. Sunsetting is the process by which instruments are automatically repealed approximately 10 years after they are made unless steps are taken to preserve their operation or the instruments are exempt from sunsetting. Disallowance is the process by which instruments are subject to parliamentary scrutiny for 15 sitting days in each House of Parliament and can be vetoed. </w:t>
      </w:r>
    </w:p>
    <w:p w14:paraId="4E7FCDC2" w14:textId="77777777" w:rsidR="00BA2C23" w:rsidRDefault="00BA2C23">
      <w:pPr>
        <w:numPr>
          <w:ilvl w:val="12"/>
          <w:numId w:val="0"/>
        </w:numPr>
        <w:spacing w:after="0"/>
        <w:rPr>
          <w:rFonts w:ascii="Times New Roman" w:eastAsia="Times New Roman" w:hAnsi="Times New Roman" w:cs="Times New Roman"/>
          <w:color w:val="000000"/>
          <w:sz w:val="24"/>
          <w:szCs w:val="24"/>
          <w:lang w:eastAsia="en-AU"/>
        </w:rPr>
      </w:pPr>
    </w:p>
    <w:p w14:paraId="18057BB9" w14:textId="77777777" w:rsidR="00BA2C23" w:rsidRDefault="00BA2C23">
      <w:pPr>
        <w:numPr>
          <w:ilvl w:val="12"/>
          <w:numId w:val="0"/>
        </w:numPr>
        <w:spacing w:after="0"/>
        <w:rPr>
          <w:rFonts w:ascii="Times New Roman" w:eastAsia="Calibri" w:hAnsi="Times New Roman" w:cs="Times New Roman"/>
          <w:sz w:val="24"/>
          <w:szCs w:val="24"/>
          <w:lang w:eastAsia="en-AU"/>
        </w:rPr>
      </w:pPr>
      <w:r>
        <w:rPr>
          <w:rFonts w:ascii="Times New Roman" w:eastAsia="Times New Roman" w:hAnsi="Times New Roman" w:cs="Times New Roman"/>
          <w:color w:val="000000"/>
          <w:sz w:val="24"/>
          <w:szCs w:val="24"/>
          <w:lang w:eastAsia="en-AU"/>
        </w:rPr>
        <w:t xml:space="preserve">The </w:t>
      </w:r>
      <w:r>
        <w:rPr>
          <w:rFonts w:ascii="Times New Roman" w:eastAsia="Times New Roman" w:hAnsi="Times New Roman" w:cs="Times New Roman"/>
          <w:i/>
          <w:color w:val="000000"/>
          <w:sz w:val="24"/>
          <w:szCs w:val="24"/>
          <w:lang w:eastAsia="en-AU"/>
        </w:rPr>
        <w:t>Legislation (Exemptions and Other Matters) Regulation 2015</w:t>
      </w:r>
      <w:r>
        <w:rPr>
          <w:rFonts w:ascii="Times New Roman" w:eastAsia="Times New Roman" w:hAnsi="Times New Roman" w:cs="Times New Roman"/>
          <w:color w:val="000000"/>
          <w:sz w:val="24"/>
          <w:szCs w:val="24"/>
          <w:lang w:eastAsia="en-AU"/>
        </w:rPr>
        <w:t xml:space="preserve"> (the Principal Regulations) prescribe </w:t>
      </w:r>
      <w:r>
        <w:rPr>
          <w:rFonts w:ascii="Times New Roman" w:eastAsia="Calibri" w:hAnsi="Times New Roman" w:cs="Times New Roman"/>
          <w:sz w:val="24"/>
          <w:szCs w:val="24"/>
          <w:lang w:eastAsia="en-AU"/>
        </w:rPr>
        <w:t>classes of instruments (section 9) and particular instruments (section 10) that are exempt from disallowance under paragraph 44(2)(b) of the Act, and prescribe classes of instruments (at section 11) and particular instruments (at section 12) that are exempt from sunsetting under paragraph 54(2)(b) of the Legislation Act.</w:t>
      </w:r>
    </w:p>
    <w:p w14:paraId="25681F6E" w14:textId="77777777" w:rsidR="00BA2C23" w:rsidRDefault="00BA2C23">
      <w:pPr>
        <w:pStyle w:val="NoSpacing"/>
        <w:spacing w:line="276" w:lineRule="auto"/>
        <w:rPr>
          <w:rFonts w:ascii="Times New Roman" w:hAnsi="Times New Roman" w:cs="Times New Roman"/>
          <w:sz w:val="20"/>
          <w:szCs w:val="24"/>
        </w:rPr>
      </w:pPr>
    </w:p>
    <w:p w14:paraId="268A93C8" w14:textId="51903D64" w:rsidR="00BA2C23" w:rsidRDefault="00BA2C23">
      <w:pPr>
        <w:pStyle w:val="NoSpacing"/>
        <w:spacing w:line="276"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The Amendment Regulations are made under section 62 of the Legislation Act and amend the Principal Regulations </w:t>
      </w:r>
      <w:r>
        <w:rPr>
          <w:rFonts w:ascii="Times New Roman" w:eastAsia="Times New Roman" w:hAnsi="Times New Roman" w:cs="Times New Roman"/>
          <w:sz w:val="24"/>
          <w:szCs w:val="24"/>
          <w:lang w:eastAsia="en-AU"/>
        </w:rPr>
        <w:t xml:space="preserve">by repealing item 7 in section 10 of the Principal Regulations to remove an exemption from disallowance for funding rules under the </w:t>
      </w:r>
      <w:r>
        <w:rPr>
          <w:rFonts w:ascii="Times New Roman" w:eastAsia="Times New Roman" w:hAnsi="Times New Roman" w:cs="Times New Roman"/>
          <w:i/>
          <w:snapToGrid w:val="0"/>
          <w:color w:val="000000"/>
          <w:sz w:val="24"/>
          <w:szCs w:val="24"/>
          <w:lang w:eastAsia="en-AU"/>
        </w:rPr>
        <w:t xml:space="preserve">Australian Research Council Act 2001 </w:t>
      </w:r>
      <w:r>
        <w:rPr>
          <w:rFonts w:ascii="Times New Roman" w:eastAsia="Times New Roman" w:hAnsi="Times New Roman" w:cs="Times New Roman"/>
          <w:snapToGrid w:val="0"/>
          <w:color w:val="000000"/>
          <w:sz w:val="24"/>
          <w:szCs w:val="24"/>
          <w:lang w:eastAsia="en-AU"/>
        </w:rPr>
        <w:t>(</w:t>
      </w:r>
      <w:r>
        <w:rPr>
          <w:rFonts w:ascii="Times New Roman" w:eastAsia="Times New Roman" w:hAnsi="Times New Roman" w:cs="Times New Roman"/>
          <w:sz w:val="24"/>
          <w:szCs w:val="24"/>
          <w:lang w:eastAsia="en-AU"/>
        </w:rPr>
        <w:t>ARC Act). The Amendment Regulations also adds item 3A in section 12 to create exemptions from sunsetting for the following instruments:</w:t>
      </w:r>
    </w:p>
    <w:p w14:paraId="2D542AD0" w14:textId="3613B289" w:rsidR="00BA2C23" w:rsidRDefault="00BA2C23">
      <w:pPr>
        <w:pStyle w:val="Basetext"/>
        <w:numPr>
          <w:ilvl w:val="0"/>
          <w:numId w:val="12"/>
        </w:numPr>
        <w:snapToGrid w:val="0"/>
        <w:spacing w:before="0"/>
        <w:rPr>
          <w:i/>
          <w:sz w:val="24"/>
          <w:szCs w:val="24"/>
        </w:rPr>
      </w:pPr>
      <w:r>
        <w:rPr>
          <w:i/>
          <w:sz w:val="24"/>
          <w:szCs w:val="24"/>
        </w:rPr>
        <w:t>Air Navigation (Aircraft Engine Emissions) Regulations</w:t>
      </w:r>
      <w:r w:rsidR="00547E54">
        <w:rPr>
          <w:i/>
          <w:sz w:val="24"/>
          <w:szCs w:val="24"/>
        </w:rPr>
        <w:t xml:space="preserve"> 1995</w:t>
      </w:r>
      <w:r>
        <w:rPr>
          <w:i/>
          <w:sz w:val="24"/>
          <w:szCs w:val="24"/>
        </w:rPr>
        <w:t>;</w:t>
      </w:r>
    </w:p>
    <w:p w14:paraId="10FB2829" w14:textId="77777777" w:rsidR="00BA2C23" w:rsidRDefault="00BA2C23">
      <w:pPr>
        <w:pStyle w:val="Basetext"/>
        <w:numPr>
          <w:ilvl w:val="0"/>
          <w:numId w:val="12"/>
        </w:numPr>
        <w:snapToGrid w:val="0"/>
        <w:spacing w:before="0"/>
        <w:rPr>
          <w:i/>
          <w:sz w:val="24"/>
          <w:szCs w:val="24"/>
        </w:rPr>
      </w:pPr>
      <w:r>
        <w:rPr>
          <w:i/>
          <w:sz w:val="24"/>
          <w:szCs w:val="24"/>
        </w:rPr>
        <w:t>Air Navigation (Aircraft Noise) Regulations 2018;</w:t>
      </w:r>
    </w:p>
    <w:p w14:paraId="0E406206" w14:textId="77777777" w:rsidR="00BA2C23" w:rsidRDefault="00BA2C23">
      <w:pPr>
        <w:spacing w:after="0"/>
        <w:rPr>
          <w:rFonts w:ascii="Times New Roman" w:hAnsi="Times New Roman" w:cs="Times New Roman"/>
          <w:sz w:val="24"/>
          <w:szCs w:val="24"/>
        </w:rPr>
      </w:pPr>
    </w:p>
    <w:p w14:paraId="56FD2B56" w14:textId="77777777" w:rsidR="00BA2C23" w:rsidRDefault="00BA2C23">
      <w:pPr>
        <w:pStyle w:val="Basetext"/>
        <w:spacing w:before="0"/>
        <w:rPr>
          <w:color w:val="000000"/>
          <w:sz w:val="24"/>
          <w:szCs w:val="24"/>
          <w:lang w:eastAsia="en-AU"/>
        </w:rPr>
      </w:pPr>
      <w:r>
        <w:rPr>
          <w:color w:val="000000"/>
          <w:sz w:val="24"/>
          <w:szCs w:val="24"/>
          <w:lang w:eastAsia="en-AU"/>
        </w:rPr>
        <w:t>The Amendment Regulations repeal item 7 of section 10 of the Principal Regulations, which exempts the following instruments from disallowance:</w:t>
      </w:r>
    </w:p>
    <w:p w14:paraId="4974740F" w14:textId="77777777" w:rsidR="00BA2C23" w:rsidRDefault="00BA2C23">
      <w:pPr>
        <w:pStyle w:val="ListParagraph"/>
        <w:numPr>
          <w:ilvl w:val="0"/>
          <w:numId w:val="13"/>
        </w:numPr>
        <w:spacing w:after="0"/>
        <w:rPr>
          <w:rFonts w:ascii="Times New Roman" w:eastAsia="Times New Roman" w:hAnsi="Times New Roman" w:cs="Times New Roman"/>
          <w:snapToGrid w:val="0"/>
          <w:color w:val="000000"/>
          <w:sz w:val="24"/>
          <w:szCs w:val="24"/>
          <w:lang w:eastAsia="en-AU"/>
        </w:rPr>
      </w:pPr>
      <w:r>
        <w:rPr>
          <w:rFonts w:ascii="Times New Roman" w:eastAsia="Times New Roman" w:hAnsi="Times New Roman" w:cs="Times New Roman"/>
          <w:snapToGrid w:val="0"/>
          <w:color w:val="000000"/>
          <w:sz w:val="24"/>
          <w:szCs w:val="24"/>
          <w:lang w:eastAsia="en-AU"/>
        </w:rPr>
        <w:t>a rule made under section 60 of the ARC Act; and</w:t>
      </w:r>
    </w:p>
    <w:p w14:paraId="139539EB" w14:textId="77777777" w:rsidR="00BA2C23" w:rsidRDefault="00BA2C23">
      <w:pPr>
        <w:pStyle w:val="ListParagraph"/>
        <w:numPr>
          <w:ilvl w:val="0"/>
          <w:numId w:val="13"/>
        </w:numPr>
        <w:spacing w:after="0"/>
        <w:rPr>
          <w:rFonts w:ascii="Times New Roman" w:eastAsia="Times New Roman" w:hAnsi="Times New Roman" w:cs="Times New Roman"/>
          <w:snapToGrid w:val="0"/>
          <w:color w:val="000000"/>
          <w:sz w:val="24"/>
          <w:szCs w:val="24"/>
          <w:lang w:eastAsia="en-AU"/>
        </w:rPr>
      </w:pPr>
      <w:r>
        <w:rPr>
          <w:rFonts w:ascii="Times New Roman" w:eastAsia="Times New Roman" w:hAnsi="Times New Roman" w:cs="Times New Roman"/>
          <w:snapToGrid w:val="0"/>
          <w:color w:val="000000"/>
          <w:sz w:val="24"/>
          <w:szCs w:val="24"/>
          <w:lang w:eastAsia="en-AU"/>
        </w:rPr>
        <w:t>a variation of a set of rules made under section 61 of that Act.</w:t>
      </w:r>
    </w:p>
    <w:p w14:paraId="391870F1" w14:textId="77777777" w:rsidR="005824D7" w:rsidRDefault="005824D7">
      <w:pPr>
        <w:spacing w:after="0"/>
        <w:rPr>
          <w:rFonts w:ascii="Times New Roman" w:hAnsi="Times New Roman" w:cs="Times New Roman"/>
          <w:sz w:val="24"/>
          <w:szCs w:val="24"/>
        </w:rPr>
      </w:pPr>
    </w:p>
    <w:p w14:paraId="5EDBB75F" w14:textId="0147C335" w:rsidR="00BA2C23" w:rsidRDefault="00BA2C23">
      <w:pPr>
        <w:spacing w:after="0"/>
        <w:rPr>
          <w:rFonts w:ascii="Times New Roman" w:hAnsi="Times New Roman" w:cs="Times New Roman"/>
          <w:sz w:val="24"/>
          <w:szCs w:val="24"/>
        </w:rPr>
      </w:pPr>
      <w:r>
        <w:rPr>
          <w:rFonts w:ascii="Times New Roman" w:hAnsi="Times New Roman" w:cs="Times New Roman"/>
          <w:sz w:val="24"/>
          <w:szCs w:val="24"/>
        </w:rPr>
        <w:lastRenderedPageBreak/>
        <w:t>Repealing the disallowance exemption through the Amendment Regulations</w:t>
      </w:r>
      <w:r w:rsidR="00DB2B5F">
        <w:rPr>
          <w:rFonts w:ascii="Times New Roman" w:hAnsi="Times New Roman" w:cs="Times New Roman"/>
          <w:sz w:val="24"/>
          <w:szCs w:val="24"/>
        </w:rPr>
        <w:t xml:space="preserve"> gives effect to the Government response to the 2023 Review of the ARC Act, </w:t>
      </w:r>
      <w:r>
        <w:rPr>
          <w:rFonts w:ascii="Times New Roman" w:hAnsi="Times New Roman" w:cs="Times New Roman"/>
          <w:sz w:val="24"/>
          <w:szCs w:val="24"/>
        </w:rPr>
        <w:t>provides consistency with related legislation, and subjects instruments to greater parliamentary oversight through the possibility of disallowance.</w:t>
      </w:r>
    </w:p>
    <w:p w14:paraId="2E16B0E6" w14:textId="77777777" w:rsidR="00BA2C23" w:rsidRDefault="00BA2C23">
      <w:pPr>
        <w:spacing w:after="0"/>
        <w:rPr>
          <w:rFonts w:ascii="Times New Roman" w:hAnsi="Times New Roman" w:cs="Times New Roman"/>
          <w:sz w:val="24"/>
          <w:szCs w:val="24"/>
        </w:rPr>
      </w:pPr>
    </w:p>
    <w:p w14:paraId="378D24EC" w14:textId="509DB1B3" w:rsidR="00BA2C23" w:rsidRDefault="00BA2C23">
      <w:pPr>
        <w:pStyle w:val="Basetext"/>
        <w:spacing w:before="0"/>
        <w:rPr>
          <w:sz w:val="24"/>
          <w:szCs w:val="24"/>
        </w:rPr>
      </w:pPr>
      <w:r>
        <w:rPr>
          <w:color w:val="000000"/>
          <w:sz w:val="24"/>
          <w:szCs w:val="24"/>
          <w:lang w:eastAsia="en-AU"/>
        </w:rPr>
        <w:t>The Amendment Regulations also exempt the</w:t>
      </w:r>
      <w:r>
        <w:rPr>
          <w:i/>
          <w:sz w:val="24"/>
          <w:szCs w:val="24"/>
        </w:rPr>
        <w:t xml:space="preserve"> Air Navigation (Aircraft Engine Emissions) Regulations </w:t>
      </w:r>
      <w:r w:rsidR="00547E54">
        <w:rPr>
          <w:i/>
          <w:sz w:val="24"/>
          <w:szCs w:val="24"/>
        </w:rPr>
        <w:t xml:space="preserve">1995 </w:t>
      </w:r>
      <w:r>
        <w:rPr>
          <w:sz w:val="24"/>
          <w:szCs w:val="24"/>
        </w:rPr>
        <w:t>and</w:t>
      </w:r>
      <w:r>
        <w:rPr>
          <w:i/>
          <w:sz w:val="24"/>
          <w:szCs w:val="24"/>
        </w:rPr>
        <w:t xml:space="preserve"> </w:t>
      </w:r>
      <w:r>
        <w:rPr>
          <w:sz w:val="24"/>
          <w:szCs w:val="24"/>
        </w:rPr>
        <w:t xml:space="preserve">the </w:t>
      </w:r>
      <w:r>
        <w:rPr>
          <w:i/>
          <w:sz w:val="24"/>
          <w:szCs w:val="24"/>
        </w:rPr>
        <w:t xml:space="preserve">Air Navigation (Aircraft Noise) Regulations 2018 </w:t>
      </w:r>
      <w:r>
        <w:rPr>
          <w:sz w:val="24"/>
          <w:szCs w:val="24"/>
        </w:rPr>
        <w:t>(together the ‘Emissions and Noise Regulations’) from sunsetting under section 12 of the Principal Regulations. These sunsetting exemptions are made in accordance with established policy criteria for the granting of exemptions, provided for in the Attorney</w:t>
      </w:r>
      <w:r>
        <w:rPr>
          <w:sz w:val="24"/>
          <w:szCs w:val="24"/>
        </w:rPr>
        <w:noBreakHyphen/>
        <w:t xml:space="preserve">General’s Department’s </w:t>
      </w:r>
      <w:r>
        <w:rPr>
          <w:i/>
          <w:sz w:val="24"/>
          <w:szCs w:val="24"/>
        </w:rPr>
        <w:t>Guide to managing sunsetting of legislative instruments</w:t>
      </w:r>
      <w:r>
        <w:rPr>
          <w:sz w:val="24"/>
          <w:szCs w:val="24"/>
        </w:rPr>
        <w:t>. The Emissions and Noise Regulations are part of an intergovernmental scheme.</w:t>
      </w:r>
      <w:r>
        <w:t xml:space="preserve"> </w:t>
      </w:r>
      <w:r>
        <w:rPr>
          <w:sz w:val="24"/>
          <w:szCs w:val="24"/>
        </w:rPr>
        <w:t>As the Emissions and Noise Regulations are applied to intra-state air navigation through the intergovernmental scheme, it would be inappropriate for the Commonwealth to unilaterally permit either of the instruments to sunset.</w:t>
      </w:r>
    </w:p>
    <w:p w14:paraId="3CCE4282" w14:textId="77777777" w:rsidR="00BA2C23" w:rsidRDefault="00BA2C23">
      <w:pPr>
        <w:spacing w:after="0"/>
        <w:rPr>
          <w:rFonts w:ascii="Times New Roman" w:hAnsi="Times New Roman" w:cs="Times New Roman"/>
          <w:b/>
          <w:sz w:val="24"/>
          <w:szCs w:val="24"/>
        </w:rPr>
      </w:pPr>
    </w:p>
    <w:p w14:paraId="4FDA47B9" w14:textId="77777777" w:rsidR="00BA2C23" w:rsidRDefault="00BA2C23">
      <w:pPr>
        <w:spacing w:after="0"/>
      </w:pPr>
      <w:r>
        <w:rPr>
          <w:rFonts w:ascii="Times New Roman" w:hAnsi="Times New Roman" w:cs="Times New Roman"/>
          <w:b/>
          <w:sz w:val="24"/>
          <w:szCs w:val="24"/>
        </w:rPr>
        <w:t>Human Rights Implications</w:t>
      </w:r>
    </w:p>
    <w:p w14:paraId="03FE5D87" w14:textId="77777777" w:rsidR="00BA2C23" w:rsidRDefault="00BA2C23">
      <w:pPr>
        <w:spacing w:after="0"/>
        <w:rPr>
          <w:rFonts w:ascii="Times New Roman" w:hAnsi="Times New Roman" w:cs="Times New Roman"/>
          <w:spacing w:val="-2"/>
          <w:sz w:val="24"/>
          <w:szCs w:val="24"/>
        </w:rPr>
      </w:pPr>
    </w:p>
    <w:p w14:paraId="5056A4F0" w14:textId="319D6030" w:rsidR="00BA2C23" w:rsidRDefault="00BA2C23">
      <w:pPr>
        <w:spacing w:after="0"/>
        <w:rPr>
          <w:rFonts w:ascii="Times New Roman" w:hAnsi="Times New Roman" w:cs="Times New Roman"/>
          <w:spacing w:val="-2"/>
          <w:sz w:val="24"/>
          <w:szCs w:val="24"/>
        </w:rPr>
      </w:pPr>
      <w:r>
        <w:rPr>
          <w:rFonts w:ascii="Times New Roman" w:hAnsi="Times New Roman" w:cs="Times New Roman"/>
          <w:spacing w:val="-2"/>
          <w:sz w:val="24"/>
          <w:szCs w:val="24"/>
        </w:rPr>
        <w:t xml:space="preserve">The Amendment Regulations repeal an exemption from disallowance for funding rules made under section 60 of the </w:t>
      </w:r>
      <w:r>
        <w:rPr>
          <w:rFonts w:ascii="Times New Roman" w:hAnsi="Times New Roman" w:cs="Times New Roman"/>
          <w:i/>
          <w:spacing w:val="-2"/>
          <w:sz w:val="24"/>
          <w:szCs w:val="24"/>
        </w:rPr>
        <w:t>Australian Research Council Act</w:t>
      </w:r>
      <w:r>
        <w:rPr>
          <w:rFonts w:ascii="Times New Roman" w:hAnsi="Times New Roman" w:cs="Times New Roman"/>
          <w:spacing w:val="-2"/>
          <w:sz w:val="24"/>
          <w:szCs w:val="24"/>
        </w:rPr>
        <w:t xml:space="preserve"> </w:t>
      </w:r>
      <w:r>
        <w:rPr>
          <w:rFonts w:ascii="Times New Roman" w:hAnsi="Times New Roman" w:cs="Times New Roman"/>
          <w:i/>
          <w:spacing w:val="-2"/>
          <w:sz w:val="24"/>
          <w:szCs w:val="24"/>
        </w:rPr>
        <w:t xml:space="preserve">2001 </w:t>
      </w:r>
      <w:r>
        <w:rPr>
          <w:rFonts w:ascii="Times New Roman" w:hAnsi="Times New Roman" w:cs="Times New Roman"/>
          <w:spacing w:val="-2"/>
          <w:sz w:val="24"/>
          <w:szCs w:val="24"/>
        </w:rPr>
        <w:t xml:space="preserve">(ARC Act), and any variations to those rules made under </w:t>
      </w:r>
      <w:r w:rsidR="00101E38">
        <w:rPr>
          <w:rFonts w:ascii="Times New Roman" w:hAnsi="Times New Roman" w:cs="Times New Roman"/>
          <w:spacing w:val="-2"/>
          <w:sz w:val="24"/>
          <w:szCs w:val="24"/>
        </w:rPr>
        <w:t xml:space="preserve">section 61 of </w:t>
      </w:r>
      <w:r>
        <w:rPr>
          <w:rFonts w:ascii="Times New Roman" w:hAnsi="Times New Roman" w:cs="Times New Roman"/>
          <w:spacing w:val="-2"/>
          <w:sz w:val="24"/>
          <w:szCs w:val="24"/>
        </w:rPr>
        <w:t xml:space="preserve">that Act. Repealing the disallowance exemption for these instruments does not raise human rights issues as the content of the instruments is not altered, nor do the exemptions affect the rights engaged under the original instruments. The Amendment Regulations would simply have the effect of ensuring that </w:t>
      </w:r>
      <w:r w:rsidR="00D85CB9">
        <w:rPr>
          <w:rFonts w:ascii="Times New Roman" w:hAnsi="Times New Roman" w:cs="Times New Roman"/>
          <w:spacing w:val="-2"/>
          <w:sz w:val="24"/>
          <w:szCs w:val="24"/>
        </w:rPr>
        <w:t xml:space="preserve">funding rules </w:t>
      </w:r>
      <w:r>
        <w:rPr>
          <w:rFonts w:ascii="Times New Roman" w:hAnsi="Times New Roman" w:cs="Times New Roman"/>
          <w:spacing w:val="-2"/>
          <w:sz w:val="24"/>
          <w:szCs w:val="24"/>
        </w:rPr>
        <w:t xml:space="preserve">made or varied under the ARC Act are subject to disallowance and therefore subject to full and comprehensive parliamentary oversight and scrutiny, through the possibility of disallowance. All new funding rules made under the ARC Act would be assessed for compatibility with human rights and accordingly include compatibility statements. </w:t>
      </w:r>
    </w:p>
    <w:p w14:paraId="27025B10" w14:textId="77777777" w:rsidR="00BA2C23" w:rsidRDefault="00BA2C23">
      <w:pPr>
        <w:spacing w:after="0"/>
        <w:rPr>
          <w:rFonts w:ascii="Times New Roman" w:hAnsi="Times New Roman" w:cs="Times New Roman"/>
          <w:spacing w:val="-2"/>
          <w:sz w:val="24"/>
          <w:szCs w:val="24"/>
        </w:rPr>
      </w:pPr>
    </w:p>
    <w:p w14:paraId="03261C09" w14:textId="1F62A2D5" w:rsidR="00A274F8" w:rsidRDefault="00BA2C23">
      <w:pPr>
        <w:spacing w:after="0"/>
        <w:rPr>
          <w:rFonts w:ascii="Times New Roman" w:hAnsi="Times New Roman" w:cs="Times New Roman"/>
          <w:spacing w:val="-2"/>
          <w:sz w:val="24"/>
          <w:szCs w:val="24"/>
        </w:rPr>
      </w:pPr>
      <w:r>
        <w:rPr>
          <w:rFonts w:ascii="Times New Roman" w:hAnsi="Times New Roman" w:cs="Times New Roman"/>
          <w:spacing w:val="-2"/>
          <w:sz w:val="24"/>
          <w:szCs w:val="24"/>
        </w:rPr>
        <w:t xml:space="preserve">The Amendment Regulations also provide exemptions from sunsetting for the </w:t>
      </w:r>
      <w:r>
        <w:rPr>
          <w:rFonts w:ascii="Times New Roman" w:hAnsi="Times New Roman" w:cs="Times New Roman"/>
          <w:i/>
          <w:sz w:val="24"/>
          <w:szCs w:val="24"/>
        </w:rPr>
        <w:t>Air Navigation (Aircraft Engine Emissions) Regulations</w:t>
      </w:r>
      <w:r>
        <w:rPr>
          <w:rFonts w:ascii="Times New Roman" w:hAnsi="Times New Roman" w:cs="Times New Roman"/>
          <w:sz w:val="24"/>
          <w:szCs w:val="24"/>
        </w:rPr>
        <w:t xml:space="preserve"> and the </w:t>
      </w:r>
      <w:r>
        <w:rPr>
          <w:rFonts w:ascii="Times New Roman" w:hAnsi="Times New Roman" w:cs="Times New Roman"/>
          <w:i/>
          <w:sz w:val="24"/>
          <w:szCs w:val="24"/>
        </w:rPr>
        <w:t xml:space="preserve">Air Navigation (Aircraft Noise) Regulations 2018. </w:t>
      </w:r>
      <w:r w:rsidR="00A274F8" w:rsidRPr="003A7A93">
        <w:rPr>
          <w:rFonts w:ascii="Times New Roman" w:hAnsi="Times New Roman" w:cs="Times New Roman"/>
          <w:sz w:val="24"/>
          <w:szCs w:val="24"/>
        </w:rPr>
        <w:t>As</w:t>
      </w:r>
      <w:r w:rsidR="00A274F8">
        <w:rPr>
          <w:rFonts w:ascii="Times New Roman" w:hAnsi="Times New Roman" w:cs="Times New Roman"/>
          <w:i/>
          <w:sz w:val="24"/>
          <w:szCs w:val="24"/>
        </w:rPr>
        <w:t xml:space="preserve"> </w:t>
      </w:r>
      <w:r w:rsidR="00A274F8" w:rsidRPr="003A7A93">
        <w:rPr>
          <w:rFonts w:ascii="Times New Roman" w:hAnsi="Times New Roman" w:cs="Times New Roman"/>
          <w:spacing w:val="-2"/>
          <w:sz w:val="24"/>
          <w:szCs w:val="24"/>
        </w:rPr>
        <w:t xml:space="preserve">the effect of </w:t>
      </w:r>
      <w:r w:rsidR="00A274F8">
        <w:rPr>
          <w:rFonts w:ascii="Times New Roman" w:hAnsi="Times New Roman" w:cs="Times New Roman"/>
          <w:spacing w:val="-2"/>
          <w:sz w:val="24"/>
          <w:szCs w:val="24"/>
        </w:rPr>
        <w:t>a sunsetting exemption</w:t>
      </w:r>
      <w:r w:rsidR="00A274F8" w:rsidRPr="003A7A93">
        <w:rPr>
          <w:rFonts w:ascii="Times New Roman" w:hAnsi="Times New Roman" w:cs="Times New Roman"/>
          <w:spacing w:val="-2"/>
          <w:sz w:val="24"/>
          <w:szCs w:val="24"/>
        </w:rPr>
        <w:t xml:space="preserve"> is to extend the operation of the substantive law</w:t>
      </w:r>
      <w:r w:rsidR="00A274F8">
        <w:rPr>
          <w:rFonts w:ascii="Times New Roman" w:hAnsi="Times New Roman" w:cs="Times New Roman"/>
          <w:spacing w:val="-2"/>
          <w:sz w:val="24"/>
          <w:szCs w:val="24"/>
        </w:rPr>
        <w:t>, the human rights engaged under the Emissions and Noise Regulations has been assessed.</w:t>
      </w:r>
      <w:r w:rsidR="00A274F8">
        <w:rPr>
          <w:i/>
          <w:iCs/>
        </w:rPr>
        <w:t xml:space="preserve"> </w:t>
      </w:r>
    </w:p>
    <w:p w14:paraId="04FA052F" w14:textId="77777777" w:rsidR="00A274F8" w:rsidRDefault="00A274F8">
      <w:pPr>
        <w:spacing w:after="0"/>
        <w:rPr>
          <w:rFonts w:ascii="Times New Roman" w:hAnsi="Times New Roman" w:cs="Times New Roman"/>
          <w:spacing w:val="-2"/>
          <w:sz w:val="24"/>
          <w:szCs w:val="24"/>
        </w:rPr>
      </w:pPr>
    </w:p>
    <w:p w14:paraId="0EB7D157" w14:textId="60B2E529" w:rsidR="00BD5D47" w:rsidRDefault="00BA2C23">
      <w:pPr>
        <w:spacing w:after="0"/>
        <w:rPr>
          <w:rFonts w:ascii="Times New Roman" w:hAnsi="Times New Roman" w:cs="Times New Roman"/>
          <w:spacing w:val="-2"/>
          <w:sz w:val="24"/>
          <w:szCs w:val="24"/>
        </w:rPr>
      </w:pPr>
      <w:r>
        <w:rPr>
          <w:rFonts w:ascii="Times New Roman" w:hAnsi="Times New Roman" w:cs="Times New Roman"/>
          <w:spacing w:val="-2"/>
          <w:sz w:val="24"/>
          <w:szCs w:val="24"/>
        </w:rPr>
        <w:t>The Noise Regulations are compatible with human rights because, to the extent that they may limit human rights, those limitations are reasonable, necessary and proportionate. The Noise Regulations engage the criminal process rights in Article 14 of the International Covenant on Civil and Political Rights as sections 6, 20 and 21 include strict liability offences. Additionally, section 21 includes a reversal on the burden of proof (for inspectors to provide a reasonable excuse for failure to return a relevant identity card).</w:t>
      </w:r>
      <w:r w:rsidR="00BD5D47">
        <w:rPr>
          <w:rFonts w:ascii="Times New Roman" w:hAnsi="Times New Roman" w:cs="Times New Roman"/>
          <w:spacing w:val="-2"/>
          <w:sz w:val="24"/>
          <w:szCs w:val="24"/>
        </w:rPr>
        <w:t xml:space="preserve"> T</w:t>
      </w:r>
      <w:r w:rsidRPr="00F04E76">
        <w:rPr>
          <w:rFonts w:ascii="Times New Roman" w:hAnsi="Times New Roman" w:cs="Times New Roman"/>
          <w:spacing w:val="-2"/>
          <w:sz w:val="24"/>
          <w:szCs w:val="24"/>
        </w:rPr>
        <w:t>he conduct in contravention of section 21 is entirely within the control of the defendant and the reversal of the evidential burden of proof relates to evidential matters likely to be within the particular knowledge of the defendant</w:t>
      </w:r>
      <w:r w:rsidR="00BD5D47">
        <w:rPr>
          <w:rFonts w:ascii="Times New Roman" w:hAnsi="Times New Roman" w:cs="Times New Roman"/>
          <w:spacing w:val="-2"/>
          <w:sz w:val="24"/>
          <w:szCs w:val="24"/>
        </w:rPr>
        <w:t xml:space="preserve">. </w:t>
      </w:r>
      <w:r w:rsidR="00C8280B">
        <w:rPr>
          <w:rFonts w:ascii="Times New Roman" w:hAnsi="Times New Roman" w:cs="Times New Roman"/>
          <w:spacing w:val="-2"/>
          <w:sz w:val="24"/>
          <w:szCs w:val="24"/>
        </w:rPr>
        <w:t>T</w:t>
      </w:r>
      <w:r w:rsidR="00BD5D47">
        <w:rPr>
          <w:rFonts w:ascii="Times New Roman" w:hAnsi="Times New Roman" w:cs="Times New Roman"/>
          <w:spacing w:val="-2"/>
          <w:sz w:val="24"/>
          <w:szCs w:val="24"/>
        </w:rPr>
        <w:t xml:space="preserve">he </w:t>
      </w:r>
      <w:r w:rsidRPr="00F04E76">
        <w:rPr>
          <w:rFonts w:ascii="Times New Roman" w:hAnsi="Times New Roman" w:cs="Times New Roman"/>
          <w:spacing w:val="-2"/>
          <w:sz w:val="24"/>
          <w:szCs w:val="24"/>
        </w:rPr>
        <w:t>offence provisions have been developed consistent with the</w:t>
      </w:r>
      <w:r w:rsidR="0001382D">
        <w:rPr>
          <w:rFonts w:ascii="Times New Roman" w:hAnsi="Times New Roman" w:cs="Times New Roman"/>
          <w:spacing w:val="-2"/>
          <w:sz w:val="24"/>
          <w:szCs w:val="24"/>
        </w:rPr>
        <w:t xml:space="preserve"> </w:t>
      </w:r>
      <w:r w:rsidRPr="00F04E76">
        <w:rPr>
          <w:rFonts w:ascii="Times New Roman" w:hAnsi="Times New Roman" w:cs="Times New Roman"/>
          <w:spacing w:val="-2"/>
          <w:sz w:val="24"/>
          <w:szCs w:val="24"/>
        </w:rPr>
        <w:t>Attorney</w:t>
      </w:r>
      <w:r w:rsidRPr="00F04E76">
        <w:rPr>
          <w:rFonts w:ascii="Times New Roman" w:hAnsi="Times New Roman" w:cs="Times New Roman"/>
          <w:spacing w:val="-2"/>
          <w:sz w:val="24"/>
          <w:szCs w:val="24"/>
        </w:rPr>
        <w:noBreakHyphen/>
        <w:t>General’s</w:t>
      </w:r>
      <w:r w:rsidR="0001382D">
        <w:rPr>
          <w:rFonts w:ascii="Times New Roman" w:hAnsi="Times New Roman" w:cs="Times New Roman"/>
          <w:spacing w:val="-2"/>
          <w:sz w:val="24"/>
          <w:szCs w:val="24"/>
        </w:rPr>
        <w:t xml:space="preserve"> </w:t>
      </w:r>
      <w:r w:rsidRPr="00F04E76">
        <w:rPr>
          <w:rFonts w:ascii="Times New Roman" w:hAnsi="Times New Roman" w:cs="Times New Roman"/>
          <w:spacing w:val="-2"/>
          <w:sz w:val="24"/>
          <w:szCs w:val="24"/>
        </w:rPr>
        <w:t xml:space="preserve">Department’s </w:t>
      </w:r>
      <w:r w:rsidRPr="00F04E76">
        <w:rPr>
          <w:rFonts w:ascii="Times New Roman" w:hAnsi="Times New Roman" w:cs="Times New Roman"/>
          <w:i/>
          <w:spacing w:val="-2"/>
          <w:sz w:val="24"/>
          <w:szCs w:val="24"/>
        </w:rPr>
        <w:t>Guide to Framing Commonwealth Offences, Infringement Notices and Enforcement Powers</w:t>
      </w:r>
      <w:r w:rsidRPr="00F04E76">
        <w:rPr>
          <w:rFonts w:ascii="Times New Roman" w:hAnsi="Times New Roman" w:cs="Times New Roman"/>
          <w:spacing w:val="-2"/>
          <w:sz w:val="24"/>
          <w:szCs w:val="24"/>
        </w:rPr>
        <w:t xml:space="preserve">. </w:t>
      </w:r>
      <w:r w:rsidR="00BD5D47">
        <w:rPr>
          <w:rFonts w:ascii="Times New Roman" w:hAnsi="Times New Roman" w:cs="Times New Roman"/>
          <w:spacing w:val="-2"/>
          <w:sz w:val="24"/>
          <w:szCs w:val="24"/>
        </w:rPr>
        <w:lastRenderedPageBreak/>
        <w:t xml:space="preserve">These limitations on criminal process rights are reasonable, necessary and proportionate to protect against </w:t>
      </w:r>
      <w:r w:rsidR="00BD5D47" w:rsidRPr="00661155">
        <w:rPr>
          <w:rFonts w:ascii="Times New Roman" w:hAnsi="Times New Roman" w:cs="Times New Roman"/>
          <w:spacing w:val="-2"/>
          <w:sz w:val="24"/>
          <w:szCs w:val="24"/>
        </w:rPr>
        <w:t>the significant harm of a breach of the Noise Regulations to society and industry</w:t>
      </w:r>
      <w:r w:rsidR="00BD5D47">
        <w:rPr>
          <w:rFonts w:ascii="Times New Roman" w:hAnsi="Times New Roman" w:cs="Times New Roman"/>
          <w:spacing w:val="-2"/>
          <w:sz w:val="24"/>
          <w:szCs w:val="24"/>
        </w:rPr>
        <w:t>.</w:t>
      </w:r>
    </w:p>
    <w:p w14:paraId="76FB261A" w14:textId="77777777" w:rsidR="00BD5D47" w:rsidRDefault="00BD5D47">
      <w:pPr>
        <w:spacing w:after="0"/>
        <w:rPr>
          <w:rFonts w:ascii="Times New Roman" w:hAnsi="Times New Roman" w:cs="Times New Roman"/>
          <w:spacing w:val="-2"/>
          <w:sz w:val="24"/>
          <w:szCs w:val="24"/>
        </w:rPr>
      </w:pPr>
    </w:p>
    <w:p w14:paraId="5296AA15" w14:textId="3CE6A2AA" w:rsidR="00BA2C23" w:rsidRDefault="00BA2C23">
      <w:pPr>
        <w:spacing w:after="0"/>
        <w:rPr>
          <w:rFonts w:ascii="Times New Roman" w:hAnsi="Times New Roman" w:cs="Times New Roman"/>
          <w:spacing w:val="-2"/>
          <w:sz w:val="24"/>
          <w:szCs w:val="24"/>
        </w:rPr>
      </w:pPr>
      <w:r>
        <w:rPr>
          <w:rFonts w:ascii="Times New Roman" w:hAnsi="Times New Roman" w:cs="Times New Roman"/>
          <w:spacing w:val="-2"/>
          <w:sz w:val="24"/>
          <w:szCs w:val="24"/>
        </w:rPr>
        <w:t>The Emissions Regulations engage the right to health in Article 12 of the International Covenant on Economic, Social and Cultural Rights. The Emissions Regulations support individuals’ right to health by giving effect to Volume II of Annex 16 to the Chicago Convention which sets out standards relating to vented fuel, smoke emissions, and gaseous emissions.</w:t>
      </w:r>
    </w:p>
    <w:p w14:paraId="7907D8D8" w14:textId="77777777" w:rsidR="00BA2C23" w:rsidRDefault="00BA2C23">
      <w:pPr>
        <w:spacing w:after="0"/>
        <w:rPr>
          <w:rFonts w:ascii="Times New Roman" w:hAnsi="Times New Roman" w:cs="Times New Roman"/>
          <w:spacing w:val="-2"/>
          <w:sz w:val="24"/>
          <w:szCs w:val="24"/>
        </w:rPr>
      </w:pPr>
    </w:p>
    <w:p w14:paraId="3D16C1EB" w14:textId="39B703CD" w:rsidR="00BA2C23" w:rsidRDefault="00660E5E">
      <w:pPr>
        <w:spacing w:after="0"/>
        <w:rPr>
          <w:rFonts w:ascii="Times New Roman" w:hAnsi="Times New Roman" w:cs="Times New Roman"/>
          <w:spacing w:val="-2"/>
          <w:sz w:val="24"/>
          <w:szCs w:val="24"/>
        </w:rPr>
      </w:pPr>
      <w:r>
        <w:rPr>
          <w:rFonts w:ascii="Times New Roman" w:hAnsi="Times New Roman" w:cs="Times New Roman"/>
          <w:spacing w:val="-2"/>
          <w:sz w:val="24"/>
          <w:szCs w:val="24"/>
        </w:rPr>
        <w:t>T</w:t>
      </w:r>
      <w:r w:rsidR="00BA2C23">
        <w:rPr>
          <w:rFonts w:ascii="Times New Roman" w:hAnsi="Times New Roman" w:cs="Times New Roman"/>
          <w:spacing w:val="-2"/>
          <w:sz w:val="24"/>
          <w:szCs w:val="24"/>
        </w:rPr>
        <w:t xml:space="preserve">he Emissions and Noise Regulations appropriately engage human rights and freedoms as set out in the Human Rights Act. </w:t>
      </w:r>
      <w:r>
        <w:rPr>
          <w:rFonts w:ascii="Times New Roman" w:hAnsi="Times New Roman" w:cs="Times New Roman"/>
          <w:spacing w:val="-2"/>
          <w:sz w:val="24"/>
          <w:szCs w:val="24"/>
        </w:rPr>
        <w:t>Therefore, t</w:t>
      </w:r>
      <w:r w:rsidR="00BA2C23">
        <w:rPr>
          <w:rFonts w:ascii="Times New Roman" w:hAnsi="Times New Roman" w:cs="Times New Roman"/>
          <w:spacing w:val="-2"/>
          <w:sz w:val="24"/>
          <w:szCs w:val="24"/>
        </w:rPr>
        <w:t xml:space="preserve">he exemptions from sunsetting of the </w:t>
      </w:r>
      <w:r>
        <w:rPr>
          <w:rFonts w:ascii="Times New Roman" w:hAnsi="Times New Roman" w:cs="Times New Roman"/>
          <w:spacing w:val="-2"/>
          <w:sz w:val="24"/>
          <w:szCs w:val="24"/>
        </w:rPr>
        <w:t xml:space="preserve">Emissions and Noise Regulations </w:t>
      </w:r>
      <w:r w:rsidR="00BA2C23">
        <w:rPr>
          <w:rFonts w:ascii="Times New Roman" w:hAnsi="Times New Roman" w:cs="Times New Roman"/>
          <w:spacing w:val="-2"/>
          <w:sz w:val="24"/>
          <w:szCs w:val="24"/>
        </w:rPr>
        <w:t xml:space="preserve">do not raise human rights issues. </w:t>
      </w:r>
      <w:r>
        <w:rPr>
          <w:rFonts w:ascii="Times New Roman" w:hAnsi="Times New Roman" w:cs="Times New Roman"/>
          <w:spacing w:val="-2"/>
          <w:sz w:val="24"/>
          <w:szCs w:val="24"/>
        </w:rPr>
        <w:t xml:space="preserve">Any </w:t>
      </w:r>
      <w:r w:rsidR="00BA2C23">
        <w:rPr>
          <w:rFonts w:ascii="Times New Roman" w:hAnsi="Times New Roman" w:cs="Times New Roman"/>
          <w:spacing w:val="-2"/>
          <w:sz w:val="24"/>
          <w:szCs w:val="24"/>
        </w:rPr>
        <w:t xml:space="preserve">instruments that amend the newly exempted instruments </w:t>
      </w:r>
      <w:r>
        <w:rPr>
          <w:rFonts w:ascii="Times New Roman" w:hAnsi="Times New Roman" w:cs="Times New Roman"/>
          <w:spacing w:val="-2"/>
          <w:sz w:val="24"/>
          <w:szCs w:val="24"/>
        </w:rPr>
        <w:t>will be assessed</w:t>
      </w:r>
      <w:r w:rsidR="00BA2C23">
        <w:rPr>
          <w:rFonts w:ascii="Times New Roman" w:hAnsi="Times New Roman" w:cs="Times New Roman"/>
          <w:spacing w:val="-2"/>
          <w:sz w:val="24"/>
          <w:szCs w:val="24"/>
        </w:rPr>
        <w:t xml:space="preserve"> for compatibility with human rights and accordingly include compatibility statements. </w:t>
      </w:r>
    </w:p>
    <w:p w14:paraId="2D1A1A21" w14:textId="77777777" w:rsidR="00BA2C23" w:rsidRDefault="00BA2C23">
      <w:pPr>
        <w:spacing w:after="0"/>
        <w:rPr>
          <w:rFonts w:ascii="Times New Roman" w:hAnsi="Times New Roman" w:cs="Times New Roman"/>
          <w:b/>
          <w:sz w:val="24"/>
          <w:szCs w:val="24"/>
        </w:rPr>
      </w:pPr>
    </w:p>
    <w:p w14:paraId="5D6941F2" w14:textId="278FCED4" w:rsidR="00BA2C23" w:rsidRDefault="00BA2C23">
      <w:pPr>
        <w:spacing w:after="0"/>
        <w:rPr>
          <w:rFonts w:ascii="Times New Roman" w:hAnsi="Times New Roman" w:cs="Times New Roman"/>
          <w:b/>
          <w:sz w:val="24"/>
          <w:szCs w:val="24"/>
        </w:rPr>
      </w:pPr>
      <w:r>
        <w:rPr>
          <w:rFonts w:ascii="Times New Roman" w:hAnsi="Times New Roman" w:cs="Times New Roman"/>
          <w:b/>
          <w:sz w:val="24"/>
          <w:szCs w:val="24"/>
        </w:rPr>
        <w:t xml:space="preserve">Conclusion </w:t>
      </w:r>
    </w:p>
    <w:p w14:paraId="52FE5948" w14:textId="77777777" w:rsidR="00431BD0" w:rsidRDefault="00431BD0">
      <w:pPr>
        <w:spacing w:after="0"/>
        <w:rPr>
          <w:rFonts w:ascii="Times New Roman" w:hAnsi="Times New Roman" w:cs="Times New Roman"/>
          <w:b/>
          <w:sz w:val="24"/>
          <w:szCs w:val="24"/>
        </w:rPr>
      </w:pPr>
    </w:p>
    <w:p w14:paraId="55AD17CF" w14:textId="19437379" w:rsidR="00431BD0" w:rsidRDefault="00BA2C23">
      <w:pPr>
        <w:spacing w:after="0"/>
        <w:rPr>
          <w:rFonts w:ascii="Times New Roman" w:hAnsi="Times New Roman" w:cs="Times New Roman"/>
          <w:sz w:val="24"/>
          <w:szCs w:val="24"/>
        </w:rPr>
      </w:pPr>
      <w:r>
        <w:rPr>
          <w:rFonts w:ascii="Times New Roman" w:eastAsia="Calibri" w:hAnsi="Times New Roman" w:cs="Times New Roman"/>
          <w:sz w:val="24"/>
          <w:szCs w:val="24"/>
          <w:lang w:eastAsia="en-AU"/>
        </w:rPr>
        <w:t>Repealing the disallowance exemption for funding rules under the ARC Act will require any future funding rules to be assessed for compatibility with human rights, and a statement will be prepared accordingly.</w:t>
      </w:r>
      <w:r>
        <w:rPr>
          <w:rFonts w:ascii="Times New Roman" w:hAnsi="Times New Roman" w:cs="Times New Roman"/>
          <w:sz w:val="24"/>
          <w:szCs w:val="24"/>
        </w:rPr>
        <w:t xml:space="preserve"> </w:t>
      </w:r>
      <w:r w:rsidR="00660E5E">
        <w:rPr>
          <w:rFonts w:ascii="Times New Roman" w:hAnsi="Times New Roman" w:cs="Times New Roman"/>
          <w:sz w:val="24"/>
          <w:szCs w:val="24"/>
        </w:rPr>
        <w:t>The exemption from disallowance is</w:t>
      </w:r>
      <w:r w:rsidR="003A7A93">
        <w:rPr>
          <w:rFonts w:ascii="Times New Roman" w:hAnsi="Times New Roman" w:cs="Times New Roman"/>
          <w:sz w:val="24"/>
          <w:szCs w:val="24"/>
        </w:rPr>
        <w:t xml:space="preserve"> </w:t>
      </w:r>
      <w:r w:rsidR="00660E5E">
        <w:rPr>
          <w:rFonts w:ascii="Times New Roman" w:hAnsi="Times New Roman" w:cs="Times New Roman"/>
          <w:sz w:val="24"/>
          <w:szCs w:val="24"/>
        </w:rPr>
        <w:t xml:space="preserve">technical in nature, and does not alter the content of the laws to which the exemption from disallowance applies. </w:t>
      </w:r>
      <w:r w:rsidR="00431BD0">
        <w:rPr>
          <w:rFonts w:ascii="Times New Roman" w:hAnsi="Times New Roman" w:cs="Times New Roman"/>
          <w:sz w:val="24"/>
          <w:szCs w:val="24"/>
        </w:rPr>
        <w:t>In respect of the exemption from disallowance, t</w:t>
      </w:r>
      <w:r w:rsidR="00431BD0">
        <w:rPr>
          <w:rFonts w:ascii="Times New Roman" w:eastAsia="Times New Roman" w:hAnsi="Times New Roman" w:cs="Times New Roman"/>
          <w:sz w:val="24"/>
          <w:lang w:eastAsia="en-AU"/>
        </w:rPr>
        <w:t xml:space="preserve">he Amendment Regulations are compatible with human rights because the exemption does not engage any of the rights or freedoms recognised or declared </w:t>
      </w:r>
      <w:r w:rsidR="00431BD0">
        <w:rPr>
          <w:rFonts w:ascii="Times New Roman" w:hAnsi="Times New Roman" w:cs="Times New Roman"/>
          <w:sz w:val="24"/>
          <w:szCs w:val="24"/>
        </w:rPr>
        <w:t xml:space="preserve">in the international instruments listed in section 3 of the </w:t>
      </w:r>
      <w:r w:rsidR="00431BD0">
        <w:rPr>
          <w:rFonts w:ascii="Times New Roman" w:hAnsi="Times New Roman" w:cs="Times New Roman"/>
          <w:i/>
          <w:sz w:val="24"/>
          <w:szCs w:val="24"/>
        </w:rPr>
        <w:t>Human Rights (Parliamentary Scrutiny) Act 2011</w:t>
      </w:r>
      <w:r w:rsidR="00431BD0">
        <w:rPr>
          <w:rFonts w:ascii="Times New Roman" w:hAnsi="Times New Roman" w:cs="Times New Roman"/>
          <w:sz w:val="24"/>
          <w:szCs w:val="24"/>
        </w:rPr>
        <w:t>.</w:t>
      </w:r>
    </w:p>
    <w:p w14:paraId="664EB43D" w14:textId="77777777" w:rsidR="00431BD0" w:rsidRDefault="00431BD0">
      <w:pPr>
        <w:spacing w:after="0"/>
        <w:rPr>
          <w:rFonts w:ascii="Times New Roman" w:hAnsi="Times New Roman" w:cs="Times New Roman"/>
          <w:sz w:val="24"/>
          <w:szCs w:val="24"/>
        </w:rPr>
      </w:pPr>
    </w:p>
    <w:p w14:paraId="704D1259" w14:textId="7343E0E1" w:rsidR="00660E5E" w:rsidRPr="003A7A93" w:rsidRDefault="00660E5E">
      <w:pPr>
        <w:spacing w:after="0"/>
        <w:rPr>
          <w:rFonts w:ascii="Times New Roman" w:hAnsi="Times New Roman" w:cs="Times New Roman"/>
          <w:sz w:val="24"/>
          <w:szCs w:val="24"/>
        </w:rPr>
      </w:pPr>
      <w:r>
        <w:rPr>
          <w:rFonts w:ascii="Times New Roman" w:hAnsi="Times New Roman" w:cs="Times New Roman"/>
          <w:sz w:val="24"/>
          <w:szCs w:val="24"/>
        </w:rPr>
        <w:t>E</w:t>
      </w:r>
      <w:r w:rsidR="00BA2C23">
        <w:rPr>
          <w:rFonts w:ascii="Times New Roman" w:hAnsi="Times New Roman" w:cs="Times New Roman"/>
          <w:sz w:val="24"/>
          <w:szCs w:val="24"/>
        </w:rPr>
        <w:t>xemptions from sunsetting</w:t>
      </w:r>
      <w:r w:rsidR="00431BD0">
        <w:rPr>
          <w:rFonts w:ascii="Times New Roman" w:hAnsi="Times New Roman" w:cs="Times New Roman"/>
          <w:sz w:val="24"/>
          <w:szCs w:val="24"/>
        </w:rPr>
        <w:t xml:space="preserve"> may engage human rights by </w:t>
      </w:r>
      <w:r>
        <w:rPr>
          <w:rFonts w:ascii="Times New Roman" w:hAnsi="Times New Roman" w:cs="Times New Roman"/>
          <w:sz w:val="24"/>
          <w:szCs w:val="24"/>
        </w:rPr>
        <w:t>extend</w:t>
      </w:r>
      <w:r w:rsidR="00431BD0">
        <w:rPr>
          <w:rFonts w:ascii="Times New Roman" w:hAnsi="Times New Roman" w:cs="Times New Roman"/>
          <w:sz w:val="24"/>
          <w:szCs w:val="24"/>
        </w:rPr>
        <w:t>ing</w:t>
      </w:r>
      <w:r>
        <w:rPr>
          <w:rFonts w:ascii="Times New Roman" w:hAnsi="Times New Roman" w:cs="Times New Roman"/>
          <w:sz w:val="24"/>
          <w:szCs w:val="24"/>
        </w:rPr>
        <w:t xml:space="preserve"> the operation of the laws to which the exemption applies by</w:t>
      </w:r>
      <w:r w:rsidR="00BA2C23">
        <w:rPr>
          <w:rFonts w:ascii="Times New Roman" w:hAnsi="Times New Roman" w:cs="Times New Roman"/>
          <w:sz w:val="24"/>
          <w:szCs w:val="24"/>
        </w:rPr>
        <w:t xml:space="preserve"> ensur</w:t>
      </w:r>
      <w:r>
        <w:rPr>
          <w:rFonts w:ascii="Times New Roman" w:hAnsi="Times New Roman" w:cs="Times New Roman"/>
          <w:sz w:val="24"/>
          <w:szCs w:val="24"/>
        </w:rPr>
        <w:t>ing</w:t>
      </w:r>
      <w:r w:rsidR="00BA2C23">
        <w:rPr>
          <w:rFonts w:ascii="Times New Roman" w:hAnsi="Times New Roman" w:cs="Times New Roman"/>
          <w:sz w:val="24"/>
          <w:szCs w:val="24"/>
        </w:rPr>
        <w:t xml:space="preserve"> that the legislative instruments in question are not automatically repealed on the first day of April or October that falls on or after the tenth anniversary of their registration. </w:t>
      </w:r>
      <w:r>
        <w:rPr>
          <w:rFonts w:ascii="Times New Roman" w:hAnsi="Times New Roman" w:cs="Times New Roman"/>
          <w:sz w:val="24"/>
          <w:szCs w:val="24"/>
        </w:rPr>
        <w:t xml:space="preserve">The </w:t>
      </w:r>
      <w:r>
        <w:rPr>
          <w:rFonts w:ascii="Times New Roman" w:hAnsi="Times New Roman" w:cs="Times New Roman"/>
          <w:spacing w:val="-2"/>
          <w:sz w:val="24"/>
          <w:szCs w:val="24"/>
        </w:rPr>
        <w:t xml:space="preserve">Emissions and </w:t>
      </w:r>
      <w:r w:rsidRPr="003A7A93">
        <w:rPr>
          <w:rFonts w:ascii="Times New Roman" w:hAnsi="Times New Roman" w:cs="Times New Roman"/>
          <w:sz w:val="24"/>
          <w:szCs w:val="24"/>
        </w:rPr>
        <w:t xml:space="preserve">Noise Regulations are compatible with human rights because </w:t>
      </w:r>
      <w:r>
        <w:rPr>
          <w:rFonts w:ascii="Times New Roman" w:hAnsi="Times New Roman" w:cs="Times New Roman"/>
          <w:sz w:val="24"/>
          <w:szCs w:val="24"/>
        </w:rPr>
        <w:t>they</w:t>
      </w:r>
      <w:r w:rsidRPr="003A7A93">
        <w:rPr>
          <w:rFonts w:ascii="Times New Roman" w:hAnsi="Times New Roman" w:cs="Times New Roman"/>
          <w:sz w:val="24"/>
          <w:szCs w:val="24"/>
        </w:rPr>
        <w:t xml:space="preserve"> promote the protection of human rights and</w:t>
      </w:r>
      <w:r w:rsidR="003A7A93">
        <w:rPr>
          <w:rFonts w:ascii="Times New Roman" w:hAnsi="Times New Roman" w:cs="Times New Roman"/>
          <w:sz w:val="24"/>
          <w:szCs w:val="24"/>
        </w:rPr>
        <w:t>,</w:t>
      </w:r>
      <w:r w:rsidRPr="003A7A93">
        <w:rPr>
          <w:rFonts w:ascii="Times New Roman" w:hAnsi="Times New Roman" w:cs="Times New Roman"/>
          <w:sz w:val="24"/>
          <w:szCs w:val="24"/>
        </w:rPr>
        <w:t xml:space="preserve"> to the extent that </w:t>
      </w:r>
      <w:r>
        <w:rPr>
          <w:rFonts w:ascii="Times New Roman" w:hAnsi="Times New Roman" w:cs="Times New Roman"/>
          <w:sz w:val="24"/>
          <w:szCs w:val="24"/>
        </w:rPr>
        <w:t xml:space="preserve">they </w:t>
      </w:r>
      <w:r w:rsidRPr="003A7A93">
        <w:rPr>
          <w:rFonts w:ascii="Times New Roman" w:hAnsi="Times New Roman" w:cs="Times New Roman"/>
          <w:sz w:val="24"/>
          <w:szCs w:val="24"/>
        </w:rPr>
        <w:t>may also limit human rights, those limitations are reasonable, necessary and proportionate.</w:t>
      </w:r>
    </w:p>
    <w:p w14:paraId="6571D9F6" w14:textId="77777777" w:rsidR="00660E5E" w:rsidRDefault="00660E5E">
      <w:pPr>
        <w:spacing w:after="0"/>
        <w:rPr>
          <w:rFonts w:ascii="Times New Roman" w:hAnsi="Times New Roman" w:cs="Times New Roman"/>
          <w:sz w:val="24"/>
          <w:szCs w:val="24"/>
        </w:rPr>
      </w:pPr>
    </w:p>
    <w:p w14:paraId="4CC11D59" w14:textId="77777777" w:rsidR="00431BD0" w:rsidRDefault="00431BD0" w:rsidP="00F04E76">
      <w:pPr>
        <w:spacing w:after="160"/>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br w:type="page"/>
      </w:r>
    </w:p>
    <w:p w14:paraId="7CAA4BE4" w14:textId="77777777" w:rsidR="00BA2C23" w:rsidRDefault="00BA2C23" w:rsidP="0077226A">
      <w:pPr>
        <w:spacing w:after="0"/>
        <w:ind w:left="6480" w:firstLine="720"/>
        <w:rPr>
          <w:rFonts w:ascii="Times New Roman" w:eastAsia="Calibri" w:hAnsi="Times New Roman" w:cs="Times New Roman"/>
          <w:sz w:val="24"/>
          <w:szCs w:val="24"/>
          <w:lang w:eastAsia="en-AU"/>
        </w:rPr>
      </w:pPr>
      <w:r>
        <w:rPr>
          <w:rFonts w:ascii="Times New Roman" w:hAnsi="Times New Roman" w:cs="Times New Roman"/>
          <w:b/>
          <w:sz w:val="24"/>
          <w:szCs w:val="24"/>
        </w:rPr>
        <w:lastRenderedPageBreak/>
        <w:t>Attachment B</w:t>
      </w:r>
    </w:p>
    <w:p w14:paraId="2C2E5A12" w14:textId="77777777" w:rsidR="00BA2C23" w:rsidRDefault="00BA2C23" w:rsidP="00B82B65">
      <w:pPr>
        <w:spacing w:after="0"/>
        <w:rPr>
          <w:rFonts w:ascii="Times New Roman" w:hAnsi="Times New Roman" w:cs="Times New Roman"/>
          <w:b/>
          <w:caps/>
          <w:sz w:val="24"/>
          <w:szCs w:val="24"/>
        </w:rPr>
      </w:pPr>
      <w:r>
        <w:rPr>
          <w:rFonts w:ascii="Times New Roman" w:hAnsi="Times New Roman" w:cs="Times New Roman"/>
          <w:b/>
          <w:caps/>
          <w:sz w:val="24"/>
          <w:szCs w:val="24"/>
        </w:rPr>
        <w:t>NOTES ON SECTIONS</w:t>
      </w:r>
    </w:p>
    <w:p w14:paraId="09424247" w14:textId="77777777" w:rsidR="00BA2C23" w:rsidRDefault="00BA2C23">
      <w:pPr>
        <w:spacing w:after="0"/>
        <w:rPr>
          <w:rFonts w:ascii="Times New Roman" w:hAnsi="Times New Roman" w:cs="Times New Roman"/>
          <w:b/>
          <w:sz w:val="24"/>
          <w:szCs w:val="24"/>
          <w:u w:val="single"/>
        </w:rPr>
      </w:pPr>
    </w:p>
    <w:p w14:paraId="4DF55A2F" w14:textId="77777777" w:rsidR="00BA2C23" w:rsidRDefault="00BA2C23">
      <w:pPr>
        <w:spacing w:after="0"/>
        <w:rPr>
          <w:rFonts w:ascii="Times New Roman" w:hAnsi="Times New Roman" w:cs="Times New Roman"/>
          <w:b/>
          <w:i/>
          <w:sz w:val="24"/>
          <w:szCs w:val="24"/>
          <w:u w:val="single"/>
        </w:rPr>
      </w:pPr>
      <w:r>
        <w:rPr>
          <w:rFonts w:ascii="Times New Roman" w:hAnsi="Times New Roman" w:cs="Times New Roman"/>
          <w:b/>
          <w:sz w:val="24"/>
          <w:szCs w:val="24"/>
          <w:u w:val="single"/>
        </w:rPr>
        <w:t xml:space="preserve">Details of the </w:t>
      </w:r>
      <w:r>
        <w:rPr>
          <w:rFonts w:ascii="Times New Roman" w:hAnsi="Times New Roman" w:cs="Times New Roman"/>
          <w:b/>
          <w:i/>
          <w:sz w:val="24"/>
          <w:szCs w:val="24"/>
          <w:u w:val="single"/>
        </w:rPr>
        <w:t>Legislation (Exemptions and Other Matters) Amendment (2024 Measures No. 1) Regulations 2024</w:t>
      </w:r>
    </w:p>
    <w:p w14:paraId="5891A659" w14:textId="77777777" w:rsidR="00BA2C23" w:rsidRDefault="00BA2C23">
      <w:pPr>
        <w:spacing w:after="0"/>
        <w:rPr>
          <w:rFonts w:ascii="Times New Roman" w:hAnsi="Times New Roman" w:cs="Times New Roman"/>
          <w:b/>
          <w:sz w:val="24"/>
          <w:szCs w:val="24"/>
        </w:rPr>
      </w:pPr>
    </w:p>
    <w:p w14:paraId="66A78609" w14:textId="77777777" w:rsidR="00BA2C23" w:rsidRDefault="00BA2C23">
      <w:pPr>
        <w:spacing w:after="0"/>
        <w:rPr>
          <w:rFonts w:ascii="Times New Roman" w:hAnsi="Times New Roman" w:cs="Times New Roman"/>
          <w:b/>
          <w:sz w:val="24"/>
          <w:szCs w:val="24"/>
        </w:rPr>
      </w:pPr>
      <w:r>
        <w:rPr>
          <w:rFonts w:ascii="Times New Roman" w:hAnsi="Times New Roman" w:cs="Times New Roman"/>
          <w:b/>
          <w:sz w:val="24"/>
          <w:szCs w:val="24"/>
        </w:rPr>
        <w:t>Section 1 – Name</w:t>
      </w:r>
    </w:p>
    <w:p w14:paraId="43CE0214" w14:textId="2590090F" w:rsidR="00BA2C23" w:rsidRDefault="00BA2C23">
      <w:pPr>
        <w:spacing w:after="0"/>
        <w:rPr>
          <w:rFonts w:ascii="Times New Roman" w:hAnsi="Times New Roman" w:cs="Times New Roman"/>
          <w:sz w:val="24"/>
          <w:szCs w:val="24"/>
        </w:rPr>
      </w:pPr>
      <w:r>
        <w:rPr>
          <w:rFonts w:ascii="Times New Roman" w:hAnsi="Times New Roman" w:cs="Times New Roman"/>
          <w:sz w:val="24"/>
          <w:szCs w:val="24"/>
        </w:rPr>
        <w:t xml:space="preserve">This section provides that the title of the </w:t>
      </w:r>
      <w:r w:rsidR="005824D7">
        <w:rPr>
          <w:rFonts w:ascii="Times New Roman" w:hAnsi="Times New Roman" w:cs="Times New Roman"/>
          <w:sz w:val="24"/>
          <w:szCs w:val="24"/>
        </w:rPr>
        <w:t xml:space="preserve">instrument </w:t>
      </w:r>
      <w:r>
        <w:rPr>
          <w:rFonts w:ascii="Times New Roman" w:hAnsi="Times New Roman" w:cs="Times New Roman"/>
          <w:sz w:val="24"/>
          <w:szCs w:val="24"/>
        </w:rPr>
        <w:t xml:space="preserve">is the </w:t>
      </w:r>
      <w:r>
        <w:rPr>
          <w:rFonts w:ascii="Times New Roman" w:hAnsi="Times New Roman" w:cs="Times New Roman"/>
          <w:i/>
          <w:sz w:val="24"/>
          <w:szCs w:val="24"/>
        </w:rPr>
        <w:t>Legislation (Exemptions and Other Matters) Amendment (2024 Measures No. 1) Regulations 2024</w:t>
      </w:r>
      <w:r>
        <w:rPr>
          <w:rFonts w:ascii="Times New Roman" w:hAnsi="Times New Roman" w:cs="Times New Roman"/>
          <w:sz w:val="24"/>
          <w:szCs w:val="24"/>
        </w:rPr>
        <w:t xml:space="preserve"> (Amendment Regulations).</w:t>
      </w:r>
    </w:p>
    <w:p w14:paraId="513287F1" w14:textId="77777777" w:rsidR="00BA2C23" w:rsidRDefault="00BA2C23">
      <w:pPr>
        <w:spacing w:after="0"/>
        <w:rPr>
          <w:rFonts w:ascii="Times New Roman" w:hAnsi="Times New Roman" w:cs="Times New Roman"/>
          <w:b/>
          <w:sz w:val="24"/>
          <w:szCs w:val="24"/>
        </w:rPr>
      </w:pPr>
    </w:p>
    <w:p w14:paraId="1A95F7C1" w14:textId="77777777" w:rsidR="00BA2C23" w:rsidRDefault="00BA2C23">
      <w:pPr>
        <w:spacing w:after="0"/>
        <w:rPr>
          <w:rFonts w:ascii="Times New Roman" w:hAnsi="Times New Roman" w:cs="Times New Roman"/>
          <w:b/>
          <w:sz w:val="24"/>
          <w:szCs w:val="24"/>
        </w:rPr>
      </w:pPr>
      <w:r>
        <w:rPr>
          <w:rFonts w:ascii="Times New Roman" w:hAnsi="Times New Roman" w:cs="Times New Roman"/>
          <w:b/>
          <w:sz w:val="24"/>
          <w:szCs w:val="24"/>
        </w:rPr>
        <w:t>Section 2 – Commencement</w:t>
      </w:r>
    </w:p>
    <w:p w14:paraId="3132A41C" w14:textId="77DF7AF9" w:rsidR="002F1FA5" w:rsidRDefault="00BA2C23">
      <w:pPr>
        <w:spacing w:after="0"/>
        <w:rPr>
          <w:rFonts w:ascii="Times New Roman" w:hAnsi="Times New Roman" w:cs="Times New Roman"/>
          <w:sz w:val="24"/>
          <w:szCs w:val="24"/>
        </w:rPr>
      </w:pPr>
      <w:bookmarkStart w:id="8" w:name="_Hlk156228351"/>
      <w:r>
        <w:rPr>
          <w:rFonts w:ascii="Times New Roman" w:hAnsi="Times New Roman" w:cs="Times New Roman"/>
          <w:sz w:val="24"/>
          <w:szCs w:val="24"/>
        </w:rPr>
        <w:t xml:space="preserve">This section provides for </w:t>
      </w:r>
      <w:r w:rsidR="00552EA1">
        <w:rPr>
          <w:rFonts w:ascii="Times New Roman" w:hAnsi="Times New Roman" w:cs="Times New Roman"/>
          <w:sz w:val="24"/>
          <w:szCs w:val="24"/>
        </w:rPr>
        <w:t xml:space="preserve">the </w:t>
      </w:r>
      <w:r w:rsidR="002F1FA5">
        <w:rPr>
          <w:rFonts w:ascii="Times New Roman" w:hAnsi="Times New Roman" w:cs="Times New Roman"/>
          <w:sz w:val="24"/>
          <w:szCs w:val="24"/>
        </w:rPr>
        <w:t>commencement</w:t>
      </w:r>
      <w:r w:rsidR="00552EA1">
        <w:rPr>
          <w:rFonts w:ascii="Times New Roman" w:hAnsi="Times New Roman" w:cs="Times New Roman"/>
          <w:sz w:val="24"/>
          <w:szCs w:val="24"/>
        </w:rPr>
        <w:t xml:space="preserve"> </w:t>
      </w:r>
      <w:r w:rsidR="00C55D41">
        <w:rPr>
          <w:rFonts w:ascii="Times New Roman" w:hAnsi="Times New Roman" w:cs="Times New Roman"/>
          <w:sz w:val="24"/>
          <w:szCs w:val="24"/>
        </w:rPr>
        <w:t>of each</w:t>
      </w:r>
      <w:r w:rsidR="002F1FA5">
        <w:rPr>
          <w:rFonts w:ascii="Times New Roman" w:hAnsi="Times New Roman" w:cs="Times New Roman"/>
          <w:sz w:val="24"/>
          <w:szCs w:val="24"/>
        </w:rPr>
        <w:t xml:space="preserve"> provision under </w:t>
      </w:r>
      <w:r>
        <w:rPr>
          <w:rFonts w:ascii="Times New Roman" w:hAnsi="Times New Roman" w:cs="Times New Roman"/>
          <w:sz w:val="24"/>
          <w:szCs w:val="24"/>
        </w:rPr>
        <w:t>the Amendment Regulations</w:t>
      </w:r>
      <w:r w:rsidR="002F1FA5">
        <w:rPr>
          <w:rFonts w:ascii="Times New Roman" w:hAnsi="Times New Roman" w:cs="Times New Roman"/>
          <w:sz w:val="24"/>
          <w:szCs w:val="24"/>
        </w:rPr>
        <w:t xml:space="preserve">. </w:t>
      </w:r>
    </w:p>
    <w:p w14:paraId="5942E9BD" w14:textId="77777777" w:rsidR="00552EA1" w:rsidRDefault="00552EA1">
      <w:pPr>
        <w:spacing w:after="0"/>
        <w:rPr>
          <w:rFonts w:ascii="Times New Roman" w:hAnsi="Times New Roman" w:cs="Times New Roman"/>
          <w:sz w:val="24"/>
          <w:szCs w:val="24"/>
        </w:rPr>
      </w:pPr>
    </w:p>
    <w:p w14:paraId="064E5A5E" w14:textId="285CFA83" w:rsidR="00BA2C23" w:rsidRDefault="002F1FA5">
      <w:pPr>
        <w:spacing w:after="0"/>
        <w:rPr>
          <w:rFonts w:ascii="Times New Roman" w:hAnsi="Times New Roman" w:cs="Times New Roman"/>
          <w:sz w:val="24"/>
          <w:szCs w:val="24"/>
        </w:rPr>
      </w:pPr>
      <w:r>
        <w:rPr>
          <w:rFonts w:ascii="Times New Roman" w:hAnsi="Times New Roman" w:cs="Times New Roman"/>
          <w:sz w:val="24"/>
          <w:szCs w:val="24"/>
        </w:rPr>
        <w:t>Table item</w:t>
      </w:r>
      <w:r w:rsidR="005900FF">
        <w:rPr>
          <w:rFonts w:ascii="Times New Roman" w:hAnsi="Times New Roman" w:cs="Times New Roman"/>
          <w:sz w:val="24"/>
          <w:szCs w:val="24"/>
        </w:rPr>
        <w:t>s 1 and 3</w:t>
      </w:r>
      <w:r>
        <w:rPr>
          <w:rFonts w:ascii="Times New Roman" w:hAnsi="Times New Roman" w:cs="Times New Roman"/>
          <w:sz w:val="24"/>
          <w:szCs w:val="24"/>
        </w:rPr>
        <w:t xml:space="preserve"> provide</w:t>
      </w:r>
      <w:r w:rsidR="005900FF">
        <w:rPr>
          <w:rFonts w:ascii="Times New Roman" w:hAnsi="Times New Roman" w:cs="Times New Roman"/>
          <w:sz w:val="24"/>
          <w:szCs w:val="24"/>
        </w:rPr>
        <w:t xml:space="preserve">, respectively, </w:t>
      </w:r>
      <w:r>
        <w:rPr>
          <w:rFonts w:ascii="Times New Roman" w:hAnsi="Times New Roman" w:cs="Times New Roman"/>
          <w:sz w:val="24"/>
          <w:szCs w:val="24"/>
        </w:rPr>
        <w:t xml:space="preserve">that sections 1 to 4 </w:t>
      </w:r>
      <w:r w:rsidR="005900FF">
        <w:rPr>
          <w:rFonts w:ascii="Times New Roman" w:hAnsi="Times New Roman" w:cs="Times New Roman"/>
          <w:sz w:val="24"/>
          <w:szCs w:val="24"/>
        </w:rPr>
        <w:t xml:space="preserve">and </w:t>
      </w:r>
      <w:r w:rsidR="002B289D">
        <w:rPr>
          <w:rFonts w:ascii="Times New Roman" w:hAnsi="Times New Roman" w:cs="Times New Roman"/>
          <w:sz w:val="24"/>
          <w:szCs w:val="24"/>
        </w:rPr>
        <w:t xml:space="preserve">Part 2 of </w:t>
      </w:r>
      <w:r w:rsidR="005900FF">
        <w:rPr>
          <w:rFonts w:ascii="Times New Roman" w:hAnsi="Times New Roman" w:cs="Times New Roman"/>
          <w:sz w:val="24"/>
          <w:szCs w:val="24"/>
        </w:rPr>
        <w:t xml:space="preserve">Schedule 1 </w:t>
      </w:r>
      <w:r w:rsidR="002B289D">
        <w:rPr>
          <w:rFonts w:ascii="Times New Roman" w:hAnsi="Times New Roman" w:cs="Times New Roman"/>
          <w:sz w:val="24"/>
          <w:szCs w:val="24"/>
        </w:rPr>
        <w:t xml:space="preserve">to </w:t>
      </w:r>
      <w:r w:rsidR="005900FF">
        <w:rPr>
          <w:rFonts w:ascii="Times New Roman" w:hAnsi="Times New Roman" w:cs="Times New Roman"/>
          <w:sz w:val="24"/>
          <w:szCs w:val="24"/>
        </w:rPr>
        <w:t xml:space="preserve">the Amendment Regulations </w:t>
      </w:r>
      <w:r w:rsidR="00BA2C23">
        <w:rPr>
          <w:rFonts w:ascii="Times New Roman" w:hAnsi="Times New Roman" w:cs="Times New Roman"/>
          <w:sz w:val="24"/>
          <w:szCs w:val="24"/>
        </w:rPr>
        <w:t>commence the day after registration.</w:t>
      </w:r>
      <w:r>
        <w:rPr>
          <w:rFonts w:ascii="Times New Roman" w:hAnsi="Times New Roman" w:cs="Times New Roman"/>
          <w:sz w:val="24"/>
          <w:szCs w:val="24"/>
        </w:rPr>
        <w:t xml:space="preserve"> </w:t>
      </w:r>
    </w:p>
    <w:p w14:paraId="67397808" w14:textId="77777777" w:rsidR="00552EA1" w:rsidRDefault="00552EA1">
      <w:pPr>
        <w:spacing w:after="0"/>
        <w:rPr>
          <w:rFonts w:ascii="Times New Roman" w:hAnsi="Times New Roman" w:cs="Times New Roman"/>
          <w:sz w:val="24"/>
          <w:szCs w:val="24"/>
        </w:rPr>
      </w:pPr>
    </w:p>
    <w:p w14:paraId="0E445AC2" w14:textId="07C003C9" w:rsidR="002F1FA5" w:rsidRPr="005900FF" w:rsidRDefault="005900FF">
      <w:pPr>
        <w:spacing w:after="0"/>
        <w:rPr>
          <w:rFonts w:ascii="Times New Roman" w:hAnsi="Times New Roman" w:cs="Times New Roman"/>
          <w:sz w:val="24"/>
          <w:szCs w:val="24"/>
        </w:rPr>
      </w:pPr>
      <w:r>
        <w:rPr>
          <w:rFonts w:ascii="Times New Roman" w:hAnsi="Times New Roman" w:cs="Times New Roman"/>
          <w:sz w:val="24"/>
          <w:szCs w:val="24"/>
        </w:rPr>
        <w:t>Table item 2 provide</w:t>
      </w:r>
      <w:r w:rsidR="00340893">
        <w:rPr>
          <w:rFonts w:ascii="Times New Roman" w:hAnsi="Times New Roman" w:cs="Times New Roman"/>
          <w:sz w:val="24"/>
          <w:szCs w:val="24"/>
        </w:rPr>
        <w:t>s</w:t>
      </w:r>
      <w:r>
        <w:rPr>
          <w:rFonts w:ascii="Times New Roman" w:hAnsi="Times New Roman" w:cs="Times New Roman"/>
          <w:sz w:val="24"/>
          <w:szCs w:val="24"/>
        </w:rPr>
        <w:t xml:space="preserve"> that </w:t>
      </w:r>
      <w:r w:rsidR="002B289D">
        <w:rPr>
          <w:rFonts w:ascii="Times New Roman" w:hAnsi="Times New Roman" w:cs="Times New Roman"/>
          <w:sz w:val="24"/>
          <w:szCs w:val="24"/>
        </w:rPr>
        <w:t xml:space="preserve">Part 1 of </w:t>
      </w:r>
      <w:r>
        <w:rPr>
          <w:rFonts w:ascii="Times New Roman" w:hAnsi="Times New Roman" w:cs="Times New Roman"/>
          <w:sz w:val="24"/>
          <w:szCs w:val="24"/>
        </w:rPr>
        <w:t>Schedule 1</w:t>
      </w:r>
      <w:r w:rsidR="002B289D">
        <w:rPr>
          <w:rFonts w:ascii="Times New Roman" w:hAnsi="Times New Roman" w:cs="Times New Roman"/>
          <w:sz w:val="24"/>
          <w:szCs w:val="24"/>
        </w:rPr>
        <w:t xml:space="preserve"> to the Amendment Regulations </w:t>
      </w:r>
      <w:r>
        <w:rPr>
          <w:rFonts w:ascii="Times New Roman" w:hAnsi="Times New Roman" w:cs="Times New Roman"/>
          <w:sz w:val="24"/>
          <w:szCs w:val="24"/>
        </w:rPr>
        <w:t>commence</w:t>
      </w:r>
      <w:r w:rsidR="00340893">
        <w:rPr>
          <w:rFonts w:ascii="Times New Roman" w:hAnsi="Times New Roman" w:cs="Times New Roman"/>
          <w:sz w:val="24"/>
          <w:szCs w:val="24"/>
        </w:rPr>
        <w:t>s</w:t>
      </w:r>
      <w:r>
        <w:rPr>
          <w:rFonts w:ascii="Times New Roman" w:hAnsi="Times New Roman" w:cs="Times New Roman"/>
          <w:sz w:val="24"/>
          <w:szCs w:val="24"/>
        </w:rPr>
        <w:t xml:space="preserve"> </w:t>
      </w:r>
      <w:bookmarkStart w:id="9" w:name="_Hlk156373480"/>
      <w:r w:rsidR="00340893">
        <w:rPr>
          <w:rFonts w:ascii="Times New Roman" w:hAnsi="Times New Roman" w:cs="Times New Roman"/>
          <w:sz w:val="24"/>
          <w:szCs w:val="24"/>
        </w:rPr>
        <w:t xml:space="preserve">at </w:t>
      </w:r>
      <w:r w:rsidR="00340893" w:rsidRPr="00340893">
        <w:rPr>
          <w:rFonts w:ascii="Times New Roman" w:hAnsi="Times New Roman" w:cs="Times New Roman"/>
          <w:sz w:val="24"/>
          <w:szCs w:val="24"/>
        </w:rPr>
        <w:t xml:space="preserve">the same time as Schedule 3 to the </w:t>
      </w:r>
      <w:r w:rsidR="00340893" w:rsidRPr="00FF1E93">
        <w:rPr>
          <w:rFonts w:ascii="Times New Roman" w:hAnsi="Times New Roman" w:cs="Times New Roman"/>
          <w:i/>
          <w:sz w:val="24"/>
          <w:szCs w:val="24"/>
        </w:rPr>
        <w:t xml:space="preserve">Australian Research Council Amendment (Review Response) Act 2024 </w:t>
      </w:r>
      <w:r w:rsidR="00FF1E93" w:rsidRPr="00FF1E93">
        <w:rPr>
          <w:rFonts w:ascii="Times New Roman" w:hAnsi="Times New Roman" w:cs="Times New Roman"/>
          <w:i/>
          <w:sz w:val="24"/>
          <w:szCs w:val="24"/>
        </w:rPr>
        <w:t>(Amendment Act)</w:t>
      </w:r>
      <w:r w:rsidR="00FF1E93">
        <w:rPr>
          <w:rFonts w:ascii="Times New Roman" w:hAnsi="Times New Roman" w:cs="Times New Roman"/>
          <w:sz w:val="24"/>
          <w:szCs w:val="24"/>
        </w:rPr>
        <w:t xml:space="preserve"> </w:t>
      </w:r>
      <w:r w:rsidR="00340893" w:rsidRPr="00340893">
        <w:rPr>
          <w:rFonts w:ascii="Times New Roman" w:hAnsi="Times New Roman" w:cs="Times New Roman"/>
          <w:sz w:val="24"/>
          <w:szCs w:val="24"/>
        </w:rPr>
        <w:t>commences.</w:t>
      </w:r>
      <w:r w:rsidR="00340893">
        <w:rPr>
          <w:rFonts w:ascii="Times New Roman" w:hAnsi="Times New Roman" w:cs="Times New Roman"/>
          <w:sz w:val="24"/>
          <w:szCs w:val="24"/>
        </w:rPr>
        <w:t xml:space="preserve"> </w:t>
      </w:r>
      <w:r w:rsidR="002B289D">
        <w:rPr>
          <w:rFonts w:ascii="Times New Roman" w:hAnsi="Times New Roman" w:cs="Times New Roman"/>
          <w:sz w:val="24"/>
          <w:szCs w:val="24"/>
        </w:rPr>
        <w:t>This Part</w:t>
      </w:r>
      <w:r w:rsidR="00FF1E93">
        <w:rPr>
          <w:rFonts w:ascii="Times New Roman" w:hAnsi="Times New Roman" w:cs="Times New Roman"/>
          <w:sz w:val="24"/>
          <w:szCs w:val="24"/>
        </w:rPr>
        <w:t xml:space="preserve"> will not commence if Schedule 3 to the Amendment Act does not commence</w:t>
      </w:r>
      <w:bookmarkEnd w:id="9"/>
      <w:r w:rsidR="00FF1E93">
        <w:rPr>
          <w:rFonts w:ascii="Times New Roman" w:hAnsi="Times New Roman" w:cs="Times New Roman"/>
          <w:sz w:val="24"/>
          <w:szCs w:val="24"/>
        </w:rPr>
        <w:t xml:space="preserve">. </w:t>
      </w:r>
    </w:p>
    <w:bookmarkEnd w:id="8"/>
    <w:p w14:paraId="06ED84EB" w14:textId="77777777" w:rsidR="00BA2C23" w:rsidRDefault="00BA2C23">
      <w:pPr>
        <w:keepNext/>
        <w:spacing w:after="0"/>
        <w:rPr>
          <w:rFonts w:ascii="Times New Roman" w:hAnsi="Times New Roman" w:cs="Times New Roman"/>
          <w:b/>
          <w:sz w:val="24"/>
          <w:szCs w:val="24"/>
        </w:rPr>
      </w:pPr>
    </w:p>
    <w:p w14:paraId="6110EAC2" w14:textId="77777777" w:rsidR="00BA2C23" w:rsidRDefault="00BA2C23">
      <w:pPr>
        <w:keepNext/>
        <w:spacing w:after="0"/>
        <w:rPr>
          <w:rFonts w:ascii="Times New Roman" w:hAnsi="Times New Roman" w:cs="Times New Roman"/>
          <w:b/>
          <w:sz w:val="24"/>
          <w:szCs w:val="24"/>
        </w:rPr>
      </w:pPr>
      <w:r>
        <w:rPr>
          <w:rFonts w:ascii="Times New Roman" w:hAnsi="Times New Roman" w:cs="Times New Roman"/>
          <w:b/>
          <w:sz w:val="24"/>
          <w:szCs w:val="24"/>
        </w:rPr>
        <w:t>Section 3 – Authority</w:t>
      </w:r>
    </w:p>
    <w:p w14:paraId="610B07F0" w14:textId="77777777" w:rsidR="00BA2C23" w:rsidRDefault="00BA2C23">
      <w:pPr>
        <w:keepNext/>
        <w:spacing w:after="0"/>
        <w:rPr>
          <w:rFonts w:ascii="Times New Roman" w:hAnsi="Times New Roman" w:cs="Times New Roman"/>
          <w:sz w:val="24"/>
          <w:szCs w:val="24"/>
        </w:rPr>
      </w:pPr>
      <w:r>
        <w:rPr>
          <w:rFonts w:ascii="Times New Roman" w:hAnsi="Times New Roman" w:cs="Times New Roman"/>
          <w:sz w:val="24"/>
          <w:szCs w:val="24"/>
        </w:rPr>
        <w:t>This section provides that the</w:t>
      </w:r>
      <w:r>
        <w:rPr>
          <w:rFonts w:ascii="Times New Roman" w:hAnsi="Times New Roman" w:cs="Times New Roman"/>
          <w:b/>
          <w:sz w:val="24"/>
          <w:szCs w:val="24"/>
        </w:rPr>
        <w:t xml:space="preserve"> </w:t>
      </w:r>
      <w:r>
        <w:rPr>
          <w:rFonts w:ascii="Times New Roman" w:hAnsi="Times New Roman" w:cs="Times New Roman"/>
          <w:sz w:val="24"/>
          <w:szCs w:val="24"/>
        </w:rPr>
        <w:t>Amendment Regulations are</w:t>
      </w:r>
      <w:r>
        <w:rPr>
          <w:rFonts w:ascii="Times New Roman" w:hAnsi="Times New Roman" w:cs="Times New Roman"/>
          <w:i/>
          <w:sz w:val="24"/>
          <w:szCs w:val="24"/>
        </w:rPr>
        <w:t xml:space="preserve"> </w:t>
      </w:r>
      <w:r>
        <w:rPr>
          <w:rFonts w:ascii="Times New Roman" w:hAnsi="Times New Roman" w:cs="Times New Roman"/>
          <w:sz w:val="24"/>
          <w:szCs w:val="24"/>
        </w:rPr>
        <w:t xml:space="preserve">made under the </w:t>
      </w:r>
      <w:r>
        <w:rPr>
          <w:rFonts w:ascii="Times New Roman" w:hAnsi="Times New Roman" w:cs="Times New Roman"/>
          <w:i/>
          <w:sz w:val="24"/>
          <w:szCs w:val="24"/>
        </w:rPr>
        <w:t>Legislation Act 2003</w:t>
      </w:r>
      <w:r>
        <w:rPr>
          <w:rFonts w:ascii="Times New Roman" w:hAnsi="Times New Roman" w:cs="Times New Roman"/>
          <w:sz w:val="24"/>
          <w:szCs w:val="24"/>
        </w:rPr>
        <w:t>.</w:t>
      </w:r>
    </w:p>
    <w:p w14:paraId="7F3C7EDD" w14:textId="77777777" w:rsidR="00BA2C23" w:rsidRDefault="00BA2C23">
      <w:pPr>
        <w:keepNext/>
        <w:spacing w:after="0"/>
        <w:rPr>
          <w:rFonts w:ascii="Times New Roman" w:hAnsi="Times New Roman" w:cs="Times New Roman"/>
          <w:b/>
          <w:sz w:val="24"/>
          <w:szCs w:val="24"/>
        </w:rPr>
      </w:pPr>
    </w:p>
    <w:p w14:paraId="4EDBEE14" w14:textId="77777777" w:rsidR="00BA2C23" w:rsidRDefault="00BA2C23">
      <w:pPr>
        <w:keepNext/>
        <w:spacing w:after="0"/>
        <w:rPr>
          <w:rFonts w:ascii="Times New Roman" w:hAnsi="Times New Roman" w:cs="Times New Roman"/>
          <w:b/>
          <w:sz w:val="24"/>
          <w:szCs w:val="24"/>
        </w:rPr>
      </w:pPr>
      <w:r>
        <w:rPr>
          <w:rFonts w:ascii="Times New Roman" w:hAnsi="Times New Roman" w:cs="Times New Roman"/>
          <w:b/>
          <w:sz w:val="24"/>
          <w:szCs w:val="24"/>
        </w:rPr>
        <w:t>Section 4 – Schedules</w:t>
      </w:r>
    </w:p>
    <w:p w14:paraId="6649509A" w14:textId="77777777" w:rsidR="00BA2C23" w:rsidRDefault="00BA2C23">
      <w:pPr>
        <w:keepNext/>
        <w:spacing w:after="0"/>
        <w:rPr>
          <w:rFonts w:ascii="Times New Roman" w:hAnsi="Times New Roman" w:cs="Times New Roman"/>
          <w:sz w:val="24"/>
          <w:szCs w:val="24"/>
        </w:rPr>
      </w:pPr>
      <w:r>
        <w:rPr>
          <w:rFonts w:ascii="Times New Roman" w:hAnsi="Times New Roman" w:cs="Times New Roman"/>
          <w:sz w:val="24"/>
          <w:szCs w:val="24"/>
        </w:rPr>
        <w:t>This provides that each instrument that is specified in a Schedule to the Amendment Regulations is amended or repealed as set out in the applicable items in the Schedule concerned, and any other item in a Schedule to this instrument has effect according to its terms.</w:t>
      </w:r>
    </w:p>
    <w:p w14:paraId="25A60DE5" w14:textId="77777777" w:rsidR="00BA2C23" w:rsidRDefault="00BA2C23">
      <w:pPr>
        <w:keepNext/>
        <w:spacing w:after="0"/>
        <w:rPr>
          <w:rFonts w:ascii="Times New Roman" w:hAnsi="Times New Roman" w:cs="Times New Roman"/>
          <w:b/>
          <w:sz w:val="24"/>
          <w:szCs w:val="24"/>
          <w:u w:val="single"/>
        </w:rPr>
      </w:pPr>
    </w:p>
    <w:p w14:paraId="6E6FDDE2" w14:textId="77777777" w:rsidR="00BA2C23" w:rsidRDefault="00BA2C23">
      <w:pPr>
        <w:keepNext/>
        <w:spacing w:after="0"/>
        <w:rPr>
          <w:rFonts w:ascii="Times New Roman" w:hAnsi="Times New Roman" w:cs="Times New Roman"/>
          <w:b/>
          <w:sz w:val="24"/>
          <w:szCs w:val="24"/>
          <w:u w:val="single"/>
        </w:rPr>
      </w:pPr>
      <w:r>
        <w:rPr>
          <w:rFonts w:ascii="Times New Roman" w:hAnsi="Times New Roman" w:cs="Times New Roman"/>
          <w:b/>
          <w:sz w:val="24"/>
          <w:szCs w:val="24"/>
          <w:u w:val="single"/>
        </w:rPr>
        <w:t>Schedule 1 – Amendments</w:t>
      </w:r>
    </w:p>
    <w:p w14:paraId="54A0232F" w14:textId="77777777" w:rsidR="00BA2C23" w:rsidRDefault="00BA2C23">
      <w:pPr>
        <w:keepNext/>
        <w:spacing w:after="0"/>
        <w:rPr>
          <w:rFonts w:ascii="Times New Roman" w:hAnsi="Times New Roman" w:cs="Times New Roman"/>
          <w:i/>
          <w:sz w:val="24"/>
          <w:szCs w:val="24"/>
        </w:rPr>
      </w:pPr>
      <w:bookmarkStart w:id="10" w:name="_Toc96420257"/>
    </w:p>
    <w:p w14:paraId="1E729420" w14:textId="77777777" w:rsidR="00BA2C23" w:rsidRDefault="00BA2C23">
      <w:pPr>
        <w:keepNext/>
        <w:spacing w:after="0"/>
        <w:rPr>
          <w:rFonts w:ascii="Times New Roman" w:hAnsi="Times New Roman" w:cs="Times New Roman"/>
          <w:i/>
          <w:sz w:val="24"/>
          <w:szCs w:val="24"/>
        </w:rPr>
      </w:pPr>
      <w:r>
        <w:rPr>
          <w:rFonts w:ascii="Times New Roman" w:hAnsi="Times New Roman" w:cs="Times New Roman"/>
          <w:i/>
          <w:sz w:val="24"/>
          <w:szCs w:val="24"/>
        </w:rPr>
        <w:t>Legislation (Exemptions and Other Matters) Regulation 2015</w:t>
      </w:r>
      <w:bookmarkEnd w:id="10"/>
    </w:p>
    <w:p w14:paraId="2CA93F22" w14:textId="77777777" w:rsidR="00BA2C23" w:rsidRDefault="00BA2C23">
      <w:pPr>
        <w:keepNext/>
        <w:tabs>
          <w:tab w:val="right" w:pos="8931"/>
        </w:tabs>
        <w:spacing w:after="0"/>
        <w:ind w:right="91"/>
        <w:rPr>
          <w:rFonts w:ascii="Times New Roman" w:eastAsia="Times New Roman" w:hAnsi="Times New Roman" w:cs="Times New Roman"/>
          <w:b/>
          <w:sz w:val="24"/>
          <w:lang w:eastAsia="en-AU"/>
        </w:rPr>
      </w:pPr>
    </w:p>
    <w:p w14:paraId="30FDFC4D" w14:textId="77777777" w:rsidR="00152610" w:rsidRPr="00152610" w:rsidRDefault="00152610" w:rsidP="00F04E76">
      <w:pPr>
        <w:spacing w:after="0"/>
        <w:rPr>
          <w:rFonts w:ascii="Times New Roman" w:hAnsi="Times New Roman" w:cs="Times New Roman"/>
          <w:b/>
          <w:sz w:val="24"/>
          <w:szCs w:val="24"/>
          <w:u w:val="single"/>
        </w:rPr>
      </w:pPr>
      <w:r w:rsidRPr="00152610">
        <w:rPr>
          <w:rFonts w:ascii="Times New Roman" w:hAnsi="Times New Roman" w:cs="Times New Roman"/>
          <w:b/>
          <w:sz w:val="24"/>
          <w:szCs w:val="24"/>
          <w:u w:val="single"/>
        </w:rPr>
        <w:t xml:space="preserve">Part 1 – Amendments relating to rules made under the </w:t>
      </w:r>
      <w:r w:rsidRPr="00152610">
        <w:rPr>
          <w:rFonts w:ascii="Times New Roman" w:hAnsi="Times New Roman" w:cs="Times New Roman"/>
          <w:b/>
          <w:i/>
          <w:sz w:val="24"/>
          <w:szCs w:val="24"/>
          <w:u w:val="single"/>
        </w:rPr>
        <w:t>Australian Research Council Act 2001</w:t>
      </w:r>
    </w:p>
    <w:p w14:paraId="7D5F87DB" w14:textId="77777777" w:rsidR="00152610" w:rsidRDefault="00152610" w:rsidP="00F04E76">
      <w:pPr>
        <w:spacing w:after="0"/>
        <w:rPr>
          <w:rFonts w:ascii="Times New Roman" w:hAnsi="Times New Roman" w:cs="Times New Roman"/>
          <w:sz w:val="24"/>
          <w:szCs w:val="24"/>
        </w:rPr>
      </w:pPr>
    </w:p>
    <w:p w14:paraId="1AC4D3F1" w14:textId="1E63D3AC" w:rsidR="00152610" w:rsidRPr="00BE1997" w:rsidRDefault="00152610" w:rsidP="00F04E76">
      <w:pPr>
        <w:spacing w:after="0"/>
        <w:rPr>
          <w:rFonts w:ascii="Times New Roman" w:hAnsi="Times New Roman" w:cs="Times New Roman"/>
          <w:sz w:val="24"/>
          <w:szCs w:val="24"/>
        </w:rPr>
      </w:pPr>
      <w:r>
        <w:rPr>
          <w:rFonts w:ascii="Times New Roman" w:hAnsi="Times New Roman" w:cs="Times New Roman"/>
          <w:sz w:val="24"/>
          <w:szCs w:val="24"/>
        </w:rPr>
        <w:t>This Part</w:t>
      </w:r>
      <w:r w:rsidRPr="00BE1997">
        <w:rPr>
          <w:rFonts w:ascii="Times New Roman" w:hAnsi="Times New Roman" w:cs="Times New Roman"/>
          <w:sz w:val="24"/>
          <w:szCs w:val="24"/>
        </w:rPr>
        <w:t xml:space="preserve"> repeal</w:t>
      </w:r>
      <w:r>
        <w:rPr>
          <w:rFonts w:ascii="Times New Roman" w:hAnsi="Times New Roman" w:cs="Times New Roman"/>
          <w:sz w:val="24"/>
          <w:szCs w:val="24"/>
        </w:rPr>
        <w:t>s</w:t>
      </w:r>
      <w:r w:rsidR="0079373B">
        <w:rPr>
          <w:rFonts w:ascii="Times New Roman" w:hAnsi="Times New Roman" w:cs="Times New Roman"/>
          <w:sz w:val="24"/>
          <w:szCs w:val="24"/>
        </w:rPr>
        <w:t xml:space="preserve"> table</w:t>
      </w:r>
      <w:r w:rsidRPr="00BE1997">
        <w:rPr>
          <w:rFonts w:ascii="Times New Roman" w:hAnsi="Times New Roman" w:cs="Times New Roman"/>
          <w:sz w:val="24"/>
          <w:szCs w:val="24"/>
        </w:rPr>
        <w:t xml:space="preserve"> item 7 under section 10 of the </w:t>
      </w:r>
      <w:r w:rsidRPr="00BE1997">
        <w:rPr>
          <w:rFonts w:ascii="Times New Roman" w:hAnsi="Times New Roman" w:cs="Times New Roman"/>
          <w:i/>
          <w:sz w:val="24"/>
          <w:szCs w:val="24"/>
        </w:rPr>
        <w:t>Legislation (Exemptions and Other Matters) Regulations 2015</w:t>
      </w:r>
      <w:r w:rsidRPr="00BE1997">
        <w:rPr>
          <w:rFonts w:ascii="Times New Roman" w:hAnsi="Times New Roman" w:cs="Times New Roman"/>
          <w:sz w:val="24"/>
          <w:szCs w:val="24"/>
        </w:rPr>
        <w:t xml:space="preserve"> (the Principal Regulations) to remove an existing disallowance exemption</w:t>
      </w:r>
      <w:r>
        <w:rPr>
          <w:rFonts w:ascii="Times New Roman" w:hAnsi="Times New Roman" w:cs="Times New Roman"/>
          <w:sz w:val="24"/>
          <w:szCs w:val="24"/>
        </w:rPr>
        <w:t>, and sets out related transitional arrangements.</w:t>
      </w:r>
    </w:p>
    <w:p w14:paraId="73E7B4F8" w14:textId="6C5DE36C" w:rsidR="00BA2C23" w:rsidRDefault="00BA2C23" w:rsidP="0077226A">
      <w:pPr>
        <w:keepNext/>
        <w:tabs>
          <w:tab w:val="right" w:pos="8931"/>
        </w:tabs>
        <w:spacing w:after="0"/>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lastRenderedPageBreak/>
        <w:t>Item [1] – Section 10 (table item 7)</w:t>
      </w:r>
    </w:p>
    <w:p w14:paraId="1B168216" w14:textId="77777777" w:rsidR="00BA2C23" w:rsidRDefault="00BA2C23" w:rsidP="00B82B65">
      <w:pPr>
        <w:keepNext/>
        <w:spacing w:after="0"/>
        <w:ind w:right="91"/>
        <w:rPr>
          <w:rFonts w:ascii="Times New Roman" w:eastAsia="Times New Roman" w:hAnsi="Times New Roman" w:cs="Times New Roman"/>
          <w:sz w:val="24"/>
          <w:lang w:eastAsia="en-AU"/>
        </w:rPr>
      </w:pPr>
    </w:p>
    <w:p w14:paraId="4989405C" w14:textId="3936319A" w:rsidR="00BA2C23" w:rsidRDefault="00BA2C23" w:rsidP="0079373B">
      <w:pPr>
        <w:tabs>
          <w:tab w:val="right" w:pos="8931"/>
        </w:tabs>
        <w:spacing w:after="0"/>
        <w:ind w:right="91"/>
        <w:rPr>
          <w:rFonts w:ascii="Times New Roman" w:eastAsia="Calibri" w:hAnsi="Times New Roman" w:cs="Times New Roman"/>
          <w:sz w:val="24"/>
          <w:szCs w:val="24"/>
          <w:lang w:eastAsia="en-AU"/>
        </w:rPr>
      </w:pPr>
      <w:r>
        <w:rPr>
          <w:rFonts w:ascii="Times New Roman" w:eastAsia="Times New Roman" w:hAnsi="Times New Roman" w:cs="Times New Roman"/>
          <w:sz w:val="24"/>
          <w:lang w:eastAsia="en-AU"/>
        </w:rPr>
        <w:t>This item repeals the existing disallowance exemption (</w:t>
      </w:r>
      <w:r w:rsidR="0079373B">
        <w:rPr>
          <w:rFonts w:ascii="Times New Roman" w:eastAsia="Times New Roman" w:hAnsi="Times New Roman" w:cs="Times New Roman"/>
          <w:sz w:val="24"/>
          <w:lang w:eastAsia="en-AU"/>
        </w:rPr>
        <w:t xml:space="preserve">table </w:t>
      </w:r>
      <w:r>
        <w:rPr>
          <w:rFonts w:ascii="Times New Roman" w:eastAsia="Times New Roman" w:hAnsi="Times New Roman" w:cs="Times New Roman"/>
          <w:sz w:val="24"/>
          <w:lang w:eastAsia="en-AU"/>
        </w:rPr>
        <w:t xml:space="preserve">item 7) </w:t>
      </w:r>
      <w:r>
        <w:rPr>
          <w:rFonts w:ascii="Times New Roman" w:eastAsia="Calibri" w:hAnsi="Times New Roman" w:cs="Times New Roman"/>
          <w:sz w:val="24"/>
          <w:szCs w:val="24"/>
          <w:lang w:eastAsia="en-AU"/>
        </w:rPr>
        <w:t>in section 10 of the Principal Regulations.</w:t>
      </w:r>
    </w:p>
    <w:p w14:paraId="3176F65E" w14:textId="77777777" w:rsidR="00BA2C23" w:rsidRDefault="00BA2C23">
      <w:pPr>
        <w:tabs>
          <w:tab w:val="right" w:pos="8931"/>
        </w:tabs>
        <w:spacing w:after="0"/>
        <w:ind w:right="91"/>
        <w:rPr>
          <w:rFonts w:ascii="Times New Roman" w:eastAsia="Times New Roman" w:hAnsi="Times New Roman" w:cs="Times New Roman"/>
          <w:sz w:val="24"/>
          <w:lang w:eastAsia="en-AU"/>
        </w:rPr>
      </w:pPr>
    </w:p>
    <w:p w14:paraId="3BD65209" w14:textId="77777777" w:rsidR="00BA2C23" w:rsidRDefault="00BA2C23">
      <w:pPr>
        <w:spacing w:after="0"/>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For the purposes of paragraph 44(2)(b) of the Legislation Act, section 10 of the Principal Regulations provides that instruments contained in the table to that section are not subject to disallowance.</w:t>
      </w:r>
    </w:p>
    <w:p w14:paraId="6C48E79D" w14:textId="377F84C1" w:rsidR="00BA2C23" w:rsidRDefault="00BA2C23">
      <w:pPr>
        <w:spacing w:after="0"/>
        <w:rPr>
          <w:rFonts w:ascii="Times New Roman" w:eastAsia="Times New Roman" w:hAnsi="Times New Roman" w:cs="Times New Roman"/>
          <w:snapToGrid w:val="0"/>
          <w:color w:val="000000"/>
          <w:sz w:val="24"/>
          <w:szCs w:val="24"/>
          <w:highlight w:val="yellow"/>
          <w:lang w:eastAsia="en-AU"/>
        </w:rPr>
      </w:pPr>
    </w:p>
    <w:p w14:paraId="59AD1B8B" w14:textId="47E9A395" w:rsidR="00BD7FEC" w:rsidRDefault="00BA2C23">
      <w:pPr>
        <w:spacing w:after="0"/>
        <w:rPr>
          <w:rFonts w:ascii="Times New Roman" w:eastAsia="Times New Roman" w:hAnsi="Times New Roman" w:cs="Times New Roman"/>
          <w:snapToGrid w:val="0"/>
          <w:color w:val="000000"/>
          <w:sz w:val="24"/>
          <w:szCs w:val="24"/>
          <w:lang w:eastAsia="en-AU"/>
        </w:rPr>
      </w:pPr>
      <w:r>
        <w:rPr>
          <w:rFonts w:ascii="Times New Roman" w:eastAsia="Times New Roman" w:hAnsi="Times New Roman" w:cs="Times New Roman"/>
          <w:snapToGrid w:val="0"/>
          <w:color w:val="000000"/>
          <w:sz w:val="24"/>
          <w:szCs w:val="24"/>
          <w:lang w:eastAsia="en-AU"/>
        </w:rPr>
        <w:t xml:space="preserve">The Amendment Regulations give effect to </w:t>
      </w:r>
      <w:r w:rsidR="003A3774">
        <w:rPr>
          <w:rFonts w:ascii="Times New Roman" w:eastAsia="Times New Roman" w:hAnsi="Times New Roman" w:cs="Times New Roman"/>
          <w:snapToGrid w:val="0"/>
          <w:color w:val="000000"/>
          <w:sz w:val="24"/>
          <w:szCs w:val="24"/>
          <w:lang w:eastAsia="en-AU"/>
        </w:rPr>
        <w:t xml:space="preserve">the Government response to the </w:t>
      </w:r>
      <w:r>
        <w:rPr>
          <w:rFonts w:ascii="Times New Roman" w:eastAsia="Times New Roman" w:hAnsi="Times New Roman" w:cs="Times New Roman"/>
          <w:snapToGrid w:val="0"/>
          <w:color w:val="000000"/>
          <w:sz w:val="24"/>
          <w:szCs w:val="24"/>
          <w:lang w:eastAsia="en-AU"/>
        </w:rPr>
        <w:t xml:space="preserve">2023 </w:t>
      </w:r>
      <w:r w:rsidR="00D85CB9">
        <w:rPr>
          <w:rFonts w:ascii="Times New Roman" w:eastAsia="Times New Roman" w:hAnsi="Times New Roman" w:cs="Times New Roman"/>
          <w:snapToGrid w:val="0"/>
          <w:color w:val="000000"/>
          <w:sz w:val="24"/>
          <w:szCs w:val="24"/>
          <w:lang w:eastAsia="en-AU"/>
        </w:rPr>
        <w:t>Final Report of the Trusting Australia’s Ability: R</w:t>
      </w:r>
      <w:r>
        <w:rPr>
          <w:rFonts w:ascii="Times New Roman" w:eastAsia="Times New Roman" w:hAnsi="Times New Roman" w:cs="Times New Roman"/>
          <w:snapToGrid w:val="0"/>
          <w:color w:val="000000"/>
          <w:sz w:val="24"/>
          <w:szCs w:val="24"/>
          <w:lang w:eastAsia="en-AU"/>
        </w:rPr>
        <w:t xml:space="preserve">eview of the </w:t>
      </w:r>
      <w:r w:rsidRPr="00CE4872">
        <w:rPr>
          <w:rFonts w:ascii="Times New Roman" w:eastAsia="Times New Roman" w:hAnsi="Times New Roman" w:cs="Times New Roman"/>
          <w:i/>
          <w:snapToGrid w:val="0"/>
          <w:color w:val="000000"/>
          <w:sz w:val="24"/>
          <w:szCs w:val="24"/>
          <w:lang w:eastAsia="en-AU"/>
        </w:rPr>
        <w:t>Australian Research Council Act 2001</w:t>
      </w:r>
      <w:r w:rsidR="003A3774">
        <w:rPr>
          <w:rFonts w:ascii="Times New Roman" w:eastAsia="Times New Roman" w:hAnsi="Times New Roman" w:cs="Times New Roman"/>
          <w:snapToGrid w:val="0"/>
          <w:color w:val="000000"/>
          <w:sz w:val="24"/>
          <w:szCs w:val="24"/>
          <w:lang w:eastAsia="en-AU"/>
        </w:rPr>
        <w:t xml:space="preserve">, in which the Government supported </w:t>
      </w:r>
      <w:r w:rsidR="00791DF5">
        <w:rPr>
          <w:rFonts w:ascii="Times New Roman" w:eastAsia="Times New Roman" w:hAnsi="Times New Roman" w:cs="Times New Roman"/>
          <w:snapToGrid w:val="0"/>
          <w:color w:val="000000"/>
          <w:sz w:val="24"/>
          <w:szCs w:val="24"/>
          <w:lang w:eastAsia="en-AU"/>
        </w:rPr>
        <w:t>subjecting funding rules to disallowance</w:t>
      </w:r>
      <w:r>
        <w:rPr>
          <w:rFonts w:ascii="Times New Roman" w:eastAsia="Times New Roman" w:hAnsi="Times New Roman" w:cs="Times New Roman"/>
          <w:snapToGrid w:val="0"/>
          <w:color w:val="000000"/>
          <w:sz w:val="24"/>
          <w:szCs w:val="24"/>
          <w:lang w:eastAsia="en-AU"/>
        </w:rPr>
        <w:t>. The Amendment Regulations repeal the exemption from disallowance for</w:t>
      </w:r>
      <w:r w:rsidR="005900FF">
        <w:rPr>
          <w:rFonts w:ascii="Times New Roman" w:eastAsia="Times New Roman" w:hAnsi="Times New Roman" w:cs="Times New Roman"/>
          <w:snapToGrid w:val="0"/>
          <w:color w:val="000000"/>
          <w:sz w:val="24"/>
          <w:szCs w:val="24"/>
          <w:lang w:eastAsia="en-AU"/>
        </w:rPr>
        <w:t xml:space="preserve"> new</w:t>
      </w:r>
      <w:r>
        <w:rPr>
          <w:rFonts w:ascii="Times New Roman" w:eastAsia="Times New Roman" w:hAnsi="Times New Roman" w:cs="Times New Roman"/>
          <w:snapToGrid w:val="0"/>
          <w:color w:val="000000"/>
          <w:sz w:val="24"/>
          <w:szCs w:val="24"/>
          <w:lang w:eastAsia="en-AU"/>
        </w:rPr>
        <w:t xml:space="preserve"> funding rules made under the </w:t>
      </w:r>
      <w:r w:rsidR="00DB2B5F" w:rsidRPr="00F26B30">
        <w:rPr>
          <w:rFonts w:ascii="Times New Roman" w:eastAsia="Times New Roman" w:hAnsi="Times New Roman" w:cs="Times New Roman"/>
          <w:i/>
          <w:snapToGrid w:val="0"/>
          <w:color w:val="000000"/>
          <w:sz w:val="24"/>
          <w:szCs w:val="24"/>
          <w:lang w:eastAsia="en-AU"/>
        </w:rPr>
        <w:t>Australian Research Council Act 2001</w:t>
      </w:r>
      <w:r w:rsidR="00DB2B5F">
        <w:rPr>
          <w:rFonts w:ascii="Times New Roman" w:eastAsia="Times New Roman" w:hAnsi="Times New Roman" w:cs="Times New Roman"/>
          <w:snapToGrid w:val="0"/>
          <w:color w:val="000000"/>
          <w:sz w:val="24"/>
          <w:szCs w:val="24"/>
          <w:lang w:eastAsia="en-AU"/>
        </w:rPr>
        <w:t xml:space="preserve"> (</w:t>
      </w:r>
      <w:r>
        <w:rPr>
          <w:rFonts w:ascii="Times New Roman" w:eastAsia="Times New Roman" w:hAnsi="Times New Roman" w:cs="Times New Roman"/>
          <w:snapToGrid w:val="0"/>
          <w:color w:val="000000"/>
          <w:sz w:val="24"/>
          <w:szCs w:val="24"/>
          <w:lang w:eastAsia="en-AU"/>
        </w:rPr>
        <w:t>ARC Act</w:t>
      </w:r>
      <w:r w:rsidR="00DB2B5F">
        <w:rPr>
          <w:rFonts w:ascii="Times New Roman" w:eastAsia="Times New Roman" w:hAnsi="Times New Roman" w:cs="Times New Roman"/>
          <w:snapToGrid w:val="0"/>
          <w:color w:val="000000"/>
          <w:sz w:val="24"/>
          <w:szCs w:val="24"/>
          <w:lang w:eastAsia="en-AU"/>
        </w:rPr>
        <w:t>)</w:t>
      </w:r>
      <w:r>
        <w:rPr>
          <w:rFonts w:ascii="Times New Roman" w:eastAsia="Times New Roman" w:hAnsi="Times New Roman" w:cs="Times New Roman"/>
          <w:snapToGrid w:val="0"/>
          <w:color w:val="000000"/>
          <w:sz w:val="24"/>
          <w:szCs w:val="24"/>
          <w:lang w:eastAsia="en-AU"/>
        </w:rPr>
        <w:t xml:space="preserve"> </w:t>
      </w:r>
      <w:r w:rsidR="005900FF">
        <w:rPr>
          <w:rFonts w:ascii="Times New Roman" w:eastAsia="Times New Roman" w:hAnsi="Times New Roman" w:cs="Times New Roman"/>
          <w:snapToGrid w:val="0"/>
          <w:color w:val="000000"/>
          <w:sz w:val="24"/>
          <w:szCs w:val="24"/>
          <w:lang w:eastAsia="en-AU"/>
        </w:rPr>
        <w:t xml:space="preserve">after 1 July 2024 </w:t>
      </w:r>
      <w:r>
        <w:rPr>
          <w:rFonts w:ascii="Times New Roman" w:eastAsia="Times New Roman" w:hAnsi="Times New Roman" w:cs="Times New Roman"/>
          <w:snapToGrid w:val="0"/>
          <w:color w:val="000000"/>
          <w:sz w:val="24"/>
          <w:szCs w:val="24"/>
          <w:lang w:eastAsia="en-AU"/>
        </w:rPr>
        <w:t>to ensure</w:t>
      </w:r>
      <w:r w:rsidR="005900FF">
        <w:rPr>
          <w:rFonts w:ascii="Times New Roman" w:eastAsia="Times New Roman" w:hAnsi="Times New Roman" w:cs="Times New Roman"/>
          <w:snapToGrid w:val="0"/>
          <w:color w:val="000000"/>
          <w:sz w:val="24"/>
          <w:szCs w:val="24"/>
          <w:lang w:eastAsia="en-AU"/>
        </w:rPr>
        <w:t xml:space="preserve"> any new funding rules</w:t>
      </w:r>
      <w:r>
        <w:rPr>
          <w:rFonts w:ascii="Times New Roman" w:eastAsia="Times New Roman" w:hAnsi="Times New Roman" w:cs="Times New Roman"/>
          <w:snapToGrid w:val="0"/>
          <w:color w:val="000000"/>
          <w:sz w:val="24"/>
          <w:szCs w:val="24"/>
          <w:lang w:eastAsia="en-AU"/>
        </w:rPr>
        <w:t xml:space="preserve"> are subject to full parliamentary oversight and scrutiny. </w:t>
      </w:r>
    </w:p>
    <w:p w14:paraId="60917F5F" w14:textId="77777777" w:rsidR="00152610" w:rsidRDefault="00152610">
      <w:pPr>
        <w:spacing w:after="0"/>
        <w:rPr>
          <w:rFonts w:ascii="Times New Roman" w:eastAsia="Times New Roman" w:hAnsi="Times New Roman" w:cs="Times New Roman"/>
          <w:snapToGrid w:val="0"/>
          <w:color w:val="000000"/>
          <w:sz w:val="24"/>
          <w:szCs w:val="24"/>
          <w:lang w:eastAsia="en-AU"/>
        </w:rPr>
      </w:pPr>
    </w:p>
    <w:p w14:paraId="43EA547E" w14:textId="142FE90F" w:rsidR="00BA2C23" w:rsidRPr="00BD7FEC" w:rsidRDefault="003A3774">
      <w:pPr>
        <w:spacing w:after="0"/>
        <w:rPr>
          <w:rFonts w:ascii="Times New Roman" w:eastAsia="Times New Roman" w:hAnsi="Times New Roman" w:cs="Times New Roman"/>
          <w:snapToGrid w:val="0"/>
          <w:color w:val="000000"/>
          <w:sz w:val="24"/>
          <w:szCs w:val="24"/>
          <w:lang w:eastAsia="en-AU"/>
        </w:rPr>
      </w:pPr>
      <w:r>
        <w:rPr>
          <w:rFonts w:ascii="Times New Roman" w:eastAsia="Times New Roman" w:hAnsi="Times New Roman" w:cs="Times New Roman"/>
          <w:snapToGrid w:val="0"/>
          <w:color w:val="000000"/>
          <w:sz w:val="24"/>
          <w:szCs w:val="24"/>
          <w:lang w:eastAsia="en-AU"/>
        </w:rPr>
        <w:t xml:space="preserve">For consistency, the </w:t>
      </w:r>
      <w:r w:rsidR="00BA2C23">
        <w:rPr>
          <w:rFonts w:ascii="Times New Roman" w:eastAsia="Times New Roman" w:hAnsi="Times New Roman" w:cs="Times New Roman"/>
          <w:snapToGrid w:val="0"/>
          <w:color w:val="000000"/>
          <w:sz w:val="24"/>
          <w:szCs w:val="24"/>
          <w:lang w:eastAsia="en-AU"/>
        </w:rPr>
        <w:t xml:space="preserve">Australian Research Council Amendment (Review </w:t>
      </w:r>
      <w:r w:rsidR="00BA2C23" w:rsidRPr="00BD7FEC">
        <w:rPr>
          <w:rFonts w:ascii="Times New Roman" w:eastAsia="Times New Roman" w:hAnsi="Times New Roman" w:cs="Times New Roman"/>
          <w:snapToGrid w:val="0"/>
          <w:color w:val="000000"/>
          <w:sz w:val="24"/>
          <w:szCs w:val="24"/>
          <w:lang w:eastAsia="en-AU"/>
        </w:rPr>
        <w:t>Response) Bill 2023 (Amendment Bill)</w:t>
      </w:r>
      <w:r w:rsidR="001D5A71">
        <w:rPr>
          <w:rFonts w:ascii="Times New Roman" w:eastAsia="Times New Roman" w:hAnsi="Times New Roman" w:cs="Times New Roman"/>
          <w:snapToGrid w:val="0"/>
          <w:color w:val="000000"/>
          <w:sz w:val="24"/>
          <w:szCs w:val="24"/>
          <w:lang w:eastAsia="en-AU"/>
        </w:rPr>
        <w:t xml:space="preserve"> proposes to</w:t>
      </w:r>
      <w:r w:rsidR="00BA2C23" w:rsidRPr="00BD7FEC">
        <w:rPr>
          <w:rFonts w:ascii="Times New Roman" w:eastAsia="Times New Roman" w:hAnsi="Times New Roman" w:cs="Times New Roman"/>
          <w:snapToGrid w:val="0"/>
          <w:color w:val="000000"/>
          <w:sz w:val="24"/>
          <w:szCs w:val="24"/>
          <w:lang w:eastAsia="en-AU"/>
        </w:rPr>
        <w:t xml:space="preserve"> </w:t>
      </w:r>
      <w:r w:rsidR="002939F5">
        <w:rPr>
          <w:rFonts w:ascii="Times New Roman" w:eastAsia="Times New Roman" w:hAnsi="Times New Roman" w:cs="Times New Roman"/>
          <w:snapToGrid w:val="0"/>
          <w:color w:val="000000"/>
          <w:sz w:val="24"/>
          <w:szCs w:val="24"/>
          <w:lang w:eastAsia="en-AU"/>
        </w:rPr>
        <w:t xml:space="preserve">repeal and replace </w:t>
      </w:r>
      <w:r w:rsidR="00BD7FEC">
        <w:rPr>
          <w:rFonts w:ascii="Times New Roman" w:eastAsia="Times New Roman" w:hAnsi="Times New Roman" w:cs="Times New Roman"/>
          <w:snapToGrid w:val="0"/>
          <w:color w:val="000000"/>
          <w:sz w:val="24"/>
          <w:szCs w:val="24"/>
          <w:lang w:eastAsia="en-AU"/>
        </w:rPr>
        <w:t>section 60 of the ARC Act</w:t>
      </w:r>
      <w:r w:rsidR="002939F5">
        <w:rPr>
          <w:rFonts w:ascii="Times New Roman" w:eastAsia="Times New Roman" w:hAnsi="Times New Roman" w:cs="Times New Roman"/>
          <w:snapToGrid w:val="0"/>
          <w:color w:val="000000"/>
          <w:sz w:val="24"/>
          <w:szCs w:val="24"/>
          <w:lang w:eastAsia="en-AU"/>
        </w:rPr>
        <w:t xml:space="preserve"> to remove the legislative </w:t>
      </w:r>
      <w:r w:rsidR="008817B8">
        <w:rPr>
          <w:rFonts w:ascii="Times New Roman" w:eastAsia="Times New Roman" w:hAnsi="Times New Roman" w:cs="Times New Roman"/>
          <w:snapToGrid w:val="0"/>
          <w:color w:val="000000"/>
          <w:sz w:val="24"/>
          <w:szCs w:val="24"/>
          <w:lang w:eastAsia="en-AU"/>
        </w:rPr>
        <w:t xml:space="preserve">note </w:t>
      </w:r>
      <w:r w:rsidR="00BD7FEC">
        <w:rPr>
          <w:rFonts w:ascii="Times New Roman" w:eastAsia="Times New Roman" w:hAnsi="Times New Roman" w:cs="Times New Roman"/>
          <w:snapToGrid w:val="0"/>
          <w:color w:val="000000"/>
          <w:sz w:val="24"/>
          <w:szCs w:val="24"/>
          <w:lang w:eastAsia="en-AU"/>
        </w:rPr>
        <w:t>provid</w:t>
      </w:r>
      <w:r w:rsidR="008817B8">
        <w:rPr>
          <w:rFonts w:ascii="Times New Roman" w:eastAsia="Times New Roman" w:hAnsi="Times New Roman" w:cs="Times New Roman"/>
          <w:snapToGrid w:val="0"/>
          <w:color w:val="000000"/>
          <w:sz w:val="24"/>
          <w:szCs w:val="24"/>
          <w:lang w:eastAsia="en-AU"/>
        </w:rPr>
        <w:t>ing</w:t>
      </w:r>
      <w:r w:rsidR="00BD7FEC">
        <w:rPr>
          <w:rFonts w:ascii="Times New Roman" w:eastAsia="Times New Roman" w:hAnsi="Times New Roman" w:cs="Times New Roman"/>
          <w:snapToGrid w:val="0"/>
          <w:color w:val="000000"/>
          <w:sz w:val="24"/>
          <w:szCs w:val="24"/>
          <w:lang w:eastAsia="en-AU"/>
        </w:rPr>
        <w:t xml:space="preserve"> that funding rules </w:t>
      </w:r>
      <w:r w:rsidR="008817B8">
        <w:rPr>
          <w:rFonts w:ascii="Times New Roman" w:eastAsia="Times New Roman" w:hAnsi="Times New Roman" w:cs="Times New Roman"/>
          <w:snapToGrid w:val="0"/>
          <w:color w:val="000000"/>
          <w:sz w:val="24"/>
          <w:szCs w:val="24"/>
          <w:lang w:eastAsia="en-AU"/>
        </w:rPr>
        <w:t xml:space="preserve">made under the provision </w:t>
      </w:r>
      <w:r w:rsidR="00BD7FEC">
        <w:rPr>
          <w:rFonts w:ascii="Times New Roman" w:eastAsia="Times New Roman" w:hAnsi="Times New Roman" w:cs="Times New Roman"/>
          <w:snapToGrid w:val="0"/>
          <w:color w:val="000000"/>
          <w:sz w:val="24"/>
          <w:szCs w:val="24"/>
          <w:lang w:eastAsia="en-AU"/>
        </w:rPr>
        <w:t>are not subject to disallowance.</w:t>
      </w:r>
      <w:r w:rsidR="005900FF">
        <w:rPr>
          <w:rFonts w:ascii="Times New Roman" w:eastAsia="Times New Roman" w:hAnsi="Times New Roman" w:cs="Times New Roman"/>
          <w:snapToGrid w:val="0"/>
          <w:color w:val="000000"/>
          <w:sz w:val="24"/>
          <w:szCs w:val="24"/>
          <w:lang w:eastAsia="en-AU"/>
        </w:rPr>
        <w:t xml:space="preserve"> This change wou</w:t>
      </w:r>
      <w:bookmarkStart w:id="11" w:name="_GoBack"/>
      <w:bookmarkEnd w:id="11"/>
      <w:r w:rsidR="005900FF">
        <w:rPr>
          <w:rFonts w:ascii="Times New Roman" w:eastAsia="Times New Roman" w:hAnsi="Times New Roman" w:cs="Times New Roman"/>
          <w:snapToGrid w:val="0"/>
          <w:color w:val="000000"/>
          <w:sz w:val="24"/>
          <w:szCs w:val="24"/>
          <w:lang w:eastAsia="en-AU"/>
        </w:rPr>
        <w:t xml:space="preserve">ld occur on the same day as </w:t>
      </w:r>
      <w:r w:rsidR="00D408F3">
        <w:rPr>
          <w:rFonts w:ascii="Times New Roman" w:eastAsia="Times New Roman" w:hAnsi="Times New Roman" w:cs="Times New Roman"/>
          <w:snapToGrid w:val="0"/>
          <w:color w:val="000000"/>
          <w:sz w:val="24"/>
          <w:szCs w:val="24"/>
          <w:lang w:eastAsia="en-AU"/>
        </w:rPr>
        <w:t>item 2 commences</w:t>
      </w:r>
      <w:r w:rsidR="005900FF">
        <w:rPr>
          <w:rFonts w:ascii="Times New Roman" w:eastAsia="Times New Roman" w:hAnsi="Times New Roman" w:cs="Times New Roman"/>
          <w:snapToGrid w:val="0"/>
          <w:color w:val="000000"/>
          <w:sz w:val="24"/>
          <w:szCs w:val="24"/>
          <w:lang w:eastAsia="en-AU"/>
        </w:rPr>
        <w:t>, on 1 July 2024.</w:t>
      </w:r>
    </w:p>
    <w:p w14:paraId="167C9214" w14:textId="77777777" w:rsidR="00BA2C23" w:rsidRDefault="00BA2C23">
      <w:pPr>
        <w:spacing w:after="0"/>
        <w:rPr>
          <w:rFonts w:ascii="Times New Roman" w:eastAsia="Times New Roman" w:hAnsi="Times New Roman" w:cs="Times New Roman"/>
          <w:snapToGrid w:val="0"/>
          <w:color w:val="000000"/>
          <w:sz w:val="24"/>
          <w:szCs w:val="24"/>
          <w:lang w:eastAsia="en-AU"/>
        </w:rPr>
      </w:pPr>
    </w:p>
    <w:p w14:paraId="43FCC06A" w14:textId="68EAA948" w:rsidR="00BA2C23" w:rsidRDefault="00BA2C23">
      <w:pPr>
        <w:spacing w:after="0"/>
        <w:ind w:right="91"/>
        <w:rPr>
          <w:rFonts w:ascii="Times New Roman" w:eastAsia="Times New Roman" w:hAnsi="Times New Roman" w:cs="Times New Roman"/>
          <w:sz w:val="24"/>
          <w:highlight w:val="yellow"/>
          <w:lang w:eastAsia="en-AU"/>
        </w:rPr>
      </w:pPr>
      <w:r>
        <w:rPr>
          <w:rFonts w:ascii="Times New Roman" w:eastAsia="Times New Roman" w:hAnsi="Times New Roman" w:cs="Times New Roman"/>
          <w:sz w:val="24"/>
          <w:lang w:eastAsia="en-AU"/>
        </w:rPr>
        <w:t xml:space="preserve">Repealing this disallowance exemption therefore gives effect to the </w:t>
      </w:r>
      <w:r w:rsidR="003A3774">
        <w:rPr>
          <w:rFonts w:ascii="Times New Roman" w:eastAsia="Times New Roman" w:hAnsi="Times New Roman" w:cs="Times New Roman"/>
          <w:sz w:val="24"/>
          <w:lang w:eastAsia="en-AU"/>
        </w:rPr>
        <w:t>Government response</w:t>
      </w:r>
      <w:r>
        <w:rPr>
          <w:rFonts w:ascii="Times New Roman" w:eastAsia="Times New Roman" w:hAnsi="Times New Roman" w:cs="Times New Roman"/>
          <w:sz w:val="24"/>
          <w:lang w:eastAsia="en-AU"/>
        </w:rPr>
        <w:t xml:space="preserve"> and </w:t>
      </w:r>
      <w:r w:rsidR="00EE1E59">
        <w:rPr>
          <w:rFonts w:ascii="Times New Roman" w:eastAsia="Times New Roman" w:hAnsi="Times New Roman" w:cs="Times New Roman"/>
          <w:sz w:val="24"/>
          <w:lang w:eastAsia="en-AU"/>
        </w:rPr>
        <w:t>enables</w:t>
      </w:r>
      <w:r>
        <w:rPr>
          <w:rFonts w:ascii="Times New Roman" w:eastAsia="Times New Roman" w:hAnsi="Times New Roman" w:cs="Times New Roman"/>
          <w:sz w:val="24"/>
          <w:lang w:eastAsia="en-AU"/>
        </w:rPr>
        <w:t xml:space="preserve"> consistency with the Amendment</w:t>
      </w:r>
      <w:r w:rsidRPr="008143CF">
        <w:rPr>
          <w:rFonts w:ascii="Times New Roman" w:eastAsia="Times New Roman" w:hAnsi="Times New Roman" w:cs="Times New Roman"/>
          <w:sz w:val="24"/>
          <w:lang w:eastAsia="en-AU"/>
        </w:rPr>
        <w:t xml:space="preserve"> Bill</w:t>
      </w:r>
      <w:r w:rsidR="008143CF" w:rsidRPr="008143CF">
        <w:rPr>
          <w:rFonts w:ascii="Times New Roman" w:eastAsia="Times New Roman" w:hAnsi="Times New Roman" w:cs="Times New Roman"/>
          <w:sz w:val="24"/>
          <w:lang w:eastAsia="en-AU"/>
        </w:rPr>
        <w:t>.</w:t>
      </w:r>
    </w:p>
    <w:p w14:paraId="37C6B53F" w14:textId="77777777" w:rsidR="00BA2C23" w:rsidRDefault="00BA2C23">
      <w:pPr>
        <w:keepNext/>
        <w:tabs>
          <w:tab w:val="right" w:pos="8931"/>
        </w:tabs>
        <w:spacing w:after="0"/>
        <w:ind w:right="91"/>
        <w:rPr>
          <w:rFonts w:ascii="Times New Roman" w:eastAsia="Times New Roman" w:hAnsi="Times New Roman" w:cs="Times New Roman"/>
          <w:sz w:val="24"/>
          <w:lang w:eastAsia="en-AU"/>
        </w:rPr>
      </w:pPr>
    </w:p>
    <w:p w14:paraId="4264315F" w14:textId="0D6D2386" w:rsidR="00FF1E93" w:rsidRDefault="00FF1E93">
      <w:pPr>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[2] – Section 13 (Part 6, Division 1)</w:t>
      </w:r>
    </w:p>
    <w:p w14:paraId="18C6DF02" w14:textId="6A87AD6D" w:rsidR="00FF1E93" w:rsidRDefault="00FF1E93">
      <w:pPr>
        <w:rPr>
          <w:rFonts w:ascii="Times New Roman" w:hAnsi="Times New Roman" w:cs="Times New Roman"/>
          <w:sz w:val="24"/>
          <w:szCs w:val="24"/>
        </w:rPr>
      </w:pPr>
      <w:r w:rsidRPr="009B4764">
        <w:rPr>
          <w:rFonts w:ascii="Times New Roman" w:hAnsi="Times New Roman" w:cs="Times New Roman"/>
          <w:sz w:val="24"/>
          <w:szCs w:val="24"/>
        </w:rPr>
        <w:t xml:space="preserve">This item </w:t>
      </w:r>
      <w:r>
        <w:rPr>
          <w:rFonts w:ascii="Times New Roman" w:hAnsi="Times New Roman" w:cs="Times New Roman"/>
          <w:sz w:val="24"/>
          <w:szCs w:val="24"/>
        </w:rPr>
        <w:t>inserts a</w:t>
      </w:r>
      <w:r w:rsidRPr="009B4764">
        <w:rPr>
          <w:rFonts w:ascii="Times New Roman" w:hAnsi="Times New Roman" w:cs="Times New Roman"/>
          <w:sz w:val="24"/>
          <w:szCs w:val="24"/>
        </w:rPr>
        <w:t xml:space="preserve"> transitional </w:t>
      </w:r>
      <w:r>
        <w:rPr>
          <w:rFonts w:ascii="Times New Roman" w:hAnsi="Times New Roman" w:cs="Times New Roman"/>
          <w:sz w:val="24"/>
          <w:szCs w:val="24"/>
        </w:rPr>
        <w:t>provision in the Principal Regulations. New section 13 establishes a transitional period</w:t>
      </w:r>
      <w:r w:rsidRPr="009B4764">
        <w:rPr>
          <w:rFonts w:ascii="Times New Roman" w:hAnsi="Times New Roman" w:cs="Times New Roman"/>
          <w:sz w:val="24"/>
          <w:szCs w:val="24"/>
        </w:rPr>
        <w:t xml:space="preserve"> between 1 July 2024 and 1 July 2025 during which funding rules made before the commencement of the Amendment Bill and</w:t>
      </w:r>
      <w:r>
        <w:rPr>
          <w:rFonts w:ascii="Times New Roman" w:hAnsi="Times New Roman" w:cs="Times New Roman"/>
          <w:sz w:val="24"/>
          <w:szCs w:val="24"/>
        </w:rPr>
        <w:t xml:space="preserve"> instruments which vary </w:t>
      </w:r>
      <w:r w:rsidR="006E5B8D">
        <w:rPr>
          <w:rFonts w:ascii="Times New Roman" w:hAnsi="Times New Roman" w:cs="Times New Roman"/>
          <w:sz w:val="24"/>
          <w:szCs w:val="24"/>
        </w:rPr>
        <w:t xml:space="preserve">these </w:t>
      </w:r>
      <w:r>
        <w:rPr>
          <w:rFonts w:ascii="Times New Roman" w:hAnsi="Times New Roman" w:cs="Times New Roman"/>
          <w:sz w:val="24"/>
          <w:szCs w:val="24"/>
        </w:rPr>
        <w:t>existing funding rules</w:t>
      </w:r>
      <w:r w:rsidRPr="009B4764">
        <w:rPr>
          <w:rFonts w:ascii="Times New Roman" w:hAnsi="Times New Roman" w:cs="Times New Roman"/>
          <w:sz w:val="24"/>
          <w:szCs w:val="24"/>
        </w:rPr>
        <w:t xml:space="preserve"> will be subject to the existing provisions of the </w:t>
      </w:r>
      <w:r w:rsidR="00152610">
        <w:rPr>
          <w:rFonts w:ascii="Times New Roman" w:hAnsi="Times New Roman" w:cs="Times New Roman"/>
          <w:sz w:val="24"/>
          <w:szCs w:val="24"/>
        </w:rPr>
        <w:t>Principal Regulations</w:t>
      </w:r>
      <w:r w:rsidRPr="009B4764">
        <w:rPr>
          <w:rFonts w:ascii="Times New Roman" w:hAnsi="Times New Roman" w:cs="Times New Roman"/>
          <w:sz w:val="24"/>
          <w:szCs w:val="24"/>
        </w:rPr>
        <w:t xml:space="preserve"> as in force immediately before 1 July 2024, and </w:t>
      </w:r>
      <w:r w:rsidR="00152610">
        <w:rPr>
          <w:rFonts w:ascii="Times New Roman" w:hAnsi="Times New Roman" w:cs="Times New Roman"/>
          <w:sz w:val="24"/>
          <w:szCs w:val="24"/>
        </w:rPr>
        <w:t xml:space="preserve">therefore </w:t>
      </w:r>
      <w:r w:rsidRPr="009B4764">
        <w:rPr>
          <w:rFonts w:ascii="Times New Roman" w:hAnsi="Times New Roman" w:cs="Times New Roman"/>
          <w:sz w:val="24"/>
          <w:szCs w:val="24"/>
        </w:rPr>
        <w:t xml:space="preserve">will remain exempt from disallowance. </w:t>
      </w:r>
      <w:r>
        <w:rPr>
          <w:rFonts w:ascii="Times New Roman" w:hAnsi="Times New Roman" w:cs="Times New Roman"/>
          <w:sz w:val="24"/>
          <w:szCs w:val="24"/>
        </w:rPr>
        <w:t>New section 13 reflect</w:t>
      </w:r>
      <w:r w:rsidR="00152610">
        <w:rPr>
          <w:rFonts w:ascii="Times New Roman" w:hAnsi="Times New Roman" w:cs="Times New Roman"/>
          <w:sz w:val="24"/>
          <w:szCs w:val="24"/>
        </w:rPr>
        <w:t>s</w:t>
      </w:r>
      <w:r>
        <w:rPr>
          <w:rFonts w:ascii="Times New Roman" w:hAnsi="Times New Roman" w:cs="Times New Roman"/>
          <w:sz w:val="24"/>
          <w:szCs w:val="24"/>
        </w:rPr>
        <w:t xml:space="preserve"> the transitional provisions under items 15 and 16 of Schedule 3 to the Amendment Bill. Items 15 and 16 establish a transitional period during which</w:t>
      </w:r>
      <w:r w:rsidRPr="00FB37F0">
        <w:rPr>
          <w:rFonts w:ascii="Times New Roman" w:hAnsi="Times New Roman" w:cs="Times New Roman"/>
          <w:sz w:val="24"/>
          <w:szCs w:val="24"/>
        </w:rPr>
        <w:t xml:space="preserve"> the </w:t>
      </w:r>
      <w:r>
        <w:rPr>
          <w:rFonts w:ascii="Times New Roman" w:hAnsi="Times New Roman" w:cs="Times New Roman"/>
          <w:sz w:val="24"/>
          <w:szCs w:val="24"/>
        </w:rPr>
        <w:t>provisions of the ARC Act</w:t>
      </w:r>
      <w:r w:rsidRPr="00FB37F0">
        <w:rPr>
          <w:rFonts w:ascii="Times New Roman" w:hAnsi="Times New Roman" w:cs="Times New Roman"/>
          <w:sz w:val="24"/>
          <w:szCs w:val="24"/>
        </w:rPr>
        <w:t xml:space="preserve"> that would have applied before </w:t>
      </w:r>
      <w:r>
        <w:rPr>
          <w:rFonts w:ascii="Times New Roman" w:hAnsi="Times New Roman" w:cs="Times New Roman"/>
          <w:sz w:val="24"/>
          <w:szCs w:val="24"/>
        </w:rPr>
        <w:t xml:space="preserve">the commencement of the Amendment Bill </w:t>
      </w:r>
      <w:r w:rsidRPr="00FB37F0">
        <w:rPr>
          <w:rFonts w:ascii="Times New Roman" w:hAnsi="Times New Roman" w:cs="Times New Roman"/>
          <w:sz w:val="24"/>
          <w:szCs w:val="24"/>
        </w:rPr>
        <w:t>(</w:t>
      </w:r>
      <w:r>
        <w:rPr>
          <w:rFonts w:ascii="Times New Roman" w:hAnsi="Times New Roman" w:cs="Times New Roman"/>
          <w:sz w:val="24"/>
          <w:szCs w:val="24"/>
        </w:rPr>
        <w:t>including approved funding rules</w:t>
      </w:r>
      <w:r w:rsidRPr="00FB37F0">
        <w:rPr>
          <w:rFonts w:ascii="Times New Roman" w:hAnsi="Times New Roman" w:cs="Times New Roman"/>
          <w:sz w:val="24"/>
          <w:szCs w:val="24"/>
        </w:rPr>
        <w:t>)</w:t>
      </w:r>
      <w:r>
        <w:rPr>
          <w:rFonts w:ascii="Times New Roman" w:hAnsi="Times New Roman" w:cs="Times New Roman"/>
          <w:sz w:val="24"/>
          <w:szCs w:val="24"/>
        </w:rPr>
        <w:t xml:space="preserve"> </w:t>
      </w:r>
      <w:r w:rsidRPr="00FB37F0">
        <w:rPr>
          <w:rFonts w:ascii="Times New Roman" w:hAnsi="Times New Roman" w:cs="Times New Roman"/>
          <w:sz w:val="24"/>
          <w:szCs w:val="24"/>
        </w:rPr>
        <w:t xml:space="preserve">will continue to apply to </w:t>
      </w:r>
      <w:r w:rsidR="00152610">
        <w:rPr>
          <w:rFonts w:ascii="Times New Roman" w:hAnsi="Times New Roman" w:cs="Times New Roman"/>
          <w:sz w:val="24"/>
          <w:szCs w:val="24"/>
        </w:rPr>
        <w:t xml:space="preserve">grants that have been approved and are in progress, and grants that have yet to be approved but the relevant organisation has </w:t>
      </w:r>
      <w:proofErr w:type="gramStart"/>
      <w:r w:rsidR="00152610">
        <w:rPr>
          <w:rFonts w:ascii="Times New Roman" w:hAnsi="Times New Roman" w:cs="Times New Roman"/>
          <w:sz w:val="24"/>
          <w:szCs w:val="24"/>
        </w:rPr>
        <w:t>submitted an application</w:t>
      </w:r>
      <w:proofErr w:type="gramEnd"/>
      <w:r w:rsidR="00152610">
        <w:rPr>
          <w:rFonts w:ascii="Times New Roman" w:hAnsi="Times New Roman" w:cs="Times New Roman"/>
          <w:sz w:val="24"/>
          <w:szCs w:val="24"/>
        </w:rPr>
        <w:t xml:space="preserve"> for such a grant prior to 1 July 2024. C</w:t>
      </w:r>
      <w:r w:rsidR="00152610" w:rsidRPr="00333BF0">
        <w:rPr>
          <w:rFonts w:ascii="Times New Roman" w:hAnsi="Times New Roman" w:cs="Times New Roman"/>
          <w:sz w:val="24"/>
          <w:szCs w:val="24"/>
        </w:rPr>
        <w:t xml:space="preserve">ontinuing to exempt the variations of these funding rules until </w:t>
      </w:r>
      <w:r w:rsidR="00152610">
        <w:rPr>
          <w:rFonts w:ascii="Times New Roman" w:hAnsi="Times New Roman" w:cs="Times New Roman"/>
          <w:sz w:val="24"/>
          <w:szCs w:val="24"/>
        </w:rPr>
        <w:t>1 July 2025</w:t>
      </w:r>
      <w:r w:rsidR="00152610" w:rsidRPr="00333BF0">
        <w:rPr>
          <w:rFonts w:ascii="Times New Roman" w:hAnsi="Times New Roman" w:cs="Times New Roman"/>
          <w:sz w:val="24"/>
          <w:szCs w:val="24"/>
        </w:rPr>
        <w:t xml:space="preserve"> </w:t>
      </w:r>
      <w:r w:rsidR="00152610">
        <w:rPr>
          <w:rFonts w:ascii="Times New Roman" w:hAnsi="Times New Roman" w:cs="Times New Roman"/>
          <w:sz w:val="24"/>
          <w:szCs w:val="24"/>
        </w:rPr>
        <w:t>is necessary to provide</w:t>
      </w:r>
      <w:r w:rsidR="00152610" w:rsidRPr="00333BF0">
        <w:rPr>
          <w:rFonts w:ascii="Times New Roman" w:hAnsi="Times New Roman" w:cs="Times New Roman"/>
          <w:sz w:val="24"/>
          <w:szCs w:val="24"/>
        </w:rPr>
        <w:t xml:space="preserve"> certainty </w:t>
      </w:r>
      <w:r w:rsidR="00152610">
        <w:rPr>
          <w:rFonts w:ascii="Times New Roman" w:hAnsi="Times New Roman" w:cs="Times New Roman"/>
          <w:sz w:val="24"/>
          <w:szCs w:val="24"/>
        </w:rPr>
        <w:t>for</w:t>
      </w:r>
      <w:r w:rsidR="00152610" w:rsidRPr="00333BF0">
        <w:rPr>
          <w:rFonts w:ascii="Times New Roman" w:hAnsi="Times New Roman" w:cs="Times New Roman"/>
          <w:sz w:val="24"/>
          <w:szCs w:val="24"/>
        </w:rPr>
        <w:t xml:space="preserve"> grant processes underway during this period.</w:t>
      </w:r>
    </w:p>
    <w:p w14:paraId="20660CDF" w14:textId="77777777" w:rsidR="00FF1E93" w:rsidRDefault="00FF1E93">
      <w:pPr>
        <w:rPr>
          <w:rFonts w:ascii="Times New Roman" w:hAnsi="Times New Roman" w:cs="Times New Roman"/>
          <w:sz w:val="24"/>
          <w:szCs w:val="24"/>
        </w:rPr>
      </w:pPr>
      <w:r>
        <w:rPr>
          <w:rFonts w:ascii="Times New Roman" w:hAnsi="Times New Roman" w:cs="Times New Roman"/>
          <w:sz w:val="24"/>
          <w:szCs w:val="24"/>
        </w:rPr>
        <w:t xml:space="preserve">Section 13 provides that the repeal of the disallowance exemption does not apply in relation to a legislative instrument (including a legislative instrument varying a set of rules) if the </w:t>
      </w:r>
      <w:r>
        <w:rPr>
          <w:rFonts w:ascii="Times New Roman" w:hAnsi="Times New Roman" w:cs="Times New Roman"/>
          <w:sz w:val="24"/>
          <w:szCs w:val="24"/>
        </w:rPr>
        <w:lastRenderedPageBreak/>
        <w:t>legislative instrument is made before 1 July 2024 under old Division 1, or between 1 July 2024 and 30 June 2025 under transitional Division 1.</w:t>
      </w:r>
    </w:p>
    <w:p w14:paraId="060882E2" w14:textId="77777777" w:rsidR="00FF1E93" w:rsidRDefault="00FF1E93">
      <w:pPr>
        <w:rPr>
          <w:rFonts w:ascii="Times New Roman" w:hAnsi="Times New Roman" w:cs="Times New Roman"/>
          <w:sz w:val="24"/>
          <w:szCs w:val="24"/>
        </w:rPr>
      </w:pPr>
      <w:r>
        <w:rPr>
          <w:rFonts w:ascii="Times New Roman" w:hAnsi="Times New Roman" w:cs="Times New Roman"/>
          <w:sz w:val="24"/>
          <w:szCs w:val="24"/>
        </w:rPr>
        <w:t>‘O</w:t>
      </w:r>
      <w:r w:rsidRPr="005325F5">
        <w:rPr>
          <w:rFonts w:ascii="Times New Roman" w:hAnsi="Times New Roman" w:cs="Times New Roman"/>
          <w:sz w:val="24"/>
          <w:szCs w:val="24"/>
        </w:rPr>
        <w:t>ld Division 1</w:t>
      </w:r>
      <w:r>
        <w:rPr>
          <w:rFonts w:ascii="Times New Roman" w:hAnsi="Times New Roman" w:cs="Times New Roman"/>
          <w:sz w:val="24"/>
          <w:szCs w:val="24"/>
        </w:rPr>
        <w:t>’</w:t>
      </w:r>
      <w:r w:rsidRPr="005325F5">
        <w:rPr>
          <w:rFonts w:ascii="Times New Roman" w:hAnsi="Times New Roman" w:cs="Times New Roman"/>
          <w:sz w:val="24"/>
          <w:szCs w:val="24"/>
        </w:rPr>
        <w:t xml:space="preserve"> </w:t>
      </w:r>
      <w:r>
        <w:rPr>
          <w:rFonts w:ascii="Times New Roman" w:hAnsi="Times New Roman" w:cs="Times New Roman"/>
          <w:sz w:val="24"/>
          <w:szCs w:val="24"/>
        </w:rPr>
        <w:t>refers to</w:t>
      </w:r>
      <w:r w:rsidRPr="005325F5">
        <w:rPr>
          <w:rFonts w:ascii="Times New Roman" w:hAnsi="Times New Roman" w:cs="Times New Roman"/>
          <w:sz w:val="24"/>
          <w:szCs w:val="24"/>
        </w:rPr>
        <w:t xml:space="preserve"> </w:t>
      </w:r>
      <w:r>
        <w:rPr>
          <w:rFonts w:ascii="Times New Roman" w:hAnsi="Times New Roman" w:cs="Times New Roman"/>
          <w:sz w:val="24"/>
          <w:szCs w:val="24"/>
        </w:rPr>
        <w:t>the funding arrangements provisions</w:t>
      </w:r>
      <w:r w:rsidRPr="005325F5">
        <w:rPr>
          <w:rFonts w:ascii="Times New Roman" w:hAnsi="Times New Roman" w:cs="Times New Roman"/>
          <w:sz w:val="24"/>
          <w:szCs w:val="24"/>
        </w:rPr>
        <w:t xml:space="preserve"> of the </w:t>
      </w:r>
      <w:r>
        <w:rPr>
          <w:rFonts w:ascii="Times New Roman" w:hAnsi="Times New Roman" w:cs="Times New Roman"/>
          <w:sz w:val="24"/>
          <w:szCs w:val="24"/>
        </w:rPr>
        <w:t>ARC Act</w:t>
      </w:r>
      <w:r w:rsidRPr="005325F5">
        <w:rPr>
          <w:rFonts w:ascii="Times New Roman" w:hAnsi="Times New Roman" w:cs="Times New Roman"/>
          <w:sz w:val="24"/>
          <w:szCs w:val="24"/>
        </w:rPr>
        <w:t>, as in force before 1 July 2024.</w:t>
      </w:r>
      <w:r>
        <w:rPr>
          <w:rFonts w:ascii="Times New Roman" w:hAnsi="Times New Roman" w:cs="Times New Roman"/>
          <w:sz w:val="24"/>
          <w:szCs w:val="24"/>
        </w:rPr>
        <w:t xml:space="preserve"> </w:t>
      </w:r>
    </w:p>
    <w:p w14:paraId="0F91D09A" w14:textId="77777777" w:rsidR="00FF1E93" w:rsidRDefault="00FF1E93">
      <w:pPr>
        <w:rPr>
          <w:rFonts w:ascii="Times New Roman" w:hAnsi="Times New Roman" w:cs="Times New Roman"/>
          <w:sz w:val="24"/>
          <w:szCs w:val="24"/>
        </w:rPr>
      </w:pPr>
      <w:r>
        <w:rPr>
          <w:rFonts w:ascii="Times New Roman" w:hAnsi="Times New Roman" w:cs="Times New Roman"/>
          <w:sz w:val="24"/>
          <w:szCs w:val="24"/>
        </w:rPr>
        <w:t xml:space="preserve">‘Transitional Division 1’ refers to the funding arrangements provisions of the ARC Act, as in force before 1 July 2024, and as continuing to apply during the transitional period under items 15 and 16 of Schedule 3 to the Amendment Bill.  </w:t>
      </w:r>
    </w:p>
    <w:p w14:paraId="5EB7DD70" w14:textId="77777777" w:rsidR="00152610" w:rsidRPr="00126DDE" w:rsidRDefault="00152610" w:rsidP="00F04E76">
      <w:pPr>
        <w:spacing w:after="0"/>
        <w:rPr>
          <w:rFonts w:ascii="Times New Roman" w:hAnsi="Times New Roman" w:cs="Times New Roman"/>
          <w:sz w:val="24"/>
          <w:szCs w:val="24"/>
        </w:rPr>
      </w:pPr>
      <w:r w:rsidRPr="00126DDE">
        <w:rPr>
          <w:rFonts w:ascii="Times New Roman" w:hAnsi="Times New Roman" w:cs="Times New Roman"/>
          <w:sz w:val="24"/>
          <w:szCs w:val="24"/>
        </w:rPr>
        <w:t xml:space="preserve">From 1 July 2025, the transitional period will be complete and all funding rules, and instruments that vary existing funding rules, that will guide the ARC in administering grants will be subject to disallowance. Therefore, the exemption from disallowance for funding rules made before 1 July 2024, and variations made before 1 July 2025 of existing funding rules, </w:t>
      </w:r>
      <w:r>
        <w:rPr>
          <w:rFonts w:ascii="Times New Roman" w:hAnsi="Times New Roman" w:cs="Times New Roman"/>
          <w:sz w:val="24"/>
          <w:szCs w:val="24"/>
        </w:rPr>
        <w:t>would</w:t>
      </w:r>
      <w:r w:rsidRPr="00126DDE">
        <w:rPr>
          <w:rFonts w:ascii="Times New Roman" w:hAnsi="Times New Roman" w:cs="Times New Roman"/>
          <w:sz w:val="24"/>
          <w:szCs w:val="24"/>
        </w:rPr>
        <w:t xml:space="preserve"> only apply to a limited number of instruments and for a limited period.</w:t>
      </w:r>
    </w:p>
    <w:p w14:paraId="4EB70DC5" w14:textId="77777777" w:rsidR="00152610" w:rsidRPr="00126DDE" w:rsidRDefault="00152610" w:rsidP="00F04E76">
      <w:pPr>
        <w:spacing w:after="0"/>
        <w:rPr>
          <w:rFonts w:ascii="Times New Roman" w:hAnsi="Times New Roman" w:cs="Times New Roman"/>
          <w:sz w:val="24"/>
          <w:szCs w:val="24"/>
        </w:rPr>
      </w:pPr>
      <w:r w:rsidRPr="00126DDE">
        <w:rPr>
          <w:rFonts w:ascii="Times New Roman" w:hAnsi="Times New Roman" w:cs="Times New Roman"/>
          <w:sz w:val="24"/>
          <w:szCs w:val="24"/>
        </w:rPr>
        <w:t xml:space="preserve"> </w:t>
      </w:r>
    </w:p>
    <w:p w14:paraId="67F936CA" w14:textId="32BD26A5" w:rsidR="00152610" w:rsidRDefault="00152610" w:rsidP="00F04E76">
      <w:pPr>
        <w:spacing w:after="0"/>
        <w:rPr>
          <w:rFonts w:ascii="Times New Roman" w:hAnsi="Times New Roman" w:cs="Times New Roman"/>
          <w:sz w:val="24"/>
          <w:szCs w:val="24"/>
        </w:rPr>
      </w:pPr>
      <w:r w:rsidRPr="00126DDE">
        <w:rPr>
          <w:rFonts w:ascii="Times New Roman" w:hAnsi="Times New Roman" w:cs="Times New Roman"/>
          <w:sz w:val="24"/>
          <w:szCs w:val="24"/>
        </w:rPr>
        <w:t xml:space="preserve">Any new funding rules made from 1 July 2024, and any variations of these new funding rules, will be disallowable as </w:t>
      </w:r>
      <w:r w:rsidR="00CE4872">
        <w:rPr>
          <w:rFonts w:ascii="Times New Roman" w:hAnsi="Times New Roman" w:cs="Times New Roman"/>
          <w:sz w:val="24"/>
          <w:szCs w:val="24"/>
        </w:rPr>
        <w:t>reflected</w:t>
      </w:r>
      <w:r w:rsidRPr="00126DDE">
        <w:rPr>
          <w:rFonts w:ascii="Times New Roman" w:hAnsi="Times New Roman" w:cs="Times New Roman"/>
          <w:sz w:val="24"/>
          <w:szCs w:val="24"/>
        </w:rPr>
        <w:t xml:space="preserve"> in the Amendment </w:t>
      </w:r>
      <w:r w:rsidR="005824D7">
        <w:rPr>
          <w:rFonts w:ascii="Times New Roman" w:hAnsi="Times New Roman" w:cs="Times New Roman"/>
          <w:sz w:val="24"/>
          <w:szCs w:val="24"/>
        </w:rPr>
        <w:t>Bill</w:t>
      </w:r>
      <w:r w:rsidRPr="00126DDE">
        <w:rPr>
          <w:rFonts w:ascii="Times New Roman" w:hAnsi="Times New Roman" w:cs="Times New Roman"/>
          <w:sz w:val="24"/>
          <w:szCs w:val="24"/>
        </w:rPr>
        <w:t>.</w:t>
      </w:r>
    </w:p>
    <w:p w14:paraId="41D2CE65" w14:textId="77777777" w:rsidR="00FF1E93" w:rsidRPr="008F6EA8" w:rsidRDefault="00FF1E93" w:rsidP="00F04E76">
      <w:pPr>
        <w:spacing w:after="0"/>
        <w:rPr>
          <w:rFonts w:ascii="Times New Roman" w:hAnsi="Times New Roman" w:cs="Times New Roman"/>
          <w:sz w:val="24"/>
          <w:szCs w:val="24"/>
        </w:rPr>
      </w:pPr>
    </w:p>
    <w:p w14:paraId="0FB482DC" w14:textId="77777777" w:rsidR="00152610" w:rsidRPr="00152610" w:rsidRDefault="00152610" w:rsidP="00F04E76">
      <w:pPr>
        <w:spacing w:after="0"/>
        <w:rPr>
          <w:rFonts w:ascii="Times New Roman" w:hAnsi="Times New Roman" w:cs="Times New Roman"/>
          <w:b/>
          <w:sz w:val="24"/>
          <w:szCs w:val="24"/>
          <w:u w:val="single"/>
        </w:rPr>
      </w:pPr>
      <w:r w:rsidRPr="00152610">
        <w:rPr>
          <w:rFonts w:ascii="Times New Roman" w:hAnsi="Times New Roman" w:cs="Times New Roman"/>
          <w:b/>
          <w:sz w:val="24"/>
          <w:szCs w:val="24"/>
          <w:u w:val="single"/>
        </w:rPr>
        <w:t xml:space="preserve">Part 2 – Amendments relating to regulations made under the </w:t>
      </w:r>
      <w:r w:rsidRPr="00152610">
        <w:rPr>
          <w:rFonts w:ascii="Times New Roman" w:hAnsi="Times New Roman" w:cs="Times New Roman"/>
          <w:b/>
          <w:i/>
          <w:sz w:val="24"/>
          <w:szCs w:val="24"/>
          <w:u w:val="single"/>
        </w:rPr>
        <w:t>Air Navigation Act 1920</w:t>
      </w:r>
    </w:p>
    <w:p w14:paraId="3552F347" w14:textId="77777777" w:rsidR="00152610" w:rsidRDefault="00152610" w:rsidP="00F04E76">
      <w:pPr>
        <w:spacing w:after="0"/>
        <w:rPr>
          <w:rFonts w:ascii="Times New Roman" w:hAnsi="Times New Roman" w:cs="Times New Roman"/>
          <w:sz w:val="24"/>
          <w:szCs w:val="24"/>
        </w:rPr>
      </w:pPr>
    </w:p>
    <w:p w14:paraId="1B0CEE18" w14:textId="6AD29CC9" w:rsidR="00152610" w:rsidRPr="00BE1997" w:rsidRDefault="00152610" w:rsidP="00F04E76">
      <w:pPr>
        <w:spacing w:after="0"/>
        <w:rPr>
          <w:rFonts w:ascii="Times New Roman" w:hAnsi="Times New Roman" w:cs="Times New Roman"/>
          <w:sz w:val="24"/>
          <w:szCs w:val="24"/>
        </w:rPr>
      </w:pPr>
      <w:r>
        <w:rPr>
          <w:rFonts w:ascii="Times New Roman" w:hAnsi="Times New Roman" w:cs="Times New Roman"/>
          <w:sz w:val="24"/>
          <w:szCs w:val="24"/>
        </w:rPr>
        <w:t>This Part</w:t>
      </w:r>
      <w:r w:rsidRPr="00BE1997">
        <w:rPr>
          <w:rFonts w:ascii="Times New Roman" w:hAnsi="Times New Roman" w:cs="Times New Roman"/>
          <w:sz w:val="24"/>
          <w:szCs w:val="24"/>
        </w:rPr>
        <w:t xml:space="preserve"> </w:t>
      </w:r>
      <w:r>
        <w:rPr>
          <w:rFonts w:ascii="Times New Roman" w:hAnsi="Times New Roman" w:cs="Times New Roman"/>
          <w:sz w:val="24"/>
          <w:szCs w:val="24"/>
        </w:rPr>
        <w:t>amends section 12 of the Principal Regulations to insert a new exemption from sunsetting.</w:t>
      </w:r>
    </w:p>
    <w:p w14:paraId="7E9405EE" w14:textId="77777777" w:rsidR="00152610" w:rsidRDefault="00152610" w:rsidP="0077226A">
      <w:pPr>
        <w:keepNext/>
        <w:tabs>
          <w:tab w:val="right" w:pos="8931"/>
        </w:tabs>
        <w:spacing w:after="0"/>
        <w:ind w:right="91"/>
        <w:rPr>
          <w:rFonts w:ascii="Times New Roman" w:eastAsia="Times New Roman" w:hAnsi="Times New Roman" w:cs="Times New Roman"/>
          <w:b/>
          <w:sz w:val="24"/>
          <w:lang w:eastAsia="en-AU"/>
        </w:rPr>
      </w:pPr>
    </w:p>
    <w:p w14:paraId="5D2410F8" w14:textId="6BC8F47E" w:rsidR="00BA2C23" w:rsidRDefault="00BA2C23" w:rsidP="00B82B65">
      <w:pPr>
        <w:keepNext/>
        <w:tabs>
          <w:tab w:val="right" w:pos="8931"/>
        </w:tabs>
        <w:spacing w:after="0"/>
        <w:ind w:right="91"/>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w:t>
      </w:r>
      <w:r w:rsidR="00FF1E93">
        <w:rPr>
          <w:rFonts w:ascii="Times New Roman" w:eastAsia="Times New Roman" w:hAnsi="Times New Roman" w:cs="Times New Roman"/>
          <w:b/>
          <w:sz w:val="24"/>
          <w:lang w:eastAsia="en-AU"/>
        </w:rPr>
        <w:t>3</w:t>
      </w:r>
      <w:r>
        <w:rPr>
          <w:rFonts w:ascii="Times New Roman" w:eastAsia="Times New Roman" w:hAnsi="Times New Roman" w:cs="Times New Roman"/>
          <w:b/>
          <w:sz w:val="24"/>
          <w:lang w:eastAsia="en-AU"/>
        </w:rPr>
        <w:t>] – Section 12 (after table item 3)</w:t>
      </w:r>
    </w:p>
    <w:p w14:paraId="4BABE730" w14:textId="77777777" w:rsidR="00BA2C23" w:rsidRDefault="00BA2C23">
      <w:pPr>
        <w:keepNext/>
        <w:tabs>
          <w:tab w:val="right" w:pos="8931"/>
        </w:tabs>
        <w:spacing w:after="0"/>
        <w:ind w:right="91"/>
        <w:rPr>
          <w:rFonts w:ascii="Times New Roman" w:eastAsia="Times New Roman" w:hAnsi="Times New Roman" w:cs="Times New Roman"/>
          <w:sz w:val="24"/>
          <w:lang w:eastAsia="en-AU"/>
        </w:rPr>
      </w:pPr>
    </w:p>
    <w:p w14:paraId="1CD10843" w14:textId="519542C5" w:rsidR="00BA2C23" w:rsidRDefault="00BA2C23">
      <w:pPr>
        <w:spacing w:after="0"/>
        <w:rPr>
          <w:rFonts w:ascii="Times New Roman" w:hAnsi="Times New Roman" w:cs="Times New Roman"/>
          <w:i/>
          <w:sz w:val="24"/>
          <w:szCs w:val="24"/>
        </w:rPr>
      </w:pPr>
      <w:r>
        <w:rPr>
          <w:rFonts w:ascii="Times New Roman" w:eastAsia="Times New Roman" w:hAnsi="Times New Roman" w:cs="Times New Roman"/>
          <w:sz w:val="24"/>
          <w:lang w:eastAsia="en-AU"/>
        </w:rPr>
        <w:t xml:space="preserve">This item inserts a new sunsetting exemption (item 3A) </w:t>
      </w:r>
      <w:r>
        <w:rPr>
          <w:rFonts w:ascii="Times New Roman" w:eastAsia="Calibri" w:hAnsi="Times New Roman" w:cs="Times New Roman"/>
          <w:sz w:val="24"/>
          <w:szCs w:val="24"/>
          <w:lang w:eastAsia="en-AU"/>
        </w:rPr>
        <w:t xml:space="preserve">in section 12 of the Principal Regulations. New item 3A provides an exemption from sunsetting for the </w:t>
      </w:r>
      <w:r>
        <w:rPr>
          <w:rFonts w:ascii="Times New Roman" w:hAnsi="Times New Roman" w:cs="Times New Roman"/>
          <w:i/>
          <w:sz w:val="24"/>
          <w:szCs w:val="24"/>
        </w:rPr>
        <w:t>Air Navigation (Aircraft Engine Emissions) Regulations</w:t>
      </w:r>
      <w:r w:rsidR="0079373B">
        <w:rPr>
          <w:rFonts w:ascii="Times New Roman" w:hAnsi="Times New Roman" w:cs="Times New Roman"/>
          <w:i/>
          <w:sz w:val="24"/>
          <w:szCs w:val="24"/>
        </w:rPr>
        <w:t xml:space="preserve"> </w:t>
      </w:r>
      <w:r>
        <w:rPr>
          <w:rFonts w:ascii="Times New Roman" w:hAnsi="Times New Roman" w:cs="Times New Roman"/>
          <w:sz w:val="24"/>
          <w:szCs w:val="24"/>
        </w:rPr>
        <w:t xml:space="preserve">and the </w:t>
      </w:r>
      <w:r>
        <w:rPr>
          <w:rFonts w:ascii="Times New Roman" w:hAnsi="Times New Roman" w:cs="Times New Roman"/>
          <w:i/>
          <w:sz w:val="24"/>
          <w:szCs w:val="24"/>
        </w:rPr>
        <w:t>Air Navigation (Aircraft Noise) Regulations 2018.</w:t>
      </w:r>
    </w:p>
    <w:p w14:paraId="1A36B46E" w14:textId="77777777" w:rsidR="00BA2C23" w:rsidRDefault="00BA2C23">
      <w:pPr>
        <w:spacing w:after="0"/>
        <w:rPr>
          <w:rFonts w:ascii="Times New Roman" w:hAnsi="Times New Roman" w:cs="Times New Roman"/>
          <w:spacing w:val="-2"/>
          <w:sz w:val="24"/>
          <w:szCs w:val="24"/>
        </w:rPr>
      </w:pPr>
    </w:p>
    <w:p w14:paraId="3FB49B61" w14:textId="77777777" w:rsidR="00BA2C23" w:rsidRDefault="00BA2C23">
      <w:pPr>
        <w:tabs>
          <w:tab w:val="right" w:pos="8931"/>
        </w:tabs>
        <w:spacing w:after="0"/>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For the purposes of paragraph 54(2)(b) of the Legislation Act, section 12 of the Principal Regulations provides that instruments contained in the table to that section are not subject to sunsetting.</w:t>
      </w:r>
    </w:p>
    <w:p w14:paraId="0EB9B3A7" w14:textId="77777777" w:rsidR="00BA2C23" w:rsidRDefault="00BA2C23">
      <w:pPr>
        <w:tabs>
          <w:tab w:val="right" w:pos="8931"/>
        </w:tabs>
        <w:spacing w:after="0"/>
        <w:ind w:right="91"/>
        <w:rPr>
          <w:rFonts w:ascii="Times New Roman" w:eastAsia="Times New Roman" w:hAnsi="Times New Roman" w:cs="Times New Roman"/>
          <w:sz w:val="24"/>
          <w:lang w:eastAsia="en-AU"/>
        </w:rPr>
      </w:pPr>
    </w:p>
    <w:p w14:paraId="052DD83A" w14:textId="122B16E5" w:rsidR="00BA2C23" w:rsidRDefault="00BA2C23">
      <w:pPr>
        <w:spacing w:after="0"/>
        <w:ind w:right="91"/>
        <w:rPr>
          <w:rFonts w:ascii="Times New Roman" w:eastAsia="Times New Roman" w:hAnsi="Times New Roman" w:cs="Times New Roman"/>
          <w:sz w:val="24"/>
          <w:lang w:eastAsia="en-AU"/>
        </w:rPr>
      </w:pPr>
      <w:r>
        <w:rPr>
          <w:rFonts w:ascii="Times New Roman" w:eastAsia="Calibri" w:hAnsi="Times New Roman" w:cs="Times New Roman"/>
          <w:sz w:val="24"/>
          <w:szCs w:val="24"/>
          <w:lang w:eastAsia="en-AU"/>
        </w:rPr>
        <w:t>Pursuant to the policy criteria provided for in the Attorney</w:t>
      </w:r>
      <w:r>
        <w:rPr>
          <w:rFonts w:ascii="Times New Roman" w:eastAsia="Calibri" w:hAnsi="Times New Roman" w:cs="Times New Roman"/>
          <w:sz w:val="24"/>
          <w:szCs w:val="24"/>
          <w:lang w:eastAsia="en-AU"/>
        </w:rPr>
        <w:noBreakHyphen/>
        <w:t xml:space="preserve">General’s Department’s </w:t>
      </w:r>
      <w:r>
        <w:rPr>
          <w:rFonts w:ascii="Times New Roman" w:eastAsia="Calibri" w:hAnsi="Times New Roman" w:cs="Times New Roman"/>
          <w:i/>
          <w:sz w:val="24"/>
          <w:szCs w:val="24"/>
          <w:lang w:eastAsia="en-AU"/>
        </w:rPr>
        <w:t xml:space="preserve">Guide to managing sunsetting of legislative instruments, </w:t>
      </w:r>
      <w:r>
        <w:rPr>
          <w:rFonts w:ascii="Times New Roman" w:eastAsia="Calibri" w:hAnsi="Times New Roman" w:cs="Times New Roman"/>
          <w:sz w:val="24"/>
          <w:szCs w:val="24"/>
          <w:lang w:eastAsia="en-AU"/>
        </w:rPr>
        <w:t>the</w:t>
      </w:r>
      <w:r>
        <w:rPr>
          <w:rFonts w:ascii="Times New Roman" w:eastAsia="Times New Roman" w:hAnsi="Times New Roman" w:cs="Times New Roman"/>
          <w:sz w:val="24"/>
          <w:lang w:eastAsia="en-AU"/>
        </w:rPr>
        <w:t xml:space="preserve"> exemption is appropriate as the instruments are part of an intergovernmental scheme, as outlined in more detail above, at page</w:t>
      </w:r>
      <w:r w:rsidR="00CE4872">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3</w:t>
      </w:r>
      <w:r w:rsidR="00CE4872">
        <w:rPr>
          <w:rFonts w:ascii="Times New Roman" w:eastAsia="Times New Roman" w:hAnsi="Times New Roman" w:cs="Times New Roman"/>
          <w:sz w:val="24"/>
          <w:lang w:eastAsia="en-AU"/>
        </w:rPr>
        <w:t xml:space="preserve"> and 4</w:t>
      </w:r>
      <w:r>
        <w:rPr>
          <w:rFonts w:ascii="Times New Roman" w:eastAsia="Times New Roman" w:hAnsi="Times New Roman" w:cs="Times New Roman"/>
          <w:sz w:val="24"/>
          <w:lang w:eastAsia="en-AU"/>
        </w:rPr>
        <w:t xml:space="preserve">. The sunsetting exemption created by the Amendment Regulations is justified on this basis.   </w:t>
      </w:r>
    </w:p>
    <w:p w14:paraId="0CA9A511" w14:textId="77777777" w:rsidR="005900FF" w:rsidRDefault="005900FF">
      <w:pPr>
        <w:keepNext/>
        <w:tabs>
          <w:tab w:val="right" w:pos="8931"/>
        </w:tabs>
        <w:spacing w:after="0"/>
        <w:ind w:right="91"/>
        <w:rPr>
          <w:rFonts w:ascii="Times New Roman" w:eastAsia="Times New Roman" w:hAnsi="Times New Roman" w:cs="Times New Roman"/>
          <w:sz w:val="24"/>
          <w:lang w:eastAsia="en-AU"/>
        </w:rPr>
      </w:pPr>
    </w:p>
    <w:p w14:paraId="26653F88" w14:textId="77777777" w:rsidR="00EE017B" w:rsidRPr="008F6EA8" w:rsidRDefault="00EE017B">
      <w:pPr>
        <w:rPr>
          <w:rFonts w:ascii="Times New Roman" w:hAnsi="Times New Roman" w:cs="Times New Roman"/>
          <w:sz w:val="24"/>
          <w:szCs w:val="24"/>
        </w:rPr>
      </w:pPr>
    </w:p>
    <w:sectPr w:rsidR="00EE017B" w:rsidRPr="008F6EA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91881" w14:textId="77777777" w:rsidR="00527228" w:rsidRDefault="00527228">
      <w:pPr>
        <w:spacing w:after="0" w:line="240" w:lineRule="auto"/>
      </w:pPr>
      <w:r>
        <w:separator/>
      </w:r>
    </w:p>
  </w:endnote>
  <w:endnote w:type="continuationSeparator" w:id="0">
    <w:p w14:paraId="3621AA21" w14:textId="77777777" w:rsidR="00527228" w:rsidRDefault="0052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4B0CC3E7" w14:textId="77777777" w:rsidR="0002636A" w:rsidRDefault="00E6167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3C4604A" w14:textId="77777777" w:rsidR="0002636A" w:rsidRDefault="0052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AB212" w14:textId="77777777" w:rsidR="00527228" w:rsidRDefault="00527228">
      <w:pPr>
        <w:spacing w:after="0" w:line="240" w:lineRule="auto"/>
      </w:pPr>
      <w:r>
        <w:separator/>
      </w:r>
    </w:p>
  </w:footnote>
  <w:footnote w:type="continuationSeparator" w:id="0">
    <w:p w14:paraId="2D3CFD0D" w14:textId="77777777" w:rsidR="00527228" w:rsidRDefault="00527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4081"/>
    <w:multiLevelType w:val="multilevel"/>
    <w:tmpl w:val="B21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40140"/>
    <w:multiLevelType w:val="hybridMultilevel"/>
    <w:tmpl w:val="26ACE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750A4"/>
    <w:multiLevelType w:val="hybridMultilevel"/>
    <w:tmpl w:val="BC78E9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D0004"/>
    <w:multiLevelType w:val="hybridMultilevel"/>
    <w:tmpl w:val="A00EC81E"/>
    <w:lvl w:ilvl="0" w:tplc="0C090017">
      <w:start w:val="1"/>
      <w:numFmt w:val="lowerLetter"/>
      <w:lvlText w:val="%1)"/>
      <w:lvlJc w:val="left"/>
      <w:pPr>
        <w:ind w:left="770" w:hanging="360"/>
      </w:pPr>
    </w:lvl>
    <w:lvl w:ilvl="1" w:tplc="0C090019">
      <w:start w:val="1"/>
      <w:numFmt w:val="lowerLetter"/>
      <w:lvlText w:val="%2."/>
      <w:lvlJc w:val="left"/>
      <w:pPr>
        <w:ind w:left="1490" w:hanging="360"/>
      </w:pPr>
    </w:lvl>
    <w:lvl w:ilvl="2" w:tplc="0C09001B">
      <w:start w:val="1"/>
      <w:numFmt w:val="lowerRoman"/>
      <w:lvlText w:val="%3."/>
      <w:lvlJc w:val="right"/>
      <w:pPr>
        <w:ind w:left="2210" w:hanging="180"/>
      </w:pPr>
    </w:lvl>
    <w:lvl w:ilvl="3" w:tplc="0C09000F">
      <w:start w:val="1"/>
      <w:numFmt w:val="decimal"/>
      <w:lvlText w:val="%4."/>
      <w:lvlJc w:val="left"/>
      <w:pPr>
        <w:ind w:left="2930" w:hanging="360"/>
      </w:pPr>
    </w:lvl>
    <w:lvl w:ilvl="4" w:tplc="0C090019">
      <w:start w:val="1"/>
      <w:numFmt w:val="lowerLetter"/>
      <w:lvlText w:val="%5."/>
      <w:lvlJc w:val="left"/>
      <w:pPr>
        <w:ind w:left="3650" w:hanging="360"/>
      </w:pPr>
    </w:lvl>
    <w:lvl w:ilvl="5" w:tplc="0C09001B">
      <w:start w:val="1"/>
      <w:numFmt w:val="lowerRoman"/>
      <w:lvlText w:val="%6."/>
      <w:lvlJc w:val="right"/>
      <w:pPr>
        <w:ind w:left="4370" w:hanging="180"/>
      </w:pPr>
    </w:lvl>
    <w:lvl w:ilvl="6" w:tplc="0C09000F">
      <w:start w:val="1"/>
      <w:numFmt w:val="decimal"/>
      <w:lvlText w:val="%7."/>
      <w:lvlJc w:val="left"/>
      <w:pPr>
        <w:ind w:left="5090" w:hanging="360"/>
      </w:pPr>
    </w:lvl>
    <w:lvl w:ilvl="7" w:tplc="0C090019">
      <w:start w:val="1"/>
      <w:numFmt w:val="lowerLetter"/>
      <w:lvlText w:val="%8."/>
      <w:lvlJc w:val="left"/>
      <w:pPr>
        <w:ind w:left="5810" w:hanging="360"/>
      </w:pPr>
    </w:lvl>
    <w:lvl w:ilvl="8" w:tplc="0C09001B">
      <w:start w:val="1"/>
      <w:numFmt w:val="lowerRoman"/>
      <w:lvlText w:val="%9."/>
      <w:lvlJc w:val="right"/>
      <w:pPr>
        <w:ind w:left="6530" w:hanging="180"/>
      </w:pPr>
    </w:lvl>
  </w:abstractNum>
  <w:abstractNum w:abstractNumId="4" w15:restartNumberingAfterBreak="0">
    <w:nsid w:val="14EE2607"/>
    <w:multiLevelType w:val="hybridMultilevel"/>
    <w:tmpl w:val="0A00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E12BD"/>
    <w:multiLevelType w:val="hybridMultilevel"/>
    <w:tmpl w:val="20804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0D02A7"/>
    <w:multiLevelType w:val="hybridMultilevel"/>
    <w:tmpl w:val="CFF0B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4608C7"/>
    <w:multiLevelType w:val="hybridMultilevel"/>
    <w:tmpl w:val="E5C67E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1D824A7"/>
    <w:multiLevelType w:val="hybridMultilevel"/>
    <w:tmpl w:val="B7BAF1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383506"/>
    <w:multiLevelType w:val="hybridMultilevel"/>
    <w:tmpl w:val="B860EB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501BA2"/>
    <w:multiLevelType w:val="hybridMultilevel"/>
    <w:tmpl w:val="BC78E9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097B90"/>
    <w:multiLevelType w:val="hybridMultilevel"/>
    <w:tmpl w:val="0A549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5D479D"/>
    <w:multiLevelType w:val="hybridMultilevel"/>
    <w:tmpl w:val="1B9A4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F6C4B"/>
    <w:multiLevelType w:val="multilevel"/>
    <w:tmpl w:val="73B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185474"/>
    <w:multiLevelType w:val="hybridMultilevel"/>
    <w:tmpl w:val="55C6E3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EAE2044"/>
    <w:multiLevelType w:val="hybridMultilevel"/>
    <w:tmpl w:val="0FB6F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A616BC"/>
    <w:multiLevelType w:val="hybridMultilevel"/>
    <w:tmpl w:val="D2D00794"/>
    <w:lvl w:ilvl="0" w:tplc="50D42892">
      <w:start w:val="3"/>
      <w:numFmt w:val="lowerLetter"/>
      <w:lvlText w:val="%1)"/>
      <w:lvlJc w:val="left"/>
      <w:pPr>
        <w:ind w:left="770" w:hanging="360"/>
      </w:pPr>
      <w:rPr>
        <w:rFonts w:hint="default"/>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7" w15:restartNumberingAfterBreak="0">
    <w:nsid w:val="610D6D94"/>
    <w:multiLevelType w:val="hybridMultilevel"/>
    <w:tmpl w:val="43324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A08FB"/>
    <w:multiLevelType w:val="hybridMultilevel"/>
    <w:tmpl w:val="71462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9"/>
  </w:num>
  <w:num w:numId="4">
    <w:abstractNumId w:val="15"/>
  </w:num>
  <w:num w:numId="5">
    <w:abstractNumId w:val="11"/>
  </w:num>
  <w:num w:numId="6">
    <w:abstractNumId w:val="1"/>
  </w:num>
  <w:num w:numId="7">
    <w:abstractNumId w:val="2"/>
  </w:num>
  <w:num w:numId="8">
    <w:abstractNumId w:val="5"/>
  </w:num>
  <w:num w:numId="9">
    <w:abstractNumId w:val="8"/>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0"/>
  </w:num>
  <w:num w:numId="17">
    <w:abstractNumId w:val="13"/>
  </w:num>
  <w:num w:numId="18">
    <w:abstractNumId w:val="4"/>
  </w:num>
  <w:num w:numId="19">
    <w:abstractNumId w:val="17"/>
  </w:num>
  <w:num w:numId="20">
    <w:abstractNumId w:val="1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7B"/>
    <w:rsid w:val="00000D70"/>
    <w:rsid w:val="0000377A"/>
    <w:rsid w:val="0001382D"/>
    <w:rsid w:val="0003620E"/>
    <w:rsid w:val="0004508C"/>
    <w:rsid w:val="000600EB"/>
    <w:rsid w:val="00077192"/>
    <w:rsid w:val="00085D7C"/>
    <w:rsid w:val="000972B4"/>
    <w:rsid w:val="000A44AD"/>
    <w:rsid w:val="000B3AF7"/>
    <w:rsid w:val="000C26D6"/>
    <w:rsid w:val="000C38CD"/>
    <w:rsid w:val="000D166E"/>
    <w:rsid w:val="00101E38"/>
    <w:rsid w:val="00111E12"/>
    <w:rsid w:val="001158B6"/>
    <w:rsid w:val="0014085F"/>
    <w:rsid w:val="00142CCA"/>
    <w:rsid w:val="00152610"/>
    <w:rsid w:val="00154AE5"/>
    <w:rsid w:val="00163E2F"/>
    <w:rsid w:val="00181828"/>
    <w:rsid w:val="001A70CC"/>
    <w:rsid w:val="001B3CD9"/>
    <w:rsid w:val="001C3120"/>
    <w:rsid w:val="001D4894"/>
    <w:rsid w:val="001D5A71"/>
    <w:rsid w:val="001D738A"/>
    <w:rsid w:val="001E077D"/>
    <w:rsid w:val="001E55EC"/>
    <w:rsid w:val="001E6263"/>
    <w:rsid w:val="001F56CF"/>
    <w:rsid w:val="002110AF"/>
    <w:rsid w:val="00212B2F"/>
    <w:rsid w:val="0021327C"/>
    <w:rsid w:val="00220383"/>
    <w:rsid w:val="00254191"/>
    <w:rsid w:val="00261A36"/>
    <w:rsid w:val="00263B82"/>
    <w:rsid w:val="00282840"/>
    <w:rsid w:val="002939F5"/>
    <w:rsid w:val="002A36FE"/>
    <w:rsid w:val="002B289D"/>
    <w:rsid w:val="002C7D91"/>
    <w:rsid w:val="002D7663"/>
    <w:rsid w:val="002E19AB"/>
    <w:rsid w:val="002E7122"/>
    <w:rsid w:val="002F1FA5"/>
    <w:rsid w:val="00306B7E"/>
    <w:rsid w:val="00332DEC"/>
    <w:rsid w:val="00340893"/>
    <w:rsid w:val="003433B8"/>
    <w:rsid w:val="00354D33"/>
    <w:rsid w:val="00375E55"/>
    <w:rsid w:val="00393487"/>
    <w:rsid w:val="00393595"/>
    <w:rsid w:val="00395DA8"/>
    <w:rsid w:val="0039798D"/>
    <w:rsid w:val="003A3774"/>
    <w:rsid w:val="003A7A93"/>
    <w:rsid w:val="003A7E52"/>
    <w:rsid w:val="0042180F"/>
    <w:rsid w:val="00431BD0"/>
    <w:rsid w:val="004337EA"/>
    <w:rsid w:val="00444BD3"/>
    <w:rsid w:val="00450016"/>
    <w:rsid w:val="00450A5A"/>
    <w:rsid w:val="00450DD5"/>
    <w:rsid w:val="004618BE"/>
    <w:rsid w:val="00471B64"/>
    <w:rsid w:val="00472CF4"/>
    <w:rsid w:val="0047444F"/>
    <w:rsid w:val="0048284A"/>
    <w:rsid w:val="004848D5"/>
    <w:rsid w:val="004A1F16"/>
    <w:rsid w:val="004C31E7"/>
    <w:rsid w:val="004D4E3E"/>
    <w:rsid w:val="004D5223"/>
    <w:rsid w:val="004D722E"/>
    <w:rsid w:val="005061A7"/>
    <w:rsid w:val="005231E9"/>
    <w:rsid w:val="00527228"/>
    <w:rsid w:val="005367AD"/>
    <w:rsid w:val="00547E54"/>
    <w:rsid w:val="00552EA1"/>
    <w:rsid w:val="005666E2"/>
    <w:rsid w:val="00580410"/>
    <w:rsid w:val="005824D7"/>
    <w:rsid w:val="005900FF"/>
    <w:rsid w:val="005A33D7"/>
    <w:rsid w:val="005A76F2"/>
    <w:rsid w:val="005C468E"/>
    <w:rsid w:val="005C481B"/>
    <w:rsid w:val="005C6AF2"/>
    <w:rsid w:val="005D7257"/>
    <w:rsid w:val="005E3FEF"/>
    <w:rsid w:val="005E5F12"/>
    <w:rsid w:val="005F05B5"/>
    <w:rsid w:val="005F290F"/>
    <w:rsid w:val="0060756B"/>
    <w:rsid w:val="00624D48"/>
    <w:rsid w:val="00633A64"/>
    <w:rsid w:val="00640143"/>
    <w:rsid w:val="00650E4F"/>
    <w:rsid w:val="00660E5E"/>
    <w:rsid w:val="006B4949"/>
    <w:rsid w:val="006C2427"/>
    <w:rsid w:val="006E0686"/>
    <w:rsid w:val="006E137A"/>
    <w:rsid w:val="006E5B8D"/>
    <w:rsid w:val="0070454C"/>
    <w:rsid w:val="007159FE"/>
    <w:rsid w:val="007246D8"/>
    <w:rsid w:val="00745AB4"/>
    <w:rsid w:val="0077039D"/>
    <w:rsid w:val="0077226A"/>
    <w:rsid w:val="00772AB6"/>
    <w:rsid w:val="00786A78"/>
    <w:rsid w:val="00790AD5"/>
    <w:rsid w:val="00791DF5"/>
    <w:rsid w:val="0079373B"/>
    <w:rsid w:val="007B6B66"/>
    <w:rsid w:val="007E779E"/>
    <w:rsid w:val="00802CFA"/>
    <w:rsid w:val="008143CF"/>
    <w:rsid w:val="00866157"/>
    <w:rsid w:val="00867BAB"/>
    <w:rsid w:val="008817B8"/>
    <w:rsid w:val="008A79BB"/>
    <w:rsid w:val="008B3CA5"/>
    <w:rsid w:val="008C5887"/>
    <w:rsid w:val="008D3062"/>
    <w:rsid w:val="008E3621"/>
    <w:rsid w:val="008E40C6"/>
    <w:rsid w:val="008E586D"/>
    <w:rsid w:val="008F2762"/>
    <w:rsid w:val="008F6EA8"/>
    <w:rsid w:val="00935AB1"/>
    <w:rsid w:val="009436E7"/>
    <w:rsid w:val="00946674"/>
    <w:rsid w:val="00952054"/>
    <w:rsid w:val="009568DE"/>
    <w:rsid w:val="00970F73"/>
    <w:rsid w:val="00977C4C"/>
    <w:rsid w:val="009819F4"/>
    <w:rsid w:val="00983705"/>
    <w:rsid w:val="009B4764"/>
    <w:rsid w:val="009C7678"/>
    <w:rsid w:val="009D0DCC"/>
    <w:rsid w:val="009D2FE8"/>
    <w:rsid w:val="009F4802"/>
    <w:rsid w:val="00A17C3B"/>
    <w:rsid w:val="00A230C2"/>
    <w:rsid w:val="00A274F8"/>
    <w:rsid w:val="00A429FB"/>
    <w:rsid w:val="00A57568"/>
    <w:rsid w:val="00AB2E40"/>
    <w:rsid w:val="00AB6AFD"/>
    <w:rsid w:val="00AC4B4C"/>
    <w:rsid w:val="00AE5C85"/>
    <w:rsid w:val="00AE7A14"/>
    <w:rsid w:val="00AE7CE1"/>
    <w:rsid w:val="00AF28F4"/>
    <w:rsid w:val="00AF6889"/>
    <w:rsid w:val="00B06BEA"/>
    <w:rsid w:val="00B26463"/>
    <w:rsid w:val="00B31A6F"/>
    <w:rsid w:val="00B56A19"/>
    <w:rsid w:val="00B61459"/>
    <w:rsid w:val="00B65F3A"/>
    <w:rsid w:val="00B82B65"/>
    <w:rsid w:val="00B92FD0"/>
    <w:rsid w:val="00B93791"/>
    <w:rsid w:val="00BA2C23"/>
    <w:rsid w:val="00BD5D47"/>
    <w:rsid w:val="00BD7FEC"/>
    <w:rsid w:val="00BE0CBE"/>
    <w:rsid w:val="00BE45DE"/>
    <w:rsid w:val="00BF6CEE"/>
    <w:rsid w:val="00C11B70"/>
    <w:rsid w:val="00C120C7"/>
    <w:rsid w:val="00C209A2"/>
    <w:rsid w:val="00C24B0E"/>
    <w:rsid w:val="00C40D32"/>
    <w:rsid w:val="00C44AD1"/>
    <w:rsid w:val="00C46C28"/>
    <w:rsid w:val="00C55D41"/>
    <w:rsid w:val="00C8280B"/>
    <w:rsid w:val="00CA3FFE"/>
    <w:rsid w:val="00CA7C10"/>
    <w:rsid w:val="00CC1D2B"/>
    <w:rsid w:val="00CE4872"/>
    <w:rsid w:val="00D16E77"/>
    <w:rsid w:val="00D2026E"/>
    <w:rsid w:val="00D378D2"/>
    <w:rsid w:val="00D408F3"/>
    <w:rsid w:val="00D42E21"/>
    <w:rsid w:val="00D5105E"/>
    <w:rsid w:val="00D6108B"/>
    <w:rsid w:val="00D616B8"/>
    <w:rsid w:val="00D6527C"/>
    <w:rsid w:val="00D76C3B"/>
    <w:rsid w:val="00D85CB9"/>
    <w:rsid w:val="00D9227C"/>
    <w:rsid w:val="00D9709A"/>
    <w:rsid w:val="00DA63E9"/>
    <w:rsid w:val="00DB2B5F"/>
    <w:rsid w:val="00DB5B9C"/>
    <w:rsid w:val="00DC0299"/>
    <w:rsid w:val="00DF4900"/>
    <w:rsid w:val="00E17010"/>
    <w:rsid w:val="00E50166"/>
    <w:rsid w:val="00E61670"/>
    <w:rsid w:val="00E772D7"/>
    <w:rsid w:val="00E972CB"/>
    <w:rsid w:val="00EB4262"/>
    <w:rsid w:val="00EC3148"/>
    <w:rsid w:val="00EE017B"/>
    <w:rsid w:val="00EE1E59"/>
    <w:rsid w:val="00EE4B16"/>
    <w:rsid w:val="00EF43F4"/>
    <w:rsid w:val="00F04E76"/>
    <w:rsid w:val="00F14990"/>
    <w:rsid w:val="00F26B30"/>
    <w:rsid w:val="00F27487"/>
    <w:rsid w:val="00F37EE9"/>
    <w:rsid w:val="00F42347"/>
    <w:rsid w:val="00F532CA"/>
    <w:rsid w:val="00F6522A"/>
    <w:rsid w:val="00F661AF"/>
    <w:rsid w:val="00F75C4B"/>
    <w:rsid w:val="00F80354"/>
    <w:rsid w:val="00F81DF2"/>
    <w:rsid w:val="00F83879"/>
    <w:rsid w:val="00F83B65"/>
    <w:rsid w:val="00F85B67"/>
    <w:rsid w:val="00F90738"/>
    <w:rsid w:val="00F90C60"/>
    <w:rsid w:val="00FA10B8"/>
    <w:rsid w:val="00FA3CD6"/>
    <w:rsid w:val="00FB4A6D"/>
    <w:rsid w:val="00FC05CA"/>
    <w:rsid w:val="00FD7039"/>
    <w:rsid w:val="00FD7477"/>
    <w:rsid w:val="00FE591E"/>
    <w:rsid w:val="00FF1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D3AB"/>
  <w15:chartTrackingRefBased/>
  <w15:docId w15:val="{43E7110D-403E-4BB3-8B9B-80199073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17B"/>
    <w:pPr>
      <w:spacing w:after="200" w:line="276" w:lineRule="auto"/>
    </w:pPr>
  </w:style>
  <w:style w:type="paragraph" w:styleId="Heading1">
    <w:name w:val="heading 1"/>
    <w:basedOn w:val="Normal"/>
    <w:next w:val="Normal"/>
    <w:link w:val="Heading1Char"/>
    <w:uiPriority w:val="9"/>
    <w:qFormat/>
    <w:rsid w:val="00EE017B"/>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17B"/>
    <w:rPr>
      <w:rFonts w:ascii="Cambria" w:eastAsia="Times New Roman" w:hAnsi="Cambria" w:cs="Times New Roman"/>
      <w:bCs/>
      <w:caps/>
      <w:kern w:val="32"/>
      <w:sz w:val="32"/>
      <w:szCs w:val="32"/>
    </w:rPr>
  </w:style>
  <w:style w:type="paragraph" w:customStyle="1" w:styleId="Basetext">
    <w:name w:val="Base text"/>
    <w:basedOn w:val="Normal"/>
    <w:link w:val="BasetextChar"/>
    <w:qFormat/>
    <w:rsid w:val="00EE017B"/>
    <w:pPr>
      <w:widowControl w:val="0"/>
      <w:spacing w:before="180" w:after="0"/>
    </w:pPr>
    <w:rPr>
      <w:rFonts w:ascii="Times New Roman" w:eastAsia="Times New Roman" w:hAnsi="Times New Roman" w:cs="Times New Roman"/>
      <w:snapToGrid w:val="0"/>
    </w:rPr>
  </w:style>
  <w:style w:type="character" w:customStyle="1" w:styleId="BasetextChar">
    <w:name w:val="Base text Char"/>
    <w:basedOn w:val="DefaultParagraphFont"/>
    <w:link w:val="Basetext"/>
    <w:rsid w:val="00EE017B"/>
    <w:rPr>
      <w:rFonts w:ascii="Times New Roman" w:eastAsia="Times New Roman" w:hAnsi="Times New Roman" w:cs="Times New Roman"/>
      <w:snapToGrid w:val="0"/>
    </w:rPr>
  </w:style>
  <w:style w:type="character" w:styleId="CommentReference">
    <w:name w:val="annotation reference"/>
    <w:basedOn w:val="DefaultParagraphFont"/>
    <w:uiPriority w:val="99"/>
    <w:semiHidden/>
    <w:unhideWhenUsed/>
    <w:rsid w:val="00EE017B"/>
    <w:rPr>
      <w:sz w:val="16"/>
      <w:szCs w:val="16"/>
    </w:rPr>
  </w:style>
  <w:style w:type="paragraph" w:styleId="CommentText">
    <w:name w:val="annotation text"/>
    <w:basedOn w:val="Normal"/>
    <w:link w:val="CommentTextChar"/>
    <w:uiPriority w:val="99"/>
    <w:semiHidden/>
    <w:unhideWhenUsed/>
    <w:rsid w:val="00EE017B"/>
    <w:pPr>
      <w:spacing w:line="240" w:lineRule="auto"/>
    </w:pPr>
    <w:rPr>
      <w:sz w:val="20"/>
      <w:szCs w:val="20"/>
    </w:rPr>
  </w:style>
  <w:style w:type="character" w:customStyle="1" w:styleId="CommentTextChar">
    <w:name w:val="Comment Text Char"/>
    <w:basedOn w:val="DefaultParagraphFont"/>
    <w:link w:val="CommentText"/>
    <w:uiPriority w:val="99"/>
    <w:semiHidden/>
    <w:rsid w:val="00EE017B"/>
    <w:rPr>
      <w:sz w:val="20"/>
      <w:szCs w:val="20"/>
    </w:rPr>
  </w:style>
  <w:style w:type="paragraph" w:styleId="ListParagraph">
    <w:name w:val="List Paragraph"/>
    <w:basedOn w:val="Normal"/>
    <w:uiPriority w:val="34"/>
    <w:qFormat/>
    <w:rsid w:val="00EE017B"/>
    <w:pPr>
      <w:ind w:left="720"/>
      <w:contextualSpacing/>
    </w:pPr>
  </w:style>
  <w:style w:type="paragraph" w:styleId="Footer">
    <w:name w:val="footer"/>
    <w:basedOn w:val="Normal"/>
    <w:link w:val="FooterChar"/>
    <w:uiPriority w:val="99"/>
    <w:unhideWhenUsed/>
    <w:rsid w:val="00EE0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17B"/>
  </w:style>
  <w:style w:type="paragraph" w:customStyle="1" w:styleId="Paragraph">
    <w:name w:val="Paragraph"/>
    <w:basedOn w:val="Normal"/>
    <w:link w:val="ParagraphChar"/>
    <w:rsid w:val="00EE017B"/>
    <w:pPr>
      <w:numPr>
        <w:ilvl w:val="12"/>
      </w:numPr>
      <w:spacing w:before="240" w:after="0" w:line="240" w:lineRule="auto"/>
    </w:pPr>
    <w:rPr>
      <w:rFonts w:ascii="Times New Roman" w:eastAsia="Times New Roman" w:hAnsi="Times New Roman" w:cs="Times New Roman"/>
      <w:sz w:val="24"/>
      <w:szCs w:val="20"/>
      <w:lang w:eastAsia="en-AU"/>
    </w:rPr>
  </w:style>
  <w:style w:type="character" w:styleId="Hyperlink">
    <w:name w:val="Hyperlink"/>
    <w:basedOn w:val="DefaultParagraphFont"/>
    <w:uiPriority w:val="99"/>
    <w:unhideWhenUsed/>
    <w:rsid w:val="00EE017B"/>
    <w:rPr>
      <w:color w:val="0000FF"/>
      <w:u w:val="single"/>
    </w:rPr>
  </w:style>
  <w:style w:type="paragraph" w:styleId="NoSpacing">
    <w:name w:val="No Spacing"/>
    <w:uiPriority w:val="1"/>
    <w:qFormat/>
    <w:rsid w:val="00EE017B"/>
    <w:pPr>
      <w:spacing w:after="0" w:line="240" w:lineRule="auto"/>
    </w:pPr>
  </w:style>
  <w:style w:type="character" w:customStyle="1" w:styleId="ParagraphChar">
    <w:name w:val="Paragraph Char"/>
    <w:link w:val="Paragraph"/>
    <w:locked/>
    <w:rsid w:val="00EE017B"/>
    <w:rPr>
      <w:rFonts w:ascii="Times New Roman" w:eastAsia="Times New Roman" w:hAnsi="Times New Roman" w:cs="Times New Roman"/>
      <w:sz w:val="24"/>
      <w:szCs w:val="20"/>
      <w:lang w:eastAsia="en-AU"/>
    </w:rPr>
  </w:style>
  <w:style w:type="paragraph" w:customStyle="1" w:styleId="Body">
    <w:name w:val="Body"/>
    <w:aliases w:val="b"/>
    <w:basedOn w:val="Normal"/>
    <w:rsid w:val="00EE017B"/>
    <w:pPr>
      <w:spacing w:before="240" w:after="0" w:line="240" w:lineRule="auto"/>
    </w:pPr>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EE0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17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17C3B"/>
    <w:rPr>
      <w:b/>
      <w:bCs/>
    </w:rPr>
  </w:style>
  <w:style w:type="character" w:customStyle="1" w:styleId="CommentSubjectChar">
    <w:name w:val="Comment Subject Char"/>
    <w:basedOn w:val="CommentTextChar"/>
    <w:link w:val="CommentSubject"/>
    <w:uiPriority w:val="99"/>
    <w:semiHidden/>
    <w:rsid w:val="00A17C3B"/>
    <w:rPr>
      <w:b/>
      <w:bCs/>
      <w:sz w:val="20"/>
      <w:szCs w:val="20"/>
    </w:rPr>
  </w:style>
  <w:style w:type="paragraph" w:styleId="NormalWeb">
    <w:name w:val="Normal (Web)"/>
    <w:basedOn w:val="Normal"/>
    <w:uiPriority w:val="99"/>
    <w:semiHidden/>
    <w:unhideWhenUsed/>
    <w:rsid w:val="00D9227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6777">
      <w:bodyDiv w:val="1"/>
      <w:marLeft w:val="0"/>
      <w:marRight w:val="0"/>
      <w:marTop w:val="0"/>
      <w:marBottom w:val="0"/>
      <w:divBdr>
        <w:top w:val="none" w:sz="0" w:space="0" w:color="auto"/>
        <w:left w:val="none" w:sz="0" w:space="0" w:color="auto"/>
        <w:bottom w:val="none" w:sz="0" w:space="0" w:color="auto"/>
        <w:right w:val="none" w:sz="0" w:space="0" w:color="auto"/>
      </w:divBdr>
    </w:div>
    <w:div w:id="165444003">
      <w:bodyDiv w:val="1"/>
      <w:marLeft w:val="0"/>
      <w:marRight w:val="0"/>
      <w:marTop w:val="0"/>
      <w:marBottom w:val="0"/>
      <w:divBdr>
        <w:top w:val="none" w:sz="0" w:space="0" w:color="auto"/>
        <w:left w:val="none" w:sz="0" w:space="0" w:color="auto"/>
        <w:bottom w:val="none" w:sz="0" w:space="0" w:color="auto"/>
        <w:right w:val="none" w:sz="0" w:space="0" w:color="auto"/>
      </w:divBdr>
    </w:div>
    <w:div w:id="352154929">
      <w:bodyDiv w:val="1"/>
      <w:marLeft w:val="0"/>
      <w:marRight w:val="0"/>
      <w:marTop w:val="0"/>
      <w:marBottom w:val="0"/>
      <w:divBdr>
        <w:top w:val="none" w:sz="0" w:space="0" w:color="auto"/>
        <w:left w:val="none" w:sz="0" w:space="0" w:color="auto"/>
        <w:bottom w:val="none" w:sz="0" w:space="0" w:color="auto"/>
        <w:right w:val="none" w:sz="0" w:space="0" w:color="auto"/>
      </w:divBdr>
    </w:div>
    <w:div w:id="355427400">
      <w:bodyDiv w:val="1"/>
      <w:marLeft w:val="0"/>
      <w:marRight w:val="0"/>
      <w:marTop w:val="0"/>
      <w:marBottom w:val="0"/>
      <w:divBdr>
        <w:top w:val="none" w:sz="0" w:space="0" w:color="auto"/>
        <w:left w:val="none" w:sz="0" w:space="0" w:color="auto"/>
        <w:bottom w:val="none" w:sz="0" w:space="0" w:color="auto"/>
        <w:right w:val="none" w:sz="0" w:space="0" w:color="auto"/>
      </w:divBdr>
    </w:div>
    <w:div w:id="489716992">
      <w:bodyDiv w:val="1"/>
      <w:marLeft w:val="0"/>
      <w:marRight w:val="0"/>
      <w:marTop w:val="0"/>
      <w:marBottom w:val="0"/>
      <w:divBdr>
        <w:top w:val="none" w:sz="0" w:space="0" w:color="auto"/>
        <w:left w:val="none" w:sz="0" w:space="0" w:color="auto"/>
        <w:bottom w:val="none" w:sz="0" w:space="0" w:color="auto"/>
        <w:right w:val="none" w:sz="0" w:space="0" w:color="auto"/>
      </w:divBdr>
    </w:div>
    <w:div w:id="675039211">
      <w:bodyDiv w:val="1"/>
      <w:marLeft w:val="0"/>
      <w:marRight w:val="0"/>
      <w:marTop w:val="0"/>
      <w:marBottom w:val="0"/>
      <w:divBdr>
        <w:top w:val="none" w:sz="0" w:space="0" w:color="auto"/>
        <w:left w:val="none" w:sz="0" w:space="0" w:color="auto"/>
        <w:bottom w:val="none" w:sz="0" w:space="0" w:color="auto"/>
        <w:right w:val="none" w:sz="0" w:space="0" w:color="auto"/>
      </w:divBdr>
    </w:div>
    <w:div w:id="814224253">
      <w:bodyDiv w:val="1"/>
      <w:marLeft w:val="0"/>
      <w:marRight w:val="0"/>
      <w:marTop w:val="0"/>
      <w:marBottom w:val="0"/>
      <w:divBdr>
        <w:top w:val="none" w:sz="0" w:space="0" w:color="auto"/>
        <w:left w:val="none" w:sz="0" w:space="0" w:color="auto"/>
        <w:bottom w:val="none" w:sz="0" w:space="0" w:color="auto"/>
        <w:right w:val="none" w:sz="0" w:space="0" w:color="auto"/>
      </w:divBdr>
    </w:div>
    <w:div w:id="886797337">
      <w:bodyDiv w:val="1"/>
      <w:marLeft w:val="0"/>
      <w:marRight w:val="0"/>
      <w:marTop w:val="0"/>
      <w:marBottom w:val="0"/>
      <w:divBdr>
        <w:top w:val="none" w:sz="0" w:space="0" w:color="auto"/>
        <w:left w:val="none" w:sz="0" w:space="0" w:color="auto"/>
        <w:bottom w:val="none" w:sz="0" w:space="0" w:color="auto"/>
        <w:right w:val="none" w:sz="0" w:space="0" w:color="auto"/>
      </w:divBdr>
    </w:div>
    <w:div w:id="937180441">
      <w:bodyDiv w:val="1"/>
      <w:marLeft w:val="0"/>
      <w:marRight w:val="0"/>
      <w:marTop w:val="0"/>
      <w:marBottom w:val="0"/>
      <w:divBdr>
        <w:top w:val="none" w:sz="0" w:space="0" w:color="auto"/>
        <w:left w:val="none" w:sz="0" w:space="0" w:color="auto"/>
        <w:bottom w:val="none" w:sz="0" w:space="0" w:color="auto"/>
        <w:right w:val="none" w:sz="0" w:space="0" w:color="auto"/>
      </w:divBdr>
    </w:div>
    <w:div w:id="1006784616">
      <w:bodyDiv w:val="1"/>
      <w:marLeft w:val="0"/>
      <w:marRight w:val="0"/>
      <w:marTop w:val="0"/>
      <w:marBottom w:val="0"/>
      <w:divBdr>
        <w:top w:val="none" w:sz="0" w:space="0" w:color="auto"/>
        <w:left w:val="none" w:sz="0" w:space="0" w:color="auto"/>
        <w:bottom w:val="none" w:sz="0" w:space="0" w:color="auto"/>
        <w:right w:val="none" w:sz="0" w:space="0" w:color="auto"/>
      </w:divBdr>
    </w:div>
    <w:div w:id="1340546219">
      <w:bodyDiv w:val="1"/>
      <w:marLeft w:val="0"/>
      <w:marRight w:val="0"/>
      <w:marTop w:val="0"/>
      <w:marBottom w:val="0"/>
      <w:divBdr>
        <w:top w:val="none" w:sz="0" w:space="0" w:color="auto"/>
        <w:left w:val="none" w:sz="0" w:space="0" w:color="auto"/>
        <w:bottom w:val="none" w:sz="0" w:space="0" w:color="auto"/>
        <w:right w:val="none" w:sz="0" w:space="0" w:color="auto"/>
      </w:divBdr>
    </w:div>
    <w:div w:id="1481268858">
      <w:bodyDiv w:val="1"/>
      <w:marLeft w:val="0"/>
      <w:marRight w:val="0"/>
      <w:marTop w:val="0"/>
      <w:marBottom w:val="0"/>
      <w:divBdr>
        <w:top w:val="none" w:sz="0" w:space="0" w:color="auto"/>
        <w:left w:val="none" w:sz="0" w:space="0" w:color="auto"/>
        <w:bottom w:val="none" w:sz="0" w:space="0" w:color="auto"/>
        <w:right w:val="none" w:sz="0" w:space="0" w:color="auto"/>
      </w:divBdr>
    </w:div>
    <w:div w:id="1602838146">
      <w:bodyDiv w:val="1"/>
      <w:marLeft w:val="0"/>
      <w:marRight w:val="0"/>
      <w:marTop w:val="0"/>
      <w:marBottom w:val="0"/>
      <w:divBdr>
        <w:top w:val="none" w:sz="0" w:space="0" w:color="auto"/>
        <w:left w:val="none" w:sz="0" w:space="0" w:color="auto"/>
        <w:bottom w:val="none" w:sz="0" w:space="0" w:color="auto"/>
        <w:right w:val="none" w:sz="0" w:space="0" w:color="auto"/>
      </w:divBdr>
    </w:div>
    <w:div w:id="1726951745">
      <w:bodyDiv w:val="1"/>
      <w:marLeft w:val="0"/>
      <w:marRight w:val="0"/>
      <w:marTop w:val="0"/>
      <w:marBottom w:val="0"/>
      <w:divBdr>
        <w:top w:val="none" w:sz="0" w:space="0" w:color="auto"/>
        <w:left w:val="none" w:sz="0" w:space="0" w:color="auto"/>
        <w:bottom w:val="none" w:sz="0" w:space="0" w:color="auto"/>
        <w:right w:val="none" w:sz="0" w:space="0" w:color="auto"/>
      </w:divBdr>
    </w:div>
    <w:div w:id="1769738557">
      <w:bodyDiv w:val="1"/>
      <w:marLeft w:val="0"/>
      <w:marRight w:val="0"/>
      <w:marTop w:val="0"/>
      <w:marBottom w:val="0"/>
      <w:divBdr>
        <w:top w:val="none" w:sz="0" w:space="0" w:color="auto"/>
        <w:left w:val="none" w:sz="0" w:space="0" w:color="auto"/>
        <w:bottom w:val="none" w:sz="0" w:space="0" w:color="auto"/>
        <w:right w:val="none" w:sz="0" w:space="0" w:color="auto"/>
      </w:divBdr>
    </w:div>
    <w:div w:id="1917284181">
      <w:bodyDiv w:val="1"/>
      <w:marLeft w:val="0"/>
      <w:marRight w:val="0"/>
      <w:marTop w:val="0"/>
      <w:marBottom w:val="0"/>
      <w:divBdr>
        <w:top w:val="none" w:sz="0" w:space="0" w:color="auto"/>
        <w:left w:val="none" w:sz="0" w:space="0" w:color="auto"/>
        <w:bottom w:val="none" w:sz="0" w:space="0" w:color="auto"/>
        <w:right w:val="none" w:sz="0" w:space="0" w:color="auto"/>
      </w:divBdr>
    </w:div>
    <w:div w:id="2009669694">
      <w:bodyDiv w:val="1"/>
      <w:marLeft w:val="0"/>
      <w:marRight w:val="0"/>
      <w:marTop w:val="0"/>
      <w:marBottom w:val="0"/>
      <w:divBdr>
        <w:top w:val="none" w:sz="0" w:space="0" w:color="auto"/>
        <w:left w:val="none" w:sz="0" w:space="0" w:color="auto"/>
        <w:bottom w:val="none" w:sz="0" w:space="0" w:color="auto"/>
        <w:right w:val="none" w:sz="0" w:space="0" w:color="auto"/>
      </w:divBdr>
    </w:div>
    <w:div w:id="20613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B1C4476-E9AA-49E2-A18B-3CE1FC80A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7B6ED367640E141958A9849FF9A1388" ma:contentTypeVersion="" ma:contentTypeDescription="PDMS Document Site Content Type" ma:contentTypeScope="" ma:versionID="81eeca52d426eb696c4d7275af6834d7">
  <xsd:schema xmlns:xsd="http://www.w3.org/2001/XMLSchema" xmlns:xs="http://www.w3.org/2001/XMLSchema" xmlns:p="http://schemas.microsoft.com/office/2006/metadata/properties" xmlns:ns2="CB1C4476-E9AA-49E2-A18B-3CE1FC80AE5C" targetNamespace="http://schemas.microsoft.com/office/2006/metadata/properties" ma:root="true" ma:fieldsID="296abce7436cd31e23272a7f39da9a38" ns2:_="">
    <xsd:import namespace="CB1C4476-E9AA-49E2-A18B-3CE1FC80AE5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C4476-E9AA-49E2-A18B-3CE1FC80AE5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EBAF-644E-4229-88C2-864EF1149986}">
  <ds:schemaRefs>
    <ds:schemaRef ds:uri="http://schemas.microsoft.com/office/2006/metadata/properties"/>
    <ds:schemaRef ds:uri="http://schemas.microsoft.com/office/infopath/2007/PartnerControls"/>
    <ds:schemaRef ds:uri="CB1C4476-E9AA-49E2-A18B-3CE1FC80AE5C"/>
  </ds:schemaRefs>
</ds:datastoreItem>
</file>

<file path=customXml/itemProps2.xml><?xml version="1.0" encoding="utf-8"?>
<ds:datastoreItem xmlns:ds="http://schemas.openxmlformats.org/officeDocument/2006/customXml" ds:itemID="{91B09363-1504-4CCC-B8F1-1AA188828B3A}">
  <ds:schemaRefs>
    <ds:schemaRef ds:uri="http://schemas.microsoft.com/sharepoint/v3/contenttype/forms"/>
  </ds:schemaRefs>
</ds:datastoreItem>
</file>

<file path=customXml/itemProps3.xml><?xml version="1.0" encoding="utf-8"?>
<ds:datastoreItem xmlns:ds="http://schemas.openxmlformats.org/officeDocument/2006/customXml" ds:itemID="{B507C405-56EC-40FF-91FE-6ECAFF0F1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C4476-E9AA-49E2-A18B-3CE1FC80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20C5E-7C18-4B07-9510-BADD0D5A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Argitis, Isabella</dc:creator>
  <cp:keywords/>
  <dc:description/>
  <cp:lastModifiedBy>Argitis, Isabella</cp:lastModifiedBy>
  <cp:revision>2</cp:revision>
  <dcterms:created xsi:type="dcterms:W3CDTF">2024-03-05T03:16:00Z</dcterms:created>
  <dcterms:modified xsi:type="dcterms:W3CDTF">2024-03-05T03:16:00Z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0x010100266966F133664895A6EE3632470D45F500A7B6ED367640E141958A9849FF9A1388</vt:lpwstr>
  </property>
</Properties>
</file>