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ED3E" w14:textId="77777777" w:rsidR="00B839B6" w:rsidRPr="00963407" w:rsidRDefault="00B839B6" w:rsidP="0039670F">
      <w:pPr>
        <w:pStyle w:val="Heading4"/>
        <w:spacing w:line="276" w:lineRule="auto"/>
        <w:jc w:val="center"/>
      </w:pPr>
      <w:r w:rsidRPr="00963407">
        <w:t>EXPLANATORY STATEMENT</w:t>
      </w:r>
    </w:p>
    <w:p w14:paraId="2B8D2C5B" w14:textId="77777777" w:rsidR="00B839B6" w:rsidRPr="00DE2F79" w:rsidRDefault="00B839B6" w:rsidP="0039670F">
      <w:pPr>
        <w:spacing w:line="276" w:lineRule="auto"/>
        <w:rPr>
          <w:rFonts w:ascii="Arial" w:hAnsi="Arial" w:cs="Arial"/>
          <w:sz w:val="14"/>
          <w:szCs w:val="16"/>
        </w:rPr>
      </w:pPr>
    </w:p>
    <w:p w14:paraId="61EB67D0" w14:textId="77777777" w:rsidR="00B839B6" w:rsidRPr="00963407" w:rsidRDefault="00B839B6" w:rsidP="0039670F">
      <w:pPr>
        <w:pStyle w:val="Heading3"/>
        <w:pBdr>
          <w:top w:val="none" w:sz="0" w:space="0" w:color="auto"/>
          <w:left w:val="none" w:sz="0" w:space="0" w:color="auto"/>
          <w:bottom w:val="none" w:sz="0" w:space="0" w:color="auto"/>
          <w:right w:val="none" w:sz="0" w:space="0" w:color="auto"/>
        </w:pBdr>
        <w:spacing w:line="276" w:lineRule="auto"/>
        <w:rPr>
          <w:rFonts w:ascii="Times New Roman" w:hAnsi="Times New Roman"/>
          <w:b w:val="0"/>
          <w:bCs/>
          <w:i/>
          <w:iCs/>
          <w:szCs w:val="24"/>
        </w:rPr>
      </w:pPr>
      <w:r w:rsidRPr="00963407">
        <w:rPr>
          <w:rFonts w:ascii="Times New Roman" w:hAnsi="Times New Roman"/>
          <w:b w:val="0"/>
          <w:bCs/>
          <w:i/>
          <w:iCs/>
          <w:szCs w:val="24"/>
        </w:rPr>
        <w:t>Environment Protection and Biodiversity Conservation Act 1999</w:t>
      </w:r>
    </w:p>
    <w:p w14:paraId="2BC67704" w14:textId="1D7266EA" w:rsidR="0025478B" w:rsidRPr="00DA3EA7" w:rsidRDefault="0025478B" w:rsidP="0025478B">
      <w:pPr>
        <w:spacing w:before="120" w:after="120" w:line="276" w:lineRule="auto"/>
        <w:ind w:left="480"/>
        <w:jc w:val="center"/>
        <w:rPr>
          <w:b/>
          <w:bCs/>
          <w:szCs w:val="26"/>
        </w:rPr>
      </w:pPr>
      <w:r>
        <w:rPr>
          <w:b/>
          <w:bCs/>
          <w:szCs w:val="26"/>
        </w:rPr>
        <w:t>Environment Protection and Biodiversity Conservation (</w:t>
      </w:r>
      <w:r w:rsidR="0080757F">
        <w:rPr>
          <w:b/>
          <w:bCs/>
          <w:szCs w:val="26"/>
        </w:rPr>
        <w:t xml:space="preserve">National </w:t>
      </w:r>
      <w:r>
        <w:rPr>
          <w:b/>
          <w:bCs/>
          <w:szCs w:val="26"/>
        </w:rPr>
        <w:t>Recovery Plan</w:t>
      </w:r>
      <w:r w:rsidR="0080757F">
        <w:rPr>
          <w:b/>
          <w:bCs/>
          <w:szCs w:val="26"/>
        </w:rPr>
        <w:t xml:space="preserve"> for Leadbeater’s Possum </w:t>
      </w:r>
      <w:r>
        <w:rPr>
          <w:b/>
          <w:bCs/>
          <w:szCs w:val="26"/>
        </w:rPr>
        <w:t>(</w:t>
      </w:r>
      <w:r w:rsidR="00061877" w:rsidRPr="00563CC9">
        <w:rPr>
          <w:b/>
          <w:bCs/>
          <w:i/>
          <w:iCs/>
          <w:szCs w:val="26"/>
        </w:rPr>
        <w:t>Gymnobelideus leadbeateri</w:t>
      </w:r>
      <w:r>
        <w:rPr>
          <w:b/>
          <w:bCs/>
          <w:szCs w:val="26"/>
        </w:rPr>
        <w:t>)</w:t>
      </w:r>
      <w:r w:rsidR="0080757F">
        <w:rPr>
          <w:b/>
          <w:bCs/>
          <w:szCs w:val="26"/>
        </w:rPr>
        <w:t>)</w:t>
      </w:r>
      <w:r>
        <w:rPr>
          <w:b/>
          <w:bCs/>
          <w:szCs w:val="26"/>
        </w:rPr>
        <w:t xml:space="preserve"> Instrument </w:t>
      </w:r>
      <w:r w:rsidRPr="00107FE5">
        <w:rPr>
          <w:b/>
          <w:bCs/>
          <w:szCs w:val="26"/>
        </w:rPr>
        <w:t>202</w:t>
      </w:r>
      <w:r w:rsidR="00107FE5" w:rsidRPr="0080757F">
        <w:rPr>
          <w:b/>
          <w:bCs/>
          <w:szCs w:val="26"/>
        </w:rPr>
        <w:t>4</w:t>
      </w:r>
    </w:p>
    <w:p w14:paraId="77D09E8E" w14:textId="681BC8A9" w:rsidR="0025478B" w:rsidRPr="00DA3EA7" w:rsidRDefault="0025478B" w:rsidP="0025478B">
      <w:pPr>
        <w:spacing w:before="120" w:after="120" w:line="276" w:lineRule="auto"/>
        <w:ind w:left="480"/>
        <w:jc w:val="center"/>
        <w:rPr>
          <w:b/>
          <w:bCs/>
          <w:szCs w:val="26"/>
        </w:rPr>
      </w:pPr>
      <w:r w:rsidRPr="00DA3EA7">
        <w:rPr>
          <w:b/>
          <w:bCs/>
          <w:szCs w:val="26"/>
        </w:rPr>
        <w:t xml:space="preserve">(Issued under the Authority of the </w:t>
      </w:r>
      <w:r w:rsidRPr="00535A15">
        <w:rPr>
          <w:b/>
          <w:bCs/>
          <w:szCs w:val="26"/>
        </w:rPr>
        <w:t>Minister for the Environment</w:t>
      </w:r>
      <w:r w:rsidR="00CC649F">
        <w:rPr>
          <w:b/>
          <w:bCs/>
          <w:szCs w:val="26"/>
        </w:rPr>
        <w:t xml:space="preserve"> and Water</w:t>
      </w:r>
      <w:r w:rsidRPr="00DA3EA7">
        <w:rPr>
          <w:b/>
          <w:bCs/>
          <w:szCs w:val="26"/>
        </w:rPr>
        <w:t>)</w:t>
      </w:r>
    </w:p>
    <w:p w14:paraId="07B6BC58" w14:textId="15D7FF40" w:rsidR="00B839B6" w:rsidRDefault="00B839B6" w:rsidP="0039670F">
      <w:pPr>
        <w:spacing w:line="276" w:lineRule="auto"/>
        <w:rPr>
          <w:rFonts w:ascii="Arial" w:hAnsi="Arial" w:cs="Arial"/>
          <w:sz w:val="14"/>
        </w:rPr>
      </w:pPr>
    </w:p>
    <w:p w14:paraId="1A680960" w14:textId="77777777" w:rsidR="0025478B" w:rsidRPr="00DE2F79" w:rsidRDefault="0025478B" w:rsidP="0039670F">
      <w:pPr>
        <w:spacing w:line="276" w:lineRule="auto"/>
        <w:rPr>
          <w:rFonts w:ascii="Arial" w:hAnsi="Arial" w:cs="Arial"/>
          <w:sz w:val="14"/>
        </w:rPr>
      </w:pPr>
    </w:p>
    <w:p w14:paraId="08643345" w14:textId="77777777" w:rsidR="00B839B6" w:rsidRPr="00963407" w:rsidRDefault="00B839B6" w:rsidP="0039670F">
      <w:pPr>
        <w:tabs>
          <w:tab w:val="left" w:pos="480"/>
        </w:tabs>
        <w:spacing w:line="276" w:lineRule="auto"/>
        <w:ind w:left="480"/>
      </w:pPr>
      <w:r w:rsidRPr="00963407">
        <w:t xml:space="preserve">The </w:t>
      </w:r>
      <w:r w:rsidRPr="00963407">
        <w:rPr>
          <w:i/>
        </w:rPr>
        <w:t>Environment Protection and Biodiversity Conservation Act 1999</w:t>
      </w:r>
      <w:r w:rsidRPr="00963407">
        <w:t xml:space="preserve"> (</w:t>
      </w:r>
      <w:r w:rsidRPr="009E47CE">
        <w:rPr>
          <w:b/>
          <w:bCs/>
        </w:rPr>
        <w:t>Act</w:t>
      </w:r>
      <w:r w:rsidRPr="00963407">
        <w:t>) provides for the protection of the environment and conservation of biodiversity, including the protection and conservation of threatened species and ecological communities.</w:t>
      </w:r>
    </w:p>
    <w:p w14:paraId="070F937E" w14:textId="77777777" w:rsidR="00B839B6" w:rsidRDefault="00B839B6" w:rsidP="0039670F">
      <w:pPr>
        <w:tabs>
          <w:tab w:val="left" w:pos="480"/>
        </w:tabs>
        <w:spacing w:line="276" w:lineRule="auto"/>
        <w:ind w:left="480"/>
      </w:pPr>
    </w:p>
    <w:p w14:paraId="7B9A0FCD" w14:textId="0FE1B644" w:rsidR="00C850D2" w:rsidRPr="00C850D2" w:rsidRDefault="000064EE" w:rsidP="009C618B">
      <w:pPr>
        <w:spacing w:after="120" w:line="276" w:lineRule="auto"/>
        <w:ind w:left="369"/>
        <w:rPr>
          <w:rFonts w:eastAsia="Calibri"/>
          <w:b/>
          <w:bCs/>
          <w:lang w:eastAsia="en-AU"/>
        </w:rPr>
      </w:pPr>
      <w:r>
        <w:rPr>
          <w:rFonts w:eastAsia="Calibri"/>
          <w:b/>
          <w:bCs/>
          <w:lang w:eastAsia="en-AU"/>
        </w:rPr>
        <w:t xml:space="preserve"> </w:t>
      </w:r>
      <w:r w:rsidR="00C850D2" w:rsidRPr="00C850D2">
        <w:rPr>
          <w:rFonts w:eastAsia="Calibri"/>
          <w:b/>
          <w:bCs/>
          <w:lang w:eastAsia="en-AU"/>
        </w:rPr>
        <w:t>Legislative Authority</w:t>
      </w:r>
    </w:p>
    <w:p w14:paraId="605D332B" w14:textId="77777777" w:rsidR="00B839B6" w:rsidRPr="00963407" w:rsidRDefault="00B839B6" w:rsidP="0039670F">
      <w:pPr>
        <w:tabs>
          <w:tab w:val="left" w:pos="480"/>
        </w:tabs>
        <w:spacing w:line="276" w:lineRule="auto"/>
        <w:ind w:left="480"/>
      </w:pPr>
      <w:r w:rsidRPr="00963407">
        <w:t>Part 13, Division 5, Subdivision A of the Act provides for the making, or adoption</w:t>
      </w:r>
      <w:r w:rsidR="00DE0168" w:rsidRPr="00963407">
        <w:t>,</w:t>
      </w:r>
      <w:r w:rsidRPr="00963407">
        <w:t xml:space="preserve"> of recovery plans for listed threatened species or ecological communities, which bind the Commonwealth and Commonwealth agencies.</w:t>
      </w:r>
    </w:p>
    <w:p w14:paraId="7280D0A9" w14:textId="77777777" w:rsidR="00B839B6" w:rsidRPr="00963407" w:rsidRDefault="00B839B6" w:rsidP="0039670F">
      <w:pPr>
        <w:tabs>
          <w:tab w:val="left" w:pos="480"/>
        </w:tabs>
        <w:spacing w:line="276" w:lineRule="auto"/>
        <w:ind w:left="480"/>
      </w:pPr>
    </w:p>
    <w:p w14:paraId="52D1CDA4" w14:textId="652BBD35" w:rsidR="00B839B6" w:rsidRPr="009E47CE" w:rsidRDefault="00C2437B" w:rsidP="0039670F">
      <w:pPr>
        <w:tabs>
          <w:tab w:val="left" w:pos="480"/>
        </w:tabs>
        <w:spacing w:line="276" w:lineRule="auto"/>
        <w:ind w:left="480"/>
      </w:pPr>
      <w:r w:rsidRPr="00963407">
        <w:t>S</w:t>
      </w:r>
      <w:r w:rsidR="00B839B6" w:rsidRPr="00963407">
        <w:t>ection 269A(</w:t>
      </w:r>
      <w:r w:rsidR="0005478E">
        <w:t>3</w:t>
      </w:r>
      <w:r w:rsidR="00B839B6" w:rsidRPr="00963407">
        <w:t xml:space="preserve">) of the Act </w:t>
      </w:r>
      <w:r w:rsidR="00130AAC">
        <w:t>provides that</w:t>
      </w:r>
      <w:r w:rsidR="00674358">
        <w:t>,</w:t>
      </w:r>
      <w:r w:rsidR="00B839B6" w:rsidRPr="00963407">
        <w:t xml:space="preserve"> </w:t>
      </w:r>
      <w:r w:rsidR="00674358">
        <w:t>for the purposes of the protection, conservation and management of a listed threatened species or listed threatened ecological community,</w:t>
      </w:r>
      <w:r w:rsidR="00674358" w:rsidRPr="00963407">
        <w:t xml:space="preserve"> </w:t>
      </w:r>
      <w:r w:rsidR="00B839B6" w:rsidRPr="00963407">
        <w:t>the Minister</w:t>
      </w:r>
      <w:r w:rsidR="00130AAC">
        <w:t xml:space="preserve"> may</w:t>
      </w:r>
      <w:r w:rsidR="00674358">
        <w:t xml:space="preserve"> </w:t>
      </w:r>
      <w:r w:rsidR="00FD7734">
        <w:t>make</w:t>
      </w:r>
      <w:r w:rsidR="00B839B6" w:rsidRPr="009E47CE">
        <w:t xml:space="preserve"> a recovery plan </w:t>
      </w:r>
      <w:r w:rsidR="00FD7734">
        <w:t xml:space="preserve">jointly with </w:t>
      </w:r>
      <w:r w:rsidR="00674358">
        <w:t>one or more of the</w:t>
      </w:r>
      <w:r w:rsidR="00FD7734">
        <w:t xml:space="preserve"> State</w:t>
      </w:r>
      <w:r w:rsidR="00674358">
        <w:t>s</w:t>
      </w:r>
      <w:r w:rsidR="00FD7734">
        <w:t xml:space="preserve"> </w:t>
      </w:r>
      <w:r w:rsidR="00674358">
        <w:t xml:space="preserve">and self-governing </w:t>
      </w:r>
      <w:r w:rsidR="00FD7734">
        <w:t>Territor</w:t>
      </w:r>
      <w:r w:rsidR="00674358">
        <w:t>ies in which the species or community occurs</w:t>
      </w:r>
      <w:r w:rsidR="00F014CD" w:rsidRPr="009E47CE">
        <w:t>.</w:t>
      </w:r>
    </w:p>
    <w:p w14:paraId="55CAFC4C" w14:textId="77777777" w:rsidR="00B839B6" w:rsidRDefault="00B839B6" w:rsidP="0039670F">
      <w:pPr>
        <w:tabs>
          <w:tab w:val="left" w:pos="480"/>
        </w:tabs>
        <w:spacing w:line="276" w:lineRule="auto"/>
        <w:ind w:left="480" w:right="607"/>
      </w:pPr>
    </w:p>
    <w:p w14:paraId="673DC2C7" w14:textId="77777777" w:rsidR="009A0E19" w:rsidRDefault="009A0E19" w:rsidP="009C618B">
      <w:pPr>
        <w:tabs>
          <w:tab w:val="left" w:pos="480"/>
        </w:tabs>
        <w:spacing w:after="120" w:line="276" w:lineRule="auto"/>
        <w:ind w:left="482" w:right="607"/>
        <w:rPr>
          <w:b/>
          <w:bCs/>
          <w:lang w:eastAsia="en-AU"/>
        </w:rPr>
      </w:pPr>
      <w:r w:rsidRPr="00F82A38">
        <w:rPr>
          <w:b/>
          <w:bCs/>
          <w:lang w:eastAsia="en-AU"/>
        </w:rPr>
        <w:t>Purpose of the Instrument</w:t>
      </w:r>
    </w:p>
    <w:p w14:paraId="1DFFB10C" w14:textId="51F673A5" w:rsidR="003B14E0" w:rsidRPr="0009282A" w:rsidRDefault="00680114" w:rsidP="0009282A">
      <w:pPr>
        <w:tabs>
          <w:tab w:val="left" w:pos="480"/>
        </w:tabs>
        <w:spacing w:line="276" w:lineRule="auto"/>
        <w:ind w:left="480" w:right="607"/>
      </w:pPr>
      <w:r w:rsidRPr="00963407">
        <w:t xml:space="preserve">The purpose of this </w:t>
      </w:r>
      <w:r w:rsidRPr="00297000">
        <w:t xml:space="preserve">instrument is to </w:t>
      </w:r>
      <w:r w:rsidR="00B0766B">
        <w:t xml:space="preserve">jointly </w:t>
      </w:r>
      <w:r w:rsidR="005E6AC8">
        <w:t>make</w:t>
      </w:r>
      <w:r w:rsidRPr="00297000">
        <w:t xml:space="preserve"> </w:t>
      </w:r>
      <w:r w:rsidR="00095995" w:rsidRPr="00297000">
        <w:t>the</w:t>
      </w:r>
      <w:r w:rsidR="004A4722" w:rsidRPr="00297000">
        <w:t xml:space="preserve"> </w:t>
      </w:r>
      <w:r w:rsidR="0009282A" w:rsidRPr="0009282A">
        <w:rPr>
          <w:szCs w:val="26"/>
        </w:rPr>
        <w:t>National Recovery Plan for Leadbeater’s Possum (</w:t>
      </w:r>
      <w:r w:rsidR="0009282A" w:rsidRPr="0009282A">
        <w:rPr>
          <w:i/>
          <w:iCs/>
          <w:szCs w:val="26"/>
        </w:rPr>
        <w:t>Gymnobelideus leadbeateri</w:t>
      </w:r>
      <w:r w:rsidR="0009282A" w:rsidRPr="0009282A">
        <w:rPr>
          <w:szCs w:val="26"/>
        </w:rPr>
        <w:t xml:space="preserve">) </w:t>
      </w:r>
      <w:r w:rsidR="00B0766B">
        <w:t>(</w:t>
      </w:r>
      <w:r w:rsidR="00B0766B">
        <w:rPr>
          <w:b/>
          <w:bCs/>
        </w:rPr>
        <w:t>Recovery P</w:t>
      </w:r>
      <w:r w:rsidR="00B0766B" w:rsidRPr="00B0766B">
        <w:rPr>
          <w:b/>
          <w:bCs/>
        </w:rPr>
        <w:t>lan</w:t>
      </w:r>
      <w:r w:rsidR="00B0766B">
        <w:t xml:space="preserve">) </w:t>
      </w:r>
      <w:r w:rsidR="00B0766B" w:rsidRPr="0080757F">
        <w:t xml:space="preserve">with </w:t>
      </w:r>
      <w:r w:rsidR="002A40F8" w:rsidRPr="0080757F">
        <w:t xml:space="preserve">the </w:t>
      </w:r>
      <w:r w:rsidR="00803C1B" w:rsidRPr="0080757F">
        <w:rPr>
          <w:szCs w:val="26"/>
        </w:rPr>
        <w:t>State of Victoria.</w:t>
      </w:r>
    </w:p>
    <w:p w14:paraId="2A0CF210" w14:textId="77777777" w:rsidR="0009282A" w:rsidRPr="0009282A" w:rsidRDefault="0009282A" w:rsidP="0009282A">
      <w:pPr>
        <w:tabs>
          <w:tab w:val="left" w:pos="480"/>
        </w:tabs>
        <w:spacing w:line="276" w:lineRule="auto"/>
        <w:ind w:left="480" w:right="607"/>
      </w:pPr>
    </w:p>
    <w:p w14:paraId="04B7AFA8" w14:textId="77777777" w:rsidR="00E01BE7" w:rsidRDefault="005E6AC8" w:rsidP="00CE5197">
      <w:pPr>
        <w:tabs>
          <w:tab w:val="left" w:pos="480"/>
        </w:tabs>
        <w:spacing w:line="276" w:lineRule="auto"/>
        <w:ind w:left="480"/>
        <w:rPr>
          <w:szCs w:val="26"/>
        </w:rPr>
      </w:pPr>
      <w:r>
        <w:t xml:space="preserve">The </w:t>
      </w:r>
      <w:r w:rsidR="0009282A" w:rsidRPr="0009282A">
        <w:t>Leadbeater’s possum</w:t>
      </w:r>
      <w:r w:rsidRPr="0009282A">
        <w:t xml:space="preserve"> </w:t>
      </w:r>
      <w:r w:rsidR="00871480" w:rsidRPr="00515986">
        <w:t xml:space="preserve">is </w:t>
      </w:r>
      <w:r w:rsidR="00E22A1C" w:rsidRPr="00515986">
        <w:t>listed in the</w:t>
      </w:r>
      <w:r w:rsidR="005C0817">
        <w:t xml:space="preserve"> Critically Endangered </w:t>
      </w:r>
      <w:r w:rsidR="00E22A1C" w:rsidRPr="00515986">
        <w:t xml:space="preserve">category in the </w:t>
      </w:r>
      <w:r w:rsidR="00297000">
        <w:t>List of threatened species</w:t>
      </w:r>
      <w:r w:rsidR="00AF6BFC">
        <w:t xml:space="preserve"> under section 178 of the Act</w:t>
      </w:r>
      <w:r w:rsidR="00E22A1C" w:rsidRPr="00515986">
        <w:t>.</w:t>
      </w:r>
      <w:r w:rsidR="007B3366" w:rsidRPr="007B3366">
        <w:t xml:space="preserve"> </w:t>
      </w:r>
      <w:r w:rsidR="00CE5197" w:rsidRPr="00DA3EA7">
        <w:rPr>
          <w:szCs w:val="26"/>
        </w:rPr>
        <w:t xml:space="preserve">The </w:t>
      </w:r>
      <w:r w:rsidR="00CE5197">
        <w:rPr>
          <w:szCs w:val="26"/>
        </w:rPr>
        <w:t>Recovery Plan</w:t>
      </w:r>
      <w:r w:rsidR="00CE5197" w:rsidRPr="00DA3EA7">
        <w:rPr>
          <w:szCs w:val="26"/>
        </w:rPr>
        <w:t xml:space="preserve"> provides for the research and management actions necessary to stop the decline of, and support the recovery of, the listed threatened species set out in the table, in order to maximise</w:t>
      </w:r>
      <w:r w:rsidR="005C0817">
        <w:rPr>
          <w:szCs w:val="26"/>
        </w:rPr>
        <w:t xml:space="preserve"> its </w:t>
      </w:r>
      <w:r w:rsidR="00CE5197" w:rsidRPr="00DA3EA7">
        <w:rPr>
          <w:szCs w:val="26"/>
        </w:rPr>
        <w:t xml:space="preserve">chances of long-term survival in nature. </w:t>
      </w:r>
    </w:p>
    <w:p w14:paraId="76BC68D9" w14:textId="77777777" w:rsidR="00E01BE7" w:rsidRDefault="00E01BE7" w:rsidP="00CE5197">
      <w:pPr>
        <w:tabs>
          <w:tab w:val="left" w:pos="480"/>
        </w:tabs>
        <w:spacing w:line="276" w:lineRule="auto"/>
        <w:ind w:left="480"/>
        <w:rPr>
          <w:szCs w:val="26"/>
        </w:rPr>
      </w:pPr>
    </w:p>
    <w:p w14:paraId="79EA6C4A" w14:textId="28362EE6" w:rsidR="00AE04FA" w:rsidRPr="00AF6BFC" w:rsidRDefault="00CE5197" w:rsidP="0039670F">
      <w:pPr>
        <w:tabs>
          <w:tab w:val="left" w:pos="480"/>
        </w:tabs>
        <w:spacing w:line="276" w:lineRule="auto"/>
        <w:ind w:left="480"/>
      </w:pPr>
      <w:r w:rsidRPr="00DA3EA7">
        <w:rPr>
          <w:szCs w:val="26"/>
        </w:rPr>
        <w:t>The species</w:t>
      </w:r>
      <w:r w:rsidR="005C0817">
        <w:rPr>
          <w:szCs w:val="26"/>
        </w:rPr>
        <w:t xml:space="preserve"> is </w:t>
      </w:r>
      <w:r w:rsidRPr="00DA3EA7">
        <w:rPr>
          <w:szCs w:val="26"/>
        </w:rPr>
        <w:t>endemic to</w:t>
      </w:r>
      <w:r w:rsidR="005C0817">
        <w:rPr>
          <w:szCs w:val="26"/>
        </w:rPr>
        <w:t xml:space="preserve"> Victoria</w:t>
      </w:r>
      <w:r w:rsidRPr="00DA3EA7">
        <w:rPr>
          <w:szCs w:val="26"/>
        </w:rPr>
        <w:t xml:space="preserve">, and the </w:t>
      </w:r>
      <w:r>
        <w:rPr>
          <w:szCs w:val="26"/>
        </w:rPr>
        <w:t>Recovery Plan</w:t>
      </w:r>
      <w:r w:rsidRPr="00DA3EA7">
        <w:rPr>
          <w:szCs w:val="26"/>
        </w:rPr>
        <w:t xml:space="preserve"> covers the full range of the species.</w:t>
      </w:r>
      <w:r w:rsidRPr="00DA3EA7">
        <w:rPr>
          <w:color w:val="FF0000"/>
          <w:szCs w:val="26"/>
        </w:rPr>
        <w:t xml:space="preserve"> </w:t>
      </w:r>
      <w:r w:rsidRPr="00DA3EA7">
        <w:rPr>
          <w:szCs w:val="26"/>
        </w:rPr>
        <w:t>The</w:t>
      </w:r>
      <w:r w:rsidR="005C0817">
        <w:rPr>
          <w:szCs w:val="26"/>
        </w:rPr>
        <w:t xml:space="preserve"> Leadbeater’s possum </w:t>
      </w:r>
      <w:r w:rsidR="002779B6">
        <w:rPr>
          <w:szCs w:val="26"/>
        </w:rPr>
        <w:t>has a restricted range occurring solely within Regional Forest Agreement</w:t>
      </w:r>
      <w:r w:rsidR="000E0B4C">
        <w:rPr>
          <w:szCs w:val="26"/>
        </w:rPr>
        <w:t xml:space="preserve"> (RFA)</w:t>
      </w:r>
      <w:r w:rsidR="002779B6">
        <w:rPr>
          <w:szCs w:val="26"/>
        </w:rPr>
        <w:t xml:space="preserve"> </w:t>
      </w:r>
      <w:r w:rsidR="00D16516">
        <w:rPr>
          <w:szCs w:val="26"/>
        </w:rPr>
        <w:t>areas</w:t>
      </w:r>
      <w:r w:rsidRPr="00DA3EA7">
        <w:rPr>
          <w:szCs w:val="26"/>
        </w:rPr>
        <w:t>. The key threats to</w:t>
      </w:r>
      <w:r w:rsidR="00D16516">
        <w:rPr>
          <w:szCs w:val="26"/>
        </w:rPr>
        <w:t xml:space="preserve"> Leadbeater’s possum </w:t>
      </w:r>
      <w:r w:rsidRPr="00DA3EA7">
        <w:rPr>
          <w:szCs w:val="26"/>
        </w:rPr>
        <w:t>include</w:t>
      </w:r>
      <w:r w:rsidR="00D16516">
        <w:rPr>
          <w:szCs w:val="26"/>
        </w:rPr>
        <w:t xml:space="preserve"> decline in habitat quality and extent, loss of hollow-bearing trees</w:t>
      </w:r>
      <w:r w:rsidR="00A969A0">
        <w:rPr>
          <w:szCs w:val="26"/>
        </w:rPr>
        <w:t xml:space="preserve"> and severe bushfires</w:t>
      </w:r>
      <w:r w:rsidRPr="00DA3EA7">
        <w:rPr>
          <w:szCs w:val="26"/>
        </w:rPr>
        <w:t>.</w:t>
      </w:r>
      <w:r w:rsidR="00756560">
        <w:rPr>
          <w:szCs w:val="26"/>
        </w:rPr>
        <w:t xml:space="preserve"> </w:t>
      </w:r>
      <w:r w:rsidR="004A4722" w:rsidRPr="009C618B">
        <w:t xml:space="preserve">The </w:t>
      </w:r>
      <w:r w:rsidR="00DC739A" w:rsidRPr="0080757F">
        <w:t>jointly</w:t>
      </w:r>
      <w:r w:rsidR="00DC739A" w:rsidRPr="00CD7833">
        <w:t xml:space="preserve"> </w:t>
      </w:r>
      <w:r w:rsidR="005E6AC8" w:rsidRPr="00CD7833">
        <w:t>made</w:t>
      </w:r>
      <w:r w:rsidR="004A4722" w:rsidRPr="00C83054">
        <w:t xml:space="preserve"> </w:t>
      </w:r>
      <w:r w:rsidR="009C618B">
        <w:t xml:space="preserve">Recovery </w:t>
      </w:r>
      <w:r w:rsidR="00871480">
        <w:t>P</w:t>
      </w:r>
      <w:r w:rsidR="004A4722" w:rsidRPr="009C618B">
        <w:t>lan</w:t>
      </w:r>
      <w:r w:rsidR="00756560">
        <w:t xml:space="preserve"> </w:t>
      </w:r>
      <w:r w:rsidR="007B3366">
        <w:t>was developed by the</w:t>
      </w:r>
      <w:r w:rsidR="007E69C9">
        <w:t xml:space="preserve"> Department of Climate Change, Energy, the Environment and Water</w:t>
      </w:r>
      <w:r w:rsidR="00B839B6" w:rsidRPr="009C618B">
        <w:t>.</w:t>
      </w:r>
    </w:p>
    <w:p w14:paraId="30749388" w14:textId="77777777" w:rsidR="00AC2626" w:rsidRDefault="00AC2626" w:rsidP="00AC2626">
      <w:pPr>
        <w:spacing w:line="276" w:lineRule="auto"/>
        <w:rPr>
          <w:bCs/>
        </w:rPr>
      </w:pPr>
    </w:p>
    <w:p w14:paraId="2E4711C5" w14:textId="4D0B01E5" w:rsidR="007A4DB2" w:rsidRPr="00B0766B" w:rsidRDefault="00F9496D" w:rsidP="00B0766B">
      <w:pPr>
        <w:spacing w:after="200" w:line="276" w:lineRule="auto"/>
        <w:ind w:left="482"/>
        <w:rPr>
          <w:rFonts w:eastAsia="Calibri"/>
          <w:b/>
          <w:bCs/>
          <w:lang w:eastAsia="en-AU"/>
        </w:rPr>
      </w:pPr>
      <w:r w:rsidRPr="00F9496D">
        <w:rPr>
          <w:rFonts w:eastAsia="Calibri"/>
          <w:b/>
          <w:bCs/>
          <w:lang w:eastAsia="en-AU"/>
        </w:rPr>
        <w:t>Consultation</w:t>
      </w:r>
    </w:p>
    <w:p w14:paraId="77818FB3" w14:textId="68896B8A" w:rsidR="00B839B6" w:rsidRPr="007A4DB2" w:rsidRDefault="00B0766B" w:rsidP="00163A41">
      <w:pPr>
        <w:spacing w:line="276" w:lineRule="auto"/>
        <w:ind w:left="482"/>
        <w:rPr>
          <w:highlight w:val="yellow"/>
        </w:rPr>
      </w:pPr>
      <w:r>
        <w:rPr>
          <w:rFonts w:eastAsia="Calibri"/>
          <w:lang w:eastAsia="en-AU"/>
        </w:rPr>
        <w:t>In accordance with Section 275 of the Act, p</w:t>
      </w:r>
      <w:r w:rsidR="003D5DAD">
        <w:rPr>
          <w:rFonts w:eastAsia="Calibri"/>
          <w:lang w:eastAsia="en-AU"/>
        </w:rPr>
        <w:t xml:space="preserve">ublic </w:t>
      </w:r>
      <w:r w:rsidR="00715A8B" w:rsidRPr="00715A8B">
        <w:rPr>
          <w:rFonts w:eastAsia="Calibri"/>
          <w:lang w:eastAsia="en-AU"/>
        </w:rPr>
        <w:t>comment was invited on the draft Recovery Plan</w:t>
      </w:r>
      <w:r>
        <w:rPr>
          <w:rFonts w:eastAsia="Calibri"/>
          <w:lang w:eastAsia="en-AU"/>
        </w:rPr>
        <w:t xml:space="preserve"> for minimum of three months</w:t>
      </w:r>
      <w:r w:rsidR="007A4DB2">
        <w:rPr>
          <w:rFonts w:eastAsia="Calibri"/>
          <w:lang w:eastAsia="en-AU"/>
        </w:rPr>
        <w:t xml:space="preserve">. </w:t>
      </w:r>
      <w:r w:rsidR="00715A8B" w:rsidRPr="00715A8B">
        <w:rPr>
          <w:rFonts w:eastAsia="Calibri"/>
          <w:lang w:eastAsia="en-AU"/>
        </w:rPr>
        <w:t xml:space="preserve">A notice inviting comments on the Recovery Plan was </w:t>
      </w:r>
      <w:r w:rsidR="00715A8B" w:rsidRPr="00715A8B">
        <w:rPr>
          <w:rFonts w:eastAsia="Calibri"/>
          <w:lang w:eastAsia="en-AU"/>
        </w:rPr>
        <w:lastRenderedPageBreak/>
        <w:t xml:space="preserve">advertised in the </w:t>
      </w:r>
      <w:r w:rsidR="00715A8B" w:rsidRPr="00715A8B">
        <w:rPr>
          <w:rFonts w:eastAsia="Calibri"/>
          <w:i/>
          <w:iCs/>
          <w:lang w:eastAsia="en-AU"/>
        </w:rPr>
        <w:t>Gazette</w:t>
      </w:r>
      <w:r w:rsidR="00715A8B" w:rsidRPr="00715A8B">
        <w:rPr>
          <w:rFonts w:eastAsia="Calibri"/>
          <w:lang w:eastAsia="en-AU"/>
        </w:rPr>
        <w:t xml:space="preserve">, </w:t>
      </w:r>
      <w:r w:rsidR="00715A8B" w:rsidRPr="00715A8B">
        <w:rPr>
          <w:rFonts w:eastAsia="Calibri"/>
          <w:i/>
          <w:lang w:eastAsia="en-AU"/>
        </w:rPr>
        <w:t>The Australian</w:t>
      </w:r>
      <w:r w:rsidR="00715A8B" w:rsidRPr="00715A8B">
        <w:rPr>
          <w:rFonts w:eastAsia="Calibri"/>
          <w:lang w:eastAsia="en-AU"/>
        </w:rPr>
        <w:t xml:space="preserve"> newspaper and on the website of the Australian Government Department</w:t>
      </w:r>
      <w:r w:rsidR="005C0817">
        <w:rPr>
          <w:rFonts w:eastAsia="Calibri"/>
          <w:lang w:eastAsia="en-AU"/>
        </w:rPr>
        <w:t xml:space="preserve"> </w:t>
      </w:r>
      <w:r w:rsidR="00EA3819">
        <w:rPr>
          <w:rFonts w:eastAsia="Calibri"/>
          <w:lang w:eastAsia="en-AU"/>
        </w:rPr>
        <w:t>of</w:t>
      </w:r>
      <w:r w:rsidR="005D3E23">
        <w:rPr>
          <w:rFonts w:eastAsia="Calibri"/>
          <w:lang w:eastAsia="en-AU"/>
        </w:rPr>
        <w:t xml:space="preserve"> the Environment</w:t>
      </w:r>
      <w:r w:rsidR="00715A8B" w:rsidRPr="00715A8B">
        <w:rPr>
          <w:rFonts w:eastAsia="Calibri"/>
          <w:lang w:eastAsia="en-AU"/>
        </w:rPr>
        <w:t>.</w:t>
      </w:r>
      <w:r w:rsidR="00EA1B63">
        <w:rPr>
          <w:rFonts w:eastAsia="Calibri"/>
          <w:lang w:eastAsia="en-AU"/>
        </w:rPr>
        <w:t xml:space="preserve"> 3708 </w:t>
      </w:r>
      <w:r w:rsidRPr="001C2DEA">
        <w:t>submission</w:t>
      </w:r>
      <w:r>
        <w:t>s</w:t>
      </w:r>
      <w:r w:rsidRPr="001C2DEA">
        <w:t xml:space="preserve"> </w:t>
      </w:r>
      <w:r>
        <w:t>were</w:t>
      </w:r>
      <w:r w:rsidRPr="001C2DEA">
        <w:t xml:space="preserve"> received on the draft </w:t>
      </w:r>
      <w:r>
        <w:t>Recovery P</w:t>
      </w:r>
      <w:r w:rsidRPr="001C2DEA">
        <w:t>lan</w:t>
      </w:r>
      <w:r>
        <w:t xml:space="preserve"> and, </w:t>
      </w:r>
      <w:r>
        <w:rPr>
          <w:rFonts w:eastAsia="Calibri"/>
          <w:lang w:eastAsia="en-AU"/>
        </w:rPr>
        <w:t xml:space="preserve">as required by Section 276 of the Act, these </w:t>
      </w:r>
      <w:r w:rsidR="00AD0DCA">
        <w:t xml:space="preserve">comments were considered </w:t>
      </w:r>
      <w:r>
        <w:t xml:space="preserve">by the Minister </w:t>
      </w:r>
      <w:r w:rsidR="00AD0DCA">
        <w:t xml:space="preserve">in </w:t>
      </w:r>
      <w:r>
        <w:t>making</w:t>
      </w:r>
      <w:r w:rsidR="00AD0DCA">
        <w:t xml:space="preserve"> the plan</w:t>
      </w:r>
      <w:r w:rsidR="00610D67" w:rsidRPr="001C2DEA">
        <w:t>.</w:t>
      </w:r>
    </w:p>
    <w:p w14:paraId="72437192" w14:textId="77777777" w:rsidR="00D66986" w:rsidRDefault="00D66986" w:rsidP="00F222DB">
      <w:pPr>
        <w:rPr>
          <w:highlight w:val="yellow"/>
        </w:rPr>
      </w:pPr>
    </w:p>
    <w:p w14:paraId="57AE5C79" w14:textId="1E15E164" w:rsidR="00B0766B" w:rsidRDefault="005D078E" w:rsidP="005D078E">
      <w:pPr>
        <w:spacing w:after="200" w:line="276" w:lineRule="auto"/>
        <w:ind w:left="482"/>
        <w:rPr>
          <w:lang w:eastAsia="en-AU"/>
        </w:rPr>
      </w:pPr>
      <w:r w:rsidRPr="009318B2">
        <w:rPr>
          <w:lang w:eastAsia="en-AU"/>
        </w:rPr>
        <w:t>Section 274 of the EPBC Act provides that the Minister must obtain and consider advice from the Threatened Species Scientific Committee (</w:t>
      </w:r>
      <w:r w:rsidRPr="009318B2">
        <w:rPr>
          <w:b/>
          <w:bCs/>
          <w:lang w:eastAsia="en-AU"/>
        </w:rPr>
        <w:t>Committee</w:t>
      </w:r>
      <w:r w:rsidRPr="009318B2">
        <w:rPr>
          <w:lang w:eastAsia="en-AU"/>
        </w:rPr>
        <w:t xml:space="preserve">) on the content of the Recovery Plan. The Committee recommended that the Recovery Plan be made under the EPBC Act. </w:t>
      </w:r>
    </w:p>
    <w:p w14:paraId="7347B11D" w14:textId="78769047" w:rsidR="00941E28" w:rsidRPr="00DC739A" w:rsidRDefault="00FE6275" w:rsidP="00DC739A">
      <w:pPr>
        <w:tabs>
          <w:tab w:val="left" w:pos="480"/>
        </w:tabs>
        <w:spacing w:line="276" w:lineRule="auto"/>
        <w:ind w:left="482"/>
      </w:pPr>
      <w:r>
        <w:t>S</w:t>
      </w:r>
      <w:r w:rsidR="00B839B6" w:rsidRPr="007A4DB2">
        <w:t>ectio</w:t>
      </w:r>
      <w:r w:rsidR="009E46B2" w:rsidRPr="007A4DB2">
        <w:t xml:space="preserve">n 270 of the Act and </w:t>
      </w:r>
      <w:r w:rsidR="00B0766B">
        <w:t>R</w:t>
      </w:r>
      <w:r w:rsidR="009E46B2" w:rsidRPr="007A4DB2">
        <w:t>egulation </w:t>
      </w:r>
      <w:r w:rsidR="00B839B6" w:rsidRPr="007A4DB2">
        <w:t xml:space="preserve">7.11 of the </w:t>
      </w:r>
      <w:r w:rsidR="00B839B6" w:rsidRPr="00DC739A">
        <w:rPr>
          <w:i/>
          <w:iCs/>
        </w:rPr>
        <w:t>Environment Protection and Biodiversity Conservation Regulations 2000</w:t>
      </w:r>
      <w:r w:rsidR="00C40FBD" w:rsidRPr="00DC739A">
        <w:t xml:space="preserve"> (</w:t>
      </w:r>
      <w:r w:rsidR="00C40FBD" w:rsidRPr="00DC739A">
        <w:rPr>
          <w:b/>
          <w:bCs/>
        </w:rPr>
        <w:t>Regulations</w:t>
      </w:r>
      <w:r w:rsidR="00C40FBD" w:rsidRPr="00DC739A">
        <w:t>)</w:t>
      </w:r>
      <w:r w:rsidR="00941E28" w:rsidRPr="00DC739A">
        <w:t xml:space="preserve"> requires that recovery plans include certain content, such as stating the objectives of the plan and specifying the actions needed to achieve the objectives. The Recovery Plan contains the content prescribed under the Act and the Regulations.</w:t>
      </w:r>
    </w:p>
    <w:p w14:paraId="49D3F2F0" w14:textId="77777777" w:rsidR="00B0766B" w:rsidRPr="00B0766B" w:rsidRDefault="00B0766B" w:rsidP="00384283">
      <w:pPr>
        <w:tabs>
          <w:tab w:val="left" w:pos="480"/>
        </w:tabs>
        <w:spacing w:line="276" w:lineRule="auto"/>
      </w:pPr>
    </w:p>
    <w:p w14:paraId="293BDFCF" w14:textId="0F08C536" w:rsidR="00434815" w:rsidRPr="00434815" w:rsidRDefault="00434815" w:rsidP="00163A41">
      <w:pPr>
        <w:spacing w:after="200" w:line="276" w:lineRule="auto"/>
        <w:ind w:left="482"/>
        <w:rPr>
          <w:rFonts w:eastAsia="Calibri"/>
          <w:b/>
          <w:bCs/>
          <w:lang w:eastAsia="en-AU"/>
        </w:rPr>
      </w:pPr>
      <w:r w:rsidRPr="00434815">
        <w:rPr>
          <w:rFonts w:eastAsia="Calibri"/>
          <w:b/>
          <w:bCs/>
          <w:lang w:eastAsia="en-AU"/>
        </w:rPr>
        <w:t>Commencement</w:t>
      </w:r>
    </w:p>
    <w:p w14:paraId="7905E063" w14:textId="700ACD6C" w:rsidR="00434815" w:rsidRPr="00434815" w:rsidRDefault="00434815" w:rsidP="00163A41">
      <w:pPr>
        <w:spacing w:after="200" w:line="276" w:lineRule="auto"/>
        <w:ind w:left="482"/>
        <w:rPr>
          <w:rFonts w:eastAsia="Calibri"/>
          <w:lang w:eastAsia="en-AU"/>
        </w:rPr>
      </w:pPr>
      <w:r w:rsidRPr="00434815">
        <w:rPr>
          <w:rFonts w:eastAsia="Calibri"/>
          <w:lang w:eastAsia="en-AU"/>
        </w:rPr>
        <w:t>This Instrument</w:t>
      </w:r>
      <w:r w:rsidR="003B4E62">
        <w:rPr>
          <w:rFonts w:eastAsia="Calibri"/>
          <w:lang w:eastAsia="en-AU"/>
        </w:rPr>
        <w:t>, comprising of the Recovery Plan,</w:t>
      </w:r>
      <w:r w:rsidRPr="00434815">
        <w:rPr>
          <w:rFonts w:eastAsia="Calibri"/>
          <w:lang w:eastAsia="en-AU"/>
        </w:rPr>
        <w:t xml:space="preserve"> commences on the day after it is registered on the Federal Register of Legislation</w:t>
      </w:r>
      <w:r w:rsidR="00D66986">
        <w:rPr>
          <w:rFonts w:eastAsia="Calibri"/>
          <w:lang w:eastAsia="en-AU"/>
        </w:rPr>
        <w:t xml:space="preserve"> and</w:t>
      </w:r>
      <w:r w:rsidRPr="00434815">
        <w:rPr>
          <w:rFonts w:eastAsia="Calibri"/>
          <w:lang w:eastAsia="en-AU"/>
        </w:rPr>
        <w:t xml:space="preserve"> </w:t>
      </w:r>
      <w:r w:rsidR="00D66986" w:rsidRPr="009F3010">
        <w:rPr>
          <w:lang w:val="en-US"/>
        </w:rPr>
        <w:t xml:space="preserve">is a legislative instrument for the purposes of the </w:t>
      </w:r>
      <w:r w:rsidR="00D66986" w:rsidRPr="009F3010">
        <w:rPr>
          <w:i/>
          <w:lang w:val="en-US"/>
        </w:rPr>
        <w:t>Legislation Act 2003</w:t>
      </w:r>
      <w:r w:rsidR="00D66986" w:rsidRPr="009F3010">
        <w:rPr>
          <w:lang w:val="en-US"/>
        </w:rPr>
        <w:t>.</w:t>
      </w:r>
    </w:p>
    <w:p w14:paraId="717E2E26" w14:textId="77777777" w:rsidR="00B839B6" w:rsidRPr="009F3010" w:rsidRDefault="00434815" w:rsidP="00D66986">
      <w:pPr>
        <w:spacing w:after="200" w:line="276" w:lineRule="auto"/>
        <w:ind w:left="482"/>
        <w:rPr>
          <w:rFonts w:eastAsia="Calibri"/>
          <w:lang w:eastAsia="en-AU"/>
        </w:rPr>
      </w:pPr>
      <w:r w:rsidRPr="00434815">
        <w:rPr>
          <w:rFonts w:eastAsia="Calibri"/>
          <w:lang w:eastAsia="en-AU"/>
        </w:rPr>
        <w:t xml:space="preserve">This Instrument is compatible with the human rights and freedoms recognised or declared under section 3 of the </w:t>
      </w:r>
      <w:r w:rsidRPr="00434815">
        <w:rPr>
          <w:rFonts w:eastAsia="Calibri"/>
          <w:i/>
          <w:iCs/>
          <w:lang w:eastAsia="en-AU"/>
        </w:rPr>
        <w:t>Human Rights (Parliamentary Scrutiny) Act 2011</w:t>
      </w:r>
      <w:r w:rsidRPr="00434815">
        <w:rPr>
          <w:rFonts w:eastAsia="Calibri"/>
          <w:lang w:eastAsia="en-AU"/>
        </w:rPr>
        <w:t>. A full statement of compatibility is set out below.</w:t>
      </w:r>
    </w:p>
    <w:p w14:paraId="70843C9D" w14:textId="00B96CC6" w:rsidR="00B839B6" w:rsidRDefault="00B839B6" w:rsidP="00163A41">
      <w:pPr>
        <w:tabs>
          <w:tab w:val="left" w:pos="480"/>
        </w:tabs>
        <w:spacing w:line="276" w:lineRule="auto"/>
        <w:ind w:left="482"/>
        <w:rPr>
          <w:lang w:val="en-US"/>
        </w:rPr>
      </w:pPr>
      <w:r w:rsidRPr="009F3010">
        <w:rPr>
          <w:lang w:val="en-US"/>
        </w:rPr>
        <w:t>Authority: Section 269A(</w:t>
      </w:r>
      <w:r w:rsidR="003B4E62">
        <w:rPr>
          <w:lang w:val="en-US"/>
        </w:rPr>
        <w:t>3</w:t>
      </w:r>
      <w:r w:rsidRPr="009F3010">
        <w:rPr>
          <w:lang w:val="en-US"/>
        </w:rPr>
        <w:t xml:space="preserve">) of the </w:t>
      </w:r>
      <w:r w:rsidRPr="009F3010">
        <w:rPr>
          <w:i/>
          <w:lang w:val="en-US"/>
        </w:rPr>
        <w:t>Environment Protection and Biodiversity Conservation Act 1999</w:t>
      </w:r>
      <w:r w:rsidRPr="009F3010">
        <w:rPr>
          <w:lang w:val="en-US"/>
        </w:rPr>
        <w:t>.</w:t>
      </w:r>
    </w:p>
    <w:p w14:paraId="74AB74A3" w14:textId="77777777" w:rsidR="00150C96" w:rsidRDefault="00150C96" w:rsidP="00163A41">
      <w:pPr>
        <w:tabs>
          <w:tab w:val="left" w:pos="480"/>
        </w:tabs>
        <w:spacing w:line="276" w:lineRule="auto"/>
        <w:ind w:left="482"/>
        <w:rPr>
          <w:lang w:val="en-US"/>
        </w:rPr>
      </w:pPr>
    </w:p>
    <w:p w14:paraId="5B624F47" w14:textId="77777777" w:rsidR="00150C96" w:rsidRPr="00AF6BFC" w:rsidRDefault="00150C96" w:rsidP="00150C96">
      <w:pPr>
        <w:tabs>
          <w:tab w:val="left" w:pos="480"/>
        </w:tabs>
        <w:spacing w:line="276" w:lineRule="auto"/>
        <w:ind w:left="480" w:right="607"/>
        <w:rPr>
          <w:b/>
        </w:rPr>
      </w:pPr>
      <w:r w:rsidRPr="00AF6BFC">
        <w:rPr>
          <w:b/>
        </w:rPr>
        <w:t>Meeting the requirements of section 270 of the EPBC Act</w:t>
      </w:r>
    </w:p>
    <w:p w14:paraId="65884A68" w14:textId="77777777" w:rsidR="00150C96" w:rsidRPr="00AF6BFC" w:rsidRDefault="00150C96" w:rsidP="00150C96">
      <w:pPr>
        <w:tabs>
          <w:tab w:val="left" w:pos="480"/>
        </w:tabs>
        <w:spacing w:line="276" w:lineRule="auto"/>
        <w:ind w:left="480" w:right="607"/>
        <w:rPr>
          <w:b/>
        </w:rPr>
      </w:pPr>
    </w:p>
    <w:p w14:paraId="389B5C09" w14:textId="63B79F7E" w:rsidR="00150C96" w:rsidRPr="00AF6BFC" w:rsidRDefault="00150C96" w:rsidP="00150C96">
      <w:pPr>
        <w:tabs>
          <w:tab w:val="left" w:pos="480"/>
        </w:tabs>
        <w:spacing w:line="276" w:lineRule="auto"/>
        <w:ind w:left="480" w:right="607"/>
      </w:pPr>
      <w:r w:rsidRPr="00AF6BFC">
        <w:t xml:space="preserve">Section 270 of the Act specifies the content requirements for recovery plans. The Minister cannot </w:t>
      </w:r>
      <w:r>
        <w:t>make</w:t>
      </w:r>
      <w:r w:rsidRPr="00AF6BFC">
        <w:t xml:space="preserve"> a State or Territory plan as a recovery plan, unless the plan meets the requirements of section 270.</w:t>
      </w:r>
    </w:p>
    <w:p w14:paraId="3B26A075" w14:textId="77777777" w:rsidR="00150C96" w:rsidRPr="00AF6BFC" w:rsidRDefault="00150C96" w:rsidP="00150C96">
      <w:pPr>
        <w:tabs>
          <w:tab w:val="left" w:pos="480"/>
        </w:tabs>
        <w:spacing w:line="276" w:lineRule="auto"/>
        <w:ind w:left="480" w:right="607"/>
      </w:pPr>
    </w:p>
    <w:p w14:paraId="53E68484" w14:textId="45BF1BF8" w:rsidR="00150C96" w:rsidRPr="00AF6BFC" w:rsidRDefault="00150C96" w:rsidP="00150C96">
      <w:pPr>
        <w:tabs>
          <w:tab w:val="left" w:pos="480"/>
        </w:tabs>
        <w:spacing w:line="276" w:lineRule="auto"/>
        <w:ind w:left="480" w:right="607"/>
      </w:pPr>
      <w:r w:rsidRPr="00AF6BFC">
        <w:t xml:space="preserve">The Department </w:t>
      </w:r>
      <w:r w:rsidRPr="00746F77">
        <w:t xml:space="preserve">of </w:t>
      </w:r>
      <w:r w:rsidR="00746F77">
        <w:t>Climate Change, Energy, the Environment and Water</w:t>
      </w:r>
      <w:r w:rsidRPr="00746F77">
        <w:t xml:space="preserve">, </w:t>
      </w:r>
      <w:r w:rsidRPr="00AF6BFC">
        <w:t>and the Threatened Species Scientific Committee assessed the plan and both concluded that it complies with the requirements of section 270 of the EPBC Act.</w:t>
      </w:r>
    </w:p>
    <w:p w14:paraId="4D7697E4" w14:textId="77777777" w:rsidR="00150C96" w:rsidRPr="00AF6BFC" w:rsidRDefault="00150C96" w:rsidP="00150C96">
      <w:pPr>
        <w:tabs>
          <w:tab w:val="left" w:pos="480"/>
        </w:tabs>
        <w:spacing w:line="276" w:lineRule="auto"/>
        <w:ind w:left="480" w:right="607"/>
      </w:pPr>
    </w:p>
    <w:p w14:paraId="59ADDACC" w14:textId="77777777" w:rsidR="00150C96" w:rsidRPr="00AF6BFC" w:rsidRDefault="00150C96" w:rsidP="00150C96">
      <w:pPr>
        <w:tabs>
          <w:tab w:val="left" w:pos="480"/>
        </w:tabs>
        <w:spacing w:line="276" w:lineRule="auto"/>
        <w:ind w:left="480" w:right="607"/>
      </w:pPr>
      <w:r w:rsidRPr="00AF6BFC">
        <w:t xml:space="preserve">Section 270(1) of the Act provides that a recovery plan must provide for the research and management actions necessary to stop the decline of, and support the recovery of, the listed threatened subspecies concerned so that their long-term chances of survival in </w:t>
      </w:r>
      <w:r>
        <w:t>nature</w:t>
      </w:r>
      <w:r w:rsidRPr="00AF6BFC">
        <w:t xml:space="preserve"> are maximised. The </w:t>
      </w:r>
      <w:r>
        <w:t>jointly made</w:t>
      </w:r>
      <w:r w:rsidRPr="00AF6BFC">
        <w:t xml:space="preserve"> plan was assessed as compliant in this respect. The </w:t>
      </w:r>
      <w:r>
        <w:t>jointly made</w:t>
      </w:r>
      <w:r w:rsidRPr="00AF6BFC">
        <w:t xml:space="preserve"> plan provides an appropriate balance between identified research actions necessary to better understand the ecological requirements of the </w:t>
      </w:r>
      <w:r>
        <w:t>species</w:t>
      </w:r>
      <w:r w:rsidRPr="00AF6BFC">
        <w:t>, and management actions necessary to deal with the known threats and improve the species’ prospects of survival.</w:t>
      </w:r>
    </w:p>
    <w:p w14:paraId="7DAF9D32" w14:textId="77777777" w:rsidR="00150C96" w:rsidRPr="00AF6BFC" w:rsidRDefault="00150C96" w:rsidP="00150C96">
      <w:pPr>
        <w:tabs>
          <w:tab w:val="left" w:pos="480"/>
        </w:tabs>
        <w:spacing w:line="276" w:lineRule="auto"/>
        <w:ind w:left="480" w:right="607"/>
      </w:pPr>
    </w:p>
    <w:p w14:paraId="552E863E" w14:textId="77777777" w:rsidR="00150C96" w:rsidRPr="00AF6BFC" w:rsidRDefault="00150C96" w:rsidP="00150C96">
      <w:pPr>
        <w:tabs>
          <w:tab w:val="left" w:pos="480"/>
        </w:tabs>
        <w:spacing w:line="276" w:lineRule="auto"/>
        <w:ind w:left="480" w:right="607"/>
      </w:pPr>
      <w:r w:rsidRPr="00AF6BFC">
        <w:lastRenderedPageBreak/>
        <w:t xml:space="preserve">Section 270(2) of the Act provides that a recovery plan must particularly include the material specified in that subsection. The </w:t>
      </w:r>
      <w:r>
        <w:t>jointly made</w:t>
      </w:r>
      <w:r w:rsidRPr="00AF6BFC">
        <w:t xml:space="preserve"> plan states the:</w:t>
      </w:r>
    </w:p>
    <w:p w14:paraId="74E0D4C2" w14:textId="77777777" w:rsidR="00150C96" w:rsidRPr="00AF6BFC" w:rsidRDefault="00150C96" w:rsidP="00150C96">
      <w:pPr>
        <w:tabs>
          <w:tab w:val="left" w:pos="480"/>
        </w:tabs>
        <w:spacing w:line="276" w:lineRule="auto"/>
        <w:ind w:right="607"/>
      </w:pPr>
      <w:r w:rsidRPr="00AF6BFC">
        <w:tab/>
        <w:t xml:space="preserve">(a)   objectives to be achieved; </w:t>
      </w:r>
    </w:p>
    <w:p w14:paraId="704F0751" w14:textId="77777777" w:rsidR="00150C96" w:rsidRPr="00AF6BFC" w:rsidRDefault="00150C96" w:rsidP="00150C96">
      <w:pPr>
        <w:tabs>
          <w:tab w:val="left" w:pos="480"/>
        </w:tabs>
        <w:spacing w:line="276" w:lineRule="auto"/>
        <w:ind w:right="607"/>
      </w:pPr>
      <w:r w:rsidRPr="00AF6BFC">
        <w:tab/>
        <w:t>(b)   criteria against which achievement of the objectives are to be measured</w:t>
      </w:r>
    </w:p>
    <w:p w14:paraId="22D89D8C" w14:textId="77777777" w:rsidR="00150C96" w:rsidRPr="00AF6BFC" w:rsidRDefault="00150C96" w:rsidP="00150C96">
      <w:pPr>
        <w:tabs>
          <w:tab w:val="left" w:pos="480"/>
        </w:tabs>
        <w:spacing w:line="276" w:lineRule="auto"/>
        <w:ind w:right="607"/>
      </w:pPr>
      <w:r w:rsidRPr="00AF6BFC">
        <w:tab/>
        <w:t>(c)   actions needed to achieve the objectives; and</w:t>
      </w:r>
    </w:p>
    <w:p w14:paraId="6B20C5B8" w14:textId="77777777" w:rsidR="00150C96" w:rsidRPr="00AF6BFC" w:rsidRDefault="00150C96" w:rsidP="00150C96">
      <w:pPr>
        <w:tabs>
          <w:tab w:val="left" w:pos="480"/>
        </w:tabs>
        <w:spacing w:line="276" w:lineRule="auto"/>
        <w:ind w:right="607"/>
      </w:pPr>
      <w:r w:rsidRPr="00AF6BFC">
        <w:tab/>
        <w:t>(ca) the threats to the species.</w:t>
      </w:r>
    </w:p>
    <w:p w14:paraId="634E1715" w14:textId="77777777" w:rsidR="00150C96" w:rsidRPr="00AF6BFC" w:rsidRDefault="00150C96" w:rsidP="00150C96">
      <w:pPr>
        <w:tabs>
          <w:tab w:val="left" w:pos="480"/>
        </w:tabs>
        <w:spacing w:line="276" w:lineRule="auto"/>
        <w:ind w:left="480" w:right="607"/>
      </w:pPr>
    </w:p>
    <w:p w14:paraId="45D8688E" w14:textId="77777777" w:rsidR="00150C96" w:rsidRPr="00AF6BFC" w:rsidRDefault="00150C96" w:rsidP="00150C96">
      <w:pPr>
        <w:tabs>
          <w:tab w:val="left" w:pos="480"/>
        </w:tabs>
        <w:spacing w:line="276" w:lineRule="auto"/>
        <w:ind w:left="480" w:right="607"/>
      </w:pPr>
      <w:r w:rsidRPr="0080757F">
        <w:t>The jointly made plan</w:t>
      </w:r>
      <w:r w:rsidRPr="00AF6BFC">
        <w:t xml:space="preserve"> was assessed as compliant in respect of paragraphs (a), (b) and (c) and (ca) of section 270(2) of the Act.</w:t>
      </w:r>
    </w:p>
    <w:p w14:paraId="1A2FE6F4" w14:textId="77777777" w:rsidR="00150C96" w:rsidRPr="00AF6BFC" w:rsidRDefault="00150C96" w:rsidP="00150C96">
      <w:pPr>
        <w:tabs>
          <w:tab w:val="left" w:pos="480"/>
        </w:tabs>
        <w:spacing w:line="276" w:lineRule="auto"/>
        <w:ind w:left="480" w:right="607"/>
      </w:pPr>
    </w:p>
    <w:p w14:paraId="3ABBF08A" w14:textId="77777777" w:rsidR="00150C96" w:rsidRPr="00AF6BFC" w:rsidRDefault="00150C96" w:rsidP="00150C96">
      <w:pPr>
        <w:tabs>
          <w:tab w:val="left" w:pos="480"/>
        </w:tabs>
        <w:spacing w:line="276" w:lineRule="auto"/>
        <w:ind w:left="480" w:right="607"/>
      </w:pPr>
      <w:r w:rsidRPr="00AF6BFC">
        <w:t>Section 270(2A) of the Act provides that a recovery plan is only required to address certain matters identified in section 270(2) to the extent it is practicable to do so. This includes:</w:t>
      </w:r>
    </w:p>
    <w:p w14:paraId="5707A610" w14:textId="77777777" w:rsidR="00150C96" w:rsidRPr="00AF6BFC" w:rsidRDefault="00150C96" w:rsidP="00150C96">
      <w:pPr>
        <w:tabs>
          <w:tab w:val="left" w:pos="840"/>
        </w:tabs>
        <w:spacing w:line="276" w:lineRule="auto"/>
        <w:ind w:left="480" w:right="607"/>
      </w:pPr>
      <w:r w:rsidRPr="00AF6BFC">
        <w:t>(d)  identifying habitats critical to survival of the species;</w:t>
      </w:r>
    </w:p>
    <w:p w14:paraId="5B7A9C09" w14:textId="77777777" w:rsidR="00150C96" w:rsidRPr="00AF6BFC" w:rsidRDefault="00150C96" w:rsidP="00150C96">
      <w:pPr>
        <w:tabs>
          <w:tab w:val="left" w:pos="840"/>
        </w:tabs>
        <w:spacing w:line="276" w:lineRule="auto"/>
        <w:ind w:left="480" w:right="607"/>
      </w:pPr>
      <w:r w:rsidRPr="00AF6BFC">
        <w:t xml:space="preserve">(e)  identifying populations under particular pressure of survival and the actions needed  to protect those habitats; </w:t>
      </w:r>
    </w:p>
    <w:p w14:paraId="09C0F883" w14:textId="77777777" w:rsidR="00150C96" w:rsidRPr="00AF6BFC" w:rsidRDefault="00150C96" w:rsidP="00150C96">
      <w:pPr>
        <w:tabs>
          <w:tab w:val="left" w:pos="840"/>
        </w:tabs>
        <w:spacing w:line="276" w:lineRule="auto"/>
        <w:ind w:left="480" w:right="607"/>
      </w:pPr>
      <w:r w:rsidRPr="00AF6BFC">
        <w:t>(f)  stating the estimated duration and cost of the recovery process;</w:t>
      </w:r>
    </w:p>
    <w:p w14:paraId="4B0A7B00" w14:textId="77777777" w:rsidR="00150C96" w:rsidRPr="00AF6BFC" w:rsidRDefault="00150C96" w:rsidP="00150C96">
      <w:pPr>
        <w:tabs>
          <w:tab w:val="left" w:pos="840"/>
        </w:tabs>
        <w:spacing w:line="276" w:lineRule="auto"/>
        <w:ind w:left="480" w:right="607"/>
      </w:pPr>
      <w:r w:rsidRPr="00AF6BFC">
        <w:t>(g)  identifying interests that will be affected by the plan’s implementation, and organisations or persons who will be involved in evaluating the performance of the recovery plan; and</w:t>
      </w:r>
    </w:p>
    <w:p w14:paraId="6C1D9ECA" w14:textId="77777777" w:rsidR="00150C96" w:rsidRPr="00AF6BFC" w:rsidRDefault="00150C96" w:rsidP="00150C96">
      <w:pPr>
        <w:tabs>
          <w:tab w:val="left" w:pos="840"/>
        </w:tabs>
        <w:spacing w:line="276" w:lineRule="auto"/>
        <w:ind w:left="480" w:right="607"/>
      </w:pPr>
      <w:r w:rsidRPr="00AF6BFC">
        <w:t>(h)  specifying major benefits to other native species or ecological communities that will be affected by implementation of the plan.</w:t>
      </w:r>
    </w:p>
    <w:p w14:paraId="4761ABE2" w14:textId="77777777" w:rsidR="00150C96" w:rsidRPr="00AF6BFC" w:rsidRDefault="00150C96" w:rsidP="00150C96">
      <w:pPr>
        <w:tabs>
          <w:tab w:val="left" w:pos="480"/>
        </w:tabs>
        <w:spacing w:line="276" w:lineRule="auto"/>
        <w:ind w:left="480" w:right="607"/>
      </w:pPr>
    </w:p>
    <w:p w14:paraId="090BEABA" w14:textId="77777777" w:rsidR="00150C96" w:rsidRDefault="00150C96" w:rsidP="00150C96">
      <w:pPr>
        <w:spacing w:line="276" w:lineRule="auto"/>
        <w:ind w:left="480" w:right="607"/>
        <w:rPr>
          <w:iCs/>
        </w:rPr>
      </w:pPr>
      <w:r w:rsidRPr="00AF6BFC">
        <w:t xml:space="preserve">These items are addressed in the plan to the extent practicable and where information is readily available. </w:t>
      </w:r>
      <w:r w:rsidRPr="00AF6BFC">
        <w:rPr>
          <w:iCs/>
        </w:rPr>
        <w:t xml:space="preserve">Where information is not available, additional actions have been incorporated into the plan for it to be obtained. </w:t>
      </w:r>
    </w:p>
    <w:p w14:paraId="25D8CA3A" w14:textId="77777777" w:rsidR="00F957B3" w:rsidRDefault="00F957B3" w:rsidP="00150C96">
      <w:pPr>
        <w:spacing w:line="276" w:lineRule="auto"/>
        <w:ind w:left="480" w:right="607"/>
        <w:rPr>
          <w:iCs/>
        </w:rPr>
      </w:pPr>
    </w:p>
    <w:p w14:paraId="1AAD084D" w14:textId="77777777" w:rsidR="00F957B3" w:rsidRDefault="00F957B3" w:rsidP="00150C96">
      <w:pPr>
        <w:spacing w:line="276" w:lineRule="auto"/>
        <w:ind w:left="480" w:right="607"/>
        <w:rPr>
          <w:iCs/>
        </w:rPr>
      </w:pPr>
    </w:p>
    <w:p w14:paraId="33D4A8ED" w14:textId="77777777" w:rsidR="00F957B3" w:rsidRDefault="00F957B3" w:rsidP="00150C96">
      <w:pPr>
        <w:spacing w:line="276" w:lineRule="auto"/>
        <w:ind w:left="480" w:right="607"/>
        <w:rPr>
          <w:iCs/>
        </w:rPr>
      </w:pPr>
    </w:p>
    <w:p w14:paraId="31CA4E4B" w14:textId="77777777" w:rsidR="00F957B3" w:rsidRDefault="00F957B3" w:rsidP="00150C96">
      <w:pPr>
        <w:spacing w:line="276" w:lineRule="auto"/>
        <w:ind w:left="480" w:right="607"/>
        <w:rPr>
          <w:iCs/>
        </w:rPr>
      </w:pPr>
    </w:p>
    <w:p w14:paraId="2B6E47A3" w14:textId="77777777" w:rsidR="00F957B3" w:rsidRDefault="00F957B3" w:rsidP="00150C96">
      <w:pPr>
        <w:spacing w:line="276" w:lineRule="auto"/>
        <w:ind w:left="480" w:right="607"/>
        <w:rPr>
          <w:iCs/>
        </w:rPr>
      </w:pPr>
    </w:p>
    <w:p w14:paraId="7D35B3FA" w14:textId="77777777" w:rsidR="00F957B3" w:rsidRDefault="00F957B3" w:rsidP="00150C96">
      <w:pPr>
        <w:spacing w:line="276" w:lineRule="auto"/>
        <w:ind w:left="480" w:right="607"/>
        <w:rPr>
          <w:iCs/>
        </w:rPr>
      </w:pPr>
    </w:p>
    <w:p w14:paraId="7D576729" w14:textId="77777777" w:rsidR="00F957B3" w:rsidRPr="00AF6BFC" w:rsidRDefault="00F957B3" w:rsidP="00150C96">
      <w:pPr>
        <w:spacing w:line="276" w:lineRule="auto"/>
        <w:ind w:left="480" w:right="607"/>
        <w:rPr>
          <w:iCs/>
        </w:rPr>
      </w:pPr>
    </w:p>
    <w:p w14:paraId="18D26B12" w14:textId="77777777" w:rsidR="00150C96" w:rsidRPr="009F3010" w:rsidRDefault="00150C96" w:rsidP="00163A41">
      <w:pPr>
        <w:tabs>
          <w:tab w:val="left" w:pos="480"/>
        </w:tabs>
        <w:spacing w:line="276" w:lineRule="auto"/>
        <w:ind w:left="482"/>
        <w:rPr>
          <w:lang w:val="en-US"/>
        </w:rPr>
      </w:pPr>
    </w:p>
    <w:p w14:paraId="1C163A37" w14:textId="77777777" w:rsidR="003163AF" w:rsidRDefault="003163AF" w:rsidP="00163A41">
      <w:pPr>
        <w:tabs>
          <w:tab w:val="left" w:pos="480"/>
        </w:tabs>
        <w:ind w:left="482" w:right="607"/>
      </w:pPr>
    </w:p>
    <w:p w14:paraId="5EF83149" w14:textId="77777777" w:rsidR="00A969A0" w:rsidRDefault="00A969A0" w:rsidP="00163A41">
      <w:pPr>
        <w:tabs>
          <w:tab w:val="left" w:pos="480"/>
        </w:tabs>
        <w:ind w:left="482" w:right="607"/>
      </w:pPr>
    </w:p>
    <w:p w14:paraId="58D47E6D" w14:textId="77777777" w:rsidR="00A969A0" w:rsidRDefault="00A969A0" w:rsidP="00163A41">
      <w:pPr>
        <w:tabs>
          <w:tab w:val="left" w:pos="480"/>
        </w:tabs>
        <w:ind w:left="482" w:right="607"/>
      </w:pPr>
    </w:p>
    <w:p w14:paraId="6D77455F" w14:textId="77777777" w:rsidR="00A969A0" w:rsidRDefault="00A969A0" w:rsidP="00163A41">
      <w:pPr>
        <w:tabs>
          <w:tab w:val="left" w:pos="480"/>
        </w:tabs>
        <w:ind w:left="482" w:right="607"/>
      </w:pPr>
    </w:p>
    <w:p w14:paraId="0927B58C" w14:textId="77777777" w:rsidR="00426818" w:rsidRDefault="00426818" w:rsidP="00163A41">
      <w:pPr>
        <w:tabs>
          <w:tab w:val="left" w:pos="480"/>
        </w:tabs>
        <w:ind w:left="482" w:right="607"/>
      </w:pPr>
    </w:p>
    <w:p w14:paraId="02A76007" w14:textId="611A1595" w:rsidR="000064EE" w:rsidRDefault="000064EE">
      <w:r>
        <w:br w:type="page"/>
      </w:r>
    </w:p>
    <w:p w14:paraId="40BAEEE3" w14:textId="77777777" w:rsidR="00426818" w:rsidRPr="009F3010" w:rsidRDefault="00426818" w:rsidP="00163A41">
      <w:pPr>
        <w:tabs>
          <w:tab w:val="left" w:pos="480"/>
        </w:tabs>
        <w:ind w:left="482" w:right="607"/>
      </w:pPr>
    </w:p>
    <w:p w14:paraId="1BC4081B" w14:textId="229183EB" w:rsidR="001063AE" w:rsidRPr="009F3010" w:rsidRDefault="001063AE" w:rsidP="003B4E62">
      <w:pPr>
        <w:pStyle w:val="Heading1"/>
        <w:spacing w:line="276" w:lineRule="auto"/>
      </w:pPr>
    </w:p>
    <w:tbl>
      <w:tblPr>
        <w:tblW w:w="0" w:type="auto"/>
        <w:tblInd w:w="-34" w:type="dxa"/>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9555"/>
      </w:tblGrid>
      <w:tr w:rsidR="00DE2F79" w:rsidRPr="00DE2F79" w14:paraId="59A201B1" w14:textId="77777777" w:rsidTr="00487108">
        <w:tc>
          <w:tcPr>
            <w:tcW w:w="9970" w:type="dxa"/>
            <w:shd w:val="clear" w:color="auto" w:fill="auto"/>
          </w:tcPr>
          <w:p w14:paraId="4A77A928" w14:textId="77777777" w:rsidR="001063AE" w:rsidRPr="00AF6BFC" w:rsidRDefault="001063AE" w:rsidP="0039670F">
            <w:pPr>
              <w:spacing w:before="360" w:after="120" w:line="276" w:lineRule="auto"/>
              <w:ind w:left="283" w:right="283"/>
              <w:jc w:val="center"/>
              <w:rPr>
                <w:b/>
                <w:sz w:val="28"/>
                <w:szCs w:val="28"/>
              </w:rPr>
            </w:pPr>
            <w:r w:rsidRPr="00AF6BFC">
              <w:rPr>
                <w:b/>
                <w:sz w:val="28"/>
                <w:szCs w:val="28"/>
              </w:rPr>
              <w:t>Statement of Compatibility with Human Rights</w:t>
            </w:r>
          </w:p>
          <w:p w14:paraId="6BA149F5" w14:textId="77777777" w:rsidR="001063AE" w:rsidRPr="00AF6BFC" w:rsidRDefault="001063AE" w:rsidP="0039670F">
            <w:pPr>
              <w:spacing w:before="120" w:after="120" w:line="276" w:lineRule="auto"/>
              <w:ind w:left="283" w:right="283"/>
              <w:jc w:val="center"/>
            </w:pPr>
            <w:r w:rsidRPr="00AF6BFC">
              <w:rPr>
                <w:i/>
              </w:rPr>
              <w:t>Prepared in accordance with Part 3 of the Human Rights (Parliamentary Scrutiny) Act 2011</w:t>
            </w:r>
          </w:p>
          <w:p w14:paraId="0881C999" w14:textId="119AF4B0" w:rsidR="006649BB" w:rsidRPr="00231E56" w:rsidRDefault="006649BB" w:rsidP="006649BB">
            <w:pPr>
              <w:keepNext/>
              <w:spacing w:before="240" w:after="60"/>
              <w:jc w:val="center"/>
              <w:outlineLvl w:val="3"/>
              <w:rPr>
                <w:rFonts w:eastAsia="Calibri"/>
                <w:b/>
                <w:bCs/>
                <w:lang w:eastAsia="en-AU"/>
              </w:rPr>
            </w:pPr>
            <w:r w:rsidRPr="00FF2363">
              <w:rPr>
                <w:rFonts w:eastAsia="Calibri"/>
                <w:b/>
                <w:bCs/>
                <w:lang w:eastAsia="en-AU"/>
              </w:rPr>
              <w:t>Environment Protection and Biodiversity Conservation (</w:t>
            </w:r>
            <w:r w:rsidR="0080757F">
              <w:rPr>
                <w:b/>
                <w:bCs/>
                <w:szCs w:val="26"/>
              </w:rPr>
              <w:t>National Recovery Plan for Leadbeater’s Possum (</w:t>
            </w:r>
            <w:r w:rsidR="0080757F" w:rsidRPr="00563CC9">
              <w:rPr>
                <w:b/>
                <w:bCs/>
                <w:i/>
                <w:iCs/>
                <w:szCs w:val="26"/>
              </w:rPr>
              <w:t>Gymnobelideus leadbeateri</w:t>
            </w:r>
            <w:r w:rsidR="0080757F">
              <w:rPr>
                <w:b/>
                <w:bCs/>
                <w:szCs w:val="26"/>
              </w:rPr>
              <w:t xml:space="preserve">)) Instrument </w:t>
            </w:r>
            <w:r w:rsidR="0080757F" w:rsidRPr="00107FE5">
              <w:rPr>
                <w:b/>
                <w:bCs/>
                <w:szCs w:val="26"/>
              </w:rPr>
              <w:t>202</w:t>
            </w:r>
            <w:r w:rsidR="0080757F" w:rsidRPr="0080757F">
              <w:rPr>
                <w:b/>
                <w:bCs/>
                <w:szCs w:val="26"/>
              </w:rPr>
              <w:t>4</w:t>
            </w:r>
          </w:p>
          <w:p w14:paraId="64D35D3E" w14:textId="739F0C95" w:rsidR="001063AE" w:rsidRPr="00AF6BFC" w:rsidRDefault="001063AE" w:rsidP="00AF6BFC">
            <w:pPr>
              <w:spacing w:before="120" w:after="120" w:line="276" w:lineRule="auto"/>
              <w:ind w:left="283" w:right="283"/>
              <w:jc w:val="center"/>
              <w:rPr>
                <w:rFonts w:ascii="Arial" w:hAnsi="Arial" w:cs="Arial"/>
                <w:b/>
                <w:sz w:val="22"/>
              </w:rPr>
            </w:pPr>
          </w:p>
          <w:p w14:paraId="1BAD0844" w14:textId="77777777" w:rsidR="001063AE" w:rsidRPr="00DE2F79" w:rsidRDefault="001063AE" w:rsidP="0039670F">
            <w:pPr>
              <w:spacing w:before="120" w:after="120" w:line="276" w:lineRule="auto"/>
              <w:ind w:left="283" w:right="283"/>
              <w:jc w:val="center"/>
              <w:rPr>
                <w:rFonts w:ascii="Arial" w:hAnsi="Arial" w:cs="Arial"/>
                <w:sz w:val="22"/>
              </w:rPr>
            </w:pPr>
            <w:r w:rsidRPr="0043593F">
              <w:t xml:space="preserve">This Legislative Instrument is compatible with the human rights and freedoms recognised or declared in the international instruments listed in section 3 of the </w:t>
            </w:r>
            <w:r w:rsidRPr="0043593F">
              <w:rPr>
                <w:i/>
              </w:rPr>
              <w:t>Human Rights (Parliamentary Scrutiny) Act 2011</w:t>
            </w:r>
            <w:r w:rsidRPr="00DE2F79">
              <w:rPr>
                <w:rFonts w:ascii="Arial" w:hAnsi="Arial" w:cs="Arial"/>
                <w:sz w:val="22"/>
              </w:rPr>
              <w:t>.</w:t>
            </w:r>
          </w:p>
          <w:p w14:paraId="5822CC07" w14:textId="77777777" w:rsidR="001063AE" w:rsidRPr="0043593F" w:rsidRDefault="001063AE" w:rsidP="0039670F">
            <w:pPr>
              <w:spacing w:before="120" w:after="120" w:line="276" w:lineRule="auto"/>
              <w:ind w:left="283" w:right="283"/>
              <w:jc w:val="both"/>
              <w:rPr>
                <w:b/>
              </w:rPr>
            </w:pPr>
            <w:r w:rsidRPr="0043593F">
              <w:rPr>
                <w:b/>
              </w:rPr>
              <w:t>Overview of the Legislative Instrument</w:t>
            </w:r>
          </w:p>
          <w:p w14:paraId="49FA12A4" w14:textId="2CFEEDB1" w:rsidR="001063AE" w:rsidRDefault="001063AE" w:rsidP="0039670F">
            <w:pPr>
              <w:spacing w:before="120" w:after="120" w:line="276" w:lineRule="auto"/>
              <w:ind w:left="283" w:right="283"/>
              <w:rPr>
                <w:i/>
              </w:rPr>
            </w:pPr>
            <w:r w:rsidRPr="0043593F">
              <w:t xml:space="preserve">The purpose of this Instrument is to </w:t>
            </w:r>
            <w:r w:rsidR="00DC739A">
              <w:t xml:space="preserve">jointly </w:t>
            </w:r>
            <w:r w:rsidR="0005478E">
              <w:t>make</w:t>
            </w:r>
            <w:r w:rsidRPr="0043593F">
              <w:t xml:space="preserve"> the</w:t>
            </w:r>
            <w:r w:rsidR="00C206DB">
              <w:t xml:space="preserve"> National Recovery Plan for Leadbeater’s possum</w:t>
            </w:r>
            <w:r w:rsidR="00DE2F79" w:rsidRPr="0043593F">
              <w:t xml:space="preserve">, </w:t>
            </w:r>
            <w:r w:rsidR="00765DA3" w:rsidRPr="0043593F">
              <w:t>(</w:t>
            </w:r>
            <w:r w:rsidR="00DC739A">
              <w:rPr>
                <w:b/>
                <w:bCs/>
              </w:rPr>
              <w:t>Recovery Plan</w:t>
            </w:r>
            <w:r w:rsidR="00765DA3" w:rsidRPr="0043593F">
              <w:t>)</w:t>
            </w:r>
            <w:r w:rsidR="00DC739A">
              <w:t xml:space="preserve"> </w:t>
            </w:r>
            <w:r w:rsidR="00DC739A" w:rsidRPr="0080757F">
              <w:t>with</w:t>
            </w:r>
            <w:r w:rsidR="00C206DB" w:rsidRPr="0080757F">
              <w:t xml:space="preserve"> the State of Victoria</w:t>
            </w:r>
            <w:r w:rsidR="00DE2F79" w:rsidRPr="0080757F">
              <w:t xml:space="preserve">. </w:t>
            </w:r>
            <w:r w:rsidRPr="0080757F">
              <w:t>The</w:t>
            </w:r>
            <w:r w:rsidRPr="0043593F">
              <w:t xml:space="preserve"> </w:t>
            </w:r>
            <w:r w:rsidR="00DC739A" w:rsidRPr="0080757F">
              <w:t>jointly</w:t>
            </w:r>
            <w:r w:rsidR="00DC739A">
              <w:t xml:space="preserve"> made</w:t>
            </w:r>
            <w:r w:rsidRPr="0043593F">
              <w:t xml:space="preserve"> plan provides for the research and management action</w:t>
            </w:r>
            <w:r w:rsidR="001674D4" w:rsidRPr="0043593F">
              <w:t>s</w:t>
            </w:r>
            <w:r w:rsidRPr="0043593F">
              <w:t xml:space="preserve"> necessary to stop the decline of, and support the recovery of</w:t>
            </w:r>
            <w:r w:rsidR="00E943F1">
              <w:t xml:space="preserve"> the Leadbeater’s possum, </w:t>
            </w:r>
            <w:r w:rsidR="00E943F1" w:rsidRPr="00E943F1">
              <w:rPr>
                <w:i/>
                <w:iCs/>
              </w:rPr>
              <w:t>Gymnobelideus leadbeateri</w:t>
            </w:r>
            <w:r w:rsidR="00E943F1">
              <w:t xml:space="preserve">, </w:t>
            </w:r>
            <w:r w:rsidR="00DC739A" w:rsidRPr="00515986">
              <w:t xml:space="preserve">listed </w:t>
            </w:r>
            <w:r w:rsidR="00B30092">
              <w:t>as threatened under the</w:t>
            </w:r>
            <w:r w:rsidR="00DC739A">
              <w:t xml:space="preserve"> </w:t>
            </w:r>
            <w:r w:rsidRPr="0043593F">
              <w:rPr>
                <w:i/>
              </w:rPr>
              <w:t>Environment Protection and Biodiversity Conservation Act 1999</w:t>
            </w:r>
            <w:r w:rsidRPr="0043593F">
              <w:t xml:space="preserve">, in order to maximise </w:t>
            </w:r>
            <w:r w:rsidR="00EF5DA4" w:rsidRPr="00E943F1">
              <w:t>its</w:t>
            </w:r>
            <w:r w:rsidRPr="00B30092">
              <w:rPr>
                <w:color w:val="FF0000"/>
              </w:rPr>
              <w:t xml:space="preserve"> </w:t>
            </w:r>
            <w:r w:rsidRPr="0043593F">
              <w:t>chances of long-term survival in nature</w:t>
            </w:r>
            <w:r w:rsidRPr="0043593F">
              <w:rPr>
                <w:i/>
              </w:rPr>
              <w:t>.</w:t>
            </w:r>
          </w:p>
          <w:p w14:paraId="3B9D66DA" w14:textId="5F9EE456" w:rsidR="00065C0C" w:rsidRPr="00065C0C" w:rsidRDefault="00065C0C" w:rsidP="00065C0C">
            <w:pPr>
              <w:spacing w:line="276" w:lineRule="auto"/>
              <w:ind w:left="283"/>
            </w:pPr>
            <w:r>
              <w:t xml:space="preserve">The conventions listed in </w:t>
            </w:r>
            <w:r w:rsidRPr="00E4135E">
              <w:t xml:space="preserve">section 3 of the </w:t>
            </w:r>
            <w:r w:rsidRPr="00E4135E">
              <w:rPr>
                <w:i/>
              </w:rPr>
              <w:t>Human Rights (Parliamentary Scrutiny) Act 2011</w:t>
            </w:r>
            <w:r>
              <w:t xml:space="preserve"> were considered in the preparation of the </w:t>
            </w:r>
            <w:r w:rsidRPr="00CF05A3">
              <w:t>Recovery Plan</w:t>
            </w:r>
            <w:r>
              <w:t>.</w:t>
            </w:r>
          </w:p>
          <w:p w14:paraId="29B08818" w14:textId="77777777" w:rsidR="001063AE" w:rsidRPr="00AF6BFC" w:rsidRDefault="001063AE" w:rsidP="0039670F">
            <w:pPr>
              <w:spacing w:before="120" w:after="120" w:line="276" w:lineRule="auto"/>
              <w:ind w:left="283" w:right="283"/>
              <w:rPr>
                <w:b/>
              </w:rPr>
            </w:pPr>
            <w:r w:rsidRPr="00AF6BFC">
              <w:rPr>
                <w:b/>
              </w:rPr>
              <w:t>Human rights implications</w:t>
            </w:r>
          </w:p>
          <w:p w14:paraId="7461D383" w14:textId="77777777" w:rsidR="001063AE" w:rsidRPr="00AF6BFC" w:rsidRDefault="001063AE" w:rsidP="0039670F">
            <w:pPr>
              <w:spacing w:before="120" w:after="120" w:line="276" w:lineRule="auto"/>
              <w:ind w:left="283" w:right="283"/>
            </w:pPr>
            <w:r w:rsidRPr="00AF6BFC">
              <w:t>This Legislative Instrument does not engage any of the applicable rights or freedoms.</w:t>
            </w:r>
          </w:p>
          <w:p w14:paraId="67FC3DC7" w14:textId="77777777" w:rsidR="001063AE" w:rsidRPr="00AF6BFC" w:rsidRDefault="001063AE" w:rsidP="0039670F">
            <w:pPr>
              <w:spacing w:before="120" w:after="120" w:line="276" w:lineRule="auto"/>
              <w:ind w:left="283" w:right="283"/>
              <w:rPr>
                <w:b/>
              </w:rPr>
            </w:pPr>
            <w:r w:rsidRPr="00AF6BFC">
              <w:rPr>
                <w:b/>
              </w:rPr>
              <w:t>Conclusion</w:t>
            </w:r>
          </w:p>
          <w:p w14:paraId="52DAD86E" w14:textId="77777777" w:rsidR="001063AE" w:rsidRPr="00AF6BFC" w:rsidRDefault="001063AE" w:rsidP="0039670F">
            <w:pPr>
              <w:spacing w:before="120" w:after="120" w:line="276" w:lineRule="auto"/>
              <w:ind w:left="283" w:right="283"/>
            </w:pPr>
            <w:r w:rsidRPr="00AF6BFC">
              <w:t>This Legislative Instrument is compatible with human rights as it does not raise any human rights issues.</w:t>
            </w:r>
          </w:p>
          <w:p w14:paraId="30ADC556" w14:textId="2C8C7547" w:rsidR="00EB7FB8" w:rsidRPr="00EB7FB8" w:rsidRDefault="00EB7FB8" w:rsidP="00EB7FB8">
            <w:pPr>
              <w:spacing w:before="120" w:after="120" w:line="276" w:lineRule="auto"/>
              <w:jc w:val="center"/>
              <w:rPr>
                <w:rFonts w:eastAsia="Calibri"/>
                <w:b/>
                <w:bCs/>
                <w:lang w:eastAsia="en-AU"/>
              </w:rPr>
            </w:pPr>
            <w:r w:rsidRPr="00EB7FB8">
              <w:rPr>
                <w:rFonts w:eastAsia="Calibri"/>
                <w:b/>
                <w:bCs/>
                <w:lang w:eastAsia="en-AU"/>
              </w:rPr>
              <w:t xml:space="preserve">The Hon </w:t>
            </w:r>
            <w:r w:rsidR="009528C7" w:rsidRPr="009528C7">
              <w:rPr>
                <w:rFonts w:eastAsia="Calibri"/>
                <w:b/>
                <w:bCs/>
                <w:lang w:eastAsia="en-AU"/>
              </w:rPr>
              <w:t>Tanya Plibersek</w:t>
            </w:r>
            <w:r w:rsidRPr="009528C7">
              <w:rPr>
                <w:rFonts w:eastAsia="Calibri"/>
                <w:b/>
                <w:bCs/>
                <w:lang w:eastAsia="en-AU"/>
              </w:rPr>
              <w:t xml:space="preserve"> </w:t>
            </w:r>
            <w:r w:rsidRPr="00EB7FB8">
              <w:rPr>
                <w:rFonts w:eastAsia="Calibri"/>
                <w:b/>
                <w:bCs/>
                <w:lang w:eastAsia="en-AU"/>
              </w:rPr>
              <w:t xml:space="preserve">MP </w:t>
            </w:r>
          </w:p>
          <w:p w14:paraId="157831C3" w14:textId="221A3E5D" w:rsidR="001063AE" w:rsidRPr="00AF6BFC" w:rsidRDefault="001063AE" w:rsidP="00AF6BFC">
            <w:pPr>
              <w:spacing w:before="120" w:after="120" w:line="276" w:lineRule="auto"/>
              <w:ind w:left="283" w:right="283"/>
              <w:jc w:val="center"/>
            </w:pPr>
            <w:r w:rsidRPr="00AF6BFC">
              <w:rPr>
                <w:b/>
              </w:rPr>
              <w:t>Minister for the Environment</w:t>
            </w:r>
            <w:r w:rsidR="00AA2D06">
              <w:rPr>
                <w:b/>
              </w:rPr>
              <w:t xml:space="preserve"> and Water</w:t>
            </w:r>
          </w:p>
          <w:p w14:paraId="3F19BE30" w14:textId="77777777" w:rsidR="001063AE" w:rsidRPr="00DE2F79" w:rsidRDefault="001063AE" w:rsidP="0039670F">
            <w:pPr>
              <w:pStyle w:val="Heading1"/>
              <w:spacing w:line="276" w:lineRule="auto"/>
              <w:ind w:left="283" w:right="283"/>
              <w:rPr>
                <w:rFonts w:ascii="Arial" w:hAnsi="Arial" w:cs="Arial"/>
                <w:sz w:val="22"/>
              </w:rPr>
            </w:pPr>
          </w:p>
        </w:tc>
      </w:tr>
    </w:tbl>
    <w:p w14:paraId="3727BD5E" w14:textId="77777777" w:rsidR="001063AE" w:rsidRPr="00DE2F79" w:rsidRDefault="001063AE" w:rsidP="001063AE">
      <w:pPr>
        <w:pStyle w:val="Heading1"/>
        <w:ind w:left="1701" w:hanging="1701"/>
        <w:rPr>
          <w:rFonts w:ascii="Arial" w:hAnsi="Arial" w:cs="Arial"/>
          <w:sz w:val="22"/>
        </w:rPr>
      </w:pPr>
    </w:p>
    <w:p w14:paraId="6C7D6538" w14:textId="2C5A8C06" w:rsidR="00EF5DA4" w:rsidRPr="00150C96" w:rsidRDefault="00EF5DA4" w:rsidP="00150C96">
      <w:pPr>
        <w:tabs>
          <w:tab w:val="left" w:pos="480"/>
        </w:tabs>
        <w:spacing w:line="276" w:lineRule="auto"/>
        <w:rPr>
          <w:rFonts w:ascii="Arial" w:hAnsi="Arial" w:cs="Arial"/>
          <w:b/>
          <w:sz w:val="22"/>
          <w:lang w:val="en-US"/>
        </w:rPr>
      </w:pPr>
    </w:p>
    <w:sectPr w:rsidR="00EF5DA4" w:rsidRPr="00150C96" w:rsidSect="00782B1B">
      <w:headerReference w:type="first" r:id="rId12"/>
      <w:type w:val="continuous"/>
      <w:pgSz w:w="11909" w:h="16834"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89CA" w14:textId="77777777" w:rsidR="00782B1B" w:rsidRDefault="00782B1B">
      <w:r>
        <w:separator/>
      </w:r>
    </w:p>
  </w:endnote>
  <w:endnote w:type="continuationSeparator" w:id="0">
    <w:p w14:paraId="714C684D" w14:textId="77777777" w:rsidR="00782B1B" w:rsidRDefault="0078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A577" w14:textId="77777777" w:rsidR="00782B1B" w:rsidRDefault="00782B1B">
      <w:r>
        <w:separator/>
      </w:r>
    </w:p>
  </w:footnote>
  <w:footnote w:type="continuationSeparator" w:id="0">
    <w:p w14:paraId="38A1AEBF" w14:textId="77777777" w:rsidR="00782B1B" w:rsidRDefault="0078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4CF8" w14:textId="77777777" w:rsidR="00615FDB" w:rsidRDefault="00615FDB">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525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E84686"/>
    <w:multiLevelType w:val="hybridMultilevel"/>
    <w:tmpl w:val="0248FE1C"/>
    <w:lvl w:ilvl="0" w:tplc="141A9D22">
      <w:start w:val="1"/>
      <w:numFmt w:val="lowerRoman"/>
      <w:pStyle w:val="TOC1"/>
      <w:lvlText w:val="(%1)"/>
      <w:lvlJc w:val="left"/>
      <w:pPr>
        <w:tabs>
          <w:tab w:val="num" w:pos="2160"/>
        </w:tabs>
        <w:ind w:left="2160" w:hanging="720"/>
      </w:pPr>
      <w:rPr>
        <w:rFonts w:hint="default"/>
      </w:rPr>
    </w:lvl>
    <w:lvl w:ilvl="1" w:tplc="85F44E78">
      <w:start w:val="5"/>
      <w:numFmt w:val="decimal"/>
      <w:lvlText w:val="%2."/>
      <w:lvlJc w:val="left"/>
      <w:pPr>
        <w:tabs>
          <w:tab w:val="num" w:pos="2520"/>
        </w:tabs>
        <w:ind w:left="2520" w:hanging="360"/>
      </w:pPr>
      <w:rPr>
        <w:rFonts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 w15:restartNumberingAfterBreak="0">
    <w:nsid w:val="221C37CD"/>
    <w:multiLevelType w:val="hybridMultilevel"/>
    <w:tmpl w:val="FE00EA00"/>
    <w:lvl w:ilvl="0" w:tplc="0C090001">
      <w:start w:val="1"/>
      <w:numFmt w:val="bullet"/>
      <w:lvlText w:val=""/>
      <w:lvlJc w:val="left"/>
      <w:pPr>
        <w:ind w:left="1200" w:hanging="360"/>
      </w:pPr>
      <w:rPr>
        <w:rFonts w:ascii="Symbol" w:hAnsi="Symbol" w:hint="default"/>
      </w:rPr>
    </w:lvl>
    <w:lvl w:ilvl="1" w:tplc="0C090003">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3" w15:restartNumberingAfterBreak="0">
    <w:nsid w:val="2D195695"/>
    <w:multiLevelType w:val="hybridMultilevel"/>
    <w:tmpl w:val="E3B8921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44360760"/>
    <w:multiLevelType w:val="multilevel"/>
    <w:tmpl w:val="B36CD4AE"/>
    <w:lvl w:ilvl="0">
      <w:start w:val="1"/>
      <w:numFmt w:val="decimal"/>
      <w:lvlText w:val="%1."/>
      <w:lvlJc w:val="left"/>
      <w:pPr>
        <w:ind w:left="369" w:hanging="369"/>
      </w:pPr>
      <w:rPr>
        <w:rFonts w:ascii="Arial" w:hAnsi="Arial" w:hint="default"/>
        <w:sz w:val="22"/>
      </w:rPr>
    </w:lvl>
    <w:lvl w:ilvl="1">
      <w:start w:val="1"/>
      <w:numFmt w:val="lowerRoman"/>
      <w:lvlText w:val="%2."/>
      <w:lvlJc w:val="left"/>
      <w:pPr>
        <w:ind w:left="738" w:hanging="369"/>
      </w:pPr>
      <w:rPr>
        <w:rFonts w:hint="default"/>
      </w:rPr>
    </w:lvl>
    <w:lvl w:ilvl="2">
      <w:start w:val="1"/>
      <w:numFmt w:val="lowerLetter"/>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5" w15:restartNumberingAfterBreak="0">
    <w:nsid w:val="4C587F71"/>
    <w:multiLevelType w:val="hybridMultilevel"/>
    <w:tmpl w:val="C152DC2A"/>
    <w:lvl w:ilvl="0" w:tplc="917831B6">
      <w:start w:val="14"/>
      <w:numFmt w:val="bullet"/>
      <w:lvlText w:val="-"/>
      <w:lvlJc w:val="left"/>
      <w:pPr>
        <w:ind w:left="1560" w:hanging="360"/>
      </w:pPr>
      <w:rPr>
        <w:rFonts w:ascii="Times New Roman" w:eastAsia="Times New Roman" w:hAnsi="Times New Roman" w:cs="Times New Roman"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6" w15:restartNumberingAfterBreak="0">
    <w:nsid w:val="4E2A5782"/>
    <w:multiLevelType w:val="hybridMultilevel"/>
    <w:tmpl w:val="697E7362"/>
    <w:lvl w:ilvl="0" w:tplc="917831B6">
      <w:start w:val="14"/>
      <w:numFmt w:val="bullet"/>
      <w:lvlText w:val="-"/>
      <w:lvlJc w:val="left"/>
      <w:pPr>
        <w:tabs>
          <w:tab w:val="num" w:pos="1080"/>
        </w:tabs>
        <w:ind w:left="1080" w:hanging="360"/>
      </w:pPr>
      <w:rPr>
        <w:rFonts w:ascii="Times New Roman" w:eastAsia="Times New Roman" w:hAnsi="Times New Roman"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456429"/>
    <w:multiLevelType w:val="multilevel"/>
    <w:tmpl w:val="AD309574"/>
    <w:lvl w:ilvl="0">
      <w:start w:val="1"/>
      <w:numFmt w:val="decimal"/>
      <w:pStyle w:val="ListNumber"/>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546599968">
    <w:abstractNumId w:val="1"/>
  </w:num>
  <w:num w:numId="2" w16cid:durableId="720054840">
    <w:abstractNumId w:val="6"/>
  </w:num>
  <w:num w:numId="3" w16cid:durableId="393284969">
    <w:abstractNumId w:val="5"/>
  </w:num>
  <w:num w:numId="4" w16cid:durableId="1291209675">
    <w:abstractNumId w:val="2"/>
  </w:num>
  <w:num w:numId="5" w16cid:durableId="563415283">
    <w:abstractNumId w:val="0"/>
  </w:num>
  <w:num w:numId="6" w16cid:durableId="257295832">
    <w:abstractNumId w:val="7"/>
  </w:num>
  <w:num w:numId="7" w16cid:durableId="375207103">
    <w:abstractNumId w:val="4"/>
  </w:num>
  <w:num w:numId="8" w16cid:durableId="789009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B6"/>
    <w:rsid w:val="00000D85"/>
    <w:rsid w:val="000064EE"/>
    <w:rsid w:val="00010F46"/>
    <w:rsid w:val="00020720"/>
    <w:rsid w:val="00020B82"/>
    <w:rsid w:val="00025AC3"/>
    <w:rsid w:val="00030AFE"/>
    <w:rsid w:val="00037E6D"/>
    <w:rsid w:val="00052FD0"/>
    <w:rsid w:val="0005478E"/>
    <w:rsid w:val="00055850"/>
    <w:rsid w:val="00061877"/>
    <w:rsid w:val="00065C0C"/>
    <w:rsid w:val="00072EF6"/>
    <w:rsid w:val="0008564C"/>
    <w:rsid w:val="00091AAC"/>
    <w:rsid w:val="0009282A"/>
    <w:rsid w:val="00095995"/>
    <w:rsid w:val="000966BD"/>
    <w:rsid w:val="000A058D"/>
    <w:rsid w:val="000A0839"/>
    <w:rsid w:val="000A204C"/>
    <w:rsid w:val="000A4A1E"/>
    <w:rsid w:val="000B65E2"/>
    <w:rsid w:val="000E087D"/>
    <w:rsid w:val="000E0B4C"/>
    <w:rsid w:val="000E0CBE"/>
    <w:rsid w:val="000E0D26"/>
    <w:rsid w:val="000E2F79"/>
    <w:rsid w:val="000E5EC4"/>
    <w:rsid w:val="000E793C"/>
    <w:rsid w:val="00100D1C"/>
    <w:rsid w:val="001063AE"/>
    <w:rsid w:val="00107FE5"/>
    <w:rsid w:val="00113F52"/>
    <w:rsid w:val="0012130D"/>
    <w:rsid w:val="001227E4"/>
    <w:rsid w:val="00130AAC"/>
    <w:rsid w:val="00137DDB"/>
    <w:rsid w:val="001463E6"/>
    <w:rsid w:val="00150C96"/>
    <w:rsid w:val="0015150B"/>
    <w:rsid w:val="00163A41"/>
    <w:rsid w:val="001674D4"/>
    <w:rsid w:val="0017242A"/>
    <w:rsid w:val="00177AC1"/>
    <w:rsid w:val="00183BF7"/>
    <w:rsid w:val="00187699"/>
    <w:rsid w:val="00195FED"/>
    <w:rsid w:val="001A089D"/>
    <w:rsid w:val="001A46E1"/>
    <w:rsid w:val="001A509B"/>
    <w:rsid w:val="001B2234"/>
    <w:rsid w:val="001C1754"/>
    <w:rsid w:val="001C5341"/>
    <w:rsid w:val="001D05C9"/>
    <w:rsid w:val="001E182C"/>
    <w:rsid w:val="001E5E59"/>
    <w:rsid w:val="001E6794"/>
    <w:rsid w:val="001F25EF"/>
    <w:rsid w:val="001F2DEE"/>
    <w:rsid w:val="00203EE2"/>
    <w:rsid w:val="002057E7"/>
    <w:rsid w:val="0020620A"/>
    <w:rsid w:val="00212251"/>
    <w:rsid w:val="00213424"/>
    <w:rsid w:val="00231E56"/>
    <w:rsid w:val="00232DB0"/>
    <w:rsid w:val="00234ACB"/>
    <w:rsid w:val="00252AAC"/>
    <w:rsid w:val="0025478B"/>
    <w:rsid w:val="00255613"/>
    <w:rsid w:val="00261EF7"/>
    <w:rsid w:val="00262145"/>
    <w:rsid w:val="00264D9E"/>
    <w:rsid w:val="00267184"/>
    <w:rsid w:val="0027201D"/>
    <w:rsid w:val="00274915"/>
    <w:rsid w:val="002779B6"/>
    <w:rsid w:val="00282AB9"/>
    <w:rsid w:val="00282D06"/>
    <w:rsid w:val="002836C0"/>
    <w:rsid w:val="00287F4E"/>
    <w:rsid w:val="0029149A"/>
    <w:rsid w:val="00297000"/>
    <w:rsid w:val="002A3F77"/>
    <w:rsid w:val="002A40F8"/>
    <w:rsid w:val="002B11AB"/>
    <w:rsid w:val="002B194B"/>
    <w:rsid w:val="002B2B27"/>
    <w:rsid w:val="002C2FCB"/>
    <w:rsid w:val="002C457B"/>
    <w:rsid w:val="002C5937"/>
    <w:rsid w:val="002C6ABF"/>
    <w:rsid w:val="002D192C"/>
    <w:rsid w:val="002D41DD"/>
    <w:rsid w:val="002E1961"/>
    <w:rsid w:val="002E5886"/>
    <w:rsid w:val="002F1AEB"/>
    <w:rsid w:val="002F3037"/>
    <w:rsid w:val="002F5AD6"/>
    <w:rsid w:val="00300251"/>
    <w:rsid w:val="00300C3A"/>
    <w:rsid w:val="00301032"/>
    <w:rsid w:val="003112D2"/>
    <w:rsid w:val="003134B0"/>
    <w:rsid w:val="00314547"/>
    <w:rsid w:val="00314DF2"/>
    <w:rsid w:val="00315122"/>
    <w:rsid w:val="003163AF"/>
    <w:rsid w:val="00316B36"/>
    <w:rsid w:val="00325250"/>
    <w:rsid w:val="00326267"/>
    <w:rsid w:val="003328B7"/>
    <w:rsid w:val="0033761B"/>
    <w:rsid w:val="00337FED"/>
    <w:rsid w:val="00351FC5"/>
    <w:rsid w:val="00353AEA"/>
    <w:rsid w:val="00361613"/>
    <w:rsid w:val="00361B5F"/>
    <w:rsid w:val="00372179"/>
    <w:rsid w:val="003803E6"/>
    <w:rsid w:val="00384283"/>
    <w:rsid w:val="00384974"/>
    <w:rsid w:val="00385E13"/>
    <w:rsid w:val="00393F89"/>
    <w:rsid w:val="0039670F"/>
    <w:rsid w:val="003A41EF"/>
    <w:rsid w:val="003A6D6B"/>
    <w:rsid w:val="003A6EDB"/>
    <w:rsid w:val="003A7327"/>
    <w:rsid w:val="003B14B2"/>
    <w:rsid w:val="003B14E0"/>
    <w:rsid w:val="003B3398"/>
    <w:rsid w:val="003B37F6"/>
    <w:rsid w:val="003B3C50"/>
    <w:rsid w:val="003B4E62"/>
    <w:rsid w:val="003C12E1"/>
    <w:rsid w:val="003C2C43"/>
    <w:rsid w:val="003C5C44"/>
    <w:rsid w:val="003C7768"/>
    <w:rsid w:val="003D3438"/>
    <w:rsid w:val="003D5DAD"/>
    <w:rsid w:val="003D63FA"/>
    <w:rsid w:val="003D7840"/>
    <w:rsid w:val="003E14E2"/>
    <w:rsid w:val="003E3A82"/>
    <w:rsid w:val="003F47D0"/>
    <w:rsid w:val="003F55E5"/>
    <w:rsid w:val="003F6BE6"/>
    <w:rsid w:val="004053E3"/>
    <w:rsid w:val="00413028"/>
    <w:rsid w:val="00413568"/>
    <w:rsid w:val="004163B9"/>
    <w:rsid w:val="00420582"/>
    <w:rsid w:val="00423F76"/>
    <w:rsid w:val="00424FB7"/>
    <w:rsid w:val="004266FA"/>
    <w:rsid w:val="00426818"/>
    <w:rsid w:val="00431192"/>
    <w:rsid w:val="00434815"/>
    <w:rsid w:val="004358E1"/>
    <w:rsid w:val="0043593F"/>
    <w:rsid w:val="004375E7"/>
    <w:rsid w:val="00446884"/>
    <w:rsid w:val="00446D76"/>
    <w:rsid w:val="00457C2E"/>
    <w:rsid w:val="0046050F"/>
    <w:rsid w:val="0047345A"/>
    <w:rsid w:val="00476095"/>
    <w:rsid w:val="00480CC2"/>
    <w:rsid w:val="00483635"/>
    <w:rsid w:val="00487108"/>
    <w:rsid w:val="00490CC8"/>
    <w:rsid w:val="00493307"/>
    <w:rsid w:val="004A387F"/>
    <w:rsid w:val="004A4722"/>
    <w:rsid w:val="004B7366"/>
    <w:rsid w:val="004C1E62"/>
    <w:rsid w:val="004C4B79"/>
    <w:rsid w:val="004C5876"/>
    <w:rsid w:val="004C6A6D"/>
    <w:rsid w:val="004E6142"/>
    <w:rsid w:val="004E68D2"/>
    <w:rsid w:val="00503C7C"/>
    <w:rsid w:val="005134B9"/>
    <w:rsid w:val="00515986"/>
    <w:rsid w:val="00515BDC"/>
    <w:rsid w:val="0053451B"/>
    <w:rsid w:val="00535A15"/>
    <w:rsid w:val="00540E4B"/>
    <w:rsid w:val="0054296A"/>
    <w:rsid w:val="00556453"/>
    <w:rsid w:val="00557F1F"/>
    <w:rsid w:val="00560B6A"/>
    <w:rsid w:val="00563CC9"/>
    <w:rsid w:val="00570401"/>
    <w:rsid w:val="005841B3"/>
    <w:rsid w:val="0058691E"/>
    <w:rsid w:val="005911D9"/>
    <w:rsid w:val="005A57F5"/>
    <w:rsid w:val="005A7CEB"/>
    <w:rsid w:val="005B0B29"/>
    <w:rsid w:val="005B140E"/>
    <w:rsid w:val="005B1DC9"/>
    <w:rsid w:val="005B3A16"/>
    <w:rsid w:val="005C0817"/>
    <w:rsid w:val="005D078E"/>
    <w:rsid w:val="005D3E23"/>
    <w:rsid w:val="005D59A9"/>
    <w:rsid w:val="005E062F"/>
    <w:rsid w:val="005E582D"/>
    <w:rsid w:val="005E6738"/>
    <w:rsid w:val="005E6AC8"/>
    <w:rsid w:val="00604F7B"/>
    <w:rsid w:val="00607207"/>
    <w:rsid w:val="00610D67"/>
    <w:rsid w:val="00615FDB"/>
    <w:rsid w:val="00617C04"/>
    <w:rsid w:val="0062742A"/>
    <w:rsid w:val="00633E41"/>
    <w:rsid w:val="00644ADC"/>
    <w:rsid w:val="00647283"/>
    <w:rsid w:val="00647968"/>
    <w:rsid w:val="00647E78"/>
    <w:rsid w:val="006541AD"/>
    <w:rsid w:val="00655F3D"/>
    <w:rsid w:val="00656B2A"/>
    <w:rsid w:val="006649BB"/>
    <w:rsid w:val="006712B9"/>
    <w:rsid w:val="00674358"/>
    <w:rsid w:val="00680114"/>
    <w:rsid w:val="00683268"/>
    <w:rsid w:val="00694291"/>
    <w:rsid w:val="006A22D4"/>
    <w:rsid w:val="006A3DF7"/>
    <w:rsid w:val="006B0B4F"/>
    <w:rsid w:val="006C2C7C"/>
    <w:rsid w:val="006C4AFB"/>
    <w:rsid w:val="006D39F4"/>
    <w:rsid w:val="006D7E18"/>
    <w:rsid w:val="006E2EAD"/>
    <w:rsid w:val="006E5FDC"/>
    <w:rsid w:val="006F10C9"/>
    <w:rsid w:val="006F63A3"/>
    <w:rsid w:val="00705494"/>
    <w:rsid w:val="0071077A"/>
    <w:rsid w:val="00715A8B"/>
    <w:rsid w:val="00715CD4"/>
    <w:rsid w:val="0072178B"/>
    <w:rsid w:val="00726F0A"/>
    <w:rsid w:val="00727C21"/>
    <w:rsid w:val="00735259"/>
    <w:rsid w:val="00736019"/>
    <w:rsid w:val="007379CC"/>
    <w:rsid w:val="00740588"/>
    <w:rsid w:val="0074135E"/>
    <w:rsid w:val="00741416"/>
    <w:rsid w:val="00743BA8"/>
    <w:rsid w:val="00746F77"/>
    <w:rsid w:val="00754E44"/>
    <w:rsid w:val="00756560"/>
    <w:rsid w:val="007635F1"/>
    <w:rsid w:val="00765DA3"/>
    <w:rsid w:val="00771016"/>
    <w:rsid w:val="00771C02"/>
    <w:rsid w:val="00782B1B"/>
    <w:rsid w:val="00787DED"/>
    <w:rsid w:val="00793C5B"/>
    <w:rsid w:val="007A48AC"/>
    <w:rsid w:val="007A4DB2"/>
    <w:rsid w:val="007A70AA"/>
    <w:rsid w:val="007B00AA"/>
    <w:rsid w:val="007B3366"/>
    <w:rsid w:val="007B61D4"/>
    <w:rsid w:val="007B749B"/>
    <w:rsid w:val="007C05E2"/>
    <w:rsid w:val="007C2D4A"/>
    <w:rsid w:val="007C2E52"/>
    <w:rsid w:val="007C6AA4"/>
    <w:rsid w:val="007D4E41"/>
    <w:rsid w:val="007D4E8E"/>
    <w:rsid w:val="007E27B7"/>
    <w:rsid w:val="007E491A"/>
    <w:rsid w:val="007E69C9"/>
    <w:rsid w:val="007E7F42"/>
    <w:rsid w:val="00803C1B"/>
    <w:rsid w:val="0080757F"/>
    <w:rsid w:val="008107C2"/>
    <w:rsid w:val="008122B4"/>
    <w:rsid w:val="00814774"/>
    <w:rsid w:val="0081678D"/>
    <w:rsid w:val="0081787D"/>
    <w:rsid w:val="0082186F"/>
    <w:rsid w:val="008233DA"/>
    <w:rsid w:val="008307F3"/>
    <w:rsid w:val="00832872"/>
    <w:rsid w:val="00834C2B"/>
    <w:rsid w:val="00841B09"/>
    <w:rsid w:val="00843085"/>
    <w:rsid w:val="00846DE6"/>
    <w:rsid w:val="008504F8"/>
    <w:rsid w:val="00850B64"/>
    <w:rsid w:val="0085475C"/>
    <w:rsid w:val="0086436D"/>
    <w:rsid w:val="008645FF"/>
    <w:rsid w:val="0086565A"/>
    <w:rsid w:val="00865B2A"/>
    <w:rsid w:val="00866275"/>
    <w:rsid w:val="00871480"/>
    <w:rsid w:val="008A3D3D"/>
    <w:rsid w:val="008A676C"/>
    <w:rsid w:val="008B001C"/>
    <w:rsid w:val="008B090B"/>
    <w:rsid w:val="008C39DB"/>
    <w:rsid w:val="008C73A6"/>
    <w:rsid w:val="008D1AEB"/>
    <w:rsid w:val="008D7EB2"/>
    <w:rsid w:val="008E0F57"/>
    <w:rsid w:val="008E414E"/>
    <w:rsid w:val="008F0149"/>
    <w:rsid w:val="008F10E4"/>
    <w:rsid w:val="008F1792"/>
    <w:rsid w:val="008F44F9"/>
    <w:rsid w:val="00905FD9"/>
    <w:rsid w:val="00906201"/>
    <w:rsid w:val="009167E1"/>
    <w:rsid w:val="0092070E"/>
    <w:rsid w:val="00923A17"/>
    <w:rsid w:val="00923D58"/>
    <w:rsid w:val="009328CF"/>
    <w:rsid w:val="00934C32"/>
    <w:rsid w:val="00941B1A"/>
    <w:rsid w:val="00941E28"/>
    <w:rsid w:val="009528C7"/>
    <w:rsid w:val="009545EF"/>
    <w:rsid w:val="00957168"/>
    <w:rsid w:val="00957BED"/>
    <w:rsid w:val="009611A2"/>
    <w:rsid w:val="00963407"/>
    <w:rsid w:val="00973860"/>
    <w:rsid w:val="0097596A"/>
    <w:rsid w:val="009776A7"/>
    <w:rsid w:val="00980A95"/>
    <w:rsid w:val="0098332F"/>
    <w:rsid w:val="00990C4D"/>
    <w:rsid w:val="009A036B"/>
    <w:rsid w:val="009A0E19"/>
    <w:rsid w:val="009A458A"/>
    <w:rsid w:val="009B1C99"/>
    <w:rsid w:val="009B6400"/>
    <w:rsid w:val="009C5EC1"/>
    <w:rsid w:val="009C618B"/>
    <w:rsid w:val="009C6BD0"/>
    <w:rsid w:val="009D27F7"/>
    <w:rsid w:val="009D3DC5"/>
    <w:rsid w:val="009E1F7F"/>
    <w:rsid w:val="009E2C17"/>
    <w:rsid w:val="009E46B2"/>
    <w:rsid w:val="009E47CE"/>
    <w:rsid w:val="009F3010"/>
    <w:rsid w:val="009F5F66"/>
    <w:rsid w:val="00A010A1"/>
    <w:rsid w:val="00A02654"/>
    <w:rsid w:val="00A0446A"/>
    <w:rsid w:val="00A106E3"/>
    <w:rsid w:val="00A1443C"/>
    <w:rsid w:val="00A16579"/>
    <w:rsid w:val="00A21B27"/>
    <w:rsid w:val="00A3017B"/>
    <w:rsid w:val="00A30B2D"/>
    <w:rsid w:val="00A4425F"/>
    <w:rsid w:val="00A54428"/>
    <w:rsid w:val="00A5465B"/>
    <w:rsid w:val="00A61FD7"/>
    <w:rsid w:val="00A6774D"/>
    <w:rsid w:val="00A72455"/>
    <w:rsid w:val="00A74D18"/>
    <w:rsid w:val="00A756B1"/>
    <w:rsid w:val="00A7699C"/>
    <w:rsid w:val="00A800BE"/>
    <w:rsid w:val="00A805A0"/>
    <w:rsid w:val="00A81649"/>
    <w:rsid w:val="00A826C0"/>
    <w:rsid w:val="00A85995"/>
    <w:rsid w:val="00A86BE6"/>
    <w:rsid w:val="00A917AF"/>
    <w:rsid w:val="00A969A0"/>
    <w:rsid w:val="00A96FF9"/>
    <w:rsid w:val="00AA2D06"/>
    <w:rsid w:val="00AA5161"/>
    <w:rsid w:val="00AB1B40"/>
    <w:rsid w:val="00AC1622"/>
    <w:rsid w:val="00AC2626"/>
    <w:rsid w:val="00AC309C"/>
    <w:rsid w:val="00AC3A7B"/>
    <w:rsid w:val="00AC4E85"/>
    <w:rsid w:val="00AC5057"/>
    <w:rsid w:val="00AC62ED"/>
    <w:rsid w:val="00AD0DCA"/>
    <w:rsid w:val="00AE04FA"/>
    <w:rsid w:val="00AE5B05"/>
    <w:rsid w:val="00AF6BFC"/>
    <w:rsid w:val="00B0483A"/>
    <w:rsid w:val="00B0766B"/>
    <w:rsid w:val="00B13184"/>
    <w:rsid w:val="00B15D47"/>
    <w:rsid w:val="00B22F87"/>
    <w:rsid w:val="00B24F7B"/>
    <w:rsid w:val="00B30092"/>
    <w:rsid w:val="00B33F65"/>
    <w:rsid w:val="00B47D82"/>
    <w:rsid w:val="00B52B92"/>
    <w:rsid w:val="00B53F15"/>
    <w:rsid w:val="00B54786"/>
    <w:rsid w:val="00B55DEF"/>
    <w:rsid w:val="00B61D68"/>
    <w:rsid w:val="00B63F14"/>
    <w:rsid w:val="00B66558"/>
    <w:rsid w:val="00B72E7F"/>
    <w:rsid w:val="00B734B5"/>
    <w:rsid w:val="00B743A6"/>
    <w:rsid w:val="00B839B6"/>
    <w:rsid w:val="00B90A0D"/>
    <w:rsid w:val="00BA3BAD"/>
    <w:rsid w:val="00BA6E0E"/>
    <w:rsid w:val="00BB009B"/>
    <w:rsid w:val="00BB1B5A"/>
    <w:rsid w:val="00BB3DEE"/>
    <w:rsid w:val="00BC0F4D"/>
    <w:rsid w:val="00BC2180"/>
    <w:rsid w:val="00BD091A"/>
    <w:rsid w:val="00BD3467"/>
    <w:rsid w:val="00BD4461"/>
    <w:rsid w:val="00BE0FD8"/>
    <w:rsid w:val="00BE51F4"/>
    <w:rsid w:val="00BF519C"/>
    <w:rsid w:val="00BF6084"/>
    <w:rsid w:val="00C0306D"/>
    <w:rsid w:val="00C0464C"/>
    <w:rsid w:val="00C124FD"/>
    <w:rsid w:val="00C206DB"/>
    <w:rsid w:val="00C2437B"/>
    <w:rsid w:val="00C26E17"/>
    <w:rsid w:val="00C4001F"/>
    <w:rsid w:val="00C40FBD"/>
    <w:rsid w:val="00C44CB1"/>
    <w:rsid w:val="00C47707"/>
    <w:rsid w:val="00C5312B"/>
    <w:rsid w:val="00C572AA"/>
    <w:rsid w:val="00C6126A"/>
    <w:rsid w:val="00C625F7"/>
    <w:rsid w:val="00C70337"/>
    <w:rsid w:val="00C7477A"/>
    <w:rsid w:val="00C76287"/>
    <w:rsid w:val="00C83054"/>
    <w:rsid w:val="00C850D2"/>
    <w:rsid w:val="00C859B6"/>
    <w:rsid w:val="00C86616"/>
    <w:rsid w:val="00C977CB"/>
    <w:rsid w:val="00C97C70"/>
    <w:rsid w:val="00CA28D3"/>
    <w:rsid w:val="00CB0269"/>
    <w:rsid w:val="00CC028E"/>
    <w:rsid w:val="00CC0B12"/>
    <w:rsid w:val="00CC17DA"/>
    <w:rsid w:val="00CC604D"/>
    <w:rsid w:val="00CC649F"/>
    <w:rsid w:val="00CC7806"/>
    <w:rsid w:val="00CD7833"/>
    <w:rsid w:val="00CE12FC"/>
    <w:rsid w:val="00CE2C69"/>
    <w:rsid w:val="00CE2F4F"/>
    <w:rsid w:val="00CE5197"/>
    <w:rsid w:val="00CF17D6"/>
    <w:rsid w:val="00CF286A"/>
    <w:rsid w:val="00CF6B4F"/>
    <w:rsid w:val="00D00C35"/>
    <w:rsid w:val="00D0319F"/>
    <w:rsid w:val="00D07FB8"/>
    <w:rsid w:val="00D10E5A"/>
    <w:rsid w:val="00D10FF6"/>
    <w:rsid w:val="00D15F7B"/>
    <w:rsid w:val="00D16516"/>
    <w:rsid w:val="00D220E4"/>
    <w:rsid w:val="00D25B58"/>
    <w:rsid w:val="00D3437B"/>
    <w:rsid w:val="00D439A5"/>
    <w:rsid w:val="00D44B07"/>
    <w:rsid w:val="00D60E0F"/>
    <w:rsid w:val="00D611D1"/>
    <w:rsid w:val="00D62566"/>
    <w:rsid w:val="00D6389B"/>
    <w:rsid w:val="00D63AB2"/>
    <w:rsid w:val="00D6460B"/>
    <w:rsid w:val="00D66986"/>
    <w:rsid w:val="00D71753"/>
    <w:rsid w:val="00D74D66"/>
    <w:rsid w:val="00D74F3F"/>
    <w:rsid w:val="00D81B74"/>
    <w:rsid w:val="00D834A8"/>
    <w:rsid w:val="00D92C2A"/>
    <w:rsid w:val="00DA1436"/>
    <w:rsid w:val="00DA4D03"/>
    <w:rsid w:val="00DB4395"/>
    <w:rsid w:val="00DB5584"/>
    <w:rsid w:val="00DB76E5"/>
    <w:rsid w:val="00DC739A"/>
    <w:rsid w:val="00DD20F0"/>
    <w:rsid w:val="00DD26A1"/>
    <w:rsid w:val="00DD2DB6"/>
    <w:rsid w:val="00DD34DC"/>
    <w:rsid w:val="00DE0168"/>
    <w:rsid w:val="00DE0B28"/>
    <w:rsid w:val="00DE1F28"/>
    <w:rsid w:val="00DE2384"/>
    <w:rsid w:val="00DE28E6"/>
    <w:rsid w:val="00DE2F79"/>
    <w:rsid w:val="00DF202A"/>
    <w:rsid w:val="00DF54F2"/>
    <w:rsid w:val="00DF5D06"/>
    <w:rsid w:val="00E01BE7"/>
    <w:rsid w:val="00E13AB1"/>
    <w:rsid w:val="00E15329"/>
    <w:rsid w:val="00E15765"/>
    <w:rsid w:val="00E22A1C"/>
    <w:rsid w:val="00E24DB7"/>
    <w:rsid w:val="00E24FE7"/>
    <w:rsid w:val="00E263A3"/>
    <w:rsid w:val="00E27C94"/>
    <w:rsid w:val="00E31A8D"/>
    <w:rsid w:val="00E43F7C"/>
    <w:rsid w:val="00E506FB"/>
    <w:rsid w:val="00E514D9"/>
    <w:rsid w:val="00E52D15"/>
    <w:rsid w:val="00E534DB"/>
    <w:rsid w:val="00E616AD"/>
    <w:rsid w:val="00E652BC"/>
    <w:rsid w:val="00E774A8"/>
    <w:rsid w:val="00E81E89"/>
    <w:rsid w:val="00E83380"/>
    <w:rsid w:val="00E83B03"/>
    <w:rsid w:val="00E8526A"/>
    <w:rsid w:val="00E85B77"/>
    <w:rsid w:val="00E86163"/>
    <w:rsid w:val="00E87A0F"/>
    <w:rsid w:val="00E904C5"/>
    <w:rsid w:val="00E91719"/>
    <w:rsid w:val="00E92B4C"/>
    <w:rsid w:val="00E943F1"/>
    <w:rsid w:val="00E951E3"/>
    <w:rsid w:val="00E9662B"/>
    <w:rsid w:val="00E96F30"/>
    <w:rsid w:val="00EA1B63"/>
    <w:rsid w:val="00EA3819"/>
    <w:rsid w:val="00EB31A9"/>
    <w:rsid w:val="00EB7FB8"/>
    <w:rsid w:val="00EC1502"/>
    <w:rsid w:val="00EC254C"/>
    <w:rsid w:val="00EC29E1"/>
    <w:rsid w:val="00EC46A9"/>
    <w:rsid w:val="00ED2AB0"/>
    <w:rsid w:val="00ED660E"/>
    <w:rsid w:val="00EE369C"/>
    <w:rsid w:val="00EE4538"/>
    <w:rsid w:val="00EE4F44"/>
    <w:rsid w:val="00EF35AD"/>
    <w:rsid w:val="00EF38EB"/>
    <w:rsid w:val="00EF5DA4"/>
    <w:rsid w:val="00F014CD"/>
    <w:rsid w:val="00F07A3F"/>
    <w:rsid w:val="00F13644"/>
    <w:rsid w:val="00F13C28"/>
    <w:rsid w:val="00F15118"/>
    <w:rsid w:val="00F222DB"/>
    <w:rsid w:val="00F231CB"/>
    <w:rsid w:val="00F2424C"/>
    <w:rsid w:val="00F2554B"/>
    <w:rsid w:val="00F26066"/>
    <w:rsid w:val="00F328CC"/>
    <w:rsid w:val="00F3403E"/>
    <w:rsid w:val="00F40F9A"/>
    <w:rsid w:val="00F4189C"/>
    <w:rsid w:val="00F4383C"/>
    <w:rsid w:val="00F43C24"/>
    <w:rsid w:val="00F65585"/>
    <w:rsid w:val="00F6719F"/>
    <w:rsid w:val="00F76267"/>
    <w:rsid w:val="00F80267"/>
    <w:rsid w:val="00F828C2"/>
    <w:rsid w:val="00F8705D"/>
    <w:rsid w:val="00F91D89"/>
    <w:rsid w:val="00F9496D"/>
    <w:rsid w:val="00F957B3"/>
    <w:rsid w:val="00FA0372"/>
    <w:rsid w:val="00FB0C95"/>
    <w:rsid w:val="00FB21EF"/>
    <w:rsid w:val="00FB2FD9"/>
    <w:rsid w:val="00FC0EB6"/>
    <w:rsid w:val="00FD341A"/>
    <w:rsid w:val="00FD7734"/>
    <w:rsid w:val="00FE1703"/>
    <w:rsid w:val="00FE6275"/>
    <w:rsid w:val="00FF2363"/>
    <w:rsid w:val="00FF55E5"/>
    <w:rsid w:val="00FF64DD"/>
    <w:rsid w:val="00FF7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B2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F6"/>
    <w:rPr>
      <w:sz w:val="24"/>
      <w:szCs w:val="24"/>
      <w:lang w:eastAsia="en-US"/>
    </w:rPr>
  </w:style>
  <w:style w:type="paragraph" w:styleId="Heading1">
    <w:name w:val="heading 1"/>
    <w:basedOn w:val="Normal"/>
    <w:next w:val="Normal"/>
    <w:qFormat/>
    <w:rsid w:val="003B37F6"/>
    <w:pPr>
      <w:keepNext/>
      <w:outlineLvl w:val="0"/>
    </w:pPr>
    <w:rPr>
      <w:b/>
      <w:bCs/>
    </w:rPr>
  </w:style>
  <w:style w:type="paragraph" w:styleId="Heading2">
    <w:name w:val="heading 2"/>
    <w:basedOn w:val="Normal"/>
    <w:next w:val="Normal"/>
    <w:qFormat/>
    <w:rsid w:val="003B37F6"/>
    <w:pPr>
      <w:keepNext/>
      <w:ind w:left="720"/>
      <w:outlineLvl w:val="1"/>
    </w:pPr>
    <w:rPr>
      <w:b/>
      <w:szCs w:val="20"/>
    </w:rPr>
  </w:style>
  <w:style w:type="paragraph" w:styleId="Heading3">
    <w:name w:val="heading 3"/>
    <w:basedOn w:val="Normal"/>
    <w:next w:val="Normal"/>
    <w:qFormat/>
    <w:rsid w:val="003B37F6"/>
    <w:pPr>
      <w:keepNext/>
      <w:pBdr>
        <w:top w:val="single" w:sz="18" w:space="1" w:color="auto"/>
        <w:left w:val="single" w:sz="18" w:space="4" w:color="auto"/>
        <w:bottom w:val="single" w:sz="18" w:space="1" w:color="auto"/>
        <w:right w:val="single" w:sz="18" w:space="4" w:color="auto"/>
      </w:pBdr>
      <w:jc w:val="center"/>
      <w:outlineLvl w:val="2"/>
    </w:pPr>
    <w:rPr>
      <w:rFonts w:ascii="Arial" w:hAnsi="Arial"/>
      <w:b/>
      <w:szCs w:val="20"/>
    </w:rPr>
  </w:style>
  <w:style w:type="paragraph" w:styleId="Heading4">
    <w:name w:val="heading 4"/>
    <w:basedOn w:val="Normal"/>
    <w:next w:val="Normal"/>
    <w:qFormat/>
    <w:rsid w:val="003B37F6"/>
    <w:pPr>
      <w:keepNext/>
      <w:spacing w:before="240" w:after="60"/>
      <w:outlineLvl w:val="3"/>
    </w:pPr>
    <w:rPr>
      <w:b/>
      <w:bCs/>
      <w:sz w:val="28"/>
      <w:szCs w:val="28"/>
    </w:rPr>
  </w:style>
  <w:style w:type="paragraph" w:styleId="Heading7">
    <w:name w:val="heading 7"/>
    <w:basedOn w:val="Normal"/>
    <w:next w:val="Normal"/>
    <w:qFormat/>
    <w:rsid w:val="003B37F6"/>
    <w:pPr>
      <w:spacing w:before="240" w:after="60"/>
      <w:outlineLvl w:val="6"/>
    </w:pPr>
  </w:style>
  <w:style w:type="paragraph" w:styleId="Heading8">
    <w:name w:val="heading 8"/>
    <w:basedOn w:val="Normal"/>
    <w:next w:val="Normal"/>
    <w:qFormat/>
    <w:rsid w:val="003B37F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B37F6"/>
    <w:pPr>
      <w:numPr>
        <w:numId w:val="1"/>
      </w:numPr>
      <w:spacing w:before="240" w:after="120"/>
    </w:pPr>
    <w:rPr>
      <w:lang w:val="en-US"/>
    </w:rPr>
  </w:style>
  <w:style w:type="paragraph" w:styleId="Header">
    <w:name w:val="header"/>
    <w:basedOn w:val="Normal"/>
    <w:link w:val="HeaderChar"/>
    <w:uiPriority w:val="99"/>
    <w:rsid w:val="003B37F6"/>
    <w:pPr>
      <w:tabs>
        <w:tab w:val="center" w:pos="4320"/>
        <w:tab w:val="right" w:pos="8640"/>
      </w:tabs>
    </w:pPr>
  </w:style>
  <w:style w:type="paragraph" w:styleId="Footer">
    <w:name w:val="footer"/>
    <w:basedOn w:val="Normal"/>
    <w:rsid w:val="003B37F6"/>
    <w:pPr>
      <w:tabs>
        <w:tab w:val="center" w:pos="4320"/>
        <w:tab w:val="right" w:pos="8640"/>
      </w:tabs>
    </w:pPr>
  </w:style>
  <w:style w:type="paragraph" w:styleId="BodyText">
    <w:name w:val="Body Text"/>
    <w:basedOn w:val="Normal"/>
    <w:rsid w:val="003B37F6"/>
    <w:pPr>
      <w:pBdr>
        <w:top w:val="single" w:sz="4" w:space="1" w:color="auto"/>
        <w:left w:val="single" w:sz="4" w:space="4" w:color="auto"/>
        <w:bottom w:val="single" w:sz="4" w:space="1" w:color="auto"/>
        <w:right w:val="single" w:sz="4" w:space="4" w:color="auto"/>
      </w:pBdr>
      <w:jc w:val="center"/>
    </w:pPr>
    <w:rPr>
      <w:b/>
      <w:sz w:val="34"/>
      <w:szCs w:val="20"/>
    </w:rPr>
  </w:style>
  <w:style w:type="paragraph" w:styleId="BodyText2">
    <w:name w:val="Body Text 2"/>
    <w:basedOn w:val="Normal"/>
    <w:rsid w:val="003B37F6"/>
    <w:pPr>
      <w:spacing w:after="120" w:line="480" w:lineRule="auto"/>
    </w:pPr>
  </w:style>
  <w:style w:type="paragraph" w:customStyle="1" w:styleId="BodyText1">
    <w:name w:val="Body Text1"/>
    <w:basedOn w:val="Normal"/>
    <w:rsid w:val="003B37F6"/>
    <w:pPr>
      <w:spacing w:before="120"/>
    </w:pPr>
    <w:rPr>
      <w:rFonts w:ascii="Palatino" w:hAnsi="Palatino"/>
      <w:szCs w:val="20"/>
    </w:rPr>
  </w:style>
  <w:style w:type="paragraph" w:styleId="BodyTextIndent3">
    <w:name w:val="Body Text Indent 3"/>
    <w:basedOn w:val="Normal"/>
    <w:rsid w:val="003B37F6"/>
    <w:pPr>
      <w:spacing w:after="120"/>
      <w:ind w:left="283"/>
    </w:pPr>
    <w:rPr>
      <w:sz w:val="16"/>
      <w:szCs w:val="16"/>
    </w:rPr>
  </w:style>
  <w:style w:type="paragraph" w:styleId="Title">
    <w:name w:val="Title"/>
    <w:basedOn w:val="Normal"/>
    <w:qFormat/>
    <w:rsid w:val="003B37F6"/>
    <w:pPr>
      <w:jc w:val="center"/>
    </w:pPr>
    <w:rPr>
      <w:b/>
      <w:bCs/>
    </w:rPr>
  </w:style>
  <w:style w:type="character" w:styleId="Emphasis">
    <w:name w:val="Emphasis"/>
    <w:qFormat/>
    <w:rsid w:val="003B37F6"/>
    <w:rPr>
      <w:rFonts w:ascii="Times New Roman" w:hAnsi="Times New Roman"/>
      <w:iCs/>
    </w:rPr>
  </w:style>
  <w:style w:type="paragraph" w:styleId="BodyTextIndent">
    <w:name w:val="Body Text Indent"/>
    <w:basedOn w:val="Normal"/>
    <w:rsid w:val="003B37F6"/>
    <w:pPr>
      <w:spacing w:after="120"/>
      <w:ind w:left="283"/>
    </w:pPr>
  </w:style>
  <w:style w:type="paragraph" w:styleId="BodyTextIndent2">
    <w:name w:val="Body Text Indent 2"/>
    <w:basedOn w:val="Normal"/>
    <w:rsid w:val="003B37F6"/>
    <w:pPr>
      <w:spacing w:after="120" w:line="480" w:lineRule="auto"/>
      <w:ind w:left="283"/>
    </w:pPr>
  </w:style>
  <w:style w:type="paragraph" w:customStyle="1" w:styleId="Subject">
    <w:name w:val="Subject"/>
    <w:basedOn w:val="Normal"/>
    <w:rsid w:val="003B37F6"/>
    <w:pPr>
      <w:spacing w:before="600" w:after="120" w:line="280" w:lineRule="atLeast"/>
      <w:jc w:val="center"/>
    </w:pPr>
    <w:rPr>
      <w:rFonts w:ascii="Palatino" w:hAnsi="Palatino"/>
      <w:b/>
      <w:smallCaps/>
      <w:szCs w:val="20"/>
    </w:rPr>
  </w:style>
  <w:style w:type="character" w:styleId="Hyperlink">
    <w:name w:val="Hyperlink"/>
    <w:rsid w:val="003B37F6"/>
    <w:rPr>
      <w:color w:val="0000FF"/>
      <w:u w:val="single"/>
    </w:rPr>
  </w:style>
  <w:style w:type="paragraph" w:styleId="BalloonText">
    <w:name w:val="Balloon Text"/>
    <w:basedOn w:val="Normal"/>
    <w:semiHidden/>
    <w:rsid w:val="003B37F6"/>
    <w:rPr>
      <w:rFonts w:ascii="Tahoma" w:hAnsi="Tahoma" w:cs="Tahoma"/>
      <w:sz w:val="16"/>
      <w:szCs w:val="16"/>
    </w:rPr>
  </w:style>
  <w:style w:type="character" w:styleId="PageNumber">
    <w:name w:val="page number"/>
    <w:basedOn w:val="DefaultParagraphFont"/>
    <w:rsid w:val="003B37F6"/>
  </w:style>
  <w:style w:type="table" w:styleId="TableGrid">
    <w:name w:val="Table Grid"/>
    <w:basedOn w:val="TableNormal"/>
    <w:rsid w:val="003B3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B37F6"/>
    <w:rPr>
      <w:sz w:val="16"/>
      <w:szCs w:val="16"/>
    </w:rPr>
  </w:style>
  <w:style w:type="paragraph" w:styleId="CommentText">
    <w:name w:val="annotation text"/>
    <w:basedOn w:val="Normal"/>
    <w:rsid w:val="003B37F6"/>
    <w:rPr>
      <w:sz w:val="20"/>
      <w:szCs w:val="20"/>
    </w:rPr>
  </w:style>
  <w:style w:type="paragraph" w:styleId="CommentSubject">
    <w:name w:val="annotation subject"/>
    <w:basedOn w:val="CommentText"/>
    <w:next w:val="CommentText"/>
    <w:semiHidden/>
    <w:rsid w:val="003B37F6"/>
    <w:rPr>
      <w:b/>
      <w:bCs/>
    </w:rPr>
  </w:style>
  <w:style w:type="paragraph" w:customStyle="1" w:styleId="CM31">
    <w:name w:val="CM31"/>
    <w:basedOn w:val="Normal"/>
    <w:next w:val="Normal"/>
    <w:rsid w:val="003B37F6"/>
    <w:pPr>
      <w:autoSpaceDE w:val="0"/>
      <w:autoSpaceDN w:val="0"/>
      <w:adjustRightInd w:val="0"/>
      <w:spacing w:after="503"/>
    </w:pPr>
    <w:rPr>
      <w:lang w:eastAsia="en-AU"/>
    </w:rPr>
  </w:style>
  <w:style w:type="character" w:styleId="FollowedHyperlink">
    <w:name w:val="FollowedHyperlink"/>
    <w:rsid w:val="003B37F6"/>
    <w:rPr>
      <w:color w:val="800080"/>
      <w:u w:val="single"/>
    </w:rPr>
  </w:style>
  <w:style w:type="character" w:styleId="Strong">
    <w:name w:val="Strong"/>
    <w:qFormat/>
    <w:rsid w:val="003B37F6"/>
    <w:rPr>
      <w:b/>
      <w:bCs/>
    </w:rPr>
  </w:style>
  <w:style w:type="paragraph" w:styleId="ListBullet">
    <w:name w:val="List Bullet"/>
    <w:basedOn w:val="Normal"/>
    <w:rsid w:val="00941B1A"/>
    <w:pPr>
      <w:numPr>
        <w:numId w:val="5"/>
      </w:numPr>
      <w:contextualSpacing/>
    </w:pPr>
  </w:style>
  <w:style w:type="paragraph" w:styleId="Revision">
    <w:name w:val="Revision"/>
    <w:hidden/>
    <w:uiPriority w:val="99"/>
    <w:semiHidden/>
    <w:rsid w:val="00261EF7"/>
    <w:rPr>
      <w:sz w:val="24"/>
      <w:szCs w:val="24"/>
      <w:lang w:eastAsia="en-US"/>
    </w:rPr>
  </w:style>
  <w:style w:type="paragraph" w:styleId="ListNumber">
    <w:name w:val="List Number"/>
    <w:basedOn w:val="Normal"/>
    <w:uiPriority w:val="99"/>
    <w:qFormat/>
    <w:rsid w:val="00726F0A"/>
    <w:pPr>
      <w:numPr>
        <w:numId w:val="6"/>
      </w:numPr>
      <w:spacing w:after="200" w:line="276" w:lineRule="auto"/>
    </w:pPr>
    <w:rPr>
      <w:rFonts w:ascii="Arial" w:eastAsia="Calibri" w:hAnsi="Arial"/>
      <w:sz w:val="22"/>
      <w:szCs w:val="22"/>
    </w:rPr>
  </w:style>
  <w:style w:type="paragraph" w:styleId="Index1">
    <w:name w:val="index 1"/>
    <w:basedOn w:val="Normal"/>
    <w:uiPriority w:val="99"/>
    <w:rsid w:val="000E0CBE"/>
    <w:pPr>
      <w:tabs>
        <w:tab w:val="right" w:pos="4080"/>
      </w:tabs>
      <w:spacing w:line="220" w:lineRule="atLeast"/>
      <w:ind w:left="360" w:hanging="360"/>
    </w:pPr>
    <w:rPr>
      <w:sz w:val="20"/>
      <w:szCs w:val="20"/>
    </w:rPr>
  </w:style>
  <w:style w:type="paragraph" w:styleId="ListParagraph">
    <w:name w:val="List Paragraph"/>
    <w:basedOn w:val="Normal"/>
    <w:uiPriority w:val="34"/>
    <w:qFormat/>
    <w:rsid w:val="004C5876"/>
    <w:pPr>
      <w:ind w:left="720"/>
    </w:pPr>
    <w:rPr>
      <w:rFonts w:ascii="Calibri" w:eastAsia="Calibri" w:hAnsi="Calibri"/>
      <w:sz w:val="22"/>
      <w:szCs w:val="22"/>
      <w:lang w:eastAsia="en-AU"/>
    </w:rPr>
  </w:style>
  <w:style w:type="character" w:customStyle="1" w:styleId="NORMALChar">
    <w:name w:val="NORMAL Char"/>
    <w:link w:val="Normal1"/>
    <w:locked/>
    <w:rsid w:val="00282D06"/>
    <w:rPr>
      <w:rFonts w:ascii="Arial" w:hAnsi="Arial" w:cs="Arial"/>
    </w:rPr>
  </w:style>
  <w:style w:type="paragraph" w:customStyle="1" w:styleId="Normal1">
    <w:name w:val="Normal1"/>
    <w:basedOn w:val="Normal"/>
    <w:link w:val="NORMALChar"/>
    <w:rsid w:val="00282D06"/>
    <w:pPr>
      <w:spacing w:after="120" w:line="300" w:lineRule="auto"/>
    </w:pPr>
    <w:rPr>
      <w:rFonts w:ascii="Arial" w:hAnsi="Arial" w:cs="Arial"/>
      <w:sz w:val="20"/>
      <w:szCs w:val="20"/>
      <w:lang w:eastAsia="en-AU"/>
    </w:rPr>
  </w:style>
  <w:style w:type="character" w:customStyle="1" w:styleId="PdeTtextChar">
    <w:name w:val="PdeT text Char"/>
    <w:link w:val="PdeTtext"/>
    <w:uiPriority w:val="99"/>
    <w:locked/>
    <w:rsid w:val="00282D06"/>
    <w:rPr>
      <w:b/>
      <w:bCs/>
    </w:rPr>
  </w:style>
  <w:style w:type="paragraph" w:customStyle="1" w:styleId="PdeTtext">
    <w:name w:val="PdeT text"/>
    <w:basedOn w:val="Normal"/>
    <w:link w:val="PdeTtextChar"/>
    <w:uiPriority w:val="99"/>
    <w:rsid w:val="00282D06"/>
    <w:pPr>
      <w:spacing w:after="120" w:line="260" w:lineRule="exact"/>
      <w:jc w:val="both"/>
    </w:pPr>
    <w:rPr>
      <w:b/>
      <w:bCs/>
      <w:sz w:val="20"/>
      <w:szCs w:val="20"/>
      <w:lang w:eastAsia="en-AU"/>
    </w:rPr>
  </w:style>
  <w:style w:type="character" w:customStyle="1" w:styleId="HeaderChar">
    <w:name w:val="Header Char"/>
    <w:link w:val="Header"/>
    <w:uiPriority w:val="99"/>
    <w:rsid w:val="00F1364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53648">
      <w:bodyDiv w:val="1"/>
      <w:marLeft w:val="0"/>
      <w:marRight w:val="0"/>
      <w:marTop w:val="0"/>
      <w:marBottom w:val="0"/>
      <w:divBdr>
        <w:top w:val="none" w:sz="0" w:space="0" w:color="auto"/>
        <w:left w:val="none" w:sz="0" w:space="0" w:color="auto"/>
        <w:bottom w:val="none" w:sz="0" w:space="0" w:color="auto"/>
        <w:right w:val="none" w:sz="0" w:space="0" w:color="auto"/>
      </w:divBdr>
    </w:div>
    <w:div w:id="422994575">
      <w:bodyDiv w:val="1"/>
      <w:marLeft w:val="0"/>
      <w:marRight w:val="0"/>
      <w:marTop w:val="0"/>
      <w:marBottom w:val="0"/>
      <w:divBdr>
        <w:top w:val="none" w:sz="0" w:space="0" w:color="auto"/>
        <w:left w:val="none" w:sz="0" w:space="0" w:color="auto"/>
        <w:bottom w:val="none" w:sz="0" w:space="0" w:color="auto"/>
        <w:right w:val="none" w:sz="0" w:space="0" w:color="auto"/>
      </w:divBdr>
    </w:div>
    <w:div w:id="470099641">
      <w:bodyDiv w:val="1"/>
      <w:marLeft w:val="0"/>
      <w:marRight w:val="0"/>
      <w:marTop w:val="0"/>
      <w:marBottom w:val="0"/>
      <w:divBdr>
        <w:top w:val="none" w:sz="0" w:space="0" w:color="auto"/>
        <w:left w:val="none" w:sz="0" w:space="0" w:color="auto"/>
        <w:bottom w:val="none" w:sz="0" w:space="0" w:color="auto"/>
        <w:right w:val="none" w:sz="0" w:space="0" w:color="auto"/>
      </w:divBdr>
    </w:div>
    <w:div w:id="482553106">
      <w:bodyDiv w:val="1"/>
      <w:marLeft w:val="0"/>
      <w:marRight w:val="0"/>
      <w:marTop w:val="0"/>
      <w:marBottom w:val="0"/>
      <w:divBdr>
        <w:top w:val="none" w:sz="0" w:space="0" w:color="auto"/>
        <w:left w:val="none" w:sz="0" w:space="0" w:color="auto"/>
        <w:bottom w:val="none" w:sz="0" w:space="0" w:color="auto"/>
        <w:right w:val="none" w:sz="0" w:space="0" w:color="auto"/>
      </w:divBdr>
    </w:div>
    <w:div w:id="676811287">
      <w:bodyDiv w:val="1"/>
      <w:marLeft w:val="0"/>
      <w:marRight w:val="0"/>
      <w:marTop w:val="0"/>
      <w:marBottom w:val="0"/>
      <w:divBdr>
        <w:top w:val="none" w:sz="0" w:space="0" w:color="auto"/>
        <w:left w:val="none" w:sz="0" w:space="0" w:color="auto"/>
        <w:bottom w:val="none" w:sz="0" w:space="0" w:color="auto"/>
        <w:right w:val="none" w:sz="0" w:space="0" w:color="auto"/>
      </w:divBdr>
      <w:divsChild>
        <w:div w:id="858204391">
          <w:marLeft w:val="0"/>
          <w:marRight w:val="0"/>
          <w:marTop w:val="0"/>
          <w:marBottom w:val="0"/>
          <w:divBdr>
            <w:top w:val="none" w:sz="0" w:space="0" w:color="auto"/>
            <w:left w:val="none" w:sz="0" w:space="0" w:color="auto"/>
            <w:bottom w:val="none" w:sz="0" w:space="0" w:color="auto"/>
            <w:right w:val="none" w:sz="0" w:space="0" w:color="auto"/>
          </w:divBdr>
          <w:divsChild>
            <w:div w:id="148519321">
              <w:marLeft w:val="0"/>
              <w:marRight w:val="0"/>
              <w:marTop w:val="0"/>
              <w:marBottom w:val="0"/>
              <w:divBdr>
                <w:top w:val="none" w:sz="0" w:space="0" w:color="auto"/>
                <w:left w:val="none" w:sz="0" w:space="0" w:color="auto"/>
                <w:bottom w:val="none" w:sz="0" w:space="0" w:color="auto"/>
                <w:right w:val="none" w:sz="0" w:space="0" w:color="auto"/>
              </w:divBdr>
              <w:divsChild>
                <w:div w:id="537275856">
                  <w:marLeft w:val="0"/>
                  <w:marRight w:val="0"/>
                  <w:marTop w:val="0"/>
                  <w:marBottom w:val="0"/>
                  <w:divBdr>
                    <w:top w:val="none" w:sz="0" w:space="0" w:color="auto"/>
                    <w:left w:val="none" w:sz="0" w:space="0" w:color="auto"/>
                    <w:bottom w:val="none" w:sz="0" w:space="0" w:color="auto"/>
                    <w:right w:val="none" w:sz="0" w:space="0" w:color="auto"/>
                  </w:divBdr>
                  <w:divsChild>
                    <w:div w:id="1722941974">
                      <w:marLeft w:val="0"/>
                      <w:marRight w:val="0"/>
                      <w:marTop w:val="0"/>
                      <w:marBottom w:val="0"/>
                      <w:divBdr>
                        <w:top w:val="none" w:sz="0" w:space="0" w:color="auto"/>
                        <w:left w:val="none" w:sz="0" w:space="0" w:color="auto"/>
                        <w:bottom w:val="none" w:sz="0" w:space="0" w:color="auto"/>
                        <w:right w:val="none" w:sz="0" w:space="0" w:color="auto"/>
                      </w:divBdr>
                      <w:divsChild>
                        <w:div w:id="155537857">
                          <w:marLeft w:val="0"/>
                          <w:marRight w:val="0"/>
                          <w:marTop w:val="0"/>
                          <w:marBottom w:val="0"/>
                          <w:divBdr>
                            <w:top w:val="single" w:sz="6" w:space="0" w:color="828282"/>
                            <w:left w:val="single" w:sz="6" w:space="0" w:color="828282"/>
                            <w:bottom w:val="single" w:sz="6" w:space="0" w:color="828282"/>
                            <w:right w:val="single" w:sz="6" w:space="0" w:color="828282"/>
                          </w:divBdr>
                          <w:divsChild>
                            <w:div w:id="871577711">
                              <w:marLeft w:val="0"/>
                              <w:marRight w:val="0"/>
                              <w:marTop w:val="0"/>
                              <w:marBottom w:val="0"/>
                              <w:divBdr>
                                <w:top w:val="none" w:sz="0" w:space="0" w:color="auto"/>
                                <w:left w:val="none" w:sz="0" w:space="0" w:color="auto"/>
                                <w:bottom w:val="none" w:sz="0" w:space="0" w:color="auto"/>
                                <w:right w:val="none" w:sz="0" w:space="0" w:color="auto"/>
                              </w:divBdr>
                              <w:divsChild>
                                <w:div w:id="766730545">
                                  <w:marLeft w:val="0"/>
                                  <w:marRight w:val="0"/>
                                  <w:marTop w:val="0"/>
                                  <w:marBottom w:val="0"/>
                                  <w:divBdr>
                                    <w:top w:val="none" w:sz="0" w:space="0" w:color="auto"/>
                                    <w:left w:val="none" w:sz="0" w:space="0" w:color="auto"/>
                                    <w:bottom w:val="none" w:sz="0" w:space="0" w:color="auto"/>
                                    <w:right w:val="none" w:sz="0" w:space="0" w:color="auto"/>
                                  </w:divBdr>
                                  <w:divsChild>
                                    <w:div w:id="1590313329">
                                      <w:marLeft w:val="0"/>
                                      <w:marRight w:val="0"/>
                                      <w:marTop w:val="0"/>
                                      <w:marBottom w:val="0"/>
                                      <w:divBdr>
                                        <w:top w:val="none" w:sz="0" w:space="0" w:color="auto"/>
                                        <w:left w:val="none" w:sz="0" w:space="0" w:color="auto"/>
                                        <w:bottom w:val="none" w:sz="0" w:space="0" w:color="auto"/>
                                        <w:right w:val="none" w:sz="0" w:space="0" w:color="auto"/>
                                      </w:divBdr>
                                      <w:divsChild>
                                        <w:div w:id="471021854">
                                          <w:marLeft w:val="0"/>
                                          <w:marRight w:val="0"/>
                                          <w:marTop w:val="0"/>
                                          <w:marBottom w:val="0"/>
                                          <w:divBdr>
                                            <w:top w:val="none" w:sz="0" w:space="0" w:color="auto"/>
                                            <w:left w:val="none" w:sz="0" w:space="0" w:color="auto"/>
                                            <w:bottom w:val="none" w:sz="0" w:space="0" w:color="auto"/>
                                            <w:right w:val="none" w:sz="0" w:space="0" w:color="auto"/>
                                          </w:divBdr>
                                          <w:divsChild>
                                            <w:div w:id="1786580810">
                                              <w:marLeft w:val="0"/>
                                              <w:marRight w:val="0"/>
                                              <w:marTop w:val="0"/>
                                              <w:marBottom w:val="0"/>
                                              <w:divBdr>
                                                <w:top w:val="none" w:sz="0" w:space="0" w:color="auto"/>
                                                <w:left w:val="none" w:sz="0" w:space="0" w:color="auto"/>
                                                <w:bottom w:val="none" w:sz="0" w:space="0" w:color="auto"/>
                                                <w:right w:val="none" w:sz="0" w:space="0" w:color="auto"/>
                                              </w:divBdr>
                                              <w:divsChild>
                                                <w:div w:id="21036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0193524">
      <w:bodyDiv w:val="1"/>
      <w:marLeft w:val="0"/>
      <w:marRight w:val="0"/>
      <w:marTop w:val="0"/>
      <w:marBottom w:val="0"/>
      <w:divBdr>
        <w:top w:val="none" w:sz="0" w:space="0" w:color="auto"/>
        <w:left w:val="none" w:sz="0" w:space="0" w:color="auto"/>
        <w:bottom w:val="none" w:sz="0" w:space="0" w:color="auto"/>
        <w:right w:val="none" w:sz="0" w:space="0" w:color="auto"/>
      </w:divBdr>
    </w:div>
    <w:div w:id="1042439922">
      <w:bodyDiv w:val="1"/>
      <w:marLeft w:val="0"/>
      <w:marRight w:val="0"/>
      <w:marTop w:val="0"/>
      <w:marBottom w:val="0"/>
      <w:divBdr>
        <w:top w:val="none" w:sz="0" w:space="0" w:color="auto"/>
        <w:left w:val="none" w:sz="0" w:space="0" w:color="auto"/>
        <w:bottom w:val="none" w:sz="0" w:space="0" w:color="auto"/>
        <w:right w:val="none" w:sz="0" w:space="0" w:color="auto"/>
      </w:divBdr>
    </w:div>
    <w:div w:id="1190534053">
      <w:bodyDiv w:val="1"/>
      <w:marLeft w:val="0"/>
      <w:marRight w:val="0"/>
      <w:marTop w:val="0"/>
      <w:marBottom w:val="0"/>
      <w:divBdr>
        <w:top w:val="none" w:sz="0" w:space="0" w:color="auto"/>
        <w:left w:val="none" w:sz="0" w:space="0" w:color="auto"/>
        <w:bottom w:val="none" w:sz="0" w:space="0" w:color="auto"/>
        <w:right w:val="none" w:sz="0" w:space="0" w:color="auto"/>
      </w:divBdr>
    </w:div>
    <w:div w:id="1322848494">
      <w:bodyDiv w:val="1"/>
      <w:marLeft w:val="0"/>
      <w:marRight w:val="0"/>
      <w:marTop w:val="0"/>
      <w:marBottom w:val="0"/>
      <w:divBdr>
        <w:top w:val="none" w:sz="0" w:space="0" w:color="auto"/>
        <w:left w:val="none" w:sz="0" w:space="0" w:color="auto"/>
        <w:bottom w:val="none" w:sz="0" w:space="0" w:color="auto"/>
        <w:right w:val="none" w:sz="0" w:space="0" w:color="auto"/>
      </w:divBdr>
    </w:div>
    <w:div w:id="1437944718">
      <w:bodyDiv w:val="1"/>
      <w:marLeft w:val="0"/>
      <w:marRight w:val="0"/>
      <w:marTop w:val="0"/>
      <w:marBottom w:val="0"/>
      <w:divBdr>
        <w:top w:val="none" w:sz="0" w:space="0" w:color="auto"/>
        <w:left w:val="none" w:sz="0" w:space="0" w:color="auto"/>
        <w:bottom w:val="none" w:sz="0" w:space="0" w:color="auto"/>
        <w:right w:val="none" w:sz="0" w:space="0" w:color="auto"/>
      </w:divBdr>
    </w:div>
    <w:div w:id="1572615592">
      <w:bodyDiv w:val="1"/>
      <w:marLeft w:val="0"/>
      <w:marRight w:val="0"/>
      <w:marTop w:val="0"/>
      <w:marBottom w:val="0"/>
      <w:divBdr>
        <w:top w:val="none" w:sz="0" w:space="0" w:color="auto"/>
        <w:left w:val="none" w:sz="0" w:space="0" w:color="auto"/>
        <w:bottom w:val="none" w:sz="0" w:space="0" w:color="auto"/>
        <w:right w:val="none" w:sz="0" w:space="0" w:color="auto"/>
      </w:divBdr>
    </w:div>
    <w:div w:id="1709841818">
      <w:bodyDiv w:val="1"/>
      <w:marLeft w:val="0"/>
      <w:marRight w:val="0"/>
      <w:marTop w:val="0"/>
      <w:marBottom w:val="0"/>
      <w:divBdr>
        <w:top w:val="none" w:sz="0" w:space="0" w:color="auto"/>
        <w:left w:val="none" w:sz="0" w:space="0" w:color="auto"/>
        <w:bottom w:val="none" w:sz="0" w:space="0" w:color="auto"/>
        <w:right w:val="none" w:sz="0" w:space="0" w:color="auto"/>
      </w:divBdr>
    </w:div>
    <w:div w:id="1946229244">
      <w:bodyDiv w:val="1"/>
      <w:marLeft w:val="0"/>
      <w:marRight w:val="0"/>
      <w:marTop w:val="0"/>
      <w:marBottom w:val="0"/>
      <w:divBdr>
        <w:top w:val="none" w:sz="0" w:space="0" w:color="auto"/>
        <w:left w:val="none" w:sz="0" w:space="0" w:color="auto"/>
        <w:bottom w:val="none" w:sz="0" w:space="0" w:color="auto"/>
        <w:right w:val="none" w:sz="0" w:space="0" w:color="auto"/>
      </w:divBdr>
    </w:div>
    <w:div w:id="1993019413">
      <w:bodyDiv w:val="1"/>
      <w:marLeft w:val="0"/>
      <w:marRight w:val="0"/>
      <w:marTop w:val="0"/>
      <w:marBottom w:val="0"/>
      <w:divBdr>
        <w:top w:val="none" w:sz="0" w:space="0" w:color="auto"/>
        <w:left w:val="none" w:sz="0" w:space="0" w:color="auto"/>
        <w:bottom w:val="none" w:sz="0" w:space="0" w:color="auto"/>
        <w:right w:val="none" w:sz="0" w:space="0" w:color="auto"/>
      </w:divBdr>
    </w:div>
    <w:div w:id="2010718636">
      <w:bodyDiv w:val="1"/>
      <w:marLeft w:val="0"/>
      <w:marRight w:val="0"/>
      <w:marTop w:val="0"/>
      <w:marBottom w:val="0"/>
      <w:divBdr>
        <w:top w:val="none" w:sz="0" w:space="0" w:color="auto"/>
        <w:left w:val="none" w:sz="0" w:space="0" w:color="auto"/>
        <w:bottom w:val="none" w:sz="0" w:space="0" w:color="auto"/>
        <w:right w:val="none" w:sz="0" w:space="0" w:color="auto"/>
      </w:divBdr>
    </w:div>
    <w:div w:id="209041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0DD081AC15A64B8C4D18F48686A891" ma:contentTypeVersion="" ma:contentTypeDescription="PDMS Document Site Content Type" ma:contentTypeScope="" ma:versionID="9d807edd871ebcabba5cd809a582a08b">
  <xsd:schema xmlns:xsd="http://www.w3.org/2001/XMLSchema" xmlns:xs="http://www.w3.org/2001/XMLSchema" xmlns:p="http://schemas.microsoft.com/office/2006/metadata/properties" xmlns:ns2="3045EDDF-07CB-45BA-8457-686AADF9F13B" targetNamespace="http://schemas.microsoft.com/office/2006/metadata/properties" ma:root="true" ma:fieldsID="de5630b42c6570e4c356abbe9ca2a626" ns2:_="">
    <xsd:import namespace="3045EDDF-07CB-45BA-8457-686AADF9F1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5EDDF-07CB-45BA-8457-686AADF9F1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SecurityClassification xmlns="3045EDDF-07CB-45BA-8457-686AADF9F13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74639-A83E-46F5-A64B-637258583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5EDDF-07CB-45BA-8457-686AADF9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382DD-186C-4799-8E4F-B397B1D9527D}">
  <ds:schemaRefs>
    <ds:schemaRef ds:uri="http://schemas.microsoft.com/sharepoint/v3/contenttype/forms"/>
  </ds:schemaRefs>
</ds:datastoreItem>
</file>

<file path=customXml/itemProps3.xml><?xml version="1.0" encoding="utf-8"?>
<ds:datastoreItem xmlns:ds="http://schemas.openxmlformats.org/officeDocument/2006/customXml" ds:itemID="{1EA65995-71E9-4916-9D1A-3E70297EB532}">
  <ds:schemaRefs>
    <ds:schemaRef ds:uri="http://schemas.openxmlformats.org/officeDocument/2006/bibliography"/>
  </ds:schemaRefs>
</ds:datastoreItem>
</file>

<file path=customXml/itemProps4.xml><?xml version="1.0" encoding="utf-8"?>
<ds:datastoreItem xmlns:ds="http://schemas.openxmlformats.org/officeDocument/2006/customXml" ds:itemID="{31879D09-1297-45ED-8A30-6716577A5BC1}">
  <ds:schemaRefs>
    <ds:schemaRef ds:uri="http://schemas.microsoft.com/office/2006/metadata/properties"/>
    <ds:schemaRef ds:uri="3045EDDF-07CB-45BA-8457-686AADF9F13B"/>
  </ds:schemaRefs>
</ds:datastoreItem>
</file>

<file path=customXml/itemProps5.xml><?xml version="1.0" encoding="utf-8"?>
<ds:datastoreItem xmlns:ds="http://schemas.openxmlformats.org/officeDocument/2006/customXml" ds:itemID="{D5152024-1FDB-4ED4-B66E-6BE2E985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M5. Making brief_2_Attachment D_Explanatory Statement - made plan</vt:lpstr>
    </vt:vector>
  </TitlesOfParts>
  <LinksUpToDate>false</LinksUpToDate>
  <CharactersWithSpaces>7893</CharactersWithSpaces>
  <SharedDoc>false</SharedDoc>
  <HLinks>
    <vt:vector size="6" baseType="variant">
      <vt:variant>
        <vt:i4>7143536</vt:i4>
      </vt:variant>
      <vt:variant>
        <vt:i4>0</vt:i4>
      </vt:variant>
      <vt:variant>
        <vt:i4>0</vt:i4>
      </vt:variant>
      <vt:variant>
        <vt:i4>5</vt:i4>
      </vt:variant>
      <vt:variant>
        <vt:lpwstr>http://www.environment.gov.au/biodiversity/threatened/recovery-list-scientific.html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 Making brief_2_Attachment D_Explanatory Statement - made plan</dc:title>
  <dc:creator/>
  <cp:lastModifiedBy/>
  <cp:revision>1</cp:revision>
  <cp:lastPrinted>2011-03-21T23:34:00Z</cp:lastPrinted>
  <dcterms:created xsi:type="dcterms:W3CDTF">2024-03-01T06:17:00Z</dcterms:created>
  <dcterms:modified xsi:type="dcterms:W3CDTF">2024-03-01T06:17:00Z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0x010100266966F133664895A6EE3632470D45F500C00DD081AC15A64B8C4D18F48686A891</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{89fa0c3a-0377-4fa1-814a-b753bf6fc998}</vt:lpwstr>
  </property>
  <property fmtid="{D5CDD505-2E9C-101B-9397-08002B2CF9AE}" pid="7" name="RecordPoint_RecordFormat">
    <vt:lpwstr/>
  </property>
  <property fmtid="{D5CDD505-2E9C-101B-9397-08002B2CF9AE}" pid="8" name="RecordPoint_ActiveItemMoved">
    <vt:lpwstr/>
  </property>
  <property fmtid="{D5CDD505-2E9C-101B-9397-08002B2CF9AE}" pid="9" name="RecordPoint_SubmissionCompleted">
    <vt:lpwstr/>
  </property>
  <property fmtid="{D5CDD505-2E9C-101B-9397-08002B2CF9AE}" pid="10" name="RecordPoint_ActiveItemUniqueId">
    <vt:lpwstr>{918761a0-a984-4feb-9ee3-540c879a299a}</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