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C1020" w14:textId="77777777" w:rsidR="004F6547" w:rsidRPr="004F6547" w:rsidRDefault="004F6547" w:rsidP="004F6547">
      <w:pPr>
        <w:widowControl w:val="0"/>
        <w:jc w:val="center"/>
        <w:rPr>
          <w:rFonts w:eastAsia="Times New Roman" w:cs="Times New Roman"/>
          <w:b/>
          <w:caps/>
          <w:u w:val="single"/>
        </w:rPr>
      </w:pPr>
      <w:r w:rsidRPr="004F6547">
        <w:rPr>
          <w:rFonts w:eastAsia="Times New Roman" w:cs="Times New Roman"/>
          <w:b/>
          <w:caps/>
          <w:szCs w:val="24"/>
          <w:u w:val="single"/>
          <w:lang w:bidi="en-US"/>
        </w:rPr>
        <w:t>Explanatory Statement</w:t>
      </w:r>
    </w:p>
    <w:p w14:paraId="02B356AC" w14:textId="77777777" w:rsidR="004F6547" w:rsidRPr="004F6547" w:rsidRDefault="004F6547" w:rsidP="004F6547">
      <w:pPr>
        <w:widowControl w:val="0"/>
        <w:rPr>
          <w:rFonts w:eastAsia="Times New Roman" w:cs="Times New Roman"/>
          <w:szCs w:val="24"/>
          <w:lang w:bidi="en-US"/>
        </w:rPr>
      </w:pPr>
    </w:p>
    <w:p w14:paraId="3510BD0E" w14:textId="77777777" w:rsidR="004F6547" w:rsidRPr="004F6547" w:rsidRDefault="004F6547" w:rsidP="004F6547">
      <w:pPr>
        <w:widowControl w:val="0"/>
        <w:shd w:val="clear" w:color="auto" w:fill="FFFFFF"/>
        <w:spacing w:after="200" w:line="253" w:lineRule="atLeast"/>
        <w:jc w:val="center"/>
        <w:rPr>
          <w:rFonts w:eastAsia="Times New Roman" w:cs="Arial"/>
          <w:color w:val="000000"/>
          <w:szCs w:val="24"/>
          <w:lang w:eastAsia="en-GB" w:bidi="en-US"/>
        </w:rPr>
      </w:pPr>
      <w:r w:rsidRPr="004F6547">
        <w:rPr>
          <w:rFonts w:eastAsia="Times New Roman" w:cs="Arial"/>
          <w:i/>
          <w:iCs/>
          <w:color w:val="000000"/>
          <w:szCs w:val="24"/>
          <w:lang w:val="en-AU" w:eastAsia="en-GB" w:bidi="en-US"/>
        </w:rPr>
        <w:t>Food Standards Australia New Zealand Act 1991</w:t>
      </w:r>
    </w:p>
    <w:p w14:paraId="5E31A13F" w14:textId="77777777" w:rsidR="004F6547" w:rsidRPr="004F6547" w:rsidRDefault="004F6547" w:rsidP="004F6547">
      <w:pPr>
        <w:widowControl w:val="0"/>
        <w:jc w:val="center"/>
        <w:rPr>
          <w:rFonts w:eastAsia="Times New Roman" w:cs="Arial"/>
          <w:b/>
          <w:bCs/>
          <w:i/>
          <w:iCs/>
          <w:szCs w:val="24"/>
          <w:lang w:bidi="en-US"/>
        </w:rPr>
      </w:pPr>
      <w:bookmarkStart w:id="0" w:name="_Hlk123897590"/>
      <w:r w:rsidRPr="004F6547">
        <w:rPr>
          <w:rFonts w:eastAsia="Times New Roman" w:cs="Times New Roman"/>
          <w:b/>
          <w:bCs/>
          <w:i/>
          <w:iCs/>
          <w:szCs w:val="24"/>
          <w:lang w:bidi="en-US"/>
        </w:rPr>
        <w:t xml:space="preserve">Food Standards (Proposal M1021 – Maximum Residue Limits (2022) – Schedule 20) </w:t>
      </w:r>
      <w:r w:rsidRPr="004F6547">
        <w:rPr>
          <w:rFonts w:eastAsia="Times New Roman" w:cs="Arial"/>
          <w:b/>
          <w:bCs/>
          <w:i/>
          <w:iCs/>
          <w:szCs w:val="24"/>
          <w:lang w:bidi="en-US"/>
        </w:rPr>
        <w:t>Variation</w:t>
      </w:r>
      <w:bookmarkEnd w:id="0"/>
    </w:p>
    <w:p w14:paraId="3103D297" w14:textId="77777777" w:rsidR="004F6547" w:rsidRPr="004F6547" w:rsidRDefault="004F6547" w:rsidP="004F6547">
      <w:pPr>
        <w:widowControl w:val="0"/>
        <w:jc w:val="center"/>
        <w:rPr>
          <w:rFonts w:eastAsia="Calibri" w:cs="Arial"/>
          <w:b/>
          <w:bCs/>
          <w:i/>
          <w:iCs/>
          <w:szCs w:val="24"/>
          <w:lang w:bidi="en-US"/>
        </w:rPr>
      </w:pPr>
    </w:p>
    <w:p w14:paraId="7AB2C97D" w14:textId="77777777" w:rsidR="004F6547" w:rsidRPr="004F6547" w:rsidRDefault="004F6547" w:rsidP="004F6547">
      <w:pPr>
        <w:widowControl w:val="0"/>
        <w:rPr>
          <w:rFonts w:eastAsia="Times New Roman" w:cs="Times New Roman"/>
          <w:b/>
          <w:szCs w:val="24"/>
          <w:lang w:val="en-AU" w:eastAsia="en-GB"/>
        </w:rPr>
      </w:pPr>
      <w:r w:rsidRPr="004F6547">
        <w:rPr>
          <w:rFonts w:eastAsia="Times New Roman" w:cs="Times New Roman"/>
          <w:b/>
          <w:szCs w:val="24"/>
          <w:lang w:val="en-AU" w:eastAsia="en-GB"/>
        </w:rPr>
        <w:t>1.</w:t>
      </w:r>
      <w:r w:rsidRPr="004F6547">
        <w:rPr>
          <w:rFonts w:eastAsia="Times New Roman" w:cs="Times New Roman"/>
          <w:b/>
          <w:szCs w:val="24"/>
          <w:lang w:val="en-AU" w:eastAsia="en-GB"/>
        </w:rPr>
        <w:tab/>
        <w:t>Authority</w:t>
      </w:r>
    </w:p>
    <w:p w14:paraId="37E8AA0F" w14:textId="77777777" w:rsidR="004F6547" w:rsidRPr="004F6547" w:rsidRDefault="004F6547" w:rsidP="004F6547">
      <w:pPr>
        <w:widowControl w:val="0"/>
        <w:rPr>
          <w:rFonts w:eastAsia="Times New Roman" w:cs="Times New Roman"/>
          <w:szCs w:val="24"/>
          <w:lang w:val="en-AU" w:eastAsia="en-GB"/>
        </w:rPr>
      </w:pPr>
    </w:p>
    <w:p w14:paraId="73D0DFC8" w14:textId="77777777" w:rsidR="004F6547" w:rsidRPr="004F6547" w:rsidRDefault="004F6547" w:rsidP="004F6547">
      <w:pPr>
        <w:autoSpaceDE w:val="0"/>
        <w:autoSpaceDN w:val="0"/>
        <w:adjustRightInd w:val="0"/>
        <w:rPr>
          <w:rFonts w:eastAsia="Calibri" w:cs="Arial"/>
          <w:bCs/>
          <w:lang w:val="en-AU"/>
        </w:rPr>
      </w:pPr>
      <w:r w:rsidRPr="004F6547">
        <w:rPr>
          <w:rFonts w:eastAsia="Calibri" w:cs="Arial"/>
          <w:bCs/>
          <w:lang w:val="en-AU"/>
        </w:rPr>
        <w:t xml:space="preserve">Section 13 of the </w:t>
      </w:r>
      <w:r w:rsidRPr="004F6547">
        <w:rPr>
          <w:rFonts w:eastAsia="Calibri" w:cs="Arial"/>
          <w:bCs/>
          <w:i/>
          <w:lang w:val="en-AU"/>
        </w:rPr>
        <w:t>Food Standards Australia New Zealand Act 1991</w:t>
      </w:r>
      <w:r w:rsidRPr="004F6547">
        <w:rPr>
          <w:rFonts w:eastAsia="Calibri" w:cs="Arial"/>
          <w:bCs/>
          <w:lang w:val="en-AU"/>
        </w:rPr>
        <w:t xml:space="preserve"> (the FSANZ Act) provides that the functions of Food Standards Australia New Zealand (the Authority) include the development of standards and variations of standards for inclusion in the </w:t>
      </w:r>
      <w:r w:rsidRPr="004F6547">
        <w:rPr>
          <w:rFonts w:eastAsia="Calibri" w:cs="Arial"/>
          <w:bCs/>
          <w:i/>
          <w:lang w:val="en-AU"/>
        </w:rPr>
        <w:t>Australia New Zealand Food Standards Code</w:t>
      </w:r>
      <w:r w:rsidRPr="004F6547">
        <w:rPr>
          <w:rFonts w:eastAsia="Calibri" w:cs="Arial"/>
          <w:bCs/>
          <w:lang w:val="en-AU"/>
        </w:rPr>
        <w:t xml:space="preserve"> (the Code).</w:t>
      </w:r>
    </w:p>
    <w:p w14:paraId="2F25EFCC" w14:textId="77777777" w:rsidR="004F6547" w:rsidRPr="004F6547" w:rsidRDefault="004F6547" w:rsidP="004F6547">
      <w:pPr>
        <w:autoSpaceDE w:val="0"/>
        <w:autoSpaceDN w:val="0"/>
        <w:adjustRightInd w:val="0"/>
        <w:rPr>
          <w:rFonts w:eastAsia="Calibri" w:cs="Arial"/>
          <w:bCs/>
          <w:lang w:val="en-AU"/>
        </w:rPr>
      </w:pPr>
    </w:p>
    <w:p w14:paraId="5D6D2D90" w14:textId="77777777" w:rsidR="004F6547" w:rsidRPr="004F6547" w:rsidRDefault="004F6547" w:rsidP="004F6547">
      <w:pPr>
        <w:autoSpaceDE w:val="0"/>
        <w:autoSpaceDN w:val="0"/>
        <w:adjustRightInd w:val="0"/>
        <w:rPr>
          <w:rFonts w:eastAsia="Calibri" w:cs="Arial"/>
          <w:bCs/>
          <w:lang w:val="en-AU"/>
        </w:rPr>
      </w:pPr>
      <w:r w:rsidRPr="004F6547">
        <w:rPr>
          <w:rFonts w:eastAsia="Calibri" w:cs="Arial"/>
          <w:bCs/>
          <w:lang w:val="en-AU"/>
        </w:rPr>
        <w:t xml:space="preserve">Division 2 of Part 3 of the FSANZ Act specifies that the Authority may prepare a proposal for the development or variation of food regulatory measures, including standards. This Division also stipulates the procedure for considering a proposal for the development or variation of food regulatory measures. </w:t>
      </w:r>
    </w:p>
    <w:p w14:paraId="4079DFF4" w14:textId="77777777" w:rsidR="004F6547" w:rsidRPr="004F6547" w:rsidRDefault="004F6547" w:rsidP="004F6547">
      <w:pPr>
        <w:autoSpaceDE w:val="0"/>
        <w:autoSpaceDN w:val="0"/>
        <w:adjustRightInd w:val="0"/>
        <w:rPr>
          <w:rFonts w:eastAsia="Calibri" w:cs="Arial"/>
          <w:bCs/>
          <w:lang w:val="en-AU"/>
        </w:rPr>
      </w:pPr>
    </w:p>
    <w:p w14:paraId="1E916A09" w14:textId="77777777" w:rsidR="004F6547" w:rsidRPr="004F6547" w:rsidRDefault="004F6547" w:rsidP="004F6547">
      <w:pPr>
        <w:autoSpaceDE w:val="0"/>
        <w:autoSpaceDN w:val="0"/>
        <w:adjustRightInd w:val="0"/>
        <w:rPr>
          <w:rFonts w:eastAsia="Calibri" w:cs="Arial"/>
          <w:bCs/>
          <w:lang w:val="en-AU"/>
        </w:rPr>
      </w:pPr>
      <w:r w:rsidRPr="004F6547">
        <w:rPr>
          <w:rFonts w:eastAsia="Calibri" w:cs="Arial"/>
          <w:bCs/>
          <w:lang w:val="en-AU"/>
        </w:rPr>
        <w:t xml:space="preserve">The Authority prepared Proposal M1021 to consider making certain amendments in Schedules 20 and 22 of the Code, which are related to maximum residue limits (MRLs) for residues of specific agricultural and veterinary (agvet) chemicals that may occur in food. The Authority considered the Proposal in accordance with Division 2 of Part 3 and has approved two draft variations – the </w:t>
      </w:r>
      <w:bookmarkStart w:id="1" w:name="_Hlk136514415"/>
      <w:bookmarkStart w:id="2" w:name="_Hlk136514459"/>
      <w:r w:rsidRPr="004F6547">
        <w:rPr>
          <w:rFonts w:eastAsia="Calibri" w:cs="Arial"/>
          <w:bCs/>
          <w:i/>
          <w:iCs/>
          <w:lang w:val="en-AU"/>
        </w:rPr>
        <w:t>Food Standards (Proposal M1021 – Maximum Residue Limits (2022) – Schedule 20) Variation</w:t>
      </w:r>
      <w:bookmarkEnd w:id="1"/>
      <w:r w:rsidRPr="004F6547">
        <w:rPr>
          <w:rFonts w:eastAsia="Calibri" w:cs="Arial"/>
          <w:bCs/>
          <w:lang w:val="en-AU"/>
        </w:rPr>
        <w:t xml:space="preserve"> </w:t>
      </w:r>
      <w:bookmarkEnd w:id="2"/>
      <w:r w:rsidRPr="004F6547">
        <w:rPr>
          <w:rFonts w:eastAsia="Calibri" w:cs="Arial"/>
          <w:bCs/>
          <w:lang w:val="en-AU"/>
        </w:rPr>
        <w:t xml:space="preserve">and the </w:t>
      </w:r>
      <w:r w:rsidRPr="004F6547">
        <w:rPr>
          <w:rFonts w:eastAsia="Calibri" w:cs="Arial"/>
          <w:bCs/>
          <w:i/>
          <w:iCs/>
          <w:lang w:val="en-AU"/>
        </w:rPr>
        <w:t>Food Standards (Proposal M1021 – Maximum Residue Limits (2022) – Schedule 22) Variation.</w:t>
      </w:r>
    </w:p>
    <w:p w14:paraId="4B9D9F4E" w14:textId="77777777" w:rsidR="004F6547" w:rsidRPr="004F6547" w:rsidRDefault="004F6547" w:rsidP="004F6547">
      <w:pPr>
        <w:autoSpaceDE w:val="0"/>
        <w:autoSpaceDN w:val="0"/>
        <w:adjustRightInd w:val="0"/>
        <w:rPr>
          <w:rFonts w:eastAsia="Calibri" w:cs="Arial"/>
          <w:bCs/>
          <w:lang w:val="en-AU"/>
        </w:rPr>
      </w:pPr>
    </w:p>
    <w:p w14:paraId="78F54A79" w14:textId="77777777" w:rsidR="004F6547" w:rsidRPr="004F6547" w:rsidRDefault="004F6547" w:rsidP="004F6547">
      <w:pPr>
        <w:autoSpaceDE w:val="0"/>
        <w:autoSpaceDN w:val="0"/>
        <w:adjustRightInd w:val="0"/>
        <w:rPr>
          <w:rFonts w:eastAsia="Calibri" w:cs="Times New Roman"/>
          <w:lang w:bidi="en-US"/>
        </w:rPr>
      </w:pPr>
      <w:r w:rsidRPr="004F6547">
        <w:rPr>
          <w:rFonts w:eastAsia="Times New Roman" w:cs="Times New Roman"/>
          <w:lang w:bidi="en-US"/>
        </w:rPr>
        <w:t xml:space="preserve">This Explanatory Statement relates to the </w:t>
      </w:r>
      <w:r w:rsidRPr="004F6547">
        <w:rPr>
          <w:rFonts w:eastAsia="Times New Roman" w:cs="Times New Roman"/>
          <w:i/>
          <w:iCs/>
          <w:lang w:bidi="en-US"/>
        </w:rPr>
        <w:t xml:space="preserve">Food Standards (Proposal M1021 – Maximum Residue Limits (2022) – Schedule 20) Variation </w:t>
      </w:r>
      <w:r w:rsidRPr="004F6547">
        <w:rPr>
          <w:rFonts w:eastAsia="Times New Roman" w:cs="Times New Roman"/>
          <w:lang w:bidi="en-US"/>
        </w:rPr>
        <w:t>(the approved draft variation).</w:t>
      </w:r>
    </w:p>
    <w:p w14:paraId="75370DAC" w14:textId="77777777" w:rsidR="004F6547" w:rsidRPr="004F6547" w:rsidRDefault="004F6547" w:rsidP="004F6547">
      <w:pPr>
        <w:autoSpaceDE w:val="0"/>
        <w:autoSpaceDN w:val="0"/>
        <w:adjustRightInd w:val="0"/>
        <w:rPr>
          <w:rFonts w:eastAsia="Times New Roman" w:cs="Times New Roman"/>
          <w:lang w:bidi="en-US"/>
        </w:rPr>
      </w:pPr>
    </w:p>
    <w:p w14:paraId="5C147A4A" w14:textId="77777777" w:rsidR="004F6547" w:rsidRPr="004F6547" w:rsidRDefault="004F6547" w:rsidP="004F6547">
      <w:pPr>
        <w:autoSpaceDE w:val="0"/>
        <w:autoSpaceDN w:val="0"/>
        <w:adjustRightInd w:val="0"/>
        <w:rPr>
          <w:rFonts w:eastAsia="Calibri" w:cs="Arial"/>
          <w:bCs/>
          <w:lang w:val="en-AU"/>
        </w:rPr>
      </w:pPr>
      <w:r w:rsidRPr="004F6547">
        <w:rPr>
          <w:rFonts w:eastAsia="Calibri" w:cs="Arial"/>
          <w:bCs/>
          <w:lang w:val="en-AU"/>
        </w:rPr>
        <w:t xml:space="preserve">Following consideration by the </w:t>
      </w:r>
      <w:r w:rsidRPr="004F6547">
        <w:rPr>
          <w:rFonts w:eastAsia="Times New Roman" w:cs="Helvetica"/>
          <w:szCs w:val="24"/>
          <w:lang w:val="en-AU" w:bidi="en-US"/>
        </w:rPr>
        <w:t>Food Ministers’ Meeting (FMM)</w:t>
      </w:r>
      <w:r w:rsidRPr="004F6547">
        <w:rPr>
          <w:rFonts w:eastAsia="Calibri" w:cs="Arial"/>
          <w:bCs/>
          <w:lang w:val="en-AU"/>
        </w:rPr>
        <w:t xml:space="preserve">, section 92 of the FSANZ Act stipulates that the Authority must publish a notice about the approved draft variation. </w:t>
      </w:r>
    </w:p>
    <w:p w14:paraId="18A45E00" w14:textId="77777777" w:rsidR="004F6547" w:rsidRPr="004F6547" w:rsidRDefault="004F6547" w:rsidP="004F6547">
      <w:pPr>
        <w:autoSpaceDE w:val="0"/>
        <w:autoSpaceDN w:val="0"/>
        <w:adjustRightInd w:val="0"/>
        <w:rPr>
          <w:rFonts w:eastAsia="Calibri" w:cs="Arial"/>
          <w:bCs/>
          <w:lang w:val="en-AU"/>
        </w:rPr>
      </w:pPr>
    </w:p>
    <w:p w14:paraId="74B6D5CD" w14:textId="77777777" w:rsidR="004F6547" w:rsidRPr="004F6547" w:rsidRDefault="004F6547" w:rsidP="004F6547">
      <w:pPr>
        <w:autoSpaceDE w:val="0"/>
        <w:autoSpaceDN w:val="0"/>
        <w:adjustRightInd w:val="0"/>
        <w:rPr>
          <w:rFonts w:eastAsia="Calibri" w:cs="Arial"/>
          <w:bCs/>
          <w:lang w:val="en-AU"/>
        </w:rPr>
      </w:pPr>
    </w:p>
    <w:p w14:paraId="25351555" w14:textId="23836B62" w:rsidR="004F6547" w:rsidRPr="004F6547" w:rsidRDefault="004F6547" w:rsidP="004F6547">
      <w:pPr>
        <w:widowControl w:val="0"/>
        <w:rPr>
          <w:rFonts w:eastAsia="Times New Roman" w:cs="Times New Roman"/>
          <w:b/>
          <w:szCs w:val="24"/>
          <w:lang w:val="en-AU" w:eastAsia="en-GB"/>
        </w:rPr>
      </w:pPr>
      <w:r w:rsidRPr="004F6547">
        <w:rPr>
          <w:rFonts w:eastAsia="Times New Roman" w:cs="Times New Roman"/>
          <w:b/>
          <w:szCs w:val="24"/>
          <w:lang w:val="en-AU" w:eastAsia="en-GB"/>
        </w:rPr>
        <w:t xml:space="preserve">2. </w:t>
      </w:r>
      <w:r w:rsidRPr="004F6547">
        <w:rPr>
          <w:rFonts w:eastAsia="Times New Roman" w:cs="Times New Roman"/>
          <w:b/>
          <w:szCs w:val="24"/>
          <w:lang w:val="en-AU" w:eastAsia="en-GB"/>
        </w:rPr>
        <w:tab/>
        <w:t xml:space="preserve">Variation </w:t>
      </w:r>
      <w:r w:rsidR="00F251EE">
        <w:rPr>
          <w:rFonts w:eastAsia="Times New Roman" w:cs="Times New Roman"/>
          <w:b/>
          <w:szCs w:val="24"/>
          <w:lang w:val="en-AU" w:eastAsia="en-GB"/>
        </w:rPr>
        <w:t>is</w:t>
      </w:r>
      <w:r w:rsidRPr="004F6547">
        <w:rPr>
          <w:rFonts w:eastAsia="Times New Roman" w:cs="Times New Roman"/>
          <w:b/>
          <w:szCs w:val="24"/>
          <w:lang w:val="en-AU" w:eastAsia="en-GB"/>
        </w:rPr>
        <w:t xml:space="preserve"> a legislative instrument</w:t>
      </w:r>
    </w:p>
    <w:p w14:paraId="00801B19" w14:textId="77777777" w:rsidR="004F6547" w:rsidRPr="004F6547" w:rsidRDefault="004F6547" w:rsidP="004F6547">
      <w:pPr>
        <w:widowControl w:val="0"/>
        <w:rPr>
          <w:rFonts w:eastAsia="Times New Roman" w:cs="Times New Roman"/>
          <w:bCs/>
          <w:szCs w:val="24"/>
          <w:lang w:val="en-AU" w:eastAsia="en-GB"/>
        </w:rPr>
      </w:pPr>
    </w:p>
    <w:p w14:paraId="4D9C50EB" w14:textId="77777777" w:rsidR="004F6547" w:rsidRPr="004F6547" w:rsidRDefault="004F6547" w:rsidP="004F6547">
      <w:pPr>
        <w:widowControl w:val="0"/>
        <w:rPr>
          <w:rFonts w:eastAsia="Times New Roman" w:cs="Arial"/>
        </w:rPr>
      </w:pPr>
      <w:r w:rsidRPr="004F6547">
        <w:rPr>
          <w:rFonts w:eastAsia="Times New Roman" w:cs="Arial"/>
          <w:szCs w:val="24"/>
          <w:lang w:bidi="en-US"/>
        </w:rPr>
        <w:t xml:space="preserve">The approved draft variation is a legislative instrument for the purposes of the </w:t>
      </w:r>
      <w:r w:rsidRPr="004F6547">
        <w:rPr>
          <w:rFonts w:eastAsia="Times New Roman" w:cs="Arial"/>
          <w:i/>
          <w:iCs/>
          <w:szCs w:val="24"/>
          <w:lang w:bidi="en-US"/>
        </w:rPr>
        <w:t>Legislation Act 2003</w:t>
      </w:r>
      <w:r w:rsidRPr="004F6547">
        <w:rPr>
          <w:rFonts w:eastAsia="Times New Roman" w:cs="Arial"/>
          <w:szCs w:val="24"/>
          <w:lang w:bidi="en-US"/>
        </w:rPr>
        <w:t xml:space="preserve"> (see section 94 of the FSANZ Act) and is publicly available on the Federal Register of Legislation (</w:t>
      </w:r>
      <w:hyperlink r:id="rId12" w:history="1">
        <w:r w:rsidRPr="004F6547">
          <w:rPr>
            <w:rFonts w:eastAsia="Times New Roman" w:cs="Arial"/>
            <w:color w:val="3333FF"/>
            <w:szCs w:val="24"/>
            <w:u w:val="single"/>
            <w:lang w:bidi="en-US"/>
          </w:rPr>
          <w:t>www.legislation.gov.au</w:t>
        </w:r>
      </w:hyperlink>
      <w:r w:rsidRPr="004F6547">
        <w:rPr>
          <w:rFonts w:eastAsia="Times New Roman" w:cs="Arial"/>
          <w:szCs w:val="24"/>
          <w:lang w:bidi="en-US"/>
        </w:rPr>
        <w:t>).</w:t>
      </w:r>
    </w:p>
    <w:p w14:paraId="00D9221D" w14:textId="77777777" w:rsidR="004F6547" w:rsidRPr="004F6547" w:rsidRDefault="004F6547" w:rsidP="004F6547">
      <w:pPr>
        <w:widowControl w:val="0"/>
        <w:rPr>
          <w:rFonts w:eastAsia="Times New Roman" w:cs="Arial"/>
          <w:szCs w:val="24"/>
          <w:lang w:bidi="en-US"/>
        </w:rPr>
      </w:pPr>
    </w:p>
    <w:p w14:paraId="24FE7034" w14:textId="77777777" w:rsidR="004F6547" w:rsidRPr="004F6547" w:rsidRDefault="004F6547" w:rsidP="004F6547">
      <w:pPr>
        <w:widowControl w:val="0"/>
        <w:rPr>
          <w:rFonts w:eastAsia="Times New Roman" w:cs="Arial"/>
          <w:szCs w:val="24"/>
          <w:lang w:bidi="en-US"/>
        </w:rPr>
      </w:pPr>
      <w:r w:rsidRPr="004F6547">
        <w:rPr>
          <w:rFonts w:eastAsia="Times New Roman" w:cs="Arial"/>
          <w:szCs w:val="24"/>
          <w:lang w:bidi="en-US"/>
        </w:rPr>
        <w:t xml:space="preserve">This instrument is not subject to the disallowance or sunsetting provisions of the </w:t>
      </w:r>
      <w:r w:rsidRPr="004F6547">
        <w:rPr>
          <w:rFonts w:eastAsia="Times New Roman" w:cs="Arial"/>
          <w:i/>
          <w:iCs/>
          <w:szCs w:val="24"/>
          <w:lang w:bidi="en-US"/>
        </w:rPr>
        <w:t xml:space="preserve">Legislation Act 2003. </w:t>
      </w:r>
      <w:r w:rsidRPr="004F6547">
        <w:rPr>
          <w:rFonts w:eastAsia="Times New Roman" w:cs="Arial"/>
          <w:szCs w:val="24"/>
          <w:lang w:bidi="en-US"/>
        </w:rPr>
        <w:t>Subsections</w:t>
      </w:r>
      <w:r w:rsidRPr="004F6547">
        <w:rPr>
          <w:rFonts w:eastAsia="Times New Roman" w:cs="Arial"/>
          <w:i/>
          <w:iCs/>
          <w:szCs w:val="24"/>
          <w:lang w:bidi="en-US"/>
        </w:rPr>
        <w:t xml:space="preserve"> </w:t>
      </w:r>
      <w:r w:rsidRPr="004F6547">
        <w:rPr>
          <w:rFonts w:eastAsia="Times New Roman" w:cs="Arial"/>
          <w:szCs w:val="24"/>
          <w:lang w:bidi="en-US"/>
        </w:rPr>
        <w:t>44(1) and 54(1) of that Act</w:t>
      </w:r>
      <w:r w:rsidRPr="004F6547">
        <w:rPr>
          <w:rFonts w:eastAsia="Times New Roman" w:cs="Arial"/>
          <w:i/>
          <w:iCs/>
          <w:szCs w:val="24"/>
          <w:lang w:bidi="en-US"/>
        </w:rPr>
        <w:t xml:space="preserve"> </w:t>
      </w:r>
      <w:r w:rsidRPr="004F6547">
        <w:rPr>
          <w:rFonts w:eastAsia="Times New Roman" w:cs="Arial"/>
          <w:szCs w:val="24"/>
          <w:lang w:bidi="en-US"/>
        </w:rPr>
        <w:t xml:space="preserve">provide that a legislative instrument is not disallowable or subject to sunsetting if the enabling legislation for the instrument (in this case, the FSANZ Act): (a) facilitates the establishment or operation of an intergovernmental scheme involving the Commonwealth and one or more States; and (b) authorises the instrument to be made for the purposes of the scheme. Regulation 11 of the </w:t>
      </w:r>
      <w:r w:rsidRPr="004F6547">
        <w:rPr>
          <w:rFonts w:eastAsia="Times New Roman" w:cs="Arial"/>
          <w:i/>
          <w:iCs/>
          <w:szCs w:val="24"/>
          <w:lang w:bidi="en-US"/>
        </w:rPr>
        <w:t>Legislation (Exemptions and other Matters) Regulation 2015</w:t>
      </w:r>
      <w:r w:rsidRPr="004F6547">
        <w:rPr>
          <w:rFonts w:eastAsia="Times New Roman" w:cs="Arial"/>
          <w:szCs w:val="24"/>
          <w:lang w:bidi="en-US"/>
        </w:rPr>
        <w:t xml:space="preserve"> </w:t>
      </w:r>
      <w:r w:rsidRPr="004F6547">
        <w:rPr>
          <w:rFonts w:eastAsia="Times New Roman" w:cs="Arial"/>
          <w:szCs w:val="24"/>
          <w:lang w:val="en" w:bidi="en-US"/>
        </w:rPr>
        <w:t xml:space="preserve">also exempts from sunsetting legislative instruments </w:t>
      </w:r>
      <w:r w:rsidRPr="004F6547">
        <w:rPr>
          <w:rFonts w:eastAsia="Times New Roman" w:cs="Arial"/>
          <w:szCs w:val="24"/>
          <w:shd w:val="clear" w:color="auto" w:fill="FFFFFF"/>
          <w:lang w:bidi="en-US"/>
        </w:rPr>
        <w:t xml:space="preserve">a primary purpose of which is to </w:t>
      </w:r>
      <w:r w:rsidRPr="004F6547">
        <w:rPr>
          <w:rFonts w:eastAsia="Times New Roman" w:cs="Arial"/>
          <w:szCs w:val="24"/>
          <w:lang w:bidi="en-US"/>
        </w:rPr>
        <w:t>give effect to an international obligation of Australia.</w:t>
      </w:r>
    </w:p>
    <w:p w14:paraId="5023412D" w14:textId="77777777" w:rsidR="004F6547" w:rsidRPr="004F6547" w:rsidRDefault="004F6547" w:rsidP="004F6547">
      <w:pPr>
        <w:widowControl w:val="0"/>
        <w:rPr>
          <w:rFonts w:eastAsia="Times New Roman" w:cs="Arial"/>
          <w:szCs w:val="24"/>
          <w:lang w:bidi="en-US"/>
        </w:rPr>
      </w:pPr>
    </w:p>
    <w:p w14:paraId="738828DC" w14:textId="77777777" w:rsidR="004F6547" w:rsidRPr="004F6547" w:rsidRDefault="004F6547" w:rsidP="004F6547">
      <w:pPr>
        <w:widowControl w:val="0"/>
        <w:rPr>
          <w:rFonts w:eastAsia="Times New Roman" w:cs="Arial"/>
          <w:szCs w:val="24"/>
          <w:lang w:val="en-AU" w:bidi="en-US"/>
        </w:rPr>
      </w:pPr>
      <w:r w:rsidRPr="004F6547">
        <w:rPr>
          <w:rFonts w:eastAsia="Times New Roman" w:cs="Arial"/>
          <w:szCs w:val="24"/>
          <w:lang w:bidi="en-US"/>
        </w:rPr>
        <w:t xml:space="preserve">The </w:t>
      </w:r>
      <w:r w:rsidRPr="004F6547">
        <w:rPr>
          <w:rFonts w:eastAsia="Times New Roman" w:cs="Arial"/>
          <w:szCs w:val="24"/>
          <w:lang w:val="en-AU" w:bidi="en-US"/>
        </w:rPr>
        <w:t>FSANZ Act</w:t>
      </w:r>
      <w:r w:rsidRPr="004F6547">
        <w:rPr>
          <w:rFonts w:eastAsia="Times New Roman" w:cs="Arial"/>
          <w:i/>
          <w:iCs/>
          <w:szCs w:val="24"/>
          <w:lang w:val="en-AU" w:bidi="en-US"/>
        </w:rPr>
        <w:t xml:space="preserve"> </w:t>
      </w:r>
      <w:r w:rsidRPr="004F6547">
        <w:rPr>
          <w:rFonts w:eastAsia="Times New Roman" w:cs="Arial"/>
          <w:szCs w:val="24"/>
          <w:lang w:val="en-AU" w:bidi="en-US"/>
        </w:rPr>
        <w:t xml:space="preserve">gives effect to </w:t>
      </w:r>
      <w:r w:rsidRPr="004F6547">
        <w:rPr>
          <w:rFonts w:eastAsia="Times New Roman" w:cs="Arial"/>
          <w:szCs w:val="24"/>
          <w:lang w:bidi="en-US"/>
        </w:rPr>
        <w:t xml:space="preserve">an intergovernmental agreement (the Food Regulation Agreement) and facilitates the establishment or operation of an intergovernmental scheme (national uniform food regulation). </w:t>
      </w:r>
      <w:r w:rsidRPr="004F6547">
        <w:rPr>
          <w:rFonts w:eastAsia="Times New Roman" w:cs="Arial"/>
          <w:szCs w:val="24"/>
          <w:lang w:val="en-AU" w:bidi="en-US"/>
        </w:rPr>
        <w:t>That Act also</w:t>
      </w:r>
      <w:r w:rsidRPr="004F6547">
        <w:rPr>
          <w:rFonts w:eastAsia="Times New Roman" w:cs="Arial"/>
          <w:i/>
          <w:iCs/>
          <w:szCs w:val="24"/>
          <w:lang w:val="en-AU" w:bidi="en-US"/>
        </w:rPr>
        <w:t xml:space="preserve"> </w:t>
      </w:r>
      <w:r w:rsidRPr="004F6547">
        <w:rPr>
          <w:rFonts w:eastAsia="Times New Roman" w:cs="Arial"/>
          <w:szCs w:val="24"/>
          <w:lang w:val="en-AU" w:bidi="en-US"/>
        </w:rPr>
        <w:t xml:space="preserve">gives effect to Australia’s obligations under an international agreement between Australia and New Zealand. For these purposes, the Act </w:t>
      </w:r>
      <w:r w:rsidRPr="004F6547">
        <w:rPr>
          <w:rFonts w:eastAsia="Times New Roman" w:cs="Arial"/>
          <w:szCs w:val="24"/>
          <w:lang w:bidi="en-US"/>
        </w:rPr>
        <w:t xml:space="preserve">establishes the Authority to </w:t>
      </w:r>
      <w:r w:rsidRPr="004F6547">
        <w:rPr>
          <w:rFonts w:eastAsia="Times New Roman" w:cs="Arial"/>
          <w:szCs w:val="24"/>
          <w:lang w:val="en-AU" w:bidi="en-US"/>
        </w:rPr>
        <w:t xml:space="preserve">develop food standards </w:t>
      </w:r>
      <w:r w:rsidRPr="004F6547">
        <w:rPr>
          <w:rFonts w:eastAsia="Times New Roman" w:cs="Arial"/>
          <w:szCs w:val="24"/>
          <w:lang w:bidi="en-US"/>
        </w:rPr>
        <w:t xml:space="preserve">for consideration and endorsement by </w:t>
      </w:r>
      <w:r w:rsidRPr="004F6547">
        <w:rPr>
          <w:rFonts w:eastAsia="Times New Roman" w:cs="Arial"/>
          <w:szCs w:val="24"/>
          <w:lang w:bidi="en-US"/>
        </w:rPr>
        <w:lastRenderedPageBreak/>
        <w:t xml:space="preserve">the Food Ministers Meeting (FMM). The FMM is established under the Food Regulation Agreement and the </w:t>
      </w:r>
      <w:r w:rsidRPr="004F6547">
        <w:rPr>
          <w:rFonts w:eastAsia="Times New Roman" w:cs="Arial"/>
          <w:szCs w:val="24"/>
          <w:lang w:val="en-AU" w:bidi="en-US"/>
        </w:rPr>
        <w:t>international agreement between Australia and New Zealand</w:t>
      </w:r>
      <w:r w:rsidRPr="004F6547">
        <w:rPr>
          <w:rFonts w:eastAsia="Times New Roman" w:cs="Arial"/>
          <w:szCs w:val="24"/>
          <w:lang w:bidi="en-US"/>
        </w:rPr>
        <w:t xml:space="preserve">, and consists of New Zealand, Commonwealth and State/Territory members. If endorsed by the FMM, </w:t>
      </w:r>
      <w:r w:rsidRPr="004F6547">
        <w:rPr>
          <w:rFonts w:eastAsia="Times New Roman" w:cs="Arial"/>
          <w:szCs w:val="24"/>
          <w:lang w:val="en-AU" w:bidi="en-US"/>
        </w:rPr>
        <w:t>the food standards on gazettal and registration are incorporated into and become part of Commonwealth, State and Territory and New Zealand food laws. These standards or instruments are then administered, applied and enforced by these jurisdictions’ regulators as part of those food laws.</w:t>
      </w:r>
    </w:p>
    <w:p w14:paraId="4994696C" w14:textId="77777777" w:rsidR="004F6547" w:rsidRPr="004F6547" w:rsidRDefault="004F6547" w:rsidP="004F6547">
      <w:pPr>
        <w:widowControl w:val="0"/>
        <w:rPr>
          <w:rFonts w:eastAsia="Times New Roman" w:cs="Times New Roman"/>
          <w:bCs/>
          <w:szCs w:val="24"/>
          <w:lang w:val="en-AU" w:eastAsia="en-GB"/>
        </w:rPr>
      </w:pPr>
    </w:p>
    <w:p w14:paraId="5D9D247B" w14:textId="77777777" w:rsidR="004F6547" w:rsidRPr="004F6547" w:rsidRDefault="004F6547" w:rsidP="004F6547">
      <w:pPr>
        <w:widowControl w:val="0"/>
        <w:rPr>
          <w:rFonts w:eastAsia="Times New Roman" w:cs="Times New Roman"/>
          <w:b/>
          <w:szCs w:val="24"/>
          <w:lang w:val="en-AU" w:eastAsia="en-GB"/>
        </w:rPr>
      </w:pPr>
      <w:r w:rsidRPr="004F6547">
        <w:rPr>
          <w:rFonts w:eastAsia="Times New Roman" w:cs="Times New Roman"/>
          <w:b/>
          <w:szCs w:val="24"/>
          <w:lang w:val="en-AU" w:eastAsia="en-GB"/>
        </w:rPr>
        <w:t>3.</w:t>
      </w:r>
      <w:r w:rsidRPr="004F6547">
        <w:rPr>
          <w:rFonts w:eastAsia="Times New Roman" w:cs="Times New Roman"/>
          <w:b/>
          <w:szCs w:val="24"/>
          <w:lang w:val="en-AU" w:eastAsia="en-GB"/>
        </w:rPr>
        <w:tab/>
        <w:t xml:space="preserve">Purpose </w:t>
      </w:r>
    </w:p>
    <w:p w14:paraId="708D7120" w14:textId="77777777" w:rsidR="004F6547" w:rsidRPr="004F6547" w:rsidRDefault="004F6547" w:rsidP="004F6547">
      <w:pPr>
        <w:widowControl w:val="0"/>
        <w:rPr>
          <w:rFonts w:eastAsia="Times New Roman" w:cs="Times New Roman"/>
          <w:szCs w:val="24"/>
          <w:lang w:val="en-AU" w:eastAsia="en-GB"/>
        </w:rPr>
      </w:pPr>
    </w:p>
    <w:p w14:paraId="7D39CEC9" w14:textId="77777777" w:rsidR="004F6547" w:rsidRPr="004F6547" w:rsidRDefault="004F6547" w:rsidP="004F6547">
      <w:pPr>
        <w:widowControl w:val="0"/>
        <w:rPr>
          <w:rFonts w:eastAsia="Calibri" w:cs="Arial"/>
          <w:bCs/>
          <w:lang w:val="en-AU"/>
        </w:rPr>
      </w:pPr>
      <w:r w:rsidRPr="004F6547">
        <w:rPr>
          <w:rFonts w:eastAsia="Times New Roman" w:cs="Times New Roman"/>
          <w:szCs w:val="24"/>
          <w:lang w:val="en-AU" w:eastAsia="en-GB"/>
        </w:rPr>
        <w:t xml:space="preserve">The Authority has approved a draft variation to Schedule 20 to vary maximum limits (MRLs) </w:t>
      </w:r>
      <w:r w:rsidRPr="004F6547">
        <w:rPr>
          <w:rFonts w:eastAsia="Calibri" w:cs="Arial"/>
          <w:bCs/>
          <w:lang w:val="en-AU"/>
        </w:rPr>
        <w:t xml:space="preserve">for residues of specific agvet chemicals that may occur in food commodities; and to correct certain </w:t>
      </w:r>
      <w:r w:rsidRPr="004F6547">
        <w:rPr>
          <w:rFonts w:eastAsia="Times New Roman" w:cs="Times New Roman"/>
          <w:szCs w:val="24"/>
        </w:rPr>
        <w:t xml:space="preserve">typographical, formatting and transcription errors; as well as update commodity names and references to exceptions, and correct the alphabetical listing of commodities for certain chemical entries, in </w:t>
      </w:r>
      <w:r w:rsidRPr="004F6547">
        <w:rPr>
          <w:rFonts w:eastAsia="Calibri" w:cs="Arial"/>
          <w:bCs/>
          <w:lang w:val="en-AU"/>
        </w:rPr>
        <w:t>Schedule 20.</w:t>
      </w:r>
    </w:p>
    <w:p w14:paraId="2DBEE018" w14:textId="77777777" w:rsidR="004F6547" w:rsidRPr="004F6547" w:rsidRDefault="004F6547" w:rsidP="004F6547">
      <w:pPr>
        <w:widowControl w:val="0"/>
        <w:rPr>
          <w:rFonts w:eastAsia="Times New Roman" w:cs="Times New Roman"/>
          <w:sz w:val="16"/>
          <w:szCs w:val="16"/>
          <w:lang w:bidi="en-US"/>
        </w:rPr>
      </w:pPr>
    </w:p>
    <w:p w14:paraId="0EA7C1ED" w14:textId="77777777" w:rsidR="004F6547" w:rsidRPr="004F6547" w:rsidRDefault="004F6547" w:rsidP="004F6547">
      <w:pPr>
        <w:widowControl w:val="0"/>
        <w:rPr>
          <w:rFonts w:eastAsia="Times New Roman" w:cs="Times New Roman"/>
          <w:b/>
          <w:szCs w:val="24"/>
          <w:lang w:val="en-AU" w:eastAsia="en-GB"/>
        </w:rPr>
      </w:pPr>
      <w:r w:rsidRPr="004F6547">
        <w:rPr>
          <w:rFonts w:eastAsia="Times New Roman" w:cs="Times New Roman"/>
          <w:b/>
          <w:szCs w:val="24"/>
          <w:lang w:val="en-AU" w:eastAsia="en-GB"/>
        </w:rPr>
        <w:t>4.</w:t>
      </w:r>
      <w:r w:rsidRPr="004F6547">
        <w:rPr>
          <w:rFonts w:eastAsia="Times New Roman" w:cs="Times New Roman"/>
          <w:b/>
          <w:szCs w:val="24"/>
          <w:lang w:val="en-AU" w:eastAsia="en-GB"/>
        </w:rPr>
        <w:tab/>
        <w:t>Documents incorporated by reference</w:t>
      </w:r>
    </w:p>
    <w:p w14:paraId="54C76655" w14:textId="77777777" w:rsidR="004F6547" w:rsidRPr="004F6547" w:rsidRDefault="004F6547" w:rsidP="004F6547">
      <w:pPr>
        <w:widowControl w:val="0"/>
        <w:rPr>
          <w:rFonts w:eastAsia="Times New Roman" w:cs="Times New Roman"/>
          <w:szCs w:val="24"/>
          <w:lang w:val="en-AU" w:eastAsia="en-GB"/>
        </w:rPr>
      </w:pPr>
    </w:p>
    <w:p w14:paraId="00AD9E6E" w14:textId="77777777" w:rsidR="004F6547" w:rsidRPr="004F6547" w:rsidRDefault="004F6547" w:rsidP="004F6547">
      <w:pPr>
        <w:autoSpaceDE w:val="0"/>
        <w:autoSpaceDN w:val="0"/>
        <w:adjustRightInd w:val="0"/>
        <w:rPr>
          <w:rFonts w:eastAsia="Calibri" w:cs="Arial"/>
          <w:bCs/>
          <w:lang w:val="en-AU"/>
        </w:rPr>
      </w:pPr>
      <w:r w:rsidRPr="004F6547">
        <w:rPr>
          <w:rFonts w:eastAsia="Calibri" w:cs="Arial"/>
          <w:bCs/>
          <w:lang w:val="en-AU"/>
        </w:rPr>
        <w:t>The approved draft variation does not incorporate any documents by reference.</w:t>
      </w:r>
    </w:p>
    <w:p w14:paraId="1FA38362" w14:textId="77777777" w:rsidR="004F6547" w:rsidRPr="004F6547" w:rsidRDefault="004F6547" w:rsidP="004F6547">
      <w:pPr>
        <w:widowControl w:val="0"/>
        <w:rPr>
          <w:rFonts w:eastAsia="Times New Roman" w:cs="Times New Roman"/>
          <w:szCs w:val="24"/>
          <w:lang w:val="en-AU" w:eastAsia="en-GB"/>
        </w:rPr>
      </w:pPr>
    </w:p>
    <w:p w14:paraId="5EF3FA87" w14:textId="77777777" w:rsidR="004F6547" w:rsidRPr="004F6547" w:rsidRDefault="004F6547" w:rsidP="004F6547">
      <w:pPr>
        <w:widowControl w:val="0"/>
        <w:rPr>
          <w:rFonts w:eastAsia="Times New Roman" w:cs="Times New Roman"/>
          <w:b/>
          <w:szCs w:val="24"/>
          <w:lang w:val="en-AU" w:eastAsia="en-GB"/>
        </w:rPr>
      </w:pPr>
      <w:r w:rsidRPr="004F6547">
        <w:rPr>
          <w:rFonts w:eastAsia="Times New Roman" w:cs="Times New Roman"/>
          <w:b/>
          <w:szCs w:val="24"/>
          <w:lang w:val="en-AU" w:eastAsia="en-GB"/>
        </w:rPr>
        <w:t>5.</w:t>
      </w:r>
      <w:r w:rsidRPr="004F6547">
        <w:rPr>
          <w:rFonts w:eastAsia="Times New Roman" w:cs="Times New Roman"/>
          <w:b/>
          <w:szCs w:val="24"/>
          <w:lang w:val="en-AU" w:eastAsia="en-GB"/>
        </w:rPr>
        <w:tab/>
        <w:t>Consultation</w:t>
      </w:r>
    </w:p>
    <w:p w14:paraId="50DEEDAA" w14:textId="77777777" w:rsidR="004F6547" w:rsidRPr="004F6547" w:rsidRDefault="004F6547" w:rsidP="004F6547">
      <w:pPr>
        <w:widowControl w:val="0"/>
        <w:rPr>
          <w:rFonts w:eastAsia="Times New Roman" w:cs="Times New Roman"/>
          <w:szCs w:val="24"/>
          <w:lang w:val="en-AU" w:eastAsia="en-GB"/>
        </w:rPr>
      </w:pPr>
    </w:p>
    <w:p w14:paraId="13506209" w14:textId="77777777" w:rsidR="004F6547" w:rsidRPr="004F6547" w:rsidRDefault="004F6547" w:rsidP="004F6547">
      <w:pPr>
        <w:widowControl w:val="0"/>
        <w:rPr>
          <w:rFonts w:eastAsia="Times New Roman" w:cs="Times New Roman"/>
          <w:szCs w:val="24"/>
          <w:lang w:val="en-AU" w:bidi="en-US"/>
        </w:rPr>
      </w:pPr>
      <w:r w:rsidRPr="004F6547">
        <w:rPr>
          <w:rFonts w:eastAsia="Times New Roman" w:cs="Times New Roman"/>
          <w:lang w:bidi="en-US"/>
        </w:rPr>
        <w:t xml:space="preserve">In accordance with the procedure in Division 2 of Part 3 of the FSANZ Act, </w:t>
      </w:r>
      <w:r w:rsidRPr="004F6547">
        <w:rPr>
          <w:rFonts w:eastAsia="Calibri" w:cs="Arial"/>
          <w:bCs/>
          <w:lang w:val="en-AU"/>
        </w:rPr>
        <w:t>the Authority</w:t>
      </w:r>
      <w:r w:rsidRPr="004F6547">
        <w:rPr>
          <w:rFonts w:eastAsia="Times New Roman" w:cs="Times New Roman"/>
          <w:lang w:bidi="en-US"/>
        </w:rPr>
        <w:t>’s consideration of Proposal M1021 included one round of public consultation following an assessment ,and the preparation of two draft variations and associated assessment summary. A call for submissions (including the draft variations) was open for a six-week period in Australia, with a coinciding 60 day notification period to the WTO.</w:t>
      </w:r>
    </w:p>
    <w:p w14:paraId="0DCDAD7E" w14:textId="77777777" w:rsidR="004F6547" w:rsidRPr="004F6547" w:rsidRDefault="004F6547" w:rsidP="004F6547">
      <w:pPr>
        <w:widowControl w:val="0"/>
        <w:rPr>
          <w:rFonts w:eastAsia="Times New Roman" w:cs="Times New Roman"/>
          <w:szCs w:val="24"/>
          <w:lang w:bidi="en-US"/>
        </w:rPr>
      </w:pPr>
    </w:p>
    <w:p w14:paraId="2685736C" w14:textId="77777777" w:rsidR="004F6547" w:rsidRPr="004F6547" w:rsidRDefault="004F6547" w:rsidP="004F6547">
      <w:pPr>
        <w:rPr>
          <w:rFonts w:ascii="Times New Roman" w:eastAsia="Times New Roman" w:hAnsi="Times New Roman" w:cs="Times New Roman"/>
          <w:sz w:val="24"/>
          <w:szCs w:val="24"/>
          <w:lang w:eastAsia="en-AU"/>
        </w:rPr>
      </w:pPr>
      <w:r w:rsidRPr="004F6547">
        <w:rPr>
          <w:rFonts w:eastAsia="Times New Roman" w:cs="Arial"/>
          <w:szCs w:val="24"/>
          <w:lang w:val="en-NZ" w:bidi="en-US"/>
        </w:rPr>
        <w:t>Changes have been made to the Impact Analysis requirements by the Office of Impact Analysis (OIA)</w:t>
      </w:r>
      <w:r w:rsidRPr="004F6547">
        <w:rPr>
          <w:rFonts w:eastAsia="Times New Roman" w:cs="Arial"/>
          <w:szCs w:val="24"/>
          <w:vertAlign w:val="superscript"/>
          <w:lang w:val="en-NZ" w:bidi="en-US"/>
        </w:rPr>
        <w:t xml:space="preserve"> </w:t>
      </w:r>
      <w:r w:rsidRPr="004F6547">
        <w:rPr>
          <w:rFonts w:eastAsia="Times New Roman" w:cs="Arial"/>
          <w:szCs w:val="24"/>
          <w:vertAlign w:val="superscript"/>
          <w:lang w:bidi="en-US"/>
        </w:rPr>
        <w:footnoteReference w:customMarkFollows="1" w:id="1"/>
        <w:t>[1]</w:t>
      </w:r>
      <w:r w:rsidRPr="004F6547">
        <w:rPr>
          <w:rFonts w:eastAsia="Times New Roman" w:cs="Arial"/>
          <w:szCs w:val="24"/>
          <w:lang w:val="en-NZ" w:bidi="en-US"/>
        </w:rPr>
        <w:t>. Impact analysis is no longer required to be finalised with the OIA. Prior to these changes, the OIA provided FSANZ with a standing exemption (ID 12065) from preparing a regulation impact statement for MRL proposals and applications, due to them being machinery in nature. Additionally, in 2021, the then OBPR advised FSANZ that the impacts of updating Schedule 22 to align with newer Codex food classifications and increasing the clarity around what specific MRLs in Schedule 20 apply to each food, as being below the threshold for a RIS (ID 44087). Under the new approach, FSANZ’s assessment is that a regulatory impact statement is not required for this proposal.</w:t>
      </w:r>
      <w:r w:rsidRPr="004F6547">
        <w:rPr>
          <w:rFonts w:ascii="Times New Roman" w:eastAsia="Times New Roman" w:hAnsi="Times New Roman" w:cs="Times New Roman"/>
          <w:sz w:val="24"/>
          <w:szCs w:val="24"/>
          <w:lang w:eastAsia="en-AU" w:bidi="en-US"/>
        </w:rPr>
        <w:t xml:space="preserve"> </w:t>
      </w:r>
    </w:p>
    <w:p w14:paraId="68A9B5FF" w14:textId="77777777" w:rsidR="004F6547" w:rsidRPr="004F6547" w:rsidRDefault="004F6547" w:rsidP="004F6547">
      <w:pPr>
        <w:autoSpaceDE w:val="0"/>
        <w:autoSpaceDN w:val="0"/>
        <w:adjustRightInd w:val="0"/>
        <w:rPr>
          <w:rFonts w:eastAsia="Times New Roman" w:cs="Times New Roman"/>
          <w:lang w:bidi="en-US"/>
        </w:rPr>
      </w:pPr>
    </w:p>
    <w:p w14:paraId="51B7E794" w14:textId="77777777" w:rsidR="004F6547" w:rsidRPr="004F6547" w:rsidRDefault="004F6547" w:rsidP="004F6547">
      <w:pPr>
        <w:rPr>
          <w:rFonts w:eastAsia="Calibri" w:cs="Arial"/>
          <w:b/>
          <w:bCs/>
          <w:lang w:val="en-AU"/>
        </w:rPr>
      </w:pPr>
      <w:r w:rsidRPr="004F6547">
        <w:rPr>
          <w:rFonts w:eastAsia="Calibri" w:cs="Arial"/>
          <w:b/>
          <w:bCs/>
          <w:lang w:val="en-AU"/>
        </w:rPr>
        <w:t>6.</w:t>
      </w:r>
      <w:r w:rsidRPr="004F6547">
        <w:rPr>
          <w:rFonts w:eastAsia="Calibri" w:cs="Arial"/>
          <w:b/>
          <w:bCs/>
          <w:lang w:val="en-AU"/>
        </w:rPr>
        <w:tab/>
        <w:t>Statement of compatibility with human rights</w:t>
      </w:r>
    </w:p>
    <w:p w14:paraId="173C00D8" w14:textId="77777777" w:rsidR="004F6547" w:rsidRPr="004F6547" w:rsidRDefault="004F6547" w:rsidP="004F6547">
      <w:pPr>
        <w:widowControl w:val="0"/>
        <w:rPr>
          <w:rFonts w:eastAsia="Calibri" w:cs="Times New Roman"/>
          <w:szCs w:val="24"/>
          <w:lang w:val="en-AU"/>
        </w:rPr>
      </w:pPr>
    </w:p>
    <w:p w14:paraId="73F91D68" w14:textId="77777777" w:rsidR="004F6547" w:rsidRPr="004F6547" w:rsidRDefault="004F6547" w:rsidP="004F6547">
      <w:pPr>
        <w:widowControl w:val="0"/>
        <w:rPr>
          <w:rFonts w:eastAsia="Calibri" w:cs="Times New Roman"/>
          <w:szCs w:val="24"/>
          <w:lang w:val="en-AU"/>
        </w:rPr>
      </w:pPr>
      <w:r w:rsidRPr="004F6547">
        <w:rPr>
          <w:rFonts w:eastAsia="Calibri" w:cs="Times New Roman"/>
          <w:szCs w:val="24"/>
          <w:lang w:val="en-AU"/>
        </w:rPr>
        <w:t xml:space="preserve">This instrument is exempt from the requirements for a statement of compatibility with human rights as it is a non-disallowable instrument under section 44 of the </w:t>
      </w:r>
      <w:r w:rsidRPr="004F6547">
        <w:rPr>
          <w:rFonts w:eastAsia="Calibri" w:cs="Times New Roman"/>
          <w:i/>
          <w:iCs/>
          <w:szCs w:val="24"/>
          <w:lang w:val="en-AU"/>
        </w:rPr>
        <w:t>Legislation Act 2003</w:t>
      </w:r>
      <w:r w:rsidRPr="004F6547">
        <w:rPr>
          <w:rFonts w:eastAsia="Calibri" w:cs="Times New Roman"/>
          <w:szCs w:val="24"/>
          <w:lang w:val="en-AU"/>
        </w:rPr>
        <w:t>.</w:t>
      </w:r>
    </w:p>
    <w:p w14:paraId="36EA0ECD" w14:textId="77777777" w:rsidR="004F6547" w:rsidRPr="004F6547" w:rsidRDefault="004F6547" w:rsidP="004F6547">
      <w:pPr>
        <w:widowControl w:val="0"/>
        <w:rPr>
          <w:rFonts w:eastAsia="Calibri" w:cs="Times New Roman"/>
          <w:szCs w:val="24"/>
          <w:lang w:val="en-AU"/>
        </w:rPr>
      </w:pPr>
    </w:p>
    <w:p w14:paraId="4C46973A" w14:textId="77777777" w:rsidR="004F6547" w:rsidRPr="004F6547" w:rsidRDefault="004F6547" w:rsidP="004F6547">
      <w:pPr>
        <w:widowControl w:val="0"/>
        <w:rPr>
          <w:rFonts w:eastAsia="Times New Roman" w:cs="Times New Roman"/>
          <w:b/>
          <w:szCs w:val="24"/>
          <w:lang w:val="en-AU" w:eastAsia="en-GB"/>
        </w:rPr>
      </w:pPr>
      <w:r w:rsidRPr="004F6547">
        <w:rPr>
          <w:rFonts w:eastAsia="Times New Roman" w:cs="Times New Roman"/>
          <w:b/>
          <w:szCs w:val="24"/>
          <w:lang w:bidi="en-US"/>
        </w:rPr>
        <w:t>7.</w:t>
      </w:r>
      <w:r w:rsidRPr="004F6547">
        <w:rPr>
          <w:rFonts w:eastAsia="Times New Roman" w:cs="Times New Roman"/>
          <w:b/>
          <w:szCs w:val="24"/>
          <w:lang w:bidi="en-US"/>
        </w:rPr>
        <w:tab/>
      </w:r>
      <w:r w:rsidRPr="004F6547">
        <w:rPr>
          <w:rFonts w:eastAsia="Times New Roman" w:cs="Times New Roman"/>
          <w:b/>
          <w:szCs w:val="24"/>
          <w:lang w:val="en-AU" w:eastAsia="en-GB"/>
        </w:rPr>
        <w:t>Variation</w:t>
      </w:r>
    </w:p>
    <w:p w14:paraId="4B247438" w14:textId="77777777" w:rsidR="004F6547" w:rsidRPr="004F6547" w:rsidRDefault="004F6547" w:rsidP="004F6547">
      <w:pPr>
        <w:widowControl w:val="0"/>
        <w:rPr>
          <w:rFonts w:eastAsia="Times New Roman" w:cs="Times New Roman"/>
          <w:bCs/>
          <w:szCs w:val="24"/>
          <w:lang w:bidi="en-US"/>
        </w:rPr>
      </w:pPr>
    </w:p>
    <w:p w14:paraId="508B749D" w14:textId="77777777" w:rsidR="004F6547" w:rsidRPr="004F6547" w:rsidRDefault="004F6547" w:rsidP="004F6547">
      <w:pPr>
        <w:widowControl w:val="0"/>
        <w:rPr>
          <w:rFonts w:eastAsia="Times New Roman" w:cs="Times New Roman"/>
          <w:lang w:bidi="en-US"/>
        </w:rPr>
      </w:pPr>
      <w:r w:rsidRPr="004F6547">
        <w:rPr>
          <w:rFonts w:eastAsia="Times New Roman" w:cs="Times New Roman"/>
          <w:lang w:bidi="en-US"/>
        </w:rPr>
        <w:t xml:space="preserve">Clause 1 of the variation provides that the name of the variation is the </w:t>
      </w:r>
      <w:r w:rsidRPr="004F6547">
        <w:rPr>
          <w:rFonts w:eastAsia="Times New Roman" w:cs="Times New Roman"/>
          <w:i/>
          <w:lang w:bidi="en-US"/>
        </w:rPr>
        <w:t>Food Standards (Proposal M1021 – Maximum Residue Limits (2022)</w:t>
      </w:r>
      <w:r w:rsidRPr="004F6547">
        <w:rPr>
          <w:rFonts w:eastAsia="Times New Roman" w:cs="Times New Roman"/>
          <w:lang w:bidi="en-US"/>
        </w:rPr>
        <w:t xml:space="preserve"> – </w:t>
      </w:r>
      <w:r w:rsidRPr="004F6547">
        <w:rPr>
          <w:rFonts w:eastAsia="Times New Roman" w:cs="Times New Roman"/>
          <w:i/>
          <w:iCs/>
          <w:lang w:bidi="en-US"/>
        </w:rPr>
        <w:t>Schedule 20)</w:t>
      </w:r>
      <w:r w:rsidRPr="004F6547">
        <w:rPr>
          <w:rFonts w:eastAsia="Times New Roman" w:cs="Times New Roman"/>
          <w:lang w:bidi="en-US"/>
        </w:rPr>
        <w:t xml:space="preserve"> </w:t>
      </w:r>
      <w:r w:rsidRPr="004F6547">
        <w:rPr>
          <w:rFonts w:eastAsia="Times New Roman" w:cs="Times New Roman"/>
          <w:i/>
          <w:iCs/>
          <w:lang w:bidi="en-US"/>
        </w:rPr>
        <w:t>Variation</w:t>
      </w:r>
      <w:r w:rsidRPr="004F6547">
        <w:rPr>
          <w:rFonts w:eastAsia="Times New Roman" w:cs="Times New Roman"/>
          <w:lang w:bidi="en-US"/>
        </w:rPr>
        <w:t>.</w:t>
      </w:r>
    </w:p>
    <w:p w14:paraId="110596EF" w14:textId="77777777" w:rsidR="004F6547" w:rsidRPr="004F6547" w:rsidRDefault="004F6547" w:rsidP="004F6547">
      <w:pPr>
        <w:widowControl w:val="0"/>
        <w:rPr>
          <w:rFonts w:eastAsia="Times New Roman" w:cs="Times New Roman"/>
          <w:lang w:bidi="en-US"/>
        </w:rPr>
      </w:pPr>
    </w:p>
    <w:p w14:paraId="1E7C17E2" w14:textId="77777777" w:rsidR="004F6547" w:rsidRPr="004F6547" w:rsidRDefault="004F6547" w:rsidP="004F6547">
      <w:pPr>
        <w:widowControl w:val="0"/>
        <w:rPr>
          <w:rFonts w:eastAsia="Times New Roman" w:cs="Times New Roman"/>
          <w:lang w:bidi="en-US"/>
        </w:rPr>
      </w:pPr>
      <w:r w:rsidRPr="004F6547">
        <w:rPr>
          <w:rFonts w:eastAsia="Times New Roman" w:cs="Times New Roman"/>
          <w:lang w:bidi="en-US"/>
        </w:rPr>
        <w:t>Clause 2 of the variation provides that the Code is amended by the Schedule to the variation.</w:t>
      </w:r>
    </w:p>
    <w:p w14:paraId="19ACF067" w14:textId="77777777" w:rsidR="004F6547" w:rsidRPr="004F6547" w:rsidRDefault="004F6547" w:rsidP="004F6547">
      <w:pPr>
        <w:widowControl w:val="0"/>
        <w:rPr>
          <w:rFonts w:eastAsia="Times New Roman" w:cs="Times New Roman"/>
          <w:lang w:bidi="en-US"/>
        </w:rPr>
      </w:pPr>
    </w:p>
    <w:p w14:paraId="1A8F54D8" w14:textId="77777777" w:rsidR="004F6547" w:rsidRPr="004F6547" w:rsidRDefault="004F6547" w:rsidP="004F6547">
      <w:pPr>
        <w:widowControl w:val="0"/>
        <w:rPr>
          <w:rFonts w:eastAsia="Times New Roman" w:cs="Times New Roman"/>
          <w:lang w:bidi="en-US"/>
        </w:rPr>
      </w:pPr>
      <w:r w:rsidRPr="004F6547">
        <w:rPr>
          <w:rFonts w:eastAsia="Times New Roman" w:cs="Times New Roman"/>
          <w:lang w:bidi="en-US"/>
        </w:rPr>
        <w:t>Clause 3 of the variation provides that the variation will commence on the date of gazettal of the instrument.</w:t>
      </w:r>
    </w:p>
    <w:p w14:paraId="07B6A981" w14:textId="77777777" w:rsidR="004F6547" w:rsidRPr="004F6547" w:rsidRDefault="004F6547" w:rsidP="004F6547">
      <w:pPr>
        <w:widowControl w:val="0"/>
        <w:rPr>
          <w:rFonts w:eastAsia="Calibri" w:cs="Arial"/>
          <w:bCs/>
          <w:lang w:val="en-AU"/>
        </w:rPr>
      </w:pPr>
    </w:p>
    <w:p w14:paraId="059174D6" w14:textId="77777777" w:rsidR="004F6547" w:rsidRPr="004F6547" w:rsidRDefault="004F6547" w:rsidP="004F6547">
      <w:pPr>
        <w:widowControl w:val="0"/>
        <w:rPr>
          <w:rFonts w:eastAsia="Calibri" w:cs="Arial"/>
          <w:bCs/>
          <w:lang w:val="en-AU"/>
        </w:rPr>
      </w:pPr>
      <w:r w:rsidRPr="004F6547">
        <w:rPr>
          <w:rFonts w:eastAsia="Calibri" w:cs="Arial"/>
          <w:bCs/>
          <w:lang w:val="en-AU"/>
        </w:rPr>
        <w:lastRenderedPageBreak/>
        <w:t>Section S20—3 of the Code currently lists the MRLs for agvet chemicals which may occur in foods. If an MRL is not listed for a particular agvet chemical in that food, there must be no detectable residues of that chemical in that food. This general prohibition means that, in absence of the relevant MRL in the Code for a chemical, food may not be sold where there are detectable residues of that chemical.</w:t>
      </w:r>
    </w:p>
    <w:p w14:paraId="383BE758" w14:textId="77777777" w:rsidR="004F6547" w:rsidRPr="004F6547" w:rsidRDefault="004F6547" w:rsidP="004F6547">
      <w:pPr>
        <w:widowControl w:val="0"/>
        <w:rPr>
          <w:rFonts w:eastAsia="Times New Roman" w:cs="Times New Roman"/>
          <w:szCs w:val="24"/>
          <w:lang w:bidi="en-US"/>
        </w:rPr>
      </w:pPr>
    </w:p>
    <w:p w14:paraId="6D26FE3F" w14:textId="77777777" w:rsidR="004F6547" w:rsidRPr="004F6547" w:rsidRDefault="004F6547" w:rsidP="004F6547">
      <w:pPr>
        <w:widowControl w:val="0"/>
        <w:rPr>
          <w:rFonts w:eastAsia="Times New Roman" w:cs="Times New Roman"/>
          <w:szCs w:val="24"/>
          <w:lang w:bidi="en-US"/>
        </w:rPr>
      </w:pPr>
      <w:r w:rsidRPr="004F6547">
        <w:rPr>
          <w:rFonts w:eastAsia="Times New Roman" w:cs="Times New Roman"/>
          <w:lang w:bidi="en-US"/>
        </w:rPr>
        <w:t>MRLs in the draft variation are expressed as mg per kg. An asterisk (*) indicates that the maximum residue limit is set at the limit of determination for the relevant analytical method for the chemical and the symbol ‘T’ indicates that the MRL is a temporary MRL. This temporary categorisation enables further work to be carried out in Australia or overseas for reconsideration at some future date. It can also be used in Australia when an MRL is being phased out. Temporary MRLs are often established by the APVMA and their expiration periods can vary depending on the particular chemical.</w:t>
      </w:r>
    </w:p>
    <w:p w14:paraId="0BF4AA94" w14:textId="77777777" w:rsidR="004F6547" w:rsidRPr="004F6547" w:rsidRDefault="004F6547" w:rsidP="004F6547">
      <w:pPr>
        <w:widowControl w:val="0"/>
        <w:rPr>
          <w:rFonts w:eastAsia="Times New Roman" w:cs="Times New Roman"/>
          <w:lang w:bidi="en-US"/>
        </w:rPr>
      </w:pPr>
    </w:p>
    <w:p w14:paraId="4440B4A0" w14:textId="77777777" w:rsidR="004F6547" w:rsidRPr="004F6547" w:rsidRDefault="004F6547" w:rsidP="004F6547">
      <w:pPr>
        <w:widowControl w:val="0"/>
        <w:rPr>
          <w:rFonts w:eastAsia="Times New Roman" w:cs="Arial"/>
          <w:lang w:bidi="en-US"/>
        </w:rPr>
      </w:pPr>
      <w:r w:rsidRPr="004F6547">
        <w:rPr>
          <w:rFonts w:eastAsia="Times New Roman" w:cs="Arial"/>
          <w:lang w:bidi="en-US"/>
        </w:rPr>
        <w:t xml:space="preserve">Each item and subitem in the Schedule to the draft variation amends section S20—3 as follows. For further information about each amendment, see Table 3, Table 4 and Table 5 of SD1.  </w:t>
      </w:r>
    </w:p>
    <w:p w14:paraId="015E3532" w14:textId="77777777" w:rsidR="004F6547" w:rsidRPr="004F6547" w:rsidRDefault="004F6547" w:rsidP="004F6547">
      <w:pPr>
        <w:widowControl w:val="0"/>
        <w:rPr>
          <w:rFonts w:eastAsia="Times New Roman" w:cs="Arial"/>
          <w:szCs w:val="24"/>
          <w:lang w:bidi="en-US"/>
        </w:rPr>
      </w:pPr>
    </w:p>
    <w:p w14:paraId="162B7531" w14:textId="77777777" w:rsidR="004F6547" w:rsidRPr="004F6547" w:rsidRDefault="004F6547" w:rsidP="004F6547">
      <w:pPr>
        <w:widowControl w:val="0"/>
        <w:rPr>
          <w:rFonts w:eastAsia="Times New Roman" w:cs="Arial"/>
          <w:b/>
          <w:bCs/>
          <w:szCs w:val="24"/>
          <w:lang w:bidi="en-US"/>
        </w:rPr>
      </w:pPr>
      <w:r w:rsidRPr="004F6547">
        <w:rPr>
          <w:rFonts w:eastAsia="Times New Roman" w:cs="Arial"/>
          <w:b/>
          <w:bCs/>
          <w:szCs w:val="24"/>
          <w:lang w:bidi="en-US"/>
        </w:rPr>
        <w:t>7.1</w:t>
      </w:r>
      <w:r w:rsidRPr="004F6547">
        <w:rPr>
          <w:rFonts w:eastAsia="Times New Roman" w:cs="Arial"/>
          <w:b/>
          <w:bCs/>
          <w:szCs w:val="24"/>
          <w:lang w:bidi="en-US"/>
        </w:rPr>
        <w:tab/>
        <w:t xml:space="preserve">Removing chemicals and all entries for those chemicals </w:t>
      </w:r>
    </w:p>
    <w:p w14:paraId="1C3B8ADB" w14:textId="77777777" w:rsidR="004F6547" w:rsidRPr="004F6547" w:rsidRDefault="004F6547" w:rsidP="004F6547">
      <w:pPr>
        <w:widowControl w:val="0"/>
        <w:rPr>
          <w:rFonts w:eastAsia="Times New Roman" w:cs="Arial"/>
          <w:szCs w:val="24"/>
          <w:lang w:bidi="en-US"/>
        </w:rPr>
      </w:pPr>
    </w:p>
    <w:p w14:paraId="334ABF6D" w14:textId="77777777" w:rsidR="004F6547" w:rsidRPr="004F6547" w:rsidRDefault="004F6547" w:rsidP="004F6547">
      <w:pPr>
        <w:widowControl w:val="0"/>
        <w:rPr>
          <w:rFonts w:eastAsia="Times New Roman" w:cs="Times New Roman"/>
          <w:szCs w:val="24"/>
          <w:lang w:bidi="en-US"/>
        </w:rPr>
      </w:pPr>
      <w:r w:rsidRPr="004F6547">
        <w:rPr>
          <w:rFonts w:eastAsia="Times New Roman" w:cs="Arial"/>
          <w:szCs w:val="24"/>
          <w:lang w:bidi="en-US"/>
        </w:rPr>
        <w:t xml:space="preserve">Item [1] omits all entries </w:t>
      </w:r>
      <w:r w:rsidRPr="004F6547">
        <w:rPr>
          <w:rFonts w:eastAsia="Times New Roman" w:cs="Times New Roman"/>
          <w:szCs w:val="24"/>
          <w:shd w:val="clear" w:color="auto" w:fill="FFFFFF"/>
          <w:lang w:bidi="en-US"/>
        </w:rPr>
        <w:t xml:space="preserve">for each of the following chemicals: </w:t>
      </w:r>
      <w:r w:rsidRPr="004F6547">
        <w:rPr>
          <w:rFonts w:eastAsia="Times New Roman" w:cs="Times New Roman"/>
          <w:szCs w:val="24"/>
          <w:lang w:bidi="en-US"/>
        </w:rPr>
        <w:t>Bensulide; Bioresmethrin; Fenarimol; and Pebulate.</w:t>
      </w:r>
    </w:p>
    <w:p w14:paraId="559E7BD8" w14:textId="77777777" w:rsidR="004F6547" w:rsidRPr="004F6547" w:rsidRDefault="004F6547" w:rsidP="004F6547">
      <w:pPr>
        <w:widowControl w:val="0"/>
        <w:rPr>
          <w:rFonts w:eastAsia="Times New Roman" w:cs="Times New Roman"/>
          <w:szCs w:val="24"/>
          <w:lang w:bidi="en-US"/>
        </w:rPr>
      </w:pPr>
    </w:p>
    <w:p w14:paraId="3C01FB5A" w14:textId="77777777" w:rsidR="004F6547" w:rsidRPr="004F6547" w:rsidRDefault="004F6547" w:rsidP="004F6547">
      <w:pPr>
        <w:widowControl w:val="0"/>
        <w:rPr>
          <w:rFonts w:eastAsia="Times New Roman" w:cs="Arial"/>
          <w:szCs w:val="24"/>
          <w:lang w:bidi="en-US"/>
        </w:rPr>
      </w:pPr>
      <w:r w:rsidRPr="004F6547">
        <w:rPr>
          <w:rFonts w:eastAsia="Times New Roman" w:cs="Arial"/>
          <w:b/>
          <w:bCs/>
          <w:szCs w:val="24"/>
          <w:lang w:bidi="en-US"/>
        </w:rPr>
        <w:t>7.2</w:t>
      </w:r>
      <w:r w:rsidRPr="004F6547">
        <w:rPr>
          <w:rFonts w:eastAsia="Times New Roman" w:cs="Arial"/>
          <w:b/>
          <w:bCs/>
          <w:szCs w:val="24"/>
          <w:lang w:bidi="en-US"/>
        </w:rPr>
        <w:tab/>
        <w:t>Adding new chemicals and associated entries</w:t>
      </w:r>
    </w:p>
    <w:p w14:paraId="331480D1" w14:textId="77777777" w:rsidR="004F6547" w:rsidRPr="004F6547" w:rsidRDefault="004F6547" w:rsidP="004F6547">
      <w:pPr>
        <w:widowControl w:val="0"/>
        <w:rPr>
          <w:rFonts w:eastAsia="Times New Roman" w:cs="Times New Roman"/>
          <w:szCs w:val="24"/>
          <w:lang w:bidi="en-US"/>
        </w:rPr>
      </w:pPr>
    </w:p>
    <w:p w14:paraId="349E9297" w14:textId="77777777" w:rsidR="004F6547" w:rsidRPr="004F6547" w:rsidRDefault="004F6547" w:rsidP="004F6547">
      <w:pPr>
        <w:widowControl w:val="0"/>
        <w:rPr>
          <w:rFonts w:eastAsia="Times New Roman" w:cs="Arial"/>
          <w:szCs w:val="24"/>
          <w:lang w:bidi="en-US"/>
        </w:rPr>
      </w:pPr>
      <w:r w:rsidRPr="004F6547">
        <w:rPr>
          <w:rFonts w:eastAsia="Times New Roman" w:cs="Arial"/>
          <w:szCs w:val="24"/>
          <w:lang w:bidi="en-US"/>
        </w:rPr>
        <w:t>Item [2] inserts, in alphabetical order, table entries for chemicals that are not currently listed in section S20—3. The new chemicals are</w:t>
      </w:r>
      <w:r w:rsidRPr="004F6547">
        <w:rPr>
          <w:rFonts w:eastAsia="Times New Roman" w:cs="Times New Roman"/>
          <w:bCs/>
          <w:szCs w:val="24"/>
          <w:shd w:val="clear" w:color="auto" w:fill="FFFFFF"/>
          <w:lang w:bidi="en-US"/>
        </w:rPr>
        <w:t xml:space="preserve">: </w:t>
      </w:r>
      <w:r w:rsidRPr="004F6547">
        <w:rPr>
          <w:rFonts w:eastAsia="Times New Roman" w:cs="Times New Roman"/>
          <w:szCs w:val="24"/>
          <w:lang w:bidi="en-US"/>
        </w:rPr>
        <w:t xml:space="preserve">Flutianil; Isoprothiolane; Pyraziflumid; and Spiropidion. The new </w:t>
      </w:r>
      <w:r w:rsidRPr="004F6547">
        <w:rPr>
          <w:rFonts w:eastAsia="Times New Roman" w:cs="Arial"/>
          <w:szCs w:val="24"/>
          <w:lang w:bidi="en-US"/>
        </w:rPr>
        <w:t>table entries include the new chemical’s name, residue definition, food commodities and associated MRLs.</w:t>
      </w:r>
    </w:p>
    <w:p w14:paraId="426A7B54" w14:textId="77777777" w:rsidR="004F6547" w:rsidRPr="004F6547" w:rsidRDefault="004F6547" w:rsidP="004F6547">
      <w:pPr>
        <w:widowControl w:val="0"/>
        <w:rPr>
          <w:rFonts w:eastAsia="Times New Roman" w:cs="Arial"/>
          <w:szCs w:val="24"/>
          <w:lang w:bidi="en-US"/>
        </w:rPr>
      </w:pPr>
    </w:p>
    <w:p w14:paraId="0A0A2281" w14:textId="77777777" w:rsidR="004F6547" w:rsidRPr="004F6547" w:rsidRDefault="004F6547" w:rsidP="004F6547">
      <w:pPr>
        <w:widowControl w:val="0"/>
        <w:rPr>
          <w:rFonts w:eastAsia="Times New Roman" w:cs="Arial"/>
          <w:b/>
          <w:bCs/>
          <w:szCs w:val="24"/>
          <w:lang w:bidi="en-US"/>
        </w:rPr>
      </w:pPr>
      <w:r w:rsidRPr="004F6547">
        <w:rPr>
          <w:rFonts w:eastAsia="Times New Roman" w:cs="Arial"/>
          <w:b/>
          <w:bCs/>
          <w:szCs w:val="24"/>
          <w:lang w:bidi="en-US"/>
        </w:rPr>
        <w:t>7.3</w:t>
      </w:r>
      <w:r w:rsidRPr="004F6547">
        <w:rPr>
          <w:rFonts w:eastAsia="Times New Roman" w:cs="Arial"/>
          <w:b/>
          <w:bCs/>
          <w:szCs w:val="24"/>
          <w:lang w:bidi="en-US"/>
        </w:rPr>
        <w:tab/>
        <w:t xml:space="preserve">Adding new food commodities and associated MRLs for listed chemicals </w:t>
      </w:r>
    </w:p>
    <w:p w14:paraId="41DA724D" w14:textId="77777777" w:rsidR="004F6547" w:rsidRPr="004F6547" w:rsidRDefault="004F6547" w:rsidP="004F6547">
      <w:pPr>
        <w:widowControl w:val="0"/>
        <w:rPr>
          <w:rFonts w:eastAsia="Times New Roman" w:cs="Times New Roman"/>
          <w:szCs w:val="24"/>
          <w:lang w:bidi="en-US"/>
        </w:rPr>
      </w:pPr>
    </w:p>
    <w:p w14:paraId="745FB9BA" w14:textId="77777777" w:rsidR="004F6547" w:rsidRPr="004F6547" w:rsidRDefault="004F6547" w:rsidP="004F6547">
      <w:pPr>
        <w:widowControl w:val="0"/>
        <w:rPr>
          <w:rFonts w:eastAsia="Times New Roman" w:cs="Times New Roman"/>
          <w:szCs w:val="24"/>
          <w:lang w:bidi="en-US"/>
        </w:rPr>
      </w:pPr>
      <w:r w:rsidRPr="004F6547">
        <w:rPr>
          <w:rFonts w:eastAsia="Times New Roman" w:cs="Times New Roman"/>
          <w:szCs w:val="24"/>
          <w:lang w:bidi="en-US"/>
        </w:rPr>
        <w:t>The following items add new food commodities and associated MRLs into the table entries for the chemicals listed: Items [3], [4], [5], [12], [18], [20], [22], [25], [30], [37], [39], [44], [45], [49], [51], [53], [56], [59], [61], [64], [66], [68], [72], [73], [78], [81], [84], [87], [89], [93], [95], [99], [106], [109], [113], [117], [124], [127], [131], [132], [136], [139], [140], [142], [144], [150], [152], [156], [157], [164], [166], [169], [174], [179], [184], [187], [193], [196], [199], [203], [206], [209], [210], [214], [220] and [226].</w:t>
      </w:r>
    </w:p>
    <w:p w14:paraId="176518E6" w14:textId="77777777" w:rsidR="004F6547" w:rsidRPr="004F6547" w:rsidRDefault="004F6547" w:rsidP="004F6547">
      <w:pPr>
        <w:widowControl w:val="0"/>
        <w:rPr>
          <w:rFonts w:eastAsia="Times New Roman" w:cs="Times New Roman"/>
          <w:szCs w:val="24"/>
          <w:lang w:bidi="en-US"/>
        </w:rPr>
      </w:pPr>
    </w:p>
    <w:p w14:paraId="1C78DAA4" w14:textId="77777777" w:rsidR="004F6547" w:rsidRPr="004F6547" w:rsidRDefault="004F6547" w:rsidP="004F6547">
      <w:pPr>
        <w:widowControl w:val="0"/>
        <w:rPr>
          <w:rFonts w:eastAsia="Times New Roman" w:cs="Arial"/>
          <w:b/>
          <w:bCs/>
          <w:szCs w:val="24"/>
          <w:lang w:bidi="en-US"/>
        </w:rPr>
      </w:pPr>
      <w:r w:rsidRPr="004F6547">
        <w:rPr>
          <w:rFonts w:eastAsia="Times New Roman" w:cs="Arial"/>
          <w:b/>
          <w:bCs/>
          <w:szCs w:val="24"/>
          <w:lang w:bidi="en-US"/>
        </w:rPr>
        <w:t>7.4</w:t>
      </w:r>
      <w:r w:rsidRPr="004F6547">
        <w:rPr>
          <w:rFonts w:eastAsia="Times New Roman" w:cs="Arial"/>
          <w:b/>
          <w:bCs/>
          <w:szCs w:val="24"/>
          <w:lang w:bidi="en-US"/>
        </w:rPr>
        <w:tab/>
        <w:t xml:space="preserve">Removing food commodities and associated MRLs for listed chemicals </w:t>
      </w:r>
    </w:p>
    <w:p w14:paraId="63688A10" w14:textId="77777777" w:rsidR="004F6547" w:rsidRPr="004F6547" w:rsidRDefault="004F6547" w:rsidP="004F6547">
      <w:pPr>
        <w:widowControl w:val="0"/>
        <w:rPr>
          <w:rFonts w:eastAsia="Times New Roman" w:cs="Times New Roman"/>
          <w:szCs w:val="24"/>
          <w:lang w:bidi="en-US"/>
        </w:rPr>
      </w:pPr>
    </w:p>
    <w:p w14:paraId="3C856267" w14:textId="77777777" w:rsidR="004F6547" w:rsidRPr="004F6547" w:rsidRDefault="004F6547" w:rsidP="004F6547">
      <w:pPr>
        <w:widowControl w:val="0"/>
        <w:rPr>
          <w:rFonts w:eastAsia="Times New Roman" w:cs="Times New Roman"/>
          <w:szCs w:val="24"/>
          <w:lang w:bidi="en-US"/>
        </w:rPr>
      </w:pPr>
      <w:r w:rsidRPr="004F6547">
        <w:rPr>
          <w:rFonts w:eastAsia="Times New Roman" w:cs="Times New Roman"/>
          <w:szCs w:val="24"/>
          <w:lang w:bidi="en-US"/>
        </w:rPr>
        <w:t xml:space="preserve">The following items remove </w:t>
      </w:r>
      <w:r w:rsidRPr="004F6547">
        <w:rPr>
          <w:rFonts w:eastAsia="Times New Roman" w:cs="Arial"/>
          <w:szCs w:val="24"/>
          <w:lang w:bidi="en-US"/>
        </w:rPr>
        <w:t xml:space="preserve">food commodities and their associated MRLs from the table entry for the chemical listed: </w:t>
      </w:r>
      <w:r w:rsidRPr="004F6547">
        <w:rPr>
          <w:rFonts w:eastAsia="Times New Roman" w:cs="Times New Roman"/>
          <w:szCs w:val="24"/>
          <w:lang w:bidi="en-US"/>
        </w:rPr>
        <w:t>Items [11], [14], [16], [17], [33], [34], [35], [41], [46], [50], [60], [67], [79], [83], [88], [94], [105], [110], [116], [137], [141], [145], [147], [149], [151], [155], [160], [162], [163], [165], [168], [173], [178], [182], [186], [189], [192], [195], [198], [202],</w:t>
      </w:r>
      <w:r w:rsidRPr="004F6547">
        <w:rPr>
          <w:rFonts w:eastAsia="Times New Roman" w:cs="Times New Roman"/>
          <w:szCs w:val="24"/>
          <w:highlight w:val="yellow"/>
          <w:lang w:bidi="en-US"/>
        </w:rPr>
        <w:t xml:space="preserve"> </w:t>
      </w:r>
      <w:r w:rsidRPr="004F6547">
        <w:rPr>
          <w:rFonts w:eastAsia="Times New Roman" w:cs="Times New Roman"/>
          <w:szCs w:val="24"/>
          <w:lang w:bidi="en-US"/>
        </w:rPr>
        <w:t>[205], [216], [217], [219] and [223].</w:t>
      </w:r>
    </w:p>
    <w:p w14:paraId="641CD40B" w14:textId="77777777" w:rsidR="004F6547" w:rsidRPr="004F6547" w:rsidRDefault="004F6547" w:rsidP="004F6547">
      <w:pPr>
        <w:widowControl w:val="0"/>
        <w:rPr>
          <w:rFonts w:eastAsia="Times New Roman" w:cs="Arial"/>
          <w:b/>
          <w:bCs/>
          <w:szCs w:val="24"/>
          <w:lang w:bidi="en-US"/>
        </w:rPr>
      </w:pPr>
    </w:p>
    <w:p w14:paraId="40FFA6E7" w14:textId="77777777" w:rsidR="004F6547" w:rsidRPr="004F6547" w:rsidRDefault="004F6547" w:rsidP="004F6547">
      <w:pPr>
        <w:widowControl w:val="0"/>
        <w:rPr>
          <w:rFonts w:eastAsia="Times New Roman" w:cs="Arial"/>
          <w:b/>
          <w:bCs/>
          <w:szCs w:val="24"/>
          <w:lang w:bidi="en-US"/>
        </w:rPr>
      </w:pPr>
      <w:r w:rsidRPr="004F6547">
        <w:rPr>
          <w:rFonts w:eastAsia="Times New Roman" w:cs="Arial"/>
          <w:b/>
          <w:bCs/>
          <w:szCs w:val="24"/>
          <w:lang w:bidi="en-US"/>
        </w:rPr>
        <w:t>7.5</w:t>
      </w:r>
      <w:r w:rsidRPr="004F6547">
        <w:rPr>
          <w:rFonts w:eastAsia="Times New Roman" w:cs="Arial"/>
          <w:b/>
          <w:bCs/>
          <w:szCs w:val="24"/>
          <w:lang w:bidi="en-US"/>
        </w:rPr>
        <w:tab/>
        <w:t xml:space="preserve">Amending food commodities and associated MRLs for listed chemicals </w:t>
      </w:r>
    </w:p>
    <w:p w14:paraId="2AB2BDE4" w14:textId="77777777" w:rsidR="004F6547" w:rsidRPr="004F6547" w:rsidRDefault="004F6547" w:rsidP="004F6547">
      <w:pPr>
        <w:widowControl w:val="0"/>
        <w:rPr>
          <w:rFonts w:eastAsia="Times New Roman" w:cs="Arial"/>
          <w:b/>
          <w:bCs/>
          <w:szCs w:val="24"/>
          <w:lang w:bidi="en-US"/>
        </w:rPr>
      </w:pPr>
    </w:p>
    <w:p w14:paraId="262BA2BB" w14:textId="77777777" w:rsidR="004F6547" w:rsidRPr="004F6547" w:rsidRDefault="004F6547" w:rsidP="004F6547">
      <w:pPr>
        <w:widowControl w:val="0"/>
        <w:rPr>
          <w:rFonts w:eastAsia="Times New Roman" w:cs="Times New Roman"/>
          <w:szCs w:val="24"/>
          <w:lang w:bidi="en-US"/>
        </w:rPr>
      </w:pPr>
      <w:r w:rsidRPr="004F6547">
        <w:rPr>
          <w:rFonts w:eastAsia="Times New Roman" w:cs="Times New Roman"/>
          <w:szCs w:val="24"/>
          <w:lang w:bidi="en-US"/>
        </w:rPr>
        <w:t xml:space="preserve">The following items amend the table entries for the chemicals listed by changing: the amount of an MRL; the food commodity or commodities to which an MRL relates; or both: Items [8], [9], [10], [13], [15], [19], [21], [23], [24], [26], [27], [28], [31], [38], [40], [42], [43], [47], [48], [52], [54], [55], [57], [65], [69], [71], [74], [77], [80], [82], [85], [86], [90], [91], [96], [97], [98], [100], [102], [104], [107], [111], [112], [114], [115], [118], [119], [120], [122], [123], [125], [128], [129], [130],  [133], [134], [135],  [138], [143], [146], [148], [153], [154], [158], [159], </w:t>
      </w:r>
      <w:r w:rsidRPr="004F6547">
        <w:rPr>
          <w:rFonts w:eastAsia="Times New Roman" w:cs="Times New Roman"/>
          <w:szCs w:val="24"/>
          <w:lang w:bidi="en-US"/>
        </w:rPr>
        <w:lastRenderedPageBreak/>
        <w:t xml:space="preserve">[161], [167], [170], [171], [172], [175], [176], [177], [180], [181], [183], [185], [188], [190], [191], [194], [197], [200], [201], [204], [207], [208], [211], [212], [215], [218],  [221], [222], [224], [227] and [228].  </w:t>
      </w:r>
    </w:p>
    <w:p w14:paraId="730E9DAC" w14:textId="77777777" w:rsidR="004F6547" w:rsidRPr="004F6547" w:rsidRDefault="004F6547" w:rsidP="004F6547">
      <w:pPr>
        <w:widowControl w:val="0"/>
        <w:rPr>
          <w:rFonts w:eastAsia="Times New Roman" w:cs="Times New Roman"/>
          <w:szCs w:val="24"/>
          <w:lang w:bidi="en-US"/>
        </w:rPr>
      </w:pPr>
    </w:p>
    <w:p w14:paraId="12C3C31A" w14:textId="77777777" w:rsidR="004F6547" w:rsidRPr="004F6547" w:rsidRDefault="004F6547" w:rsidP="004F6547">
      <w:pPr>
        <w:widowControl w:val="0"/>
        <w:rPr>
          <w:rFonts w:eastAsia="Times New Roman" w:cs="Times New Roman"/>
          <w:lang w:bidi="en-US"/>
        </w:rPr>
      </w:pPr>
      <w:r w:rsidRPr="004F6547">
        <w:rPr>
          <w:rFonts w:eastAsia="Times New Roman" w:cs="Times New Roman"/>
          <w:lang w:bidi="en-US"/>
        </w:rPr>
        <w:t xml:space="preserve">The following items correct formatting, ordering and typographical errors: Items [6], [7], </w:t>
      </w:r>
      <w:r w:rsidRPr="004F6547">
        <w:rPr>
          <w:rFonts w:eastAsia="Times New Roman" w:cs="Times New Roman"/>
          <w:szCs w:val="24"/>
          <w:lang w:bidi="en-US"/>
        </w:rPr>
        <w:t>[</w:t>
      </w:r>
      <w:r w:rsidRPr="004F6547">
        <w:rPr>
          <w:rFonts w:eastAsia="Times New Roman" w:cs="Times New Roman"/>
          <w:lang w:bidi="en-US"/>
        </w:rPr>
        <w:t xml:space="preserve">32], </w:t>
      </w:r>
      <w:r w:rsidRPr="004F6547">
        <w:rPr>
          <w:rFonts w:eastAsia="Times New Roman" w:cs="Times New Roman"/>
          <w:szCs w:val="24"/>
          <w:lang w:bidi="en-US"/>
        </w:rPr>
        <w:t>[</w:t>
      </w:r>
      <w:r w:rsidRPr="004F6547">
        <w:rPr>
          <w:rFonts w:eastAsia="Times New Roman" w:cs="Times New Roman"/>
          <w:lang w:bidi="en-US"/>
        </w:rPr>
        <w:t xml:space="preserve">58], [62], [63], [70], [75] [76], [92], [101], [103], </w:t>
      </w:r>
      <w:r w:rsidRPr="004F6547">
        <w:rPr>
          <w:rFonts w:eastAsia="Times New Roman" w:cs="Times New Roman"/>
          <w:szCs w:val="24"/>
          <w:lang w:bidi="en-US"/>
        </w:rPr>
        <w:t>[</w:t>
      </w:r>
      <w:r w:rsidRPr="004F6547">
        <w:rPr>
          <w:rFonts w:eastAsia="Times New Roman" w:cs="Times New Roman"/>
          <w:lang w:bidi="en-US"/>
        </w:rPr>
        <w:t xml:space="preserve">121], [126], [213], [225] and [229]. </w:t>
      </w:r>
    </w:p>
    <w:p w14:paraId="7B207A68" w14:textId="77777777" w:rsidR="004F6547" w:rsidRPr="004F6547" w:rsidRDefault="004F6547" w:rsidP="004F6547">
      <w:pPr>
        <w:widowControl w:val="0"/>
        <w:rPr>
          <w:rFonts w:eastAsia="Times New Roman" w:cs="Times New Roman"/>
          <w:lang w:bidi="en-US"/>
        </w:rPr>
      </w:pPr>
    </w:p>
    <w:p w14:paraId="2804F04D" w14:textId="77777777" w:rsidR="004F6547" w:rsidRPr="004F6547" w:rsidRDefault="004F6547" w:rsidP="004F6547">
      <w:pPr>
        <w:widowControl w:val="0"/>
        <w:rPr>
          <w:rFonts w:eastAsia="Times New Roman" w:cs="Times New Roman"/>
          <w:lang w:bidi="en-US"/>
        </w:rPr>
      </w:pPr>
      <w:r w:rsidRPr="004F6547">
        <w:rPr>
          <w:rFonts w:eastAsia="Times New Roman" w:cs="Times New Roman"/>
          <w:lang w:bidi="en-US"/>
        </w:rPr>
        <w:t>The following items amend the table entries for the chemicals listed by changing a food commodity to which an MRL relates; and correct ordering of the food commodities: Items [29], [36] and [108].</w:t>
      </w:r>
    </w:p>
    <w:p w14:paraId="60839203" w14:textId="77777777" w:rsidR="004F6547" w:rsidRPr="004F6547" w:rsidRDefault="004F6547" w:rsidP="004F6547">
      <w:pPr>
        <w:widowControl w:val="0"/>
        <w:rPr>
          <w:rFonts w:eastAsia="Times New Roman" w:cs="Times New Roman"/>
          <w:lang w:bidi="en-US"/>
        </w:rPr>
      </w:pPr>
    </w:p>
    <w:p w14:paraId="32856757" w14:textId="77777777" w:rsidR="004F6547" w:rsidRPr="004F6547" w:rsidRDefault="004F6547" w:rsidP="004F6547">
      <w:pPr>
        <w:widowControl w:val="0"/>
        <w:rPr>
          <w:rFonts w:eastAsia="Times New Roman" w:cs="Times New Roman"/>
          <w:lang w:bidi="en-US"/>
        </w:rPr>
      </w:pPr>
      <w:r w:rsidRPr="004F6547">
        <w:rPr>
          <w:rFonts w:eastAsia="Times New Roman" w:cs="Times New Roman"/>
          <w:lang w:bidi="en-US"/>
        </w:rPr>
        <w:t xml:space="preserve">Item [230] amends </w:t>
      </w:r>
      <w:r w:rsidRPr="004F6547">
        <w:rPr>
          <w:rFonts w:eastAsia="Times New Roman" w:cs="Times New Roman"/>
          <w:bCs/>
          <w:lang w:bidi="en-US"/>
        </w:rPr>
        <w:t>the table entry for each agvet chemical listed in that item</w:t>
      </w:r>
      <w:r w:rsidRPr="004F6547">
        <w:rPr>
          <w:rFonts w:eastAsia="Times New Roman" w:cs="Times New Roman"/>
          <w:lang w:bidi="en-US"/>
        </w:rPr>
        <w:t xml:space="preserve"> by removing each reference in that entry to </w:t>
      </w:r>
      <w:r w:rsidRPr="004F6547">
        <w:rPr>
          <w:rFonts w:eastAsia="Times New Roman" w:cs="Times New Roman"/>
          <w:bCs/>
          <w:lang w:bidi="en-US"/>
        </w:rPr>
        <w:t>“Citrus fruits [except kumquats]” and replacing it with “Citrus fruits”.</w:t>
      </w:r>
    </w:p>
    <w:p w14:paraId="42DA3DD0" w14:textId="77777777" w:rsidR="004F6547" w:rsidRPr="004F6547" w:rsidRDefault="004F6547" w:rsidP="004F6547">
      <w:pPr>
        <w:widowControl w:val="0"/>
        <w:rPr>
          <w:rFonts w:eastAsia="Times New Roman" w:cs="Times New Roman"/>
          <w:lang w:bidi="en-US"/>
        </w:rPr>
      </w:pPr>
    </w:p>
    <w:p w14:paraId="498219CC" w14:textId="77777777" w:rsidR="004F6547" w:rsidRPr="004F6547" w:rsidRDefault="004F6547" w:rsidP="004F6547">
      <w:pPr>
        <w:widowControl w:val="0"/>
        <w:rPr>
          <w:rFonts w:eastAsia="Times New Roman" w:cs="Times New Roman"/>
          <w:lang w:bidi="en-US"/>
        </w:rPr>
      </w:pPr>
      <w:r w:rsidRPr="004F6547">
        <w:rPr>
          <w:rFonts w:eastAsia="Times New Roman" w:cs="Times New Roman"/>
          <w:lang w:bidi="en-US"/>
        </w:rPr>
        <w:t xml:space="preserve">Item [231] amends </w:t>
      </w:r>
      <w:r w:rsidRPr="004F6547">
        <w:rPr>
          <w:rFonts w:eastAsia="Times New Roman" w:cs="Times New Roman"/>
          <w:bCs/>
          <w:lang w:bidi="en-US"/>
        </w:rPr>
        <w:t>the table entry for each agvet chemical listed in that item</w:t>
      </w:r>
      <w:r w:rsidRPr="004F6547">
        <w:rPr>
          <w:rFonts w:eastAsia="Times New Roman" w:cs="Times New Roman"/>
          <w:lang w:bidi="en-US"/>
        </w:rPr>
        <w:t xml:space="preserve"> by removing each reference in that entry to ‘</w:t>
      </w:r>
      <w:r w:rsidRPr="004F6547">
        <w:rPr>
          <w:rFonts w:eastAsia="Times New Roman" w:cs="Times New Roman"/>
          <w:bCs/>
          <w:lang w:bidi="en-US"/>
        </w:rPr>
        <w:t>Pome fruits [except Persimmon, Japanese]” and replacing it with “Pome fruits”.</w:t>
      </w:r>
    </w:p>
    <w:p w14:paraId="1F247AA8" w14:textId="77777777" w:rsidR="004F6547" w:rsidRPr="004F6547" w:rsidRDefault="004F6547" w:rsidP="004F6547">
      <w:pPr>
        <w:widowControl w:val="0"/>
        <w:rPr>
          <w:rFonts w:eastAsia="Times New Roman" w:cs="Times New Roman"/>
          <w:lang w:bidi="en-US"/>
        </w:rPr>
      </w:pPr>
    </w:p>
    <w:p w14:paraId="558246D0" w14:textId="77777777" w:rsidR="004F6547" w:rsidRPr="004F6547" w:rsidRDefault="004F6547" w:rsidP="004F6547">
      <w:pPr>
        <w:widowControl w:val="0"/>
        <w:rPr>
          <w:rFonts w:eastAsia="Times New Roman" w:cs="Times New Roman"/>
          <w:lang w:bidi="en-US"/>
        </w:rPr>
      </w:pPr>
      <w:r w:rsidRPr="004F6547">
        <w:rPr>
          <w:rFonts w:eastAsia="Times New Roman" w:cs="Times New Roman"/>
          <w:lang w:bidi="en-US"/>
        </w:rPr>
        <w:t xml:space="preserve">Item [232] amends </w:t>
      </w:r>
      <w:r w:rsidRPr="004F6547">
        <w:rPr>
          <w:rFonts w:eastAsia="Times New Roman" w:cs="Times New Roman"/>
          <w:bCs/>
          <w:lang w:bidi="en-US"/>
        </w:rPr>
        <w:t>the table entry for each agvet chemical listed in that item</w:t>
      </w:r>
      <w:r w:rsidRPr="004F6547">
        <w:rPr>
          <w:rFonts w:eastAsia="Times New Roman" w:cs="Times New Roman"/>
          <w:lang w:bidi="en-US"/>
        </w:rPr>
        <w:t xml:space="preserve"> by removing each reference in that entry to </w:t>
      </w:r>
      <w:r w:rsidRPr="004F6547">
        <w:rPr>
          <w:rFonts w:eastAsia="Times New Roman" w:cs="Times New Roman"/>
          <w:bCs/>
          <w:lang w:bidi="en-US"/>
        </w:rPr>
        <w:t>“Stone fruits [except jujube, Chinese]” and replacing it with “Stone fruits”.</w:t>
      </w:r>
    </w:p>
    <w:p w14:paraId="01E373DB" w14:textId="77777777" w:rsidR="004F6547" w:rsidRPr="004F6547" w:rsidRDefault="004F6547" w:rsidP="004F6547">
      <w:pPr>
        <w:widowControl w:val="0"/>
        <w:rPr>
          <w:rFonts w:eastAsia="Times New Roman" w:cs="Times New Roman"/>
          <w:lang w:bidi="en-US"/>
        </w:rPr>
      </w:pPr>
    </w:p>
    <w:p w14:paraId="0DE04751" w14:textId="77777777" w:rsidR="004F6547" w:rsidRPr="004F6547" w:rsidRDefault="004F6547" w:rsidP="004F6547">
      <w:pPr>
        <w:widowControl w:val="0"/>
        <w:rPr>
          <w:rFonts w:eastAsia="Times New Roman" w:cs="Times New Roman"/>
          <w:szCs w:val="24"/>
          <w:lang w:bidi="en-US"/>
        </w:rPr>
      </w:pPr>
      <w:r w:rsidRPr="004F6547">
        <w:rPr>
          <w:rFonts w:eastAsia="Times New Roman" w:cs="Times New Roman"/>
          <w:lang w:bidi="en-US"/>
        </w:rPr>
        <w:t xml:space="preserve">Item [233] amends </w:t>
      </w:r>
      <w:r w:rsidRPr="004F6547">
        <w:rPr>
          <w:rFonts w:eastAsia="Times New Roman" w:cs="Times New Roman"/>
          <w:bCs/>
          <w:lang w:bidi="en-US"/>
        </w:rPr>
        <w:t>the table entry for each agvet chemical listed in that item</w:t>
      </w:r>
      <w:r w:rsidRPr="004F6547">
        <w:rPr>
          <w:rFonts w:eastAsia="Times New Roman" w:cs="Times New Roman"/>
          <w:lang w:bidi="en-US"/>
        </w:rPr>
        <w:t xml:space="preserve"> by removing each reference in that entry to </w:t>
      </w:r>
      <w:r w:rsidRPr="004F6547">
        <w:rPr>
          <w:rFonts w:eastAsia="Times New Roman" w:cs="Times New Roman"/>
          <w:bCs/>
          <w:lang w:bidi="en-US"/>
        </w:rPr>
        <w:t>“Stone fruits [except cherries; jujube, Chinese]” and replacing it with “Stone fruits [except cherries (subgroup)]”.</w:t>
      </w:r>
    </w:p>
    <w:p w14:paraId="701CAF17" w14:textId="77777777" w:rsidR="004F6547" w:rsidRPr="004F6547" w:rsidRDefault="004F6547" w:rsidP="004F6547">
      <w:pPr>
        <w:rPr>
          <w:rFonts w:eastAsia="Times New Roman" w:cs="Times New Roman"/>
          <w:szCs w:val="24"/>
          <w:lang w:bidi="en-US"/>
        </w:rPr>
      </w:pPr>
    </w:p>
    <w:p w14:paraId="0EECAD6A" w14:textId="77777777" w:rsidR="00D5526B" w:rsidRPr="003A01FB" w:rsidRDefault="00D5526B" w:rsidP="003A01FB"/>
    <w:sectPr w:rsidR="00D5526B" w:rsidRPr="003A01FB" w:rsidSect="008E233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5D81E" w14:textId="77777777" w:rsidR="000F4F6D" w:rsidRDefault="000F4F6D" w:rsidP="004F6547">
      <w:r>
        <w:separator/>
      </w:r>
    </w:p>
  </w:endnote>
  <w:endnote w:type="continuationSeparator" w:id="0">
    <w:p w14:paraId="2FB8A9D1" w14:textId="77777777" w:rsidR="000F4F6D" w:rsidRDefault="000F4F6D" w:rsidP="004F6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612FF" w14:textId="77777777" w:rsidR="000F4F6D" w:rsidRDefault="000F4F6D" w:rsidP="004F6547">
      <w:r>
        <w:separator/>
      </w:r>
    </w:p>
  </w:footnote>
  <w:footnote w:type="continuationSeparator" w:id="0">
    <w:p w14:paraId="05C01C9B" w14:textId="77777777" w:rsidR="000F4F6D" w:rsidRDefault="000F4F6D" w:rsidP="004F6547">
      <w:r>
        <w:continuationSeparator/>
      </w:r>
    </w:p>
  </w:footnote>
  <w:footnote w:id="1">
    <w:p w14:paraId="1775ECD6" w14:textId="77777777" w:rsidR="004F6547" w:rsidRDefault="004F6547" w:rsidP="004F6547">
      <w:pPr>
        <w:pStyle w:val="FootnoteText"/>
        <w:ind w:left="284" w:hanging="284"/>
        <w:rPr>
          <w:rFonts w:cs="Arial"/>
        </w:rPr>
      </w:pPr>
      <w:r>
        <w:rPr>
          <w:rStyle w:val="FootnoteReference"/>
          <w:sz w:val="16"/>
          <w:szCs w:val="16"/>
        </w:rPr>
        <w:t>[1]</w:t>
      </w:r>
      <w:r>
        <w:rPr>
          <w:sz w:val="16"/>
          <w:szCs w:val="16"/>
        </w:rPr>
        <w:t>.    Formerly known as the Office of Best Practice Regulation (OBPR)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16cid:durableId="1220704283">
    <w:abstractNumId w:val="0"/>
  </w:num>
  <w:num w:numId="2" w16cid:durableId="1381130893">
    <w:abstractNumId w:val="0"/>
  </w:num>
  <w:num w:numId="3" w16cid:durableId="730687705">
    <w:abstractNumId w:val="0"/>
  </w:num>
  <w:num w:numId="4" w16cid:durableId="1349717692">
    <w:abstractNumId w:val="0"/>
  </w:num>
  <w:num w:numId="5" w16cid:durableId="31423999">
    <w:abstractNumId w:val="0"/>
  </w:num>
  <w:num w:numId="6" w16cid:durableId="1426613399">
    <w:abstractNumId w:val="0"/>
  </w:num>
  <w:num w:numId="7" w16cid:durableId="1104421559">
    <w:abstractNumId w:val="0"/>
  </w:num>
  <w:num w:numId="8" w16cid:durableId="1957248872">
    <w:abstractNumId w:val="3"/>
  </w:num>
  <w:num w:numId="9" w16cid:durableId="1225599576">
    <w:abstractNumId w:val="1"/>
  </w:num>
  <w:num w:numId="10" w16cid:durableId="1310281176">
    <w:abstractNumId w:val="2"/>
  </w:num>
  <w:num w:numId="11" w16cid:durableId="1790736018">
    <w:abstractNumId w:val="3"/>
  </w:num>
  <w:num w:numId="12" w16cid:durableId="1621035930">
    <w:abstractNumId w:val="1"/>
  </w:num>
  <w:num w:numId="13" w16cid:durableId="446125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547"/>
    <w:rsid w:val="0000542C"/>
    <w:rsid w:val="00041643"/>
    <w:rsid w:val="000622E7"/>
    <w:rsid w:val="00066854"/>
    <w:rsid w:val="00066D85"/>
    <w:rsid w:val="000A38F8"/>
    <w:rsid w:val="000F2196"/>
    <w:rsid w:val="000F4F6D"/>
    <w:rsid w:val="001734EA"/>
    <w:rsid w:val="00184403"/>
    <w:rsid w:val="00191770"/>
    <w:rsid w:val="001C5126"/>
    <w:rsid w:val="001E696B"/>
    <w:rsid w:val="002232B1"/>
    <w:rsid w:val="00234C31"/>
    <w:rsid w:val="0033021F"/>
    <w:rsid w:val="00341D25"/>
    <w:rsid w:val="003A01FB"/>
    <w:rsid w:val="00404702"/>
    <w:rsid w:val="00441D77"/>
    <w:rsid w:val="00443F05"/>
    <w:rsid w:val="00486619"/>
    <w:rsid w:val="004D3868"/>
    <w:rsid w:val="004E6694"/>
    <w:rsid w:val="004F6547"/>
    <w:rsid w:val="0054036E"/>
    <w:rsid w:val="005B578D"/>
    <w:rsid w:val="005C1996"/>
    <w:rsid w:val="006B6900"/>
    <w:rsid w:val="006D473E"/>
    <w:rsid w:val="007201F8"/>
    <w:rsid w:val="00793DE6"/>
    <w:rsid w:val="007F6456"/>
    <w:rsid w:val="00830393"/>
    <w:rsid w:val="00833D5A"/>
    <w:rsid w:val="00860EE7"/>
    <w:rsid w:val="00877A81"/>
    <w:rsid w:val="008931F6"/>
    <w:rsid w:val="008E2339"/>
    <w:rsid w:val="00935023"/>
    <w:rsid w:val="009806A5"/>
    <w:rsid w:val="009E265A"/>
    <w:rsid w:val="00A25B29"/>
    <w:rsid w:val="00A26F82"/>
    <w:rsid w:val="00A808E9"/>
    <w:rsid w:val="00B53154"/>
    <w:rsid w:val="00B72074"/>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9409E"/>
    <w:rsid w:val="00EC65E9"/>
    <w:rsid w:val="00F251EE"/>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C2EF8"/>
  <w15:chartTrackingRefBased/>
  <w15:docId w15:val="{23409806-38D2-496C-BD16-EF26295D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 Normal"/>
    <w:qFormat/>
    <w:rsid w:val="00B72074"/>
    <w:rPr>
      <w:rFonts w:cstheme="minorBidi"/>
      <w:lang w:val="en-GB"/>
    </w:rPr>
  </w:style>
  <w:style w:type="paragraph" w:styleId="Heading1">
    <w:name w:val="heading 1"/>
    <w:aliases w:val="FSHeading 1,Chapter heading"/>
    <w:basedOn w:val="Normal"/>
    <w:next w:val="Normal"/>
    <w:link w:val="Heading1Char"/>
    <w:uiPriority w:val="2"/>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2"/>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locked/>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numPr>
        <w:numId w:val="12"/>
      </w:numPr>
      <w:ind w:left="1134" w:hanging="567"/>
    </w:pPr>
  </w:style>
  <w:style w:type="paragraph" w:customStyle="1" w:styleId="FSBullet3">
    <w:name w:val="FSBullet 3"/>
    <w:basedOn w:val="Normal"/>
    <w:uiPriority w:val="6"/>
    <w:qFormat/>
    <w:locked/>
    <w:rsid w:val="006B6900"/>
    <w:pPr>
      <w:keepNext/>
      <w:numPr>
        <w:numId w:val="1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rFonts w:eastAsia="Times New Roman" w:cs="Times New Roman"/>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3"/>
    <w:unhideWhenUsed/>
    <w:qFormat/>
    <w:locked/>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 w:val="20"/>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character" w:styleId="FootnoteReference">
    <w:name w:val="footnote reference"/>
    <w:basedOn w:val="DefaultParagraphFont"/>
    <w:uiPriority w:val="99"/>
    <w:rsid w:val="004F65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egislation.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FSANZ Record" ma:contentTypeID="0x010100F5F252698E4843DFA3EBBF7EC57E522A00ED57D63352AC3D488C1927FA6C496CEC" ma:contentTypeVersion="4" ma:contentTypeDescription="Files created by FSANZ including letters, draft documents and ideas for FSANZ business." ma:contentTypeScope="" ma:versionID="1d26056e38933490155d3e4fb9e9c98e">
  <xsd:schema xmlns:xsd="http://www.w3.org/2001/XMLSchema" xmlns:xs="http://www.w3.org/2001/XMLSchema" xmlns:p="http://schemas.microsoft.com/office/2006/metadata/properties" xmlns:ns2="0e0bee33-077a-46d4-80d5-abd1b3a3b85b" targetNamespace="http://schemas.microsoft.com/office/2006/metadata/properties" ma:root="true" ma:fieldsID="c4b4c259f7d5c25d814874e6a78ae7d6" ns2:_="">
    <xsd:import namespace="0e0bee33-077a-46d4-80d5-abd1b3a3b85b"/>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bee33-077a-46d4-80d5-abd1b3a3b85b" elementFormDefault="qualified">
    <xsd:import namespace="http://schemas.microsoft.com/office/2006/documentManagement/types"/>
    <xsd:import namespace="http://schemas.microsoft.com/office/infopath/2007/PartnerControls"/>
    <xsd:element name="Related_x0020_project" ma:index="2" nillable="true" ma:displayName="Related project" ma:default="" ma:internalName="Related_x0020_project">
      <xsd:simpleType>
        <xsd:restriction base="dms:Text">
          <xsd:maxLength value="255"/>
        </xsd:restriction>
      </xsd:simpleType>
    </xsd:element>
    <xsd:element name="pb940a55b18746cdbb1d76ca362c0586" ma:index="9" nillable="true" ma:taxonomy="true" ma:internalName="pb940a55b18746cdbb1d76ca362c0586" ma:taxonomyFieldName="BCS" ma:displayName="BCS" ma:readOnly="false" ma:default="" ma:fieldId="{9b940a55-b187-46cd-bb1d-76ca362c0586}" ma:sspId="3a1b3197-b608-4b63-b007-dcf2f03aea39" ma:termSetId="2a9c21af-5beb-44a3-8177-89ab1efab15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56b88bc-8bd5-44c2-9979-78f9ce257f8c}" ma:internalName="TaxCatchAll" ma:showField="CatchAllData" ma:web="b1ff4400-a571-4233-91cc-785dd510685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56b88bc-8bd5-44c2-9979-78f9ce257f8c}" ma:internalName="TaxCatchAllLabel" ma:readOnly="true" ma:showField="CatchAllDataLabel" ma:web="b1ff4400-a571-4233-91cc-785dd5106853">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4" ma:taxonomy="true" ma:internalName="m5a168ed04b248b3bef91ad6e7b635a1" ma:taxonomyFieldName="Classification" ma:displayName="Classification" ma:default="1;#OFFICIAL|3776503d-ed4e-4d70-8dfd-8e17b238523b" ma:fieldId="{65a168ed-04b2-48b3-bef9-1ad6e7b635a1}" ma:sspId="3a1b3197-b608-4b63-b007-dcf2f03aea39" ma:termSetId="9210c0a9-329c-4252-a163-27394bbc015d" ma:anchorId="00000000-0000-0000-0000-000000000000" ma:open="false" ma:isKeyword="false">
      <xsd:complexType>
        <xsd:sequence>
          <xsd:element ref="pc:Terms" minOccurs="0" maxOccurs="1"/>
        </xsd:sequence>
      </xsd:complexType>
    </xsd:element>
    <xsd:element name="jf6c16bbf41b473ebe1e583d28d77907" ma:index="16" nillable="true" ma:taxonomy="true" ma:internalName="jf6c16bbf41b473ebe1e583d28d77907" ma:taxonomyFieldName="Access" ma:displayName="Access" ma:default="" ma:fieldId="{3f6c16bb-f41b-473e-be1e-583d28d77907}" ma:sspId="3a1b3197-b608-4b63-b007-dcf2f03aea39" ma:termSetId="963b187e-b8ab-4edd-925d-91d38aa419e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e0bee33-077a-46d4-80d5-abd1b3a3b85b">
      <Value>1</Value>
      <Value>27</Value>
    </TaxCatchAll>
    <m5a168ed04b248b3bef91ad6e7b635a1 xmlns="0e0bee33-077a-46d4-80d5-abd1b3a3b85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3776503d-ed4e-4d70-8dfd-8e17b238523b</TermId>
        </TermInfo>
      </Terms>
    </m5a168ed04b248b3bef91ad6e7b635a1>
    <pb940a55b18746cdbb1d76ca362c0586 xmlns="0e0bee33-077a-46d4-80d5-abd1b3a3b85b">
      <Terms xmlns="http://schemas.microsoft.com/office/infopath/2007/PartnerControls">
        <TermInfo xmlns="http://schemas.microsoft.com/office/infopath/2007/PartnerControls">
          <TermName xmlns="http://schemas.microsoft.com/office/infopath/2007/PartnerControls">Instruments</TermName>
          <TermId xmlns="http://schemas.microsoft.com/office/infopath/2007/PartnerControls">4a8ff5e5-1f0e-4751-ab44-bc0d33b46a80</TermId>
        </TermInfo>
      </Terms>
    </pb940a55b18746cdbb1d76ca362c0586>
    <jf6c16bbf41b473ebe1e583d28d77907 xmlns="0e0bee33-077a-46d4-80d5-abd1b3a3b85b">
      <Terms xmlns="http://schemas.microsoft.com/office/infopath/2007/PartnerControls"/>
    </jf6c16bbf41b473ebe1e583d28d77907>
    <Related_x0020_project xmlns="0e0bee33-077a-46d4-80d5-abd1b3a3b8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a1b3197-b608-4b63-b007-dcf2f03aea39" ContentTypeId="0x010100F5F252698E4843DFA3EBBF7EC57E522A" PreviousValue="false" LastSyncTimeStamp="2022-05-05T05:27:13.123Z"/>
</file>

<file path=customXml/itemProps1.xml><?xml version="1.0" encoding="utf-8"?>
<ds:datastoreItem xmlns:ds="http://schemas.openxmlformats.org/officeDocument/2006/customXml" ds:itemID="{6A5A2C0E-91FD-4638-8EBF-F5FA0E96ABB5}">
  <ds:schemaRefs>
    <ds:schemaRef ds:uri="http://schemas.openxmlformats.org/officeDocument/2006/bibliography"/>
  </ds:schemaRefs>
</ds:datastoreItem>
</file>

<file path=customXml/itemProps2.xml><?xml version="1.0" encoding="utf-8"?>
<ds:datastoreItem xmlns:ds="http://schemas.openxmlformats.org/officeDocument/2006/customXml" ds:itemID="{279FF9C4-22D8-402C-B018-3EA080D7C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bee33-077a-46d4-80d5-abd1b3a3b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5771DF-F62E-4BE8-89C5-838C07624CA5}">
  <ds:schemaRefs>
    <ds:schemaRef ds:uri="http://schemas.microsoft.com/office/2006/metadata/properties"/>
    <ds:schemaRef ds:uri="http://schemas.microsoft.com/office/infopath/2007/PartnerControls"/>
    <ds:schemaRef ds:uri="0e0bee33-077a-46d4-80d5-abd1b3a3b85b"/>
  </ds:schemaRefs>
</ds:datastoreItem>
</file>

<file path=customXml/itemProps4.xml><?xml version="1.0" encoding="utf-8"?>
<ds:datastoreItem xmlns:ds="http://schemas.openxmlformats.org/officeDocument/2006/customXml" ds:itemID="{DBB74846-065A-4157-A410-353516D0963F}">
  <ds:schemaRefs>
    <ds:schemaRef ds:uri="http://schemas.microsoft.com/sharepoint/v3/contenttype/forms"/>
  </ds:schemaRefs>
</ds:datastoreItem>
</file>

<file path=customXml/itemProps5.xml><?xml version="1.0" encoding="utf-8"?>
<ds:datastoreItem xmlns:ds="http://schemas.openxmlformats.org/officeDocument/2006/customXml" ds:itemID="{5D8820A1-957F-44E0-A63D-FA913613F6D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1653</Words>
  <Characters>9424</Characters>
  <Application>Microsoft Office Word</Application>
  <DocSecurity>0</DocSecurity>
  <Lines>78</Lines>
  <Paragraphs>22</Paragraphs>
  <ScaleCrop>false</ScaleCrop>
  <Company>Food Standards Australia New Zealand</Company>
  <LinksUpToDate>false</LinksUpToDate>
  <CharactersWithSpaces>11055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Ronaldson</dc:creator>
  <cp:keywords/>
  <dc:description/>
  <cp:lastModifiedBy>Owen Walsh</cp:lastModifiedBy>
  <cp:revision>2</cp:revision>
  <dcterms:created xsi:type="dcterms:W3CDTF">2024-02-12T03:42:00Z</dcterms:created>
  <dcterms:modified xsi:type="dcterms:W3CDTF">2024-02-15T06:34:00Z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v=2022.1;a=SHA256;h=F65A62DAC19799868FE87DD297B03F354B0D4F95C364829383DA8542D4D27FB1</vt:lpwstr>
  </property>
  <property fmtid="{D5CDD505-2E9C-101B-9397-08002B2CF9AE}" pid="7" name="PM_Qualifier">
    <vt:lpwstr/>
  </property>
  <property fmtid="{D5CDD505-2E9C-101B-9397-08002B2CF9AE}" pid="8" name="PM_SecurityClassification">
    <vt:lpwstr/>
  </property>
  <property fmtid="{D5CDD505-2E9C-101B-9397-08002B2CF9AE}" pid="9" name="PM_ProtectiveMarkingValue_Header">
    <vt:lpwstr/>
  </property>
  <property fmtid="{D5CDD505-2E9C-101B-9397-08002B2CF9AE}" pid="10" name="PM_OriginationTimeStamp">
    <vt:lpwstr>2024-02-12T03:42:52Z</vt:lpwstr>
  </property>
  <property fmtid="{D5CDD505-2E9C-101B-9397-08002B2CF9AE}" pid="11" name="PM_Markers">
    <vt:lpwstr/>
  </property>
  <property fmtid="{D5CDD505-2E9C-101B-9397-08002B2CF9AE}" pid="12" name="PM_InsertionValue">
    <vt:lpwstr/>
  </property>
  <property fmtid="{D5CDD505-2E9C-101B-9397-08002B2CF9AE}" pid="13" name="PM_Originator_Hash_SHA1">
    <vt:lpwstr>302BDBAD982F50293CEAD423BE77B1CA40A20CFD</vt:lpwstr>
  </property>
  <property fmtid="{D5CDD505-2E9C-101B-9397-08002B2CF9AE}" pid="14" name="PM_DisplayValueSecClassificationWithQualifier">
    <vt:lpwstr/>
  </property>
  <property fmtid="{D5CDD505-2E9C-101B-9397-08002B2CF9AE}" pid="15" name="PM_Originating_FileId">
    <vt:lpwstr>270BDAAD870044AA929A9E8748C5467E</vt:lpwstr>
  </property>
  <property fmtid="{D5CDD505-2E9C-101B-9397-08002B2CF9AE}" pid="16" name="PM_ProtectiveMarkingValue_Footer">
    <vt:lpwstr/>
  </property>
  <property fmtid="{D5CDD505-2E9C-101B-9397-08002B2CF9AE}" pid="17" name="PM_ProtectiveMarkingImage_Header">
    <vt:lpwstr>C:\Program Files\Common Files\janusNET Shared\janusSEAL\Images\DocumentSlashBlue.png</vt:lpwstr>
  </property>
  <property fmtid="{D5CDD505-2E9C-101B-9397-08002B2CF9AE}" pid="18" name="PM_ProtectiveMarkingImage_Footer">
    <vt:lpwstr>C:\Program Files\Common Files\janusNET Shared\janusSEAL\Images\DocumentSlashBlue.png</vt:lpwstr>
  </property>
  <property fmtid="{D5CDD505-2E9C-101B-9397-08002B2CF9AE}" pid="19" name="PM_Display">
    <vt:lpwstr/>
  </property>
  <property fmtid="{D5CDD505-2E9C-101B-9397-08002B2CF9AE}" pid="20" name="PM_OriginatorUserAccountName_SHA256">
    <vt:lpwstr>04BEB04951CF9C0309220DC261A43CF887B145345D33A4BC1A2FC1C39C61A0F4</vt:lpwstr>
  </property>
  <property fmtid="{D5CDD505-2E9C-101B-9397-08002B2CF9AE}" pid="21" name="PM_OriginatorDomainName_SHA256">
    <vt:lpwstr>1728E66681E435764AE865ABE664C38F2A2F6D4B1DC4AC4803028F4FC406745D</vt:lpwstr>
  </property>
  <property fmtid="{D5CDD505-2E9C-101B-9397-08002B2CF9AE}" pid="22" name="PMUuid">
    <vt:lpwstr/>
  </property>
  <property fmtid="{D5CDD505-2E9C-101B-9397-08002B2CF9AE}" pid="23" name="PM_Hash_Version">
    <vt:lpwstr>2022.1</vt:lpwstr>
  </property>
  <property fmtid="{D5CDD505-2E9C-101B-9397-08002B2CF9AE}" pid="24" name="PM_Hash_Salt_Prev">
    <vt:lpwstr>C86CA2F45C8C8A8DAA34B2C582FD6CB1</vt:lpwstr>
  </property>
  <property fmtid="{D5CDD505-2E9C-101B-9397-08002B2CF9AE}" pid="25" name="PM_Hash_Salt">
    <vt:lpwstr>C86CA2F45C8C8A8DAA34B2C582FD6CB1</vt:lpwstr>
  </property>
  <property fmtid="{D5CDD505-2E9C-101B-9397-08002B2CF9AE}" pid="26" name="PM_Hash_SHA1">
    <vt:lpwstr>C40EBE78101AFCD3FD3AE7ACE158A060260B83CB</vt:lpwstr>
  </property>
  <property fmtid="{D5CDD505-2E9C-101B-9397-08002B2CF9AE}" pid="27" name="ContentTypeId">
    <vt:lpwstr>0x010100F5F252698E4843DFA3EBBF7EC57E522A00ED57D63352AC3D488C1927FA6C496CEC</vt:lpwstr>
  </property>
  <property fmtid="{D5CDD505-2E9C-101B-9397-08002B2CF9AE}" pid="28" name="pd3a3559ef84480a8025c4c7bb6e6dee">
    <vt:lpwstr/>
  </property>
  <property fmtid="{D5CDD505-2E9C-101B-9397-08002B2CF9AE}" pid="29" name="h46016694f704d158a57d0b5238c000e">
    <vt:lpwstr/>
  </property>
  <property fmtid="{D5CDD505-2E9C-101B-9397-08002B2CF9AE}" pid="30" name="Data_x0020_Privacy">
    <vt:lpwstr/>
  </property>
  <property fmtid="{D5CDD505-2E9C-101B-9397-08002B2CF9AE}" pid="31" name="Access">
    <vt:lpwstr/>
  </property>
  <property fmtid="{D5CDD505-2E9C-101B-9397-08002B2CF9AE}" pid="32" name="Classification">
    <vt:lpwstr>1;#OFFICIAL|3776503d-ed4e-4d70-8dfd-8e17b238523b</vt:lpwstr>
  </property>
  <property fmtid="{D5CDD505-2E9C-101B-9397-08002B2CF9AE}" pid="33" name="Data_x0020_Category">
    <vt:lpwstr/>
  </property>
  <property fmtid="{D5CDD505-2E9C-101B-9397-08002B2CF9AE}" pid="34" name="Data_x0020_Accessibility">
    <vt:lpwstr/>
  </property>
  <property fmtid="{D5CDD505-2E9C-101B-9397-08002B2CF9AE}" pid="35" name="o2e94e0b7bb742308b3aec7384781dc0">
    <vt:lpwstr/>
  </property>
  <property fmtid="{D5CDD505-2E9C-101B-9397-08002B2CF9AE}" pid="36" name="BCS">
    <vt:lpwstr>27;#Instruments|4a8ff5e5-1f0e-4751-ab44-bc0d33b46a80</vt:lpwstr>
  </property>
  <property fmtid="{D5CDD505-2E9C-101B-9397-08002B2CF9AE}" pid="37" name="Data Privacy">
    <vt:lpwstr/>
  </property>
  <property fmtid="{D5CDD505-2E9C-101B-9397-08002B2CF9AE}" pid="38" name="Data Accessibility">
    <vt:lpwstr/>
  </property>
  <property fmtid="{D5CDD505-2E9C-101B-9397-08002B2CF9AE}" pid="39" name="Data Category">
    <vt:lpwstr/>
  </property>
</Properties>
</file>