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0A7A" w14:textId="77777777" w:rsidR="00715914" w:rsidRPr="005F1388" w:rsidRDefault="00DA186E" w:rsidP="00715914">
      <w:pPr>
        <w:rPr>
          <w:sz w:val="28"/>
        </w:rPr>
      </w:pPr>
      <w:r>
        <w:rPr>
          <w:noProof/>
          <w:lang w:eastAsia="en-AU"/>
        </w:rPr>
        <w:drawing>
          <wp:inline distT="0" distB="0" distL="0" distR="0" wp14:anchorId="1AAE5D67" wp14:editId="1845F5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C03AF2E" w14:textId="77777777" w:rsidR="00715914" w:rsidRPr="00E500D4" w:rsidRDefault="00715914" w:rsidP="00715914">
      <w:pPr>
        <w:rPr>
          <w:sz w:val="19"/>
        </w:rPr>
      </w:pPr>
    </w:p>
    <w:p w14:paraId="44644EC7" w14:textId="32E84C0A" w:rsidR="00554826" w:rsidRPr="00E500D4" w:rsidRDefault="00375350" w:rsidP="00554826">
      <w:pPr>
        <w:pStyle w:val="ShortT"/>
      </w:pPr>
      <w:r>
        <w:t>Higher Education Support</w:t>
      </w:r>
      <w:r w:rsidR="008512C7">
        <w:t xml:space="preserve"> Amendment (2022 Measures No. 1)</w:t>
      </w:r>
      <w:r w:rsidR="00C93286">
        <w:t xml:space="preserve"> </w:t>
      </w:r>
      <w:r>
        <w:t>Transitional</w:t>
      </w:r>
      <w:r w:rsidR="00554826" w:rsidRPr="00375350">
        <w:t xml:space="preserve"> </w:t>
      </w:r>
      <w:r w:rsidRPr="00375350">
        <w:t>Rules</w:t>
      </w:r>
      <w:r w:rsidR="00554826" w:rsidRPr="00375350">
        <w:t xml:space="preserve"> </w:t>
      </w:r>
      <w:r>
        <w:t>202</w:t>
      </w:r>
      <w:r w:rsidR="002F5466">
        <w:t>4</w:t>
      </w:r>
    </w:p>
    <w:p w14:paraId="572F04AE" w14:textId="4D5DD8BA" w:rsidR="00554826" w:rsidRPr="00DA182D" w:rsidRDefault="00554826" w:rsidP="00554826">
      <w:pPr>
        <w:pStyle w:val="SignCoverPageStart"/>
        <w:spacing w:before="240"/>
        <w:ind w:right="91"/>
        <w:rPr>
          <w:szCs w:val="22"/>
        </w:rPr>
      </w:pPr>
      <w:r w:rsidRPr="00DA182D">
        <w:rPr>
          <w:szCs w:val="22"/>
        </w:rPr>
        <w:t xml:space="preserve">I, </w:t>
      </w:r>
      <w:r w:rsidR="00375350">
        <w:rPr>
          <w:szCs w:val="22"/>
        </w:rPr>
        <w:t>Jason Clare</w:t>
      </w:r>
      <w:r w:rsidRPr="00DA182D">
        <w:rPr>
          <w:szCs w:val="22"/>
        </w:rPr>
        <w:t xml:space="preserve">, </w:t>
      </w:r>
      <w:r w:rsidR="00375350">
        <w:rPr>
          <w:szCs w:val="22"/>
        </w:rPr>
        <w:t>Minister for Education</w:t>
      </w:r>
      <w:r w:rsidRPr="00DA182D">
        <w:rPr>
          <w:szCs w:val="22"/>
        </w:rPr>
        <w:t xml:space="preserve">, </w:t>
      </w:r>
      <w:r>
        <w:rPr>
          <w:szCs w:val="22"/>
        </w:rPr>
        <w:t xml:space="preserve">make the following </w:t>
      </w:r>
      <w:r w:rsidR="00D15005">
        <w:rPr>
          <w:szCs w:val="22"/>
        </w:rPr>
        <w:t>r</w:t>
      </w:r>
      <w:r w:rsidR="00375350">
        <w:rPr>
          <w:szCs w:val="22"/>
        </w:rPr>
        <w:t>ules</w:t>
      </w:r>
      <w:r w:rsidRPr="00DA182D">
        <w:rPr>
          <w:szCs w:val="22"/>
        </w:rPr>
        <w:t>.</w:t>
      </w:r>
    </w:p>
    <w:p w14:paraId="41D35FA0" w14:textId="77FA4F4C"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704A32">
        <w:rPr>
          <w:szCs w:val="22"/>
        </w:rPr>
        <w:t>13 February 2024</w:t>
      </w:r>
      <w:r>
        <w:rPr>
          <w:szCs w:val="22"/>
        </w:rPr>
        <w:tab/>
      </w:r>
      <w:r w:rsidRPr="00001A63">
        <w:rPr>
          <w:szCs w:val="22"/>
        </w:rPr>
        <w:tab/>
      </w:r>
    </w:p>
    <w:p w14:paraId="650863DA" w14:textId="6FB53250" w:rsidR="00554826" w:rsidRDefault="00375350" w:rsidP="00554826">
      <w:pPr>
        <w:keepNext/>
        <w:tabs>
          <w:tab w:val="left" w:pos="3402"/>
        </w:tabs>
        <w:spacing w:before="1440" w:line="300" w:lineRule="atLeast"/>
        <w:ind w:right="397"/>
        <w:rPr>
          <w:b/>
          <w:szCs w:val="22"/>
        </w:rPr>
      </w:pPr>
      <w:r>
        <w:rPr>
          <w:szCs w:val="22"/>
        </w:rPr>
        <w:t>Jason Clare</w:t>
      </w:r>
      <w:r w:rsidR="00554826" w:rsidRPr="00A75FE9">
        <w:rPr>
          <w:szCs w:val="22"/>
        </w:rPr>
        <w:t xml:space="preserve"> </w:t>
      </w:r>
    </w:p>
    <w:p w14:paraId="0DEB7D29" w14:textId="2FC04791" w:rsidR="00554826" w:rsidRPr="008E0027" w:rsidRDefault="00375350" w:rsidP="00554826">
      <w:pPr>
        <w:pStyle w:val="SignCoverPageEnd"/>
        <w:ind w:right="91"/>
        <w:rPr>
          <w:sz w:val="22"/>
        </w:rPr>
      </w:pPr>
      <w:r>
        <w:rPr>
          <w:sz w:val="22"/>
        </w:rPr>
        <w:t>Minister for Education</w:t>
      </w:r>
    </w:p>
    <w:p w14:paraId="1E2D5501" w14:textId="77777777" w:rsidR="00554826" w:rsidRDefault="00554826" w:rsidP="00554826"/>
    <w:p w14:paraId="4C22C94D" w14:textId="77777777" w:rsidR="00554826" w:rsidRPr="00ED79B6" w:rsidRDefault="00554826" w:rsidP="00554826"/>
    <w:p w14:paraId="6D9162D1" w14:textId="77777777" w:rsidR="00F6696E" w:rsidRDefault="00F6696E" w:rsidP="00F6696E"/>
    <w:p w14:paraId="7D88CF94"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04905116" w14:textId="77777777" w:rsidR="007500C8" w:rsidRDefault="00715914" w:rsidP="00715914">
      <w:pPr>
        <w:outlineLvl w:val="0"/>
        <w:rPr>
          <w:sz w:val="36"/>
        </w:rPr>
      </w:pPr>
      <w:r w:rsidRPr="007A1328">
        <w:rPr>
          <w:sz w:val="36"/>
        </w:rPr>
        <w:lastRenderedPageBreak/>
        <w:t>Contents</w:t>
      </w:r>
    </w:p>
    <w:p w14:paraId="4C9D583E" w14:textId="6EC3FEC7" w:rsidR="007B58D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7B58D9">
        <w:rPr>
          <w:noProof/>
        </w:rPr>
        <w:t>1  Name</w:t>
      </w:r>
      <w:r w:rsidR="007B58D9">
        <w:rPr>
          <w:noProof/>
        </w:rPr>
        <w:tab/>
      </w:r>
      <w:r w:rsidR="007B58D9">
        <w:rPr>
          <w:noProof/>
        </w:rPr>
        <w:fldChar w:fldCharType="begin"/>
      </w:r>
      <w:r w:rsidR="007B58D9">
        <w:rPr>
          <w:noProof/>
        </w:rPr>
        <w:instrText xml:space="preserve"> PAGEREF _Toc130898108 \h </w:instrText>
      </w:r>
      <w:r w:rsidR="007B58D9">
        <w:rPr>
          <w:noProof/>
        </w:rPr>
      </w:r>
      <w:r w:rsidR="007B58D9">
        <w:rPr>
          <w:noProof/>
        </w:rPr>
        <w:fldChar w:fldCharType="separate"/>
      </w:r>
      <w:r w:rsidR="007B58D9">
        <w:rPr>
          <w:noProof/>
        </w:rPr>
        <w:t>1</w:t>
      </w:r>
      <w:r w:rsidR="007B58D9">
        <w:rPr>
          <w:noProof/>
        </w:rPr>
        <w:fldChar w:fldCharType="end"/>
      </w:r>
    </w:p>
    <w:p w14:paraId="4B4F1911" w14:textId="29B4A071" w:rsidR="007B58D9" w:rsidRDefault="007B58D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_Toc130898109 \h </w:instrText>
      </w:r>
      <w:r>
        <w:rPr>
          <w:noProof/>
        </w:rPr>
      </w:r>
      <w:r>
        <w:rPr>
          <w:noProof/>
        </w:rPr>
        <w:fldChar w:fldCharType="separate"/>
      </w:r>
      <w:r>
        <w:rPr>
          <w:noProof/>
        </w:rPr>
        <w:t>1</w:t>
      </w:r>
      <w:r>
        <w:rPr>
          <w:noProof/>
        </w:rPr>
        <w:fldChar w:fldCharType="end"/>
      </w:r>
    </w:p>
    <w:p w14:paraId="34817326" w14:textId="55A501CF" w:rsidR="007B58D9" w:rsidRDefault="007B58D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_Toc130898110 \h </w:instrText>
      </w:r>
      <w:r>
        <w:rPr>
          <w:noProof/>
        </w:rPr>
      </w:r>
      <w:r>
        <w:rPr>
          <w:noProof/>
        </w:rPr>
        <w:fldChar w:fldCharType="separate"/>
      </w:r>
      <w:r>
        <w:rPr>
          <w:noProof/>
        </w:rPr>
        <w:t>1</w:t>
      </w:r>
      <w:r>
        <w:rPr>
          <w:noProof/>
        </w:rPr>
        <w:fldChar w:fldCharType="end"/>
      </w:r>
    </w:p>
    <w:p w14:paraId="652B47B4" w14:textId="734C3B60" w:rsidR="007B58D9" w:rsidRDefault="007B58D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_Toc130898111 \h </w:instrText>
      </w:r>
      <w:r>
        <w:rPr>
          <w:noProof/>
        </w:rPr>
      </w:r>
      <w:r>
        <w:rPr>
          <w:noProof/>
        </w:rPr>
        <w:fldChar w:fldCharType="separate"/>
      </w:r>
      <w:r>
        <w:rPr>
          <w:noProof/>
        </w:rPr>
        <w:t>1</w:t>
      </w:r>
      <w:r>
        <w:rPr>
          <w:noProof/>
        </w:rPr>
        <w:fldChar w:fldCharType="end"/>
      </w:r>
    </w:p>
    <w:p w14:paraId="486AA87F" w14:textId="1456789A" w:rsidR="007B58D9" w:rsidRDefault="007B58D9">
      <w:pPr>
        <w:pStyle w:val="TOC5"/>
        <w:rPr>
          <w:rFonts w:asciiTheme="minorHAnsi" w:eastAsiaTheme="minorEastAsia" w:hAnsiTheme="minorHAnsi" w:cstheme="minorBidi"/>
          <w:noProof/>
          <w:kern w:val="0"/>
          <w:sz w:val="22"/>
          <w:szCs w:val="22"/>
        </w:rPr>
      </w:pPr>
      <w:r>
        <w:rPr>
          <w:noProof/>
        </w:rPr>
        <w:t>5  Transitional rules for full up-front payments made during second transition period</w:t>
      </w:r>
      <w:r>
        <w:rPr>
          <w:noProof/>
        </w:rPr>
        <w:tab/>
      </w:r>
      <w:r>
        <w:rPr>
          <w:noProof/>
        </w:rPr>
        <w:fldChar w:fldCharType="begin"/>
      </w:r>
      <w:r>
        <w:rPr>
          <w:noProof/>
        </w:rPr>
        <w:instrText xml:space="preserve"> PAGEREF _Toc130898112 \h </w:instrText>
      </w:r>
      <w:r>
        <w:rPr>
          <w:noProof/>
        </w:rPr>
      </w:r>
      <w:r>
        <w:rPr>
          <w:noProof/>
        </w:rPr>
        <w:fldChar w:fldCharType="separate"/>
      </w:r>
      <w:r>
        <w:rPr>
          <w:noProof/>
        </w:rPr>
        <w:t>1</w:t>
      </w:r>
      <w:r>
        <w:rPr>
          <w:noProof/>
        </w:rPr>
        <w:fldChar w:fldCharType="end"/>
      </w:r>
    </w:p>
    <w:p w14:paraId="3ECEDD63" w14:textId="6BC4966B" w:rsidR="007B58D9" w:rsidRDefault="007B58D9">
      <w:pPr>
        <w:pStyle w:val="TOC5"/>
        <w:rPr>
          <w:rFonts w:asciiTheme="minorHAnsi" w:eastAsiaTheme="minorEastAsia" w:hAnsiTheme="minorHAnsi" w:cstheme="minorBidi"/>
          <w:noProof/>
          <w:kern w:val="0"/>
          <w:sz w:val="22"/>
          <w:szCs w:val="22"/>
        </w:rPr>
      </w:pPr>
      <w:r>
        <w:rPr>
          <w:noProof/>
        </w:rPr>
        <w:t>6  Transitional rules for partial up-front payments made during second transition period</w:t>
      </w:r>
      <w:r>
        <w:rPr>
          <w:noProof/>
        </w:rPr>
        <w:tab/>
      </w:r>
      <w:r>
        <w:rPr>
          <w:noProof/>
        </w:rPr>
        <w:fldChar w:fldCharType="begin"/>
      </w:r>
      <w:r>
        <w:rPr>
          <w:noProof/>
        </w:rPr>
        <w:instrText xml:space="preserve"> PAGEREF _Toc130898113 \h </w:instrText>
      </w:r>
      <w:r>
        <w:rPr>
          <w:noProof/>
        </w:rPr>
      </w:r>
      <w:r>
        <w:rPr>
          <w:noProof/>
        </w:rPr>
        <w:fldChar w:fldCharType="separate"/>
      </w:r>
      <w:r>
        <w:rPr>
          <w:noProof/>
        </w:rPr>
        <w:t>2</w:t>
      </w:r>
      <w:r>
        <w:rPr>
          <w:noProof/>
        </w:rPr>
        <w:fldChar w:fldCharType="end"/>
      </w:r>
    </w:p>
    <w:p w14:paraId="21100339" w14:textId="4AE46D90" w:rsidR="007B58D9" w:rsidRDefault="007B58D9">
      <w:pPr>
        <w:pStyle w:val="TOC5"/>
        <w:rPr>
          <w:rFonts w:asciiTheme="minorHAnsi" w:eastAsiaTheme="minorEastAsia" w:hAnsiTheme="minorHAnsi" w:cstheme="minorBidi"/>
          <w:noProof/>
          <w:kern w:val="0"/>
          <w:sz w:val="22"/>
          <w:szCs w:val="22"/>
        </w:rPr>
      </w:pPr>
      <w:r>
        <w:rPr>
          <w:noProof/>
        </w:rPr>
        <w:t>7  Secretary may act if provider is unable to</w:t>
      </w:r>
      <w:r>
        <w:rPr>
          <w:noProof/>
        </w:rPr>
        <w:tab/>
      </w:r>
      <w:r>
        <w:rPr>
          <w:noProof/>
        </w:rPr>
        <w:fldChar w:fldCharType="begin"/>
      </w:r>
      <w:r>
        <w:rPr>
          <w:noProof/>
        </w:rPr>
        <w:instrText xml:space="preserve"> PAGEREF _Toc130898114 \h </w:instrText>
      </w:r>
      <w:r>
        <w:rPr>
          <w:noProof/>
        </w:rPr>
      </w:r>
      <w:r>
        <w:rPr>
          <w:noProof/>
        </w:rPr>
        <w:fldChar w:fldCharType="separate"/>
      </w:r>
      <w:r>
        <w:rPr>
          <w:noProof/>
        </w:rPr>
        <w:t>3</w:t>
      </w:r>
      <w:r>
        <w:rPr>
          <w:noProof/>
        </w:rPr>
        <w:fldChar w:fldCharType="end"/>
      </w:r>
    </w:p>
    <w:p w14:paraId="7E585687" w14:textId="719744AC" w:rsidR="007B58D9" w:rsidRDefault="007B58D9">
      <w:pPr>
        <w:pStyle w:val="TOC5"/>
        <w:rPr>
          <w:rFonts w:asciiTheme="minorHAnsi" w:eastAsiaTheme="minorEastAsia" w:hAnsiTheme="minorHAnsi" w:cstheme="minorBidi"/>
          <w:noProof/>
          <w:kern w:val="0"/>
          <w:sz w:val="22"/>
          <w:szCs w:val="22"/>
        </w:rPr>
      </w:pPr>
      <w:r>
        <w:rPr>
          <w:noProof/>
        </w:rPr>
        <w:t xml:space="preserve">8  Interaction of transitional rules with the </w:t>
      </w:r>
      <w:r w:rsidRPr="003B6F66">
        <w:rPr>
          <w:i/>
          <w:iCs/>
          <w:noProof/>
        </w:rPr>
        <w:t>Higher Education Support Act 2003</w:t>
      </w:r>
      <w:r>
        <w:rPr>
          <w:noProof/>
        </w:rPr>
        <w:tab/>
      </w:r>
      <w:r>
        <w:rPr>
          <w:noProof/>
        </w:rPr>
        <w:fldChar w:fldCharType="begin"/>
      </w:r>
      <w:r>
        <w:rPr>
          <w:noProof/>
        </w:rPr>
        <w:instrText xml:space="preserve"> PAGEREF _Toc130898115 \h </w:instrText>
      </w:r>
      <w:r>
        <w:rPr>
          <w:noProof/>
        </w:rPr>
      </w:r>
      <w:r>
        <w:rPr>
          <w:noProof/>
        </w:rPr>
        <w:fldChar w:fldCharType="separate"/>
      </w:r>
      <w:r>
        <w:rPr>
          <w:noProof/>
        </w:rPr>
        <w:t>3</w:t>
      </w:r>
      <w:r>
        <w:rPr>
          <w:noProof/>
        </w:rPr>
        <w:fldChar w:fldCharType="end"/>
      </w:r>
    </w:p>
    <w:p w14:paraId="7B02602C" w14:textId="1DA6830D" w:rsidR="00F6696E" w:rsidRDefault="00B418CB" w:rsidP="00F6696E">
      <w:pPr>
        <w:outlineLvl w:val="0"/>
      </w:pPr>
      <w:r>
        <w:fldChar w:fldCharType="end"/>
      </w:r>
    </w:p>
    <w:p w14:paraId="25307EC8" w14:textId="77777777" w:rsidR="00F6696E" w:rsidRPr="00A802BC" w:rsidRDefault="00F6696E" w:rsidP="00F6696E">
      <w:pPr>
        <w:outlineLvl w:val="0"/>
        <w:rPr>
          <w:sz w:val="20"/>
        </w:rPr>
      </w:pPr>
    </w:p>
    <w:p w14:paraId="507C8FCE" w14:textId="77777777" w:rsidR="00F6696E" w:rsidRDefault="00F6696E" w:rsidP="00F6696E">
      <w:pPr>
        <w:sectPr w:rsidR="00F6696E" w:rsidSect="00A87A5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5A5A0CF" w14:textId="77777777" w:rsidR="00554826" w:rsidRPr="00554826" w:rsidRDefault="00554826" w:rsidP="00554826">
      <w:pPr>
        <w:pStyle w:val="ActHead5"/>
      </w:pPr>
      <w:bookmarkStart w:id="0" w:name="_Toc130898108"/>
      <w:proofErr w:type="gramStart"/>
      <w:r w:rsidRPr="00554826">
        <w:lastRenderedPageBreak/>
        <w:t>1  Name</w:t>
      </w:r>
      <w:bookmarkEnd w:id="0"/>
      <w:proofErr w:type="gramEnd"/>
    </w:p>
    <w:p w14:paraId="4E171045" w14:textId="39CF19E0"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375350">
        <w:rPr>
          <w:i/>
        </w:rPr>
        <w:t xml:space="preserve">Higher Education Support </w:t>
      </w:r>
      <w:r w:rsidR="008512C7">
        <w:rPr>
          <w:i/>
        </w:rPr>
        <w:t>Amendment (2022 Measures No. 1)</w:t>
      </w:r>
      <w:r w:rsidR="00581243">
        <w:rPr>
          <w:i/>
        </w:rPr>
        <w:t xml:space="preserve"> </w:t>
      </w:r>
      <w:r w:rsidR="00375350">
        <w:rPr>
          <w:i/>
        </w:rPr>
        <w:t xml:space="preserve">Transitional Rules </w:t>
      </w:r>
      <w:r w:rsidR="002F5466">
        <w:rPr>
          <w:i/>
        </w:rPr>
        <w:t>2024</w:t>
      </w:r>
      <w:r w:rsidRPr="009C2562">
        <w:t>.</w:t>
      </w:r>
    </w:p>
    <w:p w14:paraId="65D8168F" w14:textId="77777777" w:rsidR="00554826" w:rsidRPr="00554826" w:rsidRDefault="00554826" w:rsidP="00554826">
      <w:pPr>
        <w:pStyle w:val="ActHead5"/>
      </w:pPr>
      <w:bookmarkStart w:id="2" w:name="_Toc130898109"/>
      <w:proofErr w:type="gramStart"/>
      <w:r w:rsidRPr="00554826">
        <w:t>2  Commencement</w:t>
      </w:r>
      <w:bookmarkEnd w:id="2"/>
      <w:proofErr w:type="gramEnd"/>
    </w:p>
    <w:p w14:paraId="2DE65094" w14:textId="10433D03" w:rsidR="00554826" w:rsidRPr="00232984" w:rsidRDefault="00554826" w:rsidP="00554826">
      <w:pPr>
        <w:pStyle w:val="subsection"/>
      </w:pPr>
      <w:r>
        <w:tab/>
      </w:r>
      <w:r>
        <w:tab/>
        <w:t xml:space="preserve">This instrument commences </w:t>
      </w:r>
      <w:r w:rsidR="008512C7">
        <w:t>the day after this instrument is registered</w:t>
      </w:r>
      <w:r>
        <w:t>.</w:t>
      </w:r>
    </w:p>
    <w:p w14:paraId="77AE156E" w14:textId="77777777" w:rsidR="00554826" w:rsidRPr="00554826" w:rsidRDefault="00554826" w:rsidP="00554826">
      <w:pPr>
        <w:pStyle w:val="ActHead5"/>
      </w:pPr>
      <w:bookmarkStart w:id="3" w:name="_Toc130898110"/>
      <w:proofErr w:type="gramStart"/>
      <w:r w:rsidRPr="00554826">
        <w:t>3  Authority</w:t>
      </w:r>
      <w:bookmarkEnd w:id="3"/>
      <w:proofErr w:type="gramEnd"/>
    </w:p>
    <w:p w14:paraId="6C790ABA" w14:textId="6164AC17" w:rsidR="00554826" w:rsidRPr="009C2562" w:rsidRDefault="00554826" w:rsidP="00554826">
      <w:pPr>
        <w:pStyle w:val="subsection"/>
      </w:pPr>
      <w:r w:rsidRPr="009C2562">
        <w:tab/>
      </w:r>
      <w:r w:rsidRPr="009C2562">
        <w:tab/>
        <w:t xml:space="preserve">This instrument is made under </w:t>
      </w:r>
      <w:r w:rsidR="008512C7">
        <w:t xml:space="preserve">item 12 </w:t>
      </w:r>
      <w:r w:rsidR="00BC2A59">
        <w:t>of</w:t>
      </w:r>
      <w:r w:rsidR="008512C7">
        <w:t xml:space="preserve"> Schedule 1 </w:t>
      </w:r>
      <w:r w:rsidR="00BC2A59">
        <w:t>to</w:t>
      </w:r>
      <w:r w:rsidR="008512C7">
        <w:t xml:space="preserve"> the </w:t>
      </w:r>
      <w:r w:rsidR="008512C7">
        <w:rPr>
          <w:i/>
          <w:iCs/>
        </w:rPr>
        <w:t>Higher Education Support Amendment (2022 Measures No. 1) Act 2023</w:t>
      </w:r>
      <w:r w:rsidRPr="009C2562">
        <w:t>.</w:t>
      </w:r>
    </w:p>
    <w:p w14:paraId="7A9D85D1" w14:textId="77777777" w:rsidR="00554826" w:rsidRPr="00554826" w:rsidRDefault="00554826" w:rsidP="00554826">
      <w:pPr>
        <w:pStyle w:val="ActHead5"/>
      </w:pPr>
      <w:bookmarkStart w:id="4" w:name="_Toc130898111"/>
      <w:proofErr w:type="gramStart"/>
      <w:r w:rsidRPr="00554826">
        <w:t>4  Definitions</w:t>
      </w:r>
      <w:bookmarkEnd w:id="4"/>
      <w:proofErr w:type="gramEnd"/>
    </w:p>
    <w:p w14:paraId="19993398" w14:textId="59207D5E" w:rsidR="00296368" w:rsidRPr="000036A6" w:rsidRDefault="00296368" w:rsidP="000036A6">
      <w:pPr>
        <w:pStyle w:val="Definition"/>
        <w:ind w:left="2154" w:hanging="1020"/>
        <w:rPr>
          <w:bCs/>
          <w:iCs/>
          <w:sz w:val="18"/>
          <w:szCs w:val="16"/>
        </w:rPr>
      </w:pPr>
      <w:r w:rsidRPr="000036A6">
        <w:rPr>
          <w:bCs/>
          <w:iCs/>
          <w:sz w:val="18"/>
          <w:szCs w:val="16"/>
        </w:rPr>
        <w:t xml:space="preserve">Note 1: </w:t>
      </w:r>
      <w:r w:rsidR="00440E04">
        <w:rPr>
          <w:bCs/>
          <w:iCs/>
          <w:sz w:val="18"/>
          <w:szCs w:val="16"/>
        </w:rPr>
        <w:tab/>
      </w:r>
      <w:proofErr w:type="gramStart"/>
      <w:r w:rsidRPr="000036A6">
        <w:rPr>
          <w:bCs/>
          <w:iCs/>
          <w:sz w:val="18"/>
          <w:szCs w:val="16"/>
        </w:rPr>
        <w:t>A number of</w:t>
      </w:r>
      <w:proofErr w:type="gramEnd"/>
      <w:r w:rsidRPr="000036A6">
        <w:rPr>
          <w:bCs/>
          <w:iCs/>
          <w:sz w:val="18"/>
          <w:szCs w:val="16"/>
        </w:rPr>
        <w:t xml:space="preserve"> expressions used in this instrument are defined in the </w:t>
      </w:r>
      <w:r w:rsidRPr="000036A6">
        <w:rPr>
          <w:bCs/>
          <w:i/>
          <w:sz w:val="18"/>
          <w:szCs w:val="16"/>
        </w:rPr>
        <w:t>Higher Education Support Act 2003</w:t>
      </w:r>
      <w:r w:rsidRPr="000036A6">
        <w:rPr>
          <w:bCs/>
          <w:iCs/>
          <w:sz w:val="18"/>
          <w:szCs w:val="16"/>
        </w:rPr>
        <w:t>, including the following:</w:t>
      </w:r>
    </w:p>
    <w:p w14:paraId="255D085D" w14:textId="48399444" w:rsidR="00296368" w:rsidRDefault="00296368" w:rsidP="00296368">
      <w:pPr>
        <w:pStyle w:val="Definition"/>
        <w:numPr>
          <w:ilvl w:val="0"/>
          <w:numId w:val="14"/>
        </w:numPr>
        <w:rPr>
          <w:bCs/>
          <w:iCs/>
          <w:sz w:val="18"/>
          <w:szCs w:val="16"/>
        </w:rPr>
      </w:pPr>
      <w:r w:rsidRPr="000036A6">
        <w:rPr>
          <w:bCs/>
          <w:iCs/>
          <w:sz w:val="18"/>
          <w:szCs w:val="16"/>
        </w:rPr>
        <w:t xml:space="preserve">HECS-HELP </w:t>
      </w:r>
      <w:proofErr w:type="gramStart"/>
      <w:r w:rsidRPr="000036A6">
        <w:rPr>
          <w:bCs/>
          <w:iCs/>
          <w:sz w:val="18"/>
          <w:szCs w:val="16"/>
        </w:rPr>
        <w:t>assistance</w:t>
      </w:r>
      <w:r w:rsidR="00440E04">
        <w:rPr>
          <w:bCs/>
          <w:iCs/>
          <w:sz w:val="18"/>
          <w:szCs w:val="16"/>
        </w:rPr>
        <w:t>;</w:t>
      </w:r>
      <w:proofErr w:type="gramEnd"/>
    </w:p>
    <w:p w14:paraId="12E16F55" w14:textId="163EBD5C" w:rsidR="00DA03E5" w:rsidRDefault="00DA03E5" w:rsidP="00296368">
      <w:pPr>
        <w:pStyle w:val="Definition"/>
        <w:numPr>
          <w:ilvl w:val="0"/>
          <w:numId w:val="14"/>
        </w:numPr>
        <w:rPr>
          <w:bCs/>
          <w:iCs/>
          <w:sz w:val="18"/>
          <w:szCs w:val="16"/>
        </w:rPr>
      </w:pPr>
      <w:r>
        <w:rPr>
          <w:bCs/>
          <w:iCs/>
          <w:sz w:val="18"/>
          <w:szCs w:val="16"/>
        </w:rPr>
        <w:t xml:space="preserve">HECS-HELP </w:t>
      </w:r>
      <w:proofErr w:type="gramStart"/>
      <w:r>
        <w:rPr>
          <w:bCs/>
          <w:iCs/>
          <w:sz w:val="18"/>
          <w:szCs w:val="16"/>
        </w:rPr>
        <w:t>debt</w:t>
      </w:r>
      <w:r w:rsidR="00440E04">
        <w:rPr>
          <w:bCs/>
          <w:iCs/>
          <w:sz w:val="18"/>
          <w:szCs w:val="16"/>
        </w:rPr>
        <w:t>;</w:t>
      </w:r>
      <w:proofErr w:type="gramEnd"/>
    </w:p>
    <w:p w14:paraId="676B2F56" w14:textId="5949929C" w:rsidR="00AB5CF2" w:rsidRDefault="00AB5CF2" w:rsidP="00296368">
      <w:pPr>
        <w:pStyle w:val="Definition"/>
        <w:numPr>
          <w:ilvl w:val="0"/>
          <w:numId w:val="14"/>
        </w:numPr>
        <w:rPr>
          <w:bCs/>
          <w:iCs/>
          <w:sz w:val="18"/>
          <w:szCs w:val="16"/>
        </w:rPr>
      </w:pPr>
      <w:r>
        <w:rPr>
          <w:bCs/>
          <w:iCs/>
          <w:sz w:val="18"/>
          <w:szCs w:val="16"/>
        </w:rPr>
        <w:t xml:space="preserve">HELP </w:t>
      </w:r>
      <w:proofErr w:type="gramStart"/>
      <w:r>
        <w:rPr>
          <w:bCs/>
          <w:iCs/>
          <w:sz w:val="18"/>
          <w:szCs w:val="16"/>
        </w:rPr>
        <w:t>balance</w:t>
      </w:r>
      <w:r w:rsidR="00440E04">
        <w:rPr>
          <w:bCs/>
          <w:iCs/>
          <w:sz w:val="18"/>
          <w:szCs w:val="16"/>
        </w:rPr>
        <w:t>;</w:t>
      </w:r>
      <w:proofErr w:type="gramEnd"/>
    </w:p>
    <w:p w14:paraId="2E73F0F5" w14:textId="0D6028F6" w:rsidR="00B80534" w:rsidRDefault="00B80534" w:rsidP="00296368">
      <w:pPr>
        <w:pStyle w:val="Definition"/>
        <w:numPr>
          <w:ilvl w:val="0"/>
          <w:numId w:val="14"/>
        </w:numPr>
        <w:rPr>
          <w:bCs/>
          <w:iCs/>
          <w:sz w:val="18"/>
          <w:szCs w:val="16"/>
        </w:rPr>
      </w:pPr>
      <w:r>
        <w:rPr>
          <w:bCs/>
          <w:iCs/>
          <w:sz w:val="18"/>
          <w:szCs w:val="16"/>
        </w:rPr>
        <w:t xml:space="preserve">higher education </w:t>
      </w:r>
      <w:proofErr w:type="gramStart"/>
      <w:r>
        <w:rPr>
          <w:bCs/>
          <w:iCs/>
          <w:sz w:val="18"/>
          <w:szCs w:val="16"/>
        </w:rPr>
        <w:t>provider</w:t>
      </w:r>
      <w:r w:rsidR="00440E04">
        <w:rPr>
          <w:bCs/>
          <w:iCs/>
          <w:sz w:val="18"/>
          <w:szCs w:val="16"/>
        </w:rPr>
        <w:t>;</w:t>
      </w:r>
      <w:proofErr w:type="gramEnd"/>
    </w:p>
    <w:p w14:paraId="17BAC2F7" w14:textId="16822642" w:rsidR="005110BF" w:rsidRPr="000036A6" w:rsidRDefault="005110BF" w:rsidP="00296368">
      <w:pPr>
        <w:pStyle w:val="Definition"/>
        <w:numPr>
          <w:ilvl w:val="0"/>
          <w:numId w:val="14"/>
        </w:numPr>
        <w:rPr>
          <w:bCs/>
          <w:iCs/>
          <w:sz w:val="18"/>
          <w:szCs w:val="16"/>
        </w:rPr>
      </w:pPr>
      <w:r>
        <w:rPr>
          <w:bCs/>
          <w:iCs/>
          <w:sz w:val="18"/>
          <w:szCs w:val="16"/>
        </w:rPr>
        <w:t xml:space="preserve">unit of </w:t>
      </w:r>
      <w:proofErr w:type="gramStart"/>
      <w:r>
        <w:rPr>
          <w:bCs/>
          <w:iCs/>
          <w:sz w:val="18"/>
          <w:szCs w:val="16"/>
        </w:rPr>
        <w:t>study</w:t>
      </w:r>
      <w:r w:rsidR="00440E04">
        <w:rPr>
          <w:bCs/>
          <w:iCs/>
          <w:sz w:val="18"/>
          <w:szCs w:val="16"/>
        </w:rPr>
        <w:t>;</w:t>
      </w:r>
      <w:proofErr w:type="gramEnd"/>
    </w:p>
    <w:p w14:paraId="7D16AFD3" w14:textId="4215D046" w:rsidR="00296368" w:rsidRPr="000036A6" w:rsidRDefault="00296368" w:rsidP="00296368">
      <w:pPr>
        <w:pStyle w:val="Definition"/>
        <w:numPr>
          <w:ilvl w:val="0"/>
          <w:numId w:val="14"/>
        </w:numPr>
        <w:rPr>
          <w:bCs/>
          <w:iCs/>
          <w:sz w:val="18"/>
          <w:szCs w:val="16"/>
        </w:rPr>
      </w:pPr>
      <w:r w:rsidRPr="000036A6">
        <w:rPr>
          <w:bCs/>
          <w:iCs/>
          <w:sz w:val="18"/>
          <w:szCs w:val="16"/>
        </w:rPr>
        <w:t>student contribution amount</w:t>
      </w:r>
      <w:r w:rsidR="00524964">
        <w:rPr>
          <w:bCs/>
          <w:iCs/>
          <w:sz w:val="18"/>
          <w:szCs w:val="16"/>
        </w:rPr>
        <w:t>.</w:t>
      </w:r>
    </w:p>
    <w:p w14:paraId="6A641BE6" w14:textId="01FBEF0F" w:rsidR="00296368" w:rsidRPr="000036A6" w:rsidRDefault="00296368" w:rsidP="000036A6">
      <w:pPr>
        <w:pStyle w:val="Definition"/>
        <w:ind w:left="2127" w:hanging="993"/>
        <w:rPr>
          <w:bCs/>
          <w:iCs/>
          <w:sz w:val="18"/>
          <w:szCs w:val="16"/>
        </w:rPr>
      </w:pPr>
      <w:r w:rsidRPr="000036A6">
        <w:rPr>
          <w:bCs/>
          <w:iCs/>
          <w:sz w:val="18"/>
          <w:szCs w:val="16"/>
        </w:rPr>
        <w:t xml:space="preserve">Note 2: </w:t>
      </w:r>
      <w:r w:rsidR="00440E04">
        <w:rPr>
          <w:bCs/>
          <w:iCs/>
          <w:sz w:val="18"/>
          <w:szCs w:val="16"/>
        </w:rPr>
        <w:tab/>
      </w:r>
      <w:proofErr w:type="gramStart"/>
      <w:r w:rsidRPr="000036A6">
        <w:rPr>
          <w:bCs/>
          <w:iCs/>
          <w:sz w:val="18"/>
          <w:szCs w:val="16"/>
        </w:rPr>
        <w:t>A number of</w:t>
      </w:r>
      <w:proofErr w:type="gramEnd"/>
      <w:r w:rsidRPr="000036A6">
        <w:rPr>
          <w:bCs/>
          <w:iCs/>
          <w:sz w:val="18"/>
          <w:szCs w:val="16"/>
        </w:rPr>
        <w:t xml:space="preserve"> expressions used in this instrument are defined in the Act, including the following:</w:t>
      </w:r>
    </w:p>
    <w:p w14:paraId="1D8F3646" w14:textId="4E765491" w:rsidR="00296368" w:rsidRPr="000036A6" w:rsidRDefault="00296368" w:rsidP="00296368">
      <w:pPr>
        <w:pStyle w:val="Definition"/>
        <w:numPr>
          <w:ilvl w:val="0"/>
          <w:numId w:val="15"/>
        </w:numPr>
        <w:rPr>
          <w:bCs/>
          <w:iCs/>
          <w:sz w:val="18"/>
          <w:szCs w:val="16"/>
        </w:rPr>
      </w:pPr>
      <w:r w:rsidRPr="000036A6">
        <w:rPr>
          <w:bCs/>
          <w:iCs/>
          <w:sz w:val="18"/>
          <w:szCs w:val="16"/>
        </w:rPr>
        <w:t xml:space="preserve">affected </w:t>
      </w:r>
      <w:proofErr w:type="gramStart"/>
      <w:r w:rsidRPr="000036A6">
        <w:rPr>
          <w:bCs/>
          <w:iCs/>
          <w:sz w:val="18"/>
          <w:szCs w:val="16"/>
        </w:rPr>
        <w:t>student</w:t>
      </w:r>
      <w:r w:rsidR="00440E04">
        <w:rPr>
          <w:bCs/>
          <w:iCs/>
          <w:sz w:val="18"/>
          <w:szCs w:val="16"/>
        </w:rPr>
        <w:t>;</w:t>
      </w:r>
      <w:proofErr w:type="gramEnd"/>
    </w:p>
    <w:p w14:paraId="1A21EE9A" w14:textId="31BC8BA2" w:rsidR="00296368" w:rsidRPr="000036A6" w:rsidRDefault="00296368" w:rsidP="00296368">
      <w:pPr>
        <w:pStyle w:val="Definition"/>
        <w:numPr>
          <w:ilvl w:val="0"/>
          <w:numId w:val="15"/>
        </w:numPr>
        <w:rPr>
          <w:bCs/>
          <w:iCs/>
          <w:sz w:val="18"/>
          <w:szCs w:val="16"/>
        </w:rPr>
      </w:pPr>
      <w:r w:rsidRPr="000036A6">
        <w:rPr>
          <w:bCs/>
          <w:iCs/>
          <w:sz w:val="18"/>
          <w:szCs w:val="16"/>
        </w:rPr>
        <w:t xml:space="preserve">old student contribution </w:t>
      </w:r>
      <w:proofErr w:type="gramStart"/>
      <w:r w:rsidRPr="000036A6">
        <w:rPr>
          <w:bCs/>
          <w:iCs/>
          <w:sz w:val="18"/>
          <w:szCs w:val="16"/>
        </w:rPr>
        <w:t>amount</w:t>
      </w:r>
      <w:r w:rsidR="00440E04">
        <w:rPr>
          <w:bCs/>
          <w:iCs/>
          <w:sz w:val="18"/>
          <w:szCs w:val="16"/>
        </w:rPr>
        <w:t>;</w:t>
      </w:r>
      <w:proofErr w:type="gramEnd"/>
    </w:p>
    <w:p w14:paraId="22CB5540" w14:textId="4833A242" w:rsidR="00296368" w:rsidRPr="000036A6" w:rsidRDefault="00296368" w:rsidP="00296368">
      <w:pPr>
        <w:pStyle w:val="Definition"/>
        <w:numPr>
          <w:ilvl w:val="0"/>
          <w:numId w:val="15"/>
        </w:numPr>
        <w:rPr>
          <w:bCs/>
          <w:iCs/>
          <w:sz w:val="18"/>
          <w:szCs w:val="16"/>
        </w:rPr>
      </w:pPr>
      <w:r w:rsidRPr="000036A6">
        <w:rPr>
          <w:bCs/>
          <w:iCs/>
          <w:sz w:val="18"/>
          <w:szCs w:val="16"/>
        </w:rPr>
        <w:t xml:space="preserve">relevant </w:t>
      </w:r>
      <w:proofErr w:type="gramStart"/>
      <w:r w:rsidRPr="000036A6">
        <w:rPr>
          <w:bCs/>
          <w:iCs/>
          <w:sz w:val="18"/>
          <w:szCs w:val="16"/>
        </w:rPr>
        <w:t>amendment</w:t>
      </w:r>
      <w:r w:rsidR="00440E04">
        <w:rPr>
          <w:bCs/>
          <w:iCs/>
          <w:sz w:val="18"/>
          <w:szCs w:val="16"/>
        </w:rPr>
        <w:t>;</w:t>
      </w:r>
      <w:proofErr w:type="gramEnd"/>
    </w:p>
    <w:p w14:paraId="017E0EC0" w14:textId="2DF00699" w:rsidR="00296368" w:rsidRPr="000036A6" w:rsidRDefault="00296368" w:rsidP="000036A6">
      <w:pPr>
        <w:pStyle w:val="Definition"/>
        <w:numPr>
          <w:ilvl w:val="0"/>
          <w:numId w:val="15"/>
        </w:numPr>
        <w:rPr>
          <w:bCs/>
          <w:iCs/>
          <w:sz w:val="18"/>
          <w:szCs w:val="16"/>
        </w:rPr>
      </w:pPr>
      <w:r w:rsidRPr="000036A6">
        <w:rPr>
          <w:bCs/>
          <w:iCs/>
          <w:sz w:val="18"/>
          <w:szCs w:val="16"/>
        </w:rPr>
        <w:t>transition period</w:t>
      </w:r>
      <w:r w:rsidR="00524964">
        <w:rPr>
          <w:bCs/>
          <w:iCs/>
          <w:sz w:val="18"/>
          <w:szCs w:val="16"/>
        </w:rPr>
        <w:t>.</w:t>
      </w:r>
    </w:p>
    <w:p w14:paraId="1D62135E" w14:textId="3A5A5629" w:rsidR="00554826" w:rsidRPr="009C2562" w:rsidRDefault="00296368" w:rsidP="00554826">
      <w:pPr>
        <w:pStyle w:val="subsection"/>
      </w:pPr>
      <w:r>
        <w:tab/>
      </w:r>
      <w:r w:rsidR="00C93286">
        <w:t>(1)</w:t>
      </w:r>
      <w:r w:rsidR="00554826" w:rsidRPr="009C2562">
        <w:tab/>
        <w:t>In this instrument:</w:t>
      </w:r>
    </w:p>
    <w:p w14:paraId="7A19B268" w14:textId="28EF9BC1" w:rsidR="00812B1C" w:rsidRPr="00473630" w:rsidRDefault="00554826" w:rsidP="001D05B3">
      <w:pPr>
        <w:pStyle w:val="Definition"/>
      </w:pPr>
      <w:r w:rsidRPr="009C2562">
        <w:rPr>
          <w:b/>
          <w:i/>
        </w:rPr>
        <w:t>Act</w:t>
      </w:r>
      <w:r w:rsidRPr="009C2562">
        <w:t xml:space="preserve"> means the </w:t>
      </w:r>
      <w:r w:rsidR="008512C7">
        <w:rPr>
          <w:i/>
        </w:rPr>
        <w:t>Higher Education Support Amendment (2022 Measures No.</w:t>
      </w:r>
      <w:r w:rsidR="0008132C">
        <w:rPr>
          <w:i/>
        </w:rPr>
        <w:t>1</w:t>
      </w:r>
      <w:r w:rsidR="00C3486C">
        <w:rPr>
          <w:i/>
        </w:rPr>
        <w:t>) Act 2023</w:t>
      </w:r>
      <w:r w:rsidR="00C3486C">
        <w:rPr>
          <w:iCs/>
        </w:rPr>
        <w:t>.</w:t>
      </w:r>
    </w:p>
    <w:p w14:paraId="33A06BCE" w14:textId="302BF556" w:rsidR="00922804" w:rsidRDefault="00922804" w:rsidP="00922804">
      <w:pPr>
        <w:pStyle w:val="Definition"/>
        <w:rPr>
          <w:bCs/>
          <w:iCs/>
        </w:rPr>
      </w:pPr>
      <w:r>
        <w:rPr>
          <w:b/>
          <w:i/>
        </w:rPr>
        <w:t>second transition period</w:t>
      </w:r>
      <w:r>
        <w:rPr>
          <w:b/>
          <w:iCs/>
        </w:rPr>
        <w:t xml:space="preserve"> </w:t>
      </w:r>
      <w:r>
        <w:rPr>
          <w:bCs/>
          <w:iCs/>
        </w:rPr>
        <w:t>means the period</w:t>
      </w:r>
      <w:r w:rsidR="008A0D09">
        <w:rPr>
          <w:bCs/>
          <w:iCs/>
        </w:rPr>
        <w:t>,</w:t>
      </w:r>
      <w:r>
        <w:rPr>
          <w:bCs/>
          <w:iCs/>
        </w:rPr>
        <w:t xml:space="preserve"> </w:t>
      </w:r>
      <w:r w:rsidR="0074619A">
        <w:rPr>
          <w:bCs/>
          <w:iCs/>
        </w:rPr>
        <w:t>which forms part of the transition period</w:t>
      </w:r>
      <w:r w:rsidR="008A0D09">
        <w:rPr>
          <w:bCs/>
          <w:iCs/>
        </w:rPr>
        <w:t xml:space="preserve">, </w:t>
      </w:r>
      <w:r>
        <w:rPr>
          <w:bCs/>
          <w:iCs/>
        </w:rPr>
        <w:t>starting on</w:t>
      </w:r>
      <w:r w:rsidR="003D0815">
        <w:rPr>
          <w:bCs/>
          <w:iCs/>
        </w:rPr>
        <w:t xml:space="preserve"> </w:t>
      </w:r>
      <w:r w:rsidR="006F19BF">
        <w:rPr>
          <w:bCs/>
          <w:iCs/>
        </w:rPr>
        <w:t>1 January 2023</w:t>
      </w:r>
      <w:r w:rsidR="003D0815">
        <w:rPr>
          <w:bCs/>
          <w:i/>
        </w:rPr>
        <w:t xml:space="preserve"> </w:t>
      </w:r>
      <w:r w:rsidR="003D0815">
        <w:rPr>
          <w:bCs/>
          <w:iCs/>
        </w:rPr>
        <w:t>and ending on the day before the commencement of the Act.</w:t>
      </w:r>
    </w:p>
    <w:p w14:paraId="2070370D" w14:textId="04F83759" w:rsidR="00C93286" w:rsidRPr="00506440" w:rsidRDefault="00C93286" w:rsidP="00C93286">
      <w:pPr>
        <w:pStyle w:val="subsection"/>
      </w:pPr>
      <w:r w:rsidRPr="009C2562">
        <w:tab/>
      </w:r>
      <w:r>
        <w:t>(2)</w:t>
      </w:r>
      <w:r w:rsidRPr="009C2562">
        <w:tab/>
      </w:r>
      <w:r>
        <w:t>Any other expression used in this instrument that is defined in the</w:t>
      </w:r>
      <w:r w:rsidR="00506440">
        <w:t xml:space="preserve"> </w:t>
      </w:r>
      <w:r w:rsidR="00506440">
        <w:rPr>
          <w:i/>
          <w:iCs/>
        </w:rPr>
        <w:t>Higher Education Support Act 2003</w:t>
      </w:r>
      <w:r w:rsidR="00506440">
        <w:t>, or in</w:t>
      </w:r>
      <w:r>
        <w:t xml:space="preserve"> </w:t>
      </w:r>
      <w:r w:rsidR="00506440">
        <w:t xml:space="preserve">Schedule 1 </w:t>
      </w:r>
      <w:r w:rsidR="00BE6C4A">
        <w:t>to</w:t>
      </w:r>
      <w:r w:rsidR="00506440">
        <w:t xml:space="preserve"> the </w:t>
      </w:r>
      <w:r>
        <w:t xml:space="preserve">Act, </w:t>
      </w:r>
      <w:r w:rsidR="00506440">
        <w:t xml:space="preserve">has the same meaning in this instrument as it has in the </w:t>
      </w:r>
      <w:r w:rsidR="00506440">
        <w:rPr>
          <w:i/>
          <w:iCs/>
        </w:rPr>
        <w:t xml:space="preserve">Higher Education Support Act 2003 </w:t>
      </w:r>
      <w:r w:rsidR="00506440">
        <w:t xml:space="preserve">or in that Schedule. </w:t>
      </w:r>
    </w:p>
    <w:p w14:paraId="4209EFCD" w14:textId="61ABD4A0" w:rsidR="00554826" w:rsidRPr="00C3486C" w:rsidRDefault="00C3486C" w:rsidP="00554826">
      <w:pPr>
        <w:pStyle w:val="ActHead5"/>
      </w:pPr>
      <w:bookmarkStart w:id="5" w:name="_Toc130898112"/>
      <w:proofErr w:type="gramStart"/>
      <w:r w:rsidRPr="00C3486C">
        <w:lastRenderedPageBreak/>
        <w:t>5</w:t>
      </w:r>
      <w:r w:rsidR="00554826" w:rsidRPr="00C3486C">
        <w:t xml:space="preserve">  </w:t>
      </w:r>
      <w:r w:rsidR="00F468CB">
        <w:t>Transitional</w:t>
      </w:r>
      <w:proofErr w:type="gramEnd"/>
      <w:r w:rsidR="00F468CB">
        <w:t xml:space="preserve"> rules for f</w:t>
      </w:r>
      <w:r w:rsidRPr="00C3486C">
        <w:t>ull up-front payment</w:t>
      </w:r>
      <w:r w:rsidR="00F468CB">
        <w:t>s</w:t>
      </w:r>
      <w:r w:rsidRPr="00C3486C">
        <w:t xml:space="preserve"> made during </w:t>
      </w:r>
      <w:r w:rsidR="00922804">
        <w:t xml:space="preserve">second </w:t>
      </w:r>
      <w:r w:rsidRPr="00C3486C">
        <w:t>transition period</w:t>
      </w:r>
      <w:bookmarkEnd w:id="5"/>
    </w:p>
    <w:p w14:paraId="12417354" w14:textId="7197FCCD" w:rsidR="00554826" w:rsidRPr="00C3486C" w:rsidRDefault="00554826" w:rsidP="00554826">
      <w:pPr>
        <w:pStyle w:val="subsection"/>
      </w:pPr>
      <w:r w:rsidRPr="00C3486C">
        <w:tab/>
        <w:t>(1)</w:t>
      </w:r>
      <w:r w:rsidRPr="00C3486C">
        <w:tab/>
        <w:t xml:space="preserve">This </w:t>
      </w:r>
      <w:r w:rsidR="00D80627">
        <w:t>section</w:t>
      </w:r>
      <w:r w:rsidR="00660EA3">
        <w:t xml:space="preserve"> is made for the purposes of </w:t>
      </w:r>
      <w:r w:rsidR="00DD0B36">
        <w:t xml:space="preserve">subitem 12(1) of </w:t>
      </w:r>
      <w:r w:rsidR="00EF5017">
        <w:t xml:space="preserve">Schedule 1 to </w:t>
      </w:r>
      <w:r w:rsidR="00DD0B36">
        <w:t>the Act and</w:t>
      </w:r>
      <w:r w:rsidR="00D80627" w:rsidRPr="00C3486C">
        <w:t xml:space="preserve"> </w:t>
      </w:r>
      <w:r w:rsidR="00C3486C" w:rsidRPr="00C3486C">
        <w:t>applies if:</w:t>
      </w:r>
    </w:p>
    <w:p w14:paraId="2718823E" w14:textId="6CD5729D" w:rsidR="00554826" w:rsidRPr="00C3486C" w:rsidRDefault="00554826" w:rsidP="00554826">
      <w:pPr>
        <w:pStyle w:val="paragraph"/>
      </w:pPr>
      <w:r w:rsidRPr="00C3486C">
        <w:tab/>
      </w:r>
      <w:bookmarkStart w:id="6" w:name="_Hlk130894811"/>
      <w:r w:rsidRPr="00C3486C">
        <w:t>(a)</w:t>
      </w:r>
      <w:r w:rsidRPr="00C3486C">
        <w:tab/>
      </w:r>
      <w:r w:rsidR="00C3486C" w:rsidRPr="00C3486C">
        <w:t xml:space="preserve">during the </w:t>
      </w:r>
      <w:r w:rsidR="003D0815">
        <w:t xml:space="preserve">second </w:t>
      </w:r>
      <w:r w:rsidR="00C3486C">
        <w:t>transition period, an affected student made one or more up-front payments to a higher education provider in relation to a unit of study;</w:t>
      </w:r>
      <w:r w:rsidR="00922804">
        <w:t xml:space="preserve"> and</w:t>
      </w:r>
    </w:p>
    <w:p w14:paraId="72494C14" w14:textId="549DCA7D" w:rsidR="00554826" w:rsidRPr="00C3486C" w:rsidRDefault="00554826" w:rsidP="00554826">
      <w:pPr>
        <w:pStyle w:val="paragraph"/>
      </w:pPr>
      <w:r w:rsidRPr="00C3486C">
        <w:tab/>
        <w:t>(b)</w:t>
      </w:r>
      <w:r w:rsidRPr="00C3486C">
        <w:tab/>
      </w:r>
      <w:r w:rsidR="00922804">
        <w:t xml:space="preserve">the amount of that payment, or the sum of those payments, is equal to </w:t>
      </w:r>
      <w:r w:rsidR="003D0815">
        <w:t>100% of the affected student’s old student contribution amount for the unit</w:t>
      </w:r>
      <w:bookmarkEnd w:id="6"/>
      <w:r w:rsidR="003D0815">
        <w:t>.</w:t>
      </w:r>
    </w:p>
    <w:p w14:paraId="00F88704" w14:textId="3C320815" w:rsidR="00554826" w:rsidRPr="00C3486C" w:rsidRDefault="00554826" w:rsidP="00554826">
      <w:pPr>
        <w:pStyle w:val="subsection"/>
      </w:pPr>
      <w:r w:rsidRPr="00C3486C">
        <w:tab/>
        <w:t>(</w:t>
      </w:r>
      <w:r w:rsidR="006360C9">
        <w:t>2</w:t>
      </w:r>
      <w:r w:rsidRPr="00C3486C">
        <w:t>)</w:t>
      </w:r>
      <w:r w:rsidRPr="00C3486C">
        <w:tab/>
      </w:r>
      <w:r w:rsidR="006360C9">
        <w:t xml:space="preserve">If the amount paid by the affected student is more than the amount that could have been paid to the higher education provider had </w:t>
      </w:r>
      <w:r w:rsidR="006C0721">
        <w:t>the relevant amendment been in force during the second transition period, the higher education provider must pay to the affect</w:t>
      </w:r>
      <w:r w:rsidR="00704B83">
        <w:t>ed</w:t>
      </w:r>
      <w:r w:rsidR="006C0721">
        <w:t xml:space="preserve"> student an amount equal to the difference between the two amounts. </w:t>
      </w:r>
    </w:p>
    <w:p w14:paraId="1AC38D9C" w14:textId="315547DE" w:rsidR="00C3486C" w:rsidRPr="00704B83" w:rsidRDefault="00C3486C" w:rsidP="00C3486C">
      <w:pPr>
        <w:pStyle w:val="ActHead5"/>
      </w:pPr>
      <w:bookmarkStart w:id="7" w:name="_Toc130898113"/>
      <w:proofErr w:type="gramStart"/>
      <w:r w:rsidRPr="00704B83">
        <w:t xml:space="preserve">6  </w:t>
      </w:r>
      <w:r w:rsidR="001D7151" w:rsidRPr="001D7151">
        <w:t>Transitional</w:t>
      </w:r>
      <w:proofErr w:type="gramEnd"/>
      <w:r w:rsidR="001D7151" w:rsidRPr="001D7151">
        <w:t xml:space="preserve"> rules for </w:t>
      </w:r>
      <w:r w:rsidR="001D7151">
        <w:t>p</w:t>
      </w:r>
      <w:r w:rsidR="00704B83" w:rsidRPr="00704B83">
        <w:t>artial up-front payments made during second transition period</w:t>
      </w:r>
      <w:bookmarkEnd w:id="7"/>
    </w:p>
    <w:p w14:paraId="1B385698" w14:textId="06F5230B" w:rsidR="00704B83" w:rsidRPr="00C3486C" w:rsidRDefault="00704B83" w:rsidP="00704B83">
      <w:pPr>
        <w:pStyle w:val="subsection"/>
      </w:pPr>
      <w:r w:rsidRPr="00C3486C">
        <w:tab/>
        <w:t>(1)</w:t>
      </w:r>
      <w:r w:rsidRPr="00C3486C">
        <w:tab/>
        <w:t xml:space="preserve">This </w:t>
      </w:r>
      <w:r w:rsidR="001D7151">
        <w:t xml:space="preserve">section is made for the purposes of subitem 12(1) of </w:t>
      </w:r>
      <w:r w:rsidR="00BC2A59">
        <w:t xml:space="preserve">Schedule 1 to </w:t>
      </w:r>
      <w:r w:rsidR="001D7151">
        <w:t>the Act and</w:t>
      </w:r>
      <w:r w:rsidR="001D7151" w:rsidRPr="00C3486C">
        <w:t xml:space="preserve"> </w:t>
      </w:r>
      <w:r w:rsidRPr="00C3486C">
        <w:t>applies if:</w:t>
      </w:r>
    </w:p>
    <w:p w14:paraId="5B5ED8B0" w14:textId="5CD35C01" w:rsidR="00704B83" w:rsidRPr="00C3486C" w:rsidRDefault="00704B83" w:rsidP="00704B83">
      <w:pPr>
        <w:pStyle w:val="paragraph"/>
      </w:pPr>
      <w:r w:rsidRPr="00C3486C">
        <w:tab/>
        <w:t>(a)</w:t>
      </w:r>
      <w:r w:rsidRPr="00C3486C">
        <w:tab/>
        <w:t xml:space="preserve">during the </w:t>
      </w:r>
      <w:r>
        <w:t>second transition period, an affected student made one or more up-front payments to a higher education provider in relation to a unit of study; and</w:t>
      </w:r>
    </w:p>
    <w:p w14:paraId="60ABBF1D" w14:textId="66919E67" w:rsidR="00704B83" w:rsidRDefault="00704B83" w:rsidP="00704B83">
      <w:pPr>
        <w:pStyle w:val="paragraph"/>
      </w:pPr>
      <w:r w:rsidRPr="00C3486C">
        <w:tab/>
        <w:t>(b)</w:t>
      </w:r>
      <w:r w:rsidRPr="00C3486C">
        <w:tab/>
      </w:r>
      <w:r>
        <w:t xml:space="preserve">the amount of that payment, or the sum of those payments, is less than 100% of the affected student’s old student contribution amount for the unit; and </w:t>
      </w:r>
    </w:p>
    <w:p w14:paraId="167E3E2D" w14:textId="60FE456E" w:rsidR="00704B83" w:rsidRPr="00704B83" w:rsidRDefault="00704B83" w:rsidP="00704B83">
      <w:pPr>
        <w:pStyle w:val="paragraph"/>
      </w:pPr>
      <w:r>
        <w:tab/>
        <w:t>(c)</w:t>
      </w:r>
      <w:r>
        <w:tab/>
        <w:t xml:space="preserve">under section 96-1 of the </w:t>
      </w:r>
      <w:r>
        <w:rPr>
          <w:i/>
          <w:iCs/>
        </w:rPr>
        <w:t>Higher Education Support Act 2003</w:t>
      </w:r>
      <w:r>
        <w:t xml:space="preserve">, the </w:t>
      </w:r>
      <w:r w:rsidRPr="00704B83">
        <w:t xml:space="preserve">Commonwealth: </w:t>
      </w:r>
    </w:p>
    <w:p w14:paraId="35EF00B9" w14:textId="5C6316DE" w:rsidR="00704B83" w:rsidRPr="00704B83" w:rsidRDefault="00704B83" w:rsidP="00704B83">
      <w:pPr>
        <w:pStyle w:val="paragraphsub"/>
      </w:pPr>
      <w:r w:rsidRPr="00704B83">
        <w:tab/>
        <w:t>(</w:t>
      </w:r>
      <w:proofErr w:type="spellStart"/>
      <w:r w:rsidRPr="00704B83">
        <w:t>i</w:t>
      </w:r>
      <w:proofErr w:type="spellEnd"/>
      <w:r w:rsidRPr="00704B83">
        <w:t>)</w:t>
      </w:r>
      <w:r w:rsidRPr="00704B83">
        <w:tab/>
      </w:r>
      <w:r>
        <w:t>as a benefit to an</w:t>
      </w:r>
      <w:r w:rsidR="009D0B4D">
        <w:t xml:space="preserve"> </w:t>
      </w:r>
      <w:r>
        <w:t>affected student, lent to the student an amount of HECS-HELP assistance for a unit of study with a higher education provider</w:t>
      </w:r>
      <w:r w:rsidRPr="00704B83">
        <w:t>; and</w:t>
      </w:r>
    </w:p>
    <w:p w14:paraId="2CFB7EF7" w14:textId="056F3AED" w:rsidR="00704B83" w:rsidRPr="00704B83" w:rsidRDefault="00704B83" w:rsidP="00704B83">
      <w:pPr>
        <w:pStyle w:val="paragraphsub"/>
      </w:pPr>
      <w:r w:rsidRPr="00704B83">
        <w:tab/>
        <w:t>(ii)</w:t>
      </w:r>
      <w:r w:rsidRPr="00704B83">
        <w:tab/>
      </w:r>
      <w:r w:rsidR="00A60632">
        <w:t>paid to the provider the amount lent in discharge of the student’s liability to pay the remainder of their old student contribution amount for the unit.</w:t>
      </w:r>
    </w:p>
    <w:p w14:paraId="1C37B8A9" w14:textId="3B8ACB86" w:rsidR="00A60632" w:rsidRDefault="00A60632" w:rsidP="00A60632">
      <w:pPr>
        <w:pStyle w:val="subsection"/>
      </w:pPr>
      <w:r w:rsidRPr="00C3486C">
        <w:tab/>
        <w:t>(</w:t>
      </w:r>
      <w:r>
        <w:t>2</w:t>
      </w:r>
      <w:r w:rsidRPr="00C3486C">
        <w:t>)</w:t>
      </w:r>
      <w:r w:rsidRPr="00C3486C">
        <w:tab/>
      </w:r>
      <w:r>
        <w:t xml:space="preserve">If the amount (the </w:t>
      </w:r>
      <w:r>
        <w:rPr>
          <w:b/>
          <w:bCs/>
          <w:i/>
          <w:iCs/>
        </w:rPr>
        <w:t>old amount</w:t>
      </w:r>
      <w:r>
        <w:t xml:space="preserve">) referred to in subparagraph (1)(c)(ii) is more than the amount (the </w:t>
      </w:r>
      <w:r>
        <w:rPr>
          <w:b/>
          <w:bCs/>
          <w:i/>
          <w:iCs/>
        </w:rPr>
        <w:t>new amount</w:t>
      </w:r>
      <w:r>
        <w:t>) that would have been paid to the provider had the relevant amendment been in force during the second transition period</w:t>
      </w:r>
      <w:r w:rsidR="00562482">
        <w:t xml:space="preserve">, the difference between the old amount and the new amount may be: </w:t>
      </w:r>
    </w:p>
    <w:p w14:paraId="38E79135" w14:textId="422A7E71" w:rsidR="00562482" w:rsidRDefault="00562482" w:rsidP="00562482">
      <w:pPr>
        <w:pStyle w:val="paragraph"/>
      </w:pPr>
      <w:r w:rsidRPr="00C3486C">
        <w:tab/>
        <w:t>(a)</w:t>
      </w:r>
      <w:r w:rsidRPr="00C3486C">
        <w:tab/>
      </w:r>
      <w:r>
        <w:t xml:space="preserve">deducted from any amount that is payable, or to be paid, to the higher education provider under the </w:t>
      </w:r>
      <w:r>
        <w:rPr>
          <w:i/>
          <w:iCs/>
        </w:rPr>
        <w:t>Higher Education Support Act 2003</w:t>
      </w:r>
      <w:r>
        <w:t xml:space="preserve">; or </w:t>
      </w:r>
    </w:p>
    <w:p w14:paraId="7341891E" w14:textId="15DCABB6" w:rsidR="00562482" w:rsidRDefault="00562482" w:rsidP="00562482">
      <w:pPr>
        <w:pStyle w:val="paragraph"/>
      </w:pPr>
      <w:r>
        <w:tab/>
        <w:t>(b)</w:t>
      </w:r>
      <w:r>
        <w:tab/>
        <w:t xml:space="preserve">recovered by the Commonwealth from the higher education provider as a debt due to the Commonwealth. </w:t>
      </w:r>
    </w:p>
    <w:p w14:paraId="6B44164D" w14:textId="6B8FB242" w:rsidR="00562482" w:rsidRDefault="00562482" w:rsidP="00562482">
      <w:pPr>
        <w:pStyle w:val="subsection"/>
      </w:pPr>
      <w:r w:rsidRPr="00C3486C">
        <w:tab/>
        <w:t>(</w:t>
      </w:r>
      <w:r>
        <w:t>3</w:t>
      </w:r>
      <w:r w:rsidRPr="00C3486C">
        <w:t>)</w:t>
      </w:r>
      <w:r w:rsidRPr="00C3486C">
        <w:tab/>
      </w:r>
      <w:r>
        <w:t>If the amount paid by the affected student is more than the amount that could have been paid to the higher education provider had the relevant amendment been in force during the</w:t>
      </w:r>
      <w:r w:rsidR="003F0CDD">
        <w:t xml:space="preserve"> second</w:t>
      </w:r>
      <w:r>
        <w:t xml:space="preserve"> transition period, the higher education provider </w:t>
      </w:r>
      <w:r>
        <w:lastRenderedPageBreak/>
        <w:t xml:space="preserve">must pay to the affected student an amount equal to the difference between the two amounts. </w:t>
      </w:r>
    </w:p>
    <w:p w14:paraId="7F4310E5" w14:textId="170A9CD4" w:rsidR="00562482" w:rsidRDefault="00562482" w:rsidP="00562482">
      <w:pPr>
        <w:pStyle w:val="subsection"/>
      </w:pPr>
      <w:r>
        <w:tab/>
        <w:t>(4)</w:t>
      </w:r>
      <w:r>
        <w:tab/>
        <w:t xml:space="preserve">The higher education provider must, on the Secretary’s behalf, re-credit the affected student’s HELP balance with an amount (the </w:t>
      </w:r>
      <w:r w:rsidRPr="00562482">
        <w:rPr>
          <w:b/>
          <w:bCs/>
          <w:i/>
          <w:iCs/>
        </w:rPr>
        <w:t>relevant amount</w:t>
      </w:r>
      <w:r>
        <w:t xml:space="preserve">) that is equal to the difference between the amount referred to in subparagraph (1)(c)(ii) that was paid to the provider and the amount that would have been paid under paragraph 96-1(b) of the </w:t>
      </w:r>
      <w:r>
        <w:rPr>
          <w:i/>
          <w:iCs/>
        </w:rPr>
        <w:t>Higher Education Support Act 2003</w:t>
      </w:r>
      <w:r>
        <w:t xml:space="preserve">, had the relevant amendment been in force during the second transition period. </w:t>
      </w:r>
    </w:p>
    <w:p w14:paraId="0E46ADAC" w14:textId="7DE679A9" w:rsidR="00562482" w:rsidRPr="00562482" w:rsidRDefault="00562482" w:rsidP="00562482">
      <w:pPr>
        <w:pStyle w:val="subsection"/>
      </w:pPr>
      <w:r>
        <w:tab/>
        <w:t>(5)</w:t>
      </w:r>
      <w:r>
        <w:tab/>
        <w:t xml:space="preserve">The affected student’s HECS-HELP debt in relation to the unit of study is taken to be remitted by an amount equal to the relevant amount for the purposes of the </w:t>
      </w:r>
      <w:r>
        <w:rPr>
          <w:i/>
          <w:iCs/>
        </w:rPr>
        <w:t>Higher Education Support Act 2003</w:t>
      </w:r>
      <w:r>
        <w:t xml:space="preserve">. </w:t>
      </w:r>
    </w:p>
    <w:p w14:paraId="127806E8" w14:textId="4103CDA3" w:rsidR="00F129BF" w:rsidRPr="00704B83" w:rsidRDefault="003F0CDD" w:rsidP="00F129BF">
      <w:pPr>
        <w:pStyle w:val="ActHead5"/>
      </w:pPr>
      <w:bookmarkStart w:id="8" w:name="_Toc130898114"/>
      <w:proofErr w:type="gramStart"/>
      <w:r>
        <w:t>7</w:t>
      </w:r>
      <w:r w:rsidR="00F129BF" w:rsidRPr="00704B83">
        <w:t xml:space="preserve">  </w:t>
      </w:r>
      <w:r w:rsidR="00F129BF">
        <w:t>Secretary</w:t>
      </w:r>
      <w:proofErr w:type="gramEnd"/>
      <w:r w:rsidR="00F129BF">
        <w:t xml:space="preserve"> may act if provider is unable to</w:t>
      </w:r>
      <w:bookmarkEnd w:id="8"/>
      <w:r w:rsidR="00F129BF">
        <w:t xml:space="preserve"> </w:t>
      </w:r>
    </w:p>
    <w:p w14:paraId="21ADA649" w14:textId="6B27CE4A" w:rsidR="00F129BF" w:rsidRPr="00C3486C" w:rsidRDefault="00F129BF" w:rsidP="00F129BF">
      <w:pPr>
        <w:pStyle w:val="subsection"/>
      </w:pPr>
      <w:r w:rsidRPr="00C3486C">
        <w:tab/>
      </w:r>
      <w:r>
        <w:tab/>
      </w:r>
      <w:r w:rsidR="005938BF">
        <w:t>F</w:t>
      </w:r>
      <w:r w:rsidR="005938BF" w:rsidRPr="005938BF">
        <w:t xml:space="preserve">or the purposes of </w:t>
      </w:r>
      <w:r w:rsidR="0008132C">
        <w:t>the transitional rules specified in section 6</w:t>
      </w:r>
      <w:r w:rsidR="005938BF">
        <w:t>,</w:t>
      </w:r>
      <w:r w:rsidR="005938BF" w:rsidRPr="005938BF">
        <w:t xml:space="preserve"> </w:t>
      </w:r>
      <w:r w:rsidR="005938BF">
        <w:t>i</w:t>
      </w:r>
      <w:r>
        <w:t>f a higher education provider is unable to act for the purposes of subsection 6(4), the Secretary may act as if the reference in that subsection was a reference to the Secretary.</w:t>
      </w:r>
    </w:p>
    <w:p w14:paraId="3C7CB315" w14:textId="1D66D6B0" w:rsidR="00F129BF" w:rsidRPr="00704B83" w:rsidRDefault="003F0CDD" w:rsidP="00F129BF">
      <w:pPr>
        <w:pStyle w:val="ActHead5"/>
      </w:pPr>
      <w:bookmarkStart w:id="9" w:name="_Toc130898115"/>
      <w:proofErr w:type="gramStart"/>
      <w:r>
        <w:t>8</w:t>
      </w:r>
      <w:r w:rsidR="00F129BF" w:rsidRPr="00704B83">
        <w:t xml:space="preserve">  </w:t>
      </w:r>
      <w:r w:rsidR="00F129BF">
        <w:t>Interaction</w:t>
      </w:r>
      <w:proofErr w:type="gramEnd"/>
      <w:r w:rsidR="00F129BF">
        <w:t xml:space="preserve"> </w:t>
      </w:r>
      <w:r w:rsidR="00292EAE">
        <w:t xml:space="preserve">of transitional rules with </w:t>
      </w:r>
      <w:r w:rsidR="00F129BF">
        <w:t xml:space="preserve">the </w:t>
      </w:r>
      <w:r w:rsidR="00F129BF">
        <w:rPr>
          <w:i/>
          <w:iCs/>
        </w:rPr>
        <w:t>Higher Education Support Act 2003</w:t>
      </w:r>
      <w:bookmarkEnd w:id="9"/>
      <w:r w:rsidR="00F129BF">
        <w:t xml:space="preserve"> </w:t>
      </w:r>
    </w:p>
    <w:p w14:paraId="15BA8898" w14:textId="1E811A53" w:rsidR="00704B83" w:rsidRPr="00F129BF" w:rsidRDefault="00F129BF" w:rsidP="00F129BF">
      <w:pPr>
        <w:pStyle w:val="subsection"/>
      </w:pPr>
      <w:r>
        <w:tab/>
      </w:r>
      <w:r>
        <w:tab/>
      </w:r>
      <w:r w:rsidR="00116600">
        <w:t>F</w:t>
      </w:r>
      <w:r w:rsidR="00116600" w:rsidRPr="00116600">
        <w:t>or the purposes of subitem 12(</w:t>
      </w:r>
      <w:r w:rsidR="00D340B7">
        <w:t>2</w:t>
      </w:r>
      <w:r w:rsidR="00116600" w:rsidRPr="00116600">
        <w:t>) of</w:t>
      </w:r>
      <w:r w:rsidR="00BC2A59">
        <w:t xml:space="preserve"> Schedule 1 to</w:t>
      </w:r>
      <w:r w:rsidR="00116600" w:rsidRPr="00116600">
        <w:t xml:space="preserve"> the Act</w:t>
      </w:r>
      <w:r w:rsidR="00116600">
        <w:t>,</w:t>
      </w:r>
      <w:r w:rsidR="00116600" w:rsidRPr="00116600">
        <w:t xml:space="preserve"> </w:t>
      </w:r>
      <w:r w:rsidR="002A0C39">
        <w:t>item 11 of</w:t>
      </w:r>
      <w:r w:rsidR="00BC2A59">
        <w:t xml:space="preserve"> Schedule 1 to</w:t>
      </w:r>
      <w:r w:rsidR="002A0C39">
        <w:t xml:space="preserve"> the Act i</w:t>
      </w:r>
      <w:r w:rsidR="002F13BA">
        <w:t xml:space="preserve">s modified such that </w:t>
      </w:r>
      <w:r w:rsidR="00116600">
        <w:t>t</w:t>
      </w:r>
      <w:r>
        <w:t xml:space="preserve">he obligations imposed on a higher education provider in this instrument are taken, for the purposes of the </w:t>
      </w:r>
      <w:r>
        <w:rPr>
          <w:i/>
          <w:iCs/>
        </w:rPr>
        <w:t>Higher Education Support Act 2003</w:t>
      </w:r>
      <w:r>
        <w:t xml:space="preserve">, to be conditions of a grant made to the provider under Part 2-2 of that Act. </w:t>
      </w:r>
    </w:p>
    <w:sectPr w:rsidR="00704B83" w:rsidRPr="00F129BF"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258C" w14:textId="77777777" w:rsidR="00CB630A" w:rsidRDefault="00CB630A" w:rsidP="00715914">
      <w:pPr>
        <w:spacing w:line="240" w:lineRule="auto"/>
      </w:pPr>
      <w:r>
        <w:separator/>
      </w:r>
    </w:p>
  </w:endnote>
  <w:endnote w:type="continuationSeparator" w:id="0">
    <w:p w14:paraId="5A2A81CC" w14:textId="77777777" w:rsidR="00CB630A" w:rsidRDefault="00CB63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4F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BAB2AA6" w14:textId="77777777" w:rsidTr="00B33709">
      <w:tc>
        <w:tcPr>
          <w:tcW w:w="709" w:type="dxa"/>
          <w:tcBorders>
            <w:top w:val="nil"/>
            <w:left w:val="nil"/>
            <w:bottom w:val="nil"/>
            <w:right w:val="nil"/>
          </w:tcBorders>
        </w:tcPr>
        <w:p w14:paraId="31888CC3"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5E8CF0A0"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75350">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5FF81785" w14:textId="77777777" w:rsidR="0072147A" w:rsidRDefault="0072147A" w:rsidP="00A369E3">
          <w:pPr>
            <w:spacing w:line="0" w:lineRule="atLeast"/>
            <w:jc w:val="right"/>
            <w:rPr>
              <w:sz w:val="18"/>
            </w:rPr>
          </w:pPr>
        </w:p>
      </w:tc>
    </w:tr>
    <w:tr w:rsidR="0072147A" w14:paraId="2E810C5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8FFA46" w14:textId="77777777" w:rsidR="0072147A" w:rsidRDefault="0072147A" w:rsidP="00A369E3">
          <w:pPr>
            <w:jc w:val="right"/>
            <w:rPr>
              <w:sz w:val="18"/>
            </w:rPr>
          </w:pPr>
        </w:p>
      </w:tc>
    </w:tr>
  </w:tbl>
  <w:p w14:paraId="27C37FA9"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3FD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6DFBB99" w14:textId="77777777" w:rsidTr="00A369E3">
      <w:tc>
        <w:tcPr>
          <w:tcW w:w="1384" w:type="dxa"/>
          <w:tcBorders>
            <w:top w:val="nil"/>
            <w:left w:val="nil"/>
            <w:bottom w:val="nil"/>
            <w:right w:val="nil"/>
          </w:tcBorders>
        </w:tcPr>
        <w:p w14:paraId="733584D0" w14:textId="77777777" w:rsidR="0072147A" w:rsidRDefault="0072147A" w:rsidP="00A369E3">
          <w:pPr>
            <w:spacing w:line="0" w:lineRule="atLeast"/>
            <w:rPr>
              <w:sz w:val="18"/>
            </w:rPr>
          </w:pPr>
        </w:p>
      </w:tc>
      <w:tc>
        <w:tcPr>
          <w:tcW w:w="6379" w:type="dxa"/>
          <w:tcBorders>
            <w:top w:val="nil"/>
            <w:left w:val="nil"/>
            <w:bottom w:val="nil"/>
            <w:right w:val="nil"/>
          </w:tcBorders>
        </w:tcPr>
        <w:p w14:paraId="67350B3B"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75350">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8FCD76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6820E6C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2C8CC3" w14:textId="77777777" w:rsidR="0072147A" w:rsidRDefault="0072147A" w:rsidP="00A369E3">
          <w:pPr>
            <w:rPr>
              <w:sz w:val="18"/>
            </w:rPr>
          </w:pPr>
        </w:p>
      </w:tc>
    </w:tr>
  </w:tbl>
  <w:p w14:paraId="51438876"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EFB6"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9DD86C0" w14:textId="77777777" w:rsidTr="00B33709">
      <w:tc>
        <w:tcPr>
          <w:tcW w:w="1384" w:type="dxa"/>
          <w:tcBorders>
            <w:top w:val="nil"/>
            <w:left w:val="nil"/>
            <w:bottom w:val="nil"/>
            <w:right w:val="nil"/>
          </w:tcBorders>
        </w:tcPr>
        <w:p w14:paraId="2806D702" w14:textId="77777777" w:rsidR="0072147A" w:rsidRDefault="0072147A" w:rsidP="00A369E3">
          <w:pPr>
            <w:spacing w:line="0" w:lineRule="atLeast"/>
            <w:rPr>
              <w:sz w:val="18"/>
            </w:rPr>
          </w:pPr>
        </w:p>
      </w:tc>
      <w:tc>
        <w:tcPr>
          <w:tcW w:w="6379" w:type="dxa"/>
          <w:tcBorders>
            <w:top w:val="nil"/>
            <w:left w:val="nil"/>
            <w:bottom w:val="nil"/>
            <w:right w:val="nil"/>
          </w:tcBorders>
        </w:tcPr>
        <w:p w14:paraId="297342EA"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5DAE705" w14:textId="77777777" w:rsidR="0072147A" w:rsidRDefault="0072147A" w:rsidP="00A369E3">
          <w:pPr>
            <w:spacing w:line="0" w:lineRule="atLeast"/>
            <w:jc w:val="right"/>
            <w:rPr>
              <w:sz w:val="18"/>
            </w:rPr>
          </w:pPr>
        </w:p>
      </w:tc>
    </w:tr>
  </w:tbl>
  <w:p w14:paraId="42876F15"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56D9"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51D07577" w14:textId="77777777" w:rsidTr="00A87A58">
      <w:tc>
        <w:tcPr>
          <w:tcW w:w="365" w:type="pct"/>
        </w:tcPr>
        <w:p w14:paraId="110394BB"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16D91DD"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75350">
            <w:rPr>
              <w:i/>
              <w:noProof/>
              <w:sz w:val="18"/>
            </w:rPr>
            <w:t>Act Name (Subject Matter) Kind of Instrument Year</w:t>
          </w:r>
          <w:r w:rsidRPr="004E1307">
            <w:rPr>
              <w:i/>
              <w:sz w:val="18"/>
            </w:rPr>
            <w:fldChar w:fldCharType="end"/>
          </w:r>
        </w:p>
      </w:tc>
      <w:tc>
        <w:tcPr>
          <w:tcW w:w="947" w:type="pct"/>
        </w:tcPr>
        <w:p w14:paraId="7381B382" w14:textId="77777777" w:rsidR="00F6696E" w:rsidRDefault="00F6696E" w:rsidP="000850AC">
          <w:pPr>
            <w:spacing w:line="0" w:lineRule="atLeast"/>
            <w:jc w:val="right"/>
            <w:rPr>
              <w:sz w:val="18"/>
            </w:rPr>
          </w:pPr>
        </w:p>
      </w:tc>
    </w:tr>
    <w:tr w:rsidR="00F6696E" w14:paraId="73585BE5" w14:textId="77777777" w:rsidTr="00A87A58">
      <w:tc>
        <w:tcPr>
          <w:tcW w:w="5000" w:type="pct"/>
          <w:gridSpan w:val="3"/>
        </w:tcPr>
        <w:p w14:paraId="45373E28" w14:textId="77777777" w:rsidR="00F6696E" w:rsidRDefault="00F6696E" w:rsidP="000850AC">
          <w:pPr>
            <w:jc w:val="right"/>
            <w:rPr>
              <w:sz w:val="18"/>
            </w:rPr>
          </w:pPr>
        </w:p>
      </w:tc>
    </w:tr>
  </w:tbl>
  <w:p w14:paraId="1FCA5874"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D4A2"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05769EB0" w14:textId="77777777" w:rsidTr="00A87A58">
      <w:tc>
        <w:tcPr>
          <w:tcW w:w="947" w:type="pct"/>
        </w:tcPr>
        <w:p w14:paraId="505C39F8" w14:textId="77777777" w:rsidR="00F6696E" w:rsidRDefault="00F6696E" w:rsidP="000850AC">
          <w:pPr>
            <w:spacing w:line="0" w:lineRule="atLeast"/>
            <w:rPr>
              <w:sz w:val="18"/>
            </w:rPr>
          </w:pPr>
        </w:p>
      </w:tc>
      <w:tc>
        <w:tcPr>
          <w:tcW w:w="3688" w:type="pct"/>
        </w:tcPr>
        <w:p w14:paraId="7D28C751" w14:textId="2A1AC222"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4A32">
            <w:rPr>
              <w:i/>
              <w:noProof/>
              <w:sz w:val="18"/>
            </w:rPr>
            <w:t>Higher Education Support Amendment (2022 Measures No. 1) Transitional Rules 2024</w:t>
          </w:r>
          <w:r w:rsidRPr="004E1307">
            <w:rPr>
              <w:i/>
              <w:sz w:val="18"/>
            </w:rPr>
            <w:fldChar w:fldCharType="end"/>
          </w:r>
        </w:p>
      </w:tc>
      <w:tc>
        <w:tcPr>
          <w:tcW w:w="365" w:type="pct"/>
        </w:tcPr>
        <w:p w14:paraId="207361AB"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0389CD74" w14:textId="77777777" w:rsidTr="00A87A58">
      <w:tc>
        <w:tcPr>
          <w:tcW w:w="5000" w:type="pct"/>
          <w:gridSpan w:val="3"/>
        </w:tcPr>
        <w:p w14:paraId="32B276F1" w14:textId="77777777" w:rsidR="00F6696E" w:rsidRDefault="00F6696E" w:rsidP="000850AC">
          <w:pPr>
            <w:rPr>
              <w:sz w:val="18"/>
            </w:rPr>
          </w:pPr>
        </w:p>
      </w:tc>
    </w:tr>
  </w:tbl>
  <w:p w14:paraId="589B7CB5"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6FF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0AA7CDC0" w14:textId="77777777" w:rsidTr="00A87A58">
      <w:tc>
        <w:tcPr>
          <w:tcW w:w="365" w:type="pct"/>
        </w:tcPr>
        <w:p w14:paraId="385D0E99"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688" w:type="pct"/>
        </w:tcPr>
        <w:p w14:paraId="6505D733" w14:textId="6972C3B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4A32">
            <w:rPr>
              <w:i/>
              <w:noProof/>
              <w:sz w:val="18"/>
            </w:rPr>
            <w:t>Higher Education Support Amendment (2022 Measures No. 1) Transitional Rules 2024</w:t>
          </w:r>
          <w:r w:rsidRPr="004E1307">
            <w:rPr>
              <w:i/>
              <w:sz w:val="18"/>
            </w:rPr>
            <w:fldChar w:fldCharType="end"/>
          </w:r>
        </w:p>
      </w:tc>
      <w:tc>
        <w:tcPr>
          <w:tcW w:w="947" w:type="pct"/>
        </w:tcPr>
        <w:p w14:paraId="2C1DB4A4" w14:textId="77777777" w:rsidR="008C2EAC" w:rsidRDefault="008C2EAC" w:rsidP="000850AC">
          <w:pPr>
            <w:spacing w:line="0" w:lineRule="atLeast"/>
            <w:jc w:val="right"/>
            <w:rPr>
              <w:sz w:val="18"/>
            </w:rPr>
          </w:pPr>
        </w:p>
      </w:tc>
    </w:tr>
    <w:tr w:rsidR="008C2EAC" w14:paraId="538EB43E" w14:textId="77777777" w:rsidTr="00A87A58">
      <w:tc>
        <w:tcPr>
          <w:tcW w:w="5000" w:type="pct"/>
          <w:gridSpan w:val="3"/>
        </w:tcPr>
        <w:p w14:paraId="628CEDE1" w14:textId="77777777" w:rsidR="008C2EAC" w:rsidRDefault="008C2EAC" w:rsidP="000850AC">
          <w:pPr>
            <w:jc w:val="right"/>
            <w:rPr>
              <w:sz w:val="18"/>
            </w:rPr>
          </w:pPr>
        </w:p>
      </w:tc>
    </w:tr>
  </w:tbl>
  <w:p w14:paraId="24A590C2"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9AA6"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0F7A4AE8" w14:textId="77777777" w:rsidTr="00A87A58">
      <w:tc>
        <w:tcPr>
          <w:tcW w:w="947" w:type="pct"/>
        </w:tcPr>
        <w:p w14:paraId="11FBA434" w14:textId="77777777" w:rsidR="008C2EAC" w:rsidRDefault="008C2EAC" w:rsidP="000850AC">
          <w:pPr>
            <w:spacing w:line="0" w:lineRule="atLeast"/>
            <w:rPr>
              <w:sz w:val="18"/>
            </w:rPr>
          </w:pPr>
        </w:p>
      </w:tc>
      <w:tc>
        <w:tcPr>
          <w:tcW w:w="3688" w:type="pct"/>
        </w:tcPr>
        <w:p w14:paraId="7DD726D1" w14:textId="479ACA0B"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04A32">
            <w:rPr>
              <w:i/>
              <w:noProof/>
              <w:sz w:val="18"/>
            </w:rPr>
            <w:t>Higher Education Support Amendment (2022 Measures No. 1) Transitional Rules 2024</w:t>
          </w:r>
          <w:r w:rsidRPr="004E1307">
            <w:rPr>
              <w:i/>
              <w:sz w:val="18"/>
            </w:rPr>
            <w:fldChar w:fldCharType="end"/>
          </w:r>
        </w:p>
      </w:tc>
      <w:tc>
        <w:tcPr>
          <w:tcW w:w="365" w:type="pct"/>
        </w:tcPr>
        <w:p w14:paraId="41F92E84"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2FDA3511" w14:textId="77777777" w:rsidTr="00A87A58">
      <w:tc>
        <w:tcPr>
          <w:tcW w:w="5000" w:type="pct"/>
          <w:gridSpan w:val="3"/>
        </w:tcPr>
        <w:p w14:paraId="61986EA9" w14:textId="77777777" w:rsidR="008C2EAC" w:rsidRDefault="008C2EAC" w:rsidP="000850AC">
          <w:pPr>
            <w:rPr>
              <w:sz w:val="18"/>
            </w:rPr>
          </w:pPr>
        </w:p>
      </w:tc>
    </w:tr>
  </w:tbl>
  <w:p w14:paraId="6132A7B0"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C5CC" w14:textId="77777777" w:rsidR="00CB630A" w:rsidRDefault="00CB630A" w:rsidP="00715914">
      <w:pPr>
        <w:spacing w:line="240" w:lineRule="auto"/>
      </w:pPr>
      <w:r>
        <w:separator/>
      </w:r>
    </w:p>
  </w:footnote>
  <w:footnote w:type="continuationSeparator" w:id="0">
    <w:p w14:paraId="4E73F164" w14:textId="77777777" w:rsidR="00CB630A" w:rsidRDefault="00CB630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CD85"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BE34"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A57E" w14:textId="77777777" w:rsidR="003F0CDD" w:rsidRDefault="003F0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984D"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1653" w14:textId="77777777"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510F"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3E80" w14:textId="77777777" w:rsidR="004E1307" w:rsidRDefault="004E1307" w:rsidP="00715914">
    <w:pPr>
      <w:rPr>
        <w:sz w:val="20"/>
      </w:rPr>
    </w:pPr>
  </w:p>
  <w:p w14:paraId="18068EA4" w14:textId="77777777" w:rsidR="004E1307" w:rsidRDefault="004E1307" w:rsidP="00715914">
    <w:pPr>
      <w:rPr>
        <w:sz w:val="20"/>
      </w:rPr>
    </w:pPr>
  </w:p>
  <w:p w14:paraId="4E9AF0C2" w14:textId="77777777" w:rsidR="004E1307" w:rsidRPr="007A1328" w:rsidRDefault="004E1307" w:rsidP="00715914">
    <w:pPr>
      <w:rPr>
        <w:sz w:val="20"/>
      </w:rPr>
    </w:pPr>
  </w:p>
  <w:p w14:paraId="291331BF" w14:textId="77777777" w:rsidR="004E1307" w:rsidRPr="007A1328" w:rsidRDefault="004E1307" w:rsidP="00715914">
    <w:pPr>
      <w:rPr>
        <w:b/>
        <w:sz w:val="24"/>
      </w:rPr>
    </w:pPr>
  </w:p>
  <w:p w14:paraId="60683C1C"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AB2C" w14:textId="77777777" w:rsidR="004E1307" w:rsidRPr="007A1328" w:rsidRDefault="004E1307" w:rsidP="00715914">
    <w:pPr>
      <w:jc w:val="right"/>
      <w:rPr>
        <w:sz w:val="20"/>
      </w:rPr>
    </w:pPr>
  </w:p>
  <w:p w14:paraId="0BA39F5D" w14:textId="77777777" w:rsidR="004E1307" w:rsidRPr="007A1328" w:rsidRDefault="004E1307" w:rsidP="00715914">
    <w:pPr>
      <w:jc w:val="right"/>
      <w:rPr>
        <w:sz w:val="20"/>
      </w:rPr>
    </w:pPr>
  </w:p>
  <w:p w14:paraId="1F25673D" w14:textId="77777777" w:rsidR="004E1307" w:rsidRPr="007A1328" w:rsidRDefault="004E1307" w:rsidP="00715914">
    <w:pPr>
      <w:jc w:val="right"/>
      <w:rPr>
        <w:sz w:val="20"/>
      </w:rPr>
    </w:pPr>
  </w:p>
  <w:p w14:paraId="78F64854" w14:textId="77777777" w:rsidR="004E1307" w:rsidRPr="007A1328" w:rsidRDefault="004E1307" w:rsidP="00715914">
    <w:pPr>
      <w:jc w:val="right"/>
      <w:rPr>
        <w:b/>
        <w:sz w:val="24"/>
      </w:rPr>
    </w:pPr>
  </w:p>
  <w:p w14:paraId="1B41AF0F"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54F0A"/>
    <w:multiLevelType w:val="hybridMultilevel"/>
    <w:tmpl w:val="10D64F56"/>
    <w:lvl w:ilvl="0" w:tplc="103E7216">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1A35107"/>
    <w:multiLevelType w:val="hybridMultilevel"/>
    <w:tmpl w:val="BF2A2032"/>
    <w:lvl w:ilvl="0" w:tplc="6A70AF1E">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num w:numId="1" w16cid:durableId="1991402960">
    <w:abstractNumId w:val="9"/>
  </w:num>
  <w:num w:numId="2" w16cid:durableId="1512833082">
    <w:abstractNumId w:val="7"/>
  </w:num>
  <w:num w:numId="3" w16cid:durableId="1523858433">
    <w:abstractNumId w:val="6"/>
  </w:num>
  <w:num w:numId="4" w16cid:durableId="456724045">
    <w:abstractNumId w:val="5"/>
  </w:num>
  <w:num w:numId="5" w16cid:durableId="862522529">
    <w:abstractNumId w:val="4"/>
  </w:num>
  <w:num w:numId="6" w16cid:durableId="1599025945">
    <w:abstractNumId w:val="8"/>
  </w:num>
  <w:num w:numId="7" w16cid:durableId="1353189396">
    <w:abstractNumId w:val="3"/>
  </w:num>
  <w:num w:numId="8" w16cid:durableId="1455637837">
    <w:abstractNumId w:val="2"/>
  </w:num>
  <w:num w:numId="9" w16cid:durableId="428963955">
    <w:abstractNumId w:val="1"/>
  </w:num>
  <w:num w:numId="10" w16cid:durableId="561983708">
    <w:abstractNumId w:val="0"/>
  </w:num>
  <w:num w:numId="11" w16cid:durableId="200016111">
    <w:abstractNumId w:val="13"/>
  </w:num>
  <w:num w:numId="12" w16cid:durableId="1172570465">
    <w:abstractNumId w:val="11"/>
  </w:num>
  <w:num w:numId="13" w16cid:durableId="811286063">
    <w:abstractNumId w:val="12"/>
  </w:num>
  <w:num w:numId="14" w16cid:durableId="2146072434">
    <w:abstractNumId w:val="14"/>
  </w:num>
  <w:num w:numId="15" w16cid:durableId="888954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0"/>
    <w:rsid w:val="00001F6D"/>
    <w:rsid w:val="000036A6"/>
    <w:rsid w:val="00004174"/>
    <w:rsid w:val="00004470"/>
    <w:rsid w:val="000136AF"/>
    <w:rsid w:val="000258B1"/>
    <w:rsid w:val="00040A89"/>
    <w:rsid w:val="000437C1"/>
    <w:rsid w:val="0004455A"/>
    <w:rsid w:val="000456C9"/>
    <w:rsid w:val="0005365D"/>
    <w:rsid w:val="000614BF"/>
    <w:rsid w:val="0006709C"/>
    <w:rsid w:val="00074376"/>
    <w:rsid w:val="0008132C"/>
    <w:rsid w:val="000978F5"/>
    <w:rsid w:val="000B15CD"/>
    <w:rsid w:val="000B35EB"/>
    <w:rsid w:val="000C3A62"/>
    <w:rsid w:val="000D05EF"/>
    <w:rsid w:val="000E2261"/>
    <w:rsid w:val="000E78B7"/>
    <w:rsid w:val="000F21C1"/>
    <w:rsid w:val="0010405D"/>
    <w:rsid w:val="0010745C"/>
    <w:rsid w:val="00116600"/>
    <w:rsid w:val="00132224"/>
    <w:rsid w:val="00132CEB"/>
    <w:rsid w:val="001339B0"/>
    <w:rsid w:val="00142B62"/>
    <w:rsid w:val="00143800"/>
    <w:rsid w:val="001441B7"/>
    <w:rsid w:val="001516CB"/>
    <w:rsid w:val="00152336"/>
    <w:rsid w:val="00157B8B"/>
    <w:rsid w:val="00166C2F"/>
    <w:rsid w:val="00176FDA"/>
    <w:rsid w:val="001809D7"/>
    <w:rsid w:val="00182813"/>
    <w:rsid w:val="00185BA1"/>
    <w:rsid w:val="001939E1"/>
    <w:rsid w:val="00194C3E"/>
    <w:rsid w:val="00195382"/>
    <w:rsid w:val="001A0C6F"/>
    <w:rsid w:val="001B2CB6"/>
    <w:rsid w:val="001C1CCA"/>
    <w:rsid w:val="001C47E5"/>
    <w:rsid w:val="001C61C5"/>
    <w:rsid w:val="001C69C4"/>
    <w:rsid w:val="001D05B3"/>
    <w:rsid w:val="001D0F32"/>
    <w:rsid w:val="001D12C5"/>
    <w:rsid w:val="001D37EF"/>
    <w:rsid w:val="001D7151"/>
    <w:rsid w:val="001E3590"/>
    <w:rsid w:val="001E7407"/>
    <w:rsid w:val="001F09E5"/>
    <w:rsid w:val="001F5D5E"/>
    <w:rsid w:val="001F6219"/>
    <w:rsid w:val="001F6CD4"/>
    <w:rsid w:val="00206C4D"/>
    <w:rsid w:val="00215AF1"/>
    <w:rsid w:val="0021790D"/>
    <w:rsid w:val="00221335"/>
    <w:rsid w:val="0023021E"/>
    <w:rsid w:val="002321E8"/>
    <w:rsid w:val="00232984"/>
    <w:rsid w:val="0024010F"/>
    <w:rsid w:val="00240749"/>
    <w:rsid w:val="00243018"/>
    <w:rsid w:val="00246A4B"/>
    <w:rsid w:val="002564A4"/>
    <w:rsid w:val="0026736C"/>
    <w:rsid w:val="00281308"/>
    <w:rsid w:val="00284719"/>
    <w:rsid w:val="00292EAE"/>
    <w:rsid w:val="0029494C"/>
    <w:rsid w:val="00296368"/>
    <w:rsid w:val="00297ECB"/>
    <w:rsid w:val="002A0C39"/>
    <w:rsid w:val="002A7BCF"/>
    <w:rsid w:val="002C3FD1"/>
    <w:rsid w:val="002C41BE"/>
    <w:rsid w:val="002C4303"/>
    <w:rsid w:val="002D043A"/>
    <w:rsid w:val="002D266B"/>
    <w:rsid w:val="002D6224"/>
    <w:rsid w:val="002F13BA"/>
    <w:rsid w:val="002F5466"/>
    <w:rsid w:val="00300DF3"/>
    <w:rsid w:val="00304F8B"/>
    <w:rsid w:val="0031198E"/>
    <w:rsid w:val="00335BC6"/>
    <w:rsid w:val="003415D3"/>
    <w:rsid w:val="00344338"/>
    <w:rsid w:val="00344701"/>
    <w:rsid w:val="00352B0F"/>
    <w:rsid w:val="00360459"/>
    <w:rsid w:val="003607A4"/>
    <w:rsid w:val="00363C54"/>
    <w:rsid w:val="00375350"/>
    <w:rsid w:val="0038049F"/>
    <w:rsid w:val="00381A86"/>
    <w:rsid w:val="003A5D7F"/>
    <w:rsid w:val="003C14D3"/>
    <w:rsid w:val="003C6231"/>
    <w:rsid w:val="003D0815"/>
    <w:rsid w:val="003D0BFE"/>
    <w:rsid w:val="003D5700"/>
    <w:rsid w:val="003E341B"/>
    <w:rsid w:val="003E4A5C"/>
    <w:rsid w:val="003E4D00"/>
    <w:rsid w:val="003F0CDD"/>
    <w:rsid w:val="003F20B6"/>
    <w:rsid w:val="004116CD"/>
    <w:rsid w:val="00417EB9"/>
    <w:rsid w:val="00421F61"/>
    <w:rsid w:val="00424CA9"/>
    <w:rsid w:val="00426E56"/>
    <w:rsid w:val="004276DF"/>
    <w:rsid w:val="00431E9B"/>
    <w:rsid w:val="004379E3"/>
    <w:rsid w:val="0044015E"/>
    <w:rsid w:val="00440E04"/>
    <w:rsid w:val="0044291A"/>
    <w:rsid w:val="00447F19"/>
    <w:rsid w:val="00467478"/>
    <w:rsid w:val="00467661"/>
    <w:rsid w:val="00467D1A"/>
    <w:rsid w:val="00472DBE"/>
    <w:rsid w:val="00473630"/>
    <w:rsid w:val="00474A19"/>
    <w:rsid w:val="00477830"/>
    <w:rsid w:val="00487764"/>
    <w:rsid w:val="00496F97"/>
    <w:rsid w:val="004B6C48"/>
    <w:rsid w:val="004C4E59"/>
    <w:rsid w:val="004C6809"/>
    <w:rsid w:val="004E063A"/>
    <w:rsid w:val="004E1307"/>
    <w:rsid w:val="004E7BEC"/>
    <w:rsid w:val="00505D3D"/>
    <w:rsid w:val="00506440"/>
    <w:rsid w:val="00506AF6"/>
    <w:rsid w:val="005110BF"/>
    <w:rsid w:val="00516B8D"/>
    <w:rsid w:val="00524964"/>
    <w:rsid w:val="005303C8"/>
    <w:rsid w:val="00537FBC"/>
    <w:rsid w:val="00554826"/>
    <w:rsid w:val="00562482"/>
    <w:rsid w:val="00562877"/>
    <w:rsid w:val="00581243"/>
    <w:rsid w:val="00584811"/>
    <w:rsid w:val="00585784"/>
    <w:rsid w:val="005938BF"/>
    <w:rsid w:val="00593AA6"/>
    <w:rsid w:val="00594161"/>
    <w:rsid w:val="00594749"/>
    <w:rsid w:val="005A2934"/>
    <w:rsid w:val="005A65D5"/>
    <w:rsid w:val="005B4067"/>
    <w:rsid w:val="005C3F41"/>
    <w:rsid w:val="005D1D92"/>
    <w:rsid w:val="005D2D09"/>
    <w:rsid w:val="005F6AF6"/>
    <w:rsid w:val="005F79DB"/>
    <w:rsid w:val="00600219"/>
    <w:rsid w:val="00604F2A"/>
    <w:rsid w:val="00605041"/>
    <w:rsid w:val="0060630E"/>
    <w:rsid w:val="00620076"/>
    <w:rsid w:val="00627E0A"/>
    <w:rsid w:val="006360C9"/>
    <w:rsid w:val="0065488B"/>
    <w:rsid w:val="00660EA3"/>
    <w:rsid w:val="00661173"/>
    <w:rsid w:val="00670EA1"/>
    <w:rsid w:val="00671D14"/>
    <w:rsid w:val="00677CC2"/>
    <w:rsid w:val="0068744B"/>
    <w:rsid w:val="006905DE"/>
    <w:rsid w:val="0069207B"/>
    <w:rsid w:val="006A154F"/>
    <w:rsid w:val="006A437B"/>
    <w:rsid w:val="006B5789"/>
    <w:rsid w:val="006B5800"/>
    <w:rsid w:val="006C0721"/>
    <w:rsid w:val="006C30C5"/>
    <w:rsid w:val="006C7F8C"/>
    <w:rsid w:val="006E2E1C"/>
    <w:rsid w:val="006E6246"/>
    <w:rsid w:val="006E69C2"/>
    <w:rsid w:val="006E6DCC"/>
    <w:rsid w:val="006F19BF"/>
    <w:rsid w:val="006F318F"/>
    <w:rsid w:val="006F7F9F"/>
    <w:rsid w:val="0070017E"/>
    <w:rsid w:val="00700B2C"/>
    <w:rsid w:val="00704A32"/>
    <w:rsid w:val="00704B83"/>
    <w:rsid w:val="007050A2"/>
    <w:rsid w:val="00713084"/>
    <w:rsid w:val="00714F20"/>
    <w:rsid w:val="0071590F"/>
    <w:rsid w:val="00715914"/>
    <w:rsid w:val="00717B20"/>
    <w:rsid w:val="0072147A"/>
    <w:rsid w:val="00723791"/>
    <w:rsid w:val="00725770"/>
    <w:rsid w:val="00731E00"/>
    <w:rsid w:val="007440B7"/>
    <w:rsid w:val="0074619A"/>
    <w:rsid w:val="007500C8"/>
    <w:rsid w:val="00756272"/>
    <w:rsid w:val="00762D38"/>
    <w:rsid w:val="00765C1B"/>
    <w:rsid w:val="007712BD"/>
    <w:rsid w:val="007715C9"/>
    <w:rsid w:val="00771613"/>
    <w:rsid w:val="00774EDD"/>
    <w:rsid w:val="007757EC"/>
    <w:rsid w:val="00783E89"/>
    <w:rsid w:val="00793915"/>
    <w:rsid w:val="007A0816"/>
    <w:rsid w:val="007B58D9"/>
    <w:rsid w:val="007C2253"/>
    <w:rsid w:val="007D23EB"/>
    <w:rsid w:val="007D6076"/>
    <w:rsid w:val="007D7633"/>
    <w:rsid w:val="007D7911"/>
    <w:rsid w:val="007E163D"/>
    <w:rsid w:val="007E667A"/>
    <w:rsid w:val="007E7D13"/>
    <w:rsid w:val="007F28C9"/>
    <w:rsid w:val="007F51B2"/>
    <w:rsid w:val="008040DD"/>
    <w:rsid w:val="008117E9"/>
    <w:rsid w:val="00812B1C"/>
    <w:rsid w:val="00824498"/>
    <w:rsid w:val="00826BD1"/>
    <w:rsid w:val="008337FF"/>
    <w:rsid w:val="008512C7"/>
    <w:rsid w:val="00854D0B"/>
    <w:rsid w:val="00856A31"/>
    <w:rsid w:val="00860B4E"/>
    <w:rsid w:val="00867B37"/>
    <w:rsid w:val="00872ED8"/>
    <w:rsid w:val="008754D0"/>
    <w:rsid w:val="00875D13"/>
    <w:rsid w:val="00883FF2"/>
    <w:rsid w:val="008855C9"/>
    <w:rsid w:val="00886456"/>
    <w:rsid w:val="00896176"/>
    <w:rsid w:val="0089773B"/>
    <w:rsid w:val="008A0D09"/>
    <w:rsid w:val="008A46E1"/>
    <w:rsid w:val="008A4F43"/>
    <w:rsid w:val="008B2706"/>
    <w:rsid w:val="008C2EAC"/>
    <w:rsid w:val="008C4C12"/>
    <w:rsid w:val="008D0EE0"/>
    <w:rsid w:val="008E0027"/>
    <w:rsid w:val="008E5EC5"/>
    <w:rsid w:val="008E6067"/>
    <w:rsid w:val="008F54E7"/>
    <w:rsid w:val="00903422"/>
    <w:rsid w:val="00913B2F"/>
    <w:rsid w:val="00922804"/>
    <w:rsid w:val="009241BC"/>
    <w:rsid w:val="009254C3"/>
    <w:rsid w:val="00932377"/>
    <w:rsid w:val="00932511"/>
    <w:rsid w:val="00941236"/>
    <w:rsid w:val="00943FD5"/>
    <w:rsid w:val="00947D5A"/>
    <w:rsid w:val="0095131C"/>
    <w:rsid w:val="009532A5"/>
    <w:rsid w:val="009545BD"/>
    <w:rsid w:val="009642BB"/>
    <w:rsid w:val="00964CF0"/>
    <w:rsid w:val="00977806"/>
    <w:rsid w:val="00982242"/>
    <w:rsid w:val="009868E9"/>
    <w:rsid w:val="009900A3"/>
    <w:rsid w:val="009A5EA6"/>
    <w:rsid w:val="009C3413"/>
    <w:rsid w:val="009D0B4D"/>
    <w:rsid w:val="00A0441E"/>
    <w:rsid w:val="00A12128"/>
    <w:rsid w:val="00A22C98"/>
    <w:rsid w:val="00A231E2"/>
    <w:rsid w:val="00A369E3"/>
    <w:rsid w:val="00A57600"/>
    <w:rsid w:val="00A60632"/>
    <w:rsid w:val="00A64912"/>
    <w:rsid w:val="00A70A74"/>
    <w:rsid w:val="00A75FE9"/>
    <w:rsid w:val="00AB5CF2"/>
    <w:rsid w:val="00AB6456"/>
    <w:rsid w:val="00AC1C70"/>
    <w:rsid w:val="00AD53CC"/>
    <w:rsid w:val="00AD5641"/>
    <w:rsid w:val="00AF06CF"/>
    <w:rsid w:val="00B07CDB"/>
    <w:rsid w:val="00B16A31"/>
    <w:rsid w:val="00B17DFD"/>
    <w:rsid w:val="00B25306"/>
    <w:rsid w:val="00B27831"/>
    <w:rsid w:val="00B308FE"/>
    <w:rsid w:val="00B33709"/>
    <w:rsid w:val="00B33B3C"/>
    <w:rsid w:val="00B36392"/>
    <w:rsid w:val="00B418CB"/>
    <w:rsid w:val="00B47444"/>
    <w:rsid w:val="00B50ADC"/>
    <w:rsid w:val="00B51F5D"/>
    <w:rsid w:val="00B566B1"/>
    <w:rsid w:val="00B63834"/>
    <w:rsid w:val="00B6446D"/>
    <w:rsid w:val="00B645E6"/>
    <w:rsid w:val="00B80199"/>
    <w:rsid w:val="00B80534"/>
    <w:rsid w:val="00B83204"/>
    <w:rsid w:val="00B856E7"/>
    <w:rsid w:val="00BA220B"/>
    <w:rsid w:val="00BA3A57"/>
    <w:rsid w:val="00BA71F9"/>
    <w:rsid w:val="00BB1533"/>
    <w:rsid w:val="00BB28A0"/>
    <w:rsid w:val="00BB4E1A"/>
    <w:rsid w:val="00BC015E"/>
    <w:rsid w:val="00BC2A59"/>
    <w:rsid w:val="00BC76AC"/>
    <w:rsid w:val="00BD0ECB"/>
    <w:rsid w:val="00BE194B"/>
    <w:rsid w:val="00BE2155"/>
    <w:rsid w:val="00BE6C4A"/>
    <w:rsid w:val="00BE719A"/>
    <w:rsid w:val="00BE720A"/>
    <w:rsid w:val="00BE7366"/>
    <w:rsid w:val="00BF0D73"/>
    <w:rsid w:val="00BF2465"/>
    <w:rsid w:val="00C16619"/>
    <w:rsid w:val="00C25E7F"/>
    <w:rsid w:val="00C2746F"/>
    <w:rsid w:val="00C31F18"/>
    <w:rsid w:val="00C323D6"/>
    <w:rsid w:val="00C324A0"/>
    <w:rsid w:val="00C3486C"/>
    <w:rsid w:val="00C42BF8"/>
    <w:rsid w:val="00C50043"/>
    <w:rsid w:val="00C54975"/>
    <w:rsid w:val="00C7573B"/>
    <w:rsid w:val="00C93286"/>
    <w:rsid w:val="00C97A54"/>
    <w:rsid w:val="00CA447B"/>
    <w:rsid w:val="00CA5B23"/>
    <w:rsid w:val="00CB602E"/>
    <w:rsid w:val="00CB630A"/>
    <w:rsid w:val="00CB7E90"/>
    <w:rsid w:val="00CC4AEF"/>
    <w:rsid w:val="00CD53FF"/>
    <w:rsid w:val="00CE051D"/>
    <w:rsid w:val="00CE1335"/>
    <w:rsid w:val="00CE493D"/>
    <w:rsid w:val="00CF07FA"/>
    <w:rsid w:val="00CF0BB2"/>
    <w:rsid w:val="00CF3EE8"/>
    <w:rsid w:val="00D13441"/>
    <w:rsid w:val="00D15005"/>
    <w:rsid w:val="00D150E7"/>
    <w:rsid w:val="00D16144"/>
    <w:rsid w:val="00D340B7"/>
    <w:rsid w:val="00D44C9C"/>
    <w:rsid w:val="00D52DC2"/>
    <w:rsid w:val="00D53BCC"/>
    <w:rsid w:val="00D54C9E"/>
    <w:rsid w:val="00D61963"/>
    <w:rsid w:val="00D6537E"/>
    <w:rsid w:val="00D70DFB"/>
    <w:rsid w:val="00D75E1F"/>
    <w:rsid w:val="00D766DF"/>
    <w:rsid w:val="00D803B3"/>
    <w:rsid w:val="00D80627"/>
    <w:rsid w:val="00D8206C"/>
    <w:rsid w:val="00D839B1"/>
    <w:rsid w:val="00D91F10"/>
    <w:rsid w:val="00DA03E5"/>
    <w:rsid w:val="00DA186E"/>
    <w:rsid w:val="00DA4116"/>
    <w:rsid w:val="00DA5E7E"/>
    <w:rsid w:val="00DB0365"/>
    <w:rsid w:val="00DB251C"/>
    <w:rsid w:val="00DB4630"/>
    <w:rsid w:val="00DC4F88"/>
    <w:rsid w:val="00DC5E38"/>
    <w:rsid w:val="00DD0B36"/>
    <w:rsid w:val="00DD61A1"/>
    <w:rsid w:val="00DE107C"/>
    <w:rsid w:val="00DF2388"/>
    <w:rsid w:val="00E05704"/>
    <w:rsid w:val="00E279C9"/>
    <w:rsid w:val="00E338EF"/>
    <w:rsid w:val="00E544BB"/>
    <w:rsid w:val="00E74DC7"/>
    <w:rsid w:val="00E8075A"/>
    <w:rsid w:val="00E842A2"/>
    <w:rsid w:val="00E940D8"/>
    <w:rsid w:val="00E94D5E"/>
    <w:rsid w:val="00EA7100"/>
    <w:rsid w:val="00EA7DBC"/>
    <w:rsid w:val="00EA7F9F"/>
    <w:rsid w:val="00EB1274"/>
    <w:rsid w:val="00ED2BB6"/>
    <w:rsid w:val="00ED34E1"/>
    <w:rsid w:val="00ED3B8D"/>
    <w:rsid w:val="00EE5E36"/>
    <w:rsid w:val="00EF2E3A"/>
    <w:rsid w:val="00EF5017"/>
    <w:rsid w:val="00F02C7C"/>
    <w:rsid w:val="00F03223"/>
    <w:rsid w:val="00F072A7"/>
    <w:rsid w:val="00F078DC"/>
    <w:rsid w:val="00F10F8A"/>
    <w:rsid w:val="00F129BF"/>
    <w:rsid w:val="00F2175C"/>
    <w:rsid w:val="00F32BA8"/>
    <w:rsid w:val="00F32EE0"/>
    <w:rsid w:val="00F32FAA"/>
    <w:rsid w:val="00F349F1"/>
    <w:rsid w:val="00F4350D"/>
    <w:rsid w:val="00F468CB"/>
    <w:rsid w:val="00F479C4"/>
    <w:rsid w:val="00F567F7"/>
    <w:rsid w:val="00F667BD"/>
    <w:rsid w:val="00F6696E"/>
    <w:rsid w:val="00F73BD6"/>
    <w:rsid w:val="00F83989"/>
    <w:rsid w:val="00F85099"/>
    <w:rsid w:val="00F9379C"/>
    <w:rsid w:val="00F9632C"/>
    <w:rsid w:val="00FA1E52"/>
    <w:rsid w:val="00FA7847"/>
    <w:rsid w:val="00FB5A08"/>
    <w:rsid w:val="00FC6A80"/>
    <w:rsid w:val="00FD58AD"/>
    <w:rsid w:val="00FE037C"/>
    <w:rsid w:val="00FE4688"/>
    <w:rsid w:val="00FF1FB3"/>
    <w:rsid w:val="00FF23F4"/>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9706"/>
  <w15:docId w15:val="{414E6E9D-65E2-40FF-92A7-F886F670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375350"/>
    <w:rPr>
      <w:sz w:val="16"/>
      <w:szCs w:val="16"/>
    </w:rPr>
  </w:style>
  <w:style w:type="paragraph" w:styleId="CommentText">
    <w:name w:val="annotation text"/>
    <w:basedOn w:val="Normal"/>
    <w:link w:val="CommentTextChar"/>
    <w:uiPriority w:val="99"/>
    <w:unhideWhenUsed/>
    <w:rsid w:val="00375350"/>
    <w:pPr>
      <w:spacing w:line="240" w:lineRule="auto"/>
    </w:pPr>
    <w:rPr>
      <w:sz w:val="20"/>
    </w:rPr>
  </w:style>
  <w:style w:type="character" w:customStyle="1" w:styleId="CommentTextChar">
    <w:name w:val="Comment Text Char"/>
    <w:basedOn w:val="DefaultParagraphFont"/>
    <w:link w:val="CommentText"/>
    <w:uiPriority w:val="99"/>
    <w:rsid w:val="00375350"/>
  </w:style>
  <w:style w:type="paragraph" w:styleId="CommentSubject">
    <w:name w:val="annotation subject"/>
    <w:basedOn w:val="CommentText"/>
    <w:next w:val="CommentText"/>
    <w:link w:val="CommentSubjectChar"/>
    <w:uiPriority w:val="99"/>
    <w:semiHidden/>
    <w:unhideWhenUsed/>
    <w:rsid w:val="00375350"/>
    <w:rPr>
      <w:b/>
      <w:bCs/>
    </w:rPr>
  </w:style>
  <w:style w:type="character" w:customStyle="1" w:styleId="CommentSubjectChar">
    <w:name w:val="Comment Subject Char"/>
    <w:basedOn w:val="CommentTextChar"/>
    <w:link w:val="CommentSubject"/>
    <w:uiPriority w:val="99"/>
    <w:semiHidden/>
    <w:rsid w:val="00375350"/>
    <w:rPr>
      <w:b/>
      <w:bCs/>
    </w:rPr>
  </w:style>
  <w:style w:type="paragraph" w:styleId="Revision">
    <w:name w:val="Revision"/>
    <w:hidden/>
    <w:uiPriority w:val="99"/>
    <w:semiHidden/>
    <w:rsid w:val="000813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31C16A-619A-4AB6-B032-0A7D73687B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CC68590F43FB4594FC413B62A440FC" ma:contentTypeVersion="" ma:contentTypeDescription="PDMS Document Site Content Type" ma:contentTypeScope="" ma:versionID="c90a408b36e11cfd4627a24a0ce21c56">
  <xsd:schema xmlns:xsd="http://www.w3.org/2001/XMLSchema" xmlns:xs="http://www.w3.org/2001/XMLSchema" xmlns:p="http://schemas.microsoft.com/office/2006/metadata/properties" xmlns:ns2="8731C16A-619A-4AB6-B032-0A7D73687B90" targetNamespace="http://schemas.microsoft.com/office/2006/metadata/properties" ma:root="true" ma:fieldsID="cfbbdf04069647b43f660af63190bc20" ns2:_="">
    <xsd:import namespace="8731C16A-619A-4AB6-B032-0A7D73687B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1C16A-619A-4AB6-B032-0A7D73687B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customXml/itemProps2.xml><?xml version="1.0" encoding="utf-8"?>
<ds:datastoreItem xmlns:ds="http://schemas.openxmlformats.org/officeDocument/2006/customXml" ds:itemID="{0238CA7F-ECD6-43F7-88C3-17FBFAA15705}">
  <ds:schemaRefs>
    <ds:schemaRef ds:uri="http://schemas.microsoft.com/office/2006/metadata/properties"/>
    <ds:schemaRef ds:uri="http://schemas.microsoft.com/office/infopath/2007/PartnerControls"/>
    <ds:schemaRef ds:uri="7854C0B0-7D5D-4CAA-BD79-86FB2D0E615A"/>
    <ds:schemaRef ds:uri="8731C16A-619A-4AB6-B032-0A7D73687B90"/>
  </ds:schemaRefs>
</ds:datastoreItem>
</file>

<file path=customXml/itemProps3.xml><?xml version="1.0" encoding="utf-8"?>
<ds:datastoreItem xmlns:ds="http://schemas.openxmlformats.org/officeDocument/2006/customXml" ds:itemID="{8AEB23E9-6866-44E0-BC37-0FD425A539F1}">
  <ds:schemaRefs>
    <ds:schemaRef ds:uri="http://schemas.microsoft.com/sharepoint/v3/contenttype/forms"/>
  </ds:schemaRefs>
</ds:datastoreItem>
</file>

<file path=customXml/itemProps4.xml><?xml version="1.0" encoding="utf-8"?>
<ds:datastoreItem xmlns:ds="http://schemas.openxmlformats.org/officeDocument/2006/customXml" ds:itemID="{D79B011E-469A-4D44-B528-3C004AF97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1C16A-619A-4AB6-B032-0A7D73687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2</TotalTime>
  <Pages>7</Pages>
  <Words>1041</Words>
  <Characters>5158</Characters>
  <Application>Microsoft Office Word</Application>
  <DocSecurity>0</DocSecurity>
  <Lines>109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OSTOJIC,Stephanie</cp:lastModifiedBy>
  <cp:revision>3</cp:revision>
  <dcterms:created xsi:type="dcterms:W3CDTF">2024-01-11T04:42:00Z</dcterms:created>
  <dcterms:modified xsi:type="dcterms:W3CDTF">2024-02-15T03:53:00Z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2023-03-06T02:50:39Z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a9246c62-0f1f-4e72-a53a-db8fe3694bff</vt:lpwstr>
  </property>
  <property fmtid="{D5CDD505-2E9C-101B-9397-08002B2CF9AE}" pid="8" name="MSIP_Label_79d889eb-932f-4752-8739-64d25806ef64_ContentBits">
    <vt:lpwstr>0</vt:lpwstr>
  </property>
  <property fmtid="{D5CDD505-2E9C-101B-9397-08002B2CF9AE}" pid="9" name="ContentTypeId">
    <vt:lpwstr>0x010100266966F133664895A6EE3632470D45F50054CC68590F43FB4594FC413B62A440FC</vt:lpwstr>
  </property>
</Properties>
</file>