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20182E" w:rsidRDefault="00FF6E25" w:rsidP="000C310A">
      <w:pPr>
        <w:pStyle w:val="Title"/>
      </w:pPr>
      <w:r w:rsidRPr="0020182E">
        <w:t>EXPLANATORY STATEMENT</w:t>
      </w:r>
    </w:p>
    <w:p w14:paraId="145EC655" w14:textId="715719D5" w:rsidR="0088497A" w:rsidRPr="0020182E" w:rsidRDefault="0088497A" w:rsidP="000C310A">
      <w:pPr>
        <w:pStyle w:val="Subtitle"/>
        <w:rPr>
          <w:rStyle w:val="IntenseEmphasis"/>
          <w:color w:val="auto"/>
        </w:rPr>
      </w:pPr>
      <w:r w:rsidRPr="0020182E">
        <w:rPr>
          <w:rStyle w:val="IntenseEmphasis"/>
          <w:color w:val="auto"/>
        </w:rPr>
        <w:t xml:space="preserve">Issued by the authority of </w:t>
      </w:r>
      <w:r w:rsidR="0020182E" w:rsidRPr="0020182E">
        <w:rPr>
          <w:rStyle w:val="IntenseEmphasis"/>
          <w:color w:val="auto"/>
        </w:rPr>
        <w:t>the Minister for Education</w:t>
      </w:r>
    </w:p>
    <w:p w14:paraId="12EB6806" w14:textId="48D26371" w:rsidR="00455C2A" w:rsidRPr="0020182E" w:rsidRDefault="0020182E" w:rsidP="000C310A">
      <w:pPr>
        <w:pStyle w:val="Subtitle"/>
      </w:pPr>
      <w:r w:rsidRPr="0020182E">
        <w:t>Higher Education Support Amendment (2022 Measures No. 1) Act 2023</w:t>
      </w:r>
    </w:p>
    <w:p w14:paraId="6C026A0C" w14:textId="05F0263C" w:rsidR="00503218" w:rsidRPr="0088497A" w:rsidRDefault="0020182E" w:rsidP="000C310A">
      <w:pPr>
        <w:pStyle w:val="Subtitle"/>
      </w:pPr>
      <w:r>
        <w:t xml:space="preserve">Higher Education Support Amendment (2022 Measures No. 1) Transitional Rules </w:t>
      </w:r>
      <w:r w:rsidR="00AA102C">
        <w:t>2024</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75EB43C2" w:rsidR="00DB6247" w:rsidRPr="0020182E" w:rsidRDefault="0020182E" w:rsidP="000C310A">
      <w:pPr>
        <w:spacing w:before="120" w:after="120"/>
      </w:pPr>
      <w:r>
        <w:rPr>
          <w:rFonts w:asciiTheme="minorHAnsi" w:hAnsiTheme="minorHAnsi" w:cstheme="minorHAnsi"/>
          <w:szCs w:val="24"/>
        </w:rPr>
        <w:t xml:space="preserve">Item 12 </w:t>
      </w:r>
      <w:r w:rsidR="002D615F">
        <w:rPr>
          <w:rFonts w:asciiTheme="minorHAnsi" w:hAnsiTheme="minorHAnsi" w:cstheme="minorHAnsi"/>
          <w:szCs w:val="24"/>
        </w:rPr>
        <w:t>of</w:t>
      </w:r>
      <w:r>
        <w:rPr>
          <w:rFonts w:asciiTheme="minorHAnsi" w:hAnsiTheme="minorHAnsi" w:cstheme="minorHAnsi"/>
          <w:szCs w:val="24"/>
        </w:rPr>
        <w:t xml:space="preserve"> Schedule 1 </w:t>
      </w:r>
      <w:r w:rsidR="002D615F">
        <w:rPr>
          <w:rFonts w:asciiTheme="minorHAnsi" w:hAnsiTheme="minorHAnsi" w:cstheme="minorHAnsi"/>
          <w:szCs w:val="24"/>
        </w:rPr>
        <w:t>to</w:t>
      </w:r>
      <w:r>
        <w:rPr>
          <w:rFonts w:asciiTheme="minorHAnsi" w:hAnsiTheme="minorHAnsi" w:cstheme="minorHAnsi"/>
          <w:szCs w:val="24"/>
        </w:rPr>
        <w:t xml:space="preserve"> the </w:t>
      </w:r>
      <w:r>
        <w:rPr>
          <w:rFonts w:asciiTheme="minorHAnsi" w:hAnsiTheme="minorHAnsi" w:cstheme="minorHAnsi"/>
          <w:i/>
          <w:iCs/>
          <w:szCs w:val="24"/>
        </w:rPr>
        <w:t xml:space="preserve">Higher Education Support Amendment (2022 Measures No. 1) Act 2023 </w:t>
      </w:r>
      <w:r>
        <w:rPr>
          <w:rFonts w:asciiTheme="minorHAnsi" w:hAnsiTheme="minorHAnsi" w:cstheme="minorHAnsi"/>
          <w:szCs w:val="24"/>
        </w:rPr>
        <w:t>(the Act) provides that the Minister may, by legislative instrument, make rules prescribing matters of a transitional nature relating to the amendments or repeals made by Schedule 1</w:t>
      </w:r>
      <w:r w:rsidR="00C44D70">
        <w:rPr>
          <w:rFonts w:asciiTheme="minorHAnsi" w:hAnsiTheme="minorHAnsi" w:cstheme="minorHAnsi"/>
          <w:szCs w:val="24"/>
        </w:rPr>
        <w:t xml:space="preserve"> to the Act</w:t>
      </w:r>
      <w:r>
        <w:rPr>
          <w:rFonts w:asciiTheme="minorHAnsi" w:hAnsiTheme="minorHAnsi" w:cstheme="minorHAnsi"/>
          <w:szCs w:val="24"/>
        </w:rPr>
        <w:t xml:space="preserve">. </w:t>
      </w:r>
    </w:p>
    <w:bookmarkEnd w:id="0"/>
    <w:bookmarkEnd w:id="1"/>
    <w:p w14:paraId="56CDA376" w14:textId="77777777" w:rsidR="00DA552F" w:rsidRPr="008134D5" w:rsidRDefault="00144950" w:rsidP="000C310A">
      <w:pPr>
        <w:pStyle w:val="Heading1"/>
      </w:pPr>
      <w:r>
        <w:t>PURPOSE AND OPERATION</w:t>
      </w:r>
    </w:p>
    <w:p w14:paraId="063F070A" w14:textId="079788AB" w:rsidR="00437A61" w:rsidRDefault="0020182E"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Pr>
          <w:rFonts w:asciiTheme="minorHAnsi" w:hAnsiTheme="minorHAnsi" w:cstheme="minorHAnsi"/>
          <w:i/>
          <w:szCs w:val="24"/>
        </w:rPr>
        <w:t xml:space="preserve">Higher Education Support Amendment (2022 Measures No. 1) Transitional Rules </w:t>
      </w:r>
      <w:r w:rsidR="00AA102C">
        <w:rPr>
          <w:rFonts w:asciiTheme="minorHAnsi" w:hAnsiTheme="minorHAnsi" w:cstheme="minorHAnsi"/>
          <w:i/>
          <w:szCs w:val="24"/>
        </w:rPr>
        <w:t>2024</w:t>
      </w:r>
      <w:r>
        <w:rPr>
          <w:rFonts w:asciiTheme="minorHAnsi" w:hAnsiTheme="minorHAnsi" w:cstheme="minorHAnsi"/>
          <w:i/>
          <w:szCs w:val="24"/>
        </w:rPr>
        <w:t xml:space="preserve"> </w:t>
      </w:r>
      <w:r>
        <w:rPr>
          <w:rFonts w:asciiTheme="minorHAnsi" w:hAnsiTheme="minorHAnsi" w:cstheme="minorHAnsi"/>
          <w:iCs/>
          <w:szCs w:val="24"/>
        </w:rPr>
        <w:t xml:space="preserve">(the Instrument) </w:t>
      </w:r>
      <w:r w:rsidR="00437A61">
        <w:rPr>
          <w:rFonts w:asciiTheme="minorHAnsi" w:hAnsiTheme="minorHAnsi" w:cstheme="minorHAnsi"/>
          <w:iCs/>
          <w:szCs w:val="24"/>
        </w:rPr>
        <w:t xml:space="preserve">sets out transitional rules in relation to the amendments made by the Act to amend the definition of ‘grandfathered student’ in the </w:t>
      </w:r>
      <w:r w:rsidR="00437A61">
        <w:rPr>
          <w:rFonts w:asciiTheme="minorHAnsi" w:hAnsiTheme="minorHAnsi" w:cstheme="minorHAnsi"/>
          <w:i/>
          <w:szCs w:val="24"/>
        </w:rPr>
        <w:t xml:space="preserve">Higher Education Support Act 2003 </w:t>
      </w:r>
      <w:r w:rsidR="00437A61">
        <w:rPr>
          <w:rFonts w:asciiTheme="minorHAnsi" w:hAnsiTheme="minorHAnsi" w:cstheme="minorHAnsi"/>
          <w:iCs/>
          <w:szCs w:val="24"/>
        </w:rPr>
        <w:t xml:space="preserve">(HESA). </w:t>
      </w:r>
      <w:r w:rsidR="00C44D70">
        <w:rPr>
          <w:rFonts w:asciiTheme="minorHAnsi" w:hAnsiTheme="minorHAnsi" w:cstheme="minorHAnsi"/>
          <w:iCs/>
          <w:szCs w:val="24"/>
        </w:rPr>
        <w:t>On</w:t>
      </w:r>
      <w:r w:rsidR="003F2359">
        <w:rPr>
          <w:rFonts w:asciiTheme="minorHAnsi" w:hAnsiTheme="minorHAnsi" w:cstheme="minorHAnsi"/>
          <w:iCs/>
          <w:szCs w:val="24"/>
        </w:rPr>
        <w:t xml:space="preserve"> 28 October 2020, t</w:t>
      </w:r>
      <w:r w:rsidR="00E67613" w:rsidRPr="00E67613">
        <w:rPr>
          <w:rFonts w:asciiTheme="minorHAnsi" w:hAnsiTheme="minorHAnsi" w:cstheme="minorHAnsi"/>
          <w:iCs/>
          <w:szCs w:val="24"/>
        </w:rPr>
        <w:t xml:space="preserve">he </w:t>
      </w:r>
      <w:r w:rsidR="00E67613" w:rsidRPr="00E67613">
        <w:rPr>
          <w:rFonts w:asciiTheme="minorHAnsi" w:hAnsiTheme="minorHAnsi" w:cstheme="minorHAnsi"/>
          <w:i/>
          <w:szCs w:val="24"/>
        </w:rPr>
        <w:t>Higher Education Support Amendment (Job-ready Graduates and Supporting Regional and Remote Students) Act 2020</w:t>
      </w:r>
      <w:r w:rsidR="00E67613" w:rsidRPr="00E67613">
        <w:rPr>
          <w:rFonts w:asciiTheme="minorHAnsi" w:hAnsiTheme="minorHAnsi" w:cstheme="minorHAnsi"/>
          <w:iCs/>
          <w:szCs w:val="24"/>
        </w:rPr>
        <w:t xml:space="preserve"> </w:t>
      </w:r>
      <w:r w:rsidR="00E00E6A" w:rsidRPr="00E67613">
        <w:rPr>
          <w:rFonts w:asciiTheme="minorHAnsi" w:hAnsiTheme="minorHAnsi" w:cstheme="minorHAnsi"/>
          <w:iCs/>
          <w:szCs w:val="24"/>
        </w:rPr>
        <w:t xml:space="preserve">amended </w:t>
      </w:r>
      <w:r w:rsidR="00E00E6A">
        <w:rPr>
          <w:rFonts w:asciiTheme="minorHAnsi" w:hAnsiTheme="minorHAnsi" w:cstheme="minorHAnsi"/>
          <w:iCs/>
          <w:szCs w:val="24"/>
        </w:rPr>
        <w:t>HESA</w:t>
      </w:r>
      <w:r w:rsidR="00E67613" w:rsidRPr="00E67613">
        <w:rPr>
          <w:rFonts w:asciiTheme="minorHAnsi" w:hAnsiTheme="minorHAnsi" w:cstheme="minorHAnsi"/>
          <w:iCs/>
          <w:szCs w:val="24"/>
        </w:rPr>
        <w:t xml:space="preserve"> to change student and Commonwealth contribution amounts, to encourage students to enrol in courses in areas of job growth. Those amendments inserted a definition of ‘grandfathered student’ in Schedule 1 of HESA to treat certain existing students (on and after 1 January 2021) beneficially where the changes would otherwise result in those students being charged a higher student contribution amount</w:t>
      </w:r>
      <w:r w:rsidR="00E67613">
        <w:rPr>
          <w:rFonts w:asciiTheme="minorHAnsi" w:hAnsiTheme="minorHAnsi" w:cstheme="minorHAnsi"/>
          <w:iCs/>
          <w:szCs w:val="24"/>
        </w:rPr>
        <w:t>.</w:t>
      </w:r>
      <w:r w:rsidR="00E67613" w:rsidRPr="00E67613">
        <w:rPr>
          <w:color w:val="000000"/>
          <w:sz w:val="27"/>
          <w:szCs w:val="27"/>
        </w:rPr>
        <w:t xml:space="preserve"> </w:t>
      </w:r>
      <w:r w:rsidR="00C44D70">
        <w:rPr>
          <w:rFonts w:asciiTheme="minorHAnsi" w:hAnsiTheme="minorHAnsi" w:cstheme="minorHAnsi"/>
          <w:iCs/>
          <w:szCs w:val="24"/>
        </w:rPr>
        <w:t xml:space="preserve">On 21 February 2023, the </w:t>
      </w:r>
      <w:r w:rsidR="00E67613">
        <w:rPr>
          <w:rFonts w:asciiTheme="minorHAnsi" w:hAnsiTheme="minorHAnsi" w:cstheme="minorHAnsi"/>
          <w:iCs/>
          <w:szCs w:val="24"/>
        </w:rPr>
        <w:t>Act</w:t>
      </w:r>
      <w:r w:rsidR="00E67613" w:rsidRPr="00E67613">
        <w:rPr>
          <w:rFonts w:asciiTheme="minorHAnsi" w:hAnsiTheme="minorHAnsi" w:cstheme="minorHAnsi"/>
          <w:iCs/>
          <w:szCs w:val="24"/>
        </w:rPr>
        <w:t xml:space="preserve"> amend</w:t>
      </w:r>
      <w:r w:rsidR="00E67613">
        <w:rPr>
          <w:rFonts w:asciiTheme="minorHAnsi" w:hAnsiTheme="minorHAnsi" w:cstheme="minorHAnsi"/>
          <w:iCs/>
          <w:szCs w:val="24"/>
        </w:rPr>
        <w:t>ed</w:t>
      </w:r>
      <w:r w:rsidR="00E67613" w:rsidRPr="00E67613">
        <w:rPr>
          <w:rFonts w:asciiTheme="minorHAnsi" w:hAnsiTheme="minorHAnsi" w:cstheme="minorHAnsi"/>
          <w:iCs/>
          <w:szCs w:val="24"/>
        </w:rPr>
        <w:t xml:space="preserve"> the definition of a ‘grandfathered student’ to include students undertaking an honours course that is related to a course of study they commenced with a higher education provider before 1 January 2021 but that they did not complete until after 1 January 2021</w:t>
      </w:r>
      <w:r w:rsidR="003F2359">
        <w:rPr>
          <w:rFonts w:asciiTheme="minorHAnsi" w:hAnsiTheme="minorHAnsi" w:cstheme="minorHAnsi"/>
          <w:iCs/>
          <w:szCs w:val="24"/>
        </w:rPr>
        <w:t xml:space="preserve"> (affected honours students)</w:t>
      </w:r>
      <w:r w:rsidR="00E67613">
        <w:rPr>
          <w:rFonts w:asciiTheme="minorHAnsi" w:hAnsiTheme="minorHAnsi" w:cstheme="minorHAnsi"/>
          <w:iCs/>
          <w:szCs w:val="24"/>
        </w:rPr>
        <w:t>.</w:t>
      </w:r>
      <w:r w:rsidR="009A0A1B">
        <w:rPr>
          <w:rFonts w:asciiTheme="minorHAnsi" w:hAnsiTheme="minorHAnsi" w:cstheme="minorHAnsi"/>
          <w:iCs/>
          <w:szCs w:val="24"/>
        </w:rPr>
        <w:t xml:space="preserve"> </w:t>
      </w:r>
      <w:r w:rsidR="00855A94">
        <w:rPr>
          <w:rFonts w:asciiTheme="minorHAnsi" w:hAnsiTheme="minorHAnsi" w:cstheme="minorHAnsi"/>
          <w:iCs/>
          <w:szCs w:val="24"/>
        </w:rPr>
        <w:t>The a</w:t>
      </w:r>
      <w:r w:rsidR="005555EB">
        <w:rPr>
          <w:rFonts w:asciiTheme="minorHAnsi" w:hAnsiTheme="minorHAnsi" w:cstheme="minorHAnsi"/>
          <w:iCs/>
          <w:szCs w:val="24"/>
        </w:rPr>
        <w:t xml:space="preserve">pplication provisions </w:t>
      </w:r>
      <w:r w:rsidR="00855A94">
        <w:rPr>
          <w:rFonts w:asciiTheme="minorHAnsi" w:hAnsiTheme="minorHAnsi" w:cstheme="minorHAnsi"/>
          <w:iCs/>
          <w:szCs w:val="24"/>
        </w:rPr>
        <w:t xml:space="preserve">in </w:t>
      </w:r>
      <w:r w:rsidR="00CD3BAE">
        <w:rPr>
          <w:rFonts w:asciiTheme="minorHAnsi" w:hAnsiTheme="minorHAnsi" w:cstheme="minorHAnsi"/>
          <w:iCs/>
          <w:szCs w:val="24"/>
        </w:rPr>
        <w:t>Part 2</w:t>
      </w:r>
      <w:r w:rsidR="00855A94">
        <w:rPr>
          <w:rFonts w:asciiTheme="minorHAnsi" w:hAnsiTheme="minorHAnsi" w:cstheme="minorHAnsi"/>
          <w:iCs/>
          <w:szCs w:val="24"/>
        </w:rPr>
        <w:t xml:space="preserve"> </w:t>
      </w:r>
      <w:proofErr w:type="gramStart"/>
      <w:r w:rsidR="00855A94">
        <w:rPr>
          <w:rFonts w:asciiTheme="minorHAnsi" w:hAnsiTheme="minorHAnsi" w:cstheme="minorHAnsi"/>
          <w:iCs/>
          <w:szCs w:val="24"/>
        </w:rPr>
        <w:t>of</w:t>
      </w:r>
      <w:r w:rsidR="00855A94" w:rsidDel="00855A94">
        <w:rPr>
          <w:rFonts w:asciiTheme="minorHAnsi" w:hAnsiTheme="minorHAnsi" w:cstheme="minorHAnsi"/>
          <w:iCs/>
          <w:szCs w:val="24"/>
        </w:rPr>
        <w:t xml:space="preserve"> </w:t>
      </w:r>
      <w:r w:rsidR="005555EB">
        <w:rPr>
          <w:rFonts w:asciiTheme="minorHAnsi" w:hAnsiTheme="minorHAnsi" w:cstheme="minorHAnsi"/>
          <w:iCs/>
          <w:szCs w:val="24"/>
        </w:rPr>
        <w:t xml:space="preserve"> Schedule</w:t>
      </w:r>
      <w:proofErr w:type="gramEnd"/>
      <w:r w:rsidR="005555EB">
        <w:rPr>
          <w:rFonts w:asciiTheme="minorHAnsi" w:hAnsiTheme="minorHAnsi" w:cstheme="minorHAnsi"/>
          <w:iCs/>
          <w:szCs w:val="24"/>
        </w:rPr>
        <w:t xml:space="preserve"> 1 of the Act also</w:t>
      </w:r>
      <w:r w:rsidR="009A0A1B">
        <w:rPr>
          <w:rFonts w:asciiTheme="minorHAnsi" w:hAnsiTheme="minorHAnsi" w:cstheme="minorHAnsi"/>
          <w:iCs/>
          <w:szCs w:val="24"/>
        </w:rPr>
        <w:t xml:space="preserve"> ensure</w:t>
      </w:r>
      <w:r w:rsidR="005555EB">
        <w:rPr>
          <w:rFonts w:asciiTheme="minorHAnsi" w:hAnsiTheme="minorHAnsi" w:cstheme="minorHAnsi"/>
          <w:iCs/>
          <w:szCs w:val="24"/>
        </w:rPr>
        <w:t>d</w:t>
      </w:r>
      <w:r w:rsidR="009A0A1B">
        <w:rPr>
          <w:rFonts w:asciiTheme="minorHAnsi" w:hAnsiTheme="minorHAnsi" w:cstheme="minorHAnsi"/>
          <w:iCs/>
          <w:szCs w:val="24"/>
        </w:rPr>
        <w:t xml:space="preserve"> that </w:t>
      </w:r>
      <w:r w:rsidR="003F2359">
        <w:rPr>
          <w:rFonts w:asciiTheme="minorHAnsi" w:hAnsiTheme="minorHAnsi" w:cstheme="minorHAnsi"/>
          <w:iCs/>
          <w:szCs w:val="24"/>
        </w:rPr>
        <w:t xml:space="preserve">affected honours students </w:t>
      </w:r>
      <w:r w:rsidR="009A0A1B">
        <w:rPr>
          <w:rFonts w:asciiTheme="minorHAnsi" w:hAnsiTheme="minorHAnsi" w:cstheme="minorHAnsi"/>
          <w:iCs/>
          <w:szCs w:val="24"/>
        </w:rPr>
        <w:t xml:space="preserve">are treated as ‘grandfathered students’ from 1 January 2021 and continue to receive the benefit of </w:t>
      </w:r>
      <w:r w:rsidR="00CD3A86">
        <w:rPr>
          <w:rFonts w:asciiTheme="minorHAnsi" w:hAnsiTheme="minorHAnsi" w:cstheme="minorHAnsi"/>
          <w:iCs/>
          <w:szCs w:val="24"/>
        </w:rPr>
        <w:t xml:space="preserve">lower student contribution amounts. </w:t>
      </w:r>
    </w:p>
    <w:p w14:paraId="2F6ADDFF" w14:textId="5B62C88F" w:rsidR="00437A61" w:rsidRDefault="00437A61"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Instrument makes transitional rules in relation to affected </w:t>
      </w:r>
      <w:r w:rsidR="005C6DA0">
        <w:rPr>
          <w:rFonts w:asciiTheme="minorHAnsi" w:hAnsiTheme="minorHAnsi" w:cstheme="minorHAnsi"/>
          <w:iCs/>
          <w:szCs w:val="24"/>
        </w:rPr>
        <w:t xml:space="preserve">honours </w:t>
      </w:r>
      <w:r>
        <w:rPr>
          <w:rFonts w:asciiTheme="minorHAnsi" w:hAnsiTheme="minorHAnsi" w:cstheme="minorHAnsi"/>
          <w:iCs/>
          <w:szCs w:val="24"/>
        </w:rPr>
        <w:t>students who</w:t>
      </w:r>
      <w:r w:rsidR="00935EC5" w:rsidRPr="00935EC5">
        <w:rPr>
          <w:rFonts w:asciiTheme="minorHAnsi" w:hAnsiTheme="minorHAnsi" w:cstheme="minorHAnsi"/>
          <w:iCs/>
          <w:szCs w:val="24"/>
        </w:rPr>
        <w:t xml:space="preserve"> made a full or partial up-front payment </w:t>
      </w:r>
      <w:r w:rsidR="00B920A8">
        <w:rPr>
          <w:rFonts w:asciiTheme="minorHAnsi" w:hAnsiTheme="minorHAnsi" w:cstheme="minorHAnsi"/>
          <w:iCs/>
          <w:szCs w:val="24"/>
        </w:rPr>
        <w:t>between</w:t>
      </w:r>
      <w:r w:rsidR="00935EC5" w:rsidRPr="00935EC5">
        <w:rPr>
          <w:rFonts w:asciiTheme="minorHAnsi" w:hAnsiTheme="minorHAnsi" w:cstheme="minorHAnsi"/>
          <w:iCs/>
          <w:szCs w:val="24"/>
        </w:rPr>
        <w:t xml:space="preserve"> 1 January 2023 </w:t>
      </w:r>
      <w:r w:rsidR="00B920A8">
        <w:rPr>
          <w:rFonts w:asciiTheme="minorHAnsi" w:hAnsiTheme="minorHAnsi" w:cstheme="minorHAnsi"/>
          <w:iCs/>
          <w:szCs w:val="24"/>
        </w:rPr>
        <w:t>and</w:t>
      </w:r>
      <w:r w:rsidR="00935EC5" w:rsidRPr="00935EC5">
        <w:rPr>
          <w:rFonts w:asciiTheme="minorHAnsi" w:hAnsiTheme="minorHAnsi" w:cstheme="minorHAnsi"/>
          <w:iCs/>
          <w:szCs w:val="24"/>
        </w:rPr>
        <w:t xml:space="preserve"> the day before the commencement of the </w:t>
      </w:r>
      <w:proofErr w:type="gramStart"/>
      <w:r w:rsidR="00935EC5" w:rsidRPr="00935EC5">
        <w:rPr>
          <w:rFonts w:asciiTheme="minorHAnsi" w:hAnsiTheme="minorHAnsi" w:cstheme="minorHAnsi"/>
          <w:iCs/>
          <w:szCs w:val="24"/>
        </w:rPr>
        <w:t>Act</w:t>
      </w:r>
      <w:r w:rsidR="00F91E6D">
        <w:rPr>
          <w:rFonts w:asciiTheme="minorHAnsi" w:hAnsiTheme="minorHAnsi" w:cstheme="minorHAnsi"/>
          <w:iCs/>
          <w:szCs w:val="24"/>
        </w:rPr>
        <w:t>,</w:t>
      </w:r>
      <w:r w:rsidR="00935EC5" w:rsidRPr="00935EC5">
        <w:rPr>
          <w:rFonts w:asciiTheme="minorHAnsi" w:hAnsiTheme="minorHAnsi" w:cstheme="minorHAnsi"/>
          <w:iCs/>
          <w:szCs w:val="24"/>
        </w:rPr>
        <w:t xml:space="preserve"> </w:t>
      </w:r>
      <w:r w:rsidR="00935EC5">
        <w:rPr>
          <w:rFonts w:asciiTheme="minorHAnsi" w:hAnsiTheme="minorHAnsi" w:cstheme="minorHAnsi"/>
          <w:iCs/>
          <w:szCs w:val="24"/>
        </w:rPr>
        <w:t>and</w:t>
      </w:r>
      <w:proofErr w:type="gramEnd"/>
      <w:r w:rsidR="00935EC5">
        <w:rPr>
          <w:rFonts w:asciiTheme="minorHAnsi" w:hAnsiTheme="minorHAnsi" w:cstheme="minorHAnsi"/>
          <w:iCs/>
          <w:szCs w:val="24"/>
        </w:rPr>
        <w:t xml:space="preserve"> </w:t>
      </w:r>
      <w:r w:rsidR="00306FFB">
        <w:rPr>
          <w:rFonts w:asciiTheme="minorHAnsi" w:hAnsiTheme="minorHAnsi" w:cstheme="minorHAnsi"/>
          <w:iCs/>
          <w:szCs w:val="24"/>
        </w:rPr>
        <w:t>should have</w:t>
      </w:r>
      <w:r>
        <w:rPr>
          <w:rFonts w:asciiTheme="minorHAnsi" w:hAnsiTheme="minorHAnsi" w:cstheme="minorHAnsi"/>
          <w:iCs/>
          <w:szCs w:val="24"/>
        </w:rPr>
        <w:t xml:space="preserve"> bec</w:t>
      </w:r>
      <w:r w:rsidR="00306FFB">
        <w:rPr>
          <w:rFonts w:asciiTheme="minorHAnsi" w:hAnsiTheme="minorHAnsi" w:cstheme="minorHAnsi"/>
          <w:iCs/>
          <w:szCs w:val="24"/>
        </w:rPr>
        <w:t>o</w:t>
      </w:r>
      <w:r>
        <w:rPr>
          <w:rFonts w:asciiTheme="minorHAnsi" w:hAnsiTheme="minorHAnsi" w:cstheme="minorHAnsi"/>
          <w:iCs/>
          <w:szCs w:val="24"/>
        </w:rPr>
        <w:t>me grandfathered student</w:t>
      </w:r>
      <w:r w:rsidR="00175181">
        <w:rPr>
          <w:rFonts w:asciiTheme="minorHAnsi" w:hAnsiTheme="minorHAnsi" w:cstheme="minorHAnsi"/>
          <w:iCs/>
          <w:szCs w:val="24"/>
        </w:rPr>
        <w:t>s</w:t>
      </w:r>
      <w:r>
        <w:rPr>
          <w:rFonts w:asciiTheme="minorHAnsi" w:hAnsiTheme="minorHAnsi" w:cstheme="minorHAnsi"/>
          <w:iCs/>
          <w:szCs w:val="24"/>
        </w:rPr>
        <w:t xml:space="preserve"> as a result of the changes made by the Act</w:t>
      </w:r>
      <w:r w:rsidR="00573D06">
        <w:rPr>
          <w:rFonts w:asciiTheme="minorHAnsi" w:hAnsiTheme="minorHAnsi" w:cstheme="minorHAnsi"/>
          <w:iCs/>
          <w:szCs w:val="24"/>
        </w:rPr>
        <w:t xml:space="preserve">. </w:t>
      </w:r>
      <w:r w:rsidR="00152553">
        <w:rPr>
          <w:rFonts w:asciiTheme="minorHAnsi" w:hAnsiTheme="minorHAnsi" w:cstheme="minorHAnsi"/>
          <w:iCs/>
          <w:szCs w:val="24"/>
        </w:rPr>
        <w:t xml:space="preserve">However, these students </w:t>
      </w:r>
      <w:r w:rsidR="000D2531">
        <w:rPr>
          <w:rFonts w:asciiTheme="minorHAnsi" w:hAnsiTheme="minorHAnsi" w:cstheme="minorHAnsi"/>
          <w:iCs/>
          <w:szCs w:val="24"/>
        </w:rPr>
        <w:t>a</w:t>
      </w:r>
      <w:r w:rsidR="00152553">
        <w:rPr>
          <w:rFonts w:asciiTheme="minorHAnsi" w:hAnsiTheme="minorHAnsi" w:cstheme="minorHAnsi"/>
          <w:iCs/>
          <w:szCs w:val="24"/>
        </w:rPr>
        <w:t xml:space="preserve">re no longer captured by the transitional provisions in items </w:t>
      </w:r>
      <w:r w:rsidR="002835D1">
        <w:rPr>
          <w:rFonts w:asciiTheme="minorHAnsi" w:hAnsiTheme="minorHAnsi" w:cstheme="minorHAnsi"/>
          <w:iCs/>
          <w:szCs w:val="24"/>
        </w:rPr>
        <w:t>7 and 8 of Schedule 1 to the Act as</w:t>
      </w:r>
      <w:r w:rsidR="007B0C74">
        <w:rPr>
          <w:rFonts w:asciiTheme="minorHAnsi" w:hAnsiTheme="minorHAnsi" w:cstheme="minorHAnsi"/>
          <w:iCs/>
          <w:szCs w:val="24"/>
        </w:rPr>
        <w:t xml:space="preserve"> these items only </w:t>
      </w:r>
      <w:r w:rsidR="000D2531">
        <w:rPr>
          <w:rFonts w:asciiTheme="minorHAnsi" w:hAnsiTheme="minorHAnsi" w:cstheme="minorHAnsi"/>
          <w:iCs/>
          <w:szCs w:val="24"/>
        </w:rPr>
        <w:t xml:space="preserve">apply to students who made full and partial up-front payments under </w:t>
      </w:r>
      <w:r w:rsidR="00A23AD9">
        <w:rPr>
          <w:rFonts w:asciiTheme="minorHAnsi" w:hAnsiTheme="minorHAnsi" w:cstheme="minorHAnsi"/>
          <w:iCs/>
          <w:szCs w:val="24"/>
        </w:rPr>
        <w:t xml:space="preserve">sections 96-2 and 96-3 of </w:t>
      </w:r>
      <w:r w:rsidR="00C06A17">
        <w:rPr>
          <w:rFonts w:asciiTheme="minorHAnsi" w:hAnsiTheme="minorHAnsi" w:cstheme="minorHAnsi"/>
          <w:iCs/>
          <w:szCs w:val="24"/>
        </w:rPr>
        <w:t>HESA</w:t>
      </w:r>
      <w:r w:rsidR="00A23AD9">
        <w:rPr>
          <w:rFonts w:asciiTheme="minorHAnsi" w:hAnsiTheme="minorHAnsi" w:cstheme="minorHAnsi"/>
          <w:iCs/>
          <w:szCs w:val="24"/>
        </w:rPr>
        <w:t>. Sections 96-2 and 96-3 of HESA were repealed when</w:t>
      </w:r>
      <w:r w:rsidR="00573D06">
        <w:rPr>
          <w:rFonts w:asciiTheme="minorHAnsi" w:hAnsiTheme="minorHAnsi" w:cstheme="minorHAnsi"/>
          <w:iCs/>
          <w:szCs w:val="24"/>
        </w:rPr>
        <w:t xml:space="preserve"> </w:t>
      </w:r>
      <w:r w:rsidR="00957C28">
        <w:rPr>
          <w:rFonts w:asciiTheme="minorHAnsi" w:hAnsiTheme="minorHAnsi" w:cstheme="minorHAnsi"/>
          <w:iCs/>
          <w:szCs w:val="24"/>
        </w:rPr>
        <w:t>the</w:t>
      </w:r>
      <w:r w:rsidR="00573D06">
        <w:rPr>
          <w:rFonts w:asciiTheme="minorHAnsi" w:hAnsiTheme="minorHAnsi" w:cstheme="minorHAnsi"/>
          <w:iCs/>
          <w:szCs w:val="24"/>
        </w:rPr>
        <w:t xml:space="preserve"> </w:t>
      </w:r>
      <w:r w:rsidR="00573D06">
        <w:rPr>
          <w:rFonts w:asciiTheme="minorHAnsi" w:hAnsiTheme="minorHAnsi" w:cstheme="minorHAnsi"/>
          <w:i/>
          <w:szCs w:val="24"/>
        </w:rPr>
        <w:t>Education Legislation Amendment (2022 Measures No. 1) Act 2022</w:t>
      </w:r>
      <w:r w:rsidR="00573D06">
        <w:rPr>
          <w:rFonts w:asciiTheme="minorHAnsi" w:hAnsiTheme="minorHAnsi" w:cstheme="minorHAnsi"/>
          <w:iCs/>
          <w:szCs w:val="24"/>
        </w:rPr>
        <w:t xml:space="preserve"> </w:t>
      </w:r>
      <w:r w:rsidR="00357C88">
        <w:rPr>
          <w:rFonts w:asciiTheme="minorHAnsi" w:hAnsiTheme="minorHAnsi" w:cstheme="minorHAnsi"/>
          <w:iCs/>
          <w:szCs w:val="24"/>
        </w:rPr>
        <w:t xml:space="preserve">removed </w:t>
      </w:r>
      <w:r w:rsidR="00573D06">
        <w:rPr>
          <w:rFonts w:asciiTheme="minorHAnsi" w:hAnsiTheme="minorHAnsi" w:cstheme="minorHAnsi"/>
          <w:iCs/>
          <w:szCs w:val="24"/>
        </w:rPr>
        <w:t>the up-front payment discount</w:t>
      </w:r>
      <w:r w:rsidR="00957C28">
        <w:rPr>
          <w:rFonts w:asciiTheme="minorHAnsi" w:hAnsiTheme="minorHAnsi" w:cstheme="minorHAnsi"/>
          <w:iCs/>
          <w:szCs w:val="24"/>
        </w:rPr>
        <w:t xml:space="preserve"> (a 10 per cent discount for students eligible for HECS-HELP assistance who paid up-front) on 1 January 2023</w:t>
      </w:r>
      <w:r w:rsidR="00357C88">
        <w:rPr>
          <w:rFonts w:asciiTheme="minorHAnsi" w:hAnsiTheme="minorHAnsi" w:cstheme="minorHAnsi"/>
          <w:iCs/>
          <w:szCs w:val="24"/>
        </w:rPr>
        <w:t>,</w:t>
      </w:r>
      <w:r w:rsidR="00957C28">
        <w:rPr>
          <w:rFonts w:asciiTheme="minorHAnsi" w:hAnsiTheme="minorHAnsi" w:cstheme="minorHAnsi"/>
          <w:iCs/>
          <w:szCs w:val="24"/>
        </w:rPr>
        <w:t xml:space="preserve"> prior to the commencement of the Act.</w:t>
      </w:r>
      <w:r w:rsidR="00FD3475">
        <w:rPr>
          <w:rFonts w:asciiTheme="minorHAnsi" w:hAnsiTheme="minorHAnsi" w:cstheme="minorHAnsi"/>
          <w:iCs/>
          <w:szCs w:val="24"/>
        </w:rPr>
        <w:t xml:space="preserve"> </w:t>
      </w:r>
      <w:r w:rsidR="0038688D">
        <w:rPr>
          <w:rFonts w:asciiTheme="minorHAnsi" w:hAnsiTheme="minorHAnsi" w:cstheme="minorHAnsi"/>
          <w:iCs/>
          <w:szCs w:val="24"/>
        </w:rPr>
        <w:t xml:space="preserve">The Instrument ensures that </w:t>
      </w:r>
      <w:r w:rsidR="000F0323">
        <w:rPr>
          <w:rFonts w:asciiTheme="minorHAnsi" w:hAnsiTheme="minorHAnsi" w:cstheme="minorHAnsi"/>
          <w:iCs/>
          <w:szCs w:val="24"/>
        </w:rPr>
        <w:t>affected honours</w:t>
      </w:r>
      <w:r w:rsidR="0038688D">
        <w:rPr>
          <w:rFonts w:asciiTheme="minorHAnsi" w:hAnsiTheme="minorHAnsi" w:cstheme="minorHAnsi"/>
          <w:iCs/>
          <w:szCs w:val="24"/>
        </w:rPr>
        <w:t xml:space="preserve"> students will</w:t>
      </w:r>
      <w:r w:rsidR="00F44969">
        <w:rPr>
          <w:rFonts w:asciiTheme="minorHAnsi" w:hAnsiTheme="minorHAnsi" w:cstheme="minorHAnsi"/>
          <w:iCs/>
          <w:szCs w:val="24"/>
        </w:rPr>
        <w:t xml:space="preserve"> be ‘grandfathered students’ </w:t>
      </w:r>
      <w:r w:rsidR="002B39CB">
        <w:rPr>
          <w:rFonts w:asciiTheme="minorHAnsi" w:hAnsiTheme="minorHAnsi" w:cstheme="minorHAnsi"/>
          <w:iCs/>
          <w:szCs w:val="24"/>
        </w:rPr>
        <w:t>for the full period from 1 January 2021</w:t>
      </w:r>
      <w:r w:rsidR="0038688D">
        <w:rPr>
          <w:rFonts w:asciiTheme="minorHAnsi" w:hAnsiTheme="minorHAnsi" w:cstheme="minorHAnsi"/>
          <w:iCs/>
          <w:szCs w:val="24"/>
        </w:rPr>
        <w:t xml:space="preserve"> </w:t>
      </w:r>
      <w:r w:rsidR="002B39CB">
        <w:rPr>
          <w:rFonts w:asciiTheme="minorHAnsi" w:hAnsiTheme="minorHAnsi" w:cstheme="minorHAnsi"/>
          <w:iCs/>
          <w:szCs w:val="24"/>
        </w:rPr>
        <w:lastRenderedPageBreak/>
        <w:t xml:space="preserve">until commencement of the </w:t>
      </w:r>
      <w:r w:rsidR="00EA38F0">
        <w:rPr>
          <w:rFonts w:asciiTheme="minorHAnsi" w:hAnsiTheme="minorHAnsi" w:cstheme="minorHAnsi"/>
          <w:iCs/>
          <w:szCs w:val="24"/>
        </w:rPr>
        <w:t>Act and</w:t>
      </w:r>
      <w:r w:rsidR="002B39CB">
        <w:rPr>
          <w:rFonts w:asciiTheme="minorHAnsi" w:hAnsiTheme="minorHAnsi" w:cstheme="minorHAnsi"/>
          <w:iCs/>
          <w:szCs w:val="24"/>
        </w:rPr>
        <w:t xml:space="preserve"> will </w:t>
      </w:r>
      <w:r w:rsidR="000D3B7B">
        <w:rPr>
          <w:rFonts w:asciiTheme="minorHAnsi" w:hAnsiTheme="minorHAnsi" w:cstheme="minorHAnsi"/>
          <w:iCs/>
          <w:szCs w:val="24"/>
        </w:rPr>
        <w:t xml:space="preserve">receive the benefit of lower </w:t>
      </w:r>
      <w:r w:rsidR="0038688D">
        <w:rPr>
          <w:rFonts w:asciiTheme="minorHAnsi" w:hAnsiTheme="minorHAnsi" w:cstheme="minorHAnsi"/>
          <w:iCs/>
          <w:szCs w:val="24"/>
        </w:rPr>
        <w:t>student contribution amount</w:t>
      </w:r>
      <w:r w:rsidR="000D3B7B">
        <w:rPr>
          <w:rFonts w:asciiTheme="minorHAnsi" w:hAnsiTheme="minorHAnsi" w:cstheme="minorHAnsi"/>
          <w:iCs/>
          <w:szCs w:val="24"/>
        </w:rPr>
        <w:t>s</w:t>
      </w:r>
      <w:r w:rsidR="0038688D">
        <w:rPr>
          <w:rFonts w:asciiTheme="minorHAnsi" w:hAnsiTheme="minorHAnsi" w:cstheme="minorHAnsi"/>
          <w:iCs/>
          <w:szCs w:val="24"/>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368198FC" w14:textId="277CF8DD" w:rsidR="00D24460" w:rsidRPr="00AF270D" w:rsidRDefault="00D24460" w:rsidP="00AF270D">
      <w:pPr>
        <w:spacing w:before="120" w:after="120"/>
        <w:rPr>
          <w:rFonts w:asciiTheme="minorHAnsi" w:hAnsiTheme="minorHAnsi" w:cstheme="minorHAnsi"/>
          <w:iCs/>
        </w:rPr>
      </w:pPr>
      <w:r w:rsidRPr="00AF270D">
        <w:rPr>
          <w:rFonts w:asciiTheme="minorHAnsi" w:hAnsiTheme="minorHAnsi" w:cstheme="minorHAnsi"/>
          <w:iCs/>
          <w:szCs w:val="24"/>
        </w:rPr>
        <w:t xml:space="preserve">The Office of Impact </w:t>
      </w:r>
      <w:r w:rsidR="00B51152">
        <w:rPr>
          <w:rFonts w:asciiTheme="minorHAnsi" w:hAnsiTheme="minorHAnsi" w:cstheme="minorHAnsi"/>
          <w:iCs/>
          <w:szCs w:val="24"/>
        </w:rPr>
        <w:t>Analysis</w:t>
      </w:r>
      <w:r w:rsidRPr="00AF270D">
        <w:rPr>
          <w:rFonts w:asciiTheme="minorHAnsi" w:hAnsiTheme="minorHAnsi" w:cstheme="minorHAnsi"/>
          <w:iCs/>
          <w:szCs w:val="24"/>
        </w:rPr>
        <w:t xml:space="preserve"> </w:t>
      </w:r>
      <w:r>
        <w:rPr>
          <w:rFonts w:asciiTheme="minorHAnsi" w:hAnsiTheme="minorHAnsi" w:cstheme="minorHAnsi"/>
          <w:iCs/>
          <w:szCs w:val="24"/>
        </w:rPr>
        <w:t>has advised that</w:t>
      </w:r>
      <w:r w:rsidR="009C39E8" w:rsidRPr="009C39E8">
        <w:rPr>
          <w:rFonts w:asciiTheme="minorHAnsi" w:hAnsiTheme="minorHAnsi" w:cstheme="minorHAnsi"/>
          <w:iCs/>
          <w:szCs w:val="24"/>
        </w:rPr>
        <w:t xml:space="preserve"> </w:t>
      </w:r>
      <w:r w:rsidR="009C39E8" w:rsidRPr="005A6D22">
        <w:rPr>
          <w:rFonts w:asciiTheme="minorHAnsi" w:hAnsiTheme="minorHAnsi" w:cstheme="minorHAnsi"/>
          <w:iCs/>
          <w:szCs w:val="24"/>
        </w:rPr>
        <w:t>an Impact Analysis is not required (reference number OIA23-04977).</w:t>
      </w:r>
      <w:r w:rsidR="009C39E8">
        <w:rPr>
          <w:rFonts w:asciiTheme="minorHAnsi" w:hAnsiTheme="minorHAnsi" w:cstheme="minorHAnsi"/>
          <w:iCs/>
          <w:szCs w:val="24"/>
        </w:rPr>
        <w:t xml:space="preserve"> This is because</w:t>
      </w:r>
      <w:r w:rsidR="00B40C2C">
        <w:rPr>
          <w:rFonts w:asciiTheme="minorHAnsi" w:hAnsiTheme="minorHAnsi" w:cstheme="minorHAnsi"/>
          <w:iCs/>
          <w:szCs w:val="24"/>
        </w:rPr>
        <w:t xml:space="preserve"> </w:t>
      </w:r>
      <w:r w:rsidRPr="00AF270D">
        <w:rPr>
          <w:rFonts w:asciiTheme="minorHAnsi" w:hAnsiTheme="minorHAnsi" w:cstheme="minorHAnsi"/>
          <w:iCs/>
          <w:szCs w:val="24"/>
        </w:rPr>
        <w:t>t</w:t>
      </w:r>
      <w:r w:rsidR="009C39E8">
        <w:rPr>
          <w:rFonts w:asciiTheme="minorHAnsi" w:hAnsiTheme="minorHAnsi" w:cstheme="minorHAnsi"/>
          <w:iCs/>
          <w:szCs w:val="24"/>
        </w:rPr>
        <w:t>he</w:t>
      </w:r>
      <w:r w:rsidRPr="00AF270D">
        <w:rPr>
          <w:rFonts w:asciiTheme="minorHAnsi" w:hAnsiTheme="minorHAnsi" w:cstheme="minorHAnsi"/>
          <w:iCs/>
          <w:szCs w:val="24"/>
        </w:rPr>
        <w:t xml:space="preserve"> instrument </w:t>
      </w:r>
      <w:r w:rsidR="009C39E8">
        <w:rPr>
          <w:rFonts w:asciiTheme="minorHAnsi" w:hAnsiTheme="minorHAnsi" w:cstheme="minorHAnsi"/>
          <w:iCs/>
          <w:szCs w:val="24"/>
        </w:rPr>
        <w:t>will</w:t>
      </w:r>
      <w:r w:rsidRPr="00AF270D">
        <w:rPr>
          <w:rFonts w:asciiTheme="minorHAnsi" w:hAnsiTheme="minorHAnsi" w:cstheme="minorHAnsi"/>
          <w:iCs/>
          <w:szCs w:val="24"/>
        </w:rPr>
        <w:t xml:space="preserve"> have </w:t>
      </w:r>
      <w:r w:rsidR="009C39E8">
        <w:rPr>
          <w:rFonts w:asciiTheme="minorHAnsi" w:hAnsiTheme="minorHAnsi" w:cstheme="minorHAnsi"/>
          <w:iCs/>
          <w:szCs w:val="24"/>
        </w:rPr>
        <w:t xml:space="preserve">no </w:t>
      </w:r>
      <w:r w:rsidRPr="00AF270D">
        <w:rPr>
          <w:rFonts w:asciiTheme="minorHAnsi" w:hAnsiTheme="minorHAnsi" w:cstheme="minorHAnsi"/>
          <w:iCs/>
          <w:szCs w:val="24"/>
        </w:rPr>
        <w:t>more than a minor impact, as the size of the affected cohort in the small window of time will result in no more than</w:t>
      </w:r>
      <w:r w:rsidR="00842675">
        <w:rPr>
          <w:rFonts w:asciiTheme="minorHAnsi" w:hAnsiTheme="minorHAnsi" w:cstheme="minorHAnsi"/>
          <w:iCs/>
          <w:szCs w:val="24"/>
        </w:rPr>
        <w:t xml:space="preserve"> a</w:t>
      </w:r>
      <w:r w:rsidRPr="00AF270D">
        <w:rPr>
          <w:rFonts w:asciiTheme="minorHAnsi" w:hAnsiTheme="minorHAnsi" w:cstheme="minorHAnsi"/>
          <w:iCs/>
          <w:szCs w:val="24"/>
        </w:rPr>
        <w:t xml:space="preserve"> minor burden on providers</w:t>
      </w:r>
      <w:r w:rsidR="00DB7548">
        <w:rPr>
          <w:rFonts w:asciiTheme="minorHAnsi" w:hAnsiTheme="minorHAnsi" w:cstheme="minorHAnsi"/>
          <w:iCs/>
          <w:szCs w:val="24"/>
        </w:rPr>
        <w:t>.</w:t>
      </w:r>
      <w:r w:rsidR="009C39E8" w:rsidDel="009C39E8">
        <w:rPr>
          <w:rFonts w:asciiTheme="minorHAnsi" w:hAnsiTheme="minorHAnsi" w:cstheme="minorHAnsi"/>
          <w:iCs/>
          <w:szCs w:val="24"/>
        </w:rPr>
        <w:t xml:space="preserve"> </w:t>
      </w:r>
    </w:p>
    <w:p w14:paraId="4818CCF0" w14:textId="77777777" w:rsidR="00696CF0" w:rsidRPr="0088497A" w:rsidRDefault="00144950" w:rsidP="000C310A">
      <w:pPr>
        <w:pStyle w:val="Heading1"/>
      </w:pPr>
      <w:r w:rsidRPr="0088497A">
        <w:t>COMMENC</w:t>
      </w:r>
      <w:r>
        <w:t>E</w:t>
      </w:r>
      <w:r w:rsidRPr="0088497A">
        <w:t>MENT</w:t>
      </w:r>
    </w:p>
    <w:p w14:paraId="7A7AF185" w14:textId="1E567802" w:rsidR="00696CF0" w:rsidRPr="004846F4" w:rsidRDefault="004846F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Instrument commences on the day after it is registered on the Federal Register of Legislation. </w:t>
      </w:r>
    </w:p>
    <w:p w14:paraId="59906F74" w14:textId="77777777" w:rsidR="00696CF0" w:rsidRPr="008134D5" w:rsidRDefault="00144950" w:rsidP="000C310A">
      <w:pPr>
        <w:pStyle w:val="Heading1"/>
      </w:pPr>
      <w:bookmarkStart w:id="2" w:name="_Toc34293360"/>
      <w:r w:rsidRPr="008134D5">
        <w:t>CONSULTATION</w:t>
      </w:r>
      <w:bookmarkEnd w:id="2"/>
    </w:p>
    <w:p w14:paraId="0E33A722" w14:textId="77777777" w:rsidR="0083347B" w:rsidRDefault="004846F4" w:rsidP="004846F4">
      <w:pPr>
        <w:spacing w:before="120" w:after="120"/>
        <w:rPr>
          <w:rFonts w:asciiTheme="minorHAnsi" w:hAnsiTheme="minorHAnsi" w:cstheme="minorHAnsi"/>
          <w:iCs/>
          <w:szCs w:val="24"/>
        </w:rPr>
      </w:pPr>
      <w:r>
        <w:rPr>
          <w:rFonts w:asciiTheme="minorHAnsi" w:hAnsiTheme="minorHAnsi" w:cstheme="minorHAnsi"/>
          <w:iCs/>
        </w:rPr>
        <w:t>The department has not undertaken a formal consultation process in relation to the transitional rules for the cohort of students that are affected by the removal of the up-front payment discount. Th</w:t>
      </w:r>
      <w:r w:rsidR="0083347B">
        <w:rPr>
          <w:rFonts w:asciiTheme="minorHAnsi" w:hAnsiTheme="minorHAnsi" w:cstheme="minorHAnsi"/>
          <w:iCs/>
        </w:rPr>
        <w:t>is is because the</w:t>
      </w:r>
      <w:r w:rsidR="0038688D">
        <w:rPr>
          <w:rFonts w:asciiTheme="minorHAnsi" w:hAnsiTheme="minorHAnsi" w:cstheme="minorHAnsi"/>
          <w:iCs/>
        </w:rPr>
        <w:t xml:space="preserve"> operation of the Instrument ensures that all students who would have been included in the transitional </w:t>
      </w:r>
      <w:r w:rsidR="0083347B">
        <w:rPr>
          <w:rFonts w:asciiTheme="minorHAnsi" w:hAnsiTheme="minorHAnsi" w:cstheme="minorHAnsi"/>
          <w:iCs/>
        </w:rPr>
        <w:t>provisions</w:t>
      </w:r>
      <w:r w:rsidR="0038688D">
        <w:rPr>
          <w:rFonts w:asciiTheme="minorHAnsi" w:hAnsiTheme="minorHAnsi" w:cstheme="minorHAnsi"/>
          <w:iCs/>
        </w:rPr>
        <w:t xml:space="preserve"> in the Act, but are no longer included due to the removal of the up-front payment discount, continue to have the same arrangements apply to them (</w:t>
      </w:r>
      <w:proofErr w:type="gramStart"/>
      <w:r w:rsidR="0038688D">
        <w:rPr>
          <w:rFonts w:asciiTheme="minorHAnsi" w:hAnsiTheme="minorHAnsi" w:cstheme="minorHAnsi"/>
          <w:iCs/>
        </w:rPr>
        <w:t>i.e.</w:t>
      </w:r>
      <w:proofErr w:type="gramEnd"/>
      <w:r w:rsidR="0038688D">
        <w:rPr>
          <w:rFonts w:asciiTheme="minorHAnsi" w:hAnsiTheme="minorHAnsi" w:cstheme="minorHAnsi"/>
          <w:iCs/>
        </w:rPr>
        <w:t xml:space="preserve"> </w:t>
      </w:r>
      <w:r w:rsidR="0083347B">
        <w:rPr>
          <w:rFonts w:asciiTheme="minorHAnsi" w:hAnsiTheme="minorHAnsi" w:cstheme="minorHAnsi"/>
          <w:iCs/>
          <w:szCs w:val="24"/>
        </w:rPr>
        <w:t xml:space="preserve">continue to be treated beneficially and not be charged a higher student contribution amount). </w:t>
      </w:r>
    </w:p>
    <w:p w14:paraId="207EBB3C" w14:textId="1AC3D937" w:rsidR="004846F4" w:rsidRDefault="0083347B" w:rsidP="004846F4">
      <w:pPr>
        <w:spacing w:before="120" w:after="120"/>
        <w:rPr>
          <w:rFonts w:asciiTheme="minorHAnsi" w:hAnsiTheme="minorHAnsi" w:cstheme="minorHAnsi"/>
          <w:iCs/>
        </w:rPr>
      </w:pPr>
      <w:r>
        <w:rPr>
          <w:rFonts w:asciiTheme="minorHAnsi" w:hAnsiTheme="minorHAnsi" w:cstheme="minorHAnsi"/>
          <w:iCs/>
          <w:szCs w:val="24"/>
        </w:rPr>
        <w:t xml:space="preserve">The measure in the Instrument also reflects the original policy intention of the grandfathering arrangements in HESA </w:t>
      </w:r>
      <w:r w:rsidR="002C7710">
        <w:rPr>
          <w:rFonts w:asciiTheme="minorHAnsi" w:hAnsiTheme="minorHAnsi" w:cstheme="minorHAnsi"/>
          <w:iCs/>
          <w:szCs w:val="24"/>
        </w:rPr>
        <w:t>introduced by</w:t>
      </w:r>
      <w:r>
        <w:rPr>
          <w:rFonts w:asciiTheme="minorHAnsi" w:hAnsiTheme="minorHAnsi" w:cstheme="minorHAnsi"/>
          <w:iCs/>
          <w:szCs w:val="24"/>
        </w:rPr>
        <w:t xml:space="preserve"> the </w:t>
      </w:r>
      <w:r w:rsidR="00D0024E">
        <w:rPr>
          <w:rFonts w:asciiTheme="minorHAnsi" w:hAnsiTheme="minorHAnsi" w:cstheme="minorHAnsi"/>
          <w:i/>
          <w:szCs w:val="24"/>
        </w:rPr>
        <w:t>Higher Education Support Amendment (Job-Ready Graduates and Supporting Regional and Remote</w:t>
      </w:r>
      <w:r w:rsidR="002C7710">
        <w:rPr>
          <w:rFonts w:asciiTheme="minorHAnsi" w:hAnsiTheme="minorHAnsi" w:cstheme="minorHAnsi"/>
          <w:i/>
          <w:szCs w:val="24"/>
        </w:rPr>
        <w:t xml:space="preserve"> Students) Act 2020 </w:t>
      </w:r>
      <w:r w:rsidR="002C7710">
        <w:rPr>
          <w:rFonts w:asciiTheme="minorHAnsi" w:hAnsiTheme="minorHAnsi" w:cstheme="minorHAnsi"/>
          <w:iCs/>
          <w:szCs w:val="24"/>
        </w:rPr>
        <w:t>(JRG Act)</w:t>
      </w:r>
      <w:r w:rsidR="00D0024E">
        <w:rPr>
          <w:rFonts w:asciiTheme="minorHAnsi" w:hAnsiTheme="minorHAnsi" w:cstheme="minorHAnsi"/>
          <w:i/>
          <w:szCs w:val="24"/>
        </w:rPr>
        <w:t xml:space="preserve"> </w:t>
      </w:r>
      <w:r w:rsidR="00B40C2C">
        <w:rPr>
          <w:rFonts w:asciiTheme="minorHAnsi" w:hAnsiTheme="minorHAnsi" w:cstheme="minorHAnsi"/>
          <w:iCs/>
          <w:szCs w:val="24"/>
        </w:rPr>
        <w:t>to</w:t>
      </w:r>
      <w:r w:rsidR="00D64C36">
        <w:rPr>
          <w:rFonts w:asciiTheme="minorHAnsi" w:hAnsiTheme="minorHAnsi" w:cstheme="minorHAnsi"/>
          <w:iCs/>
          <w:szCs w:val="24"/>
        </w:rPr>
        <w:t xml:space="preserve"> </w:t>
      </w:r>
      <w:r w:rsidR="00B26AC0">
        <w:rPr>
          <w:rFonts w:asciiTheme="minorHAnsi" w:hAnsiTheme="minorHAnsi" w:cstheme="minorHAnsi"/>
          <w:iCs/>
          <w:szCs w:val="24"/>
        </w:rPr>
        <w:t xml:space="preserve">ensure ‘grandfathered students’ do not have </w:t>
      </w:r>
      <w:r w:rsidR="0020134C">
        <w:rPr>
          <w:rFonts w:asciiTheme="minorHAnsi" w:hAnsiTheme="minorHAnsi" w:cstheme="minorHAnsi"/>
          <w:iCs/>
          <w:szCs w:val="24"/>
        </w:rPr>
        <w:t>to pay a higher student contribution amount for a unit of study where the student contribution amount</w:t>
      </w:r>
      <w:r w:rsidR="00DA2C98">
        <w:rPr>
          <w:rFonts w:asciiTheme="minorHAnsi" w:hAnsiTheme="minorHAnsi" w:cstheme="minorHAnsi"/>
          <w:iCs/>
          <w:szCs w:val="24"/>
        </w:rPr>
        <w:t xml:space="preserve"> for the unit</w:t>
      </w:r>
      <w:r w:rsidR="0020134C">
        <w:rPr>
          <w:rFonts w:asciiTheme="minorHAnsi" w:hAnsiTheme="minorHAnsi" w:cstheme="minorHAnsi"/>
          <w:iCs/>
          <w:szCs w:val="24"/>
        </w:rPr>
        <w:t xml:space="preserve"> would otherwise </w:t>
      </w:r>
      <w:r w:rsidR="00DA2C98">
        <w:rPr>
          <w:rFonts w:asciiTheme="minorHAnsi" w:hAnsiTheme="minorHAnsi" w:cstheme="minorHAnsi"/>
          <w:iCs/>
          <w:szCs w:val="24"/>
        </w:rPr>
        <w:t xml:space="preserve">have </w:t>
      </w:r>
      <w:r w:rsidR="0020134C">
        <w:rPr>
          <w:rFonts w:asciiTheme="minorHAnsi" w:hAnsiTheme="minorHAnsi" w:cstheme="minorHAnsi"/>
          <w:iCs/>
          <w:szCs w:val="24"/>
        </w:rPr>
        <w:t>increase</w:t>
      </w:r>
      <w:r w:rsidR="00DA2C98">
        <w:rPr>
          <w:rFonts w:asciiTheme="minorHAnsi" w:hAnsiTheme="minorHAnsi" w:cstheme="minorHAnsi"/>
          <w:iCs/>
          <w:szCs w:val="24"/>
        </w:rPr>
        <w:t>d</w:t>
      </w:r>
      <w:r w:rsidR="0020134C">
        <w:rPr>
          <w:rFonts w:asciiTheme="minorHAnsi" w:hAnsiTheme="minorHAnsi" w:cstheme="minorHAnsi"/>
          <w:iCs/>
          <w:szCs w:val="24"/>
        </w:rPr>
        <w:t xml:space="preserve"> </w:t>
      </w:r>
      <w:proofErr w:type="gramStart"/>
      <w:r w:rsidR="0020134C">
        <w:rPr>
          <w:rFonts w:asciiTheme="minorHAnsi" w:hAnsiTheme="minorHAnsi" w:cstheme="minorHAnsi"/>
          <w:iCs/>
          <w:szCs w:val="24"/>
        </w:rPr>
        <w:t>as a result of</w:t>
      </w:r>
      <w:proofErr w:type="gramEnd"/>
      <w:r w:rsidR="0020134C">
        <w:rPr>
          <w:rFonts w:asciiTheme="minorHAnsi" w:hAnsiTheme="minorHAnsi" w:cstheme="minorHAnsi"/>
          <w:iCs/>
          <w:szCs w:val="24"/>
        </w:rPr>
        <w:t xml:space="preserve"> the </w:t>
      </w:r>
      <w:r w:rsidR="00B16E98">
        <w:rPr>
          <w:rFonts w:asciiTheme="minorHAnsi" w:hAnsiTheme="minorHAnsi" w:cstheme="minorHAnsi"/>
          <w:iCs/>
          <w:szCs w:val="24"/>
        </w:rPr>
        <w:t xml:space="preserve">amendments </w:t>
      </w:r>
      <w:r w:rsidR="00E549E9">
        <w:rPr>
          <w:rFonts w:asciiTheme="minorHAnsi" w:hAnsiTheme="minorHAnsi" w:cstheme="minorHAnsi"/>
          <w:iCs/>
          <w:szCs w:val="24"/>
        </w:rPr>
        <w:t>to</w:t>
      </w:r>
      <w:r w:rsidR="00B16E98">
        <w:rPr>
          <w:rFonts w:asciiTheme="minorHAnsi" w:hAnsiTheme="minorHAnsi" w:cstheme="minorHAnsi"/>
          <w:iCs/>
          <w:szCs w:val="24"/>
        </w:rPr>
        <w:t xml:space="preserve"> </w:t>
      </w:r>
      <w:r w:rsidR="00E549E9">
        <w:rPr>
          <w:rFonts w:asciiTheme="minorHAnsi" w:hAnsiTheme="minorHAnsi" w:cstheme="minorHAnsi"/>
          <w:iCs/>
          <w:szCs w:val="24"/>
        </w:rPr>
        <w:t>HESA</w:t>
      </w:r>
      <w:r w:rsidR="00B40C2C">
        <w:rPr>
          <w:rFonts w:asciiTheme="minorHAnsi" w:hAnsiTheme="minorHAnsi" w:cstheme="minorHAnsi"/>
          <w:iCs/>
          <w:szCs w:val="24"/>
        </w:rPr>
        <w:t xml:space="preserve">. Consultation was undertaken with higher education providers when the </w:t>
      </w:r>
      <w:r w:rsidR="002C7710">
        <w:rPr>
          <w:rFonts w:asciiTheme="minorHAnsi" w:hAnsiTheme="minorHAnsi" w:cstheme="minorHAnsi"/>
          <w:iCs/>
          <w:szCs w:val="24"/>
        </w:rPr>
        <w:t>JRG Act</w:t>
      </w:r>
      <w:r w:rsidR="00B40C2C">
        <w:rPr>
          <w:rFonts w:asciiTheme="minorHAnsi" w:hAnsiTheme="minorHAnsi" w:cstheme="minorHAnsi"/>
          <w:iCs/>
          <w:szCs w:val="24"/>
        </w:rPr>
        <w:t xml:space="preserve"> was first developed. </w:t>
      </w:r>
      <w:r>
        <w:rPr>
          <w:rFonts w:asciiTheme="minorHAnsi" w:hAnsiTheme="minorHAnsi" w:cstheme="minorHAnsi"/>
          <w:iCs/>
          <w:szCs w:val="24"/>
        </w:rPr>
        <w:t xml:space="preserve">The department also considered feedback received from students and other stakeholders following the initial introduction of the </w:t>
      </w:r>
      <w:r w:rsidR="002C7710">
        <w:rPr>
          <w:rFonts w:asciiTheme="minorHAnsi" w:hAnsiTheme="minorHAnsi" w:cstheme="minorHAnsi"/>
          <w:iCs/>
          <w:szCs w:val="24"/>
        </w:rPr>
        <w:t>JRG Act</w:t>
      </w:r>
      <w:r>
        <w:rPr>
          <w:rFonts w:asciiTheme="minorHAnsi" w:hAnsiTheme="minorHAnsi" w:cstheme="minorHAnsi"/>
          <w:iCs/>
          <w:szCs w:val="24"/>
        </w:rPr>
        <w:t xml:space="preserve">. </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670C10F" w:rsidR="00DA552F" w:rsidRPr="000C310A" w:rsidRDefault="004846F4" w:rsidP="000C310A">
      <w:pPr>
        <w:pStyle w:val="Subtitle"/>
        <w:rPr>
          <w:bCs/>
          <w:iCs/>
          <w:u w:val="single"/>
        </w:rPr>
      </w:pPr>
      <w:r>
        <w:rPr>
          <w:b w:val="0"/>
          <w:bCs/>
          <w:i w:val="0"/>
          <w:iCs/>
          <w:u w:val="single"/>
        </w:rPr>
        <w:t xml:space="preserve">Higher Education Support Amendment (2022 Measures No. 1) Transitional Rules </w:t>
      </w:r>
      <w:r w:rsidR="00AA102C">
        <w:rPr>
          <w:b w:val="0"/>
          <w:bCs/>
          <w:i w:val="0"/>
          <w:iCs/>
          <w:u w:val="single"/>
        </w:rPr>
        <w:t>2024</w:t>
      </w:r>
    </w:p>
    <w:p w14:paraId="65F6CFAB" w14:textId="0EAB517E"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4846F4">
        <w:rPr>
          <w:rFonts w:asciiTheme="minorHAnsi" w:hAnsiTheme="minorHAnsi" w:cstheme="minorHAnsi"/>
          <w:i/>
          <w:iCs/>
          <w:szCs w:val="24"/>
        </w:rPr>
        <w:t xml:space="preserve">Higher Education Support Amendment (2022 Measures No. 1) Transitional Rules </w:t>
      </w:r>
      <w:r w:rsidR="00AA102C">
        <w:rPr>
          <w:rFonts w:asciiTheme="minorHAnsi" w:hAnsiTheme="minorHAnsi" w:cstheme="minorHAnsi"/>
          <w:i/>
          <w:iCs/>
          <w:szCs w:val="24"/>
        </w:rPr>
        <w:t>2024</w:t>
      </w:r>
      <w:r w:rsidR="004846F4">
        <w:rPr>
          <w:rFonts w:asciiTheme="minorHAnsi" w:hAnsiTheme="minorHAnsi" w:cstheme="minorHAnsi"/>
          <w:i/>
          <w:iCs/>
          <w:szCs w:val="24"/>
        </w:rPr>
        <w:t xml:space="preserve"> </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0F9B0B06" w14:textId="4144CA0F" w:rsidR="00F05B60" w:rsidRDefault="00F05B60" w:rsidP="00F05B60">
      <w:pPr>
        <w:spacing w:before="120" w:after="120"/>
        <w:rPr>
          <w:rFonts w:asciiTheme="minorHAnsi" w:hAnsiTheme="minorHAnsi" w:cstheme="minorHAnsi"/>
          <w:iCs/>
          <w:szCs w:val="24"/>
        </w:rPr>
      </w:pPr>
      <w:r>
        <w:rPr>
          <w:rFonts w:asciiTheme="minorHAnsi" w:hAnsiTheme="minorHAnsi" w:cstheme="minorHAnsi"/>
          <w:iCs/>
          <w:szCs w:val="24"/>
        </w:rPr>
        <w:t xml:space="preserve">The Instrument sets out transitional rules in relation to the amendments made by the Act to amend the definition of ‘grandfathered student’ in the </w:t>
      </w:r>
      <w:r>
        <w:rPr>
          <w:rFonts w:asciiTheme="minorHAnsi" w:hAnsiTheme="minorHAnsi" w:cstheme="minorHAnsi"/>
          <w:i/>
          <w:szCs w:val="24"/>
        </w:rPr>
        <w:t xml:space="preserve">Higher Education Support Act 2003 </w:t>
      </w:r>
      <w:r>
        <w:rPr>
          <w:rFonts w:asciiTheme="minorHAnsi" w:hAnsiTheme="minorHAnsi" w:cstheme="minorHAnsi"/>
          <w:iCs/>
          <w:szCs w:val="24"/>
        </w:rPr>
        <w:t xml:space="preserve">(HESA). </w:t>
      </w:r>
      <w:r w:rsidRPr="00E67613">
        <w:rPr>
          <w:rFonts w:asciiTheme="minorHAnsi" w:hAnsiTheme="minorHAnsi" w:cstheme="minorHAnsi"/>
          <w:iCs/>
          <w:szCs w:val="24"/>
        </w:rPr>
        <w:t xml:space="preserve">The </w:t>
      </w:r>
      <w:r w:rsidRPr="00E67613">
        <w:rPr>
          <w:rFonts w:asciiTheme="minorHAnsi" w:hAnsiTheme="minorHAnsi" w:cstheme="minorHAnsi"/>
          <w:i/>
          <w:szCs w:val="24"/>
        </w:rPr>
        <w:t>Higher Education Support Amendment (Job-ready Graduates and Supporting Regional and Remote Students) Act 2020</w:t>
      </w:r>
      <w:r w:rsidRPr="00E67613">
        <w:rPr>
          <w:rFonts w:asciiTheme="minorHAnsi" w:hAnsiTheme="minorHAnsi" w:cstheme="minorHAnsi"/>
          <w:iCs/>
          <w:szCs w:val="24"/>
        </w:rPr>
        <w:t xml:space="preserve"> amended HESA to change student and Commonwealth contribution amounts, to encourage students to enrol in courses in areas of job growth. Those amendments inserted a definition of ‘grandfathered student’ in Schedule 1 of HESA to treat certain existing students (on and after 1 January 2021) beneficially where the changes would otherwise result in those students being charged a higher student contribution amount</w:t>
      </w:r>
      <w:r>
        <w:rPr>
          <w:rFonts w:asciiTheme="minorHAnsi" w:hAnsiTheme="minorHAnsi" w:cstheme="minorHAnsi"/>
          <w:iCs/>
          <w:szCs w:val="24"/>
        </w:rPr>
        <w:t>.</w:t>
      </w:r>
      <w:r w:rsidRPr="00E67613">
        <w:rPr>
          <w:color w:val="000000"/>
          <w:sz w:val="27"/>
          <w:szCs w:val="27"/>
        </w:rPr>
        <w:t xml:space="preserve"> </w:t>
      </w:r>
      <w:r w:rsidRPr="00E67613">
        <w:rPr>
          <w:rFonts w:asciiTheme="minorHAnsi" w:hAnsiTheme="minorHAnsi" w:cstheme="minorHAnsi"/>
          <w:iCs/>
          <w:szCs w:val="24"/>
        </w:rPr>
        <w:t xml:space="preserve">The </w:t>
      </w:r>
      <w:r>
        <w:rPr>
          <w:rFonts w:asciiTheme="minorHAnsi" w:hAnsiTheme="minorHAnsi" w:cstheme="minorHAnsi"/>
          <w:iCs/>
          <w:szCs w:val="24"/>
        </w:rPr>
        <w:t>Act</w:t>
      </w:r>
      <w:r w:rsidRPr="00E67613">
        <w:rPr>
          <w:rFonts w:asciiTheme="minorHAnsi" w:hAnsiTheme="minorHAnsi" w:cstheme="minorHAnsi"/>
          <w:iCs/>
          <w:szCs w:val="24"/>
        </w:rPr>
        <w:t xml:space="preserve"> amend</w:t>
      </w:r>
      <w:r>
        <w:rPr>
          <w:rFonts w:asciiTheme="minorHAnsi" w:hAnsiTheme="minorHAnsi" w:cstheme="minorHAnsi"/>
          <w:iCs/>
          <w:szCs w:val="24"/>
        </w:rPr>
        <w:t>ed</w:t>
      </w:r>
      <w:r w:rsidRPr="00E67613">
        <w:rPr>
          <w:rFonts w:asciiTheme="minorHAnsi" w:hAnsiTheme="minorHAnsi" w:cstheme="minorHAnsi"/>
          <w:iCs/>
          <w:szCs w:val="24"/>
        </w:rPr>
        <w:t xml:space="preserve"> the definition of a ‘grandfathered student’ to include students undertaking an honours course that is related to a course of study they commenced with a higher education provider before 1 January 2021 but that they did not complete until after 1 January 2021</w:t>
      </w:r>
      <w:r w:rsidR="001014D9">
        <w:rPr>
          <w:rFonts w:asciiTheme="minorHAnsi" w:hAnsiTheme="minorHAnsi" w:cstheme="minorHAnsi"/>
          <w:iCs/>
          <w:szCs w:val="24"/>
        </w:rPr>
        <w:t xml:space="preserve"> (affected honours students)</w:t>
      </w:r>
      <w:r>
        <w:rPr>
          <w:rFonts w:asciiTheme="minorHAnsi" w:hAnsiTheme="minorHAnsi" w:cstheme="minorHAnsi"/>
          <w:iCs/>
          <w:szCs w:val="24"/>
        </w:rPr>
        <w:t xml:space="preserve">. </w:t>
      </w:r>
      <w:r w:rsidR="00C41707">
        <w:rPr>
          <w:rFonts w:asciiTheme="minorHAnsi" w:hAnsiTheme="minorHAnsi" w:cstheme="minorHAnsi"/>
          <w:iCs/>
          <w:szCs w:val="24"/>
        </w:rPr>
        <w:t>The a</w:t>
      </w:r>
      <w:r>
        <w:rPr>
          <w:rFonts w:asciiTheme="minorHAnsi" w:hAnsiTheme="minorHAnsi" w:cstheme="minorHAnsi"/>
          <w:iCs/>
          <w:szCs w:val="24"/>
        </w:rPr>
        <w:t xml:space="preserve">pplication provisions in </w:t>
      </w:r>
      <w:r w:rsidR="000C32A0">
        <w:rPr>
          <w:rFonts w:asciiTheme="minorHAnsi" w:hAnsiTheme="minorHAnsi" w:cstheme="minorHAnsi"/>
          <w:iCs/>
          <w:szCs w:val="24"/>
        </w:rPr>
        <w:t>Part 2</w:t>
      </w:r>
      <w:r w:rsidR="001014D9">
        <w:rPr>
          <w:rFonts w:asciiTheme="minorHAnsi" w:hAnsiTheme="minorHAnsi" w:cstheme="minorHAnsi"/>
          <w:iCs/>
          <w:szCs w:val="24"/>
        </w:rPr>
        <w:t xml:space="preserve"> of </w:t>
      </w:r>
      <w:r>
        <w:rPr>
          <w:rFonts w:asciiTheme="minorHAnsi" w:hAnsiTheme="minorHAnsi" w:cstheme="minorHAnsi"/>
          <w:iCs/>
          <w:szCs w:val="24"/>
        </w:rPr>
        <w:t xml:space="preserve">Schedule 1 of the Act also ensured </w:t>
      </w:r>
      <w:r w:rsidR="001014D9">
        <w:rPr>
          <w:rFonts w:asciiTheme="minorHAnsi" w:hAnsiTheme="minorHAnsi" w:cstheme="minorHAnsi"/>
          <w:iCs/>
          <w:szCs w:val="24"/>
        </w:rPr>
        <w:t>that affected</w:t>
      </w:r>
      <w:r>
        <w:rPr>
          <w:rFonts w:asciiTheme="minorHAnsi" w:hAnsiTheme="minorHAnsi" w:cstheme="minorHAnsi"/>
          <w:iCs/>
          <w:szCs w:val="24"/>
        </w:rPr>
        <w:t xml:space="preserve"> honours students are treated as ‘grandfathered students’ from 1 January 2021 and continue to receive the benefit of lower student contribution amounts. </w:t>
      </w:r>
    </w:p>
    <w:p w14:paraId="4A02938F" w14:textId="07086E8E" w:rsidR="00F05B60" w:rsidRDefault="00F05B60" w:rsidP="00F05B60">
      <w:pPr>
        <w:spacing w:before="120" w:after="120"/>
        <w:rPr>
          <w:rFonts w:asciiTheme="minorHAnsi" w:hAnsiTheme="minorHAnsi" w:cstheme="minorHAnsi"/>
          <w:iCs/>
          <w:szCs w:val="24"/>
        </w:rPr>
      </w:pPr>
      <w:r>
        <w:rPr>
          <w:rFonts w:asciiTheme="minorHAnsi" w:hAnsiTheme="minorHAnsi" w:cstheme="minorHAnsi"/>
          <w:iCs/>
          <w:szCs w:val="24"/>
        </w:rPr>
        <w:t>The Instrument makes transitional rules in relation to affected honours students who</w:t>
      </w:r>
      <w:r w:rsidRPr="00935EC5">
        <w:rPr>
          <w:rFonts w:asciiTheme="minorHAnsi" w:hAnsiTheme="minorHAnsi" w:cstheme="minorHAnsi"/>
          <w:iCs/>
          <w:szCs w:val="24"/>
        </w:rPr>
        <w:t xml:space="preserve"> made a full or partial up-front payment </w:t>
      </w:r>
      <w:r>
        <w:rPr>
          <w:rFonts w:asciiTheme="minorHAnsi" w:hAnsiTheme="minorHAnsi" w:cstheme="minorHAnsi"/>
          <w:iCs/>
          <w:szCs w:val="24"/>
        </w:rPr>
        <w:t>between</w:t>
      </w:r>
      <w:r w:rsidRPr="00935EC5">
        <w:rPr>
          <w:rFonts w:asciiTheme="minorHAnsi" w:hAnsiTheme="minorHAnsi" w:cstheme="minorHAnsi"/>
          <w:iCs/>
          <w:szCs w:val="24"/>
        </w:rPr>
        <w:t xml:space="preserve"> 1 January 2023 </w:t>
      </w:r>
      <w:r>
        <w:rPr>
          <w:rFonts w:asciiTheme="minorHAnsi" w:hAnsiTheme="minorHAnsi" w:cstheme="minorHAnsi"/>
          <w:iCs/>
          <w:szCs w:val="24"/>
        </w:rPr>
        <w:t>and</w:t>
      </w:r>
      <w:r w:rsidRPr="00935EC5">
        <w:rPr>
          <w:rFonts w:asciiTheme="minorHAnsi" w:hAnsiTheme="minorHAnsi" w:cstheme="minorHAnsi"/>
          <w:iCs/>
          <w:szCs w:val="24"/>
        </w:rPr>
        <w:t xml:space="preserve"> the day before the commencement of the </w:t>
      </w:r>
      <w:proofErr w:type="gramStart"/>
      <w:r w:rsidRPr="00935EC5">
        <w:rPr>
          <w:rFonts w:asciiTheme="minorHAnsi" w:hAnsiTheme="minorHAnsi" w:cstheme="minorHAnsi"/>
          <w:iCs/>
          <w:szCs w:val="24"/>
        </w:rPr>
        <w:t>Act</w:t>
      </w:r>
      <w:r>
        <w:rPr>
          <w:rFonts w:asciiTheme="minorHAnsi" w:hAnsiTheme="minorHAnsi" w:cstheme="minorHAnsi"/>
          <w:iCs/>
          <w:szCs w:val="24"/>
        </w:rPr>
        <w:t>,</w:t>
      </w:r>
      <w:r w:rsidRPr="00935EC5">
        <w:rPr>
          <w:rFonts w:asciiTheme="minorHAnsi" w:hAnsiTheme="minorHAnsi" w:cstheme="minorHAnsi"/>
          <w:iCs/>
          <w:szCs w:val="24"/>
        </w:rPr>
        <w:t xml:space="preserve"> </w:t>
      </w:r>
      <w:r>
        <w:rPr>
          <w:rFonts w:asciiTheme="minorHAnsi" w:hAnsiTheme="minorHAnsi" w:cstheme="minorHAnsi"/>
          <w:iCs/>
          <w:szCs w:val="24"/>
        </w:rPr>
        <w:t>and</w:t>
      </w:r>
      <w:proofErr w:type="gramEnd"/>
      <w:r>
        <w:rPr>
          <w:rFonts w:asciiTheme="minorHAnsi" w:hAnsiTheme="minorHAnsi" w:cstheme="minorHAnsi"/>
          <w:iCs/>
          <w:szCs w:val="24"/>
        </w:rPr>
        <w:t xml:space="preserve"> should have become grandfathered students as a result of the changes made by the Act. However, these students are no longer captured by the transitional provisions in items 7 and 8 of Schedule 1 to the Act as these items only apply to students who made full and partial up-front payments under sections 96-2 and 96-3 of HESA. Sections 96-2 and 96-3 of HESA were repealed when the </w:t>
      </w:r>
      <w:r>
        <w:rPr>
          <w:rFonts w:asciiTheme="minorHAnsi" w:hAnsiTheme="minorHAnsi" w:cstheme="minorHAnsi"/>
          <w:i/>
          <w:szCs w:val="24"/>
        </w:rPr>
        <w:t>Education Legislation Amendment (2022 Measures No. 1) Act 2022</w:t>
      </w:r>
      <w:r>
        <w:rPr>
          <w:rFonts w:asciiTheme="minorHAnsi" w:hAnsiTheme="minorHAnsi" w:cstheme="minorHAnsi"/>
          <w:iCs/>
          <w:szCs w:val="24"/>
        </w:rPr>
        <w:t xml:space="preserve"> removed the up-front payment discount (a 10 per cent discount for students eligible for HECS-HELP assistance who paid up-front) on 1 January 2023, prior to the commencement of the Act. The Instrument ensures that affected honours students will be ‘grandfathered students’ for the full period from 1 January 2021 until commencement of the </w:t>
      </w:r>
      <w:r w:rsidR="001014D9">
        <w:rPr>
          <w:rFonts w:asciiTheme="minorHAnsi" w:hAnsiTheme="minorHAnsi" w:cstheme="minorHAnsi"/>
          <w:iCs/>
          <w:szCs w:val="24"/>
        </w:rPr>
        <w:t>Act and</w:t>
      </w:r>
      <w:r>
        <w:rPr>
          <w:rFonts w:asciiTheme="minorHAnsi" w:hAnsiTheme="minorHAnsi" w:cstheme="minorHAnsi"/>
          <w:iCs/>
          <w:szCs w:val="24"/>
        </w:rPr>
        <w:t xml:space="preserve"> will receive the benefit of lower student contribution amounts. </w:t>
      </w:r>
    </w:p>
    <w:p w14:paraId="57CC71C9" w14:textId="77777777" w:rsidR="00F9205E" w:rsidRPr="008134D5" w:rsidRDefault="00F9205E" w:rsidP="000C310A">
      <w:pPr>
        <w:pStyle w:val="Heading2"/>
      </w:pPr>
      <w:r w:rsidRPr="008134D5">
        <w:lastRenderedPageBreak/>
        <w:t>Human rights implications</w:t>
      </w:r>
    </w:p>
    <w:p w14:paraId="3786EE0D" w14:textId="69E05847" w:rsidR="00E8671C" w:rsidRPr="0083347B" w:rsidRDefault="0083347B" w:rsidP="0083347B">
      <w:pPr>
        <w:spacing w:before="120" w:after="120"/>
        <w:rPr>
          <w:rFonts w:asciiTheme="minorHAnsi" w:hAnsiTheme="minorHAnsi" w:cstheme="minorHAnsi"/>
          <w:szCs w:val="24"/>
        </w:rPr>
      </w:pPr>
      <w:r>
        <w:rPr>
          <w:rFonts w:asciiTheme="minorHAnsi" w:hAnsiTheme="minorHAnsi" w:cstheme="minorHAnsi"/>
          <w:szCs w:val="24"/>
        </w:rPr>
        <w:t>The Instrument engages the right to education in Article 13 of the International Covenant on Economic, Social and Cultural Rights (ICESCR).</w:t>
      </w:r>
    </w:p>
    <w:p w14:paraId="68A294CE" w14:textId="27B3BA3C" w:rsidR="008310AA" w:rsidRPr="00774144" w:rsidRDefault="0083347B" w:rsidP="000C310A">
      <w:pPr>
        <w:pStyle w:val="Heading3"/>
      </w:pPr>
      <w:r>
        <w:t>Right to education</w:t>
      </w:r>
    </w:p>
    <w:p w14:paraId="13E397C5" w14:textId="44749CB8" w:rsidR="00E8671C" w:rsidRPr="0083347B" w:rsidRDefault="0083347B" w:rsidP="00DA552F">
      <w:pPr>
        <w:spacing w:before="120" w:after="120"/>
        <w:rPr>
          <w:rFonts w:asciiTheme="minorHAnsi" w:hAnsiTheme="minorHAnsi" w:cstheme="minorHAnsi"/>
          <w:iCs/>
          <w:szCs w:val="24"/>
        </w:rPr>
      </w:pPr>
      <w:r>
        <w:rPr>
          <w:rFonts w:asciiTheme="minorHAnsi" w:hAnsiTheme="minorHAnsi" w:cstheme="minorHAnsi"/>
          <w:iCs/>
          <w:szCs w:val="24"/>
        </w:rPr>
        <w:t xml:space="preserve">Article 13(2)(c) of the ICESCR </w:t>
      </w:r>
      <w:r w:rsidR="00AD318A">
        <w:rPr>
          <w:rFonts w:asciiTheme="minorHAnsi" w:hAnsiTheme="minorHAnsi" w:cstheme="minorHAnsi"/>
          <w:iCs/>
          <w:szCs w:val="24"/>
        </w:rPr>
        <w:t xml:space="preserve">provides that ‘higher education shall be made equally accessible to all, on the basis of capacity, by every appropriate means, and in particular by the progressive introduction of free education’. </w:t>
      </w:r>
    </w:p>
    <w:p w14:paraId="1D4223DB" w14:textId="7EFA3192" w:rsidR="00E8671C" w:rsidRPr="00AD318A" w:rsidRDefault="00AD318A" w:rsidP="00DA552F">
      <w:pPr>
        <w:spacing w:before="120" w:after="120"/>
        <w:rPr>
          <w:rFonts w:asciiTheme="minorHAnsi" w:hAnsiTheme="minorHAnsi" w:cstheme="minorHAnsi"/>
          <w:bCs/>
          <w:szCs w:val="24"/>
        </w:rPr>
      </w:pPr>
      <w:r>
        <w:rPr>
          <w:rFonts w:asciiTheme="minorHAnsi" w:hAnsiTheme="minorHAnsi" w:cstheme="minorHAnsi"/>
          <w:bCs/>
          <w:szCs w:val="24"/>
        </w:rPr>
        <w:t>The Instrument will make transitional rules that ensure students who</w:t>
      </w:r>
      <w:r w:rsidR="001014D9">
        <w:rPr>
          <w:rFonts w:asciiTheme="minorHAnsi" w:hAnsiTheme="minorHAnsi" w:cstheme="minorHAnsi"/>
          <w:bCs/>
          <w:szCs w:val="24"/>
        </w:rPr>
        <w:t xml:space="preserve"> have</w:t>
      </w:r>
      <w:r>
        <w:rPr>
          <w:rFonts w:asciiTheme="minorHAnsi" w:hAnsiTheme="minorHAnsi" w:cstheme="minorHAnsi"/>
          <w:bCs/>
          <w:szCs w:val="24"/>
        </w:rPr>
        <w:t xml:space="preserve"> </w:t>
      </w:r>
      <w:r w:rsidR="008442D6" w:rsidRPr="008442D6">
        <w:rPr>
          <w:rFonts w:asciiTheme="minorHAnsi" w:hAnsiTheme="minorHAnsi" w:cstheme="minorHAnsi"/>
          <w:bCs/>
          <w:szCs w:val="24"/>
        </w:rPr>
        <w:t>made a full or partial up-front payment</w:t>
      </w:r>
      <w:r w:rsidR="00AA5784">
        <w:rPr>
          <w:rFonts w:asciiTheme="minorHAnsi" w:hAnsiTheme="minorHAnsi" w:cstheme="minorHAnsi"/>
          <w:bCs/>
          <w:szCs w:val="24"/>
        </w:rPr>
        <w:t xml:space="preserve"> </w:t>
      </w:r>
      <w:r w:rsidR="001C048B">
        <w:rPr>
          <w:rFonts w:asciiTheme="minorHAnsi" w:hAnsiTheme="minorHAnsi" w:cstheme="minorHAnsi"/>
          <w:bCs/>
          <w:szCs w:val="24"/>
        </w:rPr>
        <w:t>to a higher education provider in relation to a unit of study</w:t>
      </w:r>
      <w:r w:rsidR="00606154">
        <w:rPr>
          <w:rFonts w:asciiTheme="minorHAnsi" w:hAnsiTheme="minorHAnsi" w:cstheme="minorHAnsi"/>
          <w:bCs/>
          <w:szCs w:val="24"/>
        </w:rPr>
        <w:t xml:space="preserve"> </w:t>
      </w:r>
      <w:r w:rsidR="00B920A8">
        <w:rPr>
          <w:rFonts w:asciiTheme="minorHAnsi" w:hAnsiTheme="minorHAnsi" w:cstheme="minorHAnsi"/>
          <w:bCs/>
          <w:szCs w:val="24"/>
        </w:rPr>
        <w:t>between</w:t>
      </w:r>
      <w:r w:rsidR="008442D6" w:rsidRPr="008442D6">
        <w:rPr>
          <w:rFonts w:asciiTheme="minorHAnsi" w:hAnsiTheme="minorHAnsi" w:cstheme="minorHAnsi"/>
          <w:bCs/>
          <w:szCs w:val="24"/>
        </w:rPr>
        <w:t xml:space="preserve"> 1 January 2023 </w:t>
      </w:r>
      <w:r w:rsidR="00B920A8">
        <w:rPr>
          <w:rFonts w:asciiTheme="minorHAnsi" w:hAnsiTheme="minorHAnsi" w:cstheme="minorHAnsi"/>
          <w:bCs/>
          <w:szCs w:val="24"/>
        </w:rPr>
        <w:t>and</w:t>
      </w:r>
      <w:r w:rsidR="008442D6" w:rsidRPr="008442D6">
        <w:rPr>
          <w:rFonts w:asciiTheme="minorHAnsi" w:hAnsiTheme="minorHAnsi" w:cstheme="minorHAnsi"/>
          <w:bCs/>
          <w:szCs w:val="24"/>
        </w:rPr>
        <w:t xml:space="preserve"> the day before the commencement of the Act</w:t>
      </w:r>
      <w:r w:rsidR="008442D6">
        <w:rPr>
          <w:rFonts w:asciiTheme="minorHAnsi" w:hAnsiTheme="minorHAnsi" w:cstheme="minorHAnsi"/>
          <w:bCs/>
          <w:szCs w:val="24"/>
        </w:rPr>
        <w:t>,</w:t>
      </w:r>
      <w:r w:rsidR="008442D6" w:rsidRPr="008442D6">
        <w:rPr>
          <w:rFonts w:asciiTheme="minorHAnsi" w:hAnsiTheme="minorHAnsi" w:cstheme="minorHAnsi"/>
          <w:bCs/>
          <w:szCs w:val="24"/>
        </w:rPr>
        <w:t xml:space="preserve"> </w:t>
      </w:r>
      <w:r w:rsidR="008442D6">
        <w:rPr>
          <w:rFonts w:asciiTheme="minorHAnsi" w:hAnsiTheme="minorHAnsi" w:cstheme="minorHAnsi"/>
          <w:bCs/>
          <w:szCs w:val="24"/>
        </w:rPr>
        <w:t xml:space="preserve">and should have </w:t>
      </w:r>
      <w:r>
        <w:rPr>
          <w:rFonts w:asciiTheme="minorHAnsi" w:hAnsiTheme="minorHAnsi" w:cstheme="minorHAnsi"/>
          <w:bCs/>
          <w:szCs w:val="24"/>
        </w:rPr>
        <w:t>bec</w:t>
      </w:r>
      <w:r w:rsidR="008442D6">
        <w:rPr>
          <w:rFonts w:asciiTheme="minorHAnsi" w:hAnsiTheme="minorHAnsi" w:cstheme="minorHAnsi"/>
          <w:bCs/>
          <w:szCs w:val="24"/>
        </w:rPr>
        <w:t>o</w:t>
      </w:r>
      <w:r>
        <w:rPr>
          <w:rFonts w:asciiTheme="minorHAnsi" w:hAnsiTheme="minorHAnsi" w:cstheme="minorHAnsi"/>
          <w:bCs/>
          <w:szCs w:val="24"/>
        </w:rPr>
        <w:t>me grandfathered student</w:t>
      </w:r>
      <w:r w:rsidR="008442D6">
        <w:rPr>
          <w:rFonts w:asciiTheme="minorHAnsi" w:hAnsiTheme="minorHAnsi" w:cstheme="minorHAnsi"/>
          <w:bCs/>
          <w:szCs w:val="24"/>
        </w:rPr>
        <w:t>s</w:t>
      </w:r>
      <w:r>
        <w:rPr>
          <w:rFonts w:asciiTheme="minorHAnsi" w:hAnsiTheme="minorHAnsi" w:cstheme="minorHAnsi"/>
          <w:bCs/>
          <w:szCs w:val="24"/>
        </w:rPr>
        <w:t xml:space="preserve"> as a result of the changes made by the Act, will continue to be treated beneficially and not be charged a higher student contribution amount. This will reduce the financial burden on those students</w:t>
      </w:r>
      <w:r w:rsidR="002C7710">
        <w:rPr>
          <w:rFonts w:asciiTheme="minorHAnsi" w:hAnsiTheme="minorHAnsi" w:cstheme="minorHAnsi"/>
          <w:bCs/>
          <w:szCs w:val="24"/>
        </w:rPr>
        <w:t xml:space="preserve"> as they will be charged a lower student contribution amount</w:t>
      </w:r>
      <w:r>
        <w:rPr>
          <w:rFonts w:asciiTheme="minorHAnsi" w:hAnsiTheme="minorHAnsi" w:cstheme="minorHAnsi"/>
          <w:bCs/>
          <w:szCs w:val="24"/>
        </w:rPr>
        <w:t xml:space="preserve"> and improve their access to education. </w:t>
      </w:r>
    </w:p>
    <w:p w14:paraId="0D664062" w14:textId="77777777" w:rsidR="00DA552F" w:rsidRPr="008134D5" w:rsidRDefault="00F9205E" w:rsidP="000C310A">
      <w:pPr>
        <w:pStyle w:val="Heading2"/>
      </w:pPr>
      <w:r w:rsidRPr="008134D5">
        <w:t>Conclusion</w:t>
      </w:r>
    </w:p>
    <w:p w14:paraId="26C0AF71" w14:textId="001032BA"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AD318A">
        <w:rPr>
          <w:rFonts w:asciiTheme="minorHAnsi" w:hAnsiTheme="minorHAnsi" w:cstheme="minorHAnsi"/>
          <w:szCs w:val="24"/>
        </w:rPr>
        <w:t>it supports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64D0A45C"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AD318A">
        <w:rPr>
          <w:rFonts w:asciiTheme="minorHAnsi" w:hAnsiTheme="minorHAnsi" w:cstheme="minorHAnsi"/>
          <w:b/>
          <w:szCs w:val="24"/>
        </w:rPr>
        <w:t>Education</w:t>
      </w:r>
      <w:r w:rsidR="00E8671C">
        <w:rPr>
          <w:rFonts w:asciiTheme="minorHAnsi" w:hAnsiTheme="minorHAnsi" w:cstheme="minorHAnsi"/>
          <w:b/>
          <w:szCs w:val="24"/>
        </w:rPr>
        <w:t xml:space="preserve">, </w:t>
      </w:r>
      <w:r w:rsidR="00AD318A">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1D24027F" w:rsidR="00DA552F" w:rsidRPr="00AD318A" w:rsidRDefault="00AD318A" w:rsidP="000C310A">
      <w:pPr>
        <w:pStyle w:val="Title"/>
        <w:rPr>
          <w:b w:val="0"/>
        </w:rPr>
      </w:pPr>
      <w:r w:rsidRPr="00AD318A">
        <w:rPr>
          <w:u w:val="none"/>
        </w:rPr>
        <w:lastRenderedPageBreak/>
        <w:t xml:space="preserve">HIGHER EDUCATION SUPPORT AMENDMENT (2022 MEASURES NO. 1) TRANSITIONAL RULES </w:t>
      </w:r>
      <w:r w:rsidR="00AA102C">
        <w:rPr>
          <w:u w:val="none"/>
        </w:rPr>
        <w:t>2024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77777777" w:rsidR="00DA552F" w:rsidRPr="00EF4ACB" w:rsidRDefault="00DA552F" w:rsidP="00AF270D">
      <w:pPr>
        <w:pStyle w:val="ListParagraph"/>
        <w:numPr>
          <w:ilvl w:val="0"/>
          <w:numId w:val="1"/>
        </w:numPr>
        <w:spacing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 instrument.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09807817" w:rsidR="00E631F9" w:rsidRPr="00AD318A" w:rsidRDefault="009E033F" w:rsidP="00AF270D">
      <w:pPr>
        <w:pStyle w:val="ListParagraph"/>
        <w:keepNext/>
        <w:numPr>
          <w:ilvl w:val="0"/>
          <w:numId w:val="1"/>
        </w:numPr>
        <w:spacing w:after="120"/>
        <w:rPr>
          <w:rFonts w:asciiTheme="minorHAnsi" w:hAnsiTheme="minorHAnsi" w:cstheme="minorHAnsi"/>
          <w:iCs/>
        </w:rPr>
      </w:pPr>
      <w:r>
        <w:rPr>
          <w:rFonts w:asciiTheme="minorHAnsi" w:hAnsiTheme="minorHAnsi" w:cstheme="minorHAnsi"/>
          <w:iCs/>
        </w:rPr>
        <w:t xml:space="preserve">This provision provides that the </w:t>
      </w:r>
      <w:r>
        <w:rPr>
          <w:rFonts w:asciiTheme="minorHAnsi" w:hAnsiTheme="minorHAnsi" w:cstheme="minorHAnsi"/>
          <w:i/>
        </w:rPr>
        <w:t xml:space="preserve">Higher Education Support Amendment (2022 Measures No. 1) Transitional Rules </w:t>
      </w:r>
      <w:r w:rsidR="00AA102C">
        <w:rPr>
          <w:rFonts w:asciiTheme="minorHAnsi" w:hAnsiTheme="minorHAnsi" w:cstheme="minorHAnsi"/>
          <w:i/>
        </w:rPr>
        <w:t>2024</w:t>
      </w:r>
      <w:r>
        <w:rPr>
          <w:rFonts w:asciiTheme="minorHAnsi" w:hAnsiTheme="minorHAnsi" w:cstheme="minorHAnsi"/>
          <w:iCs/>
        </w:rPr>
        <w:t xml:space="preserve"> (the Instrument) commences the day after it is registered on the Federal Register of Legislation.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27DFC085" w:rsidR="00E631F9" w:rsidRPr="009E033F" w:rsidRDefault="009E033F" w:rsidP="00AF270D">
      <w:pPr>
        <w:pStyle w:val="ListParagraph"/>
        <w:keepNext/>
        <w:numPr>
          <w:ilvl w:val="0"/>
          <w:numId w:val="1"/>
        </w:numPr>
        <w:spacing w:after="120"/>
        <w:rPr>
          <w:rFonts w:asciiTheme="minorHAnsi" w:hAnsiTheme="minorHAnsi" w:cstheme="minorHAnsi"/>
          <w:iCs/>
        </w:rPr>
      </w:pPr>
      <w:r>
        <w:rPr>
          <w:rFonts w:asciiTheme="minorHAnsi" w:hAnsiTheme="minorHAnsi" w:cstheme="minorHAnsi"/>
          <w:iCs/>
        </w:rPr>
        <w:t xml:space="preserve">This section provides that the Instrument is made under item 12 </w:t>
      </w:r>
      <w:r w:rsidR="00D34BFD">
        <w:rPr>
          <w:rFonts w:asciiTheme="minorHAnsi" w:hAnsiTheme="minorHAnsi" w:cstheme="minorHAnsi"/>
          <w:iCs/>
        </w:rPr>
        <w:t>of</w:t>
      </w:r>
      <w:r>
        <w:rPr>
          <w:rFonts w:asciiTheme="minorHAnsi" w:hAnsiTheme="minorHAnsi" w:cstheme="minorHAnsi"/>
          <w:iCs/>
        </w:rPr>
        <w:t xml:space="preserve"> Schedule 1 </w:t>
      </w:r>
      <w:r w:rsidR="00D34BFD">
        <w:rPr>
          <w:rFonts w:asciiTheme="minorHAnsi" w:hAnsiTheme="minorHAnsi" w:cstheme="minorHAnsi"/>
          <w:iCs/>
        </w:rPr>
        <w:t>to</w:t>
      </w:r>
      <w:r>
        <w:rPr>
          <w:rFonts w:asciiTheme="minorHAnsi" w:hAnsiTheme="minorHAnsi" w:cstheme="minorHAnsi"/>
          <w:iCs/>
        </w:rPr>
        <w:t xml:space="preserve"> the </w:t>
      </w:r>
      <w:r>
        <w:rPr>
          <w:rFonts w:asciiTheme="minorHAnsi" w:hAnsiTheme="minorHAnsi" w:cstheme="minorHAnsi"/>
          <w:i/>
        </w:rPr>
        <w:t xml:space="preserve">Higher Education Support Amendment (2022 Measures No. 1) Act 2023 </w:t>
      </w:r>
      <w:r>
        <w:rPr>
          <w:rFonts w:asciiTheme="minorHAnsi" w:hAnsiTheme="minorHAnsi" w:cstheme="minorHAnsi"/>
          <w:iCs/>
        </w:rPr>
        <w:t xml:space="preserve">(the Act). </w:t>
      </w:r>
    </w:p>
    <w:p w14:paraId="0296CC14" w14:textId="25D593AC" w:rsidR="00DA552F" w:rsidRPr="000C310A" w:rsidRDefault="00E631F9" w:rsidP="000C310A">
      <w:pPr>
        <w:pStyle w:val="Heading3"/>
        <w:spacing w:before="240"/>
        <w:rPr>
          <w:b/>
          <w:bCs/>
        </w:rPr>
      </w:pPr>
      <w:r w:rsidRPr="008C5CE9">
        <w:rPr>
          <w:b/>
          <w:bCs/>
        </w:rPr>
        <w:t xml:space="preserve">Section 4: </w:t>
      </w:r>
      <w:r w:rsidR="009E033F">
        <w:rPr>
          <w:b/>
          <w:bCs/>
        </w:rPr>
        <w:t>Definitions</w:t>
      </w:r>
    </w:p>
    <w:p w14:paraId="2AB55D93" w14:textId="0BCBD7B7" w:rsidR="00756D99" w:rsidRDefault="00BB6953" w:rsidP="00BB6953">
      <w:pPr>
        <w:pStyle w:val="ListParagraph"/>
        <w:numPr>
          <w:ilvl w:val="0"/>
          <w:numId w:val="1"/>
        </w:numPr>
        <w:spacing w:after="160" w:line="259" w:lineRule="auto"/>
        <w:rPr>
          <w:rFonts w:asciiTheme="minorHAnsi" w:hAnsiTheme="minorHAnsi" w:cstheme="minorHAnsi"/>
        </w:rPr>
      </w:pPr>
      <w:bookmarkStart w:id="5" w:name="_Toc23942243"/>
      <w:bookmarkEnd w:id="5"/>
      <w:r>
        <w:rPr>
          <w:rFonts w:asciiTheme="minorHAnsi" w:hAnsiTheme="minorHAnsi" w:cstheme="minorHAnsi"/>
        </w:rPr>
        <w:t xml:space="preserve">This section provides definitions for certain expressions used in the Instrument, </w:t>
      </w:r>
      <w:proofErr w:type="gramStart"/>
      <w:r>
        <w:rPr>
          <w:rFonts w:asciiTheme="minorHAnsi" w:hAnsiTheme="minorHAnsi" w:cstheme="minorHAnsi"/>
        </w:rPr>
        <w:t>and also</w:t>
      </w:r>
      <w:proofErr w:type="gramEnd"/>
      <w:r>
        <w:rPr>
          <w:rFonts w:asciiTheme="minorHAnsi" w:hAnsiTheme="minorHAnsi" w:cstheme="minorHAnsi"/>
        </w:rPr>
        <w:t xml:space="preserve"> provides that any other expression used in the Instrument that is defined in the </w:t>
      </w:r>
      <w:r>
        <w:rPr>
          <w:rFonts w:asciiTheme="minorHAnsi" w:hAnsiTheme="minorHAnsi" w:cstheme="minorHAnsi"/>
          <w:i/>
          <w:iCs/>
        </w:rPr>
        <w:t xml:space="preserve">Higher Education Support Act 2003 </w:t>
      </w:r>
      <w:r>
        <w:rPr>
          <w:rFonts w:asciiTheme="minorHAnsi" w:hAnsiTheme="minorHAnsi" w:cstheme="minorHAnsi"/>
        </w:rPr>
        <w:t xml:space="preserve">(HESA) or in Schedule 1 </w:t>
      </w:r>
      <w:r w:rsidR="003511A3">
        <w:rPr>
          <w:rFonts w:asciiTheme="minorHAnsi" w:hAnsiTheme="minorHAnsi" w:cstheme="minorHAnsi"/>
        </w:rPr>
        <w:t>to</w:t>
      </w:r>
      <w:r>
        <w:rPr>
          <w:rFonts w:asciiTheme="minorHAnsi" w:hAnsiTheme="minorHAnsi" w:cstheme="minorHAnsi"/>
        </w:rPr>
        <w:t xml:space="preserve"> the Act, have the same meaning in the Instrument as it has in HESA or in Schedule 1 </w:t>
      </w:r>
      <w:r w:rsidR="003511A3">
        <w:rPr>
          <w:rFonts w:asciiTheme="minorHAnsi" w:hAnsiTheme="minorHAnsi" w:cstheme="minorHAnsi"/>
        </w:rPr>
        <w:t>to</w:t>
      </w:r>
      <w:r>
        <w:rPr>
          <w:rFonts w:asciiTheme="minorHAnsi" w:hAnsiTheme="minorHAnsi" w:cstheme="minorHAnsi"/>
        </w:rPr>
        <w:t xml:space="preserve"> the Act. </w:t>
      </w:r>
    </w:p>
    <w:p w14:paraId="16A62374" w14:textId="2C5CA2D4" w:rsidR="00BB6953" w:rsidRDefault="00BB6953" w:rsidP="00BB6953">
      <w:pPr>
        <w:pStyle w:val="Heading3"/>
        <w:spacing w:before="240"/>
        <w:rPr>
          <w:b/>
          <w:bCs/>
        </w:rPr>
      </w:pPr>
      <w:r w:rsidRPr="00BB6953">
        <w:rPr>
          <w:b/>
          <w:bCs/>
        </w:rPr>
        <w:t xml:space="preserve">Section 5: Transitional rules for full up-front payments made during second transition </w:t>
      </w:r>
      <w:proofErr w:type="gramStart"/>
      <w:r w:rsidRPr="00BB6953">
        <w:rPr>
          <w:b/>
          <w:bCs/>
        </w:rPr>
        <w:t>period</w:t>
      </w:r>
      <w:proofErr w:type="gramEnd"/>
    </w:p>
    <w:p w14:paraId="5C6FE784" w14:textId="70FBBE24" w:rsidR="0090030F" w:rsidRDefault="00BB6953"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Section 5 sets out the actions that a higher education provider must take where an</w:t>
      </w:r>
      <w:r w:rsidR="003A1DDC">
        <w:rPr>
          <w:rFonts w:asciiTheme="minorHAnsi" w:hAnsiTheme="minorHAnsi" w:cstheme="minorHAnsi"/>
          <w:iCs/>
        </w:rPr>
        <w:t xml:space="preserve"> </w:t>
      </w:r>
      <w:r w:rsidR="00A75295">
        <w:rPr>
          <w:rFonts w:asciiTheme="minorHAnsi" w:hAnsiTheme="minorHAnsi" w:cstheme="minorHAnsi"/>
          <w:iCs/>
        </w:rPr>
        <w:t>‘</w:t>
      </w:r>
      <w:r>
        <w:rPr>
          <w:rFonts w:asciiTheme="minorHAnsi" w:hAnsiTheme="minorHAnsi" w:cstheme="minorHAnsi"/>
          <w:iCs/>
        </w:rPr>
        <w:t>affected student</w:t>
      </w:r>
      <w:r w:rsidR="00A75295">
        <w:rPr>
          <w:rFonts w:asciiTheme="minorHAnsi" w:hAnsiTheme="minorHAnsi" w:cstheme="minorHAnsi"/>
          <w:iCs/>
        </w:rPr>
        <w:t>’</w:t>
      </w:r>
      <w:r>
        <w:rPr>
          <w:rFonts w:asciiTheme="minorHAnsi" w:hAnsiTheme="minorHAnsi" w:cstheme="minorHAnsi"/>
          <w:iCs/>
        </w:rPr>
        <w:t xml:space="preserve"> </w:t>
      </w:r>
      <w:r w:rsidR="003A1DDC">
        <w:rPr>
          <w:rFonts w:asciiTheme="minorHAnsi" w:hAnsiTheme="minorHAnsi" w:cstheme="minorHAnsi"/>
          <w:iCs/>
        </w:rPr>
        <w:t xml:space="preserve">(as defined in </w:t>
      </w:r>
      <w:r w:rsidR="005D47AA">
        <w:rPr>
          <w:rFonts w:asciiTheme="minorHAnsi" w:hAnsiTheme="minorHAnsi" w:cstheme="minorHAnsi"/>
          <w:iCs/>
        </w:rPr>
        <w:t>item</w:t>
      </w:r>
      <w:r w:rsidR="003A1DDC">
        <w:rPr>
          <w:rFonts w:asciiTheme="minorHAnsi" w:hAnsiTheme="minorHAnsi" w:cstheme="minorHAnsi"/>
          <w:iCs/>
        </w:rPr>
        <w:t xml:space="preserve"> </w:t>
      </w:r>
      <w:r w:rsidR="00E5622B">
        <w:rPr>
          <w:rFonts w:asciiTheme="minorHAnsi" w:hAnsiTheme="minorHAnsi" w:cstheme="minorHAnsi"/>
          <w:iCs/>
        </w:rPr>
        <w:t>4</w:t>
      </w:r>
      <w:r w:rsidR="005C5A3F">
        <w:rPr>
          <w:rFonts w:asciiTheme="minorHAnsi" w:hAnsiTheme="minorHAnsi" w:cstheme="minorHAnsi"/>
          <w:iCs/>
        </w:rPr>
        <w:t xml:space="preserve"> of Schedule 1 to the Act</w:t>
      </w:r>
      <w:r w:rsidR="003A1DDC">
        <w:rPr>
          <w:rFonts w:asciiTheme="minorHAnsi" w:hAnsiTheme="minorHAnsi" w:cstheme="minorHAnsi"/>
          <w:iCs/>
        </w:rPr>
        <w:t xml:space="preserve">) </w:t>
      </w:r>
      <w:r>
        <w:rPr>
          <w:rFonts w:asciiTheme="minorHAnsi" w:hAnsiTheme="minorHAnsi" w:cstheme="minorHAnsi"/>
          <w:iCs/>
        </w:rPr>
        <w:t xml:space="preserve">has made an upfront payment of the full student contribution amount for a unit of study during the second transition period (the period starting on 1 January 2023 and ending on the day before the commencement of the Act). </w:t>
      </w:r>
    </w:p>
    <w:p w14:paraId="6711DA06" w14:textId="5559789A" w:rsidR="00EF0884" w:rsidRDefault="00EF0884"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Subsection 5(1) provides that section 5 is made for the purposes of subitem 12(1) of</w:t>
      </w:r>
      <w:r w:rsidR="00D34BFD">
        <w:rPr>
          <w:rFonts w:asciiTheme="minorHAnsi" w:hAnsiTheme="minorHAnsi" w:cstheme="minorHAnsi"/>
          <w:iCs/>
        </w:rPr>
        <w:t xml:space="preserve"> Schedule 1 to</w:t>
      </w:r>
      <w:r>
        <w:rPr>
          <w:rFonts w:asciiTheme="minorHAnsi" w:hAnsiTheme="minorHAnsi" w:cstheme="minorHAnsi"/>
          <w:iCs/>
        </w:rPr>
        <w:t xml:space="preserve"> the Act, and applies if</w:t>
      </w:r>
      <w:r w:rsidR="00E764F6">
        <w:rPr>
          <w:rFonts w:asciiTheme="minorHAnsi" w:hAnsiTheme="minorHAnsi" w:cstheme="minorHAnsi"/>
          <w:iCs/>
        </w:rPr>
        <w:t>,</w:t>
      </w:r>
      <w:r>
        <w:rPr>
          <w:rFonts w:asciiTheme="minorHAnsi" w:hAnsiTheme="minorHAnsi" w:cstheme="minorHAnsi"/>
          <w:iCs/>
        </w:rPr>
        <w:t xml:space="preserve"> during the second transition period, an affected student made one or more up-front payments to a higher education provider in relation to a unit of study, and the amount of that payment, or the sum of the payment, is equal to 100% of the affected student’s </w:t>
      </w:r>
      <w:r w:rsidR="00484FCB">
        <w:rPr>
          <w:rFonts w:asciiTheme="minorHAnsi" w:hAnsiTheme="minorHAnsi" w:cstheme="minorHAnsi"/>
          <w:iCs/>
        </w:rPr>
        <w:t>‘</w:t>
      </w:r>
      <w:r>
        <w:rPr>
          <w:rFonts w:asciiTheme="minorHAnsi" w:hAnsiTheme="minorHAnsi" w:cstheme="minorHAnsi"/>
          <w:iCs/>
        </w:rPr>
        <w:t>old student contribution amount</w:t>
      </w:r>
      <w:r w:rsidR="00721DCB">
        <w:rPr>
          <w:rFonts w:asciiTheme="minorHAnsi" w:hAnsiTheme="minorHAnsi" w:cstheme="minorHAnsi"/>
          <w:iCs/>
        </w:rPr>
        <w:t>’ (</w:t>
      </w:r>
      <w:r w:rsidR="00721DCB" w:rsidRPr="00721DCB">
        <w:rPr>
          <w:rFonts w:asciiTheme="minorHAnsi" w:hAnsiTheme="minorHAnsi" w:cstheme="minorHAnsi"/>
          <w:iCs/>
        </w:rPr>
        <w:t>as defined in item 4 of Schedule 1 to the Act</w:t>
      </w:r>
      <w:r w:rsidR="00721DCB">
        <w:rPr>
          <w:rFonts w:asciiTheme="minorHAnsi" w:hAnsiTheme="minorHAnsi" w:cstheme="minorHAnsi"/>
          <w:iCs/>
        </w:rPr>
        <w:t>)</w:t>
      </w:r>
      <w:r>
        <w:rPr>
          <w:rFonts w:asciiTheme="minorHAnsi" w:hAnsiTheme="minorHAnsi" w:cstheme="minorHAnsi"/>
          <w:iCs/>
        </w:rPr>
        <w:t xml:space="preserve"> for the unit (i.e. the student made a full up-front payment). </w:t>
      </w:r>
    </w:p>
    <w:p w14:paraId="25869E9C" w14:textId="35E4F386" w:rsidR="00EF0884" w:rsidRPr="009E033F" w:rsidRDefault="00EF0884"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Subsection 5(2) provides that</w:t>
      </w:r>
      <w:r w:rsidR="00D67CEB">
        <w:rPr>
          <w:rFonts w:asciiTheme="minorHAnsi" w:hAnsiTheme="minorHAnsi" w:cstheme="minorHAnsi"/>
          <w:iCs/>
        </w:rPr>
        <w:t>,</w:t>
      </w:r>
      <w:r>
        <w:rPr>
          <w:rFonts w:asciiTheme="minorHAnsi" w:hAnsiTheme="minorHAnsi" w:cstheme="minorHAnsi"/>
          <w:iCs/>
        </w:rPr>
        <w:t xml:space="preserve"> if the amount paid by the affected student is more than the amount that could have been paid to the higher education provider had the </w:t>
      </w:r>
      <w:r w:rsidR="00135CD9">
        <w:rPr>
          <w:rFonts w:asciiTheme="minorHAnsi" w:hAnsiTheme="minorHAnsi" w:cstheme="minorHAnsi"/>
          <w:iCs/>
        </w:rPr>
        <w:t>‘</w:t>
      </w:r>
      <w:r>
        <w:rPr>
          <w:rFonts w:asciiTheme="minorHAnsi" w:hAnsiTheme="minorHAnsi" w:cstheme="minorHAnsi"/>
          <w:iCs/>
        </w:rPr>
        <w:t>relevant amendment</w:t>
      </w:r>
      <w:r w:rsidR="00135CD9">
        <w:rPr>
          <w:rFonts w:asciiTheme="minorHAnsi" w:hAnsiTheme="minorHAnsi" w:cstheme="minorHAnsi"/>
          <w:iCs/>
        </w:rPr>
        <w:t>’</w:t>
      </w:r>
      <w:r>
        <w:rPr>
          <w:rFonts w:asciiTheme="minorHAnsi" w:hAnsiTheme="minorHAnsi" w:cstheme="minorHAnsi"/>
          <w:iCs/>
        </w:rPr>
        <w:t xml:space="preserve"> </w:t>
      </w:r>
      <w:r w:rsidR="00135CD9">
        <w:rPr>
          <w:rFonts w:asciiTheme="minorHAnsi" w:hAnsiTheme="minorHAnsi" w:cstheme="minorHAnsi"/>
          <w:iCs/>
        </w:rPr>
        <w:t xml:space="preserve">(as defined in item 4 of Schedule 1 to the Act) </w:t>
      </w:r>
      <w:r>
        <w:rPr>
          <w:rFonts w:asciiTheme="minorHAnsi" w:hAnsiTheme="minorHAnsi" w:cstheme="minorHAnsi"/>
          <w:iCs/>
        </w:rPr>
        <w:t xml:space="preserve">been in force during the second transition period, the higher education provider must pay to the affected student an amount equal to the difference between the two amounts. </w:t>
      </w:r>
    </w:p>
    <w:p w14:paraId="57CCA238" w14:textId="1E476EF3" w:rsidR="00EF0884" w:rsidRDefault="00EF0884" w:rsidP="00EF0884">
      <w:pPr>
        <w:pStyle w:val="Heading3"/>
        <w:spacing w:before="240"/>
        <w:rPr>
          <w:b/>
          <w:bCs/>
        </w:rPr>
      </w:pPr>
      <w:r w:rsidRPr="00BB6953">
        <w:rPr>
          <w:b/>
          <w:bCs/>
        </w:rPr>
        <w:lastRenderedPageBreak/>
        <w:t xml:space="preserve">Section </w:t>
      </w:r>
      <w:r>
        <w:rPr>
          <w:b/>
          <w:bCs/>
        </w:rPr>
        <w:t>6</w:t>
      </w:r>
      <w:r w:rsidRPr="00BB6953">
        <w:rPr>
          <w:b/>
          <w:bCs/>
        </w:rPr>
        <w:t xml:space="preserve">: Transitional rules for </w:t>
      </w:r>
      <w:r>
        <w:rPr>
          <w:b/>
          <w:bCs/>
        </w:rPr>
        <w:t>partial</w:t>
      </w:r>
      <w:r w:rsidRPr="00BB6953">
        <w:rPr>
          <w:b/>
          <w:bCs/>
        </w:rPr>
        <w:t xml:space="preserve"> up-front payments made during second transition </w:t>
      </w:r>
      <w:proofErr w:type="gramStart"/>
      <w:r w:rsidRPr="00BB6953">
        <w:rPr>
          <w:b/>
          <w:bCs/>
        </w:rPr>
        <w:t>period</w:t>
      </w:r>
      <w:proofErr w:type="gramEnd"/>
    </w:p>
    <w:p w14:paraId="78DF65BF" w14:textId="749ECFA8" w:rsidR="00BB6953" w:rsidRDefault="00EF0884"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 xml:space="preserve">Section 6 sets out the actions that a higher education provider must take where an affected student has made a partial up-front payment of the student contribution amount for a unit of study during the second transition period. </w:t>
      </w:r>
    </w:p>
    <w:p w14:paraId="0B9156B9" w14:textId="5E503A6C" w:rsidR="00203A03" w:rsidRDefault="00203A03"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Subsection 6(1) provides that section 6 is made for the purposes of subitem 12(1) of</w:t>
      </w:r>
      <w:r w:rsidR="0099287B">
        <w:rPr>
          <w:rFonts w:asciiTheme="minorHAnsi" w:hAnsiTheme="minorHAnsi" w:cstheme="minorHAnsi"/>
          <w:iCs/>
        </w:rPr>
        <w:t xml:space="preserve"> Schedule 1 to</w:t>
      </w:r>
      <w:r>
        <w:rPr>
          <w:rFonts w:asciiTheme="minorHAnsi" w:hAnsiTheme="minorHAnsi" w:cstheme="minorHAnsi"/>
          <w:iCs/>
        </w:rPr>
        <w:t xml:space="preserve"> the Act, and applies if</w:t>
      </w:r>
      <w:r w:rsidR="0099287B">
        <w:rPr>
          <w:rFonts w:asciiTheme="minorHAnsi" w:hAnsiTheme="minorHAnsi" w:cstheme="minorHAnsi"/>
          <w:iCs/>
        </w:rPr>
        <w:t>,</w:t>
      </w:r>
      <w:r>
        <w:rPr>
          <w:rFonts w:asciiTheme="minorHAnsi" w:hAnsiTheme="minorHAnsi" w:cstheme="minorHAnsi"/>
          <w:iCs/>
        </w:rPr>
        <w:t xml:space="preserve"> during the second transition period, an affected student made one or more up-front payments to a higher education provider in relation to a unit of study, those up-front payments were less than 100% of the affected student’s old student contribution amount for the unit, and under section 96-1 of HESA, the Commonwealth lent to the student an amount of HECS-HELP assistance and paid to the provider the amount lent in discharge of the student’s liability to pay the remainder of their old student contribution amount for the unit. </w:t>
      </w:r>
    </w:p>
    <w:p w14:paraId="3B22FB09" w14:textId="134F42B5" w:rsidR="00203A03" w:rsidRDefault="00203A03"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Subsection 6(2) provides that</w:t>
      </w:r>
      <w:r w:rsidR="00795F5A">
        <w:rPr>
          <w:rFonts w:asciiTheme="minorHAnsi" w:hAnsiTheme="minorHAnsi" w:cstheme="minorHAnsi"/>
          <w:iCs/>
        </w:rPr>
        <w:t>,</w:t>
      </w:r>
      <w:r>
        <w:rPr>
          <w:rFonts w:asciiTheme="minorHAnsi" w:hAnsiTheme="minorHAnsi" w:cstheme="minorHAnsi"/>
          <w:iCs/>
        </w:rPr>
        <w:t xml:space="preserve"> if the amount paid to the provider to discharge the student’s liability to pay the remainder of their old student contribution is more than the amount that would have been paid to the provider had the relevant amendment been in force during the second transition period, the difference between the two amounts may be deducted from any amount that is payable, or to be paid to the higher education provider under HESA, or recovered by the Commonwealth from the higher education provider as a debt due to the Commonwealth. </w:t>
      </w:r>
    </w:p>
    <w:p w14:paraId="3AB69122" w14:textId="38624C73" w:rsidR="00203A03" w:rsidRDefault="00203A03"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Subsection 6(3) provides that</w:t>
      </w:r>
      <w:r w:rsidR="00883815">
        <w:rPr>
          <w:rFonts w:asciiTheme="minorHAnsi" w:hAnsiTheme="minorHAnsi" w:cstheme="minorHAnsi"/>
          <w:iCs/>
        </w:rPr>
        <w:t>,</w:t>
      </w:r>
      <w:r>
        <w:rPr>
          <w:rFonts w:asciiTheme="minorHAnsi" w:hAnsiTheme="minorHAnsi" w:cstheme="minorHAnsi"/>
          <w:iCs/>
        </w:rPr>
        <w:t xml:space="preserve"> if the amount paid by the affected student is more than the amount that could have been paid to the higher education provider had the relevant amendment been in force during the second transition period, the higher education provider must pay to the affected student an amount equal to the difference between the two amounts. </w:t>
      </w:r>
    </w:p>
    <w:p w14:paraId="5E10D255" w14:textId="31264DD0" w:rsidR="00203A03" w:rsidRDefault="00203A03"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 xml:space="preserve">Subsection 6(4) provides that the higher education provider must, on the Secretary’s behalf, recredit the affected student’s HELP balance with an amount </w:t>
      </w:r>
      <w:r w:rsidR="00514370">
        <w:rPr>
          <w:rFonts w:asciiTheme="minorHAnsi" w:hAnsiTheme="minorHAnsi" w:cstheme="minorHAnsi"/>
          <w:iCs/>
        </w:rPr>
        <w:t xml:space="preserve">(the relevant amount) </w:t>
      </w:r>
      <w:r>
        <w:rPr>
          <w:rFonts w:asciiTheme="minorHAnsi" w:hAnsiTheme="minorHAnsi" w:cstheme="minorHAnsi"/>
          <w:iCs/>
        </w:rPr>
        <w:t xml:space="preserve">that is equal to the difference between the amount paid to the provider to discharge the student’s liability to pay the remainder of their old student contribution, and the amount that would have been paid under paragraph 96-1(b) of HESA, had the relevant amendment been in force during the second transition period. </w:t>
      </w:r>
    </w:p>
    <w:p w14:paraId="00E9184B" w14:textId="06E1C20D" w:rsidR="00514370" w:rsidRDefault="00514370" w:rsidP="00BB6953">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 xml:space="preserve">Subsection 6(5) provides that the affected student’s HECS-HELP debt in relation to the unit of study is taken to be remitted by an amount equal to the </w:t>
      </w:r>
      <w:r w:rsidR="003539F2">
        <w:rPr>
          <w:rFonts w:asciiTheme="minorHAnsi" w:hAnsiTheme="minorHAnsi" w:cstheme="minorHAnsi"/>
          <w:iCs/>
        </w:rPr>
        <w:t xml:space="preserve">relevant amount. </w:t>
      </w:r>
    </w:p>
    <w:p w14:paraId="1DDE1470" w14:textId="6D79954B" w:rsidR="003539F2" w:rsidRDefault="003539F2" w:rsidP="003539F2">
      <w:pPr>
        <w:spacing w:after="160" w:line="259" w:lineRule="auto"/>
        <w:rPr>
          <w:rFonts w:asciiTheme="minorHAnsi" w:hAnsiTheme="minorHAnsi" w:cstheme="minorHAnsi"/>
          <w:b/>
          <w:bCs/>
          <w:iCs/>
        </w:rPr>
      </w:pPr>
      <w:r>
        <w:rPr>
          <w:rFonts w:asciiTheme="minorHAnsi" w:hAnsiTheme="minorHAnsi" w:cstheme="minorHAnsi"/>
          <w:b/>
          <w:bCs/>
          <w:iCs/>
          <w:u w:val="single"/>
        </w:rPr>
        <w:t>Section 7: Secretary may act if provider is unable to</w:t>
      </w:r>
    </w:p>
    <w:p w14:paraId="6C6147E5" w14:textId="1E0A9FAB" w:rsidR="003539F2" w:rsidRDefault="003539F2" w:rsidP="003539F2">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Section 7 provides that,</w:t>
      </w:r>
      <w:r w:rsidR="00770051">
        <w:rPr>
          <w:rFonts w:asciiTheme="minorHAnsi" w:hAnsiTheme="minorHAnsi" w:cstheme="minorHAnsi"/>
          <w:iCs/>
        </w:rPr>
        <w:t xml:space="preserve"> for the purposes of the tran</w:t>
      </w:r>
      <w:r w:rsidR="00630AE5">
        <w:rPr>
          <w:rFonts w:asciiTheme="minorHAnsi" w:hAnsiTheme="minorHAnsi" w:cstheme="minorHAnsi"/>
          <w:iCs/>
        </w:rPr>
        <w:t>s</w:t>
      </w:r>
      <w:r w:rsidR="00770051">
        <w:rPr>
          <w:rFonts w:asciiTheme="minorHAnsi" w:hAnsiTheme="minorHAnsi" w:cstheme="minorHAnsi"/>
          <w:iCs/>
        </w:rPr>
        <w:t>itional rules specified in section 6,</w:t>
      </w:r>
      <w:r>
        <w:rPr>
          <w:rFonts w:asciiTheme="minorHAnsi" w:hAnsiTheme="minorHAnsi" w:cstheme="minorHAnsi"/>
          <w:iCs/>
        </w:rPr>
        <w:t xml:space="preserve"> if the higher education provider is unable to act for the purposes of subsection 6(4), the Secretary may act as if the reference in that subsection was a reference to the Secretary. </w:t>
      </w:r>
    </w:p>
    <w:p w14:paraId="1036C128" w14:textId="4C826CC7" w:rsidR="003539F2" w:rsidRDefault="003539F2" w:rsidP="003539F2">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 xml:space="preserve">This will allow the Secretary to re-credit an affected student’s HELP balance in circumstances where the higher education provider is unable to do so. </w:t>
      </w:r>
    </w:p>
    <w:p w14:paraId="4293E24A" w14:textId="4706A0F9" w:rsidR="003539F2" w:rsidRDefault="003539F2" w:rsidP="003539F2">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lastRenderedPageBreak/>
        <w:t xml:space="preserve">The Secretary having the power to re-credit a student’s HELP balance in the event the higher education provider is unable to do so is consistent with other re-crediting provisions in HESA (see subsections 97-27(2), 97-42(2), 97-45(2) and 97-50(2)). </w:t>
      </w:r>
    </w:p>
    <w:p w14:paraId="2F27B899" w14:textId="4BAB82CD" w:rsidR="00E97675" w:rsidRDefault="00E97675" w:rsidP="00E97675">
      <w:pPr>
        <w:spacing w:after="160" w:line="259" w:lineRule="auto"/>
        <w:rPr>
          <w:rFonts w:asciiTheme="minorHAnsi" w:hAnsiTheme="minorHAnsi" w:cstheme="minorHAnsi"/>
          <w:iCs/>
        </w:rPr>
      </w:pPr>
      <w:r>
        <w:rPr>
          <w:rFonts w:asciiTheme="minorHAnsi" w:hAnsiTheme="minorHAnsi" w:cstheme="minorHAnsi"/>
          <w:b/>
          <w:bCs/>
          <w:iCs/>
          <w:u w:val="single"/>
        </w:rPr>
        <w:t xml:space="preserve">Section 8: Interaction </w:t>
      </w:r>
      <w:r w:rsidR="00305F42">
        <w:rPr>
          <w:rFonts w:asciiTheme="minorHAnsi" w:hAnsiTheme="minorHAnsi" w:cstheme="minorHAnsi"/>
          <w:b/>
          <w:bCs/>
          <w:iCs/>
          <w:u w:val="single"/>
        </w:rPr>
        <w:t xml:space="preserve">of transitional rules </w:t>
      </w:r>
      <w:r>
        <w:rPr>
          <w:rFonts w:asciiTheme="minorHAnsi" w:hAnsiTheme="minorHAnsi" w:cstheme="minorHAnsi"/>
          <w:b/>
          <w:bCs/>
          <w:iCs/>
          <w:u w:val="single"/>
        </w:rPr>
        <w:t xml:space="preserve">with the </w:t>
      </w:r>
      <w:r>
        <w:rPr>
          <w:rFonts w:asciiTheme="minorHAnsi" w:hAnsiTheme="minorHAnsi" w:cstheme="minorHAnsi"/>
          <w:b/>
          <w:bCs/>
          <w:i/>
          <w:u w:val="single"/>
        </w:rPr>
        <w:t>Higher Education Support Act 2003</w:t>
      </w:r>
    </w:p>
    <w:p w14:paraId="1D035E11" w14:textId="5D8086B2" w:rsidR="00E97675" w:rsidRPr="00E97675" w:rsidRDefault="00E97675" w:rsidP="00E97675">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Section 8 provides that</w:t>
      </w:r>
      <w:r w:rsidR="00305F42">
        <w:rPr>
          <w:rFonts w:asciiTheme="minorHAnsi" w:hAnsiTheme="minorHAnsi" w:cstheme="minorHAnsi"/>
          <w:iCs/>
        </w:rPr>
        <w:t>, for the purposes of subitem 12(2) of Schedule 1 to the Act, item 11 of Schedule 1 to the Act is modified such that</w:t>
      </w:r>
      <w:r>
        <w:rPr>
          <w:rFonts w:asciiTheme="minorHAnsi" w:hAnsiTheme="minorHAnsi" w:cstheme="minorHAnsi"/>
          <w:iCs/>
        </w:rPr>
        <w:t xml:space="preserve"> the obligations imposed on a higher education provider in the Instrument are taken, for the purposes of HESA, to be conditions of a grant made to the provider under Part 2-2 of HESA. </w:t>
      </w:r>
      <w:r w:rsidR="00A30FC0">
        <w:rPr>
          <w:rFonts w:asciiTheme="minorHAnsi" w:hAnsiTheme="minorHAnsi" w:cstheme="minorHAnsi"/>
          <w:iCs/>
        </w:rPr>
        <w:t xml:space="preserve">This has the effect of linking payment of grants under Part 2-2 of HESA with the higher education provider’s compliance with obligations imposed in the Instrument. </w:t>
      </w:r>
      <w:r w:rsidR="006162D7">
        <w:rPr>
          <w:rFonts w:asciiTheme="minorHAnsi" w:hAnsiTheme="minorHAnsi" w:cstheme="minorHAnsi"/>
          <w:iCs/>
        </w:rPr>
        <w:t>T</w:t>
      </w:r>
      <w:r w:rsidR="00C3782A">
        <w:rPr>
          <w:rFonts w:asciiTheme="minorHAnsi" w:hAnsiTheme="minorHAnsi" w:cstheme="minorHAnsi"/>
          <w:iCs/>
        </w:rPr>
        <w:t>he Minister can</w:t>
      </w:r>
      <w:r w:rsidR="006162D7">
        <w:rPr>
          <w:rFonts w:asciiTheme="minorHAnsi" w:hAnsiTheme="minorHAnsi" w:cstheme="minorHAnsi"/>
          <w:iCs/>
        </w:rPr>
        <w:t xml:space="preserve"> then</w:t>
      </w:r>
      <w:r w:rsidR="00C3782A">
        <w:rPr>
          <w:rFonts w:asciiTheme="minorHAnsi" w:hAnsiTheme="minorHAnsi" w:cstheme="minorHAnsi"/>
          <w:iCs/>
        </w:rPr>
        <w:t xml:space="preserve"> take compliance action under HESA if</w:t>
      </w:r>
      <w:r w:rsidR="007462B1">
        <w:rPr>
          <w:rFonts w:asciiTheme="minorHAnsi" w:hAnsiTheme="minorHAnsi" w:cstheme="minorHAnsi"/>
          <w:iCs/>
        </w:rPr>
        <w:t xml:space="preserve"> providers do not comply with these obligations</w:t>
      </w:r>
      <w:r w:rsidR="00A30FC0">
        <w:rPr>
          <w:rFonts w:asciiTheme="minorHAnsi" w:hAnsiTheme="minorHAnsi" w:cstheme="minorHAnsi"/>
          <w:iCs/>
        </w:rPr>
        <w:t xml:space="preserve">. </w:t>
      </w:r>
    </w:p>
    <w:sectPr w:rsidR="00E97675" w:rsidRPr="00E976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49D0" w14:textId="77777777" w:rsidR="00A30ABC" w:rsidRDefault="00A30ABC" w:rsidP="00783FAB">
      <w:pPr>
        <w:spacing w:after="0" w:line="240" w:lineRule="auto"/>
      </w:pPr>
      <w:r>
        <w:separator/>
      </w:r>
    </w:p>
  </w:endnote>
  <w:endnote w:type="continuationSeparator" w:id="0">
    <w:p w14:paraId="35404866" w14:textId="77777777" w:rsidR="00A30ABC" w:rsidRDefault="00A30ABC" w:rsidP="00783FAB">
      <w:pPr>
        <w:spacing w:after="0" w:line="240" w:lineRule="auto"/>
      </w:pPr>
      <w:r>
        <w:continuationSeparator/>
      </w:r>
    </w:p>
  </w:endnote>
  <w:endnote w:type="continuationNotice" w:id="1">
    <w:p w14:paraId="1B0EC7A8" w14:textId="77777777" w:rsidR="00A30ABC" w:rsidRDefault="00A30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1838" w14:textId="77777777" w:rsidR="00A30ABC" w:rsidRDefault="00A30ABC" w:rsidP="00783FAB">
      <w:pPr>
        <w:spacing w:after="0" w:line="240" w:lineRule="auto"/>
      </w:pPr>
      <w:r>
        <w:separator/>
      </w:r>
    </w:p>
  </w:footnote>
  <w:footnote w:type="continuationSeparator" w:id="0">
    <w:p w14:paraId="3958630A" w14:textId="77777777" w:rsidR="00A30ABC" w:rsidRDefault="00A30ABC" w:rsidP="00783FAB">
      <w:pPr>
        <w:spacing w:after="0" w:line="240" w:lineRule="auto"/>
      </w:pPr>
      <w:r>
        <w:continuationSeparator/>
      </w:r>
    </w:p>
  </w:footnote>
  <w:footnote w:type="continuationNotice" w:id="1">
    <w:p w14:paraId="353EA12C" w14:textId="77777777" w:rsidR="00A30ABC" w:rsidRDefault="00A30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7ACC65B6"/>
    <w:lvl w:ilvl="0" w:tplc="FED4BFCE">
      <w:start w:val="1"/>
      <w:numFmt w:val="decimal"/>
      <w:pStyle w:val="MBPoint"/>
      <w:lvlText w:val="%1."/>
      <w:lvlJc w:val="left"/>
      <w:pPr>
        <w:ind w:left="417" w:hanging="360"/>
      </w:pPr>
      <w:rPr>
        <w:rFonts w:hint="default"/>
      </w:rPr>
    </w:lvl>
    <w:lvl w:ilvl="1" w:tplc="E5C0A212" w:tentative="1">
      <w:start w:val="1"/>
      <w:numFmt w:val="lowerLetter"/>
      <w:lvlText w:val="%2."/>
      <w:lvlJc w:val="left"/>
      <w:pPr>
        <w:ind w:left="1137" w:hanging="360"/>
      </w:pPr>
    </w:lvl>
    <w:lvl w:ilvl="2" w:tplc="2CF2C3BE" w:tentative="1">
      <w:start w:val="1"/>
      <w:numFmt w:val="lowerRoman"/>
      <w:lvlText w:val="%3."/>
      <w:lvlJc w:val="right"/>
      <w:pPr>
        <w:ind w:left="1857" w:hanging="180"/>
      </w:pPr>
    </w:lvl>
    <w:lvl w:ilvl="3" w:tplc="0C1281CC" w:tentative="1">
      <w:start w:val="1"/>
      <w:numFmt w:val="decimal"/>
      <w:lvlText w:val="%4."/>
      <w:lvlJc w:val="left"/>
      <w:pPr>
        <w:ind w:left="2577" w:hanging="360"/>
      </w:pPr>
    </w:lvl>
    <w:lvl w:ilvl="4" w:tplc="08BEA334" w:tentative="1">
      <w:start w:val="1"/>
      <w:numFmt w:val="lowerLetter"/>
      <w:lvlText w:val="%5."/>
      <w:lvlJc w:val="left"/>
      <w:pPr>
        <w:ind w:left="3297" w:hanging="360"/>
      </w:pPr>
    </w:lvl>
    <w:lvl w:ilvl="5" w:tplc="910AA3A0" w:tentative="1">
      <w:start w:val="1"/>
      <w:numFmt w:val="lowerRoman"/>
      <w:lvlText w:val="%6."/>
      <w:lvlJc w:val="right"/>
      <w:pPr>
        <w:ind w:left="4017" w:hanging="180"/>
      </w:pPr>
    </w:lvl>
    <w:lvl w:ilvl="6" w:tplc="B4966B50" w:tentative="1">
      <w:start w:val="1"/>
      <w:numFmt w:val="decimal"/>
      <w:lvlText w:val="%7."/>
      <w:lvlJc w:val="left"/>
      <w:pPr>
        <w:ind w:left="4737" w:hanging="360"/>
      </w:pPr>
    </w:lvl>
    <w:lvl w:ilvl="7" w:tplc="7A382D94" w:tentative="1">
      <w:start w:val="1"/>
      <w:numFmt w:val="lowerLetter"/>
      <w:lvlText w:val="%8."/>
      <w:lvlJc w:val="left"/>
      <w:pPr>
        <w:ind w:left="5457" w:hanging="360"/>
      </w:pPr>
    </w:lvl>
    <w:lvl w:ilvl="8" w:tplc="FF4CA5D8" w:tentative="1">
      <w:start w:val="1"/>
      <w:numFmt w:val="lowerRoman"/>
      <w:lvlText w:val="%9."/>
      <w:lvlJc w:val="right"/>
      <w:pPr>
        <w:ind w:left="6177" w:hanging="180"/>
      </w:pPr>
    </w:lvl>
  </w:abstractNum>
  <w:abstractNum w:abstractNumId="1" w15:restartNumberingAfterBreak="0">
    <w:nsid w:val="10AF3DFF"/>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670DC8"/>
    <w:multiLevelType w:val="hybridMultilevel"/>
    <w:tmpl w:val="46FEE3D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0D30F28"/>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2278040">
    <w:abstractNumId w:val="2"/>
  </w:num>
  <w:num w:numId="2" w16cid:durableId="2134210513">
    <w:abstractNumId w:val="5"/>
  </w:num>
  <w:num w:numId="3" w16cid:durableId="1087456321">
    <w:abstractNumId w:val="3"/>
  </w:num>
  <w:num w:numId="4" w16cid:durableId="478304130">
    <w:abstractNumId w:val="4"/>
  </w:num>
  <w:num w:numId="5" w16cid:durableId="262808277">
    <w:abstractNumId w:val="1"/>
  </w:num>
  <w:num w:numId="6" w16cid:durableId="9362568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7D13"/>
    <w:rsid w:val="00011E4D"/>
    <w:rsid w:val="000138CF"/>
    <w:rsid w:val="000140D5"/>
    <w:rsid w:val="000146FA"/>
    <w:rsid w:val="0001554B"/>
    <w:rsid w:val="00016AFF"/>
    <w:rsid w:val="00017F54"/>
    <w:rsid w:val="000305EA"/>
    <w:rsid w:val="000314E5"/>
    <w:rsid w:val="00031E3C"/>
    <w:rsid w:val="00032CB3"/>
    <w:rsid w:val="00036FAE"/>
    <w:rsid w:val="00044508"/>
    <w:rsid w:val="00047668"/>
    <w:rsid w:val="00047A2A"/>
    <w:rsid w:val="0005020B"/>
    <w:rsid w:val="00057815"/>
    <w:rsid w:val="00057A1E"/>
    <w:rsid w:val="000614A1"/>
    <w:rsid w:val="00062794"/>
    <w:rsid w:val="0006484E"/>
    <w:rsid w:val="000668B0"/>
    <w:rsid w:val="00076CE5"/>
    <w:rsid w:val="00076E76"/>
    <w:rsid w:val="00080364"/>
    <w:rsid w:val="00083F41"/>
    <w:rsid w:val="000846B7"/>
    <w:rsid w:val="000A2A28"/>
    <w:rsid w:val="000A2D3A"/>
    <w:rsid w:val="000A3124"/>
    <w:rsid w:val="000A35D6"/>
    <w:rsid w:val="000A63A9"/>
    <w:rsid w:val="000B1BE1"/>
    <w:rsid w:val="000B3914"/>
    <w:rsid w:val="000B3DBE"/>
    <w:rsid w:val="000B6430"/>
    <w:rsid w:val="000C224C"/>
    <w:rsid w:val="000C310A"/>
    <w:rsid w:val="000C32A0"/>
    <w:rsid w:val="000C34FD"/>
    <w:rsid w:val="000C4D6B"/>
    <w:rsid w:val="000D1472"/>
    <w:rsid w:val="000D2531"/>
    <w:rsid w:val="000D3B7B"/>
    <w:rsid w:val="000D5E6D"/>
    <w:rsid w:val="000E3516"/>
    <w:rsid w:val="000E57DB"/>
    <w:rsid w:val="000E6FD6"/>
    <w:rsid w:val="000F0323"/>
    <w:rsid w:val="000F1811"/>
    <w:rsid w:val="000F1A88"/>
    <w:rsid w:val="000F7A8C"/>
    <w:rsid w:val="001014D9"/>
    <w:rsid w:val="00103015"/>
    <w:rsid w:val="00103253"/>
    <w:rsid w:val="001042BA"/>
    <w:rsid w:val="00120A34"/>
    <w:rsid w:val="00124260"/>
    <w:rsid w:val="00125A8E"/>
    <w:rsid w:val="00127CD8"/>
    <w:rsid w:val="001301AD"/>
    <w:rsid w:val="00132085"/>
    <w:rsid w:val="001334D9"/>
    <w:rsid w:val="00135CD9"/>
    <w:rsid w:val="001377D9"/>
    <w:rsid w:val="00137ACD"/>
    <w:rsid w:val="00140DAD"/>
    <w:rsid w:val="00140E3D"/>
    <w:rsid w:val="001421FE"/>
    <w:rsid w:val="001437EA"/>
    <w:rsid w:val="00144950"/>
    <w:rsid w:val="00145BE1"/>
    <w:rsid w:val="00152553"/>
    <w:rsid w:val="0015276C"/>
    <w:rsid w:val="00152947"/>
    <w:rsid w:val="0015508C"/>
    <w:rsid w:val="00160153"/>
    <w:rsid w:val="00161A1F"/>
    <w:rsid w:val="00167E8A"/>
    <w:rsid w:val="0017006A"/>
    <w:rsid w:val="00173A64"/>
    <w:rsid w:val="00173E0C"/>
    <w:rsid w:val="0017417A"/>
    <w:rsid w:val="00174CD4"/>
    <w:rsid w:val="00175181"/>
    <w:rsid w:val="00185491"/>
    <w:rsid w:val="00195030"/>
    <w:rsid w:val="00197C3F"/>
    <w:rsid w:val="001A2FE9"/>
    <w:rsid w:val="001A4389"/>
    <w:rsid w:val="001A52E4"/>
    <w:rsid w:val="001B3C7A"/>
    <w:rsid w:val="001C048B"/>
    <w:rsid w:val="001D00E3"/>
    <w:rsid w:val="001D0AF3"/>
    <w:rsid w:val="001D1D8A"/>
    <w:rsid w:val="001D36EE"/>
    <w:rsid w:val="001D7B02"/>
    <w:rsid w:val="001E07CE"/>
    <w:rsid w:val="001E52EB"/>
    <w:rsid w:val="001E5A0B"/>
    <w:rsid w:val="001F127D"/>
    <w:rsid w:val="001F3626"/>
    <w:rsid w:val="001F7336"/>
    <w:rsid w:val="00200358"/>
    <w:rsid w:val="002005CD"/>
    <w:rsid w:val="0020134C"/>
    <w:rsid w:val="0020182E"/>
    <w:rsid w:val="00201F75"/>
    <w:rsid w:val="00202C9E"/>
    <w:rsid w:val="00202EC1"/>
    <w:rsid w:val="00203A03"/>
    <w:rsid w:val="00204283"/>
    <w:rsid w:val="00204EEF"/>
    <w:rsid w:val="00205DBD"/>
    <w:rsid w:val="00207297"/>
    <w:rsid w:val="0021337D"/>
    <w:rsid w:val="00216A1C"/>
    <w:rsid w:val="00223F82"/>
    <w:rsid w:val="00224C52"/>
    <w:rsid w:val="00232304"/>
    <w:rsid w:val="002378EE"/>
    <w:rsid w:val="002445E3"/>
    <w:rsid w:val="00244E0B"/>
    <w:rsid w:val="00247EBF"/>
    <w:rsid w:val="00261499"/>
    <w:rsid w:val="002672A4"/>
    <w:rsid w:val="00270A8F"/>
    <w:rsid w:val="00272665"/>
    <w:rsid w:val="00272EF9"/>
    <w:rsid w:val="002747E8"/>
    <w:rsid w:val="00274EEA"/>
    <w:rsid w:val="002759C4"/>
    <w:rsid w:val="0027686D"/>
    <w:rsid w:val="002808A9"/>
    <w:rsid w:val="002835D1"/>
    <w:rsid w:val="00284C9D"/>
    <w:rsid w:val="00292863"/>
    <w:rsid w:val="00294430"/>
    <w:rsid w:val="00296CA7"/>
    <w:rsid w:val="00296FAF"/>
    <w:rsid w:val="00297EAB"/>
    <w:rsid w:val="002A15F1"/>
    <w:rsid w:val="002A471E"/>
    <w:rsid w:val="002A4961"/>
    <w:rsid w:val="002B313C"/>
    <w:rsid w:val="002B39CB"/>
    <w:rsid w:val="002B59E8"/>
    <w:rsid w:val="002B5C28"/>
    <w:rsid w:val="002C1F84"/>
    <w:rsid w:val="002C40FB"/>
    <w:rsid w:val="002C7710"/>
    <w:rsid w:val="002C7E8F"/>
    <w:rsid w:val="002D1504"/>
    <w:rsid w:val="002D564A"/>
    <w:rsid w:val="002D615F"/>
    <w:rsid w:val="002E12E6"/>
    <w:rsid w:val="002E340A"/>
    <w:rsid w:val="002F2663"/>
    <w:rsid w:val="002F76C6"/>
    <w:rsid w:val="00304A88"/>
    <w:rsid w:val="00304E64"/>
    <w:rsid w:val="00305F42"/>
    <w:rsid w:val="00306FFB"/>
    <w:rsid w:val="00307358"/>
    <w:rsid w:val="0031070C"/>
    <w:rsid w:val="00310D43"/>
    <w:rsid w:val="00313612"/>
    <w:rsid w:val="00316053"/>
    <w:rsid w:val="003170AC"/>
    <w:rsid w:val="00326C24"/>
    <w:rsid w:val="0033070E"/>
    <w:rsid w:val="003326AF"/>
    <w:rsid w:val="00335D2A"/>
    <w:rsid w:val="003440C7"/>
    <w:rsid w:val="00350779"/>
    <w:rsid w:val="003511A3"/>
    <w:rsid w:val="003539F2"/>
    <w:rsid w:val="00353D81"/>
    <w:rsid w:val="00354743"/>
    <w:rsid w:val="0035779B"/>
    <w:rsid w:val="00357C88"/>
    <w:rsid w:val="00365D2C"/>
    <w:rsid w:val="00367C2D"/>
    <w:rsid w:val="0037028F"/>
    <w:rsid w:val="003719BF"/>
    <w:rsid w:val="00373353"/>
    <w:rsid w:val="00375010"/>
    <w:rsid w:val="0037728A"/>
    <w:rsid w:val="00377427"/>
    <w:rsid w:val="00381856"/>
    <w:rsid w:val="0038688D"/>
    <w:rsid w:val="00386B68"/>
    <w:rsid w:val="00386E17"/>
    <w:rsid w:val="0038758C"/>
    <w:rsid w:val="003913F1"/>
    <w:rsid w:val="00393A61"/>
    <w:rsid w:val="00394454"/>
    <w:rsid w:val="00395655"/>
    <w:rsid w:val="003A0965"/>
    <w:rsid w:val="003A1DDC"/>
    <w:rsid w:val="003A373E"/>
    <w:rsid w:val="003A3D0E"/>
    <w:rsid w:val="003A4424"/>
    <w:rsid w:val="003A4872"/>
    <w:rsid w:val="003A530C"/>
    <w:rsid w:val="003A5841"/>
    <w:rsid w:val="003A7B17"/>
    <w:rsid w:val="003B29B0"/>
    <w:rsid w:val="003B2DA8"/>
    <w:rsid w:val="003B3044"/>
    <w:rsid w:val="003B6C2D"/>
    <w:rsid w:val="003C0D20"/>
    <w:rsid w:val="003C16A9"/>
    <w:rsid w:val="003C202D"/>
    <w:rsid w:val="003D19C9"/>
    <w:rsid w:val="003D3CC7"/>
    <w:rsid w:val="003D47C4"/>
    <w:rsid w:val="003D4D22"/>
    <w:rsid w:val="003D7CE2"/>
    <w:rsid w:val="003E4413"/>
    <w:rsid w:val="003E5B26"/>
    <w:rsid w:val="003E7C2F"/>
    <w:rsid w:val="003F09F7"/>
    <w:rsid w:val="003F1AA1"/>
    <w:rsid w:val="003F2359"/>
    <w:rsid w:val="003F24BC"/>
    <w:rsid w:val="003F4616"/>
    <w:rsid w:val="003F65E9"/>
    <w:rsid w:val="00402CC7"/>
    <w:rsid w:val="00402D70"/>
    <w:rsid w:val="00403CE4"/>
    <w:rsid w:val="004075A3"/>
    <w:rsid w:val="00410A3F"/>
    <w:rsid w:val="0041144F"/>
    <w:rsid w:val="004143B1"/>
    <w:rsid w:val="004155F0"/>
    <w:rsid w:val="00415A55"/>
    <w:rsid w:val="004228EE"/>
    <w:rsid w:val="00425A1E"/>
    <w:rsid w:val="00425FCB"/>
    <w:rsid w:val="00430F1B"/>
    <w:rsid w:val="004327E1"/>
    <w:rsid w:val="00434240"/>
    <w:rsid w:val="00434641"/>
    <w:rsid w:val="00434CDD"/>
    <w:rsid w:val="004355D0"/>
    <w:rsid w:val="004355E8"/>
    <w:rsid w:val="00436435"/>
    <w:rsid w:val="00437A61"/>
    <w:rsid w:val="00445460"/>
    <w:rsid w:val="00445991"/>
    <w:rsid w:val="00446B03"/>
    <w:rsid w:val="0044797F"/>
    <w:rsid w:val="00455C2A"/>
    <w:rsid w:val="00472F61"/>
    <w:rsid w:val="004810DF"/>
    <w:rsid w:val="00481DE1"/>
    <w:rsid w:val="004846F4"/>
    <w:rsid w:val="00484DBC"/>
    <w:rsid w:val="00484FCB"/>
    <w:rsid w:val="00490BA0"/>
    <w:rsid w:val="00494834"/>
    <w:rsid w:val="0049486C"/>
    <w:rsid w:val="004A2F70"/>
    <w:rsid w:val="004A409F"/>
    <w:rsid w:val="004A48D9"/>
    <w:rsid w:val="004A6B2D"/>
    <w:rsid w:val="004B2C3F"/>
    <w:rsid w:val="004B3D95"/>
    <w:rsid w:val="004D5695"/>
    <w:rsid w:val="004D665B"/>
    <w:rsid w:val="004D7B86"/>
    <w:rsid w:val="004F53E6"/>
    <w:rsid w:val="004F54FF"/>
    <w:rsid w:val="00503218"/>
    <w:rsid w:val="005034F7"/>
    <w:rsid w:val="00505873"/>
    <w:rsid w:val="00506F28"/>
    <w:rsid w:val="00514370"/>
    <w:rsid w:val="005146EC"/>
    <w:rsid w:val="005158FC"/>
    <w:rsid w:val="00515BBE"/>
    <w:rsid w:val="005169CB"/>
    <w:rsid w:val="00516A0B"/>
    <w:rsid w:val="00517337"/>
    <w:rsid w:val="005173FC"/>
    <w:rsid w:val="00524226"/>
    <w:rsid w:val="00524A26"/>
    <w:rsid w:val="00527330"/>
    <w:rsid w:val="00530F0D"/>
    <w:rsid w:val="00534D37"/>
    <w:rsid w:val="00536596"/>
    <w:rsid w:val="005366FF"/>
    <w:rsid w:val="00537A32"/>
    <w:rsid w:val="0054602B"/>
    <w:rsid w:val="00546375"/>
    <w:rsid w:val="00547234"/>
    <w:rsid w:val="005479EB"/>
    <w:rsid w:val="00553AE1"/>
    <w:rsid w:val="005555EB"/>
    <w:rsid w:val="005620CA"/>
    <w:rsid w:val="005640B6"/>
    <w:rsid w:val="00572401"/>
    <w:rsid w:val="005732E6"/>
    <w:rsid w:val="00573D06"/>
    <w:rsid w:val="005770B4"/>
    <w:rsid w:val="00577C30"/>
    <w:rsid w:val="005812FF"/>
    <w:rsid w:val="005819C8"/>
    <w:rsid w:val="0058422E"/>
    <w:rsid w:val="00584B84"/>
    <w:rsid w:val="005905A0"/>
    <w:rsid w:val="00591EC0"/>
    <w:rsid w:val="00597535"/>
    <w:rsid w:val="005A54B4"/>
    <w:rsid w:val="005A7050"/>
    <w:rsid w:val="005B3CBC"/>
    <w:rsid w:val="005B510A"/>
    <w:rsid w:val="005C0740"/>
    <w:rsid w:val="005C18D0"/>
    <w:rsid w:val="005C5A3F"/>
    <w:rsid w:val="005C6DA0"/>
    <w:rsid w:val="005D47AA"/>
    <w:rsid w:val="005E2026"/>
    <w:rsid w:val="005E634D"/>
    <w:rsid w:val="005F4914"/>
    <w:rsid w:val="005F4F6B"/>
    <w:rsid w:val="005F5DF6"/>
    <w:rsid w:val="005F5FA1"/>
    <w:rsid w:val="005F7D42"/>
    <w:rsid w:val="0060088C"/>
    <w:rsid w:val="00604F05"/>
    <w:rsid w:val="00606154"/>
    <w:rsid w:val="00611D31"/>
    <w:rsid w:val="006162D7"/>
    <w:rsid w:val="006202A1"/>
    <w:rsid w:val="0062319E"/>
    <w:rsid w:val="00625432"/>
    <w:rsid w:val="00625925"/>
    <w:rsid w:val="00626E42"/>
    <w:rsid w:val="00627EDA"/>
    <w:rsid w:val="00630AE5"/>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1890"/>
    <w:rsid w:val="006A278E"/>
    <w:rsid w:val="006A666D"/>
    <w:rsid w:val="006B2D99"/>
    <w:rsid w:val="006B6E38"/>
    <w:rsid w:val="006C74D9"/>
    <w:rsid w:val="006D3958"/>
    <w:rsid w:val="006D58E2"/>
    <w:rsid w:val="006D7B6B"/>
    <w:rsid w:val="006E3838"/>
    <w:rsid w:val="006E3C40"/>
    <w:rsid w:val="006E7699"/>
    <w:rsid w:val="006F2622"/>
    <w:rsid w:val="006F27AC"/>
    <w:rsid w:val="006F3E5C"/>
    <w:rsid w:val="006F4AA1"/>
    <w:rsid w:val="006F627D"/>
    <w:rsid w:val="00701CB8"/>
    <w:rsid w:val="00701E47"/>
    <w:rsid w:val="00707E57"/>
    <w:rsid w:val="00707F49"/>
    <w:rsid w:val="007103B5"/>
    <w:rsid w:val="00711DDB"/>
    <w:rsid w:val="007213BB"/>
    <w:rsid w:val="00721DCB"/>
    <w:rsid w:val="0072758F"/>
    <w:rsid w:val="007314EF"/>
    <w:rsid w:val="00734A6E"/>
    <w:rsid w:val="0073763E"/>
    <w:rsid w:val="00740427"/>
    <w:rsid w:val="0074127E"/>
    <w:rsid w:val="007447D2"/>
    <w:rsid w:val="007452A0"/>
    <w:rsid w:val="00745FCA"/>
    <w:rsid w:val="007462B1"/>
    <w:rsid w:val="00747943"/>
    <w:rsid w:val="00752BD5"/>
    <w:rsid w:val="00753090"/>
    <w:rsid w:val="0075573F"/>
    <w:rsid w:val="00756861"/>
    <w:rsid w:val="00756D99"/>
    <w:rsid w:val="00756F20"/>
    <w:rsid w:val="00760772"/>
    <w:rsid w:val="00760DDE"/>
    <w:rsid w:val="007620AE"/>
    <w:rsid w:val="00770051"/>
    <w:rsid w:val="00772715"/>
    <w:rsid w:val="00774144"/>
    <w:rsid w:val="00774C36"/>
    <w:rsid w:val="0077536C"/>
    <w:rsid w:val="0077653F"/>
    <w:rsid w:val="00782538"/>
    <w:rsid w:val="007828DD"/>
    <w:rsid w:val="00783FAB"/>
    <w:rsid w:val="00784996"/>
    <w:rsid w:val="00785B13"/>
    <w:rsid w:val="00791AAC"/>
    <w:rsid w:val="00795969"/>
    <w:rsid w:val="00795F5A"/>
    <w:rsid w:val="007A1485"/>
    <w:rsid w:val="007A6AF0"/>
    <w:rsid w:val="007B0C74"/>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10C"/>
    <w:rsid w:val="0080584E"/>
    <w:rsid w:val="00805FEB"/>
    <w:rsid w:val="00811E34"/>
    <w:rsid w:val="00812C37"/>
    <w:rsid w:val="008134D5"/>
    <w:rsid w:val="00813A38"/>
    <w:rsid w:val="00823B66"/>
    <w:rsid w:val="00824A98"/>
    <w:rsid w:val="008310AA"/>
    <w:rsid w:val="0083347B"/>
    <w:rsid w:val="00834114"/>
    <w:rsid w:val="00842675"/>
    <w:rsid w:val="008442D6"/>
    <w:rsid w:val="00844D23"/>
    <w:rsid w:val="00850A71"/>
    <w:rsid w:val="008517D8"/>
    <w:rsid w:val="00855239"/>
    <w:rsid w:val="00855A94"/>
    <w:rsid w:val="00856BC4"/>
    <w:rsid w:val="00867101"/>
    <w:rsid w:val="008755D8"/>
    <w:rsid w:val="00876063"/>
    <w:rsid w:val="00883815"/>
    <w:rsid w:val="0088497A"/>
    <w:rsid w:val="008A0FFF"/>
    <w:rsid w:val="008A1F97"/>
    <w:rsid w:val="008A6224"/>
    <w:rsid w:val="008B478B"/>
    <w:rsid w:val="008B61B7"/>
    <w:rsid w:val="008C2880"/>
    <w:rsid w:val="008C48EF"/>
    <w:rsid w:val="008C497B"/>
    <w:rsid w:val="008C5CE9"/>
    <w:rsid w:val="008C76FD"/>
    <w:rsid w:val="008D72EA"/>
    <w:rsid w:val="008D7625"/>
    <w:rsid w:val="008E0A5C"/>
    <w:rsid w:val="008E30D6"/>
    <w:rsid w:val="008E30D9"/>
    <w:rsid w:val="008E68D3"/>
    <w:rsid w:val="008E79DF"/>
    <w:rsid w:val="008F002D"/>
    <w:rsid w:val="008F43E8"/>
    <w:rsid w:val="0090030F"/>
    <w:rsid w:val="00902A26"/>
    <w:rsid w:val="00903257"/>
    <w:rsid w:val="009048A2"/>
    <w:rsid w:val="00905C61"/>
    <w:rsid w:val="00907D61"/>
    <w:rsid w:val="00910064"/>
    <w:rsid w:val="009114DC"/>
    <w:rsid w:val="00911D92"/>
    <w:rsid w:val="009121D3"/>
    <w:rsid w:val="009164DA"/>
    <w:rsid w:val="009176F5"/>
    <w:rsid w:val="00925DC8"/>
    <w:rsid w:val="00931C1C"/>
    <w:rsid w:val="00933AD6"/>
    <w:rsid w:val="00935EC5"/>
    <w:rsid w:val="00941CA8"/>
    <w:rsid w:val="009421AA"/>
    <w:rsid w:val="0094476A"/>
    <w:rsid w:val="0094774B"/>
    <w:rsid w:val="00956009"/>
    <w:rsid w:val="00957C28"/>
    <w:rsid w:val="00964BE5"/>
    <w:rsid w:val="00970AAB"/>
    <w:rsid w:val="00974504"/>
    <w:rsid w:val="00975A4A"/>
    <w:rsid w:val="00976413"/>
    <w:rsid w:val="009767B4"/>
    <w:rsid w:val="00977D37"/>
    <w:rsid w:val="009807AE"/>
    <w:rsid w:val="00990334"/>
    <w:rsid w:val="00991158"/>
    <w:rsid w:val="0099199E"/>
    <w:rsid w:val="0099287B"/>
    <w:rsid w:val="00994552"/>
    <w:rsid w:val="00995C44"/>
    <w:rsid w:val="009A04A5"/>
    <w:rsid w:val="009A0A1B"/>
    <w:rsid w:val="009A35A0"/>
    <w:rsid w:val="009A7CFA"/>
    <w:rsid w:val="009B0C51"/>
    <w:rsid w:val="009B2183"/>
    <w:rsid w:val="009B29AC"/>
    <w:rsid w:val="009B47E1"/>
    <w:rsid w:val="009B4B7F"/>
    <w:rsid w:val="009C0F35"/>
    <w:rsid w:val="009C10C1"/>
    <w:rsid w:val="009C39E8"/>
    <w:rsid w:val="009C4F55"/>
    <w:rsid w:val="009C5E5D"/>
    <w:rsid w:val="009D0999"/>
    <w:rsid w:val="009D180E"/>
    <w:rsid w:val="009D23FB"/>
    <w:rsid w:val="009D7562"/>
    <w:rsid w:val="009E033F"/>
    <w:rsid w:val="009E0803"/>
    <w:rsid w:val="009E7C1C"/>
    <w:rsid w:val="009F13BF"/>
    <w:rsid w:val="009F1D34"/>
    <w:rsid w:val="009F30B8"/>
    <w:rsid w:val="009F4C47"/>
    <w:rsid w:val="009F528F"/>
    <w:rsid w:val="009F6AC9"/>
    <w:rsid w:val="00A031DF"/>
    <w:rsid w:val="00A105DA"/>
    <w:rsid w:val="00A20031"/>
    <w:rsid w:val="00A202D5"/>
    <w:rsid w:val="00A23AD9"/>
    <w:rsid w:val="00A23CDC"/>
    <w:rsid w:val="00A24596"/>
    <w:rsid w:val="00A24B24"/>
    <w:rsid w:val="00A25E6C"/>
    <w:rsid w:val="00A30ABC"/>
    <w:rsid w:val="00A30FC0"/>
    <w:rsid w:val="00A40E3D"/>
    <w:rsid w:val="00A40EA6"/>
    <w:rsid w:val="00A46B61"/>
    <w:rsid w:val="00A47C4E"/>
    <w:rsid w:val="00A52753"/>
    <w:rsid w:val="00A550E8"/>
    <w:rsid w:val="00A556D1"/>
    <w:rsid w:val="00A56E8B"/>
    <w:rsid w:val="00A71133"/>
    <w:rsid w:val="00A711FA"/>
    <w:rsid w:val="00A7209C"/>
    <w:rsid w:val="00A75295"/>
    <w:rsid w:val="00A761C7"/>
    <w:rsid w:val="00A77D42"/>
    <w:rsid w:val="00A82E17"/>
    <w:rsid w:val="00A85075"/>
    <w:rsid w:val="00A871B2"/>
    <w:rsid w:val="00A90245"/>
    <w:rsid w:val="00A93F1F"/>
    <w:rsid w:val="00A95ADD"/>
    <w:rsid w:val="00AA102C"/>
    <w:rsid w:val="00AA12F7"/>
    <w:rsid w:val="00AA3173"/>
    <w:rsid w:val="00AA3A3E"/>
    <w:rsid w:val="00AA5784"/>
    <w:rsid w:val="00AB19B6"/>
    <w:rsid w:val="00AC50D1"/>
    <w:rsid w:val="00AC6ABA"/>
    <w:rsid w:val="00AD1C80"/>
    <w:rsid w:val="00AD2E24"/>
    <w:rsid w:val="00AD318A"/>
    <w:rsid w:val="00AD5627"/>
    <w:rsid w:val="00AD65C9"/>
    <w:rsid w:val="00AD6639"/>
    <w:rsid w:val="00AE4A25"/>
    <w:rsid w:val="00AE5CCB"/>
    <w:rsid w:val="00AE7179"/>
    <w:rsid w:val="00AF0E62"/>
    <w:rsid w:val="00AF270D"/>
    <w:rsid w:val="00AF58D0"/>
    <w:rsid w:val="00AF6215"/>
    <w:rsid w:val="00AF6F6E"/>
    <w:rsid w:val="00B00A18"/>
    <w:rsid w:val="00B11323"/>
    <w:rsid w:val="00B13A2F"/>
    <w:rsid w:val="00B145D2"/>
    <w:rsid w:val="00B16E98"/>
    <w:rsid w:val="00B178D3"/>
    <w:rsid w:val="00B20B19"/>
    <w:rsid w:val="00B22F73"/>
    <w:rsid w:val="00B25CB7"/>
    <w:rsid w:val="00B26AC0"/>
    <w:rsid w:val="00B309E9"/>
    <w:rsid w:val="00B339F8"/>
    <w:rsid w:val="00B4065C"/>
    <w:rsid w:val="00B40C2C"/>
    <w:rsid w:val="00B43512"/>
    <w:rsid w:val="00B51152"/>
    <w:rsid w:val="00B52CD8"/>
    <w:rsid w:val="00B604EB"/>
    <w:rsid w:val="00B60A3A"/>
    <w:rsid w:val="00B6108C"/>
    <w:rsid w:val="00B67F7B"/>
    <w:rsid w:val="00B71E63"/>
    <w:rsid w:val="00B739E2"/>
    <w:rsid w:val="00B8151D"/>
    <w:rsid w:val="00B819AA"/>
    <w:rsid w:val="00B920A8"/>
    <w:rsid w:val="00BA4264"/>
    <w:rsid w:val="00BA54AA"/>
    <w:rsid w:val="00BA7A46"/>
    <w:rsid w:val="00BB2109"/>
    <w:rsid w:val="00BB2C6B"/>
    <w:rsid w:val="00BB38D4"/>
    <w:rsid w:val="00BB4D85"/>
    <w:rsid w:val="00BB61E4"/>
    <w:rsid w:val="00BB631E"/>
    <w:rsid w:val="00BB6953"/>
    <w:rsid w:val="00BB71A8"/>
    <w:rsid w:val="00BC4BD5"/>
    <w:rsid w:val="00BC507C"/>
    <w:rsid w:val="00BC50A3"/>
    <w:rsid w:val="00BD41D4"/>
    <w:rsid w:val="00BD465A"/>
    <w:rsid w:val="00BD47A9"/>
    <w:rsid w:val="00BD5316"/>
    <w:rsid w:val="00BD5A86"/>
    <w:rsid w:val="00BD6AC2"/>
    <w:rsid w:val="00BE1E28"/>
    <w:rsid w:val="00BE214C"/>
    <w:rsid w:val="00BE60CB"/>
    <w:rsid w:val="00BE68F9"/>
    <w:rsid w:val="00BF2A9B"/>
    <w:rsid w:val="00BF3B6F"/>
    <w:rsid w:val="00BF3DAE"/>
    <w:rsid w:val="00C02595"/>
    <w:rsid w:val="00C03EC5"/>
    <w:rsid w:val="00C056F9"/>
    <w:rsid w:val="00C06A17"/>
    <w:rsid w:val="00C12197"/>
    <w:rsid w:val="00C1330A"/>
    <w:rsid w:val="00C145EB"/>
    <w:rsid w:val="00C2416A"/>
    <w:rsid w:val="00C30E45"/>
    <w:rsid w:val="00C3139E"/>
    <w:rsid w:val="00C325A5"/>
    <w:rsid w:val="00C36A15"/>
    <w:rsid w:val="00C3701B"/>
    <w:rsid w:val="00C37043"/>
    <w:rsid w:val="00C3782A"/>
    <w:rsid w:val="00C41707"/>
    <w:rsid w:val="00C4300F"/>
    <w:rsid w:val="00C44D70"/>
    <w:rsid w:val="00C45661"/>
    <w:rsid w:val="00C5010C"/>
    <w:rsid w:val="00C62BC1"/>
    <w:rsid w:val="00C64879"/>
    <w:rsid w:val="00C66953"/>
    <w:rsid w:val="00C73133"/>
    <w:rsid w:val="00C731FA"/>
    <w:rsid w:val="00C7617C"/>
    <w:rsid w:val="00C82C91"/>
    <w:rsid w:val="00C846A2"/>
    <w:rsid w:val="00C84F23"/>
    <w:rsid w:val="00C90E38"/>
    <w:rsid w:val="00C90EFC"/>
    <w:rsid w:val="00C90FC4"/>
    <w:rsid w:val="00C954B7"/>
    <w:rsid w:val="00C9591A"/>
    <w:rsid w:val="00CA46AC"/>
    <w:rsid w:val="00CA4F71"/>
    <w:rsid w:val="00CA763C"/>
    <w:rsid w:val="00CB337B"/>
    <w:rsid w:val="00CB45D5"/>
    <w:rsid w:val="00CB7A83"/>
    <w:rsid w:val="00CC2F9F"/>
    <w:rsid w:val="00CC3AE0"/>
    <w:rsid w:val="00CC3C0B"/>
    <w:rsid w:val="00CC3CD3"/>
    <w:rsid w:val="00CC4C6D"/>
    <w:rsid w:val="00CD20F8"/>
    <w:rsid w:val="00CD3705"/>
    <w:rsid w:val="00CD3A86"/>
    <w:rsid w:val="00CD3BAE"/>
    <w:rsid w:val="00CD6E72"/>
    <w:rsid w:val="00CE3EA5"/>
    <w:rsid w:val="00CF1C96"/>
    <w:rsid w:val="00CF5A8C"/>
    <w:rsid w:val="00D0024E"/>
    <w:rsid w:val="00D010D3"/>
    <w:rsid w:val="00D05A8C"/>
    <w:rsid w:val="00D119DD"/>
    <w:rsid w:val="00D14A9D"/>
    <w:rsid w:val="00D17A67"/>
    <w:rsid w:val="00D17FC6"/>
    <w:rsid w:val="00D208C2"/>
    <w:rsid w:val="00D217D1"/>
    <w:rsid w:val="00D24460"/>
    <w:rsid w:val="00D2517F"/>
    <w:rsid w:val="00D307FA"/>
    <w:rsid w:val="00D34BFD"/>
    <w:rsid w:val="00D3758C"/>
    <w:rsid w:val="00D46134"/>
    <w:rsid w:val="00D468A9"/>
    <w:rsid w:val="00D4705C"/>
    <w:rsid w:val="00D50946"/>
    <w:rsid w:val="00D5387E"/>
    <w:rsid w:val="00D55D87"/>
    <w:rsid w:val="00D56A3B"/>
    <w:rsid w:val="00D61A73"/>
    <w:rsid w:val="00D63270"/>
    <w:rsid w:val="00D63CDD"/>
    <w:rsid w:val="00D6472B"/>
    <w:rsid w:val="00D64C36"/>
    <w:rsid w:val="00D66B65"/>
    <w:rsid w:val="00D67CEB"/>
    <w:rsid w:val="00D70EAE"/>
    <w:rsid w:val="00D73415"/>
    <w:rsid w:val="00D74B9B"/>
    <w:rsid w:val="00D773CB"/>
    <w:rsid w:val="00D8103E"/>
    <w:rsid w:val="00D818BA"/>
    <w:rsid w:val="00D842A2"/>
    <w:rsid w:val="00D84946"/>
    <w:rsid w:val="00D93741"/>
    <w:rsid w:val="00DA2C98"/>
    <w:rsid w:val="00DA552F"/>
    <w:rsid w:val="00DB1C9E"/>
    <w:rsid w:val="00DB2434"/>
    <w:rsid w:val="00DB461B"/>
    <w:rsid w:val="00DB4D35"/>
    <w:rsid w:val="00DB6247"/>
    <w:rsid w:val="00DB7548"/>
    <w:rsid w:val="00DC3E8C"/>
    <w:rsid w:val="00DC4B5E"/>
    <w:rsid w:val="00DD1234"/>
    <w:rsid w:val="00DD408F"/>
    <w:rsid w:val="00DD5F43"/>
    <w:rsid w:val="00DD651A"/>
    <w:rsid w:val="00DD7496"/>
    <w:rsid w:val="00DD7B03"/>
    <w:rsid w:val="00DE02BB"/>
    <w:rsid w:val="00DE1334"/>
    <w:rsid w:val="00DE4582"/>
    <w:rsid w:val="00DE5F92"/>
    <w:rsid w:val="00DE715E"/>
    <w:rsid w:val="00DE7C37"/>
    <w:rsid w:val="00DF13F3"/>
    <w:rsid w:val="00DF3683"/>
    <w:rsid w:val="00DF46B2"/>
    <w:rsid w:val="00DF61B7"/>
    <w:rsid w:val="00E00E6A"/>
    <w:rsid w:val="00E01C32"/>
    <w:rsid w:val="00E01F85"/>
    <w:rsid w:val="00E1257E"/>
    <w:rsid w:val="00E24E50"/>
    <w:rsid w:val="00E251EE"/>
    <w:rsid w:val="00E274C1"/>
    <w:rsid w:val="00E302D5"/>
    <w:rsid w:val="00E33927"/>
    <w:rsid w:val="00E33FED"/>
    <w:rsid w:val="00E43542"/>
    <w:rsid w:val="00E549E9"/>
    <w:rsid w:val="00E5541C"/>
    <w:rsid w:val="00E55D04"/>
    <w:rsid w:val="00E5622B"/>
    <w:rsid w:val="00E57869"/>
    <w:rsid w:val="00E60A2A"/>
    <w:rsid w:val="00E62C51"/>
    <w:rsid w:val="00E631F9"/>
    <w:rsid w:val="00E65D09"/>
    <w:rsid w:val="00E662FD"/>
    <w:rsid w:val="00E666C4"/>
    <w:rsid w:val="00E67613"/>
    <w:rsid w:val="00E72FD0"/>
    <w:rsid w:val="00E757D0"/>
    <w:rsid w:val="00E764F6"/>
    <w:rsid w:val="00E767BE"/>
    <w:rsid w:val="00E81986"/>
    <w:rsid w:val="00E8671C"/>
    <w:rsid w:val="00E90298"/>
    <w:rsid w:val="00E916A2"/>
    <w:rsid w:val="00E91930"/>
    <w:rsid w:val="00E97675"/>
    <w:rsid w:val="00EA38F0"/>
    <w:rsid w:val="00EA6D4F"/>
    <w:rsid w:val="00EA716A"/>
    <w:rsid w:val="00EA7EA8"/>
    <w:rsid w:val="00EB72D3"/>
    <w:rsid w:val="00EC0A15"/>
    <w:rsid w:val="00ED64B4"/>
    <w:rsid w:val="00EE412B"/>
    <w:rsid w:val="00EF0884"/>
    <w:rsid w:val="00EF475C"/>
    <w:rsid w:val="00EF4ACB"/>
    <w:rsid w:val="00F00674"/>
    <w:rsid w:val="00F03635"/>
    <w:rsid w:val="00F0455E"/>
    <w:rsid w:val="00F05B60"/>
    <w:rsid w:val="00F0609A"/>
    <w:rsid w:val="00F1230D"/>
    <w:rsid w:val="00F14BCE"/>
    <w:rsid w:val="00F21042"/>
    <w:rsid w:val="00F21FAC"/>
    <w:rsid w:val="00F2225C"/>
    <w:rsid w:val="00F30AE6"/>
    <w:rsid w:val="00F3264E"/>
    <w:rsid w:val="00F36014"/>
    <w:rsid w:val="00F36E18"/>
    <w:rsid w:val="00F37BC2"/>
    <w:rsid w:val="00F43DAD"/>
    <w:rsid w:val="00F44969"/>
    <w:rsid w:val="00F45857"/>
    <w:rsid w:val="00F47E48"/>
    <w:rsid w:val="00F513EB"/>
    <w:rsid w:val="00F5236B"/>
    <w:rsid w:val="00F5252A"/>
    <w:rsid w:val="00F54266"/>
    <w:rsid w:val="00F552D2"/>
    <w:rsid w:val="00F55DC3"/>
    <w:rsid w:val="00F5679F"/>
    <w:rsid w:val="00F60D6A"/>
    <w:rsid w:val="00F60F15"/>
    <w:rsid w:val="00F61C67"/>
    <w:rsid w:val="00F62708"/>
    <w:rsid w:val="00F6460E"/>
    <w:rsid w:val="00F64CB4"/>
    <w:rsid w:val="00F65889"/>
    <w:rsid w:val="00F72398"/>
    <w:rsid w:val="00F74CC9"/>
    <w:rsid w:val="00F77106"/>
    <w:rsid w:val="00F85B48"/>
    <w:rsid w:val="00F861AE"/>
    <w:rsid w:val="00F86E01"/>
    <w:rsid w:val="00F871D7"/>
    <w:rsid w:val="00F87FB6"/>
    <w:rsid w:val="00F90098"/>
    <w:rsid w:val="00F91E6D"/>
    <w:rsid w:val="00F9205E"/>
    <w:rsid w:val="00F92FA5"/>
    <w:rsid w:val="00F935BD"/>
    <w:rsid w:val="00F96889"/>
    <w:rsid w:val="00FA6309"/>
    <w:rsid w:val="00FA6319"/>
    <w:rsid w:val="00FB14CA"/>
    <w:rsid w:val="00FB46DD"/>
    <w:rsid w:val="00FB656A"/>
    <w:rsid w:val="00FB7019"/>
    <w:rsid w:val="00FC522B"/>
    <w:rsid w:val="00FD0A30"/>
    <w:rsid w:val="00FD1A80"/>
    <w:rsid w:val="00FD1BC2"/>
    <w:rsid w:val="00FD3475"/>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MBPoint">
    <w:name w:val="MB Point"/>
    <w:basedOn w:val="ListParagraph"/>
    <w:link w:val="MBPointChar"/>
    <w:qFormat/>
    <w:rsid w:val="00D24460"/>
    <w:pPr>
      <w:numPr>
        <w:numId w:val="6"/>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D244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731C16A-619A-4AB6-B032-0A7D73687B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CC68590F43FB4594FC413B62A440FC" ma:contentTypeVersion="" ma:contentTypeDescription="PDMS Document Site Content Type" ma:contentTypeScope="" ma:versionID="c90a408b36e11cfd4627a24a0ce21c56">
  <xsd:schema xmlns:xsd="http://www.w3.org/2001/XMLSchema" xmlns:xs="http://www.w3.org/2001/XMLSchema" xmlns:p="http://schemas.microsoft.com/office/2006/metadata/properties" xmlns:ns2="8731C16A-619A-4AB6-B032-0A7D73687B90" targetNamespace="http://schemas.microsoft.com/office/2006/metadata/properties" ma:root="true" ma:fieldsID="cfbbdf04069647b43f660af63190bc20" ns2:_="">
    <xsd:import namespace="8731C16A-619A-4AB6-B032-0A7D73687B9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1C16A-619A-4AB6-B032-0A7D73687B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854C0B0-7D5D-4CAA-BD79-86FB2D0E615A"/>
  </ds:schemaRefs>
</ds:datastoreItem>
</file>

<file path=customXml/itemProps2.xml><?xml version="1.0" encoding="utf-8"?>
<ds:datastoreItem xmlns:ds="http://schemas.openxmlformats.org/officeDocument/2006/customXml" ds:itemID="{F2F5D305-7E19-483A-B2F7-337E9CBB19CD}"/>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2250</Words>
  <Characters>12830</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VICENTE,Rowena</cp:lastModifiedBy>
  <cp:revision>2</cp:revision>
  <cp:lastPrinted>2019-11-17T23:12:00Z</cp:lastPrinted>
  <dcterms:created xsi:type="dcterms:W3CDTF">2024-01-11T04:46:00Z</dcterms:created>
  <dcterms:modified xsi:type="dcterms:W3CDTF">2024-01-11T04:46:00Z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0x010100266966F133664895A6EE3632470D45F50054CC68590F43FB4594FC413B62A440FC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