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97" w:rsidRPr="00F17CC6" w:rsidRDefault="005901E7" w:rsidP="00272B97">
      <w:pPr>
        <w:pStyle w:val="LDBodytext"/>
        <w:rPr>
          <w:sz w:val="28"/>
        </w:rPr>
      </w:pPr>
      <w:r w:rsidRPr="005901E7">
        <w:rPr>
          <w:rFonts w:ascii="Calibri" w:eastAsia="Calibri" w:hAnsi="Calibri"/>
          <w:noProof/>
          <w:sz w:val="22"/>
          <w:szCs w:val="22"/>
          <w:lang w:eastAsia="en-AU"/>
        </w:rPr>
        <w:drawing>
          <wp:inline distT="0" distB="0" distL="0" distR="0" wp14:anchorId="2EA70D82" wp14:editId="09B68BE1">
            <wp:extent cx="1247775" cy="914400"/>
            <wp:effectExtent l="0" t="0" r="9525" b="0"/>
            <wp:docPr id="3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F5E7.C3E0A6C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87F" w:rsidRPr="009E487F" w:rsidRDefault="009E487F" w:rsidP="000B14AD">
      <w:pPr>
        <w:pStyle w:val="LDDescription"/>
        <w:rPr>
          <w:b w:val="0"/>
        </w:rPr>
      </w:pPr>
      <w:r w:rsidRPr="00C3255A">
        <w:rPr>
          <w:b w:val="0"/>
        </w:rPr>
        <w:t>LIN 2</w:t>
      </w:r>
      <w:r w:rsidR="00C3255A" w:rsidRPr="00C3255A">
        <w:rPr>
          <w:b w:val="0"/>
        </w:rPr>
        <w:t>4</w:t>
      </w:r>
      <w:r w:rsidR="007759CB">
        <w:rPr>
          <w:b w:val="0"/>
        </w:rPr>
        <w:t>/</w:t>
      </w:r>
      <w:r w:rsidR="00A213AC">
        <w:rPr>
          <w:b w:val="0"/>
        </w:rPr>
        <w:t>026</w:t>
      </w:r>
    </w:p>
    <w:p w:rsidR="009228CB" w:rsidRPr="00280682" w:rsidRDefault="006A45FF" w:rsidP="000B14AD">
      <w:pPr>
        <w:pStyle w:val="LDDescription"/>
      </w:pPr>
      <w:bookmarkStart w:id="0" w:name="Title"/>
      <w:r w:rsidRPr="00C3255A">
        <w:t>Social Security (Australian Government Disaster Recovery Payment—</w:t>
      </w:r>
      <w:r w:rsidR="00C3255A" w:rsidRPr="00C3255A">
        <w:t>South East Queensland Severe Storms and Flooding—December 2023</w:t>
      </w:r>
      <w:r w:rsidR="00E562C4">
        <w:t xml:space="preserve"> to January 2024</w:t>
      </w:r>
      <w:r w:rsidRPr="00C3255A">
        <w:t>)</w:t>
      </w:r>
      <w:r w:rsidR="0021246D">
        <w:t xml:space="preserve"> (LIN 24/</w:t>
      </w:r>
      <w:r w:rsidR="00A213AC">
        <w:t>026</w:t>
      </w:r>
      <w:r w:rsidR="0021246D">
        <w:t>)</w:t>
      </w:r>
      <w:r w:rsidRPr="00C3255A">
        <w:t xml:space="preserve"> Determination</w:t>
      </w:r>
      <w:r w:rsidR="00737DD1" w:rsidRPr="00C3255A">
        <w:t xml:space="preserve"> 202</w:t>
      </w:r>
      <w:r w:rsidR="00C3255A" w:rsidRPr="00C3255A">
        <w:t>4</w:t>
      </w:r>
      <w:r w:rsidR="00B21768" w:rsidRPr="00C3255A">
        <w:t xml:space="preserve"> (No.</w:t>
      </w:r>
      <w:r w:rsidR="0000660A" w:rsidRPr="00C3255A">
        <w:t> </w:t>
      </w:r>
      <w:r w:rsidR="00A213AC">
        <w:t>4</w:t>
      </w:r>
      <w:r w:rsidR="003B3646" w:rsidRPr="00C3255A">
        <w:t>)</w:t>
      </w:r>
      <w:bookmarkEnd w:id="0"/>
    </w:p>
    <w:p w:rsidR="00554826" w:rsidRPr="00F17CC6" w:rsidRDefault="00554826" w:rsidP="007A7D96">
      <w:pPr>
        <w:pStyle w:val="LDBodytext"/>
      </w:pPr>
      <w:r w:rsidRPr="009464C5">
        <w:t xml:space="preserve">I, </w:t>
      </w:r>
      <w:r w:rsidR="007C7575">
        <w:rPr>
          <w:szCs w:val="22"/>
        </w:rPr>
        <w:t>Murray Watt, Minister for Emergency Management</w:t>
      </w:r>
      <w:r w:rsidRPr="009464C5">
        <w:t>, make th</w:t>
      </w:r>
      <w:r w:rsidR="00B73647">
        <w:t xml:space="preserve">is </w:t>
      </w:r>
      <w:r w:rsidR="00B73647" w:rsidRPr="007A7D96">
        <w:t>instrument</w:t>
      </w:r>
      <w:r w:rsidR="003B3646" w:rsidRPr="009464C5">
        <w:t xml:space="preserve"> under </w:t>
      </w:r>
      <w:r w:rsidR="00280682">
        <w:rPr>
          <w:szCs w:val="22"/>
        </w:rPr>
        <w:t xml:space="preserve">subsection 1061L(2) of the </w:t>
      </w:r>
      <w:r w:rsidR="00280682">
        <w:rPr>
          <w:i/>
          <w:szCs w:val="22"/>
        </w:rPr>
        <w:t>Social Security Act 1991</w:t>
      </w:r>
      <w:r w:rsidR="00F27438" w:rsidRPr="009464C5">
        <w:rPr>
          <w:i/>
        </w:rPr>
        <w:t>.</w:t>
      </w:r>
    </w:p>
    <w:p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2F58BA">
        <w:rPr>
          <w:szCs w:val="22"/>
        </w:rPr>
        <w:t xml:space="preserve">   12</w:t>
      </w:r>
      <w:r w:rsidR="006D191B">
        <w:rPr>
          <w:szCs w:val="22"/>
        </w:rPr>
        <w:t xml:space="preserve"> February </w:t>
      </w:r>
      <w:r w:rsidR="00A8108A">
        <w:rPr>
          <w:szCs w:val="22"/>
        </w:rPr>
        <w:t>2024</w:t>
      </w:r>
      <w:r w:rsidR="00A8108A">
        <w:rPr>
          <w:szCs w:val="22"/>
        </w:rPr>
        <w:tab/>
      </w:r>
      <w:r w:rsidR="00A8108A">
        <w:rPr>
          <w:szCs w:val="22"/>
        </w:rPr>
        <w:tab/>
      </w:r>
      <w:r w:rsidR="003F69BC">
        <w:rPr>
          <w:szCs w:val="22"/>
        </w:rPr>
        <w:t>Time:</w:t>
      </w:r>
      <w:r w:rsidR="005E3BB3">
        <w:rPr>
          <w:szCs w:val="22"/>
        </w:rPr>
        <w:t xml:space="preserve"> </w:t>
      </w:r>
      <w:r w:rsidR="002F58BA">
        <w:rPr>
          <w:szCs w:val="22"/>
        </w:rPr>
        <w:t>9</w:t>
      </w:r>
      <w:r w:rsidR="006D191B">
        <w:rPr>
          <w:szCs w:val="22"/>
        </w:rPr>
        <w:t>:</w:t>
      </w:r>
      <w:r w:rsidR="002F58BA">
        <w:rPr>
          <w:szCs w:val="22"/>
        </w:rPr>
        <w:t>51</w:t>
      </w:r>
      <w:r w:rsidR="006D191B">
        <w:rPr>
          <w:szCs w:val="22"/>
        </w:rPr>
        <w:t xml:space="preserve"> </w:t>
      </w:r>
      <w:r w:rsidR="002A3A0F">
        <w:rPr>
          <w:szCs w:val="22"/>
        </w:rPr>
        <w:t>a</w:t>
      </w:r>
      <w:r w:rsidR="002F58BA">
        <w:rPr>
          <w:szCs w:val="22"/>
        </w:rPr>
        <w:t>.m. (AED</w:t>
      </w:r>
      <w:r w:rsidR="006D191B">
        <w:rPr>
          <w:szCs w:val="22"/>
        </w:rPr>
        <w:t>T)</w:t>
      </w:r>
      <w:r w:rsidR="00E54668">
        <w:rPr>
          <w:szCs w:val="22"/>
        </w:rPr>
        <w:t xml:space="preserve"> </w:t>
      </w:r>
    </w:p>
    <w:p w:rsidR="004B2607" w:rsidRPr="000B14F8" w:rsidRDefault="00C234E8" w:rsidP="004B2607">
      <w:pPr>
        <w:pStyle w:val="LDSign"/>
        <w:rPr>
          <w:rFonts w:ascii="Times New Roman" w:hAnsi="Times New Roman"/>
          <w:b w:val="0"/>
        </w:rPr>
      </w:pPr>
      <w:bookmarkStart w:id="1" w:name="_GoBack"/>
      <w:r>
        <w:rPr>
          <w:rFonts w:ascii="Times New Roman" w:hAnsi="Times New Roman"/>
          <w:b w:val="0"/>
          <w:noProof/>
        </w:rPr>
        <w:drawing>
          <wp:inline distT="0" distB="0" distL="0" distR="0">
            <wp:extent cx="1619250" cy="793367"/>
            <wp:effectExtent l="0" t="0" r="0" b="6985"/>
            <wp:docPr id="1" name="Picture 1" descr="Signature of Murray Watt, Minister for Emergency Managem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W Signatur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9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913FA1">
        <w:rPr>
          <w:rFonts w:ascii="Times New Roman" w:hAnsi="Times New Roman"/>
          <w:b w:val="0"/>
        </w:rPr>
        <w:br/>
      </w:r>
      <w:r w:rsidR="00131F9E">
        <w:rPr>
          <w:rFonts w:ascii="Times New Roman" w:hAnsi="Times New Roman"/>
          <w:b w:val="0"/>
        </w:rPr>
        <w:t>Murray Watt</w:t>
      </w:r>
    </w:p>
    <w:p w:rsidR="001C7EEA" w:rsidRDefault="00634C4F" w:rsidP="007A7D96">
      <w:pPr>
        <w:pStyle w:val="LDBodytext"/>
        <w:rPr>
          <w:szCs w:val="22"/>
        </w:rPr>
      </w:pPr>
      <w:r>
        <w:rPr>
          <w:szCs w:val="22"/>
        </w:rPr>
        <w:t>Minister for Emergency Management</w:t>
      </w:r>
    </w:p>
    <w:p w:rsidR="001C7EEA" w:rsidRDefault="001C7EEA">
      <w:pPr>
        <w:spacing w:line="240" w:lineRule="auto"/>
        <w:rPr>
          <w:rFonts w:eastAsia="Times New Roman" w:cs="Times New Roman"/>
          <w:sz w:val="24"/>
          <w:szCs w:val="22"/>
        </w:rPr>
      </w:pPr>
      <w:r>
        <w:rPr>
          <w:szCs w:val="22"/>
        </w:rPr>
        <w:br w:type="page"/>
      </w:r>
    </w:p>
    <w:p w:rsidR="00554826" w:rsidRPr="00F17CC6" w:rsidRDefault="00554826" w:rsidP="007A7D96">
      <w:pPr>
        <w:pStyle w:val="LDBodytext"/>
      </w:pPr>
    </w:p>
    <w:p w:rsidR="002B0573" w:rsidRDefault="002B0573" w:rsidP="002B0573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:rsidR="002B0573" w:rsidRDefault="002B0573" w:rsidP="002B05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="000070F2">
        <w:rPr>
          <w:noProof/>
        </w:rPr>
        <w:t>3</w:t>
      </w:r>
    </w:p>
    <w:p w:rsidR="002B0573" w:rsidRDefault="002B0573" w:rsidP="002B05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="000070F2">
        <w:rPr>
          <w:noProof/>
        </w:rPr>
        <w:t>3</w:t>
      </w:r>
    </w:p>
    <w:p w:rsidR="002B0573" w:rsidRDefault="002B0573" w:rsidP="002B05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</w:r>
      <w:r w:rsidR="000070F2">
        <w:rPr>
          <w:noProof/>
        </w:rPr>
        <w:t>Definitions</w:t>
      </w:r>
      <w:r w:rsidRPr="00B418CB">
        <w:rPr>
          <w:noProof/>
        </w:rPr>
        <w:tab/>
      </w:r>
      <w:r w:rsidR="000070F2">
        <w:rPr>
          <w:noProof/>
        </w:rPr>
        <w:t>3</w:t>
      </w:r>
    </w:p>
    <w:p w:rsidR="002B0573" w:rsidRDefault="002B0573" w:rsidP="002B057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0070F2">
        <w:rPr>
          <w:noProof/>
        </w:rPr>
        <w:t>Persons adversely affected by a major disaster</w:t>
      </w:r>
      <w:r w:rsidRPr="00B418CB">
        <w:rPr>
          <w:noProof/>
        </w:rPr>
        <w:tab/>
      </w:r>
      <w:r w:rsidR="000070F2">
        <w:rPr>
          <w:noProof/>
        </w:rPr>
        <w:t>4</w:t>
      </w:r>
    </w:p>
    <w:p w:rsidR="002B0573" w:rsidRDefault="003F69BC" w:rsidP="002B057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1—Affected a</w:t>
      </w:r>
      <w:r w:rsidR="002B0573">
        <w:rPr>
          <w:noProof/>
        </w:rPr>
        <w:t>reas</w:t>
      </w:r>
      <w:r w:rsidR="002B0573" w:rsidRPr="00B418CB">
        <w:rPr>
          <w:b w:val="0"/>
          <w:noProof/>
          <w:sz w:val="18"/>
        </w:rPr>
        <w:tab/>
      </w:r>
      <w:r w:rsidR="000070F2">
        <w:rPr>
          <w:b w:val="0"/>
          <w:noProof/>
          <w:sz w:val="18"/>
        </w:rPr>
        <w:t>5</w:t>
      </w:r>
    </w:p>
    <w:p w:rsidR="002B0573" w:rsidRDefault="002B0573" w:rsidP="002B057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List of affected</w:t>
      </w:r>
      <w:r w:rsidR="00C85BDF">
        <w:rPr>
          <w:noProof/>
        </w:rPr>
        <w:t xml:space="preserve"> suburbs</w:t>
      </w:r>
      <w:r w:rsidRPr="00B418CB">
        <w:rPr>
          <w:i w:val="0"/>
          <w:noProof/>
          <w:sz w:val="18"/>
        </w:rPr>
        <w:tab/>
      </w:r>
      <w:r w:rsidR="000070F2">
        <w:rPr>
          <w:i w:val="0"/>
          <w:noProof/>
          <w:sz w:val="18"/>
        </w:rPr>
        <w:t>5</w:t>
      </w:r>
    </w:p>
    <w:p w:rsidR="002B0573" w:rsidRDefault="002B0573" w:rsidP="002B0573">
      <w:pPr>
        <w:pStyle w:val="LDBodytext"/>
      </w:pPr>
      <w:r>
        <w:fldChar w:fldCharType="end"/>
      </w:r>
    </w:p>
    <w:p w:rsidR="002B0573" w:rsidRPr="00F17CC6" w:rsidRDefault="002B0573" w:rsidP="007A7D96">
      <w:pPr>
        <w:pStyle w:val="LDBodytext"/>
        <w:sectPr w:rsidR="002B0573" w:rsidRPr="00F17CC6" w:rsidSect="00272B97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:rsidR="00533DE9" w:rsidRPr="00F17CC6" w:rsidRDefault="00533DE9" w:rsidP="00533DE9">
      <w:pPr>
        <w:pStyle w:val="LDSecHead"/>
      </w:pPr>
      <w:bookmarkStart w:id="2" w:name="_Toc454512513"/>
      <w:bookmarkStart w:id="3" w:name="_Toc454512517"/>
      <w:r>
        <w:lastRenderedPageBreak/>
        <w:t>1</w:t>
      </w:r>
      <w:r>
        <w:tab/>
      </w:r>
      <w:r w:rsidRPr="00F17CC6">
        <w:t>Name</w:t>
      </w:r>
      <w:bookmarkEnd w:id="2"/>
    </w:p>
    <w:p w:rsidR="00533DE9" w:rsidRDefault="00533DE9" w:rsidP="00533DE9">
      <w:pPr>
        <w:pStyle w:val="LDSec1"/>
      </w:pPr>
      <w:r>
        <w:tab/>
      </w:r>
      <w:r>
        <w:tab/>
      </w:r>
      <w:r w:rsidRPr="00C3255A">
        <w:t xml:space="preserve">This instrument is the </w:t>
      </w:r>
      <w:r w:rsidR="00C3255A" w:rsidRPr="00C3255A">
        <w:rPr>
          <w:rStyle w:val="LDItal"/>
        </w:rPr>
        <w:t>Social Security (Australian Government Disaster Recovery Payment—South East Queenslan</w:t>
      </w:r>
      <w:r w:rsidR="00C3255A" w:rsidRPr="00D47011">
        <w:rPr>
          <w:rStyle w:val="LDItal"/>
        </w:rPr>
        <w:t>d Severe Storms and Flood</w:t>
      </w:r>
      <w:r w:rsidR="0021246D" w:rsidRPr="00D47011">
        <w:rPr>
          <w:rStyle w:val="LDItal"/>
        </w:rPr>
        <w:t>ing—December 2023</w:t>
      </w:r>
      <w:r w:rsidR="00E562C4" w:rsidRPr="00D47011">
        <w:rPr>
          <w:rStyle w:val="LDItal"/>
        </w:rPr>
        <w:t xml:space="preserve"> to January 2024</w:t>
      </w:r>
      <w:r w:rsidR="007B6ED4" w:rsidRPr="00D47011">
        <w:rPr>
          <w:rStyle w:val="LDItal"/>
        </w:rPr>
        <w:t>) (LIN 24/</w:t>
      </w:r>
      <w:r w:rsidR="00A213AC">
        <w:rPr>
          <w:rStyle w:val="LDItal"/>
        </w:rPr>
        <w:t>0026</w:t>
      </w:r>
      <w:r w:rsidR="0021246D">
        <w:rPr>
          <w:rStyle w:val="LDItal"/>
        </w:rPr>
        <w:t xml:space="preserve">) Determination </w:t>
      </w:r>
      <w:r w:rsidR="007B6ED4">
        <w:rPr>
          <w:rStyle w:val="LDItal"/>
        </w:rPr>
        <w:t xml:space="preserve">2024 (No. </w:t>
      </w:r>
      <w:r w:rsidR="00A213AC">
        <w:rPr>
          <w:rStyle w:val="LDItal"/>
        </w:rPr>
        <w:t>4</w:t>
      </w:r>
      <w:r w:rsidR="00C3255A" w:rsidRPr="00C3255A">
        <w:rPr>
          <w:rStyle w:val="LDItal"/>
        </w:rPr>
        <w:t>)</w:t>
      </w:r>
      <w:r w:rsidRPr="00C3255A">
        <w:t>.</w:t>
      </w:r>
    </w:p>
    <w:p w:rsidR="00533DE9" w:rsidRPr="007E11B9" w:rsidRDefault="00533DE9" w:rsidP="00533DE9">
      <w:pPr>
        <w:pStyle w:val="LDSecHead"/>
      </w:pPr>
      <w:bookmarkStart w:id="4" w:name="_Toc454512514"/>
      <w:r w:rsidRPr="00F17CC6">
        <w:t>2</w:t>
      </w:r>
      <w:r>
        <w:tab/>
      </w:r>
      <w:r w:rsidRPr="00F17CC6">
        <w:t>Commencement</w:t>
      </w:r>
      <w:bookmarkEnd w:id="4"/>
    </w:p>
    <w:p w:rsidR="00533DE9" w:rsidRPr="00F17CC6" w:rsidRDefault="00533DE9" w:rsidP="00533DE9">
      <w:pPr>
        <w:pStyle w:val="LDSec1"/>
      </w:pPr>
      <w:bookmarkStart w:id="5" w:name="_Toc454512515"/>
      <w:r>
        <w:tab/>
      </w:r>
      <w:r>
        <w:tab/>
      </w:r>
      <w:r w:rsidRPr="00F17CC6">
        <w:t xml:space="preserve">This instrument commences </w:t>
      </w:r>
      <w:r w:rsidR="00D627BF">
        <w:t>immediately after it is signed</w:t>
      </w:r>
      <w:r w:rsidRPr="00F17CC6">
        <w:t>.</w:t>
      </w:r>
    </w:p>
    <w:p w:rsidR="00533DE9" w:rsidRPr="00F17CC6" w:rsidRDefault="00533DE9" w:rsidP="00533DE9">
      <w:pPr>
        <w:pStyle w:val="LDSecHead"/>
      </w:pPr>
      <w:bookmarkStart w:id="6" w:name="_Toc454512516"/>
      <w:bookmarkEnd w:id="5"/>
      <w:r w:rsidRPr="00F17CC6">
        <w:t>3</w:t>
      </w:r>
      <w:r>
        <w:tab/>
      </w:r>
      <w:r w:rsidRPr="00F17CC6">
        <w:t>Definitions</w:t>
      </w:r>
      <w:bookmarkEnd w:id="6"/>
    </w:p>
    <w:p w:rsidR="00533DE9" w:rsidRDefault="00533DE9" w:rsidP="00533DE9">
      <w:pPr>
        <w:pStyle w:val="LDSec1"/>
        <w:keepNext/>
      </w:pPr>
      <w:r>
        <w:tab/>
      </w:r>
      <w:r w:rsidRPr="00F17CC6">
        <w:t>(1)</w:t>
      </w:r>
      <w:r w:rsidRPr="00F17CC6">
        <w:tab/>
        <w:t>In this instrument</w:t>
      </w:r>
      <w:r>
        <w:t>:</w:t>
      </w:r>
    </w:p>
    <w:p w:rsidR="00533DE9" w:rsidRDefault="00533DE9" w:rsidP="00533DE9">
      <w:pPr>
        <w:pStyle w:val="LDdefinition"/>
      </w:pPr>
      <w:r w:rsidRPr="00F17CC6">
        <w:rPr>
          <w:b/>
          <w:i/>
        </w:rPr>
        <w:t>destroyed</w:t>
      </w:r>
      <w:r w:rsidRPr="00F17CC6">
        <w:t xml:space="preserve"> means damaged to the extent that</w:t>
      </w:r>
      <w:r>
        <w:t>:</w:t>
      </w:r>
    </w:p>
    <w:p w:rsidR="00533DE9" w:rsidRPr="00F17CC6" w:rsidRDefault="00533DE9" w:rsidP="00533DE9">
      <w:pPr>
        <w:pStyle w:val="LDP1a"/>
      </w:pPr>
      <w:r w:rsidRPr="00F17CC6">
        <w:t>(a)</w:t>
      </w:r>
      <w:r w:rsidRPr="00F17CC6">
        <w:tab/>
        <w:t>for a residence—it must be demolished; or</w:t>
      </w:r>
    </w:p>
    <w:p w:rsidR="00533DE9" w:rsidRPr="00F17CC6" w:rsidRDefault="00533DE9" w:rsidP="00533DE9">
      <w:pPr>
        <w:pStyle w:val="LDP1a"/>
      </w:pPr>
      <w:r w:rsidRPr="00B73647">
        <w:t>(b)</w:t>
      </w:r>
      <w:r w:rsidRPr="00B73647">
        <w:tab/>
        <w:t>for a major asset or assets—it is unusable.</w:t>
      </w:r>
    </w:p>
    <w:p w:rsidR="00533DE9" w:rsidRPr="00F17CC6" w:rsidRDefault="00533DE9" w:rsidP="00533DE9">
      <w:pPr>
        <w:pStyle w:val="LDdefinition"/>
      </w:pPr>
      <w:r w:rsidRPr="00F17CC6">
        <w:rPr>
          <w:b/>
          <w:i/>
        </w:rPr>
        <w:t>immediate family member</w:t>
      </w:r>
      <w:r w:rsidRPr="00F17CC6">
        <w:t>, of a person,</w:t>
      </w:r>
      <w:r w:rsidRPr="00F17CC6">
        <w:rPr>
          <w:b/>
          <w:i/>
        </w:rPr>
        <w:t xml:space="preserve"> </w:t>
      </w:r>
      <w:r w:rsidRPr="00F17CC6">
        <w:t xml:space="preserve">means: </w:t>
      </w:r>
    </w:p>
    <w:p w:rsidR="00533DE9" w:rsidRPr="00F17CC6" w:rsidRDefault="00533DE9" w:rsidP="00533DE9">
      <w:pPr>
        <w:pStyle w:val="LDP1a"/>
      </w:pPr>
      <w:r w:rsidRPr="00F17CC6">
        <w:t>(a)</w:t>
      </w:r>
      <w:r w:rsidRPr="00F17CC6">
        <w:tab/>
        <w:t xml:space="preserve">the person’s partner; or </w:t>
      </w:r>
    </w:p>
    <w:p w:rsidR="00533DE9" w:rsidRPr="00F17CC6" w:rsidRDefault="00533DE9" w:rsidP="00533DE9">
      <w:pPr>
        <w:pStyle w:val="LDP1a"/>
      </w:pPr>
      <w:r w:rsidRPr="00F17CC6">
        <w:t>(b)</w:t>
      </w:r>
      <w:r w:rsidRPr="00F17CC6">
        <w:tab/>
        <w:t xml:space="preserve">the person’s natural child, adoptive child or step-child; or </w:t>
      </w:r>
    </w:p>
    <w:p w:rsidR="00533DE9" w:rsidRPr="00F17CC6" w:rsidRDefault="00533DE9" w:rsidP="00533DE9">
      <w:pPr>
        <w:pStyle w:val="LDP1a"/>
      </w:pPr>
      <w:r w:rsidRPr="00F17CC6">
        <w:t>(c)</w:t>
      </w:r>
      <w:r w:rsidRPr="00F17CC6">
        <w:tab/>
        <w:t xml:space="preserve">the person’s natural parent, adoptive parent or step-parent; or </w:t>
      </w:r>
    </w:p>
    <w:p w:rsidR="00533DE9" w:rsidRPr="00F17CC6" w:rsidRDefault="00533DE9" w:rsidP="00533DE9">
      <w:pPr>
        <w:pStyle w:val="LDP1a"/>
      </w:pPr>
      <w:r w:rsidRPr="00F17CC6">
        <w:t>(d)</w:t>
      </w:r>
      <w:r w:rsidRPr="00F17CC6">
        <w:tab/>
        <w:t xml:space="preserve">the person’s legal guardian; or </w:t>
      </w:r>
    </w:p>
    <w:p w:rsidR="00533DE9" w:rsidRPr="00F17CC6" w:rsidRDefault="00533DE9" w:rsidP="00533DE9">
      <w:pPr>
        <w:pStyle w:val="LDP1a"/>
      </w:pPr>
      <w:r w:rsidRPr="00F17CC6">
        <w:t>(e)</w:t>
      </w:r>
      <w:r w:rsidRPr="00F17CC6">
        <w:tab/>
        <w:t xml:space="preserve">the person’s brother, sister, step-brother or step-sister. </w:t>
      </w:r>
    </w:p>
    <w:p w:rsidR="00533DE9" w:rsidRDefault="00533DE9" w:rsidP="001C2305">
      <w:pPr>
        <w:pStyle w:val="LDNote"/>
        <w:tabs>
          <w:tab w:val="clear" w:pos="993"/>
        </w:tabs>
        <w:ind w:left="1560"/>
      </w:pPr>
      <w:r w:rsidRPr="000B14AD">
        <w:rPr>
          <w:rStyle w:val="LDItal"/>
        </w:rPr>
        <w:t>Note</w:t>
      </w:r>
      <w:r>
        <w:tab/>
        <w:t>This term is used in a different sense to that used in the Act.</w:t>
      </w:r>
    </w:p>
    <w:p w:rsidR="00533DE9" w:rsidRPr="00B73647" w:rsidRDefault="00533DE9" w:rsidP="00533DE9">
      <w:pPr>
        <w:pStyle w:val="LDdefinition"/>
      </w:pPr>
      <w:r w:rsidRPr="00B73647">
        <w:rPr>
          <w:b/>
          <w:i/>
        </w:rPr>
        <w:t xml:space="preserve">major asset </w:t>
      </w:r>
      <w:r w:rsidRPr="00B73647">
        <w:t xml:space="preserve">means: </w:t>
      </w:r>
    </w:p>
    <w:p w:rsidR="00533DE9" w:rsidRPr="00B73647" w:rsidRDefault="00533DE9" w:rsidP="00533DE9">
      <w:pPr>
        <w:pStyle w:val="LDP1a"/>
      </w:pPr>
      <w:r w:rsidRPr="00B73647">
        <w:t>(a)</w:t>
      </w:r>
      <w:r w:rsidRPr="00B73647">
        <w:tab/>
        <w:t>an asset, with</w:t>
      </w:r>
      <w:r>
        <w:t xml:space="preserve"> a market value of at least $20 </w:t>
      </w:r>
      <w:r w:rsidRPr="00B73647">
        <w:t>000, located at the person’s principal place of residence; or</w:t>
      </w:r>
    </w:p>
    <w:p w:rsidR="00533DE9" w:rsidRDefault="00533DE9" w:rsidP="00533DE9">
      <w:pPr>
        <w:pStyle w:val="LDP1a"/>
      </w:pPr>
      <w:r w:rsidRPr="00B73647">
        <w:t>(b)</w:t>
      </w:r>
      <w:r w:rsidRPr="00B73647">
        <w:tab/>
        <w:t>assets, with a combin</w:t>
      </w:r>
      <w:r>
        <w:t>ed market value of at least $20 </w:t>
      </w:r>
      <w:r w:rsidRPr="00B73647">
        <w:t>000, located at the person’s principal place of residence.</w:t>
      </w:r>
    </w:p>
    <w:p w:rsidR="00533DE9" w:rsidRPr="004B6AF9" w:rsidRDefault="00533DE9" w:rsidP="00942C90">
      <w:pPr>
        <w:pStyle w:val="LDNote"/>
        <w:tabs>
          <w:tab w:val="clear" w:pos="993"/>
        </w:tabs>
        <w:ind w:left="1560"/>
        <w:rPr>
          <w:rStyle w:val="LDItal"/>
        </w:rPr>
      </w:pPr>
      <w:r w:rsidRPr="00CF0F5C">
        <w:rPr>
          <w:rStyle w:val="LDItal"/>
        </w:rPr>
        <w:t>Examples</w:t>
      </w:r>
      <w:r w:rsidRPr="004B6AF9">
        <w:rPr>
          <w:rStyle w:val="LDItal"/>
        </w:rPr>
        <w:tab/>
      </w:r>
      <w:r w:rsidRPr="004B6AF9">
        <w:rPr>
          <w:rStyle w:val="LDItal"/>
          <w:i w:val="0"/>
        </w:rPr>
        <w:t>Building, large fixed structure, motor vehicle, caravan, water tank, large scale machinery, heavy equipment.</w:t>
      </w:r>
    </w:p>
    <w:p w:rsidR="00533DE9" w:rsidRDefault="00533DE9" w:rsidP="00533DE9">
      <w:pPr>
        <w:pStyle w:val="LDdefinition"/>
      </w:pPr>
      <w:r>
        <w:rPr>
          <w:b/>
          <w:i/>
        </w:rPr>
        <w:t>m</w:t>
      </w:r>
      <w:r w:rsidRPr="00F17CC6">
        <w:rPr>
          <w:b/>
          <w:i/>
        </w:rPr>
        <w:t>ajor damage</w:t>
      </w:r>
      <w:r w:rsidRPr="00F17CC6">
        <w:t xml:space="preserve"> means</w:t>
      </w:r>
      <w:r>
        <w:t>:</w:t>
      </w:r>
    </w:p>
    <w:p w:rsidR="00533DE9" w:rsidRDefault="00533DE9" w:rsidP="00533DE9">
      <w:pPr>
        <w:pStyle w:val="LDP1a"/>
        <w:keepNext/>
      </w:pPr>
      <w:r w:rsidRPr="00F17CC6">
        <w:t>(a)</w:t>
      </w:r>
      <w:r w:rsidRPr="00F17CC6">
        <w:tab/>
        <w:t>for a residence</w:t>
      </w:r>
      <w:r>
        <w:t>:</w:t>
      </w:r>
    </w:p>
    <w:p w:rsidR="00533DE9" w:rsidRPr="00F17CC6" w:rsidRDefault="00533DE9" w:rsidP="00533DE9">
      <w:pPr>
        <w:pStyle w:val="LDP2i"/>
      </w:pPr>
      <w:r w:rsidRPr="00F17CC6">
        <w:tab/>
        <w:t>(i)</w:t>
      </w:r>
      <w:r w:rsidRPr="00F17CC6">
        <w:tab/>
        <w:t>damage to the interior of the residence; or</w:t>
      </w:r>
    </w:p>
    <w:p w:rsidR="00533DE9" w:rsidRPr="00F17CC6" w:rsidRDefault="00533DE9" w:rsidP="00533DE9">
      <w:pPr>
        <w:pStyle w:val="LDP2i"/>
      </w:pPr>
      <w:r w:rsidRPr="00F17CC6">
        <w:tab/>
        <w:t>(ii)</w:t>
      </w:r>
      <w:r w:rsidRPr="00F17CC6">
        <w:tab/>
        <w:t xml:space="preserve">that the residence is structurally unsound; or </w:t>
      </w:r>
    </w:p>
    <w:p w:rsidR="00533DE9" w:rsidRPr="00F17CC6" w:rsidRDefault="00533DE9" w:rsidP="00533DE9">
      <w:pPr>
        <w:pStyle w:val="LDP2i"/>
      </w:pPr>
      <w:r w:rsidRPr="00F17CC6">
        <w:tab/>
        <w:t>(iii)</w:t>
      </w:r>
      <w:r w:rsidRPr="00F17CC6">
        <w:tab/>
        <w:t xml:space="preserve">damage to the residence that exposes the interior of the residence to the elements; or </w:t>
      </w:r>
    </w:p>
    <w:p w:rsidR="00533DE9" w:rsidRPr="00F44379" w:rsidRDefault="00533DE9" w:rsidP="00533DE9">
      <w:pPr>
        <w:pStyle w:val="LDP2i"/>
      </w:pPr>
      <w:r w:rsidRPr="00F17CC6">
        <w:tab/>
      </w:r>
      <w:r w:rsidRPr="00F44379">
        <w:t>(iv)</w:t>
      </w:r>
      <w:r w:rsidRPr="00F44379">
        <w:tab/>
        <w:t>sewage contamination of the interior of the residence; or</w:t>
      </w:r>
    </w:p>
    <w:p w:rsidR="00396F52" w:rsidRPr="00F17CC6" w:rsidRDefault="00396F52" w:rsidP="00396F52">
      <w:pPr>
        <w:pStyle w:val="LDP1a"/>
      </w:pPr>
      <w:r w:rsidRPr="00F44379">
        <w:t>(b</w:t>
      </w:r>
      <w:r w:rsidR="00800A6C" w:rsidRPr="00F44379">
        <w:t>)</w:t>
      </w:r>
      <w:r w:rsidR="00800A6C">
        <w:tab/>
      </w:r>
      <w:r w:rsidRPr="00F44379">
        <w:t>for a major asset or assets other than a water tank—that it is flooded, or damaged by severe weather to the extent that it needs to be replaced; or</w:t>
      </w:r>
    </w:p>
    <w:p w:rsidR="00533DE9" w:rsidRPr="00F17CC6" w:rsidRDefault="00533DE9" w:rsidP="00533DE9">
      <w:pPr>
        <w:pStyle w:val="LDP1a"/>
      </w:pPr>
      <w:r w:rsidRPr="00F17CC6">
        <w:t>(c)</w:t>
      </w:r>
      <w:r w:rsidRPr="00F17CC6">
        <w:tab/>
        <w:t xml:space="preserve">for </w:t>
      </w:r>
      <w:r w:rsidR="00737DD1">
        <w:t xml:space="preserve">a major asset that is </w:t>
      </w:r>
      <w:r>
        <w:t xml:space="preserve">a </w:t>
      </w:r>
      <w:r w:rsidRPr="00F17CC6">
        <w:t>water tank—damage to the extent that it needs to be repaired</w:t>
      </w:r>
      <w:r>
        <w:t xml:space="preserve"> or cleaned,</w:t>
      </w:r>
      <w:r w:rsidRPr="00F17CC6">
        <w:t xml:space="preserve"> or the water replaced. </w:t>
      </w:r>
    </w:p>
    <w:p w:rsidR="00533DE9" w:rsidRDefault="00533DE9" w:rsidP="00533DE9">
      <w:pPr>
        <w:pStyle w:val="LDdefinition"/>
      </w:pPr>
      <w:r w:rsidRPr="00F17CC6">
        <w:rPr>
          <w:b/>
          <w:i/>
        </w:rPr>
        <w:t>seriously injured</w:t>
      </w:r>
      <w:r w:rsidRPr="00F17CC6">
        <w:t>, for a person, means</w:t>
      </w:r>
      <w:r>
        <w:t>:</w:t>
      </w:r>
    </w:p>
    <w:p w:rsidR="00533DE9" w:rsidRPr="00F17CC6" w:rsidRDefault="00533DE9" w:rsidP="00533DE9">
      <w:pPr>
        <w:pStyle w:val="LDP1a"/>
      </w:pPr>
      <w:r w:rsidRPr="00F17CC6">
        <w:t>(a)</w:t>
      </w:r>
      <w:r w:rsidRPr="00F17CC6">
        <w:tab/>
        <w:t xml:space="preserve">the person has sustained an injury; and </w:t>
      </w:r>
    </w:p>
    <w:p w:rsidR="00533DE9" w:rsidRPr="00F17CC6" w:rsidRDefault="00533DE9" w:rsidP="004B2607">
      <w:pPr>
        <w:pStyle w:val="LDP1a"/>
        <w:keepNext/>
      </w:pPr>
      <w:r w:rsidRPr="00F17CC6">
        <w:t>(b)</w:t>
      </w:r>
      <w:r w:rsidRPr="00F17CC6">
        <w:tab/>
        <w:t xml:space="preserve">because of the injury: </w:t>
      </w:r>
    </w:p>
    <w:p w:rsidR="00533DE9" w:rsidRPr="00F17CC6" w:rsidRDefault="00533DE9" w:rsidP="00533DE9">
      <w:pPr>
        <w:pStyle w:val="LDP2i"/>
      </w:pPr>
      <w:r>
        <w:tab/>
      </w:r>
      <w:r w:rsidRPr="00F17CC6">
        <w:t>(i)</w:t>
      </w:r>
      <w:r w:rsidRPr="00F17CC6">
        <w:tab/>
        <w:t xml:space="preserve">the person was admitted to hospital; or </w:t>
      </w:r>
    </w:p>
    <w:p w:rsidR="00533DE9" w:rsidRPr="00F17CC6" w:rsidRDefault="00533DE9" w:rsidP="00533DE9">
      <w:pPr>
        <w:pStyle w:val="LDP2i"/>
      </w:pPr>
      <w:r>
        <w:tab/>
      </w:r>
      <w:r w:rsidRPr="00F17CC6">
        <w:t>(ii)</w:t>
      </w:r>
      <w:r w:rsidRPr="00F17CC6">
        <w:tab/>
        <w:t xml:space="preserve">under normal circumstances, the person would have been admitted to hospital. </w:t>
      </w:r>
    </w:p>
    <w:p w:rsidR="00533DE9" w:rsidRDefault="00533DE9" w:rsidP="00533DE9">
      <w:pPr>
        <w:pStyle w:val="LDSec1"/>
        <w:keepNext/>
      </w:pPr>
      <w:r>
        <w:lastRenderedPageBreak/>
        <w:tab/>
        <w:t>(2)</w:t>
      </w:r>
      <w:r>
        <w:tab/>
        <w:t xml:space="preserve">A place of residence is a person’s </w:t>
      </w:r>
      <w:r>
        <w:rPr>
          <w:b/>
          <w:i/>
        </w:rPr>
        <w:t>principal place of residence</w:t>
      </w:r>
      <w:r>
        <w:t xml:space="preserve"> if:</w:t>
      </w:r>
    </w:p>
    <w:p w:rsidR="00533DE9" w:rsidRDefault="00533DE9" w:rsidP="00533DE9">
      <w:pPr>
        <w:pStyle w:val="LDP1a"/>
      </w:pPr>
      <w:r>
        <w:t>(a)</w:t>
      </w:r>
      <w:r>
        <w:tab/>
        <w:t xml:space="preserve">the person regularly lives at the place with a </w:t>
      </w:r>
      <w:r w:rsidRPr="00EE42CA">
        <w:t>degree of settled purpose;</w:t>
      </w:r>
      <w:r>
        <w:t xml:space="preserve"> and</w:t>
      </w:r>
    </w:p>
    <w:p w:rsidR="00533DE9" w:rsidRDefault="00533DE9" w:rsidP="00533DE9">
      <w:pPr>
        <w:pStyle w:val="LDP1a"/>
      </w:pPr>
      <w:r>
        <w:t>(b)</w:t>
      </w:r>
      <w:r>
        <w:tab/>
        <w:t>the person has a lawful right to reside at the place; and</w:t>
      </w:r>
    </w:p>
    <w:p w:rsidR="00533DE9" w:rsidRDefault="00533DE9" w:rsidP="00533DE9">
      <w:pPr>
        <w:pStyle w:val="LDP1a"/>
        <w:keepNext/>
      </w:pPr>
      <w:r>
        <w:t>(c)</w:t>
      </w:r>
      <w:r>
        <w:tab/>
        <w:t>the place is not:</w:t>
      </w:r>
    </w:p>
    <w:p w:rsidR="00533DE9" w:rsidRDefault="00533DE9" w:rsidP="00533DE9">
      <w:pPr>
        <w:pStyle w:val="LDP2i"/>
      </w:pPr>
      <w:r>
        <w:tab/>
        <w:t>(i)</w:t>
      </w:r>
      <w:r>
        <w:tab/>
        <w:t xml:space="preserve">a prison or a place of detention; or </w:t>
      </w:r>
    </w:p>
    <w:p w:rsidR="00533DE9" w:rsidRDefault="00533DE9" w:rsidP="00533DE9">
      <w:pPr>
        <w:pStyle w:val="LDP2i"/>
      </w:pPr>
      <w:r>
        <w:tab/>
        <w:t>(ii)</w:t>
      </w:r>
      <w:r>
        <w:tab/>
        <w:t>a secondary residence used for holidays.</w:t>
      </w:r>
    </w:p>
    <w:p w:rsidR="00533DE9" w:rsidRDefault="00533DE9" w:rsidP="00533DE9">
      <w:pPr>
        <w:pStyle w:val="LDNote"/>
      </w:pPr>
      <w:r w:rsidRPr="00677691">
        <w:rPr>
          <w:i/>
        </w:rPr>
        <w:t>Note</w:t>
      </w:r>
      <w:r>
        <w:tab/>
        <w:t>It is possible for a person to have more than 1 principal place of residence.</w:t>
      </w:r>
    </w:p>
    <w:p w:rsidR="00533DE9" w:rsidRPr="00F17CC6" w:rsidRDefault="00533DE9" w:rsidP="00533DE9">
      <w:pPr>
        <w:pStyle w:val="LDSecHead"/>
      </w:pPr>
      <w:r w:rsidRPr="00F17CC6">
        <w:t>4</w:t>
      </w:r>
      <w:r>
        <w:tab/>
      </w:r>
      <w:r w:rsidRPr="00F17CC6">
        <w:t>Person adversely affected by a major disaster</w:t>
      </w:r>
    </w:p>
    <w:p w:rsidR="00AF5C8E" w:rsidRDefault="00533DE9" w:rsidP="00533DE9">
      <w:pPr>
        <w:pStyle w:val="LDSec1"/>
      </w:pPr>
      <w:r w:rsidRPr="00AC0FE7">
        <w:tab/>
        <w:t>(1)</w:t>
      </w:r>
      <w:r w:rsidRPr="00AC0FE7">
        <w:tab/>
      </w:r>
      <w:r w:rsidR="00AF5C8E" w:rsidRPr="00AF5C8E">
        <w:t xml:space="preserve">This section applies to the major disaster </w:t>
      </w:r>
      <w:r w:rsidR="00B81097">
        <w:t xml:space="preserve">being the </w:t>
      </w:r>
      <w:r w:rsidR="00E562C4">
        <w:t>severe storms and associated flooding</w:t>
      </w:r>
      <w:r w:rsidR="00B81097">
        <w:t xml:space="preserve"> </w:t>
      </w:r>
      <w:r w:rsidR="00AF5C8E" w:rsidRPr="00AF5C8E">
        <w:t xml:space="preserve">that commenced on </w:t>
      </w:r>
      <w:r w:rsidR="00E562C4">
        <w:t>24 December 2023</w:t>
      </w:r>
      <w:r w:rsidR="00B81097">
        <w:t xml:space="preserve"> </w:t>
      </w:r>
      <w:r w:rsidR="00E562C4">
        <w:t xml:space="preserve">and continued </w:t>
      </w:r>
      <w:r w:rsidR="004D463F">
        <w:t>through to 12</w:t>
      </w:r>
      <w:r w:rsidR="00800A6C">
        <w:t> </w:t>
      </w:r>
      <w:r w:rsidR="00E562C4">
        <w:t>January 2024</w:t>
      </w:r>
      <w:r w:rsidR="0048728E">
        <w:t xml:space="preserve"> (inclusive)</w:t>
      </w:r>
      <w:r w:rsidR="00E562C4">
        <w:t xml:space="preserve"> </w:t>
      </w:r>
      <w:r w:rsidR="00B81097">
        <w:t xml:space="preserve">in </w:t>
      </w:r>
      <w:r w:rsidR="00E562C4">
        <w:t>Queensland</w:t>
      </w:r>
      <w:r w:rsidR="00AF12C4">
        <w:t>,</w:t>
      </w:r>
      <w:r w:rsidR="00BC7A7E">
        <w:t xml:space="preserve"> </w:t>
      </w:r>
      <w:r w:rsidR="00AF5C8E" w:rsidRPr="00B81097">
        <w:t xml:space="preserve">affecting the </w:t>
      </w:r>
      <w:r w:rsidR="00E562C4">
        <w:t>suburb</w:t>
      </w:r>
      <w:r w:rsidR="00AF12C4">
        <w:t>s</w:t>
      </w:r>
      <w:r w:rsidR="00AF5C8E" w:rsidRPr="00B81097">
        <w:t xml:space="preserve"> </w:t>
      </w:r>
      <w:r w:rsidR="00131F9E">
        <w:t xml:space="preserve">mentioned </w:t>
      </w:r>
      <w:r w:rsidR="002B0573">
        <w:t>in Schedule 1.</w:t>
      </w:r>
    </w:p>
    <w:p w:rsidR="00533DE9" w:rsidRDefault="00533DE9" w:rsidP="00533DE9">
      <w:pPr>
        <w:pStyle w:val="LDSec1"/>
        <w:keepNext/>
      </w:pPr>
      <w:r>
        <w:tab/>
      </w:r>
      <w:r w:rsidRPr="00F17CC6">
        <w:t>(2)</w:t>
      </w:r>
      <w:r w:rsidRPr="00F17CC6">
        <w:tab/>
        <w:t>For subsection 1061L(2) of the Act, a person is taken to be adversely affected by the major disaster if any of the following circumstances apply</w:t>
      </w:r>
      <w:r>
        <w:t>:</w:t>
      </w:r>
    </w:p>
    <w:p w:rsidR="00533DE9" w:rsidRPr="00F17CC6" w:rsidRDefault="00533DE9" w:rsidP="00533DE9">
      <w:pPr>
        <w:pStyle w:val="LDP1a"/>
      </w:pPr>
      <w:r w:rsidRPr="00F17CC6">
        <w:t>(a)</w:t>
      </w:r>
      <w:r w:rsidRPr="00F17CC6">
        <w:tab/>
        <w:t>the person is serious</w:t>
      </w:r>
      <w:r>
        <w:t>ly</w:t>
      </w:r>
      <w:r w:rsidRPr="00F17CC6">
        <w:t xml:space="preserve"> injured as a direct result of the disaster;</w:t>
      </w:r>
    </w:p>
    <w:p w:rsidR="00533DE9" w:rsidRPr="00F17CC6" w:rsidRDefault="00533DE9" w:rsidP="00533DE9">
      <w:pPr>
        <w:pStyle w:val="LDP1a"/>
      </w:pPr>
      <w:r w:rsidRPr="00F17CC6">
        <w:t>(b)</w:t>
      </w:r>
      <w:r w:rsidRPr="00F17CC6">
        <w:tab/>
        <w:t xml:space="preserve">the person is an immediate family member of an </w:t>
      </w:r>
      <w:r w:rsidRPr="00EF6CAC">
        <w:t xml:space="preserve">Australian </w:t>
      </w:r>
      <w:r w:rsidR="009221B4">
        <w:t xml:space="preserve">citizen or </w:t>
      </w:r>
      <w:r w:rsidR="00EF6CAC">
        <w:t>r</w:t>
      </w:r>
      <w:r w:rsidR="009221B4">
        <w:t>esident</w:t>
      </w:r>
      <w:r w:rsidR="00EF6CAC">
        <w:t xml:space="preserve"> </w:t>
      </w:r>
      <w:r w:rsidRPr="00F17CC6">
        <w:t xml:space="preserve">who is </w:t>
      </w:r>
      <w:r w:rsidR="00D7197E">
        <w:t xml:space="preserve">missing and presumed killed or </w:t>
      </w:r>
      <w:r w:rsidRPr="00F17CC6">
        <w:t>killed as a direct result of the disaster;</w:t>
      </w:r>
    </w:p>
    <w:p w:rsidR="00533DE9" w:rsidRPr="00F17CC6" w:rsidRDefault="00533DE9" w:rsidP="00533DE9">
      <w:pPr>
        <w:pStyle w:val="LDP1a"/>
      </w:pPr>
      <w:r w:rsidRPr="00F17CC6">
        <w:t>(c)</w:t>
      </w:r>
      <w:r w:rsidRPr="00F17CC6">
        <w:tab/>
        <w:t>the person’s principal place of residence has been destroyed or has major damage as a direct result of the disaster;</w:t>
      </w:r>
    </w:p>
    <w:p w:rsidR="00533DE9" w:rsidRPr="00F17CC6" w:rsidRDefault="00533DE9" w:rsidP="00533DE9">
      <w:pPr>
        <w:pStyle w:val="LDP1a"/>
      </w:pPr>
      <w:r w:rsidRPr="00B73647">
        <w:t>(d)</w:t>
      </w:r>
      <w:r w:rsidRPr="00B73647">
        <w:tab/>
        <w:t>a major asset of the person has been destroyed or suffered major damage as a direct result of the disaster;</w:t>
      </w:r>
    </w:p>
    <w:p w:rsidR="00533DE9" w:rsidRDefault="00533DE9" w:rsidP="00533DE9">
      <w:pPr>
        <w:pStyle w:val="LDP1a"/>
      </w:pPr>
      <w:r w:rsidRPr="00F17CC6">
        <w:t>(e)</w:t>
      </w:r>
      <w:r w:rsidRPr="00F17CC6">
        <w:tab/>
        <w:t>the person is a carer of a child</w:t>
      </w:r>
      <w:r>
        <w:t xml:space="preserve"> to whom paragraph</w:t>
      </w:r>
      <w:r w:rsidRPr="00F17CC6">
        <w:t xml:space="preserve"> (a), (b), (c) </w:t>
      </w:r>
      <w:r>
        <w:t>or </w:t>
      </w:r>
      <w:r w:rsidRPr="00F17CC6">
        <w:t xml:space="preserve">(d) </w:t>
      </w:r>
      <w:r>
        <w:t>applies</w:t>
      </w:r>
      <w:r w:rsidRPr="00F17CC6">
        <w:t xml:space="preserve">. </w:t>
      </w:r>
      <w:bookmarkEnd w:id="3"/>
    </w:p>
    <w:p w:rsidR="00436ED0" w:rsidRDefault="00436ED0" w:rsidP="00436ED0">
      <w:pPr>
        <w:pStyle w:val="LDSecHead"/>
      </w:pPr>
      <w:r>
        <w:t>5</w:t>
      </w:r>
      <w:r>
        <w:tab/>
        <w:t>Repeal</w:t>
      </w:r>
    </w:p>
    <w:p w:rsidR="00436ED0" w:rsidRPr="00436ED0" w:rsidRDefault="00436ED0" w:rsidP="00436ED0">
      <w:pPr>
        <w:pStyle w:val="LDSec1"/>
      </w:pPr>
      <w:r>
        <w:tab/>
      </w:r>
      <w:r>
        <w:tab/>
      </w:r>
      <w:r w:rsidRPr="00436ED0">
        <w:rPr>
          <w:i/>
        </w:rPr>
        <w:t>Social Security (Australian Government Disaster Recovery Payment—South East Queensland Severe Storms and Flooding—December 2023 to January</w:t>
      </w:r>
      <w:r w:rsidR="00942C90">
        <w:rPr>
          <w:i/>
        </w:rPr>
        <w:t> </w:t>
      </w:r>
      <w:r w:rsidRPr="00436ED0">
        <w:rPr>
          <w:i/>
        </w:rPr>
        <w:t>2024) (LIN 2</w:t>
      </w:r>
      <w:r>
        <w:rPr>
          <w:i/>
        </w:rPr>
        <w:t>4/</w:t>
      </w:r>
      <w:r w:rsidR="00A213AC">
        <w:rPr>
          <w:i/>
        </w:rPr>
        <w:t>019</w:t>
      </w:r>
      <w:r>
        <w:rPr>
          <w:i/>
        </w:rPr>
        <w:t xml:space="preserve">) Determination 2024 (No. </w:t>
      </w:r>
      <w:r w:rsidR="00A213AC">
        <w:rPr>
          <w:i/>
        </w:rPr>
        <w:t>3</w:t>
      </w:r>
      <w:r w:rsidRPr="00436ED0">
        <w:rPr>
          <w:i/>
        </w:rPr>
        <w:t>)</w:t>
      </w:r>
      <w:r>
        <w:t xml:space="preserve"> is repealed.</w:t>
      </w:r>
    </w:p>
    <w:p w:rsidR="00436ED0" w:rsidRDefault="00436ED0" w:rsidP="00436ED0">
      <w:pPr>
        <w:pStyle w:val="LDSecHead"/>
      </w:pPr>
      <w:r>
        <w:t>6</w:t>
      </w:r>
      <w:r>
        <w:tab/>
        <w:t>Savings and transitional</w:t>
      </w:r>
    </w:p>
    <w:p w:rsidR="00436ED0" w:rsidRPr="00436ED0" w:rsidRDefault="00436ED0" w:rsidP="00436ED0">
      <w:pPr>
        <w:pStyle w:val="LDSec1"/>
      </w:pPr>
      <w:r>
        <w:tab/>
      </w:r>
      <w:r>
        <w:tab/>
        <w:t>Anything done under</w:t>
      </w:r>
      <w:r w:rsidR="00800A6C">
        <w:t xml:space="preserve"> the</w:t>
      </w:r>
      <w:r>
        <w:t xml:space="preserve"> </w:t>
      </w:r>
      <w:r w:rsidR="005E3BB3" w:rsidRPr="00436ED0">
        <w:rPr>
          <w:i/>
        </w:rPr>
        <w:t>Social Security (Australian Government Disaster Recovery Payment—South East Queensland Severe Storms and Flooding—December 2023 to January 2024) (LIN 2</w:t>
      </w:r>
      <w:r w:rsidR="005E3BB3">
        <w:rPr>
          <w:i/>
        </w:rPr>
        <w:t>4/</w:t>
      </w:r>
      <w:r w:rsidR="00A213AC">
        <w:rPr>
          <w:i/>
        </w:rPr>
        <w:t>0019</w:t>
      </w:r>
      <w:r w:rsidR="005E3BB3">
        <w:rPr>
          <w:i/>
        </w:rPr>
        <w:t xml:space="preserve">) Determination 2024 (No. </w:t>
      </w:r>
      <w:r w:rsidR="00A213AC">
        <w:rPr>
          <w:i/>
        </w:rPr>
        <w:t>3</w:t>
      </w:r>
      <w:r w:rsidR="005E3BB3" w:rsidRPr="00436ED0">
        <w:rPr>
          <w:i/>
        </w:rPr>
        <w:t>)</w:t>
      </w:r>
      <w:r w:rsidR="005E3BB3">
        <w:rPr>
          <w:i/>
        </w:rPr>
        <w:t xml:space="preserve"> </w:t>
      </w:r>
      <w:r>
        <w:t xml:space="preserve">continues to have effect as if it had been done under this instrument. </w:t>
      </w:r>
    </w:p>
    <w:p w:rsidR="00436ED0" w:rsidRPr="00F17CC6" w:rsidRDefault="00436ED0" w:rsidP="00533DE9">
      <w:pPr>
        <w:pStyle w:val="LDP1a"/>
      </w:pPr>
    </w:p>
    <w:p w:rsidR="002B0573" w:rsidRDefault="002B0573" w:rsidP="004B2607">
      <w:pPr>
        <w:pStyle w:val="LDLine"/>
      </w:pPr>
    </w:p>
    <w:p w:rsidR="002B0573" w:rsidRDefault="002B0573">
      <w:pPr>
        <w:spacing w:line="240" w:lineRule="auto"/>
        <w:rPr>
          <w:rFonts w:eastAsia="Times New Roman" w:cs="Times New Roman"/>
          <w:sz w:val="24"/>
          <w:szCs w:val="24"/>
        </w:rPr>
      </w:pPr>
      <w:r>
        <w:br w:type="page"/>
      </w:r>
    </w:p>
    <w:p w:rsidR="002B0573" w:rsidRDefault="002B0573" w:rsidP="002B0573">
      <w:pPr>
        <w:pStyle w:val="ActHead6"/>
      </w:pPr>
      <w:bookmarkStart w:id="7" w:name="_Toc454512518"/>
      <w:r>
        <w:lastRenderedPageBreak/>
        <w:t>Schedule 1—</w:t>
      </w:r>
      <w:bookmarkEnd w:id="7"/>
      <w:r w:rsidR="00ED3233">
        <w:t>Affected Areas</w:t>
      </w:r>
    </w:p>
    <w:p w:rsidR="00DA2283" w:rsidRPr="00F17CC6" w:rsidRDefault="0040328E" w:rsidP="00DA2283">
      <w:pPr>
        <w:pStyle w:val="LDSecHead"/>
      </w:pPr>
      <w:r>
        <w:tab/>
      </w:r>
      <w:r w:rsidR="00DA2283">
        <w:t>List of Affected</w:t>
      </w:r>
      <w:r w:rsidR="00131F9E">
        <w:t xml:space="preserve"> Suburbs</w:t>
      </w:r>
    </w:p>
    <w:p w:rsidR="001719E7" w:rsidRDefault="00ED3233" w:rsidP="002B0573">
      <w:pPr>
        <w:pStyle w:val="Item"/>
        <w:rPr>
          <w:sz w:val="24"/>
          <w:szCs w:val="24"/>
        </w:rPr>
      </w:pPr>
      <w:r w:rsidRPr="005A1741">
        <w:rPr>
          <w:sz w:val="24"/>
          <w:szCs w:val="24"/>
        </w:rPr>
        <w:t>The suburbs</w:t>
      </w:r>
      <w:r w:rsidR="001719E7">
        <w:rPr>
          <w:sz w:val="24"/>
          <w:szCs w:val="24"/>
        </w:rPr>
        <w:t xml:space="preserve"> </w:t>
      </w:r>
      <w:r w:rsidR="00E73B0E">
        <w:rPr>
          <w:sz w:val="24"/>
          <w:szCs w:val="24"/>
        </w:rPr>
        <w:t xml:space="preserve">mentioned </w:t>
      </w:r>
      <w:r w:rsidR="001719E7">
        <w:rPr>
          <w:sz w:val="24"/>
          <w:szCs w:val="24"/>
        </w:rPr>
        <w:t>in column 2</w:t>
      </w:r>
      <w:r w:rsidR="00E73B0E">
        <w:rPr>
          <w:sz w:val="24"/>
          <w:szCs w:val="24"/>
        </w:rPr>
        <w:t xml:space="preserve"> of the following table</w:t>
      </w:r>
      <w:r w:rsidR="00E54668">
        <w:rPr>
          <w:sz w:val="24"/>
          <w:szCs w:val="24"/>
        </w:rPr>
        <w:t>,</w:t>
      </w:r>
      <w:r w:rsidR="001719E7">
        <w:rPr>
          <w:sz w:val="24"/>
          <w:szCs w:val="24"/>
        </w:rPr>
        <w:t xml:space="preserve"> within the local government areas</w:t>
      </w:r>
      <w:r w:rsidR="000063C8">
        <w:rPr>
          <w:sz w:val="24"/>
          <w:szCs w:val="24"/>
        </w:rPr>
        <w:t xml:space="preserve"> mentioned</w:t>
      </w:r>
      <w:r w:rsidR="001719E7">
        <w:rPr>
          <w:sz w:val="24"/>
          <w:szCs w:val="24"/>
        </w:rPr>
        <w:t xml:space="preserve"> </w:t>
      </w:r>
      <w:r w:rsidR="000070F2">
        <w:rPr>
          <w:sz w:val="24"/>
          <w:szCs w:val="24"/>
        </w:rPr>
        <w:t>in</w:t>
      </w:r>
      <w:r w:rsidR="001719E7">
        <w:rPr>
          <w:sz w:val="24"/>
          <w:szCs w:val="24"/>
        </w:rPr>
        <w:t xml:space="preserve"> column 1</w:t>
      </w:r>
      <w:r w:rsidR="00E54668">
        <w:rPr>
          <w:sz w:val="24"/>
          <w:szCs w:val="24"/>
        </w:rPr>
        <w:t>,</w:t>
      </w:r>
      <w:r w:rsidRPr="005A1741">
        <w:rPr>
          <w:sz w:val="24"/>
          <w:szCs w:val="24"/>
        </w:rPr>
        <w:t xml:space="preserve"> are the affected areas for the pu</w:t>
      </w:r>
      <w:r w:rsidR="003F69BC">
        <w:rPr>
          <w:sz w:val="24"/>
          <w:szCs w:val="24"/>
        </w:rPr>
        <w:t>rposes of s</w:t>
      </w:r>
      <w:r w:rsidR="00E73B0E">
        <w:rPr>
          <w:sz w:val="24"/>
          <w:szCs w:val="24"/>
        </w:rPr>
        <w:t>ubs</w:t>
      </w:r>
      <w:r w:rsidR="003F69BC">
        <w:rPr>
          <w:sz w:val="24"/>
          <w:szCs w:val="24"/>
        </w:rPr>
        <w:t>ection</w:t>
      </w:r>
      <w:r w:rsidR="00E73B0E">
        <w:rPr>
          <w:sz w:val="24"/>
          <w:szCs w:val="24"/>
        </w:rPr>
        <w:t> </w:t>
      </w:r>
      <w:r w:rsidR="003F69BC">
        <w:rPr>
          <w:sz w:val="24"/>
          <w:szCs w:val="24"/>
        </w:rPr>
        <w:t>4(1) of this i</w:t>
      </w:r>
      <w:r w:rsidRPr="005A1741">
        <w:rPr>
          <w:sz w:val="24"/>
          <w:szCs w:val="24"/>
        </w:rPr>
        <w:t>nstrument</w:t>
      </w:r>
      <w:r w:rsidR="00800A6C">
        <w:rPr>
          <w:sz w:val="24"/>
          <w:szCs w:val="24"/>
        </w:rPr>
        <w:t>.</w:t>
      </w:r>
    </w:p>
    <w:tbl>
      <w:tblPr>
        <w:tblStyle w:val="TableGrid"/>
        <w:tblW w:w="7686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5149"/>
      </w:tblGrid>
      <w:tr w:rsidR="001719E7" w:rsidRPr="000070F2" w:rsidTr="00AF12C4">
        <w:tc>
          <w:tcPr>
            <w:tcW w:w="2537" w:type="dxa"/>
            <w:tcBorders>
              <w:top w:val="nil"/>
              <w:bottom w:val="single" w:sz="4" w:space="0" w:color="auto"/>
            </w:tcBorders>
          </w:tcPr>
          <w:p w:rsidR="001719E7" w:rsidRPr="000070F2" w:rsidRDefault="001719E7" w:rsidP="00DA03FD">
            <w:pPr>
              <w:pStyle w:val="LDTableheading"/>
              <w:rPr>
                <w:rFonts w:ascii="Times New Roman" w:hAnsi="Times New Roman"/>
              </w:rPr>
            </w:pPr>
            <w:r w:rsidRPr="000070F2">
              <w:rPr>
                <w:rFonts w:ascii="Times New Roman" w:hAnsi="Times New Roman"/>
              </w:rPr>
              <w:t>Column 1</w:t>
            </w:r>
          </w:p>
        </w:tc>
        <w:tc>
          <w:tcPr>
            <w:tcW w:w="5149" w:type="dxa"/>
            <w:tcBorders>
              <w:top w:val="nil"/>
              <w:bottom w:val="single" w:sz="4" w:space="0" w:color="auto"/>
            </w:tcBorders>
          </w:tcPr>
          <w:p w:rsidR="001719E7" w:rsidRPr="000070F2" w:rsidRDefault="001719E7" w:rsidP="00DA03FD">
            <w:pPr>
              <w:pStyle w:val="LDTableheading"/>
              <w:rPr>
                <w:rFonts w:ascii="Times New Roman" w:hAnsi="Times New Roman"/>
              </w:rPr>
            </w:pPr>
            <w:r w:rsidRPr="000070F2">
              <w:rPr>
                <w:rFonts w:ascii="Times New Roman" w:hAnsi="Times New Roman"/>
              </w:rPr>
              <w:t xml:space="preserve">Column 2 </w:t>
            </w:r>
          </w:p>
        </w:tc>
      </w:tr>
      <w:tr w:rsidR="00505327" w:rsidRPr="000070F2" w:rsidTr="00AF12C4">
        <w:tc>
          <w:tcPr>
            <w:tcW w:w="2537" w:type="dxa"/>
            <w:tcBorders>
              <w:top w:val="single" w:sz="4" w:space="0" w:color="auto"/>
            </w:tcBorders>
          </w:tcPr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Gold Coast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</w:tcBorders>
          </w:tcPr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Arundel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Ashmore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Biggera Waters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Bonogin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Burleigh Heads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Burleigh Waters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Carrara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Clagiraba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Coombabah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Coomera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Currumbin Waters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Elanora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Gaven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Gilston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Guanaba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Helensvale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Hollywell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Hope Island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Kingsholme</w:t>
            </w:r>
          </w:p>
          <w:p w:rsid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Labrador</w:t>
            </w:r>
          </w:p>
          <w:p w:rsidR="00F41BB6" w:rsidRPr="00505327" w:rsidRDefault="00F41BB6" w:rsidP="00F41BB6">
            <w:pPr>
              <w:pStyle w:val="LDTableP1a"/>
              <w:rPr>
                <w:rFonts w:ascii="Times New Roman" w:hAnsi="Times New Roman" w:cs="Times New Roman"/>
              </w:rPr>
            </w:pPr>
            <w:r w:rsidRPr="00F41BB6">
              <w:rPr>
                <w:rFonts w:ascii="Times New Roman" w:hAnsi="Times New Roman" w:cs="Times New Roman"/>
              </w:rPr>
              <w:t>Lower Beechmont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Maudsland</w:t>
            </w:r>
          </w:p>
          <w:p w:rsidR="00A213AC" w:rsidRDefault="00A213AC" w:rsidP="00505327">
            <w:pPr>
              <w:pStyle w:val="LDTableP1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Mermaid Waters</w:t>
            </w:r>
          </w:p>
          <w:p w:rsid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Merrimac</w:t>
            </w:r>
          </w:p>
          <w:p w:rsidR="00A213AC" w:rsidRPr="00505327" w:rsidRDefault="00A213AC" w:rsidP="00505327">
            <w:pPr>
              <w:pStyle w:val="LDTableP1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Molendinar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Mount Nathan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Mudgeeraba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Nerang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Ormeau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Oxenford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Pacific Pines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Palm Beach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Paradise Point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Parkwood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Pimpama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Reedy Creek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Robina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Runaway Bay</w:t>
            </w:r>
          </w:p>
          <w:p w:rsidR="00F41BB6" w:rsidRPr="00505327" w:rsidRDefault="00F41BB6" w:rsidP="00F41BB6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Southport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Springbrook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Tallai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Tallebudgera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Tug</w:t>
            </w:r>
            <w:r w:rsidR="001D2477">
              <w:rPr>
                <w:rFonts w:ascii="Times New Roman" w:hAnsi="Times New Roman" w:cs="Times New Roman"/>
              </w:rPr>
              <w:t>u</w:t>
            </w:r>
            <w:r w:rsidRPr="00505327">
              <w:rPr>
                <w:rFonts w:ascii="Times New Roman" w:hAnsi="Times New Roman" w:cs="Times New Roman"/>
              </w:rPr>
              <w:t>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Upper Coomera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Varsity Lakes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F41BB6">
              <w:rPr>
                <w:rFonts w:ascii="Times New Roman" w:hAnsi="Times New Roman" w:cs="Times New Roman"/>
              </w:rPr>
              <w:t xml:space="preserve">Willow </w:t>
            </w:r>
            <w:r w:rsidR="00F41BB6">
              <w:rPr>
                <w:rFonts w:ascii="Times New Roman" w:hAnsi="Times New Roman" w:cs="Times New Roman"/>
              </w:rPr>
              <w:t>Vale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Wongawallan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Worongary</w:t>
            </w: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  <w:tcBorders>
              <w:bottom w:val="single" w:sz="4" w:space="0" w:color="auto"/>
            </w:tcBorders>
          </w:tcPr>
          <w:p w:rsidR="00505327" w:rsidRPr="000070F2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  <w:tcBorders>
              <w:top w:val="single" w:sz="4" w:space="0" w:color="auto"/>
            </w:tcBorders>
          </w:tcPr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Logan</w:t>
            </w:r>
          </w:p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</w:p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</w:p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</w:p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 w:val="restart"/>
            <w:tcBorders>
              <w:top w:val="single" w:sz="4" w:space="0" w:color="auto"/>
            </w:tcBorders>
          </w:tcPr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lastRenderedPageBreak/>
              <w:t>Cedar Creek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Cedar Grove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lastRenderedPageBreak/>
              <w:t>Cedar Vale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Eagleby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Flagstone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Glenlogan</w:t>
            </w:r>
          </w:p>
          <w:p w:rsidR="00A213AC" w:rsidRDefault="00A213AC" w:rsidP="00505327">
            <w:pPr>
              <w:pStyle w:val="LDTableP1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Holmview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Jimboomba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Logan Village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Mundoolun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Riverbend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Tamborine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Veresdale</w:t>
            </w:r>
          </w:p>
          <w:p w:rsid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Woodhill</w:t>
            </w:r>
          </w:p>
          <w:p w:rsidR="00A213AC" w:rsidRPr="00505327" w:rsidRDefault="00A213AC" w:rsidP="00505327">
            <w:pPr>
              <w:pStyle w:val="LDTableP1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Yarrabilba</w:t>
            </w:r>
          </w:p>
        </w:tc>
      </w:tr>
      <w:tr w:rsidR="00505327" w:rsidRPr="000070F2" w:rsidTr="00AF12C4">
        <w:tc>
          <w:tcPr>
            <w:tcW w:w="2537" w:type="dxa"/>
            <w:tcBorders>
              <w:bottom w:val="single" w:sz="4" w:space="0" w:color="auto"/>
            </w:tcBorders>
          </w:tcPr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</w:p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</w:p>
        </w:tc>
        <w:tc>
          <w:tcPr>
            <w:tcW w:w="5149" w:type="dxa"/>
            <w:vMerge/>
            <w:tcBorders>
              <w:bottom w:val="single" w:sz="4" w:space="0" w:color="auto"/>
            </w:tcBorders>
          </w:tcPr>
          <w:p w:rsidR="00505327" w:rsidRPr="00505327" w:rsidRDefault="00505327" w:rsidP="00505327">
            <w:pPr>
              <w:pStyle w:val="LDTabletext"/>
              <w:rPr>
                <w:rFonts w:ascii="Times New Roman" w:hAnsi="Times New Roman" w:cs="Times New Roman"/>
              </w:rPr>
            </w:pPr>
          </w:p>
        </w:tc>
      </w:tr>
      <w:tr w:rsidR="00505327" w:rsidRPr="000070F2" w:rsidTr="00AF12C4">
        <w:tc>
          <w:tcPr>
            <w:tcW w:w="2537" w:type="dxa"/>
            <w:tcBorders>
              <w:top w:val="single" w:sz="4" w:space="0" w:color="auto"/>
            </w:tcBorders>
          </w:tcPr>
          <w:p w:rsidR="00505327" w:rsidRPr="000070F2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0070F2">
              <w:rPr>
                <w:rFonts w:ascii="Times New Roman" w:hAnsi="Times New Roman" w:cs="Times New Roman"/>
              </w:rPr>
              <w:t>Scenic Rim</w:t>
            </w:r>
            <w:r>
              <w:rPr>
                <w:rFonts w:ascii="Times New Roman" w:hAnsi="Times New Roman" w:cs="Times New Roman"/>
              </w:rPr>
              <w:t xml:space="preserve"> Region</w:t>
            </w:r>
          </w:p>
        </w:tc>
        <w:tc>
          <w:tcPr>
            <w:tcW w:w="5149" w:type="dxa"/>
            <w:tcBorders>
              <w:top w:val="single" w:sz="4" w:space="0" w:color="auto"/>
            </w:tcBorders>
          </w:tcPr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Beaudesert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Beechmont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Gleneagle</w:t>
            </w:r>
          </w:p>
          <w:p w:rsidR="00505327" w:rsidRP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Tamborine</w:t>
            </w:r>
          </w:p>
          <w:p w:rsidR="00505327" w:rsidRDefault="00505327" w:rsidP="00505327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Tamborine Mountain</w:t>
            </w:r>
          </w:p>
          <w:p w:rsidR="00F41BB6" w:rsidRPr="00505327" w:rsidRDefault="00F41BB6" w:rsidP="00F41BB6">
            <w:pPr>
              <w:pStyle w:val="LDTableP1a"/>
              <w:rPr>
                <w:rFonts w:ascii="Times New Roman" w:hAnsi="Times New Roman" w:cs="Times New Roman"/>
              </w:rPr>
            </w:pPr>
            <w:r w:rsidRPr="00505327">
              <w:rPr>
                <w:rFonts w:ascii="Times New Roman" w:hAnsi="Times New Roman" w:cs="Times New Roman"/>
              </w:rPr>
              <w:t>Veresdale</w:t>
            </w:r>
          </w:p>
        </w:tc>
      </w:tr>
    </w:tbl>
    <w:p w:rsidR="000070F2" w:rsidRPr="009B2765" w:rsidRDefault="000070F2" w:rsidP="004B2607">
      <w:pPr>
        <w:pStyle w:val="LDLine"/>
      </w:pPr>
    </w:p>
    <w:sectPr w:rsidR="000070F2" w:rsidRPr="009B2765" w:rsidSect="00272B97">
      <w:headerReference w:type="even" r:id="rId18"/>
      <w:headerReference w:type="default" r:id="rId19"/>
      <w:footerReference w:type="even" r:id="rId20"/>
      <w:footerReference w:type="default" r:id="rId21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A3" w:rsidRDefault="00A148A3" w:rsidP="00715914">
      <w:pPr>
        <w:spacing w:line="240" w:lineRule="auto"/>
      </w:pPr>
      <w:r>
        <w:separator/>
      </w:r>
    </w:p>
    <w:p w:rsidR="00A148A3" w:rsidRDefault="00A148A3"/>
    <w:p w:rsidR="00A148A3" w:rsidRDefault="00A148A3"/>
  </w:endnote>
  <w:endnote w:type="continuationSeparator" w:id="0">
    <w:p w:rsidR="00A148A3" w:rsidRDefault="00A148A3" w:rsidP="00715914">
      <w:pPr>
        <w:spacing w:line="240" w:lineRule="auto"/>
      </w:pPr>
      <w:r>
        <w:continuationSeparator/>
      </w:r>
    </w:p>
    <w:p w:rsidR="00A148A3" w:rsidRDefault="00A148A3"/>
    <w:p w:rsidR="00A148A3" w:rsidRDefault="00A14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F41FA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68" w:rsidRPr="007C5FDD" w:rsidRDefault="00E54668" w:rsidP="00E54668">
    <w:pPr>
      <w:pStyle w:val="LDFooter"/>
    </w:pPr>
    <w:r w:rsidRPr="00BC7A7E">
      <w:rPr>
        <w:rStyle w:val="LDItal"/>
      </w:rPr>
      <w:fldChar w:fldCharType="begin"/>
    </w:r>
    <w:r w:rsidRPr="00BC7A7E">
      <w:rPr>
        <w:rStyle w:val="LDItal"/>
      </w:rPr>
      <w:instrText xml:space="preserve"> REF Title \h  \* MERGEFORMAT </w:instrText>
    </w:r>
    <w:r w:rsidRPr="00BC7A7E">
      <w:rPr>
        <w:rStyle w:val="LDItal"/>
      </w:rPr>
    </w:r>
    <w:r w:rsidRPr="00BC7A7E">
      <w:rPr>
        <w:rStyle w:val="LDItal"/>
      </w:rPr>
      <w:fldChar w:fldCharType="separate"/>
    </w:r>
    <w:r w:rsidRPr="001F41FA">
      <w:rPr>
        <w:rStyle w:val="LDItal"/>
      </w:rPr>
      <w:t>Social Security (Australian Government Disaster Recovery Payment—</w:t>
    </w:r>
    <w:r>
      <w:rPr>
        <w:rStyle w:val="LDItal"/>
      </w:rPr>
      <w:t>South East Queensland Severe Storms and Flooding</w:t>
    </w:r>
    <w:r w:rsidRPr="001F41FA">
      <w:rPr>
        <w:rStyle w:val="LDItal"/>
      </w:rPr>
      <w:t>—</w:t>
    </w:r>
    <w:r>
      <w:rPr>
        <w:rStyle w:val="LDItal"/>
      </w:rPr>
      <w:t>December 2023 to January 2024</w:t>
    </w:r>
    <w:r w:rsidRPr="001F41FA">
      <w:rPr>
        <w:rStyle w:val="LDItal"/>
      </w:rPr>
      <w:t>)</w:t>
    </w:r>
    <w:r>
      <w:rPr>
        <w:rStyle w:val="LDItal"/>
      </w:rPr>
      <w:t xml:space="preserve"> (LIN 24/</w:t>
    </w:r>
    <w:r w:rsidR="00A213AC">
      <w:rPr>
        <w:rStyle w:val="LDItal"/>
      </w:rPr>
      <w:t>026</w:t>
    </w:r>
    <w:r>
      <w:rPr>
        <w:rStyle w:val="LDItal"/>
      </w:rPr>
      <w:t>) Determination 2024</w:t>
    </w:r>
    <w:r w:rsidRPr="001F41FA">
      <w:rPr>
        <w:rStyle w:val="LDItal"/>
      </w:rPr>
      <w:t xml:space="preserve"> (No. </w:t>
    </w:r>
    <w:r w:rsidR="00A213AC">
      <w:rPr>
        <w:rStyle w:val="LDItal"/>
      </w:rPr>
      <w:t>4</w:t>
    </w:r>
    <w:r w:rsidRPr="001F41FA">
      <w:rPr>
        <w:rStyle w:val="LDItal"/>
      </w:rPr>
      <w:t>)</w:t>
    </w:r>
    <w:r w:rsidRPr="00BC7A7E">
      <w:rPr>
        <w:rStyle w:val="LDItal"/>
      </w:rPr>
      <w:fldChar w:fldCharType="end"/>
    </w:r>
  </w:p>
  <w:p w:rsidR="0072147A" w:rsidRPr="00E54668" w:rsidRDefault="00E54668" w:rsidP="00E54668">
    <w:pPr>
      <w:jc w:val="right"/>
      <w:rPr>
        <w:sz w:val="18"/>
      </w:rPr>
    </w:pPr>
    <w:r>
      <w:rPr>
        <w:sz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:rsidTr="00A87A58">
      <w:tc>
        <w:tcPr>
          <w:tcW w:w="365" w:type="pct"/>
        </w:tcPr>
        <w:p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1F41FA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:rsidTr="00A87A58">
      <w:tc>
        <w:tcPr>
          <w:tcW w:w="5000" w:type="pct"/>
          <w:gridSpan w:val="3"/>
        </w:tcPr>
        <w:p w:rsidR="006504D5" w:rsidRDefault="006504D5" w:rsidP="006504D5">
          <w:pPr>
            <w:jc w:val="right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  <w:p w:rsidR="00CD0A7C" w:rsidRDefault="00CD0A7C"/>
  <w:p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D" w:rsidRPr="007C5FDD" w:rsidRDefault="007C5FDD" w:rsidP="007C5FDD">
    <w:pPr>
      <w:pStyle w:val="LDFooter"/>
    </w:pPr>
    <w:r w:rsidRPr="00BC7A7E">
      <w:rPr>
        <w:rStyle w:val="LDItal"/>
      </w:rPr>
      <w:fldChar w:fldCharType="begin"/>
    </w:r>
    <w:r w:rsidRPr="00BC7A7E">
      <w:rPr>
        <w:rStyle w:val="LDItal"/>
      </w:rPr>
      <w:instrText xml:space="preserve"> REF Title \h  \* MERGEFORMAT </w:instrText>
    </w:r>
    <w:r w:rsidRPr="00BC7A7E">
      <w:rPr>
        <w:rStyle w:val="LDItal"/>
      </w:rPr>
    </w:r>
    <w:r w:rsidRPr="00BC7A7E">
      <w:rPr>
        <w:rStyle w:val="LDItal"/>
      </w:rPr>
      <w:fldChar w:fldCharType="separate"/>
    </w:r>
    <w:r w:rsidR="001F41FA" w:rsidRPr="001F41FA">
      <w:rPr>
        <w:rStyle w:val="LDItal"/>
      </w:rPr>
      <w:t>Social Security (Australian Government Disaster Recovery Payment—</w:t>
    </w:r>
    <w:r w:rsidR="0021246D">
      <w:rPr>
        <w:rStyle w:val="LDItal"/>
      </w:rPr>
      <w:t>South East Queensland Severe Storms and Flooding</w:t>
    </w:r>
    <w:r w:rsidR="0021246D" w:rsidRPr="001F41FA">
      <w:rPr>
        <w:rStyle w:val="LDItal"/>
      </w:rPr>
      <w:t>—</w:t>
    </w:r>
    <w:r w:rsidR="0021246D">
      <w:rPr>
        <w:rStyle w:val="LDItal"/>
      </w:rPr>
      <w:t>December 2023</w:t>
    </w:r>
    <w:r w:rsidR="00E562C4">
      <w:rPr>
        <w:rStyle w:val="LDItal"/>
      </w:rPr>
      <w:t xml:space="preserve"> to January 2024</w:t>
    </w:r>
    <w:r w:rsidR="001F41FA" w:rsidRPr="001F41FA">
      <w:rPr>
        <w:rStyle w:val="LDItal"/>
      </w:rPr>
      <w:t>)</w:t>
    </w:r>
    <w:r w:rsidR="0021246D">
      <w:rPr>
        <w:rStyle w:val="LDItal"/>
      </w:rPr>
      <w:t xml:space="preserve"> (LIN 24/</w:t>
    </w:r>
    <w:r w:rsidR="00A213AC">
      <w:rPr>
        <w:rStyle w:val="LDItal"/>
      </w:rPr>
      <w:t>026</w:t>
    </w:r>
    <w:r w:rsidR="0021246D">
      <w:rPr>
        <w:rStyle w:val="LDItal"/>
      </w:rPr>
      <w:t>)</w:t>
    </w:r>
    <w:r w:rsidR="00E562C4">
      <w:rPr>
        <w:rStyle w:val="LDItal"/>
      </w:rPr>
      <w:t xml:space="preserve"> Determination 2024</w:t>
    </w:r>
    <w:r w:rsidR="001F41FA" w:rsidRPr="001F41FA">
      <w:rPr>
        <w:rStyle w:val="LDItal"/>
      </w:rPr>
      <w:t xml:space="preserve"> (No. </w:t>
    </w:r>
    <w:r w:rsidR="00A213AC">
      <w:rPr>
        <w:rStyle w:val="LDItal"/>
      </w:rPr>
      <w:t>4</w:t>
    </w:r>
    <w:r w:rsidR="001F41FA" w:rsidRPr="001F41FA">
      <w:rPr>
        <w:rStyle w:val="LDItal"/>
      </w:rPr>
      <w:t>)</w:t>
    </w:r>
    <w:r w:rsidRPr="00BC7A7E">
      <w:rPr>
        <w:rStyle w:val="LDItal"/>
      </w:rPr>
      <w:fldChar w:fldCharType="end"/>
    </w:r>
  </w:p>
  <w:p w:rsidR="001C6494" w:rsidRPr="007C5FDD" w:rsidRDefault="00C321E1" w:rsidP="00C321E1">
    <w:pPr>
      <w:pStyle w:val="LDFooter"/>
      <w:tabs>
        <w:tab w:val="right" w:pos="9639"/>
      </w:tabs>
    </w:pPr>
    <w:r w:rsidRPr="00E44E52">
      <w:tab/>
    </w:r>
    <w:r w:rsidRPr="00E44E52">
      <w:fldChar w:fldCharType="begin"/>
    </w:r>
    <w:r w:rsidRPr="00E44E52">
      <w:instrText xml:space="preserve"> PAGE  \* Arabic  \* MERGEFORMAT </w:instrText>
    </w:r>
    <w:r w:rsidRPr="00E44E52">
      <w:fldChar w:fldCharType="separate"/>
    </w:r>
    <w:r w:rsidR="00913FA1">
      <w:rPr>
        <w:noProof/>
      </w:rPr>
      <w:t>6</w:t>
    </w:r>
    <w:r w:rsidRPr="00E44E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A3" w:rsidRDefault="00A148A3" w:rsidP="00715914">
      <w:pPr>
        <w:spacing w:line="240" w:lineRule="auto"/>
      </w:pPr>
      <w:r>
        <w:separator/>
      </w:r>
    </w:p>
    <w:p w:rsidR="00A148A3" w:rsidRDefault="00A148A3"/>
    <w:p w:rsidR="00A148A3" w:rsidRDefault="00A148A3"/>
  </w:footnote>
  <w:footnote w:type="continuationSeparator" w:id="0">
    <w:p w:rsidR="00A148A3" w:rsidRDefault="00A148A3" w:rsidP="00715914">
      <w:pPr>
        <w:spacing w:line="240" w:lineRule="auto"/>
      </w:pPr>
      <w:r>
        <w:continuationSeparator/>
      </w:r>
    </w:p>
    <w:p w:rsidR="00A148A3" w:rsidRDefault="00A148A3"/>
    <w:p w:rsidR="00A148A3" w:rsidRDefault="00A14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:rsidR="00CD0A7C" w:rsidRDefault="00CD0A7C"/>
  <w:p w:rsidR="00CD0A7C" w:rsidRDefault="00CD0A7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DA" w:rsidRPr="007A1328" w:rsidRDefault="001244DA" w:rsidP="001244DA">
    <w:pPr>
      <w:pBdr>
        <w:bottom w:val="single" w:sz="6" w:space="1" w:color="auto"/>
      </w:pBdr>
      <w:spacing w:after="120"/>
      <w:rPr>
        <w:sz w:val="24"/>
      </w:rPr>
    </w:pPr>
  </w:p>
  <w:p w:rsidR="00CD0A7C" w:rsidRDefault="00CD0A7C"/>
  <w:p w:rsidR="00CD0A7C" w:rsidRDefault="00CD0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1637C90"/>
    <w:multiLevelType w:val="hybridMultilevel"/>
    <w:tmpl w:val="24E008A4"/>
    <w:lvl w:ilvl="0" w:tplc="B6E2B38A">
      <w:start w:val="1"/>
      <w:numFmt w:val="decimal"/>
      <w:lvlText w:val="(%1)"/>
      <w:lvlJc w:val="left"/>
      <w:pPr>
        <w:ind w:left="736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6" w:hanging="360"/>
      </w:pPr>
    </w:lvl>
    <w:lvl w:ilvl="2" w:tplc="0C09001B" w:tentative="1">
      <w:start w:val="1"/>
      <w:numFmt w:val="lowerRoman"/>
      <w:lvlText w:val="%3."/>
      <w:lvlJc w:val="right"/>
      <w:pPr>
        <w:ind w:left="1966" w:hanging="180"/>
      </w:pPr>
    </w:lvl>
    <w:lvl w:ilvl="3" w:tplc="0C09000F" w:tentative="1">
      <w:start w:val="1"/>
      <w:numFmt w:val="decimal"/>
      <w:lvlText w:val="%4."/>
      <w:lvlJc w:val="left"/>
      <w:pPr>
        <w:ind w:left="2686" w:hanging="360"/>
      </w:pPr>
    </w:lvl>
    <w:lvl w:ilvl="4" w:tplc="0C090019" w:tentative="1">
      <w:start w:val="1"/>
      <w:numFmt w:val="lowerLetter"/>
      <w:lvlText w:val="%5."/>
      <w:lvlJc w:val="left"/>
      <w:pPr>
        <w:ind w:left="3406" w:hanging="360"/>
      </w:pPr>
    </w:lvl>
    <w:lvl w:ilvl="5" w:tplc="0C09001B" w:tentative="1">
      <w:start w:val="1"/>
      <w:numFmt w:val="lowerRoman"/>
      <w:lvlText w:val="%6."/>
      <w:lvlJc w:val="right"/>
      <w:pPr>
        <w:ind w:left="4126" w:hanging="180"/>
      </w:pPr>
    </w:lvl>
    <w:lvl w:ilvl="6" w:tplc="0C09000F" w:tentative="1">
      <w:start w:val="1"/>
      <w:numFmt w:val="decimal"/>
      <w:lvlText w:val="%7."/>
      <w:lvlJc w:val="left"/>
      <w:pPr>
        <w:ind w:left="4846" w:hanging="360"/>
      </w:pPr>
    </w:lvl>
    <w:lvl w:ilvl="7" w:tplc="0C090019" w:tentative="1">
      <w:start w:val="1"/>
      <w:numFmt w:val="lowerLetter"/>
      <w:lvlText w:val="%8."/>
      <w:lvlJc w:val="left"/>
      <w:pPr>
        <w:ind w:left="5566" w:hanging="360"/>
      </w:pPr>
    </w:lvl>
    <w:lvl w:ilvl="8" w:tplc="0C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4"/>
  </w:num>
  <w:num w:numId="14">
    <w:abstractNumId w:val="17"/>
  </w:num>
  <w:num w:numId="15">
    <w:abstractNumId w:val="13"/>
  </w:num>
  <w:num w:numId="16">
    <w:abstractNumId w:val="15"/>
  </w:num>
  <w:num w:numId="17">
    <w:abstractNumId w:val="20"/>
  </w:num>
  <w:num w:numId="18">
    <w:abstractNumId w:val="22"/>
  </w:num>
  <w:num w:numId="19">
    <w:abstractNumId w:val="10"/>
  </w:num>
  <w:num w:numId="20">
    <w:abstractNumId w:val="25"/>
  </w:num>
  <w:num w:numId="21">
    <w:abstractNumId w:val="18"/>
  </w:num>
  <w:num w:numId="22">
    <w:abstractNumId w:val="21"/>
  </w:num>
  <w:num w:numId="23">
    <w:abstractNumId w:val="23"/>
  </w:num>
  <w:num w:numId="24">
    <w:abstractNumId w:val="24"/>
  </w:num>
  <w:num w:numId="25">
    <w:abstractNumId w:val="1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FA"/>
    <w:rsid w:val="00000F86"/>
    <w:rsid w:val="00004174"/>
    <w:rsid w:val="00004470"/>
    <w:rsid w:val="000063C8"/>
    <w:rsid w:val="0000660A"/>
    <w:rsid w:val="000070F2"/>
    <w:rsid w:val="000102EE"/>
    <w:rsid w:val="000136AF"/>
    <w:rsid w:val="00014524"/>
    <w:rsid w:val="00024496"/>
    <w:rsid w:val="000258B1"/>
    <w:rsid w:val="00030D0B"/>
    <w:rsid w:val="000352C3"/>
    <w:rsid w:val="00040A89"/>
    <w:rsid w:val="000437C1"/>
    <w:rsid w:val="0004455A"/>
    <w:rsid w:val="0005365D"/>
    <w:rsid w:val="0005691F"/>
    <w:rsid w:val="000614BF"/>
    <w:rsid w:val="00066630"/>
    <w:rsid w:val="0006709C"/>
    <w:rsid w:val="00071966"/>
    <w:rsid w:val="00074376"/>
    <w:rsid w:val="0007722C"/>
    <w:rsid w:val="00084473"/>
    <w:rsid w:val="000978F5"/>
    <w:rsid w:val="000A3E46"/>
    <w:rsid w:val="000B14AD"/>
    <w:rsid w:val="000B14F8"/>
    <w:rsid w:val="000B15CD"/>
    <w:rsid w:val="000B35EB"/>
    <w:rsid w:val="000B3719"/>
    <w:rsid w:val="000B49E9"/>
    <w:rsid w:val="000C20AD"/>
    <w:rsid w:val="000D05EF"/>
    <w:rsid w:val="000D081D"/>
    <w:rsid w:val="000D6F47"/>
    <w:rsid w:val="000E0BC4"/>
    <w:rsid w:val="000E2261"/>
    <w:rsid w:val="000E7118"/>
    <w:rsid w:val="000E78B7"/>
    <w:rsid w:val="000F21C1"/>
    <w:rsid w:val="000F29C1"/>
    <w:rsid w:val="001031F5"/>
    <w:rsid w:val="0010745C"/>
    <w:rsid w:val="0011242F"/>
    <w:rsid w:val="001244DA"/>
    <w:rsid w:val="00131F9E"/>
    <w:rsid w:val="00132CEB"/>
    <w:rsid w:val="001339B0"/>
    <w:rsid w:val="00134429"/>
    <w:rsid w:val="00142B62"/>
    <w:rsid w:val="001441B7"/>
    <w:rsid w:val="001446F7"/>
    <w:rsid w:val="001516CB"/>
    <w:rsid w:val="00152336"/>
    <w:rsid w:val="00157B8B"/>
    <w:rsid w:val="00166C2F"/>
    <w:rsid w:val="001719E7"/>
    <w:rsid w:val="001809D7"/>
    <w:rsid w:val="00182C05"/>
    <w:rsid w:val="00182EAC"/>
    <w:rsid w:val="00191881"/>
    <w:rsid w:val="001939E1"/>
    <w:rsid w:val="00194C3E"/>
    <w:rsid w:val="00195382"/>
    <w:rsid w:val="001961CC"/>
    <w:rsid w:val="001979C7"/>
    <w:rsid w:val="001B2CB6"/>
    <w:rsid w:val="001B769C"/>
    <w:rsid w:val="001C1715"/>
    <w:rsid w:val="001C2305"/>
    <w:rsid w:val="001C61C5"/>
    <w:rsid w:val="001C6494"/>
    <w:rsid w:val="001C69C4"/>
    <w:rsid w:val="001C7EEA"/>
    <w:rsid w:val="001D2477"/>
    <w:rsid w:val="001D37EF"/>
    <w:rsid w:val="001D681A"/>
    <w:rsid w:val="001E3590"/>
    <w:rsid w:val="001E48E3"/>
    <w:rsid w:val="001E7407"/>
    <w:rsid w:val="001F41FA"/>
    <w:rsid w:val="001F5B44"/>
    <w:rsid w:val="001F5D5E"/>
    <w:rsid w:val="001F6219"/>
    <w:rsid w:val="001F6CD4"/>
    <w:rsid w:val="001F7449"/>
    <w:rsid w:val="002029EE"/>
    <w:rsid w:val="00206C4D"/>
    <w:rsid w:val="0021246D"/>
    <w:rsid w:val="00215AF1"/>
    <w:rsid w:val="002200EA"/>
    <w:rsid w:val="002321E8"/>
    <w:rsid w:val="00232984"/>
    <w:rsid w:val="00233900"/>
    <w:rsid w:val="00237C31"/>
    <w:rsid w:val="0024010F"/>
    <w:rsid w:val="00240749"/>
    <w:rsid w:val="00243018"/>
    <w:rsid w:val="002461F1"/>
    <w:rsid w:val="002564A4"/>
    <w:rsid w:val="0026736C"/>
    <w:rsid w:val="002707CD"/>
    <w:rsid w:val="00272B97"/>
    <w:rsid w:val="0027325B"/>
    <w:rsid w:val="00280682"/>
    <w:rsid w:val="00281308"/>
    <w:rsid w:val="00284719"/>
    <w:rsid w:val="00297ECB"/>
    <w:rsid w:val="002A3A0F"/>
    <w:rsid w:val="002A506E"/>
    <w:rsid w:val="002A7BCF"/>
    <w:rsid w:val="002B0573"/>
    <w:rsid w:val="002C300B"/>
    <w:rsid w:val="002C3FD1"/>
    <w:rsid w:val="002D043A"/>
    <w:rsid w:val="002D266B"/>
    <w:rsid w:val="002D43A4"/>
    <w:rsid w:val="002D6224"/>
    <w:rsid w:val="002D67E8"/>
    <w:rsid w:val="002E15D4"/>
    <w:rsid w:val="002E7DA4"/>
    <w:rsid w:val="002F5727"/>
    <w:rsid w:val="002F58BA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8049F"/>
    <w:rsid w:val="00396F52"/>
    <w:rsid w:val="003A140B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3F69BC"/>
    <w:rsid w:val="0040328E"/>
    <w:rsid w:val="004116CD"/>
    <w:rsid w:val="00417EB9"/>
    <w:rsid w:val="00424CA9"/>
    <w:rsid w:val="004276DF"/>
    <w:rsid w:val="00431E9B"/>
    <w:rsid w:val="00436ED0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77A63"/>
    <w:rsid w:val="00480BB0"/>
    <w:rsid w:val="0048728E"/>
    <w:rsid w:val="00487764"/>
    <w:rsid w:val="00490D54"/>
    <w:rsid w:val="00494305"/>
    <w:rsid w:val="004951EF"/>
    <w:rsid w:val="00496F97"/>
    <w:rsid w:val="004A23DC"/>
    <w:rsid w:val="004A5330"/>
    <w:rsid w:val="004A78E0"/>
    <w:rsid w:val="004B2607"/>
    <w:rsid w:val="004B6AF9"/>
    <w:rsid w:val="004B6C48"/>
    <w:rsid w:val="004C3385"/>
    <w:rsid w:val="004C4E59"/>
    <w:rsid w:val="004C6809"/>
    <w:rsid w:val="004D463F"/>
    <w:rsid w:val="004D4B19"/>
    <w:rsid w:val="004E063A"/>
    <w:rsid w:val="004E1307"/>
    <w:rsid w:val="004E498B"/>
    <w:rsid w:val="004E7BEC"/>
    <w:rsid w:val="004F3A8C"/>
    <w:rsid w:val="00505327"/>
    <w:rsid w:val="00505D3D"/>
    <w:rsid w:val="00506AF6"/>
    <w:rsid w:val="0051232F"/>
    <w:rsid w:val="00516B8D"/>
    <w:rsid w:val="00525780"/>
    <w:rsid w:val="005303C8"/>
    <w:rsid w:val="00533DE9"/>
    <w:rsid w:val="00537FBC"/>
    <w:rsid w:val="00541EBC"/>
    <w:rsid w:val="00554826"/>
    <w:rsid w:val="00562877"/>
    <w:rsid w:val="005734D4"/>
    <w:rsid w:val="005756C1"/>
    <w:rsid w:val="00577CFD"/>
    <w:rsid w:val="005801D9"/>
    <w:rsid w:val="00580C9B"/>
    <w:rsid w:val="00584811"/>
    <w:rsid w:val="00585784"/>
    <w:rsid w:val="0058793E"/>
    <w:rsid w:val="00587995"/>
    <w:rsid w:val="005901E7"/>
    <w:rsid w:val="0059049F"/>
    <w:rsid w:val="00591E31"/>
    <w:rsid w:val="0059331C"/>
    <w:rsid w:val="00593AA6"/>
    <w:rsid w:val="00594161"/>
    <w:rsid w:val="00594749"/>
    <w:rsid w:val="005A1741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E3BB3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34C4F"/>
    <w:rsid w:val="006504D5"/>
    <w:rsid w:val="006543A1"/>
    <w:rsid w:val="0065488B"/>
    <w:rsid w:val="006707B2"/>
    <w:rsid w:val="00670EA1"/>
    <w:rsid w:val="00673584"/>
    <w:rsid w:val="00677CC2"/>
    <w:rsid w:val="00681100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A45FF"/>
    <w:rsid w:val="006B5789"/>
    <w:rsid w:val="006C30C5"/>
    <w:rsid w:val="006C5CDD"/>
    <w:rsid w:val="006C7F8C"/>
    <w:rsid w:val="006D191B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0899"/>
    <w:rsid w:val="0072147A"/>
    <w:rsid w:val="00723791"/>
    <w:rsid w:val="00730942"/>
    <w:rsid w:val="00731E00"/>
    <w:rsid w:val="00737DD1"/>
    <w:rsid w:val="007440B7"/>
    <w:rsid w:val="00745E80"/>
    <w:rsid w:val="00746B45"/>
    <w:rsid w:val="007500C8"/>
    <w:rsid w:val="00756272"/>
    <w:rsid w:val="00757173"/>
    <w:rsid w:val="007574DD"/>
    <w:rsid w:val="00762D38"/>
    <w:rsid w:val="0077135C"/>
    <w:rsid w:val="007715C9"/>
    <w:rsid w:val="00771613"/>
    <w:rsid w:val="00774EDD"/>
    <w:rsid w:val="007757EC"/>
    <w:rsid w:val="007759CB"/>
    <w:rsid w:val="00775E12"/>
    <w:rsid w:val="0078011C"/>
    <w:rsid w:val="00783E89"/>
    <w:rsid w:val="00793263"/>
    <w:rsid w:val="00793915"/>
    <w:rsid w:val="00795866"/>
    <w:rsid w:val="007A656F"/>
    <w:rsid w:val="007A7D96"/>
    <w:rsid w:val="007B13E2"/>
    <w:rsid w:val="007B3652"/>
    <w:rsid w:val="007B3795"/>
    <w:rsid w:val="007B66E6"/>
    <w:rsid w:val="007B6ED4"/>
    <w:rsid w:val="007C2253"/>
    <w:rsid w:val="007C343A"/>
    <w:rsid w:val="007C5FDD"/>
    <w:rsid w:val="007C7575"/>
    <w:rsid w:val="007D7671"/>
    <w:rsid w:val="007D7911"/>
    <w:rsid w:val="007E11B9"/>
    <w:rsid w:val="007E163D"/>
    <w:rsid w:val="007E667A"/>
    <w:rsid w:val="007F28C9"/>
    <w:rsid w:val="007F51B2"/>
    <w:rsid w:val="00800A6C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22C1"/>
    <w:rsid w:val="008754D0"/>
    <w:rsid w:val="00875D13"/>
    <w:rsid w:val="00881923"/>
    <w:rsid w:val="00883289"/>
    <w:rsid w:val="008855C9"/>
    <w:rsid w:val="00886456"/>
    <w:rsid w:val="0089029F"/>
    <w:rsid w:val="0089297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2786"/>
    <w:rsid w:val="00913FA1"/>
    <w:rsid w:val="00916E8D"/>
    <w:rsid w:val="009221B4"/>
    <w:rsid w:val="009228CB"/>
    <w:rsid w:val="00923013"/>
    <w:rsid w:val="009254C3"/>
    <w:rsid w:val="00932377"/>
    <w:rsid w:val="00941236"/>
    <w:rsid w:val="009420F1"/>
    <w:rsid w:val="00942C90"/>
    <w:rsid w:val="00943FD5"/>
    <w:rsid w:val="009464C5"/>
    <w:rsid w:val="00947D5A"/>
    <w:rsid w:val="009528D0"/>
    <w:rsid w:val="009532A5"/>
    <w:rsid w:val="009545BD"/>
    <w:rsid w:val="0096302A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B2765"/>
    <w:rsid w:val="009C215C"/>
    <w:rsid w:val="009C3413"/>
    <w:rsid w:val="009D0C05"/>
    <w:rsid w:val="009D1780"/>
    <w:rsid w:val="009E1448"/>
    <w:rsid w:val="009E487F"/>
    <w:rsid w:val="009F49B2"/>
    <w:rsid w:val="00A0441E"/>
    <w:rsid w:val="00A12128"/>
    <w:rsid w:val="00A127E7"/>
    <w:rsid w:val="00A148A3"/>
    <w:rsid w:val="00A213AC"/>
    <w:rsid w:val="00A22C98"/>
    <w:rsid w:val="00A231E2"/>
    <w:rsid w:val="00A252F1"/>
    <w:rsid w:val="00A306EB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108A"/>
    <w:rsid w:val="00A8241B"/>
    <w:rsid w:val="00A94216"/>
    <w:rsid w:val="00A951A2"/>
    <w:rsid w:val="00AA2CB1"/>
    <w:rsid w:val="00AA6719"/>
    <w:rsid w:val="00AA7A1C"/>
    <w:rsid w:val="00AC0FE7"/>
    <w:rsid w:val="00AD53CC"/>
    <w:rsid w:val="00AD5641"/>
    <w:rsid w:val="00AD7A13"/>
    <w:rsid w:val="00AE6A5E"/>
    <w:rsid w:val="00AF06CF"/>
    <w:rsid w:val="00AF12C4"/>
    <w:rsid w:val="00AF44BD"/>
    <w:rsid w:val="00AF5C8E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A2B"/>
    <w:rsid w:val="00B33B3C"/>
    <w:rsid w:val="00B36392"/>
    <w:rsid w:val="00B418CB"/>
    <w:rsid w:val="00B4644E"/>
    <w:rsid w:val="00B47444"/>
    <w:rsid w:val="00B50ADC"/>
    <w:rsid w:val="00B528A6"/>
    <w:rsid w:val="00B53CEF"/>
    <w:rsid w:val="00B566B1"/>
    <w:rsid w:val="00B601A4"/>
    <w:rsid w:val="00B614A7"/>
    <w:rsid w:val="00B62662"/>
    <w:rsid w:val="00B63834"/>
    <w:rsid w:val="00B661D6"/>
    <w:rsid w:val="00B714F2"/>
    <w:rsid w:val="00B71738"/>
    <w:rsid w:val="00B73647"/>
    <w:rsid w:val="00B80199"/>
    <w:rsid w:val="00B81097"/>
    <w:rsid w:val="00B83204"/>
    <w:rsid w:val="00B856E7"/>
    <w:rsid w:val="00B869EF"/>
    <w:rsid w:val="00B97BDE"/>
    <w:rsid w:val="00BA1333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C7A7E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34E8"/>
    <w:rsid w:val="00C25E7F"/>
    <w:rsid w:val="00C2746F"/>
    <w:rsid w:val="00C3159C"/>
    <w:rsid w:val="00C321E1"/>
    <w:rsid w:val="00C323D6"/>
    <w:rsid w:val="00C324A0"/>
    <w:rsid w:val="00C3255A"/>
    <w:rsid w:val="00C42BF8"/>
    <w:rsid w:val="00C50043"/>
    <w:rsid w:val="00C562C7"/>
    <w:rsid w:val="00C56E62"/>
    <w:rsid w:val="00C73B6F"/>
    <w:rsid w:val="00C7573B"/>
    <w:rsid w:val="00C85BDF"/>
    <w:rsid w:val="00C96D4F"/>
    <w:rsid w:val="00C970DE"/>
    <w:rsid w:val="00C97A54"/>
    <w:rsid w:val="00CA5B23"/>
    <w:rsid w:val="00CB602E"/>
    <w:rsid w:val="00CB7E90"/>
    <w:rsid w:val="00CC6838"/>
    <w:rsid w:val="00CC721F"/>
    <w:rsid w:val="00CC77B2"/>
    <w:rsid w:val="00CD0A7C"/>
    <w:rsid w:val="00CD3A74"/>
    <w:rsid w:val="00CD757E"/>
    <w:rsid w:val="00CE051D"/>
    <w:rsid w:val="00CE1335"/>
    <w:rsid w:val="00CE1CF1"/>
    <w:rsid w:val="00CE493D"/>
    <w:rsid w:val="00CE6925"/>
    <w:rsid w:val="00CF07FA"/>
    <w:rsid w:val="00CF0BB2"/>
    <w:rsid w:val="00CF0F5C"/>
    <w:rsid w:val="00CF0F68"/>
    <w:rsid w:val="00CF269A"/>
    <w:rsid w:val="00CF3EE8"/>
    <w:rsid w:val="00D13441"/>
    <w:rsid w:val="00D150E7"/>
    <w:rsid w:val="00D32EA1"/>
    <w:rsid w:val="00D47011"/>
    <w:rsid w:val="00D52DC2"/>
    <w:rsid w:val="00D53BCC"/>
    <w:rsid w:val="00D54C9E"/>
    <w:rsid w:val="00D56422"/>
    <w:rsid w:val="00D61FF3"/>
    <w:rsid w:val="00D627BF"/>
    <w:rsid w:val="00D6537E"/>
    <w:rsid w:val="00D70DFB"/>
    <w:rsid w:val="00D7197E"/>
    <w:rsid w:val="00D766DF"/>
    <w:rsid w:val="00D8206C"/>
    <w:rsid w:val="00D91F10"/>
    <w:rsid w:val="00D93DB7"/>
    <w:rsid w:val="00D96A77"/>
    <w:rsid w:val="00D979C7"/>
    <w:rsid w:val="00DA186E"/>
    <w:rsid w:val="00DA2283"/>
    <w:rsid w:val="00DA4116"/>
    <w:rsid w:val="00DA56DD"/>
    <w:rsid w:val="00DB251C"/>
    <w:rsid w:val="00DB2C9E"/>
    <w:rsid w:val="00DB4630"/>
    <w:rsid w:val="00DC4F88"/>
    <w:rsid w:val="00DC51B5"/>
    <w:rsid w:val="00DD22E6"/>
    <w:rsid w:val="00DD2D35"/>
    <w:rsid w:val="00DD54CD"/>
    <w:rsid w:val="00DE107C"/>
    <w:rsid w:val="00DF2388"/>
    <w:rsid w:val="00E05704"/>
    <w:rsid w:val="00E05CB5"/>
    <w:rsid w:val="00E13901"/>
    <w:rsid w:val="00E14961"/>
    <w:rsid w:val="00E23301"/>
    <w:rsid w:val="00E33196"/>
    <w:rsid w:val="00E338EF"/>
    <w:rsid w:val="00E44E52"/>
    <w:rsid w:val="00E544BB"/>
    <w:rsid w:val="00E54668"/>
    <w:rsid w:val="00E562C4"/>
    <w:rsid w:val="00E5722B"/>
    <w:rsid w:val="00E6260D"/>
    <w:rsid w:val="00E73B0E"/>
    <w:rsid w:val="00E74DC7"/>
    <w:rsid w:val="00E8075A"/>
    <w:rsid w:val="00E91D70"/>
    <w:rsid w:val="00E940D8"/>
    <w:rsid w:val="00E94D5E"/>
    <w:rsid w:val="00EA4D9D"/>
    <w:rsid w:val="00EA7100"/>
    <w:rsid w:val="00EA74EE"/>
    <w:rsid w:val="00EA7F9F"/>
    <w:rsid w:val="00EB1274"/>
    <w:rsid w:val="00ED2BB6"/>
    <w:rsid w:val="00ED2BFB"/>
    <w:rsid w:val="00ED3233"/>
    <w:rsid w:val="00ED34E1"/>
    <w:rsid w:val="00ED3B8D"/>
    <w:rsid w:val="00EE42CA"/>
    <w:rsid w:val="00EE5E36"/>
    <w:rsid w:val="00EF2E3A"/>
    <w:rsid w:val="00EF6CAC"/>
    <w:rsid w:val="00F02C7C"/>
    <w:rsid w:val="00F032EC"/>
    <w:rsid w:val="00F072A7"/>
    <w:rsid w:val="00F078DC"/>
    <w:rsid w:val="00F16C8D"/>
    <w:rsid w:val="00F17CC6"/>
    <w:rsid w:val="00F27438"/>
    <w:rsid w:val="00F32BA8"/>
    <w:rsid w:val="00F32EE0"/>
    <w:rsid w:val="00F349F1"/>
    <w:rsid w:val="00F41BB6"/>
    <w:rsid w:val="00F4350D"/>
    <w:rsid w:val="00F44379"/>
    <w:rsid w:val="00F447F2"/>
    <w:rsid w:val="00F479C4"/>
    <w:rsid w:val="00F567F7"/>
    <w:rsid w:val="00F6696E"/>
    <w:rsid w:val="00F73BD6"/>
    <w:rsid w:val="00F73E12"/>
    <w:rsid w:val="00F7570C"/>
    <w:rsid w:val="00F83989"/>
    <w:rsid w:val="00F85099"/>
    <w:rsid w:val="00F86FAC"/>
    <w:rsid w:val="00F875DC"/>
    <w:rsid w:val="00F87F6A"/>
    <w:rsid w:val="00F9379C"/>
    <w:rsid w:val="00F94302"/>
    <w:rsid w:val="00F9632C"/>
    <w:rsid w:val="00FA1E52"/>
    <w:rsid w:val="00FB5A08"/>
    <w:rsid w:val="00FB66AA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580916"/>
  <w15:docId w15:val="{B6926EC2-27DB-4EEC-944A-64CF56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3D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7A7D96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7A7D96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B714F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714F2"/>
    <w:rPr>
      <w:sz w:val="22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Title">
    <w:name w:val="LDTitle"/>
    <w:rsid w:val="00272B97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B260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CTA-">
    <w:name w:val="CTA -"/>
    <w:basedOn w:val="Normal"/>
    <w:rsid w:val="002B0573"/>
    <w:pPr>
      <w:spacing w:before="60" w:line="240" w:lineRule="atLeast"/>
      <w:ind w:left="85" w:hanging="85"/>
    </w:pPr>
    <w:rPr>
      <w:rFonts w:eastAsia="Times New Roman" w:cs="Times New Roman"/>
      <w:sz w:val="20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2B0573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ItemHead">
    <w:name w:val="ItemHead"/>
    <w:aliases w:val="ih"/>
    <w:basedOn w:val="Normal"/>
    <w:next w:val="Item"/>
    <w:rsid w:val="002B0573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B0573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Item">
    <w:name w:val="Item"/>
    <w:aliases w:val="i"/>
    <w:basedOn w:val="Normal"/>
    <w:next w:val="ItemHead"/>
    <w:rsid w:val="002B0573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cid:image001.png@01D8F5E7.C3E0A6C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49FE6171F8D8454E8C8B00DB4D6D3310" ma:contentTypeVersion="4" ma:contentTypeDescription="ShareHub Document" ma:contentTypeScope="" ma:versionID="ad7e958592b40dd6b9cf99919ac8db85">
  <xsd:schema xmlns:xsd="http://www.w3.org/2001/XMLSchema" xmlns:xs="http://www.w3.org/2001/XMLSchema" xmlns:p="http://schemas.microsoft.com/office/2006/metadata/properties" xmlns:ns1="b4eed4d3-aea7-44c1-824e-9fda5adb019b" xmlns:ns3="685f9fda-bd71-4433-b331-92feb9553089" targetNamespace="http://schemas.microsoft.com/office/2006/metadata/properties" ma:root="true" ma:fieldsID="4edcb86e0580f239971940ce1d7d1ee0" ns1:_="" ns3:_="">
    <xsd:import namespace="b4eed4d3-aea7-44c1-824e-9fda5adb019b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ed4d3-aea7-44c1-824e-9fda5adb019b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1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e32cf1b-2d7f-471d-9806-5ec23b5a5764}" ma:internalName="TaxCatchAll" ma:showField="CatchAllData" ma:web="b4eed4d3-aea7-44c1-824e-9fda5adb0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e32cf1b-2d7f-471d-9806-5ec23b5a5764}" ma:internalName="TaxCatchAllLabel" ma:readOnly="true" ma:showField="CatchAllDataLabel" ma:web="b4eed4d3-aea7-44c1-824e-9fda5adb0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d1c641577414dfdab1686c9d5d0dbd0 xmlns="b4eed4d3-aea7-44c1-824e-9fda5adb019b">
      <Terms xmlns="http://schemas.microsoft.com/office/infopath/2007/PartnerControls"/>
    </jd1c641577414dfdab1686c9d5d0dbd0>
    <TaxCatchAll xmlns="b4eed4d3-aea7-44c1-824e-9fda5adb019b"/>
    <mc5611b894cf49d8aeeb8ebf39dc09bc xmlns="b4eed4d3-aea7-44c1-824e-9fda5adb019b">
      <Terms xmlns="http://schemas.microsoft.com/office/infopath/2007/PartnerControls"/>
    </mc5611b894cf49d8aeeb8ebf39dc09bc>
    <NonRecordJustification xmlns="685f9fda-bd71-4433-b331-92feb9553089" xsi:nil="true"/>
    <PMCNotes xmlns="b4eed4d3-aea7-44c1-824e-9fda5adb019b" xsi:nil="true"/>
    <ShareHubID xmlns="b4eed4d3-aea7-44c1-824e-9fda5adb01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C2CDC-F9DE-47F7-8F01-E6185D5CC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ed4d3-aea7-44c1-824e-9fda5adb019b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microsoft.com/office/2006/metadata/properties"/>
    <ds:schemaRef ds:uri="http://schemas.microsoft.com/office/2006/documentManagement/types"/>
    <ds:schemaRef ds:uri="b4eed4d3-aea7-44c1-824e-9fda5adb019b"/>
    <ds:schemaRef ds:uri="http://purl.org/dc/terms/"/>
    <ds:schemaRef ds:uri="http://purl.org/dc/dcmitype/"/>
    <ds:schemaRef ds:uri="685f9fda-bd71-4433-b331-92feb955308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FC84002-3CA7-453F-A772-DCE93D60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2020-01-16T22:25:00Z</cp:lastPrinted>
  <dcterms:created xsi:type="dcterms:W3CDTF">2024-02-12T01:02:00Z</dcterms:created>
  <dcterms:modified xsi:type="dcterms:W3CDTF">2024-02-12T01:02:00Z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0x0101002825A64A6E1845A99A9D8EE8A5686ECB0049FE6171F8D8454E8C8B00DB4D6D3310</vt:lpwstr>
  </property>
  <property fmtid="{D5CDD505-2E9C-101B-9397-08002B2CF9AE}" pid="3" name="HPRMSecurityLevel">
    <vt:lpwstr>1;#OFFICIAL|11463c70-78df-4e3b-b0ff-f66cd3cb26ec</vt:lpwstr>
  </property>
  <property fmtid="{D5CDD505-2E9C-101B-9397-08002B2CF9AE}" pid="4" name="HPRMSecurityCaveat">
    <vt:lpwstr/>
  </property>
</Properties>
</file>