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FADE" w14:textId="77777777" w:rsidR="004C58B9" w:rsidRPr="00584227" w:rsidRDefault="004C58B9" w:rsidP="00584227">
      <w:pPr>
        <w:jc w:val="center"/>
        <w:rPr>
          <w:b/>
          <w:bCs w:val="0"/>
          <w:sz w:val="28"/>
          <w:szCs w:val="28"/>
        </w:rPr>
      </w:pPr>
      <w:r w:rsidRPr="00584227">
        <w:rPr>
          <w:b/>
          <w:bCs w:val="0"/>
          <w:sz w:val="28"/>
          <w:szCs w:val="28"/>
        </w:rPr>
        <w:t>EXPLANATORY STATEMENT</w:t>
      </w:r>
    </w:p>
    <w:p w14:paraId="19E1CCC0" w14:textId="474BFBB9" w:rsidR="004C58B9" w:rsidRPr="00584227" w:rsidRDefault="004C58B9" w:rsidP="00584227">
      <w:pPr>
        <w:jc w:val="center"/>
        <w:rPr>
          <w:bCs w:val="0"/>
        </w:rPr>
      </w:pPr>
      <w:r w:rsidRPr="00584227">
        <w:rPr>
          <w:bCs w:val="0"/>
        </w:rPr>
        <w:t>Approved by the Australian Communications and Media Authority</w:t>
      </w:r>
    </w:p>
    <w:p w14:paraId="4904B143" w14:textId="579AB260" w:rsidR="002C58A4" w:rsidRPr="00584227" w:rsidRDefault="003E1779" w:rsidP="00584227">
      <w:pPr>
        <w:jc w:val="center"/>
        <w:rPr>
          <w:i/>
        </w:rPr>
      </w:pPr>
      <w:r>
        <w:rPr>
          <w:i/>
        </w:rPr>
        <w:t>Australian Communications and Media Authority Act 2005</w:t>
      </w:r>
    </w:p>
    <w:p w14:paraId="06789AC6" w14:textId="64B9F925" w:rsidR="004C58B9" w:rsidRPr="00584227" w:rsidRDefault="007A74F0" w:rsidP="00584227">
      <w:pPr>
        <w:jc w:val="center"/>
        <w:rPr>
          <w:b/>
          <w:bCs w:val="0"/>
          <w:i/>
        </w:rPr>
      </w:pPr>
      <w:bookmarkStart w:id="0" w:name="_Hlk64899088"/>
      <w:r w:rsidRPr="00584227">
        <w:rPr>
          <w:b/>
          <w:bCs w:val="0"/>
          <w:i/>
        </w:rPr>
        <w:t>Radiocommunications (</w:t>
      </w:r>
      <w:r w:rsidR="00CD1DE7">
        <w:rPr>
          <w:b/>
          <w:bCs w:val="0"/>
          <w:i/>
        </w:rPr>
        <w:t>Inte</w:t>
      </w:r>
      <w:r w:rsidR="00F6134E">
        <w:rPr>
          <w:b/>
          <w:bCs w:val="0"/>
          <w:i/>
        </w:rPr>
        <w:t>r</w:t>
      </w:r>
      <w:r w:rsidR="00CD1DE7">
        <w:rPr>
          <w:b/>
          <w:bCs w:val="0"/>
          <w:i/>
        </w:rPr>
        <w:t>pretation</w:t>
      </w:r>
      <w:r w:rsidRPr="00584227">
        <w:rPr>
          <w:b/>
          <w:bCs w:val="0"/>
          <w:i/>
        </w:rPr>
        <w:t>) Amendment Determination 202</w:t>
      </w:r>
      <w:r w:rsidR="003E1779">
        <w:rPr>
          <w:b/>
          <w:bCs w:val="0"/>
          <w:i/>
        </w:rPr>
        <w:t>4</w:t>
      </w:r>
      <w:r w:rsidRPr="00584227">
        <w:rPr>
          <w:b/>
          <w:bCs w:val="0"/>
          <w:i/>
        </w:rPr>
        <w:t xml:space="preserve"> (No. 1)</w:t>
      </w:r>
    </w:p>
    <w:bookmarkEnd w:id="0"/>
    <w:p w14:paraId="494E2552" w14:textId="77777777" w:rsidR="004C58B9" w:rsidRPr="00584227" w:rsidRDefault="004C58B9" w:rsidP="000254BD">
      <w:pPr>
        <w:rPr>
          <w:b/>
          <w:bCs w:val="0"/>
        </w:rPr>
      </w:pPr>
      <w:r w:rsidRPr="00584227">
        <w:rPr>
          <w:b/>
          <w:bCs w:val="0"/>
        </w:rPr>
        <w:t>Authority</w:t>
      </w:r>
    </w:p>
    <w:p w14:paraId="55FAA4BD" w14:textId="0FECC2E1" w:rsidR="004C58B9" w:rsidRPr="00584227" w:rsidRDefault="004C58B9" w:rsidP="000254BD">
      <w:r w:rsidRPr="00584227">
        <w:t>The Australian Communications and Media Authority (</w:t>
      </w:r>
      <w:r w:rsidRPr="00584227">
        <w:rPr>
          <w:b/>
        </w:rPr>
        <w:t>the ACMA</w:t>
      </w:r>
      <w:r w:rsidRPr="00584227">
        <w:t xml:space="preserve">) has made the </w:t>
      </w:r>
      <w:r w:rsidR="007A74F0" w:rsidRPr="00584227">
        <w:rPr>
          <w:i/>
          <w:iCs/>
        </w:rPr>
        <w:t>Radiocommunications (</w:t>
      </w:r>
      <w:r w:rsidR="00CD1DE7">
        <w:rPr>
          <w:i/>
          <w:iCs/>
        </w:rPr>
        <w:t>Interpretation</w:t>
      </w:r>
      <w:r w:rsidR="007A74F0" w:rsidRPr="00584227">
        <w:rPr>
          <w:i/>
          <w:iCs/>
        </w:rPr>
        <w:t>) Amendment Determination 202</w:t>
      </w:r>
      <w:r w:rsidR="003E1779">
        <w:rPr>
          <w:i/>
          <w:iCs/>
        </w:rPr>
        <w:t>4</w:t>
      </w:r>
      <w:r w:rsidR="007A74F0" w:rsidRPr="00584227">
        <w:rPr>
          <w:i/>
          <w:iCs/>
        </w:rPr>
        <w:t xml:space="preserve"> (No</w:t>
      </w:r>
      <w:r w:rsidR="00BF16FF" w:rsidRPr="00584227">
        <w:rPr>
          <w:i/>
          <w:iCs/>
        </w:rPr>
        <w:t>. </w:t>
      </w:r>
      <w:r w:rsidR="007A74F0" w:rsidRPr="00584227">
        <w:rPr>
          <w:i/>
          <w:iCs/>
        </w:rPr>
        <w:t>1)</w:t>
      </w:r>
      <w:r w:rsidR="009135C3" w:rsidRPr="00584227">
        <w:t xml:space="preserve"> </w:t>
      </w:r>
      <w:r w:rsidRPr="00584227">
        <w:t>(</w:t>
      </w:r>
      <w:r w:rsidRPr="00584227">
        <w:rPr>
          <w:b/>
        </w:rPr>
        <w:t>the</w:t>
      </w:r>
      <w:r w:rsidR="00601347" w:rsidRPr="00584227">
        <w:rPr>
          <w:b/>
        </w:rPr>
        <w:t xml:space="preserve"> </w:t>
      </w:r>
      <w:r w:rsidR="003E1779">
        <w:rPr>
          <w:b/>
        </w:rPr>
        <w:t>Amendment I</w:t>
      </w:r>
      <w:r w:rsidR="00A74CD3" w:rsidRPr="00584227">
        <w:rPr>
          <w:b/>
        </w:rPr>
        <w:t>nstrument</w:t>
      </w:r>
      <w:r w:rsidR="00A74CD3" w:rsidRPr="00584227">
        <w:t>) under</w:t>
      </w:r>
      <w:r w:rsidR="00C9639A" w:rsidRPr="00584227">
        <w:t xml:space="preserve"> </w:t>
      </w:r>
      <w:r w:rsidR="002766B6" w:rsidRPr="00584227">
        <w:t>sub</w:t>
      </w:r>
      <w:r w:rsidR="00C9639A" w:rsidRPr="00584227">
        <w:t xml:space="preserve">subsection </w:t>
      </w:r>
      <w:r w:rsidR="00CD1DE7">
        <w:t>64</w:t>
      </w:r>
      <w:r w:rsidR="00C9639A" w:rsidRPr="00584227">
        <w:t>(</w:t>
      </w:r>
      <w:r w:rsidR="00CD1DE7">
        <w:t>1</w:t>
      </w:r>
      <w:r w:rsidR="00C9639A" w:rsidRPr="00584227">
        <w:t xml:space="preserve">) </w:t>
      </w:r>
      <w:r w:rsidRPr="00584227">
        <w:t xml:space="preserve">of the </w:t>
      </w:r>
      <w:r w:rsidR="003E1779">
        <w:rPr>
          <w:i/>
        </w:rPr>
        <w:t>Australian Communications and Media Authority Act 2005</w:t>
      </w:r>
      <w:r w:rsidRPr="00584227">
        <w:t xml:space="preserve"> (</w:t>
      </w:r>
      <w:r w:rsidRPr="00584227">
        <w:rPr>
          <w:b/>
        </w:rPr>
        <w:t xml:space="preserve">the </w:t>
      </w:r>
      <w:r w:rsidR="003E1779">
        <w:rPr>
          <w:b/>
        </w:rPr>
        <w:t xml:space="preserve">ACMA </w:t>
      </w:r>
      <w:r w:rsidRPr="00584227">
        <w:rPr>
          <w:b/>
        </w:rPr>
        <w:t>Act</w:t>
      </w:r>
      <w:r w:rsidRPr="00584227">
        <w:t>)</w:t>
      </w:r>
      <w:r w:rsidR="00383342" w:rsidRPr="00584227">
        <w:t xml:space="preserve"> and </w:t>
      </w:r>
      <w:r w:rsidR="003E1779">
        <w:t xml:space="preserve">in accordance with </w:t>
      </w:r>
      <w:r w:rsidR="00383342" w:rsidRPr="00584227">
        <w:t xml:space="preserve">subsection 33(3) of the </w:t>
      </w:r>
      <w:r w:rsidR="00126455" w:rsidRPr="00584227">
        <w:rPr>
          <w:i/>
          <w:iCs/>
        </w:rPr>
        <w:t>Acts Interpretation Act</w:t>
      </w:r>
      <w:r w:rsidR="005857DB" w:rsidRPr="00584227">
        <w:rPr>
          <w:i/>
          <w:iCs/>
        </w:rPr>
        <w:t xml:space="preserve"> 1901</w:t>
      </w:r>
      <w:r w:rsidR="00126455" w:rsidRPr="00584227">
        <w:t xml:space="preserve"> (</w:t>
      </w:r>
      <w:r w:rsidR="00126455" w:rsidRPr="00584227">
        <w:rPr>
          <w:b/>
        </w:rPr>
        <w:t>the AIA</w:t>
      </w:r>
      <w:r w:rsidR="00126455" w:rsidRPr="00584227">
        <w:t>)</w:t>
      </w:r>
      <w:r w:rsidRPr="00584227">
        <w:t>.</w:t>
      </w:r>
    </w:p>
    <w:p w14:paraId="7F0070ED" w14:textId="4C9EADA6" w:rsidR="00383342" w:rsidRPr="00584227" w:rsidRDefault="00054DC0" w:rsidP="000254BD">
      <w:r w:rsidRPr="00584227">
        <w:t xml:space="preserve">Subsection </w:t>
      </w:r>
      <w:r w:rsidR="00CD1DE7">
        <w:t>64</w:t>
      </w:r>
      <w:r w:rsidR="007A74F0" w:rsidRPr="00584227">
        <w:t>(</w:t>
      </w:r>
      <w:r w:rsidR="00CD1DE7">
        <w:t>1</w:t>
      </w:r>
      <w:r w:rsidR="007A74F0" w:rsidRPr="00584227">
        <w:t xml:space="preserve">) </w:t>
      </w:r>
      <w:r w:rsidRPr="00584227">
        <w:t xml:space="preserve">of the </w:t>
      </w:r>
      <w:r w:rsidR="003E1779">
        <w:t xml:space="preserve">ACMA </w:t>
      </w:r>
      <w:r w:rsidRPr="00584227">
        <w:t xml:space="preserve">Act provides that the ACMA may </w:t>
      </w:r>
      <w:r w:rsidR="003E1779">
        <w:t>make a written determination defining one or more expressions used in specified instruments, being instruments that are made by the ACMA under one or more specified laws of the Commonwealth</w:t>
      </w:r>
      <w:r w:rsidR="00691B18" w:rsidRPr="00584227">
        <w:t>.</w:t>
      </w:r>
      <w:r w:rsidRPr="00584227">
        <w:t xml:space="preserve"> </w:t>
      </w:r>
    </w:p>
    <w:p w14:paraId="707A9719" w14:textId="77777777" w:rsidR="00F46E4B" w:rsidRDefault="00F46E4B" w:rsidP="00F46E4B">
      <w:r>
        <w:t>Subsection 33(3) of the AIA relevantly provides that where an Act confers a power to make a legislative instrument, the power shall be construed as including a power exercisable in the like manner and subject to the like conditions (if any) to repeal, rescind, revoke, amend, or vary any such instrument.</w:t>
      </w:r>
    </w:p>
    <w:p w14:paraId="6ECDF72D" w14:textId="77777777" w:rsidR="00FB09D3" w:rsidRDefault="00FB09D3" w:rsidP="00FB09D3">
      <w:pPr>
        <w:rPr>
          <w:b/>
        </w:rPr>
      </w:pPr>
      <w:r>
        <w:rPr>
          <w:b/>
        </w:rPr>
        <w:t>Purpose and operation of the instrument</w:t>
      </w:r>
    </w:p>
    <w:p w14:paraId="6E9059ED" w14:textId="77777777" w:rsidR="00FB09D3" w:rsidRDefault="00FB09D3" w:rsidP="00FB09D3">
      <w:r>
        <w:t xml:space="preserve">The purpose of the Amendment Instrument is to amend the </w:t>
      </w:r>
      <w:r>
        <w:rPr>
          <w:i/>
          <w:iCs/>
        </w:rPr>
        <w:t xml:space="preserve">Radiocommunications (Interpretation) Determination 2015 </w:t>
      </w:r>
      <w:r>
        <w:t>(</w:t>
      </w:r>
      <w:r>
        <w:rPr>
          <w:b/>
        </w:rPr>
        <w:t>the Interpretation Determination</w:t>
      </w:r>
      <w:r>
        <w:t xml:space="preserve">). </w:t>
      </w:r>
    </w:p>
    <w:p w14:paraId="32D6DE8C" w14:textId="77777777" w:rsidR="00FB09D3" w:rsidRDefault="00FB09D3" w:rsidP="00FB09D3">
      <w:r>
        <w:t xml:space="preserve">The Interpretation Determination defines common expressions used in a number of instruments made by the ACMA that deal with radiocommunications. It applies these definitions to these instruments through reference to the provisions of the Act under which these instruments were made.  </w:t>
      </w:r>
    </w:p>
    <w:p w14:paraId="70045282" w14:textId="57F516E5" w:rsidR="00FB09D3" w:rsidRDefault="00FB09D3" w:rsidP="00FB09D3">
      <w:r>
        <w:t>The Amendment Instrument amends the definition of</w:t>
      </w:r>
      <w:r w:rsidR="003F2C85">
        <w:t xml:space="preserve"> </w:t>
      </w:r>
      <w:r w:rsidR="003F2C85">
        <w:rPr>
          <w:b/>
          <w:i/>
          <w:iCs/>
        </w:rPr>
        <w:t>area-wide service</w:t>
      </w:r>
      <w:r>
        <w:t xml:space="preserve"> in the Interpretation Determination to </w:t>
      </w:r>
      <w:r w:rsidR="0061152D">
        <w:t>include</w:t>
      </w:r>
      <w:r w:rsidR="003F2C85">
        <w:t xml:space="preserve"> radio</w:t>
      </w:r>
      <w:r w:rsidR="0061152D">
        <w:t xml:space="preserve"> emissions received by earth receive stations from space stations, which may originate as radioc</w:t>
      </w:r>
      <w:r w:rsidR="003F2C85">
        <w:t>ommun</w:t>
      </w:r>
      <w:r w:rsidR="00F6134E">
        <w:t>i</w:t>
      </w:r>
      <w:r w:rsidR="003F2C85">
        <w:t xml:space="preserve">cations from stations </w:t>
      </w:r>
      <w:r w:rsidR="00F46E4B">
        <w:t>at fixed point</w:t>
      </w:r>
      <w:r w:rsidR="00F63AC4">
        <w:t>s</w:t>
      </w:r>
      <w:r w:rsidR="00F46E4B">
        <w:t xml:space="preserve"> </w:t>
      </w:r>
      <w:r w:rsidR="00A20F7E">
        <w:t>or</w:t>
      </w:r>
      <w:r w:rsidR="00F46E4B">
        <w:t xml:space="preserve"> mobile stations</w:t>
      </w:r>
      <w:r w:rsidR="00F63AC4">
        <w:t xml:space="preserve">, </w:t>
      </w:r>
      <w:r w:rsidR="0061152D">
        <w:t xml:space="preserve">then </w:t>
      </w:r>
      <w:r w:rsidR="00F63AC4">
        <w:t>through a</w:t>
      </w:r>
      <w:r w:rsidR="00557665">
        <w:t xml:space="preserve"> space receive station and</w:t>
      </w:r>
      <w:r w:rsidR="00F63AC4">
        <w:t xml:space="preserve"> space station,</w:t>
      </w:r>
      <w:r w:rsidR="00F46E4B">
        <w:t xml:space="preserve"> </w:t>
      </w:r>
      <w:r w:rsidR="003F2C85">
        <w:t>to</w:t>
      </w:r>
      <w:r w:rsidR="00A20F7E">
        <w:t xml:space="preserve"> be received by</w:t>
      </w:r>
      <w:r w:rsidR="003F2C85">
        <w:t xml:space="preserve"> earth receive stations</w:t>
      </w:r>
      <w:r>
        <w:t xml:space="preserve">. </w:t>
      </w:r>
    </w:p>
    <w:p w14:paraId="74CF7F9C" w14:textId="799DD6DA" w:rsidR="003F2C85" w:rsidRDefault="003F2C85" w:rsidP="003F2C85">
      <w:r>
        <w:t xml:space="preserve">The Amendment Instrument also amends the definition of </w:t>
      </w:r>
      <w:r>
        <w:rPr>
          <w:b/>
          <w:i/>
          <w:iCs/>
        </w:rPr>
        <w:t>earth receive licence</w:t>
      </w:r>
      <w:r>
        <w:t xml:space="preserve"> in the Interpretation Determination to </w:t>
      </w:r>
      <w:r w:rsidR="004B0556">
        <w:t xml:space="preserve">not include those </w:t>
      </w:r>
      <w:r>
        <w:t xml:space="preserve">earth receive stations </w:t>
      </w:r>
      <w:r w:rsidR="004B0556">
        <w:t>that</w:t>
      </w:r>
      <w:r>
        <w:t xml:space="preserve"> operate under an area-wide receive licence</w:t>
      </w:r>
      <w:r w:rsidR="004B0556">
        <w:t>. This means an earth receive station could be authorised to operate under either</w:t>
      </w:r>
      <w:r w:rsidR="00647169">
        <w:t xml:space="preserve"> an earth receive licence</w:t>
      </w:r>
      <w:r w:rsidR="004B0556">
        <w:t xml:space="preserve"> or a</w:t>
      </w:r>
      <w:r w:rsidR="00A917B0">
        <w:t>n</w:t>
      </w:r>
      <w:r w:rsidR="004B0556">
        <w:t xml:space="preserve"> area-wide receive licence</w:t>
      </w:r>
      <w:r>
        <w:t xml:space="preserve">. </w:t>
      </w:r>
    </w:p>
    <w:p w14:paraId="70DE468D" w14:textId="77777777" w:rsidR="00FB09D3" w:rsidRDefault="00FB09D3" w:rsidP="00FB09D3">
      <w:r>
        <w:t xml:space="preserve">A provision-by-provision description of the Amendment Instrument is set out in the notes at </w:t>
      </w:r>
      <w:r>
        <w:rPr>
          <w:b/>
        </w:rPr>
        <w:t>Attachment A</w:t>
      </w:r>
      <w:r>
        <w:t>.</w:t>
      </w:r>
    </w:p>
    <w:p w14:paraId="1A457CD8" w14:textId="77777777" w:rsidR="00FB09D3" w:rsidRDefault="00FB09D3" w:rsidP="00FB09D3">
      <w:r>
        <w:t xml:space="preserve">The Amendment Instrument is a disallowable legislative instrument for the purposes of the </w:t>
      </w:r>
      <w:r>
        <w:rPr>
          <w:i/>
        </w:rPr>
        <w:t xml:space="preserve">Legislation Act 2003 </w:t>
      </w:r>
      <w:r>
        <w:t>(</w:t>
      </w:r>
      <w:r>
        <w:rPr>
          <w:b/>
        </w:rPr>
        <w:t>the LA</w:t>
      </w:r>
      <w:r>
        <w:t xml:space="preserve">). </w:t>
      </w:r>
    </w:p>
    <w:p w14:paraId="76D33A6A" w14:textId="77777777" w:rsidR="00FB09D3" w:rsidRDefault="00FB09D3" w:rsidP="00FB09D3">
      <w:pPr>
        <w:rPr>
          <w:b/>
        </w:rPr>
      </w:pPr>
      <w:r>
        <w:rPr>
          <w:b/>
        </w:rPr>
        <w:t>Documents incorporated by reference</w:t>
      </w:r>
    </w:p>
    <w:p w14:paraId="2074ED72" w14:textId="77777777" w:rsidR="00FB09D3" w:rsidRDefault="00FB09D3" w:rsidP="00FB09D3">
      <w:r>
        <w:t xml:space="preserve">The Amendment Instrument does not incorporate any document by reference. </w:t>
      </w:r>
    </w:p>
    <w:p w14:paraId="2F3EB816" w14:textId="77777777" w:rsidR="004B0556" w:rsidRDefault="004B0556" w:rsidP="00FB09D3"/>
    <w:p w14:paraId="1F2503C3" w14:textId="77777777" w:rsidR="004B0556" w:rsidRDefault="004B0556" w:rsidP="00FB09D3"/>
    <w:p w14:paraId="16E0B9AD" w14:textId="77777777" w:rsidR="004B0556" w:rsidRDefault="004B0556" w:rsidP="00FB09D3"/>
    <w:p w14:paraId="2EFDFDBF" w14:textId="77777777" w:rsidR="004C58B9" w:rsidRPr="00584227" w:rsidRDefault="004C58B9" w:rsidP="000254BD">
      <w:pPr>
        <w:rPr>
          <w:b/>
          <w:bCs w:val="0"/>
        </w:rPr>
      </w:pPr>
      <w:r w:rsidRPr="00584227">
        <w:rPr>
          <w:b/>
          <w:bCs w:val="0"/>
        </w:rPr>
        <w:lastRenderedPageBreak/>
        <w:t>Consultation</w:t>
      </w:r>
    </w:p>
    <w:p w14:paraId="60FC4B12" w14:textId="38B84C30" w:rsidR="004C58B9" w:rsidRPr="00584227" w:rsidRDefault="004C58B9" w:rsidP="00DE6F7B">
      <w:r w:rsidRPr="00584227">
        <w:t xml:space="preserve">Before the </w:t>
      </w:r>
      <w:r w:rsidR="00F6134E">
        <w:t>Amendment I</w:t>
      </w:r>
      <w:r w:rsidRPr="00584227">
        <w:t xml:space="preserve">nstrument was made, the ACMA was satisfied that consultation was undertaken to the extent appropriate and reasonably practicable, in accordance with section 17 of the LA.  </w:t>
      </w:r>
    </w:p>
    <w:p w14:paraId="525D583F" w14:textId="5AFD1709" w:rsidR="00372B29" w:rsidRPr="00584227" w:rsidRDefault="00CD28D8" w:rsidP="00DE6F7B">
      <w:r w:rsidRPr="00584227">
        <w:t xml:space="preserve">In </w:t>
      </w:r>
      <w:r w:rsidR="002766B6" w:rsidRPr="00584227">
        <w:t>July 2021</w:t>
      </w:r>
      <w:r w:rsidRPr="00584227">
        <w:t>, the ACMA established a Technical Liaison Group (</w:t>
      </w:r>
      <w:r w:rsidRPr="00584227">
        <w:rPr>
          <w:b/>
        </w:rPr>
        <w:t>TLG</w:t>
      </w:r>
      <w:r w:rsidRPr="00584227">
        <w:t xml:space="preserve">) to provide advice on what changes should be made to the 3.4 GHz band technical framework to accommodate </w:t>
      </w:r>
      <w:r w:rsidR="00F3572F">
        <w:t>area-wide licences</w:t>
      </w:r>
      <w:r w:rsidR="005036FD" w:rsidRPr="00584227">
        <w:t xml:space="preserve"> in the 3400</w:t>
      </w:r>
      <w:r w:rsidR="006E64DC" w:rsidRPr="00584227">
        <w:t xml:space="preserve"> MHz to </w:t>
      </w:r>
      <w:r w:rsidR="005036FD" w:rsidRPr="00584227">
        <w:t>4000 MHz frequency range</w:t>
      </w:r>
      <w:r w:rsidR="00F3572F">
        <w:t xml:space="preserve">, including how to accommodate earth receive stations under </w:t>
      </w:r>
      <w:r w:rsidR="0003281C">
        <w:t>area-wide receive licences</w:t>
      </w:r>
      <w:r w:rsidRPr="00584227">
        <w:t xml:space="preserve">. </w:t>
      </w:r>
      <w:r w:rsidR="0024224B" w:rsidRPr="00584227">
        <w:t xml:space="preserve">Membership of the TLG included </w:t>
      </w:r>
      <w:r w:rsidR="009D0FCB" w:rsidRPr="00584227">
        <w:t xml:space="preserve">existing </w:t>
      </w:r>
      <w:r w:rsidR="0024224B" w:rsidRPr="00584227">
        <w:t>3.4 GHz band spectrum</w:t>
      </w:r>
      <w:r w:rsidR="002766B6" w:rsidRPr="00584227">
        <w:t xml:space="preserve"> and apparatus</w:t>
      </w:r>
      <w:r w:rsidR="0024224B" w:rsidRPr="00584227">
        <w:t xml:space="preserve"> licensees, some adjacent band licensees, equipment manufacturers and some industry groups. </w:t>
      </w:r>
      <w:r w:rsidR="00372B29" w:rsidRPr="00584227">
        <w:t xml:space="preserve">The ACMA took into account the views expressed by the TLG when preparing </w:t>
      </w:r>
      <w:r w:rsidR="004A0836">
        <w:t xml:space="preserve">the </w:t>
      </w:r>
      <w:r w:rsidR="00C02CE8">
        <w:t>A</w:t>
      </w:r>
      <w:r w:rsidR="004A0836">
        <w:t>mendment</w:t>
      </w:r>
      <w:r w:rsidR="00C02CE8">
        <w:t xml:space="preserve"> Instrument</w:t>
      </w:r>
      <w:r w:rsidR="00372B29" w:rsidRPr="00584227">
        <w:t xml:space="preserve">. The outcomes of the TLG are available on the ACMA website at </w:t>
      </w:r>
      <w:hyperlink r:id="rId12" w:history="1">
        <w:r w:rsidR="00372B29" w:rsidRPr="00584227">
          <w:rPr>
            <w:rStyle w:val="Hyperlink"/>
          </w:rPr>
          <w:t>www.acma.gov.au</w:t>
        </w:r>
      </w:hyperlink>
      <w:r w:rsidR="00372B29" w:rsidRPr="00584227">
        <w:t>.</w:t>
      </w:r>
    </w:p>
    <w:p w14:paraId="2EF0D332" w14:textId="3552799C" w:rsidR="001207BF" w:rsidRPr="004B0556" w:rsidRDefault="001207BF" w:rsidP="00DE6F7B">
      <w:r w:rsidRPr="00584227">
        <w:t xml:space="preserve">The ACMA also publicly consulted on </w:t>
      </w:r>
      <w:r w:rsidR="00326887" w:rsidRPr="00584227">
        <w:t xml:space="preserve">a </w:t>
      </w:r>
      <w:r w:rsidRPr="00584227">
        <w:t xml:space="preserve">draft </w:t>
      </w:r>
      <w:r w:rsidR="00F6134E">
        <w:t>a</w:t>
      </w:r>
      <w:r w:rsidR="004A0836">
        <w:t xml:space="preserve">mendment </w:t>
      </w:r>
      <w:r w:rsidR="00F6134E">
        <w:t>i</w:t>
      </w:r>
      <w:r w:rsidRPr="00584227">
        <w:t>nstrument</w:t>
      </w:r>
      <w:r w:rsidR="00326887" w:rsidRPr="00584227">
        <w:t>,</w:t>
      </w:r>
      <w:r w:rsidRPr="00584227">
        <w:t xml:space="preserve"> from </w:t>
      </w:r>
      <w:r w:rsidR="00F3572F">
        <w:t>20 June 2023 to 1 August 2023</w:t>
      </w:r>
      <w:r w:rsidRPr="00584227">
        <w:t xml:space="preserve">.  </w:t>
      </w:r>
      <w:r w:rsidR="005B5914">
        <w:t xml:space="preserve">This was part of a wider consultation </w:t>
      </w:r>
      <w:r w:rsidR="00B73F3C">
        <w:t xml:space="preserve">that included </w:t>
      </w:r>
      <w:r w:rsidR="00B56BA9">
        <w:t xml:space="preserve">the </w:t>
      </w:r>
      <w:r w:rsidR="00B73F3C">
        <w:t xml:space="preserve">proposed amendments </w:t>
      </w:r>
      <w:r w:rsidR="00B73F3C" w:rsidRPr="004B0556">
        <w:t xml:space="preserve">to </w:t>
      </w:r>
      <w:r w:rsidR="00B73F3C" w:rsidRPr="00114E75">
        <w:t>the Interpretation Determination.</w:t>
      </w:r>
    </w:p>
    <w:p w14:paraId="47585404" w14:textId="1CDD9FC6" w:rsidR="007E53C6" w:rsidRPr="00584227" w:rsidRDefault="00F3572F" w:rsidP="00DE6F7B">
      <w:r>
        <w:t>Twelve</w:t>
      </w:r>
      <w:r w:rsidRPr="00584227">
        <w:t xml:space="preserve"> </w:t>
      </w:r>
      <w:r w:rsidR="00276D81" w:rsidRPr="00584227">
        <w:t>submissions were received during the public consultation period. Submissions were generally supportive of the proposed changes</w:t>
      </w:r>
      <w:r w:rsidR="00A21F5C">
        <w:t>,</w:t>
      </w:r>
      <w:r w:rsidR="008C792E" w:rsidRPr="00584227">
        <w:t xml:space="preserve"> </w:t>
      </w:r>
      <w:r>
        <w:t>but some submitters remain</w:t>
      </w:r>
      <w:r w:rsidR="00A21F5C">
        <w:t>ed</w:t>
      </w:r>
      <w:r>
        <w:t xml:space="preserve"> strongly opposed to the use of area-wide receive licences for earth receive stations</w:t>
      </w:r>
      <w:r w:rsidR="00057ED9">
        <w:t xml:space="preserve">, which the amendments to </w:t>
      </w:r>
      <w:r w:rsidR="00057ED9" w:rsidRPr="00114E75">
        <w:rPr>
          <w:bCs w:val="0"/>
        </w:rPr>
        <w:t xml:space="preserve">the Interpretation Determination </w:t>
      </w:r>
      <w:r w:rsidR="00057ED9" w:rsidRPr="008900A7">
        <w:rPr>
          <w:bCs w:val="0"/>
        </w:rPr>
        <w:t>enable.</w:t>
      </w:r>
      <w:r w:rsidR="00057ED9">
        <w:rPr>
          <w:b/>
        </w:rPr>
        <w:t xml:space="preserve"> </w:t>
      </w:r>
      <w:r>
        <w:t>The ACMA understands that this is mainly due to pricing implications rather than licensing or technical issues</w:t>
      </w:r>
      <w:r w:rsidR="00276D81" w:rsidRPr="00584227">
        <w:t xml:space="preserve">. </w:t>
      </w:r>
      <w:r>
        <w:t xml:space="preserve">One submitter was concerned that the proposed changes </w:t>
      </w:r>
      <w:r w:rsidR="006F2615">
        <w:t xml:space="preserve">would enable </w:t>
      </w:r>
      <w:r>
        <w:t>satellite direct-to-device use</w:t>
      </w:r>
      <w:r w:rsidR="00B55FB4">
        <w:t xml:space="preserve"> without other necessary regulation</w:t>
      </w:r>
      <w:r>
        <w:t xml:space="preserve">. </w:t>
      </w:r>
      <w:r w:rsidR="00F558DB">
        <w:t xml:space="preserve">There are, however, </w:t>
      </w:r>
      <w:r w:rsidR="0029208A">
        <w:t>other mechanisms available to the ACMA to manage this</w:t>
      </w:r>
      <w:r w:rsidR="002F7F55">
        <w:t xml:space="preserve"> concern</w:t>
      </w:r>
      <w:r w:rsidR="0029208A">
        <w:t xml:space="preserve">. </w:t>
      </w:r>
      <w:r w:rsidR="00D6131F" w:rsidRPr="00584227">
        <w:t xml:space="preserve">After considering all submissions, </w:t>
      </w:r>
      <w:r w:rsidR="007138FD" w:rsidRPr="00584227">
        <w:t>the ACMA</w:t>
      </w:r>
      <w:r w:rsidR="005A3DB3" w:rsidRPr="00584227">
        <w:t xml:space="preserve"> decided to</w:t>
      </w:r>
      <w:r w:rsidR="004438A6" w:rsidRPr="00584227">
        <w:t xml:space="preserve"> </w:t>
      </w:r>
      <w:r w:rsidR="008B117C">
        <w:t xml:space="preserve">make changes to </w:t>
      </w:r>
      <w:r w:rsidR="00F6134E">
        <w:t>a</w:t>
      </w:r>
      <w:r>
        <w:t xml:space="preserve"> draft</w:t>
      </w:r>
      <w:r w:rsidR="00F6134E">
        <w:t xml:space="preserve"> </w:t>
      </w:r>
      <w:r>
        <w:t>amendment instrument.</w:t>
      </w:r>
      <w:r w:rsidR="00BE13DB" w:rsidRPr="00584227">
        <w:t xml:space="preserve"> </w:t>
      </w:r>
      <w:r w:rsidR="00FD2A84">
        <w:t xml:space="preserve">The changes </w:t>
      </w:r>
      <w:r w:rsidR="0003281C">
        <w:t xml:space="preserve">are designed to </w:t>
      </w:r>
      <w:r w:rsidR="006369B5">
        <w:t>address the direct-to-device concerns.</w:t>
      </w:r>
    </w:p>
    <w:p w14:paraId="4B9DF6A7" w14:textId="77777777" w:rsidR="00034C68" w:rsidRPr="00584227" w:rsidRDefault="00034C68" w:rsidP="00034C68">
      <w:pPr>
        <w:rPr>
          <w:b/>
          <w:bCs w:val="0"/>
        </w:rPr>
      </w:pPr>
      <w:r w:rsidRPr="00584227">
        <w:rPr>
          <w:b/>
          <w:bCs w:val="0"/>
        </w:rPr>
        <w:t>Regulatory impact assessment</w:t>
      </w:r>
    </w:p>
    <w:p w14:paraId="060C5284" w14:textId="36CBE8E2" w:rsidR="00034C68" w:rsidRPr="00584227" w:rsidRDefault="00034C68" w:rsidP="00034C68">
      <w:r w:rsidRPr="00584227">
        <w:rPr>
          <w:color w:val="000000"/>
          <w:shd w:val="clear" w:color="auto" w:fill="FFFFFF"/>
        </w:rPr>
        <w:t xml:space="preserve">A </w:t>
      </w:r>
      <w:r>
        <w:rPr>
          <w:color w:val="000000"/>
          <w:shd w:val="clear" w:color="auto" w:fill="FFFFFF"/>
        </w:rPr>
        <w:t xml:space="preserve">preliminary assessment for a possible </w:t>
      </w:r>
      <w:r w:rsidRPr="00584227">
        <w:rPr>
          <w:color w:val="000000"/>
          <w:shd w:val="clear" w:color="auto" w:fill="FFFFFF"/>
        </w:rPr>
        <w:t>Regulation Impact Statement (</w:t>
      </w:r>
      <w:r w:rsidRPr="00584227">
        <w:rPr>
          <w:b/>
          <w:bCs w:val="0"/>
          <w:color w:val="000000"/>
          <w:shd w:val="clear" w:color="auto" w:fill="FFFFFF"/>
        </w:rPr>
        <w:t>RIS</w:t>
      </w:r>
      <w:r w:rsidRPr="00584227">
        <w:rPr>
          <w:color w:val="000000"/>
          <w:shd w:val="clear" w:color="auto" w:fill="FFFFFF"/>
        </w:rPr>
        <w:t>) has been completed</w:t>
      </w:r>
      <w:r>
        <w:rPr>
          <w:color w:val="000000"/>
          <w:shd w:val="clear" w:color="auto" w:fill="FFFFFF"/>
        </w:rPr>
        <w:t xml:space="preserve"> for the overall allocation process </w:t>
      </w:r>
      <w:r w:rsidR="00DB489E">
        <w:rPr>
          <w:color w:val="000000"/>
          <w:shd w:val="clear" w:color="auto" w:fill="FFFFFF"/>
        </w:rPr>
        <w:t xml:space="preserve">which </w:t>
      </w:r>
      <w:r w:rsidR="008B117C">
        <w:rPr>
          <w:color w:val="000000"/>
          <w:shd w:val="clear" w:color="auto" w:fill="FFFFFF"/>
        </w:rPr>
        <w:t>includes the Amendment Instrument</w:t>
      </w:r>
      <w:r>
        <w:rPr>
          <w:color w:val="000000"/>
          <w:shd w:val="clear" w:color="auto" w:fill="FFFFFF"/>
        </w:rPr>
        <w:t xml:space="preserve"> </w:t>
      </w:r>
      <w:r w:rsidR="00DB489E">
        <w:rPr>
          <w:color w:val="000000"/>
          <w:shd w:val="clear" w:color="auto" w:fill="FFFFFF"/>
        </w:rPr>
        <w:t xml:space="preserve">that </w:t>
      </w:r>
      <w:r>
        <w:rPr>
          <w:color w:val="000000"/>
          <w:shd w:val="clear" w:color="auto" w:fill="FFFFFF"/>
        </w:rPr>
        <w:t>assists with forming the licensing framework</w:t>
      </w:r>
      <w:r w:rsidRPr="00584227">
        <w:rPr>
          <w:color w:val="000000"/>
          <w:shd w:val="clear" w:color="auto" w:fill="FFFFFF"/>
        </w:rPr>
        <w:t xml:space="preserve">. The </w:t>
      </w:r>
      <w:r>
        <w:rPr>
          <w:color w:val="000000"/>
          <w:shd w:val="clear" w:color="auto" w:fill="FFFFFF"/>
        </w:rPr>
        <w:t xml:space="preserve">Office of Impact Analysis </w:t>
      </w:r>
      <w:r w:rsidR="0067739D">
        <w:rPr>
          <w:color w:val="000000"/>
          <w:shd w:val="clear" w:color="auto" w:fill="FFFFFF"/>
        </w:rPr>
        <w:t>(</w:t>
      </w:r>
      <w:r w:rsidR="0067739D" w:rsidRPr="00114E75">
        <w:rPr>
          <w:b/>
          <w:bCs w:val="0"/>
          <w:color w:val="000000"/>
          <w:shd w:val="clear" w:color="auto" w:fill="FFFFFF"/>
        </w:rPr>
        <w:t>OIA</w:t>
      </w:r>
      <w:r w:rsidR="0067739D">
        <w:rPr>
          <w:color w:val="000000"/>
          <w:shd w:val="clear" w:color="auto" w:fill="FFFFFF"/>
        </w:rPr>
        <w:t xml:space="preserve">) </w:t>
      </w:r>
      <w:r w:rsidRPr="00584227">
        <w:rPr>
          <w:color w:val="000000"/>
          <w:shd w:val="clear" w:color="auto" w:fill="FFFFFF"/>
        </w:rPr>
        <w:t xml:space="preserve">has </w:t>
      </w:r>
      <w:r>
        <w:rPr>
          <w:color w:val="000000"/>
          <w:shd w:val="clear" w:color="auto" w:fill="FFFFFF"/>
        </w:rPr>
        <w:t xml:space="preserve">indicated </w:t>
      </w:r>
      <w:r w:rsidRPr="00584227">
        <w:rPr>
          <w:color w:val="000000"/>
          <w:shd w:val="clear" w:color="auto" w:fill="FFFFFF"/>
        </w:rPr>
        <w:t>(</w:t>
      </w:r>
      <w:r>
        <w:rPr>
          <w:color w:val="000000"/>
          <w:shd w:val="clear" w:color="auto" w:fill="FFFFFF"/>
        </w:rPr>
        <w:t>OIA</w:t>
      </w:r>
      <w:r w:rsidRPr="00584227">
        <w:rPr>
          <w:color w:val="000000"/>
          <w:shd w:val="clear" w:color="auto" w:fill="FFFFFF"/>
        </w:rPr>
        <w:t xml:space="preserve"> ID </w:t>
      </w:r>
      <w:r w:rsidRPr="001E7D67">
        <w:rPr>
          <w:color w:val="000000"/>
          <w:shd w:val="clear" w:color="auto" w:fill="FFFFFF"/>
        </w:rPr>
        <w:t>OIA23-05294</w:t>
      </w:r>
      <w:r w:rsidRPr="00584227">
        <w:rPr>
          <w:color w:val="000000"/>
          <w:shd w:val="clear" w:color="auto" w:fill="FFFFFF"/>
        </w:rPr>
        <w:t>)</w:t>
      </w:r>
      <w:r>
        <w:rPr>
          <w:color w:val="000000"/>
          <w:shd w:val="clear" w:color="auto" w:fill="FFFFFF"/>
        </w:rPr>
        <w:t xml:space="preserve"> </w:t>
      </w:r>
      <w:r w:rsidR="0003281C">
        <w:rPr>
          <w:color w:val="000000"/>
          <w:shd w:val="clear" w:color="auto" w:fill="FFFFFF"/>
        </w:rPr>
        <w:t xml:space="preserve">that it </w:t>
      </w:r>
      <w:r w:rsidRPr="007327D7">
        <w:rPr>
          <w:color w:val="000000"/>
          <w:shd w:val="clear" w:color="auto" w:fill="FFFFFF"/>
        </w:rPr>
        <w:t>consider</w:t>
      </w:r>
      <w:r w:rsidR="002F76C9">
        <w:rPr>
          <w:color w:val="000000"/>
          <w:shd w:val="clear" w:color="auto" w:fill="FFFFFF"/>
        </w:rPr>
        <w:t>s</w:t>
      </w:r>
      <w:r w:rsidRPr="007327D7">
        <w:rPr>
          <w:color w:val="000000"/>
          <w:shd w:val="clear" w:color="auto" w:fill="FFFFFF"/>
        </w:rPr>
        <w:t xml:space="preserve"> the proposal is unlikely to have a more than minor impact</w:t>
      </w:r>
      <w:r w:rsidRPr="00584227">
        <w:rPr>
          <w:color w:val="000000"/>
          <w:shd w:val="clear" w:color="auto" w:fill="FFFFFF"/>
        </w:rPr>
        <w:t xml:space="preserve">. </w:t>
      </w:r>
      <w:r>
        <w:rPr>
          <w:color w:val="000000"/>
          <w:shd w:val="clear" w:color="auto" w:fill="FFFFFF"/>
        </w:rPr>
        <w:t>Consequently,</w:t>
      </w:r>
      <w:r w:rsidRPr="008058D4">
        <w:t xml:space="preserve"> </w:t>
      </w:r>
      <w:r w:rsidRPr="008058D4">
        <w:rPr>
          <w:color w:val="000000"/>
          <w:shd w:val="clear" w:color="auto" w:fill="FFFFFF"/>
        </w:rPr>
        <w:t>the preparation of an Impact Analysis is not required.</w:t>
      </w:r>
      <w:r>
        <w:rPr>
          <w:color w:val="000000"/>
          <w:shd w:val="clear" w:color="auto" w:fill="FFFFFF"/>
        </w:rPr>
        <w:t xml:space="preserve"> </w:t>
      </w:r>
    </w:p>
    <w:p w14:paraId="645DD02E" w14:textId="3D872167" w:rsidR="004C58B9" w:rsidRPr="00584227" w:rsidRDefault="004C58B9" w:rsidP="00584227">
      <w:pPr>
        <w:keepNext/>
        <w:spacing w:line="257" w:lineRule="auto"/>
        <w:rPr>
          <w:b/>
          <w:bCs w:val="0"/>
        </w:rPr>
      </w:pPr>
      <w:r w:rsidRPr="00584227">
        <w:rPr>
          <w:b/>
          <w:bCs w:val="0"/>
        </w:rPr>
        <w:t>Statement of compatibility with human rights</w:t>
      </w:r>
    </w:p>
    <w:p w14:paraId="67F8FCA3" w14:textId="77777777" w:rsidR="00227E00" w:rsidRPr="00584227" w:rsidRDefault="00227E00" w:rsidP="00AD1E05">
      <w:r w:rsidRPr="00584227">
        <w:t xml:space="preserve">Subsection 9(1) of the </w:t>
      </w:r>
      <w:r w:rsidRPr="00584227">
        <w:rPr>
          <w:i/>
          <w:iCs/>
        </w:rPr>
        <w:t>Human Rights (Parliamentary Scrutiny) Act 2011</w:t>
      </w:r>
      <w:r w:rsidRPr="00584227">
        <w:t xml:space="preserve"> requires the rule-maker in relation to a legislative instrument to which section 42 (disallowance) of the LA applies to cause a statement of compatibility with human rights to be prepared in respect of that legislative instrument.</w:t>
      </w:r>
    </w:p>
    <w:p w14:paraId="291EC061" w14:textId="7C481B4D" w:rsidR="00601347" w:rsidRPr="00584227" w:rsidRDefault="00227E00" w:rsidP="00AD1E05">
      <w:r w:rsidRPr="00584227">
        <w:t>The statement of compatibility set out below has been prepared to meet that requirement.</w:t>
      </w:r>
    </w:p>
    <w:p w14:paraId="6ADC4A9C" w14:textId="77777777" w:rsidR="00833351" w:rsidRDefault="00833351" w:rsidP="00833351">
      <w:pPr>
        <w:keepNext/>
        <w:rPr>
          <w:b/>
          <w:i/>
        </w:rPr>
      </w:pPr>
      <w:r>
        <w:rPr>
          <w:b/>
          <w:i/>
        </w:rPr>
        <w:t>Overview of the instrument</w:t>
      </w:r>
    </w:p>
    <w:p w14:paraId="20274353" w14:textId="382E76DA" w:rsidR="00833351" w:rsidRPr="00BB74A9" w:rsidRDefault="00833351" w:rsidP="00833351">
      <w:r w:rsidRPr="00086CA9">
        <w:t xml:space="preserve">The Amendment Instrument amends the Interpretation Determination </w:t>
      </w:r>
      <w:r>
        <w:t xml:space="preserve">to </w:t>
      </w:r>
      <w:r w:rsidR="00A20F7E">
        <w:t xml:space="preserve">include reception of radio emissions from space stations to earth receive stations in the definition of </w:t>
      </w:r>
      <w:r w:rsidR="00A20F7E" w:rsidRPr="00114E75">
        <w:rPr>
          <w:b/>
          <w:bCs w:val="0"/>
          <w:i/>
          <w:iCs/>
        </w:rPr>
        <w:t>area-wide service</w:t>
      </w:r>
      <w:r w:rsidR="00A20F7E">
        <w:t>. These radio emissions may originate as</w:t>
      </w:r>
      <w:r>
        <w:t xml:space="preserve"> </w:t>
      </w:r>
      <w:r w:rsidR="00F63AC4">
        <w:t>radiocommunications</w:t>
      </w:r>
      <w:r w:rsidR="00817918">
        <w:t xml:space="preserve"> from stations at fixed points </w:t>
      </w:r>
      <w:r w:rsidR="00A20F7E">
        <w:t>or</w:t>
      </w:r>
      <w:r w:rsidR="00817918">
        <w:t xml:space="preserve"> mobile stations, </w:t>
      </w:r>
      <w:r w:rsidR="00A20F7E">
        <w:t xml:space="preserve">then </w:t>
      </w:r>
      <w:r w:rsidR="00817918">
        <w:t>through a</w:t>
      </w:r>
      <w:r w:rsidR="004B478F">
        <w:t xml:space="preserve"> space receive station and</w:t>
      </w:r>
      <w:r w:rsidR="00817918">
        <w:t xml:space="preserve"> space station, </w:t>
      </w:r>
      <w:r w:rsidR="00F63AC4">
        <w:t>to</w:t>
      </w:r>
      <w:r w:rsidR="00817918">
        <w:t xml:space="preserve"> be received by </w:t>
      </w:r>
      <w:r>
        <w:t>earth receive station</w:t>
      </w:r>
      <w:r w:rsidR="00647169">
        <w:t>s</w:t>
      </w:r>
      <w:r w:rsidR="00A20F7E">
        <w:t>. This kind of</w:t>
      </w:r>
      <w:r w:rsidR="00DB489E">
        <w:t xml:space="preserve"> area-wide service </w:t>
      </w:r>
      <w:r w:rsidR="00A20F7E">
        <w:t xml:space="preserve">is capable of </w:t>
      </w:r>
      <w:r w:rsidR="00DB489E">
        <w:t>be</w:t>
      </w:r>
      <w:r w:rsidR="00A20F7E">
        <w:t>ing</w:t>
      </w:r>
      <w:r w:rsidR="00DB489E">
        <w:t xml:space="preserve"> licensed</w:t>
      </w:r>
      <w:r>
        <w:t xml:space="preserve"> under an area-wide </w:t>
      </w:r>
      <w:r w:rsidR="0003281C">
        <w:t xml:space="preserve">receive </w:t>
      </w:r>
      <w:r>
        <w:t>licence.</w:t>
      </w:r>
      <w:r w:rsidRPr="00086CA9">
        <w:t xml:space="preserve"> </w:t>
      </w:r>
      <w:r w:rsidR="00A20F7E">
        <w:t>Where that is the case, t</w:t>
      </w:r>
      <w:r w:rsidR="00817918">
        <w:t>he Amendment Instrument</w:t>
      </w:r>
      <w:r w:rsidR="00C328D9">
        <w:t xml:space="preserve">, by amending the definition of </w:t>
      </w:r>
      <w:r w:rsidR="00C328D9" w:rsidRPr="00114E75">
        <w:rPr>
          <w:b/>
          <w:bCs w:val="0"/>
          <w:i/>
          <w:iCs/>
        </w:rPr>
        <w:t>earth receive licence</w:t>
      </w:r>
      <w:r w:rsidR="00C328D9">
        <w:t>, makes clear that</w:t>
      </w:r>
      <w:r w:rsidR="00817918">
        <w:t xml:space="preserve"> the reception of these radio emissions </w:t>
      </w:r>
      <w:r w:rsidR="00C328D9">
        <w:t xml:space="preserve">would not be </w:t>
      </w:r>
      <w:r w:rsidR="00817918">
        <w:t xml:space="preserve">licensed under </w:t>
      </w:r>
      <w:r w:rsidR="00F63AC4">
        <w:lastRenderedPageBreak/>
        <w:t xml:space="preserve">the operation of </w:t>
      </w:r>
      <w:r w:rsidR="00817918">
        <w:t>an earth receive licence. Instead they would be licensed under an area-wide receive licence.</w:t>
      </w:r>
    </w:p>
    <w:p w14:paraId="1D4E9C59" w14:textId="77777777" w:rsidR="00833351" w:rsidRDefault="00833351" w:rsidP="00833351">
      <w:pPr>
        <w:keepNext/>
        <w:rPr>
          <w:b/>
          <w:i/>
        </w:rPr>
      </w:pPr>
      <w:r>
        <w:rPr>
          <w:b/>
          <w:i/>
        </w:rPr>
        <w:t>Human rights implications</w:t>
      </w:r>
    </w:p>
    <w:p w14:paraId="6BD0C9F6" w14:textId="77777777" w:rsidR="00833351" w:rsidRDefault="00833351" w:rsidP="00833351">
      <w:r>
        <w:t>The ACMA has assessed whether the Amendment Instrument is compatible with human rights, being the rights and freedoms recognised or declared by the international instruments listed in subsection 3(1) of the</w:t>
      </w:r>
      <w:r>
        <w:rPr>
          <w:i/>
        </w:rPr>
        <w:t xml:space="preserve"> Human Rights (Parliamentary Scrutiny) Act 2011 </w:t>
      </w:r>
      <w:r>
        <w:t xml:space="preserve">as they apply to Australia. </w:t>
      </w:r>
    </w:p>
    <w:p w14:paraId="43E0D515" w14:textId="2298EE52" w:rsidR="00833351" w:rsidRDefault="00833351" w:rsidP="00833351">
      <w:r>
        <w:t xml:space="preserve">Having considered the likely impact of the </w:t>
      </w:r>
      <w:r w:rsidR="00F6134E">
        <w:t>Amendment I</w:t>
      </w:r>
      <w:r>
        <w:t xml:space="preserve">nstrument and the nature of the applicable rights and freedoms, </w:t>
      </w:r>
      <w:bookmarkStart w:id="1" w:name="_Hlk71620711"/>
      <w:r>
        <w:t xml:space="preserve">the ACMA has formed the view that the Amendment Instrument does not engage any of those rights or freedoms.  </w:t>
      </w:r>
      <w:bookmarkEnd w:id="1"/>
    </w:p>
    <w:p w14:paraId="235B6411" w14:textId="77777777" w:rsidR="00833351" w:rsidRDefault="00833351" w:rsidP="00833351">
      <w:pPr>
        <w:rPr>
          <w:b/>
          <w:i/>
        </w:rPr>
      </w:pPr>
      <w:r>
        <w:rPr>
          <w:b/>
          <w:i/>
        </w:rPr>
        <w:t>Conclusion</w:t>
      </w:r>
    </w:p>
    <w:p w14:paraId="041AA710" w14:textId="77777777" w:rsidR="00833351" w:rsidRDefault="00833351" w:rsidP="00833351">
      <w:r>
        <w:t>The Amendment Instrument is compatible with human rights as it does not raise any human rights issues.</w:t>
      </w:r>
    </w:p>
    <w:p w14:paraId="529383EE" w14:textId="6C43E7F1" w:rsidR="004C58B9" w:rsidRDefault="004C58B9" w:rsidP="00AD1E05"/>
    <w:p w14:paraId="58C0DDA3" w14:textId="3E86EB6E" w:rsidR="00034C68" w:rsidRPr="00584227" w:rsidRDefault="00034C68" w:rsidP="00AD1E05"/>
    <w:p w14:paraId="4D2D1508" w14:textId="77777777" w:rsidR="005F148C" w:rsidRDefault="005F148C" w:rsidP="005F148C">
      <w:pPr>
        <w:jc w:val="right"/>
        <w:rPr>
          <w:b/>
          <w:sz w:val="28"/>
          <w:szCs w:val="28"/>
        </w:rPr>
      </w:pPr>
      <w:r>
        <w:rPr>
          <w:b/>
          <w:sz w:val="28"/>
          <w:szCs w:val="28"/>
        </w:rPr>
        <w:t>Attachment A</w:t>
      </w:r>
    </w:p>
    <w:p w14:paraId="558CB2D7" w14:textId="5FFB90EF" w:rsidR="005F148C" w:rsidRDefault="005F148C" w:rsidP="005F148C">
      <w:pPr>
        <w:jc w:val="center"/>
        <w:rPr>
          <w:b/>
          <w:sz w:val="28"/>
          <w:szCs w:val="28"/>
        </w:rPr>
      </w:pPr>
      <w:r>
        <w:rPr>
          <w:b/>
          <w:sz w:val="28"/>
          <w:szCs w:val="28"/>
        </w:rPr>
        <w:t xml:space="preserve">Notes to the </w:t>
      </w:r>
      <w:r>
        <w:rPr>
          <w:b/>
          <w:i/>
          <w:sz w:val="28"/>
          <w:szCs w:val="28"/>
        </w:rPr>
        <w:t>Radiocommunications (Interpretation) Amendment Determination 202</w:t>
      </w:r>
      <w:r w:rsidR="00647169">
        <w:rPr>
          <w:b/>
          <w:i/>
          <w:sz w:val="28"/>
          <w:szCs w:val="28"/>
        </w:rPr>
        <w:t>4</w:t>
      </w:r>
      <w:r>
        <w:rPr>
          <w:b/>
          <w:i/>
          <w:sz w:val="28"/>
          <w:szCs w:val="28"/>
        </w:rPr>
        <w:t xml:space="preserve"> (No. 1)</w:t>
      </w:r>
    </w:p>
    <w:p w14:paraId="11B5C144" w14:textId="77777777" w:rsidR="005F148C" w:rsidRDefault="005F148C" w:rsidP="005F148C">
      <w:pPr>
        <w:rPr>
          <w:b/>
        </w:rPr>
      </w:pPr>
      <w:r>
        <w:rPr>
          <w:b/>
        </w:rPr>
        <w:t>Section 1</w:t>
      </w:r>
      <w:r>
        <w:rPr>
          <w:b/>
        </w:rPr>
        <w:tab/>
        <w:t>Name</w:t>
      </w:r>
    </w:p>
    <w:p w14:paraId="04C41B68" w14:textId="50F41629" w:rsidR="005F148C" w:rsidRDefault="005F148C" w:rsidP="005F148C">
      <w:pPr>
        <w:rPr>
          <w:iCs/>
        </w:rPr>
      </w:pPr>
      <w:r>
        <w:t xml:space="preserve">This section provides for the instrument to be cited as the </w:t>
      </w:r>
      <w:r>
        <w:rPr>
          <w:i/>
        </w:rPr>
        <w:t>Radiocommunications (Interpretation) Amendment Determination 202</w:t>
      </w:r>
      <w:r w:rsidR="00647169">
        <w:rPr>
          <w:i/>
        </w:rPr>
        <w:t>4</w:t>
      </w:r>
      <w:r>
        <w:rPr>
          <w:i/>
        </w:rPr>
        <w:t xml:space="preserve"> (No. 1)</w:t>
      </w:r>
      <w:r w:rsidRPr="000856CE">
        <w:rPr>
          <w:iCs/>
        </w:rPr>
        <w:t xml:space="preserve">. </w:t>
      </w:r>
    </w:p>
    <w:p w14:paraId="725C261E" w14:textId="77777777" w:rsidR="005F148C" w:rsidRDefault="005F148C" w:rsidP="005F148C">
      <w:pPr>
        <w:rPr>
          <w:b/>
        </w:rPr>
      </w:pPr>
      <w:r>
        <w:rPr>
          <w:b/>
        </w:rPr>
        <w:t>Section 2</w:t>
      </w:r>
      <w:r>
        <w:rPr>
          <w:b/>
        </w:rPr>
        <w:tab/>
        <w:t>Commencement</w:t>
      </w:r>
    </w:p>
    <w:p w14:paraId="542F35B9" w14:textId="3F030DF8" w:rsidR="005F148C" w:rsidRDefault="005F148C" w:rsidP="005F148C">
      <w:r>
        <w:t xml:space="preserve">This section provides for the instrument to commence at the start of the day after the day the instrument is registered on the Federal Register of Legislation.  </w:t>
      </w:r>
    </w:p>
    <w:p w14:paraId="322CD88B" w14:textId="77777777" w:rsidR="005F148C" w:rsidRDefault="005F148C" w:rsidP="005F148C">
      <w:r>
        <w:t xml:space="preserve">The Federal Register of Legislation may be accessed free of charge at </w:t>
      </w:r>
      <w:hyperlink r:id="rId13" w:history="1">
        <w:r>
          <w:rPr>
            <w:rStyle w:val="Hyperlink"/>
          </w:rPr>
          <w:t>www.legislation.gov.au</w:t>
        </w:r>
      </w:hyperlink>
      <w:r>
        <w:t>.</w:t>
      </w:r>
    </w:p>
    <w:p w14:paraId="7D7C1A45" w14:textId="77777777" w:rsidR="005F148C" w:rsidRDefault="005F148C" w:rsidP="005F148C">
      <w:pPr>
        <w:rPr>
          <w:b/>
        </w:rPr>
      </w:pPr>
      <w:r>
        <w:rPr>
          <w:b/>
        </w:rPr>
        <w:t>Section 3</w:t>
      </w:r>
      <w:r>
        <w:rPr>
          <w:b/>
        </w:rPr>
        <w:tab/>
        <w:t>Authority</w:t>
      </w:r>
    </w:p>
    <w:p w14:paraId="1D08B7BD" w14:textId="77777777" w:rsidR="005F148C" w:rsidRDefault="005F148C" w:rsidP="005F148C">
      <w:r>
        <w:t xml:space="preserve">This section identifies the provision of the Act that authorises the making of the instrument, namely subsection 64(1) of the </w:t>
      </w:r>
      <w:r>
        <w:rPr>
          <w:i/>
          <w:iCs/>
        </w:rPr>
        <w:t>Australian Communications and Media Authority Act 2005</w:t>
      </w:r>
      <w:r w:rsidRPr="000856CE">
        <w:t xml:space="preserve">. </w:t>
      </w:r>
    </w:p>
    <w:p w14:paraId="727D8C13" w14:textId="77777777" w:rsidR="005F148C" w:rsidRDefault="005F148C" w:rsidP="005F148C">
      <w:pPr>
        <w:rPr>
          <w:b/>
        </w:rPr>
      </w:pPr>
      <w:r>
        <w:rPr>
          <w:b/>
        </w:rPr>
        <w:t>Section 4</w:t>
      </w:r>
      <w:r>
        <w:rPr>
          <w:b/>
        </w:rPr>
        <w:tab/>
        <w:t>Amendments</w:t>
      </w:r>
    </w:p>
    <w:p w14:paraId="55739A81" w14:textId="77777777" w:rsidR="005F148C" w:rsidRDefault="005F148C" w:rsidP="005F148C">
      <w:r>
        <w:t>This section gives effect to the amendments set out in Schedule 1.</w:t>
      </w:r>
    </w:p>
    <w:p w14:paraId="4EFB2C64" w14:textId="37322F05" w:rsidR="005F148C" w:rsidRDefault="005F148C" w:rsidP="005F148C">
      <w:pPr>
        <w:rPr>
          <w:b/>
        </w:rPr>
      </w:pPr>
      <w:r>
        <w:rPr>
          <w:b/>
        </w:rPr>
        <w:t>Schedule 1</w:t>
      </w:r>
      <w:r w:rsidR="00C328D9">
        <w:rPr>
          <w:b/>
        </w:rPr>
        <w:t xml:space="preserve"> – Amendments </w:t>
      </w:r>
    </w:p>
    <w:p w14:paraId="14E2D6E4" w14:textId="77777777" w:rsidR="005F148C" w:rsidRDefault="005F148C" w:rsidP="005F148C">
      <w:pPr>
        <w:rPr>
          <w:b/>
        </w:rPr>
      </w:pPr>
      <w:r>
        <w:rPr>
          <w:b/>
        </w:rPr>
        <w:t>Item 1</w:t>
      </w:r>
    </w:p>
    <w:p w14:paraId="5D5AA525" w14:textId="29361994" w:rsidR="005F148C" w:rsidRDefault="005F148C" w:rsidP="005F148C">
      <w:r w:rsidRPr="00EE2DAC">
        <w:t xml:space="preserve">Item 1 </w:t>
      </w:r>
      <w:r w:rsidR="00EE2DAC" w:rsidRPr="007E6A55">
        <w:t xml:space="preserve">repeals the definition of </w:t>
      </w:r>
      <w:r w:rsidR="00EE2DAC" w:rsidRPr="00114E75">
        <w:rPr>
          <w:b/>
          <w:bCs w:val="0"/>
          <w:i/>
          <w:iCs/>
        </w:rPr>
        <w:t>area-wide-service</w:t>
      </w:r>
      <w:r w:rsidR="00EE2DAC" w:rsidRPr="007E6A55">
        <w:rPr>
          <w:i/>
          <w:iCs/>
        </w:rPr>
        <w:t xml:space="preserve"> </w:t>
      </w:r>
      <w:r w:rsidR="00EE2DAC" w:rsidRPr="007E6A55">
        <w:t>in Schedule 1 and substitutes a new definition.</w:t>
      </w:r>
      <w:r w:rsidRPr="00EE2DAC">
        <w:t xml:space="preserve"> </w:t>
      </w:r>
      <w:r w:rsidR="00C328D9">
        <w:t>The definition</w:t>
      </w:r>
      <w:r w:rsidR="00EE2DAC">
        <w:t xml:space="preserve"> now allows </w:t>
      </w:r>
      <w:r w:rsidR="00EE2DAC" w:rsidRPr="00791146">
        <w:t xml:space="preserve">an </w:t>
      </w:r>
      <w:r w:rsidR="00EE2DAC" w:rsidRPr="007E6A55">
        <w:t xml:space="preserve">area-wide service </w:t>
      </w:r>
      <w:r w:rsidR="00647169">
        <w:t xml:space="preserve">to include </w:t>
      </w:r>
      <w:r w:rsidR="00C328D9">
        <w:t xml:space="preserve">the reception of radio emissions </w:t>
      </w:r>
      <w:r w:rsidR="00647169">
        <w:t xml:space="preserve">from </w:t>
      </w:r>
      <w:r w:rsidR="00C328D9">
        <w:t xml:space="preserve">space </w:t>
      </w:r>
      <w:r w:rsidR="00647169">
        <w:t xml:space="preserve">stations </w:t>
      </w:r>
      <w:r w:rsidR="00EE2DAC">
        <w:t>to earth receive stations.</w:t>
      </w:r>
    </w:p>
    <w:p w14:paraId="2CCD81F2" w14:textId="77777777" w:rsidR="00A917B0" w:rsidRPr="00EE2DAC" w:rsidRDefault="00A917B0" w:rsidP="005F148C">
      <w:pPr>
        <w:rPr>
          <w:bCs w:val="0"/>
        </w:rPr>
      </w:pPr>
    </w:p>
    <w:p w14:paraId="797E5EBF" w14:textId="77777777" w:rsidR="005F148C" w:rsidRPr="00EE2DAC" w:rsidRDefault="005F148C" w:rsidP="005F148C">
      <w:pPr>
        <w:rPr>
          <w:b/>
        </w:rPr>
      </w:pPr>
      <w:r w:rsidRPr="00EE2DAC">
        <w:rPr>
          <w:b/>
        </w:rPr>
        <w:lastRenderedPageBreak/>
        <w:t>Item 2</w:t>
      </w:r>
    </w:p>
    <w:p w14:paraId="5FCE314D" w14:textId="11938ACA" w:rsidR="00974AA0" w:rsidRPr="008C2537" w:rsidRDefault="00EE2DAC" w:rsidP="00114E75">
      <w:r w:rsidRPr="007E6A55">
        <w:t xml:space="preserve">Item 2 repeals the definition of an </w:t>
      </w:r>
      <w:r w:rsidRPr="00114E75">
        <w:rPr>
          <w:b/>
          <w:bCs w:val="0"/>
          <w:i/>
          <w:iCs/>
        </w:rPr>
        <w:t>earth receive licence</w:t>
      </w:r>
      <w:r w:rsidRPr="007E6A55">
        <w:rPr>
          <w:i/>
          <w:iCs/>
        </w:rPr>
        <w:t xml:space="preserve"> </w:t>
      </w:r>
      <w:r w:rsidRPr="007E6A55">
        <w:t>in Schedule 1 and substitutes a new definition</w:t>
      </w:r>
      <w:r w:rsidR="00C328D9">
        <w:t xml:space="preserve"> </w:t>
      </w:r>
      <w:r w:rsidR="00A917B0">
        <w:t xml:space="preserve">so as </w:t>
      </w:r>
      <w:r w:rsidR="00C328D9">
        <w:t>to not include those earth receive stations that operate under an area-wide receive licence. This means an earth receive station could be authorised to operate under either an earth receive licence or a</w:t>
      </w:r>
      <w:r w:rsidR="00A917B0">
        <w:t>n</w:t>
      </w:r>
      <w:r w:rsidR="00C328D9">
        <w:t xml:space="preserve"> area-wide receive licence</w:t>
      </w:r>
      <w:r w:rsidRPr="007E6A55">
        <w:t xml:space="preserve">. </w:t>
      </w:r>
    </w:p>
    <w:sectPr w:rsidR="00974AA0" w:rsidRPr="008C2537" w:rsidSect="00082354">
      <w:headerReference w:type="default" r:id="rId14"/>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F6D12" w14:textId="77777777" w:rsidR="00D929D8" w:rsidRDefault="00D929D8" w:rsidP="00AD1E05">
      <w:r>
        <w:separator/>
      </w:r>
    </w:p>
  </w:endnote>
  <w:endnote w:type="continuationSeparator" w:id="0">
    <w:p w14:paraId="60B75090" w14:textId="77777777" w:rsidR="00D929D8" w:rsidRDefault="00D929D8" w:rsidP="00AD1E05">
      <w:r>
        <w:continuationSeparator/>
      </w:r>
    </w:p>
  </w:endnote>
  <w:endnote w:type="continuationNotice" w:id="1">
    <w:p w14:paraId="0DD17733" w14:textId="77777777" w:rsidR="00D929D8" w:rsidRDefault="00D929D8" w:rsidP="00AD1E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T Std Lt">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noProof/>
      </w:rPr>
    </w:sdtEndPr>
    <w:sdtContent>
      <w:p w14:paraId="1E27C0A2" w14:textId="77777777" w:rsidR="004D2EF3" w:rsidRPr="00AD1E05" w:rsidRDefault="004D2EF3" w:rsidP="00AD1E05">
        <w:pPr>
          <w:pStyle w:val="Footer"/>
        </w:pPr>
      </w:p>
      <w:p w14:paraId="5E016993" w14:textId="477AD3CE" w:rsidR="002F3C0B" w:rsidRPr="00AD3414" w:rsidRDefault="002F3C0B" w:rsidP="002F3C0B">
        <w:pPr>
          <w:pStyle w:val="Footer"/>
          <w:jc w:val="center"/>
        </w:pPr>
        <w:r w:rsidRPr="00AD3414">
          <w:rPr>
            <w:i/>
          </w:rPr>
          <w:t>Explanatory Statement to the</w:t>
        </w:r>
        <w:r>
          <w:rPr>
            <w:i/>
          </w:rPr>
          <w:t xml:space="preserve"> Radiocommunications (Interpretation) Amendment Determination 202</w:t>
        </w:r>
        <w:r w:rsidR="00F63AC4">
          <w:rPr>
            <w:i/>
          </w:rPr>
          <w:t>4</w:t>
        </w:r>
        <w:r>
          <w:rPr>
            <w:i/>
          </w:rPr>
          <w:t xml:space="preserve"> (No. 1)</w:t>
        </w:r>
        <w:r w:rsidRPr="00AD3414">
          <w:t xml:space="preserve"> </w:t>
        </w:r>
      </w:p>
      <w:p w14:paraId="4E36910F" w14:textId="06CF02C2" w:rsidR="004D2EF3" w:rsidRPr="00846872" w:rsidRDefault="004D2EF3" w:rsidP="00584227">
        <w:pPr>
          <w:pStyle w:val="Footer"/>
          <w:jc w:val="right"/>
        </w:pPr>
        <w:r w:rsidRPr="00846872">
          <w:fldChar w:fldCharType="begin"/>
        </w:r>
        <w:r w:rsidRPr="00846872">
          <w:instrText xml:space="preserve"> PAGE   \* MERGEFORMAT </w:instrText>
        </w:r>
        <w:r w:rsidRPr="00846872">
          <w:fldChar w:fldCharType="separate"/>
        </w:r>
        <w:r w:rsidRPr="00846872">
          <w:rPr>
            <w:noProof/>
          </w:rPr>
          <w:t>6</w:t>
        </w:r>
        <w:r w:rsidRPr="00846872">
          <w:rPr>
            <w:noProof/>
          </w:rPr>
          <w:fldChar w:fldCharType="end"/>
        </w:r>
      </w:p>
    </w:sdtContent>
  </w:sdt>
  <w:p w14:paraId="180626A1" w14:textId="72B67B1A" w:rsidR="004D2EF3" w:rsidRPr="00AD3414" w:rsidRDefault="004D2EF3" w:rsidP="00AD1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0E961" w14:textId="77777777" w:rsidR="00D929D8" w:rsidRDefault="00D929D8" w:rsidP="000254BD">
      <w:r>
        <w:separator/>
      </w:r>
    </w:p>
  </w:footnote>
  <w:footnote w:type="continuationSeparator" w:id="0">
    <w:p w14:paraId="48555650" w14:textId="77777777" w:rsidR="00D929D8" w:rsidRDefault="00D929D8" w:rsidP="00AD1E05">
      <w:r>
        <w:continuationSeparator/>
      </w:r>
    </w:p>
  </w:footnote>
  <w:footnote w:type="continuationNotice" w:id="1">
    <w:p w14:paraId="15DCD199" w14:textId="77777777" w:rsidR="00D929D8" w:rsidRDefault="00D929D8" w:rsidP="00AD1E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4CED" w14:textId="77777777" w:rsidR="004D2EF3" w:rsidRDefault="004D2EF3" w:rsidP="00AD1E05">
    <w:pPr>
      <w:pStyle w:val="Header"/>
    </w:pPr>
  </w:p>
  <w:p w14:paraId="1FE48E17" w14:textId="77777777" w:rsidR="004D2EF3" w:rsidRPr="00AD3414" w:rsidRDefault="004D2EF3" w:rsidP="00AD1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BC83468"/>
    <w:lvl w:ilvl="0">
      <w:start w:val="1"/>
      <w:numFmt w:val="bullet"/>
      <w:pStyle w:val="ListBullet"/>
      <w:lvlText w:val="&gt;"/>
      <w:lvlJc w:val="left"/>
      <w:pPr>
        <w:tabs>
          <w:tab w:val="num" w:pos="295"/>
        </w:tabs>
        <w:ind w:left="295" w:hanging="295"/>
      </w:pPr>
      <w:rPr>
        <w:rFonts w:ascii="HelveticaNeueLT Std Lt" w:hAnsi="HelveticaNeueLT Std Lt" w:hint="default"/>
        <w:color w:val="auto"/>
        <w:sz w:val="20"/>
      </w:rPr>
    </w:lvl>
  </w:abstractNum>
  <w:abstractNum w:abstractNumId="1"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B76651"/>
    <w:multiLevelType w:val="hybridMultilevel"/>
    <w:tmpl w:val="0D2CB68C"/>
    <w:lvl w:ilvl="0" w:tplc="44D64128">
      <w:start w:val="1"/>
      <w:numFmt w:val="bullet"/>
      <w:lvlText w:val="˃"/>
      <w:lvlJc w:val="left"/>
      <w:pPr>
        <w:ind w:left="720" w:hanging="360"/>
      </w:pPr>
      <w:rPr>
        <w:rFonts w:ascii="Arial" w:hAnsi="Aria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1B5219"/>
    <w:multiLevelType w:val="hybridMultilevel"/>
    <w:tmpl w:val="BE3C8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F22DBB"/>
    <w:multiLevelType w:val="hybridMultilevel"/>
    <w:tmpl w:val="1D444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8851D0"/>
    <w:multiLevelType w:val="hybridMultilevel"/>
    <w:tmpl w:val="AF0A8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5B4D77"/>
    <w:multiLevelType w:val="hybridMultilevel"/>
    <w:tmpl w:val="403CB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91377B"/>
    <w:multiLevelType w:val="hybridMultilevel"/>
    <w:tmpl w:val="6E123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4A2CD6"/>
    <w:multiLevelType w:val="hybridMultilevel"/>
    <w:tmpl w:val="78DAE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AC71C9"/>
    <w:multiLevelType w:val="hybridMultilevel"/>
    <w:tmpl w:val="3074350C"/>
    <w:lvl w:ilvl="0" w:tplc="59384D3A">
      <w:numFmt w:val="bullet"/>
      <w:lvlText w:val=""/>
      <w:lvlJc w:val="left"/>
      <w:pPr>
        <w:ind w:left="1080" w:hanging="720"/>
      </w:pPr>
      <w:rPr>
        <w:rFonts w:ascii="Wingdings" w:eastAsiaTheme="minorHAnsi"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47608B"/>
    <w:multiLevelType w:val="hybridMultilevel"/>
    <w:tmpl w:val="F0AA6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3C0470"/>
    <w:multiLevelType w:val="hybridMultilevel"/>
    <w:tmpl w:val="B376285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5AD42D51"/>
    <w:multiLevelType w:val="hybridMultilevel"/>
    <w:tmpl w:val="6F5EE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5E6CA1"/>
    <w:multiLevelType w:val="hybridMultilevel"/>
    <w:tmpl w:val="4EE40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686D98"/>
    <w:multiLevelType w:val="hybridMultilevel"/>
    <w:tmpl w:val="840AD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1A940FE"/>
    <w:multiLevelType w:val="hybridMultilevel"/>
    <w:tmpl w:val="1A54890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CD250B1"/>
    <w:multiLevelType w:val="hybridMultilevel"/>
    <w:tmpl w:val="D4C05BB6"/>
    <w:lvl w:ilvl="0" w:tplc="44D64128">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99278185">
    <w:abstractNumId w:val="18"/>
  </w:num>
  <w:num w:numId="2" w16cid:durableId="2051801877">
    <w:abstractNumId w:val="13"/>
  </w:num>
  <w:num w:numId="3" w16cid:durableId="1578981439">
    <w:abstractNumId w:val="2"/>
  </w:num>
  <w:num w:numId="4" w16cid:durableId="656811022">
    <w:abstractNumId w:val="9"/>
  </w:num>
  <w:num w:numId="5" w16cid:durableId="723218609">
    <w:abstractNumId w:val="8"/>
  </w:num>
  <w:num w:numId="6" w16cid:durableId="962537464">
    <w:abstractNumId w:val="1"/>
  </w:num>
  <w:num w:numId="7" w16cid:durableId="114911120">
    <w:abstractNumId w:val="6"/>
  </w:num>
  <w:num w:numId="8" w16cid:durableId="111167220">
    <w:abstractNumId w:val="18"/>
  </w:num>
  <w:num w:numId="9" w16cid:durableId="1705520983">
    <w:abstractNumId w:val="2"/>
  </w:num>
  <w:num w:numId="10" w16cid:durableId="1021853555">
    <w:abstractNumId w:val="6"/>
  </w:num>
  <w:num w:numId="11" w16cid:durableId="157691010">
    <w:abstractNumId w:val="9"/>
  </w:num>
  <w:num w:numId="12" w16cid:durableId="577591829">
    <w:abstractNumId w:val="8"/>
  </w:num>
  <w:num w:numId="13" w16cid:durableId="52319134">
    <w:abstractNumId w:val="18"/>
  </w:num>
  <w:num w:numId="14" w16cid:durableId="281811702">
    <w:abstractNumId w:val="2"/>
  </w:num>
  <w:num w:numId="15" w16cid:durableId="1899170247">
    <w:abstractNumId w:val="6"/>
  </w:num>
  <w:num w:numId="16" w16cid:durableId="1977906059">
    <w:abstractNumId w:val="9"/>
  </w:num>
  <w:num w:numId="17" w16cid:durableId="1737971269">
    <w:abstractNumId w:val="8"/>
  </w:num>
  <w:num w:numId="18" w16cid:durableId="952588719">
    <w:abstractNumId w:val="3"/>
  </w:num>
  <w:num w:numId="19" w16cid:durableId="1570653113">
    <w:abstractNumId w:val="11"/>
  </w:num>
  <w:num w:numId="20" w16cid:durableId="1566647616">
    <w:abstractNumId w:val="22"/>
  </w:num>
  <w:num w:numId="21" w16cid:durableId="1491679187">
    <w:abstractNumId w:val="14"/>
  </w:num>
  <w:num w:numId="22" w16cid:durableId="167867730">
    <w:abstractNumId w:val="19"/>
  </w:num>
  <w:num w:numId="23" w16cid:durableId="1896814024">
    <w:abstractNumId w:val="7"/>
  </w:num>
  <w:num w:numId="24" w16cid:durableId="671642535">
    <w:abstractNumId w:val="5"/>
  </w:num>
  <w:num w:numId="25" w16cid:durableId="2049839402">
    <w:abstractNumId w:val="0"/>
  </w:num>
  <w:num w:numId="26" w16cid:durableId="1594125255">
    <w:abstractNumId w:val="16"/>
  </w:num>
  <w:num w:numId="27" w16cid:durableId="1323390416">
    <w:abstractNumId w:val="12"/>
  </w:num>
  <w:num w:numId="28" w16cid:durableId="1527401917">
    <w:abstractNumId w:val="4"/>
  </w:num>
  <w:num w:numId="29" w16cid:durableId="1602957283">
    <w:abstractNumId w:val="21"/>
  </w:num>
  <w:num w:numId="30" w16cid:durableId="1826701128">
    <w:abstractNumId w:val="15"/>
  </w:num>
  <w:num w:numId="31" w16cid:durableId="1485046859">
    <w:abstractNumId w:val="17"/>
  </w:num>
  <w:num w:numId="32" w16cid:durableId="510993814">
    <w:abstractNumId w:val="20"/>
  </w:num>
  <w:num w:numId="33" w16cid:durableId="6920014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2640"/>
    <w:rsid w:val="000026CA"/>
    <w:rsid w:val="00003720"/>
    <w:rsid w:val="00010B32"/>
    <w:rsid w:val="00012192"/>
    <w:rsid w:val="000124F9"/>
    <w:rsid w:val="00013079"/>
    <w:rsid w:val="0002421F"/>
    <w:rsid w:val="000254BD"/>
    <w:rsid w:val="00025ACE"/>
    <w:rsid w:val="000314AA"/>
    <w:rsid w:val="0003281C"/>
    <w:rsid w:val="00034C68"/>
    <w:rsid w:val="00037F0E"/>
    <w:rsid w:val="00043980"/>
    <w:rsid w:val="00046A68"/>
    <w:rsid w:val="00046CF0"/>
    <w:rsid w:val="00047956"/>
    <w:rsid w:val="00050DD0"/>
    <w:rsid w:val="00054541"/>
    <w:rsid w:val="00054DC0"/>
    <w:rsid w:val="00057ED9"/>
    <w:rsid w:val="000618C1"/>
    <w:rsid w:val="00062CB3"/>
    <w:rsid w:val="00067290"/>
    <w:rsid w:val="00070D91"/>
    <w:rsid w:val="000726C7"/>
    <w:rsid w:val="00074A8D"/>
    <w:rsid w:val="000820DC"/>
    <w:rsid w:val="00082354"/>
    <w:rsid w:val="00085BCC"/>
    <w:rsid w:val="00090F80"/>
    <w:rsid w:val="000916D7"/>
    <w:rsid w:val="0009372B"/>
    <w:rsid w:val="00095AB3"/>
    <w:rsid w:val="000A3A94"/>
    <w:rsid w:val="000A6E19"/>
    <w:rsid w:val="000B09FC"/>
    <w:rsid w:val="000B0BA7"/>
    <w:rsid w:val="000B0FE0"/>
    <w:rsid w:val="000B33B6"/>
    <w:rsid w:val="000B342D"/>
    <w:rsid w:val="000B4B6C"/>
    <w:rsid w:val="000B51A6"/>
    <w:rsid w:val="000B652C"/>
    <w:rsid w:val="000C042F"/>
    <w:rsid w:val="000C6436"/>
    <w:rsid w:val="000C74C0"/>
    <w:rsid w:val="000D24B8"/>
    <w:rsid w:val="000D2F44"/>
    <w:rsid w:val="000D4ECE"/>
    <w:rsid w:val="000E1037"/>
    <w:rsid w:val="000E1CC0"/>
    <w:rsid w:val="000E38C9"/>
    <w:rsid w:val="000E4077"/>
    <w:rsid w:val="000E43EF"/>
    <w:rsid w:val="000E6F58"/>
    <w:rsid w:val="000F1097"/>
    <w:rsid w:val="000F1196"/>
    <w:rsid w:val="000F1DFD"/>
    <w:rsid w:val="000F6255"/>
    <w:rsid w:val="000F7B3D"/>
    <w:rsid w:val="000F7C8B"/>
    <w:rsid w:val="000F7CB0"/>
    <w:rsid w:val="00100D07"/>
    <w:rsid w:val="00104130"/>
    <w:rsid w:val="00104CBB"/>
    <w:rsid w:val="00105B54"/>
    <w:rsid w:val="00106242"/>
    <w:rsid w:val="00112987"/>
    <w:rsid w:val="00114830"/>
    <w:rsid w:val="00114E75"/>
    <w:rsid w:val="00116C9A"/>
    <w:rsid w:val="00117351"/>
    <w:rsid w:val="001207BF"/>
    <w:rsid w:val="001219AD"/>
    <w:rsid w:val="00121B9E"/>
    <w:rsid w:val="00122072"/>
    <w:rsid w:val="001228FB"/>
    <w:rsid w:val="00123144"/>
    <w:rsid w:val="00123892"/>
    <w:rsid w:val="00126455"/>
    <w:rsid w:val="001278B7"/>
    <w:rsid w:val="00134705"/>
    <w:rsid w:val="00135B39"/>
    <w:rsid w:val="00137153"/>
    <w:rsid w:val="001374D2"/>
    <w:rsid w:val="00146A0C"/>
    <w:rsid w:val="00147D0C"/>
    <w:rsid w:val="0015136F"/>
    <w:rsid w:val="00152239"/>
    <w:rsid w:val="0015779E"/>
    <w:rsid w:val="00161C73"/>
    <w:rsid w:val="001643C0"/>
    <w:rsid w:val="00165D22"/>
    <w:rsid w:val="001822C5"/>
    <w:rsid w:val="00185BDC"/>
    <w:rsid w:val="00191962"/>
    <w:rsid w:val="00191DD4"/>
    <w:rsid w:val="00192802"/>
    <w:rsid w:val="00193A4F"/>
    <w:rsid w:val="00195977"/>
    <w:rsid w:val="00196183"/>
    <w:rsid w:val="001B34D7"/>
    <w:rsid w:val="001B6446"/>
    <w:rsid w:val="001C0CA7"/>
    <w:rsid w:val="001C0E9A"/>
    <w:rsid w:val="001C17C8"/>
    <w:rsid w:val="001C4BF8"/>
    <w:rsid w:val="001C4C52"/>
    <w:rsid w:val="001C5421"/>
    <w:rsid w:val="001C5E6C"/>
    <w:rsid w:val="001C7BD4"/>
    <w:rsid w:val="001D08B2"/>
    <w:rsid w:val="001D58AC"/>
    <w:rsid w:val="001D5C25"/>
    <w:rsid w:val="001E0185"/>
    <w:rsid w:val="001E216E"/>
    <w:rsid w:val="001E343E"/>
    <w:rsid w:val="001F0D66"/>
    <w:rsid w:val="00205B3A"/>
    <w:rsid w:val="00212847"/>
    <w:rsid w:val="00227E00"/>
    <w:rsid w:val="00233EEA"/>
    <w:rsid w:val="00234892"/>
    <w:rsid w:val="0024224B"/>
    <w:rsid w:val="00247AF0"/>
    <w:rsid w:val="002508F7"/>
    <w:rsid w:val="00250EEA"/>
    <w:rsid w:val="002537B7"/>
    <w:rsid w:val="00256D9C"/>
    <w:rsid w:val="00257B8E"/>
    <w:rsid w:val="00262ABA"/>
    <w:rsid w:val="00264DB4"/>
    <w:rsid w:val="002674E7"/>
    <w:rsid w:val="002738B0"/>
    <w:rsid w:val="002766B6"/>
    <w:rsid w:val="00276D81"/>
    <w:rsid w:val="0029114B"/>
    <w:rsid w:val="00291E71"/>
    <w:rsid w:val="0029208A"/>
    <w:rsid w:val="00292B5C"/>
    <w:rsid w:val="002A17A9"/>
    <w:rsid w:val="002A2F18"/>
    <w:rsid w:val="002A6967"/>
    <w:rsid w:val="002B0C39"/>
    <w:rsid w:val="002B15FA"/>
    <w:rsid w:val="002B6699"/>
    <w:rsid w:val="002C2256"/>
    <w:rsid w:val="002C4833"/>
    <w:rsid w:val="002C48E4"/>
    <w:rsid w:val="002C58A4"/>
    <w:rsid w:val="002D0B7E"/>
    <w:rsid w:val="002D0DDE"/>
    <w:rsid w:val="002E3B2A"/>
    <w:rsid w:val="002F36E0"/>
    <w:rsid w:val="002F3C0B"/>
    <w:rsid w:val="002F4983"/>
    <w:rsid w:val="002F76C9"/>
    <w:rsid w:val="002F7F55"/>
    <w:rsid w:val="0030720D"/>
    <w:rsid w:val="00311AC4"/>
    <w:rsid w:val="00317013"/>
    <w:rsid w:val="003224DC"/>
    <w:rsid w:val="00326612"/>
    <w:rsid w:val="00326887"/>
    <w:rsid w:val="00332A67"/>
    <w:rsid w:val="00337C5A"/>
    <w:rsid w:val="003434D4"/>
    <w:rsid w:val="003550DB"/>
    <w:rsid w:val="00362AE9"/>
    <w:rsid w:val="0036752E"/>
    <w:rsid w:val="00367F8F"/>
    <w:rsid w:val="00370620"/>
    <w:rsid w:val="00372B29"/>
    <w:rsid w:val="00373C14"/>
    <w:rsid w:val="00375FA7"/>
    <w:rsid w:val="00383342"/>
    <w:rsid w:val="003845FA"/>
    <w:rsid w:val="00385EF1"/>
    <w:rsid w:val="003903F1"/>
    <w:rsid w:val="00396EBB"/>
    <w:rsid w:val="003A1751"/>
    <w:rsid w:val="003A3635"/>
    <w:rsid w:val="003A377B"/>
    <w:rsid w:val="003A3C9A"/>
    <w:rsid w:val="003A4148"/>
    <w:rsid w:val="003A50F3"/>
    <w:rsid w:val="003A6398"/>
    <w:rsid w:val="003A7407"/>
    <w:rsid w:val="003A79B2"/>
    <w:rsid w:val="003B1E26"/>
    <w:rsid w:val="003B3D92"/>
    <w:rsid w:val="003B4784"/>
    <w:rsid w:val="003B4C0A"/>
    <w:rsid w:val="003B6808"/>
    <w:rsid w:val="003C29A4"/>
    <w:rsid w:val="003C2F82"/>
    <w:rsid w:val="003C44B4"/>
    <w:rsid w:val="003C5E96"/>
    <w:rsid w:val="003D07A0"/>
    <w:rsid w:val="003D10C1"/>
    <w:rsid w:val="003D3609"/>
    <w:rsid w:val="003D3831"/>
    <w:rsid w:val="003D4A88"/>
    <w:rsid w:val="003D4E64"/>
    <w:rsid w:val="003D6093"/>
    <w:rsid w:val="003D74BE"/>
    <w:rsid w:val="003E1779"/>
    <w:rsid w:val="003E5DDA"/>
    <w:rsid w:val="003F2C85"/>
    <w:rsid w:val="003F3392"/>
    <w:rsid w:val="003F71C1"/>
    <w:rsid w:val="00401ADB"/>
    <w:rsid w:val="0041003E"/>
    <w:rsid w:val="00414C40"/>
    <w:rsid w:val="004228D1"/>
    <w:rsid w:val="00426980"/>
    <w:rsid w:val="004344E9"/>
    <w:rsid w:val="00434B9E"/>
    <w:rsid w:val="004362E3"/>
    <w:rsid w:val="00436D24"/>
    <w:rsid w:val="004438A6"/>
    <w:rsid w:val="004469CF"/>
    <w:rsid w:val="00446CB7"/>
    <w:rsid w:val="004502A3"/>
    <w:rsid w:val="00450F48"/>
    <w:rsid w:val="00452C6A"/>
    <w:rsid w:val="0045489F"/>
    <w:rsid w:val="00456864"/>
    <w:rsid w:val="00456CC4"/>
    <w:rsid w:val="00457421"/>
    <w:rsid w:val="004661DA"/>
    <w:rsid w:val="00471D59"/>
    <w:rsid w:val="00474889"/>
    <w:rsid w:val="0047627E"/>
    <w:rsid w:val="004826DD"/>
    <w:rsid w:val="00482B9A"/>
    <w:rsid w:val="00485B8A"/>
    <w:rsid w:val="004971D6"/>
    <w:rsid w:val="004A0836"/>
    <w:rsid w:val="004A1064"/>
    <w:rsid w:val="004A2C85"/>
    <w:rsid w:val="004A2D06"/>
    <w:rsid w:val="004A677D"/>
    <w:rsid w:val="004B0556"/>
    <w:rsid w:val="004B478F"/>
    <w:rsid w:val="004B66F0"/>
    <w:rsid w:val="004C4C9A"/>
    <w:rsid w:val="004C58B9"/>
    <w:rsid w:val="004D2843"/>
    <w:rsid w:val="004D2EF3"/>
    <w:rsid w:val="004D77C6"/>
    <w:rsid w:val="004E6ABD"/>
    <w:rsid w:val="004E7145"/>
    <w:rsid w:val="004E790E"/>
    <w:rsid w:val="004F0A32"/>
    <w:rsid w:val="004F7275"/>
    <w:rsid w:val="005036FD"/>
    <w:rsid w:val="0050389F"/>
    <w:rsid w:val="005122F2"/>
    <w:rsid w:val="0051323B"/>
    <w:rsid w:val="0051645A"/>
    <w:rsid w:val="00525B94"/>
    <w:rsid w:val="0052687A"/>
    <w:rsid w:val="00532912"/>
    <w:rsid w:val="00535B18"/>
    <w:rsid w:val="005408ED"/>
    <w:rsid w:val="00544090"/>
    <w:rsid w:val="005450C8"/>
    <w:rsid w:val="005470ED"/>
    <w:rsid w:val="00554217"/>
    <w:rsid w:val="00557665"/>
    <w:rsid w:val="00570974"/>
    <w:rsid w:val="00573EFC"/>
    <w:rsid w:val="005745BB"/>
    <w:rsid w:val="005827EA"/>
    <w:rsid w:val="00583FC2"/>
    <w:rsid w:val="00584227"/>
    <w:rsid w:val="005857DB"/>
    <w:rsid w:val="00594D04"/>
    <w:rsid w:val="005958D6"/>
    <w:rsid w:val="005964CF"/>
    <w:rsid w:val="005A0BED"/>
    <w:rsid w:val="005A1CCA"/>
    <w:rsid w:val="005A3DB3"/>
    <w:rsid w:val="005B4EED"/>
    <w:rsid w:val="005B5537"/>
    <w:rsid w:val="005B5914"/>
    <w:rsid w:val="005B763D"/>
    <w:rsid w:val="005C0AF9"/>
    <w:rsid w:val="005C2DAA"/>
    <w:rsid w:val="005C4826"/>
    <w:rsid w:val="005C65EB"/>
    <w:rsid w:val="005C7653"/>
    <w:rsid w:val="005D0C3E"/>
    <w:rsid w:val="005D14DD"/>
    <w:rsid w:val="005D4536"/>
    <w:rsid w:val="005D77D6"/>
    <w:rsid w:val="005F148C"/>
    <w:rsid w:val="005F5756"/>
    <w:rsid w:val="005F5BE6"/>
    <w:rsid w:val="00600CE1"/>
    <w:rsid w:val="00601347"/>
    <w:rsid w:val="00603352"/>
    <w:rsid w:val="00603B3F"/>
    <w:rsid w:val="0061058B"/>
    <w:rsid w:val="00610AE6"/>
    <w:rsid w:val="00610F56"/>
    <w:rsid w:val="0061139E"/>
    <w:rsid w:val="0061152D"/>
    <w:rsid w:val="00612B02"/>
    <w:rsid w:val="00613A45"/>
    <w:rsid w:val="00613EE2"/>
    <w:rsid w:val="00614D12"/>
    <w:rsid w:val="00620847"/>
    <w:rsid w:val="00620940"/>
    <w:rsid w:val="006369B5"/>
    <w:rsid w:val="00641906"/>
    <w:rsid w:val="00641D79"/>
    <w:rsid w:val="00647169"/>
    <w:rsid w:val="006474A2"/>
    <w:rsid w:val="006612FB"/>
    <w:rsid w:val="00662699"/>
    <w:rsid w:val="0066372D"/>
    <w:rsid w:val="006639F4"/>
    <w:rsid w:val="00663AF2"/>
    <w:rsid w:val="006643CA"/>
    <w:rsid w:val="00664F9C"/>
    <w:rsid w:val="0066580D"/>
    <w:rsid w:val="00667A26"/>
    <w:rsid w:val="00670716"/>
    <w:rsid w:val="00671216"/>
    <w:rsid w:val="0067739D"/>
    <w:rsid w:val="00681986"/>
    <w:rsid w:val="00685E98"/>
    <w:rsid w:val="00686F06"/>
    <w:rsid w:val="00687290"/>
    <w:rsid w:val="00691B18"/>
    <w:rsid w:val="006940DB"/>
    <w:rsid w:val="00696659"/>
    <w:rsid w:val="00696F01"/>
    <w:rsid w:val="006A0BDF"/>
    <w:rsid w:val="006A2F71"/>
    <w:rsid w:val="006A32A3"/>
    <w:rsid w:val="006A4C2B"/>
    <w:rsid w:val="006A53BB"/>
    <w:rsid w:val="006A6D74"/>
    <w:rsid w:val="006B0585"/>
    <w:rsid w:val="006B6B34"/>
    <w:rsid w:val="006C0E4B"/>
    <w:rsid w:val="006C59D5"/>
    <w:rsid w:val="006C7183"/>
    <w:rsid w:val="006E175C"/>
    <w:rsid w:val="006E192B"/>
    <w:rsid w:val="006E1E3A"/>
    <w:rsid w:val="006E290F"/>
    <w:rsid w:val="006E3FB9"/>
    <w:rsid w:val="006E64DC"/>
    <w:rsid w:val="006E680A"/>
    <w:rsid w:val="006E7EC4"/>
    <w:rsid w:val="006F16AB"/>
    <w:rsid w:val="006F1B0B"/>
    <w:rsid w:val="006F2615"/>
    <w:rsid w:val="006F32BF"/>
    <w:rsid w:val="006F3430"/>
    <w:rsid w:val="006F58AE"/>
    <w:rsid w:val="006F7431"/>
    <w:rsid w:val="00703A6F"/>
    <w:rsid w:val="007044DA"/>
    <w:rsid w:val="00706C74"/>
    <w:rsid w:val="00706F43"/>
    <w:rsid w:val="007125F1"/>
    <w:rsid w:val="00713068"/>
    <w:rsid w:val="007138FD"/>
    <w:rsid w:val="007173CC"/>
    <w:rsid w:val="00717947"/>
    <w:rsid w:val="00722C21"/>
    <w:rsid w:val="0072455C"/>
    <w:rsid w:val="0072613D"/>
    <w:rsid w:val="00733D9B"/>
    <w:rsid w:val="00734433"/>
    <w:rsid w:val="00737DCB"/>
    <w:rsid w:val="00740F82"/>
    <w:rsid w:val="00741A1B"/>
    <w:rsid w:val="007435E5"/>
    <w:rsid w:val="0074661C"/>
    <w:rsid w:val="00750397"/>
    <w:rsid w:val="007532DF"/>
    <w:rsid w:val="00763A5E"/>
    <w:rsid w:val="00766475"/>
    <w:rsid w:val="00772AD5"/>
    <w:rsid w:val="0077364D"/>
    <w:rsid w:val="0078118B"/>
    <w:rsid w:val="00785B58"/>
    <w:rsid w:val="00786DFE"/>
    <w:rsid w:val="007870C1"/>
    <w:rsid w:val="00791146"/>
    <w:rsid w:val="00794C5F"/>
    <w:rsid w:val="007A0103"/>
    <w:rsid w:val="007A0903"/>
    <w:rsid w:val="007A196D"/>
    <w:rsid w:val="007A2277"/>
    <w:rsid w:val="007A4745"/>
    <w:rsid w:val="007A74F0"/>
    <w:rsid w:val="007B21B6"/>
    <w:rsid w:val="007B37EF"/>
    <w:rsid w:val="007B3C38"/>
    <w:rsid w:val="007B78F3"/>
    <w:rsid w:val="007C0721"/>
    <w:rsid w:val="007C22BD"/>
    <w:rsid w:val="007D1247"/>
    <w:rsid w:val="007D1FA3"/>
    <w:rsid w:val="007E199F"/>
    <w:rsid w:val="007E53C6"/>
    <w:rsid w:val="007E6A55"/>
    <w:rsid w:val="007F6C23"/>
    <w:rsid w:val="007F6CEE"/>
    <w:rsid w:val="00805358"/>
    <w:rsid w:val="00806819"/>
    <w:rsid w:val="008070A8"/>
    <w:rsid w:val="00810499"/>
    <w:rsid w:val="0081166D"/>
    <w:rsid w:val="00812030"/>
    <w:rsid w:val="0081203C"/>
    <w:rsid w:val="00814CAD"/>
    <w:rsid w:val="00817918"/>
    <w:rsid w:val="00821F3F"/>
    <w:rsid w:val="00826D70"/>
    <w:rsid w:val="00827F8A"/>
    <w:rsid w:val="00833351"/>
    <w:rsid w:val="00833604"/>
    <w:rsid w:val="0083525B"/>
    <w:rsid w:val="00841D07"/>
    <w:rsid w:val="008431C2"/>
    <w:rsid w:val="008441CF"/>
    <w:rsid w:val="0084470A"/>
    <w:rsid w:val="00844BFD"/>
    <w:rsid w:val="00846872"/>
    <w:rsid w:val="0084781B"/>
    <w:rsid w:val="008510C1"/>
    <w:rsid w:val="00852A3D"/>
    <w:rsid w:val="00852BE5"/>
    <w:rsid w:val="00855E73"/>
    <w:rsid w:val="008564F1"/>
    <w:rsid w:val="00860FB7"/>
    <w:rsid w:val="00863320"/>
    <w:rsid w:val="008649FB"/>
    <w:rsid w:val="00867EFB"/>
    <w:rsid w:val="00870D77"/>
    <w:rsid w:val="008726DE"/>
    <w:rsid w:val="0087707C"/>
    <w:rsid w:val="008806E3"/>
    <w:rsid w:val="0088188B"/>
    <w:rsid w:val="00884461"/>
    <w:rsid w:val="008900A7"/>
    <w:rsid w:val="00890AE1"/>
    <w:rsid w:val="0089700C"/>
    <w:rsid w:val="008A1FDF"/>
    <w:rsid w:val="008B117C"/>
    <w:rsid w:val="008B2CDA"/>
    <w:rsid w:val="008B7BFA"/>
    <w:rsid w:val="008C2537"/>
    <w:rsid w:val="008C4F30"/>
    <w:rsid w:val="008C584E"/>
    <w:rsid w:val="008C60E6"/>
    <w:rsid w:val="008C6747"/>
    <w:rsid w:val="008C792E"/>
    <w:rsid w:val="008D0F5C"/>
    <w:rsid w:val="008D14EB"/>
    <w:rsid w:val="008D1608"/>
    <w:rsid w:val="008E1774"/>
    <w:rsid w:val="008E3483"/>
    <w:rsid w:val="008E395E"/>
    <w:rsid w:val="008F08DB"/>
    <w:rsid w:val="008F47CE"/>
    <w:rsid w:val="008F4C58"/>
    <w:rsid w:val="008F7299"/>
    <w:rsid w:val="008F7DCF"/>
    <w:rsid w:val="00904568"/>
    <w:rsid w:val="0090572C"/>
    <w:rsid w:val="0091080B"/>
    <w:rsid w:val="009135C3"/>
    <w:rsid w:val="00917EE3"/>
    <w:rsid w:val="00920E3A"/>
    <w:rsid w:val="00923855"/>
    <w:rsid w:val="00923F7A"/>
    <w:rsid w:val="00926833"/>
    <w:rsid w:val="0093644C"/>
    <w:rsid w:val="00961C90"/>
    <w:rsid w:val="00962949"/>
    <w:rsid w:val="00964DDD"/>
    <w:rsid w:val="009670B7"/>
    <w:rsid w:val="009723D1"/>
    <w:rsid w:val="009732C1"/>
    <w:rsid w:val="00974AA0"/>
    <w:rsid w:val="00977705"/>
    <w:rsid w:val="0098035D"/>
    <w:rsid w:val="00982AF2"/>
    <w:rsid w:val="00984128"/>
    <w:rsid w:val="009916AA"/>
    <w:rsid w:val="009935B8"/>
    <w:rsid w:val="00993FFC"/>
    <w:rsid w:val="009A1469"/>
    <w:rsid w:val="009A47BB"/>
    <w:rsid w:val="009B27EF"/>
    <w:rsid w:val="009B3961"/>
    <w:rsid w:val="009B3F0C"/>
    <w:rsid w:val="009C58C8"/>
    <w:rsid w:val="009D0E00"/>
    <w:rsid w:val="009D0FCB"/>
    <w:rsid w:val="009D5783"/>
    <w:rsid w:val="009D6798"/>
    <w:rsid w:val="009D67A8"/>
    <w:rsid w:val="009E0235"/>
    <w:rsid w:val="009F7219"/>
    <w:rsid w:val="009F7C9B"/>
    <w:rsid w:val="00A001C2"/>
    <w:rsid w:val="00A05109"/>
    <w:rsid w:val="00A07A2F"/>
    <w:rsid w:val="00A12721"/>
    <w:rsid w:val="00A14854"/>
    <w:rsid w:val="00A17038"/>
    <w:rsid w:val="00A20F7E"/>
    <w:rsid w:val="00A213A8"/>
    <w:rsid w:val="00A21F3E"/>
    <w:rsid w:val="00A21F5C"/>
    <w:rsid w:val="00A22629"/>
    <w:rsid w:val="00A22697"/>
    <w:rsid w:val="00A24897"/>
    <w:rsid w:val="00A251AF"/>
    <w:rsid w:val="00A25517"/>
    <w:rsid w:val="00A300EA"/>
    <w:rsid w:val="00A312B4"/>
    <w:rsid w:val="00A3341D"/>
    <w:rsid w:val="00A35E8B"/>
    <w:rsid w:val="00A361A0"/>
    <w:rsid w:val="00A5184F"/>
    <w:rsid w:val="00A527A6"/>
    <w:rsid w:val="00A531AE"/>
    <w:rsid w:val="00A549D9"/>
    <w:rsid w:val="00A56185"/>
    <w:rsid w:val="00A63896"/>
    <w:rsid w:val="00A64EC4"/>
    <w:rsid w:val="00A7023B"/>
    <w:rsid w:val="00A74C89"/>
    <w:rsid w:val="00A74CD3"/>
    <w:rsid w:val="00A7520A"/>
    <w:rsid w:val="00A75A07"/>
    <w:rsid w:val="00A76EF3"/>
    <w:rsid w:val="00A83255"/>
    <w:rsid w:val="00A83FE1"/>
    <w:rsid w:val="00A865F7"/>
    <w:rsid w:val="00A917B0"/>
    <w:rsid w:val="00A93665"/>
    <w:rsid w:val="00A97CB4"/>
    <w:rsid w:val="00AA00E9"/>
    <w:rsid w:val="00AA16FD"/>
    <w:rsid w:val="00AA22EE"/>
    <w:rsid w:val="00AA2E22"/>
    <w:rsid w:val="00AA6088"/>
    <w:rsid w:val="00AA69FB"/>
    <w:rsid w:val="00AB01E2"/>
    <w:rsid w:val="00AB1849"/>
    <w:rsid w:val="00AB2C03"/>
    <w:rsid w:val="00AB5C0C"/>
    <w:rsid w:val="00AB65E7"/>
    <w:rsid w:val="00AC159B"/>
    <w:rsid w:val="00AC1D1E"/>
    <w:rsid w:val="00AC7F30"/>
    <w:rsid w:val="00AD1E05"/>
    <w:rsid w:val="00AD3414"/>
    <w:rsid w:val="00AD500F"/>
    <w:rsid w:val="00AD5ECC"/>
    <w:rsid w:val="00AD798F"/>
    <w:rsid w:val="00AE049B"/>
    <w:rsid w:val="00AE1370"/>
    <w:rsid w:val="00AE1605"/>
    <w:rsid w:val="00AE2CB4"/>
    <w:rsid w:val="00AE6898"/>
    <w:rsid w:val="00AF0217"/>
    <w:rsid w:val="00AF080D"/>
    <w:rsid w:val="00AF3E60"/>
    <w:rsid w:val="00AF6545"/>
    <w:rsid w:val="00AF7071"/>
    <w:rsid w:val="00AF75E7"/>
    <w:rsid w:val="00B0033B"/>
    <w:rsid w:val="00B00FC3"/>
    <w:rsid w:val="00B023A5"/>
    <w:rsid w:val="00B02BC0"/>
    <w:rsid w:val="00B22686"/>
    <w:rsid w:val="00B266D3"/>
    <w:rsid w:val="00B44024"/>
    <w:rsid w:val="00B52584"/>
    <w:rsid w:val="00B52F5E"/>
    <w:rsid w:val="00B537D9"/>
    <w:rsid w:val="00B55FB4"/>
    <w:rsid w:val="00B56BA9"/>
    <w:rsid w:val="00B62572"/>
    <w:rsid w:val="00B64F55"/>
    <w:rsid w:val="00B66450"/>
    <w:rsid w:val="00B665E6"/>
    <w:rsid w:val="00B727F3"/>
    <w:rsid w:val="00B73F3C"/>
    <w:rsid w:val="00B8186D"/>
    <w:rsid w:val="00B83AFB"/>
    <w:rsid w:val="00B8503A"/>
    <w:rsid w:val="00B9009D"/>
    <w:rsid w:val="00B902AA"/>
    <w:rsid w:val="00B90F17"/>
    <w:rsid w:val="00B919B9"/>
    <w:rsid w:val="00B938DA"/>
    <w:rsid w:val="00B94B30"/>
    <w:rsid w:val="00BA5E4E"/>
    <w:rsid w:val="00BA7D17"/>
    <w:rsid w:val="00BB076E"/>
    <w:rsid w:val="00BB1CF2"/>
    <w:rsid w:val="00BB5F94"/>
    <w:rsid w:val="00BB7A25"/>
    <w:rsid w:val="00BC0A3C"/>
    <w:rsid w:val="00BC0A50"/>
    <w:rsid w:val="00BC5916"/>
    <w:rsid w:val="00BC621F"/>
    <w:rsid w:val="00BD13CD"/>
    <w:rsid w:val="00BD2C15"/>
    <w:rsid w:val="00BD41BD"/>
    <w:rsid w:val="00BE13DB"/>
    <w:rsid w:val="00BE28C3"/>
    <w:rsid w:val="00BE4034"/>
    <w:rsid w:val="00BE7E0E"/>
    <w:rsid w:val="00BF16FF"/>
    <w:rsid w:val="00BF24A9"/>
    <w:rsid w:val="00BF51CD"/>
    <w:rsid w:val="00C02CE8"/>
    <w:rsid w:val="00C032F0"/>
    <w:rsid w:val="00C03503"/>
    <w:rsid w:val="00C1004A"/>
    <w:rsid w:val="00C10E3A"/>
    <w:rsid w:val="00C11257"/>
    <w:rsid w:val="00C12082"/>
    <w:rsid w:val="00C1216F"/>
    <w:rsid w:val="00C14388"/>
    <w:rsid w:val="00C14572"/>
    <w:rsid w:val="00C17531"/>
    <w:rsid w:val="00C17C7E"/>
    <w:rsid w:val="00C2025E"/>
    <w:rsid w:val="00C20621"/>
    <w:rsid w:val="00C21933"/>
    <w:rsid w:val="00C25653"/>
    <w:rsid w:val="00C31318"/>
    <w:rsid w:val="00C31F0E"/>
    <w:rsid w:val="00C328D9"/>
    <w:rsid w:val="00C35428"/>
    <w:rsid w:val="00C41100"/>
    <w:rsid w:val="00C43250"/>
    <w:rsid w:val="00C50176"/>
    <w:rsid w:val="00C50E1E"/>
    <w:rsid w:val="00C519EE"/>
    <w:rsid w:val="00C52681"/>
    <w:rsid w:val="00C55D60"/>
    <w:rsid w:val="00C57E29"/>
    <w:rsid w:val="00C63E8C"/>
    <w:rsid w:val="00C64B0E"/>
    <w:rsid w:val="00C657C6"/>
    <w:rsid w:val="00C659A7"/>
    <w:rsid w:val="00C67C8E"/>
    <w:rsid w:val="00C71118"/>
    <w:rsid w:val="00C7301B"/>
    <w:rsid w:val="00C76FFC"/>
    <w:rsid w:val="00C87784"/>
    <w:rsid w:val="00C9259F"/>
    <w:rsid w:val="00C95A4A"/>
    <w:rsid w:val="00C9639A"/>
    <w:rsid w:val="00CA3398"/>
    <w:rsid w:val="00CA40FA"/>
    <w:rsid w:val="00CA6926"/>
    <w:rsid w:val="00CA735C"/>
    <w:rsid w:val="00CB2F6C"/>
    <w:rsid w:val="00CB3AD5"/>
    <w:rsid w:val="00CB3FD2"/>
    <w:rsid w:val="00CB425E"/>
    <w:rsid w:val="00CC1819"/>
    <w:rsid w:val="00CC1D60"/>
    <w:rsid w:val="00CC702E"/>
    <w:rsid w:val="00CD0D86"/>
    <w:rsid w:val="00CD1DE7"/>
    <w:rsid w:val="00CD28D8"/>
    <w:rsid w:val="00CD4D40"/>
    <w:rsid w:val="00CD5B7B"/>
    <w:rsid w:val="00CD71EB"/>
    <w:rsid w:val="00CE3CC8"/>
    <w:rsid w:val="00CE5861"/>
    <w:rsid w:val="00CE6655"/>
    <w:rsid w:val="00CF6722"/>
    <w:rsid w:val="00D02ABA"/>
    <w:rsid w:val="00D046E4"/>
    <w:rsid w:val="00D052F5"/>
    <w:rsid w:val="00D07B9D"/>
    <w:rsid w:val="00D12990"/>
    <w:rsid w:val="00D13D39"/>
    <w:rsid w:val="00D1414F"/>
    <w:rsid w:val="00D23BD5"/>
    <w:rsid w:val="00D2518B"/>
    <w:rsid w:val="00D32E4E"/>
    <w:rsid w:val="00D35790"/>
    <w:rsid w:val="00D41699"/>
    <w:rsid w:val="00D4671F"/>
    <w:rsid w:val="00D5385A"/>
    <w:rsid w:val="00D57387"/>
    <w:rsid w:val="00D61006"/>
    <w:rsid w:val="00D6131F"/>
    <w:rsid w:val="00D7526F"/>
    <w:rsid w:val="00D90C6C"/>
    <w:rsid w:val="00D90FEC"/>
    <w:rsid w:val="00D929D8"/>
    <w:rsid w:val="00D9309D"/>
    <w:rsid w:val="00DA0D39"/>
    <w:rsid w:val="00DA6145"/>
    <w:rsid w:val="00DA6CD0"/>
    <w:rsid w:val="00DA7C92"/>
    <w:rsid w:val="00DB1564"/>
    <w:rsid w:val="00DB2FCB"/>
    <w:rsid w:val="00DB3351"/>
    <w:rsid w:val="00DB489E"/>
    <w:rsid w:val="00DB4A50"/>
    <w:rsid w:val="00DB5DBB"/>
    <w:rsid w:val="00DC0839"/>
    <w:rsid w:val="00DC53B9"/>
    <w:rsid w:val="00DD6A41"/>
    <w:rsid w:val="00DE264D"/>
    <w:rsid w:val="00DE6F7B"/>
    <w:rsid w:val="00DF2758"/>
    <w:rsid w:val="00DF65F7"/>
    <w:rsid w:val="00E0085D"/>
    <w:rsid w:val="00E13D3E"/>
    <w:rsid w:val="00E14AA4"/>
    <w:rsid w:val="00E14BF5"/>
    <w:rsid w:val="00E16C37"/>
    <w:rsid w:val="00E17F14"/>
    <w:rsid w:val="00E2041C"/>
    <w:rsid w:val="00E25468"/>
    <w:rsid w:val="00E3361B"/>
    <w:rsid w:val="00E34B17"/>
    <w:rsid w:val="00E357B8"/>
    <w:rsid w:val="00E46D19"/>
    <w:rsid w:val="00E47D70"/>
    <w:rsid w:val="00E53FD2"/>
    <w:rsid w:val="00E54411"/>
    <w:rsid w:val="00E57250"/>
    <w:rsid w:val="00E60BC5"/>
    <w:rsid w:val="00E63885"/>
    <w:rsid w:val="00E6468E"/>
    <w:rsid w:val="00E65D58"/>
    <w:rsid w:val="00E733E3"/>
    <w:rsid w:val="00E74D98"/>
    <w:rsid w:val="00E82C02"/>
    <w:rsid w:val="00E833DA"/>
    <w:rsid w:val="00E85637"/>
    <w:rsid w:val="00E86F6F"/>
    <w:rsid w:val="00E90168"/>
    <w:rsid w:val="00EA543A"/>
    <w:rsid w:val="00EA7479"/>
    <w:rsid w:val="00EA7CC9"/>
    <w:rsid w:val="00EB0C79"/>
    <w:rsid w:val="00EB1823"/>
    <w:rsid w:val="00EB4705"/>
    <w:rsid w:val="00EB78FC"/>
    <w:rsid w:val="00EC42BD"/>
    <w:rsid w:val="00EC54C3"/>
    <w:rsid w:val="00EC76A0"/>
    <w:rsid w:val="00ED099D"/>
    <w:rsid w:val="00ED6727"/>
    <w:rsid w:val="00EE141F"/>
    <w:rsid w:val="00EE25C3"/>
    <w:rsid w:val="00EE2DAC"/>
    <w:rsid w:val="00EE34A2"/>
    <w:rsid w:val="00EE5E7F"/>
    <w:rsid w:val="00EE7988"/>
    <w:rsid w:val="00F04B3D"/>
    <w:rsid w:val="00F11A9F"/>
    <w:rsid w:val="00F12DFC"/>
    <w:rsid w:val="00F13222"/>
    <w:rsid w:val="00F1770E"/>
    <w:rsid w:val="00F204DB"/>
    <w:rsid w:val="00F21ACE"/>
    <w:rsid w:val="00F21D99"/>
    <w:rsid w:val="00F32494"/>
    <w:rsid w:val="00F332EE"/>
    <w:rsid w:val="00F33BD8"/>
    <w:rsid w:val="00F34B7E"/>
    <w:rsid w:val="00F3572F"/>
    <w:rsid w:val="00F37497"/>
    <w:rsid w:val="00F406BB"/>
    <w:rsid w:val="00F42481"/>
    <w:rsid w:val="00F4414D"/>
    <w:rsid w:val="00F46E4B"/>
    <w:rsid w:val="00F50F7C"/>
    <w:rsid w:val="00F558DB"/>
    <w:rsid w:val="00F6134E"/>
    <w:rsid w:val="00F6255B"/>
    <w:rsid w:val="00F63AC4"/>
    <w:rsid w:val="00F662E1"/>
    <w:rsid w:val="00F675AA"/>
    <w:rsid w:val="00F76815"/>
    <w:rsid w:val="00F808EE"/>
    <w:rsid w:val="00F83AB0"/>
    <w:rsid w:val="00F93618"/>
    <w:rsid w:val="00F93DEA"/>
    <w:rsid w:val="00F972A5"/>
    <w:rsid w:val="00FB09D3"/>
    <w:rsid w:val="00FB4437"/>
    <w:rsid w:val="00FB5499"/>
    <w:rsid w:val="00FC0BF3"/>
    <w:rsid w:val="00FC40D1"/>
    <w:rsid w:val="00FC67DA"/>
    <w:rsid w:val="00FD01AF"/>
    <w:rsid w:val="00FD07F9"/>
    <w:rsid w:val="00FD2A84"/>
    <w:rsid w:val="00FD50EE"/>
    <w:rsid w:val="00FD6A58"/>
    <w:rsid w:val="00FD73D6"/>
    <w:rsid w:val="00FE3A48"/>
    <w:rsid w:val="00FE443F"/>
    <w:rsid w:val="00FF2BE5"/>
    <w:rsid w:val="00FF385B"/>
    <w:rsid w:val="00FF3C16"/>
    <w:rsid w:val="00FF50FE"/>
    <w:rsid w:val="00FF7282"/>
    <w:rsid w:val="00FF72CE"/>
    <w:rsid w:val="00FF74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8D9"/>
    <w:pPr>
      <w:spacing w:line="256" w:lineRule="auto"/>
    </w:pPr>
    <w:rPr>
      <w:rFonts w:ascii="Times New Roman" w:hAnsi="Times New Roman" w:cs="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val="0"/>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1207BF"/>
    <w:rPr>
      <w:color w:val="605E5C"/>
      <w:shd w:val="clear" w:color="auto" w:fill="E1DFDD"/>
    </w:rPr>
  </w:style>
  <w:style w:type="paragraph" w:styleId="Revision">
    <w:name w:val="Revision"/>
    <w:hidden/>
    <w:uiPriority w:val="99"/>
    <w:semiHidden/>
    <w:rsid w:val="00841D07"/>
    <w:pPr>
      <w:spacing w:after="0" w:line="240" w:lineRule="auto"/>
    </w:pPr>
  </w:style>
  <w:style w:type="paragraph" w:styleId="ListBullet">
    <w:name w:val="List Bullet"/>
    <w:basedOn w:val="Normal"/>
    <w:qFormat/>
    <w:rsid w:val="0009372B"/>
    <w:pPr>
      <w:numPr>
        <w:numId w:val="25"/>
      </w:numPr>
      <w:spacing w:after="80" w:line="240" w:lineRule="atLeast"/>
    </w:pPr>
    <w:rPr>
      <w:rFonts w:ascii="Arial" w:eastAsia="Times New Roman" w:hAnsi="Arial"/>
      <w:sz w:val="20"/>
      <w:szCs w:val="24"/>
      <w:lang w:eastAsia="en-AU"/>
    </w:rPr>
  </w:style>
  <w:style w:type="paragraph" w:customStyle="1" w:styleId="ListBulletLast">
    <w:name w:val="List Bullet Last"/>
    <w:basedOn w:val="ListBullet"/>
    <w:qFormat/>
    <w:rsid w:val="00662699"/>
    <w:pPr>
      <w:spacing w:after="24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cma.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026d8262-4725-4a9c-834e-3f991ab17ffd">(none)</Category>
    <_dlc_DocId xmlns="04b8ec43-391f-4ce4-8841-d6a482add564">UQVA7MFFXVNW-352334864-103</_dlc_DocId>
    <_dlc_DocIdUrl xmlns="04b8ec43-391f-4ce4-8841-d6a482add564">
      <Url>http://collaboration/organisation/auth/Chair/Auth/_layouts/15/DocIdRedir.aspx?ID=UQVA7MFFXVNW-352334864-103</Url>
      <Description>UQVA7MFFXVNW-352334864-103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9D5B8325FEC3A41BCE3391CF68ED059" ma:contentTypeVersion="2" ma:contentTypeDescription="Create a new document." ma:contentTypeScope="" ma:versionID="0b04071b8d509342ec9c4eb43cdd5809">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A20D3-5249-4064-B676-33B74048141D}">
  <ds:schemaRefs>
    <ds:schemaRef ds:uri="http://schemas.microsoft.com/office/2006/metadata/properties"/>
    <ds:schemaRef ds:uri="http://schemas.microsoft.com/office/infopath/2007/PartnerControls"/>
    <ds:schemaRef ds:uri="026d8262-4725-4a9c-834e-3f991ab17ffd"/>
    <ds:schemaRef ds:uri="04b8ec43-391f-4ce4-8841-d6a482add564"/>
  </ds:schemaRefs>
</ds:datastoreItem>
</file>

<file path=customXml/itemProps2.xml><?xml version="1.0" encoding="utf-8"?>
<ds:datastoreItem xmlns:ds="http://schemas.openxmlformats.org/officeDocument/2006/customXml" ds:itemID="{0B6F00AC-C4F3-4727-AAE1-50A1578AEDED}">
  <ds:schemaRefs>
    <ds:schemaRef ds:uri="http://schemas.microsoft.com/sharepoint/events"/>
  </ds:schemaRefs>
</ds:datastoreItem>
</file>

<file path=customXml/itemProps3.xml><?xml version="1.0" encoding="utf-8"?>
<ds:datastoreItem xmlns:ds="http://schemas.openxmlformats.org/officeDocument/2006/customXml" ds:itemID="{5086D54D-3E66-4AF7-B83C-EBEE5F4E5980}">
  <ds:schemaRefs>
    <ds:schemaRef ds:uri="http://schemas.openxmlformats.org/officeDocument/2006/bibliography"/>
  </ds:schemaRefs>
</ds:datastoreItem>
</file>

<file path=customXml/itemProps4.xml><?xml version="1.0" encoding="utf-8"?>
<ds:datastoreItem xmlns:ds="http://schemas.openxmlformats.org/officeDocument/2006/customXml" ds:itemID="{A6EFC58E-95D0-4179-A86B-C2FFE3666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88E647-FB6C-49D4-8E75-03B5196F5A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1265</Words>
  <Characters>7216</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Dieter Dambiec</cp:lastModifiedBy>
  <cp:revision>2</cp:revision>
  <cp:lastPrinted>2022-06-30T01:09:00Z</cp:lastPrinted>
  <dcterms:created xsi:type="dcterms:W3CDTF">2024-02-08T00:11:00Z</dcterms:created>
  <dcterms:modified xsi:type="dcterms:W3CDTF">2024-02-08T00:11:00Z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0x01010089D5B8325FEC3A41BCE3391CF68ED059</vt:lpwstr>
  </property>
  <property fmtid="{D5CDD505-2E9C-101B-9397-08002B2CF9AE}" pid="3" name="_dlc_DocIdItemGuid">
    <vt:lpwstr>f7a5824e-997c-4ab6-afa2-a297ba6ad0cd</vt:lpwstr>
  </property>
  <property fmtid="{D5CDD505-2E9C-101B-9397-08002B2CF9AE}" pid="4" name="TitusGUID">
    <vt:lpwstr>319c3d86-aa53-4217-a608-c379ec63e138</vt:lpwstr>
  </property>
  <property fmtid="{D5CDD505-2E9C-101B-9397-08002B2CF9AE}" pid="5" name="MediaServiceImageTags">
    <vt:lpwstr/>
  </property>
</Properties>
</file>