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F4B3" w14:textId="03B93DAF"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767A5489" w14:textId="62FD8359"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6093D45BFEAF4BD6A06A9CF6355D86D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B7FBF">
            <w:rPr>
              <w:rStyle w:val="DefaultChar"/>
            </w:rPr>
            <w:t>the Treasurer</w:t>
          </w:r>
        </w:sdtContent>
      </w:sdt>
      <w:r w:rsidR="00076178" w:rsidRPr="003C5719">
        <w:rPr>
          <w:sz w:val="24"/>
          <w:szCs w:val="24"/>
        </w:rPr>
        <w:t xml:space="preserve"> </w:t>
      </w:r>
    </w:p>
    <w:p w14:paraId="4E09FFFC" w14:textId="0DEA09AD" w:rsidR="00F109D4" w:rsidRPr="003C5719" w:rsidRDefault="001B7FBF" w:rsidP="004A27A8">
      <w:pPr>
        <w:spacing w:before="240" w:after="240"/>
        <w:jc w:val="center"/>
        <w:rPr>
          <w:i/>
        </w:rPr>
      </w:pPr>
      <w:r>
        <w:rPr>
          <w:i/>
        </w:rPr>
        <w:t>Competition and Consumer Act 2010</w:t>
      </w:r>
    </w:p>
    <w:p w14:paraId="70AE35E5" w14:textId="22D655DD" w:rsidR="00F109D4" w:rsidRPr="003C5719" w:rsidRDefault="001B7FBF" w:rsidP="004A27A8">
      <w:pPr>
        <w:tabs>
          <w:tab w:val="left" w:pos="1418"/>
        </w:tabs>
        <w:spacing w:before="0" w:after="240"/>
        <w:jc w:val="center"/>
        <w:rPr>
          <w:i/>
        </w:rPr>
      </w:pPr>
      <w:r>
        <w:rPr>
          <w:i/>
        </w:rPr>
        <w:t>Competition and Consumer (Price Inquiry –Supermarkets) Direction 202</w:t>
      </w:r>
      <w:r w:rsidR="004147DD">
        <w:rPr>
          <w:i/>
        </w:rPr>
        <w:t>4</w:t>
      </w:r>
    </w:p>
    <w:p w14:paraId="665679BE" w14:textId="4632BC7B" w:rsidR="00892D3B" w:rsidRDefault="00C55D29" w:rsidP="004A27A8">
      <w:pPr>
        <w:spacing w:before="240"/>
      </w:pPr>
      <w:r w:rsidRPr="003C5719">
        <w:t xml:space="preserve">Section </w:t>
      </w:r>
      <w:r w:rsidR="001B7FBF">
        <w:t>95H</w:t>
      </w:r>
      <w:r w:rsidR="005E4BAC" w:rsidRPr="003C5719">
        <w:t xml:space="preserve"> </w:t>
      </w:r>
      <w:r w:rsidR="00F109D4" w:rsidRPr="003C5719">
        <w:t xml:space="preserve">of the </w:t>
      </w:r>
      <w:r w:rsidR="001B7FBF">
        <w:rPr>
          <w:i/>
          <w:iCs/>
        </w:rPr>
        <w:t>Competition and Consumer Act 2010</w:t>
      </w:r>
      <w:r w:rsidR="00F109D4" w:rsidRPr="003C5719">
        <w:t xml:space="preserve"> (the Act) provides that the </w:t>
      </w:r>
      <w:r w:rsidR="004147DD">
        <w:t>Minister</w:t>
      </w:r>
      <w:r w:rsidR="00F109D4" w:rsidRPr="003C5719">
        <w:t xml:space="preserve"> may </w:t>
      </w:r>
      <w:r w:rsidR="001B7FBF">
        <w:t>require the Australian Competition and Consumer Commission (ACCC) to hold</w:t>
      </w:r>
      <w:r w:rsidR="00011F00">
        <w:t xml:space="preserve"> an inquiry into a specified matter or matters.</w:t>
      </w:r>
    </w:p>
    <w:p w14:paraId="77567901" w14:textId="7FEC57F9" w:rsidR="004E600B" w:rsidRDefault="004E600B" w:rsidP="004E600B">
      <w:pPr>
        <w:spacing w:before="240"/>
      </w:pPr>
      <w:r>
        <w:t xml:space="preserve">The </w:t>
      </w:r>
      <w:r w:rsidRPr="004E600B">
        <w:rPr>
          <w:i/>
          <w:iCs/>
        </w:rPr>
        <w:t>Competition and Consumer (Price Inquiry–</w:t>
      </w:r>
      <w:r w:rsidRPr="5E947BBF">
        <w:rPr>
          <w:i/>
          <w:iCs/>
        </w:rPr>
        <w:t>Supermarket</w:t>
      </w:r>
      <w:r w:rsidR="472D9036" w:rsidRPr="5E947BBF">
        <w:rPr>
          <w:i/>
          <w:iCs/>
        </w:rPr>
        <w:t>s</w:t>
      </w:r>
      <w:r w:rsidRPr="004E600B">
        <w:rPr>
          <w:i/>
          <w:iCs/>
        </w:rPr>
        <w:t>) Direction 2024</w:t>
      </w:r>
      <w:r>
        <w:t xml:space="preserve"> (the Direction) is made under subsection 95H(1) of the Act. The Direction requires the ACCC to hold a price inquiry into the </w:t>
      </w:r>
      <w:r w:rsidR="005E7BB6">
        <w:t>market</w:t>
      </w:r>
      <w:r w:rsidR="00100DD3">
        <w:t>s</w:t>
      </w:r>
      <w:r w:rsidR="005E7BB6">
        <w:t xml:space="preserve"> for the </w:t>
      </w:r>
      <w:r>
        <w:t>supply of groceries.</w:t>
      </w:r>
    </w:p>
    <w:p w14:paraId="7AEC4E28" w14:textId="65FC2AA5" w:rsidR="006E3AB4" w:rsidRDefault="004E600B" w:rsidP="004A27A8">
      <w:pPr>
        <w:spacing w:before="240"/>
      </w:pPr>
      <w:r>
        <w:t>The inquiry</w:t>
      </w:r>
      <w:r w:rsidR="00D516C6">
        <w:t xml:space="preserve"> </w:t>
      </w:r>
      <w:r>
        <w:t>offer</w:t>
      </w:r>
      <w:r w:rsidR="00D516C6">
        <w:t>s</w:t>
      </w:r>
      <w:r>
        <w:t xml:space="preserve"> valuable transparenc</w:t>
      </w:r>
      <w:r w:rsidR="005E0E5F">
        <w:t>y around Australia’s supermarket business sector</w:t>
      </w:r>
      <w:r w:rsidR="00575F23">
        <w:t xml:space="preserve"> and the</w:t>
      </w:r>
      <w:r w:rsidR="00351428">
        <w:t xml:space="preserve"> related supply chain</w:t>
      </w:r>
      <w:r w:rsidR="005E0E5F">
        <w:t xml:space="preserve">, including the pricing practices of suppliers, </w:t>
      </w:r>
      <w:r w:rsidR="0047166A">
        <w:t>wholesalers,</w:t>
      </w:r>
      <w:r w:rsidR="005E0E5F">
        <w:t xml:space="preserve"> and retailers of groceries.</w:t>
      </w:r>
    </w:p>
    <w:p w14:paraId="0ACDA172" w14:textId="1828CB4E" w:rsidR="004E600B" w:rsidRDefault="004E600B" w:rsidP="004A27A8">
      <w:pPr>
        <w:spacing w:before="240"/>
      </w:pPr>
      <w:r>
        <w:t>Part 1 of the Direction provides the machinery provisions of the instrument, including the definitions.</w:t>
      </w:r>
    </w:p>
    <w:p w14:paraId="1EA89FD4" w14:textId="220676E1" w:rsidR="004E600B" w:rsidRDefault="004E600B" w:rsidP="004A27A8">
      <w:pPr>
        <w:spacing w:before="240"/>
      </w:pPr>
      <w:r>
        <w:t xml:space="preserve">Part 2 of the Direction provides the terms of reference for the inquiry and guidance on the matters </w:t>
      </w:r>
      <w:r w:rsidR="005E0E5F">
        <w:t>the ACCC is to take into consideration in holding the inquiry. The ACCC must have particular regard to the structure of</w:t>
      </w:r>
      <w:r w:rsidR="00351428">
        <w:t xml:space="preserve"> </w:t>
      </w:r>
      <w:r w:rsidR="005E0E5F">
        <w:t>market</w:t>
      </w:r>
      <w:r w:rsidR="00EC6B7E">
        <w:t>s</w:t>
      </w:r>
      <w:r w:rsidR="00351428">
        <w:t xml:space="preserve"> for the supply of groceries</w:t>
      </w:r>
      <w:r w:rsidR="003F656C">
        <w:t xml:space="preserve">, including </w:t>
      </w:r>
      <w:r w:rsidR="00EE535F">
        <w:t>competition at the supplier, wholesaler and retailer levels,</w:t>
      </w:r>
      <w:r w:rsidR="00720D4B">
        <w:t xml:space="preserve"> the</w:t>
      </w:r>
      <w:r w:rsidR="00EE535F">
        <w:t xml:space="preserve"> interactions between these levels, </w:t>
      </w:r>
      <w:r w:rsidR="00AB7D9A">
        <w:t xml:space="preserve">the </w:t>
      </w:r>
      <w:r w:rsidR="002A3A49">
        <w:t>position of small and independent retailers, and the impact of technological change on the markets.</w:t>
      </w:r>
      <w:r w:rsidR="00EF2AE8">
        <w:t xml:space="preserve"> </w:t>
      </w:r>
      <w:r w:rsidR="002A3A49">
        <w:t xml:space="preserve">The inquiry must also consider </w:t>
      </w:r>
      <w:r w:rsidR="004603B1">
        <w:t xml:space="preserve">the </w:t>
      </w:r>
      <w:r w:rsidR="00FD0B97">
        <w:t xml:space="preserve">price-setting </w:t>
      </w:r>
      <w:r w:rsidR="004603B1">
        <w:t>approach</w:t>
      </w:r>
      <w:r w:rsidR="00FD0B97">
        <w:t xml:space="preserve">es of </w:t>
      </w:r>
      <w:r w:rsidR="005E0E5F">
        <w:t>suppliers, wholesalers and retailers</w:t>
      </w:r>
      <w:r w:rsidR="002A3A49">
        <w:t>, and factors affecting the price of inputs along the supply chain</w:t>
      </w:r>
      <w:r w:rsidR="00C96E14">
        <w:t xml:space="preserve"> for groceries. </w:t>
      </w:r>
      <w:r w:rsidR="00C201C9">
        <w:t xml:space="preserve">As part of this, the ACCC must examine </w:t>
      </w:r>
      <w:r w:rsidR="006503AE">
        <w:t xml:space="preserve">any difference </w:t>
      </w:r>
      <w:r w:rsidR="00760FC1">
        <w:t xml:space="preserve">between the prices paid by, and prices charged by, </w:t>
      </w:r>
      <w:r w:rsidR="00CC7035">
        <w:t>different participants in the market</w:t>
      </w:r>
      <w:r w:rsidR="001C7BE8">
        <w:t>s</w:t>
      </w:r>
      <w:r w:rsidR="004603B1">
        <w:t>.</w:t>
      </w:r>
      <w:r w:rsidR="00407239">
        <w:t xml:space="preserve"> </w:t>
      </w:r>
      <w:r w:rsidR="00B104DC">
        <w:t xml:space="preserve">This ensures that the ACCC </w:t>
      </w:r>
      <w:r w:rsidR="00EB2E74">
        <w:t xml:space="preserve">considers </w:t>
      </w:r>
      <w:r w:rsidR="00D20B8A">
        <w:t>the prices of g</w:t>
      </w:r>
      <w:r w:rsidR="000B2C02">
        <w:t>roceries along the supply chain –</w:t>
      </w:r>
      <w:r w:rsidR="00D20B8A">
        <w:t xml:space="preserve"> from the prices paid to farmers</w:t>
      </w:r>
      <w:r w:rsidR="00963DB3">
        <w:t xml:space="preserve"> (also known as farmgate)</w:t>
      </w:r>
      <w:r w:rsidR="0084680D">
        <w:t>,</w:t>
      </w:r>
      <w:r w:rsidR="00D20B8A">
        <w:t xml:space="preserve"> to the prices paid by </w:t>
      </w:r>
      <w:r w:rsidR="00CF0A1A">
        <w:t>intermediaries such as processors, producers, transport</w:t>
      </w:r>
      <w:r w:rsidR="00A00818">
        <w:t>ers</w:t>
      </w:r>
      <w:r w:rsidR="00CF0A1A">
        <w:t>,</w:t>
      </w:r>
      <w:r w:rsidR="00300261">
        <w:t xml:space="preserve"> </w:t>
      </w:r>
      <w:r w:rsidR="00CF0A1A">
        <w:t xml:space="preserve">to </w:t>
      </w:r>
      <w:r w:rsidR="00300261">
        <w:t xml:space="preserve">the </w:t>
      </w:r>
      <w:r w:rsidR="00CF0A1A">
        <w:t>prices paid by consumers</w:t>
      </w:r>
      <w:r w:rsidR="00D80875">
        <w:t xml:space="preserve"> at supermarkets</w:t>
      </w:r>
      <w:r w:rsidR="00D20B8A">
        <w:t xml:space="preserve">. </w:t>
      </w:r>
      <w:r w:rsidR="00EF2AE8">
        <w:t>Finally, the ACCC must have rega</w:t>
      </w:r>
      <w:r w:rsidR="00AA753A">
        <w:t>rd to t</w:t>
      </w:r>
      <w:r w:rsidR="004603B1">
        <w:t xml:space="preserve">he non-price </w:t>
      </w:r>
      <w:r w:rsidR="00740E6F">
        <w:t xml:space="preserve">aspects of </w:t>
      </w:r>
      <w:r w:rsidR="004603B1">
        <w:t xml:space="preserve">competition in the </w:t>
      </w:r>
      <w:r w:rsidR="00D525F8">
        <w:t>markets for</w:t>
      </w:r>
      <w:r w:rsidR="004603B1">
        <w:t xml:space="preserve"> groceries</w:t>
      </w:r>
      <w:r w:rsidR="0068341F">
        <w:t>, including the impact of loyalty programs and</w:t>
      </w:r>
      <w:r w:rsidR="0040617C">
        <w:t xml:space="preserve"> discounts offered by </w:t>
      </w:r>
      <w:r w:rsidR="00344977">
        <w:t>retailers</w:t>
      </w:r>
      <w:r w:rsidR="0040617C">
        <w:t xml:space="preserve"> </w:t>
      </w:r>
      <w:r w:rsidR="00A15C41">
        <w:t>for future</w:t>
      </w:r>
      <w:r w:rsidR="003B1E36">
        <w:t xml:space="preserve"> purchases</w:t>
      </w:r>
      <w:r w:rsidR="00506ACD">
        <w:t xml:space="preserve"> of groceries or other goods or services</w:t>
      </w:r>
      <w:r w:rsidR="00C7175D">
        <w:t>.</w:t>
      </w:r>
      <w:r w:rsidR="00E54869">
        <w:t xml:space="preserve"> </w:t>
      </w:r>
    </w:p>
    <w:p w14:paraId="3D077ABC" w14:textId="5313282B" w:rsidR="004603B1" w:rsidRDefault="004603B1" w:rsidP="004A27A8">
      <w:pPr>
        <w:spacing w:before="240"/>
      </w:pPr>
      <w:r>
        <w:t>The ACCC must provide an interim report to the Treasurer by no later than 31</w:t>
      </w:r>
      <w:r w:rsidR="00B104DC">
        <w:t> </w:t>
      </w:r>
      <w:r>
        <w:t>August</w:t>
      </w:r>
      <w:r w:rsidR="00B104DC">
        <w:t> </w:t>
      </w:r>
      <w:r>
        <w:t>2024</w:t>
      </w:r>
      <w:r w:rsidR="00F97412">
        <w:t xml:space="preserve"> and a final report to the Treasurer by no later than </w:t>
      </w:r>
      <w:r w:rsidR="00775358">
        <w:t xml:space="preserve">28 February </w:t>
      </w:r>
      <w:r w:rsidR="00F97412">
        <w:t>2025.</w:t>
      </w:r>
    </w:p>
    <w:p w14:paraId="7A81ABC0" w14:textId="756875D1" w:rsidR="00F97412" w:rsidRDefault="00F97412" w:rsidP="004A27A8">
      <w:pPr>
        <w:spacing w:before="240"/>
      </w:pPr>
      <w:r>
        <w:t xml:space="preserve">In accordance with section 17 of the </w:t>
      </w:r>
      <w:r>
        <w:rPr>
          <w:i/>
          <w:iCs/>
        </w:rPr>
        <w:t xml:space="preserve">Legislation Act 2003, </w:t>
      </w:r>
      <w:r>
        <w:t>the ACCC has been consulted on the terms of the Direction.</w:t>
      </w:r>
    </w:p>
    <w:p w14:paraId="08107E15" w14:textId="77777777" w:rsidR="00F97412" w:rsidRDefault="00F97412" w:rsidP="00F97412">
      <w:pPr>
        <w:spacing w:before="240"/>
      </w:pPr>
      <w:r>
        <w:t xml:space="preserve">The Direction is a legislative instrument for the purposes of the </w:t>
      </w:r>
      <w:r w:rsidRPr="0AE0F873">
        <w:rPr>
          <w:i/>
          <w:iCs/>
        </w:rPr>
        <w:t>Legislation Act 2003</w:t>
      </w:r>
      <w:r>
        <w:t xml:space="preserve">. In accordance with item 2 of the table in section 9 and item 3 of the table in section 11 of the </w:t>
      </w:r>
      <w:r w:rsidRPr="0AE0F873">
        <w:rPr>
          <w:i/>
          <w:iCs/>
        </w:rPr>
        <w:t>Legislation (Exemptions and Other Matters) Regulation 2015</w:t>
      </w:r>
      <w:r>
        <w:t xml:space="preserve">, the instrument is not disallowable and does not sunset as it is a direction by a Minister to a person or body. It is appropriate that this instrument is not disallowable as it is a Ministerial direction, and </w:t>
      </w:r>
      <w:r>
        <w:lastRenderedPageBreak/>
        <w:t>therefore executive control is intended. Similarly, the direction is intended to remain in place until the inquiry is completed or unless and until revoked by the Treasurer, and therefore it is appropriate that it not sunset.</w:t>
      </w:r>
    </w:p>
    <w:p w14:paraId="580C9912" w14:textId="0C313603" w:rsidR="00CC549E" w:rsidRDefault="00CC549E" w:rsidP="00F97412">
      <w:pPr>
        <w:spacing w:before="240"/>
      </w:pPr>
      <w:r>
        <w:t xml:space="preserve">Details of the Direction are set out in </w:t>
      </w:r>
      <w:r w:rsidRPr="00B5669B">
        <w:rPr>
          <w:u w:val="single"/>
        </w:rPr>
        <w:t>Attachment A.</w:t>
      </w:r>
    </w:p>
    <w:p w14:paraId="5781F1B1" w14:textId="369453FA" w:rsidR="00CC549E" w:rsidRDefault="00CC549E" w:rsidP="00F97412">
      <w:pPr>
        <w:spacing w:before="240"/>
      </w:pPr>
      <w:r>
        <w:t xml:space="preserve">A statement of Compatibility with Human Rights is at </w:t>
      </w:r>
      <w:r w:rsidRPr="00B5669B">
        <w:rPr>
          <w:u w:val="single"/>
        </w:rPr>
        <w:t>Attachment B.</w:t>
      </w:r>
    </w:p>
    <w:p w14:paraId="7BC194D6" w14:textId="6EADA86C" w:rsidR="00F97412" w:rsidRDefault="00F97412" w:rsidP="00F97412">
      <w:pPr>
        <w:spacing w:before="240"/>
      </w:pPr>
      <w:r>
        <w:t>The Direction commence</w:t>
      </w:r>
      <w:r w:rsidR="00090CEF">
        <w:t>s</w:t>
      </w:r>
      <w:r w:rsidR="0069349E">
        <w:t xml:space="preserve"> on</w:t>
      </w:r>
      <w:r>
        <w:t xml:space="preserve"> the day </w:t>
      </w:r>
      <w:r w:rsidR="0069349E">
        <w:t xml:space="preserve">after </w:t>
      </w:r>
      <w:r w:rsidR="00DA6A26">
        <w:t>the instrument is registered.</w:t>
      </w:r>
    </w:p>
    <w:p w14:paraId="15007326" w14:textId="62A17D9F" w:rsidR="00515ADD" w:rsidRDefault="0095169F" w:rsidP="00F97412">
      <w:pPr>
        <w:spacing w:before="240"/>
      </w:pPr>
      <w:r>
        <w:t xml:space="preserve">The Office of Impact Analysis (OIA) has been consulted (OIA ref: </w:t>
      </w:r>
      <w:r w:rsidR="00734CA5">
        <w:t>OIA24-06442</w:t>
      </w:r>
      <w:r>
        <w:t>) and agreed that an Impact Analysis is not required.</w:t>
      </w:r>
    </w:p>
    <w:p w14:paraId="22518AAF" w14:textId="34B954CF" w:rsidR="00CC549E" w:rsidRPr="003C5719" w:rsidRDefault="00CC549E" w:rsidP="00CC549E">
      <w:pPr>
        <w:pageBreakBefore/>
        <w:spacing w:before="240"/>
        <w:jc w:val="right"/>
        <w:rPr>
          <w:b/>
          <w:u w:val="single"/>
        </w:rPr>
      </w:pPr>
      <w:r w:rsidRPr="003C5719">
        <w:rPr>
          <w:b/>
          <w:u w:val="single"/>
        </w:rPr>
        <w:lastRenderedPageBreak/>
        <w:t xml:space="preserve">ATTACHMENT </w:t>
      </w:r>
      <w:r>
        <w:rPr>
          <w:b/>
          <w:u w:val="single"/>
        </w:rPr>
        <w:t>A</w:t>
      </w:r>
    </w:p>
    <w:p w14:paraId="2D422F58" w14:textId="13A8D6E1" w:rsidR="00CC549E" w:rsidRPr="003C5719" w:rsidRDefault="00CC549E" w:rsidP="00CC549E">
      <w:pPr>
        <w:spacing w:before="240"/>
        <w:rPr>
          <w:b/>
          <w:bCs/>
          <w:szCs w:val="24"/>
          <w:u w:val="single"/>
        </w:rPr>
      </w:pPr>
      <w:r w:rsidRPr="003C5719">
        <w:rPr>
          <w:b/>
          <w:bCs/>
          <w:u w:val="single"/>
        </w:rPr>
        <w:t xml:space="preserve">Details of the </w:t>
      </w:r>
      <w:r w:rsidR="00672DD9" w:rsidRPr="00B5669B">
        <w:rPr>
          <w:b/>
          <w:iCs/>
          <w:u w:val="single"/>
        </w:rPr>
        <w:t>Competition and Consumer (Price Inquiry</w:t>
      </w:r>
      <w:r w:rsidR="00501420">
        <w:rPr>
          <w:b/>
          <w:iCs/>
          <w:u w:val="single"/>
        </w:rPr>
        <w:t>—</w:t>
      </w:r>
      <w:r w:rsidR="00672DD9" w:rsidRPr="00B5669B">
        <w:rPr>
          <w:b/>
          <w:iCs/>
          <w:u w:val="single"/>
        </w:rPr>
        <w:t>Supermarkets) Direction 2024</w:t>
      </w:r>
      <w:r w:rsidRPr="00672DD9">
        <w:rPr>
          <w:b/>
          <w:bCs/>
          <w:iCs/>
          <w:u w:val="single"/>
        </w:rPr>
        <w:t xml:space="preserve"> </w:t>
      </w:r>
    </w:p>
    <w:p w14:paraId="5F1F1FA7" w14:textId="06C200FD" w:rsidR="00CC549E" w:rsidRPr="003C5719" w:rsidRDefault="00CC549E" w:rsidP="00CC549E">
      <w:pPr>
        <w:spacing w:before="240"/>
        <w:rPr>
          <w:rFonts w:ascii="Calibri" w:hAnsi="Calibri"/>
          <w:sz w:val="22"/>
          <w:szCs w:val="22"/>
          <w:u w:val="single"/>
          <w:lang w:eastAsia="en-US"/>
        </w:rPr>
      </w:pPr>
      <w:r w:rsidRPr="003C5719">
        <w:rPr>
          <w:u w:val="single"/>
        </w:rPr>
        <w:t xml:space="preserve">Section 1–Name </w:t>
      </w:r>
    </w:p>
    <w:p w14:paraId="480E3DF5" w14:textId="08468E2E" w:rsidR="00CC549E" w:rsidRPr="003C5719" w:rsidRDefault="00CC549E" w:rsidP="00CC549E">
      <w:pPr>
        <w:spacing w:before="240"/>
      </w:pPr>
      <w:r w:rsidRPr="003C5719">
        <w:t xml:space="preserve">This section provides that the name of the </w:t>
      </w:r>
      <w:r w:rsidR="00672DD9">
        <w:t>Direction</w:t>
      </w:r>
      <w:r w:rsidRPr="003C5719">
        <w:t xml:space="preserve"> is the </w:t>
      </w:r>
      <w:r w:rsidR="00672DD9" w:rsidRPr="004E600B">
        <w:rPr>
          <w:i/>
          <w:iCs/>
        </w:rPr>
        <w:t>Competition and Consumer (Price Inquiry–</w:t>
      </w:r>
      <w:r w:rsidR="00672DD9" w:rsidRPr="3B4568DD">
        <w:rPr>
          <w:i/>
          <w:iCs/>
        </w:rPr>
        <w:t>Supermarket</w:t>
      </w:r>
      <w:r w:rsidR="088C56B1" w:rsidRPr="3B4568DD">
        <w:rPr>
          <w:i/>
          <w:iCs/>
        </w:rPr>
        <w:t>s</w:t>
      </w:r>
      <w:r w:rsidR="00672DD9" w:rsidRPr="004E600B">
        <w:rPr>
          <w:i/>
          <w:iCs/>
        </w:rPr>
        <w:t>) Direction 2024</w:t>
      </w:r>
      <w:r w:rsidRPr="003C5719">
        <w:t xml:space="preserve"> (the </w:t>
      </w:r>
      <w:r w:rsidR="00672DD9">
        <w:t>Direction</w:t>
      </w:r>
      <w:r w:rsidRPr="003C5719">
        <w:t>).</w:t>
      </w:r>
    </w:p>
    <w:p w14:paraId="656BB63F" w14:textId="0AD0919A" w:rsidR="00CC549E" w:rsidRPr="003C5719" w:rsidRDefault="00CC549E" w:rsidP="00CC549E">
      <w:pPr>
        <w:spacing w:before="240"/>
        <w:rPr>
          <w:u w:val="single"/>
        </w:rPr>
      </w:pPr>
      <w:r w:rsidRPr="003C5719">
        <w:rPr>
          <w:u w:val="single"/>
        </w:rPr>
        <w:t>Section 2–Commencement</w:t>
      </w:r>
    </w:p>
    <w:p w14:paraId="703B6B58" w14:textId="6AB533CF" w:rsidR="00CC549E" w:rsidRPr="003C5719" w:rsidRDefault="00CC549E" w:rsidP="00CC549E">
      <w:pPr>
        <w:spacing w:before="240"/>
      </w:pPr>
      <w:r w:rsidRPr="003C5719">
        <w:t>S</w:t>
      </w:r>
      <w:r w:rsidR="00672DD9">
        <w:t>ection 2 provides that Parts 1 and 2 of the Direction commence</w:t>
      </w:r>
      <w:r w:rsidR="009B4A1A">
        <w:t xml:space="preserve"> </w:t>
      </w:r>
      <w:r w:rsidR="00672DD9">
        <w:t xml:space="preserve">on the day after it </w:t>
      </w:r>
      <w:r w:rsidR="00F63F21">
        <w:t>is</w:t>
      </w:r>
      <w:r w:rsidR="00672DD9">
        <w:t xml:space="preserve"> registered on the Federal Register of Legislation.</w:t>
      </w:r>
    </w:p>
    <w:p w14:paraId="329214B8" w14:textId="3665B590" w:rsidR="00CC549E" w:rsidRPr="003C5719" w:rsidRDefault="00CC549E" w:rsidP="00CC549E">
      <w:pPr>
        <w:spacing w:before="240"/>
        <w:rPr>
          <w:u w:val="single"/>
        </w:rPr>
      </w:pPr>
      <w:r w:rsidRPr="003C5719">
        <w:rPr>
          <w:u w:val="single"/>
        </w:rPr>
        <w:t>Section 3–Authority</w:t>
      </w:r>
    </w:p>
    <w:p w14:paraId="2931932A" w14:textId="76F338BD" w:rsidR="00CC549E" w:rsidRPr="003C5719" w:rsidRDefault="00A50D5E" w:rsidP="00CC549E">
      <w:pPr>
        <w:spacing w:before="240"/>
      </w:pPr>
      <w:r>
        <w:t xml:space="preserve">Section 3 provides that the </w:t>
      </w:r>
      <w:r w:rsidR="00266FD6">
        <w:t>Direction</w:t>
      </w:r>
      <w:r w:rsidR="00CC549E" w:rsidRPr="003C5719">
        <w:t xml:space="preserve"> </w:t>
      </w:r>
      <w:r w:rsidR="00F63F21">
        <w:t>is</w:t>
      </w:r>
      <w:r w:rsidR="00CC549E" w:rsidRPr="003C5719">
        <w:t xml:space="preserve"> made under the </w:t>
      </w:r>
      <w:r w:rsidR="00266FD6">
        <w:rPr>
          <w:i/>
        </w:rPr>
        <w:t>Competition and Consumer Act 2010</w:t>
      </w:r>
      <w:r w:rsidR="00CC549E" w:rsidRPr="003C5719">
        <w:t xml:space="preserve"> (the Act).</w:t>
      </w:r>
    </w:p>
    <w:p w14:paraId="6DE76E33" w14:textId="58E24FA6" w:rsidR="00CC549E" w:rsidRPr="003C5719" w:rsidRDefault="00CC549E" w:rsidP="00CC549E">
      <w:pPr>
        <w:spacing w:before="240"/>
        <w:rPr>
          <w:u w:val="single"/>
        </w:rPr>
      </w:pPr>
      <w:r w:rsidRPr="003C5719">
        <w:rPr>
          <w:u w:val="single"/>
        </w:rPr>
        <w:t>Section 4–</w:t>
      </w:r>
      <w:r w:rsidR="00F25670">
        <w:rPr>
          <w:u w:val="single"/>
        </w:rPr>
        <w:t>Definitions</w:t>
      </w:r>
    </w:p>
    <w:p w14:paraId="255EA42D" w14:textId="2EA1BE95" w:rsidR="001A4C84" w:rsidRDefault="00F25670" w:rsidP="00CC549E">
      <w:pPr>
        <w:spacing w:before="240"/>
      </w:pPr>
      <w:r>
        <w:t>Section 4 provides definitions of expressions used in the Direction.</w:t>
      </w:r>
    </w:p>
    <w:p w14:paraId="69958F07" w14:textId="01A8B7A4" w:rsidR="00DA578D" w:rsidRPr="004109EE" w:rsidRDefault="00DA578D" w:rsidP="004109EE">
      <w:pPr>
        <w:spacing w:before="240"/>
      </w:pPr>
      <w:r>
        <w:t xml:space="preserve">A number of </w:t>
      </w:r>
      <w:r w:rsidR="004109EE">
        <w:t>terms</w:t>
      </w:r>
      <w:r>
        <w:t xml:space="preserve"> used in this instrument </w:t>
      </w:r>
      <w:r w:rsidR="004109EE">
        <w:t xml:space="preserve">have the meaning given by </w:t>
      </w:r>
      <w:r w:rsidR="00FC2220">
        <w:t xml:space="preserve">Schedule 1 to </w:t>
      </w:r>
      <w:r w:rsidR="004109EE">
        <w:t xml:space="preserve">the </w:t>
      </w:r>
      <w:r w:rsidR="004109EE" w:rsidRPr="00B5669B">
        <w:rPr>
          <w:i/>
          <w:iCs/>
        </w:rPr>
        <w:t>Competition and Consumer (Industry Codes—Food and Grocery) Regulation 2015</w:t>
      </w:r>
      <w:r w:rsidR="004109EE">
        <w:rPr>
          <w:i/>
          <w:iCs/>
        </w:rPr>
        <w:t xml:space="preserve"> </w:t>
      </w:r>
      <w:r w:rsidR="004109EE">
        <w:t>(Food and Grocery Code of Conduct)</w:t>
      </w:r>
      <w:r w:rsidR="00FD31B1">
        <w:t>.</w:t>
      </w:r>
    </w:p>
    <w:p w14:paraId="68128504" w14:textId="79A77840" w:rsidR="00F25670" w:rsidRDefault="00AA6FAF" w:rsidP="00CC549E">
      <w:pPr>
        <w:spacing w:before="240"/>
      </w:pPr>
      <w:r>
        <w:t>This</w:t>
      </w:r>
      <w:r w:rsidR="00AE09BF">
        <w:t xml:space="preserve"> instrument</w:t>
      </w:r>
      <w:r w:rsidR="00F43B69">
        <w:t xml:space="preserve"> </w:t>
      </w:r>
      <w:r w:rsidR="00D93B5E">
        <w:t xml:space="preserve">extends </w:t>
      </w:r>
      <w:r w:rsidR="004834FA">
        <w:t xml:space="preserve">the meaning </w:t>
      </w:r>
      <w:r>
        <w:t xml:space="preserve">of groceries </w:t>
      </w:r>
      <w:r w:rsidR="00FC43E4">
        <w:t xml:space="preserve">given </w:t>
      </w:r>
      <w:r w:rsidR="004834FA">
        <w:t>by the Food and Grocery Code of Conduc</w:t>
      </w:r>
      <w:r w:rsidR="00CF597E">
        <w:t>t</w:t>
      </w:r>
      <w:r w:rsidR="00D93B5E">
        <w:t xml:space="preserve"> to </w:t>
      </w:r>
      <w:r>
        <w:t>also</w:t>
      </w:r>
      <w:r w:rsidR="00D93B5E">
        <w:t xml:space="preserve"> include</w:t>
      </w:r>
      <w:r w:rsidR="00CF597E">
        <w:t xml:space="preserve"> </w:t>
      </w:r>
      <w:r w:rsidR="00284D47">
        <w:t>items</w:t>
      </w:r>
      <w:r w:rsidR="00425FFB">
        <w:t xml:space="preserve"> </w:t>
      </w:r>
      <w:r w:rsidR="00B76E55">
        <w:t>that are to be processed into, or used in the manufacture of</w:t>
      </w:r>
      <w:r w:rsidR="00284D47">
        <w:t>,</w:t>
      </w:r>
      <w:r w:rsidR="005E33C5">
        <w:t xml:space="preserve"> groceries.</w:t>
      </w:r>
    </w:p>
    <w:p w14:paraId="2AAE7CFE" w14:textId="7F417984" w:rsidR="00423AA6" w:rsidRDefault="00735FA3" w:rsidP="004A27A8">
      <w:pPr>
        <w:spacing w:before="240"/>
      </w:pPr>
      <w:r w:rsidRPr="00B5669B">
        <w:rPr>
          <w:u w:val="single"/>
        </w:rPr>
        <w:t>Section 5–</w:t>
      </w:r>
      <w:r w:rsidR="00C61021" w:rsidRPr="00B5669B">
        <w:rPr>
          <w:u w:val="single"/>
        </w:rPr>
        <w:t>Commission to hold an inquiry</w:t>
      </w:r>
    </w:p>
    <w:p w14:paraId="17A6D31D" w14:textId="720A2CC2" w:rsidR="00735FA3" w:rsidRDefault="00735FA3" w:rsidP="004A27A8">
      <w:pPr>
        <w:spacing w:before="240"/>
      </w:pPr>
      <w:r>
        <w:t xml:space="preserve">Section 5 </w:t>
      </w:r>
      <w:r w:rsidR="00072113">
        <w:t>directs the ACCC to hold an inquiry</w:t>
      </w:r>
      <w:r w:rsidR="00AD38A4">
        <w:t xml:space="preserve"> into the markets for the supply of groceries</w:t>
      </w:r>
      <w:r w:rsidR="00761CC5">
        <w:t>.</w:t>
      </w:r>
    </w:p>
    <w:p w14:paraId="7979B51A" w14:textId="323FB47A" w:rsidR="00911FF9" w:rsidRDefault="00911FF9" w:rsidP="004A27A8">
      <w:pPr>
        <w:spacing w:before="240"/>
      </w:pPr>
      <w:r>
        <w:t xml:space="preserve">Section 5 </w:t>
      </w:r>
      <w:r w:rsidR="00932270">
        <w:t>clarifies that the inquiry is</w:t>
      </w:r>
      <w:r>
        <w:t xml:space="preserve"> separate to the Government’s review of the Food and Grocery Code of Conduct </w:t>
      </w:r>
      <w:r w:rsidR="00B33820">
        <w:t>which</w:t>
      </w:r>
      <w:r>
        <w:t xml:space="preserve"> commenced on 3 October 2023</w:t>
      </w:r>
      <w:r w:rsidR="003A6867">
        <w:t>.</w:t>
      </w:r>
      <w:r w:rsidR="00063C43">
        <w:t xml:space="preserve"> </w:t>
      </w:r>
      <w:r w:rsidR="003A6867">
        <w:t>H</w:t>
      </w:r>
      <w:r w:rsidR="00063C43">
        <w:t>owever</w:t>
      </w:r>
      <w:r w:rsidR="003A6867">
        <w:t>, the ACCC may consider</w:t>
      </w:r>
      <w:r w:rsidR="00063C43">
        <w:t xml:space="preserve"> </w:t>
      </w:r>
      <w:r w:rsidR="00822EFB">
        <w:t xml:space="preserve">the operation or scope of the Food and Grocery Code of Conduct </w:t>
      </w:r>
      <w:r w:rsidR="003A6867">
        <w:t xml:space="preserve">if </w:t>
      </w:r>
      <w:r w:rsidR="00336B6E">
        <w:t>necessary,</w:t>
      </w:r>
      <w:r w:rsidR="003A6867">
        <w:t xml:space="preserve"> in this inquiry</w:t>
      </w:r>
      <w:r w:rsidR="00F56AB3">
        <w:t>.</w:t>
      </w:r>
    </w:p>
    <w:p w14:paraId="7F1FCCE7" w14:textId="7F3FB389" w:rsidR="00761CC5" w:rsidRDefault="00761CC5" w:rsidP="004A27A8">
      <w:pPr>
        <w:spacing w:before="240"/>
      </w:pPr>
      <w:r>
        <w:t>Th</w:t>
      </w:r>
      <w:r w:rsidR="00553E5F">
        <w:t xml:space="preserve">is direction is </w:t>
      </w:r>
      <w:r w:rsidR="00AC6868">
        <w:t>given under subsection 95H(1) of the Act.</w:t>
      </w:r>
    </w:p>
    <w:p w14:paraId="3CBA198B" w14:textId="4A5923A8" w:rsidR="00423AA6" w:rsidRDefault="00423AA6" w:rsidP="004A27A8">
      <w:pPr>
        <w:spacing w:before="240"/>
        <w:rPr>
          <w:u w:val="single"/>
        </w:rPr>
      </w:pPr>
      <w:r w:rsidRPr="00B5669B">
        <w:rPr>
          <w:u w:val="single"/>
        </w:rPr>
        <w:t>Section</w:t>
      </w:r>
      <w:r>
        <w:rPr>
          <w:u w:val="single"/>
        </w:rPr>
        <w:t xml:space="preserve"> 6</w:t>
      </w:r>
      <w:r w:rsidR="00335A82">
        <w:rPr>
          <w:u w:val="single"/>
        </w:rPr>
        <w:t>–Directions on matters to be taken into consideration in the inquiry</w:t>
      </w:r>
    </w:p>
    <w:p w14:paraId="7E69AD63" w14:textId="33AF274A" w:rsidR="0094536F" w:rsidRDefault="005F2DC9" w:rsidP="004A27A8">
      <w:pPr>
        <w:spacing w:before="240"/>
      </w:pPr>
      <w:r>
        <w:t xml:space="preserve">Section 6 </w:t>
      </w:r>
      <w:r w:rsidR="00EE1FEE">
        <w:t>directs the ACCC to</w:t>
      </w:r>
      <w:r w:rsidR="007C129D">
        <w:t xml:space="preserve"> </w:t>
      </w:r>
      <w:r w:rsidR="003B0227">
        <w:t xml:space="preserve">have </w:t>
      </w:r>
      <w:r w:rsidR="0051072A">
        <w:t>particular regard</w:t>
      </w:r>
      <w:r w:rsidR="007C129D">
        <w:t xml:space="preserve"> </w:t>
      </w:r>
      <w:r w:rsidR="003A6867">
        <w:t>to</w:t>
      </w:r>
      <w:r w:rsidR="00BC2AF8">
        <w:t xml:space="preserve"> </w:t>
      </w:r>
      <w:r w:rsidR="007C129D">
        <w:t>certain matters in holding</w:t>
      </w:r>
      <w:r w:rsidR="003B0227">
        <w:t xml:space="preserve"> </w:t>
      </w:r>
      <w:r w:rsidR="007C129D">
        <w:t>the inquiry</w:t>
      </w:r>
      <w:r w:rsidR="00E30DB9">
        <w:t xml:space="preserve">. </w:t>
      </w:r>
    </w:p>
    <w:p w14:paraId="4CC630C7" w14:textId="77777777" w:rsidR="0094536F" w:rsidRDefault="0094536F" w:rsidP="004A27A8">
      <w:pPr>
        <w:spacing w:before="240"/>
      </w:pPr>
      <w:r>
        <w:t xml:space="preserve">The ACCC must have particular regard to the structure of grocery markets, including competition at the supplier, wholesaler and retailer levels, interactions between these levels, the position of small and independent retailers, and the impact of technological change on the markets. </w:t>
      </w:r>
    </w:p>
    <w:p w14:paraId="5557BA39" w14:textId="77777777" w:rsidR="00DA622D" w:rsidRDefault="0094536F" w:rsidP="004A27A8">
      <w:pPr>
        <w:spacing w:before="240"/>
      </w:pPr>
      <w:r>
        <w:lastRenderedPageBreak/>
        <w:t xml:space="preserve">The inquiry must also consider the price-setting approaches of suppliers, wholesalers and retailers, </w:t>
      </w:r>
      <w:r w:rsidR="00DA622D">
        <w:t>including the use of data analytics.</w:t>
      </w:r>
    </w:p>
    <w:p w14:paraId="1CE0D1C9" w14:textId="630231E7" w:rsidR="009B7D18" w:rsidRDefault="00DA622D" w:rsidP="004A27A8">
      <w:pPr>
        <w:spacing w:before="240"/>
      </w:pPr>
      <w:r>
        <w:t xml:space="preserve">The ACCC must also </w:t>
      </w:r>
      <w:r w:rsidR="00251602">
        <w:t>have regard to</w:t>
      </w:r>
      <w:r w:rsidR="0094536F">
        <w:t xml:space="preserve"> factors affecting the price of inputs along the supply chain for groceries. As part of this, the ACCC must examine any difference between the prices paid by, and prices charged by, different participants in the market. This ensures that the ACCC considers the prices of groceries along the supply chain – from the prices paid to farmers to the prices paid by consumers. </w:t>
      </w:r>
    </w:p>
    <w:p w14:paraId="794C2411" w14:textId="5F5361EE" w:rsidR="0094536F" w:rsidRDefault="0094536F" w:rsidP="004A27A8">
      <w:pPr>
        <w:spacing w:before="240"/>
      </w:pPr>
      <w:r>
        <w:t>Finally, the ACCC must have regard to the non-price aspects of competition in the markets for groceries, including the impact of loyalty programs and discounts offered by retailers for future purchases of groceries or other goods or services.</w:t>
      </w:r>
    </w:p>
    <w:p w14:paraId="312BC298" w14:textId="2560BFA0" w:rsidR="005522EA" w:rsidRDefault="005522EA" w:rsidP="004A27A8">
      <w:pPr>
        <w:spacing w:before="240"/>
      </w:pPr>
      <w:r>
        <w:t>This direction is given under subsection 95J(6) of the Act.</w:t>
      </w:r>
    </w:p>
    <w:p w14:paraId="7B1D68D0" w14:textId="4E54A39D" w:rsidR="00C63973" w:rsidRDefault="00C63973" w:rsidP="004A27A8">
      <w:pPr>
        <w:spacing w:before="240"/>
        <w:rPr>
          <w:u w:val="single"/>
        </w:rPr>
      </w:pPr>
      <w:r>
        <w:rPr>
          <w:u w:val="single"/>
        </w:rPr>
        <w:t>Section 7–Directions as to holding of the inquiry</w:t>
      </w:r>
    </w:p>
    <w:p w14:paraId="1D96214D" w14:textId="5B4B5098" w:rsidR="00C63973" w:rsidRDefault="00C63973" w:rsidP="004A27A8">
      <w:pPr>
        <w:spacing w:before="240"/>
      </w:pPr>
      <w:r>
        <w:t>Section 7 directs the ACCC</w:t>
      </w:r>
      <w:r w:rsidR="00746E5B">
        <w:t xml:space="preserve"> </w:t>
      </w:r>
      <w:r w:rsidR="000C5039">
        <w:t>to give the Treasurer an interim report on the inquiry</w:t>
      </w:r>
      <w:r w:rsidR="005D5FB7">
        <w:t xml:space="preserve"> by 31</w:t>
      </w:r>
      <w:r w:rsidR="00BE18CC">
        <w:t> </w:t>
      </w:r>
      <w:r w:rsidR="005D5FB7">
        <w:t>August 2024.</w:t>
      </w:r>
    </w:p>
    <w:p w14:paraId="7F23246E" w14:textId="5F97EF36" w:rsidR="005D5FB7" w:rsidRDefault="005D5FB7" w:rsidP="004A27A8">
      <w:pPr>
        <w:spacing w:before="240"/>
      </w:pPr>
      <w:r>
        <w:t>This direction is given under subsection 95J(6) of the Act.</w:t>
      </w:r>
    </w:p>
    <w:p w14:paraId="581EBB22" w14:textId="23798C1B" w:rsidR="005D5FB7" w:rsidRDefault="005D5FB7" w:rsidP="004A27A8">
      <w:pPr>
        <w:spacing w:before="240"/>
        <w:rPr>
          <w:u w:val="single"/>
        </w:rPr>
      </w:pPr>
      <w:r>
        <w:rPr>
          <w:u w:val="single"/>
        </w:rPr>
        <w:t>Section 8–Period for completing the inquiry</w:t>
      </w:r>
    </w:p>
    <w:p w14:paraId="2C1EDC2D" w14:textId="5877D688" w:rsidR="00A35636" w:rsidRDefault="00A17755" w:rsidP="004A27A8">
      <w:pPr>
        <w:spacing w:before="240"/>
      </w:pPr>
      <w:r>
        <w:t xml:space="preserve">Section 8 directs the ACCC to </w:t>
      </w:r>
      <w:r w:rsidR="00372B72">
        <w:t xml:space="preserve">give the Treasurer a </w:t>
      </w:r>
      <w:r w:rsidR="00F93F37">
        <w:t xml:space="preserve">final </w:t>
      </w:r>
      <w:r w:rsidR="00132E39">
        <w:t xml:space="preserve">report </w:t>
      </w:r>
      <w:r w:rsidR="00F93F37">
        <w:t xml:space="preserve">on </w:t>
      </w:r>
      <w:r>
        <w:t>the inquiry</w:t>
      </w:r>
      <w:r w:rsidR="00372B72">
        <w:t xml:space="preserve"> by 2</w:t>
      </w:r>
      <w:r w:rsidR="00FC4E07">
        <w:t>8</w:t>
      </w:r>
      <w:r w:rsidR="00F93F37">
        <w:t> </w:t>
      </w:r>
      <w:r w:rsidR="00FC4E07">
        <w:t>Februa</w:t>
      </w:r>
      <w:r w:rsidR="00372B72">
        <w:t>ry</w:t>
      </w:r>
      <w:r w:rsidR="00F93F37">
        <w:t> </w:t>
      </w:r>
      <w:r w:rsidR="00372B72">
        <w:t>202</w:t>
      </w:r>
      <w:r w:rsidR="00FC4E07">
        <w:t>5</w:t>
      </w:r>
      <w:r w:rsidR="00372B72">
        <w:t>.</w:t>
      </w:r>
    </w:p>
    <w:p w14:paraId="19C642F1" w14:textId="2714EE70" w:rsidR="005D5FB7" w:rsidRPr="00A17755" w:rsidRDefault="00A35636" w:rsidP="004A27A8">
      <w:pPr>
        <w:spacing w:before="240"/>
      </w:pPr>
      <w:r>
        <w:t>This direction is given under subsection</w:t>
      </w:r>
      <w:r w:rsidR="004724C7">
        <w:t xml:space="preserve"> 95K(1) of the Act.</w:t>
      </w:r>
      <w:r w:rsidR="00A17755">
        <w:t xml:space="preserve"> </w:t>
      </w:r>
    </w:p>
    <w:p w14:paraId="176B8999" w14:textId="3FE00C54" w:rsidR="00EA4DD8" w:rsidRPr="00844849" w:rsidRDefault="00EA4DD8" w:rsidP="00466DD5">
      <w:pPr>
        <w:spacing w:before="240" w:after="200"/>
        <w:rPr>
          <w:color w:val="FF0000"/>
        </w:rPr>
      </w:pPr>
      <w:r w:rsidRPr="00844849">
        <w:rPr>
          <w:color w:val="FF0000"/>
        </w:rPr>
        <w:br w:type="page"/>
      </w:r>
    </w:p>
    <w:p w14:paraId="138A7FB0" w14:textId="009FAF9D" w:rsidR="0093421F" w:rsidRPr="003C5719" w:rsidRDefault="007A55A7" w:rsidP="0093421F">
      <w:pPr>
        <w:pageBreakBefore/>
        <w:spacing w:before="240"/>
        <w:jc w:val="right"/>
        <w:rPr>
          <w:b/>
          <w:u w:val="single"/>
        </w:rPr>
      </w:pPr>
      <w:r w:rsidRPr="003C5719">
        <w:rPr>
          <w:b/>
          <w:u w:val="single"/>
        </w:rPr>
        <w:lastRenderedPageBreak/>
        <w:t xml:space="preserve">ATTACHMENT </w:t>
      </w:r>
      <w:r w:rsidR="00CC549E">
        <w:rPr>
          <w:b/>
          <w:u w:val="single"/>
        </w:rPr>
        <w:t>B</w:t>
      </w:r>
    </w:p>
    <w:p w14:paraId="4FA16224" w14:textId="77777777" w:rsidR="00E4438C" w:rsidRPr="003C5719" w:rsidRDefault="00E4438C" w:rsidP="00883863">
      <w:pPr>
        <w:pStyle w:val="Heading3"/>
        <w:jc w:val="center"/>
      </w:pPr>
      <w:r w:rsidRPr="003C5719">
        <w:t>Statement of Compatibility with Human Rights</w:t>
      </w:r>
    </w:p>
    <w:p w14:paraId="7D3ED6E4"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6EC6E488" w14:textId="62BD864F" w:rsidR="00E4438C" w:rsidRPr="003C5719" w:rsidRDefault="00815AFF" w:rsidP="004A27A8">
      <w:pPr>
        <w:pStyle w:val="Heading3"/>
        <w:jc w:val="center"/>
      </w:pPr>
      <w:r w:rsidRPr="004E600B">
        <w:rPr>
          <w:i/>
          <w:iCs/>
        </w:rPr>
        <w:t>Competition and Consumer (Price Inquiry–Supermarket) Direction 2024</w:t>
      </w:r>
    </w:p>
    <w:p w14:paraId="5F3A3169"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56867AA9" w14:textId="77777777" w:rsidR="00E4438C" w:rsidRPr="003C5719" w:rsidRDefault="00E4438C" w:rsidP="004A27A8">
      <w:pPr>
        <w:pStyle w:val="Heading3"/>
      </w:pPr>
      <w:r w:rsidRPr="003C5719">
        <w:t>Overview of the Legislative Instrument</w:t>
      </w:r>
    </w:p>
    <w:p w14:paraId="2741DABC" w14:textId="77777777" w:rsidR="00815AFF" w:rsidRPr="001D551A" w:rsidRDefault="00815AFF" w:rsidP="00815AFF">
      <w:pPr>
        <w:pStyle w:val="Heading3"/>
        <w:rPr>
          <w:b w:val="0"/>
          <w:kern w:val="0"/>
        </w:rPr>
      </w:pPr>
      <w:r w:rsidRPr="001D551A">
        <w:rPr>
          <w:b w:val="0"/>
          <w:kern w:val="0"/>
        </w:rPr>
        <w:t xml:space="preserve">Section 95H of the </w:t>
      </w:r>
      <w:r w:rsidRPr="0AE0F873">
        <w:rPr>
          <w:b w:val="0"/>
          <w:i/>
          <w:iCs/>
          <w:kern w:val="0"/>
        </w:rPr>
        <w:t>Competition and Consumer Act 2010</w:t>
      </w:r>
      <w:r w:rsidRPr="001D551A">
        <w:rPr>
          <w:b w:val="0"/>
          <w:kern w:val="0"/>
        </w:rPr>
        <w:t xml:space="preserve"> provides that the </w:t>
      </w:r>
      <w:r>
        <w:rPr>
          <w:b w:val="0"/>
          <w:kern w:val="0"/>
        </w:rPr>
        <w:t>Minister</w:t>
      </w:r>
      <w:r w:rsidRPr="001D551A">
        <w:rPr>
          <w:b w:val="0"/>
          <w:kern w:val="0"/>
        </w:rPr>
        <w:t xml:space="preserve"> may require the Australian Competition and Consumer Commission (ACCC) to hold an inquiry into a specified matter or matters.</w:t>
      </w:r>
    </w:p>
    <w:p w14:paraId="247115AC" w14:textId="571BC79E" w:rsidR="00815AFF" w:rsidRPr="001D551A" w:rsidRDefault="00815AFF" w:rsidP="00815AFF">
      <w:pPr>
        <w:pStyle w:val="Heading3"/>
        <w:rPr>
          <w:b w:val="0"/>
          <w:kern w:val="0"/>
        </w:rPr>
      </w:pPr>
      <w:r w:rsidRPr="001D551A">
        <w:rPr>
          <w:b w:val="0"/>
          <w:kern w:val="0"/>
        </w:rPr>
        <w:t xml:space="preserve">The </w:t>
      </w:r>
      <w:r w:rsidRPr="5FB4E11E">
        <w:rPr>
          <w:b w:val="0"/>
          <w:i/>
          <w:iCs/>
          <w:kern w:val="0"/>
        </w:rPr>
        <w:t>Competition and Consumer (Price Inquiry–Supermarket</w:t>
      </w:r>
      <w:r w:rsidR="59059143" w:rsidRPr="5FB4E11E">
        <w:rPr>
          <w:b w:val="0"/>
          <w:i/>
          <w:iCs/>
          <w:kern w:val="0"/>
        </w:rPr>
        <w:t>s</w:t>
      </w:r>
      <w:r w:rsidRPr="5FB4E11E">
        <w:rPr>
          <w:b w:val="0"/>
          <w:i/>
          <w:iCs/>
          <w:kern w:val="0"/>
        </w:rPr>
        <w:t>) Direction 2024</w:t>
      </w:r>
      <w:r w:rsidRPr="001D551A">
        <w:rPr>
          <w:b w:val="0"/>
          <w:kern w:val="0"/>
        </w:rPr>
        <w:t xml:space="preserve"> (the Direction) is a direction to the Chairperson of the ACCC to hold a price inquiry into </w:t>
      </w:r>
      <w:r w:rsidR="00F67EF6">
        <w:rPr>
          <w:b w:val="0"/>
          <w:kern w:val="0"/>
        </w:rPr>
        <w:t>groceries</w:t>
      </w:r>
      <w:r w:rsidRPr="001D551A">
        <w:rPr>
          <w:b w:val="0"/>
          <w:kern w:val="0"/>
        </w:rPr>
        <w:t>.</w:t>
      </w:r>
    </w:p>
    <w:p w14:paraId="215923E1" w14:textId="393690A0" w:rsidR="00815AFF" w:rsidRPr="00815AFF" w:rsidRDefault="00815AFF" w:rsidP="00815AFF">
      <w:pPr>
        <w:spacing w:before="240"/>
      </w:pPr>
      <w:r w:rsidRPr="001D551A">
        <w:t>The Direction sets out the terms of reference for the inquiry.</w:t>
      </w:r>
      <w:r>
        <w:t xml:space="preserve"> The ACCC must provide an interim report to the Treasurer by no later than 31 August 2024 and a final report to the Treasurer by no later than </w:t>
      </w:r>
      <w:r w:rsidR="0006149B">
        <w:t>28 Februa</w:t>
      </w:r>
      <w:r>
        <w:t>ry 2025.</w:t>
      </w:r>
    </w:p>
    <w:p w14:paraId="7C090A98" w14:textId="77777777" w:rsidR="00EB2BED" w:rsidRDefault="00E4438C" w:rsidP="004A27A8">
      <w:pPr>
        <w:pStyle w:val="Heading3"/>
      </w:pPr>
      <w:r w:rsidRPr="003C5719">
        <w:t>Human rights implications</w:t>
      </w:r>
      <w:r w:rsidR="006B520A">
        <w:t xml:space="preserve"> </w:t>
      </w:r>
    </w:p>
    <w:p w14:paraId="4CE23C36" w14:textId="427BE0F2" w:rsidR="00815AFF" w:rsidRPr="00647BB7" w:rsidRDefault="00815AFF" w:rsidP="00815AFF">
      <w:pPr>
        <w:spacing w:before="240"/>
      </w:pPr>
      <w:r>
        <w:t>This Legislative Instrument does not engage any of the applicable rights or freedoms</w:t>
      </w:r>
      <w:r w:rsidR="00001FF2">
        <w:t>.</w:t>
      </w:r>
    </w:p>
    <w:p w14:paraId="2EBAEE8C" w14:textId="77777777" w:rsidR="00EB2BED" w:rsidRDefault="00E4438C" w:rsidP="004A27A8">
      <w:pPr>
        <w:pStyle w:val="Heading3"/>
      </w:pPr>
      <w:r w:rsidRPr="003C5719">
        <w:t>Conclusion</w:t>
      </w:r>
      <w:r w:rsidR="006D60D0">
        <w:t xml:space="preserve"> </w:t>
      </w:r>
    </w:p>
    <w:p w14:paraId="3BBB9C5F" w14:textId="47E4A070" w:rsidR="00E37FF7" w:rsidRPr="00C84FA0" w:rsidRDefault="00815AFF" w:rsidP="0047166A">
      <w:pPr>
        <w:spacing w:before="240"/>
      </w:pPr>
      <w:r w:rsidRPr="00647BB7">
        <w:t>This Legislative Instrument is compatible with human rights as it does not raise any human rights issues.</w:t>
      </w:r>
    </w:p>
    <w:sectPr w:rsidR="00E37FF7" w:rsidRPr="00C84FA0" w:rsidSect="004A27A8">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E0A1" w14:textId="77777777" w:rsidR="00CE6003" w:rsidRDefault="00CE6003" w:rsidP="00954679">
      <w:pPr>
        <w:spacing w:before="0" w:after="0"/>
      </w:pPr>
      <w:r>
        <w:separator/>
      </w:r>
    </w:p>
  </w:endnote>
  <w:endnote w:type="continuationSeparator" w:id="0">
    <w:p w14:paraId="1978F62F" w14:textId="77777777" w:rsidR="00CE6003" w:rsidRDefault="00CE6003" w:rsidP="00954679">
      <w:pPr>
        <w:spacing w:before="0" w:after="0"/>
      </w:pPr>
      <w:r>
        <w:continuationSeparator/>
      </w:r>
    </w:p>
  </w:endnote>
  <w:endnote w:type="continuationNotice" w:id="1">
    <w:p w14:paraId="3B5D6DC0" w14:textId="77777777" w:rsidR="00CE6003" w:rsidRDefault="00CE60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8A570C3"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AF65" w14:textId="77777777" w:rsidR="00CE6003" w:rsidRDefault="00CE6003" w:rsidP="00954679">
      <w:pPr>
        <w:spacing w:before="0" w:after="0"/>
      </w:pPr>
      <w:r>
        <w:separator/>
      </w:r>
    </w:p>
  </w:footnote>
  <w:footnote w:type="continuationSeparator" w:id="0">
    <w:p w14:paraId="4650D976" w14:textId="77777777" w:rsidR="00CE6003" w:rsidRDefault="00CE6003" w:rsidP="00954679">
      <w:pPr>
        <w:spacing w:before="0" w:after="0"/>
      </w:pPr>
      <w:r>
        <w:continuationSeparator/>
      </w:r>
    </w:p>
  </w:footnote>
  <w:footnote w:type="continuationNotice" w:id="1">
    <w:p w14:paraId="49B45F36" w14:textId="77777777" w:rsidR="00CE6003" w:rsidRDefault="00CE600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48"/>
    <w:rsid w:val="00001FF2"/>
    <w:rsid w:val="000026BE"/>
    <w:rsid w:val="00003189"/>
    <w:rsid w:val="000033E4"/>
    <w:rsid w:val="00005B51"/>
    <w:rsid w:val="0000628C"/>
    <w:rsid w:val="00011F00"/>
    <w:rsid w:val="00012AC3"/>
    <w:rsid w:val="00013390"/>
    <w:rsid w:val="00015593"/>
    <w:rsid w:val="00016EA2"/>
    <w:rsid w:val="0002084D"/>
    <w:rsid w:val="0002546A"/>
    <w:rsid w:val="00031AE1"/>
    <w:rsid w:val="0003351B"/>
    <w:rsid w:val="00041C87"/>
    <w:rsid w:val="000455BA"/>
    <w:rsid w:val="00045955"/>
    <w:rsid w:val="00045CE6"/>
    <w:rsid w:val="00046593"/>
    <w:rsid w:val="00047B79"/>
    <w:rsid w:val="00051648"/>
    <w:rsid w:val="000524A9"/>
    <w:rsid w:val="0005316A"/>
    <w:rsid w:val="000547DB"/>
    <w:rsid w:val="0006149B"/>
    <w:rsid w:val="00063C43"/>
    <w:rsid w:val="00063E0A"/>
    <w:rsid w:val="00070292"/>
    <w:rsid w:val="00072113"/>
    <w:rsid w:val="00075A77"/>
    <w:rsid w:val="00076178"/>
    <w:rsid w:val="000769EF"/>
    <w:rsid w:val="00076E15"/>
    <w:rsid w:val="00076FF9"/>
    <w:rsid w:val="000777F2"/>
    <w:rsid w:val="00080673"/>
    <w:rsid w:val="00080998"/>
    <w:rsid w:val="00080BF8"/>
    <w:rsid w:val="00084A76"/>
    <w:rsid w:val="000854E0"/>
    <w:rsid w:val="0008741E"/>
    <w:rsid w:val="00090CEF"/>
    <w:rsid w:val="00095211"/>
    <w:rsid w:val="000954B7"/>
    <w:rsid w:val="000957C1"/>
    <w:rsid w:val="000A6179"/>
    <w:rsid w:val="000A69C5"/>
    <w:rsid w:val="000B2C02"/>
    <w:rsid w:val="000B39A1"/>
    <w:rsid w:val="000C0305"/>
    <w:rsid w:val="000C10DF"/>
    <w:rsid w:val="000C2E12"/>
    <w:rsid w:val="000C3ECC"/>
    <w:rsid w:val="000C3ED2"/>
    <w:rsid w:val="000C4B61"/>
    <w:rsid w:val="000C5039"/>
    <w:rsid w:val="000C53A4"/>
    <w:rsid w:val="000C5C40"/>
    <w:rsid w:val="000C6935"/>
    <w:rsid w:val="000D11E5"/>
    <w:rsid w:val="000D2234"/>
    <w:rsid w:val="000D2FBB"/>
    <w:rsid w:val="000D5827"/>
    <w:rsid w:val="000D59B4"/>
    <w:rsid w:val="000D6EBC"/>
    <w:rsid w:val="000E32E3"/>
    <w:rsid w:val="000F1F12"/>
    <w:rsid w:val="000F3A05"/>
    <w:rsid w:val="000F53D9"/>
    <w:rsid w:val="00100DD3"/>
    <w:rsid w:val="001012C2"/>
    <w:rsid w:val="00103476"/>
    <w:rsid w:val="001133B0"/>
    <w:rsid w:val="00113B45"/>
    <w:rsid w:val="00114003"/>
    <w:rsid w:val="0011401A"/>
    <w:rsid w:val="0011527C"/>
    <w:rsid w:val="00117C02"/>
    <w:rsid w:val="00121090"/>
    <w:rsid w:val="001276B4"/>
    <w:rsid w:val="001309D9"/>
    <w:rsid w:val="001319C8"/>
    <w:rsid w:val="001327E6"/>
    <w:rsid w:val="00132E39"/>
    <w:rsid w:val="001331B7"/>
    <w:rsid w:val="00133927"/>
    <w:rsid w:val="00133D7A"/>
    <w:rsid w:val="00142BCF"/>
    <w:rsid w:val="0014608E"/>
    <w:rsid w:val="00151C06"/>
    <w:rsid w:val="001604D6"/>
    <w:rsid w:val="00162F58"/>
    <w:rsid w:val="001703DF"/>
    <w:rsid w:val="00172B5A"/>
    <w:rsid w:val="00183D1F"/>
    <w:rsid w:val="00187857"/>
    <w:rsid w:val="00195A29"/>
    <w:rsid w:val="00197FB3"/>
    <w:rsid w:val="001A3919"/>
    <w:rsid w:val="001A4C84"/>
    <w:rsid w:val="001B1516"/>
    <w:rsid w:val="001B4919"/>
    <w:rsid w:val="001B67EC"/>
    <w:rsid w:val="001B6C85"/>
    <w:rsid w:val="001B7535"/>
    <w:rsid w:val="001B7EC2"/>
    <w:rsid w:val="001B7FBF"/>
    <w:rsid w:val="001C0477"/>
    <w:rsid w:val="001C7BE8"/>
    <w:rsid w:val="001D108A"/>
    <w:rsid w:val="001D4DCF"/>
    <w:rsid w:val="001E6A74"/>
    <w:rsid w:val="001F41D0"/>
    <w:rsid w:val="001F462C"/>
    <w:rsid w:val="001F79E1"/>
    <w:rsid w:val="0020065F"/>
    <w:rsid w:val="0020276D"/>
    <w:rsid w:val="00205863"/>
    <w:rsid w:val="002156CC"/>
    <w:rsid w:val="00220F16"/>
    <w:rsid w:val="00221082"/>
    <w:rsid w:val="00222C7E"/>
    <w:rsid w:val="00231837"/>
    <w:rsid w:val="00232641"/>
    <w:rsid w:val="00232746"/>
    <w:rsid w:val="00232C05"/>
    <w:rsid w:val="00232DCF"/>
    <w:rsid w:val="002349A0"/>
    <w:rsid w:val="00240D31"/>
    <w:rsid w:val="0024245F"/>
    <w:rsid w:val="00251602"/>
    <w:rsid w:val="00254C5B"/>
    <w:rsid w:val="00266FD6"/>
    <w:rsid w:val="0027118E"/>
    <w:rsid w:val="002713B5"/>
    <w:rsid w:val="002725F4"/>
    <w:rsid w:val="002771E5"/>
    <w:rsid w:val="00277840"/>
    <w:rsid w:val="00281E3E"/>
    <w:rsid w:val="00284D47"/>
    <w:rsid w:val="00287C5A"/>
    <w:rsid w:val="0029053C"/>
    <w:rsid w:val="00293839"/>
    <w:rsid w:val="00294417"/>
    <w:rsid w:val="00296FC1"/>
    <w:rsid w:val="002A0DD6"/>
    <w:rsid w:val="002A1236"/>
    <w:rsid w:val="002A36AD"/>
    <w:rsid w:val="002A3A49"/>
    <w:rsid w:val="002A3C80"/>
    <w:rsid w:val="002A4748"/>
    <w:rsid w:val="002A6DA4"/>
    <w:rsid w:val="002A7B74"/>
    <w:rsid w:val="002A7E1F"/>
    <w:rsid w:val="002B0711"/>
    <w:rsid w:val="002B2789"/>
    <w:rsid w:val="002B3354"/>
    <w:rsid w:val="002B4612"/>
    <w:rsid w:val="002B5E48"/>
    <w:rsid w:val="002C0792"/>
    <w:rsid w:val="002C0A5A"/>
    <w:rsid w:val="002C226C"/>
    <w:rsid w:val="002C32C3"/>
    <w:rsid w:val="002C367D"/>
    <w:rsid w:val="002C38B8"/>
    <w:rsid w:val="002C3EE2"/>
    <w:rsid w:val="002C7A8B"/>
    <w:rsid w:val="002D34DA"/>
    <w:rsid w:val="002D4B55"/>
    <w:rsid w:val="002E1612"/>
    <w:rsid w:val="002E38F3"/>
    <w:rsid w:val="002E73BB"/>
    <w:rsid w:val="002F022D"/>
    <w:rsid w:val="002F5B41"/>
    <w:rsid w:val="002F6BB1"/>
    <w:rsid w:val="00300261"/>
    <w:rsid w:val="003037F8"/>
    <w:rsid w:val="003041FA"/>
    <w:rsid w:val="00312A11"/>
    <w:rsid w:val="00312A68"/>
    <w:rsid w:val="00324E0C"/>
    <w:rsid w:val="003318FD"/>
    <w:rsid w:val="003342CD"/>
    <w:rsid w:val="0033477F"/>
    <w:rsid w:val="00335042"/>
    <w:rsid w:val="00335A82"/>
    <w:rsid w:val="00336B6E"/>
    <w:rsid w:val="0033755C"/>
    <w:rsid w:val="00341642"/>
    <w:rsid w:val="00341A00"/>
    <w:rsid w:val="00344977"/>
    <w:rsid w:val="00351428"/>
    <w:rsid w:val="00355872"/>
    <w:rsid w:val="00357733"/>
    <w:rsid w:val="00360C0A"/>
    <w:rsid w:val="003610E1"/>
    <w:rsid w:val="00362B70"/>
    <w:rsid w:val="00364DEE"/>
    <w:rsid w:val="00370395"/>
    <w:rsid w:val="0037180D"/>
    <w:rsid w:val="00372B72"/>
    <w:rsid w:val="00373699"/>
    <w:rsid w:val="00373853"/>
    <w:rsid w:val="00375904"/>
    <w:rsid w:val="003761BA"/>
    <w:rsid w:val="00380963"/>
    <w:rsid w:val="00392BBA"/>
    <w:rsid w:val="00392C0C"/>
    <w:rsid w:val="003954FD"/>
    <w:rsid w:val="003A3BEE"/>
    <w:rsid w:val="003A6867"/>
    <w:rsid w:val="003B0227"/>
    <w:rsid w:val="003B19DD"/>
    <w:rsid w:val="003B1E36"/>
    <w:rsid w:val="003B31F4"/>
    <w:rsid w:val="003B4273"/>
    <w:rsid w:val="003B4356"/>
    <w:rsid w:val="003C0DEE"/>
    <w:rsid w:val="003C1B1A"/>
    <w:rsid w:val="003C445C"/>
    <w:rsid w:val="003C5719"/>
    <w:rsid w:val="003C7907"/>
    <w:rsid w:val="003C7B82"/>
    <w:rsid w:val="003D0A96"/>
    <w:rsid w:val="003D0B99"/>
    <w:rsid w:val="003D391F"/>
    <w:rsid w:val="003D392B"/>
    <w:rsid w:val="003D60D7"/>
    <w:rsid w:val="003E0411"/>
    <w:rsid w:val="003E151B"/>
    <w:rsid w:val="003E1C8F"/>
    <w:rsid w:val="003E1CE3"/>
    <w:rsid w:val="003E68FA"/>
    <w:rsid w:val="003E77BC"/>
    <w:rsid w:val="003F17A4"/>
    <w:rsid w:val="003F3B86"/>
    <w:rsid w:val="003F656C"/>
    <w:rsid w:val="004000AE"/>
    <w:rsid w:val="004017A2"/>
    <w:rsid w:val="004049A9"/>
    <w:rsid w:val="0040617C"/>
    <w:rsid w:val="00406D70"/>
    <w:rsid w:val="00407239"/>
    <w:rsid w:val="004109EE"/>
    <w:rsid w:val="00412BB6"/>
    <w:rsid w:val="004147DD"/>
    <w:rsid w:val="004170A0"/>
    <w:rsid w:val="0042084C"/>
    <w:rsid w:val="0042154A"/>
    <w:rsid w:val="00423AA6"/>
    <w:rsid w:val="00425FFB"/>
    <w:rsid w:val="00435CA2"/>
    <w:rsid w:val="00436952"/>
    <w:rsid w:val="004377FF"/>
    <w:rsid w:val="00446977"/>
    <w:rsid w:val="00454E2D"/>
    <w:rsid w:val="004577E7"/>
    <w:rsid w:val="00460240"/>
    <w:rsid w:val="004603B1"/>
    <w:rsid w:val="00462095"/>
    <w:rsid w:val="004637D1"/>
    <w:rsid w:val="00464356"/>
    <w:rsid w:val="00466731"/>
    <w:rsid w:val="00466DD5"/>
    <w:rsid w:val="00467E83"/>
    <w:rsid w:val="0047166A"/>
    <w:rsid w:val="00472133"/>
    <w:rsid w:val="004724C7"/>
    <w:rsid w:val="0047265F"/>
    <w:rsid w:val="00473B71"/>
    <w:rsid w:val="00474210"/>
    <w:rsid w:val="004755FE"/>
    <w:rsid w:val="00475B90"/>
    <w:rsid w:val="00482B81"/>
    <w:rsid w:val="00482D4C"/>
    <w:rsid w:val="00483475"/>
    <w:rsid w:val="004834FA"/>
    <w:rsid w:val="004838E4"/>
    <w:rsid w:val="0048463A"/>
    <w:rsid w:val="00490305"/>
    <w:rsid w:val="00492BF6"/>
    <w:rsid w:val="004974FF"/>
    <w:rsid w:val="004A0234"/>
    <w:rsid w:val="004A10CE"/>
    <w:rsid w:val="004A1638"/>
    <w:rsid w:val="004A27A8"/>
    <w:rsid w:val="004A3018"/>
    <w:rsid w:val="004A4499"/>
    <w:rsid w:val="004B22EB"/>
    <w:rsid w:val="004B3C0F"/>
    <w:rsid w:val="004B4A3C"/>
    <w:rsid w:val="004B70CA"/>
    <w:rsid w:val="004C05E4"/>
    <w:rsid w:val="004C28DF"/>
    <w:rsid w:val="004D06C4"/>
    <w:rsid w:val="004D127C"/>
    <w:rsid w:val="004D36DC"/>
    <w:rsid w:val="004D4AE5"/>
    <w:rsid w:val="004E2EE7"/>
    <w:rsid w:val="004E3590"/>
    <w:rsid w:val="004E39E1"/>
    <w:rsid w:val="004E600B"/>
    <w:rsid w:val="004F00BA"/>
    <w:rsid w:val="004F011F"/>
    <w:rsid w:val="004F03F4"/>
    <w:rsid w:val="004F4C00"/>
    <w:rsid w:val="004F5575"/>
    <w:rsid w:val="004F56D0"/>
    <w:rsid w:val="0050059D"/>
    <w:rsid w:val="00500CF6"/>
    <w:rsid w:val="00501420"/>
    <w:rsid w:val="0050235E"/>
    <w:rsid w:val="00503A99"/>
    <w:rsid w:val="00503E44"/>
    <w:rsid w:val="00506ACD"/>
    <w:rsid w:val="0050777E"/>
    <w:rsid w:val="0051072A"/>
    <w:rsid w:val="00513A3C"/>
    <w:rsid w:val="00513FE8"/>
    <w:rsid w:val="0051429B"/>
    <w:rsid w:val="00515283"/>
    <w:rsid w:val="00515ADD"/>
    <w:rsid w:val="005215FC"/>
    <w:rsid w:val="005227CE"/>
    <w:rsid w:val="005231C5"/>
    <w:rsid w:val="00533926"/>
    <w:rsid w:val="00537FB7"/>
    <w:rsid w:val="005411D1"/>
    <w:rsid w:val="00542873"/>
    <w:rsid w:val="00547C14"/>
    <w:rsid w:val="005506D0"/>
    <w:rsid w:val="005510F0"/>
    <w:rsid w:val="005522EA"/>
    <w:rsid w:val="00552BD0"/>
    <w:rsid w:val="00553E5F"/>
    <w:rsid w:val="0055675D"/>
    <w:rsid w:val="0055724D"/>
    <w:rsid w:val="005573C4"/>
    <w:rsid w:val="005576C0"/>
    <w:rsid w:val="00561527"/>
    <w:rsid w:val="00562545"/>
    <w:rsid w:val="005669B6"/>
    <w:rsid w:val="00566BB5"/>
    <w:rsid w:val="00566C1A"/>
    <w:rsid w:val="00566E8F"/>
    <w:rsid w:val="005709DE"/>
    <w:rsid w:val="005726BA"/>
    <w:rsid w:val="00573525"/>
    <w:rsid w:val="00573FFC"/>
    <w:rsid w:val="0057422E"/>
    <w:rsid w:val="00575F23"/>
    <w:rsid w:val="00580B3A"/>
    <w:rsid w:val="005833BE"/>
    <w:rsid w:val="005850FF"/>
    <w:rsid w:val="005858FB"/>
    <w:rsid w:val="00590DEE"/>
    <w:rsid w:val="005926EF"/>
    <w:rsid w:val="00592987"/>
    <w:rsid w:val="0059302A"/>
    <w:rsid w:val="00593686"/>
    <w:rsid w:val="005A2572"/>
    <w:rsid w:val="005B3AF1"/>
    <w:rsid w:val="005B3DA2"/>
    <w:rsid w:val="005C032C"/>
    <w:rsid w:val="005C2E87"/>
    <w:rsid w:val="005C5B8A"/>
    <w:rsid w:val="005C73D6"/>
    <w:rsid w:val="005D2168"/>
    <w:rsid w:val="005D3CC9"/>
    <w:rsid w:val="005D5FB7"/>
    <w:rsid w:val="005D7D5A"/>
    <w:rsid w:val="005D7E35"/>
    <w:rsid w:val="005E0E5F"/>
    <w:rsid w:val="005E1D77"/>
    <w:rsid w:val="005E33C5"/>
    <w:rsid w:val="005E4792"/>
    <w:rsid w:val="005E4BAC"/>
    <w:rsid w:val="005E4E67"/>
    <w:rsid w:val="005E580A"/>
    <w:rsid w:val="005E61E8"/>
    <w:rsid w:val="005E7BB6"/>
    <w:rsid w:val="005F0ABE"/>
    <w:rsid w:val="005F1BC2"/>
    <w:rsid w:val="005F2ABF"/>
    <w:rsid w:val="005F2DC9"/>
    <w:rsid w:val="005F4601"/>
    <w:rsid w:val="0060005E"/>
    <w:rsid w:val="0060130D"/>
    <w:rsid w:val="00601824"/>
    <w:rsid w:val="00606671"/>
    <w:rsid w:val="0060686B"/>
    <w:rsid w:val="006100E5"/>
    <w:rsid w:val="00612329"/>
    <w:rsid w:val="006135D9"/>
    <w:rsid w:val="006137A6"/>
    <w:rsid w:val="00613B16"/>
    <w:rsid w:val="00615574"/>
    <w:rsid w:val="00615FDE"/>
    <w:rsid w:val="00623F9C"/>
    <w:rsid w:val="006243C6"/>
    <w:rsid w:val="00630893"/>
    <w:rsid w:val="0064129F"/>
    <w:rsid w:val="0064309D"/>
    <w:rsid w:val="00643AE2"/>
    <w:rsid w:val="00647BB7"/>
    <w:rsid w:val="00647C68"/>
    <w:rsid w:val="006503AE"/>
    <w:rsid w:val="00652B56"/>
    <w:rsid w:val="00660F56"/>
    <w:rsid w:val="00662538"/>
    <w:rsid w:val="006646FB"/>
    <w:rsid w:val="006711DF"/>
    <w:rsid w:val="00672DD9"/>
    <w:rsid w:val="00680297"/>
    <w:rsid w:val="0068046D"/>
    <w:rsid w:val="00680871"/>
    <w:rsid w:val="0068341F"/>
    <w:rsid w:val="00683956"/>
    <w:rsid w:val="00684997"/>
    <w:rsid w:val="006873CE"/>
    <w:rsid w:val="0069154D"/>
    <w:rsid w:val="0069205F"/>
    <w:rsid w:val="0069349E"/>
    <w:rsid w:val="00695BCB"/>
    <w:rsid w:val="00697F8E"/>
    <w:rsid w:val="006A0786"/>
    <w:rsid w:val="006A11D6"/>
    <w:rsid w:val="006A7B29"/>
    <w:rsid w:val="006B520A"/>
    <w:rsid w:val="006B523A"/>
    <w:rsid w:val="006C170A"/>
    <w:rsid w:val="006C20E9"/>
    <w:rsid w:val="006D0113"/>
    <w:rsid w:val="006D10EC"/>
    <w:rsid w:val="006D478B"/>
    <w:rsid w:val="006D4DAA"/>
    <w:rsid w:val="006D5BDB"/>
    <w:rsid w:val="006D60D0"/>
    <w:rsid w:val="006D636F"/>
    <w:rsid w:val="006D672B"/>
    <w:rsid w:val="006E04DB"/>
    <w:rsid w:val="006E0852"/>
    <w:rsid w:val="006E0CBA"/>
    <w:rsid w:val="006E3AB4"/>
    <w:rsid w:val="006E4DFB"/>
    <w:rsid w:val="006E6321"/>
    <w:rsid w:val="006E7036"/>
    <w:rsid w:val="006F06C1"/>
    <w:rsid w:val="006F683C"/>
    <w:rsid w:val="006F6C2A"/>
    <w:rsid w:val="006F74AB"/>
    <w:rsid w:val="00700103"/>
    <w:rsid w:val="0070169C"/>
    <w:rsid w:val="00701F57"/>
    <w:rsid w:val="0070316C"/>
    <w:rsid w:val="0070393C"/>
    <w:rsid w:val="00704CCA"/>
    <w:rsid w:val="00705171"/>
    <w:rsid w:val="007053B0"/>
    <w:rsid w:val="00710E94"/>
    <w:rsid w:val="00712813"/>
    <w:rsid w:val="00720D4B"/>
    <w:rsid w:val="00721124"/>
    <w:rsid w:val="00723583"/>
    <w:rsid w:val="00726CC4"/>
    <w:rsid w:val="00727D8A"/>
    <w:rsid w:val="00730DA8"/>
    <w:rsid w:val="007318E0"/>
    <w:rsid w:val="00731FEA"/>
    <w:rsid w:val="007323F4"/>
    <w:rsid w:val="00734CA5"/>
    <w:rsid w:val="00735921"/>
    <w:rsid w:val="0073599B"/>
    <w:rsid w:val="00735FA3"/>
    <w:rsid w:val="00736F61"/>
    <w:rsid w:val="00740E6F"/>
    <w:rsid w:val="0074185E"/>
    <w:rsid w:val="00742253"/>
    <w:rsid w:val="00743274"/>
    <w:rsid w:val="007436F0"/>
    <w:rsid w:val="00743C5D"/>
    <w:rsid w:val="0074422A"/>
    <w:rsid w:val="00746E5B"/>
    <w:rsid w:val="0074728E"/>
    <w:rsid w:val="00757B95"/>
    <w:rsid w:val="00760FC1"/>
    <w:rsid w:val="00761CC5"/>
    <w:rsid w:val="007662C7"/>
    <w:rsid w:val="00770017"/>
    <w:rsid w:val="00772FAF"/>
    <w:rsid w:val="00773083"/>
    <w:rsid w:val="00775358"/>
    <w:rsid w:val="00776306"/>
    <w:rsid w:val="007816E2"/>
    <w:rsid w:val="00782281"/>
    <w:rsid w:val="00791E8C"/>
    <w:rsid w:val="00792429"/>
    <w:rsid w:val="00794AE0"/>
    <w:rsid w:val="007A1887"/>
    <w:rsid w:val="007A33F8"/>
    <w:rsid w:val="007A346A"/>
    <w:rsid w:val="007A55A7"/>
    <w:rsid w:val="007A57BC"/>
    <w:rsid w:val="007B0B3A"/>
    <w:rsid w:val="007B1F10"/>
    <w:rsid w:val="007B2143"/>
    <w:rsid w:val="007B335E"/>
    <w:rsid w:val="007B4A9D"/>
    <w:rsid w:val="007C129D"/>
    <w:rsid w:val="007C137D"/>
    <w:rsid w:val="007C2261"/>
    <w:rsid w:val="007C521B"/>
    <w:rsid w:val="007C7D64"/>
    <w:rsid w:val="007D2AD0"/>
    <w:rsid w:val="007D6771"/>
    <w:rsid w:val="007E018D"/>
    <w:rsid w:val="007E024D"/>
    <w:rsid w:val="007E0CEA"/>
    <w:rsid w:val="007E6A45"/>
    <w:rsid w:val="007F1B71"/>
    <w:rsid w:val="007F7415"/>
    <w:rsid w:val="0080320B"/>
    <w:rsid w:val="0080492C"/>
    <w:rsid w:val="0080768F"/>
    <w:rsid w:val="00807E7D"/>
    <w:rsid w:val="008145BA"/>
    <w:rsid w:val="00815AFF"/>
    <w:rsid w:val="00817A70"/>
    <w:rsid w:val="00822EFB"/>
    <w:rsid w:val="00824996"/>
    <w:rsid w:val="008249BE"/>
    <w:rsid w:val="00831675"/>
    <w:rsid w:val="00831F48"/>
    <w:rsid w:val="00833654"/>
    <w:rsid w:val="008343FA"/>
    <w:rsid w:val="0083512A"/>
    <w:rsid w:val="00836077"/>
    <w:rsid w:val="008404AD"/>
    <w:rsid w:val="00844849"/>
    <w:rsid w:val="00845A80"/>
    <w:rsid w:val="0084680D"/>
    <w:rsid w:val="008515FB"/>
    <w:rsid w:val="00851A22"/>
    <w:rsid w:val="00853337"/>
    <w:rsid w:val="008546B2"/>
    <w:rsid w:val="008552D6"/>
    <w:rsid w:val="00855DA3"/>
    <w:rsid w:val="00860BB5"/>
    <w:rsid w:val="00862443"/>
    <w:rsid w:val="00877071"/>
    <w:rsid w:val="008779B4"/>
    <w:rsid w:val="00877A2F"/>
    <w:rsid w:val="00880B67"/>
    <w:rsid w:val="0088138D"/>
    <w:rsid w:val="00883863"/>
    <w:rsid w:val="0088467C"/>
    <w:rsid w:val="008853B9"/>
    <w:rsid w:val="00885AA3"/>
    <w:rsid w:val="008919E0"/>
    <w:rsid w:val="00891F21"/>
    <w:rsid w:val="00892D3B"/>
    <w:rsid w:val="00894579"/>
    <w:rsid w:val="008A2BDB"/>
    <w:rsid w:val="008A5B67"/>
    <w:rsid w:val="008A5CCD"/>
    <w:rsid w:val="008A6A6D"/>
    <w:rsid w:val="008B29E7"/>
    <w:rsid w:val="008B2C4E"/>
    <w:rsid w:val="008B33DF"/>
    <w:rsid w:val="008B5C0B"/>
    <w:rsid w:val="008C2216"/>
    <w:rsid w:val="008D05CE"/>
    <w:rsid w:val="008D07E2"/>
    <w:rsid w:val="008D16F7"/>
    <w:rsid w:val="008D40FA"/>
    <w:rsid w:val="008D4835"/>
    <w:rsid w:val="008E1427"/>
    <w:rsid w:val="008E52C7"/>
    <w:rsid w:val="008E54FD"/>
    <w:rsid w:val="008E5A1D"/>
    <w:rsid w:val="008F0C50"/>
    <w:rsid w:val="008F0F01"/>
    <w:rsid w:val="008F2529"/>
    <w:rsid w:val="008F4AD1"/>
    <w:rsid w:val="008F74B6"/>
    <w:rsid w:val="008F778A"/>
    <w:rsid w:val="00902ED6"/>
    <w:rsid w:val="0090320B"/>
    <w:rsid w:val="00906037"/>
    <w:rsid w:val="00911FF9"/>
    <w:rsid w:val="0091280A"/>
    <w:rsid w:val="009143A0"/>
    <w:rsid w:val="0091531B"/>
    <w:rsid w:val="00921B5A"/>
    <w:rsid w:val="00921CA0"/>
    <w:rsid w:val="00925124"/>
    <w:rsid w:val="00925635"/>
    <w:rsid w:val="009257E4"/>
    <w:rsid w:val="009259B1"/>
    <w:rsid w:val="00925ADE"/>
    <w:rsid w:val="00927C59"/>
    <w:rsid w:val="00931881"/>
    <w:rsid w:val="00932270"/>
    <w:rsid w:val="0093312D"/>
    <w:rsid w:val="0093421F"/>
    <w:rsid w:val="00936902"/>
    <w:rsid w:val="00937747"/>
    <w:rsid w:val="0093793B"/>
    <w:rsid w:val="00942170"/>
    <w:rsid w:val="00942649"/>
    <w:rsid w:val="00943C7C"/>
    <w:rsid w:val="009441BC"/>
    <w:rsid w:val="0094486D"/>
    <w:rsid w:val="0094536F"/>
    <w:rsid w:val="00946DDF"/>
    <w:rsid w:val="00950CF6"/>
    <w:rsid w:val="00950E58"/>
    <w:rsid w:val="0095169F"/>
    <w:rsid w:val="00952DF0"/>
    <w:rsid w:val="00954679"/>
    <w:rsid w:val="009552FE"/>
    <w:rsid w:val="009553F4"/>
    <w:rsid w:val="00955673"/>
    <w:rsid w:val="009562E9"/>
    <w:rsid w:val="00960E7C"/>
    <w:rsid w:val="009637C8"/>
    <w:rsid w:val="00963DB3"/>
    <w:rsid w:val="009643A3"/>
    <w:rsid w:val="009655DA"/>
    <w:rsid w:val="00965BBC"/>
    <w:rsid w:val="009673D0"/>
    <w:rsid w:val="00972823"/>
    <w:rsid w:val="00974996"/>
    <w:rsid w:val="00976978"/>
    <w:rsid w:val="00977DE0"/>
    <w:rsid w:val="00983CCD"/>
    <w:rsid w:val="00986C1E"/>
    <w:rsid w:val="0098737D"/>
    <w:rsid w:val="00990BE6"/>
    <w:rsid w:val="00997952"/>
    <w:rsid w:val="009A2167"/>
    <w:rsid w:val="009A3DA4"/>
    <w:rsid w:val="009A49F0"/>
    <w:rsid w:val="009A5307"/>
    <w:rsid w:val="009B007C"/>
    <w:rsid w:val="009B2258"/>
    <w:rsid w:val="009B374B"/>
    <w:rsid w:val="009B4A1A"/>
    <w:rsid w:val="009B7A38"/>
    <w:rsid w:val="009B7D18"/>
    <w:rsid w:val="009C0051"/>
    <w:rsid w:val="009C1EB9"/>
    <w:rsid w:val="009C6A1E"/>
    <w:rsid w:val="009D2F0C"/>
    <w:rsid w:val="009D477C"/>
    <w:rsid w:val="009E27A5"/>
    <w:rsid w:val="009E2F86"/>
    <w:rsid w:val="009E4B59"/>
    <w:rsid w:val="009E622F"/>
    <w:rsid w:val="00A00034"/>
    <w:rsid w:val="00A00818"/>
    <w:rsid w:val="00A040B8"/>
    <w:rsid w:val="00A10828"/>
    <w:rsid w:val="00A12209"/>
    <w:rsid w:val="00A15317"/>
    <w:rsid w:val="00A15C41"/>
    <w:rsid w:val="00A17755"/>
    <w:rsid w:val="00A229EA"/>
    <w:rsid w:val="00A22E29"/>
    <w:rsid w:val="00A31484"/>
    <w:rsid w:val="00A31681"/>
    <w:rsid w:val="00A34CA4"/>
    <w:rsid w:val="00A35636"/>
    <w:rsid w:val="00A36DF3"/>
    <w:rsid w:val="00A4314F"/>
    <w:rsid w:val="00A4441D"/>
    <w:rsid w:val="00A4533B"/>
    <w:rsid w:val="00A50D5E"/>
    <w:rsid w:val="00A5150F"/>
    <w:rsid w:val="00A532B8"/>
    <w:rsid w:val="00A532DD"/>
    <w:rsid w:val="00A5522E"/>
    <w:rsid w:val="00A57266"/>
    <w:rsid w:val="00A649B6"/>
    <w:rsid w:val="00A74B90"/>
    <w:rsid w:val="00A75567"/>
    <w:rsid w:val="00A760F0"/>
    <w:rsid w:val="00A80BCF"/>
    <w:rsid w:val="00A81EAB"/>
    <w:rsid w:val="00A825D1"/>
    <w:rsid w:val="00A8369C"/>
    <w:rsid w:val="00A849B7"/>
    <w:rsid w:val="00A86579"/>
    <w:rsid w:val="00A90212"/>
    <w:rsid w:val="00A90C40"/>
    <w:rsid w:val="00A90CC4"/>
    <w:rsid w:val="00A9401D"/>
    <w:rsid w:val="00AA1689"/>
    <w:rsid w:val="00AA496F"/>
    <w:rsid w:val="00AA5770"/>
    <w:rsid w:val="00AA6FAF"/>
    <w:rsid w:val="00AA70DB"/>
    <w:rsid w:val="00AA753A"/>
    <w:rsid w:val="00AB2E70"/>
    <w:rsid w:val="00AB33C1"/>
    <w:rsid w:val="00AB3E03"/>
    <w:rsid w:val="00AB5657"/>
    <w:rsid w:val="00AB7D9A"/>
    <w:rsid w:val="00AC1D15"/>
    <w:rsid w:val="00AC361D"/>
    <w:rsid w:val="00AC4EFF"/>
    <w:rsid w:val="00AC6868"/>
    <w:rsid w:val="00AD38A4"/>
    <w:rsid w:val="00AD44C6"/>
    <w:rsid w:val="00AD46F4"/>
    <w:rsid w:val="00AD6BF3"/>
    <w:rsid w:val="00AE09BF"/>
    <w:rsid w:val="00AE27C1"/>
    <w:rsid w:val="00AE460D"/>
    <w:rsid w:val="00AE4C8E"/>
    <w:rsid w:val="00AE7F82"/>
    <w:rsid w:val="00AF7AEF"/>
    <w:rsid w:val="00B02BEB"/>
    <w:rsid w:val="00B051F6"/>
    <w:rsid w:val="00B064CC"/>
    <w:rsid w:val="00B07B0C"/>
    <w:rsid w:val="00B104DC"/>
    <w:rsid w:val="00B10C4B"/>
    <w:rsid w:val="00B120F9"/>
    <w:rsid w:val="00B20F7C"/>
    <w:rsid w:val="00B23CDB"/>
    <w:rsid w:val="00B24854"/>
    <w:rsid w:val="00B25563"/>
    <w:rsid w:val="00B25565"/>
    <w:rsid w:val="00B26D48"/>
    <w:rsid w:val="00B2789F"/>
    <w:rsid w:val="00B33820"/>
    <w:rsid w:val="00B33A36"/>
    <w:rsid w:val="00B37A9D"/>
    <w:rsid w:val="00B40949"/>
    <w:rsid w:val="00B40D80"/>
    <w:rsid w:val="00B41F7B"/>
    <w:rsid w:val="00B42EE1"/>
    <w:rsid w:val="00B47A59"/>
    <w:rsid w:val="00B52E1A"/>
    <w:rsid w:val="00B5349B"/>
    <w:rsid w:val="00B55AE1"/>
    <w:rsid w:val="00B5649C"/>
    <w:rsid w:val="00B5669B"/>
    <w:rsid w:val="00B62F15"/>
    <w:rsid w:val="00B63721"/>
    <w:rsid w:val="00B7138A"/>
    <w:rsid w:val="00B76E55"/>
    <w:rsid w:val="00B7741D"/>
    <w:rsid w:val="00B8004A"/>
    <w:rsid w:val="00B8293D"/>
    <w:rsid w:val="00B87A49"/>
    <w:rsid w:val="00B91ECE"/>
    <w:rsid w:val="00B92478"/>
    <w:rsid w:val="00B943FB"/>
    <w:rsid w:val="00B97463"/>
    <w:rsid w:val="00BA13A1"/>
    <w:rsid w:val="00BA25B4"/>
    <w:rsid w:val="00BA6188"/>
    <w:rsid w:val="00BA7A8C"/>
    <w:rsid w:val="00BB205C"/>
    <w:rsid w:val="00BB56D4"/>
    <w:rsid w:val="00BB58FD"/>
    <w:rsid w:val="00BB608E"/>
    <w:rsid w:val="00BB7567"/>
    <w:rsid w:val="00BB76C6"/>
    <w:rsid w:val="00BC2006"/>
    <w:rsid w:val="00BC2677"/>
    <w:rsid w:val="00BC2AF8"/>
    <w:rsid w:val="00BC361A"/>
    <w:rsid w:val="00BC68C2"/>
    <w:rsid w:val="00BC71DD"/>
    <w:rsid w:val="00BD117E"/>
    <w:rsid w:val="00BD2045"/>
    <w:rsid w:val="00BD3450"/>
    <w:rsid w:val="00BD3D7D"/>
    <w:rsid w:val="00BD49F7"/>
    <w:rsid w:val="00BD61A2"/>
    <w:rsid w:val="00BE097F"/>
    <w:rsid w:val="00BE18CC"/>
    <w:rsid w:val="00BE2397"/>
    <w:rsid w:val="00BE484D"/>
    <w:rsid w:val="00BE7186"/>
    <w:rsid w:val="00BF2596"/>
    <w:rsid w:val="00BF5F65"/>
    <w:rsid w:val="00C00568"/>
    <w:rsid w:val="00C00B11"/>
    <w:rsid w:val="00C04D6A"/>
    <w:rsid w:val="00C13973"/>
    <w:rsid w:val="00C17474"/>
    <w:rsid w:val="00C17A2C"/>
    <w:rsid w:val="00C201C9"/>
    <w:rsid w:val="00C24EDE"/>
    <w:rsid w:val="00C34E7F"/>
    <w:rsid w:val="00C35270"/>
    <w:rsid w:val="00C37E05"/>
    <w:rsid w:val="00C4270A"/>
    <w:rsid w:val="00C44283"/>
    <w:rsid w:val="00C46402"/>
    <w:rsid w:val="00C47789"/>
    <w:rsid w:val="00C52172"/>
    <w:rsid w:val="00C52F78"/>
    <w:rsid w:val="00C55D29"/>
    <w:rsid w:val="00C5692E"/>
    <w:rsid w:val="00C56F2E"/>
    <w:rsid w:val="00C60718"/>
    <w:rsid w:val="00C61021"/>
    <w:rsid w:val="00C619BC"/>
    <w:rsid w:val="00C62B3A"/>
    <w:rsid w:val="00C62BEE"/>
    <w:rsid w:val="00C63341"/>
    <w:rsid w:val="00C63973"/>
    <w:rsid w:val="00C7175D"/>
    <w:rsid w:val="00C822AB"/>
    <w:rsid w:val="00C83DB6"/>
    <w:rsid w:val="00C84FA0"/>
    <w:rsid w:val="00C85BEA"/>
    <w:rsid w:val="00C86F6D"/>
    <w:rsid w:val="00C9080F"/>
    <w:rsid w:val="00C908D8"/>
    <w:rsid w:val="00C948D8"/>
    <w:rsid w:val="00C96E14"/>
    <w:rsid w:val="00CA0BE9"/>
    <w:rsid w:val="00CA138D"/>
    <w:rsid w:val="00CA1AD9"/>
    <w:rsid w:val="00CA57D9"/>
    <w:rsid w:val="00CA5D67"/>
    <w:rsid w:val="00CB1CC4"/>
    <w:rsid w:val="00CB2D12"/>
    <w:rsid w:val="00CB680D"/>
    <w:rsid w:val="00CB684F"/>
    <w:rsid w:val="00CB6E4D"/>
    <w:rsid w:val="00CC220F"/>
    <w:rsid w:val="00CC2AFE"/>
    <w:rsid w:val="00CC549E"/>
    <w:rsid w:val="00CC5ED5"/>
    <w:rsid w:val="00CC7035"/>
    <w:rsid w:val="00CC7641"/>
    <w:rsid w:val="00CD34BF"/>
    <w:rsid w:val="00CE0B46"/>
    <w:rsid w:val="00CE4EFB"/>
    <w:rsid w:val="00CE4F62"/>
    <w:rsid w:val="00CE5A54"/>
    <w:rsid w:val="00CE6003"/>
    <w:rsid w:val="00CE64F4"/>
    <w:rsid w:val="00CE7D19"/>
    <w:rsid w:val="00CF0681"/>
    <w:rsid w:val="00CF0A1A"/>
    <w:rsid w:val="00CF154A"/>
    <w:rsid w:val="00CF2515"/>
    <w:rsid w:val="00CF3D85"/>
    <w:rsid w:val="00CF3E79"/>
    <w:rsid w:val="00CF597E"/>
    <w:rsid w:val="00CF7E81"/>
    <w:rsid w:val="00D0467E"/>
    <w:rsid w:val="00D05EDB"/>
    <w:rsid w:val="00D0668B"/>
    <w:rsid w:val="00D074A2"/>
    <w:rsid w:val="00D10943"/>
    <w:rsid w:val="00D1300C"/>
    <w:rsid w:val="00D1369E"/>
    <w:rsid w:val="00D13794"/>
    <w:rsid w:val="00D20B8A"/>
    <w:rsid w:val="00D218E7"/>
    <w:rsid w:val="00D21947"/>
    <w:rsid w:val="00D24052"/>
    <w:rsid w:val="00D24386"/>
    <w:rsid w:val="00D251F3"/>
    <w:rsid w:val="00D31575"/>
    <w:rsid w:val="00D31A89"/>
    <w:rsid w:val="00D34626"/>
    <w:rsid w:val="00D34FB4"/>
    <w:rsid w:val="00D359BA"/>
    <w:rsid w:val="00D374BC"/>
    <w:rsid w:val="00D4257A"/>
    <w:rsid w:val="00D456A9"/>
    <w:rsid w:val="00D516C6"/>
    <w:rsid w:val="00D525F8"/>
    <w:rsid w:val="00D52798"/>
    <w:rsid w:val="00D5468A"/>
    <w:rsid w:val="00D56F57"/>
    <w:rsid w:val="00D6019A"/>
    <w:rsid w:val="00D61745"/>
    <w:rsid w:val="00D62665"/>
    <w:rsid w:val="00D645AC"/>
    <w:rsid w:val="00D66430"/>
    <w:rsid w:val="00D66C71"/>
    <w:rsid w:val="00D66D7C"/>
    <w:rsid w:val="00D70205"/>
    <w:rsid w:val="00D735EF"/>
    <w:rsid w:val="00D7609F"/>
    <w:rsid w:val="00D763AE"/>
    <w:rsid w:val="00D76575"/>
    <w:rsid w:val="00D80875"/>
    <w:rsid w:val="00D81AA7"/>
    <w:rsid w:val="00D82467"/>
    <w:rsid w:val="00D82E47"/>
    <w:rsid w:val="00D84A01"/>
    <w:rsid w:val="00D84F98"/>
    <w:rsid w:val="00D90ED9"/>
    <w:rsid w:val="00D93B5E"/>
    <w:rsid w:val="00D9655D"/>
    <w:rsid w:val="00D971F2"/>
    <w:rsid w:val="00D977EA"/>
    <w:rsid w:val="00DA2B34"/>
    <w:rsid w:val="00DA578D"/>
    <w:rsid w:val="00DA622D"/>
    <w:rsid w:val="00DA6A26"/>
    <w:rsid w:val="00DA7391"/>
    <w:rsid w:val="00DB148C"/>
    <w:rsid w:val="00DB1A31"/>
    <w:rsid w:val="00DB202E"/>
    <w:rsid w:val="00DB4BFC"/>
    <w:rsid w:val="00DB4F78"/>
    <w:rsid w:val="00DC0163"/>
    <w:rsid w:val="00DC027B"/>
    <w:rsid w:val="00DC0CDE"/>
    <w:rsid w:val="00DC1A85"/>
    <w:rsid w:val="00DC498E"/>
    <w:rsid w:val="00DC4D72"/>
    <w:rsid w:val="00DC62CC"/>
    <w:rsid w:val="00DC6525"/>
    <w:rsid w:val="00DC7018"/>
    <w:rsid w:val="00DC7F5F"/>
    <w:rsid w:val="00DD12B0"/>
    <w:rsid w:val="00DD43AD"/>
    <w:rsid w:val="00DD447A"/>
    <w:rsid w:val="00DD5610"/>
    <w:rsid w:val="00DE1410"/>
    <w:rsid w:val="00DF0CB3"/>
    <w:rsid w:val="00DF0FBE"/>
    <w:rsid w:val="00DF494C"/>
    <w:rsid w:val="00DF6D0B"/>
    <w:rsid w:val="00DF712B"/>
    <w:rsid w:val="00DF7E0D"/>
    <w:rsid w:val="00E01C8F"/>
    <w:rsid w:val="00E01D09"/>
    <w:rsid w:val="00E01EC0"/>
    <w:rsid w:val="00E0624D"/>
    <w:rsid w:val="00E0636D"/>
    <w:rsid w:val="00E179D4"/>
    <w:rsid w:val="00E17DCA"/>
    <w:rsid w:val="00E20023"/>
    <w:rsid w:val="00E231BD"/>
    <w:rsid w:val="00E308A4"/>
    <w:rsid w:val="00E30DB9"/>
    <w:rsid w:val="00E353A3"/>
    <w:rsid w:val="00E3574D"/>
    <w:rsid w:val="00E35C9D"/>
    <w:rsid w:val="00E365C2"/>
    <w:rsid w:val="00E37FF7"/>
    <w:rsid w:val="00E42A44"/>
    <w:rsid w:val="00E42B44"/>
    <w:rsid w:val="00E4438C"/>
    <w:rsid w:val="00E457F3"/>
    <w:rsid w:val="00E4732C"/>
    <w:rsid w:val="00E50663"/>
    <w:rsid w:val="00E528F8"/>
    <w:rsid w:val="00E54869"/>
    <w:rsid w:val="00E55000"/>
    <w:rsid w:val="00E55F9B"/>
    <w:rsid w:val="00E576F5"/>
    <w:rsid w:val="00E57A6A"/>
    <w:rsid w:val="00E70FC2"/>
    <w:rsid w:val="00E73CC1"/>
    <w:rsid w:val="00E80B15"/>
    <w:rsid w:val="00E85947"/>
    <w:rsid w:val="00E86357"/>
    <w:rsid w:val="00E86FE0"/>
    <w:rsid w:val="00E87284"/>
    <w:rsid w:val="00E905AB"/>
    <w:rsid w:val="00E97664"/>
    <w:rsid w:val="00EA0C8A"/>
    <w:rsid w:val="00EA16C4"/>
    <w:rsid w:val="00EA4DD8"/>
    <w:rsid w:val="00EA59A7"/>
    <w:rsid w:val="00EA7959"/>
    <w:rsid w:val="00EB2AEF"/>
    <w:rsid w:val="00EB2BED"/>
    <w:rsid w:val="00EB2E74"/>
    <w:rsid w:val="00EB7E71"/>
    <w:rsid w:val="00EC4253"/>
    <w:rsid w:val="00EC6B7E"/>
    <w:rsid w:val="00ED123E"/>
    <w:rsid w:val="00ED1D0C"/>
    <w:rsid w:val="00ED1F15"/>
    <w:rsid w:val="00ED216B"/>
    <w:rsid w:val="00ED255B"/>
    <w:rsid w:val="00ED570B"/>
    <w:rsid w:val="00EE19CB"/>
    <w:rsid w:val="00EE1FEE"/>
    <w:rsid w:val="00EE535F"/>
    <w:rsid w:val="00EE684D"/>
    <w:rsid w:val="00EF2788"/>
    <w:rsid w:val="00EF2AE8"/>
    <w:rsid w:val="00EF3103"/>
    <w:rsid w:val="00EF356E"/>
    <w:rsid w:val="00EF6E9B"/>
    <w:rsid w:val="00EF7714"/>
    <w:rsid w:val="00F01CA9"/>
    <w:rsid w:val="00F023DB"/>
    <w:rsid w:val="00F032FC"/>
    <w:rsid w:val="00F109D4"/>
    <w:rsid w:val="00F10A6F"/>
    <w:rsid w:val="00F15EE9"/>
    <w:rsid w:val="00F17B76"/>
    <w:rsid w:val="00F17DDF"/>
    <w:rsid w:val="00F2071B"/>
    <w:rsid w:val="00F2167D"/>
    <w:rsid w:val="00F24736"/>
    <w:rsid w:val="00F25670"/>
    <w:rsid w:val="00F25CFF"/>
    <w:rsid w:val="00F27344"/>
    <w:rsid w:val="00F273F6"/>
    <w:rsid w:val="00F3367D"/>
    <w:rsid w:val="00F343AA"/>
    <w:rsid w:val="00F35187"/>
    <w:rsid w:val="00F41196"/>
    <w:rsid w:val="00F4241B"/>
    <w:rsid w:val="00F43B69"/>
    <w:rsid w:val="00F4570D"/>
    <w:rsid w:val="00F46704"/>
    <w:rsid w:val="00F46C17"/>
    <w:rsid w:val="00F47585"/>
    <w:rsid w:val="00F54831"/>
    <w:rsid w:val="00F56AB3"/>
    <w:rsid w:val="00F6249C"/>
    <w:rsid w:val="00F63F21"/>
    <w:rsid w:val="00F678B8"/>
    <w:rsid w:val="00F67EF6"/>
    <w:rsid w:val="00F7078E"/>
    <w:rsid w:val="00F71FBD"/>
    <w:rsid w:val="00F7266B"/>
    <w:rsid w:val="00F75BDB"/>
    <w:rsid w:val="00F81232"/>
    <w:rsid w:val="00F8291C"/>
    <w:rsid w:val="00F84CD3"/>
    <w:rsid w:val="00F85E6F"/>
    <w:rsid w:val="00F93F37"/>
    <w:rsid w:val="00F95449"/>
    <w:rsid w:val="00F97412"/>
    <w:rsid w:val="00FA1357"/>
    <w:rsid w:val="00FA1942"/>
    <w:rsid w:val="00FA380A"/>
    <w:rsid w:val="00FC2220"/>
    <w:rsid w:val="00FC2CB5"/>
    <w:rsid w:val="00FC38D9"/>
    <w:rsid w:val="00FC3A8F"/>
    <w:rsid w:val="00FC43E4"/>
    <w:rsid w:val="00FC4E07"/>
    <w:rsid w:val="00FC595E"/>
    <w:rsid w:val="00FD0B97"/>
    <w:rsid w:val="00FD19F7"/>
    <w:rsid w:val="00FD31B1"/>
    <w:rsid w:val="00FD42B2"/>
    <w:rsid w:val="00FD66FB"/>
    <w:rsid w:val="00FD702E"/>
    <w:rsid w:val="00FD7402"/>
    <w:rsid w:val="00FE04E4"/>
    <w:rsid w:val="00FE12E0"/>
    <w:rsid w:val="00FE2DD7"/>
    <w:rsid w:val="00FE3378"/>
    <w:rsid w:val="00FE4741"/>
    <w:rsid w:val="00FE73F9"/>
    <w:rsid w:val="00FE7B91"/>
    <w:rsid w:val="00FF1057"/>
    <w:rsid w:val="00FF255F"/>
    <w:rsid w:val="00FF3E25"/>
    <w:rsid w:val="00FF5FD8"/>
    <w:rsid w:val="00FF642E"/>
    <w:rsid w:val="088C56B1"/>
    <w:rsid w:val="0DFDB8E4"/>
    <w:rsid w:val="0EA4985D"/>
    <w:rsid w:val="0ED9E711"/>
    <w:rsid w:val="1B4A3FE1"/>
    <w:rsid w:val="3B4568DD"/>
    <w:rsid w:val="3CBE5024"/>
    <w:rsid w:val="4120188F"/>
    <w:rsid w:val="472D9036"/>
    <w:rsid w:val="59059143"/>
    <w:rsid w:val="59B6BB27"/>
    <w:rsid w:val="5E947BBF"/>
    <w:rsid w:val="5FB4E11E"/>
    <w:rsid w:val="66F72B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E06FF"/>
  <w15:docId w15:val="{123151DF-BAAA-47D3-B024-F21A45C1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93D45BFEAF4BD6A06A9CF6355D86DF"/>
        <w:category>
          <w:name w:val="General"/>
          <w:gallery w:val="placeholder"/>
        </w:category>
        <w:types>
          <w:type w:val="bbPlcHdr"/>
        </w:types>
        <w:behaviors>
          <w:behavior w:val="content"/>
        </w:behaviors>
        <w:guid w:val="{309E9AAC-3669-41DF-A78D-475113FAB5B1}"/>
      </w:docPartPr>
      <w:docPartBody>
        <w:p w:rsidR="00562545" w:rsidRDefault="00562545">
          <w:pPr>
            <w:pStyle w:val="6093D45BFEAF4BD6A06A9CF6355D86D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3E"/>
    <w:rsid w:val="001B1923"/>
    <w:rsid w:val="002520D3"/>
    <w:rsid w:val="00451E07"/>
    <w:rsid w:val="004D303E"/>
    <w:rsid w:val="00562545"/>
    <w:rsid w:val="007C4632"/>
    <w:rsid w:val="008A4982"/>
    <w:rsid w:val="00C25374"/>
    <w:rsid w:val="00CB63D2"/>
    <w:rsid w:val="00F152C5"/>
    <w:rsid w:val="00FA6B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45"/>
    <w:rPr>
      <w:color w:val="808080"/>
    </w:rPr>
  </w:style>
  <w:style w:type="paragraph" w:customStyle="1" w:styleId="6093D45BFEAF4BD6A06A9CF6355D86DF">
    <w:name w:val="6093D45BFEAF4BD6A06A9CF6355D8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FBB9676D1EA743BEA488C4AA7B7085" ma:contentTypeVersion="" ma:contentTypeDescription="PDMS Document Site Content Type" ma:contentTypeScope="" ma:versionID="aef27dd67d5d86207a71ea5aeb569927">
  <xsd:schema xmlns:xsd="http://www.w3.org/2001/XMLSchema" xmlns:xs="http://www.w3.org/2001/XMLSchema" xmlns:p="http://schemas.microsoft.com/office/2006/metadata/properties" xmlns:ns2="702E5148-754C-428A-8E8A-1B5AAB19B724" targetNamespace="http://schemas.microsoft.com/office/2006/metadata/properties" ma:root="true" ma:fieldsID="7aa4ca62c0b365414709a46730ea1990" ns2:_="">
    <xsd:import namespace="702E5148-754C-428A-8E8A-1B5AAB19B7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5148-754C-428A-8E8A-1B5AAB19B7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02E5148-754C-428A-8E8A-1B5AAB19B7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FA3B8A0A-BDAB-409B-8002-CB3C5529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5148-754C-428A-8E8A-1B5AAB19B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702E5148-754C-428A-8E8A-1B5AAB19B724"/>
    <ds:schemaRef ds:uri="http://purl.org/dc/elements/1.1/"/>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1287</Words>
  <Characters>6740</Characters>
  <Application>Microsoft Office Word</Application>
  <DocSecurity>4</DocSecurity>
  <Lines>56</Lines>
  <Paragraphs>16</Paragraphs>
  <ScaleCrop>false</ScaleCrop>
  <Company>Treasury</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Lin, Rebecca</dc:creator>
  <cp:keywords/>
  <cp:lastModifiedBy>Morrison, Emily</cp:lastModifiedBy>
  <cp:revision>2</cp:revision>
  <cp:lastPrinted>2019-02-19T13:23:00Z</cp:lastPrinted>
  <dcterms:created xsi:type="dcterms:W3CDTF">2024-02-01T04:52:00Z</dcterms:created>
  <dcterms:modified xsi:type="dcterms:W3CDTF">2024-02-01T04:52:00Z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0x010100266966F133664895A6EE3632470D45F500F1FBB9676D1EA743BEA488C4AA7B7085</vt:lpwstr>
  </property>
  <property fmtid="{D5CDD505-2E9C-101B-9397-08002B2CF9AE}" pid="4" name="TSYRecordClass">
    <vt:lpwstr>1;#AE-20260-Destroy 7 years after action completed|623f5ec9-ec5d-4824-8e13-9c9bfc51fe7e</vt:lpwstr>
  </property>
  <property fmtid="{D5CDD505-2E9C-101B-9397-08002B2CF9AE}" pid="5" name="_dlc_DocIdItemGuid">
    <vt:lpwstr>dc330eb0-0932-43f1-a8dc-3562d240625f</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89;#Competition|81d9f373-20dd-4302-803b-382d7df6488e;#95;#Consumer|061f16b5-21de-40bb-a136-07b896bfb829</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SharedWithUsers">
    <vt:lpwstr>33;#Harry, Ron;#36;#Leggett, Chris</vt:lpwstr>
  </property>
</Properties>
</file>