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3B9B" w14:textId="77777777" w:rsidR="005E317F" w:rsidRPr="00A863C2" w:rsidRDefault="005E317F" w:rsidP="005E317F">
      <w:pPr>
        <w:rPr>
          <w:sz w:val="28"/>
        </w:rPr>
      </w:pPr>
      <w:r w:rsidRPr="00A863C2">
        <w:rPr>
          <w:noProof/>
          <w:lang w:eastAsia="en-AU"/>
        </w:rPr>
        <w:drawing>
          <wp:inline distT="0" distB="0" distL="0" distR="0" wp14:anchorId="44CA090D" wp14:editId="6F0BF16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989607" w14:textId="77777777" w:rsidR="005E317F" w:rsidRPr="00A863C2" w:rsidRDefault="005E317F" w:rsidP="005E317F">
      <w:pPr>
        <w:rPr>
          <w:sz w:val="19"/>
        </w:rPr>
      </w:pPr>
    </w:p>
    <w:p w14:paraId="2BC079E3" w14:textId="3B401936" w:rsidR="005E317F" w:rsidRPr="00A863C2" w:rsidRDefault="00FE147E" w:rsidP="005E317F">
      <w:pPr>
        <w:pStyle w:val="ShortT"/>
      </w:pPr>
      <w:bookmarkStart w:id="0" w:name="_Hlk149655385"/>
      <w:r w:rsidRPr="00A863C2">
        <w:t>Health Insurance (Section 3C General Medical Services – Telehealth and Telephone Attendances) Amendment (N</w:t>
      </w:r>
      <w:r w:rsidR="00462840" w:rsidRPr="00A863C2">
        <w:t xml:space="preserve">o. </w:t>
      </w:r>
      <w:r w:rsidR="0046181A" w:rsidRPr="00A863C2">
        <w:t>1</w:t>
      </w:r>
      <w:r w:rsidRPr="00A863C2">
        <w:t>) Determination 202</w:t>
      </w:r>
      <w:r w:rsidR="0046181A" w:rsidRPr="00A863C2">
        <w:t>4</w:t>
      </w:r>
    </w:p>
    <w:bookmarkEnd w:id="0"/>
    <w:p w14:paraId="1210D029" w14:textId="198D8110" w:rsidR="005E317F" w:rsidRPr="00A863C2" w:rsidRDefault="005E317F" w:rsidP="005E317F">
      <w:pPr>
        <w:pStyle w:val="SignCoverPageStart"/>
        <w:spacing w:before="240"/>
        <w:ind w:right="91"/>
        <w:rPr>
          <w:szCs w:val="22"/>
        </w:rPr>
      </w:pPr>
      <w:r w:rsidRPr="00A863C2">
        <w:rPr>
          <w:szCs w:val="22"/>
        </w:rPr>
        <w:t xml:space="preserve">I, </w:t>
      </w:r>
      <w:r w:rsidR="00D3255F" w:rsidRPr="00A863C2">
        <w:rPr>
          <w:szCs w:val="22"/>
        </w:rPr>
        <w:t>Imogen Colton</w:t>
      </w:r>
      <w:r w:rsidRPr="00A863C2">
        <w:rPr>
          <w:szCs w:val="22"/>
        </w:rPr>
        <w:t>,</w:t>
      </w:r>
      <w:r w:rsidR="00FE147E" w:rsidRPr="00A863C2">
        <w:rPr>
          <w:szCs w:val="22"/>
        </w:rPr>
        <w:t xml:space="preserve"> delegate of the Minister for Health and Aged Care</w:t>
      </w:r>
      <w:r w:rsidRPr="00A863C2">
        <w:rPr>
          <w:szCs w:val="22"/>
        </w:rPr>
        <w:t xml:space="preserve">, make the following </w:t>
      </w:r>
      <w:r w:rsidR="00FE147E" w:rsidRPr="00A863C2">
        <w:rPr>
          <w:szCs w:val="22"/>
        </w:rPr>
        <w:t xml:space="preserve">Determination. </w:t>
      </w:r>
    </w:p>
    <w:p w14:paraId="2A0E6E71" w14:textId="6294A9B1" w:rsidR="005E317F" w:rsidRPr="00A863C2" w:rsidRDefault="005E317F" w:rsidP="005E317F">
      <w:pPr>
        <w:keepNext/>
        <w:spacing w:before="300" w:line="240" w:lineRule="atLeast"/>
        <w:ind w:right="397"/>
        <w:jc w:val="both"/>
        <w:rPr>
          <w:szCs w:val="22"/>
        </w:rPr>
      </w:pPr>
      <w:r w:rsidRPr="00A863C2">
        <w:rPr>
          <w:szCs w:val="22"/>
        </w:rPr>
        <w:t>Dated</w:t>
      </w:r>
      <w:r w:rsidRPr="00A863C2">
        <w:rPr>
          <w:szCs w:val="22"/>
        </w:rPr>
        <w:tab/>
      </w:r>
      <w:r w:rsidR="00AD59D5" w:rsidRPr="00A863C2">
        <w:rPr>
          <w:szCs w:val="22"/>
        </w:rPr>
        <w:t>24</w:t>
      </w:r>
      <w:r w:rsidRPr="00A863C2">
        <w:rPr>
          <w:szCs w:val="22"/>
        </w:rPr>
        <w:tab/>
      </w:r>
      <w:r w:rsidR="00EA1977" w:rsidRPr="00A863C2">
        <w:rPr>
          <w:szCs w:val="22"/>
        </w:rPr>
        <w:t>January 2024</w:t>
      </w:r>
      <w:r w:rsidRPr="00A863C2">
        <w:rPr>
          <w:szCs w:val="22"/>
        </w:rPr>
        <w:tab/>
      </w:r>
    </w:p>
    <w:p w14:paraId="06AFABB6" w14:textId="4F1B0555" w:rsidR="005E317F" w:rsidRPr="00A863C2" w:rsidRDefault="006126A6" w:rsidP="005E317F">
      <w:pPr>
        <w:keepNext/>
        <w:tabs>
          <w:tab w:val="left" w:pos="3402"/>
        </w:tabs>
        <w:spacing w:before="1440" w:line="300" w:lineRule="atLeast"/>
        <w:ind w:right="397"/>
        <w:rPr>
          <w:b/>
          <w:szCs w:val="22"/>
        </w:rPr>
      </w:pPr>
      <w:bookmarkStart w:id="1" w:name="_Hlk151718959"/>
      <w:r w:rsidRPr="00A863C2">
        <w:rPr>
          <w:szCs w:val="22"/>
        </w:rPr>
        <w:t>Imogen Colton</w:t>
      </w:r>
    </w:p>
    <w:p w14:paraId="119AADDA" w14:textId="110BED4D" w:rsidR="00CE6855" w:rsidRPr="00A863C2" w:rsidRDefault="009E7C8A" w:rsidP="005E317F">
      <w:pPr>
        <w:pStyle w:val="SignCoverPageEnd"/>
        <w:ind w:right="91"/>
        <w:rPr>
          <w:sz w:val="22"/>
        </w:rPr>
      </w:pPr>
      <w:r w:rsidRPr="00A863C2">
        <w:rPr>
          <w:sz w:val="22"/>
        </w:rPr>
        <w:t xml:space="preserve">A/g </w:t>
      </w:r>
      <w:r w:rsidR="00CE6855" w:rsidRPr="00A863C2">
        <w:rPr>
          <w:sz w:val="22"/>
        </w:rPr>
        <w:t xml:space="preserve">Assistant Secretary </w:t>
      </w:r>
    </w:p>
    <w:p w14:paraId="46ABF9FA" w14:textId="03DFECB1" w:rsidR="006126A6" w:rsidRPr="00A863C2" w:rsidRDefault="006126A6" w:rsidP="005E317F">
      <w:pPr>
        <w:pStyle w:val="SignCoverPageEnd"/>
        <w:ind w:right="91"/>
        <w:rPr>
          <w:sz w:val="22"/>
        </w:rPr>
      </w:pPr>
      <w:r w:rsidRPr="00A863C2">
        <w:rPr>
          <w:sz w:val="22"/>
        </w:rPr>
        <w:t>MBS Policy and Reviews Branch</w:t>
      </w:r>
    </w:p>
    <w:p w14:paraId="0982CE21" w14:textId="05E1E8C8" w:rsidR="00982540" w:rsidRPr="00A863C2" w:rsidRDefault="00982540" w:rsidP="005E317F">
      <w:pPr>
        <w:pStyle w:val="SignCoverPageEnd"/>
        <w:ind w:right="91"/>
        <w:rPr>
          <w:sz w:val="22"/>
        </w:rPr>
      </w:pPr>
      <w:r w:rsidRPr="00A863C2">
        <w:rPr>
          <w:sz w:val="22"/>
        </w:rPr>
        <w:t xml:space="preserve">Medicare Benefits and Digital Health Division </w:t>
      </w:r>
    </w:p>
    <w:p w14:paraId="3623BB0B" w14:textId="111A2E0A" w:rsidR="00CE6855" w:rsidRPr="00A863C2" w:rsidRDefault="00CE6855" w:rsidP="005E317F">
      <w:pPr>
        <w:pStyle w:val="SignCoverPageEnd"/>
        <w:ind w:right="91"/>
        <w:rPr>
          <w:sz w:val="22"/>
        </w:rPr>
      </w:pPr>
      <w:r w:rsidRPr="00A863C2">
        <w:rPr>
          <w:sz w:val="22"/>
        </w:rPr>
        <w:t>Health Resourcing Group</w:t>
      </w:r>
    </w:p>
    <w:p w14:paraId="1C5B239C" w14:textId="59EEA94F" w:rsidR="005E317F" w:rsidRPr="00A863C2" w:rsidRDefault="00CE6855" w:rsidP="005E317F">
      <w:pPr>
        <w:pStyle w:val="SignCoverPageEnd"/>
        <w:ind w:right="91"/>
        <w:rPr>
          <w:sz w:val="22"/>
        </w:rPr>
      </w:pPr>
      <w:r w:rsidRPr="00A863C2">
        <w:rPr>
          <w:sz w:val="22"/>
        </w:rPr>
        <w:t>Department of Health and Aged Care</w:t>
      </w:r>
    </w:p>
    <w:bookmarkEnd w:id="1"/>
    <w:p w14:paraId="6F71DDE1" w14:textId="77777777" w:rsidR="00B20990" w:rsidRPr="00A863C2" w:rsidRDefault="00B20990" w:rsidP="00B20990"/>
    <w:p w14:paraId="7E59E224" w14:textId="77777777" w:rsidR="00B20990" w:rsidRPr="00A863C2" w:rsidRDefault="00B20990" w:rsidP="00B20990">
      <w:pPr>
        <w:sectPr w:rsidR="00B20990" w:rsidRPr="00A863C2"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59458460" w14:textId="77777777" w:rsidR="00B20990" w:rsidRPr="00A863C2" w:rsidRDefault="00B20990" w:rsidP="00B20990">
      <w:pPr>
        <w:outlineLvl w:val="0"/>
        <w:rPr>
          <w:sz w:val="36"/>
        </w:rPr>
      </w:pPr>
      <w:r w:rsidRPr="00A863C2">
        <w:rPr>
          <w:sz w:val="36"/>
        </w:rPr>
        <w:lastRenderedPageBreak/>
        <w:t>Contents</w:t>
      </w:r>
    </w:p>
    <w:bookmarkStart w:id="2" w:name="BKCheck15B_2"/>
    <w:bookmarkEnd w:id="2"/>
    <w:p w14:paraId="58DE46D0" w14:textId="166D36C0" w:rsidR="00D01BA4" w:rsidRPr="00A863C2" w:rsidRDefault="00B20990">
      <w:pPr>
        <w:pStyle w:val="TOC5"/>
        <w:rPr>
          <w:rFonts w:asciiTheme="minorHAnsi" w:eastAsiaTheme="minorEastAsia" w:hAnsiTheme="minorHAnsi" w:cstheme="minorBidi"/>
          <w:noProof/>
          <w:kern w:val="0"/>
          <w:sz w:val="22"/>
          <w:szCs w:val="22"/>
        </w:rPr>
      </w:pPr>
      <w:r w:rsidRPr="00A863C2">
        <w:fldChar w:fldCharType="begin"/>
      </w:r>
      <w:r w:rsidRPr="00A863C2">
        <w:instrText xml:space="preserve"> TOC \o "1-9" </w:instrText>
      </w:r>
      <w:r w:rsidRPr="00A863C2">
        <w:fldChar w:fldCharType="separate"/>
      </w:r>
      <w:r w:rsidR="00D01BA4" w:rsidRPr="00A863C2">
        <w:rPr>
          <w:noProof/>
        </w:rPr>
        <w:t>1  Name</w:t>
      </w:r>
      <w:r w:rsidR="00D01BA4" w:rsidRPr="00A863C2">
        <w:rPr>
          <w:noProof/>
        </w:rPr>
        <w:tab/>
      </w:r>
      <w:r w:rsidR="00D01BA4" w:rsidRPr="00A863C2">
        <w:rPr>
          <w:noProof/>
        </w:rPr>
        <w:fldChar w:fldCharType="begin"/>
      </w:r>
      <w:r w:rsidR="00D01BA4" w:rsidRPr="00A863C2">
        <w:rPr>
          <w:noProof/>
        </w:rPr>
        <w:instrText xml:space="preserve"> PAGEREF _Toc152143922 \h </w:instrText>
      </w:r>
      <w:r w:rsidR="00D01BA4" w:rsidRPr="00A863C2">
        <w:rPr>
          <w:noProof/>
        </w:rPr>
      </w:r>
      <w:r w:rsidR="00D01BA4" w:rsidRPr="00A863C2">
        <w:rPr>
          <w:noProof/>
        </w:rPr>
        <w:fldChar w:fldCharType="separate"/>
      </w:r>
      <w:r w:rsidR="008061A4" w:rsidRPr="00A863C2">
        <w:rPr>
          <w:noProof/>
        </w:rPr>
        <w:t>1</w:t>
      </w:r>
      <w:r w:rsidR="00D01BA4" w:rsidRPr="00A863C2">
        <w:rPr>
          <w:noProof/>
        </w:rPr>
        <w:fldChar w:fldCharType="end"/>
      </w:r>
    </w:p>
    <w:p w14:paraId="624F7918" w14:textId="275DE1E2" w:rsidR="00D01BA4" w:rsidRPr="00A863C2" w:rsidRDefault="00D01BA4">
      <w:pPr>
        <w:pStyle w:val="TOC5"/>
        <w:rPr>
          <w:rFonts w:asciiTheme="minorHAnsi" w:eastAsiaTheme="minorEastAsia" w:hAnsiTheme="minorHAnsi" w:cstheme="minorBidi"/>
          <w:noProof/>
          <w:kern w:val="0"/>
          <w:sz w:val="22"/>
          <w:szCs w:val="22"/>
        </w:rPr>
      </w:pPr>
      <w:r w:rsidRPr="00A863C2">
        <w:rPr>
          <w:noProof/>
        </w:rPr>
        <w:t>2  Commencement</w:t>
      </w:r>
      <w:r w:rsidRPr="00A863C2">
        <w:rPr>
          <w:noProof/>
        </w:rPr>
        <w:tab/>
      </w:r>
      <w:r w:rsidRPr="00A863C2">
        <w:rPr>
          <w:noProof/>
        </w:rPr>
        <w:fldChar w:fldCharType="begin"/>
      </w:r>
      <w:r w:rsidRPr="00A863C2">
        <w:rPr>
          <w:noProof/>
        </w:rPr>
        <w:instrText xml:space="preserve"> PAGEREF _Toc152143923 \h </w:instrText>
      </w:r>
      <w:r w:rsidRPr="00A863C2">
        <w:rPr>
          <w:noProof/>
        </w:rPr>
      </w:r>
      <w:r w:rsidRPr="00A863C2">
        <w:rPr>
          <w:noProof/>
        </w:rPr>
        <w:fldChar w:fldCharType="separate"/>
      </w:r>
      <w:r w:rsidR="008061A4" w:rsidRPr="00A863C2">
        <w:rPr>
          <w:noProof/>
        </w:rPr>
        <w:t>1</w:t>
      </w:r>
      <w:r w:rsidRPr="00A863C2">
        <w:rPr>
          <w:noProof/>
        </w:rPr>
        <w:fldChar w:fldCharType="end"/>
      </w:r>
    </w:p>
    <w:p w14:paraId="1DE57E43" w14:textId="7DDEB8FB" w:rsidR="00D01BA4" w:rsidRPr="00A863C2" w:rsidRDefault="00D01BA4">
      <w:pPr>
        <w:pStyle w:val="TOC5"/>
        <w:rPr>
          <w:rFonts w:asciiTheme="minorHAnsi" w:eastAsiaTheme="minorEastAsia" w:hAnsiTheme="minorHAnsi" w:cstheme="minorBidi"/>
          <w:noProof/>
          <w:kern w:val="0"/>
          <w:sz w:val="22"/>
          <w:szCs w:val="22"/>
        </w:rPr>
      </w:pPr>
      <w:r w:rsidRPr="00A863C2">
        <w:rPr>
          <w:noProof/>
        </w:rPr>
        <w:t>3  Authority</w:t>
      </w:r>
      <w:r w:rsidRPr="00A863C2">
        <w:rPr>
          <w:noProof/>
        </w:rPr>
        <w:tab/>
      </w:r>
      <w:r w:rsidRPr="00A863C2">
        <w:rPr>
          <w:noProof/>
        </w:rPr>
        <w:fldChar w:fldCharType="begin"/>
      </w:r>
      <w:r w:rsidRPr="00A863C2">
        <w:rPr>
          <w:noProof/>
        </w:rPr>
        <w:instrText xml:space="preserve"> PAGEREF _Toc152143924 \h </w:instrText>
      </w:r>
      <w:r w:rsidRPr="00A863C2">
        <w:rPr>
          <w:noProof/>
        </w:rPr>
      </w:r>
      <w:r w:rsidRPr="00A863C2">
        <w:rPr>
          <w:noProof/>
        </w:rPr>
        <w:fldChar w:fldCharType="separate"/>
      </w:r>
      <w:r w:rsidR="008061A4" w:rsidRPr="00A863C2">
        <w:rPr>
          <w:noProof/>
        </w:rPr>
        <w:t>1</w:t>
      </w:r>
      <w:r w:rsidRPr="00A863C2">
        <w:rPr>
          <w:noProof/>
        </w:rPr>
        <w:fldChar w:fldCharType="end"/>
      </w:r>
    </w:p>
    <w:p w14:paraId="0829A370" w14:textId="0B8E512E" w:rsidR="00D01BA4" w:rsidRPr="00A863C2" w:rsidRDefault="00D01BA4">
      <w:pPr>
        <w:pStyle w:val="TOC5"/>
        <w:rPr>
          <w:rFonts w:asciiTheme="minorHAnsi" w:eastAsiaTheme="minorEastAsia" w:hAnsiTheme="minorHAnsi" w:cstheme="minorBidi"/>
          <w:noProof/>
          <w:kern w:val="0"/>
          <w:sz w:val="22"/>
          <w:szCs w:val="22"/>
        </w:rPr>
      </w:pPr>
      <w:r w:rsidRPr="00A863C2">
        <w:rPr>
          <w:noProof/>
        </w:rPr>
        <w:t>4  Schedules</w:t>
      </w:r>
      <w:r w:rsidRPr="00A863C2">
        <w:rPr>
          <w:noProof/>
        </w:rPr>
        <w:tab/>
      </w:r>
      <w:r w:rsidRPr="00A863C2">
        <w:rPr>
          <w:noProof/>
        </w:rPr>
        <w:fldChar w:fldCharType="begin"/>
      </w:r>
      <w:r w:rsidRPr="00A863C2">
        <w:rPr>
          <w:noProof/>
        </w:rPr>
        <w:instrText xml:space="preserve"> PAGEREF _Toc152143925 \h </w:instrText>
      </w:r>
      <w:r w:rsidRPr="00A863C2">
        <w:rPr>
          <w:noProof/>
        </w:rPr>
      </w:r>
      <w:r w:rsidRPr="00A863C2">
        <w:rPr>
          <w:noProof/>
        </w:rPr>
        <w:fldChar w:fldCharType="separate"/>
      </w:r>
      <w:r w:rsidR="008061A4" w:rsidRPr="00A863C2">
        <w:rPr>
          <w:noProof/>
        </w:rPr>
        <w:t>1</w:t>
      </w:r>
      <w:r w:rsidRPr="00A863C2">
        <w:rPr>
          <w:noProof/>
        </w:rPr>
        <w:fldChar w:fldCharType="end"/>
      </w:r>
    </w:p>
    <w:p w14:paraId="406FC406" w14:textId="6B1C4D53" w:rsidR="00D01BA4" w:rsidRPr="00A863C2" w:rsidRDefault="00D01BA4">
      <w:pPr>
        <w:pStyle w:val="TOC6"/>
        <w:rPr>
          <w:rFonts w:asciiTheme="minorHAnsi" w:eastAsiaTheme="minorEastAsia" w:hAnsiTheme="minorHAnsi" w:cstheme="minorBidi"/>
          <w:b w:val="0"/>
          <w:noProof/>
          <w:kern w:val="0"/>
          <w:sz w:val="22"/>
          <w:szCs w:val="22"/>
        </w:rPr>
      </w:pPr>
      <w:r w:rsidRPr="00A863C2">
        <w:rPr>
          <w:noProof/>
        </w:rPr>
        <w:t>Schedule 1—Amendments</w:t>
      </w:r>
      <w:r w:rsidRPr="00A863C2">
        <w:rPr>
          <w:noProof/>
        </w:rPr>
        <w:tab/>
      </w:r>
      <w:r w:rsidRPr="00A863C2">
        <w:rPr>
          <w:noProof/>
        </w:rPr>
        <w:fldChar w:fldCharType="begin"/>
      </w:r>
      <w:r w:rsidRPr="00A863C2">
        <w:rPr>
          <w:noProof/>
        </w:rPr>
        <w:instrText xml:space="preserve"> PAGEREF _Toc152143926 \h </w:instrText>
      </w:r>
      <w:r w:rsidRPr="00A863C2">
        <w:rPr>
          <w:noProof/>
        </w:rPr>
      </w:r>
      <w:r w:rsidRPr="00A863C2">
        <w:rPr>
          <w:noProof/>
        </w:rPr>
        <w:fldChar w:fldCharType="separate"/>
      </w:r>
      <w:r w:rsidR="008061A4" w:rsidRPr="00A863C2">
        <w:rPr>
          <w:noProof/>
        </w:rPr>
        <w:t>2</w:t>
      </w:r>
      <w:r w:rsidRPr="00A863C2">
        <w:rPr>
          <w:noProof/>
        </w:rPr>
        <w:fldChar w:fldCharType="end"/>
      </w:r>
    </w:p>
    <w:p w14:paraId="1ABFE6D5" w14:textId="2AAD9DF2" w:rsidR="00D01BA4" w:rsidRPr="00A863C2" w:rsidRDefault="00D01BA4">
      <w:pPr>
        <w:pStyle w:val="TOC9"/>
        <w:rPr>
          <w:rFonts w:asciiTheme="minorHAnsi" w:eastAsiaTheme="minorEastAsia" w:hAnsiTheme="minorHAnsi" w:cstheme="minorBidi"/>
          <w:i w:val="0"/>
          <w:noProof/>
          <w:kern w:val="0"/>
          <w:sz w:val="22"/>
          <w:szCs w:val="22"/>
        </w:rPr>
      </w:pPr>
      <w:r w:rsidRPr="00A863C2">
        <w:rPr>
          <w:bCs/>
          <w:noProof/>
        </w:rPr>
        <w:t>Health Insurance (Section 3C General Medical Services – Telehealth and Telephone Attendances) Determination 2021</w:t>
      </w:r>
      <w:r w:rsidRPr="00A863C2">
        <w:rPr>
          <w:noProof/>
        </w:rPr>
        <w:tab/>
      </w:r>
      <w:r w:rsidRPr="00A863C2">
        <w:rPr>
          <w:noProof/>
        </w:rPr>
        <w:fldChar w:fldCharType="begin"/>
      </w:r>
      <w:r w:rsidRPr="00A863C2">
        <w:rPr>
          <w:noProof/>
        </w:rPr>
        <w:instrText xml:space="preserve"> PAGEREF _Toc152143927 \h </w:instrText>
      </w:r>
      <w:r w:rsidRPr="00A863C2">
        <w:rPr>
          <w:noProof/>
        </w:rPr>
      </w:r>
      <w:r w:rsidRPr="00A863C2">
        <w:rPr>
          <w:noProof/>
        </w:rPr>
        <w:fldChar w:fldCharType="separate"/>
      </w:r>
      <w:r w:rsidR="008061A4" w:rsidRPr="00A863C2">
        <w:rPr>
          <w:noProof/>
        </w:rPr>
        <w:t>2</w:t>
      </w:r>
      <w:r w:rsidRPr="00A863C2">
        <w:rPr>
          <w:noProof/>
        </w:rPr>
        <w:fldChar w:fldCharType="end"/>
      </w:r>
    </w:p>
    <w:p w14:paraId="4F074C40" w14:textId="1646C5C8" w:rsidR="00D01BA4" w:rsidRPr="00A863C2" w:rsidRDefault="00D01BA4">
      <w:pPr>
        <w:pStyle w:val="TOC6"/>
        <w:rPr>
          <w:rFonts w:asciiTheme="minorHAnsi" w:eastAsiaTheme="minorEastAsia" w:hAnsiTheme="minorHAnsi" w:cstheme="minorBidi"/>
          <w:b w:val="0"/>
          <w:noProof/>
          <w:kern w:val="0"/>
          <w:sz w:val="22"/>
          <w:szCs w:val="22"/>
        </w:rPr>
      </w:pPr>
      <w:r w:rsidRPr="00A863C2">
        <w:rPr>
          <w:noProof/>
        </w:rPr>
        <w:t>Schedule 2—Psychiatry services</w:t>
      </w:r>
      <w:r w:rsidRPr="00A863C2">
        <w:rPr>
          <w:noProof/>
        </w:rPr>
        <w:tab/>
      </w:r>
      <w:r w:rsidRPr="00A863C2">
        <w:rPr>
          <w:noProof/>
        </w:rPr>
        <w:fldChar w:fldCharType="begin"/>
      </w:r>
      <w:r w:rsidRPr="00A863C2">
        <w:rPr>
          <w:noProof/>
        </w:rPr>
        <w:instrText xml:space="preserve"> PAGEREF _Toc152143928 \h </w:instrText>
      </w:r>
      <w:r w:rsidRPr="00A863C2">
        <w:rPr>
          <w:noProof/>
        </w:rPr>
      </w:r>
      <w:r w:rsidRPr="00A863C2">
        <w:rPr>
          <w:noProof/>
        </w:rPr>
        <w:fldChar w:fldCharType="separate"/>
      </w:r>
      <w:r w:rsidR="008061A4" w:rsidRPr="00A863C2">
        <w:rPr>
          <w:noProof/>
        </w:rPr>
        <w:t>4</w:t>
      </w:r>
      <w:r w:rsidRPr="00A863C2">
        <w:rPr>
          <w:noProof/>
        </w:rPr>
        <w:fldChar w:fldCharType="end"/>
      </w:r>
    </w:p>
    <w:p w14:paraId="6605090A" w14:textId="0A71CC9E" w:rsidR="00D01BA4" w:rsidRPr="00A863C2" w:rsidRDefault="00D01BA4">
      <w:pPr>
        <w:pStyle w:val="TOC9"/>
        <w:rPr>
          <w:rFonts w:asciiTheme="minorHAnsi" w:eastAsiaTheme="minorEastAsia" w:hAnsiTheme="minorHAnsi" w:cstheme="minorBidi"/>
          <w:i w:val="0"/>
          <w:noProof/>
          <w:kern w:val="0"/>
          <w:sz w:val="22"/>
          <w:szCs w:val="22"/>
        </w:rPr>
      </w:pPr>
      <w:r w:rsidRPr="00A863C2">
        <w:rPr>
          <w:bCs/>
          <w:noProof/>
        </w:rPr>
        <w:t>Health Insurance (Section 3C General Medical Services – Telehealth and Telephone Attendances) Determination 2021</w:t>
      </w:r>
      <w:r w:rsidRPr="00A863C2">
        <w:rPr>
          <w:noProof/>
        </w:rPr>
        <w:tab/>
      </w:r>
      <w:r w:rsidRPr="00A863C2">
        <w:rPr>
          <w:noProof/>
        </w:rPr>
        <w:fldChar w:fldCharType="begin"/>
      </w:r>
      <w:r w:rsidRPr="00A863C2">
        <w:rPr>
          <w:noProof/>
        </w:rPr>
        <w:instrText xml:space="preserve"> PAGEREF _Toc152143929 \h </w:instrText>
      </w:r>
      <w:r w:rsidRPr="00A863C2">
        <w:rPr>
          <w:noProof/>
        </w:rPr>
      </w:r>
      <w:r w:rsidRPr="00A863C2">
        <w:rPr>
          <w:noProof/>
        </w:rPr>
        <w:fldChar w:fldCharType="separate"/>
      </w:r>
      <w:r w:rsidR="008061A4" w:rsidRPr="00A863C2">
        <w:rPr>
          <w:noProof/>
        </w:rPr>
        <w:t>4</w:t>
      </w:r>
      <w:r w:rsidRPr="00A863C2">
        <w:rPr>
          <w:noProof/>
        </w:rPr>
        <w:fldChar w:fldCharType="end"/>
      </w:r>
    </w:p>
    <w:p w14:paraId="6A38C402" w14:textId="4916097C" w:rsidR="00D01BA4" w:rsidRPr="00A863C2" w:rsidRDefault="00D01BA4">
      <w:pPr>
        <w:pStyle w:val="TOC6"/>
        <w:rPr>
          <w:rFonts w:asciiTheme="minorHAnsi" w:eastAsiaTheme="minorEastAsia" w:hAnsiTheme="minorHAnsi" w:cstheme="minorBidi"/>
          <w:b w:val="0"/>
          <w:noProof/>
          <w:kern w:val="0"/>
          <w:sz w:val="22"/>
          <w:szCs w:val="22"/>
        </w:rPr>
      </w:pPr>
      <w:r w:rsidRPr="00A863C2">
        <w:rPr>
          <w:noProof/>
        </w:rPr>
        <w:t>Schedule 3—Consequential amendments</w:t>
      </w:r>
      <w:r w:rsidRPr="00A863C2">
        <w:rPr>
          <w:noProof/>
        </w:rPr>
        <w:tab/>
      </w:r>
      <w:r w:rsidRPr="00A863C2">
        <w:rPr>
          <w:noProof/>
        </w:rPr>
        <w:fldChar w:fldCharType="begin"/>
      </w:r>
      <w:r w:rsidRPr="00A863C2">
        <w:rPr>
          <w:noProof/>
        </w:rPr>
        <w:instrText xml:space="preserve"> PAGEREF _Toc152143930 \h </w:instrText>
      </w:r>
      <w:r w:rsidRPr="00A863C2">
        <w:rPr>
          <w:noProof/>
        </w:rPr>
      </w:r>
      <w:r w:rsidRPr="00A863C2">
        <w:rPr>
          <w:noProof/>
        </w:rPr>
        <w:fldChar w:fldCharType="separate"/>
      </w:r>
      <w:r w:rsidR="008061A4" w:rsidRPr="00A863C2">
        <w:rPr>
          <w:noProof/>
        </w:rPr>
        <w:t>11</w:t>
      </w:r>
      <w:r w:rsidRPr="00A863C2">
        <w:rPr>
          <w:noProof/>
        </w:rPr>
        <w:fldChar w:fldCharType="end"/>
      </w:r>
    </w:p>
    <w:p w14:paraId="0A354857" w14:textId="785E5399" w:rsidR="00B20990" w:rsidRPr="00A863C2" w:rsidRDefault="00B20990" w:rsidP="005D470F">
      <w:pPr>
        <w:pStyle w:val="TOC9"/>
        <w:rPr>
          <w:rFonts w:asciiTheme="minorHAnsi" w:eastAsiaTheme="minorEastAsia" w:hAnsiTheme="minorHAnsi" w:cstheme="minorBidi"/>
          <w:i w:val="0"/>
          <w:noProof/>
          <w:kern w:val="0"/>
          <w:sz w:val="22"/>
          <w:szCs w:val="22"/>
        </w:rPr>
      </w:pPr>
      <w:r w:rsidRPr="00A863C2">
        <w:fldChar w:fldCharType="end"/>
      </w:r>
      <w:r w:rsidR="009E7C8A" w:rsidRPr="00A863C2">
        <w:rPr>
          <w:bCs/>
          <w:noProof/>
        </w:rPr>
        <w:t xml:space="preserve"> Health Insurance (Section 3C General Medical Services – Telehealth and Telephone Attendances) Determination 2021</w:t>
      </w:r>
    </w:p>
    <w:p w14:paraId="3924E335" w14:textId="77777777" w:rsidR="00B20990" w:rsidRPr="00A863C2" w:rsidRDefault="00B20990" w:rsidP="00B20990"/>
    <w:p w14:paraId="572D4B88" w14:textId="77777777" w:rsidR="00B20990" w:rsidRPr="00A863C2" w:rsidRDefault="00B20990" w:rsidP="00B20990">
      <w:pPr>
        <w:sectPr w:rsidR="00B20990" w:rsidRPr="00A863C2"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7FB79418" w14:textId="77777777" w:rsidR="005E317F" w:rsidRPr="00A863C2" w:rsidRDefault="005E317F" w:rsidP="005E317F">
      <w:pPr>
        <w:pStyle w:val="ActHead5"/>
      </w:pPr>
      <w:bookmarkStart w:id="3" w:name="_Toc152143922"/>
      <w:proofErr w:type="gramStart"/>
      <w:r w:rsidRPr="00A863C2">
        <w:rPr>
          <w:rStyle w:val="CharSectno"/>
        </w:rPr>
        <w:lastRenderedPageBreak/>
        <w:t>1</w:t>
      </w:r>
      <w:r w:rsidRPr="00A863C2">
        <w:t xml:space="preserve">  Name</w:t>
      </w:r>
      <w:bookmarkEnd w:id="3"/>
      <w:proofErr w:type="gramEnd"/>
    </w:p>
    <w:p w14:paraId="40B947F1" w14:textId="302E48D4" w:rsidR="005E317F" w:rsidRPr="00A863C2" w:rsidRDefault="005E317F" w:rsidP="005E317F">
      <w:pPr>
        <w:pStyle w:val="subsection"/>
        <w:rPr>
          <w:iCs/>
        </w:rPr>
      </w:pPr>
      <w:r w:rsidRPr="00A863C2">
        <w:tab/>
      </w:r>
      <w:r w:rsidRPr="00A863C2">
        <w:tab/>
        <w:t xml:space="preserve">This instrument is the </w:t>
      </w:r>
      <w:bookmarkStart w:id="4" w:name="BKCheck15B_3"/>
      <w:bookmarkEnd w:id="4"/>
      <w:r w:rsidR="00BC4922" w:rsidRPr="00A863C2">
        <w:rPr>
          <w:i/>
        </w:rPr>
        <w:t>Health Insurance (Section 3C General Medical Services – Telehealth and Telephone Attendances) Amendment (No. 1) Determination 2024</w:t>
      </w:r>
      <w:r w:rsidR="005D470F" w:rsidRPr="00A863C2">
        <w:rPr>
          <w:i/>
        </w:rPr>
        <w:t xml:space="preserve">. </w:t>
      </w:r>
    </w:p>
    <w:p w14:paraId="1F09BFB2" w14:textId="77777777" w:rsidR="005E317F" w:rsidRPr="00A863C2" w:rsidRDefault="005E317F" w:rsidP="005E317F">
      <w:pPr>
        <w:pStyle w:val="ActHead5"/>
      </w:pPr>
      <w:bookmarkStart w:id="5" w:name="_Toc152143923"/>
      <w:proofErr w:type="gramStart"/>
      <w:r w:rsidRPr="00A863C2">
        <w:rPr>
          <w:rStyle w:val="CharSectno"/>
        </w:rPr>
        <w:t>2</w:t>
      </w:r>
      <w:r w:rsidRPr="00A863C2">
        <w:t xml:space="preserve">  Commencement</w:t>
      </w:r>
      <w:bookmarkEnd w:id="5"/>
      <w:proofErr w:type="gramEnd"/>
    </w:p>
    <w:p w14:paraId="406246CF" w14:textId="77777777" w:rsidR="005D470F" w:rsidRPr="00A863C2" w:rsidRDefault="005D470F" w:rsidP="005D470F">
      <w:pPr>
        <w:pStyle w:val="subsection"/>
      </w:pPr>
      <w:r w:rsidRPr="00A863C2">
        <w:tab/>
        <w:t>(1)</w:t>
      </w:r>
      <w:r w:rsidRPr="00A863C2">
        <w:tab/>
        <w:t>Each provision of this instrument specified in column 1 of the table commences, or is taken to have commenced, in accordance with column 2 of the table. Any other statement in column 2 has effect according to its terms.</w:t>
      </w:r>
    </w:p>
    <w:p w14:paraId="154342C7" w14:textId="77777777" w:rsidR="005D470F" w:rsidRPr="00A863C2" w:rsidRDefault="005D470F" w:rsidP="005D470F">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D470F" w:rsidRPr="00A863C2" w14:paraId="6053C0B4" w14:textId="77777777" w:rsidTr="005D470F">
        <w:trPr>
          <w:tblHeader/>
        </w:trPr>
        <w:tc>
          <w:tcPr>
            <w:tcW w:w="8364" w:type="dxa"/>
            <w:gridSpan w:val="3"/>
            <w:tcBorders>
              <w:top w:val="single" w:sz="12" w:space="0" w:color="auto"/>
              <w:bottom w:val="single" w:sz="6" w:space="0" w:color="auto"/>
            </w:tcBorders>
            <w:shd w:val="clear" w:color="auto" w:fill="auto"/>
            <w:hideMark/>
          </w:tcPr>
          <w:p w14:paraId="50657C06" w14:textId="77777777" w:rsidR="005D470F" w:rsidRPr="00A863C2" w:rsidRDefault="005D470F" w:rsidP="00BC3471">
            <w:pPr>
              <w:pStyle w:val="TableHeading"/>
            </w:pPr>
            <w:r w:rsidRPr="00A863C2">
              <w:t>Commencement information</w:t>
            </w:r>
          </w:p>
        </w:tc>
      </w:tr>
      <w:tr w:rsidR="005D470F" w:rsidRPr="00A863C2" w14:paraId="0E14D911" w14:textId="77777777" w:rsidTr="005D470F">
        <w:trPr>
          <w:tblHeader/>
        </w:trPr>
        <w:tc>
          <w:tcPr>
            <w:tcW w:w="2127" w:type="dxa"/>
            <w:tcBorders>
              <w:top w:val="single" w:sz="6" w:space="0" w:color="auto"/>
              <w:bottom w:val="single" w:sz="6" w:space="0" w:color="auto"/>
            </w:tcBorders>
            <w:shd w:val="clear" w:color="auto" w:fill="auto"/>
            <w:hideMark/>
          </w:tcPr>
          <w:p w14:paraId="0814A105" w14:textId="77777777" w:rsidR="005D470F" w:rsidRPr="00A863C2" w:rsidRDefault="005D470F" w:rsidP="00BC3471">
            <w:pPr>
              <w:pStyle w:val="TableHeading"/>
            </w:pPr>
            <w:r w:rsidRPr="00A863C2">
              <w:t>Column 1</w:t>
            </w:r>
          </w:p>
        </w:tc>
        <w:tc>
          <w:tcPr>
            <w:tcW w:w="4394" w:type="dxa"/>
            <w:tcBorders>
              <w:top w:val="single" w:sz="6" w:space="0" w:color="auto"/>
              <w:bottom w:val="single" w:sz="6" w:space="0" w:color="auto"/>
            </w:tcBorders>
            <w:shd w:val="clear" w:color="auto" w:fill="auto"/>
            <w:hideMark/>
          </w:tcPr>
          <w:p w14:paraId="1A71F850" w14:textId="77777777" w:rsidR="005D470F" w:rsidRPr="00A863C2" w:rsidRDefault="005D470F" w:rsidP="00BC3471">
            <w:pPr>
              <w:pStyle w:val="TableHeading"/>
            </w:pPr>
            <w:r w:rsidRPr="00A863C2">
              <w:t>Column 2</w:t>
            </w:r>
          </w:p>
        </w:tc>
        <w:tc>
          <w:tcPr>
            <w:tcW w:w="1843" w:type="dxa"/>
            <w:tcBorders>
              <w:top w:val="single" w:sz="6" w:space="0" w:color="auto"/>
              <w:bottom w:val="single" w:sz="6" w:space="0" w:color="auto"/>
            </w:tcBorders>
            <w:shd w:val="clear" w:color="auto" w:fill="auto"/>
            <w:hideMark/>
          </w:tcPr>
          <w:p w14:paraId="214FD115" w14:textId="77777777" w:rsidR="005D470F" w:rsidRPr="00A863C2" w:rsidRDefault="005D470F" w:rsidP="00BC3471">
            <w:pPr>
              <w:pStyle w:val="TableHeading"/>
            </w:pPr>
            <w:r w:rsidRPr="00A863C2">
              <w:t>Column 3</w:t>
            </w:r>
          </w:p>
        </w:tc>
      </w:tr>
      <w:tr w:rsidR="005D470F" w:rsidRPr="00A863C2" w14:paraId="60D3C018" w14:textId="77777777" w:rsidTr="005D470F">
        <w:trPr>
          <w:tblHeader/>
        </w:trPr>
        <w:tc>
          <w:tcPr>
            <w:tcW w:w="2127" w:type="dxa"/>
            <w:tcBorders>
              <w:top w:val="single" w:sz="6" w:space="0" w:color="auto"/>
              <w:bottom w:val="single" w:sz="12" w:space="0" w:color="auto"/>
            </w:tcBorders>
            <w:shd w:val="clear" w:color="auto" w:fill="auto"/>
            <w:hideMark/>
          </w:tcPr>
          <w:p w14:paraId="50D80AC3" w14:textId="77777777" w:rsidR="005D470F" w:rsidRPr="00A863C2" w:rsidRDefault="005D470F" w:rsidP="00BC3471">
            <w:pPr>
              <w:pStyle w:val="TableHeading"/>
            </w:pPr>
            <w:r w:rsidRPr="00A863C2">
              <w:t>Provisions</w:t>
            </w:r>
          </w:p>
        </w:tc>
        <w:tc>
          <w:tcPr>
            <w:tcW w:w="4394" w:type="dxa"/>
            <w:tcBorders>
              <w:top w:val="single" w:sz="6" w:space="0" w:color="auto"/>
              <w:bottom w:val="single" w:sz="12" w:space="0" w:color="auto"/>
            </w:tcBorders>
            <w:shd w:val="clear" w:color="auto" w:fill="auto"/>
            <w:hideMark/>
          </w:tcPr>
          <w:p w14:paraId="0B21AD6A" w14:textId="77777777" w:rsidR="005D470F" w:rsidRPr="00A863C2" w:rsidRDefault="005D470F" w:rsidP="00BC3471">
            <w:pPr>
              <w:pStyle w:val="TableHeading"/>
            </w:pPr>
            <w:r w:rsidRPr="00A863C2">
              <w:t>Commencement</w:t>
            </w:r>
          </w:p>
        </w:tc>
        <w:tc>
          <w:tcPr>
            <w:tcW w:w="1843" w:type="dxa"/>
            <w:tcBorders>
              <w:top w:val="single" w:sz="6" w:space="0" w:color="auto"/>
              <w:bottom w:val="single" w:sz="12" w:space="0" w:color="auto"/>
            </w:tcBorders>
            <w:shd w:val="clear" w:color="auto" w:fill="auto"/>
            <w:hideMark/>
          </w:tcPr>
          <w:p w14:paraId="2606756E" w14:textId="77777777" w:rsidR="005D470F" w:rsidRPr="00A863C2" w:rsidRDefault="005D470F" w:rsidP="00BC3471">
            <w:pPr>
              <w:pStyle w:val="TableHeading"/>
            </w:pPr>
            <w:r w:rsidRPr="00A863C2">
              <w:t>Date/Details</w:t>
            </w:r>
          </w:p>
        </w:tc>
      </w:tr>
      <w:tr w:rsidR="00F207DD" w:rsidRPr="00A863C2" w14:paraId="5D468EF0" w14:textId="77777777" w:rsidTr="00F207DD">
        <w:trPr>
          <w:tblHeader/>
        </w:trPr>
        <w:tc>
          <w:tcPr>
            <w:tcW w:w="2127" w:type="dxa"/>
            <w:tcBorders>
              <w:top w:val="single" w:sz="6" w:space="0" w:color="auto"/>
              <w:bottom w:val="single" w:sz="4" w:space="0" w:color="auto"/>
            </w:tcBorders>
            <w:shd w:val="clear" w:color="auto" w:fill="auto"/>
          </w:tcPr>
          <w:p w14:paraId="669528D6" w14:textId="7461117E" w:rsidR="00F207DD" w:rsidRPr="00A863C2" w:rsidRDefault="00F207DD" w:rsidP="00F207DD">
            <w:pPr>
              <w:pStyle w:val="TableHeading"/>
              <w:rPr>
                <w:b w:val="0"/>
                <w:bCs/>
              </w:rPr>
            </w:pPr>
            <w:r w:rsidRPr="00A863C2">
              <w:rPr>
                <w:b w:val="0"/>
                <w:bCs/>
              </w:rPr>
              <w:t xml:space="preserve">1. </w:t>
            </w:r>
            <w:r w:rsidR="00DC3761" w:rsidRPr="00A863C2">
              <w:rPr>
                <w:b w:val="0"/>
                <w:bCs/>
              </w:rPr>
              <w:t>Section 1 to 4 and anything in this instrument not elsewhere covered by this table</w:t>
            </w:r>
            <w:r w:rsidRPr="00A863C2">
              <w:rPr>
                <w:b w:val="0"/>
                <w:bCs/>
              </w:rPr>
              <w:t xml:space="preserve"> </w:t>
            </w:r>
          </w:p>
        </w:tc>
        <w:tc>
          <w:tcPr>
            <w:tcW w:w="4394" w:type="dxa"/>
            <w:tcBorders>
              <w:top w:val="single" w:sz="6" w:space="0" w:color="auto"/>
              <w:bottom w:val="single" w:sz="4" w:space="0" w:color="auto"/>
            </w:tcBorders>
            <w:shd w:val="clear" w:color="auto" w:fill="auto"/>
          </w:tcPr>
          <w:p w14:paraId="034C8E42" w14:textId="280670DA" w:rsidR="00F207DD" w:rsidRPr="00A863C2" w:rsidRDefault="00DC3761" w:rsidP="00F207DD">
            <w:pPr>
              <w:pStyle w:val="TableHeading"/>
              <w:rPr>
                <w:b w:val="0"/>
                <w:bCs/>
              </w:rPr>
            </w:pPr>
            <w:r w:rsidRPr="00A863C2">
              <w:rPr>
                <w:b w:val="0"/>
                <w:bCs/>
                <w:iCs/>
              </w:rPr>
              <w:t xml:space="preserve">The day after this instrument is registered. </w:t>
            </w:r>
          </w:p>
        </w:tc>
        <w:tc>
          <w:tcPr>
            <w:tcW w:w="1843" w:type="dxa"/>
            <w:tcBorders>
              <w:top w:val="single" w:sz="6" w:space="0" w:color="auto"/>
              <w:bottom w:val="single" w:sz="4" w:space="0" w:color="auto"/>
            </w:tcBorders>
            <w:shd w:val="clear" w:color="auto" w:fill="auto"/>
          </w:tcPr>
          <w:p w14:paraId="2AFA3EC3" w14:textId="77777777" w:rsidR="00F207DD" w:rsidRPr="00A863C2" w:rsidRDefault="00F207DD" w:rsidP="00F207DD">
            <w:pPr>
              <w:pStyle w:val="TableHeading"/>
              <w:rPr>
                <w:b w:val="0"/>
                <w:bCs/>
              </w:rPr>
            </w:pPr>
          </w:p>
        </w:tc>
      </w:tr>
      <w:tr w:rsidR="00DC3761" w:rsidRPr="00A863C2" w14:paraId="0550E325" w14:textId="77777777" w:rsidTr="00F207DD">
        <w:trPr>
          <w:tblHeader/>
        </w:trPr>
        <w:tc>
          <w:tcPr>
            <w:tcW w:w="2127" w:type="dxa"/>
            <w:tcBorders>
              <w:top w:val="single" w:sz="6" w:space="0" w:color="auto"/>
              <w:bottom w:val="single" w:sz="4" w:space="0" w:color="auto"/>
            </w:tcBorders>
            <w:shd w:val="clear" w:color="auto" w:fill="auto"/>
          </w:tcPr>
          <w:p w14:paraId="2E9E8BF3" w14:textId="74F01686" w:rsidR="00DC3761" w:rsidRPr="00A863C2" w:rsidRDefault="00DC3761" w:rsidP="00F207DD">
            <w:pPr>
              <w:pStyle w:val="TableHeading"/>
              <w:rPr>
                <w:b w:val="0"/>
                <w:bCs/>
              </w:rPr>
            </w:pPr>
            <w:r w:rsidRPr="00A863C2">
              <w:rPr>
                <w:b w:val="0"/>
                <w:bCs/>
              </w:rPr>
              <w:t>2. Schedule 1 and 2</w:t>
            </w:r>
          </w:p>
        </w:tc>
        <w:tc>
          <w:tcPr>
            <w:tcW w:w="4394" w:type="dxa"/>
            <w:tcBorders>
              <w:top w:val="single" w:sz="6" w:space="0" w:color="auto"/>
              <w:bottom w:val="single" w:sz="4" w:space="0" w:color="auto"/>
            </w:tcBorders>
            <w:shd w:val="clear" w:color="auto" w:fill="auto"/>
          </w:tcPr>
          <w:p w14:paraId="136BB6FB" w14:textId="03747949" w:rsidR="00DC3761" w:rsidRPr="00A863C2" w:rsidRDefault="00DC3761" w:rsidP="00F207DD">
            <w:pPr>
              <w:pStyle w:val="TableHeading"/>
              <w:rPr>
                <w:b w:val="0"/>
                <w:bCs/>
                <w:iCs/>
              </w:rPr>
            </w:pPr>
            <w:r w:rsidRPr="00A863C2">
              <w:rPr>
                <w:b w:val="0"/>
                <w:bCs/>
                <w:iCs/>
              </w:rPr>
              <w:t xml:space="preserve">1 March 2024. </w:t>
            </w:r>
          </w:p>
        </w:tc>
        <w:tc>
          <w:tcPr>
            <w:tcW w:w="1843" w:type="dxa"/>
            <w:tcBorders>
              <w:top w:val="single" w:sz="6" w:space="0" w:color="auto"/>
              <w:bottom w:val="single" w:sz="4" w:space="0" w:color="auto"/>
            </w:tcBorders>
            <w:shd w:val="clear" w:color="auto" w:fill="auto"/>
          </w:tcPr>
          <w:p w14:paraId="26577C86" w14:textId="77777777" w:rsidR="00DC3761" w:rsidRPr="00A863C2" w:rsidRDefault="00DC3761" w:rsidP="00F207DD">
            <w:pPr>
              <w:pStyle w:val="TableHeading"/>
              <w:rPr>
                <w:b w:val="0"/>
                <w:bCs/>
              </w:rPr>
            </w:pPr>
          </w:p>
        </w:tc>
      </w:tr>
      <w:tr w:rsidR="00F207DD" w:rsidRPr="00A863C2" w14:paraId="6CE5F464" w14:textId="77777777" w:rsidTr="002A7C6F">
        <w:tc>
          <w:tcPr>
            <w:tcW w:w="2127" w:type="dxa"/>
            <w:tcBorders>
              <w:top w:val="single" w:sz="4" w:space="0" w:color="auto"/>
              <w:bottom w:val="single" w:sz="12" w:space="0" w:color="auto"/>
            </w:tcBorders>
            <w:shd w:val="clear" w:color="auto" w:fill="auto"/>
          </w:tcPr>
          <w:p w14:paraId="2AA77180" w14:textId="76609C28" w:rsidR="00F207DD" w:rsidRPr="00A863C2" w:rsidRDefault="00DC3761" w:rsidP="00F207DD">
            <w:pPr>
              <w:pStyle w:val="Tabletext"/>
            </w:pPr>
            <w:r w:rsidRPr="00A863C2">
              <w:t>3</w:t>
            </w:r>
            <w:r w:rsidR="00F207DD" w:rsidRPr="00A863C2">
              <w:t>. Schedule 3</w:t>
            </w:r>
          </w:p>
        </w:tc>
        <w:tc>
          <w:tcPr>
            <w:tcW w:w="4394" w:type="dxa"/>
            <w:tcBorders>
              <w:top w:val="single" w:sz="4" w:space="0" w:color="auto"/>
              <w:bottom w:val="single" w:sz="12" w:space="0" w:color="auto"/>
            </w:tcBorders>
            <w:shd w:val="clear" w:color="auto" w:fill="auto"/>
          </w:tcPr>
          <w:p w14:paraId="74BA133D" w14:textId="257CED85" w:rsidR="00F207DD" w:rsidRPr="00A863C2" w:rsidRDefault="00F207DD" w:rsidP="00F207DD">
            <w:pPr>
              <w:pStyle w:val="Tabletext"/>
              <w:rPr>
                <w:bCs/>
                <w:iCs/>
              </w:rPr>
            </w:pPr>
            <w:r w:rsidRPr="00A863C2">
              <w:rPr>
                <w:bCs/>
                <w:iCs/>
              </w:rPr>
              <w:t xml:space="preserve">Immediately after the registration of the </w:t>
            </w:r>
            <w:r w:rsidRPr="00A863C2">
              <w:rPr>
                <w:bCs/>
                <w:i/>
              </w:rPr>
              <w:t>Health Insurance (Section 3C General Medical Services – Allied Health Services) Determination 202</w:t>
            </w:r>
            <w:r w:rsidR="0046181A" w:rsidRPr="00A863C2">
              <w:rPr>
                <w:bCs/>
                <w:i/>
              </w:rPr>
              <w:t>4</w:t>
            </w:r>
            <w:r w:rsidRPr="00A863C2">
              <w:rPr>
                <w:bCs/>
                <w:iCs/>
              </w:rPr>
              <w:t xml:space="preserve">. </w:t>
            </w:r>
          </w:p>
        </w:tc>
        <w:tc>
          <w:tcPr>
            <w:tcW w:w="1843" w:type="dxa"/>
            <w:tcBorders>
              <w:top w:val="single" w:sz="4" w:space="0" w:color="auto"/>
              <w:bottom w:val="single" w:sz="12" w:space="0" w:color="auto"/>
            </w:tcBorders>
            <w:shd w:val="clear" w:color="auto" w:fill="auto"/>
          </w:tcPr>
          <w:p w14:paraId="2180FFE7" w14:textId="77777777" w:rsidR="00F207DD" w:rsidRPr="00A863C2" w:rsidRDefault="00F207DD" w:rsidP="00F207DD">
            <w:pPr>
              <w:pStyle w:val="Tabletext"/>
              <w:rPr>
                <w:iCs/>
              </w:rPr>
            </w:pPr>
          </w:p>
        </w:tc>
      </w:tr>
    </w:tbl>
    <w:p w14:paraId="4CDD985D" w14:textId="77777777" w:rsidR="005D470F" w:rsidRPr="00A863C2" w:rsidRDefault="005D470F" w:rsidP="005D470F">
      <w:pPr>
        <w:pStyle w:val="notetext"/>
      </w:pPr>
      <w:r w:rsidRPr="00A863C2">
        <w:rPr>
          <w:snapToGrid w:val="0"/>
          <w:lang w:eastAsia="en-US"/>
        </w:rPr>
        <w:t>Note:</w:t>
      </w:r>
      <w:r w:rsidRPr="00A863C2">
        <w:rPr>
          <w:snapToGrid w:val="0"/>
          <w:lang w:eastAsia="en-US"/>
        </w:rPr>
        <w:tab/>
        <w:t>This table relates only to the provisions of this instrument</w:t>
      </w:r>
      <w:r w:rsidRPr="00A863C2">
        <w:t xml:space="preserve"> </w:t>
      </w:r>
      <w:r w:rsidRPr="00A863C2">
        <w:rPr>
          <w:snapToGrid w:val="0"/>
          <w:lang w:eastAsia="en-US"/>
        </w:rPr>
        <w:t>as originally made. It will not be amended to deal with any later amendments of this instrument.</w:t>
      </w:r>
    </w:p>
    <w:p w14:paraId="6C2B0152" w14:textId="77777777" w:rsidR="005D470F" w:rsidRPr="00A863C2" w:rsidRDefault="005D470F" w:rsidP="005D470F">
      <w:pPr>
        <w:pStyle w:val="subsection"/>
      </w:pPr>
      <w:r w:rsidRPr="00A863C2">
        <w:tab/>
        <w:t>(2)</w:t>
      </w:r>
      <w:r w:rsidRPr="00A863C2">
        <w:tab/>
        <w:t>Any information in column 3 of the table is not part of this instrument. Information may be inserted in this column, or information in it may be edited, in any published version of this instrument.</w:t>
      </w:r>
    </w:p>
    <w:p w14:paraId="63B71D53" w14:textId="77777777" w:rsidR="005E317F" w:rsidRPr="00A863C2" w:rsidRDefault="005E317F" w:rsidP="005E317F">
      <w:pPr>
        <w:pStyle w:val="ActHead5"/>
      </w:pPr>
      <w:bookmarkStart w:id="6" w:name="_Toc152143924"/>
      <w:proofErr w:type="gramStart"/>
      <w:r w:rsidRPr="00A863C2">
        <w:rPr>
          <w:rStyle w:val="CharSectno"/>
        </w:rPr>
        <w:t>3</w:t>
      </w:r>
      <w:r w:rsidRPr="00A863C2">
        <w:t xml:space="preserve">  Authority</w:t>
      </w:r>
      <w:bookmarkEnd w:id="6"/>
      <w:proofErr w:type="gramEnd"/>
    </w:p>
    <w:p w14:paraId="02ECE042" w14:textId="25021A20" w:rsidR="005E317F" w:rsidRPr="00A863C2" w:rsidRDefault="005E317F" w:rsidP="00A97FBE">
      <w:pPr>
        <w:pStyle w:val="subsection"/>
      </w:pPr>
      <w:r w:rsidRPr="00A863C2">
        <w:tab/>
      </w:r>
      <w:r w:rsidRPr="00A863C2">
        <w:tab/>
        <w:t>This instrument is made under</w:t>
      </w:r>
      <w:r w:rsidR="00A97FBE" w:rsidRPr="00A863C2">
        <w:t xml:space="preserve"> </w:t>
      </w:r>
      <w:r w:rsidR="00A9310D" w:rsidRPr="00A863C2">
        <w:t xml:space="preserve">subsection </w:t>
      </w:r>
      <w:r w:rsidR="00A97FBE" w:rsidRPr="00A863C2">
        <w:rPr>
          <w:color w:val="000000"/>
          <w:szCs w:val="22"/>
          <w:shd w:val="clear" w:color="auto" w:fill="FFFFFF"/>
        </w:rPr>
        <w:t>3</w:t>
      </w:r>
      <w:proofErr w:type="gramStart"/>
      <w:r w:rsidR="00A97FBE" w:rsidRPr="00A863C2">
        <w:rPr>
          <w:color w:val="000000"/>
          <w:szCs w:val="22"/>
          <w:shd w:val="clear" w:color="auto" w:fill="FFFFFF"/>
        </w:rPr>
        <w:t>C(</w:t>
      </w:r>
      <w:proofErr w:type="gramEnd"/>
      <w:r w:rsidR="00A97FBE" w:rsidRPr="00A863C2">
        <w:rPr>
          <w:color w:val="000000"/>
          <w:szCs w:val="22"/>
          <w:shd w:val="clear" w:color="auto" w:fill="FFFFFF"/>
        </w:rPr>
        <w:t>1) of the </w:t>
      </w:r>
      <w:r w:rsidR="00A97FBE" w:rsidRPr="00A863C2">
        <w:rPr>
          <w:i/>
          <w:iCs/>
          <w:color w:val="000000"/>
          <w:szCs w:val="22"/>
          <w:shd w:val="clear" w:color="auto" w:fill="FFFFFF"/>
        </w:rPr>
        <w:t>Health Insurance Act 1973</w:t>
      </w:r>
      <w:r w:rsidR="00A97FBE" w:rsidRPr="00A863C2">
        <w:t>.</w:t>
      </w:r>
    </w:p>
    <w:p w14:paraId="5463F50E" w14:textId="77777777" w:rsidR="005E317F" w:rsidRPr="00A863C2" w:rsidRDefault="005E317F" w:rsidP="005E317F">
      <w:pPr>
        <w:pStyle w:val="ActHead5"/>
      </w:pPr>
      <w:bookmarkStart w:id="7" w:name="_Toc152143925"/>
      <w:proofErr w:type="gramStart"/>
      <w:r w:rsidRPr="00A863C2">
        <w:t>4  Schedules</w:t>
      </w:r>
      <w:bookmarkEnd w:id="7"/>
      <w:proofErr w:type="gramEnd"/>
    </w:p>
    <w:p w14:paraId="19BCF2F5" w14:textId="6ABE5D05" w:rsidR="005E317F" w:rsidRPr="00A863C2" w:rsidRDefault="005E317F" w:rsidP="005E317F">
      <w:pPr>
        <w:pStyle w:val="subsection"/>
      </w:pPr>
      <w:r w:rsidRPr="00A863C2">
        <w:tab/>
      </w:r>
      <w:r w:rsidRPr="00A863C2">
        <w:tab/>
        <w:t>Each instrument that is specified in a Schedule to this instrument is amended or repealed as set out in the applicable items in the Schedule concerned, and any other item in a Schedule to this instrument has effect according to its terms.</w:t>
      </w:r>
    </w:p>
    <w:p w14:paraId="00C15575" w14:textId="08698F45" w:rsidR="005E317F" w:rsidRPr="00A863C2" w:rsidRDefault="005E317F" w:rsidP="005E317F">
      <w:pPr>
        <w:pStyle w:val="ActHead6"/>
        <w:pageBreakBefore/>
      </w:pPr>
      <w:bookmarkStart w:id="8" w:name="_Toc152143926"/>
      <w:r w:rsidRPr="00A863C2">
        <w:rPr>
          <w:rStyle w:val="CharAmSchNo"/>
        </w:rPr>
        <w:lastRenderedPageBreak/>
        <w:t>Schedule 1</w:t>
      </w:r>
      <w:r w:rsidRPr="00A863C2">
        <w:t>—</w:t>
      </w:r>
      <w:r w:rsidR="005F4945" w:rsidRPr="00A863C2">
        <w:rPr>
          <w:rStyle w:val="CharAmSchText"/>
        </w:rPr>
        <w:t>A</w:t>
      </w:r>
      <w:r w:rsidRPr="00A863C2">
        <w:rPr>
          <w:rStyle w:val="CharAmSchText"/>
        </w:rPr>
        <w:t>mendments</w:t>
      </w:r>
      <w:bookmarkEnd w:id="8"/>
    </w:p>
    <w:p w14:paraId="40DCB05A" w14:textId="4E16ACE6" w:rsidR="00174922" w:rsidRPr="00A863C2" w:rsidRDefault="006D4CDF" w:rsidP="00174922">
      <w:pPr>
        <w:pStyle w:val="ActHead9"/>
      </w:pPr>
      <w:bookmarkStart w:id="9" w:name="_Toc152143927"/>
      <w:r w:rsidRPr="00A863C2">
        <w:rPr>
          <w:bCs/>
        </w:rPr>
        <w:t>Health Insurance (Section 3C General Medical Services – Telehealth and Telephone Attendances) Determination 2021</w:t>
      </w:r>
      <w:bookmarkEnd w:id="9"/>
    </w:p>
    <w:p w14:paraId="7D9F657C" w14:textId="1E63751B" w:rsidR="00732C9D" w:rsidRPr="00A863C2" w:rsidRDefault="009B7353" w:rsidP="00732C9D">
      <w:pPr>
        <w:pStyle w:val="ItemHead"/>
      </w:pPr>
      <w:proofErr w:type="gramStart"/>
      <w:r w:rsidRPr="00A863C2">
        <w:t>1</w:t>
      </w:r>
      <w:r w:rsidR="00732C9D" w:rsidRPr="00A863C2">
        <w:t xml:space="preserve">  Paragraph</w:t>
      </w:r>
      <w:proofErr w:type="gramEnd"/>
      <w:r w:rsidR="00732C9D" w:rsidRPr="00A863C2">
        <w:t xml:space="preserve"> 1.1.10(2)(b) of Schedule 1</w:t>
      </w:r>
    </w:p>
    <w:p w14:paraId="1964DC46" w14:textId="56CBCB44" w:rsidR="00732C9D" w:rsidRPr="00A863C2" w:rsidRDefault="00732C9D" w:rsidP="00732C9D">
      <w:pPr>
        <w:pStyle w:val="Item"/>
      </w:pPr>
      <w:r w:rsidRPr="00A863C2">
        <w:t xml:space="preserve">Omit “791”, substitute “792”. </w:t>
      </w:r>
    </w:p>
    <w:p w14:paraId="5942F209" w14:textId="26B5ADB2" w:rsidR="00654B5C" w:rsidRPr="00A863C2" w:rsidRDefault="009B7353" w:rsidP="00654B5C">
      <w:pPr>
        <w:pStyle w:val="ItemHead"/>
      </w:pPr>
      <w:proofErr w:type="gramStart"/>
      <w:r w:rsidRPr="00A863C2">
        <w:t>2</w:t>
      </w:r>
      <w:r w:rsidR="00654B5C" w:rsidRPr="00A863C2">
        <w:t xml:space="preserve">  Schedule</w:t>
      </w:r>
      <w:proofErr w:type="gramEnd"/>
      <w:r w:rsidR="00654B5C" w:rsidRPr="00A863C2">
        <w:t xml:space="preserve"> 1 (cell at item 92024, column 2)</w:t>
      </w:r>
    </w:p>
    <w:p w14:paraId="32E645AB" w14:textId="288FF047" w:rsidR="00732C9D" w:rsidRPr="00A863C2" w:rsidRDefault="00654B5C" w:rsidP="00266A11">
      <w:pPr>
        <w:pStyle w:val="Item"/>
      </w:pPr>
      <w:r w:rsidRPr="00A863C2">
        <w:t xml:space="preserve">Omit “340”, substitute “240”. </w:t>
      </w:r>
    </w:p>
    <w:p w14:paraId="13A6530B" w14:textId="3E8A1FA1" w:rsidR="00541881" w:rsidRPr="00A863C2" w:rsidRDefault="004324F7" w:rsidP="005E317F">
      <w:pPr>
        <w:pStyle w:val="ItemHead"/>
      </w:pPr>
      <w:proofErr w:type="gramStart"/>
      <w:r w:rsidRPr="00A863C2">
        <w:t xml:space="preserve">3  </w:t>
      </w:r>
      <w:r w:rsidR="00565367" w:rsidRPr="00A863C2">
        <w:t>After</w:t>
      </w:r>
      <w:proofErr w:type="gramEnd"/>
      <w:r w:rsidR="00565367" w:rsidRPr="00A863C2">
        <w:t xml:space="preserve"> clause 3.1.9</w:t>
      </w:r>
    </w:p>
    <w:p w14:paraId="227AF416" w14:textId="73DEEF7D" w:rsidR="00565367" w:rsidRPr="00A863C2" w:rsidRDefault="00565367" w:rsidP="00565367">
      <w:pPr>
        <w:pStyle w:val="Item"/>
      </w:pPr>
      <w:r w:rsidRPr="00A863C2">
        <w:t>Insert:</w:t>
      </w:r>
    </w:p>
    <w:p w14:paraId="4A968A31" w14:textId="3B2ADD78" w:rsidR="00565367" w:rsidRPr="00A863C2" w:rsidRDefault="00565367" w:rsidP="009A5A61">
      <w:pPr>
        <w:pStyle w:val="ItemHead"/>
        <w:spacing w:after="80"/>
        <w:rPr>
          <w:rFonts w:ascii="Times New Roman" w:hAnsi="Times New Roman"/>
        </w:rPr>
      </w:pPr>
      <w:bookmarkStart w:id="10" w:name="_Hlk129174349"/>
      <w:proofErr w:type="gramStart"/>
      <w:r w:rsidRPr="00A863C2">
        <w:rPr>
          <w:rFonts w:ascii="Times New Roman" w:hAnsi="Times New Roman"/>
          <w:bCs/>
        </w:rPr>
        <w:t>3.1.10  Application</w:t>
      </w:r>
      <w:proofErr w:type="gramEnd"/>
      <w:r w:rsidRPr="00A863C2">
        <w:rPr>
          <w:rFonts w:ascii="Times New Roman" w:hAnsi="Times New Roman"/>
          <w:bCs/>
        </w:rPr>
        <w:t xml:space="preserve"> of</w:t>
      </w:r>
      <w:bookmarkEnd w:id="10"/>
      <w:r w:rsidRPr="00A863C2">
        <w:rPr>
          <w:rFonts w:ascii="Times New Roman" w:hAnsi="Times New Roman"/>
          <w:bCs/>
        </w:rPr>
        <w:t xml:space="preserve"> items 93000</w:t>
      </w:r>
      <w:r w:rsidR="00CB4B69" w:rsidRPr="00A863C2">
        <w:rPr>
          <w:rFonts w:ascii="Times New Roman" w:hAnsi="Times New Roman"/>
          <w:bCs/>
        </w:rPr>
        <w:t xml:space="preserve"> and</w:t>
      </w:r>
      <w:r w:rsidRPr="00A863C2">
        <w:rPr>
          <w:rFonts w:ascii="Times New Roman" w:hAnsi="Times New Roman"/>
          <w:bCs/>
        </w:rPr>
        <w:t xml:space="preserve"> 93013</w:t>
      </w:r>
    </w:p>
    <w:p w14:paraId="25AD3A7A" w14:textId="4AAB3F4C" w:rsidR="00565367" w:rsidRPr="00A863C2" w:rsidRDefault="00565367" w:rsidP="00565367">
      <w:pPr>
        <w:pStyle w:val="Item"/>
        <w:ind w:left="737" w:hanging="737"/>
      </w:pPr>
      <w:r w:rsidRPr="00A863C2">
        <w:t xml:space="preserve">      (1)   </w:t>
      </w:r>
      <w:proofErr w:type="gramStart"/>
      <w:r w:rsidRPr="00A863C2">
        <w:t>Item</w:t>
      </w:r>
      <w:proofErr w:type="gramEnd"/>
      <w:r w:rsidRPr="00A863C2">
        <w:t xml:space="preserve"> </w:t>
      </w:r>
      <w:r w:rsidRPr="00A863C2">
        <w:rPr>
          <w:bCs/>
        </w:rPr>
        <w:t>93000</w:t>
      </w:r>
      <w:r w:rsidR="00CB4B69" w:rsidRPr="00A863C2">
        <w:rPr>
          <w:bCs/>
        </w:rPr>
        <w:t xml:space="preserve"> or</w:t>
      </w:r>
      <w:r w:rsidRPr="00A863C2">
        <w:rPr>
          <w:bCs/>
        </w:rPr>
        <w:t xml:space="preserve"> 93013 </w:t>
      </w:r>
      <w:r w:rsidRPr="00A863C2">
        <w:t xml:space="preserve">does not apply to a service if the patient has already been provided 10 services to which </w:t>
      </w:r>
      <w:r w:rsidRPr="00A863C2">
        <w:rPr>
          <w:lang w:eastAsia="en-US"/>
        </w:rPr>
        <w:t xml:space="preserve">item 93000, 93013, 93048 or 93061 or </w:t>
      </w:r>
      <w:r w:rsidRPr="00A863C2">
        <w:t>any item in Subgroup 1 of Group M3 or any item in Group M11 of the Allied Health Determination</w:t>
      </w:r>
      <w:bookmarkStart w:id="11" w:name="_Hlk152750662"/>
      <w:r w:rsidRPr="00A863C2">
        <w:rPr>
          <w:lang w:eastAsia="en-US"/>
        </w:rPr>
        <w:t xml:space="preserve"> </w:t>
      </w:r>
      <w:bookmarkEnd w:id="11"/>
      <w:r w:rsidRPr="00A863C2">
        <w:t>applies in the same calendar year.</w:t>
      </w:r>
    </w:p>
    <w:p w14:paraId="0671EC2B" w14:textId="04EA2572" w:rsidR="00C121B4" w:rsidRPr="00A863C2" w:rsidRDefault="00541881" w:rsidP="005E317F">
      <w:pPr>
        <w:pStyle w:val="ItemHead"/>
      </w:pPr>
      <w:proofErr w:type="gramStart"/>
      <w:r w:rsidRPr="00A863C2">
        <w:t>4</w:t>
      </w:r>
      <w:r w:rsidR="00C121B4" w:rsidRPr="00A863C2">
        <w:t xml:space="preserve">  Schedule</w:t>
      </w:r>
      <w:proofErr w:type="gramEnd"/>
      <w:r w:rsidR="00C121B4" w:rsidRPr="00A863C2">
        <w:t xml:space="preserve"> 3 (</w:t>
      </w:r>
      <w:r w:rsidR="00AB00A0" w:rsidRPr="00A863C2">
        <w:t xml:space="preserve">cell at </w:t>
      </w:r>
      <w:r w:rsidR="00C121B4" w:rsidRPr="00A863C2">
        <w:t>item 93048, column 2)</w:t>
      </w:r>
    </w:p>
    <w:p w14:paraId="498C40BD" w14:textId="5AAE9CC1" w:rsidR="00C9307D" w:rsidRPr="00A863C2" w:rsidRDefault="00266A11" w:rsidP="004B14CA">
      <w:pPr>
        <w:pStyle w:val="Item"/>
        <w:spacing w:after="120"/>
      </w:pPr>
      <w:r w:rsidRPr="00A863C2">
        <w:t>Omit and substitute</w:t>
      </w:r>
      <w:r w:rsidR="00AB00A0" w:rsidRPr="00A863C2">
        <w:t>:</w:t>
      </w:r>
    </w:p>
    <w:tbl>
      <w:tblPr>
        <w:tblW w:w="5000" w:type="pct"/>
        <w:shd w:val="clear" w:color="auto" w:fill="FFFFFF"/>
        <w:tblCellMar>
          <w:left w:w="0" w:type="dxa"/>
          <w:right w:w="0" w:type="dxa"/>
        </w:tblCellMar>
        <w:tblLook w:val="04A0" w:firstRow="1" w:lastRow="0" w:firstColumn="1" w:lastColumn="0" w:noHBand="0" w:noVBand="1"/>
      </w:tblPr>
      <w:tblGrid>
        <w:gridCol w:w="1019"/>
        <w:gridCol w:w="6192"/>
        <w:gridCol w:w="1102"/>
      </w:tblGrid>
      <w:tr w:rsidR="00AB00A0" w:rsidRPr="00A863C2" w14:paraId="672F53A7" w14:textId="77777777" w:rsidTr="00EA26C9">
        <w:tc>
          <w:tcPr>
            <w:tcW w:w="600" w:type="pct"/>
            <w:shd w:val="clear" w:color="auto" w:fill="FFFFFF"/>
            <w:tcMar>
              <w:top w:w="0" w:type="dxa"/>
              <w:left w:w="108" w:type="dxa"/>
              <w:bottom w:w="0" w:type="dxa"/>
              <w:right w:w="108" w:type="dxa"/>
            </w:tcMar>
            <w:hideMark/>
          </w:tcPr>
          <w:p w14:paraId="21BBA9DC" w14:textId="3FA4D70D" w:rsidR="00AB00A0" w:rsidRPr="00A863C2" w:rsidRDefault="00AB00A0" w:rsidP="00AB00A0">
            <w:pPr>
              <w:spacing w:before="60" w:after="60" w:line="240" w:lineRule="atLeast"/>
              <w:rPr>
                <w:rFonts w:eastAsia="Times New Roman" w:cs="Times New Roman"/>
                <w:color w:val="000000"/>
                <w:szCs w:val="22"/>
                <w:lang w:eastAsia="en-AU"/>
              </w:rPr>
            </w:pPr>
          </w:p>
        </w:tc>
        <w:tc>
          <w:tcPr>
            <w:tcW w:w="3650" w:type="pct"/>
            <w:shd w:val="clear" w:color="auto" w:fill="FFFFFF"/>
            <w:tcMar>
              <w:top w:w="0" w:type="dxa"/>
              <w:left w:w="108" w:type="dxa"/>
              <w:bottom w:w="0" w:type="dxa"/>
              <w:right w:w="108" w:type="dxa"/>
            </w:tcMar>
            <w:hideMark/>
          </w:tcPr>
          <w:p w14:paraId="3770314B" w14:textId="77777777" w:rsidR="00AB00A0" w:rsidRPr="00A863C2" w:rsidRDefault="00AB00A0" w:rsidP="00AB00A0">
            <w:pPr>
              <w:spacing w:before="60" w:line="240" w:lineRule="atLeast"/>
              <w:rPr>
                <w:rFonts w:eastAsia="Times New Roman" w:cs="Times New Roman"/>
                <w:color w:val="000000"/>
                <w:sz w:val="20"/>
                <w:lang w:eastAsia="en-AU"/>
              </w:rPr>
            </w:pPr>
            <w:r w:rsidRPr="00A863C2">
              <w:rPr>
                <w:rFonts w:eastAsia="Times New Roman" w:cs="Times New Roman"/>
                <w:color w:val="000000"/>
                <w:sz w:val="20"/>
                <w:lang w:eastAsia="en-AU"/>
              </w:rPr>
              <w:t>Telehealth attendance provided to a person who is of Aboriginal or Torres Strait Islander descent by an eligible allied health practitioner if:</w:t>
            </w:r>
          </w:p>
          <w:p w14:paraId="661FD1F3" w14:textId="7868BFA3" w:rsidR="00AB00A0" w:rsidRPr="00A863C2" w:rsidRDefault="00AB00A0" w:rsidP="00BF2049">
            <w:pPr>
              <w:pStyle w:val="ListParagraph"/>
              <w:numPr>
                <w:ilvl w:val="0"/>
                <w:numId w:val="8"/>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a medical practitioner has undertaken a health assessment and identified a need for follow</w:t>
            </w:r>
            <w:r w:rsidRPr="00A863C2">
              <w:rPr>
                <w:rFonts w:ascii="Times New Roman" w:eastAsia="Times New Roman" w:hAnsi="Times New Roman" w:cs="Times New Roman"/>
                <w:color w:val="000000"/>
                <w:sz w:val="20"/>
                <w:szCs w:val="20"/>
              </w:rPr>
              <w:noBreakHyphen/>
              <w:t xml:space="preserve">up allied health services; </w:t>
            </w:r>
            <w:r w:rsidR="00811906" w:rsidRPr="00A863C2">
              <w:rPr>
                <w:rFonts w:ascii="Times New Roman" w:eastAsia="Times New Roman" w:hAnsi="Times New Roman" w:cs="Times New Roman"/>
                <w:color w:val="000000"/>
                <w:sz w:val="20"/>
                <w:szCs w:val="20"/>
              </w:rPr>
              <w:t>or</w:t>
            </w:r>
            <w:r w:rsidRPr="00A863C2">
              <w:rPr>
                <w:rFonts w:ascii="Times New Roman" w:eastAsia="Times New Roman" w:hAnsi="Times New Roman" w:cs="Times New Roman"/>
                <w:color w:val="000000"/>
                <w:sz w:val="20"/>
                <w:szCs w:val="20"/>
              </w:rPr>
              <w:t xml:space="preserve"> </w:t>
            </w:r>
          </w:p>
          <w:p w14:paraId="29DCB458" w14:textId="45717854" w:rsidR="00811906" w:rsidRPr="00A863C2" w:rsidRDefault="00811906" w:rsidP="00BF2049">
            <w:pPr>
              <w:pStyle w:val="ListParagraph"/>
              <w:numPr>
                <w:ilvl w:val="0"/>
                <w:numId w:val="8"/>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the patient has:</w:t>
            </w:r>
          </w:p>
          <w:p w14:paraId="2D2208CE" w14:textId="234742D6" w:rsidR="00811906" w:rsidRPr="00A863C2" w:rsidRDefault="00811906" w:rsidP="00BF2049">
            <w:pPr>
              <w:pStyle w:val="ListParagraph"/>
              <w:numPr>
                <w:ilvl w:val="0"/>
                <w:numId w:val="9"/>
              </w:numPr>
              <w:spacing w:after="60" w:line="240" w:lineRule="atLeast"/>
              <w:ind w:left="768"/>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 xml:space="preserve">a chronic condition; and </w:t>
            </w:r>
          </w:p>
          <w:p w14:paraId="7FDBC343" w14:textId="13EF0C8C" w:rsidR="00811906" w:rsidRPr="00A863C2" w:rsidRDefault="00811906" w:rsidP="00BF2049">
            <w:pPr>
              <w:pStyle w:val="ListParagraph"/>
              <w:numPr>
                <w:ilvl w:val="0"/>
                <w:numId w:val="9"/>
              </w:numPr>
              <w:spacing w:after="60" w:line="240" w:lineRule="atLeast"/>
              <w:ind w:left="768"/>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complex care needs being managed by a medical practitioner (</w:t>
            </w:r>
            <w:r w:rsidR="00485814" w:rsidRPr="00A863C2">
              <w:rPr>
                <w:rFonts w:ascii="Times New Roman" w:eastAsia="Times New Roman" w:hAnsi="Times New Roman" w:cs="Times New Roman"/>
                <w:sz w:val="20"/>
                <w:szCs w:val="20"/>
              </w:rPr>
              <w:t xml:space="preserve">other than </w:t>
            </w:r>
            <w:r w:rsidRPr="00A863C2">
              <w:rPr>
                <w:rFonts w:ascii="Times New Roman" w:eastAsia="Times New Roman" w:hAnsi="Times New Roman" w:cs="Times New Roman"/>
                <w:sz w:val="20"/>
                <w:szCs w:val="20"/>
              </w:rPr>
              <w:t>a specialist or consultant physician) under both a GP Management Plan and Team Care Arrangements or, if the patient is a resident of an aged care facility, the patient’s medical practitioner has contributed to a multidisciplinary care plan; and</w:t>
            </w:r>
          </w:p>
          <w:p w14:paraId="229F0479" w14:textId="04F63D4F" w:rsidR="00811906" w:rsidRPr="00A863C2" w:rsidRDefault="00811906" w:rsidP="00BF2049">
            <w:pPr>
              <w:pStyle w:val="ListParagraph"/>
              <w:numPr>
                <w:ilvl w:val="0"/>
                <w:numId w:val="9"/>
              </w:numPr>
              <w:spacing w:after="60" w:line="240" w:lineRule="atLeast"/>
              <w:ind w:left="768"/>
              <w:rPr>
                <w:rFonts w:ascii="Times New Roman" w:eastAsia="Times New Roman" w:hAnsi="Times New Roman" w:cs="Times New Roman"/>
                <w:sz w:val="20"/>
              </w:rPr>
            </w:pPr>
            <w:r w:rsidRPr="00A863C2">
              <w:rPr>
                <w:rFonts w:ascii="Times New Roman" w:eastAsia="Times New Roman" w:hAnsi="Times New Roman" w:cs="Times New Roman"/>
                <w:sz w:val="20"/>
                <w:szCs w:val="20"/>
              </w:rPr>
              <w:t>the service is recommended in the patient’s Team Care Arrangements</w:t>
            </w:r>
            <w:r w:rsidR="00257FA6" w:rsidRPr="00A863C2">
              <w:rPr>
                <w:rFonts w:ascii="Times New Roman" w:eastAsia="Times New Roman" w:hAnsi="Times New Roman" w:cs="Times New Roman"/>
                <w:sz w:val="20"/>
                <w:szCs w:val="20"/>
              </w:rPr>
              <w:t xml:space="preserve"> or</w:t>
            </w:r>
            <w:r w:rsidRPr="00A863C2">
              <w:rPr>
                <w:rFonts w:ascii="Times New Roman" w:eastAsia="Times New Roman" w:hAnsi="Times New Roman" w:cs="Times New Roman"/>
                <w:sz w:val="20"/>
                <w:szCs w:val="20"/>
              </w:rPr>
              <w:t xml:space="preserve"> multidisciplinary care plan as part of the management of the patient’s chronic condition and complex care needs; and</w:t>
            </w:r>
          </w:p>
          <w:p w14:paraId="6DC650F5" w14:textId="2E3E2F08" w:rsidR="00AB00A0" w:rsidRPr="00A863C2" w:rsidRDefault="00AB00A0" w:rsidP="00BF2049">
            <w:pPr>
              <w:pStyle w:val="ListParagraph"/>
              <w:numPr>
                <w:ilvl w:val="0"/>
                <w:numId w:val="8"/>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the person is referred to the eligible allied health practitioner by a medical practitioner using a referral form issued by the Department or a referral form that contains all the components of the form issued by the Department; and</w:t>
            </w:r>
          </w:p>
          <w:p w14:paraId="6C1CC69B" w14:textId="248CFAB1" w:rsidR="00AB00A0" w:rsidRPr="00A863C2" w:rsidRDefault="00AB00A0" w:rsidP="00BF2049">
            <w:pPr>
              <w:pStyle w:val="ListParagraph"/>
              <w:numPr>
                <w:ilvl w:val="0"/>
                <w:numId w:val="8"/>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the service is provided to the person individually; and</w:t>
            </w:r>
          </w:p>
          <w:p w14:paraId="26FC0F0A" w14:textId="477FDF2A" w:rsidR="00AB00A0" w:rsidRPr="00A863C2" w:rsidRDefault="00AB00A0" w:rsidP="00BF2049">
            <w:pPr>
              <w:pStyle w:val="ListParagraph"/>
              <w:numPr>
                <w:ilvl w:val="0"/>
                <w:numId w:val="8"/>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the service is of at least 20 minutes duration; and</w:t>
            </w:r>
          </w:p>
          <w:p w14:paraId="2ED9A74F" w14:textId="5E7B268C" w:rsidR="00AB00A0" w:rsidRPr="00A863C2" w:rsidRDefault="00AB00A0" w:rsidP="00BF2049">
            <w:pPr>
              <w:pStyle w:val="ListParagraph"/>
              <w:numPr>
                <w:ilvl w:val="0"/>
                <w:numId w:val="8"/>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after the service, the eligible allied health practitioner gives a written report to the referring medical practitioner mentioned in paragraph (b):</w:t>
            </w:r>
          </w:p>
          <w:p w14:paraId="6EF44FC6" w14:textId="003D31FD" w:rsidR="00AB00A0" w:rsidRPr="00A863C2" w:rsidRDefault="00AB00A0" w:rsidP="00BF2049">
            <w:pPr>
              <w:pStyle w:val="ListParagraph"/>
              <w:numPr>
                <w:ilvl w:val="0"/>
                <w:numId w:val="10"/>
              </w:numPr>
              <w:spacing w:after="60" w:line="240" w:lineRule="atLeast"/>
              <w:ind w:left="768"/>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if the service is the only service under the referral—in relation to that service; or</w:t>
            </w:r>
          </w:p>
          <w:p w14:paraId="2DA5431C" w14:textId="7979587E" w:rsidR="00AB00A0" w:rsidRPr="00A863C2" w:rsidRDefault="00AB00A0" w:rsidP="00BF2049">
            <w:pPr>
              <w:pStyle w:val="ListParagraph"/>
              <w:numPr>
                <w:ilvl w:val="0"/>
                <w:numId w:val="10"/>
              </w:numPr>
              <w:spacing w:after="60" w:line="240" w:lineRule="atLeast"/>
              <w:ind w:left="768"/>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if the service is the first or the last service under the referral—in relation to that service; or</w:t>
            </w:r>
          </w:p>
          <w:p w14:paraId="380C5D78" w14:textId="08C5484F" w:rsidR="00AB00A0" w:rsidRPr="00A863C2" w:rsidRDefault="00AB00A0" w:rsidP="00BF2049">
            <w:pPr>
              <w:pStyle w:val="ListParagraph"/>
              <w:numPr>
                <w:ilvl w:val="0"/>
                <w:numId w:val="10"/>
              </w:numPr>
              <w:spacing w:after="60" w:line="240" w:lineRule="atLeast"/>
              <w:ind w:left="768"/>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lastRenderedPageBreak/>
              <w:t>if neither subparagraph (</w:t>
            </w:r>
            <w:proofErr w:type="spellStart"/>
            <w:r w:rsidRPr="00A863C2">
              <w:rPr>
                <w:rFonts w:ascii="Times New Roman" w:eastAsia="Times New Roman" w:hAnsi="Times New Roman" w:cs="Times New Roman"/>
                <w:color w:val="000000"/>
                <w:sz w:val="20"/>
                <w:szCs w:val="20"/>
              </w:rPr>
              <w:t>i</w:t>
            </w:r>
            <w:proofErr w:type="spellEnd"/>
            <w:r w:rsidRPr="00A863C2">
              <w:rPr>
                <w:rFonts w:ascii="Times New Roman" w:eastAsia="Times New Roman" w:hAnsi="Times New Roman" w:cs="Times New Roman"/>
                <w:color w:val="000000"/>
                <w:sz w:val="20"/>
                <w:szCs w:val="20"/>
              </w:rPr>
              <w:t xml:space="preserve">) nor (ii) applies but the service involves matters that the referring medical practitioner would reasonably expect to be informed of—in relation to those </w:t>
            </w:r>
            <w:proofErr w:type="gramStart"/>
            <w:r w:rsidRPr="00A863C2">
              <w:rPr>
                <w:rFonts w:ascii="Times New Roman" w:eastAsia="Times New Roman" w:hAnsi="Times New Roman" w:cs="Times New Roman"/>
                <w:color w:val="000000"/>
                <w:sz w:val="20"/>
                <w:szCs w:val="20"/>
              </w:rPr>
              <w:t>matters;</w:t>
            </w:r>
            <w:proofErr w:type="gramEnd"/>
          </w:p>
          <w:p w14:paraId="7BB3B785" w14:textId="56116462" w:rsidR="00C9307D" w:rsidRPr="00A863C2" w:rsidRDefault="00AB00A0" w:rsidP="00AB00A0">
            <w:pPr>
              <w:spacing w:before="60" w:line="240" w:lineRule="atLeast"/>
              <w:rPr>
                <w:rFonts w:eastAsia="Times New Roman" w:cs="Times New Roman"/>
                <w:color w:val="000000"/>
                <w:sz w:val="20"/>
                <w:lang w:eastAsia="en-AU"/>
              </w:rPr>
            </w:pPr>
            <w:r w:rsidRPr="00A863C2">
              <w:rPr>
                <w:rFonts w:eastAsia="Times New Roman" w:cs="Times New Roman"/>
                <w:color w:val="000000"/>
                <w:sz w:val="20"/>
                <w:lang w:eastAsia="en-AU"/>
              </w:rPr>
              <w:t xml:space="preserve">to a maximum of </w:t>
            </w:r>
            <w:r w:rsidR="00811906" w:rsidRPr="00A863C2">
              <w:rPr>
                <w:rFonts w:eastAsia="Times New Roman" w:cs="Times New Roman"/>
                <w:color w:val="000000"/>
                <w:sz w:val="20"/>
                <w:lang w:eastAsia="en-AU"/>
              </w:rPr>
              <w:t>10</w:t>
            </w:r>
            <w:r w:rsidRPr="00A863C2">
              <w:rPr>
                <w:rFonts w:eastAsia="Times New Roman" w:cs="Times New Roman"/>
                <w:color w:val="000000"/>
                <w:sz w:val="20"/>
                <w:lang w:eastAsia="en-AU"/>
              </w:rPr>
              <w:t xml:space="preserve"> services (including any services to which this item or </w:t>
            </w:r>
            <w:r w:rsidR="00811906" w:rsidRPr="00A863C2">
              <w:rPr>
                <w:rFonts w:eastAsia="Times New Roman" w:cs="Times New Roman"/>
                <w:color w:val="000000"/>
                <w:sz w:val="20"/>
                <w:lang w:eastAsia="en-AU"/>
              </w:rPr>
              <w:t>9300</w:t>
            </w:r>
            <w:r w:rsidR="004B14CA" w:rsidRPr="00A863C2">
              <w:rPr>
                <w:rFonts w:eastAsia="Times New Roman" w:cs="Times New Roman"/>
                <w:color w:val="000000"/>
                <w:sz w:val="20"/>
                <w:lang w:eastAsia="en-AU"/>
              </w:rPr>
              <w:t>0</w:t>
            </w:r>
            <w:r w:rsidR="00811906" w:rsidRPr="00A863C2">
              <w:rPr>
                <w:rFonts w:eastAsia="Times New Roman" w:cs="Times New Roman"/>
                <w:color w:val="000000"/>
                <w:sz w:val="20"/>
                <w:lang w:eastAsia="en-AU"/>
              </w:rPr>
              <w:t>, 93013</w:t>
            </w:r>
            <w:r w:rsidR="00AB528C" w:rsidRPr="00A863C2">
              <w:rPr>
                <w:rFonts w:eastAsia="Times New Roman" w:cs="Times New Roman"/>
                <w:color w:val="000000"/>
                <w:sz w:val="20"/>
                <w:lang w:eastAsia="en-AU"/>
              </w:rPr>
              <w:t xml:space="preserve"> or</w:t>
            </w:r>
            <w:r w:rsidR="00811906" w:rsidRPr="00A863C2">
              <w:rPr>
                <w:rFonts w:eastAsia="Times New Roman" w:cs="Times New Roman"/>
                <w:color w:val="000000"/>
                <w:sz w:val="20"/>
                <w:lang w:eastAsia="en-AU"/>
              </w:rPr>
              <w:t xml:space="preserve"> </w:t>
            </w:r>
            <w:r w:rsidRPr="00A863C2">
              <w:rPr>
                <w:rFonts w:eastAsia="Times New Roman" w:cs="Times New Roman"/>
                <w:color w:val="000000"/>
                <w:sz w:val="20"/>
                <w:lang w:eastAsia="en-AU"/>
              </w:rPr>
              <w:t>93061 or any item in</w:t>
            </w:r>
            <w:r w:rsidR="00072BC9" w:rsidRPr="00A863C2">
              <w:rPr>
                <w:rFonts w:eastAsia="Times New Roman" w:cs="Times New Roman"/>
                <w:color w:val="000000"/>
                <w:sz w:val="20"/>
                <w:lang w:eastAsia="en-AU"/>
              </w:rPr>
              <w:t xml:space="preserve"> </w:t>
            </w:r>
            <w:r w:rsidR="00AB528C" w:rsidRPr="00A863C2">
              <w:rPr>
                <w:rFonts w:eastAsia="Times New Roman" w:cs="Times New Roman"/>
                <w:color w:val="000000"/>
                <w:sz w:val="20"/>
                <w:lang w:eastAsia="en-AU"/>
              </w:rPr>
              <w:t>Subgroup 1 of</w:t>
            </w:r>
            <w:r w:rsidR="0097625F" w:rsidRPr="00A863C2">
              <w:rPr>
                <w:rFonts w:eastAsia="Times New Roman" w:cs="Times New Roman"/>
                <w:color w:val="000000"/>
                <w:sz w:val="20"/>
                <w:lang w:eastAsia="en-AU"/>
              </w:rPr>
              <w:t xml:space="preserve"> Group M3 or any item in Group M11</w:t>
            </w:r>
            <w:r w:rsidR="00AB528C" w:rsidRPr="00A863C2">
              <w:rPr>
                <w:rFonts w:eastAsia="Times New Roman" w:cs="Times New Roman"/>
                <w:color w:val="000000"/>
                <w:sz w:val="20"/>
                <w:lang w:eastAsia="en-AU"/>
              </w:rPr>
              <w:t xml:space="preserve"> of the Allied Health Determination</w:t>
            </w:r>
            <w:r w:rsidR="0097625F" w:rsidRPr="00A863C2">
              <w:rPr>
                <w:rFonts w:eastAsia="Times New Roman" w:cs="Times New Roman"/>
                <w:color w:val="000000"/>
                <w:sz w:val="20"/>
                <w:lang w:eastAsia="en-AU"/>
              </w:rPr>
              <w:t xml:space="preserve"> applies</w:t>
            </w:r>
            <w:r w:rsidRPr="00A863C2">
              <w:rPr>
                <w:rFonts w:eastAsia="Times New Roman" w:cs="Times New Roman"/>
                <w:color w:val="000000"/>
                <w:sz w:val="20"/>
                <w:lang w:eastAsia="en-AU"/>
              </w:rPr>
              <w:t xml:space="preserve">) in a calendar </w:t>
            </w:r>
            <w:proofErr w:type="gramStart"/>
            <w:r w:rsidRPr="00A863C2">
              <w:rPr>
                <w:rFonts w:eastAsia="Times New Roman" w:cs="Times New Roman"/>
                <w:color w:val="000000"/>
                <w:sz w:val="20"/>
                <w:lang w:eastAsia="en-AU"/>
              </w:rPr>
              <w:t>year</w:t>
            </w:r>
            <w:proofErr w:type="gramEnd"/>
          </w:p>
          <w:p w14:paraId="4D6A8555" w14:textId="00A52AD3" w:rsidR="00F569E8" w:rsidRPr="00A863C2" w:rsidRDefault="00F569E8" w:rsidP="00AB00A0">
            <w:pPr>
              <w:spacing w:before="60" w:line="240" w:lineRule="atLeast"/>
              <w:rPr>
                <w:rFonts w:eastAsia="Times New Roman" w:cs="Times New Roman"/>
                <w:color w:val="000000"/>
                <w:sz w:val="20"/>
                <w:lang w:eastAsia="en-AU"/>
              </w:rPr>
            </w:pPr>
          </w:p>
        </w:tc>
        <w:tc>
          <w:tcPr>
            <w:tcW w:w="650" w:type="pct"/>
            <w:shd w:val="clear" w:color="auto" w:fill="FFFFFF"/>
            <w:tcMar>
              <w:top w:w="0" w:type="dxa"/>
              <w:left w:w="108" w:type="dxa"/>
              <w:bottom w:w="0" w:type="dxa"/>
              <w:right w:w="108" w:type="dxa"/>
            </w:tcMar>
            <w:hideMark/>
          </w:tcPr>
          <w:p w14:paraId="0A89E553" w14:textId="592DA607" w:rsidR="00AB00A0" w:rsidRPr="00A863C2" w:rsidRDefault="00AB00A0" w:rsidP="00AB00A0">
            <w:pPr>
              <w:spacing w:before="60" w:after="60" w:line="240" w:lineRule="atLeast"/>
              <w:jc w:val="right"/>
              <w:rPr>
                <w:rFonts w:eastAsia="Times New Roman" w:cs="Times New Roman"/>
                <w:color w:val="000000"/>
                <w:szCs w:val="22"/>
                <w:lang w:eastAsia="en-AU"/>
              </w:rPr>
            </w:pPr>
          </w:p>
        </w:tc>
      </w:tr>
    </w:tbl>
    <w:p w14:paraId="3FA320B7" w14:textId="3BE034A9" w:rsidR="00C121B4" w:rsidRPr="00A863C2" w:rsidRDefault="00541881" w:rsidP="00EA26C9">
      <w:pPr>
        <w:pStyle w:val="ItemHead"/>
        <w:ind w:left="0" w:firstLine="0"/>
      </w:pPr>
      <w:proofErr w:type="gramStart"/>
      <w:r w:rsidRPr="00A863C2">
        <w:t>5</w:t>
      </w:r>
      <w:r w:rsidR="00C121B4" w:rsidRPr="00A863C2">
        <w:t xml:space="preserve">  Schedule</w:t>
      </w:r>
      <w:proofErr w:type="gramEnd"/>
      <w:r w:rsidR="00C121B4" w:rsidRPr="00A863C2">
        <w:t xml:space="preserve"> 3 (item</w:t>
      </w:r>
      <w:r w:rsidR="00FE7278" w:rsidRPr="00A863C2">
        <w:t xml:space="preserve"> 93061, column 2) </w:t>
      </w:r>
    </w:p>
    <w:p w14:paraId="50DA01D7" w14:textId="77777777" w:rsidR="00AB00A0" w:rsidRPr="00A863C2" w:rsidRDefault="00AB00A0" w:rsidP="0042286F">
      <w:pPr>
        <w:pStyle w:val="Item"/>
        <w:spacing w:after="120"/>
      </w:pPr>
      <w:r w:rsidRPr="00A863C2">
        <w:t>Repeal and replace:</w:t>
      </w:r>
    </w:p>
    <w:tbl>
      <w:tblPr>
        <w:tblW w:w="5000" w:type="pct"/>
        <w:shd w:val="clear" w:color="auto" w:fill="FFFFFF"/>
        <w:tblCellMar>
          <w:left w:w="0" w:type="dxa"/>
          <w:right w:w="0" w:type="dxa"/>
        </w:tblCellMar>
        <w:tblLook w:val="04A0" w:firstRow="1" w:lastRow="0" w:firstColumn="1" w:lastColumn="0" w:noHBand="0" w:noVBand="1"/>
      </w:tblPr>
      <w:tblGrid>
        <w:gridCol w:w="1019"/>
        <w:gridCol w:w="6192"/>
        <w:gridCol w:w="1102"/>
      </w:tblGrid>
      <w:tr w:rsidR="004B14CA" w:rsidRPr="00A863C2" w14:paraId="5CADBDAE" w14:textId="77777777" w:rsidTr="00EA26C9">
        <w:tc>
          <w:tcPr>
            <w:tcW w:w="600" w:type="pct"/>
            <w:shd w:val="clear" w:color="auto" w:fill="FFFFFF"/>
            <w:tcMar>
              <w:top w:w="0" w:type="dxa"/>
              <w:left w:w="108" w:type="dxa"/>
              <w:bottom w:w="0" w:type="dxa"/>
              <w:right w:w="108" w:type="dxa"/>
            </w:tcMar>
            <w:hideMark/>
          </w:tcPr>
          <w:p w14:paraId="51C8C5DE" w14:textId="4F024170" w:rsidR="004B14CA" w:rsidRPr="00A863C2" w:rsidRDefault="004B14CA" w:rsidP="004B14CA">
            <w:pPr>
              <w:spacing w:before="60" w:after="60" w:line="240" w:lineRule="atLeast"/>
              <w:rPr>
                <w:rFonts w:eastAsia="Times New Roman" w:cs="Times New Roman"/>
                <w:color w:val="000000"/>
                <w:szCs w:val="22"/>
                <w:lang w:eastAsia="en-AU"/>
              </w:rPr>
            </w:pPr>
          </w:p>
        </w:tc>
        <w:tc>
          <w:tcPr>
            <w:tcW w:w="3650" w:type="pct"/>
            <w:shd w:val="clear" w:color="auto" w:fill="FFFFFF"/>
            <w:tcMar>
              <w:top w:w="0" w:type="dxa"/>
              <w:left w:w="108" w:type="dxa"/>
              <w:bottom w:w="0" w:type="dxa"/>
              <w:right w:w="108" w:type="dxa"/>
            </w:tcMar>
            <w:hideMark/>
          </w:tcPr>
          <w:p w14:paraId="1E5BACB8" w14:textId="77777777" w:rsidR="004B14CA" w:rsidRPr="00A863C2" w:rsidRDefault="004B14CA" w:rsidP="004B14CA">
            <w:pPr>
              <w:spacing w:before="60" w:line="240" w:lineRule="atLeast"/>
              <w:rPr>
                <w:rFonts w:eastAsia="Times New Roman" w:cs="Times New Roman"/>
                <w:color w:val="000000"/>
                <w:sz w:val="20"/>
                <w:lang w:eastAsia="en-AU"/>
              </w:rPr>
            </w:pPr>
            <w:r w:rsidRPr="00A863C2">
              <w:rPr>
                <w:rFonts w:eastAsia="Times New Roman" w:cs="Times New Roman"/>
                <w:color w:val="000000"/>
                <w:sz w:val="20"/>
                <w:lang w:eastAsia="en-AU"/>
              </w:rPr>
              <w:t>Phone attendance provided to a person who is of Aboriginal or Torres Strait Islander descent by an eligible allied health practitioner if:</w:t>
            </w:r>
          </w:p>
          <w:p w14:paraId="5CF3AEB7" w14:textId="77777777" w:rsidR="0042286F" w:rsidRPr="00A863C2" w:rsidRDefault="004B14CA" w:rsidP="00BF2049">
            <w:pPr>
              <w:pStyle w:val="ListParagraph"/>
              <w:numPr>
                <w:ilvl w:val="1"/>
                <w:numId w:val="11"/>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a medical practitioner has undertaken a health assessment and identified a need for follow</w:t>
            </w:r>
            <w:r w:rsidRPr="00A863C2">
              <w:rPr>
                <w:rFonts w:ascii="Times New Roman" w:eastAsia="Times New Roman" w:hAnsi="Times New Roman" w:cs="Times New Roman"/>
                <w:color w:val="000000"/>
                <w:sz w:val="20"/>
                <w:szCs w:val="20"/>
              </w:rPr>
              <w:noBreakHyphen/>
              <w:t xml:space="preserve">up allied health services; </w:t>
            </w:r>
            <w:r w:rsidR="0042286F" w:rsidRPr="00A863C2">
              <w:rPr>
                <w:rFonts w:ascii="Times New Roman" w:eastAsia="Times New Roman" w:hAnsi="Times New Roman" w:cs="Times New Roman"/>
                <w:color w:val="000000"/>
                <w:sz w:val="20"/>
                <w:szCs w:val="20"/>
              </w:rPr>
              <w:t>or</w:t>
            </w:r>
          </w:p>
          <w:p w14:paraId="7D602D30" w14:textId="77777777" w:rsidR="0042286F" w:rsidRPr="00A863C2" w:rsidRDefault="0042286F" w:rsidP="00BF2049">
            <w:pPr>
              <w:pStyle w:val="ListParagraph"/>
              <w:numPr>
                <w:ilvl w:val="1"/>
                <w:numId w:val="11"/>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the patient has</w:t>
            </w:r>
          </w:p>
          <w:p w14:paraId="3DFDC4DE" w14:textId="5FFD9E0C" w:rsidR="004B14CA" w:rsidRPr="00A863C2" w:rsidRDefault="0042286F" w:rsidP="00BF2049">
            <w:pPr>
              <w:pStyle w:val="ListParagraph"/>
              <w:numPr>
                <w:ilvl w:val="0"/>
                <w:numId w:val="12"/>
              </w:numPr>
              <w:spacing w:after="60" w:line="240" w:lineRule="atLeast"/>
              <w:ind w:left="768"/>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a chronic condition; and</w:t>
            </w:r>
          </w:p>
          <w:p w14:paraId="0C03F910" w14:textId="12F8D5ED" w:rsidR="0042286F" w:rsidRPr="00A863C2" w:rsidRDefault="0042286F" w:rsidP="00BF2049">
            <w:pPr>
              <w:pStyle w:val="ListParagraph"/>
              <w:numPr>
                <w:ilvl w:val="0"/>
                <w:numId w:val="12"/>
              </w:numPr>
              <w:spacing w:after="60" w:line="240" w:lineRule="atLeast"/>
              <w:ind w:left="768"/>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complex care needs being managed by a medical practitioner (</w:t>
            </w:r>
            <w:r w:rsidR="005B468F" w:rsidRPr="00A863C2">
              <w:rPr>
                <w:rFonts w:ascii="Times New Roman" w:eastAsia="Times New Roman" w:hAnsi="Times New Roman" w:cs="Times New Roman"/>
                <w:sz w:val="20"/>
                <w:szCs w:val="20"/>
              </w:rPr>
              <w:t>other than</w:t>
            </w:r>
            <w:r w:rsidRPr="00A863C2">
              <w:rPr>
                <w:rFonts w:ascii="Times New Roman" w:eastAsia="Times New Roman" w:hAnsi="Times New Roman" w:cs="Times New Roman"/>
                <w:sz w:val="20"/>
                <w:szCs w:val="20"/>
              </w:rPr>
              <w:t xml:space="preserve"> a specialist or consultant physician) under both a GP Management Plan and Team Care Arrangements or, if the patient is a resident of an aged care facility, the patient’s medical practitioner has contributed to a multidisciplinary care plan; and</w:t>
            </w:r>
          </w:p>
          <w:p w14:paraId="6184B4C8" w14:textId="04AECB31" w:rsidR="0042286F" w:rsidRPr="00A863C2" w:rsidRDefault="0042286F" w:rsidP="00BF2049">
            <w:pPr>
              <w:pStyle w:val="ListParagraph"/>
              <w:numPr>
                <w:ilvl w:val="0"/>
                <w:numId w:val="12"/>
              </w:numPr>
              <w:spacing w:after="60" w:line="240" w:lineRule="atLeast"/>
              <w:ind w:left="768"/>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the service is recommended in the patient’s Team Care Arrangements</w:t>
            </w:r>
            <w:r w:rsidR="00257FA6" w:rsidRPr="00A863C2">
              <w:rPr>
                <w:rFonts w:ascii="Times New Roman" w:eastAsia="Times New Roman" w:hAnsi="Times New Roman" w:cs="Times New Roman"/>
                <w:sz w:val="20"/>
                <w:szCs w:val="20"/>
              </w:rPr>
              <w:t xml:space="preserve"> or</w:t>
            </w:r>
            <w:r w:rsidRPr="00A863C2">
              <w:rPr>
                <w:rFonts w:ascii="Times New Roman" w:eastAsia="Times New Roman" w:hAnsi="Times New Roman" w:cs="Times New Roman"/>
                <w:sz w:val="20"/>
                <w:szCs w:val="20"/>
              </w:rPr>
              <w:t xml:space="preserve"> multidisciplinary care plan as part of the management of the patient’s chronic condition and complex care needs; and</w:t>
            </w:r>
          </w:p>
          <w:p w14:paraId="4B765110" w14:textId="2D9D1ED4" w:rsidR="004B14CA" w:rsidRPr="00A863C2" w:rsidRDefault="004B14CA" w:rsidP="00BF2049">
            <w:pPr>
              <w:pStyle w:val="ListParagraph"/>
              <w:numPr>
                <w:ilvl w:val="1"/>
                <w:numId w:val="11"/>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the person is referred to the eligible allied health practitioner by a medical practitioner using a referral form issued by the Department or a referral form that contains all the components of the form issued by the Department; and</w:t>
            </w:r>
          </w:p>
          <w:p w14:paraId="1510B98B" w14:textId="143F2B82" w:rsidR="004B14CA" w:rsidRPr="00A863C2" w:rsidRDefault="004B14CA" w:rsidP="00BF2049">
            <w:pPr>
              <w:pStyle w:val="ListParagraph"/>
              <w:numPr>
                <w:ilvl w:val="1"/>
                <w:numId w:val="11"/>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the service is provided to the person individually; and</w:t>
            </w:r>
          </w:p>
          <w:p w14:paraId="3DAABE19" w14:textId="4A70937D" w:rsidR="004B14CA" w:rsidRPr="00A863C2" w:rsidRDefault="004B14CA" w:rsidP="00BF2049">
            <w:pPr>
              <w:pStyle w:val="ListParagraph"/>
              <w:numPr>
                <w:ilvl w:val="1"/>
                <w:numId w:val="11"/>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the service is of at least 20 minutes duration; and</w:t>
            </w:r>
          </w:p>
          <w:p w14:paraId="5A4B8C30" w14:textId="3212F7F0" w:rsidR="004B14CA" w:rsidRPr="00A863C2" w:rsidRDefault="004B14CA" w:rsidP="00BF2049">
            <w:pPr>
              <w:pStyle w:val="ListParagraph"/>
              <w:numPr>
                <w:ilvl w:val="1"/>
                <w:numId w:val="11"/>
              </w:numPr>
              <w:spacing w:after="60" w:line="240" w:lineRule="atLeast"/>
              <w:ind w:left="360"/>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after the service, the eligible allied health practitioner gives a written report to the referring medical practitioner mentioned in paragraph (b):</w:t>
            </w:r>
          </w:p>
          <w:p w14:paraId="1F4DF5BD" w14:textId="3617238F" w:rsidR="004B14CA" w:rsidRPr="00A863C2" w:rsidRDefault="004B14CA" w:rsidP="00BF2049">
            <w:pPr>
              <w:pStyle w:val="ListParagraph"/>
              <w:numPr>
                <w:ilvl w:val="0"/>
                <w:numId w:val="13"/>
              </w:numPr>
              <w:spacing w:after="60" w:line="240" w:lineRule="atLeast"/>
              <w:ind w:left="768"/>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if the service is the only service under the referral—in relation to that service; or</w:t>
            </w:r>
          </w:p>
          <w:p w14:paraId="0CD92782" w14:textId="3A869CAE" w:rsidR="004B14CA" w:rsidRPr="00A863C2" w:rsidRDefault="004B14CA" w:rsidP="00BF2049">
            <w:pPr>
              <w:pStyle w:val="ListParagraph"/>
              <w:numPr>
                <w:ilvl w:val="0"/>
                <w:numId w:val="13"/>
              </w:numPr>
              <w:spacing w:after="60" w:line="240" w:lineRule="atLeast"/>
              <w:ind w:left="768"/>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if the service is the first or the last service under the referral—in relation to that service; or</w:t>
            </w:r>
          </w:p>
          <w:p w14:paraId="01CD6386" w14:textId="46FF4083" w:rsidR="004B14CA" w:rsidRPr="00A863C2" w:rsidRDefault="004B14CA" w:rsidP="00BF2049">
            <w:pPr>
              <w:pStyle w:val="ListParagraph"/>
              <w:numPr>
                <w:ilvl w:val="0"/>
                <w:numId w:val="13"/>
              </w:numPr>
              <w:spacing w:after="60" w:line="240" w:lineRule="atLeast"/>
              <w:ind w:left="768"/>
              <w:rPr>
                <w:rFonts w:ascii="Times New Roman" w:eastAsia="Times New Roman" w:hAnsi="Times New Roman" w:cs="Times New Roman"/>
                <w:color w:val="000000"/>
                <w:sz w:val="20"/>
                <w:szCs w:val="20"/>
              </w:rPr>
            </w:pPr>
            <w:r w:rsidRPr="00A863C2">
              <w:rPr>
                <w:rFonts w:ascii="Times New Roman" w:eastAsia="Times New Roman" w:hAnsi="Times New Roman" w:cs="Times New Roman"/>
                <w:color w:val="000000"/>
                <w:sz w:val="20"/>
                <w:szCs w:val="20"/>
              </w:rPr>
              <w:t>if neither subparagraph (</w:t>
            </w:r>
            <w:proofErr w:type="spellStart"/>
            <w:r w:rsidRPr="00A863C2">
              <w:rPr>
                <w:rFonts w:ascii="Times New Roman" w:eastAsia="Times New Roman" w:hAnsi="Times New Roman" w:cs="Times New Roman"/>
                <w:color w:val="000000"/>
                <w:sz w:val="20"/>
                <w:szCs w:val="20"/>
              </w:rPr>
              <w:t>i</w:t>
            </w:r>
            <w:proofErr w:type="spellEnd"/>
            <w:r w:rsidRPr="00A863C2">
              <w:rPr>
                <w:rFonts w:ascii="Times New Roman" w:eastAsia="Times New Roman" w:hAnsi="Times New Roman" w:cs="Times New Roman"/>
                <w:color w:val="000000"/>
                <w:sz w:val="20"/>
                <w:szCs w:val="20"/>
              </w:rPr>
              <w:t xml:space="preserve">) nor (ii) applies but the service involves matters that the referring medical practitioner would reasonably expect to be informed of—in relation to those </w:t>
            </w:r>
            <w:proofErr w:type="gramStart"/>
            <w:r w:rsidRPr="00A863C2">
              <w:rPr>
                <w:rFonts w:ascii="Times New Roman" w:eastAsia="Times New Roman" w:hAnsi="Times New Roman" w:cs="Times New Roman"/>
                <w:color w:val="000000"/>
                <w:sz w:val="20"/>
                <w:szCs w:val="20"/>
              </w:rPr>
              <w:t>matters;</w:t>
            </w:r>
            <w:proofErr w:type="gramEnd"/>
          </w:p>
          <w:p w14:paraId="3F6FAF1F" w14:textId="34347B76" w:rsidR="004B14CA" w:rsidRPr="00A863C2" w:rsidRDefault="004B14CA" w:rsidP="004B14CA">
            <w:pPr>
              <w:spacing w:before="60" w:line="240" w:lineRule="atLeast"/>
              <w:rPr>
                <w:rFonts w:eastAsia="Times New Roman" w:cs="Times New Roman"/>
                <w:color w:val="000000"/>
                <w:sz w:val="20"/>
                <w:lang w:eastAsia="en-AU"/>
              </w:rPr>
            </w:pPr>
            <w:r w:rsidRPr="00A863C2">
              <w:rPr>
                <w:rFonts w:eastAsia="Times New Roman" w:cs="Times New Roman"/>
                <w:color w:val="000000"/>
                <w:sz w:val="20"/>
                <w:lang w:eastAsia="en-AU"/>
              </w:rPr>
              <w:t xml:space="preserve">to a maximum of </w:t>
            </w:r>
            <w:r w:rsidR="00BF5D66" w:rsidRPr="00A863C2">
              <w:rPr>
                <w:rFonts w:eastAsia="Times New Roman" w:cs="Times New Roman"/>
                <w:color w:val="000000"/>
                <w:sz w:val="20"/>
                <w:lang w:eastAsia="en-AU"/>
              </w:rPr>
              <w:t>10</w:t>
            </w:r>
            <w:r w:rsidRPr="00A863C2">
              <w:rPr>
                <w:rFonts w:eastAsia="Times New Roman" w:cs="Times New Roman"/>
                <w:color w:val="000000"/>
                <w:sz w:val="20"/>
                <w:lang w:eastAsia="en-AU"/>
              </w:rPr>
              <w:t xml:space="preserve"> services (including any services to which this item or item </w:t>
            </w:r>
            <w:r w:rsidR="00BF5D66" w:rsidRPr="00A863C2">
              <w:rPr>
                <w:rFonts w:eastAsia="Times New Roman" w:cs="Times New Roman"/>
                <w:color w:val="000000"/>
                <w:sz w:val="20"/>
                <w:lang w:eastAsia="en-AU"/>
              </w:rPr>
              <w:t xml:space="preserve">93000, 93013, </w:t>
            </w:r>
            <w:r w:rsidRPr="00A863C2">
              <w:rPr>
                <w:rFonts w:eastAsia="Times New Roman" w:cs="Times New Roman"/>
                <w:color w:val="000000"/>
                <w:sz w:val="20"/>
                <w:lang w:eastAsia="en-AU"/>
              </w:rPr>
              <w:t>930</w:t>
            </w:r>
            <w:r w:rsidR="00BF5D66" w:rsidRPr="00A863C2">
              <w:rPr>
                <w:rFonts w:eastAsia="Times New Roman" w:cs="Times New Roman"/>
                <w:color w:val="000000"/>
                <w:sz w:val="20"/>
                <w:lang w:eastAsia="en-AU"/>
              </w:rPr>
              <w:t>48</w:t>
            </w:r>
            <w:r w:rsidRPr="00A863C2">
              <w:rPr>
                <w:rFonts w:eastAsia="Times New Roman" w:cs="Times New Roman"/>
                <w:color w:val="000000"/>
                <w:sz w:val="20"/>
                <w:lang w:eastAsia="en-AU"/>
              </w:rPr>
              <w:t xml:space="preserve"> or any item in</w:t>
            </w:r>
            <w:r w:rsidR="0097625F" w:rsidRPr="00A863C2">
              <w:rPr>
                <w:rFonts w:eastAsia="Times New Roman" w:cs="Times New Roman"/>
                <w:color w:val="000000"/>
                <w:sz w:val="20"/>
                <w:lang w:eastAsia="en-AU"/>
              </w:rPr>
              <w:t xml:space="preserve"> </w:t>
            </w:r>
            <w:r w:rsidR="00106F89" w:rsidRPr="00A863C2">
              <w:rPr>
                <w:rFonts w:eastAsia="Times New Roman" w:cs="Times New Roman"/>
                <w:color w:val="000000"/>
                <w:sz w:val="20"/>
                <w:lang w:eastAsia="en-AU"/>
              </w:rPr>
              <w:t xml:space="preserve">Subgroup 1 of </w:t>
            </w:r>
            <w:r w:rsidR="0097625F" w:rsidRPr="00A863C2">
              <w:rPr>
                <w:rFonts w:eastAsia="Times New Roman" w:cs="Times New Roman"/>
                <w:color w:val="000000"/>
                <w:sz w:val="20"/>
                <w:lang w:eastAsia="en-AU"/>
              </w:rPr>
              <w:t xml:space="preserve">Group M3 or any item in Group M11 </w:t>
            </w:r>
            <w:r w:rsidR="00106F89" w:rsidRPr="00A863C2">
              <w:rPr>
                <w:rFonts w:eastAsia="Times New Roman" w:cs="Times New Roman"/>
                <w:color w:val="000000"/>
                <w:sz w:val="20"/>
                <w:lang w:eastAsia="en-AU"/>
              </w:rPr>
              <w:t xml:space="preserve">of the Allied Health Determination </w:t>
            </w:r>
            <w:r w:rsidR="0097625F" w:rsidRPr="00A863C2">
              <w:rPr>
                <w:rFonts w:eastAsia="Times New Roman" w:cs="Times New Roman"/>
                <w:color w:val="000000"/>
                <w:sz w:val="20"/>
                <w:lang w:eastAsia="en-AU"/>
              </w:rPr>
              <w:t>applies</w:t>
            </w:r>
            <w:r w:rsidRPr="00A863C2">
              <w:rPr>
                <w:rFonts w:eastAsia="Times New Roman" w:cs="Times New Roman"/>
                <w:color w:val="000000"/>
                <w:sz w:val="20"/>
                <w:lang w:eastAsia="en-AU"/>
              </w:rPr>
              <w:t>) in a calendar year</w:t>
            </w:r>
          </w:p>
        </w:tc>
        <w:tc>
          <w:tcPr>
            <w:tcW w:w="650" w:type="pct"/>
            <w:shd w:val="clear" w:color="auto" w:fill="FFFFFF"/>
            <w:tcMar>
              <w:top w:w="0" w:type="dxa"/>
              <w:left w:w="108" w:type="dxa"/>
              <w:bottom w:w="0" w:type="dxa"/>
              <w:right w:w="108" w:type="dxa"/>
            </w:tcMar>
            <w:hideMark/>
          </w:tcPr>
          <w:p w14:paraId="3A9E0EE2" w14:textId="15DBF2E3" w:rsidR="004B14CA" w:rsidRPr="00A863C2" w:rsidRDefault="004B14CA" w:rsidP="004B14CA">
            <w:pPr>
              <w:spacing w:before="60" w:after="60" w:line="240" w:lineRule="atLeast"/>
              <w:jc w:val="right"/>
              <w:rPr>
                <w:rFonts w:eastAsia="Times New Roman" w:cs="Times New Roman"/>
                <w:color w:val="000000"/>
                <w:szCs w:val="22"/>
                <w:lang w:eastAsia="en-AU"/>
              </w:rPr>
            </w:pPr>
          </w:p>
        </w:tc>
      </w:tr>
    </w:tbl>
    <w:p w14:paraId="2CBE10F7" w14:textId="28B552BB" w:rsidR="005F4945" w:rsidRPr="00A863C2" w:rsidRDefault="005F4945" w:rsidP="005F4945">
      <w:pPr>
        <w:pStyle w:val="ActHead6"/>
        <w:pageBreakBefore/>
      </w:pPr>
      <w:bookmarkStart w:id="12" w:name="_Toc152143928"/>
      <w:r w:rsidRPr="00A863C2">
        <w:rPr>
          <w:rStyle w:val="CharAmSchNo"/>
        </w:rPr>
        <w:lastRenderedPageBreak/>
        <w:t>Schedule 2</w:t>
      </w:r>
      <w:r w:rsidRPr="00A863C2">
        <w:t>—</w:t>
      </w:r>
      <w:r w:rsidR="006133D7" w:rsidRPr="00A863C2">
        <w:t xml:space="preserve">Psychiatry </w:t>
      </w:r>
      <w:r w:rsidR="003118AF" w:rsidRPr="00A863C2">
        <w:t>services</w:t>
      </w:r>
      <w:bookmarkEnd w:id="12"/>
    </w:p>
    <w:p w14:paraId="11D99340" w14:textId="77777777" w:rsidR="00EA26C9" w:rsidRPr="00A863C2" w:rsidRDefault="00EA26C9" w:rsidP="00EA26C9">
      <w:pPr>
        <w:pStyle w:val="ActHead9"/>
      </w:pPr>
      <w:bookmarkStart w:id="13" w:name="_Toc152143929"/>
      <w:r w:rsidRPr="00A863C2">
        <w:rPr>
          <w:bCs/>
        </w:rPr>
        <w:t>Health Insurance (Section 3C General Medical Services – Telehealth and Telephone Attendances) Determination 2021</w:t>
      </w:r>
      <w:bookmarkEnd w:id="13"/>
    </w:p>
    <w:p w14:paraId="5F64EA24" w14:textId="3923F24D" w:rsidR="00784E37" w:rsidRPr="00A863C2" w:rsidRDefault="00B10583" w:rsidP="00EA26C9">
      <w:pPr>
        <w:pStyle w:val="ItemHead"/>
      </w:pPr>
      <w:proofErr w:type="gramStart"/>
      <w:r w:rsidRPr="00A863C2">
        <w:t>1</w:t>
      </w:r>
      <w:r w:rsidR="00784E37" w:rsidRPr="00A863C2">
        <w:t xml:space="preserve">  Subsection</w:t>
      </w:r>
      <w:proofErr w:type="gramEnd"/>
      <w:r w:rsidR="00784E37" w:rsidRPr="00A863C2">
        <w:t xml:space="preserve"> 7(1)</w:t>
      </w:r>
    </w:p>
    <w:p w14:paraId="3AE0DA72" w14:textId="00ED15FF" w:rsidR="00784E37" w:rsidRPr="00A863C2" w:rsidRDefault="00784E37" w:rsidP="00784E37">
      <w:pPr>
        <w:pStyle w:val="Item"/>
      </w:pPr>
      <w:r w:rsidRPr="00A863C2">
        <w:t>Repeal the subsection, substitute:</w:t>
      </w:r>
    </w:p>
    <w:p w14:paraId="2271796E" w14:textId="5F642873" w:rsidR="00784E37" w:rsidRPr="00A863C2" w:rsidRDefault="00784E37" w:rsidP="00A658BD">
      <w:pPr>
        <w:pStyle w:val="Item"/>
        <w:numPr>
          <w:ilvl w:val="0"/>
          <w:numId w:val="36"/>
        </w:numPr>
      </w:pPr>
      <w:r w:rsidRPr="00A863C2">
        <w:t xml:space="preserve">An item in a Schedule does not apply to a service mentioned in the item if the </w:t>
      </w:r>
      <w:r w:rsidR="004F67E8" w:rsidRPr="00A863C2">
        <w:t xml:space="preserve">service is provided to a </w:t>
      </w:r>
      <w:r w:rsidRPr="00A863C2">
        <w:t>p</w:t>
      </w:r>
      <w:r w:rsidR="006E012B" w:rsidRPr="00A863C2">
        <w:t>atient</w:t>
      </w:r>
      <w:r w:rsidR="004F67E8" w:rsidRPr="00A863C2">
        <w:t>, or in relation to a patient</w:t>
      </w:r>
      <w:r w:rsidR="001B5649" w:rsidRPr="00A863C2">
        <w:t>,</w:t>
      </w:r>
      <w:r w:rsidR="004F67E8" w:rsidRPr="00A863C2">
        <w:t xml:space="preserve"> who</w:t>
      </w:r>
      <w:r w:rsidRPr="00A863C2">
        <w:t xml:space="preserve"> is an admitted patient</w:t>
      </w:r>
      <w:r w:rsidR="004F67E8" w:rsidRPr="00A863C2">
        <w:t xml:space="preserve">. </w:t>
      </w:r>
    </w:p>
    <w:p w14:paraId="009244D1" w14:textId="0B6C3EDB" w:rsidR="00784E37" w:rsidRPr="00A863C2" w:rsidRDefault="00B10583" w:rsidP="00784E37">
      <w:pPr>
        <w:pStyle w:val="ItemHead"/>
      </w:pPr>
      <w:proofErr w:type="gramStart"/>
      <w:r w:rsidRPr="00A863C2">
        <w:t>2</w:t>
      </w:r>
      <w:r w:rsidR="00784E37" w:rsidRPr="00A863C2">
        <w:t xml:space="preserve">  Subsection</w:t>
      </w:r>
      <w:proofErr w:type="gramEnd"/>
      <w:r w:rsidR="00784E37" w:rsidRPr="00A863C2">
        <w:t xml:space="preserve"> 7(1A)</w:t>
      </w:r>
    </w:p>
    <w:p w14:paraId="06318706" w14:textId="481E4014" w:rsidR="00784E37" w:rsidRPr="00A863C2" w:rsidRDefault="00784E37" w:rsidP="00784E37">
      <w:pPr>
        <w:pStyle w:val="Item"/>
      </w:pPr>
      <w:r w:rsidRPr="00A863C2">
        <w:t xml:space="preserve">Repeal the subsection, substitute: </w:t>
      </w:r>
    </w:p>
    <w:p w14:paraId="4B8D0D44" w14:textId="6A1D83E3" w:rsidR="00784E37" w:rsidRPr="00A863C2" w:rsidRDefault="00784E37" w:rsidP="00A658BD">
      <w:pPr>
        <w:pStyle w:val="Item"/>
        <w:numPr>
          <w:ilvl w:val="0"/>
          <w:numId w:val="39"/>
        </w:numPr>
      </w:pPr>
      <w:r w:rsidRPr="00A863C2">
        <w:t>Subsection (1) does not apply to</w:t>
      </w:r>
      <w:r w:rsidR="004F67E8" w:rsidRPr="00A863C2">
        <w:t xml:space="preserve"> item</w:t>
      </w:r>
      <w:r w:rsidR="00121D29" w:rsidRPr="00A863C2">
        <w:t xml:space="preserve"> 91874, 91875, 91876, 91877 or 91878</w:t>
      </w:r>
      <w:r w:rsidR="00A658BD" w:rsidRPr="00A863C2">
        <w:t xml:space="preserve"> </w:t>
      </w:r>
      <w:r w:rsidR="00043EA0" w:rsidRPr="00A863C2">
        <w:t>of Schedule 2 of this Determination.</w:t>
      </w:r>
    </w:p>
    <w:p w14:paraId="62F2AA62" w14:textId="02C10B71" w:rsidR="00EA26C9" w:rsidRPr="00A863C2" w:rsidRDefault="00B10583" w:rsidP="00EA26C9">
      <w:pPr>
        <w:pStyle w:val="ItemHead"/>
      </w:pPr>
      <w:proofErr w:type="gramStart"/>
      <w:r w:rsidRPr="00A863C2">
        <w:t>3</w:t>
      </w:r>
      <w:r w:rsidR="00EA26C9" w:rsidRPr="00A863C2">
        <w:t xml:space="preserve">  Schedule</w:t>
      </w:r>
      <w:proofErr w:type="gramEnd"/>
      <w:r w:rsidR="00EA26C9" w:rsidRPr="00A863C2">
        <w:t xml:space="preserve"> 2 (item 91827, column 2</w:t>
      </w:r>
      <w:r w:rsidR="00C82902" w:rsidRPr="00A863C2">
        <w:t>,</w:t>
      </w:r>
      <w:r w:rsidR="00EA26C9" w:rsidRPr="00A863C2">
        <w:t xml:space="preserve"> paragraph (b))</w:t>
      </w:r>
    </w:p>
    <w:p w14:paraId="127F4AEB" w14:textId="205A5F19" w:rsidR="00EA26C9" w:rsidRPr="00A863C2" w:rsidRDefault="00C82902" w:rsidP="00EA26C9">
      <w:pPr>
        <w:pStyle w:val="Item"/>
        <w:spacing w:after="120"/>
      </w:pPr>
      <w:r w:rsidRPr="00A863C2">
        <w:t>Repeal the paragraph, substitute</w:t>
      </w:r>
      <w:r w:rsidR="00EA26C9" w:rsidRPr="00A863C2">
        <w:t xml:space="preserve">:  </w:t>
      </w:r>
    </w:p>
    <w:p w14:paraId="6F00DE66" w14:textId="67042ED2" w:rsidR="00C82902" w:rsidRPr="00A863C2" w:rsidRDefault="00EA26C9">
      <w:pPr>
        <w:pStyle w:val="Item"/>
        <w:numPr>
          <w:ilvl w:val="0"/>
          <w:numId w:val="29"/>
        </w:numPr>
      </w:pPr>
      <w:r w:rsidRPr="00A863C2">
        <w:tab/>
      </w:r>
      <w:r w:rsidR="00C82902" w:rsidRPr="00A863C2">
        <w:t>the attendance was not more than 15 minutes</w:t>
      </w:r>
      <w:r w:rsidR="001C2AD7" w:rsidRPr="00A863C2">
        <w:t xml:space="preserve"> in</w:t>
      </w:r>
      <w:r w:rsidR="00C82902" w:rsidRPr="00A863C2">
        <w:t xml:space="preserve"> </w:t>
      </w:r>
      <w:proofErr w:type="gramStart"/>
      <w:r w:rsidR="00C82902" w:rsidRPr="00A863C2">
        <w:t>duration;</w:t>
      </w:r>
      <w:proofErr w:type="gramEnd"/>
    </w:p>
    <w:p w14:paraId="3869E0A1" w14:textId="2241AD62" w:rsidR="00EA26C9" w:rsidRPr="00A863C2" w:rsidRDefault="00C82902" w:rsidP="00432495">
      <w:pPr>
        <w:pStyle w:val="Item"/>
        <w:ind w:left="1069"/>
      </w:pPr>
      <w:r w:rsidRPr="00A863C2">
        <w:t xml:space="preserve">if </w:t>
      </w:r>
      <w:r w:rsidR="00EA26C9" w:rsidRPr="00A863C2">
        <w:t>that attendance and another attendance to which item 296, 297, 299 or any of items 300, 302, 304, 306, 308</w:t>
      </w:r>
      <w:r w:rsidR="00A02F97" w:rsidRPr="00A863C2">
        <w:t>,</w:t>
      </w:r>
      <w:r w:rsidR="002D6B84" w:rsidRPr="00A863C2">
        <w:t xml:space="preserve"> </w:t>
      </w:r>
      <w:r w:rsidR="00EA26C9" w:rsidRPr="00A863C2">
        <w:t xml:space="preserve">91828 to 91831, 91837 to 91839 and 92437 applies have not exceeded 50 attendances in a calendar </w:t>
      </w:r>
      <w:proofErr w:type="gramStart"/>
      <w:r w:rsidR="00EA26C9" w:rsidRPr="00A863C2">
        <w:t>year</w:t>
      </w:r>
      <w:proofErr w:type="gramEnd"/>
    </w:p>
    <w:p w14:paraId="50DB505C" w14:textId="53B1758D" w:rsidR="00EA26C9" w:rsidRPr="00A863C2" w:rsidRDefault="00B10583" w:rsidP="00EA26C9">
      <w:pPr>
        <w:pStyle w:val="ItemHead"/>
      </w:pPr>
      <w:proofErr w:type="gramStart"/>
      <w:r w:rsidRPr="00A863C2">
        <w:t>4</w:t>
      </w:r>
      <w:r w:rsidR="00EA26C9" w:rsidRPr="00A863C2">
        <w:t xml:space="preserve">  Schedule</w:t>
      </w:r>
      <w:proofErr w:type="gramEnd"/>
      <w:r w:rsidR="00EA26C9" w:rsidRPr="00A863C2">
        <w:t xml:space="preserve"> 2 (item 91828, column 2</w:t>
      </w:r>
      <w:r w:rsidR="00F81DF4" w:rsidRPr="00A863C2">
        <w:t>,</w:t>
      </w:r>
      <w:r w:rsidR="00EA26C9" w:rsidRPr="00A863C2">
        <w:t xml:space="preserve"> paragraph (b))</w:t>
      </w:r>
    </w:p>
    <w:p w14:paraId="08A6CB64" w14:textId="6E58F9B4" w:rsidR="00EA26C9" w:rsidRPr="00A863C2" w:rsidRDefault="00E211B4" w:rsidP="00EA26C9">
      <w:pPr>
        <w:pStyle w:val="Item"/>
        <w:spacing w:after="120"/>
      </w:pPr>
      <w:r w:rsidRPr="00A863C2">
        <w:t>Repeal the paragraph, substitute:</w:t>
      </w:r>
      <w:r w:rsidR="00EA26C9" w:rsidRPr="00A863C2">
        <w:t xml:space="preserve">  </w:t>
      </w:r>
    </w:p>
    <w:p w14:paraId="0F3AAD09" w14:textId="2F6BAE24" w:rsidR="00F81DF4" w:rsidRPr="00A863C2" w:rsidRDefault="00F81DF4">
      <w:pPr>
        <w:pStyle w:val="Item"/>
        <w:numPr>
          <w:ilvl w:val="0"/>
          <w:numId w:val="30"/>
        </w:numPr>
      </w:pPr>
      <w:r w:rsidRPr="00A863C2">
        <w:t xml:space="preserve">the attendance was at least 15 minutes, but not more than 30 minutes in </w:t>
      </w:r>
      <w:proofErr w:type="gramStart"/>
      <w:r w:rsidRPr="00A863C2">
        <w:t>duration;</w:t>
      </w:r>
      <w:proofErr w:type="gramEnd"/>
    </w:p>
    <w:p w14:paraId="01D5795F" w14:textId="06410E15" w:rsidR="00EA26C9" w:rsidRPr="00A863C2" w:rsidRDefault="00F81DF4" w:rsidP="00432495">
      <w:pPr>
        <w:pStyle w:val="Item"/>
        <w:ind w:left="1069"/>
      </w:pPr>
      <w:r w:rsidRPr="00A863C2">
        <w:t>i</w:t>
      </w:r>
      <w:r w:rsidR="00EA26C9" w:rsidRPr="00A863C2">
        <w:t>f that attendance and another attendance to which item 296, 297, 29</w:t>
      </w:r>
      <w:r w:rsidR="00E5224E" w:rsidRPr="00A863C2">
        <w:t>9</w:t>
      </w:r>
      <w:r w:rsidR="00EA26C9" w:rsidRPr="00A863C2">
        <w:t xml:space="preserve">, or any of items 300, 302, 304, 306 to 308, 91827, 91829 to 91831, 91837 to 91839 and 92437 applies have not exceeded 50 attendances in a calendar </w:t>
      </w:r>
      <w:proofErr w:type="gramStart"/>
      <w:r w:rsidR="00EA26C9" w:rsidRPr="00A863C2">
        <w:t>year</w:t>
      </w:r>
      <w:proofErr w:type="gramEnd"/>
      <w:r w:rsidR="00EA26C9" w:rsidRPr="00A863C2">
        <w:t xml:space="preserve"> </w:t>
      </w:r>
    </w:p>
    <w:p w14:paraId="759DF445" w14:textId="3834DB1A" w:rsidR="00EA26C9" w:rsidRPr="00A863C2" w:rsidRDefault="00B10583" w:rsidP="00EA26C9">
      <w:pPr>
        <w:pStyle w:val="ItemHead"/>
      </w:pPr>
      <w:proofErr w:type="gramStart"/>
      <w:r w:rsidRPr="00A863C2">
        <w:t>5</w:t>
      </w:r>
      <w:r w:rsidR="00EA26C9" w:rsidRPr="00A863C2">
        <w:t xml:space="preserve">  Schedule</w:t>
      </w:r>
      <w:proofErr w:type="gramEnd"/>
      <w:r w:rsidR="00EA26C9" w:rsidRPr="00A863C2">
        <w:t xml:space="preserve"> 2 (item 91829, column 2</w:t>
      </w:r>
      <w:r w:rsidR="000B2F9A" w:rsidRPr="00A863C2">
        <w:t xml:space="preserve">, </w:t>
      </w:r>
      <w:r w:rsidR="00EA26C9" w:rsidRPr="00A863C2">
        <w:t>paragraph (b))</w:t>
      </w:r>
    </w:p>
    <w:p w14:paraId="47B0F534" w14:textId="4C8845C5" w:rsidR="00EA26C9" w:rsidRPr="00A863C2" w:rsidRDefault="00E211B4" w:rsidP="00EA26C9">
      <w:pPr>
        <w:pStyle w:val="Item"/>
        <w:spacing w:after="120"/>
      </w:pPr>
      <w:r w:rsidRPr="00A863C2">
        <w:t>Repeal the paragraph, substitute:</w:t>
      </w:r>
      <w:r w:rsidR="00EA26C9" w:rsidRPr="00A863C2">
        <w:t xml:space="preserve">  </w:t>
      </w:r>
    </w:p>
    <w:p w14:paraId="166F9B0D" w14:textId="77777777" w:rsidR="00371056" w:rsidRPr="00A863C2" w:rsidRDefault="00EA26C9">
      <w:pPr>
        <w:pStyle w:val="Item"/>
        <w:numPr>
          <w:ilvl w:val="0"/>
          <w:numId w:val="31"/>
        </w:numPr>
      </w:pPr>
      <w:r w:rsidRPr="00A863C2">
        <w:tab/>
      </w:r>
      <w:r w:rsidR="000B2F9A" w:rsidRPr="00A863C2">
        <w:t xml:space="preserve">the attendance was at least 30 minutes, but not more than 45 minutes in </w:t>
      </w:r>
      <w:proofErr w:type="gramStart"/>
      <w:r w:rsidR="000B2F9A" w:rsidRPr="00A863C2">
        <w:t>duration;</w:t>
      </w:r>
      <w:proofErr w:type="gramEnd"/>
    </w:p>
    <w:p w14:paraId="6ABB994A" w14:textId="3822929D" w:rsidR="00EA26C9" w:rsidRPr="00A863C2" w:rsidRDefault="000B2F9A" w:rsidP="00432495">
      <w:pPr>
        <w:pStyle w:val="Item"/>
        <w:ind w:left="1069"/>
      </w:pPr>
      <w:r w:rsidRPr="00A863C2">
        <w:t>i</w:t>
      </w:r>
      <w:r w:rsidR="00EA26C9" w:rsidRPr="00A863C2">
        <w:t xml:space="preserve">f that attendance and another attendance to which item 296, 297, 299 or any of items 300, 302, 304, 306 to 308, 91827, 91828, 91830, 91831, 91837 to 91839 and 92437 applies have not exceeded 50 attendances in a calendar </w:t>
      </w:r>
      <w:proofErr w:type="gramStart"/>
      <w:r w:rsidR="00EA26C9" w:rsidRPr="00A863C2">
        <w:t>year</w:t>
      </w:r>
      <w:proofErr w:type="gramEnd"/>
    </w:p>
    <w:p w14:paraId="39F49E13" w14:textId="279CF107" w:rsidR="00EA26C9" w:rsidRPr="00A863C2" w:rsidRDefault="00B10583" w:rsidP="00EA26C9">
      <w:pPr>
        <w:pStyle w:val="ItemHead"/>
      </w:pPr>
      <w:proofErr w:type="gramStart"/>
      <w:r w:rsidRPr="00A863C2">
        <w:t>6</w:t>
      </w:r>
      <w:r w:rsidR="00EA26C9" w:rsidRPr="00A863C2">
        <w:t xml:space="preserve">  Schedule</w:t>
      </w:r>
      <w:proofErr w:type="gramEnd"/>
      <w:r w:rsidR="00EA26C9" w:rsidRPr="00A863C2">
        <w:t xml:space="preserve"> 2 (item 91830, column 2</w:t>
      </w:r>
      <w:r w:rsidR="007F1770" w:rsidRPr="00A863C2">
        <w:t xml:space="preserve">, </w:t>
      </w:r>
      <w:r w:rsidR="00EA26C9" w:rsidRPr="00A863C2">
        <w:t>paragraph (b))</w:t>
      </w:r>
    </w:p>
    <w:p w14:paraId="786111D8" w14:textId="6DA28334" w:rsidR="00EA26C9" w:rsidRPr="00A863C2" w:rsidRDefault="00E211B4" w:rsidP="00EA26C9">
      <w:pPr>
        <w:pStyle w:val="Item"/>
        <w:spacing w:after="120"/>
      </w:pPr>
      <w:r w:rsidRPr="00A863C2">
        <w:t>Repeal the paragraph, substitute:</w:t>
      </w:r>
      <w:r w:rsidR="00EA26C9" w:rsidRPr="00A863C2">
        <w:t xml:space="preserve">  </w:t>
      </w:r>
    </w:p>
    <w:p w14:paraId="7B8BDCCF" w14:textId="77777777" w:rsidR="007F1770" w:rsidRPr="00A863C2" w:rsidRDefault="007F1770">
      <w:pPr>
        <w:pStyle w:val="Item"/>
        <w:numPr>
          <w:ilvl w:val="0"/>
          <w:numId w:val="32"/>
        </w:numPr>
      </w:pPr>
      <w:r w:rsidRPr="00A863C2">
        <w:t xml:space="preserve">the attendance was at least 45 minutes, but not more than 75 minutes in </w:t>
      </w:r>
      <w:proofErr w:type="gramStart"/>
      <w:r w:rsidRPr="00A863C2">
        <w:t>duration;</w:t>
      </w:r>
      <w:proofErr w:type="gramEnd"/>
    </w:p>
    <w:p w14:paraId="3EF68E98" w14:textId="1658539E" w:rsidR="00EA26C9" w:rsidRPr="00A863C2" w:rsidRDefault="007F1770" w:rsidP="00432495">
      <w:pPr>
        <w:pStyle w:val="Item"/>
        <w:ind w:left="1069"/>
      </w:pPr>
      <w:r w:rsidRPr="00A863C2">
        <w:lastRenderedPageBreak/>
        <w:t>i</w:t>
      </w:r>
      <w:r w:rsidR="00EA26C9" w:rsidRPr="00A863C2">
        <w:t xml:space="preserve">f that attendance and another attendance to which item 296, 297, 299 or any of items 300, 302, 304, 306 to 308, 91827 to 91829, 91831, 91837 to 91839 and 92437 applies have not exceeded 50 attendances in a calendar </w:t>
      </w:r>
      <w:proofErr w:type="gramStart"/>
      <w:r w:rsidR="00EA26C9" w:rsidRPr="00A863C2">
        <w:t>year</w:t>
      </w:r>
      <w:proofErr w:type="gramEnd"/>
    </w:p>
    <w:p w14:paraId="13C93244" w14:textId="76C93F24" w:rsidR="00EA26C9" w:rsidRPr="00A863C2" w:rsidRDefault="00B10583" w:rsidP="00EA26C9">
      <w:pPr>
        <w:pStyle w:val="ItemHead"/>
      </w:pPr>
      <w:proofErr w:type="gramStart"/>
      <w:r w:rsidRPr="00A863C2">
        <w:t>7</w:t>
      </w:r>
      <w:r w:rsidR="00EA26C9" w:rsidRPr="00A863C2">
        <w:t xml:space="preserve">  Schedule</w:t>
      </w:r>
      <w:proofErr w:type="gramEnd"/>
      <w:r w:rsidR="00EA26C9" w:rsidRPr="00A863C2">
        <w:t xml:space="preserve"> 2 (item 91831, column 2 after paragraph (b))</w:t>
      </w:r>
    </w:p>
    <w:p w14:paraId="289A1466" w14:textId="621FB708" w:rsidR="00EA26C9" w:rsidRPr="00A863C2" w:rsidRDefault="00E211B4" w:rsidP="00EA26C9">
      <w:pPr>
        <w:pStyle w:val="Item"/>
        <w:spacing w:after="120"/>
      </w:pPr>
      <w:r w:rsidRPr="00A863C2">
        <w:t>Repeal the paragraph, substitute:</w:t>
      </w:r>
    </w:p>
    <w:p w14:paraId="17FFDE3B" w14:textId="77777777" w:rsidR="00D32195" w:rsidRPr="00A863C2" w:rsidRDefault="00D32195">
      <w:pPr>
        <w:pStyle w:val="Item"/>
        <w:numPr>
          <w:ilvl w:val="0"/>
          <w:numId w:val="33"/>
        </w:numPr>
      </w:pPr>
      <w:r w:rsidRPr="00A863C2">
        <w:t xml:space="preserve">the attendance was at least 75 minutes in </w:t>
      </w:r>
      <w:proofErr w:type="gramStart"/>
      <w:r w:rsidRPr="00A863C2">
        <w:t>duration;</w:t>
      </w:r>
      <w:proofErr w:type="gramEnd"/>
    </w:p>
    <w:p w14:paraId="3A0D61A6" w14:textId="4412CB19" w:rsidR="00EA26C9" w:rsidRPr="00A863C2" w:rsidRDefault="00D32195" w:rsidP="00432495">
      <w:pPr>
        <w:pStyle w:val="Item"/>
        <w:ind w:left="1069"/>
      </w:pPr>
      <w:r w:rsidRPr="00A863C2">
        <w:t>i</w:t>
      </w:r>
      <w:r w:rsidR="00EA26C9" w:rsidRPr="00A863C2">
        <w:t xml:space="preserve">f that attendance and another attendance to which item 296, 297, 299 or any of items 300, 302, 304, 306 to 308, 91827 to 91830, 91837 to 91839 and 92437 applies have not exceeded 50 attendances in a calendar </w:t>
      </w:r>
      <w:proofErr w:type="gramStart"/>
      <w:r w:rsidR="00EA26C9" w:rsidRPr="00A863C2">
        <w:t>year</w:t>
      </w:r>
      <w:proofErr w:type="gramEnd"/>
    </w:p>
    <w:p w14:paraId="2E67F9EB" w14:textId="70D062F1" w:rsidR="00EA26C9" w:rsidRPr="00A863C2" w:rsidRDefault="00B10583" w:rsidP="00EA26C9">
      <w:pPr>
        <w:pStyle w:val="ItemHead"/>
      </w:pPr>
      <w:proofErr w:type="gramStart"/>
      <w:r w:rsidRPr="00A863C2">
        <w:t>8</w:t>
      </w:r>
      <w:r w:rsidR="00EA26C9" w:rsidRPr="00A863C2">
        <w:t xml:space="preserve">  Schedule</w:t>
      </w:r>
      <w:proofErr w:type="gramEnd"/>
      <w:r w:rsidR="00EA26C9" w:rsidRPr="00A863C2">
        <w:t xml:space="preserve"> 2 (item 91837, column 2)</w:t>
      </w:r>
    </w:p>
    <w:p w14:paraId="14B437E2" w14:textId="68B05F9A" w:rsidR="00EA26C9" w:rsidRPr="00A863C2" w:rsidRDefault="00EA26C9" w:rsidP="00432495">
      <w:pPr>
        <w:pStyle w:val="Item"/>
        <w:spacing w:after="120"/>
      </w:pPr>
      <w:r w:rsidRPr="00A863C2">
        <w:t>After “single course of treatment”, insert</w:t>
      </w:r>
      <w:r w:rsidR="001040D5" w:rsidRPr="00A863C2">
        <w:t xml:space="preserve"> </w:t>
      </w:r>
      <w:r w:rsidRPr="00A863C2">
        <w:t>“, if that attendance and another attendance to which item 296, 297, 299 or any of items 300, 302, 304, 306 to 308, 91827 to 91831, 91838</w:t>
      </w:r>
      <w:r w:rsidR="001C2AD7" w:rsidRPr="00A863C2">
        <w:t>,</w:t>
      </w:r>
      <w:r w:rsidRPr="00A863C2">
        <w:t xml:space="preserve"> 91839 and 92437 applies have not exceeded 50 attendances in a calendar </w:t>
      </w:r>
      <w:proofErr w:type="gramStart"/>
      <w:r w:rsidRPr="00A863C2">
        <w:t>year”</w:t>
      </w:r>
      <w:proofErr w:type="gramEnd"/>
    </w:p>
    <w:p w14:paraId="60D08ED3" w14:textId="4E2482A3" w:rsidR="00EA26C9" w:rsidRPr="00A863C2" w:rsidRDefault="00B10583" w:rsidP="00EA26C9">
      <w:pPr>
        <w:pStyle w:val="ItemHead"/>
      </w:pPr>
      <w:proofErr w:type="gramStart"/>
      <w:r w:rsidRPr="00A863C2">
        <w:t>9</w:t>
      </w:r>
      <w:r w:rsidR="00EA26C9" w:rsidRPr="00A863C2">
        <w:t xml:space="preserve">  Schedule</w:t>
      </w:r>
      <w:proofErr w:type="gramEnd"/>
      <w:r w:rsidR="00EA26C9" w:rsidRPr="00A863C2">
        <w:t xml:space="preserve"> 2 (item 91838, column 2)</w:t>
      </w:r>
    </w:p>
    <w:p w14:paraId="040899CD" w14:textId="0C81BC63" w:rsidR="00EA26C9" w:rsidRPr="00A863C2" w:rsidRDefault="00EA26C9" w:rsidP="00432495">
      <w:pPr>
        <w:pStyle w:val="Item"/>
        <w:spacing w:after="120"/>
      </w:pPr>
      <w:r w:rsidRPr="00A863C2">
        <w:t>After “single course of treatment”, insert</w:t>
      </w:r>
      <w:r w:rsidR="001040D5" w:rsidRPr="00A863C2">
        <w:t xml:space="preserve"> </w:t>
      </w:r>
      <w:r w:rsidRPr="00A863C2">
        <w:t>“, if that attendance and another attendance to which item 296, 297, 299 or any of items 300, 302, 304, 306 to 308, 91827 to 91831, 91837</w:t>
      </w:r>
      <w:r w:rsidR="001C2AD7" w:rsidRPr="00A863C2">
        <w:t>,</w:t>
      </w:r>
      <w:r w:rsidRPr="00A863C2">
        <w:t xml:space="preserve"> 91839 and 92437 applies have not exceeded 50 attendances in a calendar </w:t>
      </w:r>
      <w:proofErr w:type="gramStart"/>
      <w:r w:rsidRPr="00A863C2">
        <w:t>year”</w:t>
      </w:r>
      <w:proofErr w:type="gramEnd"/>
      <w:r w:rsidRPr="00A863C2">
        <w:t xml:space="preserve"> </w:t>
      </w:r>
    </w:p>
    <w:p w14:paraId="59010093" w14:textId="1AD6A7DA" w:rsidR="00EA26C9" w:rsidRPr="00A863C2" w:rsidRDefault="00B10583" w:rsidP="00EA26C9">
      <w:pPr>
        <w:pStyle w:val="ItemHead"/>
      </w:pPr>
      <w:proofErr w:type="gramStart"/>
      <w:r w:rsidRPr="00A863C2">
        <w:t>10</w:t>
      </w:r>
      <w:r w:rsidR="00EA26C9" w:rsidRPr="00A863C2">
        <w:t xml:space="preserve">  Schedule</w:t>
      </w:r>
      <w:proofErr w:type="gramEnd"/>
      <w:r w:rsidR="00EA26C9" w:rsidRPr="00A863C2">
        <w:t xml:space="preserve"> 2 (item 91839, column 2)</w:t>
      </w:r>
    </w:p>
    <w:p w14:paraId="423EA137" w14:textId="1FBEF211" w:rsidR="00EA26C9" w:rsidRPr="00A863C2" w:rsidRDefault="00EA26C9" w:rsidP="00432495">
      <w:pPr>
        <w:pStyle w:val="Item"/>
        <w:spacing w:after="120"/>
      </w:pPr>
      <w:r w:rsidRPr="00A863C2">
        <w:t>After “single course of treatment”, insert</w:t>
      </w:r>
      <w:r w:rsidR="001040D5" w:rsidRPr="00A863C2">
        <w:t xml:space="preserve"> </w:t>
      </w:r>
      <w:r w:rsidRPr="00A863C2">
        <w:t>“, if that attendance and another attendance to which item 296, 297, 299 or any of items 300, 302, 304, 306 to 308, 91827 to 91831, 91837</w:t>
      </w:r>
      <w:r w:rsidR="001C2AD7" w:rsidRPr="00A863C2">
        <w:t>,</w:t>
      </w:r>
      <w:r w:rsidRPr="00A863C2">
        <w:t xml:space="preserve"> 91838 and 92437 applies have not exceeded 50 attendances in a calendar </w:t>
      </w:r>
      <w:proofErr w:type="gramStart"/>
      <w:r w:rsidRPr="00A863C2">
        <w:t>year”</w:t>
      </w:r>
      <w:proofErr w:type="gramEnd"/>
      <w:r w:rsidRPr="00A863C2">
        <w:t xml:space="preserve"> </w:t>
      </w:r>
    </w:p>
    <w:p w14:paraId="77BB8754" w14:textId="0ED67005" w:rsidR="00EA26C9" w:rsidRPr="00A863C2" w:rsidRDefault="00B10583" w:rsidP="00EA26C9">
      <w:pPr>
        <w:pStyle w:val="ItemHead"/>
      </w:pPr>
      <w:proofErr w:type="gramStart"/>
      <w:r w:rsidRPr="00A863C2">
        <w:t>11</w:t>
      </w:r>
      <w:r w:rsidR="00EA26C9" w:rsidRPr="00A863C2">
        <w:t xml:space="preserve">  Schedule</w:t>
      </w:r>
      <w:proofErr w:type="gramEnd"/>
      <w:r w:rsidR="00EA26C9" w:rsidRPr="00A863C2">
        <w:t xml:space="preserve"> 2 (after 91831)</w:t>
      </w:r>
    </w:p>
    <w:p w14:paraId="7043A53D" w14:textId="77777777" w:rsidR="00EA26C9" w:rsidRPr="00A863C2" w:rsidRDefault="00EA26C9" w:rsidP="00EA26C9">
      <w:pPr>
        <w:pStyle w:val="Item"/>
        <w:spacing w:after="120"/>
      </w:pPr>
      <w:r w:rsidRPr="00A863C2">
        <w:t>Insert:</w:t>
      </w:r>
    </w:p>
    <w:tbl>
      <w:tblPr>
        <w:tblStyle w:val="TableGridLight"/>
        <w:tblW w:w="5000" w:type="pct"/>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189"/>
        <w:gridCol w:w="5852"/>
        <w:gridCol w:w="1272"/>
      </w:tblGrid>
      <w:tr w:rsidR="00E951CF" w:rsidRPr="00A863C2" w14:paraId="1FDC2354" w14:textId="77777777" w:rsidTr="00E951CF">
        <w:tc>
          <w:tcPr>
            <w:tcW w:w="715" w:type="pct"/>
            <w:tcBorders>
              <w:top w:val="single" w:sz="4" w:space="0" w:color="auto"/>
              <w:bottom w:val="single" w:sz="4" w:space="0" w:color="auto"/>
            </w:tcBorders>
          </w:tcPr>
          <w:p w14:paraId="17DBF1DA" w14:textId="7C5D49D6" w:rsidR="00E951CF" w:rsidRPr="00A863C2" w:rsidRDefault="00E951CF" w:rsidP="00E951CF">
            <w:pPr>
              <w:spacing w:line="240" w:lineRule="atLeast"/>
              <w:rPr>
                <w:rFonts w:eastAsia="Times New Roman" w:cs="Times New Roman"/>
                <w:color w:val="000000"/>
                <w:szCs w:val="22"/>
                <w:lang w:eastAsia="en-AU"/>
              </w:rPr>
            </w:pPr>
            <w:r w:rsidRPr="00A863C2">
              <w:rPr>
                <w:rFonts w:eastAsia="Times New Roman" w:cs="Times New Roman"/>
                <w:color w:val="000000"/>
                <w:sz w:val="20"/>
                <w:lang w:eastAsia="en-AU"/>
              </w:rPr>
              <w:t>91868</w:t>
            </w:r>
          </w:p>
        </w:tc>
        <w:tc>
          <w:tcPr>
            <w:tcW w:w="3520" w:type="pct"/>
            <w:tcBorders>
              <w:top w:val="single" w:sz="4" w:space="0" w:color="auto"/>
              <w:bottom w:val="single" w:sz="4" w:space="0" w:color="auto"/>
            </w:tcBorders>
          </w:tcPr>
          <w:p w14:paraId="6BD9F675" w14:textId="5A9558CB" w:rsidR="00E951CF" w:rsidRPr="00A863C2" w:rsidRDefault="00E951CF" w:rsidP="00A1579C">
            <w:pPr>
              <w:spacing w:after="120" w:line="221" w:lineRule="atLeast"/>
              <w:rPr>
                <w:rFonts w:eastAsia="Times New Roman" w:cs="Times New Roman"/>
                <w:szCs w:val="22"/>
                <w:lang w:eastAsia="en-AU"/>
              </w:rPr>
            </w:pPr>
            <w:r w:rsidRPr="00A863C2">
              <w:rPr>
                <w:rFonts w:eastAsia="Times New Roman" w:cs="Times New Roman"/>
                <w:sz w:val="20"/>
              </w:rPr>
              <w:t>Telehealth attendance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s specialty of psychiatry following referral of the patient to the consultant physician by a referring practitioner</w:t>
            </w:r>
            <w:r w:rsidR="00FB668B" w:rsidRPr="00A863C2">
              <w:rPr>
                <w:color w:val="000000"/>
                <w:sz w:val="20"/>
                <w:shd w:val="clear" w:color="auto" w:fill="FFFFFF"/>
              </w:rPr>
              <w:t>—</w:t>
            </w:r>
            <w:r w:rsidR="00E91595" w:rsidRPr="00A863C2">
              <w:rPr>
                <w:rFonts w:eastAsia="Times New Roman" w:cs="Times New Roman"/>
                <w:sz w:val="20"/>
              </w:rPr>
              <w:t xml:space="preserve">an </w:t>
            </w:r>
            <w:r w:rsidRPr="00A863C2">
              <w:rPr>
                <w:rFonts w:eastAsia="Times New Roman" w:cs="Times New Roman"/>
                <w:sz w:val="20"/>
              </w:rPr>
              <w:t>attendance of not more than 15 minutes in duration, if that attendance and another attendance to which item 296, 297, 299, 92437 or any of items 300, 302, 304, 306, 308, 91827, 91828, 91829, 91830, 91831, 91837, 91838</w:t>
            </w:r>
            <w:r w:rsidR="00713963" w:rsidRPr="00A863C2">
              <w:rPr>
                <w:rFonts w:eastAsia="Times New Roman" w:cs="Times New Roman"/>
                <w:sz w:val="20"/>
              </w:rPr>
              <w:t>,</w:t>
            </w:r>
            <w:r w:rsidRPr="00A863C2">
              <w:rPr>
                <w:rFonts w:eastAsia="Times New Roman" w:cs="Times New Roman"/>
                <w:sz w:val="20"/>
              </w:rPr>
              <w:t xml:space="preserve"> 91839</w:t>
            </w:r>
            <w:r w:rsidR="00713963" w:rsidRPr="00A863C2">
              <w:rPr>
                <w:rFonts w:eastAsia="Times New Roman" w:cs="Times New Roman"/>
                <w:sz w:val="20"/>
              </w:rPr>
              <w:t>, 91869, 91870, 91871, 91872</w:t>
            </w:r>
            <w:r w:rsidR="00016646" w:rsidRPr="00A863C2">
              <w:rPr>
                <w:rFonts w:eastAsia="Times New Roman" w:cs="Times New Roman"/>
                <w:sz w:val="20"/>
              </w:rPr>
              <w:t>,</w:t>
            </w:r>
            <w:r w:rsidR="00713963" w:rsidRPr="00A863C2">
              <w:rPr>
                <w:rFonts w:eastAsia="Times New Roman" w:cs="Times New Roman"/>
                <w:sz w:val="20"/>
              </w:rPr>
              <w:t xml:space="preserve"> 91873</w:t>
            </w:r>
            <w:r w:rsidR="00016646" w:rsidRPr="00A863C2">
              <w:rPr>
                <w:rFonts w:eastAsia="Times New Roman" w:cs="Times New Roman"/>
                <w:sz w:val="20"/>
              </w:rPr>
              <w:t xml:space="preserve"> or 91879 to 91881</w:t>
            </w:r>
            <w:r w:rsidRPr="00A863C2">
              <w:rPr>
                <w:rFonts w:eastAsia="Times New Roman" w:cs="Times New Roman"/>
                <w:sz w:val="20"/>
              </w:rPr>
              <w:t xml:space="preserve"> applie</w:t>
            </w:r>
            <w:r w:rsidR="004D351D" w:rsidRPr="00A863C2">
              <w:rPr>
                <w:rFonts w:eastAsia="Times New Roman" w:cs="Times New Roman"/>
                <w:sz w:val="20"/>
              </w:rPr>
              <w:t xml:space="preserve">s </w:t>
            </w:r>
            <w:r w:rsidRPr="00A863C2">
              <w:rPr>
                <w:rFonts w:eastAsia="Times New Roman" w:cs="Times New Roman"/>
                <w:sz w:val="20"/>
              </w:rPr>
              <w:t>exceed 50 attendances in a calendar year for the patient</w:t>
            </w:r>
          </w:p>
        </w:tc>
        <w:tc>
          <w:tcPr>
            <w:tcW w:w="765" w:type="pct"/>
            <w:tcBorders>
              <w:top w:val="single" w:sz="4" w:space="0" w:color="auto"/>
              <w:bottom w:val="single" w:sz="4" w:space="0" w:color="auto"/>
            </w:tcBorders>
          </w:tcPr>
          <w:p w14:paraId="23D0E489" w14:textId="59489B0C" w:rsidR="00E951CF" w:rsidRPr="00A863C2" w:rsidRDefault="00E951CF" w:rsidP="00E951CF">
            <w:pPr>
              <w:spacing w:line="240" w:lineRule="atLeast"/>
              <w:jc w:val="right"/>
              <w:rPr>
                <w:rFonts w:eastAsia="Times New Roman" w:cs="Times New Roman"/>
                <w:color w:val="000000"/>
                <w:szCs w:val="22"/>
                <w:lang w:eastAsia="en-AU"/>
              </w:rPr>
            </w:pPr>
            <w:r w:rsidRPr="00A863C2">
              <w:rPr>
                <w:rFonts w:eastAsia="Times New Roman" w:cs="Times New Roman"/>
                <w:color w:val="000000"/>
                <w:sz w:val="20"/>
                <w:lang w:eastAsia="en-AU"/>
              </w:rPr>
              <w:t>24.10</w:t>
            </w:r>
          </w:p>
        </w:tc>
      </w:tr>
      <w:tr w:rsidR="00E951CF" w:rsidRPr="00A863C2" w14:paraId="1D8F3820" w14:textId="77777777" w:rsidTr="00E951CF">
        <w:tc>
          <w:tcPr>
            <w:tcW w:w="715" w:type="pct"/>
            <w:tcBorders>
              <w:top w:val="single" w:sz="4" w:space="0" w:color="auto"/>
            </w:tcBorders>
          </w:tcPr>
          <w:p w14:paraId="25C9B020"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91869</w:t>
            </w:r>
          </w:p>
        </w:tc>
        <w:tc>
          <w:tcPr>
            <w:tcW w:w="3520" w:type="pct"/>
            <w:tcBorders>
              <w:top w:val="single" w:sz="4" w:space="0" w:color="auto"/>
            </w:tcBorders>
          </w:tcPr>
          <w:p w14:paraId="6E45CAF2" w14:textId="2E3BC31C" w:rsidR="00E951CF" w:rsidRPr="00A863C2" w:rsidRDefault="00E951CF" w:rsidP="00432495">
            <w:pPr>
              <w:spacing w:after="120" w:line="221" w:lineRule="atLeast"/>
              <w:rPr>
                <w:rFonts w:eastAsia="Times New Roman" w:cs="Times New Roman"/>
                <w:b/>
                <w:bCs/>
                <w:sz w:val="20"/>
                <w:lang w:eastAsia="en-AU"/>
              </w:rPr>
            </w:pPr>
            <w:r w:rsidRPr="00A863C2">
              <w:rPr>
                <w:rFonts w:eastAsia="Times New Roman" w:cs="Times New Roman"/>
                <w:sz w:val="20"/>
              </w:rPr>
              <w:t>Telehealth attendance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s specialty of psychiatry following referral of the patient to the consultant physician by a referring practitioner</w:t>
            </w:r>
            <w:r w:rsidR="00FB668B" w:rsidRPr="00A863C2">
              <w:rPr>
                <w:color w:val="000000"/>
                <w:sz w:val="20"/>
                <w:shd w:val="clear" w:color="auto" w:fill="FFFFFF"/>
              </w:rPr>
              <w:t>—</w:t>
            </w:r>
            <w:r w:rsidR="007C5111" w:rsidRPr="00A863C2">
              <w:rPr>
                <w:rFonts w:eastAsia="Times New Roman" w:cs="Times New Roman"/>
                <w:sz w:val="20"/>
              </w:rPr>
              <w:t xml:space="preserve">an </w:t>
            </w:r>
            <w:r w:rsidRPr="00A863C2">
              <w:rPr>
                <w:rFonts w:eastAsia="Times New Roman" w:cs="Times New Roman"/>
                <w:sz w:val="20"/>
              </w:rPr>
              <w:t>attendance of more than 15 minutes but not more than 30 minutes in duration, if that attendance and another attendance to which item 296, 297, 299, 92437 or any of items 300, 302, 304, 306, 308, 91827, 91828, 91829, 91830, 91831, 91837, 91838</w:t>
            </w:r>
            <w:r w:rsidR="00513688" w:rsidRPr="00A863C2">
              <w:rPr>
                <w:rFonts w:eastAsia="Times New Roman" w:cs="Times New Roman"/>
                <w:sz w:val="20"/>
              </w:rPr>
              <w:t xml:space="preserve">, </w:t>
            </w:r>
            <w:r w:rsidRPr="00A863C2">
              <w:rPr>
                <w:rFonts w:eastAsia="Times New Roman" w:cs="Times New Roman"/>
                <w:sz w:val="20"/>
              </w:rPr>
              <w:t>91839</w:t>
            </w:r>
            <w:r w:rsidR="00513688" w:rsidRPr="00A863C2">
              <w:rPr>
                <w:rFonts w:eastAsia="Times New Roman" w:cs="Times New Roman"/>
                <w:sz w:val="20"/>
              </w:rPr>
              <w:t>, 91868, 91870, 91871, 91872</w:t>
            </w:r>
            <w:r w:rsidR="00016646" w:rsidRPr="00A863C2">
              <w:rPr>
                <w:rFonts w:eastAsia="Times New Roman" w:cs="Times New Roman"/>
                <w:sz w:val="20"/>
              </w:rPr>
              <w:t>,</w:t>
            </w:r>
            <w:r w:rsidR="00513688" w:rsidRPr="00A863C2">
              <w:rPr>
                <w:rFonts w:eastAsia="Times New Roman" w:cs="Times New Roman"/>
                <w:sz w:val="20"/>
              </w:rPr>
              <w:t xml:space="preserve"> 91873</w:t>
            </w:r>
            <w:r w:rsidR="00016646" w:rsidRPr="00A863C2">
              <w:rPr>
                <w:rFonts w:eastAsia="Times New Roman" w:cs="Times New Roman"/>
                <w:sz w:val="20"/>
              </w:rPr>
              <w:t xml:space="preserve"> or 91879 to 91881</w:t>
            </w:r>
            <w:r w:rsidRPr="00A863C2">
              <w:rPr>
                <w:rFonts w:eastAsia="Times New Roman" w:cs="Times New Roman"/>
                <w:sz w:val="20"/>
              </w:rPr>
              <w:t xml:space="preserve"> applies</w:t>
            </w:r>
            <w:r w:rsidR="004D351D" w:rsidRPr="00A863C2">
              <w:rPr>
                <w:rFonts w:eastAsia="Times New Roman" w:cs="Times New Roman"/>
                <w:sz w:val="20"/>
              </w:rPr>
              <w:t xml:space="preserve"> </w:t>
            </w:r>
            <w:r w:rsidRPr="00A863C2">
              <w:rPr>
                <w:rFonts w:eastAsia="Times New Roman" w:cs="Times New Roman"/>
                <w:sz w:val="20"/>
              </w:rPr>
              <w:t>exceed 50 attendances in a calendar year for the patient</w:t>
            </w:r>
          </w:p>
        </w:tc>
        <w:tc>
          <w:tcPr>
            <w:tcW w:w="765" w:type="pct"/>
            <w:tcBorders>
              <w:top w:val="single" w:sz="4" w:space="0" w:color="auto"/>
            </w:tcBorders>
          </w:tcPr>
          <w:p w14:paraId="0687A9F1"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48.40</w:t>
            </w:r>
          </w:p>
        </w:tc>
      </w:tr>
      <w:tr w:rsidR="00E951CF" w:rsidRPr="00A863C2" w14:paraId="518F6EDD" w14:textId="77777777" w:rsidTr="00E951CF">
        <w:tc>
          <w:tcPr>
            <w:tcW w:w="715" w:type="pct"/>
          </w:tcPr>
          <w:p w14:paraId="1A68F899"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lastRenderedPageBreak/>
              <w:t>91870</w:t>
            </w:r>
          </w:p>
        </w:tc>
        <w:tc>
          <w:tcPr>
            <w:tcW w:w="3520" w:type="pct"/>
          </w:tcPr>
          <w:p w14:paraId="044C876B" w14:textId="1F1D454B" w:rsidR="00E951CF" w:rsidRPr="00A863C2" w:rsidRDefault="00E951CF" w:rsidP="004411EA">
            <w:pPr>
              <w:spacing w:after="120" w:line="221" w:lineRule="atLeast"/>
              <w:rPr>
                <w:rFonts w:eastAsia="Times New Roman" w:cs="Times New Roman"/>
                <w:sz w:val="20"/>
                <w:lang w:eastAsia="en-AU"/>
              </w:rPr>
            </w:pPr>
            <w:r w:rsidRPr="00A863C2">
              <w:rPr>
                <w:rFonts w:eastAsia="Times New Roman" w:cs="Times New Roman"/>
                <w:sz w:val="20"/>
              </w:rPr>
              <w:t>Telehealth attendance by a consultant physician in the practice of the consultant physician's specialty of psychiatry following referral of the patient to the consultant physician by a referring practitioner</w:t>
            </w:r>
            <w:r w:rsidR="00FB668B" w:rsidRPr="00A863C2">
              <w:rPr>
                <w:color w:val="000000"/>
                <w:sz w:val="20"/>
                <w:shd w:val="clear" w:color="auto" w:fill="FFFFFF"/>
              </w:rPr>
              <w:t>—</w:t>
            </w:r>
            <w:r w:rsidRPr="00A863C2">
              <w:rPr>
                <w:rFonts w:eastAsia="Times New Roman" w:cs="Times New Roman"/>
                <w:sz w:val="20"/>
              </w:rPr>
              <w:t>an attendance of more than 30 minutes but not more than 45 minutes in duration, if that attendance and another attendance to which item 296, 297, 299, 92437 or any of items 300, 302, 304, 306, 308, 91827, 91828, 91829, 91830, 91831, 91837, 91838</w:t>
            </w:r>
            <w:r w:rsidR="006E5B7A" w:rsidRPr="00A863C2">
              <w:rPr>
                <w:rFonts w:eastAsia="Times New Roman" w:cs="Times New Roman"/>
                <w:sz w:val="20"/>
              </w:rPr>
              <w:t xml:space="preserve">, </w:t>
            </w:r>
            <w:r w:rsidRPr="00A863C2">
              <w:rPr>
                <w:rFonts w:eastAsia="Times New Roman" w:cs="Times New Roman"/>
                <w:sz w:val="20"/>
              </w:rPr>
              <w:t>91839</w:t>
            </w:r>
            <w:r w:rsidR="006E5B7A" w:rsidRPr="00A863C2">
              <w:rPr>
                <w:rFonts w:eastAsia="Times New Roman" w:cs="Times New Roman"/>
                <w:sz w:val="20"/>
              </w:rPr>
              <w:t>, 91868, 91869, 91871, 91872</w:t>
            </w:r>
            <w:r w:rsidR="00016646" w:rsidRPr="00A863C2">
              <w:rPr>
                <w:rFonts w:eastAsia="Times New Roman" w:cs="Times New Roman"/>
                <w:sz w:val="20"/>
              </w:rPr>
              <w:t>,</w:t>
            </w:r>
            <w:r w:rsidR="006E5B7A" w:rsidRPr="00A863C2">
              <w:rPr>
                <w:rFonts w:eastAsia="Times New Roman" w:cs="Times New Roman"/>
                <w:sz w:val="20"/>
              </w:rPr>
              <w:t xml:space="preserve"> 91873</w:t>
            </w:r>
            <w:r w:rsidR="00016646" w:rsidRPr="00A863C2">
              <w:rPr>
                <w:rFonts w:eastAsia="Times New Roman" w:cs="Times New Roman"/>
                <w:sz w:val="20"/>
              </w:rPr>
              <w:t xml:space="preserve"> or 91879 to 91881</w:t>
            </w:r>
            <w:r w:rsidRPr="00A863C2">
              <w:rPr>
                <w:rFonts w:eastAsia="Times New Roman" w:cs="Times New Roman"/>
                <w:sz w:val="20"/>
              </w:rPr>
              <w:t xml:space="preserve"> applies exceed 50 attendances in a calendar year for the patient</w:t>
            </w:r>
          </w:p>
        </w:tc>
        <w:tc>
          <w:tcPr>
            <w:tcW w:w="765" w:type="pct"/>
          </w:tcPr>
          <w:p w14:paraId="06F3C9C0"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74.55</w:t>
            </w:r>
          </w:p>
        </w:tc>
      </w:tr>
      <w:tr w:rsidR="00E951CF" w:rsidRPr="00A863C2" w14:paraId="4B6ED4E1" w14:textId="77777777" w:rsidTr="00E951CF">
        <w:tc>
          <w:tcPr>
            <w:tcW w:w="715" w:type="pct"/>
          </w:tcPr>
          <w:p w14:paraId="069D0342"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91871</w:t>
            </w:r>
          </w:p>
        </w:tc>
        <w:tc>
          <w:tcPr>
            <w:tcW w:w="3520" w:type="pct"/>
          </w:tcPr>
          <w:p w14:paraId="2649C92B" w14:textId="4D956EE9" w:rsidR="00E951CF" w:rsidRPr="00A863C2" w:rsidRDefault="00E951CF" w:rsidP="004411EA">
            <w:pPr>
              <w:spacing w:after="120" w:line="221" w:lineRule="atLeast"/>
              <w:rPr>
                <w:rFonts w:eastAsia="Times New Roman" w:cs="Times New Roman"/>
                <w:sz w:val="20"/>
                <w:lang w:eastAsia="en-AU"/>
              </w:rPr>
            </w:pPr>
            <w:r w:rsidRPr="00A863C2">
              <w:rPr>
                <w:rFonts w:eastAsia="Times New Roman" w:cs="Times New Roman"/>
                <w:sz w:val="20"/>
              </w:rPr>
              <w:t>Telehealth attendance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s specialty of psychiatry following referral of the patient to the consultant physician by a referring practitioner</w:t>
            </w:r>
            <w:r w:rsidR="00FB668B" w:rsidRPr="00A863C2">
              <w:rPr>
                <w:color w:val="000000"/>
                <w:sz w:val="20"/>
                <w:shd w:val="clear" w:color="auto" w:fill="FFFFFF"/>
              </w:rPr>
              <w:t>—</w:t>
            </w:r>
            <w:r w:rsidRPr="00A863C2">
              <w:rPr>
                <w:rFonts w:eastAsia="Times New Roman" w:cs="Times New Roman"/>
                <w:sz w:val="20"/>
              </w:rPr>
              <w:t>an attendance of more than 45 minutes but not more than 75 minutes in duration, if that attendance and another attendance to which item 296, 297, 299, 92437 or any of items 300, 302, 304, 306, 308, 91827, 91828, 91829, 91830, 91831, 91837, 91838</w:t>
            </w:r>
            <w:r w:rsidR="006E5B7A" w:rsidRPr="00A863C2">
              <w:rPr>
                <w:rFonts w:eastAsia="Times New Roman" w:cs="Times New Roman"/>
                <w:sz w:val="20"/>
              </w:rPr>
              <w:t xml:space="preserve">, </w:t>
            </w:r>
            <w:r w:rsidRPr="00A863C2">
              <w:rPr>
                <w:rFonts w:eastAsia="Times New Roman" w:cs="Times New Roman"/>
                <w:sz w:val="20"/>
              </w:rPr>
              <w:t>91839</w:t>
            </w:r>
            <w:r w:rsidR="006E5B7A" w:rsidRPr="00A863C2">
              <w:rPr>
                <w:rFonts w:eastAsia="Times New Roman" w:cs="Times New Roman"/>
                <w:sz w:val="20"/>
              </w:rPr>
              <w:t>, 91868, 918</w:t>
            </w:r>
            <w:r w:rsidR="000479E1" w:rsidRPr="00A863C2">
              <w:rPr>
                <w:rFonts w:eastAsia="Times New Roman" w:cs="Times New Roman"/>
                <w:sz w:val="20"/>
              </w:rPr>
              <w:t>69</w:t>
            </w:r>
            <w:r w:rsidR="006E5B7A" w:rsidRPr="00A863C2">
              <w:rPr>
                <w:rFonts w:eastAsia="Times New Roman" w:cs="Times New Roman"/>
                <w:sz w:val="20"/>
              </w:rPr>
              <w:t>, 91870, 91872</w:t>
            </w:r>
            <w:r w:rsidR="00016646" w:rsidRPr="00A863C2">
              <w:rPr>
                <w:rFonts w:eastAsia="Times New Roman" w:cs="Times New Roman"/>
                <w:sz w:val="20"/>
              </w:rPr>
              <w:t>,</w:t>
            </w:r>
            <w:r w:rsidR="006E5B7A" w:rsidRPr="00A863C2">
              <w:rPr>
                <w:rFonts w:eastAsia="Times New Roman" w:cs="Times New Roman"/>
                <w:sz w:val="20"/>
              </w:rPr>
              <w:t xml:space="preserve"> 91873</w:t>
            </w:r>
            <w:r w:rsidR="00016646" w:rsidRPr="00A863C2">
              <w:rPr>
                <w:rFonts w:eastAsia="Times New Roman" w:cs="Times New Roman"/>
                <w:sz w:val="20"/>
              </w:rPr>
              <w:t xml:space="preserve"> or 91879 to 91881 </w:t>
            </w:r>
            <w:r w:rsidRPr="00A863C2">
              <w:rPr>
                <w:rFonts w:eastAsia="Times New Roman" w:cs="Times New Roman"/>
                <w:sz w:val="20"/>
              </w:rPr>
              <w:t>applies exceed 50 attendances in a calendar year for the patient</w:t>
            </w:r>
          </w:p>
        </w:tc>
        <w:tc>
          <w:tcPr>
            <w:tcW w:w="765" w:type="pct"/>
          </w:tcPr>
          <w:p w14:paraId="77B73B67"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102.70</w:t>
            </w:r>
          </w:p>
        </w:tc>
      </w:tr>
      <w:tr w:rsidR="00E951CF" w:rsidRPr="00A863C2" w14:paraId="1041AFBD" w14:textId="77777777" w:rsidTr="00E951CF">
        <w:tc>
          <w:tcPr>
            <w:tcW w:w="715" w:type="pct"/>
          </w:tcPr>
          <w:p w14:paraId="75E99C51"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91872</w:t>
            </w:r>
          </w:p>
        </w:tc>
        <w:tc>
          <w:tcPr>
            <w:tcW w:w="3520" w:type="pct"/>
          </w:tcPr>
          <w:p w14:paraId="1FD67C3D" w14:textId="2385702E" w:rsidR="00E951CF" w:rsidRPr="00A863C2" w:rsidRDefault="00E951CF" w:rsidP="004411EA">
            <w:pPr>
              <w:spacing w:after="120" w:line="221" w:lineRule="atLeast"/>
              <w:rPr>
                <w:rFonts w:eastAsia="Times New Roman" w:cs="Times New Roman"/>
                <w:sz w:val="20"/>
                <w:lang w:eastAsia="en-AU"/>
              </w:rPr>
            </w:pPr>
            <w:r w:rsidRPr="00A863C2">
              <w:rPr>
                <w:rFonts w:eastAsia="Times New Roman" w:cs="Times New Roman"/>
                <w:sz w:val="20"/>
              </w:rPr>
              <w:t>Telehealth attendance by a consultant physician in the practice of the consultant physician</w:t>
            </w:r>
            <w:r w:rsidR="000479E1" w:rsidRPr="00A863C2">
              <w:rPr>
                <w:rFonts w:eastAsia="Times New Roman" w:cs="Times New Roman"/>
                <w:sz w:val="20"/>
              </w:rPr>
              <w:t>’</w:t>
            </w:r>
            <w:r w:rsidRPr="00A863C2">
              <w:rPr>
                <w:rFonts w:eastAsia="Times New Roman" w:cs="Times New Roman"/>
                <w:sz w:val="20"/>
              </w:rPr>
              <w:t>s specialty of psychiatry following referral of the patient to the consultant physician by a referring practitioner</w:t>
            </w:r>
            <w:r w:rsidR="00FB668B" w:rsidRPr="00A863C2">
              <w:rPr>
                <w:color w:val="000000"/>
                <w:sz w:val="20"/>
                <w:shd w:val="clear" w:color="auto" w:fill="FFFFFF"/>
              </w:rPr>
              <w:t>—</w:t>
            </w:r>
            <w:r w:rsidRPr="00A863C2">
              <w:rPr>
                <w:rFonts w:eastAsia="Times New Roman" w:cs="Times New Roman"/>
                <w:sz w:val="20"/>
              </w:rPr>
              <w:t>an attendance of more than 75 minutes in duration, if that attendance and another attendance to which item 296, 297, 299, 92437 or any of items 300, 302, 304, 306, 308, 91827, 91828, 91829, 91830, 91831, 91837, 91838</w:t>
            </w:r>
            <w:r w:rsidR="000479E1" w:rsidRPr="00A863C2">
              <w:rPr>
                <w:rFonts w:eastAsia="Times New Roman" w:cs="Times New Roman"/>
                <w:sz w:val="20"/>
              </w:rPr>
              <w:t>,</w:t>
            </w:r>
            <w:r w:rsidRPr="00A863C2">
              <w:rPr>
                <w:rFonts w:eastAsia="Times New Roman" w:cs="Times New Roman"/>
                <w:sz w:val="20"/>
              </w:rPr>
              <w:t xml:space="preserve"> 91839</w:t>
            </w:r>
            <w:r w:rsidR="000479E1" w:rsidRPr="00A863C2">
              <w:rPr>
                <w:rFonts w:eastAsia="Times New Roman" w:cs="Times New Roman"/>
                <w:sz w:val="20"/>
              </w:rPr>
              <w:t>, 91868, 91869, 91870, 91871</w:t>
            </w:r>
            <w:r w:rsidR="00016646" w:rsidRPr="00A863C2">
              <w:rPr>
                <w:rFonts w:eastAsia="Times New Roman" w:cs="Times New Roman"/>
                <w:sz w:val="20"/>
              </w:rPr>
              <w:t>,</w:t>
            </w:r>
            <w:r w:rsidR="000479E1" w:rsidRPr="00A863C2">
              <w:rPr>
                <w:rFonts w:eastAsia="Times New Roman" w:cs="Times New Roman"/>
                <w:sz w:val="20"/>
              </w:rPr>
              <w:t xml:space="preserve"> 91873</w:t>
            </w:r>
            <w:r w:rsidR="00016646" w:rsidRPr="00A863C2">
              <w:rPr>
                <w:rFonts w:eastAsia="Times New Roman" w:cs="Times New Roman"/>
                <w:sz w:val="20"/>
              </w:rPr>
              <w:t>, or 91879 to 91881</w:t>
            </w:r>
            <w:r w:rsidRPr="00A863C2">
              <w:rPr>
                <w:rFonts w:eastAsia="Times New Roman" w:cs="Times New Roman"/>
                <w:sz w:val="20"/>
              </w:rPr>
              <w:t xml:space="preserve"> applies exceed 50 attendances in a calendar year for the patient</w:t>
            </w:r>
          </w:p>
        </w:tc>
        <w:tc>
          <w:tcPr>
            <w:tcW w:w="765" w:type="pct"/>
          </w:tcPr>
          <w:p w14:paraId="0268F9BE"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119.10</w:t>
            </w:r>
          </w:p>
        </w:tc>
      </w:tr>
      <w:tr w:rsidR="00E951CF" w:rsidRPr="00A863C2" w14:paraId="12224EFB" w14:textId="77777777" w:rsidTr="00E951CF">
        <w:tc>
          <w:tcPr>
            <w:tcW w:w="715" w:type="pct"/>
          </w:tcPr>
          <w:p w14:paraId="42FFA49A"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91873</w:t>
            </w:r>
          </w:p>
        </w:tc>
        <w:tc>
          <w:tcPr>
            <w:tcW w:w="3520" w:type="pct"/>
          </w:tcPr>
          <w:p w14:paraId="003761ED" w14:textId="56FAD38F" w:rsidR="00E951CF" w:rsidRPr="00A863C2" w:rsidRDefault="00E951CF" w:rsidP="004411EA">
            <w:pPr>
              <w:spacing w:after="120" w:line="221" w:lineRule="atLeast"/>
              <w:rPr>
                <w:rFonts w:eastAsia="Times New Roman" w:cs="Times New Roman"/>
                <w:sz w:val="20"/>
                <w:lang w:eastAsia="en-AU"/>
              </w:rPr>
            </w:pPr>
            <w:r w:rsidRPr="00A863C2">
              <w:rPr>
                <w:rFonts w:cs="Times New Roman"/>
                <w:sz w:val="20"/>
              </w:rPr>
              <w:t xml:space="preserve">Telehealth attendance lasting at least 45 minutes by a consultant physician in the practice of the consultant physician’s specialty of psychiatry, following referral of the patient to the psychiatrist by a referring practitioner, where the formulation of the patient’s clinical presentation indicates intensive psychotherapy is a clinically appropriate and indicated treatment, if that attendance and another attendance to which any of items </w:t>
            </w:r>
            <w:r w:rsidRPr="00A863C2">
              <w:rPr>
                <w:rFonts w:eastAsia="Times New Roman" w:cs="Times New Roman"/>
                <w:sz w:val="20"/>
              </w:rPr>
              <w:t>296, 297, 299 or any of items 300, 302, 304, 306, 308</w:t>
            </w:r>
            <w:r w:rsidR="00DE6694" w:rsidRPr="00A863C2">
              <w:rPr>
                <w:rFonts w:cs="Times New Roman"/>
                <w:sz w:val="20"/>
              </w:rPr>
              <w:t>,</w:t>
            </w:r>
            <w:r w:rsidR="00E5224E" w:rsidRPr="00A863C2">
              <w:rPr>
                <w:rFonts w:cs="Times New Roman"/>
                <w:sz w:val="20"/>
              </w:rPr>
              <w:t xml:space="preserve"> 319,</w:t>
            </w:r>
            <w:r w:rsidRPr="00A863C2">
              <w:rPr>
                <w:rFonts w:cs="Times New Roman"/>
                <w:sz w:val="20"/>
              </w:rPr>
              <w:t xml:space="preserve"> 92437, 91827, 91828, 91829, 91830, 91831, 91837, 91838</w:t>
            </w:r>
            <w:r w:rsidR="000479E1" w:rsidRPr="00A863C2">
              <w:rPr>
                <w:rFonts w:cs="Times New Roman"/>
                <w:sz w:val="20"/>
              </w:rPr>
              <w:t>,</w:t>
            </w:r>
            <w:r w:rsidRPr="00A863C2">
              <w:rPr>
                <w:rFonts w:cs="Times New Roman"/>
                <w:sz w:val="20"/>
              </w:rPr>
              <w:t xml:space="preserve"> 91839</w:t>
            </w:r>
            <w:r w:rsidR="000479E1" w:rsidRPr="00A863C2">
              <w:rPr>
                <w:rFonts w:cs="Times New Roman"/>
                <w:sz w:val="20"/>
              </w:rPr>
              <w:t>, 91868, 91869, 91870, 91871</w:t>
            </w:r>
            <w:r w:rsidR="00016646" w:rsidRPr="00A863C2">
              <w:rPr>
                <w:rFonts w:cs="Times New Roman"/>
                <w:sz w:val="20"/>
              </w:rPr>
              <w:t>,</w:t>
            </w:r>
            <w:r w:rsidR="000479E1" w:rsidRPr="00A863C2">
              <w:rPr>
                <w:rFonts w:cs="Times New Roman"/>
                <w:sz w:val="20"/>
              </w:rPr>
              <w:t xml:space="preserve"> 91872</w:t>
            </w:r>
            <w:r w:rsidR="00016646" w:rsidRPr="00A863C2">
              <w:rPr>
                <w:rFonts w:cs="Times New Roman"/>
                <w:sz w:val="20"/>
              </w:rPr>
              <w:t xml:space="preserve"> </w:t>
            </w:r>
            <w:r w:rsidR="00016646" w:rsidRPr="00A863C2">
              <w:rPr>
                <w:rFonts w:eastAsia="Times New Roman" w:cs="Times New Roman"/>
                <w:sz w:val="20"/>
              </w:rPr>
              <w:t>or 91879 to 91881</w:t>
            </w:r>
            <w:r w:rsidRPr="00A863C2">
              <w:rPr>
                <w:rFonts w:cs="Times New Roman"/>
                <w:sz w:val="20"/>
              </w:rPr>
              <w:t xml:space="preserve"> applies has not exceeded 160 attendances in a calendar year for the patient</w:t>
            </w:r>
          </w:p>
        </w:tc>
        <w:tc>
          <w:tcPr>
            <w:tcW w:w="765" w:type="pct"/>
          </w:tcPr>
          <w:p w14:paraId="67B47CBD"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205.20</w:t>
            </w:r>
          </w:p>
        </w:tc>
      </w:tr>
      <w:tr w:rsidR="00E951CF" w:rsidRPr="00A863C2" w14:paraId="325B574C" w14:textId="77777777" w:rsidTr="00E951CF">
        <w:tc>
          <w:tcPr>
            <w:tcW w:w="715" w:type="pct"/>
          </w:tcPr>
          <w:p w14:paraId="493CBFC3"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91874</w:t>
            </w:r>
          </w:p>
        </w:tc>
        <w:tc>
          <w:tcPr>
            <w:tcW w:w="3520" w:type="pct"/>
          </w:tcPr>
          <w:p w14:paraId="3A9567BE" w14:textId="111D2C80" w:rsidR="00E951CF" w:rsidRPr="00A863C2" w:rsidRDefault="002D4133" w:rsidP="00E951CF">
            <w:pPr>
              <w:spacing w:line="221" w:lineRule="atLeast"/>
              <w:rPr>
                <w:rFonts w:eastAsia="Times New Roman" w:cs="Times New Roman"/>
                <w:sz w:val="20"/>
              </w:rPr>
            </w:pPr>
            <w:r w:rsidRPr="00A863C2">
              <w:rPr>
                <w:rFonts w:eastAsia="Times New Roman" w:cs="Times New Roman"/>
                <w:sz w:val="20"/>
              </w:rPr>
              <w:t xml:space="preserve">Telehealth attendance involving an interview, lasting not </w:t>
            </w:r>
            <w:proofErr w:type="gramStart"/>
            <w:r w:rsidR="00A1579C" w:rsidRPr="00A863C2">
              <w:rPr>
                <w:rFonts w:eastAsia="Times New Roman" w:cs="Times New Roman"/>
                <w:sz w:val="20"/>
              </w:rPr>
              <w:t>more than 15 minutes,</w:t>
            </w:r>
            <w:proofErr w:type="gramEnd"/>
            <w:r w:rsidRPr="00A863C2">
              <w:rPr>
                <w:rFonts w:eastAsia="Times New Roman" w:cs="Times New Roman"/>
                <w:sz w:val="20"/>
              </w:rPr>
              <w:t xml:space="preserve"> of a person other than the patient when the patient is not in attendance,</w:t>
            </w:r>
            <w:r w:rsidR="00E951CF" w:rsidRPr="00A863C2">
              <w:rPr>
                <w:rFonts w:eastAsia="Times New Roman" w:cs="Times New Roman"/>
                <w:sz w:val="20"/>
              </w:rPr>
              <w:t xml:space="preserve"> by a consultant physician in the practice of the consultant physician</w:t>
            </w:r>
            <w:r w:rsidR="00A1579C" w:rsidRPr="00A863C2">
              <w:rPr>
                <w:rFonts w:eastAsia="Times New Roman" w:cs="Times New Roman"/>
                <w:sz w:val="20"/>
              </w:rPr>
              <w:t>’</w:t>
            </w:r>
            <w:r w:rsidR="00E951CF" w:rsidRPr="00A863C2">
              <w:rPr>
                <w:rFonts w:eastAsia="Times New Roman" w:cs="Times New Roman"/>
                <w:sz w:val="20"/>
              </w:rPr>
              <w:t>s specialty of psychiatry</w:t>
            </w:r>
            <w:r w:rsidRPr="00A863C2">
              <w:rPr>
                <w:rFonts w:eastAsia="Times New Roman" w:cs="Times New Roman"/>
                <w:sz w:val="20"/>
              </w:rPr>
              <w:t xml:space="preserve"> </w:t>
            </w:r>
            <w:r w:rsidR="00E951CF" w:rsidRPr="00A863C2">
              <w:rPr>
                <w:rFonts w:eastAsia="Times New Roman" w:cs="Times New Roman"/>
                <w:sz w:val="20"/>
              </w:rPr>
              <w:t>following referral of the patient to the consultant physician by a referring practitioner for the purposes of:</w:t>
            </w:r>
          </w:p>
          <w:p w14:paraId="10B9BDF1" w14:textId="77777777" w:rsidR="00E951CF" w:rsidRPr="00A863C2" w:rsidRDefault="00E951CF">
            <w:pPr>
              <w:pStyle w:val="ListParagraph"/>
              <w:numPr>
                <w:ilvl w:val="0"/>
                <w:numId w:val="3"/>
              </w:numPr>
              <w:spacing w:after="0" w:line="221" w:lineRule="atLeast"/>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 xml:space="preserve">initial diagnostic evaluation; or </w:t>
            </w:r>
          </w:p>
          <w:p w14:paraId="40B878D4" w14:textId="2AC3A7BD" w:rsidR="00E951CF" w:rsidRPr="00A863C2" w:rsidRDefault="00E951CF" w:rsidP="00A1579C">
            <w:pPr>
              <w:pStyle w:val="ListParagraph"/>
              <w:numPr>
                <w:ilvl w:val="0"/>
                <w:numId w:val="3"/>
              </w:numPr>
              <w:spacing w:after="0" w:line="221" w:lineRule="atLeast"/>
              <w:rPr>
                <w:rFonts w:ascii="Times New Roman" w:eastAsia="Times New Roman" w:hAnsi="Times New Roman" w:cs="Times New Roman"/>
                <w:sz w:val="20"/>
              </w:rPr>
            </w:pPr>
            <w:r w:rsidRPr="00A863C2">
              <w:rPr>
                <w:rFonts w:ascii="Times New Roman" w:eastAsia="Times New Roman" w:hAnsi="Times New Roman" w:cs="Times New Roman"/>
                <w:sz w:val="20"/>
              </w:rPr>
              <w:t xml:space="preserve">continuing management of the </w:t>
            </w:r>
            <w:proofErr w:type="gramStart"/>
            <w:r w:rsidRPr="00A863C2">
              <w:rPr>
                <w:rFonts w:ascii="Times New Roman" w:eastAsia="Times New Roman" w:hAnsi="Times New Roman" w:cs="Times New Roman"/>
                <w:sz w:val="20"/>
              </w:rPr>
              <w:t>patient</w:t>
            </w:r>
            <w:r w:rsidR="009E25EA" w:rsidRPr="00A863C2">
              <w:rPr>
                <w:rFonts w:ascii="Times New Roman" w:eastAsia="Times New Roman" w:hAnsi="Times New Roman" w:cs="Times New Roman"/>
                <w:sz w:val="20"/>
              </w:rPr>
              <w:t>;</w:t>
            </w:r>
            <w:proofErr w:type="gramEnd"/>
          </w:p>
          <w:p w14:paraId="2295E91F" w14:textId="4985EE1F" w:rsidR="00E951CF" w:rsidRPr="00A863C2" w:rsidRDefault="009E25EA" w:rsidP="004411EA">
            <w:pPr>
              <w:spacing w:after="120" w:line="221" w:lineRule="atLeast"/>
              <w:rPr>
                <w:rFonts w:eastAsia="Times New Roman" w:cs="Times New Roman"/>
                <w:sz w:val="20"/>
                <w:lang w:eastAsia="en-AU"/>
              </w:rPr>
            </w:pPr>
            <w:r w:rsidRPr="00A863C2">
              <w:rPr>
                <w:rFonts w:eastAsia="Times New Roman" w:cs="Times New Roman"/>
                <w:sz w:val="20"/>
              </w:rPr>
              <w:t>i</w:t>
            </w:r>
            <w:r w:rsidR="00E951CF" w:rsidRPr="00A863C2">
              <w:rPr>
                <w:rFonts w:eastAsia="Times New Roman" w:cs="Times New Roman"/>
                <w:sz w:val="20"/>
              </w:rPr>
              <w:t>f that attendance and another attendance to which any of items 341, 343, 345, 347, 349, 91875, 91876, 91877</w:t>
            </w:r>
            <w:r w:rsidR="00D80CF5" w:rsidRPr="00A863C2">
              <w:rPr>
                <w:rFonts w:eastAsia="Times New Roman" w:cs="Times New Roman"/>
                <w:sz w:val="20"/>
              </w:rPr>
              <w:t>,</w:t>
            </w:r>
            <w:r w:rsidR="00E951CF" w:rsidRPr="00A863C2">
              <w:rPr>
                <w:rFonts w:eastAsia="Times New Roman" w:cs="Times New Roman"/>
                <w:sz w:val="20"/>
              </w:rPr>
              <w:t xml:space="preserve"> 91878</w:t>
            </w:r>
            <w:r w:rsidR="00D80CF5" w:rsidRPr="00A863C2">
              <w:rPr>
                <w:rFonts w:eastAsia="Times New Roman" w:cs="Times New Roman"/>
                <w:sz w:val="20"/>
              </w:rPr>
              <w:t>, 91882, 91883 or 91884</w:t>
            </w:r>
            <w:r w:rsidR="00E951CF" w:rsidRPr="00A863C2">
              <w:rPr>
                <w:rFonts w:eastAsia="Times New Roman" w:cs="Times New Roman"/>
                <w:sz w:val="20"/>
              </w:rPr>
              <w:t xml:space="preserve"> applies have not exceeded 15 in a calendar year for the patient</w:t>
            </w:r>
          </w:p>
        </w:tc>
        <w:tc>
          <w:tcPr>
            <w:tcW w:w="765" w:type="pct"/>
          </w:tcPr>
          <w:p w14:paraId="6C1D127E"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48.40</w:t>
            </w:r>
          </w:p>
        </w:tc>
      </w:tr>
      <w:tr w:rsidR="00E951CF" w:rsidRPr="00A863C2" w14:paraId="0410B38D" w14:textId="77777777" w:rsidTr="00E951CF">
        <w:tc>
          <w:tcPr>
            <w:tcW w:w="715" w:type="pct"/>
          </w:tcPr>
          <w:p w14:paraId="7530CB42"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91875</w:t>
            </w:r>
          </w:p>
        </w:tc>
        <w:tc>
          <w:tcPr>
            <w:tcW w:w="3520" w:type="pct"/>
          </w:tcPr>
          <w:p w14:paraId="6BF29C35" w14:textId="79EB99DB" w:rsidR="00E951CF" w:rsidRPr="00A863C2" w:rsidRDefault="00E951CF" w:rsidP="00E951CF">
            <w:pPr>
              <w:spacing w:line="221" w:lineRule="atLeast"/>
              <w:rPr>
                <w:rFonts w:eastAsia="Times New Roman" w:cs="Times New Roman"/>
                <w:sz w:val="20"/>
              </w:rPr>
            </w:pPr>
            <w:r w:rsidRPr="00A863C2">
              <w:rPr>
                <w:rFonts w:eastAsia="Times New Roman" w:cs="Times New Roman"/>
                <w:sz w:val="20"/>
              </w:rPr>
              <w:t>Telehealth attendance</w:t>
            </w:r>
            <w:r w:rsidR="002D4133" w:rsidRPr="00A863C2">
              <w:rPr>
                <w:rFonts w:eastAsia="Times New Roman" w:cs="Times New Roman"/>
                <w:sz w:val="20"/>
              </w:rPr>
              <w:t xml:space="preserve"> involving an interview, </w:t>
            </w:r>
            <w:r w:rsidR="006B6FE9" w:rsidRPr="00A863C2">
              <w:rPr>
                <w:rFonts w:eastAsia="Times New Roman" w:cs="Times New Roman"/>
                <w:sz w:val="20"/>
              </w:rPr>
              <w:t xml:space="preserve">lasting more than 15 minutes but not </w:t>
            </w:r>
            <w:proofErr w:type="gramStart"/>
            <w:r w:rsidR="006B6FE9" w:rsidRPr="00A863C2">
              <w:rPr>
                <w:rFonts w:eastAsia="Times New Roman" w:cs="Times New Roman"/>
                <w:sz w:val="20"/>
              </w:rPr>
              <w:t>more than 30 minutes,</w:t>
            </w:r>
            <w:proofErr w:type="gramEnd"/>
            <w:r w:rsidR="006B6FE9" w:rsidRPr="00A863C2">
              <w:rPr>
                <w:rFonts w:eastAsia="Times New Roman" w:cs="Times New Roman"/>
                <w:sz w:val="20"/>
              </w:rPr>
              <w:t xml:space="preserve"> of a person other than the patient when the patient is not in attendance,</w:t>
            </w:r>
            <w:r w:rsidRPr="00A863C2">
              <w:rPr>
                <w:rFonts w:eastAsia="Times New Roman" w:cs="Times New Roman"/>
                <w:sz w:val="20"/>
              </w:rPr>
              <w:t xml:space="preserv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 xml:space="preserve">s specialty of </w:t>
            </w:r>
            <w:r w:rsidRPr="00A863C2">
              <w:rPr>
                <w:rFonts w:eastAsia="Times New Roman" w:cs="Times New Roman"/>
                <w:sz w:val="20"/>
              </w:rPr>
              <w:lastRenderedPageBreak/>
              <w:t xml:space="preserve">psychiatry, following referral of the patient to the consultant physician by a referring practitioner for the purposes of: </w:t>
            </w:r>
          </w:p>
          <w:p w14:paraId="555F998F" w14:textId="77777777" w:rsidR="00E951CF" w:rsidRPr="00A863C2" w:rsidRDefault="00E951CF" w:rsidP="00A1579C">
            <w:pPr>
              <w:pStyle w:val="ListParagraph"/>
              <w:numPr>
                <w:ilvl w:val="0"/>
                <w:numId w:val="4"/>
              </w:numPr>
              <w:spacing w:after="0" w:line="221" w:lineRule="atLeast"/>
              <w:ind w:left="360"/>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 xml:space="preserve">initial diagnostic evaluation; or </w:t>
            </w:r>
          </w:p>
          <w:p w14:paraId="5226EC4B" w14:textId="0DD6987C" w:rsidR="00E951CF" w:rsidRPr="00A863C2" w:rsidRDefault="00E951CF" w:rsidP="000A3421">
            <w:pPr>
              <w:pStyle w:val="ListParagraph"/>
              <w:numPr>
                <w:ilvl w:val="0"/>
                <w:numId w:val="34"/>
              </w:numPr>
              <w:spacing w:after="0" w:line="221" w:lineRule="atLeast"/>
              <w:ind w:left="354" w:hanging="357"/>
              <w:rPr>
                <w:rFonts w:ascii="Times New Roman" w:eastAsia="Times New Roman" w:hAnsi="Times New Roman" w:cs="Times New Roman"/>
                <w:sz w:val="20"/>
                <w:szCs w:val="20"/>
              </w:rPr>
            </w:pPr>
            <w:r w:rsidRPr="00A863C2">
              <w:rPr>
                <w:rFonts w:ascii="Times New Roman" w:eastAsia="Times New Roman" w:hAnsi="Times New Roman" w:cs="Times New Roman"/>
                <w:sz w:val="20"/>
              </w:rPr>
              <w:t>continuing</w:t>
            </w:r>
            <w:r w:rsidRPr="00A863C2">
              <w:rPr>
                <w:rFonts w:ascii="Times New Roman" w:eastAsia="Times New Roman" w:hAnsi="Times New Roman" w:cs="Times New Roman"/>
                <w:sz w:val="20"/>
                <w:szCs w:val="20"/>
              </w:rPr>
              <w:t xml:space="preserve"> management of the </w:t>
            </w:r>
            <w:proofErr w:type="gramStart"/>
            <w:r w:rsidRPr="00A863C2">
              <w:rPr>
                <w:rFonts w:ascii="Times New Roman" w:eastAsia="Times New Roman" w:hAnsi="Times New Roman" w:cs="Times New Roman"/>
                <w:sz w:val="20"/>
                <w:szCs w:val="20"/>
              </w:rPr>
              <w:t>patient</w:t>
            </w:r>
            <w:r w:rsidR="0060361B" w:rsidRPr="00A863C2">
              <w:rPr>
                <w:rFonts w:ascii="Times New Roman" w:eastAsia="Times New Roman" w:hAnsi="Times New Roman" w:cs="Times New Roman"/>
                <w:sz w:val="20"/>
                <w:szCs w:val="20"/>
              </w:rPr>
              <w:t>;</w:t>
            </w:r>
            <w:proofErr w:type="gramEnd"/>
          </w:p>
          <w:p w14:paraId="577E7F3B" w14:textId="767521B1" w:rsidR="00E951CF" w:rsidRPr="00A863C2" w:rsidRDefault="0060361B" w:rsidP="004411EA">
            <w:pPr>
              <w:spacing w:after="120" w:line="221" w:lineRule="atLeast"/>
              <w:rPr>
                <w:rFonts w:eastAsia="Times New Roman" w:cs="Times New Roman"/>
                <w:sz w:val="20"/>
                <w:lang w:eastAsia="en-AU"/>
              </w:rPr>
            </w:pPr>
            <w:r w:rsidRPr="00A863C2">
              <w:rPr>
                <w:rFonts w:eastAsia="Times New Roman" w:cs="Times New Roman"/>
                <w:sz w:val="20"/>
              </w:rPr>
              <w:t>i</w:t>
            </w:r>
            <w:r w:rsidR="00E951CF" w:rsidRPr="00A863C2">
              <w:rPr>
                <w:rFonts w:eastAsia="Times New Roman" w:cs="Times New Roman"/>
                <w:sz w:val="20"/>
              </w:rPr>
              <w:t>f that attendance and another attendance to which any of items 341, 343, 345, 347, 349, 91874, 91876, 91877</w:t>
            </w:r>
            <w:r w:rsidR="00016646" w:rsidRPr="00A863C2">
              <w:rPr>
                <w:rFonts w:eastAsia="Times New Roman" w:cs="Times New Roman"/>
                <w:sz w:val="20"/>
              </w:rPr>
              <w:t>,</w:t>
            </w:r>
            <w:r w:rsidR="00E951CF" w:rsidRPr="00A863C2">
              <w:rPr>
                <w:rFonts w:eastAsia="Times New Roman" w:cs="Times New Roman"/>
                <w:sz w:val="20"/>
              </w:rPr>
              <w:t xml:space="preserve"> 91878</w:t>
            </w:r>
            <w:r w:rsidR="00016646" w:rsidRPr="00A863C2">
              <w:rPr>
                <w:rFonts w:eastAsia="Times New Roman" w:cs="Times New Roman"/>
                <w:sz w:val="20"/>
              </w:rPr>
              <w:t>, 91882, 91883 or 91884</w:t>
            </w:r>
            <w:r w:rsidR="00E951CF" w:rsidRPr="00A863C2">
              <w:rPr>
                <w:rFonts w:eastAsia="Times New Roman" w:cs="Times New Roman"/>
                <w:sz w:val="20"/>
              </w:rPr>
              <w:t xml:space="preserve"> applies have not exceeded 15 in a calendar year for </w:t>
            </w:r>
            <w:r w:rsidR="00E951CF" w:rsidRPr="00A863C2">
              <w:rPr>
                <w:rFonts w:eastAsia="Times New Roman" w:cs="Times New Roman"/>
                <w:sz w:val="20"/>
                <w:lang w:eastAsia="en-AU"/>
              </w:rPr>
              <w:t>the</w:t>
            </w:r>
            <w:r w:rsidR="00E951CF" w:rsidRPr="00A863C2">
              <w:rPr>
                <w:rFonts w:eastAsia="Times New Roman" w:cs="Times New Roman"/>
                <w:sz w:val="20"/>
              </w:rPr>
              <w:t xml:space="preserve"> patient</w:t>
            </w:r>
          </w:p>
        </w:tc>
        <w:tc>
          <w:tcPr>
            <w:tcW w:w="765" w:type="pct"/>
          </w:tcPr>
          <w:p w14:paraId="2AE3E68F"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lastRenderedPageBreak/>
              <w:t>96.60</w:t>
            </w:r>
          </w:p>
        </w:tc>
      </w:tr>
      <w:tr w:rsidR="00E951CF" w:rsidRPr="00A863C2" w14:paraId="2A60F340" w14:textId="77777777" w:rsidTr="00E951CF">
        <w:tc>
          <w:tcPr>
            <w:tcW w:w="715" w:type="pct"/>
          </w:tcPr>
          <w:p w14:paraId="0FC4D329"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91876</w:t>
            </w:r>
          </w:p>
        </w:tc>
        <w:tc>
          <w:tcPr>
            <w:tcW w:w="3520" w:type="pct"/>
          </w:tcPr>
          <w:p w14:paraId="0CE58272" w14:textId="0F409507" w:rsidR="00E951CF" w:rsidRPr="00A863C2" w:rsidRDefault="00E951CF" w:rsidP="00E951CF">
            <w:pPr>
              <w:spacing w:line="221" w:lineRule="atLeast"/>
              <w:rPr>
                <w:rFonts w:eastAsia="Times New Roman" w:cs="Times New Roman"/>
                <w:sz w:val="20"/>
              </w:rPr>
            </w:pPr>
            <w:r w:rsidRPr="00A863C2">
              <w:rPr>
                <w:rFonts w:eastAsia="Times New Roman" w:cs="Times New Roman"/>
                <w:sz w:val="20"/>
              </w:rPr>
              <w:t>Telehealth attendance</w:t>
            </w:r>
            <w:r w:rsidR="008C1899" w:rsidRPr="00A863C2">
              <w:rPr>
                <w:rFonts w:eastAsia="Times New Roman" w:cs="Times New Roman"/>
                <w:sz w:val="20"/>
              </w:rPr>
              <w:t xml:space="preserve"> involving an interview, lasting more than 30 minutes but not </w:t>
            </w:r>
            <w:proofErr w:type="gramStart"/>
            <w:r w:rsidR="008C1899" w:rsidRPr="00A863C2">
              <w:rPr>
                <w:rFonts w:eastAsia="Times New Roman" w:cs="Times New Roman"/>
                <w:sz w:val="20"/>
              </w:rPr>
              <w:t>more than 45 minutes,</w:t>
            </w:r>
            <w:proofErr w:type="gramEnd"/>
            <w:r w:rsidR="008C1899" w:rsidRPr="00A863C2">
              <w:rPr>
                <w:rFonts w:eastAsia="Times New Roman" w:cs="Times New Roman"/>
                <w:sz w:val="20"/>
              </w:rPr>
              <w:t xml:space="preserve"> of a person other than the patient when the patient is not in attendance,</w:t>
            </w:r>
            <w:r w:rsidRPr="00A863C2">
              <w:rPr>
                <w:rFonts w:eastAsia="Times New Roman" w:cs="Times New Roman"/>
                <w:sz w:val="20"/>
              </w:rPr>
              <w:t xml:space="preserve"> by a consultant physician in the practice of the consultant physician's specialty of psychiatry, following referral of the patient to the consultant physician by a referring practitioner for the purposes of: </w:t>
            </w:r>
          </w:p>
          <w:p w14:paraId="5BCA0BE1" w14:textId="77777777" w:rsidR="00E951CF" w:rsidRPr="00A863C2" w:rsidRDefault="00E951CF">
            <w:pPr>
              <w:pStyle w:val="ListParagraph"/>
              <w:numPr>
                <w:ilvl w:val="0"/>
                <w:numId w:val="5"/>
              </w:numPr>
              <w:spacing w:after="0" w:line="221" w:lineRule="atLeast"/>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 xml:space="preserve">initial diagnostic evaluation; or </w:t>
            </w:r>
          </w:p>
          <w:p w14:paraId="58B0C8C5" w14:textId="4B04FA06" w:rsidR="00E951CF" w:rsidRPr="00A863C2" w:rsidRDefault="00E951CF">
            <w:pPr>
              <w:pStyle w:val="ListParagraph"/>
              <w:numPr>
                <w:ilvl w:val="0"/>
                <w:numId w:val="5"/>
              </w:numPr>
              <w:spacing w:after="0" w:line="221" w:lineRule="atLeast"/>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 xml:space="preserve">continuing management of the </w:t>
            </w:r>
            <w:proofErr w:type="gramStart"/>
            <w:r w:rsidRPr="00A863C2">
              <w:rPr>
                <w:rFonts w:ascii="Times New Roman" w:eastAsia="Times New Roman" w:hAnsi="Times New Roman" w:cs="Times New Roman"/>
                <w:sz w:val="20"/>
                <w:szCs w:val="20"/>
              </w:rPr>
              <w:t>patient</w:t>
            </w:r>
            <w:r w:rsidR="003C2099" w:rsidRPr="00A863C2">
              <w:rPr>
                <w:rFonts w:ascii="Times New Roman" w:eastAsia="Times New Roman" w:hAnsi="Times New Roman" w:cs="Times New Roman"/>
                <w:sz w:val="20"/>
                <w:szCs w:val="20"/>
              </w:rPr>
              <w:t>;</w:t>
            </w:r>
            <w:proofErr w:type="gramEnd"/>
          </w:p>
          <w:p w14:paraId="21523AFE" w14:textId="49B45226" w:rsidR="00E951CF" w:rsidRPr="00A863C2" w:rsidRDefault="003C2099" w:rsidP="004411EA">
            <w:pPr>
              <w:spacing w:after="120" w:line="221" w:lineRule="atLeast"/>
              <w:rPr>
                <w:rFonts w:eastAsia="Times New Roman" w:cs="Times New Roman"/>
                <w:sz w:val="20"/>
                <w:lang w:eastAsia="en-AU"/>
              </w:rPr>
            </w:pPr>
            <w:r w:rsidRPr="00A863C2">
              <w:rPr>
                <w:rFonts w:eastAsia="Times New Roman" w:cs="Times New Roman"/>
                <w:sz w:val="20"/>
              </w:rPr>
              <w:t>i</w:t>
            </w:r>
            <w:r w:rsidR="00E951CF" w:rsidRPr="00A863C2">
              <w:rPr>
                <w:rFonts w:eastAsia="Times New Roman" w:cs="Times New Roman"/>
                <w:sz w:val="20"/>
              </w:rPr>
              <w:t>f that attendance and another attendance to which any of items 341, 343, 345, 347, 349</w:t>
            </w:r>
            <w:r w:rsidR="003B1C44" w:rsidRPr="00A863C2">
              <w:rPr>
                <w:rFonts w:eastAsia="Times New Roman" w:cs="Times New Roman"/>
                <w:sz w:val="20"/>
              </w:rPr>
              <w:t>,</w:t>
            </w:r>
            <w:r w:rsidR="00E951CF" w:rsidRPr="00A863C2">
              <w:rPr>
                <w:rFonts w:eastAsia="Times New Roman" w:cs="Times New Roman"/>
                <w:sz w:val="20"/>
              </w:rPr>
              <w:t xml:space="preserve"> 91874, 91875, 91877</w:t>
            </w:r>
            <w:r w:rsidR="00016646" w:rsidRPr="00A863C2">
              <w:rPr>
                <w:rFonts w:eastAsia="Times New Roman" w:cs="Times New Roman"/>
                <w:sz w:val="20"/>
              </w:rPr>
              <w:t>,</w:t>
            </w:r>
            <w:r w:rsidR="00E951CF" w:rsidRPr="00A863C2">
              <w:rPr>
                <w:rFonts w:eastAsia="Times New Roman" w:cs="Times New Roman"/>
                <w:sz w:val="20"/>
              </w:rPr>
              <w:t xml:space="preserve"> 91878</w:t>
            </w:r>
            <w:r w:rsidR="00016646" w:rsidRPr="00A863C2">
              <w:rPr>
                <w:rFonts w:eastAsia="Times New Roman" w:cs="Times New Roman"/>
                <w:sz w:val="20"/>
              </w:rPr>
              <w:t>, 91882, 91883 or 91884</w:t>
            </w:r>
            <w:r w:rsidR="00E951CF" w:rsidRPr="00A863C2">
              <w:rPr>
                <w:rFonts w:eastAsia="Times New Roman" w:cs="Times New Roman"/>
                <w:sz w:val="20"/>
              </w:rPr>
              <w:t xml:space="preserve"> applies have not exceeded 15 in a </w:t>
            </w:r>
            <w:r w:rsidR="00E951CF" w:rsidRPr="00A863C2">
              <w:rPr>
                <w:rFonts w:eastAsia="Times New Roman" w:cs="Times New Roman"/>
                <w:sz w:val="20"/>
                <w:lang w:eastAsia="en-AU"/>
              </w:rPr>
              <w:t>calendar</w:t>
            </w:r>
            <w:r w:rsidR="00E951CF" w:rsidRPr="00A863C2">
              <w:rPr>
                <w:rFonts w:eastAsia="Times New Roman" w:cs="Times New Roman"/>
                <w:sz w:val="20"/>
              </w:rPr>
              <w:t xml:space="preserve"> year for the patient</w:t>
            </w:r>
          </w:p>
        </w:tc>
        <w:tc>
          <w:tcPr>
            <w:tcW w:w="765" w:type="pct"/>
          </w:tcPr>
          <w:p w14:paraId="6AADD8BE"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148.70</w:t>
            </w:r>
          </w:p>
        </w:tc>
      </w:tr>
      <w:tr w:rsidR="00E951CF" w:rsidRPr="00A863C2" w14:paraId="324161BD" w14:textId="77777777" w:rsidTr="000C5DFC">
        <w:tc>
          <w:tcPr>
            <w:tcW w:w="715" w:type="pct"/>
            <w:tcBorders>
              <w:bottom w:val="single" w:sz="4" w:space="0" w:color="auto"/>
            </w:tcBorders>
          </w:tcPr>
          <w:p w14:paraId="6460AC40"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91877</w:t>
            </w:r>
          </w:p>
        </w:tc>
        <w:tc>
          <w:tcPr>
            <w:tcW w:w="3520" w:type="pct"/>
            <w:tcBorders>
              <w:bottom w:val="single" w:sz="4" w:space="0" w:color="auto"/>
            </w:tcBorders>
          </w:tcPr>
          <w:p w14:paraId="6BBCF075" w14:textId="02DD01EC" w:rsidR="00E951CF" w:rsidRPr="00A863C2" w:rsidRDefault="00E951CF" w:rsidP="00E951CF">
            <w:pPr>
              <w:spacing w:line="221" w:lineRule="atLeast"/>
              <w:rPr>
                <w:rFonts w:eastAsia="Times New Roman" w:cs="Times New Roman"/>
                <w:sz w:val="20"/>
              </w:rPr>
            </w:pPr>
            <w:r w:rsidRPr="00A863C2">
              <w:rPr>
                <w:rFonts w:eastAsia="Times New Roman" w:cs="Times New Roman"/>
                <w:sz w:val="20"/>
              </w:rPr>
              <w:t>Telehealth attendance</w:t>
            </w:r>
            <w:r w:rsidR="00F36E0F" w:rsidRPr="00A863C2">
              <w:rPr>
                <w:rFonts w:eastAsia="Times New Roman" w:cs="Times New Roman"/>
                <w:sz w:val="20"/>
              </w:rPr>
              <w:t xml:space="preserve"> involving an interview, lasting more than 45 minutes but not </w:t>
            </w:r>
            <w:proofErr w:type="gramStart"/>
            <w:r w:rsidR="00F36E0F" w:rsidRPr="00A863C2">
              <w:rPr>
                <w:rFonts w:eastAsia="Times New Roman" w:cs="Times New Roman"/>
                <w:sz w:val="20"/>
              </w:rPr>
              <w:t>more than 75 minutes,</w:t>
            </w:r>
            <w:proofErr w:type="gramEnd"/>
            <w:r w:rsidR="00F36E0F" w:rsidRPr="00A863C2">
              <w:rPr>
                <w:rFonts w:eastAsia="Times New Roman" w:cs="Times New Roman"/>
                <w:sz w:val="20"/>
              </w:rPr>
              <w:t xml:space="preserve"> of a person other than the patient when the patient is not in attendance,</w:t>
            </w:r>
            <w:r w:rsidRPr="00A863C2">
              <w:rPr>
                <w:rFonts w:eastAsia="Times New Roman" w:cs="Times New Roman"/>
                <w:sz w:val="20"/>
              </w:rPr>
              <w:t xml:space="preserv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 xml:space="preserve">s specialty of psychiatry, following referral of the patient to the consultant physician by a referring practitioner for the purposes of: </w:t>
            </w:r>
          </w:p>
          <w:p w14:paraId="4A61B735" w14:textId="77777777" w:rsidR="00E951CF" w:rsidRPr="00A863C2" w:rsidRDefault="00E951CF">
            <w:pPr>
              <w:pStyle w:val="ListParagraph"/>
              <w:numPr>
                <w:ilvl w:val="0"/>
                <w:numId w:val="6"/>
              </w:numPr>
              <w:spacing w:after="0" w:line="221" w:lineRule="atLeast"/>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 xml:space="preserve">initial diagnostic evaluation; or </w:t>
            </w:r>
          </w:p>
          <w:p w14:paraId="1C79CE0C" w14:textId="7DDEDF17" w:rsidR="00E951CF" w:rsidRPr="00A863C2" w:rsidRDefault="00E951CF" w:rsidP="00A1579C">
            <w:pPr>
              <w:pStyle w:val="ListParagraph"/>
              <w:numPr>
                <w:ilvl w:val="0"/>
                <w:numId w:val="6"/>
              </w:numPr>
              <w:spacing w:after="0" w:line="221" w:lineRule="atLeast"/>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 xml:space="preserve">continuing management of the </w:t>
            </w:r>
            <w:proofErr w:type="gramStart"/>
            <w:r w:rsidRPr="00A863C2">
              <w:rPr>
                <w:rFonts w:ascii="Times New Roman" w:eastAsia="Times New Roman" w:hAnsi="Times New Roman" w:cs="Times New Roman"/>
                <w:sz w:val="20"/>
                <w:szCs w:val="20"/>
              </w:rPr>
              <w:t>patient</w:t>
            </w:r>
            <w:r w:rsidR="0047743B" w:rsidRPr="00A863C2">
              <w:rPr>
                <w:rFonts w:ascii="Times New Roman" w:eastAsia="Times New Roman" w:hAnsi="Times New Roman" w:cs="Times New Roman"/>
                <w:sz w:val="20"/>
                <w:szCs w:val="20"/>
              </w:rPr>
              <w:t>;</w:t>
            </w:r>
            <w:proofErr w:type="gramEnd"/>
          </w:p>
          <w:p w14:paraId="13486A4B" w14:textId="5E344760" w:rsidR="00E951CF" w:rsidRPr="00A863C2" w:rsidRDefault="00E951CF" w:rsidP="004411EA">
            <w:pPr>
              <w:spacing w:after="120" w:line="221" w:lineRule="atLeast"/>
              <w:rPr>
                <w:rFonts w:eastAsia="Times New Roman" w:cs="Times New Roman"/>
                <w:sz w:val="20"/>
                <w:lang w:eastAsia="en-AU"/>
              </w:rPr>
            </w:pPr>
            <w:r w:rsidRPr="00A863C2">
              <w:rPr>
                <w:rFonts w:eastAsia="Times New Roman" w:cs="Times New Roman"/>
                <w:sz w:val="20"/>
              </w:rPr>
              <w:t xml:space="preserve"> </w:t>
            </w:r>
            <w:r w:rsidR="0047743B" w:rsidRPr="00A863C2">
              <w:rPr>
                <w:rFonts w:eastAsia="Times New Roman" w:cs="Times New Roman"/>
                <w:sz w:val="20"/>
              </w:rPr>
              <w:t>i</w:t>
            </w:r>
            <w:r w:rsidRPr="00A863C2">
              <w:rPr>
                <w:rFonts w:eastAsia="Times New Roman" w:cs="Times New Roman"/>
                <w:sz w:val="20"/>
              </w:rPr>
              <w:t>f that attendance and another attendance to which any of items 341, 343, 345, 347, 349, 91874, 91875, 91876 91878</w:t>
            </w:r>
            <w:r w:rsidR="00016646" w:rsidRPr="00A863C2">
              <w:rPr>
                <w:rFonts w:eastAsia="Times New Roman" w:cs="Times New Roman"/>
                <w:sz w:val="20"/>
              </w:rPr>
              <w:t>, 91882, 91883 or 91884</w:t>
            </w:r>
            <w:r w:rsidRPr="00A863C2">
              <w:rPr>
                <w:rFonts w:eastAsia="Times New Roman" w:cs="Times New Roman"/>
                <w:sz w:val="20"/>
              </w:rPr>
              <w:t xml:space="preserve"> applies have not exceeded 15 in a calendar year for the </w:t>
            </w:r>
            <w:r w:rsidRPr="00A863C2">
              <w:rPr>
                <w:rFonts w:eastAsia="Times New Roman" w:cs="Times New Roman"/>
                <w:sz w:val="20"/>
                <w:lang w:eastAsia="en-AU"/>
              </w:rPr>
              <w:t>patient</w:t>
            </w:r>
            <w:r w:rsidRPr="00A863C2">
              <w:rPr>
                <w:rFonts w:eastAsia="Times New Roman" w:cs="Times New Roman"/>
                <w:sz w:val="20"/>
              </w:rPr>
              <w:t xml:space="preserve"> </w:t>
            </w:r>
          </w:p>
        </w:tc>
        <w:tc>
          <w:tcPr>
            <w:tcW w:w="765" w:type="pct"/>
            <w:tcBorders>
              <w:bottom w:val="single" w:sz="4" w:space="0" w:color="auto"/>
            </w:tcBorders>
          </w:tcPr>
          <w:p w14:paraId="5C227DCF"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205.20</w:t>
            </w:r>
          </w:p>
        </w:tc>
      </w:tr>
      <w:tr w:rsidR="00E951CF" w:rsidRPr="00A863C2" w14:paraId="6034487E" w14:textId="77777777" w:rsidTr="000C5DFC">
        <w:tc>
          <w:tcPr>
            <w:tcW w:w="715" w:type="pct"/>
            <w:tcBorders>
              <w:top w:val="single" w:sz="4" w:space="0" w:color="auto"/>
              <w:bottom w:val="single" w:sz="4" w:space="0" w:color="auto"/>
            </w:tcBorders>
          </w:tcPr>
          <w:p w14:paraId="114F6CF3" w14:textId="77777777" w:rsidR="00E951CF" w:rsidRPr="00A863C2" w:rsidRDefault="00E951CF" w:rsidP="00E951CF">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91878</w:t>
            </w:r>
          </w:p>
        </w:tc>
        <w:tc>
          <w:tcPr>
            <w:tcW w:w="3520" w:type="pct"/>
            <w:tcBorders>
              <w:top w:val="single" w:sz="4" w:space="0" w:color="auto"/>
              <w:bottom w:val="single" w:sz="4" w:space="0" w:color="auto"/>
            </w:tcBorders>
          </w:tcPr>
          <w:p w14:paraId="2F135F39" w14:textId="418F46D1" w:rsidR="00E951CF" w:rsidRPr="00A863C2" w:rsidRDefault="00E951CF" w:rsidP="00E951CF">
            <w:pPr>
              <w:spacing w:line="221" w:lineRule="atLeast"/>
              <w:rPr>
                <w:rFonts w:eastAsia="Times New Roman" w:cs="Times New Roman"/>
                <w:sz w:val="20"/>
              </w:rPr>
            </w:pPr>
            <w:r w:rsidRPr="00A863C2">
              <w:rPr>
                <w:rFonts w:eastAsia="Times New Roman" w:cs="Times New Roman"/>
                <w:sz w:val="20"/>
              </w:rPr>
              <w:t>Telehealth attendance</w:t>
            </w:r>
            <w:r w:rsidR="00585A74" w:rsidRPr="00A863C2">
              <w:rPr>
                <w:rFonts w:eastAsia="Times New Roman" w:cs="Times New Roman"/>
                <w:sz w:val="20"/>
              </w:rPr>
              <w:t xml:space="preserve"> involving an interview, lasting more than 75 minutes, of a person other than the patient, when the patient is not in attendance,</w:t>
            </w:r>
            <w:r w:rsidRPr="00A863C2">
              <w:rPr>
                <w:rFonts w:eastAsia="Times New Roman" w:cs="Times New Roman"/>
                <w:sz w:val="20"/>
              </w:rPr>
              <w:t xml:space="preserv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s specialty of psychiatry, following referral of the patient to the consultant physician by a referring practitioner</w:t>
            </w:r>
            <w:r w:rsidR="00585A74" w:rsidRPr="00A863C2">
              <w:rPr>
                <w:rFonts w:eastAsia="Times New Roman" w:cs="Times New Roman"/>
                <w:sz w:val="20"/>
              </w:rPr>
              <w:t xml:space="preserve"> </w:t>
            </w:r>
            <w:r w:rsidRPr="00A863C2">
              <w:rPr>
                <w:rFonts w:eastAsia="Times New Roman" w:cs="Times New Roman"/>
                <w:sz w:val="20"/>
              </w:rPr>
              <w:t xml:space="preserve">for the purposes of: </w:t>
            </w:r>
          </w:p>
          <w:p w14:paraId="1538E959" w14:textId="77777777" w:rsidR="00E951CF" w:rsidRPr="00A863C2" w:rsidRDefault="00E951CF">
            <w:pPr>
              <w:pStyle w:val="ListParagraph"/>
              <w:numPr>
                <w:ilvl w:val="0"/>
                <w:numId w:val="7"/>
              </w:numPr>
              <w:spacing w:after="0" w:line="221" w:lineRule="atLeast"/>
              <w:rPr>
                <w:rFonts w:ascii="Times New Roman" w:eastAsia="Times New Roman" w:hAnsi="Times New Roman" w:cs="Times New Roman"/>
                <w:sz w:val="20"/>
                <w:szCs w:val="20"/>
              </w:rPr>
            </w:pPr>
            <w:r w:rsidRPr="00A863C2">
              <w:rPr>
                <w:rFonts w:ascii="Times New Roman" w:eastAsia="Times New Roman" w:hAnsi="Times New Roman" w:cs="Times New Roman"/>
                <w:sz w:val="20"/>
                <w:szCs w:val="20"/>
              </w:rPr>
              <w:t xml:space="preserve">initial diagnostic evaluation; or </w:t>
            </w:r>
          </w:p>
          <w:p w14:paraId="5682A32C" w14:textId="37CE4515" w:rsidR="00E951CF" w:rsidRPr="00A863C2" w:rsidRDefault="00E951CF" w:rsidP="00A1579C">
            <w:pPr>
              <w:pStyle w:val="ListParagraph"/>
              <w:numPr>
                <w:ilvl w:val="0"/>
                <w:numId w:val="7"/>
              </w:numPr>
              <w:spacing w:after="0" w:line="221" w:lineRule="atLeast"/>
              <w:rPr>
                <w:rFonts w:ascii="Times New Roman" w:eastAsia="Times New Roman" w:hAnsi="Times New Roman" w:cs="Times New Roman"/>
                <w:sz w:val="20"/>
              </w:rPr>
            </w:pPr>
            <w:r w:rsidRPr="00A863C2">
              <w:rPr>
                <w:rFonts w:ascii="Times New Roman" w:eastAsia="Times New Roman" w:hAnsi="Times New Roman" w:cs="Times New Roman"/>
                <w:sz w:val="20"/>
                <w:szCs w:val="20"/>
              </w:rPr>
              <w:t xml:space="preserve">continuing management of the </w:t>
            </w:r>
            <w:proofErr w:type="gramStart"/>
            <w:r w:rsidRPr="00A863C2">
              <w:rPr>
                <w:rFonts w:ascii="Times New Roman" w:eastAsia="Times New Roman" w:hAnsi="Times New Roman" w:cs="Times New Roman"/>
                <w:sz w:val="20"/>
                <w:szCs w:val="20"/>
              </w:rPr>
              <w:t>patient</w:t>
            </w:r>
            <w:r w:rsidR="0047743B" w:rsidRPr="00A863C2">
              <w:rPr>
                <w:rFonts w:ascii="Times New Roman" w:eastAsia="Times New Roman" w:hAnsi="Times New Roman" w:cs="Times New Roman"/>
                <w:sz w:val="20"/>
                <w:szCs w:val="20"/>
              </w:rPr>
              <w:t>;</w:t>
            </w:r>
            <w:proofErr w:type="gramEnd"/>
          </w:p>
          <w:p w14:paraId="4F86DCDA" w14:textId="107B7D0C" w:rsidR="00E951CF" w:rsidRPr="00A863C2" w:rsidRDefault="0047743B" w:rsidP="004411EA">
            <w:pPr>
              <w:spacing w:after="120" w:line="221" w:lineRule="atLeast"/>
              <w:rPr>
                <w:rFonts w:eastAsia="Times New Roman" w:cs="Times New Roman"/>
                <w:sz w:val="20"/>
                <w:lang w:eastAsia="en-AU"/>
              </w:rPr>
            </w:pPr>
            <w:r w:rsidRPr="00A863C2">
              <w:rPr>
                <w:rFonts w:eastAsia="Times New Roman" w:cs="Times New Roman"/>
                <w:sz w:val="20"/>
              </w:rPr>
              <w:t>i</w:t>
            </w:r>
            <w:r w:rsidR="00E951CF" w:rsidRPr="00A863C2">
              <w:rPr>
                <w:rFonts w:eastAsia="Times New Roman" w:cs="Times New Roman"/>
                <w:sz w:val="20"/>
              </w:rPr>
              <w:t>f that attendance and another attendance to which any of items 341, 343, 345, 347, 349, 91874, 91875, 91876</w:t>
            </w:r>
            <w:r w:rsidR="00016646" w:rsidRPr="00A863C2">
              <w:rPr>
                <w:rFonts w:eastAsia="Times New Roman" w:cs="Times New Roman"/>
                <w:sz w:val="20"/>
              </w:rPr>
              <w:t>,</w:t>
            </w:r>
            <w:r w:rsidR="00E951CF" w:rsidRPr="00A863C2">
              <w:rPr>
                <w:rFonts w:eastAsia="Times New Roman" w:cs="Times New Roman"/>
                <w:sz w:val="20"/>
              </w:rPr>
              <w:t xml:space="preserve"> 91877</w:t>
            </w:r>
            <w:r w:rsidR="00016646" w:rsidRPr="00A863C2">
              <w:rPr>
                <w:rFonts w:eastAsia="Times New Roman" w:cs="Times New Roman"/>
                <w:sz w:val="20"/>
              </w:rPr>
              <w:t>, 91882, 91883 or 91884</w:t>
            </w:r>
            <w:r w:rsidR="00E951CF" w:rsidRPr="00A863C2">
              <w:rPr>
                <w:rFonts w:eastAsia="Times New Roman" w:cs="Times New Roman"/>
                <w:sz w:val="20"/>
              </w:rPr>
              <w:t xml:space="preserve"> applies have not </w:t>
            </w:r>
            <w:r w:rsidR="00E951CF" w:rsidRPr="00A863C2">
              <w:rPr>
                <w:rFonts w:eastAsia="Times New Roman" w:cs="Times New Roman"/>
                <w:sz w:val="20"/>
                <w:lang w:eastAsia="en-AU"/>
              </w:rPr>
              <w:t>exceeded</w:t>
            </w:r>
            <w:r w:rsidR="00E951CF" w:rsidRPr="00A863C2">
              <w:rPr>
                <w:rFonts w:eastAsia="Times New Roman" w:cs="Times New Roman"/>
                <w:sz w:val="20"/>
              </w:rPr>
              <w:t xml:space="preserve"> 15 in a calendar year for the patient</w:t>
            </w:r>
          </w:p>
        </w:tc>
        <w:tc>
          <w:tcPr>
            <w:tcW w:w="765" w:type="pct"/>
            <w:tcBorders>
              <w:top w:val="single" w:sz="4" w:space="0" w:color="auto"/>
              <w:bottom w:val="single" w:sz="4" w:space="0" w:color="auto"/>
            </w:tcBorders>
          </w:tcPr>
          <w:p w14:paraId="03D36773" w14:textId="77777777" w:rsidR="00E951CF" w:rsidRPr="00A863C2" w:rsidRDefault="00E951CF" w:rsidP="00E951CF">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238.15</w:t>
            </w:r>
          </w:p>
        </w:tc>
      </w:tr>
    </w:tbl>
    <w:p w14:paraId="50CDFFEF" w14:textId="27547853" w:rsidR="00EA26C9" w:rsidRPr="00A863C2" w:rsidRDefault="00EA26C9" w:rsidP="00EA26C9">
      <w:pPr>
        <w:pStyle w:val="ItemHead"/>
      </w:pPr>
      <w:proofErr w:type="gramStart"/>
      <w:r w:rsidRPr="00A863C2">
        <w:t>1</w:t>
      </w:r>
      <w:r w:rsidR="00B10583" w:rsidRPr="00A863C2">
        <w:t>2</w:t>
      </w:r>
      <w:r w:rsidRPr="00A863C2">
        <w:t xml:space="preserve">  Schedule</w:t>
      </w:r>
      <w:proofErr w:type="gramEnd"/>
      <w:r w:rsidRPr="00A863C2">
        <w:t xml:space="preserve"> 2 (after 91839)</w:t>
      </w:r>
    </w:p>
    <w:p w14:paraId="09E05ED3" w14:textId="77777777" w:rsidR="00EA26C9" w:rsidRPr="00A863C2" w:rsidRDefault="00EA26C9" w:rsidP="00EA26C9">
      <w:pPr>
        <w:pStyle w:val="Item"/>
        <w:spacing w:after="120"/>
      </w:pPr>
      <w:r w:rsidRPr="00A863C2">
        <w:t>Insert:</w:t>
      </w:r>
    </w:p>
    <w:tbl>
      <w:tblPr>
        <w:tblW w:w="5000" w:type="pct"/>
        <w:tblBorders>
          <w:top w:val="single" w:sz="4" w:space="0" w:color="auto"/>
          <w:bottom w:val="single" w:sz="8" w:space="0" w:color="auto"/>
          <w:insideH w:val="single" w:sz="4" w:space="0" w:color="auto"/>
        </w:tblBorders>
        <w:shd w:val="clear" w:color="auto" w:fill="FFFFFF"/>
        <w:tblCellMar>
          <w:left w:w="0" w:type="dxa"/>
          <w:right w:w="0" w:type="dxa"/>
        </w:tblCellMar>
        <w:tblLook w:val="04A0" w:firstRow="1" w:lastRow="0" w:firstColumn="1" w:lastColumn="0" w:noHBand="0" w:noVBand="1"/>
      </w:tblPr>
      <w:tblGrid>
        <w:gridCol w:w="1189"/>
        <w:gridCol w:w="5852"/>
        <w:gridCol w:w="1272"/>
      </w:tblGrid>
      <w:tr w:rsidR="00EA26C9" w:rsidRPr="00A863C2" w14:paraId="57D983BA" w14:textId="77777777" w:rsidTr="00D86EE2">
        <w:tc>
          <w:tcPr>
            <w:tcW w:w="715" w:type="pct"/>
            <w:shd w:val="clear" w:color="auto" w:fill="FFFFFF"/>
            <w:tcMar>
              <w:top w:w="0" w:type="dxa"/>
              <w:left w:w="108" w:type="dxa"/>
              <w:bottom w:w="0" w:type="dxa"/>
              <w:right w:w="108" w:type="dxa"/>
            </w:tcMar>
          </w:tcPr>
          <w:p w14:paraId="7FA286CF" w14:textId="77777777" w:rsidR="00EA26C9" w:rsidRPr="00A863C2" w:rsidRDefault="00EA26C9" w:rsidP="00D86EE2">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91879</w:t>
            </w:r>
          </w:p>
        </w:tc>
        <w:tc>
          <w:tcPr>
            <w:tcW w:w="3520" w:type="pct"/>
            <w:shd w:val="clear" w:color="auto" w:fill="FFFFFF"/>
            <w:tcMar>
              <w:top w:w="0" w:type="dxa"/>
              <w:left w:w="108" w:type="dxa"/>
              <w:bottom w:w="0" w:type="dxa"/>
              <w:right w:w="108" w:type="dxa"/>
            </w:tcMar>
          </w:tcPr>
          <w:p w14:paraId="191AC251" w14:textId="7677E341" w:rsidR="00EA26C9" w:rsidRPr="00A863C2" w:rsidRDefault="00EA26C9" w:rsidP="00432495">
            <w:pPr>
              <w:spacing w:after="120" w:line="221" w:lineRule="atLeast"/>
              <w:rPr>
                <w:rFonts w:eastAsia="Times New Roman" w:cs="Times New Roman"/>
                <w:sz w:val="20"/>
              </w:rPr>
            </w:pPr>
            <w:r w:rsidRPr="00A863C2">
              <w:rPr>
                <w:rFonts w:eastAsia="Times New Roman" w:cs="Times New Roman"/>
                <w:sz w:val="20"/>
              </w:rPr>
              <w:t>Phone attendance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s specialty of psychiatry following referral of the patient to the consultant physician by a referring practitioner</w:t>
            </w:r>
            <w:r w:rsidR="00FB668B" w:rsidRPr="00A863C2">
              <w:rPr>
                <w:color w:val="000000"/>
                <w:sz w:val="20"/>
                <w:shd w:val="clear" w:color="auto" w:fill="FFFFFF"/>
              </w:rPr>
              <w:t>—</w:t>
            </w:r>
            <w:r w:rsidRPr="00A863C2">
              <w:rPr>
                <w:rFonts w:eastAsia="Times New Roman" w:cs="Times New Roman"/>
                <w:sz w:val="20"/>
              </w:rPr>
              <w:t>an attendance of not more than 15 minutes in duration, if that attendance and another attendance to which 296, 297, 299 or any of items 300, 302, 304, 306, 308, 91827 to 91831, 91837 to 91839</w:t>
            </w:r>
            <w:r w:rsidR="000479E1" w:rsidRPr="00A863C2">
              <w:rPr>
                <w:rFonts w:eastAsia="Times New Roman" w:cs="Times New Roman"/>
                <w:sz w:val="20"/>
              </w:rPr>
              <w:t>,</w:t>
            </w:r>
            <w:r w:rsidRPr="00A863C2">
              <w:rPr>
                <w:rFonts w:eastAsia="Times New Roman" w:cs="Times New Roman"/>
                <w:sz w:val="20"/>
              </w:rPr>
              <w:t xml:space="preserve"> </w:t>
            </w:r>
            <w:r w:rsidR="00B61CFE" w:rsidRPr="00A863C2">
              <w:rPr>
                <w:rFonts w:eastAsia="Times New Roman" w:cs="Times New Roman"/>
                <w:color w:val="000000"/>
                <w:sz w:val="20"/>
                <w:lang w:eastAsia="en-AU"/>
              </w:rPr>
              <w:t>91868 to 91873</w:t>
            </w:r>
            <w:r w:rsidR="000479E1" w:rsidRPr="00A863C2">
              <w:rPr>
                <w:rFonts w:eastAsia="Times New Roman" w:cs="Times New Roman"/>
                <w:sz w:val="20"/>
              </w:rPr>
              <w:t>, 91880</w:t>
            </w:r>
            <w:r w:rsidR="00B61CFE" w:rsidRPr="00A863C2">
              <w:rPr>
                <w:rFonts w:eastAsia="Times New Roman" w:cs="Times New Roman"/>
                <w:sz w:val="20"/>
              </w:rPr>
              <w:t>,</w:t>
            </w:r>
            <w:r w:rsidR="000479E1" w:rsidRPr="00A863C2">
              <w:rPr>
                <w:rFonts w:eastAsia="Times New Roman" w:cs="Times New Roman"/>
                <w:sz w:val="20"/>
              </w:rPr>
              <w:t xml:space="preserve"> 91881</w:t>
            </w:r>
            <w:r w:rsidR="00B61CFE" w:rsidRPr="00A863C2">
              <w:rPr>
                <w:rFonts w:eastAsia="Times New Roman" w:cs="Times New Roman"/>
                <w:sz w:val="20"/>
              </w:rPr>
              <w:t xml:space="preserve"> or 92437</w:t>
            </w:r>
            <w:r w:rsidRPr="00A863C2">
              <w:rPr>
                <w:rFonts w:eastAsia="Times New Roman" w:cs="Times New Roman"/>
                <w:sz w:val="20"/>
              </w:rPr>
              <w:t xml:space="preserve"> applies exceed 50 attendances in a calendar year for the patient</w:t>
            </w:r>
          </w:p>
        </w:tc>
        <w:tc>
          <w:tcPr>
            <w:tcW w:w="765" w:type="pct"/>
            <w:shd w:val="clear" w:color="auto" w:fill="FFFFFF"/>
            <w:tcMar>
              <w:top w:w="0" w:type="dxa"/>
              <w:left w:w="108" w:type="dxa"/>
              <w:bottom w:w="0" w:type="dxa"/>
              <w:right w:w="108" w:type="dxa"/>
            </w:tcMar>
          </w:tcPr>
          <w:p w14:paraId="329D4E81" w14:textId="77777777" w:rsidR="00EA26C9" w:rsidRPr="00A863C2" w:rsidRDefault="00EA26C9" w:rsidP="00D86EE2">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24.10</w:t>
            </w:r>
          </w:p>
        </w:tc>
      </w:tr>
      <w:tr w:rsidR="00EA26C9" w:rsidRPr="00A863C2" w14:paraId="57A321DA" w14:textId="77777777" w:rsidTr="00D86EE2">
        <w:tc>
          <w:tcPr>
            <w:tcW w:w="715" w:type="pct"/>
            <w:shd w:val="clear" w:color="auto" w:fill="FFFFFF"/>
            <w:tcMar>
              <w:top w:w="0" w:type="dxa"/>
              <w:left w:w="108" w:type="dxa"/>
              <w:bottom w:w="0" w:type="dxa"/>
              <w:right w:w="108" w:type="dxa"/>
            </w:tcMar>
          </w:tcPr>
          <w:p w14:paraId="4E9F60BE" w14:textId="77777777" w:rsidR="00EA26C9" w:rsidRPr="00A863C2" w:rsidRDefault="00EA26C9" w:rsidP="00D86EE2">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91880</w:t>
            </w:r>
          </w:p>
        </w:tc>
        <w:tc>
          <w:tcPr>
            <w:tcW w:w="3520" w:type="pct"/>
            <w:shd w:val="clear" w:color="auto" w:fill="FFFFFF"/>
            <w:tcMar>
              <w:top w:w="0" w:type="dxa"/>
              <w:left w:w="108" w:type="dxa"/>
              <w:bottom w:w="0" w:type="dxa"/>
              <w:right w:w="108" w:type="dxa"/>
            </w:tcMar>
          </w:tcPr>
          <w:p w14:paraId="534F419F" w14:textId="0893B3E5" w:rsidR="00EA26C9" w:rsidRPr="00A863C2" w:rsidRDefault="00EA26C9" w:rsidP="00432495">
            <w:pPr>
              <w:spacing w:after="120" w:line="221" w:lineRule="atLeast"/>
              <w:rPr>
                <w:rFonts w:eastAsia="Times New Roman" w:cs="Times New Roman"/>
                <w:sz w:val="20"/>
              </w:rPr>
            </w:pPr>
            <w:r w:rsidRPr="00A863C2">
              <w:rPr>
                <w:rFonts w:eastAsia="Times New Roman" w:cs="Times New Roman"/>
                <w:sz w:val="20"/>
              </w:rPr>
              <w:t>Phone attendance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 xml:space="preserve">s specialty of psychiatry following referral of the </w:t>
            </w:r>
            <w:r w:rsidRPr="00A863C2">
              <w:rPr>
                <w:rFonts w:eastAsia="Times New Roman" w:cs="Times New Roman"/>
                <w:sz w:val="20"/>
              </w:rPr>
              <w:lastRenderedPageBreak/>
              <w:t>patient to the consultant physician by a referring practitioner</w:t>
            </w:r>
            <w:r w:rsidR="00FB668B" w:rsidRPr="00A863C2">
              <w:rPr>
                <w:color w:val="000000"/>
                <w:sz w:val="20"/>
                <w:shd w:val="clear" w:color="auto" w:fill="FFFFFF"/>
              </w:rPr>
              <w:t>—</w:t>
            </w:r>
            <w:r w:rsidRPr="00A863C2">
              <w:rPr>
                <w:rFonts w:eastAsia="Times New Roman" w:cs="Times New Roman"/>
                <w:sz w:val="20"/>
              </w:rPr>
              <w:t>an attendance of more than 15 minutes but not more than 30 minutes in duration, if that attendance and another attendance to which item 296, 297, 299 or any of items 300, 302, 304, 306, 308, 91827 to 91831, 91837 to 91839</w:t>
            </w:r>
            <w:r w:rsidR="000479E1" w:rsidRPr="00A863C2">
              <w:rPr>
                <w:rFonts w:eastAsia="Times New Roman" w:cs="Times New Roman"/>
                <w:sz w:val="20"/>
              </w:rPr>
              <w:t>,</w:t>
            </w:r>
            <w:r w:rsidR="00B61CFE" w:rsidRPr="00A863C2">
              <w:rPr>
                <w:rFonts w:eastAsia="Times New Roman" w:cs="Times New Roman"/>
                <w:color w:val="000000"/>
                <w:sz w:val="20"/>
                <w:lang w:eastAsia="en-AU"/>
              </w:rPr>
              <w:t xml:space="preserve"> 91868 to 91873</w:t>
            </w:r>
            <w:r w:rsidR="000479E1" w:rsidRPr="00A863C2">
              <w:rPr>
                <w:rFonts w:eastAsia="Times New Roman" w:cs="Times New Roman"/>
                <w:sz w:val="20"/>
              </w:rPr>
              <w:t>, 91879</w:t>
            </w:r>
            <w:r w:rsidR="00B61CFE" w:rsidRPr="00A863C2">
              <w:rPr>
                <w:rFonts w:eastAsia="Times New Roman" w:cs="Times New Roman"/>
                <w:sz w:val="20"/>
              </w:rPr>
              <w:t>,</w:t>
            </w:r>
            <w:r w:rsidR="000479E1" w:rsidRPr="00A863C2">
              <w:rPr>
                <w:rFonts w:eastAsia="Times New Roman" w:cs="Times New Roman"/>
                <w:sz w:val="20"/>
              </w:rPr>
              <w:t xml:space="preserve"> 91881</w:t>
            </w:r>
            <w:r w:rsidR="00B61CFE" w:rsidRPr="00A863C2">
              <w:rPr>
                <w:rFonts w:eastAsia="Times New Roman" w:cs="Times New Roman"/>
                <w:sz w:val="20"/>
              </w:rPr>
              <w:t xml:space="preserve"> or 92437</w:t>
            </w:r>
            <w:r w:rsidRPr="00A863C2">
              <w:rPr>
                <w:rFonts w:eastAsia="Times New Roman" w:cs="Times New Roman"/>
                <w:sz w:val="20"/>
              </w:rPr>
              <w:t xml:space="preserve"> applies exceed 50 attendances in a calendar year for the patient</w:t>
            </w:r>
          </w:p>
        </w:tc>
        <w:tc>
          <w:tcPr>
            <w:tcW w:w="765" w:type="pct"/>
            <w:shd w:val="clear" w:color="auto" w:fill="FFFFFF"/>
            <w:tcMar>
              <w:top w:w="0" w:type="dxa"/>
              <w:left w:w="108" w:type="dxa"/>
              <w:bottom w:w="0" w:type="dxa"/>
              <w:right w:w="108" w:type="dxa"/>
            </w:tcMar>
          </w:tcPr>
          <w:p w14:paraId="2295607B" w14:textId="77777777" w:rsidR="00EA26C9" w:rsidRPr="00A863C2" w:rsidRDefault="00EA26C9" w:rsidP="00D86EE2">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lastRenderedPageBreak/>
              <w:t>48.40</w:t>
            </w:r>
          </w:p>
        </w:tc>
      </w:tr>
      <w:tr w:rsidR="00EA26C9" w:rsidRPr="00A863C2" w14:paraId="67AB6E41" w14:textId="77777777" w:rsidTr="00D86EE2">
        <w:tc>
          <w:tcPr>
            <w:tcW w:w="715" w:type="pct"/>
            <w:shd w:val="clear" w:color="auto" w:fill="FFFFFF"/>
            <w:tcMar>
              <w:top w:w="0" w:type="dxa"/>
              <w:left w:w="108" w:type="dxa"/>
              <w:bottom w:w="0" w:type="dxa"/>
              <w:right w:w="108" w:type="dxa"/>
            </w:tcMar>
          </w:tcPr>
          <w:p w14:paraId="285699DD" w14:textId="77777777" w:rsidR="00EA26C9" w:rsidRPr="00A863C2" w:rsidRDefault="00EA26C9" w:rsidP="00D86EE2">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91881</w:t>
            </w:r>
          </w:p>
        </w:tc>
        <w:tc>
          <w:tcPr>
            <w:tcW w:w="3520" w:type="pct"/>
            <w:shd w:val="clear" w:color="auto" w:fill="FFFFFF"/>
            <w:tcMar>
              <w:top w:w="0" w:type="dxa"/>
              <w:left w:w="108" w:type="dxa"/>
              <w:bottom w:w="0" w:type="dxa"/>
              <w:right w:w="108" w:type="dxa"/>
            </w:tcMar>
          </w:tcPr>
          <w:p w14:paraId="1D597BD1" w14:textId="1D723678" w:rsidR="00EA26C9" w:rsidRPr="00A863C2" w:rsidRDefault="00EA26C9" w:rsidP="00432495">
            <w:pPr>
              <w:spacing w:after="120" w:line="221" w:lineRule="atLeast"/>
              <w:rPr>
                <w:rFonts w:eastAsia="Times New Roman" w:cs="Times New Roman"/>
                <w:sz w:val="20"/>
              </w:rPr>
            </w:pPr>
            <w:r w:rsidRPr="00A863C2">
              <w:rPr>
                <w:rFonts w:eastAsia="Times New Roman" w:cs="Times New Roman"/>
                <w:sz w:val="20"/>
              </w:rPr>
              <w:t>Phone attendance by a consultant physician in the practice of the consultant physician</w:t>
            </w:r>
            <w:r w:rsidR="00A1579C" w:rsidRPr="00A863C2">
              <w:rPr>
                <w:rFonts w:eastAsia="Times New Roman" w:cs="Times New Roman"/>
                <w:sz w:val="20"/>
              </w:rPr>
              <w:t>’</w:t>
            </w:r>
            <w:r w:rsidRPr="00A863C2">
              <w:rPr>
                <w:rFonts w:eastAsia="Times New Roman" w:cs="Times New Roman"/>
                <w:sz w:val="20"/>
              </w:rPr>
              <w:t>s specialty of psychiatry following referral of the patient to the consultant physician by a referring practitioner</w:t>
            </w:r>
            <w:r w:rsidR="00FB668B" w:rsidRPr="00A863C2">
              <w:rPr>
                <w:color w:val="000000"/>
                <w:sz w:val="20"/>
                <w:shd w:val="clear" w:color="auto" w:fill="FFFFFF"/>
              </w:rPr>
              <w:t>—</w:t>
            </w:r>
            <w:r w:rsidRPr="00A863C2">
              <w:rPr>
                <w:rFonts w:eastAsia="Times New Roman" w:cs="Times New Roman"/>
                <w:sz w:val="20"/>
              </w:rPr>
              <w:t>an attendance of more than 30 minutes but not more than 45 minutes in duration, if that attendance and another attendance to which item 296, 297, 299 or any of items 300, 302, 304, 306, 308, 91827 to 91831, 91837 to 91839</w:t>
            </w:r>
            <w:r w:rsidR="000479E1" w:rsidRPr="00A863C2">
              <w:rPr>
                <w:rFonts w:eastAsia="Times New Roman" w:cs="Times New Roman"/>
                <w:sz w:val="20"/>
              </w:rPr>
              <w:t>,</w:t>
            </w:r>
            <w:r w:rsidR="00B61CFE" w:rsidRPr="00A863C2">
              <w:rPr>
                <w:rFonts w:eastAsia="Times New Roman" w:cs="Times New Roman"/>
                <w:sz w:val="20"/>
              </w:rPr>
              <w:t xml:space="preserve"> </w:t>
            </w:r>
            <w:r w:rsidR="00B61CFE" w:rsidRPr="00A863C2">
              <w:rPr>
                <w:rFonts w:eastAsia="Times New Roman" w:cs="Times New Roman"/>
                <w:color w:val="000000"/>
                <w:sz w:val="20"/>
                <w:lang w:eastAsia="en-AU"/>
              </w:rPr>
              <w:t>91868 to 91873,</w:t>
            </w:r>
            <w:r w:rsidRPr="00A863C2">
              <w:rPr>
                <w:rFonts w:eastAsia="Times New Roman" w:cs="Times New Roman"/>
                <w:sz w:val="20"/>
              </w:rPr>
              <w:t xml:space="preserve"> </w:t>
            </w:r>
            <w:r w:rsidR="000479E1" w:rsidRPr="00A863C2">
              <w:rPr>
                <w:rFonts w:eastAsia="Times New Roman" w:cs="Times New Roman"/>
                <w:sz w:val="20"/>
              </w:rPr>
              <w:t>91879</w:t>
            </w:r>
            <w:r w:rsidR="00B61CFE" w:rsidRPr="00A863C2">
              <w:rPr>
                <w:rFonts w:eastAsia="Times New Roman" w:cs="Times New Roman"/>
                <w:sz w:val="20"/>
              </w:rPr>
              <w:t>,</w:t>
            </w:r>
            <w:r w:rsidR="000479E1" w:rsidRPr="00A863C2">
              <w:rPr>
                <w:rFonts w:eastAsia="Times New Roman" w:cs="Times New Roman"/>
                <w:sz w:val="20"/>
              </w:rPr>
              <w:t xml:space="preserve"> 91880</w:t>
            </w:r>
            <w:r w:rsidR="00B61CFE" w:rsidRPr="00A863C2">
              <w:rPr>
                <w:rFonts w:eastAsia="Times New Roman" w:cs="Times New Roman"/>
                <w:sz w:val="20"/>
              </w:rPr>
              <w:t xml:space="preserve"> or 92437</w:t>
            </w:r>
            <w:r w:rsidRPr="00A863C2">
              <w:rPr>
                <w:rFonts w:eastAsia="Times New Roman" w:cs="Times New Roman"/>
                <w:sz w:val="20"/>
              </w:rPr>
              <w:t xml:space="preserve"> applies exceed 50 attendances in a calendar year for the patient</w:t>
            </w:r>
          </w:p>
        </w:tc>
        <w:tc>
          <w:tcPr>
            <w:tcW w:w="765" w:type="pct"/>
            <w:shd w:val="clear" w:color="auto" w:fill="FFFFFF"/>
            <w:tcMar>
              <w:top w:w="0" w:type="dxa"/>
              <w:left w:w="108" w:type="dxa"/>
              <w:bottom w:w="0" w:type="dxa"/>
              <w:right w:w="108" w:type="dxa"/>
            </w:tcMar>
          </w:tcPr>
          <w:p w14:paraId="0CEFD42D" w14:textId="77777777" w:rsidR="00EA26C9" w:rsidRPr="00A863C2" w:rsidRDefault="00EA26C9" w:rsidP="00D86EE2">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74.55</w:t>
            </w:r>
          </w:p>
        </w:tc>
      </w:tr>
      <w:tr w:rsidR="00EA26C9" w:rsidRPr="00A863C2" w14:paraId="5BADBB7B" w14:textId="77777777" w:rsidTr="00D86EE2">
        <w:tc>
          <w:tcPr>
            <w:tcW w:w="715" w:type="pct"/>
            <w:shd w:val="clear" w:color="auto" w:fill="FFFFFF"/>
            <w:tcMar>
              <w:top w:w="0" w:type="dxa"/>
              <w:left w:w="108" w:type="dxa"/>
              <w:bottom w:w="0" w:type="dxa"/>
              <w:right w:w="108" w:type="dxa"/>
            </w:tcMar>
          </w:tcPr>
          <w:p w14:paraId="36B19E63" w14:textId="77777777" w:rsidR="00EA26C9" w:rsidRPr="00A863C2" w:rsidRDefault="00EA26C9" w:rsidP="00D86EE2">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91882</w:t>
            </w:r>
          </w:p>
        </w:tc>
        <w:tc>
          <w:tcPr>
            <w:tcW w:w="3520" w:type="pct"/>
            <w:shd w:val="clear" w:color="auto" w:fill="FFFFFF"/>
            <w:tcMar>
              <w:top w:w="0" w:type="dxa"/>
              <w:left w:w="108" w:type="dxa"/>
              <w:bottom w:w="0" w:type="dxa"/>
              <w:right w:w="108" w:type="dxa"/>
            </w:tcMar>
          </w:tcPr>
          <w:p w14:paraId="55574963" w14:textId="219BCCA6" w:rsidR="007B27D7" w:rsidRPr="00A863C2" w:rsidRDefault="00EA26C9" w:rsidP="00D86EE2">
            <w:pPr>
              <w:spacing w:line="221" w:lineRule="atLeast"/>
              <w:rPr>
                <w:rFonts w:eastAsia="Times New Roman" w:cs="Times New Roman"/>
                <w:sz w:val="20"/>
              </w:rPr>
            </w:pPr>
            <w:r w:rsidRPr="00A863C2">
              <w:rPr>
                <w:rFonts w:eastAsia="Times New Roman" w:cs="Times New Roman"/>
                <w:sz w:val="20"/>
              </w:rPr>
              <w:t>Phone attendance</w:t>
            </w:r>
            <w:r w:rsidR="007B27D7" w:rsidRPr="00A863C2">
              <w:rPr>
                <w:rFonts w:eastAsia="Times New Roman" w:cs="Times New Roman"/>
                <w:sz w:val="20"/>
              </w:rPr>
              <w:t xml:space="preserve"> involving an interview, lasting not </w:t>
            </w:r>
            <w:proofErr w:type="gramStart"/>
            <w:r w:rsidR="007B27D7" w:rsidRPr="00A863C2">
              <w:rPr>
                <w:rFonts w:eastAsia="Times New Roman" w:cs="Times New Roman"/>
                <w:sz w:val="20"/>
              </w:rPr>
              <w:t>more than 15 minutes,</w:t>
            </w:r>
            <w:proofErr w:type="gramEnd"/>
            <w:r w:rsidRPr="00A863C2">
              <w:rPr>
                <w:rFonts w:eastAsia="Times New Roman" w:cs="Times New Roman"/>
                <w:sz w:val="20"/>
              </w:rPr>
              <w:t xml:space="preserve"> </w:t>
            </w:r>
            <w:r w:rsidR="007B27D7" w:rsidRPr="00A863C2">
              <w:rPr>
                <w:rFonts w:eastAsia="Times New Roman" w:cs="Times New Roman"/>
                <w:sz w:val="20"/>
              </w:rPr>
              <w:t>of a person other than the patient when the patient is not in attendance, by a consultant physician in the practice of the consultant physician</w:t>
            </w:r>
            <w:r w:rsidR="00A1579C" w:rsidRPr="00A863C2">
              <w:rPr>
                <w:rFonts w:eastAsia="Times New Roman" w:cs="Times New Roman"/>
                <w:sz w:val="20"/>
              </w:rPr>
              <w:t>’</w:t>
            </w:r>
            <w:r w:rsidR="007B27D7" w:rsidRPr="00A863C2">
              <w:rPr>
                <w:rFonts w:eastAsia="Times New Roman" w:cs="Times New Roman"/>
                <w:sz w:val="20"/>
              </w:rPr>
              <w:t>s specialty of psychiatry following referral of the patient to the consultant physician by a referring practitioner for the purposes of:</w:t>
            </w:r>
          </w:p>
          <w:p w14:paraId="0460BC3F" w14:textId="77777777" w:rsidR="00EA26C9" w:rsidRPr="00A863C2" w:rsidRDefault="00EA26C9" w:rsidP="00A1579C">
            <w:pPr>
              <w:pStyle w:val="ListParagraph"/>
              <w:numPr>
                <w:ilvl w:val="0"/>
                <w:numId w:val="22"/>
              </w:numPr>
              <w:spacing w:line="221" w:lineRule="atLeast"/>
              <w:rPr>
                <w:rFonts w:ascii="Times New Roman" w:eastAsia="Times New Roman" w:hAnsi="Times New Roman" w:cs="Times New Roman"/>
                <w:sz w:val="20"/>
              </w:rPr>
            </w:pPr>
            <w:r w:rsidRPr="00A863C2">
              <w:rPr>
                <w:rFonts w:ascii="Times New Roman" w:eastAsia="Times New Roman" w:hAnsi="Times New Roman" w:cs="Times New Roman"/>
                <w:sz w:val="20"/>
              </w:rPr>
              <w:t xml:space="preserve">initial diagnostic evaluation; or </w:t>
            </w:r>
          </w:p>
          <w:p w14:paraId="0E226CB2" w14:textId="3D708AEC" w:rsidR="00EA26C9" w:rsidRPr="00A863C2" w:rsidRDefault="00EA26C9" w:rsidP="00A1579C">
            <w:pPr>
              <w:pStyle w:val="ListParagraph"/>
              <w:numPr>
                <w:ilvl w:val="0"/>
                <w:numId w:val="22"/>
              </w:numPr>
              <w:spacing w:after="0" w:line="221" w:lineRule="atLeast"/>
              <w:rPr>
                <w:rFonts w:ascii="Times New Roman" w:eastAsia="Times New Roman" w:hAnsi="Times New Roman" w:cs="Times New Roman"/>
                <w:sz w:val="20"/>
              </w:rPr>
            </w:pPr>
            <w:r w:rsidRPr="00A863C2">
              <w:rPr>
                <w:rFonts w:ascii="Times New Roman" w:eastAsia="Times New Roman" w:hAnsi="Times New Roman" w:cs="Times New Roman"/>
                <w:sz w:val="20"/>
              </w:rPr>
              <w:t xml:space="preserve">continuing management of the </w:t>
            </w:r>
            <w:proofErr w:type="gramStart"/>
            <w:r w:rsidRPr="00A863C2">
              <w:rPr>
                <w:rFonts w:ascii="Times New Roman" w:eastAsia="Times New Roman" w:hAnsi="Times New Roman" w:cs="Times New Roman"/>
                <w:sz w:val="20"/>
              </w:rPr>
              <w:t>patien</w:t>
            </w:r>
            <w:r w:rsidR="00D07865" w:rsidRPr="00A863C2">
              <w:rPr>
                <w:rFonts w:ascii="Times New Roman" w:eastAsia="Times New Roman" w:hAnsi="Times New Roman" w:cs="Times New Roman"/>
                <w:sz w:val="20"/>
              </w:rPr>
              <w:t>t;</w:t>
            </w:r>
            <w:proofErr w:type="gramEnd"/>
          </w:p>
          <w:p w14:paraId="59B097CB" w14:textId="3C79C0F5" w:rsidR="00EA26C9" w:rsidRPr="00A863C2" w:rsidRDefault="00D07865" w:rsidP="00432495">
            <w:pPr>
              <w:spacing w:after="120" w:line="221" w:lineRule="atLeast"/>
              <w:rPr>
                <w:rFonts w:eastAsia="Times New Roman" w:cs="Times New Roman"/>
                <w:sz w:val="20"/>
              </w:rPr>
            </w:pPr>
            <w:r w:rsidRPr="00A863C2">
              <w:rPr>
                <w:rFonts w:eastAsia="Times New Roman" w:cs="Times New Roman"/>
                <w:sz w:val="20"/>
              </w:rPr>
              <w:t>i</w:t>
            </w:r>
            <w:r w:rsidR="00EA26C9" w:rsidRPr="00A863C2">
              <w:rPr>
                <w:rFonts w:eastAsia="Times New Roman" w:cs="Times New Roman"/>
                <w:sz w:val="20"/>
              </w:rPr>
              <w:t>f that attendance and another attendance to which any of items 341, 343, 345, 347, 349, 91874 to 91878</w:t>
            </w:r>
            <w:r w:rsidR="003B1C44" w:rsidRPr="00A863C2">
              <w:rPr>
                <w:rFonts w:eastAsia="Times New Roman" w:cs="Times New Roman"/>
                <w:sz w:val="20"/>
              </w:rPr>
              <w:t>, 91883 or 91884</w:t>
            </w:r>
            <w:r w:rsidR="00EA26C9" w:rsidRPr="00A863C2">
              <w:rPr>
                <w:rFonts w:eastAsia="Times New Roman" w:cs="Times New Roman"/>
                <w:sz w:val="20"/>
              </w:rPr>
              <w:t xml:space="preserve"> applies have not exceeded 15 in a calendar year for the patient</w:t>
            </w:r>
          </w:p>
        </w:tc>
        <w:tc>
          <w:tcPr>
            <w:tcW w:w="765" w:type="pct"/>
            <w:shd w:val="clear" w:color="auto" w:fill="FFFFFF"/>
            <w:tcMar>
              <w:top w:w="0" w:type="dxa"/>
              <w:left w:w="108" w:type="dxa"/>
              <w:bottom w:w="0" w:type="dxa"/>
              <w:right w:w="108" w:type="dxa"/>
            </w:tcMar>
          </w:tcPr>
          <w:p w14:paraId="66BC2A40" w14:textId="77777777" w:rsidR="00EA26C9" w:rsidRPr="00A863C2" w:rsidRDefault="00EA26C9" w:rsidP="00D86EE2">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48.40</w:t>
            </w:r>
          </w:p>
        </w:tc>
      </w:tr>
      <w:tr w:rsidR="00EA26C9" w:rsidRPr="00A863C2" w14:paraId="79160891" w14:textId="77777777" w:rsidTr="00D86EE2">
        <w:tc>
          <w:tcPr>
            <w:tcW w:w="715" w:type="pct"/>
            <w:shd w:val="clear" w:color="auto" w:fill="FFFFFF"/>
            <w:tcMar>
              <w:top w:w="0" w:type="dxa"/>
              <w:left w:w="108" w:type="dxa"/>
              <w:bottom w:w="0" w:type="dxa"/>
              <w:right w:w="108" w:type="dxa"/>
            </w:tcMar>
          </w:tcPr>
          <w:p w14:paraId="32FE3C8B" w14:textId="77777777" w:rsidR="00EA26C9" w:rsidRPr="00A863C2" w:rsidRDefault="00EA26C9" w:rsidP="00D86EE2">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91883</w:t>
            </w:r>
          </w:p>
        </w:tc>
        <w:tc>
          <w:tcPr>
            <w:tcW w:w="3520" w:type="pct"/>
            <w:shd w:val="clear" w:color="auto" w:fill="FFFFFF"/>
            <w:tcMar>
              <w:top w:w="0" w:type="dxa"/>
              <w:left w:w="108" w:type="dxa"/>
              <w:bottom w:w="0" w:type="dxa"/>
              <w:right w:w="108" w:type="dxa"/>
            </w:tcMar>
          </w:tcPr>
          <w:p w14:paraId="5E6578AF" w14:textId="06E37699" w:rsidR="00EA26C9" w:rsidRPr="00A863C2" w:rsidRDefault="00EA26C9" w:rsidP="00D86EE2">
            <w:pPr>
              <w:spacing w:line="221" w:lineRule="atLeast"/>
              <w:rPr>
                <w:rFonts w:eastAsia="Times New Roman" w:cs="Times New Roman"/>
                <w:sz w:val="20"/>
              </w:rPr>
            </w:pPr>
            <w:r w:rsidRPr="00A863C2">
              <w:rPr>
                <w:rFonts w:eastAsia="Times New Roman" w:cs="Times New Roman"/>
                <w:sz w:val="20"/>
              </w:rPr>
              <w:t>Phone attendance</w:t>
            </w:r>
            <w:r w:rsidR="0065674F" w:rsidRPr="00A863C2">
              <w:rPr>
                <w:rFonts w:eastAsia="Times New Roman" w:cs="Times New Roman"/>
                <w:sz w:val="20"/>
              </w:rPr>
              <w:t xml:space="preserve"> involving an interview, lasting more than 15 minutes but not </w:t>
            </w:r>
            <w:proofErr w:type="gramStart"/>
            <w:r w:rsidR="0065674F" w:rsidRPr="00A863C2">
              <w:rPr>
                <w:rFonts w:eastAsia="Times New Roman" w:cs="Times New Roman"/>
                <w:sz w:val="20"/>
              </w:rPr>
              <w:t>more than 30 minutes,</w:t>
            </w:r>
            <w:proofErr w:type="gramEnd"/>
            <w:r w:rsidR="0065674F" w:rsidRPr="00A863C2">
              <w:rPr>
                <w:rFonts w:eastAsia="Times New Roman" w:cs="Times New Roman"/>
                <w:sz w:val="20"/>
              </w:rPr>
              <w:t xml:space="preserve"> of a person other than the patient when the patient is not in attendance, </w:t>
            </w:r>
            <w:bookmarkStart w:id="14" w:name="_Hlk153873401"/>
            <w:r w:rsidR="0065674F" w:rsidRPr="00A863C2">
              <w:rPr>
                <w:rFonts w:eastAsia="Times New Roman" w:cs="Times New Roman"/>
                <w:sz w:val="20"/>
              </w:rPr>
              <w:t>by a consultant physician in the practice of the consultant physician</w:t>
            </w:r>
            <w:r w:rsidR="00A1579C" w:rsidRPr="00A863C2">
              <w:rPr>
                <w:rFonts w:eastAsia="Times New Roman" w:cs="Times New Roman"/>
                <w:sz w:val="20"/>
              </w:rPr>
              <w:t>’</w:t>
            </w:r>
            <w:r w:rsidR="0065674F" w:rsidRPr="00A863C2">
              <w:rPr>
                <w:rFonts w:eastAsia="Times New Roman" w:cs="Times New Roman"/>
                <w:sz w:val="20"/>
              </w:rPr>
              <w:t>s specialty of psychiatry</w:t>
            </w:r>
            <w:bookmarkEnd w:id="14"/>
            <w:r w:rsidR="0065674F" w:rsidRPr="00A863C2">
              <w:rPr>
                <w:rFonts w:eastAsia="Times New Roman" w:cs="Times New Roman"/>
                <w:sz w:val="20"/>
              </w:rPr>
              <w:t xml:space="preserve"> following referral of the patient to the consultant physician by a referring practitioner for the purposes o</w:t>
            </w:r>
            <w:r w:rsidRPr="00A863C2">
              <w:rPr>
                <w:rFonts w:eastAsia="Times New Roman" w:cs="Times New Roman"/>
                <w:sz w:val="20"/>
              </w:rPr>
              <w:t xml:space="preserve">f: </w:t>
            </w:r>
          </w:p>
          <w:p w14:paraId="75D3C9C2" w14:textId="77777777" w:rsidR="00EA26C9" w:rsidRPr="00A863C2" w:rsidRDefault="00EA26C9" w:rsidP="000A3421">
            <w:pPr>
              <w:pStyle w:val="ListParagraph"/>
              <w:numPr>
                <w:ilvl w:val="0"/>
                <w:numId w:val="23"/>
              </w:numPr>
              <w:spacing w:line="221" w:lineRule="atLeast"/>
              <w:rPr>
                <w:rFonts w:ascii="Times New Roman" w:eastAsia="Times New Roman" w:hAnsi="Times New Roman" w:cs="Times New Roman"/>
                <w:sz w:val="20"/>
              </w:rPr>
            </w:pPr>
            <w:r w:rsidRPr="00A863C2">
              <w:rPr>
                <w:rFonts w:ascii="Times New Roman" w:eastAsia="Times New Roman" w:hAnsi="Times New Roman" w:cs="Times New Roman"/>
                <w:sz w:val="20"/>
              </w:rPr>
              <w:t xml:space="preserve">initial diagnostic evaluation; or </w:t>
            </w:r>
          </w:p>
          <w:p w14:paraId="58EFFECD" w14:textId="1D900C12" w:rsidR="00EA26C9" w:rsidRPr="00A863C2" w:rsidRDefault="00EA26C9" w:rsidP="000A3421">
            <w:pPr>
              <w:pStyle w:val="ListParagraph"/>
              <w:numPr>
                <w:ilvl w:val="0"/>
                <w:numId w:val="23"/>
              </w:numPr>
              <w:spacing w:after="0" w:line="221" w:lineRule="atLeast"/>
              <w:rPr>
                <w:rFonts w:ascii="Times New Roman" w:eastAsia="Times New Roman" w:hAnsi="Times New Roman" w:cs="Times New Roman"/>
                <w:sz w:val="20"/>
              </w:rPr>
            </w:pPr>
            <w:r w:rsidRPr="00A863C2">
              <w:rPr>
                <w:rFonts w:ascii="Times New Roman" w:eastAsia="Times New Roman" w:hAnsi="Times New Roman" w:cs="Times New Roman"/>
                <w:sz w:val="20"/>
              </w:rPr>
              <w:t xml:space="preserve">continuing management of the </w:t>
            </w:r>
            <w:proofErr w:type="gramStart"/>
            <w:r w:rsidRPr="00A863C2">
              <w:rPr>
                <w:rFonts w:ascii="Times New Roman" w:eastAsia="Times New Roman" w:hAnsi="Times New Roman" w:cs="Times New Roman"/>
                <w:sz w:val="20"/>
              </w:rPr>
              <w:t>patient</w:t>
            </w:r>
            <w:r w:rsidR="00D07865" w:rsidRPr="00A863C2">
              <w:rPr>
                <w:rFonts w:ascii="Times New Roman" w:eastAsia="Times New Roman" w:hAnsi="Times New Roman" w:cs="Times New Roman"/>
                <w:sz w:val="20"/>
              </w:rPr>
              <w:t>;</w:t>
            </w:r>
            <w:proofErr w:type="gramEnd"/>
          </w:p>
          <w:p w14:paraId="0A0EEAE6" w14:textId="41CEF7B2" w:rsidR="00EA26C9" w:rsidRPr="00A863C2" w:rsidRDefault="00D07865" w:rsidP="00432495">
            <w:pPr>
              <w:spacing w:after="120" w:line="221" w:lineRule="atLeast"/>
              <w:rPr>
                <w:rFonts w:eastAsia="Times New Roman" w:cs="Times New Roman"/>
                <w:sz w:val="20"/>
              </w:rPr>
            </w:pPr>
            <w:r w:rsidRPr="00A863C2">
              <w:rPr>
                <w:rFonts w:eastAsia="Times New Roman" w:cs="Times New Roman"/>
                <w:sz w:val="20"/>
              </w:rPr>
              <w:t>i</w:t>
            </w:r>
            <w:r w:rsidR="00EA26C9" w:rsidRPr="00A863C2">
              <w:rPr>
                <w:rFonts w:eastAsia="Times New Roman" w:cs="Times New Roman"/>
                <w:sz w:val="20"/>
              </w:rPr>
              <w:t>f that attendance and another attendance to which any of items 341, 343, 345, 347, 349, 91874 to 91878</w:t>
            </w:r>
            <w:r w:rsidR="003B1C44" w:rsidRPr="00A863C2">
              <w:rPr>
                <w:rFonts w:eastAsia="Times New Roman" w:cs="Times New Roman"/>
                <w:sz w:val="20"/>
              </w:rPr>
              <w:t>, 91882 or 91884</w:t>
            </w:r>
            <w:r w:rsidR="00EA26C9" w:rsidRPr="00A863C2">
              <w:rPr>
                <w:rFonts w:eastAsia="Times New Roman" w:cs="Times New Roman"/>
                <w:sz w:val="20"/>
              </w:rPr>
              <w:t xml:space="preserve"> applies have not exceeded 15 in a calendar year for the patient</w:t>
            </w:r>
          </w:p>
        </w:tc>
        <w:tc>
          <w:tcPr>
            <w:tcW w:w="765" w:type="pct"/>
            <w:shd w:val="clear" w:color="auto" w:fill="FFFFFF"/>
            <w:tcMar>
              <w:top w:w="0" w:type="dxa"/>
              <w:left w:w="108" w:type="dxa"/>
              <w:bottom w:w="0" w:type="dxa"/>
              <w:right w:w="108" w:type="dxa"/>
            </w:tcMar>
          </w:tcPr>
          <w:p w14:paraId="795626A9" w14:textId="77777777" w:rsidR="00EA26C9" w:rsidRPr="00A863C2" w:rsidRDefault="00EA26C9" w:rsidP="00D86EE2">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96.60</w:t>
            </w:r>
          </w:p>
        </w:tc>
      </w:tr>
      <w:tr w:rsidR="00EA26C9" w:rsidRPr="00A863C2" w14:paraId="2DECF6BE" w14:textId="77777777" w:rsidTr="00D86EE2">
        <w:tc>
          <w:tcPr>
            <w:tcW w:w="715" w:type="pct"/>
            <w:shd w:val="clear" w:color="auto" w:fill="FFFFFF"/>
            <w:tcMar>
              <w:top w:w="0" w:type="dxa"/>
              <w:left w:w="108" w:type="dxa"/>
              <w:bottom w:w="0" w:type="dxa"/>
              <w:right w:w="108" w:type="dxa"/>
            </w:tcMar>
          </w:tcPr>
          <w:p w14:paraId="5D53A786" w14:textId="77777777" w:rsidR="00EA26C9" w:rsidRPr="00A863C2" w:rsidRDefault="00EA26C9" w:rsidP="00D86EE2">
            <w:pPr>
              <w:spacing w:line="240" w:lineRule="atLeast"/>
              <w:rPr>
                <w:rFonts w:eastAsia="Times New Roman" w:cs="Times New Roman"/>
                <w:color w:val="000000"/>
                <w:sz w:val="20"/>
                <w:lang w:eastAsia="en-AU"/>
              </w:rPr>
            </w:pPr>
            <w:r w:rsidRPr="00A863C2">
              <w:rPr>
                <w:rFonts w:eastAsia="Times New Roman" w:cs="Times New Roman"/>
                <w:color w:val="000000"/>
                <w:sz w:val="20"/>
                <w:lang w:eastAsia="en-AU"/>
              </w:rPr>
              <w:t>91884</w:t>
            </w:r>
          </w:p>
        </w:tc>
        <w:tc>
          <w:tcPr>
            <w:tcW w:w="3520" w:type="pct"/>
            <w:shd w:val="clear" w:color="auto" w:fill="FFFFFF"/>
            <w:tcMar>
              <w:top w:w="0" w:type="dxa"/>
              <w:left w:w="108" w:type="dxa"/>
              <w:bottom w:w="0" w:type="dxa"/>
              <w:right w:w="108" w:type="dxa"/>
            </w:tcMar>
          </w:tcPr>
          <w:p w14:paraId="6D4E9B77" w14:textId="6E298AF5" w:rsidR="00EA26C9" w:rsidRPr="00A863C2" w:rsidRDefault="00EA26C9" w:rsidP="00D86EE2">
            <w:pPr>
              <w:spacing w:line="221" w:lineRule="atLeast"/>
              <w:rPr>
                <w:rFonts w:eastAsia="Times New Roman" w:cs="Times New Roman"/>
                <w:sz w:val="20"/>
              </w:rPr>
            </w:pPr>
            <w:r w:rsidRPr="00A863C2">
              <w:rPr>
                <w:rFonts w:eastAsia="Times New Roman" w:cs="Times New Roman"/>
                <w:sz w:val="20"/>
              </w:rPr>
              <w:t xml:space="preserve">Phone attendance </w:t>
            </w:r>
            <w:r w:rsidR="002B3004" w:rsidRPr="00A863C2">
              <w:rPr>
                <w:rFonts w:eastAsia="Times New Roman" w:cs="Times New Roman"/>
                <w:sz w:val="20"/>
              </w:rPr>
              <w:t xml:space="preserve">involving an interview, lasting more than 30 minutes but not </w:t>
            </w:r>
            <w:proofErr w:type="gramStart"/>
            <w:r w:rsidR="002B3004" w:rsidRPr="00A863C2">
              <w:rPr>
                <w:rFonts w:eastAsia="Times New Roman" w:cs="Times New Roman"/>
                <w:sz w:val="20"/>
              </w:rPr>
              <w:t>more than 45 minutes,</w:t>
            </w:r>
            <w:proofErr w:type="gramEnd"/>
            <w:r w:rsidR="002B3004" w:rsidRPr="00A863C2">
              <w:rPr>
                <w:rFonts w:eastAsia="Times New Roman" w:cs="Times New Roman"/>
                <w:sz w:val="20"/>
              </w:rPr>
              <w:t xml:space="preserve"> of a person other than the patient when the patient is not in attendance, by a consultant physician in the practice of the consultant physician</w:t>
            </w:r>
            <w:r w:rsidR="00A1579C" w:rsidRPr="00A863C2">
              <w:rPr>
                <w:rFonts w:eastAsia="Times New Roman" w:cs="Times New Roman"/>
                <w:sz w:val="20"/>
              </w:rPr>
              <w:t>’</w:t>
            </w:r>
            <w:r w:rsidR="002B3004" w:rsidRPr="00A863C2">
              <w:rPr>
                <w:rFonts w:eastAsia="Times New Roman" w:cs="Times New Roman"/>
                <w:sz w:val="20"/>
              </w:rPr>
              <w:t>s specialty of psychiatry following referral of the patient to the consultant physician by a referring practitioner for the purposes of</w:t>
            </w:r>
            <w:r w:rsidRPr="00A863C2">
              <w:rPr>
                <w:rFonts w:eastAsia="Times New Roman" w:cs="Times New Roman"/>
                <w:sz w:val="20"/>
              </w:rPr>
              <w:t xml:space="preserve">: </w:t>
            </w:r>
          </w:p>
          <w:p w14:paraId="7BAF119F" w14:textId="77777777" w:rsidR="00EA26C9" w:rsidRPr="00A863C2" w:rsidRDefault="00EA26C9" w:rsidP="00A1579C">
            <w:pPr>
              <w:pStyle w:val="ListParagraph"/>
              <w:numPr>
                <w:ilvl w:val="0"/>
                <w:numId w:val="24"/>
              </w:numPr>
              <w:spacing w:line="221" w:lineRule="atLeast"/>
              <w:rPr>
                <w:rFonts w:ascii="Times New Roman" w:eastAsia="Times New Roman" w:hAnsi="Times New Roman" w:cs="Times New Roman"/>
                <w:sz w:val="20"/>
              </w:rPr>
            </w:pPr>
            <w:r w:rsidRPr="00A863C2">
              <w:rPr>
                <w:rFonts w:ascii="Times New Roman" w:eastAsia="Times New Roman" w:hAnsi="Times New Roman" w:cs="Times New Roman"/>
                <w:sz w:val="20"/>
              </w:rPr>
              <w:t xml:space="preserve">initial diagnostic evaluation; or </w:t>
            </w:r>
          </w:p>
          <w:p w14:paraId="06440876" w14:textId="780AE631" w:rsidR="00EA26C9" w:rsidRPr="00A863C2" w:rsidRDefault="00EA26C9" w:rsidP="00A1579C">
            <w:pPr>
              <w:pStyle w:val="ListParagraph"/>
              <w:numPr>
                <w:ilvl w:val="0"/>
                <w:numId w:val="24"/>
              </w:numPr>
              <w:spacing w:after="0" w:line="221" w:lineRule="atLeast"/>
              <w:rPr>
                <w:rFonts w:ascii="Times New Roman" w:eastAsia="Times New Roman" w:hAnsi="Times New Roman" w:cs="Times New Roman"/>
                <w:sz w:val="20"/>
              </w:rPr>
            </w:pPr>
            <w:r w:rsidRPr="00A863C2">
              <w:rPr>
                <w:rFonts w:ascii="Times New Roman" w:eastAsia="Times New Roman" w:hAnsi="Times New Roman" w:cs="Times New Roman"/>
                <w:sz w:val="20"/>
              </w:rPr>
              <w:t xml:space="preserve">continuing management of the </w:t>
            </w:r>
            <w:proofErr w:type="gramStart"/>
            <w:r w:rsidRPr="00A863C2">
              <w:rPr>
                <w:rFonts w:ascii="Times New Roman" w:eastAsia="Times New Roman" w:hAnsi="Times New Roman" w:cs="Times New Roman"/>
                <w:sz w:val="20"/>
              </w:rPr>
              <w:t>patient</w:t>
            </w:r>
            <w:r w:rsidR="00D07865" w:rsidRPr="00A863C2">
              <w:rPr>
                <w:rFonts w:ascii="Times New Roman" w:eastAsia="Times New Roman" w:hAnsi="Times New Roman" w:cs="Times New Roman"/>
                <w:sz w:val="20"/>
              </w:rPr>
              <w:t>;</w:t>
            </w:r>
            <w:proofErr w:type="gramEnd"/>
          </w:p>
          <w:p w14:paraId="7B05488B" w14:textId="2AFE181B" w:rsidR="00EA26C9" w:rsidRPr="00A863C2" w:rsidRDefault="00D07865" w:rsidP="00432495">
            <w:pPr>
              <w:spacing w:after="120" w:line="221" w:lineRule="atLeast"/>
              <w:rPr>
                <w:rFonts w:eastAsia="Times New Roman" w:cs="Times New Roman"/>
                <w:sz w:val="20"/>
              </w:rPr>
            </w:pPr>
            <w:r w:rsidRPr="00A863C2">
              <w:rPr>
                <w:rFonts w:eastAsia="Times New Roman" w:cs="Times New Roman"/>
                <w:sz w:val="20"/>
              </w:rPr>
              <w:t>i</w:t>
            </w:r>
            <w:r w:rsidR="00EA26C9" w:rsidRPr="00A863C2">
              <w:rPr>
                <w:rFonts w:eastAsia="Times New Roman" w:cs="Times New Roman"/>
                <w:sz w:val="20"/>
              </w:rPr>
              <w:t>f that attendance and another attendance to which any of items 341, 343, 345, 347, 349, 91874 to 91878</w:t>
            </w:r>
            <w:r w:rsidR="003B1C44" w:rsidRPr="00A863C2">
              <w:rPr>
                <w:rFonts w:eastAsia="Times New Roman" w:cs="Times New Roman"/>
                <w:sz w:val="20"/>
              </w:rPr>
              <w:t>, 91882 or 91883</w:t>
            </w:r>
            <w:r w:rsidR="00EA26C9" w:rsidRPr="00A863C2">
              <w:rPr>
                <w:rFonts w:eastAsia="Times New Roman" w:cs="Times New Roman"/>
                <w:sz w:val="20"/>
              </w:rPr>
              <w:t xml:space="preserve"> applies have not exceeded 15 in a calendar year for the patient</w:t>
            </w:r>
          </w:p>
        </w:tc>
        <w:tc>
          <w:tcPr>
            <w:tcW w:w="765" w:type="pct"/>
            <w:shd w:val="clear" w:color="auto" w:fill="FFFFFF"/>
            <w:tcMar>
              <w:top w:w="0" w:type="dxa"/>
              <w:left w:w="108" w:type="dxa"/>
              <w:bottom w:w="0" w:type="dxa"/>
              <w:right w:w="108" w:type="dxa"/>
            </w:tcMar>
          </w:tcPr>
          <w:p w14:paraId="14BCE6BF" w14:textId="77777777" w:rsidR="00EA26C9" w:rsidRPr="00A863C2" w:rsidRDefault="00EA26C9" w:rsidP="00D86EE2">
            <w:pPr>
              <w:spacing w:line="240" w:lineRule="atLeast"/>
              <w:jc w:val="right"/>
              <w:rPr>
                <w:rFonts w:eastAsia="Times New Roman" w:cs="Times New Roman"/>
                <w:color w:val="000000"/>
                <w:sz w:val="20"/>
                <w:lang w:eastAsia="en-AU"/>
              </w:rPr>
            </w:pPr>
            <w:r w:rsidRPr="00A863C2">
              <w:rPr>
                <w:rFonts w:eastAsia="Times New Roman" w:cs="Times New Roman"/>
                <w:color w:val="000000"/>
                <w:sz w:val="20"/>
                <w:lang w:eastAsia="en-AU"/>
              </w:rPr>
              <w:t>148.70</w:t>
            </w:r>
          </w:p>
        </w:tc>
      </w:tr>
    </w:tbl>
    <w:p w14:paraId="76C2AA31" w14:textId="2925854D" w:rsidR="00EA26C9" w:rsidRPr="00A863C2" w:rsidRDefault="00EA26C9" w:rsidP="00EA26C9">
      <w:pPr>
        <w:pStyle w:val="ItemHead"/>
      </w:pPr>
      <w:proofErr w:type="gramStart"/>
      <w:r w:rsidRPr="00A863C2">
        <w:t>1</w:t>
      </w:r>
      <w:r w:rsidR="00B10583" w:rsidRPr="00A863C2">
        <w:t>3</w:t>
      </w:r>
      <w:r w:rsidRPr="00A863C2">
        <w:t xml:space="preserve">  Schedule</w:t>
      </w:r>
      <w:proofErr w:type="gramEnd"/>
      <w:r w:rsidRPr="00A863C2">
        <w:t xml:space="preserve"> 2 (cell at item 92435, column 2)</w:t>
      </w:r>
    </w:p>
    <w:p w14:paraId="25080B78" w14:textId="64162FE4" w:rsidR="00EA26C9" w:rsidRPr="00A863C2" w:rsidRDefault="00E211B4" w:rsidP="00EA26C9">
      <w:pPr>
        <w:pStyle w:val="Item"/>
        <w:spacing w:after="120"/>
      </w:pPr>
      <w:r w:rsidRPr="00A863C2">
        <w:t>Repeal the cell,</w:t>
      </w:r>
      <w:r w:rsidR="00EA26C9" w:rsidRPr="00A863C2">
        <w:t xml:space="preserve"> substitute:  </w:t>
      </w:r>
    </w:p>
    <w:tbl>
      <w:tblPr>
        <w:tblW w:w="5000" w:type="pct"/>
        <w:shd w:val="clear" w:color="auto" w:fill="FFFFFF"/>
        <w:tblCellMar>
          <w:left w:w="0" w:type="dxa"/>
          <w:right w:w="0" w:type="dxa"/>
        </w:tblCellMar>
        <w:tblLook w:val="04A0" w:firstRow="1" w:lastRow="0" w:firstColumn="1" w:lastColumn="0" w:noHBand="0" w:noVBand="1"/>
      </w:tblPr>
      <w:tblGrid>
        <w:gridCol w:w="1176"/>
        <w:gridCol w:w="5794"/>
        <w:gridCol w:w="1343"/>
      </w:tblGrid>
      <w:tr w:rsidR="00EA26C9" w:rsidRPr="00A863C2" w14:paraId="229976BE" w14:textId="77777777" w:rsidTr="00D86EE2">
        <w:tc>
          <w:tcPr>
            <w:tcW w:w="700" w:type="pct"/>
            <w:shd w:val="clear" w:color="auto" w:fill="FFFFFF"/>
            <w:tcMar>
              <w:top w:w="0" w:type="dxa"/>
              <w:left w:w="107" w:type="dxa"/>
              <w:bottom w:w="0" w:type="dxa"/>
              <w:right w:w="107" w:type="dxa"/>
            </w:tcMar>
            <w:hideMark/>
          </w:tcPr>
          <w:p w14:paraId="40ACC333" w14:textId="77777777" w:rsidR="00EA26C9" w:rsidRPr="00A863C2" w:rsidRDefault="00EA26C9" w:rsidP="00D86EE2">
            <w:pPr>
              <w:pStyle w:val="tabletext0"/>
              <w:spacing w:before="60" w:beforeAutospacing="0" w:after="0" w:afterAutospacing="0" w:line="240" w:lineRule="atLeast"/>
              <w:rPr>
                <w:color w:val="000000"/>
                <w:sz w:val="20"/>
                <w:szCs w:val="20"/>
              </w:rPr>
            </w:pPr>
          </w:p>
          <w:p w14:paraId="3EC955BE" w14:textId="77777777" w:rsidR="00EA26C9" w:rsidRPr="00A863C2" w:rsidRDefault="00EA26C9" w:rsidP="00D86EE2">
            <w:pPr>
              <w:pStyle w:val="tabletext0"/>
              <w:spacing w:before="60" w:beforeAutospacing="0" w:after="0" w:afterAutospacing="0" w:line="240" w:lineRule="atLeast"/>
              <w:rPr>
                <w:color w:val="000000"/>
                <w:sz w:val="20"/>
                <w:szCs w:val="20"/>
              </w:rPr>
            </w:pPr>
            <w:r w:rsidRPr="00A863C2">
              <w:rPr>
                <w:color w:val="000000"/>
                <w:sz w:val="20"/>
                <w:szCs w:val="20"/>
              </w:rPr>
              <w:t> </w:t>
            </w:r>
          </w:p>
        </w:tc>
        <w:tc>
          <w:tcPr>
            <w:tcW w:w="3450" w:type="pct"/>
            <w:shd w:val="clear" w:color="auto" w:fill="FFFFFF"/>
            <w:tcMar>
              <w:top w:w="0" w:type="dxa"/>
              <w:left w:w="107" w:type="dxa"/>
              <w:bottom w:w="0" w:type="dxa"/>
              <w:right w:w="107" w:type="dxa"/>
            </w:tcMar>
            <w:hideMark/>
          </w:tcPr>
          <w:p w14:paraId="4CEB282C" w14:textId="0868A4C4" w:rsidR="00EA26C9" w:rsidRPr="00A863C2" w:rsidRDefault="00EA26C9" w:rsidP="00D86EE2">
            <w:pPr>
              <w:pStyle w:val="tabletext0"/>
              <w:shd w:val="clear" w:color="auto" w:fill="FFFFFF"/>
              <w:spacing w:before="60" w:beforeAutospacing="0" w:after="0" w:afterAutospacing="0" w:line="240" w:lineRule="atLeast"/>
              <w:rPr>
                <w:color w:val="000000"/>
                <w:sz w:val="20"/>
                <w:szCs w:val="20"/>
              </w:rPr>
            </w:pPr>
            <w:r w:rsidRPr="00A863C2">
              <w:rPr>
                <w:color w:val="000000"/>
                <w:sz w:val="20"/>
                <w:szCs w:val="20"/>
              </w:rPr>
              <w:t xml:space="preserve">Telehealth attendance </w:t>
            </w:r>
            <w:r w:rsidR="00902FF5" w:rsidRPr="00A863C2">
              <w:rPr>
                <w:color w:val="000000"/>
                <w:sz w:val="20"/>
                <w:szCs w:val="20"/>
              </w:rPr>
              <w:t xml:space="preserve">lasting more </w:t>
            </w:r>
            <w:r w:rsidRPr="00A863C2">
              <w:rPr>
                <w:color w:val="000000"/>
                <w:sz w:val="20"/>
                <w:szCs w:val="20"/>
              </w:rPr>
              <w:t>than 45 minutes by a consultant physician in the practice of the consultant physician’s specialty of psychiatry, if:</w:t>
            </w:r>
          </w:p>
          <w:p w14:paraId="74710B21" w14:textId="1CCD8BFB" w:rsidR="00EA26C9" w:rsidRPr="00A863C2" w:rsidRDefault="00EA26C9">
            <w:pPr>
              <w:pStyle w:val="tablea0"/>
              <w:numPr>
                <w:ilvl w:val="0"/>
                <w:numId w:val="14"/>
              </w:numPr>
              <w:shd w:val="clear" w:color="auto" w:fill="FFFFFF"/>
              <w:spacing w:before="60" w:beforeAutospacing="0" w:after="0" w:afterAutospacing="0"/>
              <w:rPr>
                <w:color w:val="000000"/>
                <w:sz w:val="20"/>
                <w:szCs w:val="20"/>
              </w:rPr>
            </w:pPr>
            <w:r w:rsidRPr="00A863C2">
              <w:rPr>
                <w:color w:val="000000"/>
                <w:sz w:val="20"/>
                <w:szCs w:val="20"/>
              </w:rPr>
              <w:t>the attendance follows referral of the patient to the consultant</w:t>
            </w:r>
            <w:r w:rsidR="00BA4FE5" w:rsidRPr="00A863C2">
              <w:rPr>
                <w:color w:val="000000"/>
                <w:sz w:val="20"/>
                <w:szCs w:val="20"/>
              </w:rPr>
              <w:t xml:space="preserve">, by a medical practitioner in general practice (including a general practitioner, but not a specialist or consultant physician) </w:t>
            </w:r>
            <w:r w:rsidRPr="00A863C2">
              <w:rPr>
                <w:color w:val="000000"/>
                <w:sz w:val="20"/>
                <w:szCs w:val="20"/>
              </w:rPr>
              <w:t>or a participating nurse practitioner</w:t>
            </w:r>
            <w:r w:rsidR="00BA4FE5" w:rsidRPr="00A863C2">
              <w:rPr>
                <w:color w:val="000000"/>
                <w:sz w:val="20"/>
                <w:szCs w:val="20"/>
              </w:rPr>
              <w:t xml:space="preserve"> for an assessment or management</w:t>
            </w:r>
            <w:r w:rsidRPr="00A863C2">
              <w:rPr>
                <w:color w:val="000000"/>
                <w:sz w:val="20"/>
                <w:szCs w:val="20"/>
              </w:rPr>
              <w:t>; and</w:t>
            </w:r>
          </w:p>
          <w:p w14:paraId="2FC4E774" w14:textId="77777777" w:rsidR="00EA26C9" w:rsidRPr="00A863C2" w:rsidRDefault="00EA26C9">
            <w:pPr>
              <w:pStyle w:val="tablea0"/>
              <w:numPr>
                <w:ilvl w:val="0"/>
                <w:numId w:val="14"/>
              </w:numPr>
              <w:shd w:val="clear" w:color="auto" w:fill="FFFFFF"/>
              <w:spacing w:before="60" w:beforeAutospacing="0" w:after="0" w:afterAutospacing="0"/>
              <w:rPr>
                <w:color w:val="000000"/>
                <w:sz w:val="20"/>
                <w:szCs w:val="20"/>
              </w:rPr>
            </w:pPr>
            <w:r w:rsidRPr="00A863C2">
              <w:rPr>
                <w:color w:val="000000"/>
                <w:sz w:val="20"/>
                <w:szCs w:val="20"/>
              </w:rPr>
              <w:t>during the attendance, the consultant:</w:t>
            </w:r>
          </w:p>
          <w:p w14:paraId="2FF0075C" w14:textId="186C3553" w:rsidR="00EA26C9" w:rsidRPr="00A863C2" w:rsidRDefault="00A506A3">
            <w:pPr>
              <w:pStyle w:val="tablei0"/>
              <w:numPr>
                <w:ilvl w:val="0"/>
                <w:numId w:val="15"/>
              </w:numPr>
              <w:shd w:val="clear" w:color="auto" w:fill="FFFFFF"/>
              <w:spacing w:before="0" w:beforeAutospacing="0" w:after="0" w:afterAutospacing="0" w:line="240" w:lineRule="atLeast"/>
              <w:rPr>
                <w:sz w:val="20"/>
                <w:szCs w:val="20"/>
              </w:rPr>
            </w:pPr>
            <w:r w:rsidRPr="00A863C2">
              <w:rPr>
                <w:sz w:val="20"/>
                <w:szCs w:val="20"/>
              </w:rPr>
              <w:t>if it is clinically appropriate to do so—</w:t>
            </w:r>
            <w:r w:rsidR="00EA26C9" w:rsidRPr="00A863C2">
              <w:rPr>
                <w:sz w:val="20"/>
                <w:szCs w:val="20"/>
              </w:rPr>
              <w:t>uses a</w:t>
            </w:r>
            <w:r w:rsidRPr="00A863C2">
              <w:rPr>
                <w:sz w:val="20"/>
                <w:szCs w:val="20"/>
              </w:rPr>
              <w:t xml:space="preserve">n appropriate </w:t>
            </w:r>
            <w:r w:rsidR="00EA26C9" w:rsidRPr="00A863C2">
              <w:rPr>
                <w:sz w:val="20"/>
                <w:szCs w:val="20"/>
              </w:rPr>
              <w:t>outcome tool; and</w:t>
            </w:r>
          </w:p>
          <w:p w14:paraId="2657336F" w14:textId="77777777" w:rsidR="00EA26C9" w:rsidRPr="00A863C2" w:rsidRDefault="00EA26C9">
            <w:pPr>
              <w:pStyle w:val="tablei0"/>
              <w:numPr>
                <w:ilvl w:val="0"/>
                <w:numId w:val="15"/>
              </w:numPr>
              <w:shd w:val="clear" w:color="auto" w:fill="FFFFFF"/>
              <w:spacing w:before="0" w:beforeAutospacing="0" w:after="0" w:afterAutospacing="0" w:line="240" w:lineRule="atLeast"/>
              <w:rPr>
                <w:sz w:val="20"/>
                <w:szCs w:val="20"/>
              </w:rPr>
            </w:pPr>
            <w:r w:rsidRPr="00A863C2">
              <w:rPr>
                <w:sz w:val="20"/>
                <w:szCs w:val="20"/>
              </w:rPr>
              <w:t>carries out a mental state examination; and</w:t>
            </w:r>
          </w:p>
          <w:p w14:paraId="7A5CE916" w14:textId="77777777" w:rsidR="00EA26C9" w:rsidRPr="00A863C2" w:rsidRDefault="00EA26C9">
            <w:pPr>
              <w:pStyle w:val="tablei0"/>
              <w:numPr>
                <w:ilvl w:val="0"/>
                <w:numId w:val="15"/>
              </w:numPr>
              <w:shd w:val="clear" w:color="auto" w:fill="FFFFFF"/>
              <w:spacing w:before="0" w:beforeAutospacing="0" w:after="0" w:afterAutospacing="0" w:line="240" w:lineRule="atLeast"/>
              <w:rPr>
                <w:sz w:val="20"/>
                <w:szCs w:val="20"/>
              </w:rPr>
            </w:pPr>
            <w:r w:rsidRPr="00A863C2">
              <w:rPr>
                <w:sz w:val="20"/>
                <w:szCs w:val="20"/>
              </w:rPr>
              <w:t>undertakes a comprehensive diagnostic assessment; and</w:t>
            </w:r>
          </w:p>
          <w:p w14:paraId="5966E0EF" w14:textId="05647D7E" w:rsidR="00EA26C9" w:rsidRPr="00A863C2" w:rsidRDefault="00EA26C9">
            <w:pPr>
              <w:pStyle w:val="tablea0"/>
              <w:numPr>
                <w:ilvl w:val="0"/>
                <w:numId w:val="14"/>
              </w:numPr>
              <w:shd w:val="clear" w:color="auto" w:fill="FFFFFF"/>
              <w:spacing w:before="60" w:beforeAutospacing="0" w:after="0" w:afterAutospacing="0"/>
              <w:rPr>
                <w:color w:val="000000"/>
                <w:sz w:val="20"/>
                <w:szCs w:val="20"/>
              </w:rPr>
            </w:pPr>
            <w:r w:rsidRPr="00A863C2">
              <w:rPr>
                <w:color w:val="000000"/>
                <w:sz w:val="20"/>
                <w:szCs w:val="20"/>
              </w:rPr>
              <w:t>the consultant decides that it is clinically appropriate for the patient to be managed by the referring practitioner without ongoing management by the</w:t>
            </w:r>
            <w:r w:rsidR="00445269" w:rsidRPr="00A863C2">
              <w:rPr>
                <w:color w:val="000000"/>
                <w:sz w:val="20"/>
                <w:szCs w:val="20"/>
              </w:rPr>
              <w:t xml:space="preserve"> consultant a</w:t>
            </w:r>
            <w:r w:rsidRPr="00A863C2">
              <w:rPr>
                <w:color w:val="000000"/>
                <w:sz w:val="20"/>
                <w:szCs w:val="20"/>
              </w:rPr>
              <w:t>nd</w:t>
            </w:r>
          </w:p>
          <w:p w14:paraId="5AD0190C" w14:textId="1EBB7509" w:rsidR="00EA26C9" w:rsidRPr="00A863C2" w:rsidRDefault="00EA26C9">
            <w:pPr>
              <w:pStyle w:val="tablea0"/>
              <w:numPr>
                <w:ilvl w:val="0"/>
                <w:numId w:val="14"/>
              </w:numPr>
              <w:shd w:val="clear" w:color="auto" w:fill="FFFFFF"/>
              <w:spacing w:before="60" w:beforeAutospacing="0" w:after="0" w:afterAutospacing="0"/>
              <w:rPr>
                <w:color w:val="000000"/>
                <w:sz w:val="20"/>
                <w:szCs w:val="20"/>
              </w:rPr>
            </w:pPr>
            <w:r w:rsidRPr="00A863C2">
              <w:rPr>
                <w:color w:val="000000"/>
                <w:sz w:val="20"/>
                <w:szCs w:val="20"/>
              </w:rPr>
              <w:t xml:space="preserve">within 2 weeks after the attendance, the consultant </w:t>
            </w:r>
            <w:r w:rsidR="00A506A3" w:rsidRPr="00A863C2">
              <w:rPr>
                <w:color w:val="000000"/>
                <w:sz w:val="20"/>
                <w:szCs w:val="20"/>
              </w:rPr>
              <w:t>prepares and gives the referring practitioner a written report</w:t>
            </w:r>
            <w:r w:rsidRPr="00A863C2">
              <w:rPr>
                <w:color w:val="000000"/>
                <w:sz w:val="20"/>
                <w:szCs w:val="20"/>
              </w:rPr>
              <w:t>, which includes:</w:t>
            </w:r>
          </w:p>
          <w:p w14:paraId="7C5DD499" w14:textId="26AE97D4" w:rsidR="00EA26C9" w:rsidRPr="00A863C2" w:rsidRDefault="00EA26C9">
            <w:pPr>
              <w:pStyle w:val="tablei0"/>
              <w:numPr>
                <w:ilvl w:val="0"/>
                <w:numId w:val="16"/>
              </w:numPr>
              <w:shd w:val="clear" w:color="auto" w:fill="FFFFFF"/>
              <w:spacing w:before="0" w:beforeAutospacing="0" w:after="0" w:afterAutospacing="0" w:line="240" w:lineRule="atLeast"/>
              <w:rPr>
                <w:color w:val="000000"/>
                <w:sz w:val="20"/>
                <w:szCs w:val="20"/>
              </w:rPr>
            </w:pPr>
            <w:r w:rsidRPr="00A863C2">
              <w:rPr>
                <w:color w:val="000000"/>
                <w:sz w:val="20"/>
                <w:szCs w:val="20"/>
              </w:rPr>
              <w:t>a comprehensive</w:t>
            </w:r>
            <w:r w:rsidR="00A506A3" w:rsidRPr="00A863C2">
              <w:rPr>
                <w:color w:val="000000"/>
                <w:sz w:val="20"/>
                <w:szCs w:val="20"/>
              </w:rPr>
              <w:t xml:space="preserve"> diagnostic</w:t>
            </w:r>
            <w:r w:rsidRPr="00A863C2">
              <w:rPr>
                <w:color w:val="000000"/>
                <w:sz w:val="20"/>
                <w:szCs w:val="20"/>
              </w:rPr>
              <w:t xml:space="preserve"> assessment of the patient; and</w:t>
            </w:r>
          </w:p>
          <w:p w14:paraId="0B5BD035" w14:textId="0FCD5262" w:rsidR="00EA26C9" w:rsidRPr="00A863C2" w:rsidRDefault="00EA26C9">
            <w:pPr>
              <w:pStyle w:val="tablei0"/>
              <w:numPr>
                <w:ilvl w:val="0"/>
                <w:numId w:val="16"/>
              </w:numPr>
              <w:shd w:val="clear" w:color="auto" w:fill="FFFFFF"/>
              <w:spacing w:before="0" w:beforeAutospacing="0" w:after="0" w:afterAutospacing="0" w:line="240" w:lineRule="atLeast"/>
              <w:rPr>
                <w:color w:val="000000"/>
                <w:sz w:val="20"/>
                <w:szCs w:val="20"/>
              </w:rPr>
            </w:pPr>
            <w:r w:rsidRPr="00A863C2">
              <w:rPr>
                <w:color w:val="000000"/>
                <w:sz w:val="20"/>
                <w:szCs w:val="20"/>
              </w:rPr>
              <w:t xml:space="preserve">a management plan </w:t>
            </w:r>
            <w:r w:rsidR="00A506A3" w:rsidRPr="00A863C2">
              <w:rPr>
                <w:color w:val="000000"/>
                <w:sz w:val="20"/>
                <w:szCs w:val="20"/>
              </w:rPr>
              <w:t xml:space="preserve">for the patient </w:t>
            </w:r>
            <w:r w:rsidRPr="00A863C2">
              <w:rPr>
                <w:color w:val="000000"/>
                <w:sz w:val="20"/>
                <w:szCs w:val="20"/>
              </w:rPr>
              <w:t>for the next 12 months for the patient that</w:t>
            </w:r>
            <w:r w:rsidR="00A506A3" w:rsidRPr="00A863C2">
              <w:rPr>
                <w:color w:val="000000"/>
                <w:sz w:val="20"/>
                <w:szCs w:val="20"/>
              </w:rPr>
              <w:t xml:space="preserve"> </w:t>
            </w:r>
            <w:r w:rsidRPr="00A863C2">
              <w:rPr>
                <w:color w:val="000000"/>
                <w:sz w:val="20"/>
                <w:szCs w:val="20"/>
              </w:rPr>
              <w:t>comprehensively evaluates the patient’s biopsychosocial factors and</w:t>
            </w:r>
            <w:r w:rsidR="00A506A3" w:rsidRPr="00A863C2">
              <w:rPr>
                <w:color w:val="000000"/>
                <w:sz w:val="20"/>
                <w:szCs w:val="20"/>
              </w:rPr>
              <w:t xml:space="preserve"> </w:t>
            </w:r>
            <w:r w:rsidRPr="00A863C2">
              <w:rPr>
                <w:color w:val="000000"/>
                <w:sz w:val="20"/>
                <w:szCs w:val="20"/>
              </w:rPr>
              <w:t xml:space="preserve">makes recommendations to the referring </w:t>
            </w:r>
            <w:r w:rsidR="00A506A3" w:rsidRPr="00A863C2">
              <w:rPr>
                <w:color w:val="000000"/>
                <w:sz w:val="20"/>
                <w:szCs w:val="20"/>
              </w:rPr>
              <w:t>practitioner</w:t>
            </w:r>
            <w:r w:rsidRPr="00A863C2">
              <w:rPr>
                <w:color w:val="000000"/>
                <w:sz w:val="20"/>
                <w:szCs w:val="20"/>
              </w:rPr>
              <w:t xml:space="preserve"> to manage the patient’s ongoing care in a biopsychosocial model; and</w:t>
            </w:r>
          </w:p>
          <w:p w14:paraId="5C4F4450" w14:textId="3D76E73A" w:rsidR="00EA26C9" w:rsidRPr="00A863C2" w:rsidRDefault="00EA26C9">
            <w:pPr>
              <w:pStyle w:val="tablea0"/>
              <w:numPr>
                <w:ilvl w:val="0"/>
                <w:numId w:val="14"/>
              </w:numPr>
              <w:shd w:val="clear" w:color="auto" w:fill="FFFFFF"/>
              <w:spacing w:before="60" w:beforeAutospacing="0" w:after="0" w:afterAutospacing="0"/>
              <w:rPr>
                <w:color w:val="000000"/>
                <w:sz w:val="20"/>
                <w:szCs w:val="20"/>
              </w:rPr>
            </w:pPr>
            <w:r w:rsidRPr="00A863C2">
              <w:rPr>
                <w:color w:val="000000"/>
                <w:sz w:val="20"/>
                <w:szCs w:val="20"/>
              </w:rPr>
              <w:t xml:space="preserve">if clinically appropriate, </w:t>
            </w:r>
            <w:r w:rsidR="00A506A3" w:rsidRPr="00A863C2">
              <w:rPr>
                <w:color w:val="000000"/>
                <w:sz w:val="20"/>
                <w:szCs w:val="20"/>
              </w:rPr>
              <w:t xml:space="preserve">the consultant </w:t>
            </w:r>
            <w:r w:rsidRPr="00A863C2">
              <w:rPr>
                <w:color w:val="000000"/>
                <w:sz w:val="20"/>
                <w:szCs w:val="20"/>
              </w:rPr>
              <w:t>explains the diagnos</w:t>
            </w:r>
            <w:r w:rsidR="00A506A3" w:rsidRPr="00A863C2">
              <w:rPr>
                <w:color w:val="000000"/>
                <w:sz w:val="20"/>
                <w:szCs w:val="20"/>
              </w:rPr>
              <w:t xml:space="preserve">tic assessment </w:t>
            </w:r>
            <w:r w:rsidRPr="00A863C2">
              <w:rPr>
                <w:color w:val="000000"/>
                <w:sz w:val="20"/>
                <w:szCs w:val="20"/>
              </w:rPr>
              <w:t>and management plan, and a gives a copy, to:</w:t>
            </w:r>
          </w:p>
          <w:p w14:paraId="67FCA0B4" w14:textId="77777777" w:rsidR="00EA26C9" w:rsidRPr="00A863C2" w:rsidRDefault="00EA26C9">
            <w:pPr>
              <w:pStyle w:val="tablei0"/>
              <w:numPr>
                <w:ilvl w:val="0"/>
                <w:numId w:val="20"/>
              </w:numPr>
              <w:shd w:val="clear" w:color="auto" w:fill="FFFFFF"/>
              <w:spacing w:before="0" w:beforeAutospacing="0" w:after="0" w:afterAutospacing="0" w:line="240" w:lineRule="atLeast"/>
              <w:rPr>
                <w:color w:val="000000"/>
                <w:sz w:val="20"/>
                <w:szCs w:val="20"/>
              </w:rPr>
            </w:pPr>
            <w:r w:rsidRPr="00A863C2">
              <w:rPr>
                <w:color w:val="000000"/>
                <w:sz w:val="20"/>
                <w:szCs w:val="20"/>
              </w:rPr>
              <w:t>the patient; and</w:t>
            </w:r>
          </w:p>
          <w:p w14:paraId="61AE0BF4" w14:textId="77777777" w:rsidR="00EA26C9" w:rsidRPr="00A863C2" w:rsidRDefault="00EA26C9">
            <w:pPr>
              <w:pStyle w:val="tablei0"/>
              <w:numPr>
                <w:ilvl w:val="0"/>
                <w:numId w:val="20"/>
              </w:numPr>
              <w:shd w:val="clear" w:color="auto" w:fill="FFFFFF"/>
              <w:spacing w:before="0" w:beforeAutospacing="0" w:after="0" w:afterAutospacing="0" w:line="240" w:lineRule="atLeast"/>
              <w:rPr>
                <w:color w:val="000000"/>
                <w:sz w:val="20"/>
                <w:szCs w:val="20"/>
              </w:rPr>
            </w:pPr>
            <w:r w:rsidRPr="00A863C2">
              <w:rPr>
                <w:color w:val="000000"/>
                <w:sz w:val="20"/>
                <w:szCs w:val="20"/>
              </w:rPr>
              <w:t>the patient’s carer (if any</w:t>
            </w:r>
            <w:proofErr w:type="gramStart"/>
            <w:r w:rsidRPr="00A863C2">
              <w:rPr>
                <w:color w:val="000000"/>
                <w:sz w:val="20"/>
                <w:szCs w:val="20"/>
              </w:rPr>
              <w:t>), if</w:t>
            </w:r>
            <w:proofErr w:type="gramEnd"/>
            <w:r w:rsidRPr="00A863C2">
              <w:rPr>
                <w:color w:val="000000"/>
                <w:sz w:val="20"/>
                <w:szCs w:val="20"/>
              </w:rPr>
              <w:t xml:space="preserve"> the patient agrees; and</w:t>
            </w:r>
          </w:p>
          <w:p w14:paraId="6D0D856D" w14:textId="65C43735" w:rsidR="00EA26C9" w:rsidRPr="00A863C2" w:rsidRDefault="00EA26C9">
            <w:pPr>
              <w:pStyle w:val="tabletext0"/>
              <w:numPr>
                <w:ilvl w:val="0"/>
                <w:numId w:val="14"/>
              </w:numPr>
              <w:shd w:val="clear" w:color="auto" w:fill="FFFFFF"/>
              <w:spacing w:before="0" w:beforeAutospacing="0" w:after="120" w:afterAutospacing="0" w:line="240" w:lineRule="atLeast"/>
              <w:rPr>
                <w:color w:val="000000"/>
                <w:sz w:val="20"/>
                <w:szCs w:val="20"/>
              </w:rPr>
            </w:pPr>
            <w:r w:rsidRPr="00A863C2">
              <w:rPr>
                <w:color w:val="000000"/>
                <w:sz w:val="20"/>
                <w:szCs w:val="20"/>
              </w:rPr>
              <w:t>in the preceding 12 months, a service to which this item or item 291 of the general medical services table applies has not been provided</w:t>
            </w:r>
          </w:p>
        </w:tc>
        <w:tc>
          <w:tcPr>
            <w:tcW w:w="800" w:type="pct"/>
            <w:shd w:val="clear" w:color="auto" w:fill="FFFFFF"/>
            <w:tcMar>
              <w:top w:w="0" w:type="dxa"/>
              <w:left w:w="107" w:type="dxa"/>
              <w:bottom w:w="0" w:type="dxa"/>
              <w:right w:w="107" w:type="dxa"/>
            </w:tcMar>
            <w:hideMark/>
          </w:tcPr>
          <w:p w14:paraId="3AC4951E" w14:textId="77777777" w:rsidR="00EA26C9" w:rsidRPr="00A863C2" w:rsidRDefault="00EA26C9" w:rsidP="00D86EE2">
            <w:pPr>
              <w:pStyle w:val="tabletext0"/>
              <w:spacing w:before="60" w:beforeAutospacing="0" w:after="0" w:afterAutospacing="0" w:line="240" w:lineRule="atLeast"/>
              <w:jc w:val="right"/>
              <w:rPr>
                <w:color w:val="000000"/>
                <w:sz w:val="20"/>
                <w:szCs w:val="20"/>
              </w:rPr>
            </w:pPr>
          </w:p>
        </w:tc>
      </w:tr>
    </w:tbl>
    <w:p w14:paraId="746D1E81" w14:textId="25C5E2B9" w:rsidR="00EA26C9" w:rsidRPr="00A863C2" w:rsidRDefault="00EA26C9" w:rsidP="00EA26C9">
      <w:pPr>
        <w:pStyle w:val="ItemHead"/>
      </w:pPr>
      <w:r w:rsidRPr="00A863C2">
        <w:t xml:space="preserve"> </w:t>
      </w:r>
      <w:proofErr w:type="gramStart"/>
      <w:r w:rsidRPr="00A863C2">
        <w:t>1</w:t>
      </w:r>
      <w:r w:rsidR="00B10583" w:rsidRPr="00A863C2">
        <w:t>4</w:t>
      </w:r>
      <w:r w:rsidRPr="00A863C2">
        <w:t xml:space="preserve">  Schedule</w:t>
      </w:r>
      <w:proofErr w:type="gramEnd"/>
      <w:r w:rsidRPr="00A863C2">
        <w:t xml:space="preserve"> 2 (cell at item 92436, column 2)</w:t>
      </w:r>
    </w:p>
    <w:p w14:paraId="19381FA5" w14:textId="7BF7C241" w:rsidR="00EA26C9" w:rsidRPr="00A863C2" w:rsidRDefault="00E211B4" w:rsidP="00EA26C9">
      <w:pPr>
        <w:pStyle w:val="Item"/>
        <w:spacing w:after="120"/>
      </w:pPr>
      <w:r w:rsidRPr="00A863C2">
        <w:t xml:space="preserve">Repeal the cell, </w:t>
      </w:r>
      <w:r w:rsidR="00266A11" w:rsidRPr="00A863C2">
        <w:t>substitute</w:t>
      </w:r>
      <w:r w:rsidR="00EA26C9" w:rsidRPr="00A863C2">
        <w:t xml:space="preserve">:  </w:t>
      </w:r>
    </w:p>
    <w:tbl>
      <w:tblPr>
        <w:tblW w:w="5000" w:type="pct"/>
        <w:shd w:val="clear" w:color="auto" w:fill="FFFFFF"/>
        <w:tblCellMar>
          <w:left w:w="0" w:type="dxa"/>
          <w:right w:w="0" w:type="dxa"/>
        </w:tblCellMar>
        <w:tblLook w:val="04A0" w:firstRow="1" w:lastRow="0" w:firstColumn="1" w:lastColumn="0" w:noHBand="0" w:noVBand="1"/>
      </w:tblPr>
      <w:tblGrid>
        <w:gridCol w:w="1176"/>
        <w:gridCol w:w="5794"/>
        <w:gridCol w:w="1343"/>
      </w:tblGrid>
      <w:tr w:rsidR="00EA26C9" w:rsidRPr="00A863C2" w14:paraId="606A58F8" w14:textId="77777777" w:rsidTr="00D86EE2">
        <w:tc>
          <w:tcPr>
            <w:tcW w:w="700" w:type="pct"/>
            <w:shd w:val="clear" w:color="auto" w:fill="FFFFFF"/>
            <w:tcMar>
              <w:top w:w="0" w:type="dxa"/>
              <w:left w:w="107" w:type="dxa"/>
              <w:bottom w:w="0" w:type="dxa"/>
              <w:right w:w="107" w:type="dxa"/>
            </w:tcMar>
            <w:hideMark/>
          </w:tcPr>
          <w:p w14:paraId="1922BC42" w14:textId="77777777" w:rsidR="00EA26C9" w:rsidRPr="00A863C2" w:rsidRDefault="00EA26C9" w:rsidP="00D86EE2">
            <w:pPr>
              <w:pStyle w:val="tabletext0"/>
              <w:spacing w:before="60" w:beforeAutospacing="0" w:after="0" w:afterAutospacing="0" w:line="240" w:lineRule="atLeast"/>
              <w:rPr>
                <w:color w:val="000000"/>
                <w:sz w:val="20"/>
                <w:szCs w:val="20"/>
              </w:rPr>
            </w:pPr>
          </w:p>
          <w:p w14:paraId="649CF61C" w14:textId="77777777" w:rsidR="00EA26C9" w:rsidRPr="00A863C2" w:rsidRDefault="00EA26C9" w:rsidP="00D86EE2">
            <w:pPr>
              <w:pStyle w:val="tabletext0"/>
              <w:spacing w:before="60" w:beforeAutospacing="0" w:after="0" w:afterAutospacing="0" w:line="240" w:lineRule="atLeast"/>
              <w:rPr>
                <w:color w:val="000000"/>
                <w:sz w:val="20"/>
                <w:szCs w:val="20"/>
              </w:rPr>
            </w:pPr>
            <w:r w:rsidRPr="00A863C2">
              <w:rPr>
                <w:color w:val="000000"/>
                <w:sz w:val="20"/>
                <w:szCs w:val="20"/>
              </w:rPr>
              <w:t> </w:t>
            </w:r>
          </w:p>
        </w:tc>
        <w:tc>
          <w:tcPr>
            <w:tcW w:w="3450" w:type="pct"/>
            <w:shd w:val="clear" w:color="auto" w:fill="FFFFFF"/>
            <w:tcMar>
              <w:top w:w="0" w:type="dxa"/>
              <w:left w:w="107" w:type="dxa"/>
              <w:bottom w:w="0" w:type="dxa"/>
              <w:right w:w="107" w:type="dxa"/>
            </w:tcMar>
            <w:hideMark/>
          </w:tcPr>
          <w:p w14:paraId="749A6A9C" w14:textId="06E555F3" w:rsidR="00EA26C9" w:rsidRPr="00A863C2" w:rsidRDefault="00EA26C9" w:rsidP="00D86EE2">
            <w:pPr>
              <w:pStyle w:val="tabletext0"/>
              <w:shd w:val="clear" w:color="auto" w:fill="FFFFFF"/>
              <w:spacing w:before="60" w:beforeAutospacing="0" w:after="0" w:afterAutospacing="0" w:line="240" w:lineRule="atLeast"/>
              <w:rPr>
                <w:color w:val="000000"/>
                <w:sz w:val="20"/>
                <w:szCs w:val="20"/>
              </w:rPr>
            </w:pPr>
            <w:r w:rsidRPr="00A863C2">
              <w:rPr>
                <w:color w:val="000000"/>
                <w:sz w:val="20"/>
                <w:szCs w:val="20"/>
              </w:rPr>
              <w:t>Telehealth attendance</w:t>
            </w:r>
            <w:r w:rsidR="00445269" w:rsidRPr="00A863C2">
              <w:rPr>
                <w:color w:val="000000"/>
                <w:sz w:val="20"/>
                <w:szCs w:val="20"/>
              </w:rPr>
              <w:t xml:space="preserve"> lasting more than 30 minutes, but no</w:t>
            </w:r>
            <w:r w:rsidR="002F2EB7" w:rsidRPr="00A863C2">
              <w:rPr>
                <w:color w:val="000000"/>
                <w:sz w:val="20"/>
                <w:szCs w:val="20"/>
              </w:rPr>
              <w:t>t</w:t>
            </w:r>
            <w:r w:rsidR="00445269" w:rsidRPr="00A863C2">
              <w:rPr>
                <w:color w:val="000000"/>
                <w:sz w:val="20"/>
                <w:szCs w:val="20"/>
              </w:rPr>
              <w:t xml:space="preserve"> more than 45 minutes, </w:t>
            </w:r>
            <w:r w:rsidRPr="00A863C2">
              <w:rPr>
                <w:color w:val="000000"/>
                <w:sz w:val="20"/>
                <w:szCs w:val="20"/>
              </w:rPr>
              <w:t>by a consultant physician in the practice of the consultant physician’s specialty of psychiatry, if:</w:t>
            </w:r>
          </w:p>
          <w:p w14:paraId="62F8C5BA" w14:textId="77777777" w:rsidR="00EA26C9" w:rsidRPr="00A863C2" w:rsidRDefault="00EA26C9">
            <w:pPr>
              <w:pStyle w:val="tablea0"/>
              <w:numPr>
                <w:ilvl w:val="0"/>
                <w:numId w:val="17"/>
              </w:numPr>
              <w:shd w:val="clear" w:color="auto" w:fill="FFFFFF"/>
              <w:spacing w:before="60" w:beforeAutospacing="0" w:after="0" w:afterAutospacing="0"/>
              <w:rPr>
                <w:color w:val="000000"/>
                <w:sz w:val="20"/>
                <w:szCs w:val="20"/>
              </w:rPr>
            </w:pPr>
            <w:r w:rsidRPr="00A863C2">
              <w:rPr>
                <w:color w:val="000000"/>
                <w:sz w:val="20"/>
                <w:szCs w:val="20"/>
              </w:rPr>
              <w:t>the patient is being managed by a medical practitioner or a participating nurse practitioner in accordance with a management plan prepared by the consultant in accordance with item 291 or 92435; and</w:t>
            </w:r>
          </w:p>
          <w:p w14:paraId="7CC64F80" w14:textId="0CE1E003" w:rsidR="00EA26C9" w:rsidRPr="00A863C2" w:rsidRDefault="00EA26C9">
            <w:pPr>
              <w:pStyle w:val="tablea0"/>
              <w:numPr>
                <w:ilvl w:val="0"/>
                <w:numId w:val="17"/>
              </w:numPr>
              <w:shd w:val="clear" w:color="auto" w:fill="FFFFFF"/>
              <w:spacing w:before="60" w:beforeAutospacing="0" w:after="0" w:afterAutospacing="0"/>
              <w:rPr>
                <w:color w:val="000000"/>
                <w:sz w:val="20"/>
                <w:szCs w:val="20"/>
              </w:rPr>
            </w:pPr>
            <w:r w:rsidRPr="00A863C2">
              <w:rPr>
                <w:color w:val="000000"/>
                <w:sz w:val="20"/>
                <w:szCs w:val="20"/>
              </w:rPr>
              <w:t>the attendance follows referral of the patient to the consultant</w:t>
            </w:r>
            <w:r w:rsidR="00445269" w:rsidRPr="00A863C2">
              <w:rPr>
                <w:color w:val="000000"/>
                <w:sz w:val="20"/>
                <w:szCs w:val="20"/>
              </w:rPr>
              <w:t>, by the medical practitioner or participating nurse practitioner managing the patient,</w:t>
            </w:r>
            <w:r w:rsidRPr="00A863C2">
              <w:rPr>
                <w:color w:val="000000"/>
                <w:sz w:val="20"/>
                <w:szCs w:val="20"/>
              </w:rPr>
              <w:t xml:space="preserve"> for review of the management plan </w:t>
            </w:r>
            <w:r w:rsidR="00445269" w:rsidRPr="00A863C2">
              <w:rPr>
                <w:color w:val="000000"/>
                <w:sz w:val="20"/>
                <w:szCs w:val="20"/>
              </w:rPr>
              <w:t>and the associated comprehensive diagnostic assessment;</w:t>
            </w:r>
            <w:r w:rsidRPr="00A863C2">
              <w:rPr>
                <w:color w:val="000000"/>
                <w:sz w:val="20"/>
                <w:szCs w:val="20"/>
              </w:rPr>
              <w:t xml:space="preserve"> and</w:t>
            </w:r>
          </w:p>
          <w:p w14:paraId="5EE4E705" w14:textId="77777777" w:rsidR="00EA26C9" w:rsidRPr="00A863C2" w:rsidRDefault="00EA26C9">
            <w:pPr>
              <w:pStyle w:val="tablea0"/>
              <w:numPr>
                <w:ilvl w:val="0"/>
                <w:numId w:val="17"/>
              </w:numPr>
              <w:shd w:val="clear" w:color="auto" w:fill="FFFFFF"/>
              <w:spacing w:before="60" w:beforeAutospacing="0" w:after="0" w:afterAutospacing="0"/>
              <w:rPr>
                <w:color w:val="000000"/>
                <w:sz w:val="20"/>
                <w:szCs w:val="20"/>
              </w:rPr>
            </w:pPr>
            <w:r w:rsidRPr="00A863C2">
              <w:rPr>
                <w:color w:val="000000"/>
                <w:sz w:val="20"/>
                <w:szCs w:val="20"/>
              </w:rPr>
              <w:t>during the attendance, the consultant:</w:t>
            </w:r>
          </w:p>
          <w:p w14:paraId="0E7F9F09" w14:textId="23A76131" w:rsidR="00EA26C9" w:rsidRPr="00A863C2" w:rsidRDefault="006F4423">
            <w:pPr>
              <w:pStyle w:val="tablei0"/>
              <w:numPr>
                <w:ilvl w:val="0"/>
                <w:numId w:val="18"/>
              </w:numPr>
              <w:shd w:val="clear" w:color="auto" w:fill="FFFFFF"/>
              <w:spacing w:before="0" w:beforeAutospacing="0" w:after="0" w:afterAutospacing="0" w:line="240" w:lineRule="atLeast"/>
              <w:rPr>
                <w:color w:val="000000"/>
                <w:sz w:val="20"/>
                <w:szCs w:val="20"/>
              </w:rPr>
            </w:pPr>
            <w:r w:rsidRPr="00A863C2">
              <w:rPr>
                <w:color w:val="000000"/>
                <w:sz w:val="20"/>
                <w:szCs w:val="20"/>
              </w:rPr>
              <w:lastRenderedPageBreak/>
              <w:t>if it is clinically appropriate to do so</w:t>
            </w:r>
            <w:r w:rsidRPr="00A863C2">
              <w:t>—</w:t>
            </w:r>
            <w:r w:rsidR="00EA26C9" w:rsidRPr="00A863C2">
              <w:rPr>
                <w:color w:val="000000"/>
                <w:sz w:val="20"/>
                <w:szCs w:val="20"/>
              </w:rPr>
              <w:t>uses a</w:t>
            </w:r>
            <w:r w:rsidRPr="00A863C2">
              <w:rPr>
                <w:color w:val="000000"/>
                <w:sz w:val="20"/>
                <w:szCs w:val="20"/>
              </w:rPr>
              <w:t>n appropriate</w:t>
            </w:r>
            <w:r w:rsidR="00EA26C9" w:rsidRPr="00A863C2">
              <w:rPr>
                <w:color w:val="000000"/>
                <w:sz w:val="20"/>
                <w:szCs w:val="20"/>
              </w:rPr>
              <w:t xml:space="preserve"> outcome tool; and</w:t>
            </w:r>
          </w:p>
          <w:p w14:paraId="5104C52E" w14:textId="77777777" w:rsidR="00EA26C9" w:rsidRPr="00A863C2" w:rsidRDefault="00EA26C9">
            <w:pPr>
              <w:pStyle w:val="tablei0"/>
              <w:numPr>
                <w:ilvl w:val="0"/>
                <w:numId w:val="18"/>
              </w:numPr>
              <w:shd w:val="clear" w:color="auto" w:fill="FFFFFF"/>
              <w:spacing w:before="0" w:beforeAutospacing="0" w:after="0" w:afterAutospacing="0" w:line="240" w:lineRule="atLeast"/>
              <w:rPr>
                <w:color w:val="000000"/>
                <w:sz w:val="20"/>
                <w:szCs w:val="20"/>
              </w:rPr>
            </w:pPr>
            <w:r w:rsidRPr="00A863C2">
              <w:rPr>
                <w:color w:val="000000"/>
                <w:sz w:val="20"/>
                <w:szCs w:val="20"/>
              </w:rPr>
              <w:t>carries out a mental state examination; and</w:t>
            </w:r>
          </w:p>
          <w:p w14:paraId="3F0D564B" w14:textId="1A61F8E0" w:rsidR="00EA26C9" w:rsidRPr="00A863C2" w:rsidRDefault="006F4423">
            <w:pPr>
              <w:pStyle w:val="tablei0"/>
              <w:numPr>
                <w:ilvl w:val="0"/>
                <w:numId w:val="18"/>
              </w:numPr>
              <w:shd w:val="clear" w:color="auto" w:fill="FFFFFF"/>
              <w:spacing w:before="0" w:beforeAutospacing="0" w:after="0" w:afterAutospacing="0" w:line="240" w:lineRule="atLeast"/>
              <w:rPr>
                <w:color w:val="000000"/>
                <w:sz w:val="20"/>
                <w:szCs w:val="20"/>
              </w:rPr>
            </w:pPr>
            <w:r w:rsidRPr="00A863C2">
              <w:rPr>
                <w:color w:val="000000"/>
                <w:sz w:val="20"/>
                <w:szCs w:val="20"/>
              </w:rPr>
              <w:t xml:space="preserve">reviews the comprehensive diagnostic assessment and </w:t>
            </w:r>
            <w:r w:rsidR="00EA26C9" w:rsidRPr="00A863C2">
              <w:rPr>
                <w:color w:val="000000"/>
                <w:sz w:val="20"/>
                <w:szCs w:val="20"/>
              </w:rPr>
              <w:t xml:space="preserve">undertakes </w:t>
            </w:r>
            <w:r w:rsidRPr="00A863C2">
              <w:rPr>
                <w:color w:val="000000"/>
                <w:sz w:val="20"/>
                <w:szCs w:val="20"/>
              </w:rPr>
              <w:t xml:space="preserve">additional assessment as required; </w:t>
            </w:r>
            <w:r w:rsidR="00EA26C9" w:rsidRPr="00A863C2">
              <w:rPr>
                <w:color w:val="000000"/>
                <w:sz w:val="20"/>
                <w:szCs w:val="20"/>
              </w:rPr>
              <w:t>and</w:t>
            </w:r>
          </w:p>
          <w:p w14:paraId="7DB45A40" w14:textId="77777777" w:rsidR="00EA26C9" w:rsidRPr="00A863C2" w:rsidRDefault="00EA26C9">
            <w:pPr>
              <w:pStyle w:val="tablei0"/>
              <w:numPr>
                <w:ilvl w:val="0"/>
                <w:numId w:val="18"/>
              </w:numPr>
              <w:shd w:val="clear" w:color="auto" w:fill="FFFFFF"/>
              <w:spacing w:before="0" w:beforeAutospacing="0" w:after="0" w:afterAutospacing="0" w:line="240" w:lineRule="atLeast"/>
              <w:rPr>
                <w:color w:val="000000"/>
                <w:sz w:val="20"/>
                <w:szCs w:val="20"/>
              </w:rPr>
            </w:pPr>
            <w:r w:rsidRPr="00A863C2">
              <w:rPr>
                <w:color w:val="000000"/>
                <w:sz w:val="20"/>
                <w:szCs w:val="20"/>
              </w:rPr>
              <w:t>reviews the management plan; and</w:t>
            </w:r>
          </w:p>
          <w:p w14:paraId="0AF755BE" w14:textId="3D54D838" w:rsidR="00EA26C9" w:rsidRPr="00A863C2" w:rsidRDefault="00EA26C9">
            <w:pPr>
              <w:pStyle w:val="tablea0"/>
              <w:numPr>
                <w:ilvl w:val="0"/>
                <w:numId w:val="17"/>
              </w:numPr>
              <w:shd w:val="clear" w:color="auto" w:fill="FFFFFF"/>
              <w:spacing w:before="60" w:beforeAutospacing="0" w:after="0" w:afterAutospacing="0"/>
              <w:rPr>
                <w:color w:val="000000"/>
                <w:sz w:val="20"/>
                <w:szCs w:val="20"/>
              </w:rPr>
            </w:pPr>
            <w:r w:rsidRPr="00A863C2">
              <w:rPr>
                <w:color w:val="000000"/>
                <w:sz w:val="20"/>
                <w:szCs w:val="20"/>
              </w:rPr>
              <w:t xml:space="preserve">within 2 weeks after the attendance, the consultant </w:t>
            </w:r>
            <w:r w:rsidR="006F4423" w:rsidRPr="00A863C2">
              <w:rPr>
                <w:color w:val="000000"/>
                <w:sz w:val="20"/>
                <w:szCs w:val="20"/>
              </w:rPr>
              <w:t>prepares and gives to the referring practitioner a written report</w:t>
            </w:r>
            <w:r w:rsidRPr="00A863C2">
              <w:rPr>
                <w:color w:val="000000"/>
                <w:sz w:val="20"/>
                <w:szCs w:val="20"/>
              </w:rPr>
              <w:t>, which includes:</w:t>
            </w:r>
          </w:p>
          <w:p w14:paraId="4DA123AD" w14:textId="5FB7410D" w:rsidR="00EA26C9" w:rsidRPr="00A863C2" w:rsidRDefault="00EA26C9">
            <w:pPr>
              <w:pStyle w:val="tablei0"/>
              <w:numPr>
                <w:ilvl w:val="0"/>
                <w:numId w:val="19"/>
              </w:numPr>
              <w:shd w:val="clear" w:color="auto" w:fill="FFFFFF"/>
              <w:spacing w:before="0" w:beforeAutospacing="0" w:after="0" w:afterAutospacing="0" w:line="240" w:lineRule="atLeast"/>
              <w:rPr>
                <w:color w:val="000000"/>
                <w:sz w:val="20"/>
                <w:szCs w:val="20"/>
              </w:rPr>
            </w:pPr>
            <w:r w:rsidRPr="00A863C2">
              <w:rPr>
                <w:color w:val="000000"/>
                <w:sz w:val="20"/>
                <w:szCs w:val="20"/>
              </w:rPr>
              <w:t>a</w:t>
            </w:r>
            <w:r w:rsidR="006F4423" w:rsidRPr="00A863C2">
              <w:rPr>
                <w:color w:val="000000"/>
                <w:sz w:val="20"/>
                <w:szCs w:val="20"/>
              </w:rPr>
              <w:t xml:space="preserve"> revised</w:t>
            </w:r>
            <w:r w:rsidRPr="00A863C2">
              <w:rPr>
                <w:color w:val="000000"/>
                <w:sz w:val="20"/>
                <w:szCs w:val="20"/>
              </w:rPr>
              <w:t xml:space="preserve"> comprehensive diagnostic assessment of the patient; and </w:t>
            </w:r>
          </w:p>
          <w:p w14:paraId="39E292E4" w14:textId="22F6B652" w:rsidR="00EA26C9" w:rsidRPr="00A863C2" w:rsidRDefault="006F4423">
            <w:pPr>
              <w:pStyle w:val="tablei0"/>
              <w:numPr>
                <w:ilvl w:val="0"/>
                <w:numId w:val="19"/>
              </w:numPr>
              <w:shd w:val="clear" w:color="auto" w:fill="FFFFFF"/>
              <w:spacing w:before="0" w:beforeAutospacing="0" w:after="0" w:afterAutospacing="0" w:line="240" w:lineRule="atLeast"/>
              <w:rPr>
                <w:color w:val="000000"/>
                <w:sz w:val="20"/>
                <w:szCs w:val="20"/>
              </w:rPr>
            </w:pPr>
            <w:r w:rsidRPr="00A863C2">
              <w:rPr>
                <w:color w:val="000000"/>
                <w:sz w:val="20"/>
                <w:szCs w:val="20"/>
              </w:rPr>
              <w:t xml:space="preserve">a revised management plan including updated recommendations to the referring practitioner to </w:t>
            </w:r>
            <w:r w:rsidR="00EA26C9" w:rsidRPr="00A863C2">
              <w:rPr>
                <w:color w:val="000000"/>
                <w:sz w:val="20"/>
                <w:szCs w:val="20"/>
              </w:rPr>
              <w:t>manage the patient’s ongoing care in a biopsychosocial model; and</w:t>
            </w:r>
          </w:p>
          <w:p w14:paraId="1D9B3B1F" w14:textId="24DDB49E" w:rsidR="00EA26C9" w:rsidRPr="00A863C2" w:rsidRDefault="00EA26C9">
            <w:pPr>
              <w:pStyle w:val="tablea0"/>
              <w:numPr>
                <w:ilvl w:val="0"/>
                <w:numId w:val="17"/>
              </w:numPr>
              <w:shd w:val="clear" w:color="auto" w:fill="FFFFFF"/>
              <w:spacing w:before="60" w:beforeAutospacing="0" w:after="0" w:afterAutospacing="0"/>
              <w:rPr>
                <w:color w:val="000000"/>
                <w:sz w:val="20"/>
                <w:szCs w:val="20"/>
              </w:rPr>
            </w:pPr>
            <w:r w:rsidRPr="00A863C2">
              <w:rPr>
                <w:color w:val="000000"/>
                <w:sz w:val="20"/>
                <w:szCs w:val="20"/>
              </w:rPr>
              <w:t xml:space="preserve">if clinically appropriate, </w:t>
            </w:r>
            <w:r w:rsidR="006F4423" w:rsidRPr="00A863C2">
              <w:rPr>
                <w:color w:val="000000"/>
                <w:sz w:val="20"/>
                <w:szCs w:val="20"/>
              </w:rPr>
              <w:t xml:space="preserve">the consultant </w:t>
            </w:r>
            <w:r w:rsidRPr="00A863C2">
              <w:rPr>
                <w:color w:val="000000"/>
                <w:sz w:val="20"/>
                <w:szCs w:val="20"/>
              </w:rPr>
              <w:t>explains the diagnostic assessment and the management plan, and gives a copy, to:</w:t>
            </w:r>
          </w:p>
          <w:p w14:paraId="6737D96B" w14:textId="77777777" w:rsidR="00EA26C9" w:rsidRPr="00A863C2" w:rsidRDefault="00EA26C9">
            <w:pPr>
              <w:pStyle w:val="tablei0"/>
              <w:numPr>
                <w:ilvl w:val="0"/>
                <w:numId w:val="21"/>
              </w:numPr>
              <w:shd w:val="clear" w:color="auto" w:fill="FFFFFF"/>
              <w:spacing w:before="0" w:beforeAutospacing="0" w:after="0" w:afterAutospacing="0" w:line="240" w:lineRule="atLeast"/>
              <w:rPr>
                <w:color w:val="000000"/>
                <w:sz w:val="20"/>
                <w:szCs w:val="20"/>
              </w:rPr>
            </w:pPr>
            <w:r w:rsidRPr="00A863C2">
              <w:rPr>
                <w:color w:val="000000"/>
                <w:sz w:val="20"/>
                <w:szCs w:val="20"/>
              </w:rPr>
              <w:t>the patient; and</w:t>
            </w:r>
          </w:p>
          <w:p w14:paraId="649CD0CF" w14:textId="77777777" w:rsidR="00EA26C9" w:rsidRPr="00A863C2" w:rsidRDefault="00EA26C9">
            <w:pPr>
              <w:pStyle w:val="tablei0"/>
              <w:numPr>
                <w:ilvl w:val="0"/>
                <w:numId w:val="21"/>
              </w:numPr>
              <w:shd w:val="clear" w:color="auto" w:fill="FFFFFF"/>
              <w:spacing w:before="0" w:beforeAutospacing="0" w:after="0" w:afterAutospacing="0" w:line="240" w:lineRule="atLeast"/>
              <w:rPr>
                <w:color w:val="000000"/>
                <w:sz w:val="20"/>
                <w:szCs w:val="20"/>
              </w:rPr>
            </w:pPr>
            <w:r w:rsidRPr="00A863C2">
              <w:rPr>
                <w:color w:val="000000"/>
                <w:sz w:val="20"/>
                <w:szCs w:val="20"/>
              </w:rPr>
              <w:t>the patient’s carer (if any</w:t>
            </w:r>
            <w:proofErr w:type="gramStart"/>
            <w:r w:rsidRPr="00A863C2">
              <w:rPr>
                <w:color w:val="000000"/>
                <w:sz w:val="20"/>
                <w:szCs w:val="20"/>
              </w:rPr>
              <w:t>), if</w:t>
            </w:r>
            <w:proofErr w:type="gramEnd"/>
            <w:r w:rsidRPr="00A863C2">
              <w:rPr>
                <w:color w:val="000000"/>
                <w:sz w:val="20"/>
                <w:szCs w:val="20"/>
              </w:rPr>
              <w:t xml:space="preserve"> the patient agrees; and</w:t>
            </w:r>
          </w:p>
          <w:p w14:paraId="6F038776" w14:textId="77777777" w:rsidR="00EA26C9" w:rsidRPr="00A863C2" w:rsidRDefault="00EA26C9">
            <w:pPr>
              <w:pStyle w:val="tablea0"/>
              <w:numPr>
                <w:ilvl w:val="0"/>
                <w:numId w:val="17"/>
              </w:numPr>
              <w:shd w:val="clear" w:color="auto" w:fill="FFFFFF"/>
              <w:spacing w:before="60" w:beforeAutospacing="0" w:after="0" w:afterAutospacing="0"/>
              <w:rPr>
                <w:color w:val="000000"/>
                <w:sz w:val="20"/>
                <w:szCs w:val="20"/>
              </w:rPr>
            </w:pPr>
            <w:r w:rsidRPr="00A863C2">
              <w:rPr>
                <w:color w:val="000000"/>
                <w:sz w:val="20"/>
                <w:szCs w:val="20"/>
              </w:rPr>
              <w:t>in the preceding 12 months, a service to which item 291 of the general medical services table or item 92435 applies has been provided; and</w:t>
            </w:r>
          </w:p>
          <w:p w14:paraId="7570BA24" w14:textId="160D97F5" w:rsidR="00EA26C9" w:rsidRPr="00A863C2" w:rsidRDefault="00EA26C9">
            <w:pPr>
              <w:pStyle w:val="tablea0"/>
              <w:numPr>
                <w:ilvl w:val="0"/>
                <w:numId w:val="17"/>
              </w:numPr>
              <w:shd w:val="clear" w:color="auto" w:fill="FFFFFF"/>
              <w:spacing w:before="60" w:beforeAutospacing="0" w:after="240" w:afterAutospacing="0"/>
              <w:rPr>
                <w:color w:val="000000"/>
                <w:sz w:val="20"/>
                <w:szCs w:val="20"/>
              </w:rPr>
            </w:pPr>
            <w:r w:rsidRPr="00A863C2">
              <w:rPr>
                <w:color w:val="000000"/>
                <w:sz w:val="20"/>
                <w:szCs w:val="20"/>
              </w:rPr>
              <w:t>in the preceding 12 months, a service to which this item or item 293</w:t>
            </w:r>
            <w:r w:rsidR="00C126AB" w:rsidRPr="00A863C2">
              <w:rPr>
                <w:color w:val="000000"/>
                <w:sz w:val="20"/>
                <w:szCs w:val="20"/>
              </w:rPr>
              <w:t xml:space="preserve"> </w:t>
            </w:r>
            <w:r w:rsidRPr="00A863C2">
              <w:rPr>
                <w:color w:val="000000"/>
                <w:sz w:val="20"/>
                <w:szCs w:val="20"/>
              </w:rPr>
              <w:t>of the general medical services table applies has not been provided</w:t>
            </w:r>
          </w:p>
        </w:tc>
        <w:tc>
          <w:tcPr>
            <w:tcW w:w="800" w:type="pct"/>
            <w:shd w:val="clear" w:color="auto" w:fill="FFFFFF"/>
            <w:tcMar>
              <w:top w:w="0" w:type="dxa"/>
              <w:left w:w="107" w:type="dxa"/>
              <w:bottom w:w="0" w:type="dxa"/>
              <w:right w:w="107" w:type="dxa"/>
            </w:tcMar>
            <w:hideMark/>
          </w:tcPr>
          <w:p w14:paraId="00A1F616" w14:textId="77777777" w:rsidR="00EA26C9" w:rsidRPr="00A863C2" w:rsidRDefault="00EA26C9" w:rsidP="00D86EE2">
            <w:pPr>
              <w:pStyle w:val="tabletext0"/>
              <w:spacing w:before="60" w:beforeAutospacing="0" w:after="0" w:afterAutospacing="0" w:line="240" w:lineRule="atLeast"/>
              <w:jc w:val="right"/>
              <w:rPr>
                <w:color w:val="000000"/>
                <w:sz w:val="20"/>
                <w:szCs w:val="20"/>
              </w:rPr>
            </w:pPr>
          </w:p>
        </w:tc>
      </w:tr>
    </w:tbl>
    <w:p w14:paraId="6AE41E06" w14:textId="6AB3D907" w:rsidR="00EA26C9" w:rsidRPr="00A863C2" w:rsidRDefault="00EA26C9" w:rsidP="00EA26C9">
      <w:pPr>
        <w:pStyle w:val="ItemHead"/>
      </w:pPr>
      <w:r w:rsidRPr="00A863C2">
        <w:t xml:space="preserve"> </w:t>
      </w:r>
      <w:proofErr w:type="gramStart"/>
      <w:r w:rsidRPr="00A863C2">
        <w:t>1</w:t>
      </w:r>
      <w:r w:rsidR="00B10583" w:rsidRPr="00A863C2">
        <w:t>5</w:t>
      </w:r>
      <w:r w:rsidRPr="00A863C2">
        <w:t xml:space="preserve">  Schedule</w:t>
      </w:r>
      <w:proofErr w:type="gramEnd"/>
      <w:r w:rsidRPr="00A863C2">
        <w:t xml:space="preserve"> 2 (item 92437, column 2</w:t>
      </w:r>
      <w:r w:rsidR="00766E81" w:rsidRPr="00A863C2">
        <w:t>,</w:t>
      </w:r>
      <w:r w:rsidR="00E211B4" w:rsidRPr="00A863C2">
        <w:t xml:space="preserve"> paragraph (b)</w:t>
      </w:r>
      <w:r w:rsidRPr="00A863C2">
        <w:t>)</w:t>
      </w:r>
    </w:p>
    <w:p w14:paraId="4C60C21E" w14:textId="6821DD5D" w:rsidR="00EA26C9" w:rsidRPr="00A863C2" w:rsidRDefault="00EA26C9" w:rsidP="00EA26C9">
      <w:pPr>
        <w:pStyle w:val="Item"/>
        <w:spacing w:after="120"/>
      </w:pPr>
      <w:r w:rsidRPr="00A863C2">
        <w:t>Repeal</w:t>
      </w:r>
      <w:r w:rsidR="00E211B4" w:rsidRPr="00A863C2">
        <w:t xml:space="preserve"> the paragraph, substitute</w:t>
      </w:r>
      <w:r w:rsidRPr="00A863C2">
        <w:t>:</w:t>
      </w:r>
    </w:p>
    <w:p w14:paraId="3703CF24" w14:textId="366AC4FE" w:rsidR="00EA26C9" w:rsidRPr="00A863C2" w:rsidRDefault="00EA26C9">
      <w:pPr>
        <w:pStyle w:val="Item"/>
        <w:numPr>
          <w:ilvl w:val="0"/>
          <w:numId w:val="35"/>
        </w:numPr>
      </w:pPr>
      <w:r w:rsidRPr="00A863C2">
        <w:t>the patient has not received an attendance under this item, or item 91827 to 91831, 91837 to 91839, 92455 to 92457, 91868 to 91873, 91879 to 91881 or item 296, 297, 299, 300, 302, 304, 306 to 308, 310, 312, 314, 316, 318, 319, 320, 322, 324, 326, 328, 330, 332, 334, 336, 338, 342, 344 or 346 of the general medical services table, in the preceding 24 months</w:t>
      </w:r>
    </w:p>
    <w:p w14:paraId="282E748B" w14:textId="2C8780D4" w:rsidR="00EA26C9" w:rsidRPr="00A863C2" w:rsidRDefault="00EA26C9" w:rsidP="00EA26C9">
      <w:pPr>
        <w:pStyle w:val="ItemHead"/>
      </w:pPr>
      <w:proofErr w:type="gramStart"/>
      <w:r w:rsidRPr="00A863C2">
        <w:t>1</w:t>
      </w:r>
      <w:r w:rsidR="00B10583" w:rsidRPr="00A863C2">
        <w:t>6</w:t>
      </w:r>
      <w:r w:rsidRPr="00A863C2">
        <w:t xml:space="preserve">  Schedule</w:t>
      </w:r>
      <w:proofErr w:type="gramEnd"/>
      <w:r w:rsidRPr="00A863C2">
        <w:t xml:space="preserve"> 2 (item 92458)</w:t>
      </w:r>
    </w:p>
    <w:p w14:paraId="1939B185" w14:textId="77777777" w:rsidR="00EA26C9" w:rsidRPr="00A863C2" w:rsidRDefault="00EA26C9" w:rsidP="00EA26C9">
      <w:pPr>
        <w:pStyle w:val="Item"/>
      </w:pPr>
      <w:r w:rsidRPr="00A863C2">
        <w:t>Repeal the item.</w:t>
      </w:r>
    </w:p>
    <w:p w14:paraId="555BF78F" w14:textId="1FEDECFC" w:rsidR="00EA26C9" w:rsidRPr="00A863C2" w:rsidRDefault="00EA26C9" w:rsidP="00EA26C9">
      <w:pPr>
        <w:pStyle w:val="ItemHead"/>
      </w:pPr>
      <w:proofErr w:type="gramStart"/>
      <w:r w:rsidRPr="00A863C2">
        <w:t>1</w:t>
      </w:r>
      <w:r w:rsidR="00B10583" w:rsidRPr="00A863C2">
        <w:t>7</w:t>
      </w:r>
      <w:r w:rsidRPr="00A863C2">
        <w:t xml:space="preserve">  Schedule</w:t>
      </w:r>
      <w:proofErr w:type="gramEnd"/>
      <w:r w:rsidRPr="00A863C2">
        <w:t xml:space="preserve"> 2 (item 92459)</w:t>
      </w:r>
    </w:p>
    <w:p w14:paraId="44350449" w14:textId="77777777" w:rsidR="00EA26C9" w:rsidRPr="00A863C2" w:rsidRDefault="00EA26C9" w:rsidP="00EA26C9">
      <w:pPr>
        <w:pStyle w:val="Item"/>
      </w:pPr>
      <w:r w:rsidRPr="00A863C2">
        <w:t>Repeal the item.</w:t>
      </w:r>
    </w:p>
    <w:p w14:paraId="40F24E78" w14:textId="48FA7017" w:rsidR="00EA26C9" w:rsidRPr="00A863C2" w:rsidRDefault="00EA26C9" w:rsidP="00EA26C9">
      <w:pPr>
        <w:pStyle w:val="ItemHead"/>
      </w:pPr>
      <w:proofErr w:type="gramStart"/>
      <w:r w:rsidRPr="00A863C2">
        <w:t>1</w:t>
      </w:r>
      <w:r w:rsidR="00B10583" w:rsidRPr="00A863C2">
        <w:t>8</w:t>
      </w:r>
      <w:r w:rsidRPr="00A863C2">
        <w:t xml:space="preserve">  Schedule</w:t>
      </w:r>
      <w:proofErr w:type="gramEnd"/>
      <w:r w:rsidRPr="00A863C2">
        <w:t xml:space="preserve"> 2 (item 92460)</w:t>
      </w:r>
    </w:p>
    <w:p w14:paraId="48D853BF" w14:textId="4E3B8AF1" w:rsidR="00F207DD" w:rsidRPr="00A863C2" w:rsidRDefault="00EA26C9" w:rsidP="00EA26C9">
      <w:pPr>
        <w:pStyle w:val="Item"/>
      </w:pPr>
      <w:r w:rsidRPr="00A863C2">
        <w:t>Repeal the item.</w:t>
      </w:r>
    </w:p>
    <w:p w14:paraId="5D4E1EDC" w14:textId="77777777" w:rsidR="00F207DD" w:rsidRPr="00A863C2" w:rsidRDefault="00F207DD">
      <w:pPr>
        <w:spacing w:line="240" w:lineRule="auto"/>
        <w:rPr>
          <w:rFonts w:eastAsia="Times New Roman" w:cs="Times New Roman"/>
          <w:lang w:eastAsia="en-AU"/>
        </w:rPr>
      </w:pPr>
      <w:r w:rsidRPr="00A863C2">
        <w:br w:type="page"/>
      </w:r>
    </w:p>
    <w:p w14:paraId="2DAED34B" w14:textId="425A5781" w:rsidR="00F207DD" w:rsidRPr="00A863C2" w:rsidRDefault="00F207DD" w:rsidP="00F207DD">
      <w:pPr>
        <w:pStyle w:val="ActHead6"/>
        <w:pageBreakBefore/>
      </w:pPr>
      <w:bookmarkStart w:id="15" w:name="_Toc152143930"/>
      <w:r w:rsidRPr="00A863C2">
        <w:rPr>
          <w:rStyle w:val="CharAmSchNo"/>
        </w:rPr>
        <w:lastRenderedPageBreak/>
        <w:t>Schedule 3</w:t>
      </w:r>
      <w:r w:rsidRPr="00A863C2">
        <w:t>—</w:t>
      </w:r>
      <w:r w:rsidR="00D65BB3" w:rsidRPr="00A863C2">
        <w:t>Consequential amendments</w:t>
      </w:r>
      <w:bookmarkEnd w:id="15"/>
    </w:p>
    <w:p w14:paraId="27D108CC" w14:textId="7D849B47" w:rsidR="00D65BB3" w:rsidRPr="00A863C2" w:rsidRDefault="00D65BB3" w:rsidP="00D65BB3">
      <w:pPr>
        <w:pStyle w:val="ItemHead"/>
      </w:pPr>
      <w:proofErr w:type="gramStart"/>
      <w:r w:rsidRPr="00A863C2">
        <w:t>1  Subsection</w:t>
      </w:r>
      <w:proofErr w:type="gramEnd"/>
      <w:r w:rsidRPr="00A863C2">
        <w:t xml:space="preserve"> 5(1)</w:t>
      </w:r>
      <w:r w:rsidR="00B867B2" w:rsidRPr="00A863C2">
        <w:t xml:space="preserve"> (</w:t>
      </w:r>
      <w:r w:rsidRPr="00A863C2">
        <w:t xml:space="preserve">definition of </w:t>
      </w:r>
      <w:r w:rsidRPr="00A863C2">
        <w:rPr>
          <w:i/>
          <w:iCs/>
        </w:rPr>
        <w:t>Allied Health Determination</w:t>
      </w:r>
      <w:r w:rsidR="00B867B2" w:rsidRPr="00A863C2">
        <w:t>)</w:t>
      </w:r>
    </w:p>
    <w:p w14:paraId="194B5467" w14:textId="107240E1" w:rsidR="00D65BB3" w:rsidRPr="00A863C2" w:rsidRDefault="00D65BB3" w:rsidP="00D65BB3">
      <w:pPr>
        <w:pStyle w:val="Item"/>
      </w:pPr>
      <w:r w:rsidRPr="00A863C2">
        <w:t>Omit “</w:t>
      </w:r>
      <w:r w:rsidRPr="00A863C2">
        <w:rPr>
          <w:i/>
          <w:iCs/>
        </w:rPr>
        <w:t>Health Insurance (Allied Health Services) Determination 2014</w:t>
      </w:r>
      <w:r w:rsidRPr="00A863C2">
        <w:t>”, substitute “</w:t>
      </w:r>
      <w:r w:rsidRPr="00A863C2">
        <w:rPr>
          <w:i/>
          <w:iCs/>
        </w:rPr>
        <w:t>Health Insurance (Section 3C General Medical Services – Allied Health Services) Determination 202</w:t>
      </w:r>
      <w:r w:rsidR="00BC4922" w:rsidRPr="00A863C2">
        <w:rPr>
          <w:i/>
          <w:iCs/>
        </w:rPr>
        <w:t>4</w:t>
      </w:r>
      <w:r w:rsidRPr="00A863C2">
        <w:t xml:space="preserve">”. </w:t>
      </w:r>
    </w:p>
    <w:p w14:paraId="0BDE31B5" w14:textId="213339A1" w:rsidR="00E76ABA" w:rsidRPr="00A863C2" w:rsidRDefault="00EA1236" w:rsidP="00E76ABA">
      <w:pPr>
        <w:pStyle w:val="ItemHead"/>
      </w:pPr>
      <w:proofErr w:type="gramStart"/>
      <w:r w:rsidRPr="00A863C2">
        <w:t>2</w:t>
      </w:r>
      <w:r w:rsidR="00E76ABA" w:rsidRPr="00A863C2">
        <w:t xml:space="preserve">  Schedule</w:t>
      </w:r>
      <w:proofErr w:type="gramEnd"/>
      <w:r w:rsidR="00E76ABA" w:rsidRPr="00A863C2">
        <w:t xml:space="preserve"> 3 (cell at item 93000, column 2)</w:t>
      </w:r>
    </w:p>
    <w:p w14:paraId="6625B3A2" w14:textId="77777777" w:rsidR="00E76ABA" w:rsidRPr="00A863C2" w:rsidRDefault="00E76ABA" w:rsidP="00E76ABA">
      <w:pPr>
        <w:pStyle w:val="Item"/>
      </w:pPr>
      <w:r w:rsidRPr="00A863C2">
        <w:t xml:space="preserve">Omit “Part 1 of the Schedule to”, substitute “Subgroup 1 of Group M3 of”. </w:t>
      </w:r>
    </w:p>
    <w:p w14:paraId="4F69479C" w14:textId="78C5B23C" w:rsidR="00E76ABA" w:rsidRPr="00A863C2" w:rsidRDefault="00EA1236" w:rsidP="00E76ABA">
      <w:pPr>
        <w:pStyle w:val="ItemHead"/>
      </w:pPr>
      <w:proofErr w:type="gramStart"/>
      <w:r w:rsidRPr="00A863C2">
        <w:t>3</w:t>
      </w:r>
      <w:r w:rsidR="00E76ABA" w:rsidRPr="00A863C2">
        <w:t xml:space="preserve">  Schedule</w:t>
      </w:r>
      <w:proofErr w:type="gramEnd"/>
      <w:r w:rsidR="00E76ABA" w:rsidRPr="00A863C2">
        <w:t xml:space="preserve"> 3 (cell at item 93013, column 2) </w:t>
      </w:r>
    </w:p>
    <w:p w14:paraId="14ED0BE2" w14:textId="77777777" w:rsidR="00E76ABA" w:rsidRDefault="00E76ABA" w:rsidP="00E76ABA">
      <w:pPr>
        <w:pStyle w:val="Item"/>
      </w:pPr>
      <w:r w:rsidRPr="00A863C2">
        <w:t>Omit “Part 1 of the Schedule to”, substitute “Subgroup 1 of Group M3 of”.</w:t>
      </w:r>
      <w:r>
        <w:t xml:space="preserve"> </w:t>
      </w:r>
    </w:p>
    <w:p w14:paraId="66FED287" w14:textId="77777777" w:rsidR="00E76ABA" w:rsidRPr="00E76ABA" w:rsidRDefault="00E76ABA" w:rsidP="00A1579C">
      <w:pPr>
        <w:pStyle w:val="ItemHead"/>
      </w:pPr>
    </w:p>
    <w:p w14:paraId="603E39C8" w14:textId="1B01C352" w:rsidR="00C121B4" w:rsidRDefault="00C121B4" w:rsidP="00F207DD">
      <w:pPr>
        <w:pStyle w:val="Item"/>
        <w:ind w:left="0"/>
      </w:pPr>
    </w:p>
    <w:sectPr w:rsidR="00C121B4"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5165" w14:textId="77777777" w:rsidR="00F175E2" w:rsidRDefault="00F175E2" w:rsidP="0048364F">
      <w:pPr>
        <w:spacing w:line="240" w:lineRule="auto"/>
      </w:pPr>
      <w:r>
        <w:separator/>
      </w:r>
    </w:p>
  </w:endnote>
  <w:endnote w:type="continuationSeparator" w:id="0">
    <w:p w14:paraId="51FCD561" w14:textId="77777777" w:rsidR="00F175E2" w:rsidRDefault="00F175E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02BAEBB7" w14:textId="77777777" w:rsidTr="0001176A">
      <w:tc>
        <w:tcPr>
          <w:tcW w:w="5000" w:type="pct"/>
        </w:tcPr>
        <w:p w14:paraId="6BDC6FD3" w14:textId="77777777" w:rsidR="009278C1" w:rsidRDefault="009278C1" w:rsidP="0001176A">
          <w:pPr>
            <w:rPr>
              <w:sz w:val="18"/>
            </w:rPr>
          </w:pPr>
        </w:p>
      </w:tc>
    </w:tr>
  </w:tbl>
  <w:p w14:paraId="57F17AE9"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A5CABBC" w14:textId="77777777" w:rsidTr="00C160A1">
      <w:tc>
        <w:tcPr>
          <w:tcW w:w="5000" w:type="pct"/>
        </w:tcPr>
        <w:p w14:paraId="6C1CDD24" w14:textId="77777777" w:rsidR="00B20990" w:rsidRDefault="00B20990" w:rsidP="007946FE">
          <w:pPr>
            <w:rPr>
              <w:sz w:val="18"/>
            </w:rPr>
          </w:pPr>
        </w:p>
      </w:tc>
    </w:tr>
  </w:tbl>
  <w:p w14:paraId="4035164D"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2236"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C527A15" w14:textId="77777777" w:rsidTr="00C160A1">
      <w:tc>
        <w:tcPr>
          <w:tcW w:w="5000" w:type="pct"/>
        </w:tcPr>
        <w:p w14:paraId="77874AEE" w14:textId="77777777" w:rsidR="00B20990" w:rsidRDefault="00B20990" w:rsidP="00465764">
          <w:pPr>
            <w:rPr>
              <w:sz w:val="18"/>
            </w:rPr>
          </w:pPr>
        </w:p>
      </w:tc>
    </w:tr>
  </w:tbl>
  <w:p w14:paraId="23224794"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B8C6" w14:textId="18E43823"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0327CF10" w14:textId="77777777" w:rsidTr="00C160A1">
      <w:tc>
        <w:tcPr>
          <w:tcW w:w="365" w:type="pct"/>
          <w:tcBorders>
            <w:top w:val="nil"/>
            <w:left w:val="nil"/>
            <w:bottom w:val="nil"/>
            <w:right w:val="nil"/>
          </w:tcBorders>
        </w:tcPr>
        <w:p w14:paraId="197091C6"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E950690" w14:textId="15AFCF00"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061A4">
            <w:rPr>
              <w:i/>
              <w:noProof/>
              <w:sz w:val="18"/>
            </w:rPr>
            <w:t>Health Insurance (Section 3C General Medical Services – Telehealth and Telephone Attendances) Amendment (No. 1) Determination 2024</w:t>
          </w:r>
          <w:r w:rsidRPr="00B20990">
            <w:rPr>
              <w:i/>
              <w:sz w:val="18"/>
            </w:rPr>
            <w:fldChar w:fldCharType="end"/>
          </w:r>
        </w:p>
      </w:tc>
      <w:tc>
        <w:tcPr>
          <w:tcW w:w="947" w:type="pct"/>
          <w:tcBorders>
            <w:top w:val="nil"/>
            <w:left w:val="nil"/>
            <w:bottom w:val="nil"/>
            <w:right w:val="nil"/>
          </w:tcBorders>
        </w:tcPr>
        <w:p w14:paraId="06298D8B" w14:textId="77777777" w:rsidR="00B20990" w:rsidRDefault="00B20990" w:rsidP="00E33C1C">
          <w:pPr>
            <w:spacing w:line="0" w:lineRule="atLeast"/>
            <w:jc w:val="right"/>
            <w:rPr>
              <w:sz w:val="18"/>
            </w:rPr>
          </w:pPr>
        </w:p>
      </w:tc>
    </w:tr>
    <w:tr w:rsidR="00B20990" w14:paraId="7BFFA8D2"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93F49D1" w14:textId="77777777" w:rsidR="00B20990" w:rsidRDefault="00B20990" w:rsidP="007946FE">
          <w:pPr>
            <w:jc w:val="right"/>
            <w:rPr>
              <w:sz w:val="18"/>
            </w:rPr>
          </w:pPr>
        </w:p>
      </w:tc>
    </w:tr>
  </w:tbl>
  <w:p w14:paraId="19FC8597"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763D" w14:textId="4B7B6B5A"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014141F7" w14:textId="77777777" w:rsidTr="00C160A1">
      <w:tc>
        <w:tcPr>
          <w:tcW w:w="947" w:type="pct"/>
          <w:tcBorders>
            <w:top w:val="nil"/>
            <w:left w:val="nil"/>
            <w:bottom w:val="nil"/>
            <w:right w:val="nil"/>
          </w:tcBorders>
        </w:tcPr>
        <w:p w14:paraId="3AE3E5BE" w14:textId="77777777" w:rsidR="00B20990" w:rsidRDefault="00B20990" w:rsidP="00E33C1C">
          <w:pPr>
            <w:spacing w:line="0" w:lineRule="atLeast"/>
            <w:rPr>
              <w:sz w:val="18"/>
            </w:rPr>
          </w:pPr>
        </w:p>
      </w:tc>
      <w:tc>
        <w:tcPr>
          <w:tcW w:w="3688" w:type="pct"/>
          <w:tcBorders>
            <w:top w:val="nil"/>
            <w:left w:val="nil"/>
            <w:bottom w:val="nil"/>
            <w:right w:val="nil"/>
          </w:tcBorders>
        </w:tcPr>
        <w:p w14:paraId="53F16CDC" w14:textId="5696FC4B"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863C2">
            <w:rPr>
              <w:i/>
              <w:noProof/>
              <w:sz w:val="18"/>
            </w:rPr>
            <w:t>Health Insurance (Section 3C General Medical Services – Telehealth and Telephone Attendances) Amendment (No. 1) Determination 2024</w:t>
          </w:r>
          <w:r w:rsidRPr="00B20990">
            <w:rPr>
              <w:i/>
              <w:sz w:val="18"/>
            </w:rPr>
            <w:fldChar w:fldCharType="end"/>
          </w:r>
        </w:p>
      </w:tc>
      <w:tc>
        <w:tcPr>
          <w:tcW w:w="365" w:type="pct"/>
          <w:tcBorders>
            <w:top w:val="nil"/>
            <w:left w:val="nil"/>
            <w:bottom w:val="nil"/>
            <w:right w:val="nil"/>
          </w:tcBorders>
        </w:tcPr>
        <w:p w14:paraId="6FEA0EA8"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03D25A97"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F8C48D1" w14:textId="77777777" w:rsidR="00B20990" w:rsidRDefault="00B20990" w:rsidP="007946FE">
          <w:pPr>
            <w:rPr>
              <w:sz w:val="18"/>
            </w:rPr>
          </w:pPr>
        </w:p>
      </w:tc>
    </w:tr>
  </w:tbl>
  <w:p w14:paraId="37E9F792"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FC5A" w14:textId="02462A02"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781FA00D" w14:textId="77777777" w:rsidTr="007A6863">
      <w:tc>
        <w:tcPr>
          <w:tcW w:w="709" w:type="dxa"/>
          <w:tcBorders>
            <w:top w:val="nil"/>
            <w:left w:val="nil"/>
            <w:bottom w:val="nil"/>
            <w:right w:val="nil"/>
          </w:tcBorders>
        </w:tcPr>
        <w:p w14:paraId="092DDC8B"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3F727DCA" w14:textId="18A73E8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863C2">
            <w:rPr>
              <w:i/>
              <w:noProof/>
              <w:sz w:val="18"/>
            </w:rPr>
            <w:t>Health Insurance (Section 3C General Medical Services – Telehealth and Telephone Attendances) Amendment (No. 1) Determination 2024</w:t>
          </w:r>
          <w:r w:rsidRPr="00B20990">
            <w:rPr>
              <w:i/>
              <w:sz w:val="18"/>
            </w:rPr>
            <w:fldChar w:fldCharType="end"/>
          </w:r>
        </w:p>
      </w:tc>
      <w:tc>
        <w:tcPr>
          <w:tcW w:w="1383" w:type="dxa"/>
          <w:tcBorders>
            <w:top w:val="nil"/>
            <w:left w:val="nil"/>
            <w:bottom w:val="nil"/>
            <w:right w:val="nil"/>
          </w:tcBorders>
        </w:tcPr>
        <w:p w14:paraId="26507830" w14:textId="77777777" w:rsidR="00EE57E8" w:rsidRDefault="00EE57E8" w:rsidP="00EE57E8">
          <w:pPr>
            <w:spacing w:line="0" w:lineRule="atLeast"/>
            <w:jc w:val="right"/>
            <w:rPr>
              <w:sz w:val="18"/>
            </w:rPr>
          </w:pPr>
        </w:p>
      </w:tc>
    </w:tr>
    <w:tr w:rsidR="00EE57E8" w14:paraId="315C616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04C1206" w14:textId="77777777" w:rsidR="00EE57E8" w:rsidRDefault="00EE57E8" w:rsidP="00EE57E8">
          <w:pPr>
            <w:jc w:val="right"/>
            <w:rPr>
              <w:sz w:val="18"/>
            </w:rPr>
          </w:pPr>
        </w:p>
      </w:tc>
    </w:tr>
  </w:tbl>
  <w:p w14:paraId="40114B37"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BEDB" w14:textId="1B0EC0F1"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A559B2F" w14:textId="77777777" w:rsidTr="00EE57E8">
      <w:tc>
        <w:tcPr>
          <w:tcW w:w="1384" w:type="dxa"/>
          <w:tcBorders>
            <w:top w:val="nil"/>
            <w:left w:val="nil"/>
            <w:bottom w:val="nil"/>
            <w:right w:val="nil"/>
          </w:tcBorders>
        </w:tcPr>
        <w:p w14:paraId="60E78B2F" w14:textId="77777777" w:rsidR="00EE57E8" w:rsidRDefault="00EE57E8" w:rsidP="00EE57E8">
          <w:pPr>
            <w:spacing w:line="0" w:lineRule="atLeast"/>
            <w:rPr>
              <w:sz w:val="18"/>
            </w:rPr>
          </w:pPr>
        </w:p>
      </w:tc>
      <w:tc>
        <w:tcPr>
          <w:tcW w:w="6379" w:type="dxa"/>
          <w:tcBorders>
            <w:top w:val="nil"/>
            <w:left w:val="nil"/>
            <w:bottom w:val="nil"/>
            <w:right w:val="nil"/>
          </w:tcBorders>
        </w:tcPr>
        <w:p w14:paraId="2DD369AF" w14:textId="3EF2434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863C2">
            <w:rPr>
              <w:i/>
              <w:noProof/>
              <w:sz w:val="18"/>
            </w:rPr>
            <w:t>Health Insurance (Section 3C General Medical Services – Telehealth and Telephone Attendances) Amendment (No. 1) Determination 2024</w:t>
          </w:r>
          <w:r w:rsidRPr="00B20990">
            <w:rPr>
              <w:i/>
              <w:sz w:val="18"/>
            </w:rPr>
            <w:fldChar w:fldCharType="end"/>
          </w:r>
        </w:p>
      </w:tc>
      <w:tc>
        <w:tcPr>
          <w:tcW w:w="709" w:type="dxa"/>
          <w:tcBorders>
            <w:top w:val="nil"/>
            <w:left w:val="nil"/>
            <w:bottom w:val="nil"/>
            <w:right w:val="nil"/>
          </w:tcBorders>
        </w:tcPr>
        <w:p w14:paraId="228A2FB9"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77BCCE2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12F1EC9" w14:textId="77777777" w:rsidR="00EE57E8" w:rsidRDefault="00EE57E8" w:rsidP="00EE57E8">
          <w:pPr>
            <w:rPr>
              <w:sz w:val="18"/>
            </w:rPr>
          </w:pPr>
        </w:p>
      </w:tc>
    </w:tr>
  </w:tbl>
  <w:p w14:paraId="213D6C70"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788D" w14:textId="7FE0A52D"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4F2FA83" w14:textId="77777777" w:rsidTr="007A6863">
      <w:tc>
        <w:tcPr>
          <w:tcW w:w="1384" w:type="dxa"/>
          <w:tcBorders>
            <w:top w:val="nil"/>
            <w:left w:val="nil"/>
            <w:bottom w:val="nil"/>
            <w:right w:val="nil"/>
          </w:tcBorders>
        </w:tcPr>
        <w:p w14:paraId="70DB92E9" w14:textId="77777777" w:rsidR="00EE57E8" w:rsidRDefault="00EE57E8" w:rsidP="00EE57E8">
          <w:pPr>
            <w:spacing w:line="0" w:lineRule="atLeast"/>
            <w:rPr>
              <w:sz w:val="18"/>
            </w:rPr>
          </w:pPr>
        </w:p>
      </w:tc>
      <w:tc>
        <w:tcPr>
          <w:tcW w:w="6379" w:type="dxa"/>
          <w:tcBorders>
            <w:top w:val="nil"/>
            <w:left w:val="nil"/>
            <w:bottom w:val="nil"/>
            <w:right w:val="nil"/>
          </w:tcBorders>
        </w:tcPr>
        <w:p w14:paraId="329FDEBE" w14:textId="4894A3E5"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61A4">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A3100A8"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0CB6550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812005" w14:textId="35D2592A"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8061A4">
            <w:rPr>
              <w:i/>
              <w:noProof/>
              <w:sz w:val="18"/>
            </w:rPr>
            <w:t>C:\Users\SHAUKS\AppData\Roaming\Hewlett-Packard\HP TRIM\Offline Records (A7)\Telehealth ~ CARE ACCESS - Implementation(2)\DRAFT Health Insurance (Section 3C ~ and Telephone Attendances) Amendment (No. 1) Determination 2024.DOCX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863C2">
            <w:rPr>
              <w:i/>
              <w:noProof/>
              <w:sz w:val="18"/>
            </w:rPr>
            <w:t>30/1/2024 12:19 PM</w:t>
          </w:r>
          <w:r w:rsidRPr="00ED79B6">
            <w:rPr>
              <w:i/>
              <w:sz w:val="18"/>
            </w:rPr>
            <w:fldChar w:fldCharType="end"/>
          </w:r>
        </w:p>
      </w:tc>
    </w:tr>
  </w:tbl>
  <w:p w14:paraId="49E7E480"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5BD2" w14:textId="77777777" w:rsidR="00F175E2" w:rsidRDefault="00F175E2" w:rsidP="0048364F">
      <w:pPr>
        <w:spacing w:line="240" w:lineRule="auto"/>
      </w:pPr>
      <w:r>
        <w:separator/>
      </w:r>
    </w:p>
  </w:footnote>
  <w:footnote w:type="continuationSeparator" w:id="0">
    <w:p w14:paraId="26AE3888" w14:textId="77777777" w:rsidR="00F175E2" w:rsidRDefault="00F175E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01FD"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0FFF"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A602"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8287"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ECD4"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CA28"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F167" w14:textId="77777777" w:rsidR="00EE57E8" w:rsidRPr="00A961C4" w:rsidRDefault="00EE57E8" w:rsidP="0048364F">
    <w:pPr>
      <w:rPr>
        <w:b/>
        <w:sz w:val="20"/>
      </w:rPr>
    </w:pPr>
  </w:p>
  <w:p w14:paraId="29BEC147" w14:textId="77777777" w:rsidR="00EE57E8" w:rsidRPr="00A961C4" w:rsidRDefault="00EE57E8" w:rsidP="0048364F">
    <w:pPr>
      <w:rPr>
        <w:b/>
        <w:sz w:val="20"/>
      </w:rPr>
    </w:pPr>
  </w:p>
  <w:p w14:paraId="160997DD"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421D" w14:textId="77777777" w:rsidR="00EE57E8" w:rsidRPr="00A961C4" w:rsidRDefault="00EE57E8" w:rsidP="0048364F">
    <w:pPr>
      <w:jc w:val="right"/>
      <w:rPr>
        <w:sz w:val="20"/>
      </w:rPr>
    </w:pPr>
  </w:p>
  <w:p w14:paraId="56AA3943" w14:textId="77777777" w:rsidR="00EE57E8" w:rsidRPr="00A961C4" w:rsidRDefault="00EE57E8" w:rsidP="0048364F">
    <w:pPr>
      <w:jc w:val="right"/>
      <w:rPr>
        <w:b/>
        <w:sz w:val="20"/>
      </w:rPr>
    </w:pPr>
  </w:p>
  <w:p w14:paraId="5B639A4D"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CAD"/>
    <w:multiLevelType w:val="hybridMultilevel"/>
    <w:tmpl w:val="A8148652"/>
    <w:lvl w:ilvl="0" w:tplc="082AAA22">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496079"/>
    <w:multiLevelType w:val="hybridMultilevel"/>
    <w:tmpl w:val="23084CCE"/>
    <w:lvl w:ilvl="0" w:tplc="D65C45B2">
      <w:start w:val="1"/>
      <w:numFmt w:val="lowerRoman"/>
      <w:lvlText w:val="(%1)"/>
      <w:lvlJc w:val="left"/>
      <w:pPr>
        <w:ind w:left="1128" w:hanging="360"/>
      </w:pPr>
      <w:rPr>
        <w:rFonts w:hint="default"/>
      </w:rPr>
    </w:lvl>
    <w:lvl w:ilvl="1" w:tplc="013E2670">
      <w:start w:val="1"/>
      <w:numFmt w:val="lowerLetter"/>
      <w:lvlText w:val="(%2)"/>
      <w:lvlJc w:val="left"/>
      <w:pPr>
        <w:ind w:left="1863" w:hanging="375"/>
      </w:pPr>
      <w:rPr>
        <w:rFonts w:hint="default"/>
        <w:sz w:val="20"/>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2" w15:restartNumberingAfterBreak="0">
    <w:nsid w:val="090B2AE3"/>
    <w:multiLevelType w:val="hybridMultilevel"/>
    <w:tmpl w:val="F8266DB0"/>
    <w:lvl w:ilvl="0" w:tplc="7400BB96">
      <w:start w:val="2"/>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CB6E32"/>
    <w:multiLevelType w:val="hybridMultilevel"/>
    <w:tmpl w:val="6E2ADD56"/>
    <w:lvl w:ilvl="0" w:tplc="46129CBC">
      <w:start w:val="1"/>
      <w:numFmt w:val="decimal"/>
      <w:lvlText w:val="(%1A)"/>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614C0E"/>
    <w:multiLevelType w:val="hybridMultilevel"/>
    <w:tmpl w:val="F1B4162A"/>
    <w:lvl w:ilvl="0" w:tplc="D65C45B2">
      <w:start w:val="1"/>
      <w:numFmt w:val="lowerRoman"/>
      <w:lvlText w:val="(%1)"/>
      <w:lvlJc w:val="left"/>
      <w:pPr>
        <w:ind w:left="1264" w:hanging="360"/>
      </w:pPr>
      <w:rPr>
        <w:rFonts w:hint="default"/>
      </w:rPr>
    </w:lvl>
    <w:lvl w:ilvl="1" w:tplc="0C090019" w:tentative="1">
      <w:start w:val="1"/>
      <w:numFmt w:val="lowerLetter"/>
      <w:lvlText w:val="%2."/>
      <w:lvlJc w:val="left"/>
      <w:pPr>
        <w:ind w:left="1984" w:hanging="360"/>
      </w:pPr>
    </w:lvl>
    <w:lvl w:ilvl="2" w:tplc="0C09001B" w:tentative="1">
      <w:start w:val="1"/>
      <w:numFmt w:val="lowerRoman"/>
      <w:lvlText w:val="%3."/>
      <w:lvlJc w:val="right"/>
      <w:pPr>
        <w:ind w:left="2704" w:hanging="180"/>
      </w:pPr>
    </w:lvl>
    <w:lvl w:ilvl="3" w:tplc="0C09000F" w:tentative="1">
      <w:start w:val="1"/>
      <w:numFmt w:val="decimal"/>
      <w:lvlText w:val="%4."/>
      <w:lvlJc w:val="left"/>
      <w:pPr>
        <w:ind w:left="3424" w:hanging="360"/>
      </w:pPr>
    </w:lvl>
    <w:lvl w:ilvl="4" w:tplc="0C090019" w:tentative="1">
      <w:start w:val="1"/>
      <w:numFmt w:val="lowerLetter"/>
      <w:lvlText w:val="%5."/>
      <w:lvlJc w:val="left"/>
      <w:pPr>
        <w:ind w:left="4144" w:hanging="360"/>
      </w:pPr>
    </w:lvl>
    <w:lvl w:ilvl="5" w:tplc="0C09001B" w:tentative="1">
      <w:start w:val="1"/>
      <w:numFmt w:val="lowerRoman"/>
      <w:lvlText w:val="%6."/>
      <w:lvlJc w:val="right"/>
      <w:pPr>
        <w:ind w:left="4864" w:hanging="180"/>
      </w:pPr>
    </w:lvl>
    <w:lvl w:ilvl="6" w:tplc="0C09000F" w:tentative="1">
      <w:start w:val="1"/>
      <w:numFmt w:val="decimal"/>
      <w:lvlText w:val="%7."/>
      <w:lvlJc w:val="left"/>
      <w:pPr>
        <w:ind w:left="5584" w:hanging="360"/>
      </w:pPr>
    </w:lvl>
    <w:lvl w:ilvl="7" w:tplc="0C090019" w:tentative="1">
      <w:start w:val="1"/>
      <w:numFmt w:val="lowerLetter"/>
      <w:lvlText w:val="%8."/>
      <w:lvlJc w:val="left"/>
      <w:pPr>
        <w:ind w:left="6304" w:hanging="360"/>
      </w:pPr>
    </w:lvl>
    <w:lvl w:ilvl="8" w:tplc="0C09001B" w:tentative="1">
      <w:start w:val="1"/>
      <w:numFmt w:val="lowerRoman"/>
      <w:lvlText w:val="%9."/>
      <w:lvlJc w:val="right"/>
      <w:pPr>
        <w:ind w:left="7024" w:hanging="180"/>
      </w:pPr>
    </w:lvl>
  </w:abstractNum>
  <w:abstractNum w:abstractNumId="5" w15:restartNumberingAfterBreak="0">
    <w:nsid w:val="13630213"/>
    <w:multiLevelType w:val="hybridMultilevel"/>
    <w:tmpl w:val="371461F6"/>
    <w:lvl w:ilvl="0" w:tplc="14820104">
      <w:start w:val="1"/>
      <w:numFmt w:val="lowerRoman"/>
      <w:lvlText w:val="(%1)"/>
      <w:lvlJc w:val="left"/>
      <w:pPr>
        <w:ind w:left="1264" w:hanging="360"/>
      </w:pPr>
      <w:rPr>
        <w:rFonts w:hint="default"/>
      </w:rPr>
    </w:lvl>
    <w:lvl w:ilvl="1" w:tplc="8722C412">
      <w:start w:val="1"/>
      <w:numFmt w:val="lowerRoman"/>
      <w:lvlText w:val="%2."/>
      <w:lvlJc w:val="left"/>
      <w:pPr>
        <w:ind w:left="2464" w:hanging="840"/>
      </w:pPr>
      <w:rPr>
        <w:rFonts w:hint="default"/>
      </w:r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6" w15:restartNumberingAfterBreak="0">
    <w:nsid w:val="145B2A08"/>
    <w:multiLevelType w:val="hybridMultilevel"/>
    <w:tmpl w:val="5A68E0C8"/>
    <w:lvl w:ilvl="0" w:tplc="8FA8864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8FA8864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50B0258"/>
    <w:multiLevelType w:val="hybridMultilevel"/>
    <w:tmpl w:val="FE780170"/>
    <w:lvl w:ilvl="0" w:tplc="FFFFFFFF">
      <w:start w:val="1"/>
      <w:numFmt w:val="lowerLetter"/>
      <w:lvlText w:val="(%1)"/>
      <w:lvlJc w:val="left"/>
      <w:pPr>
        <w:ind w:left="360" w:hanging="360"/>
      </w:pPr>
      <w:rPr>
        <w:rFonts w:hint="default"/>
      </w:rPr>
    </w:lvl>
    <w:lvl w:ilvl="1" w:tplc="71847268">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B61A96"/>
    <w:multiLevelType w:val="hybridMultilevel"/>
    <w:tmpl w:val="208C1122"/>
    <w:lvl w:ilvl="0" w:tplc="19B0D134">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572C28"/>
    <w:multiLevelType w:val="hybridMultilevel"/>
    <w:tmpl w:val="8AFEC550"/>
    <w:lvl w:ilvl="0" w:tplc="CF14AEC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DB0D6C"/>
    <w:multiLevelType w:val="hybridMultilevel"/>
    <w:tmpl w:val="60F88D36"/>
    <w:lvl w:ilvl="0" w:tplc="FFFFFFFF">
      <w:start w:val="1"/>
      <w:numFmt w:val="lowerLetter"/>
      <w:lvlText w:val="(%1)"/>
      <w:lvlJc w:val="left"/>
      <w:pPr>
        <w:ind w:left="360" w:hanging="360"/>
      </w:pPr>
      <w:rPr>
        <w:rFonts w:hint="default"/>
      </w:rPr>
    </w:lvl>
    <w:lvl w:ilvl="1" w:tplc="71847268">
      <w:start w:val="1"/>
      <w:numFmt w:val="lowerLetter"/>
      <w:lvlText w:val="(%2)"/>
      <w:lvlJc w:val="left"/>
      <w:pPr>
        <w:ind w:left="36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71212BB"/>
    <w:multiLevelType w:val="hybridMultilevel"/>
    <w:tmpl w:val="0DA60F0E"/>
    <w:lvl w:ilvl="0" w:tplc="73C4B904">
      <w:start w:val="2"/>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F7563BC"/>
    <w:multiLevelType w:val="hybridMultilevel"/>
    <w:tmpl w:val="FEF0D5F0"/>
    <w:lvl w:ilvl="0" w:tplc="4170D48E">
      <w:start w:val="2"/>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0CF7BA7"/>
    <w:multiLevelType w:val="hybridMultilevel"/>
    <w:tmpl w:val="20C0A6B8"/>
    <w:lvl w:ilvl="0" w:tplc="D65C45B2">
      <w:start w:val="1"/>
      <w:numFmt w:val="lowerRoman"/>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6" w15:restartNumberingAfterBreak="0">
    <w:nsid w:val="425F692A"/>
    <w:multiLevelType w:val="hybridMultilevel"/>
    <w:tmpl w:val="7AC0B8FC"/>
    <w:lvl w:ilvl="0" w:tplc="907210F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F74D76"/>
    <w:multiLevelType w:val="hybridMultilevel"/>
    <w:tmpl w:val="CDE66A1C"/>
    <w:lvl w:ilvl="0" w:tplc="4B4E3D30">
      <w:start w:val="2"/>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27182D"/>
    <w:multiLevelType w:val="hybridMultilevel"/>
    <w:tmpl w:val="4A4CD5D8"/>
    <w:lvl w:ilvl="0" w:tplc="E09C4100">
      <w:start w:val="1"/>
      <w:numFmt w:val="lowerRoman"/>
      <w:lvlText w:val="(%1)"/>
      <w:lvlJc w:val="lef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9" w15:restartNumberingAfterBreak="0">
    <w:nsid w:val="4BAF3995"/>
    <w:multiLevelType w:val="hybridMultilevel"/>
    <w:tmpl w:val="8EB084F8"/>
    <w:lvl w:ilvl="0" w:tplc="C642547A">
      <w:start w:val="2"/>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F1756B"/>
    <w:multiLevelType w:val="hybridMultilevel"/>
    <w:tmpl w:val="BDE6A796"/>
    <w:lvl w:ilvl="0" w:tplc="FFFFFFFF">
      <w:start w:val="1"/>
      <w:numFmt w:val="lowerLetter"/>
      <w:lvlText w:val="(%1)"/>
      <w:lvlJc w:val="left"/>
      <w:pPr>
        <w:ind w:left="360" w:hanging="360"/>
      </w:pPr>
      <w:rPr>
        <w:rFonts w:hint="default"/>
      </w:rPr>
    </w:lvl>
    <w:lvl w:ilvl="1" w:tplc="71847268">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CFD495E"/>
    <w:multiLevelType w:val="hybridMultilevel"/>
    <w:tmpl w:val="DFFC4680"/>
    <w:lvl w:ilvl="0" w:tplc="46129CBC">
      <w:start w:val="1"/>
      <w:numFmt w:val="decimal"/>
      <w:lvlText w:val="(%1A)"/>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12663BD"/>
    <w:multiLevelType w:val="hybridMultilevel"/>
    <w:tmpl w:val="46EEACF2"/>
    <w:lvl w:ilvl="0" w:tplc="014860DA">
      <w:start w:val="2"/>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43641B"/>
    <w:multiLevelType w:val="hybridMultilevel"/>
    <w:tmpl w:val="989640A0"/>
    <w:lvl w:ilvl="0" w:tplc="C8E47922">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83165D"/>
    <w:multiLevelType w:val="hybridMultilevel"/>
    <w:tmpl w:val="6546852A"/>
    <w:lvl w:ilvl="0" w:tplc="718472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455B02"/>
    <w:multiLevelType w:val="hybridMultilevel"/>
    <w:tmpl w:val="F50A377A"/>
    <w:lvl w:ilvl="0" w:tplc="FFFFFFFF">
      <w:start w:val="1"/>
      <w:numFmt w:val="lowerLetter"/>
      <w:lvlText w:val="(%1)"/>
      <w:lvlJc w:val="left"/>
      <w:pPr>
        <w:ind w:left="720" w:hanging="360"/>
      </w:pPr>
      <w:rPr>
        <w:rFonts w:hint="default"/>
      </w:rPr>
    </w:lvl>
    <w:lvl w:ilvl="1" w:tplc="71847268">
      <w:start w:val="1"/>
      <w:numFmt w:val="lowerLetter"/>
      <w:lvlText w:val="(%2)"/>
      <w:lvlJc w:val="left"/>
      <w:pPr>
        <w:ind w:left="720" w:hanging="360"/>
      </w:pPr>
      <w:rPr>
        <w:rFonts w:hint="default"/>
      </w:rPr>
    </w:lvl>
    <w:lvl w:ilvl="2" w:tplc="B1EE6A32">
      <w:start w:val="1"/>
      <w:numFmt w:val="decimal"/>
      <w:lvlText w:val="(%3)"/>
      <w:lvlJc w:val="left"/>
      <w:pPr>
        <w:ind w:left="2400" w:hanging="4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956595"/>
    <w:multiLevelType w:val="hybridMultilevel"/>
    <w:tmpl w:val="9A564B84"/>
    <w:lvl w:ilvl="0" w:tplc="282CA3C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3E367D"/>
    <w:multiLevelType w:val="hybridMultilevel"/>
    <w:tmpl w:val="12687798"/>
    <w:lvl w:ilvl="0" w:tplc="4CBE70FC">
      <w:start w:val="1"/>
      <w:numFmt w:val="lowerRoman"/>
      <w:lvlText w:val="(%1)"/>
      <w:lvlJc w:val="lef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8" w15:restartNumberingAfterBreak="0">
    <w:nsid w:val="692C15B5"/>
    <w:multiLevelType w:val="hybridMultilevel"/>
    <w:tmpl w:val="53DECBA0"/>
    <w:lvl w:ilvl="0" w:tplc="992A4E82">
      <w:start w:val="1"/>
      <w:numFmt w:val="lowerRoman"/>
      <w:lvlText w:val="(%1)"/>
      <w:lvlJc w:val="left"/>
      <w:pPr>
        <w:ind w:left="1264" w:hanging="360"/>
      </w:pPr>
      <w:rPr>
        <w:rFonts w:hint="default"/>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9" w15:restartNumberingAfterBreak="0">
    <w:nsid w:val="6C1657EC"/>
    <w:multiLevelType w:val="hybridMultilevel"/>
    <w:tmpl w:val="7CD4424A"/>
    <w:lvl w:ilvl="0" w:tplc="9702AB66">
      <w:start w:val="2"/>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4B5BF3"/>
    <w:multiLevelType w:val="hybridMultilevel"/>
    <w:tmpl w:val="6FF6C1B2"/>
    <w:lvl w:ilvl="0" w:tplc="7B60B08C">
      <w:start w:val="1"/>
      <w:numFmt w:val="lowerRoman"/>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1" w15:restartNumberingAfterBreak="0">
    <w:nsid w:val="704D1156"/>
    <w:multiLevelType w:val="hybridMultilevel"/>
    <w:tmpl w:val="710A1160"/>
    <w:lvl w:ilvl="0" w:tplc="718472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44B94"/>
    <w:multiLevelType w:val="hybridMultilevel"/>
    <w:tmpl w:val="56927E18"/>
    <w:lvl w:ilvl="0" w:tplc="C8E47922">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14704D7"/>
    <w:multiLevelType w:val="hybridMultilevel"/>
    <w:tmpl w:val="C26884A8"/>
    <w:lvl w:ilvl="0" w:tplc="9CFABBB8">
      <w:start w:val="2"/>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7B5B6B"/>
    <w:multiLevelType w:val="hybridMultilevel"/>
    <w:tmpl w:val="F4064C78"/>
    <w:lvl w:ilvl="0" w:tplc="4374238E">
      <w:start w:val="1"/>
      <w:numFmt w:val="lowerRoman"/>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5" w15:restartNumberingAfterBreak="0">
    <w:nsid w:val="77390AC4"/>
    <w:multiLevelType w:val="hybridMultilevel"/>
    <w:tmpl w:val="AD203672"/>
    <w:lvl w:ilvl="0" w:tplc="E85C92B4">
      <w:start w:val="1"/>
      <w:numFmt w:val="decimal"/>
      <w:lvlText w:val="(%1A)"/>
      <w:lvlJc w:val="center"/>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EF5793"/>
    <w:multiLevelType w:val="hybridMultilevel"/>
    <w:tmpl w:val="DF9C1056"/>
    <w:lvl w:ilvl="0" w:tplc="74CC354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F77706"/>
    <w:multiLevelType w:val="hybridMultilevel"/>
    <w:tmpl w:val="D49E5926"/>
    <w:lvl w:ilvl="0" w:tplc="D65C45B2">
      <w:start w:val="1"/>
      <w:numFmt w:val="lowerRoman"/>
      <w:lvlText w:val="(%1)"/>
      <w:lvlJc w:val="left"/>
      <w:pPr>
        <w:ind w:left="1264" w:hanging="360"/>
      </w:pPr>
      <w:rPr>
        <w:rFonts w:hint="default"/>
      </w:rPr>
    </w:lvl>
    <w:lvl w:ilvl="1" w:tplc="0C090019" w:tentative="1">
      <w:start w:val="1"/>
      <w:numFmt w:val="lowerLetter"/>
      <w:lvlText w:val="%2."/>
      <w:lvlJc w:val="left"/>
      <w:pPr>
        <w:ind w:left="1984" w:hanging="360"/>
      </w:pPr>
    </w:lvl>
    <w:lvl w:ilvl="2" w:tplc="0C09001B" w:tentative="1">
      <w:start w:val="1"/>
      <w:numFmt w:val="lowerRoman"/>
      <w:lvlText w:val="%3."/>
      <w:lvlJc w:val="right"/>
      <w:pPr>
        <w:ind w:left="2704" w:hanging="180"/>
      </w:pPr>
    </w:lvl>
    <w:lvl w:ilvl="3" w:tplc="0C09000F" w:tentative="1">
      <w:start w:val="1"/>
      <w:numFmt w:val="decimal"/>
      <w:lvlText w:val="%4."/>
      <w:lvlJc w:val="left"/>
      <w:pPr>
        <w:ind w:left="3424" w:hanging="360"/>
      </w:pPr>
    </w:lvl>
    <w:lvl w:ilvl="4" w:tplc="0C090019" w:tentative="1">
      <w:start w:val="1"/>
      <w:numFmt w:val="lowerLetter"/>
      <w:lvlText w:val="%5."/>
      <w:lvlJc w:val="left"/>
      <w:pPr>
        <w:ind w:left="4144" w:hanging="360"/>
      </w:pPr>
    </w:lvl>
    <w:lvl w:ilvl="5" w:tplc="0C09001B" w:tentative="1">
      <w:start w:val="1"/>
      <w:numFmt w:val="lowerRoman"/>
      <w:lvlText w:val="%6."/>
      <w:lvlJc w:val="right"/>
      <w:pPr>
        <w:ind w:left="4864" w:hanging="180"/>
      </w:pPr>
    </w:lvl>
    <w:lvl w:ilvl="6" w:tplc="0C09000F" w:tentative="1">
      <w:start w:val="1"/>
      <w:numFmt w:val="decimal"/>
      <w:lvlText w:val="%7."/>
      <w:lvlJc w:val="left"/>
      <w:pPr>
        <w:ind w:left="5584" w:hanging="360"/>
      </w:pPr>
    </w:lvl>
    <w:lvl w:ilvl="7" w:tplc="0C090019" w:tentative="1">
      <w:start w:val="1"/>
      <w:numFmt w:val="lowerLetter"/>
      <w:lvlText w:val="%8."/>
      <w:lvlJc w:val="left"/>
      <w:pPr>
        <w:ind w:left="6304" w:hanging="360"/>
      </w:pPr>
    </w:lvl>
    <w:lvl w:ilvl="8" w:tplc="0C09001B" w:tentative="1">
      <w:start w:val="1"/>
      <w:numFmt w:val="lowerRoman"/>
      <w:lvlText w:val="%9."/>
      <w:lvlJc w:val="right"/>
      <w:pPr>
        <w:ind w:left="7024" w:hanging="180"/>
      </w:pPr>
    </w:lvl>
  </w:abstractNum>
  <w:abstractNum w:abstractNumId="38" w15:restartNumberingAfterBreak="0">
    <w:nsid w:val="7D381EF7"/>
    <w:multiLevelType w:val="hybridMultilevel"/>
    <w:tmpl w:val="2098D248"/>
    <w:lvl w:ilvl="0" w:tplc="1DCEB072">
      <w:start w:val="2"/>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0226355">
    <w:abstractNumId w:val="14"/>
  </w:num>
  <w:num w:numId="2" w16cid:durableId="271401004">
    <w:abstractNumId w:val="10"/>
  </w:num>
  <w:num w:numId="3" w16cid:durableId="936594308">
    <w:abstractNumId w:val="23"/>
  </w:num>
  <w:num w:numId="4" w16cid:durableId="2035643806">
    <w:abstractNumId w:val="36"/>
  </w:num>
  <w:num w:numId="5" w16cid:durableId="607271853">
    <w:abstractNumId w:val="8"/>
  </w:num>
  <w:num w:numId="6" w16cid:durableId="690187979">
    <w:abstractNumId w:val="32"/>
  </w:num>
  <w:num w:numId="7" w16cid:durableId="1061171088">
    <w:abstractNumId w:val="0"/>
  </w:num>
  <w:num w:numId="8" w16cid:durableId="701322471">
    <w:abstractNumId w:val="31"/>
  </w:num>
  <w:num w:numId="9" w16cid:durableId="1724140298">
    <w:abstractNumId w:val="1"/>
  </w:num>
  <w:num w:numId="10" w16cid:durableId="1016999306">
    <w:abstractNumId w:val="30"/>
  </w:num>
  <w:num w:numId="11" w16cid:durableId="544030163">
    <w:abstractNumId w:val="25"/>
  </w:num>
  <w:num w:numId="12" w16cid:durableId="1211577308">
    <w:abstractNumId w:val="15"/>
  </w:num>
  <w:num w:numId="13" w16cid:durableId="1418593960">
    <w:abstractNumId w:val="34"/>
  </w:num>
  <w:num w:numId="14" w16cid:durableId="887649650">
    <w:abstractNumId w:val="24"/>
  </w:num>
  <w:num w:numId="15" w16cid:durableId="1452940756">
    <w:abstractNumId w:val="4"/>
  </w:num>
  <w:num w:numId="16" w16cid:durableId="19821613">
    <w:abstractNumId w:val="37"/>
  </w:num>
  <w:num w:numId="17" w16cid:durableId="2360102">
    <w:abstractNumId w:val="26"/>
  </w:num>
  <w:num w:numId="18" w16cid:durableId="1898007735">
    <w:abstractNumId w:val="18"/>
  </w:num>
  <w:num w:numId="19" w16cid:durableId="1614094328">
    <w:abstractNumId w:val="27"/>
  </w:num>
  <w:num w:numId="20" w16cid:durableId="717826244">
    <w:abstractNumId w:val="28"/>
  </w:num>
  <w:num w:numId="21" w16cid:durableId="504706540">
    <w:abstractNumId w:val="5"/>
  </w:num>
  <w:num w:numId="22" w16cid:durableId="1572109227">
    <w:abstractNumId w:val="11"/>
  </w:num>
  <w:num w:numId="23" w16cid:durableId="583609983">
    <w:abstractNumId w:val="20"/>
  </w:num>
  <w:num w:numId="24" w16cid:durableId="40057445">
    <w:abstractNumId w:val="7"/>
  </w:num>
  <w:num w:numId="25" w16cid:durableId="1461681784">
    <w:abstractNumId w:val="12"/>
  </w:num>
  <w:num w:numId="26" w16cid:durableId="2099904979">
    <w:abstractNumId w:val="13"/>
  </w:num>
  <w:num w:numId="27" w16cid:durableId="638726528">
    <w:abstractNumId w:val="19"/>
  </w:num>
  <w:num w:numId="28" w16cid:durableId="1531991435">
    <w:abstractNumId w:val="38"/>
  </w:num>
  <w:num w:numId="29" w16cid:durableId="100880986">
    <w:abstractNumId w:val="2"/>
  </w:num>
  <w:num w:numId="30" w16cid:durableId="57629951">
    <w:abstractNumId w:val="29"/>
  </w:num>
  <w:num w:numId="31" w16cid:durableId="101537026">
    <w:abstractNumId w:val="33"/>
  </w:num>
  <w:num w:numId="32" w16cid:durableId="1999991170">
    <w:abstractNumId w:val="17"/>
  </w:num>
  <w:num w:numId="33" w16cid:durableId="139461820">
    <w:abstractNumId w:val="22"/>
  </w:num>
  <w:num w:numId="34" w16cid:durableId="2081633717">
    <w:abstractNumId w:val="9"/>
  </w:num>
  <w:num w:numId="35" w16cid:durableId="157117959">
    <w:abstractNumId w:val="16"/>
  </w:num>
  <w:num w:numId="36" w16cid:durableId="1660426108">
    <w:abstractNumId w:val="6"/>
  </w:num>
  <w:num w:numId="37" w16cid:durableId="363674949">
    <w:abstractNumId w:val="21"/>
  </w:num>
  <w:num w:numId="38" w16cid:durableId="2073308723">
    <w:abstractNumId w:val="3"/>
  </w:num>
  <w:num w:numId="39" w16cid:durableId="1685547237">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97"/>
    <w:rsid w:val="00000263"/>
    <w:rsid w:val="00004F49"/>
    <w:rsid w:val="000113BC"/>
    <w:rsid w:val="000136AF"/>
    <w:rsid w:val="00016646"/>
    <w:rsid w:val="0004044E"/>
    <w:rsid w:val="00043EA0"/>
    <w:rsid w:val="000479E1"/>
    <w:rsid w:val="0005120E"/>
    <w:rsid w:val="00054577"/>
    <w:rsid w:val="0005707E"/>
    <w:rsid w:val="000614BF"/>
    <w:rsid w:val="0007169C"/>
    <w:rsid w:val="00072BC9"/>
    <w:rsid w:val="00077593"/>
    <w:rsid w:val="00082ED0"/>
    <w:rsid w:val="00083F48"/>
    <w:rsid w:val="000A3421"/>
    <w:rsid w:val="000A479A"/>
    <w:rsid w:val="000A7DF9"/>
    <w:rsid w:val="000B2F9A"/>
    <w:rsid w:val="000C5DFC"/>
    <w:rsid w:val="000D05EF"/>
    <w:rsid w:val="000D0E27"/>
    <w:rsid w:val="000D3FB9"/>
    <w:rsid w:val="000D5485"/>
    <w:rsid w:val="000D56E9"/>
    <w:rsid w:val="000E32A8"/>
    <w:rsid w:val="000E598E"/>
    <w:rsid w:val="000E5A3D"/>
    <w:rsid w:val="000F0ADA"/>
    <w:rsid w:val="000F0E94"/>
    <w:rsid w:val="000F21C1"/>
    <w:rsid w:val="000F3D6F"/>
    <w:rsid w:val="001040D5"/>
    <w:rsid w:val="00106F89"/>
    <w:rsid w:val="0010745C"/>
    <w:rsid w:val="001122FF"/>
    <w:rsid w:val="00114830"/>
    <w:rsid w:val="00121D29"/>
    <w:rsid w:val="00127032"/>
    <w:rsid w:val="00130AA5"/>
    <w:rsid w:val="00131C7E"/>
    <w:rsid w:val="00160BD7"/>
    <w:rsid w:val="00162DC0"/>
    <w:rsid w:val="001643C9"/>
    <w:rsid w:val="00165568"/>
    <w:rsid w:val="001655E7"/>
    <w:rsid w:val="00166082"/>
    <w:rsid w:val="00166C2F"/>
    <w:rsid w:val="001716C9"/>
    <w:rsid w:val="0017258F"/>
    <w:rsid w:val="00174922"/>
    <w:rsid w:val="001823DD"/>
    <w:rsid w:val="00184261"/>
    <w:rsid w:val="00184453"/>
    <w:rsid w:val="00193461"/>
    <w:rsid w:val="001939E1"/>
    <w:rsid w:val="0019452E"/>
    <w:rsid w:val="00195382"/>
    <w:rsid w:val="00197FCE"/>
    <w:rsid w:val="001A3B9F"/>
    <w:rsid w:val="001A5520"/>
    <w:rsid w:val="001A65C0"/>
    <w:rsid w:val="001B5649"/>
    <w:rsid w:val="001B7A5D"/>
    <w:rsid w:val="001C1FEF"/>
    <w:rsid w:val="001C212D"/>
    <w:rsid w:val="001C2AD7"/>
    <w:rsid w:val="001C4C8B"/>
    <w:rsid w:val="001C5286"/>
    <w:rsid w:val="001C69C4"/>
    <w:rsid w:val="001D4552"/>
    <w:rsid w:val="001E0A8D"/>
    <w:rsid w:val="001E3590"/>
    <w:rsid w:val="001E4CE0"/>
    <w:rsid w:val="001E7407"/>
    <w:rsid w:val="001F1A46"/>
    <w:rsid w:val="00201D27"/>
    <w:rsid w:val="00202210"/>
    <w:rsid w:val="00206C84"/>
    <w:rsid w:val="00210827"/>
    <w:rsid w:val="00211294"/>
    <w:rsid w:val="0021153A"/>
    <w:rsid w:val="00222F17"/>
    <w:rsid w:val="002245A6"/>
    <w:rsid w:val="00226ED5"/>
    <w:rsid w:val="002302EA"/>
    <w:rsid w:val="0023457D"/>
    <w:rsid w:val="00237614"/>
    <w:rsid w:val="00240749"/>
    <w:rsid w:val="00240936"/>
    <w:rsid w:val="002468D7"/>
    <w:rsid w:val="00247E97"/>
    <w:rsid w:val="00256C81"/>
    <w:rsid w:val="00257FA6"/>
    <w:rsid w:val="002613F4"/>
    <w:rsid w:val="00261A61"/>
    <w:rsid w:val="00265025"/>
    <w:rsid w:val="00266A11"/>
    <w:rsid w:val="00270DA8"/>
    <w:rsid w:val="00285CDD"/>
    <w:rsid w:val="00291167"/>
    <w:rsid w:val="002947BD"/>
    <w:rsid w:val="0029489E"/>
    <w:rsid w:val="002972D5"/>
    <w:rsid w:val="00297ECB"/>
    <w:rsid w:val="002A7C6F"/>
    <w:rsid w:val="002B3004"/>
    <w:rsid w:val="002C152A"/>
    <w:rsid w:val="002D043A"/>
    <w:rsid w:val="002D109E"/>
    <w:rsid w:val="002D4133"/>
    <w:rsid w:val="002D6B84"/>
    <w:rsid w:val="002F0F02"/>
    <w:rsid w:val="002F2EB7"/>
    <w:rsid w:val="00310DD1"/>
    <w:rsid w:val="003118AF"/>
    <w:rsid w:val="0031713F"/>
    <w:rsid w:val="003222D1"/>
    <w:rsid w:val="0032700F"/>
    <w:rsid w:val="0032750F"/>
    <w:rsid w:val="003349EB"/>
    <w:rsid w:val="003415D3"/>
    <w:rsid w:val="003442F6"/>
    <w:rsid w:val="00345ED0"/>
    <w:rsid w:val="00346335"/>
    <w:rsid w:val="0035070A"/>
    <w:rsid w:val="00351056"/>
    <w:rsid w:val="00352B0F"/>
    <w:rsid w:val="003561B0"/>
    <w:rsid w:val="00371056"/>
    <w:rsid w:val="003911C0"/>
    <w:rsid w:val="00397893"/>
    <w:rsid w:val="003A15AC"/>
    <w:rsid w:val="003B0627"/>
    <w:rsid w:val="003B1C44"/>
    <w:rsid w:val="003B2B73"/>
    <w:rsid w:val="003C2099"/>
    <w:rsid w:val="003C5F2B"/>
    <w:rsid w:val="003C63FC"/>
    <w:rsid w:val="003C7D35"/>
    <w:rsid w:val="003D0BFE"/>
    <w:rsid w:val="003D5700"/>
    <w:rsid w:val="003F6F52"/>
    <w:rsid w:val="00400B02"/>
    <w:rsid w:val="004022CA"/>
    <w:rsid w:val="004116CD"/>
    <w:rsid w:val="00414ADE"/>
    <w:rsid w:val="0042286F"/>
    <w:rsid w:val="00424CA9"/>
    <w:rsid w:val="004257BB"/>
    <w:rsid w:val="00432495"/>
    <w:rsid w:val="004324F7"/>
    <w:rsid w:val="004411EA"/>
    <w:rsid w:val="0044291A"/>
    <w:rsid w:val="00445269"/>
    <w:rsid w:val="004516D2"/>
    <w:rsid w:val="004600B0"/>
    <w:rsid w:val="00460499"/>
    <w:rsid w:val="00460FBA"/>
    <w:rsid w:val="0046181A"/>
    <w:rsid w:val="00462840"/>
    <w:rsid w:val="00465678"/>
    <w:rsid w:val="004706F1"/>
    <w:rsid w:val="00474835"/>
    <w:rsid w:val="0047505F"/>
    <w:rsid w:val="0047743B"/>
    <w:rsid w:val="004819C7"/>
    <w:rsid w:val="0048364F"/>
    <w:rsid w:val="00484484"/>
    <w:rsid w:val="00485814"/>
    <w:rsid w:val="004877FC"/>
    <w:rsid w:val="00490F2E"/>
    <w:rsid w:val="00496F97"/>
    <w:rsid w:val="004A53EA"/>
    <w:rsid w:val="004B14CA"/>
    <w:rsid w:val="004B35E7"/>
    <w:rsid w:val="004D351D"/>
    <w:rsid w:val="004D582E"/>
    <w:rsid w:val="004E37A8"/>
    <w:rsid w:val="004E3B36"/>
    <w:rsid w:val="004F1FAC"/>
    <w:rsid w:val="004F676E"/>
    <w:rsid w:val="004F67E8"/>
    <w:rsid w:val="004F71C0"/>
    <w:rsid w:val="00513688"/>
    <w:rsid w:val="00516B8D"/>
    <w:rsid w:val="0052257E"/>
    <w:rsid w:val="0052756C"/>
    <w:rsid w:val="00530230"/>
    <w:rsid w:val="00530941"/>
    <w:rsid w:val="00530CC9"/>
    <w:rsid w:val="00531B46"/>
    <w:rsid w:val="00537FBC"/>
    <w:rsid w:val="00541881"/>
    <w:rsid w:val="00541D73"/>
    <w:rsid w:val="00543469"/>
    <w:rsid w:val="00546FA3"/>
    <w:rsid w:val="00556693"/>
    <w:rsid w:val="00557C7A"/>
    <w:rsid w:val="00562A58"/>
    <w:rsid w:val="005642C5"/>
    <w:rsid w:val="00565367"/>
    <w:rsid w:val="0056541A"/>
    <w:rsid w:val="00581211"/>
    <w:rsid w:val="00584811"/>
    <w:rsid w:val="00585A74"/>
    <w:rsid w:val="00585E26"/>
    <w:rsid w:val="00587544"/>
    <w:rsid w:val="00593AA6"/>
    <w:rsid w:val="00594161"/>
    <w:rsid w:val="00594749"/>
    <w:rsid w:val="00594956"/>
    <w:rsid w:val="00596B26"/>
    <w:rsid w:val="00597801"/>
    <w:rsid w:val="005A0C23"/>
    <w:rsid w:val="005A6E4C"/>
    <w:rsid w:val="005B1555"/>
    <w:rsid w:val="005B4067"/>
    <w:rsid w:val="005B4431"/>
    <w:rsid w:val="005B468F"/>
    <w:rsid w:val="005C3F41"/>
    <w:rsid w:val="005C4EF0"/>
    <w:rsid w:val="005D0FF8"/>
    <w:rsid w:val="005D1FE8"/>
    <w:rsid w:val="005D470F"/>
    <w:rsid w:val="005D5EA1"/>
    <w:rsid w:val="005D7332"/>
    <w:rsid w:val="005E098C"/>
    <w:rsid w:val="005E1F8D"/>
    <w:rsid w:val="005E317F"/>
    <w:rsid w:val="005E61D3"/>
    <w:rsid w:val="005F4945"/>
    <w:rsid w:val="00600219"/>
    <w:rsid w:val="0060361B"/>
    <w:rsid w:val="006065DA"/>
    <w:rsid w:val="00606AA4"/>
    <w:rsid w:val="006126A6"/>
    <w:rsid w:val="006133D7"/>
    <w:rsid w:val="00614C67"/>
    <w:rsid w:val="00640402"/>
    <w:rsid w:val="00640F78"/>
    <w:rsid w:val="00642AB0"/>
    <w:rsid w:val="00654B5C"/>
    <w:rsid w:val="00655D6A"/>
    <w:rsid w:val="0065674F"/>
    <w:rsid w:val="00656DE9"/>
    <w:rsid w:val="00671CED"/>
    <w:rsid w:val="00672876"/>
    <w:rsid w:val="0067714D"/>
    <w:rsid w:val="00677CC2"/>
    <w:rsid w:val="00680AA0"/>
    <w:rsid w:val="00681F7F"/>
    <w:rsid w:val="00683283"/>
    <w:rsid w:val="00685F42"/>
    <w:rsid w:val="00690825"/>
    <w:rsid w:val="00691D4E"/>
    <w:rsid w:val="0069207B"/>
    <w:rsid w:val="006A304E"/>
    <w:rsid w:val="006B6FE9"/>
    <w:rsid w:val="006B7006"/>
    <w:rsid w:val="006B7A48"/>
    <w:rsid w:val="006C7F8C"/>
    <w:rsid w:val="006D4CDF"/>
    <w:rsid w:val="006D6E5B"/>
    <w:rsid w:val="006D7AB9"/>
    <w:rsid w:val="006E012B"/>
    <w:rsid w:val="006E5B7A"/>
    <w:rsid w:val="006F4423"/>
    <w:rsid w:val="00700B2C"/>
    <w:rsid w:val="00713084"/>
    <w:rsid w:val="00713963"/>
    <w:rsid w:val="007155C8"/>
    <w:rsid w:val="00717463"/>
    <w:rsid w:val="00720FC2"/>
    <w:rsid w:val="00722E89"/>
    <w:rsid w:val="00723C17"/>
    <w:rsid w:val="00731E00"/>
    <w:rsid w:val="00732C9D"/>
    <w:rsid w:val="0073303E"/>
    <w:rsid w:val="007339C7"/>
    <w:rsid w:val="00741DEB"/>
    <w:rsid w:val="007440B7"/>
    <w:rsid w:val="00747993"/>
    <w:rsid w:val="007542C2"/>
    <w:rsid w:val="007561AD"/>
    <w:rsid w:val="007634AD"/>
    <w:rsid w:val="007664E0"/>
    <w:rsid w:val="00766E81"/>
    <w:rsid w:val="007715C9"/>
    <w:rsid w:val="00774EDD"/>
    <w:rsid w:val="007757EC"/>
    <w:rsid w:val="007848B7"/>
    <w:rsid w:val="00784E37"/>
    <w:rsid w:val="007A6863"/>
    <w:rsid w:val="007B27D7"/>
    <w:rsid w:val="007B4B3E"/>
    <w:rsid w:val="007C4E70"/>
    <w:rsid w:val="007C5111"/>
    <w:rsid w:val="007C78B4"/>
    <w:rsid w:val="007E13B3"/>
    <w:rsid w:val="007E32B6"/>
    <w:rsid w:val="007E486B"/>
    <w:rsid w:val="007E7D4A"/>
    <w:rsid w:val="007F1770"/>
    <w:rsid w:val="007F46FC"/>
    <w:rsid w:val="007F48ED"/>
    <w:rsid w:val="007F5E3F"/>
    <w:rsid w:val="00805880"/>
    <w:rsid w:val="008061A4"/>
    <w:rsid w:val="00811906"/>
    <w:rsid w:val="00812F45"/>
    <w:rsid w:val="008133A3"/>
    <w:rsid w:val="00816072"/>
    <w:rsid w:val="00836FE9"/>
    <w:rsid w:val="0084172C"/>
    <w:rsid w:val="0085175E"/>
    <w:rsid w:val="00854E40"/>
    <w:rsid w:val="00856A31"/>
    <w:rsid w:val="008754D0"/>
    <w:rsid w:val="00877C69"/>
    <w:rsid w:val="00877D48"/>
    <w:rsid w:val="00880451"/>
    <w:rsid w:val="00881601"/>
    <w:rsid w:val="0088345B"/>
    <w:rsid w:val="00893CF7"/>
    <w:rsid w:val="008A16A5"/>
    <w:rsid w:val="008A5C57"/>
    <w:rsid w:val="008A5F41"/>
    <w:rsid w:val="008C0629"/>
    <w:rsid w:val="008C1899"/>
    <w:rsid w:val="008D0EE0"/>
    <w:rsid w:val="008D127B"/>
    <w:rsid w:val="008D7A27"/>
    <w:rsid w:val="008D7E3A"/>
    <w:rsid w:val="008E4702"/>
    <w:rsid w:val="008E69AA"/>
    <w:rsid w:val="008E6A28"/>
    <w:rsid w:val="008F4F1C"/>
    <w:rsid w:val="008F6B6F"/>
    <w:rsid w:val="00902FF5"/>
    <w:rsid w:val="00904524"/>
    <w:rsid w:val="00905F78"/>
    <w:rsid w:val="009069AD"/>
    <w:rsid w:val="00910E64"/>
    <w:rsid w:val="00912FD9"/>
    <w:rsid w:val="00917531"/>
    <w:rsid w:val="00921C5C"/>
    <w:rsid w:val="00922764"/>
    <w:rsid w:val="009278C1"/>
    <w:rsid w:val="00932377"/>
    <w:rsid w:val="009336C4"/>
    <w:rsid w:val="009346E3"/>
    <w:rsid w:val="0094523D"/>
    <w:rsid w:val="0097510C"/>
    <w:rsid w:val="0097625F"/>
    <w:rsid w:val="00976A63"/>
    <w:rsid w:val="00982540"/>
    <w:rsid w:val="00986734"/>
    <w:rsid w:val="009A5A61"/>
    <w:rsid w:val="009B0AA2"/>
    <w:rsid w:val="009B2490"/>
    <w:rsid w:val="009B50E5"/>
    <w:rsid w:val="009B62DF"/>
    <w:rsid w:val="009B7353"/>
    <w:rsid w:val="009C1DBA"/>
    <w:rsid w:val="009C3431"/>
    <w:rsid w:val="009C5989"/>
    <w:rsid w:val="009C6A32"/>
    <w:rsid w:val="009D08DA"/>
    <w:rsid w:val="009E25EA"/>
    <w:rsid w:val="009E7C8A"/>
    <w:rsid w:val="00A02F97"/>
    <w:rsid w:val="00A06860"/>
    <w:rsid w:val="00A1237D"/>
    <w:rsid w:val="00A136F5"/>
    <w:rsid w:val="00A155BF"/>
    <w:rsid w:val="00A1579C"/>
    <w:rsid w:val="00A231E2"/>
    <w:rsid w:val="00A2550D"/>
    <w:rsid w:val="00A307B3"/>
    <w:rsid w:val="00A34F1E"/>
    <w:rsid w:val="00A379BB"/>
    <w:rsid w:val="00A4169B"/>
    <w:rsid w:val="00A506A3"/>
    <w:rsid w:val="00A50D55"/>
    <w:rsid w:val="00A52FDA"/>
    <w:rsid w:val="00A53689"/>
    <w:rsid w:val="00A62064"/>
    <w:rsid w:val="00A64912"/>
    <w:rsid w:val="00A658BD"/>
    <w:rsid w:val="00A70A74"/>
    <w:rsid w:val="00A8611F"/>
    <w:rsid w:val="00A863C2"/>
    <w:rsid w:val="00A9231A"/>
    <w:rsid w:val="00A9310D"/>
    <w:rsid w:val="00A95BC7"/>
    <w:rsid w:val="00A97FBE"/>
    <w:rsid w:val="00AA0343"/>
    <w:rsid w:val="00AA78CE"/>
    <w:rsid w:val="00AA7B26"/>
    <w:rsid w:val="00AB00A0"/>
    <w:rsid w:val="00AB528C"/>
    <w:rsid w:val="00AC767C"/>
    <w:rsid w:val="00AC7A23"/>
    <w:rsid w:val="00AD3467"/>
    <w:rsid w:val="00AD5641"/>
    <w:rsid w:val="00AD59D5"/>
    <w:rsid w:val="00AE3227"/>
    <w:rsid w:val="00AF33DB"/>
    <w:rsid w:val="00B027D2"/>
    <w:rsid w:val="00B032D8"/>
    <w:rsid w:val="00B05D72"/>
    <w:rsid w:val="00B10583"/>
    <w:rsid w:val="00B12383"/>
    <w:rsid w:val="00B20990"/>
    <w:rsid w:val="00B23FAF"/>
    <w:rsid w:val="00B33B3C"/>
    <w:rsid w:val="00B36A1C"/>
    <w:rsid w:val="00B40D74"/>
    <w:rsid w:val="00B42649"/>
    <w:rsid w:val="00B4514D"/>
    <w:rsid w:val="00B46467"/>
    <w:rsid w:val="00B51B19"/>
    <w:rsid w:val="00B52663"/>
    <w:rsid w:val="00B56DCB"/>
    <w:rsid w:val="00B61728"/>
    <w:rsid w:val="00B61CFE"/>
    <w:rsid w:val="00B62609"/>
    <w:rsid w:val="00B740FC"/>
    <w:rsid w:val="00B770D2"/>
    <w:rsid w:val="00B83582"/>
    <w:rsid w:val="00B8595F"/>
    <w:rsid w:val="00B867B2"/>
    <w:rsid w:val="00B9219A"/>
    <w:rsid w:val="00B93516"/>
    <w:rsid w:val="00B960F9"/>
    <w:rsid w:val="00B96776"/>
    <w:rsid w:val="00B973E5"/>
    <w:rsid w:val="00BA47A3"/>
    <w:rsid w:val="00BA4FE5"/>
    <w:rsid w:val="00BA5026"/>
    <w:rsid w:val="00BA7B5B"/>
    <w:rsid w:val="00BB6E79"/>
    <w:rsid w:val="00BC14DD"/>
    <w:rsid w:val="00BC4922"/>
    <w:rsid w:val="00BE34E7"/>
    <w:rsid w:val="00BE42C5"/>
    <w:rsid w:val="00BE719A"/>
    <w:rsid w:val="00BE720A"/>
    <w:rsid w:val="00BF0723"/>
    <w:rsid w:val="00BF2049"/>
    <w:rsid w:val="00BF5D66"/>
    <w:rsid w:val="00BF6264"/>
    <w:rsid w:val="00BF6650"/>
    <w:rsid w:val="00C04BCB"/>
    <w:rsid w:val="00C067E5"/>
    <w:rsid w:val="00C121B4"/>
    <w:rsid w:val="00C126AB"/>
    <w:rsid w:val="00C12E23"/>
    <w:rsid w:val="00C164CA"/>
    <w:rsid w:val="00C227A2"/>
    <w:rsid w:val="00C26051"/>
    <w:rsid w:val="00C42BF8"/>
    <w:rsid w:val="00C460AE"/>
    <w:rsid w:val="00C50043"/>
    <w:rsid w:val="00C5015F"/>
    <w:rsid w:val="00C50A0F"/>
    <w:rsid w:val="00C50F4A"/>
    <w:rsid w:val="00C72D10"/>
    <w:rsid w:val="00C7378E"/>
    <w:rsid w:val="00C74704"/>
    <w:rsid w:val="00C7573B"/>
    <w:rsid w:val="00C76CF3"/>
    <w:rsid w:val="00C82902"/>
    <w:rsid w:val="00C9307D"/>
    <w:rsid w:val="00C93205"/>
    <w:rsid w:val="00C934A5"/>
    <w:rsid w:val="00C945DC"/>
    <w:rsid w:val="00C95381"/>
    <w:rsid w:val="00CA472E"/>
    <w:rsid w:val="00CA7057"/>
    <w:rsid w:val="00CA7844"/>
    <w:rsid w:val="00CB4B69"/>
    <w:rsid w:val="00CB58EF"/>
    <w:rsid w:val="00CC15B5"/>
    <w:rsid w:val="00CD30ED"/>
    <w:rsid w:val="00CD3C94"/>
    <w:rsid w:val="00CE0A93"/>
    <w:rsid w:val="00CE4806"/>
    <w:rsid w:val="00CE6855"/>
    <w:rsid w:val="00CF0BB2"/>
    <w:rsid w:val="00CF3592"/>
    <w:rsid w:val="00D01BA4"/>
    <w:rsid w:val="00D07865"/>
    <w:rsid w:val="00D07FD1"/>
    <w:rsid w:val="00D10653"/>
    <w:rsid w:val="00D11A26"/>
    <w:rsid w:val="00D12B0D"/>
    <w:rsid w:val="00D13441"/>
    <w:rsid w:val="00D243A3"/>
    <w:rsid w:val="00D32195"/>
    <w:rsid w:val="00D3255F"/>
    <w:rsid w:val="00D33440"/>
    <w:rsid w:val="00D366E2"/>
    <w:rsid w:val="00D52EFE"/>
    <w:rsid w:val="00D56A0D"/>
    <w:rsid w:val="00D63EF6"/>
    <w:rsid w:val="00D65BB3"/>
    <w:rsid w:val="00D66518"/>
    <w:rsid w:val="00D70DFB"/>
    <w:rsid w:val="00D71EEA"/>
    <w:rsid w:val="00D735CD"/>
    <w:rsid w:val="00D766DF"/>
    <w:rsid w:val="00D80CF5"/>
    <w:rsid w:val="00D90841"/>
    <w:rsid w:val="00DA2439"/>
    <w:rsid w:val="00DA6F05"/>
    <w:rsid w:val="00DB54FC"/>
    <w:rsid w:val="00DB64FC"/>
    <w:rsid w:val="00DC1EBC"/>
    <w:rsid w:val="00DC3195"/>
    <w:rsid w:val="00DC3761"/>
    <w:rsid w:val="00DC5BD3"/>
    <w:rsid w:val="00DD6FC8"/>
    <w:rsid w:val="00DE149E"/>
    <w:rsid w:val="00DE6694"/>
    <w:rsid w:val="00DF7375"/>
    <w:rsid w:val="00E034DB"/>
    <w:rsid w:val="00E05704"/>
    <w:rsid w:val="00E12F1A"/>
    <w:rsid w:val="00E1413B"/>
    <w:rsid w:val="00E165C6"/>
    <w:rsid w:val="00E211B4"/>
    <w:rsid w:val="00E22935"/>
    <w:rsid w:val="00E43CCB"/>
    <w:rsid w:val="00E46197"/>
    <w:rsid w:val="00E5224E"/>
    <w:rsid w:val="00E54292"/>
    <w:rsid w:val="00E54BEB"/>
    <w:rsid w:val="00E60191"/>
    <w:rsid w:val="00E73FC6"/>
    <w:rsid w:val="00E74DC7"/>
    <w:rsid w:val="00E76ABA"/>
    <w:rsid w:val="00E87699"/>
    <w:rsid w:val="00E91595"/>
    <w:rsid w:val="00E92E27"/>
    <w:rsid w:val="00E951CF"/>
    <w:rsid w:val="00E9586B"/>
    <w:rsid w:val="00E97334"/>
    <w:rsid w:val="00EA1236"/>
    <w:rsid w:val="00EA1977"/>
    <w:rsid w:val="00EA26C9"/>
    <w:rsid w:val="00EB3A99"/>
    <w:rsid w:val="00EB65F8"/>
    <w:rsid w:val="00EC0097"/>
    <w:rsid w:val="00EC5F17"/>
    <w:rsid w:val="00ED4928"/>
    <w:rsid w:val="00EE2AB2"/>
    <w:rsid w:val="00EE3FFE"/>
    <w:rsid w:val="00EE57E8"/>
    <w:rsid w:val="00EE6190"/>
    <w:rsid w:val="00EF2E3A"/>
    <w:rsid w:val="00EF6402"/>
    <w:rsid w:val="00EF778C"/>
    <w:rsid w:val="00F047E2"/>
    <w:rsid w:val="00F04D57"/>
    <w:rsid w:val="00F058D4"/>
    <w:rsid w:val="00F078DC"/>
    <w:rsid w:val="00F13E86"/>
    <w:rsid w:val="00F175E2"/>
    <w:rsid w:val="00F207DD"/>
    <w:rsid w:val="00F20B52"/>
    <w:rsid w:val="00F22B71"/>
    <w:rsid w:val="00F325B8"/>
    <w:rsid w:val="00F32FCB"/>
    <w:rsid w:val="00F33523"/>
    <w:rsid w:val="00F36E0F"/>
    <w:rsid w:val="00F41ECB"/>
    <w:rsid w:val="00F441A2"/>
    <w:rsid w:val="00F569E8"/>
    <w:rsid w:val="00F677A9"/>
    <w:rsid w:val="00F6792B"/>
    <w:rsid w:val="00F7313E"/>
    <w:rsid w:val="00F77208"/>
    <w:rsid w:val="00F8121C"/>
    <w:rsid w:val="00F81DF4"/>
    <w:rsid w:val="00F84CF5"/>
    <w:rsid w:val="00F8612E"/>
    <w:rsid w:val="00F92A07"/>
    <w:rsid w:val="00F94583"/>
    <w:rsid w:val="00FA420B"/>
    <w:rsid w:val="00FB57D1"/>
    <w:rsid w:val="00FB668B"/>
    <w:rsid w:val="00FB6AEE"/>
    <w:rsid w:val="00FC3EAC"/>
    <w:rsid w:val="00FD4EF3"/>
    <w:rsid w:val="00FE147E"/>
    <w:rsid w:val="00FE7278"/>
    <w:rsid w:val="00FF0E3B"/>
    <w:rsid w:val="00FF39DE"/>
    <w:rsid w:val="00FF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1A64"/>
  <w15:docId w15:val="{68C72923-BBC1-4276-9249-D06F3D7E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5D470F"/>
    <w:rPr>
      <w:rFonts w:eastAsia="Times New Roman" w:cs="Times New Roman"/>
      <w:sz w:val="18"/>
      <w:lang w:eastAsia="en-AU"/>
    </w:rPr>
  </w:style>
  <w:style w:type="paragraph" w:customStyle="1" w:styleId="tabletext0">
    <w:name w:val="tabletext"/>
    <w:basedOn w:val="Normal"/>
    <w:rsid w:val="00642AB0"/>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AE3227"/>
    <w:pPr>
      <w:spacing w:before="100" w:beforeAutospacing="1" w:after="100" w:afterAutospacing="1" w:line="240" w:lineRule="auto"/>
    </w:pPr>
    <w:rPr>
      <w:rFonts w:eastAsia="Times New Roman" w:cs="Times New Roman"/>
      <w:sz w:val="24"/>
      <w:szCs w:val="24"/>
      <w:lang w:eastAsia="en-AU"/>
    </w:rPr>
  </w:style>
  <w:style w:type="paragraph" w:customStyle="1" w:styleId="tablei0">
    <w:name w:val="tablei"/>
    <w:basedOn w:val="Normal"/>
    <w:rsid w:val="00AE3227"/>
    <w:pPr>
      <w:spacing w:before="100" w:beforeAutospacing="1" w:after="100" w:afterAutospacing="1" w:line="240" w:lineRule="auto"/>
    </w:pPr>
    <w:rPr>
      <w:rFonts w:eastAsia="Times New Roman" w:cs="Times New Roman"/>
      <w:sz w:val="24"/>
      <w:szCs w:val="24"/>
      <w:lang w:eastAsia="en-AU"/>
    </w:rPr>
  </w:style>
  <w:style w:type="paragraph" w:customStyle="1" w:styleId="tableaa0">
    <w:name w:val="tableaa"/>
    <w:basedOn w:val="Normal"/>
    <w:rsid w:val="00AE3227"/>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17258F"/>
    <w:rPr>
      <w:sz w:val="16"/>
      <w:szCs w:val="16"/>
    </w:rPr>
  </w:style>
  <w:style w:type="paragraph" w:styleId="CommentText">
    <w:name w:val="annotation text"/>
    <w:basedOn w:val="Normal"/>
    <w:link w:val="CommentTextChar"/>
    <w:uiPriority w:val="99"/>
    <w:unhideWhenUsed/>
    <w:rsid w:val="0017258F"/>
    <w:pPr>
      <w:spacing w:line="240" w:lineRule="auto"/>
    </w:pPr>
    <w:rPr>
      <w:sz w:val="20"/>
    </w:rPr>
  </w:style>
  <w:style w:type="character" w:customStyle="1" w:styleId="CommentTextChar">
    <w:name w:val="Comment Text Char"/>
    <w:basedOn w:val="DefaultParagraphFont"/>
    <w:link w:val="CommentText"/>
    <w:uiPriority w:val="99"/>
    <w:rsid w:val="0017258F"/>
  </w:style>
  <w:style w:type="paragraph" w:styleId="CommentSubject">
    <w:name w:val="annotation subject"/>
    <w:basedOn w:val="CommentText"/>
    <w:next w:val="CommentText"/>
    <w:link w:val="CommentSubjectChar"/>
    <w:uiPriority w:val="99"/>
    <w:semiHidden/>
    <w:unhideWhenUsed/>
    <w:rsid w:val="0017258F"/>
    <w:rPr>
      <w:b/>
      <w:bCs/>
    </w:rPr>
  </w:style>
  <w:style w:type="character" w:customStyle="1" w:styleId="CommentSubjectChar">
    <w:name w:val="Comment Subject Char"/>
    <w:basedOn w:val="CommentTextChar"/>
    <w:link w:val="CommentSubject"/>
    <w:uiPriority w:val="99"/>
    <w:semiHidden/>
    <w:rsid w:val="0017258F"/>
    <w:rPr>
      <w:b/>
      <w:bC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81601"/>
    <w:pPr>
      <w:spacing w:after="200" w:line="276" w:lineRule="auto"/>
      <w:ind w:left="720"/>
      <w:contextualSpacing/>
    </w:pPr>
    <w:rPr>
      <w:rFonts w:asciiTheme="minorHAnsi" w:eastAsiaTheme="minorEastAsia" w:hAnsiTheme="minorHAnsi"/>
      <w:szCs w:val="22"/>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81601"/>
    <w:rPr>
      <w:rFonts w:asciiTheme="minorHAnsi" w:eastAsiaTheme="minorEastAsia" w:hAnsiTheme="minorHAnsi"/>
      <w:sz w:val="22"/>
      <w:szCs w:val="22"/>
      <w:lang w:eastAsia="en-AU"/>
    </w:rPr>
  </w:style>
  <w:style w:type="paragraph" w:styleId="Revision">
    <w:name w:val="Revision"/>
    <w:hidden/>
    <w:uiPriority w:val="99"/>
    <w:semiHidden/>
    <w:rsid w:val="00AB00A0"/>
    <w:rPr>
      <w:sz w:val="22"/>
    </w:rPr>
  </w:style>
  <w:style w:type="table" w:styleId="TableGridLight">
    <w:name w:val="Grid Table Light"/>
    <w:basedOn w:val="TableNormal"/>
    <w:uiPriority w:val="40"/>
    <w:rsid w:val="00E951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9960">
      <w:bodyDiv w:val="1"/>
      <w:marLeft w:val="0"/>
      <w:marRight w:val="0"/>
      <w:marTop w:val="0"/>
      <w:marBottom w:val="0"/>
      <w:divBdr>
        <w:top w:val="none" w:sz="0" w:space="0" w:color="auto"/>
        <w:left w:val="none" w:sz="0" w:space="0" w:color="auto"/>
        <w:bottom w:val="none" w:sz="0" w:space="0" w:color="auto"/>
        <w:right w:val="none" w:sz="0" w:space="0" w:color="auto"/>
      </w:divBdr>
    </w:div>
    <w:div w:id="493768288">
      <w:bodyDiv w:val="1"/>
      <w:marLeft w:val="0"/>
      <w:marRight w:val="0"/>
      <w:marTop w:val="0"/>
      <w:marBottom w:val="0"/>
      <w:divBdr>
        <w:top w:val="none" w:sz="0" w:space="0" w:color="auto"/>
        <w:left w:val="none" w:sz="0" w:space="0" w:color="auto"/>
        <w:bottom w:val="none" w:sz="0" w:space="0" w:color="auto"/>
        <w:right w:val="none" w:sz="0" w:space="0" w:color="auto"/>
      </w:divBdr>
    </w:div>
    <w:div w:id="599413291">
      <w:bodyDiv w:val="1"/>
      <w:marLeft w:val="0"/>
      <w:marRight w:val="0"/>
      <w:marTop w:val="0"/>
      <w:marBottom w:val="0"/>
      <w:divBdr>
        <w:top w:val="none" w:sz="0" w:space="0" w:color="auto"/>
        <w:left w:val="none" w:sz="0" w:space="0" w:color="auto"/>
        <w:bottom w:val="none" w:sz="0" w:space="0" w:color="auto"/>
        <w:right w:val="none" w:sz="0" w:space="0" w:color="auto"/>
      </w:divBdr>
    </w:div>
    <w:div w:id="622537495">
      <w:bodyDiv w:val="1"/>
      <w:marLeft w:val="0"/>
      <w:marRight w:val="0"/>
      <w:marTop w:val="0"/>
      <w:marBottom w:val="0"/>
      <w:divBdr>
        <w:top w:val="none" w:sz="0" w:space="0" w:color="auto"/>
        <w:left w:val="none" w:sz="0" w:space="0" w:color="auto"/>
        <w:bottom w:val="none" w:sz="0" w:space="0" w:color="auto"/>
        <w:right w:val="none" w:sz="0" w:space="0" w:color="auto"/>
      </w:divBdr>
    </w:div>
    <w:div w:id="745298311">
      <w:bodyDiv w:val="1"/>
      <w:marLeft w:val="0"/>
      <w:marRight w:val="0"/>
      <w:marTop w:val="0"/>
      <w:marBottom w:val="0"/>
      <w:divBdr>
        <w:top w:val="none" w:sz="0" w:space="0" w:color="auto"/>
        <w:left w:val="none" w:sz="0" w:space="0" w:color="auto"/>
        <w:bottom w:val="none" w:sz="0" w:space="0" w:color="auto"/>
        <w:right w:val="none" w:sz="0" w:space="0" w:color="auto"/>
      </w:divBdr>
    </w:div>
    <w:div w:id="768082155">
      <w:bodyDiv w:val="1"/>
      <w:marLeft w:val="0"/>
      <w:marRight w:val="0"/>
      <w:marTop w:val="0"/>
      <w:marBottom w:val="0"/>
      <w:divBdr>
        <w:top w:val="none" w:sz="0" w:space="0" w:color="auto"/>
        <w:left w:val="none" w:sz="0" w:space="0" w:color="auto"/>
        <w:bottom w:val="none" w:sz="0" w:space="0" w:color="auto"/>
        <w:right w:val="none" w:sz="0" w:space="0" w:color="auto"/>
      </w:divBdr>
    </w:div>
    <w:div w:id="1030956558">
      <w:bodyDiv w:val="1"/>
      <w:marLeft w:val="0"/>
      <w:marRight w:val="0"/>
      <w:marTop w:val="0"/>
      <w:marBottom w:val="0"/>
      <w:divBdr>
        <w:top w:val="none" w:sz="0" w:space="0" w:color="auto"/>
        <w:left w:val="none" w:sz="0" w:space="0" w:color="auto"/>
        <w:bottom w:val="none" w:sz="0" w:space="0" w:color="auto"/>
        <w:right w:val="none" w:sz="0" w:space="0" w:color="auto"/>
      </w:divBdr>
    </w:div>
    <w:div w:id="1149396971">
      <w:bodyDiv w:val="1"/>
      <w:marLeft w:val="0"/>
      <w:marRight w:val="0"/>
      <w:marTop w:val="0"/>
      <w:marBottom w:val="0"/>
      <w:divBdr>
        <w:top w:val="none" w:sz="0" w:space="0" w:color="auto"/>
        <w:left w:val="none" w:sz="0" w:space="0" w:color="auto"/>
        <w:bottom w:val="none" w:sz="0" w:space="0" w:color="auto"/>
        <w:right w:val="none" w:sz="0" w:space="0" w:color="auto"/>
      </w:divBdr>
    </w:div>
    <w:div w:id="1223371976">
      <w:bodyDiv w:val="1"/>
      <w:marLeft w:val="0"/>
      <w:marRight w:val="0"/>
      <w:marTop w:val="0"/>
      <w:marBottom w:val="0"/>
      <w:divBdr>
        <w:top w:val="none" w:sz="0" w:space="0" w:color="auto"/>
        <w:left w:val="none" w:sz="0" w:space="0" w:color="auto"/>
        <w:bottom w:val="none" w:sz="0" w:space="0" w:color="auto"/>
        <w:right w:val="none" w:sz="0" w:space="0" w:color="auto"/>
      </w:divBdr>
    </w:div>
    <w:div w:id="1295329901">
      <w:bodyDiv w:val="1"/>
      <w:marLeft w:val="0"/>
      <w:marRight w:val="0"/>
      <w:marTop w:val="0"/>
      <w:marBottom w:val="0"/>
      <w:divBdr>
        <w:top w:val="none" w:sz="0" w:space="0" w:color="auto"/>
        <w:left w:val="none" w:sz="0" w:space="0" w:color="auto"/>
        <w:bottom w:val="none" w:sz="0" w:space="0" w:color="auto"/>
        <w:right w:val="none" w:sz="0" w:space="0" w:color="auto"/>
      </w:divBdr>
    </w:div>
    <w:div w:id="1651447538">
      <w:bodyDiv w:val="1"/>
      <w:marLeft w:val="0"/>
      <w:marRight w:val="0"/>
      <w:marTop w:val="0"/>
      <w:marBottom w:val="0"/>
      <w:divBdr>
        <w:top w:val="none" w:sz="0" w:space="0" w:color="auto"/>
        <w:left w:val="none" w:sz="0" w:space="0" w:color="auto"/>
        <w:bottom w:val="none" w:sz="0" w:space="0" w:color="auto"/>
        <w:right w:val="none" w:sz="0" w:space="0" w:color="auto"/>
      </w:divBdr>
    </w:div>
    <w:div w:id="17061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KS\Downloads\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3CFE-625E-447E-B9FD-174ABC65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4802</TotalTime>
  <Pages>15</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SHAUKI, Siti Amira</dc:creator>
  <cp:lastModifiedBy>BELACIC, Diana</cp:lastModifiedBy>
  <cp:revision>243</cp:revision>
  <cp:lastPrinted>2024-01-23T03:09:00Z</cp:lastPrinted>
  <dcterms:created xsi:type="dcterms:W3CDTF">2023-10-31T03:20:00Z</dcterms:created>
  <dcterms:modified xsi:type="dcterms:W3CDTF">2024-01-30T01:23:00Z</dcterms:modified>
</cp:coreProperties>
</file>