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C84E33" w:rsidRDefault="00FA6784" w:rsidP="00FA6784">
      <w:pPr>
        <w:pStyle w:val="H3"/>
        <w:jc w:val="center"/>
        <w:rPr>
          <w:sz w:val="24"/>
          <w:szCs w:val="24"/>
        </w:rPr>
      </w:pPr>
      <w:r w:rsidRPr="00C84E33">
        <w:rPr>
          <w:sz w:val="24"/>
          <w:szCs w:val="24"/>
        </w:rPr>
        <w:t>EXPLANATORY STATEMENT</w:t>
      </w:r>
    </w:p>
    <w:p w14:paraId="2412D120" w14:textId="77777777" w:rsidR="00FA6784" w:rsidRPr="00C84E33" w:rsidRDefault="00FA6784" w:rsidP="00FA6784">
      <w:pPr>
        <w:jc w:val="center"/>
        <w:rPr>
          <w:sz w:val="22"/>
          <w:szCs w:val="22"/>
        </w:rPr>
      </w:pPr>
    </w:p>
    <w:p w14:paraId="2412D123" w14:textId="77777777" w:rsidR="00FA6784" w:rsidRPr="00C84E33" w:rsidRDefault="00FA6784" w:rsidP="00FA6784">
      <w:pPr>
        <w:jc w:val="center"/>
        <w:rPr>
          <w:i/>
          <w:iCs/>
        </w:rPr>
      </w:pPr>
      <w:r w:rsidRPr="00C84E33">
        <w:rPr>
          <w:i/>
          <w:iCs/>
        </w:rPr>
        <w:t>Health Insurance Act 1973</w:t>
      </w:r>
    </w:p>
    <w:p w14:paraId="2412D124" w14:textId="77777777" w:rsidR="00A1739A" w:rsidRPr="00C84E33" w:rsidRDefault="00A1739A" w:rsidP="00A1739A">
      <w:pPr>
        <w:rPr>
          <w:szCs w:val="24"/>
          <w:u w:val="single"/>
        </w:rPr>
      </w:pPr>
    </w:p>
    <w:p w14:paraId="2838A7B4" w14:textId="4D4191B1" w:rsidR="00FD602D" w:rsidRPr="000D400C" w:rsidRDefault="00766A64" w:rsidP="00961795">
      <w:pPr>
        <w:ind w:right="84"/>
        <w:jc w:val="center"/>
        <w:rPr>
          <w:i/>
          <w:iCs/>
          <w:szCs w:val="24"/>
        </w:rPr>
      </w:pPr>
      <w:r w:rsidRPr="00C84E33">
        <w:rPr>
          <w:i/>
          <w:iCs/>
        </w:rPr>
        <w:t xml:space="preserve">Health Insurance (Section 3C </w:t>
      </w:r>
      <w:r w:rsidR="005D614A" w:rsidRPr="00C84E33">
        <w:rPr>
          <w:i/>
          <w:iCs/>
        </w:rPr>
        <w:t xml:space="preserve">General Medical Services – </w:t>
      </w:r>
      <w:r w:rsidRPr="00C84E33">
        <w:rPr>
          <w:i/>
          <w:iCs/>
        </w:rPr>
        <w:t xml:space="preserve">Cleft </w:t>
      </w:r>
      <w:bookmarkStart w:id="0" w:name="_Hlk149572237"/>
      <w:r w:rsidRPr="00C84E33">
        <w:rPr>
          <w:i/>
          <w:iCs/>
        </w:rPr>
        <w:t>and Craniofacial Services</w:t>
      </w:r>
      <w:bookmarkEnd w:id="0"/>
      <w:r w:rsidRPr="00C84E33">
        <w:rPr>
          <w:i/>
          <w:iCs/>
        </w:rPr>
        <w:t>) Determination 202</w:t>
      </w:r>
      <w:r w:rsidR="00A9340D" w:rsidRPr="00C84E33">
        <w:rPr>
          <w:i/>
          <w:iCs/>
        </w:rPr>
        <w:t>4</w:t>
      </w:r>
    </w:p>
    <w:p w14:paraId="052E97C1" w14:textId="77777777" w:rsidR="00164A69" w:rsidRPr="00C84E33"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1018976" w:rsidR="00164A69" w:rsidRPr="000D400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C84E33">
        <w:rPr>
          <w:color w:val="000000"/>
          <w:shd w:val="clear" w:color="auto" w:fill="FFFFFF"/>
        </w:rPr>
        <w:t xml:space="preserve">Subsection 3C(1) of the </w:t>
      </w:r>
      <w:r w:rsidRPr="00C84E33">
        <w:rPr>
          <w:i/>
          <w:color w:val="000000"/>
          <w:shd w:val="clear" w:color="auto" w:fill="FFFFFF"/>
        </w:rPr>
        <w:t>Health Insurance Act 1973</w:t>
      </w:r>
      <w:r w:rsidRPr="00C84E33">
        <w:rPr>
          <w:color w:val="000000"/>
          <w:shd w:val="clear" w:color="auto" w:fill="FFFFFF"/>
        </w:rPr>
        <w:t xml:space="preserve"> (the Act) </w:t>
      </w:r>
      <w:r w:rsidR="00477C74" w:rsidRPr="00C84E33">
        <w:rPr>
          <w:color w:val="000000"/>
          <w:shd w:val="clear" w:color="auto" w:fill="FFFFFF"/>
        </w:rPr>
        <w:t>provide</w:t>
      </w:r>
      <w:r w:rsidR="002E5708" w:rsidRPr="00C84E33">
        <w:rPr>
          <w:color w:val="000000"/>
          <w:shd w:val="clear" w:color="auto" w:fill="FFFFFF"/>
        </w:rPr>
        <w:t>s</w:t>
      </w:r>
      <w:r w:rsidR="00477C74" w:rsidRPr="00C84E33">
        <w:rPr>
          <w:color w:val="000000"/>
          <w:shd w:val="clear" w:color="auto" w:fill="FFFFFF"/>
        </w:rPr>
        <w:t xml:space="preserve"> that</w:t>
      </w:r>
      <w:r w:rsidRPr="00C84E33">
        <w:rPr>
          <w:color w:val="000000"/>
          <w:shd w:val="clear" w:color="auto" w:fill="FFFFFF"/>
        </w:rPr>
        <w:t xml:space="preserve"> the Minister </w:t>
      </w:r>
      <w:r w:rsidR="00477C74" w:rsidRPr="00C84E33">
        <w:rPr>
          <w:color w:val="000000"/>
          <w:shd w:val="clear" w:color="auto" w:fill="FFFFFF"/>
        </w:rPr>
        <w:t>may</w:t>
      </w:r>
      <w:r w:rsidRPr="00C84E33">
        <w:rPr>
          <w:color w:val="000000"/>
          <w:shd w:val="clear" w:color="auto" w:fill="FFFFFF"/>
        </w:rPr>
        <w:t xml:space="preserve">, by legislative instrument, determine that a health service not specified in an item in the </w:t>
      </w:r>
      <w:r w:rsidR="00766A64" w:rsidRPr="00C84E33">
        <w:rPr>
          <w:color w:val="000000"/>
          <w:shd w:val="clear" w:color="auto" w:fill="FFFFFF"/>
        </w:rPr>
        <w:t>general medical</w:t>
      </w:r>
      <w:r w:rsidRPr="00C84E33">
        <w:rPr>
          <w:color w:val="000000"/>
          <w:shd w:val="clear" w:color="auto" w:fill="FFFFFF"/>
        </w:rPr>
        <w:t xml:space="preserve"> services table </w:t>
      </w:r>
      <w:r w:rsidR="00D01D5A" w:rsidRPr="00C84E33">
        <w:rPr>
          <w:color w:val="000000"/>
          <w:shd w:val="clear" w:color="auto" w:fill="FFFFFF"/>
        </w:rPr>
        <w:t xml:space="preserve">(the Table) </w:t>
      </w:r>
      <w:r w:rsidRPr="00C84E33">
        <w:rPr>
          <w:color w:val="000000"/>
          <w:shd w:val="clear" w:color="auto" w:fill="FFFFFF"/>
        </w:rPr>
        <w:t xml:space="preserve">shall, in specified circumstances and for specified statutory provisions, be treated as if it were specified in the </w:t>
      </w:r>
      <w:r w:rsidR="00D01D5A" w:rsidRPr="00C84E33">
        <w:rPr>
          <w:color w:val="000000"/>
          <w:shd w:val="clear" w:color="auto" w:fill="FFFFFF"/>
        </w:rPr>
        <w:t>Table</w:t>
      </w:r>
      <w:r w:rsidR="00D01D5A" w:rsidRPr="000D400C">
        <w:rPr>
          <w:shd w:val="clear" w:color="auto" w:fill="FFFFFF"/>
        </w:rPr>
        <w:t xml:space="preserve">. </w:t>
      </w:r>
      <w:r w:rsidRPr="000D400C">
        <w:rPr>
          <w:shd w:val="clear" w:color="auto" w:fill="FFFFFF"/>
        </w:rPr>
        <w:t xml:space="preserve">  </w:t>
      </w:r>
    </w:p>
    <w:p w14:paraId="7DB18649" w14:textId="77777777" w:rsidR="00841EDA" w:rsidRPr="00C84E3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3969D4D" w:rsidR="00050623" w:rsidRPr="000D400C" w:rsidRDefault="00766A64"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84E33">
        <w:t>The Table is set out in the regulations made under subsection 4(1) of the Act. The most recent version of the regulations is the </w:t>
      </w:r>
      <w:r w:rsidRPr="00C84E33">
        <w:rPr>
          <w:i/>
          <w:iCs/>
        </w:rPr>
        <w:t>Health Insurance (General Medical Services Table) Regulations 2021</w:t>
      </w:r>
      <w:r w:rsidRPr="00C84E33">
        <w:t>.</w:t>
      </w:r>
      <w:r w:rsidR="00050623" w:rsidRPr="00C84E33">
        <w:rPr>
          <w:color w:val="FF0000"/>
        </w:rPr>
        <w:t xml:space="preserve"> </w:t>
      </w:r>
    </w:p>
    <w:p w14:paraId="2E6FE463" w14:textId="77777777" w:rsidR="00050623" w:rsidRPr="00C84E3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3B434FB3" w:rsidR="00050623" w:rsidRPr="00C84E3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84E33">
        <w:t xml:space="preserve">This instrument relies on subsection 33(3) of the </w:t>
      </w:r>
      <w:r w:rsidRPr="00C84E33">
        <w:rPr>
          <w:i/>
        </w:rPr>
        <w:t>Acts Interpretation Act 1901</w:t>
      </w:r>
      <w:r w:rsidRPr="00C84E33">
        <w:t xml:space="preserve"> (AIA). Subsection 33(3) of the AIA</w:t>
      </w:r>
      <w:r w:rsidRPr="00C84E33">
        <w:rPr>
          <w:i/>
        </w:rPr>
        <w:t xml:space="preserve"> </w:t>
      </w:r>
      <w:r w:rsidRPr="00C84E33">
        <w:t xml:space="preserve">provides that where an Act confers a power to make, grant or issue any instrument of a legislative or administrative character (including rules, </w:t>
      </w:r>
      <w:proofErr w:type="gramStart"/>
      <w:r w:rsidRPr="00C84E33">
        <w:t>regulations</w:t>
      </w:r>
      <w:proofErr w:type="gramEnd"/>
      <w:r w:rsidRPr="00C84E33">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C84E33" w:rsidRDefault="008C5F1C" w:rsidP="00D33180">
      <w:pPr>
        <w:autoSpaceDE w:val="0"/>
        <w:autoSpaceDN w:val="0"/>
        <w:adjustRightInd w:val="0"/>
        <w:ind w:right="-483"/>
        <w:rPr>
          <w:szCs w:val="24"/>
        </w:rPr>
      </w:pPr>
    </w:p>
    <w:p w14:paraId="2412D12A" w14:textId="77777777" w:rsidR="00BB00BA" w:rsidRPr="00C84E33" w:rsidRDefault="00A1739A" w:rsidP="00BB00BA">
      <w:pPr>
        <w:rPr>
          <w:b/>
          <w:szCs w:val="24"/>
          <w:lang w:val="en-US" w:eastAsia="en-US"/>
        </w:rPr>
      </w:pPr>
      <w:r w:rsidRPr="00C84E33">
        <w:rPr>
          <w:b/>
          <w:szCs w:val="24"/>
          <w:lang w:val="en-US" w:eastAsia="en-US"/>
        </w:rPr>
        <w:t>Purpose</w:t>
      </w:r>
    </w:p>
    <w:p w14:paraId="01D33865" w14:textId="26C403B6" w:rsidR="003B0407" w:rsidRPr="00C84E33" w:rsidRDefault="000D01A9" w:rsidP="0039170C">
      <w:pPr>
        <w:ind w:right="-483"/>
        <w:rPr>
          <w:szCs w:val="24"/>
        </w:rPr>
      </w:pPr>
      <w:r w:rsidRPr="00C84E33">
        <w:rPr>
          <w:szCs w:val="24"/>
        </w:rPr>
        <w:t xml:space="preserve">The purpose of the </w:t>
      </w:r>
      <w:r w:rsidR="005D614A" w:rsidRPr="00C84E33">
        <w:rPr>
          <w:i/>
          <w:iCs/>
        </w:rPr>
        <w:t>Health Insurance (Section 3C General Medical Services – Cleft and Craniofacial Services) Determination 2024</w:t>
      </w:r>
      <w:r w:rsidRPr="00C84E33">
        <w:rPr>
          <w:szCs w:val="24"/>
        </w:rPr>
        <w:t xml:space="preserve"> (the Determination) is to </w:t>
      </w:r>
      <w:r w:rsidR="009A58F2" w:rsidRPr="00C84E33">
        <w:rPr>
          <w:szCs w:val="24"/>
        </w:rPr>
        <w:t xml:space="preserve">repeal and remake the </w:t>
      </w:r>
      <w:r w:rsidR="009A58F2" w:rsidRPr="00C84E33">
        <w:rPr>
          <w:i/>
          <w:iCs/>
          <w:szCs w:val="24"/>
        </w:rPr>
        <w:t>Health Insurance (Section 3C Cleft Lip and Cleft Palate Services) Determination 2020</w:t>
      </w:r>
      <w:r w:rsidR="009A58F2" w:rsidRPr="00C84E33">
        <w:rPr>
          <w:szCs w:val="24"/>
        </w:rPr>
        <w:t xml:space="preserve"> (the Former Determination). This remake will </w:t>
      </w:r>
      <w:r w:rsidRPr="00C84E33">
        <w:rPr>
          <w:szCs w:val="24"/>
        </w:rPr>
        <w:t xml:space="preserve">implement Medicare Benefits Schedule (MBS) Review Taskforce (the Taskforce) recommendations related to cleft dental </w:t>
      </w:r>
      <w:r w:rsidR="009457F8" w:rsidRPr="00C84E33">
        <w:rPr>
          <w:szCs w:val="24"/>
        </w:rPr>
        <w:t>services and</w:t>
      </w:r>
      <w:r w:rsidR="009A58F2" w:rsidRPr="00C84E33">
        <w:rPr>
          <w:szCs w:val="24"/>
        </w:rPr>
        <w:t xml:space="preserve"> </w:t>
      </w:r>
      <w:r w:rsidR="003B0407" w:rsidRPr="00C84E33">
        <w:rPr>
          <w:szCs w:val="24"/>
        </w:rPr>
        <w:t>modernise the clinical practice for treating patients with cleft and craniofacial conditions.</w:t>
      </w:r>
    </w:p>
    <w:p w14:paraId="3F75FE86" w14:textId="77777777" w:rsidR="003B0407" w:rsidRPr="00C84E33" w:rsidRDefault="003B0407" w:rsidP="0039170C">
      <w:pPr>
        <w:ind w:right="-483"/>
        <w:rPr>
          <w:szCs w:val="24"/>
        </w:rPr>
      </w:pPr>
    </w:p>
    <w:p w14:paraId="0C061230" w14:textId="77777777" w:rsidR="003B0407" w:rsidRPr="00C84E33" w:rsidRDefault="003B0407" w:rsidP="0039170C">
      <w:pPr>
        <w:ind w:right="-483"/>
        <w:rPr>
          <w:szCs w:val="24"/>
        </w:rPr>
      </w:pPr>
      <w:bookmarkStart w:id="1" w:name="_Hlk153806817"/>
      <w:r w:rsidRPr="00C84E33">
        <w:rPr>
          <w:szCs w:val="24"/>
        </w:rPr>
        <w:t>These changes include:</w:t>
      </w:r>
    </w:p>
    <w:bookmarkEnd w:id="1"/>
    <w:p w14:paraId="38EBD5DF" w14:textId="1B28B4BF" w:rsidR="003F1DD9" w:rsidRPr="00C84E33" w:rsidRDefault="003F1DD9" w:rsidP="003B0407">
      <w:pPr>
        <w:pStyle w:val="ListParagraph"/>
        <w:numPr>
          <w:ilvl w:val="0"/>
          <w:numId w:val="33"/>
        </w:numPr>
        <w:ind w:right="-483"/>
        <w:rPr>
          <w:szCs w:val="24"/>
        </w:rPr>
      </w:pPr>
      <w:r w:rsidRPr="00C84E33">
        <w:rPr>
          <w:szCs w:val="24"/>
        </w:rPr>
        <w:t xml:space="preserve">Updates to the table of </w:t>
      </w:r>
      <w:r w:rsidR="005920A9" w:rsidRPr="00C84E33">
        <w:rPr>
          <w:szCs w:val="24"/>
        </w:rPr>
        <w:t xml:space="preserve">MBS </w:t>
      </w:r>
      <w:r w:rsidRPr="00C84E33">
        <w:rPr>
          <w:szCs w:val="24"/>
        </w:rPr>
        <w:t>items at Schedule 1 to introduce nine new items, amend 36 existing items, and delete</w:t>
      </w:r>
      <w:r w:rsidR="005920A9" w:rsidRPr="00C84E33">
        <w:rPr>
          <w:szCs w:val="24"/>
        </w:rPr>
        <w:t xml:space="preserve"> 26 items</w:t>
      </w:r>
      <w:r w:rsidR="008E72CE" w:rsidRPr="00C84E33">
        <w:rPr>
          <w:szCs w:val="24"/>
        </w:rPr>
        <w:t>;</w:t>
      </w:r>
      <w:r w:rsidR="005920A9" w:rsidRPr="00C84E33">
        <w:rPr>
          <w:szCs w:val="24"/>
        </w:rPr>
        <w:t xml:space="preserve"> </w:t>
      </w:r>
    </w:p>
    <w:p w14:paraId="2B28ABA1" w14:textId="0C6DF081" w:rsidR="003B0407" w:rsidRPr="00C84E33" w:rsidRDefault="003B0407" w:rsidP="003B0407">
      <w:pPr>
        <w:pStyle w:val="ListParagraph"/>
        <w:numPr>
          <w:ilvl w:val="0"/>
          <w:numId w:val="33"/>
        </w:numPr>
        <w:ind w:right="-483"/>
        <w:rPr>
          <w:szCs w:val="24"/>
        </w:rPr>
      </w:pPr>
      <w:r w:rsidRPr="00C84E33">
        <w:rPr>
          <w:szCs w:val="24"/>
        </w:rPr>
        <w:t xml:space="preserve">The expansion of practitioner access to include </w:t>
      </w:r>
      <w:r w:rsidR="009F0808" w:rsidRPr="00C84E33">
        <w:rPr>
          <w:szCs w:val="24"/>
        </w:rPr>
        <w:t>eligible</w:t>
      </w:r>
      <w:r w:rsidRPr="00C84E33">
        <w:rPr>
          <w:szCs w:val="24"/>
        </w:rPr>
        <w:t xml:space="preserve"> paediatric dentists and </w:t>
      </w:r>
      <w:r w:rsidR="009F0808" w:rsidRPr="00C84E33">
        <w:rPr>
          <w:szCs w:val="24"/>
        </w:rPr>
        <w:t>eligible</w:t>
      </w:r>
      <w:r w:rsidRPr="00C84E33">
        <w:rPr>
          <w:szCs w:val="24"/>
        </w:rPr>
        <w:t xml:space="preserve"> prosthodontists;</w:t>
      </w:r>
    </w:p>
    <w:p w14:paraId="4D3224C0" w14:textId="4470ABEB" w:rsidR="003B0407" w:rsidRPr="00C84E33" w:rsidRDefault="003B0407" w:rsidP="003B0407">
      <w:pPr>
        <w:pStyle w:val="ListParagraph"/>
        <w:numPr>
          <w:ilvl w:val="0"/>
          <w:numId w:val="33"/>
        </w:numPr>
        <w:ind w:right="-483"/>
        <w:rPr>
          <w:szCs w:val="24"/>
        </w:rPr>
      </w:pPr>
      <w:r w:rsidRPr="00C84E33">
        <w:rPr>
          <w:szCs w:val="24"/>
        </w:rPr>
        <w:t>The removal of sub-categories listed under Category 7; and</w:t>
      </w:r>
    </w:p>
    <w:p w14:paraId="31803814" w14:textId="10CE38E3" w:rsidR="003B0407" w:rsidRPr="00C84E33" w:rsidRDefault="003B0407" w:rsidP="003B0407">
      <w:pPr>
        <w:pStyle w:val="ListParagraph"/>
        <w:numPr>
          <w:ilvl w:val="0"/>
          <w:numId w:val="33"/>
        </w:numPr>
        <w:ind w:right="-483"/>
        <w:rPr>
          <w:szCs w:val="24"/>
        </w:rPr>
      </w:pPr>
      <w:r w:rsidRPr="00C84E33">
        <w:rPr>
          <w:szCs w:val="24"/>
        </w:rPr>
        <w:t xml:space="preserve">Updates to referral pathways for treating dental specialists, where required. </w:t>
      </w:r>
    </w:p>
    <w:p w14:paraId="56C48EE2" w14:textId="77777777" w:rsidR="00766A64" w:rsidRPr="00AD35EC" w:rsidRDefault="00766A64" w:rsidP="0039170C">
      <w:pPr>
        <w:ind w:right="-483"/>
        <w:rPr>
          <w:szCs w:val="24"/>
        </w:rPr>
      </w:pPr>
    </w:p>
    <w:p w14:paraId="1BB04EE1" w14:textId="317D4893" w:rsidR="00766A64" w:rsidRPr="00AD35EC" w:rsidRDefault="00A12DDB" w:rsidP="0039170C">
      <w:pPr>
        <w:ind w:right="-483"/>
        <w:rPr>
          <w:szCs w:val="24"/>
        </w:rPr>
      </w:pPr>
      <w:r w:rsidRPr="00C84E33">
        <w:rPr>
          <w:rFonts w:cstheme="minorHAnsi"/>
          <w:szCs w:val="24"/>
        </w:rPr>
        <w:t xml:space="preserve">In December 2020, the Taskforce released the </w:t>
      </w:r>
      <w:r w:rsidRPr="00C84E33">
        <w:t>Final Report on the Cleft Dental Services MBS Items and</w:t>
      </w:r>
      <w:r w:rsidRPr="00C84E33">
        <w:rPr>
          <w:rFonts w:cstheme="minorHAnsi"/>
          <w:szCs w:val="24"/>
        </w:rPr>
        <w:t xml:space="preserve"> endorsed 29 recommendations to modernise the MBS and ensure items reflect contemporary practice, including the changes under this Determination. C</w:t>
      </w:r>
      <w:r w:rsidRPr="00C84E33">
        <w:rPr>
          <w:bCs/>
          <w:iCs/>
          <w:szCs w:val="24"/>
        </w:rPr>
        <w:t xml:space="preserve">hanges to cleft dental services under the MBS were announced in the 2022-23 Budget under the </w:t>
      </w:r>
      <w:r w:rsidRPr="00C84E33">
        <w:rPr>
          <w:bCs/>
          <w:i/>
          <w:szCs w:val="24"/>
        </w:rPr>
        <w:t xml:space="preserve">Guaranteeing Medicare – Medicare Benefits Schedule New and Amended Listings </w:t>
      </w:r>
      <w:r w:rsidRPr="00C84E33">
        <w:rPr>
          <w:bCs/>
          <w:iCs/>
          <w:szCs w:val="24"/>
        </w:rPr>
        <w:t>measure.</w:t>
      </w:r>
    </w:p>
    <w:p w14:paraId="37CF52E6" w14:textId="77777777" w:rsidR="00042714" w:rsidRPr="00C84E33" w:rsidRDefault="00042714">
      <w:pPr>
        <w:spacing w:after="200" w:line="276" w:lineRule="auto"/>
        <w:rPr>
          <w:b/>
        </w:rPr>
      </w:pPr>
      <w:r w:rsidRPr="00C84E33">
        <w:rPr>
          <w:b/>
        </w:rPr>
        <w:br w:type="page"/>
      </w:r>
    </w:p>
    <w:p w14:paraId="2412D131" w14:textId="5321192A" w:rsidR="001865F8" w:rsidRPr="00C84E33" w:rsidRDefault="00A1739A" w:rsidP="00D46EB9">
      <w:pPr>
        <w:shd w:val="clear" w:color="auto" w:fill="FFFFFF"/>
        <w:spacing w:before="100" w:beforeAutospacing="1"/>
        <w:rPr>
          <w:rFonts w:ascii="Helvetica Neue" w:hAnsi="Helvetica Neue"/>
          <w:szCs w:val="24"/>
          <w:lang w:val="en-US"/>
        </w:rPr>
      </w:pPr>
      <w:r w:rsidRPr="00C84E33">
        <w:rPr>
          <w:b/>
        </w:rPr>
        <w:lastRenderedPageBreak/>
        <w:t>Consultation</w:t>
      </w:r>
    </w:p>
    <w:p w14:paraId="5207A8B6" w14:textId="2E7CCC53" w:rsidR="00017AA9" w:rsidRPr="00C84E33" w:rsidRDefault="00017AA9" w:rsidP="00017AA9">
      <w:pPr>
        <w:shd w:val="clear" w:color="auto" w:fill="FFFFFF"/>
        <w:rPr>
          <w:szCs w:val="24"/>
        </w:rPr>
      </w:pPr>
      <w:r w:rsidRPr="00C84E33">
        <w:rPr>
          <w:szCs w:val="24"/>
        </w:rPr>
        <w:t xml:space="preserve">The Department of Health and Aged Care engaged with peak professional bodies with responsibility for cleft dental services via the Implementation Liaison Group. Peak bodies included the Australasian Academy of Paediatric Dentistry, Australian Dental Association, Australian Society of Orthodontists, Australasian Cleft Lip &amp; Cleft Palate Association, Australian and New Zealand Association of Oral and Maxillofacial Surgeons, Academy of Australian and New Zealand Prosthodontists, and Australian Private Hospitals Association. </w:t>
      </w:r>
    </w:p>
    <w:p w14:paraId="0AE02BDB" w14:textId="2CD0E57D" w:rsidR="00017AA9" w:rsidRPr="00C84E33" w:rsidRDefault="00017AA9" w:rsidP="00017AA9">
      <w:pPr>
        <w:shd w:val="clear" w:color="auto" w:fill="FFFFFF"/>
        <w:rPr>
          <w:szCs w:val="24"/>
        </w:rPr>
      </w:pPr>
    </w:p>
    <w:p w14:paraId="2412D134" w14:textId="77777777" w:rsidR="00967E51" w:rsidRPr="00C84E33" w:rsidRDefault="00A1739A" w:rsidP="000337CB">
      <w:pPr>
        <w:rPr>
          <w:szCs w:val="24"/>
        </w:rPr>
      </w:pPr>
      <w:r w:rsidRPr="00C84E33">
        <w:rPr>
          <w:szCs w:val="24"/>
        </w:rPr>
        <w:t xml:space="preserve">Details of the </w:t>
      </w:r>
      <w:r w:rsidR="00574E71" w:rsidRPr="00C84E33">
        <w:rPr>
          <w:szCs w:val="24"/>
        </w:rPr>
        <w:t>Determination</w:t>
      </w:r>
      <w:r w:rsidRPr="00C84E33">
        <w:rPr>
          <w:szCs w:val="24"/>
        </w:rPr>
        <w:t xml:space="preserve"> are set out in the </w:t>
      </w:r>
      <w:r w:rsidRPr="00C84E33">
        <w:rPr>
          <w:szCs w:val="24"/>
          <w:u w:val="single"/>
        </w:rPr>
        <w:t>Attachment</w:t>
      </w:r>
      <w:r w:rsidRPr="00C84E33">
        <w:rPr>
          <w:szCs w:val="24"/>
        </w:rPr>
        <w:t>.</w:t>
      </w:r>
    </w:p>
    <w:p w14:paraId="2412D135" w14:textId="30A78687" w:rsidR="006C138D" w:rsidRPr="00C84E33" w:rsidRDefault="00297AD0" w:rsidP="006C138D">
      <w:pPr>
        <w:tabs>
          <w:tab w:val="left" w:pos="567"/>
        </w:tabs>
        <w:spacing w:before="240"/>
        <w:rPr>
          <w:szCs w:val="24"/>
        </w:rPr>
      </w:pPr>
      <w:r w:rsidRPr="00C84E33">
        <w:rPr>
          <w:szCs w:val="24"/>
        </w:rPr>
        <w:t xml:space="preserve">The </w:t>
      </w:r>
      <w:r w:rsidR="00967E51" w:rsidRPr="00C84E33">
        <w:rPr>
          <w:szCs w:val="24"/>
        </w:rPr>
        <w:t>Determination</w:t>
      </w:r>
      <w:r w:rsidRPr="00C84E33">
        <w:rPr>
          <w:szCs w:val="24"/>
        </w:rPr>
        <w:t xml:space="preserve"> </w:t>
      </w:r>
      <w:r w:rsidR="007524B0" w:rsidRPr="00C84E33">
        <w:rPr>
          <w:szCs w:val="24"/>
        </w:rPr>
        <w:t xml:space="preserve">commences </w:t>
      </w:r>
      <w:r w:rsidR="00C63FDC" w:rsidRPr="00C84E33">
        <w:rPr>
          <w:szCs w:val="24"/>
        </w:rPr>
        <w:t>on</w:t>
      </w:r>
      <w:r w:rsidR="00017AA9" w:rsidRPr="00C84E33">
        <w:rPr>
          <w:szCs w:val="24"/>
        </w:rPr>
        <w:t xml:space="preserve"> 1 March 2024.</w:t>
      </w:r>
    </w:p>
    <w:p w14:paraId="2412D136" w14:textId="77777777" w:rsidR="00236DF2" w:rsidRPr="00C84E33" w:rsidRDefault="00236DF2" w:rsidP="00574E71">
      <w:pPr>
        <w:rPr>
          <w:szCs w:val="24"/>
        </w:rPr>
      </w:pPr>
    </w:p>
    <w:p w14:paraId="2412D138" w14:textId="65B73875" w:rsidR="00574E71" w:rsidRPr="00C84E33" w:rsidRDefault="0002728B" w:rsidP="00DE07E4">
      <w:pPr>
        <w:spacing w:after="200" w:line="276" w:lineRule="auto"/>
        <w:rPr>
          <w:szCs w:val="24"/>
        </w:rPr>
      </w:pPr>
      <w:r w:rsidRPr="00C84E33">
        <w:rPr>
          <w:szCs w:val="24"/>
        </w:rPr>
        <w:t>T</w:t>
      </w:r>
      <w:r w:rsidR="00574E71" w:rsidRPr="00C84E33">
        <w:rPr>
          <w:szCs w:val="24"/>
        </w:rPr>
        <w:t xml:space="preserve">he Determination is </w:t>
      </w:r>
      <w:r w:rsidR="004417A2" w:rsidRPr="00C84E33">
        <w:rPr>
          <w:szCs w:val="24"/>
        </w:rPr>
        <w:t xml:space="preserve">a </w:t>
      </w:r>
      <w:r w:rsidR="00574E71" w:rsidRPr="00C84E33">
        <w:rPr>
          <w:szCs w:val="24"/>
        </w:rPr>
        <w:t xml:space="preserve">legislative instrument for the purposes of the </w:t>
      </w:r>
      <w:r w:rsidR="00574E71" w:rsidRPr="00C84E33">
        <w:rPr>
          <w:i/>
        </w:rPr>
        <w:t>Legislation Act 2003</w:t>
      </w:r>
      <w:r w:rsidR="00574E71" w:rsidRPr="00C84E33">
        <w:rPr>
          <w:szCs w:val="24"/>
        </w:rPr>
        <w:t>.</w:t>
      </w:r>
    </w:p>
    <w:p w14:paraId="2412D139" w14:textId="77777777" w:rsidR="00A1739A" w:rsidRPr="00C84E33" w:rsidRDefault="00A1739A" w:rsidP="000337CB">
      <w:pPr>
        <w:ind w:left="6663" w:hanging="3119"/>
        <w:rPr>
          <w:szCs w:val="24"/>
        </w:rPr>
      </w:pPr>
      <w:r w:rsidRPr="00C84E33">
        <w:rPr>
          <w:szCs w:val="24"/>
        </w:rPr>
        <w:t xml:space="preserve">           </w:t>
      </w:r>
    </w:p>
    <w:p w14:paraId="2412D13A" w14:textId="77777777" w:rsidR="00A1739A" w:rsidRPr="00C84E33" w:rsidRDefault="00A1739A" w:rsidP="000337CB">
      <w:pPr>
        <w:ind w:left="6663" w:hanging="3119"/>
        <w:rPr>
          <w:szCs w:val="24"/>
        </w:rPr>
      </w:pPr>
      <w:r w:rsidRPr="00C84E33">
        <w:rPr>
          <w:szCs w:val="24"/>
          <w:u w:val="single"/>
        </w:rPr>
        <w:t>Authority</w:t>
      </w:r>
      <w:r w:rsidR="00967E51" w:rsidRPr="00C84E33">
        <w:rPr>
          <w:szCs w:val="24"/>
        </w:rPr>
        <w:t xml:space="preserve">:     Subsection </w:t>
      </w:r>
      <w:r w:rsidRPr="00C84E33">
        <w:rPr>
          <w:szCs w:val="24"/>
        </w:rPr>
        <w:t>3</w:t>
      </w:r>
      <w:r w:rsidR="00967E51" w:rsidRPr="00C84E33">
        <w:rPr>
          <w:szCs w:val="24"/>
        </w:rPr>
        <w:t>C</w:t>
      </w:r>
      <w:r w:rsidRPr="00C84E33">
        <w:rPr>
          <w:szCs w:val="24"/>
        </w:rPr>
        <w:t xml:space="preserve">(1) of the </w:t>
      </w:r>
    </w:p>
    <w:p w14:paraId="2412D13B" w14:textId="0596CD30" w:rsidR="00A1739A" w:rsidRPr="00C84E33" w:rsidRDefault="00A1739A" w:rsidP="000337CB">
      <w:pPr>
        <w:tabs>
          <w:tab w:val="left" w:pos="4820"/>
        </w:tabs>
        <w:rPr>
          <w:szCs w:val="24"/>
        </w:rPr>
        <w:sectPr w:rsidR="00A1739A" w:rsidRPr="00C84E33" w:rsidSect="00235B6C">
          <w:headerReference w:type="default" r:id="rId11"/>
          <w:pgSz w:w="11906" w:h="16838"/>
          <w:pgMar w:top="1440" w:right="1800" w:bottom="1135" w:left="1800" w:header="708" w:footer="708" w:gutter="0"/>
          <w:pgNumType w:start="1"/>
          <w:cols w:space="708"/>
          <w:docGrid w:linePitch="360"/>
        </w:sectPr>
      </w:pPr>
      <w:r w:rsidRPr="00C84E33">
        <w:rPr>
          <w:i/>
          <w:szCs w:val="24"/>
        </w:rPr>
        <w:tab/>
        <w:t>Health Insurance Act 1973</w:t>
      </w:r>
    </w:p>
    <w:p w14:paraId="2412D13D" w14:textId="77777777" w:rsidR="006D5816" w:rsidRPr="00C84E33" w:rsidRDefault="006D5816" w:rsidP="000337CB">
      <w:pPr>
        <w:pStyle w:val="BodyText"/>
        <w:jc w:val="right"/>
        <w:rPr>
          <w:szCs w:val="24"/>
        </w:rPr>
      </w:pPr>
      <w:r w:rsidRPr="00C84E33">
        <w:rPr>
          <w:szCs w:val="24"/>
        </w:rPr>
        <w:lastRenderedPageBreak/>
        <w:t>ATTACHMENT</w:t>
      </w:r>
    </w:p>
    <w:p w14:paraId="2412D13E" w14:textId="77777777" w:rsidR="006D5816" w:rsidRPr="00C84E33" w:rsidRDefault="006D5816" w:rsidP="000337CB">
      <w:pPr>
        <w:pStyle w:val="BodyText"/>
        <w:rPr>
          <w:szCs w:val="24"/>
        </w:rPr>
      </w:pPr>
    </w:p>
    <w:p w14:paraId="5B0C808A" w14:textId="1B662A3C" w:rsidR="00215191" w:rsidRPr="00AD35EC" w:rsidRDefault="00A41364" w:rsidP="00186752">
      <w:pPr>
        <w:pStyle w:val="BodyText"/>
        <w:rPr>
          <w:i/>
          <w:iCs/>
        </w:rPr>
      </w:pPr>
      <w:r w:rsidRPr="00C84E33">
        <w:rPr>
          <w:szCs w:val="24"/>
        </w:rPr>
        <w:t xml:space="preserve">Details of the </w:t>
      </w:r>
      <w:r w:rsidR="005D614A" w:rsidRPr="00C84E33">
        <w:rPr>
          <w:i/>
          <w:iCs/>
        </w:rPr>
        <w:t>Health Insurance (Section 3C General Medical Services – Cleft and Craniofacial Services) Determination 2024</w:t>
      </w:r>
    </w:p>
    <w:p w14:paraId="7BBEB147" w14:textId="720F9678" w:rsidR="00E70355" w:rsidRPr="00C84E33" w:rsidRDefault="00E70355" w:rsidP="000337CB">
      <w:pPr>
        <w:pStyle w:val="BodyText"/>
        <w:rPr>
          <w:b w:val="0"/>
          <w:i/>
          <w:szCs w:val="24"/>
        </w:rPr>
      </w:pPr>
    </w:p>
    <w:p w14:paraId="2412D141" w14:textId="7C34D5F4" w:rsidR="00FE02C2" w:rsidRPr="00C84E33" w:rsidRDefault="001B0111" w:rsidP="000337CB">
      <w:pPr>
        <w:pStyle w:val="BodyText"/>
        <w:rPr>
          <w:b w:val="0"/>
          <w:szCs w:val="24"/>
          <w:u w:val="single"/>
        </w:rPr>
      </w:pPr>
      <w:r w:rsidRPr="00C84E33">
        <w:rPr>
          <w:b w:val="0"/>
          <w:szCs w:val="24"/>
          <w:u w:val="single"/>
        </w:rPr>
        <w:t>Section 1 – Name</w:t>
      </w:r>
    </w:p>
    <w:p w14:paraId="2412D142" w14:textId="77777777" w:rsidR="00FE02C2" w:rsidRPr="00C84E33" w:rsidRDefault="00FE02C2" w:rsidP="000337CB">
      <w:pPr>
        <w:pStyle w:val="BodyText"/>
        <w:rPr>
          <w:b w:val="0"/>
          <w:szCs w:val="24"/>
        </w:rPr>
      </w:pPr>
    </w:p>
    <w:p w14:paraId="2412D144" w14:textId="17D8BE66" w:rsidR="00F83B6F" w:rsidRPr="00C84E33" w:rsidRDefault="00BC7397" w:rsidP="00C67BC7">
      <w:pPr>
        <w:pStyle w:val="BodyText"/>
      </w:pPr>
      <w:r w:rsidRPr="00C84E33">
        <w:rPr>
          <w:b w:val="0"/>
          <w:szCs w:val="24"/>
        </w:rPr>
        <w:t>S</w:t>
      </w:r>
      <w:r w:rsidR="00FE02C2" w:rsidRPr="00C84E33">
        <w:rPr>
          <w:b w:val="0"/>
          <w:szCs w:val="24"/>
        </w:rPr>
        <w:t xml:space="preserve">ection </w:t>
      </w:r>
      <w:r w:rsidRPr="00C84E33">
        <w:rPr>
          <w:b w:val="0"/>
          <w:szCs w:val="24"/>
        </w:rPr>
        <w:t xml:space="preserve">1 </w:t>
      </w:r>
      <w:r w:rsidR="00FE02C2" w:rsidRPr="00C84E33">
        <w:rPr>
          <w:b w:val="0"/>
          <w:szCs w:val="24"/>
        </w:rPr>
        <w:t>provides</w:t>
      </w:r>
      <w:r w:rsidR="008B683E" w:rsidRPr="00C84E33">
        <w:rPr>
          <w:b w:val="0"/>
          <w:szCs w:val="24"/>
        </w:rPr>
        <w:t xml:space="preserve"> for the </w:t>
      </w:r>
      <w:r w:rsidR="008B2094" w:rsidRPr="00C84E33">
        <w:rPr>
          <w:b w:val="0"/>
          <w:szCs w:val="24"/>
        </w:rPr>
        <w:t>Determination</w:t>
      </w:r>
      <w:r w:rsidR="00FE02C2" w:rsidRPr="00C84E33">
        <w:rPr>
          <w:b w:val="0"/>
          <w:szCs w:val="24"/>
        </w:rPr>
        <w:t xml:space="preserve"> to be referred to as </w:t>
      </w:r>
      <w:r w:rsidR="005D614A" w:rsidRPr="00C84E33">
        <w:rPr>
          <w:b w:val="0"/>
          <w:szCs w:val="24"/>
        </w:rPr>
        <w:t>Health Insurance (Section 3C General Medical Services – Cleft and Craniofacial Services) Determination 2024</w:t>
      </w:r>
      <w:r w:rsidR="00FD39B9" w:rsidRPr="00C84E33">
        <w:rPr>
          <w:b w:val="0"/>
          <w:i/>
          <w:iCs/>
          <w:szCs w:val="24"/>
        </w:rPr>
        <w:t xml:space="preserve"> </w:t>
      </w:r>
      <w:r w:rsidR="00FD39B9" w:rsidRPr="00C84E33">
        <w:rPr>
          <w:b w:val="0"/>
          <w:szCs w:val="24"/>
        </w:rPr>
        <w:t>(the Determination).</w:t>
      </w:r>
    </w:p>
    <w:p w14:paraId="68DAA207" w14:textId="77777777" w:rsidR="00FD602D" w:rsidRPr="00C84E33" w:rsidRDefault="00FD602D" w:rsidP="00FD602D"/>
    <w:p w14:paraId="49D1E050" w14:textId="77777777" w:rsidR="007A4089" w:rsidRPr="00C84E33" w:rsidRDefault="00FE02C2" w:rsidP="000337CB">
      <w:pPr>
        <w:pStyle w:val="BodyText"/>
        <w:rPr>
          <w:b w:val="0"/>
          <w:szCs w:val="24"/>
          <w:u w:val="single"/>
        </w:rPr>
      </w:pPr>
      <w:r w:rsidRPr="00C84E33">
        <w:rPr>
          <w:b w:val="0"/>
          <w:szCs w:val="24"/>
          <w:u w:val="single"/>
        </w:rPr>
        <w:t xml:space="preserve">Section 2 – Commencement </w:t>
      </w:r>
    </w:p>
    <w:p w14:paraId="2DCE2ED0" w14:textId="77777777" w:rsidR="007A4089" w:rsidRPr="00C84E33" w:rsidRDefault="007A4089" w:rsidP="000337CB">
      <w:pPr>
        <w:pStyle w:val="BodyText"/>
        <w:rPr>
          <w:b w:val="0"/>
          <w:szCs w:val="24"/>
          <w:u w:val="single"/>
        </w:rPr>
      </w:pPr>
    </w:p>
    <w:p w14:paraId="2412D148" w14:textId="6064B294" w:rsidR="00510A4F" w:rsidRPr="00AD35EC" w:rsidRDefault="00510A4F" w:rsidP="000337CB">
      <w:pPr>
        <w:pStyle w:val="BodyText"/>
        <w:rPr>
          <w:b w:val="0"/>
          <w:szCs w:val="24"/>
        </w:rPr>
      </w:pPr>
      <w:r w:rsidRPr="00C84E33">
        <w:rPr>
          <w:b w:val="0"/>
          <w:szCs w:val="24"/>
        </w:rPr>
        <w:t xml:space="preserve">Section 2 </w:t>
      </w:r>
      <w:r w:rsidR="00404F11" w:rsidRPr="00C84E33">
        <w:rPr>
          <w:b w:val="0"/>
          <w:szCs w:val="24"/>
        </w:rPr>
        <w:t xml:space="preserve">provides that the </w:t>
      </w:r>
      <w:r w:rsidR="008B2094" w:rsidRPr="00C84E33">
        <w:rPr>
          <w:b w:val="0"/>
          <w:szCs w:val="24"/>
        </w:rPr>
        <w:t xml:space="preserve">Determination </w:t>
      </w:r>
      <w:r w:rsidR="00404F11" w:rsidRPr="00C84E33">
        <w:rPr>
          <w:b w:val="0"/>
          <w:szCs w:val="24"/>
        </w:rPr>
        <w:t>commences</w:t>
      </w:r>
      <w:r w:rsidR="00FD39B9" w:rsidRPr="00C84E33">
        <w:rPr>
          <w:b w:val="0"/>
          <w:szCs w:val="24"/>
        </w:rPr>
        <w:t xml:space="preserve"> on 1 March 2024.</w:t>
      </w:r>
    </w:p>
    <w:p w14:paraId="16C03200" w14:textId="77777777" w:rsidR="007E0017" w:rsidRPr="00C84E33" w:rsidRDefault="007E0017" w:rsidP="000337CB">
      <w:pPr>
        <w:pStyle w:val="BodyText"/>
        <w:rPr>
          <w:b w:val="0"/>
          <w:szCs w:val="24"/>
        </w:rPr>
      </w:pPr>
    </w:p>
    <w:p w14:paraId="005D5660" w14:textId="77777777" w:rsidR="007A4089" w:rsidRPr="00C84E33" w:rsidRDefault="00FE02C2" w:rsidP="000337CB">
      <w:pPr>
        <w:pStyle w:val="BodyText"/>
        <w:rPr>
          <w:b w:val="0"/>
          <w:szCs w:val="24"/>
          <w:u w:val="single"/>
        </w:rPr>
      </w:pPr>
      <w:r w:rsidRPr="00C84E33">
        <w:rPr>
          <w:b w:val="0"/>
          <w:szCs w:val="24"/>
          <w:u w:val="single"/>
        </w:rPr>
        <w:t xml:space="preserve">Section 3 – </w:t>
      </w:r>
      <w:r w:rsidR="00E5798A" w:rsidRPr="00C84E33">
        <w:rPr>
          <w:b w:val="0"/>
          <w:szCs w:val="24"/>
          <w:u w:val="single"/>
        </w:rPr>
        <w:t>Authority</w:t>
      </w:r>
    </w:p>
    <w:p w14:paraId="53BFA098" w14:textId="77777777" w:rsidR="007A4089" w:rsidRPr="00C84E33" w:rsidRDefault="007A4089" w:rsidP="000337CB">
      <w:pPr>
        <w:pStyle w:val="BodyText"/>
        <w:rPr>
          <w:b w:val="0"/>
          <w:szCs w:val="24"/>
          <w:u w:val="single"/>
        </w:rPr>
      </w:pPr>
    </w:p>
    <w:p w14:paraId="2412D14B" w14:textId="60EB4E9C" w:rsidR="00FE02C2" w:rsidRPr="00C84E33" w:rsidRDefault="00F83B6F" w:rsidP="000337CB">
      <w:pPr>
        <w:pStyle w:val="BodyText"/>
        <w:rPr>
          <w:b w:val="0"/>
        </w:rPr>
      </w:pPr>
      <w:r w:rsidRPr="00C84E33">
        <w:rPr>
          <w:b w:val="0"/>
        </w:rPr>
        <w:t xml:space="preserve">Section 3 provides that the </w:t>
      </w:r>
      <w:r w:rsidR="008B2094" w:rsidRPr="00C84E33">
        <w:rPr>
          <w:b w:val="0"/>
          <w:szCs w:val="24"/>
        </w:rPr>
        <w:t xml:space="preserve">Determination </w:t>
      </w:r>
      <w:r w:rsidR="00E5798A" w:rsidRPr="00C84E33">
        <w:rPr>
          <w:b w:val="0"/>
        </w:rPr>
        <w:t xml:space="preserve">is made under </w:t>
      </w:r>
      <w:r w:rsidR="00367440" w:rsidRPr="00C84E33">
        <w:rPr>
          <w:b w:val="0"/>
        </w:rPr>
        <w:t xml:space="preserve">subsection </w:t>
      </w:r>
      <w:r w:rsidR="00E5798A" w:rsidRPr="00C84E33">
        <w:rPr>
          <w:b w:val="0"/>
        </w:rPr>
        <w:t xml:space="preserve">3C(1) of the </w:t>
      </w:r>
      <w:r w:rsidR="00E5798A" w:rsidRPr="00C84E33">
        <w:rPr>
          <w:b w:val="0"/>
          <w:i/>
        </w:rPr>
        <w:t>Health Insurance Act 1973</w:t>
      </w:r>
      <w:r w:rsidR="00E5798A" w:rsidRPr="00C84E33">
        <w:rPr>
          <w:b w:val="0"/>
        </w:rPr>
        <w:t>.</w:t>
      </w:r>
    </w:p>
    <w:p w14:paraId="0DBF1241" w14:textId="22668304" w:rsidR="00E70355" w:rsidRPr="00C84E33" w:rsidRDefault="00E70355" w:rsidP="000337CB">
      <w:pPr>
        <w:pStyle w:val="BodyText"/>
        <w:rPr>
          <w:b w:val="0"/>
        </w:rPr>
      </w:pPr>
    </w:p>
    <w:p w14:paraId="51BCFC0E" w14:textId="17A7630F" w:rsidR="00837C17" w:rsidRPr="00C84E33" w:rsidRDefault="00837C17" w:rsidP="000337CB">
      <w:pPr>
        <w:pStyle w:val="BodyText"/>
        <w:rPr>
          <w:b w:val="0"/>
          <w:szCs w:val="24"/>
        </w:rPr>
      </w:pPr>
      <w:r w:rsidRPr="00C84E33">
        <w:rPr>
          <w:b w:val="0"/>
          <w:szCs w:val="24"/>
          <w:u w:val="single"/>
        </w:rPr>
        <w:t>Section 4 – Definitions</w:t>
      </w:r>
    </w:p>
    <w:p w14:paraId="0B8FFCA9" w14:textId="2DDC9A71" w:rsidR="00837C17" w:rsidRPr="00C84E33" w:rsidRDefault="00837C17" w:rsidP="000337CB">
      <w:pPr>
        <w:pStyle w:val="BodyText"/>
        <w:rPr>
          <w:b w:val="0"/>
          <w:szCs w:val="24"/>
        </w:rPr>
      </w:pPr>
    </w:p>
    <w:p w14:paraId="608D6988" w14:textId="68248F83" w:rsidR="00837C17" w:rsidRPr="00C84E33" w:rsidRDefault="005A5F3F" w:rsidP="000337CB">
      <w:pPr>
        <w:pStyle w:val="BodyText"/>
        <w:rPr>
          <w:b w:val="0"/>
          <w:szCs w:val="24"/>
        </w:rPr>
      </w:pPr>
      <w:r w:rsidRPr="00C84E33">
        <w:rPr>
          <w:b w:val="0"/>
          <w:szCs w:val="24"/>
        </w:rPr>
        <w:t>Section 4 defines terms used in the Determination.</w:t>
      </w:r>
    </w:p>
    <w:p w14:paraId="5DA293E4" w14:textId="77777777" w:rsidR="005A5F3F" w:rsidRPr="00C84E33" w:rsidRDefault="005A5F3F" w:rsidP="000337CB">
      <w:pPr>
        <w:pStyle w:val="BodyText"/>
        <w:rPr>
          <w:b w:val="0"/>
        </w:rPr>
      </w:pPr>
    </w:p>
    <w:p w14:paraId="20CBF84A" w14:textId="5D22F670" w:rsidR="00C63FDC" w:rsidRPr="00C84E33" w:rsidRDefault="00C63FDC" w:rsidP="00C63FDC">
      <w:pPr>
        <w:pStyle w:val="BodyText"/>
        <w:rPr>
          <w:b w:val="0"/>
          <w:szCs w:val="24"/>
          <w:u w:val="single"/>
        </w:rPr>
      </w:pPr>
      <w:r w:rsidRPr="00C84E33">
        <w:rPr>
          <w:b w:val="0"/>
          <w:szCs w:val="24"/>
          <w:u w:val="single"/>
        </w:rPr>
        <w:t xml:space="preserve">Section </w:t>
      </w:r>
      <w:r w:rsidR="00837C17" w:rsidRPr="00C84E33">
        <w:rPr>
          <w:b w:val="0"/>
          <w:szCs w:val="24"/>
          <w:u w:val="single"/>
        </w:rPr>
        <w:t>5</w:t>
      </w:r>
      <w:r w:rsidRPr="00C84E33">
        <w:rPr>
          <w:b w:val="0"/>
          <w:szCs w:val="24"/>
          <w:u w:val="single"/>
        </w:rPr>
        <w:t xml:space="preserve"> – Schedules</w:t>
      </w:r>
    </w:p>
    <w:p w14:paraId="4C010161" w14:textId="77777777" w:rsidR="00C63FDC" w:rsidRPr="00C84E33" w:rsidRDefault="00C63FDC" w:rsidP="00C63FDC">
      <w:pPr>
        <w:pStyle w:val="BodyText"/>
        <w:rPr>
          <w:b w:val="0"/>
          <w:szCs w:val="24"/>
          <w:u w:val="single"/>
        </w:rPr>
      </w:pPr>
    </w:p>
    <w:p w14:paraId="5D9EBF8D" w14:textId="3F5AA33A" w:rsidR="00C63FDC" w:rsidRPr="00C84E33" w:rsidRDefault="00C63FDC" w:rsidP="00C63FDC">
      <w:pPr>
        <w:pStyle w:val="BodyText"/>
        <w:rPr>
          <w:b w:val="0"/>
          <w:szCs w:val="24"/>
        </w:rPr>
      </w:pPr>
      <w:r w:rsidRPr="00C84E33">
        <w:rPr>
          <w:b w:val="0"/>
          <w:szCs w:val="24"/>
        </w:rPr>
        <w:t xml:space="preserve">Section </w:t>
      </w:r>
      <w:r w:rsidR="00837C17" w:rsidRPr="00C84E33">
        <w:rPr>
          <w:b w:val="0"/>
          <w:szCs w:val="24"/>
        </w:rPr>
        <w:t>5</w:t>
      </w:r>
      <w:r w:rsidRPr="00C84E33">
        <w:rPr>
          <w:b w:val="0"/>
          <w:szCs w:val="24"/>
        </w:rPr>
        <w:t xml:space="preserve"> </w:t>
      </w:r>
      <w:r w:rsidR="005A5F3F" w:rsidRPr="00C84E33">
        <w:rPr>
          <w:b w:val="0"/>
          <w:szCs w:val="24"/>
        </w:rPr>
        <w:t xml:space="preserve">of the Determination </w:t>
      </w:r>
      <w:r w:rsidRPr="00C84E33">
        <w:rPr>
          <w:b w:val="0"/>
          <w:szCs w:val="24"/>
        </w:rPr>
        <w:t>provides that each instrument that is specified in a Schedule to this Determination is amended or repealed as set out in the applicable items in the Schedule concerned, and any other item in a Schedule to this Determination has effect according to its terms.</w:t>
      </w:r>
    </w:p>
    <w:p w14:paraId="3F37570B" w14:textId="49132912" w:rsidR="005A5F3F" w:rsidRPr="00C84E33" w:rsidRDefault="005A5F3F" w:rsidP="00C63FDC">
      <w:pPr>
        <w:pStyle w:val="BodyText"/>
        <w:rPr>
          <w:b w:val="0"/>
          <w:szCs w:val="24"/>
        </w:rPr>
      </w:pPr>
    </w:p>
    <w:p w14:paraId="7F1B7CD7" w14:textId="43A4A6EA" w:rsidR="005A5F3F" w:rsidRPr="00C84E33" w:rsidRDefault="005A5F3F" w:rsidP="00C63FDC">
      <w:pPr>
        <w:pStyle w:val="BodyText"/>
        <w:rPr>
          <w:b w:val="0"/>
          <w:szCs w:val="24"/>
        </w:rPr>
      </w:pPr>
      <w:r w:rsidRPr="00C84E33">
        <w:rPr>
          <w:b w:val="0"/>
          <w:szCs w:val="24"/>
          <w:u w:val="single"/>
        </w:rPr>
        <w:t xml:space="preserve">Section 6 – Relevant </w:t>
      </w:r>
      <w:r w:rsidR="006E2DBD" w:rsidRPr="00C84E33">
        <w:rPr>
          <w:b w:val="0"/>
          <w:szCs w:val="24"/>
          <w:u w:val="single"/>
        </w:rPr>
        <w:t>s</w:t>
      </w:r>
      <w:r w:rsidRPr="00C84E33">
        <w:rPr>
          <w:b w:val="0"/>
          <w:szCs w:val="24"/>
          <w:u w:val="single"/>
        </w:rPr>
        <w:t>ervices</w:t>
      </w:r>
    </w:p>
    <w:p w14:paraId="49897861" w14:textId="39DC0964" w:rsidR="005A5F3F" w:rsidRPr="00C84E33" w:rsidRDefault="005A5F3F" w:rsidP="00C63FDC">
      <w:pPr>
        <w:pStyle w:val="BodyText"/>
        <w:rPr>
          <w:b w:val="0"/>
          <w:szCs w:val="24"/>
        </w:rPr>
      </w:pPr>
    </w:p>
    <w:p w14:paraId="4961073C" w14:textId="78DAF36B" w:rsidR="005A5F3F" w:rsidRPr="00C84E33" w:rsidRDefault="005A5F3F" w:rsidP="00C63FDC">
      <w:pPr>
        <w:pStyle w:val="BodyText"/>
        <w:rPr>
          <w:b w:val="0"/>
          <w:szCs w:val="24"/>
        </w:rPr>
      </w:pPr>
      <w:r w:rsidRPr="00C84E33">
        <w:rPr>
          <w:b w:val="0"/>
          <w:szCs w:val="24"/>
        </w:rPr>
        <w:t>Section 6 of the Determination provides that</w:t>
      </w:r>
      <w:r w:rsidR="00D55868" w:rsidRPr="00C84E33">
        <w:rPr>
          <w:b w:val="0"/>
          <w:szCs w:val="24"/>
        </w:rPr>
        <w:t xml:space="preserve"> for subsection 3C(1) of the </w:t>
      </w:r>
      <w:r w:rsidR="00D55868" w:rsidRPr="00C84E33">
        <w:rPr>
          <w:b w:val="0"/>
          <w:i/>
          <w:iCs/>
          <w:szCs w:val="24"/>
        </w:rPr>
        <w:t>Health Insurance Act 1973</w:t>
      </w:r>
      <w:r w:rsidR="00D55868" w:rsidRPr="00C84E33">
        <w:rPr>
          <w:b w:val="0"/>
          <w:szCs w:val="24"/>
        </w:rPr>
        <w:t>,</w:t>
      </w:r>
      <w:r w:rsidRPr="00C84E33">
        <w:rPr>
          <w:b w:val="0"/>
          <w:szCs w:val="24"/>
        </w:rPr>
        <w:t xml:space="preserve"> a relevant service provided in accordance with th</w:t>
      </w:r>
      <w:r w:rsidR="00D55868" w:rsidRPr="00C84E33">
        <w:rPr>
          <w:b w:val="0"/>
          <w:szCs w:val="24"/>
        </w:rPr>
        <w:t>is</w:t>
      </w:r>
      <w:r w:rsidRPr="00C84E33">
        <w:rPr>
          <w:b w:val="0"/>
          <w:szCs w:val="24"/>
        </w:rPr>
        <w:t xml:space="preserve"> Determination is to be treated</w:t>
      </w:r>
      <w:r w:rsidR="00D55868" w:rsidRPr="00C84E33">
        <w:rPr>
          <w:b w:val="0"/>
          <w:szCs w:val="24"/>
        </w:rPr>
        <w:t>, for the relevant provisions, as if it were both a professional service and a medical service; and there were an item in the general medical services table that is related to the service and specified for the service a fee in relation to each State, being the fee specified in Schedule 1 in relation to the service.</w:t>
      </w:r>
    </w:p>
    <w:p w14:paraId="02B9382D" w14:textId="16ACC3D5" w:rsidR="00B06EFD" w:rsidRPr="00C84E33" w:rsidRDefault="00B06EFD" w:rsidP="00C63FDC">
      <w:pPr>
        <w:pStyle w:val="BodyText"/>
        <w:rPr>
          <w:b w:val="0"/>
          <w:szCs w:val="24"/>
        </w:rPr>
      </w:pPr>
    </w:p>
    <w:p w14:paraId="7CE17FAB" w14:textId="1EA42930" w:rsidR="00B06EFD" w:rsidRPr="00C84E33" w:rsidRDefault="006E2DBD" w:rsidP="00C63FDC">
      <w:pPr>
        <w:pStyle w:val="BodyText"/>
        <w:rPr>
          <w:b w:val="0"/>
          <w:szCs w:val="24"/>
        </w:rPr>
      </w:pPr>
      <w:r w:rsidRPr="00C84E33">
        <w:rPr>
          <w:b w:val="0"/>
          <w:szCs w:val="24"/>
          <w:u w:val="single"/>
        </w:rPr>
        <w:t>Section 7 – Limitation on services</w:t>
      </w:r>
    </w:p>
    <w:p w14:paraId="1ACCE989" w14:textId="4227F11B" w:rsidR="006E2DBD" w:rsidRPr="00C84E33" w:rsidRDefault="006E2DBD" w:rsidP="00C63FDC">
      <w:pPr>
        <w:pStyle w:val="BodyText"/>
        <w:rPr>
          <w:b w:val="0"/>
          <w:szCs w:val="24"/>
        </w:rPr>
      </w:pPr>
    </w:p>
    <w:p w14:paraId="11596577" w14:textId="13C203F7" w:rsidR="006E2DBD" w:rsidRPr="00C84E33" w:rsidRDefault="006E2DBD" w:rsidP="00C63FDC">
      <w:pPr>
        <w:pStyle w:val="BodyText"/>
        <w:rPr>
          <w:b w:val="0"/>
          <w:szCs w:val="24"/>
        </w:rPr>
      </w:pPr>
      <w:r w:rsidRPr="00C84E33">
        <w:rPr>
          <w:b w:val="0"/>
          <w:szCs w:val="24"/>
        </w:rPr>
        <w:t>S</w:t>
      </w:r>
      <w:r w:rsidR="002C03D1" w:rsidRPr="00C84E33">
        <w:rPr>
          <w:b w:val="0"/>
          <w:szCs w:val="24"/>
        </w:rPr>
        <w:t>ubs</w:t>
      </w:r>
      <w:r w:rsidRPr="00C84E33">
        <w:rPr>
          <w:b w:val="0"/>
          <w:szCs w:val="24"/>
        </w:rPr>
        <w:t>ection 7</w:t>
      </w:r>
      <w:r w:rsidR="005A46D7" w:rsidRPr="00C84E33">
        <w:rPr>
          <w:b w:val="0"/>
          <w:szCs w:val="24"/>
        </w:rPr>
        <w:t>(1)</w:t>
      </w:r>
      <w:r w:rsidRPr="00C84E33">
        <w:rPr>
          <w:b w:val="0"/>
          <w:szCs w:val="24"/>
        </w:rPr>
        <w:t xml:space="preserve"> of the Determ</w:t>
      </w:r>
      <w:r w:rsidR="005A46D7" w:rsidRPr="00C84E33">
        <w:rPr>
          <w:b w:val="0"/>
          <w:szCs w:val="24"/>
        </w:rPr>
        <w:t>in</w:t>
      </w:r>
      <w:r w:rsidRPr="00C84E33">
        <w:rPr>
          <w:b w:val="0"/>
          <w:szCs w:val="24"/>
        </w:rPr>
        <w:t xml:space="preserve">ation </w:t>
      </w:r>
      <w:r w:rsidR="005A46D7" w:rsidRPr="00C84E33">
        <w:rPr>
          <w:b w:val="0"/>
          <w:szCs w:val="24"/>
        </w:rPr>
        <w:t>provides that an item specified in Schedule 1 to the Determination only applies to a service provided to a patient with an eligible cleft or craniofacial condition.</w:t>
      </w:r>
      <w:r w:rsidR="00125B81" w:rsidRPr="00C84E33">
        <w:rPr>
          <w:b w:val="0"/>
          <w:szCs w:val="24"/>
        </w:rPr>
        <w:t xml:space="preserve"> Refer to Schedule 2 for the table of eligible conditions.</w:t>
      </w:r>
    </w:p>
    <w:p w14:paraId="3F899D06" w14:textId="1D59D5D5" w:rsidR="005A46D7" w:rsidRPr="00C84E33" w:rsidRDefault="005A46D7" w:rsidP="00C63FDC">
      <w:pPr>
        <w:pStyle w:val="BodyText"/>
        <w:rPr>
          <w:b w:val="0"/>
          <w:szCs w:val="24"/>
        </w:rPr>
      </w:pPr>
    </w:p>
    <w:p w14:paraId="1F611426" w14:textId="7B977FBE" w:rsidR="005A46D7" w:rsidRPr="00C84E33" w:rsidRDefault="002C03D1" w:rsidP="005A46D7">
      <w:pPr>
        <w:pStyle w:val="BodyText"/>
        <w:rPr>
          <w:b w:val="0"/>
          <w:szCs w:val="24"/>
        </w:rPr>
      </w:pPr>
      <w:r w:rsidRPr="00C84E33">
        <w:rPr>
          <w:b w:val="0"/>
          <w:szCs w:val="24"/>
        </w:rPr>
        <w:t>Subs</w:t>
      </w:r>
      <w:r w:rsidR="005A46D7" w:rsidRPr="00C84E33">
        <w:rPr>
          <w:b w:val="0"/>
          <w:szCs w:val="24"/>
        </w:rPr>
        <w:t>ection 7(</w:t>
      </w:r>
      <w:r w:rsidR="00BE1645" w:rsidRPr="00C84E33">
        <w:rPr>
          <w:b w:val="0"/>
          <w:szCs w:val="24"/>
        </w:rPr>
        <w:t>2</w:t>
      </w:r>
      <w:r w:rsidR="005A46D7" w:rsidRPr="00C84E33">
        <w:rPr>
          <w:b w:val="0"/>
          <w:szCs w:val="24"/>
        </w:rPr>
        <w:t xml:space="preserve">) of the Determination </w:t>
      </w:r>
      <w:r w:rsidR="000937F0" w:rsidRPr="00C84E33">
        <w:rPr>
          <w:b w:val="0"/>
          <w:szCs w:val="24"/>
        </w:rPr>
        <w:t>specifies</w:t>
      </w:r>
      <w:r w:rsidR="00BE1645" w:rsidRPr="00C84E33">
        <w:rPr>
          <w:b w:val="0"/>
          <w:szCs w:val="24"/>
        </w:rPr>
        <w:t xml:space="preserve"> </w:t>
      </w:r>
      <w:r w:rsidR="00E917EF" w:rsidRPr="00C84E33">
        <w:rPr>
          <w:b w:val="0"/>
          <w:szCs w:val="24"/>
        </w:rPr>
        <w:t>that</w:t>
      </w:r>
      <w:r w:rsidR="00BE1645" w:rsidRPr="00C84E33">
        <w:rPr>
          <w:b w:val="0"/>
          <w:szCs w:val="24"/>
        </w:rPr>
        <w:t xml:space="preserve"> items</w:t>
      </w:r>
      <w:r w:rsidR="00E917EF" w:rsidRPr="00C84E33">
        <w:rPr>
          <w:b w:val="0"/>
          <w:szCs w:val="24"/>
        </w:rPr>
        <w:t xml:space="preserve"> 75009, 75023, 75200, 75203, 75206, 75400, 75402, 75800, 75802, 75815, 75818, 75820, 75833, 75836, 75842, 75845, 75848, 75851 and 75854</w:t>
      </w:r>
      <w:r w:rsidR="00BE1645" w:rsidRPr="00C84E33">
        <w:rPr>
          <w:b w:val="0"/>
          <w:szCs w:val="24"/>
        </w:rPr>
        <w:t xml:space="preserve"> apply to a service provided by a dental practitioner.</w:t>
      </w:r>
    </w:p>
    <w:p w14:paraId="1A6D2060" w14:textId="677FCE1A" w:rsidR="005A46D7" w:rsidRPr="00C84E33" w:rsidRDefault="005A46D7" w:rsidP="00C63FDC">
      <w:pPr>
        <w:pStyle w:val="BodyText"/>
        <w:rPr>
          <w:b w:val="0"/>
          <w:szCs w:val="24"/>
        </w:rPr>
      </w:pPr>
    </w:p>
    <w:p w14:paraId="2D12A35F" w14:textId="14C597BE" w:rsidR="005A46D7" w:rsidRPr="00C84E33" w:rsidRDefault="002C03D1" w:rsidP="00C63FDC">
      <w:pPr>
        <w:pStyle w:val="BodyText"/>
        <w:rPr>
          <w:b w:val="0"/>
          <w:szCs w:val="24"/>
        </w:rPr>
      </w:pPr>
      <w:r w:rsidRPr="00C84E33">
        <w:rPr>
          <w:b w:val="0"/>
          <w:szCs w:val="24"/>
        </w:rPr>
        <w:lastRenderedPageBreak/>
        <w:t>Subs</w:t>
      </w:r>
      <w:r w:rsidR="005A46D7" w:rsidRPr="00C84E33">
        <w:rPr>
          <w:b w:val="0"/>
          <w:szCs w:val="24"/>
        </w:rPr>
        <w:t>ection 7(</w:t>
      </w:r>
      <w:r w:rsidR="00BE1645" w:rsidRPr="00C84E33">
        <w:rPr>
          <w:b w:val="0"/>
          <w:szCs w:val="24"/>
        </w:rPr>
        <w:t>3</w:t>
      </w:r>
      <w:r w:rsidR="005A46D7" w:rsidRPr="00C84E33">
        <w:rPr>
          <w:b w:val="0"/>
          <w:szCs w:val="24"/>
        </w:rPr>
        <w:t xml:space="preserve">) of the Determination </w:t>
      </w:r>
      <w:r w:rsidR="000937F0" w:rsidRPr="00C84E33">
        <w:rPr>
          <w:b w:val="0"/>
          <w:szCs w:val="24"/>
        </w:rPr>
        <w:t xml:space="preserve">specifies </w:t>
      </w:r>
      <w:r w:rsidR="00E917EF" w:rsidRPr="00C84E33">
        <w:rPr>
          <w:b w:val="0"/>
          <w:szCs w:val="24"/>
        </w:rPr>
        <w:t>that items 75002, 75005, 75007, 75012, 75015, 75024, 75027, 75030, 75032, 75034, 75039, 75042, 75045, 75048, 75049, 75050, 75051, 75618 and 75621</w:t>
      </w:r>
      <w:r w:rsidR="000937F0" w:rsidRPr="00C84E33">
        <w:rPr>
          <w:b w:val="0"/>
          <w:szCs w:val="24"/>
        </w:rPr>
        <w:t xml:space="preserve"> apply to a service provided by</w:t>
      </w:r>
      <w:r w:rsidR="00E95428" w:rsidRPr="00C84E33">
        <w:rPr>
          <w:b w:val="0"/>
          <w:szCs w:val="24"/>
        </w:rPr>
        <w:t xml:space="preserve"> an eligible orthodontist.</w:t>
      </w:r>
    </w:p>
    <w:p w14:paraId="4379B4BE" w14:textId="2F17C0D4" w:rsidR="00BE1645" w:rsidRPr="00C84E33" w:rsidRDefault="00BE1645" w:rsidP="00C63FDC">
      <w:pPr>
        <w:pStyle w:val="BodyText"/>
        <w:rPr>
          <w:b w:val="0"/>
          <w:szCs w:val="24"/>
        </w:rPr>
      </w:pPr>
    </w:p>
    <w:p w14:paraId="5BEC4CDA" w14:textId="672F71CD" w:rsidR="00BE1645" w:rsidRPr="00C84E33" w:rsidRDefault="002C03D1" w:rsidP="00BE1645">
      <w:pPr>
        <w:pStyle w:val="BodyText"/>
        <w:rPr>
          <w:b w:val="0"/>
          <w:szCs w:val="24"/>
        </w:rPr>
      </w:pPr>
      <w:r w:rsidRPr="00C84E33">
        <w:rPr>
          <w:b w:val="0"/>
          <w:szCs w:val="24"/>
        </w:rPr>
        <w:t>Subs</w:t>
      </w:r>
      <w:r w:rsidR="00BE1645" w:rsidRPr="00C84E33">
        <w:rPr>
          <w:b w:val="0"/>
          <w:szCs w:val="24"/>
        </w:rPr>
        <w:t xml:space="preserve">ection 7(4) of the Determination </w:t>
      </w:r>
      <w:r w:rsidR="000937F0" w:rsidRPr="00C84E33">
        <w:rPr>
          <w:b w:val="0"/>
          <w:szCs w:val="24"/>
        </w:rPr>
        <w:t xml:space="preserve">specifies </w:t>
      </w:r>
      <w:r w:rsidR="00E917EF" w:rsidRPr="00C84E33">
        <w:rPr>
          <w:b w:val="0"/>
          <w:szCs w:val="24"/>
        </w:rPr>
        <w:t>that items 75002, 75005, 75007, 75618 and 75621</w:t>
      </w:r>
      <w:r w:rsidR="000937F0" w:rsidRPr="00C84E33">
        <w:rPr>
          <w:b w:val="0"/>
          <w:szCs w:val="24"/>
        </w:rPr>
        <w:t xml:space="preserve"> apply to a service provided by</w:t>
      </w:r>
      <w:r w:rsidR="00E95428" w:rsidRPr="00C84E33">
        <w:rPr>
          <w:b w:val="0"/>
          <w:szCs w:val="24"/>
        </w:rPr>
        <w:t xml:space="preserve"> an eligible prosthodontist.</w:t>
      </w:r>
    </w:p>
    <w:p w14:paraId="3D4D5CC2" w14:textId="134D20E3" w:rsidR="00BE1645" w:rsidRPr="00C84E33" w:rsidRDefault="00BE1645" w:rsidP="00C63FDC">
      <w:pPr>
        <w:pStyle w:val="BodyText"/>
        <w:rPr>
          <w:b w:val="0"/>
          <w:szCs w:val="24"/>
        </w:rPr>
      </w:pPr>
    </w:p>
    <w:p w14:paraId="64F14E28" w14:textId="5953EC94" w:rsidR="00BE1645" w:rsidRPr="00C84E33" w:rsidRDefault="002C03D1" w:rsidP="00BE1645">
      <w:pPr>
        <w:pStyle w:val="BodyText"/>
        <w:rPr>
          <w:b w:val="0"/>
          <w:szCs w:val="24"/>
        </w:rPr>
      </w:pPr>
      <w:r w:rsidRPr="00C84E33">
        <w:rPr>
          <w:b w:val="0"/>
          <w:szCs w:val="24"/>
        </w:rPr>
        <w:t>Subs</w:t>
      </w:r>
      <w:r w:rsidR="00BE1645" w:rsidRPr="00C84E33">
        <w:rPr>
          <w:b w:val="0"/>
          <w:szCs w:val="24"/>
        </w:rPr>
        <w:t xml:space="preserve">ection 7(5) of the Determination </w:t>
      </w:r>
      <w:r w:rsidR="000937F0" w:rsidRPr="00C84E33">
        <w:rPr>
          <w:b w:val="0"/>
          <w:szCs w:val="24"/>
        </w:rPr>
        <w:t xml:space="preserve">specifies </w:t>
      </w:r>
      <w:r w:rsidR="00E917EF" w:rsidRPr="00C84E33">
        <w:rPr>
          <w:b w:val="0"/>
          <w:szCs w:val="24"/>
        </w:rPr>
        <w:t>that items 75002, 75005, 75007, 75024, 75027, 75600 and 75603</w:t>
      </w:r>
      <w:r w:rsidR="000937F0" w:rsidRPr="00C84E33">
        <w:rPr>
          <w:b w:val="0"/>
          <w:szCs w:val="24"/>
        </w:rPr>
        <w:t xml:space="preserve"> apply to a service provided by</w:t>
      </w:r>
      <w:r w:rsidR="00E95428" w:rsidRPr="00C84E33">
        <w:rPr>
          <w:b w:val="0"/>
          <w:szCs w:val="24"/>
        </w:rPr>
        <w:t xml:space="preserve"> an eligible paediatric dentist.</w:t>
      </w:r>
    </w:p>
    <w:p w14:paraId="10F36834" w14:textId="18504860" w:rsidR="00BE1645" w:rsidRPr="00C84E33" w:rsidRDefault="00BE1645" w:rsidP="00C63FDC">
      <w:pPr>
        <w:pStyle w:val="BodyText"/>
        <w:rPr>
          <w:b w:val="0"/>
          <w:szCs w:val="24"/>
        </w:rPr>
      </w:pPr>
    </w:p>
    <w:p w14:paraId="0C57A087" w14:textId="41C97A97" w:rsidR="00BE1645" w:rsidRPr="00C84E33" w:rsidRDefault="002C03D1" w:rsidP="00BE1645">
      <w:pPr>
        <w:pStyle w:val="BodyText"/>
        <w:rPr>
          <w:b w:val="0"/>
          <w:szCs w:val="24"/>
        </w:rPr>
      </w:pPr>
      <w:r w:rsidRPr="00C84E33">
        <w:rPr>
          <w:b w:val="0"/>
          <w:szCs w:val="24"/>
        </w:rPr>
        <w:t>Subs</w:t>
      </w:r>
      <w:r w:rsidR="00BE1645" w:rsidRPr="00C84E33">
        <w:rPr>
          <w:b w:val="0"/>
          <w:szCs w:val="24"/>
        </w:rPr>
        <w:t xml:space="preserve">ection 7(6) of the Determination </w:t>
      </w:r>
      <w:r w:rsidR="000937F0" w:rsidRPr="00C84E33">
        <w:rPr>
          <w:b w:val="0"/>
          <w:szCs w:val="24"/>
        </w:rPr>
        <w:t xml:space="preserve">specifies </w:t>
      </w:r>
      <w:r w:rsidR="00E917EF" w:rsidRPr="00C84E33">
        <w:rPr>
          <w:b w:val="0"/>
          <w:szCs w:val="24"/>
        </w:rPr>
        <w:t>that</w:t>
      </w:r>
      <w:r w:rsidR="000937F0" w:rsidRPr="00C84E33">
        <w:rPr>
          <w:b w:val="0"/>
          <w:szCs w:val="24"/>
        </w:rPr>
        <w:t xml:space="preserve"> items </w:t>
      </w:r>
      <w:r w:rsidR="00E917EF" w:rsidRPr="00C84E33">
        <w:rPr>
          <w:b w:val="0"/>
          <w:szCs w:val="24"/>
        </w:rPr>
        <w:t xml:space="preserve">75002, 75005, 75007, 75012, 75015, 75405, 75600, 75603, 75606, 75609, 75610, 75618 and 75621 </w:t>
      </w:r>
      <w:r w:rsidR="000937F0" w:rsidRPr="00C84E33">
        <w:rPr>
          <w:b w:val="0"/>
          <w:szCs w:val="24"/>
        </w:rPr>
        <w:t>apply to a service provided by</w:t>
      </w:r>
      <w:r w:rsidR="00E95428" w:rsidRPr="00C84E33">
        <w:rPr>
          <w:b w:val="0"/>
          <w:szCs w:val="24"/>
        </w:rPr>
        <w:t xml:space="preserve"> an eligible oral and maxillofacial surgeon, or a dental practitioner who, immediately prior to 1 November 2012, held an approval granted by the Minister for the purposes of the definition of </w:t>
      </w:r>
      <w:r w:rsidR="00E95428" w:rsidRPr="00C84E33">
        <w:rPr>
          <w:b w:val="0"/>
          <w:bCs/>
          <w:i/>
          <w:iCs/>
          <w:szCs w:val="24"/>
        </w:rPr>
        <w:t>professional service</w:t>
      </w:r>
      <w:r w:rsidR="00E95428" w:rsidRPr="00C84E33">
        <w:rPr>
          <w:b w:val="0"/>
          <w:szCs w:val="24"/>
        </w:rPr>
        <w:t xml:space="preserve"> in subsection 3(1) of the </w:t>
      </w:r>
      <w:r w:rsidR="00E95428" w:rsidRPr="00C84E33">
        <w:rPr>
          <w:b w:val="0"/>
          <w:i/>
          <w:iCs/>
          <w:szCs w:val="24"/>
        </w:rPr>
        <w:t xml:space="preserve">Health Insurance Act 1973. </w:t>
      </w:r>
    </w:p>
    <w:p w14:paraId="1ED36179" w14:textId="2E4F13B5" w:rsidR="00E95428" w:rsidRPr="00C84E33" w:rsidRDefault="00E95428" w:rsidP="00BE1645">
      <w:pPr>
        <w:pStyle w:val="BodyText"/>
        <w:rPr>
          <w:b w:val="0"/>
          <w:szCs w:val="24"/>
        </w:rPr>
      </w:pPr>
    </w:p>
    <w:p w14:paraId="2AB3DBCD" w14:textId="508A4AB9" w:rsidR="00E95428" w:rsidRPr="00C84E33" w:rsidRDefault="00E95428" w:rsidP="00BE1645">
      <w:pPr>
        <w:pStyle w:val="BodyText"/>
        <w:rPr>
          <w:b w:val="0"/>
          <w:szCs w:val="24"/>
        </w:rPr>
      </w:pPr>
      <w:r w:rsidRPr="00C84E33">
        <w:rPr>
          <w:b w:val="0"/>
          <w:szCs w:val="24"/>
          <w:u w:val="single"/>
        </w:rPr>
        <w:t>Section 8 – Requirement for referral by a referring dentist</w:t>
      </w:r>
      <w:r w:rsidR="009C3C8B" w:rsidRPr="00C84E33">
        <w:rPr>
          <w:b w:val="0"/>
          <w:szCs w:val="24"/>
          <w:u w:val="single"/>
        </w:rPr>
        <w:t xml:space="preserve"> or medical practitioner</w:t>
      </w:r>
    </w:p>
    <w:p w14:paraId="4A301E24" w14:textId="33012D89" w:rsidR="00E95428" w:rsidRPr="00C84E33" w:rsidRDefault="00E95428" w:rsidP="00BE1645">
      <w:pPr>
        <w:pStyle w:val="BodyText"/>
        <w:rPr>
          <w:b w:val="0"/>
          <w:szCs w:val="24"/>
        </w:rPr>
      </w:pPr>
    </w:p>
    <w:p w14:paraId="4F3CAE2B" w14:textId="65B96E0C" w:rsidR="00E95428" w:rsidRPr="00C84E33" w:rsidRDefault="0042416F" w:rsidP="00BE1645">
      <w:pPr>
        <w:pStyle w:val="BodyText"/>
        <w:rPr>
          <w:b w:val="0"/>
          <w:szCs w:val="24"/>
        </w:rPr>
      </w:pPr>
      <w:r w:rsidRPr="00C84E33">
        <w:rPr>
          <w:b w:val="0"/>
          <w:szCs w:val="24"/>
        </w:rPr>
        <w:t xml:space="preserve">Section 8 of the Determination </w:t>
      </w:r>
      <w:r w:rsidR="00A00F32" w:rsidRPr="00C84E33">
        <w:rPr>
          <w:b w:val="0"/>
          <w:szCs w:val="24"/>
        </w:rPr>
        <w:t xml:space="preserve">specifies </w:t>
      </w:r>
      <w:r w:rsidR="00A64639" w:rsidRPr="00C84E33">
        <w:rPr>
          <w:b w:val="0"/>
          <w:szCs w:val="24"/>
        </w:rPr>
        <w:t>where items 75002, 75005, 75200, 75203, 75206, 75400, 75402, 75600, 75603, 75618 and 75621</w:t>
      </w:r>
      <w:r w:rsidR="00A00F32" w:rsidRPr="00C84E33">
        <w:rPr>
          <w:b w:val="0"/>
          <w:szCs w:val="24"/>
        </w:rPr>
        <w:t xml:space="preserve"> apply only to a service provided by an eligible oral and maxillofacial surgeon if the patient has been referred by a referring dentist or medical practitioner.</w:t>
      </w:r>
      <w:r w:rsidR="000526C3" w:rsidRPr="00C84E33">
        <w:rPr>
          <w:b w:val="0"/>
          <w:szCs w:val="24"/>
        </w:rPr>
        <w:t xml:space="preserve"> Note, the terms </w:t>
      </w:r>
      <w:r w:rsidR="000526C3" w:rsidRPr="00C84E33">
        <w:rPr>
          <w:bCs/>
          <w:i/>
          <w:iCs/>
          <w:szCs w:val="24"/>
        </w:rPr>
        <w:t>referring</w:t>
      </w:r>
      <w:r w:rsidR="000526C3" w:rsidRPr="00C84E33">
        <w:rPr>
          <w:b w:val="0"/>
          <w:i/>
          <w:iCs/>
          <w:szCs w:val="24"/>
        </w:rPr>
        <w:t xml:space="preserve"> </w:t>
      </w:r>
      <w:r w:rsidR="000526C3" w:rsidRPr="00C84E33">
        <w:rPr>
          <w:bCs/>
          <w:i/>
          <w:iCs/>
          <w:szCs w:val="24"/>
        </w:rPr>
        <w:t>dentist</w:t>
      </w:r>
      <w:r w:rsidR="000526C3" w:rsidRPr="00C84E33">
        <w:rPr>
          <w:b w:val="0"/>
          <w:szCs w:val="24"/>
        </w:rPr>
        <w:t xml:space="preserve"> and </w:t>
      </w:r>
      <w:r w:rsidR="000526C3" w:rsidRPr="00C84E33">
        <w:rPr>
          <w:bCs/>
          <w:i/>
          <w:iCs/>
          <w:szCs w:val="24"/>
        </w:rPr>
        <w:t>medical practitioner</w:t>
      </w:r>
      <w:r w:rsidR="000526C3" w:rsidRPr="00C84E33">
        <w:rPr>
          <w:b w:val="0"/>
          <w:szCs w:val="24"/>
        </w:rPr>
        <w:t xml:space="preserve"> are defined by subsection 4(1).</w:t>
      </w:r>
    </w:p>
    <w:p w14:paraId="5AF5374E" w14:textId="18B611D1" w:rsidR="00BE1645" w:rsidRPr="00C84E33" w:rsidRDefault="00BE1645" w:rsidP="00C63FDC">
      <w:pPr>
        <w:pStyle w:val="BodyText"/>
        <w:rPr>
          <w:b w:val="0"/>
          <w:szCs w:val="24"/>
        </w:rPr>
      </w:pPr>
    </w:p>
    <w:p w14:paraId="768D340E" w14:textId="577F7652" w:rsidR="00C63FDC" w:rsidRPr="00C84E33" w:rsidRDefault="00C63FDC" w:rsidP="00C63FDC">
      <w:pPr>
        <w:pStyle w:val="Header"/>
        <w:tabs>
          <w:tab w:val="num" w:pos="1080"/>
        </w:tabs>
        <w:rPr>
          <w:szCs w:val="24"/>
        </w:rPr>
      </w:pPr>
      <w:r w:rsidRPr="00C84E33">
        <w:rPr>
          <w:szCs w:val="24"/>
          <w:u w:val="single"/>
        </w:rPr>
        <w:t xml:space="preserve">Schedule 1 – </w:t>
      </w:r>
      <w:r w:rsidR="00007750" w:rsidRPr="00C84E33">
        <w:rPr>
          <w:szCs w:val="24"/>
          <w:u w:val="single"/>
        </w:rPr>
        <w:t>Specified health services</w:t>
      </w:r>
    </w:p>
    <w:p w14:paraId="4FEB1C9A" w14:textId="09B5209B" w:rsidR="00D61FB7" w:rsidRPr="00C84E33" w:rsidRDefault="00D61FB7" w:rsidP="00C63FDC">
      <w:pPr>
        <w:pStyle w:val="Header"/>
        <w:tabs>
          <w:tab w:val="num" w:pos="1080"/>
        </w:tabs>
        <w:rPr>
          <w:szCs w:val="24"/>
        </w:rPr>
      </w:pPr>
    </w:p>
    <w:p w14:paraId="08A64C9D" w14:textId="4E00D26C" w:rsidR="009C3C8B" w:rsidRPr="00C84E33" w:rsidRDefault="00D61FB7" w:rsidP="004448B3">
      <w:pPr>
        <w:pStyle w:val="Header"/>
        <w:tabs>
          <w:tab w:val="num" w:pos="1080"/>
        </w:tabs>
        <w:rPr>
          <w:i/>
          <w:iCs/>
          <w:szCs w:val="24"/>
        </w:rPr>
      </w:pPr>
      <w:r w:rsidRPr="00C84E33">
        <w:rPr>
          <w:szCs w:val="24"/>
        </w:rPr>
        <w:t>Schedule 1 of the Determination provides the table of items in Group C1 for cleft and craniofacial services</w:t>
      </w:r>
      <w:r w:rsidR="009C3C8B" w:rsidRPr="00C84E33">
        <w:rPr>
          <w:szCs w:val="24"/>
        </w:rPr>
        <w:t>, removing sub-categories under Category 7 used in the Former Determination</w:t>
      </w:r>
      <w:r w:rsidRPr="00C84E33">
        <w:rPr>
          <w:szCs w:val="24"/>
        </w:rPr>
        <w:t>.</w:t>
      </w:r>
      <w:r w:rsidR="0015085A" w:rsidRPr="00C84E33">
        <w:rPr>
          <w:szCs w:val="24"/>
        </w:rPr>
        <w:t xml:space="preserve"> </w:t>
      </w:r>
      <w:r w:rsidR="00085B2B" w:rsidRPr="00C84E33">
        <w:rPr>
          <w:szCs w:val="24"/>
        </w:rPr>
        <w:t xml:space="preserve">This Schedule </w:t>
      </w:r>
      <w:r w:rsidR="00042714" w:rsidRPr="00C84E33">
        <w:rPr>
          <w:szCs w:val="24"/>
        </w:rPr>
        <w:t>introduces nine new items, amends 36 existing items, and deletes 26 items</w:t>
      </w:r>
      <w:r w:rsidR="00731AB3" w:rsidRPr="00C84E33">
        <w:rPr>
          <w:szCs w:val="24"/>
        </w:rPr>
        <w:t>.</w:t>
      </w:r>
      <w:r w:rsidR="001C6784" w:rsidRPr="00C84E33">
        <w:rPr>
          <w:szCs w:val="24"/>
        </w:rPr>
        <w:t xml:space="preserve"> These changes are intended to </w:t>
      </w:r>
      <w:r w:rsidR="001C6784" w:rsidRPr="00C84E33">
        <w:rPr>
          <w:bCs/>
          <w:szCs w:val="24"/>
        </w:rPr>
        <w:t>ensure cleft dental items align with contemporary clinical practice.</w:t>
      </w:r>
      <w:r w:rsidR="000526C3" w:rsidRPr="00C84E33">
        <w:rPr>
          <w:szCs w:val="24"/>
        </w:rPr>
        <w:t xml:space="preserve"> Note, the terms </w:t>
      </w:r>
      <w:r w:rsidR="000526C3" w:rsidRPr="00C84E33">
        <w:rPr>
          <w:b/>
          <w:bCs/>
          <w:i/>
          <w:iCs/>
          <w:szCs w:val="24"/>
        </w:rPr>
        <w:t>eligible orthodontist</w:t>
      </w:r>
      <w:r w:rsidR="000526C3" w:rsidRPr="00C84E33">
        <w:rPr>
          <w:szCs w:val="24"/>
        </w:rPr>
        <w:t xml:space="preserve">, </w:t>
      </w:r>
      <w:r w:rsidR="000526C3" w:rsidRPr="00C84E33">
        <w:rPr>
          <w:b/>
          <w:bCs/>
          <w:i/>
          <w:iCs/>
          <w:szCs w:val="24"/>
        </w:rPr>
        <w:t>eligible prosthodontist</w:t>
      </w:r>
      <w:r w:rsidR="000526C3" w:rsidRPr="00C84E33">
        <w:rPr>
          <w:szCs w:val="24"/>
        </w:rPr>
        <w:t xml:space="preserve">, </w:t>
      </w:r>
      <w:r w:rsidR="000526C3" w:rsidRPr="00C84E33">
        <w:rPr>
          <w:b/>
          <w:bCs/>
          <w:i/>
          <w:iCs/>
          <w:szCs w:val="24"/>
        </w:rPr>
        <w:t>eligible paediatric dentist</w:t>
      </w:r>
      <w:r w:rsidR="000526C3" w:rsidRPr="00C84E33">
        <w:rPr>
          <w:szCs w:val="24"/>
        </w:rPr>
        <w:t xml:space="preserve">, </w:t>
      </w:r>
      <w:r w:rsidR="000526C3" w:rsidRPr="00C84E33">
        <w:rPr>
          <w:b/>
          <w:bCs/>
          <w:i/>
          <w:iCs/>
          <w:szCs w:val="24"/>
        </w:rPr>
        <w:t>eligible oral and maxillofacial surgeon</w:t>
      </w:r>
      <w:r w:rsidR="000526C3" w:rsidRPr="00C84E33">
        <w:rPr>
          <w:szCs w:val="24"/>
        </w:rPr>
        <w:t xml:space="preserve">, </w:t>
      </w:r>
      <w:r w:rsidR="000526C3" w:rsidRPr="00C84E33">
        <w:rPr>
          <w:b/>
          <w:bCs/>
          <w:i/>
          <w:iCs/>
          <w:szCs w:val="24"/>
        </w:rPr>
        <w:t>dental practitioner</w:t>
      </w:r>
      <w:r w:rsidR="000526C3" w:rsidRPr="00C84E33">
        <w:rPr>
          <w:szCs w:val="24"/>
        </w:rPr>
        <w:t xml:space="preserve">, </w:t>
      </w:r>
      <w:r w:rsidR="000526C3" w:rsidRPr="00C84E33">
        <w:rPr>
          <w:b/>
          <w:bCs/>
          <w:i/>
          <w:iCs/>
          <w:szCs w:val="24"/>
        </w:rPr>
        <w:t>referring dentist</w:t>
      </w:r>
      <w:r w:rsidR="000526C3" w:rsidRPr="00C84E33">
        <w:rPr>
          <w:szCs w:val="24"/>
        </w:rPr>
        <w:t xml:space="preserve"> and </w:t>
      </w:r>
      <w:r w:rsidR="000526C3" w:rsidRPr="00C84E33">
        <w:rPr>
          <w:b/>
          <w:bCs/>
          <w:i/>
          <w:iCs/>
          <w:szCs w:val="24"/>
        </w:rPr>
        <w:t>medical practitioner</w:t>
      </w:r>
      <w:r w:rsidR="000526C3" w:rsidRPr="00C84E33">
        <w:rPr>
          <w:szCs w:val="24"/>
        </w:rPr>
        <w:t>, which are referred to below, are defined by subsection 4(1).</w:t>
      </w:r>
    </w:p>
    <w:p w14:paraId="7C8E992C" w14:textId="05971F78" w:rsidR="009C3C8B" w:rsidRPr="00C84E33" w:rsidRDefault="009C3C8B" w:rsidP="004448B3">
      <w:pPr>
        <w:pStyle w:val="Header"/>
        <w:tabs>
          <w:tab w:val="num" w:pos="1080"/>
        </w:tabs>
        <w:rPr>
          <w:szCs w:val="24"/>
        </w:rPr>
      </w:pPr>
    </w:p>
    <w:p w14:paraId="119EF7EB" w14:textId="7E9B68D2" w:rsidR="009C3C8B" w:rsidRPr="00C84E33" w:rsidRDefault="009C3C8B" w:rsidP="004448B3">
      <w:pPr>
        <w:pStyle w:val="Header"/>
        <w:tabs>
          <w:tab w:val="num" w:pos="1080"/>
        </w:tabs>
        <w:rPr>
          <w:szCs w:val="24"/>
        </w:rPr>
      </w:pPr>
      <w:r w:rsidRPr="00C84E33">
        <w:rPr>
          <w:szCs w:val="24"/>
        </w:rPr>
        <w:t xml:space="preserve">New item 75002 provides services for an initial attendance by an eligible orthodontist, eligible prosthodontist, eligible paediatric </w:t>
      </w:r>
      <w:proofErr w:type="gramStart"/>
      <w:r w:rsidRPr="00C84E33">
        <w:rPr>
          <w:szCs w:val="24"/>
        </w:rPr>
        <w:t>dentist</w:t>
      </w:r>
      <w:proofErr w:type="gramEnd"/>
      <w:r w:rsidRPr="00C84E33">
        <w:rPr>
          <w:szCs w:val="24"/>
        </w:rPr>
        <w:t xml:space="preserve"> or eligible oral and maxillofacial surgeon. This item will replace </w:t>
      </w:r>
      <w:r w:rsidR="009F0808" w:rsidRPr="00C84E33">
        <w:rPr>
          <w:szCs w:val="24"/>
        </w:rPr>
        <w:t>services currently provided under items 75001 and 75150, which will be deleted. This item also expands th</w:t>
      </w:r>
      <w:r w:rsidR="00BF473E" w:rsidRPr="00C84E33">
        <w:rPr>
          <w:szCs w:val="24"/>
        </w:rPr>
        <w:t>e</w:t>
      </w:r>
      <w:r w:rsidR="009F0808" w:rsidRPr="00C84E33">
        <w:rPr>
          <w:szCs w:val="24"/>
        </w:rPr>
        <w:t xml:space="preserve"> service to include services provided by an eligible paediatric dentist or eligible prosthodontist.</w:t>
      </w:r>
    </w:p>
    <w:p w14:paraId="1C9F34FA" w14:textId="22C01963" w:rsidR="00DA281E" w:rsidRPr="00C84E33" w:rsidRDefault="00DA281E" w:rsidP="004448B3">
      <w:pPr>
        <w:pStyle w:val="Header"/>
        <w:tabs>
          <w:tab w:val="num" w:pos="1080"/>
        </w:tabs>
        <w:rPr>
          <w:szCs w:val="24"/>
        </w:rPr>
      </w:pPr>
    </w:p>
    <w:p w14:paraId="3E9AB824" w14:textId="5B10369E" w:rsidR="00DA281E" w:rsidRPr="00C84E33" w:rsidRDefault="00DA281E" w:rsidP="004448B3">
      <w:pPr>
        <w:pStyle w:val="Header"/>
        <w:tabs>
          <w:tab w:val="num" w:pos="1080"/>
        </w:tabs>
        <w:rPr>
          <w:szCs w:val="24"/>
        </w:rPr>
      </w:pPr>
      <w:r w:rsidRPr="00C84E33">
        <w:rPr>
          <w:szCs w:val="24"/>
        </w:rPr>
        <w:t xml:space="preserve">New item 75005 provides services for a subsequent attendance by an eligible orthodontist, eligible prosthodontist, eligible paediatric </w:t>
      </w:r>
      <w:proofErr w:type="gramStart"/>
      <w:r w:rsidRPr="00C84E33">
        <w:rPr>
          <w:szCs w:val="24"/>
        </w:rPr>
        <w:t>dentist</w:t>
      </w:r>
      <w:proofErr w:type="gramEnd"/>
      <w:r w:rsidRPr="00C84E33">
        <w:rPr>
          <w:szCs w:val="24"/>
        </w:rPr>
        <w:t xml:space="preserve"> or eligible oral and maxillofacial surgeon. This item will replace services currently provided under items 75004 and 75153, which will be deleted. This item also expands th</w:t>
      </w:r>
      <w:r w:rsidR="00BF473E" w:rsidRPr="00C84E33">
        <w:rPr>
          <w:szCs w:val="24"/>
        </w:rPr>
        <w:t>e</w:t>
      </w:r>
      <w:r w:rsidRPr="00C84E33">
        <w:rPr>
          <w:szCs w:val="24"/>
        </w:rPr>
        <w:t xml:space="preserve"> service to include services provided by an eligible paediatric dentist or eligible prosthodontist.</w:t>
      </w:r>
    </w:p>
    <w:p w14:paraId="29921D9A" w14:textId="65865CA2" w:rsidR="00DA281E" w:rsidRPr="00C84E33" w:rsidRDefault="00DA281E" w:rsidP="004448B3">
      <w:pPr>
        <w:pStyle w:val="Header"/>
        <w:tabs>
          <w:tab w:val="num" w:pos="1080"/>
        </w:tabs>
        <w:rPr>
          <w:szCs w:val="24"/>
        </w:rPr>
      </w:pPr>
    </w:p>
    <w:p w14:paraId="6E9C9BD3" w14:textId="47E756DC" w:rsidR="00DA281E" w:rsidRPr="00C84E33" w:rsidRDefault="00DA281E" w:rsidP="004448B3">
      <w:pPr>
        <w:pStyle w:val="Header"/>
        <w:tabs>
          <w:tab w:val="num" w:pos="1080"/>
        </w:tabs>
        <w:rPr>
          <w:szCs w:val="24"/>
        </w:rPr>
      </w:pPr>
      <w:r w:rsidRPr="00C84E33">
        <w:rPr>
          <w:szCs w:val="24"/>
        </w:rPr>
        <w:t xml:space="preserve">New item 75007 provides services </w:t>
      </w:r>
      <w:proofErr w:type="gramStart"/>
      <w:r w:rsidRPr="00C84E33">
        <w:rPr>
          <w:szCs w:val="24"/>
        </w:rPr>
        <w:t>for the production of</w:t>
      </w:r>
      <w:proofErr w:type="gramEnd"/>
      <w:r w:rsidRPr="00C84E33">
        <w:rPr>
          <w:szCs w:val="24"/>
        </w:rPr>
        <w:t xml:space="preserve"> dental study models by an eligible orthodontist, eligible prosthodontist, eligible paediatric dentist or eligible oral and maxillofacial surgeon. This item will replace services currently provided under items 75006 and 75156, which </w:t>
      </w:r>
      <w:r w:rsidRPr="00C84E33">
        <w:rPr>
          <w:szCs w:val="24"/>
        </w:rPr>
        <w:lastRenderedPageBreak/>
        <w:t>will be deleted. This item also expands th</w:t>
      </w:r>
      <w:r w:rsidR="00BF473E" w:rsidRPr="00C84E33">
        <w:rPr>
          <w:szCs w:val="24"/>
        </w:rPr>
        <w:t>e</w:t>
      </w:r>
      <w:r w:rsidRPr="00C84E33">
        <w:rPr>
          <w:szCs w:val="24"/>
        </w:rPr>
        <w:t xml:space="preserve"> service to include services provided by an eligible paediatric dentist or eligible prosthodontist.</w:t>
      </w:r>
    </w:p>
    <w:p w14:paraId="2A1118F5" w14:textId="6CF73F8D" w:rsidR="009522F1" w:rsidRPr="00C84E33" w:rsidRDefault="009522F1" w:rsidP="004448B3">
      <w:pPr>
        <w:pStyle w:val="Header"/>
        <w:tabs>
          <w:tab w:val="num" w:pos="1080"/>
        </w:tabs>
        <w:rPr>
          <w:szCs w:val="24"/>
        </w:rPr>
      </w:pPr>
    </w:p>
    <w:p w14:paraId="644DE82D" w14:textId="7062FE0A" w:rsidR="009522F1" w:rsidRPr="00C84E33" w:rsidRDefault="009522F1" w:rsidP="004448B3">
      <w:pPr>
        <w:pStyle w:val="Header"/>
        <w:tabs>
          <w:tab w:val="num" w:pos="1080"/>
        </w:tabs>
        <w:rPr>
          <w:szCs w:val="24"/>
        </w:rPr>
      </w:pPr>
      <w:r w:rsidRPr="00C84E33">
        <w:rPr>
          <w:szCs w:val="24"/>
        </w:rPr>
        <w:t>New item 75032 provides services for mixed dentition treatment by an eligible orthodontist</w:t>
      </w:r>
      <w:r w:rsidR="0023078A" w:rsidRPr="00C84E33">
        <w:rPr>
          <w:szCs w:val="24"/>
        </w:rPr>
        <w:t>, combining the services currently provided under items 75033, 75036 and 75037, which will be deleted.</w:t>
      </w:r>
    </w:p>
    <w:p w14:paraId="20B8C46A" w14:textId="6B53D6DE" w:rsidR="00E71324" w:rsidRPr="00C84E33" w:rsidRDefault="00E71324" w:rsidP="004448B3">
      <w:pPr>
        <w:pStyle w:val="Header"/>
        <w:tabs>
          <w:tab w:val="num" w:pos="1080"/>
        </w:tabs>
        <w:rPr>
          <w:szCs w:val="24"/>
        </w:rPr>
      </w:pPr>
    </w:p>
    <w:p w14:paraId="0A6703FA" w14:textId="61E2017F" w:rsidR="00E71324" w:rsidRPr="00C84E33" w:rsidRDefault="00E71324" w:rsidP="004448B3">
      <w:pPr>
        <w:pStyle w:val="Header"/>
        <w:tabs>
          <w:tab w:val="num" w:pos="1080"/>
        </w:tabs>
        <w:rPr>
          <w:szCs w:val="24"/>
        </w:rPr>
      </w:pPr>
      <w:r w:rsidRPr="00C84E33">
        <w:rPr>
          <w:szCs w:val="24"/>
        </w:rPr>
        <w:t>New item 75402 provides services for the surgical removal of one tooth, or tooth fragment, requiring incision of the soft tissue only by a dental practitioner if the patient is referred by a medical practitioner or referring dentist.</w:t>
      </w:r>
      <w:r w:rsidR="00BF473E" w:rsidRPr="00C84E33">
        <w:rPr>
          <w:szCs w:val="24"/>
        </w:rPr>
        <w:t xml:space="preserve"> This item combines the services currently provided under </w:t>
      </w:r>
      <w:r w:rsidR="00B30EEF" w:rsidRPr="00C84E33">
        <w:t>75403 and 75412</w:t>
      </w:r>
      <w:r w:rsidR="002A6747" w:rsidRPr="00C84E33">
        <w:t>, which will be deleted</w:t>
      </w:r>
      <w:r w:rsidR="00BF473E" w:rsidRPr="00C84E33">
        <w:t>. This item also expands the service to include services provided by a dental practitioner and expands the referral pathways for the service to include referrals from medical practitioners and referring dental practitioners.</w:t>
      </w:r>
    </w:p>
    <w:p w14:paraId="3F654EAB" w14:textId="2C87C1F3" w:rsidR="00BF473E" w:rsidRPr="00C84E33" w:rsidRDefault="00BF473E" w:rsidP="004448B3">
      <w:pPr>
        <w:pStyle w:val="Header"/>
        <w:tabs>
          <w:tab w:val="num" w:pos="1080"/>
        </w:tabs>
        <w:rPr>
          <w:szCs w:val="24"/>
        </w:rPr>
      </w:pPr>
    </w:p>
    <w:p w14:paraId="6F285A38" w14:textId="4487983B" w:rsidR="00BF473E" w:rsidRPr="00C84E33" w:rsidRDefault="00BF473E" w:rsidP="004448B3">
      <w:pPr>
        <w:pStyle w:val="Header"/>
        <w:tabs>
          <w:tab w:val="num" w:pos="1080"/>
        </w:tabs>
      </w:pPr>
      <w:r w:rsidRPr="00C84E33">
        <w:rPr>
          <w:szCs w:val="24"/>
        </w:rPr>
        <w:t>New item 75405 provides services for the surgical removal of one tooth, or tooth fragment, by an eligible oral and maxillofacial surgeon</w:t>
      </w:r>
      <w:r w:rsidR="00B30EEF" w:rsidRPr="00C84E33">
        <w:rPr>
          <w:szCs w:val="24"/>
        </w:rPr>
        <w:t xml:space="preserve"> if the patient is referred by a medical practitioner or referring dentist. This item combines the services currently provided under </w:t>
      </w:r>
      <w:r w:rsidR="00B30EEF" w:rsidRPr="00C84E33">
        <w:t>75406, 75409 and 75415</w:t>
      </w:r>
      <w:r w:rsidR="002A6747" w:rsidRPr="00C84E33">
        <w:t>, which will be deleted</w:t>
      </w:r>
      <w:r w:rsidR="00B30EEF" w:rsidRPr="00C84E33">
        <w:t>. This item also expands the referral pathways for the service to include referrals from medical practitioners and referring dental practitioners.</w:t>
      </w:r>
    </w:p>
    <w:p w14:paraId="1E8BAA47" w14:textId="6F102076" w:rsidR="002A6747" w:rsidRPr="00C84E33" w:rsidRDefault="002A6747" w:rsidP="004448B3">
      <w:pPr>
        <w:pStyle w:val="Header"/>
        <w:tabs>
          <w:tab w:val="num" w:pos="1080"/>
        </w:tabs>
      </w:pPr>
    </w:p>
    <w:p w14:paraId="58BA3152" w14:textId="14A8AECA" w:rsidR="002A6747" w:rsidRPr="00C84E33" w:rsidRDefault="002A6747" w:rsidP="004448B3">
      <w:pPr>
        <w:pStyle w:val="Header"/>
        <w:tabs>
          <w:tab w:val="num" w:pos="1080"/>
        </w:tabs>
      </w:pPr>
      <w:r w:rsidRPr="00C84E33">
        <w:t xml:space="preserve">New item 75610 provides surgical procedures for intraoral implantation of an </w:t>
      </w:r>
      <w:proofErr w:type="spellStart"/>
      <w:r w:rsidRPr="00C84E33">
        <w:t>osseointegrated</w:t>
      </w:r>
      <w:proofErr w:type="spellEnd"/>
      <w:r w:rsidRPr="00C84E33">
        <w:t xml:space="preserve"> fixture. This item combines the services currently provided under items 75612 and 75615. This item also expands the referral pathways for the service to include referrals from medical practitioners and referring dental practitioners.</w:t>
      </w:r>
    </w:p>
    <w:p w14:paraId="26463D2C" w14:textId="6FA586E4" w:rsidR="002A6747" w:rsidRPr="00C84E33" w:rsidRDefault="002A6747" w:rsidP="004448B3">
      <w:pPr>
        <w:pStyle w:val="Header"/>
        <w:tabs>
          <w:tab w:val="num" w:pos="1080"/>
        </w:tabs>
      </w:pPr>
    </w:p>
    <w:p w14:paraId="3C34C4BA" w14:textId="40449047" w:rsidR="002A6747" w:rsidRPr="00C84E33" w:rsidRDefault="002A6747" w:rsidP="004448B3">
      <w:pPr>
        <w:pStyle w:val="Header"/>
        <w:tabs>
          <w:tab w:val="num" w:pos="1080"/>
        </w:tabs>
        <w:rPr>
          <w:szCs w:val="24"/>
        </w:rPr>
      </w:pPr>
      <w:r w:rsidRPr="00C84E33">
        <w:rPr>
          <w:szCs w:val="24"/>
        </w:rPr>
        <w:t>New item 75802 provides services for the fabrication and fitting of an acrylic base partial denture of 1 to 4 teeth by a dental practitioner. This item combines the services currently provided under item 75803, 75806, 75809 and 75812, which will be deleted.</w:t>
      </w:r>
    </w:p>
    <w:p w14:paraId="1958CC51" w14:textId="7EA2FB4A" w:rsidR="002A6747" w:rsidRPr="00C84E33" w:rsidRDefault="002A6747" w:rsidP="004448B3">
      <w:pPr>
        <w:pStyle w:val="Header"/>
        <w:tabs>
          <w:tab w:val="num" w:pos="1080"/>
        </w:tabs>
        <w:rPr>
          <w:szCs w:val="24"/>
        </w:rPr>
      </w:pPr>
    </w:p>
    <w:p w14:paraId="4D8F4B1B" w14:textId="4801E323" w:rsidR="002A6747" w:rsidRPr="00C84E33" w:rsidRDefault="002A6747" w:rsidP="004448B3">
      <w:pPr>
        <w:pStyle w:val="Header"/>
        <w:tabs>
          <w:tab w:val="num" w:pos="1080"/>
        </w:tabs>
        <w:rPr>
          <w:szCs w:val="24"/>
        </w:rPr>
      </w:pPr>
      <w:r w:rsidRPr="00C84E33">
        <w:rPr>
          <w:szCs w:val="24"/>
        </w:rPr>
        <w:t>New item 75820 provides services for the fabrication and fitting of a metal framework partial denture of 1 to 4 teeth by a dental practitioner. This item combines the services currently provided under items 75821, 75824, 75827 and 75830, which will be deleted.</w:t>
      </w:r>
    </w:p>
    <w:p w14:paraId="1E1CFF8C" w14:textId="4D6EBBBA" w:rsidR="009C3C8B" w:rsidRPr="00C84E33" w:rsidRDefault="009C3C8B" w:rsidP="004448B3">
      <w:pPr>
        <w:pStyle w:val="Header"/>
        <w:tabs>
          <w:tab w:val="num" w:pos="1080"/>
        </w:tabs>
        <w:rPr>
          <w:szCs w:val="24"/>
        </w:rPr>
      </w:pPr>
    </w:p>
    <w:p w14:paraId="2C249FDE" w14:textId="41BF4625" w:rsidR="0026295F" w:rsidRPr="00C84E33" w:rsidRDefault="0026295F" w:rsidP="004448B3">
      <w:pPr>
        <w:pStyle w:val="Header"/>
        <w:tabs>
          <w:tab w:val="num" w:pos="1080"/>
        </w:tabs>
        <w:rPr>
          <w:szCs w:val="24"/>
        </w:rPr>
      </w:pPr>
      <w:r w:rsidRPr="00C84E33">
        <w:rPr>
          <w:szCs w:val="24"/>
        </w:rPr>
        <w:t xml:space="preserve">Items </w:t>
      </w:r>
      <w:r w:rsidRPr="00C84E33">
        <w:t>75018, 75021 and 75839 will be deleted. Item 75018 is considered obsolete as it is a combination of items 75015 and 75009. Item 75021 is considered obsolete and unnecessary in contemporary clinical practice. Item 75839 is considered redundant as it is for the provision and fitting of retainers, which is an integral component of a denture framework, and therefore a separate item is considered unnecessary.</w:t>
      </w:r>
    </w:p>
    <w:p w14:paraId="26EE24C8" w14:textId="77777777" w:rsidR="0026295F" w:rsidRPr="00C84E33" w:rsidRDefault="0026295F" w:rsidP="004448B3">
      <w:pPr>
        <w:pStyle w:val="Header"/>
        <w:tabs>
          <w:tab w:val="num" w:pos="1080"/>
        </w:tabs>
        <w:rPr>
          <w:szCs w:val="24"/>
        </w:rPr>
      </w:pPr>
    </w:p>
    <w:p w14:paraId="5880935D" w14:textId="723D5B96" w:rsidR="0026295F" w:rsidRPr="00C84E33" w:rsidRDefault="0026295F" w:rsidP="00C63FDC">
      <w:pPr>
        <w:pStyle w:val="Header"/>
        <w:tabs>
          <w:tab w:val="num" w:pos="1080"/>
        </w:tabs>
        <w:rPr>
          <w:szCs w:val="24"/>
        </w:rPr>
      </w:pPr>
      <w:r w:rsidRPr="00C84E33">
        <w:rPr>
          <w:szCs w:val="24"/>
        </w:rPr>
        <w:t xml:space="preserve">Existing items will be amended to: </w:t>
      </w:r>
    </w:p>
    <w:p w14:paraId="03E03CAD" w14:textId="77777777" w:rsidR="00FF75ED" w:rsidRPr="00C84E33" w:rsidRDefault="0026295F" w:rsidP="0026295F">
      <w:pPr>
        <w:pStyle w:val="Header"/>
        <w:numPr>
          <w:ilvl w:val="0"/>
          <w:numId w:val="34"/>
        </w:numPr>
        <w:rPr>
          <w:szCs w:val="24"/>
        </w:rPr>
      </w:pPr>
      <w:r w:rsidRPr="00C84E33">
        <w:rPr>
          <w:szCs w:val="24"/>
        </w:rPr>
        <w:t xml:space="preserve">allow for the provision of relevant services by additional </w:t>
      </w:r>
      <w:r w:rsidR="00FF75ED" w:rsidRPr="00C84E33">
        <w:rPr>
          <w:szCs w:val="24"/>
        </w:rPr>
        <w:t xml:space="preserve">dental </w:t>
      </w:r>
      <w:r w:rsidRPr="00C84E33">
        <w:rPr>
          <w:szCs w:val="24"/>
        </w:rPr>
        <w:t>pr</w:t>
      </w:r>
      <w:r w:rsidR="00FF75ED" w:rsidRPr="00C84E33">
        <w:rPr>
          <w:szCs w:val="24"/>
        </w:rPr>
        <w:t>actitioners;</w:t>
      </w:r>
    </w:p>
    <w:p w14:paraId="65B3E986" w14:textId="5E423538" w:rsidR="00FF75ED" w:rsidRPr="00C84E33" w:rsidRDefault="00FF75ED" w:rsidP="0026295F">
      <w:pPr>
        <w:pStyle w:val="Header"/>
        <w:numPr>
          <w:ilvl w:val="0"/>
          <w:numId w:val="34"/>
        </w:numPr>
        <w:rPr>
          <w:szCs w:val="24"/>
        </w:rPr>
      </w:pPr>
      <w:r w:rsidRPr="00C84E33">
        <w:rPr>
          <w:szCs w:val="24"/>
        </w:rPr>
        <w:t>expand referral pathways for relevant services; and</w:t>
      </w:r>
      <w:r w:rsidR="007E189D" w:rsidRPr="00C84E33">
        <w:rPr>
          <w:szCs w:val="24"/>
        </w:rPr>
        <w:t>/or</w:t>
      </w:r>
    </w:p>
    <w:p w14:paraId="7B7AEAF1" w14:textId="766DAA3F" w:rsidR="0015085A" w:rsidRPr="00C84E33" w:rsidRDefault="00FF75ED" w:rsidP="0026295F">
      <w:pPr>
        <w:pStyle w:val="Header"/>
        <w:numPr>
          <w:ilvl w:val="0"/>
          <w:numId w:val="34"/>
        </w:numPr>
        <w:rPr>
          <w:szCs w:val="24"/>
        </w:rPr>
      </w:pPr>
      <w:r w:rsidRPr="00C84E33">
        <w:rPr>
          <w:szCs w:val="24"/>
        </w:rPr>
        <w:t>clarify and update terminology in item descriptors to align with best clinical practice.</w:t>
      </w:r>
      <w:r w:rsidR="0026295F" w:rsidRPr="00C84E33">
        <w:rPr>
          <w:szCs w:val="24"/>
        </w:rPr>
        <w:t xml:space="preserve">  </w:t>
      </w:r>
    </w:p>
    <w:p w14:paraId="3D9A2C11" w14:textId="77777777" w:rsidR="0026295F" w:rsidRPr="00C84E33" w:rsidRDefault="0026295F" w:rsidP="00C63FDC">
      <w:pPr>
        <w:pStyle w:val="Header"/>
        <w:tabs>
          <w:tab w:val="num" w:pos="1080"/>
        </w:tabs>
        <w:rPr>
          <w:szCs w:val="24"/>
        </w:rPr>
      </w:pPr>
    </w:p>
    <w:p w14:paraId="1285D3CB" w14:textId="5928035F" w:rsidR="0015085A" w:rsidRPr="00C84E33" w:rsidRDefault="00042714" w:rsidP="00C63FDC">
      <w:pPr>
        <w:pStyle w:val="Header"/>
        <w:tabs>
          <w:tab w:val="num" w:pos="1080"/>
        </w:tabs>
        <w:rPr>
          <w:color w:val="000000"/>
          <w:szCs w:val="24"/>
        </w:rPr>
      </w:pPr>
      <w:r w:rsidRPr="00C84E33">
        <w:rPr>
          <w:color w:val="000000"/>
          <w:szCs w:val="24"/>
          <w:u w:val="single"/>
        </w:rPr>
        <w:t>Schedule 2 – Eligible cleft or craniofacial conditions</w:t>
      </w:r>
    </w:p>
    <w:p w14:paraId="6F16476C" w14:textId="44BEFA5D" w:rsidR="00042714" w:rsidRPr="00C84E33" w:rsidRDefault="00042714" w:rsidP="00C63FDC">
      <w:pPr>
        <w:pStyle w:val="Header"/>
        <w:tabs>
          <w:tab w:val="num" w:pos="1080"/>
        </w:tabs>
        <w:rPr>
          <w:color w:val="000000"/>
          <w:szCs w:val="24"/>
        </w:rPr>
      </w:pPr>
    </w:p>
    <w:p w14:paraId="6D978CA3" w14:textId="5FF49FEC" w:rsidR="00042714" w:rsidRPr="00C84E33" w:rsidRDefault="00D80C5F" w:rsidP="00C63FDC">
      <w:pPr>
        <w:pStyle w:val="Header"/>
        <w:tabs>
          <w:tab w:val="num" w:pos="1080"/>
        </w:tabs>
        <w:rPr>
          <w:szCs w:val="24"/>
        </w:rPr>
      </w:pPr>
      <w:r w:rsidRPr="00C84E33">
        <w:rPr>
          <w:b/>
          <w:bCs/>
          <w:szCs w:val="24"/>
        </w:rPr>
        <w:t>Item 1</w:t>
      </w:r>
      <w:r w:rsidRPr="00C84E33">
        <w:rPr>
          <w:szCs w:val="24"/>
        </w:rPr>
        <w:t xml:space="preserve"> of </w:t>
      </w:r>
      <w:r w:rsidR="004525E4" w:rsidRPr="00C84E33">
        <w:rPr>
          <w:szCs w:val="24"/>
        </w:rPr>
        <w:t>Schedule 2 of the Determination specifies eligible cleft and/or craniofacial conditions.</w:t>
      </w:r>
    </w:p>
    <w:p w14:paraId="2212E577" w14:textId="77777777" w:rsidR="00C63FDC" w:rsidRPr="00C84E33" w:rsidRDefault="00C63FDC" w:rsidP="00C63FDC">
      <w:pPr>
        <w:pStyle w:val="Header"/>
        <w:tabs>
          <w:tab w:val="num" w:pos="1080"/>
        </w:tabs>
        <w:rPr>
          <w:szCs w:val="24"/>
          <w:u w:val="single"/>
        </w:rPr>
      </w:pPr>
    </w:p>
    <w:p w14:paraId="371F01D6" w14:textId="17556FE1" w:rsidR="007708B3" w:rsidRPr="00C84E33" w:rsidRDefault="00E14CD6" w:rsidP="00C63FDC">
      <w:pPr>
        <w:pStyle w:val="Header"/>
        <w:tabs>
          <w:tab w:val="num" w:pos="1080"/>
        </w:tabs>
        <w:rPr>
          <w:b/>
          <w:szCs w:val="24"/>
          <w:u w:val="single"/>
        </w:rPr>
      </w:pPr>
      <w:r w:rsidRPr="00C84E33">
        <w:rPr>
          <w:bCs/>
          <w:szCs w:val="24"/>
          <w:u w:val="single"/>
        </w:rPr>
        <w:t>Schedule 3 – Repeals</w:t>
      </w:r>
    </w:p>
    <w:p w14:paraId="55AF1B18" w14:textId="43B1B752" w:rsidR="00E14CD6" w:rsidRPr="00C84E33" w:rsidRDefault="00E14CD6" w:rsidP="00C63FDC">
      <w:pPr>
        <w:pStyle w:val="Header"/>
        <w:tabs>
          <w:tab w:val="num" w:pos="1080"/>
        </w:tabs>
        <w:rPr>
          <w:b/>
          <w:szCs w:val="24"/>
          <w:u w:val="single"/>
        </w:rPr>
      </w:pPr>
    </w:p>
    <w:p w14:paraId="13D2A18E" w14:textId="43CDFBA3" w:rsidR="00E14CD6" w:rsidRPr="00C84E33" w:rsidRDefault="00D80C5F" w:rsidP="00C63FDC">
      <w:pPr>
        <w:pStyle w:val="Header"/>
        <w:tabs>
          <w:tab w:val="num" w:pos="1080"/>
        </w:tabs>
        <w:rPr>
          <w:bCs/>
          <w:szCs w:val="24"/>
        </w:rPr>
      </w:pPr>
      <w:r w:rsidRPr="00C84E33">
        <w:rPr>
          <w:b/>
          <w:szCs w:val="24"/>
        </w:rPr>
        <w:lastRenderedPageBreak/>
        <w:t>Item 1</w:t>
      </w:r>
      <w:r w:rsidRPr="00C84E33">
        <w:rPr>
          <w:bCs/>
          <w:szCs w:val="24"/>
        </w:rPr>
        <w:t xml:space="preserve"> of </w:t>
      </w:r>
      <w:r w:rsidR="00E14CD6" w:rsidRPr="00C84E33">
        <w:rPr>
          <w:bCs/>
          <w:szCs w:val="24"/>
        </w:rPr>
        <w:t xml:space="preserve">Schedule 3 </w:t>
      </w:r>
      <w:r w:rsidRPr="00C84E33">
        <w:rPr>
          <w:bCs/>
          <w:szCs w:val="24"/>
        </w:rPr>
        <w:t xml:space="preserve">of the Determination </w:t>
      </w:r>
      <w:r w:rsidR="00E14CD6" w:rsidRPr="00C84E33">
        <w:rPr>
          <w:bCs/>
          <w:szCs w:val="24"/>
        </w:rPr>
        <w:t xml:space="preserve">repeals the whole of the </w:t>
      </w:r>
      <w:r w:rsidR="00E14CD6" w:rsidRPr="00C84E33">
        <w:rPr>
          <w:bCs/>
          <w:i/>
          <w:iCs/>
          <w:szCs w:val="24"/>
        </w:rPr>
        <w:t>Health Insurance (Section 3C Cleft Lip and Cleft Palate Services) Determination 2020</w:t>
      </w:r>
      <w:r w:rsidR="00E14CD6" w:rsidRPr="00C84E33">
        <w:rPr>
          <w:bCs/>
          <w:szCs w:val="24"/>
        </w:rPr>
        <w:t>.</w:t>
      </w:r>
    </w:p>
    <w:p w14:paraId="21DF9DDC" w14:textId="1767E1F1" w:rsidR="00331752" w:rsidRPr="00C84E33" w:rsidRDefault="00331752">
      <w:pPr>
        <w:spacing w:after="200" w:line="276" w:lineRule="auto"/>
        <w:rPr>
          <w:bCs/>
          <w:szCs w:val="24"/>
          <w:u w:val="single"/>
        </w:rPr>
      </w:pPr>
      <w:r w:rsidRPr="00C84E33">
        <w:rPr>
          <w:bCs/>
          <w:szCs w:val="24"/>
          <w:u w:val="single"/>
        </w:rPr>
        <w:br w:type="page"/>
      </w:r>
    </w:p>
    <w:p w14:paraId="2412D14E" w14:textId="632B4BE9" w:rsidR="00A17F2C" w:rsidRPr="00C84E33" w:rsidRDefault="00A17F2C" w:rsidP="008D136F">
      <w:pPr>
        <w:pStyle w:val="Header"/>
        <w:tabs>
          <w:tab w:val="num" w:pos="1080"/>
        </w:tabs>
        <w:jc w:val="center"/>
        <w:rPr>
          <w:b/>
          <w:sz w:val="28"/>
          <w:szCs w:val="28"/>
        </w:rPr>
      </w:pPr>
      <w:r w:rsidRPr="00C84E33">
        <w:rPr>
          <w:b/>
          <w:sz w:val="28"/>
          <w:szCs w:val="28"/>
        </w:rPr>
        <w:lastRenderedPageBreak/>
        <w:t>Statement of Compatibility with Human Rights</w:t>
      </w:r>
    </w:p>
    <w:p w14:paraId="2412D14F" w14:textId="77777777" w:rsidR="00A17F2C" w:rsidRPr="00C84E33" w:rsidRDefault="00A17F2C" w:rsidP="000337CB">
      <w:pPr>
        <w:spacing w:before="120" w:after="120"/>
        <w:jc w:val="center"/>
        <w:rPr>
          <w:szCs w:val="24"/>
        </w:rPr>
      </w:pPr>
      <w:r w:rsidRPr="00C84E33">
        <w:rPr>
          <w:i/>
          <w:szCs w:val="24"/>
        </w:rPr>
        <w:t>Prepared in accordance with Part 3 of the Human Rights (Parliamentary Scrutiny) Act 2011</w:t>
      </w:r>
    </w:p>
    <w:p w14:paraId="751DE726" w14:textId="77777777" w:rsidR="002A6C77" w:rsidRPr="00C84E33" w:rsidRDefault="002A6C77" w:rsidP="000337CB">
      <w:pPr>
        <w:tabs>
          <w:tab w:val="left" w:pos="1418"/>
        </w:tabs>
        <w:ind w:left="851"/>
        <w:jc w:val="center"/>
        <w:rPr>
          <w:b/>
          <w:i/>
          <w:iCs/>
        </w:rPr>
      </w:pPr>
    </w:p>
    <w:p w14:paraId="3A52A4B2" w14:textId="3355A283" w:rsidR="00C6094D" w:rsidRPr="00AD35EC" w:rsidRDefault="005D614A" w:rsidP="007708B3">
      <w:pPr>
        <w:tabs>
          <w:tab w:val="left" w:pos="1418"/>
        </w:tabs>
        <w:jc w:val="center"/>
        <w:rPr>
          <w:b/>
          <w:bCs/>
          <w:i/>
          <w:iCs/>
        </w:rPr>
      </w:pPr>
      <w:r w:rsidRPr="00C84E33">
        <w:rPr>
          <w:i/>
          <w:iCs/>
        </w:rPr>
        <w:t>Health Insurance (Section 3C General Medical Services – Cleft and Craniofacial Services) Determination 2024</w:t>
      </w:r>
    </w:p>
    <w:p w14:paraId="1BF56C38" w14:textId="77777777" w:rsidR="007708B3" w:rsidRPr="00C84E33" w:rsidRDefault="007708B3" w:rsidP="000337CB">
      <w:pPr>
        <w:tabs>
          <w:tab w:val="left" w:pos="1418"/>
        </w:tabs>
        <w:ind w:left="851"/>
        <w:jc w:val="center"/>
        <w:rPr>
          <w:b/>
          <w:i/>
          <w:szCs w:val="24"/>
        </w:rPr>
      </w:pPr>
    </w:p>
    <w:p w14:paraId="2412D153" w14:textId="7AFD921D" w:rsidR="00A17F2C" w:rsidRPr="00C84E33" w:rsidRDefault="00A17F2C" w:rsidP="000337CB">
      <w:pPr>
        <w:jc w:val="center"/>
        <w:rPr>
          <w:szCs w:val="24"/>
        </w:rPr>
      </w:pPr>
      <w:r w:rsidRPr="00C84E33">
        <w:rPr>
          <w:szCs w:val="24"/>
        </w:rPr>
        <w:t xml:space="preserve">This </w:t>
      </w:r>
      <w:r w:rsidR="0046022A" w:rsidRPr="00C84E33">
        <w:rPr>
          <w:szCs w:val="24"/>
        </w:rPr>
        <w:t>instrument</w:t>
      </w:r>
      <w:r w:rsidRPr="00C84E33">
        <w:rPr>
          <w:szCs w:val="24"/>
        </w:rPr>
        <w:t xml:space="preserve"> is compatible with the human rights and freedoms recognised or declared in the international instruments listed in section 3 of the </w:t>
      </w:r>
      <w:r w:rsidRPr="00C84E33">
        <w:rPr>
          <w:i/>
          <w:szCs w:val="24"/>
        </w:rPr>
        <w:t>Human Rights (Parliamentary Scrutiny) Act 2011</w:t>
      </w:r>
      <w:r w:rsidRPr="00C84E33">
        <w:rPr>
          <w:szCs w:val="24"/>
        </w:rPr>
        <w:t>.</w:t>
      </w:r>
    </w:p>
    <w:p w14:paraId="7EDA9098" w14:textId="306A78E1" w:rsidR="006E6BBF" w:rsidRPr="00C84E33" w:rsidRDefault="006E6BBF" w:rsidP="008734F5">
      <w:pPr>
        <w:spacing w:before="120" w:after="120"/>
        <w:rPr>
          <w:b/>
          <w:szCs w:val="24"/>
        </w:rPr>
      </w:pPr>
      <w:r w:rsidRPr="00C84E33">
        <w:rPr>
          <w:b/>
          <w:szCs w:val="24"/>
        </w:rPr>
        <w:t xml:space="preserve">Overview of the </w:t>
      </w:r>
      <w:r w:rsidR="00B86A9F" w:rsidRPr="00C84E33">
        <w:rPr>
          <w:b/>
          <w:szCs w:val="24"/>
        </w:rPr>
        <w:t>Determination</w:t>
      </w:r>
    </w:p>
    <w:p w14:paraId="360FEDDB" w14:textId="350CCD90" w:rsidR="00610C38" w:rsidRPr="00C84E33" w:rsidRDefault="00610C38" w:rsidP="00610C38">
      <w:pPr>
        <w:ind w:right="-483"/>
        <w:rPr>
          <w:szCs w:val="24"/>
        </w:rPr>
      </w:pPr>
      <w:r w:rsidRPr="00C84E33">
        <w:rPr>
          <w:szCs w:val="24"/>
        </w:rPr>
        <w:t xml:space="preserve">The purpose of the </w:t>
      </w:r>
      <w:r w:rsidR="005D614A" w:rsidRPr="00C84E33">
        <w:rPr>
          <w:i/>
          <w:iCs/>
        </w:rPr>
        <w:t>Health Insurance (Section 3C General Medical Services – Cleft and Craniofacial Services) Determination 2024</w:t>
      </w:r>
      <w:r w:rsidRPr="00C84E33">
        <w:rPr>
          <w:szCs w:val="24"/>
        </w:rPr>
        <w:t xml:space="preserve"> (the Determination) is to repeal and remake the </w:t>
      </w:r>
      <w:r w:rsidRPr="00C84E33">
        <w:rPr>
          <w:i/>
          <w:iCs/>
          <w:szCs w:val="24"/>
        </w:rPr>
        <w:t>Health Insurance (Section 3C Cleft Lip and Cleft Palate Services) Determination 2020</w:t>
      </w:r>
      <w:r w:rsidRPr="00C84E33">
        <w:rPr>
          <w:szCs w:val="24"/>
        </w:rPr>
        <w:t xml:space="preserve"> (the Former Determination). This remake will implement Medicare Benefits Schedule (MBS) Review Taskforce (the Taskforce) recommendations related to cleft dental services and modernise the clinical practice for treating patients with cleft and craniofacial conditions.</w:t>
      </w:r>
    </w:p>
    <w:p w14:paraId="1C24AC20" w14:textId="77777777" w:rsidR="00610C38" w:rsidRPr="00C84E33" w:rsidRDefault="00610C38" w:rsidP="00610C38">
      <w:pPr>
        <w:ind w:right="-483"/>
        <w:rPr>
          <w:szCs w:val="24"/>
        </w:rPr>
      </w:pPr>
    </w:p>
    <w:p w14:paraId="45EBF8A1" w14:textId="77777777" w:rsidR="00610C38" w:rsidRPr="00C84E33" w:rsidRDefault="00610C38" w:rsidP="00610C38">
      <w:pPr>
        <w:ind w:right="-483"/>
        <w:rPr>
          <w:szCs w:val="24"/>
        </w:rPr>
      </w:pPr>
      <w:r w:rsidRPr="00C84E33">
        <w:rPr>
          <w:szCs w:val="24"/>
        </w:rPr>
        <w:t>These changes include:</w:t>
      </w:r>
    </w:p>
    <w:p w14:paraId="08AE0A63" w14:textId="77777777" w:rsidR="00610C38" w:rsidRPr="00C84E33" w:rsidRDefault="00610C38" w:rsidP="00610C38">
      <w:pPr>
        <w:pStyle w:val="ListParagraph"/>
        <w:numPr>
          <w:ilvl w:val="0"/>
          <w:numId w:val="33"/>
        </w:numPr>
        <w:ind w:right="-483"/>
        <w:rPr>
          <w:szCs w:val="24"/>
        </w:rPr>
      </w:pPr>
      <w:r w:rsidRPr="00C84E33">
        <w:rPr>
          <w:szCs w:val="24"/>
        </w:rPr>
        <w:t xml:space="preserve">Updates to the table of MBS items at Schedule 1 to introduce nine new items, amend 36 existing items, and delete 26 items; </w:t>
      </w:r>
    </w:p>
    <w:p w14:paraId="17D13FE6" w14:textId="77777777" w:rsidR="00610C38" w:rsidRPr="00C84E33" w:rsidRDefault="00610C38" w:rsidP="00610C38">
      <w:pPr>
        <w:pStyle w:val="ListParagraph"/>
        <w:numPr>
          <w:ilvl w:val="0"/>
          <w:numId w:val="33"/>
        </w:numPr>
        <w:ind w:right="-483"/>
        <w:rPr>
          <w:szCs w:val="24"/>
        </w:rPr>
      </w:pPr>
      <w:r w:rsidRPr="00C84E33">
        <w:rPr>
          <w:szCs w:val="24"/>
        </w:rPr>
        <w:t>The expansion of practitioner access to include eligible paediatric dentists and eligible prosthodontists;</w:t>
      </w:r>
    </w:p>
    <w:p w14:paraId="518D1C6A" w14:textId="77777777" w:rsidR="00610C38" w:rsidRPr="00C84E33" w:rsidRDefault="00610C38" w:rsidP="00610C38">
      <w:pPr>
        <w:pStyle w:val="ListParagraph"/>
        <w:numPr>
          <w:ilvl w:val="0"/>
          <w:numId w:val="33"/>
        </w:numPr>
        <w:ind w:right="-483"/>
        <w:rPr>
          <w:szCs w:val="24"/>
        </w:rPr>
      </w:pPr>
      <w:r w:rsidRPr="00C84E33">
        <w:rPr>
          <w:szCs w:val="24"/>
        </w:rPr>
        <w:t>The removal of sub-categories listed under Category 7; and</w:t>
      </w:r>
    </w:p>
    <w:p w14:paraId="2D8801C0" w14:textId="77777777" w:rsidR="00610C38" w:rsidRPr="00C84E33" w:rsidRDefault="00610C38" w:rsidP="00610C38">
      <w:pPr>
        <w:pStyle w:val="ListParagraph"/>
        <w:numPr>
          <w:ilvl w:val="0"/>
          <w:numId w:val="33"/>
        </w:numPr>
        <w:ind w:right="-483"/>
        <w:rPr>
          <w:szCs w:val="24"/>
        </w:rPr>
      </w:pPr>
      <w:r w:rsidRPr="00C84E33">
        <w:rPr>
          <w:szCs w:val="24"/>
        </w:rPr>
        <w:t xml:space="preserve">Updates to referral pathways for treating dental specialists, where required. </w:t>
      </w:r>
    </w:p>
    <w:p w14:paraId="55B7E429" w14:textId="77777777" w:rsidR="00610C38" w:rsidRPr="00AD35EC" w:rsidRDefault="00610C38" w:rsidP="00610C38">
      <w:pPr>
        <w:ind w:right="-483"/>
        <w:rPr>
          <w:szCs w:val="24"/>
        </w:rPr>
      </w:pPr>
    </w:p>
    <w:p w14:paraId="5F104528" w14:textId="0AB8E8B1" w:rsidR="00C67BC7" w:rsidRPr="00AD35EC" w:rsidRDefault="00610C38" w:rsidP="00610C38">
      <w:pPr>
        <w:ind w:right="-482"/>
        <w:rPr>
          <w:iCs/>
        </w:rPr>
      </w:pPr>
      <w:r w:rsidRPr="00C84E33">
        <w:rPr>
          <w:rFonts w:cstheme="minorHAnsi"/>
          <w:szCs w:val="24"/>
        </w:rPr>
        <w:t xml:space="preserve">In December 2020, the Taskforce released the </w:t>
      </w:r>
      <w:r w:rsidRPr="00C84E33">
        <w:t>Final Report on the Cleft Dental Services MBS Items and</w:t>
      </w:r>
      <w:r w:rsidRPr="00C84E33">
        <w:rPr>
          <w:rFonts w:cstheme="minorHAnsi"/>
          <w:szCs w:val="24"/>
        </w:rPr>
        <w:t xml:space="preserve"> endorsed 29 recommendations to modernise the MBS and ensure items reflect contemporary practice, including the changes under this Determination. C</w:t>
      </w:r>
      <w:r w:rsidRPr="00C84E33">
        <w:rPr>
          <w:bCs/>
          <w:iCs/>
          <w:szCs w:val="24"/>
        </w:rPr>
        <w:t xml:space="preserve">hanges to cleft dental services under the MBS were announced in the 2022-23 Budget under the </w:t>
      </w:r>
      <w:r w:rsidRPr="00C84E33">
        <w:rPr>
          <w:bCs/>
          <w:i/>
          <w:szCs w:val="24"/>
        </w:rPr>
        <w:t xml:space="preserve">Guaranteeing Medicare – Medicare Benefits Schedule New and Amended Listings </w:t>
      </w:r>
      <w:r w:rsidRPr="00C84E33">
        <w:rPr>
          <w:bCs/>
          <w:iCs/>
          <w:szCs w:val="24"/>
        </w:rPr>
        <w:t>measure.</w:t>
      </w:r>
    </w:p>
    <w:p w14:paraId="31515278" w14:textId="28FBF7FC" w:rsidR="007708B3" w:rsidRPr="00C84E33" w:rsidRDefault="007708B3" w:rsidP="002A6C77">
      <w:pPr>
        <w:ind w:right="-482"/>
        <w:rPr>
          <w:iCs/>
        </w:rPr>
      </w:pPr>
    </w:p>
    <w:p w14:paraId="2412D15C" w14:textId="50D38E8B" w:rsidR="00A17F2C" w:rsidRPr="00C84E33" w:rsidRDefault="00A17F2C" w:rsidP="002A6C77">
      <w:pPr>
        <w:ind w:right="-482"/>
        <w:rPr>
          <w:b/>
          <w:szCs w:val="24"/>
        </w:rPr>
      </w:pPr>
      <w:r w:rsidRPr="00C84E33">
        <w:rPr>
          <w:b/>
          <w:szCs w:val="24"/>
        </w:rPr>
        <w:t>Human rights implications</w:t>
      </w:r>
    </w:p>
    <w:p w14:paraId="449665F0" w14:textId="2ED3F54B" w:rsidR="00806020" w:rsidRPr="00C84E33" w:rsidRDefault="00806020" w:rsidP="00806020">
      <w:pPr>
        <w:spacing w:before="120" w:after="120"/>
        <w:rPr>
          <w:szCs w:val="24"/>
        </w:rPr>
      </w:pPr>
      <w:r w:rsidRPr="00C84E3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C84E33" w:rsidRDefault="00A17F2C" w:rsidP="00806020">
      <w:pPr>
        <w:spacing w:before="120" w:after="120"/>
        <w:rPr>
          <w:i/>
          <w:szCs w:val="24"/>
        </w:rPr>
      </w:pPr>
      <w:r w:rsidRPr="00C84E33">
        <w:rPr>
          <w:i/>
          <w:szCs w:val="24"/>
        </w:rPr>
        <w:t>The Right to Health</w:t>
      </w:r>
    </w:p>
    <w:p w14:paraId="2412D15F" w14:textId="77777777" w:rsidR="00A17F2C" w:rsidRPr="00C84E33" w:rsidRDefault="00A17F2C" w:rsidP="000337CB">
      <w:pPr>
        <w:spacing w:before="120" w:after="120"/>
        <w:rPr>
          <w:szCs w:val="24"/>
        </w:rPr>
      </w:pPr>
      <w:r w:rsidRPr="00C84E3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C84E33">
        <w:rPr>
          <w:szCs w:val="24"/>
        </w:rPr>
        <w:t>healthy, but</w:t>
      </w:r>
      <w:proofErr w:type="gramEnd"/>
      <w:r w:rsidRPr="00C84E33">
        <w:rPr>
          <w:szCs w:val="24"/>
        </w:rPr>
        <w:t xml:space="preserve"> is a right to a system of health protection which provides equality of opportunity for people to enjoy the highest attainable level of health. </w:t>
      </w:r>
    </w:p>
    <w:p w14:paraId="2412D160" w14:textId="77777777" w:rsidR="00A17F2C" w:rsidRPr="00C84E33" w:rsidRDefault="00A17F2C" w:rsidP="000337CB">
      <w:pPr>
        <w:spacing w:before="120" w:after="120"/>
        <w:rPr>
          <w:szCs w:val="24"/>
        </w:rPr>
      </w:pPr>
      <w:r w:rsidRPr="00C84E33">
        <w:rPr>
          <w:szCs w:val="24"/>
        </w:rPr>
        <w:t xml:space="preserve">The Committee reports that the </w:t>
      </w:r>
      <w:r w:rsidRPr="00C84E33">
        <w:rPr>
          <w:i/>
          <w:szCs w:val="24"/>
        </w:rPr>
        <w:t>‘highest attainable standard of health’</w:t>
      </w:r>
      <w:r w:rsidRPr="00C84E33">
        <w:rPr>
          <w:szCs w:val="24"/>
        </w:rPr>
        <w:t xml:space="preserve"> </w:t>
      </w:r>
      <w:proofErr w:type="gramStart"/>
      <w:r w:rsidRPr="00C84E33">
        <w:rPr>
          <w:szCs w:val="24"/>
        </w:rPr>
        <w:t>takes into account</w:t>
      </w:r>
      <w:proofErr w:type="gramEnd"/>
      <w:r w:rsidRPr="00C84E33">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79CE15EF" w14:textId="77777777" w:rsidR="00E62ED2" w:rsidRPr="00C84E33" w:rsidRDefault="00E62ED2">
      <w:pPr>
        <w:spacing w:after="200" w:line="276" w:lineRule="auto"/>
        <w:rPr>
          <w:i/>
          <w:szCs w:val="24"/>
        </w:rPr>
      </w:pPr>
      <w:r w:rsidRPr="00C84E33">
        <w:rPr>
          <w:i/>
          <w:szCs w:val="24"/>
        </w:rPr>
        <w:br w:type="page"/>
      </w:r>
    </w:p>
    <w:p w14:paraId="2412D161" w14:textId="111F535F" w:rsidR="00A17F2C" w:rsidRPr="00C84E33" w:rsidRDefault="00A17F2C" w:rsidP="000337CB">
      <w:pPr>
        <w:spacing w:before="120" w:after="120"/>
        <w:rPr>
          <w:i/>
          <w:szCs w:val="24"/>
        </w:rPr>
      </w:pPr>
      <w:r w:rsidRPr="00C84E33">
        <w:rPr>
          <w:i/>
          <w:szCs w:val="24"/>
        </w:rPr>
        <w:lastRenderedPageBreak/>
        <w:t xml:space="preserve">The Right to Social Security </w:t>
      </w:r>
    </w:p>
    <w:p w14:paraId="2412D162" w14:textId="77777777" w:rsidR="00A17F2C" w:rsidRPr="00C84E33" w:rsidRDefault="00A17F2C" w:rsidP="000337CB">
      <w:pPr>
        <w:spacing w:before="120" w:after="120"/>
        <w:rPr>
          <w:szCs w:val="24"/>
        </w:rPr>
      </w:pPr>
      <w:r w:rsidRPr="00C84E33">
        <w:rPr>
          <w:szCs w:val="24"/>
        </w:rPr>
        <w:t>The right to social security is contained in Article 9 of the ICESCR. It requires that a country must, within its maximum available resources, ensure access to a social security scheme that</w:t>
      </w:r>
      <w:r w:rsidR="00BA69CB" w:rsidRPr="00C84E33">
        <w:rPr>
          <w:szCs w:val="24"/>
        </w:rPr>
        <w:t xml:space="preserve"> </w:t>
      </w:r>
      <w:r w:rsidRPr="00C84E33">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84E33">
        <w:rPr>
          <w:szCs w:val="24"/>
        </w:rPr>
        <w:t>in an effort to</w:t>
      </w:r>
      <w:proofErr w:type="gramEnd"/>
      <w:r w:rsidRPr="00C84E33">
        <w:rPr>
          <w:szCs w:val="24"/>
        </w:rPr>
        <w:t xml:space="preserve"> satisfy, as a matter of priority, this minimum obligation.</w:t>
      </w:r>
    </w:p>
    <w:p w14:paraId="66FC6343" w14:textId="78CFC98B" w:rsidR="00B612B5" w:rsidRPr="00C84E33" w:rsidRDefault="00A17F2C" w:rsidP="000337CB">
      <w:pPr>
        <w:spacing w:before="120" w:after="120"/>
        <w:rPr>
          <w:szCs w:val="24"/>
        </w:rPr>
      </w:pPr>
      <w:r w:rsidRPr="00C84E33">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84E33">
        <w:rPr>
          <w:szCs w:val="24"/>
        </w:rPr>
        <w:t>Government</w:t>
      </w:r>
      <w:proofErr w:type="gramEnd"/>
      <w:r w:rsidRPr="00C84E33">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C84E33" w:rsidRDefault="00B612B5" w:rsidP="00B612B5">
      <w:pPr>
        <w:spacing w:before="120" w:after="120"/>
        <w:rPr>
          <w:szCs w:val="24"/>
        </w:rPr>
      </w:pPr>
      <w:r w:rsidRPr="00C84E33">
        <w:rPr>
          <w:i/>
          <w:iCs/>
          <w:szCs w:val="24"/>
        </w:rPr>
        <w:t>The right of equality and non-discrimination</w:t>
      </w:r>
    </w:p>
    <w:p w14:paraId="01405BA5" w14:textId="696A42A3" w:rsidR="00B612B5" w:rsidRPr="00C84E33" w:rsidRDefault="00B612B5" w:rsidP="002B60A7">
      <w:pPr>
        <w:spacing w:before="120" w:after="120"/>
        <w:jc w:val="both"/>
        <w:rPr>
          <w:szCs w:val="24"/>
        </w:rPr>
      </w:pPr>
      <w:r w:rsidRPr="00C84E33">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C84E33" w:rsidRDefault="00A17F2C" w:rsidP="000337CB">
      <w:pPr>
        <w:spacing w:before="120" w:after="120"/>
        <w:rPr>
          <w:szCs w:val="24"/>
          <w:u w:val="single"/>
        </w:rPr>
      </w:pPr>
      <w:r w:rsidRPr="00C84E33">
        <w:rPr>
          <w:szCs w:val="24"/>
          <w:u w:val="single"/>
        </w:rPr>
        <w:t xml:space="preserve">Analysis </w:t>
      </w:r>
    </w:p>
    <w:p w14:paraId="133A45A3" w14:textId="6F80343E" w:rsidR="009C1F15" w:rsidRPr="00C84E33" w:rsidRDefault="009C1F15" w:rsidP="00E62ED2">
      <w:pPr>
        <w:spacing w:before="120" w:after="120"/>
        <w:rPr>
          <w:szCs w:val="24"/>
        </w:rPr>
      </w:pPr>
      <w:r w:rsidRPr="00C84E33">
        <w:rPr>
          <w:szCs w:val="24"/>
        </w:rPr>
        <w:t xml:space="preserve">This instrument </w:t>
      </w:r>
      <w:r w:rsidR="00FC2717" w:rsidRPr="00C84E33">
        <w:rPr>
          <w:szCs w:val="24"/>
        </w:rPr>
        <w:t>maintains</w:t>
      </w:r>
      <w:r w:rsidRPr="00C84E33">
        <w:rPr>
          <w:szCs w:val="24"/>
        </w:rPr>
        <w:t xml:space="preserve"> the rights to health and social security and the right of equality and non-discrimination by </w:t>
      </w:r>
      <w:r w:rsidR="00FC2717" w:rsidRPr="00C84E33">
        <w:rPr>
          <w:szCs w:val="24"/>
        </w:rPr>
        <w:t xml:space="preserve">continuing to support access to Medicare benefits for patients requiring treatment for eligible cleft and craniofacial conditions. This instrument also maintains these rights by </w:t>
      </w:r>
      <w:r w:rsidR="00514358" w:rsidRPr="00C84E33">
        <w:rPr>
          <w:szCs w:val="24"/>
        </w:rPr>
        <w:t xml:space="preserve">ensuring that </w:t>
      </w:r>
      <w:r w:rsidR="00E62ED2" w:rsidRPr="00C84E33">
        <w:rPr>
          <w:szCs w:val="24"/>
        </w:rPr>
        <w:t>current cleft and craniofacial MBS items align with contemporary clinical practice</w:t>
      </w:r>
      <w:r w:rsidRPr="00C84E33">
        <w:rPr>
          <w:szCs w:val="24"/>
        </w:rPr>
        <w:t>.</w:t>
      </w:r>
      <w:r w:rsidR="00610C38" w:rsidRPr="00C84E33">
        <w:rPr>
          <w:szCs w:val="24"/>
        </w:rPr>
        <w:t xml:space="preserve"> While 26 items are repealed by this instrument, this change is consistent with these rights as the services will continue to be available under other new or amended items, or the services are obsolete and do not align with contemporary clinical practice.</w:t>
      </w:r>
    </w:p>
    <w:p w14:paraId="2412D166" w14:textId="4EE71C6C" w:rsidR="00A17F2C" w:rsidRPr="00C84E33" w:rsidRDefault="00A17F2C" w:rsidP="004B7CB9">
      <w:pPr>
        <w:spacing w:before="120" w:after="120" w:line="276" w:lineRule="auto"/>
        <w:rPr>
          <w:rFonts w:eastAsia="Calibri"/>
          <w:b/>
          <w:szCs w:val="24"/>
          <w:lang w:eastAsia="en-US"/>
        </w:rPr>
      </w:pPr>
      <w:r w:rsidRPr="00C84E33">
        <w:rPr>
          <w:rFonts w:eastAsia="Calibri"/>
          <w:b/>
          <w:szCs w:val="24"/>
          <w:lang w:eastAsia="en-US"/>
        </w:rPr>
        <w:t xml:space="preserve">Conclusion </w:t>
      </w:r>
    </w:p>
    <w:p w14:paraId="798E2D36" w14:textId="38A67A7E" w:rsidR="00BC4FDA" w:rsidRPr="00C84E33" w:rsidRDefault="00BC4FDA" w:rsidP="00BC4FDA">
      <w:pPr>
        <w:rPr>
          <w:szCs w:val="24"/>
        </w:rPr>
      </w:pPr>
      <w:r w:rsidRPr="00C84E33">
        <w:rPr>
          <w:szCs w:val="24"/>
        </w:rPr>
        <w:t>This instrument is compatible with human rights as it maintains the right to health, the right to social security and the right of equality and non-discrimination</w:t>
      </w:r>
      <w:r w:rsidR="00610C38" w:rsidRPr="00C84E33">
        <w:rPr>
          <w:szCs w:val="24"/>
        </w:rPr>
        <w:t>.</w:t>
      </w:r>
    </w:p>
    <w:p w14:paraId="2412D168" w14:textId="77777777" w:rsidR="00F15284" w:rsidRPr="00C84E33" w:rsidRDefault="00F15284" w:rsidP="000337CB">
      <w:pPr>
        <w:rPr>
          <w:rFonts w:eastAsia="Calibri"/>
          <w:szCs w:val="24"/>
          <w:lang w:eastAsia="en-US"/>
        </w:rPr>
      </w:pPr>
    </w:p>
    <w:p w14:paraId="75A46380" w14:textId="77777777" w:rsidR="00C67BC7" w:rsidRPr="00C84E33" w:rsidRDefault="00C67BC7" w:rsidP="000F2948">
      <w:pPr>
        <w:jc w:val="center"/>
        <w:rPr>
          <w:b/>
          <w:bCs/>
        </w:rPr>
      </w:pPr>
    </w:p>
    <w:p w14:paraId="008DA0E3" w14:textId="7BF10EC2" w:rsidR="00BC4FDA" w:rsidRPr="00C84E33" w:rsidRDefault="0007322C" w:rsidP="00BC4FDA">
      <w:pPr>
        <w:jc w:val="center"/>
        <w:rPr>
          <w:b/>
          <w:bCs/>
        </w:rPr>
      </w:pPr>
      <w:r w:rsidRPr="00C84E33">
        <w:rPr>
          <w:b/>
          <w:bCs/>
        </w:rPr>
        <w:t>Michelle Trainor</w:t>
      </w:r>
    </w:p>
    <w:p w14:paraId="5461D578" w14:textId="25323B92" w:rsidR="00BC4FDA" w:rsidRPr="00C84E33" w:rsidRDefault="0007322C" w:rsidP="00BC4FDA">
      <w:pPr>
        <w:jc w:val="center"/>
        <w:rPr>
          <w:b/>
          <w:bCs/>
        </w:rPr>
      </w:pPr>
      <w:r w:rsidRPr="00C84E33">
        <w:rPr>
          <w:b/>
          <w:bCs/>
        </w:rPr>
        <w:t xml:space="preserve">A/g </w:t>
      </w:r>
      <w:r w:rsidR="00BC4FDA" w:rsidRPr="00C84E33">
        <w:rPr>
          <w:b/>
          <w:bCs/>
        </w:rPr>
        <w:t>Assistant Secretary</w:t>
      </w:r>
    </w:p>
    <w:p w14:paraId="48472E7E" w14:textId="77777777" w:rsidR="00BC4FDA" w:rsidRPr="00C84E33" w:rsidRDefault="00BC4FDA" w:rsidP="00BC4FDA">
      <w:pPr>
        <w:jc w:val="center"/>
        <w:rPr>
          <w:b/>
          <w:bCs/>
        </w:rPr>
      </w:pPr>
      <w:r w:rsidRPr="00C84E33">
        <w:rPr>
          <w:b/>
          <w:bCs/>
        </w:rPr>
        <w:t>MBS Policy and Specialist Programs Branch</w:t>
      </w:r>
    </w:p>
    <w:p w14:paraId="6DCF6B2B" w14:textId="77777777" w:rsidR="00BC4FDA" w:rsidRPr="00C84E33" w:rsidRDefault="00BC4FDA" w:rsidP="00BC4FDA">
      <w:pPr>
        <w:jc w:val="center"/>
        <w:rPr>
          <w:b/>
          <w:bCs/>
        </w:rPr>
      </w:pPr>
      <w:r w:rsidRPr="00C84E33">
        <w:rPr>
          <w:b/>
          <w:bCs/>
        </w:rPr>
        <w:t>Medicare Benefits and Digital Health Division</w:t>
      </w:r>
    </w:p>
    <w:p w14:paraId="494F30D4" w14:textId="77777777" w:rsidR="00BC4FDA" w:rsidRPr="00C84E33" w:rsidRDefault="00BC4FDA" w:rsidP="00BC4FDA">
      <w:pPr>
        <w:jc w:val="center"/>
        <w:rPr>
          <w:b/>
          <w:bCs/>
        </w:rPr>
      </w:pPr>
      <w:r w:rsidRPr="00C84E33">
        <w:rPr>
          <w:b/>
          <w:bCs/>
        </w:rPr>
        <w:t>Health Resourcing Group</w:t>
      </w:r>
    </w:p>
    <w:p w14:paraId="2412D16E" w14:textId="7E11178B" w:rsidR="00636C51" w:rsidRPr="0020245D" w:rsidRDefault="00BC4FDA" w:rsidP="00BC4FDA">
      <w:pPr>
        <w:jc w:val="center"/>
        <w:rPr>
          <w:rFonts w:eastAsia="Calibri"/>
          <w:szCs w:val="24"/>
          <w:lang w:eastAsia="en-US"/>
        </w:rPr>
      </w:pPr>
      <w:r w:rsidRPr="00C84E33">
        <w:rPr>
          <w:b/>
          <w:bCs/>
        </w:rPr>
        <w:t>Department of Health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E8D3" w14:textId="77777777" w:rsidR="008608C8" w:rsidRDefault="008608C8">
      <w:r>
        <w:separator/>
      </w:r>
    </w:p>
  </w:endnote>
  <w:endnote w:type="continuationSeparator" w:id="0">
    <w:p w14:paraId="7AF9D0AB" w14:textId="77777777" w:rsidR="008608C8" w:rsidRDefault="0086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C20" w14:textId="77777777" w:rsidR="008608C8" w:rsidRDefault="008608C8">
      <w:r>
        <w:separator/>
      </w:r>
    </w:p>
  </w:footnote>
  <w:footnote w:type="continuationSeparator" w:id="0">
    <w:p w14:paraId="43DB3E10" w14:textId="77777777" w:rsidR="008608C8" w:rsidRDefault="0086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0847D7"/>
    <w:multiLevelType w:val="hybridMultilevel"/>
    <w:tmpl w:val="A3489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408F4"/>
    <w:multiLevelType w:val="hybridMultilevel"/>
    <w:tmpl w:val="55A632D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3165915">
    <w:abstractNumId w:val="25"/>
  </w:num>
  <w:num w:numId="2" w16cid:durableId="1718429984">
    <w:abstractNumId w:val="1"/>
  </w:num>
  <w:num w:numId="3" w16cid:durableId="424033176">
    <w:abstractNumId w:val="2"/>
  </w:num>
  <w:num w:numId="4" w16cid:durableId="1296107320">
    <w:abstractNumId w:val="12"/>
  </w:num>
  <w:num w:numId="5" w16cid:durableId="557320786">
    <w:abstractNumId w:val="19"/>
  </w:num>
  <w:num w:numId="6" w16cid:durableId="457380788">
    <w:abstractNumId w:val="10"/>
  </w:num>
  <w:num w:numId="7" w16cid:durableId="1300191596">
    <w:abstractNumId w:val="30"/>
  </w:num>
  <w:num w:numId="8" w16cid:durableId="679548093">
    <w:abstractNumId w:val="7"/>
  </w:num>
  <w:num w:numId="9" w16cid:durableId="1720400390">
    <w:abstractNumId w:val="6"/>
  </w:num>
  <w:num w:numId="10" w16cid:durableId="454913129">
    <w:abstractNumId w:val="32"/>
  </w:num>
  <w:num w:numId="11" w16cid:durableId="672025797">
    <w:abstractNumId w:val="29"/>
  </w:num>
  <w:num w:numId="12" w16cid:durableId="1233000730">
    <w:abstractNumId w:val="13"/>
  </w:num>
  <w:num w:numId="13" w16cid:durableId="356582320">
    <w:abstractNumId w:val="16"/>
  </w:num>
  <w:num w:numId="14" w16cid:durableId="2056275341">
    <w:abstractNumId w:val="27"/>
  </w:num>
  <w:num w:numId="15" w16cid:durableId="1989282335">
    <w:abstractNumId w:val="8"/>
  </w:num>
  <w:num w:numId="16" w16cid:durableId="569925263">
    <w:abstractNumId w:val="21"/>
  </w:num>
  <w:num w:numId="17" w16cid:durableId="450828118">
    <w:abstractNumId w:val="24"/>
  </w:num>
  <w:num w:numId="18" w16cid:durableId="46422612">
    <w:abstractNumId w:val="22"/>
  </w:num>
  <w:num w:numId="19" w16cid:durableId="512573753">
    <w:abstractNumId w:val="4"/>
  </w:num>
  <w:num w:numId="20" w16cid:durableId="1582057148">
    <w:abstractNumId w:val="11"/>
  </w:num>
  <w:num w:numId="21" w16cid:durableId="608858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9654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47230">
    <w:abstractNumId w:val="0"/>
  </w:num>
  <w:num w:numId="24" w16cid:durableId="1478764465">
    <w:abstractNumId w:val="23"/>
  </w:num>
  <w:num w:numId="25" w16cid:durableId="1268461288">
    <w:abstractNumId w:val="9"/>
  </w:num>
  <w:num w:numId="26" w16cid:durableId="142818169">
    <w:abstractNumId w:val="5"/>
  </w:num>
  <w:num w:numId="27" w16cid:durableId="1956594343">
    <w:abstractNumId w:val="17"/>
  </w:num>
  <w:num w:numId="28" w16cid:durableId="2140536938">
    <w:abstractNumId w:val="31"/>
  </w:num>
  <w:num w:numId="29" w16cid:durableId="2136215095">
    <w:abstractNumId w:val="18"/>
  </w:num>
  <w:num w:numId="30" w16cid:durableId="1576162095">
    <w:abstractNumId w:val="28"/>
  </w:num>
  <w:num w:numId="31" w16cid:durableId="158271200">
    <w:abstractNumId w:val="14"/>
  </w:num>
  <w:num w:numId="32" w16cid:durableId="269703794">
    <w:abstractNumId w:val="26"/>
  </w:num>
  <w:num w:numId="33" w16cid:durableId="639767697">
    <w:abstractNumId w:val="15"/>
  </w:num>
  <w:num w:numId="34" w16cid:durableId="3302535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750"/>
    <w:rsid w:val="00007B65"/>
    <w:rsid w:val="00010199"/>
    <w:rsid w:val="00011CA8"/>
    <w:rsid w:val="00012B9E"/>
    <w:rsid w:val="00014639"/>
    <w:rsid w:val="00014B38"/>
    <w:rsid w:val="00014E40"/>
    <w:rsid w:val="00016774"/>
    <w:rsid w:val="00017AA9"/>
    <w:rsid w:val="000203B4"/>
    <w:rsid w:val="00021EFA"/>
    <w:rsid w:val="00024158"/>
    <w:rsid w:val="00024A1D"/>
    <w:rsid w:val="00025F64"/>
    <w:rsid w:val="0002704E"/>
    <w:rsid w:val="0002728B"/>
    <w:rsid w:val="00027830"/>
    <w:rsid w:val="000319EF"/>
    <w:rsid w:val="00033034"/>
    <w:rsid w:val="000337CB"/>
    <w:rsid w:val="0003591F"/>
    <w:rsid w:val="00041849"/>
    <w:rsid w:val="00042714"/>
    <w:rsid w:val="0004426E"/>
    <w:rsid w:val="00044A2A"/>
    <w:rsid w:val="00050623"/>
    <w:rsid w:val="000509BA"/>
    <w:rsid w:val="0005224B"/>
    <w:rsid w:val="000526C3"/>
    <w:rsid w:val="00054F46"/>
    <w:rsid w:val="0005533C"/>
    <w:rsid w:val="00063242"/>
    <w:rsid w:val="000640CF"/>
    <w:rsid w:val="00064BA4"/>
    <w:rsid w:val="00067F59"/>
    <w:rsid w:val="000710DD"/>
    <w:rsid w:val="0007187A"/>
    <w:rsid w:val="0007236F"/>
    <w:rsid w:val="000727E0"/>
    <w:rsid w:val="0007322C"/>
    <w:rsid w:val="00073983"/>
    <w:rsid w:val="00073BC9"/>
    <w:rsid w:val="00076C34"/>
    <w:rsid w:val="00076FE3"/>
    <w:rsid w:val="00080116"/>
    <w:rsid w:val="00081188"/>
    <w:rsid w:val="00081C37"/>
    <w:rsid w:val="00082D12"/>
    <w:rsid w:val="00085B2B"/>
    <w:rsid w:val="000937F0"/>
    <w:rsid w:val="0009514A"/>
    <w:rsid w:val="000969EF"/>
    <w:rsid w:val="000A199B"/>
    <w:rsid w:val="000A31F2"/>
    <w:rsid w:val="000A45BE"/>
    <w:rsid w:val="000A467F"/>
    <w:rsid w:val="000A51BB"/>
    <w:rsid w:val="000A6FB3"/>
    <w:rsid w:val="000A7B9B"/>
    <w:rsid w:val="000B208E"/>
    <w:rsid w:val="000B3143"/>
    <w:rsid w:val="000B3452"/>
    <w:rsid w:val="000C1226"/>
    <w:rsid w:val="000C12EE"/>
    <w:rsid w:val="000C3BA7"/>
    <w:rsid w:val="000C3D8A"/>
    <w:rsid w:val="000C46E6"/>
    <w:rsid w:val="000C4B3D"/>
    <w:rsid w:val="000C5BA2"/>
    <w:rsid w:val="000C6797"/>
    <w:rsid w:val="000C6FF8"/>
    <w:rsid w:val="000C7FE1"/>
    <w:rsid w:val="000D01A9"/>
    <w:rsid w:val="000D1325"/>
    <w:rsid w:val="000D1A87"/>
    <w:rsid w:val="000D2300"/>
    <w:rsid w:val="000D3B79"/>
    <w:rsid w:val="000D400C"/>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5B81"/>
    <w:rsid w:val="0012650B"/>
    <w:rsid w:val="00132087"/>
    <w:rsid w:val="00134B27"/>
    <w:rsid w:val="00135D0D"/>
    <w:rsid w:val="001400C4"/>
    <w:rsid w:val="00141323"/>
    <w:rsid w:val="00141E8C"/>
    <w:rsid w:val="00143685"/>
    <w:rsid w:val="00143943"/>
    <w:rsid w:val="001448F2"/>
    <w:rsid w:val="00145918"/>
    <w:rsid w:val="00145D25"/>
    <w:rsid w:val="00145DED"/>
    <w:rsid w:val="0015085A"/>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B7D74"/>
    <w:rsid w:val="001C1B86"/>
    <w:rsid w:val="001C35BC"/>
    <w:rsid w:val="001C51D8"/>
    <w:rsid w:val="001C5FC1"/>
    <w:rsid w:val="001C6713"/>
    <w:rsid w:val="001C6784"/>
    <w:rsid w:val="001D0C04"/>
    <w:rsid w:val="001D1C89"/>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6CB2"/>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078A"/>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295F"/>
    <w:rsid w:val="00263279"/>
    <w:rsid w:val="002643FC"/>
    <w:rsid w:val="00270A93"/>
    <w:rsid w:val="00274073"/>
    <w:rsid w:val="0027545F"/>
    <w:rsid w:val="0027610D"/>
    <w:rsid w:val="002806A1"/>
    <w:rsid w:val="00281918"/>
    <w:rsid w:val="00284483"/>
    <w:rsid w:val="00284749"/>
    <w:rsid w:val="00285256"/>
    <w:rsid w:val="00287AEF"/>
    <w:rsid w:val="00287B08"/>
    <w:rsid w:val="00290B98"/>
    <w:rsid w:val="002944D4"/>
    <w:rsid w:val="00296683"/>
    <w:rsid w:val="00296763"/>
    <w:rsid w:val="0029737E"/>
    <w:rsid w:val="00297AD0"/>
    <w:rsid w:val="002A0CC8"/>
    <w:rsid w:val="002A1E2C"/>
    <w:rsid w:val="002A3243"/>
    <w:rsid w:val="002A5CDF"/>
    <w:rsid w:val="002A6747"/>
    <w:rsid w:val="002A68B3"/>
    <w:rsid w:val="002A6C77"/>
    <w:rsid w:val="002B2AC5"/>
    <w:rsid w:val="002B2E78"/>
    <w:rsid w:val="002B49DE"/>
    <w:rsid w:val="002B4E4D"/>
    <w:rsid w:val="002B53D3"/>
    <w:rsid w:val="002B60A7"/>
    <w:rsid w:val="002B7177"/>
    <w:rsid w:val="002C03D1"/>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0E1"/>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4C69"/>
    <w:rsid w:val="00317B55"/>
    <w:rsid w:val="0032155B"/>
    <w:rsid w:val="003239D0"/>
    <w:rsid w:val="00324908"/>
    <w:rsid w:val="00331752"/>
    <w:rsid w:val="00332AF9"/>
    <w:rsid w:val="003332C9"/>
    <w:rsid w:val="0033493D"/>
    <w:rsid w:val="00337DE1"/>
    <w:rsid w:val="00340BDB"/>
    <w:rsid w:val="00340E39"/>
    <w:rsid w:val="00341145"/>
    <w:rsid w:val="003412CB"/>
    <w:rsid w:val="00346E4E"/>
    <w:rsid w:val="00351C66"/>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0407"/>
    <w:rsid w:val="003B1976"/>
    <w:rsid w:val="003B1D46"/>
    <w:rsid w:val="003B27BA"/>
    <w:rsid w:val="003B366C"/>
    <w:rsid w:val="003B38C1"/>
    <w:rsid w:val="003B59A9"/>
    <w:rsid w:val="003B6B63"/>
    <w:rsid w:val="003B7C31"/>
    <w:rsid w:val="003C02D4"/>
    <w:rsid w:val="003C37E3"/>
    <w:rsid w:val="003C4CBD"/>
    <w:rsid w:val="003C546B"/>
    <w:rsid w:val="003C6BB8"/>
    <w:rsid w:val="003C7719"/>
    <w:rsid w:val="003D0FBD"/>
    <w:rsid w:val="003D2A6D"/>
    <w:rsid w:val="003D5746"/>
    <w:rsid w:val="003E005B"/>
    <w:rsid w:val="003E04DA"/>
    <w:rsid w:val="003E1249"/>
    <w:rsid w:val="003E163C"/>
    <w:rsid w:val="003E3544"/>
    <w:rsid w:val="003E35A8"/>
    <w:rsid w:val="003E4F2D"/>
    <w:rsid w:val="003E57BE"/>
    <w:rsid w:val="003E77CB"/>
    <w:rsid w:val="003F1DD9"/>
    <w:rsid w:val="003F47FD"/>
    <w:rsid w:val="003F4B52"/>
    <w:rsid w:val="003F73BA"/>
    <w:rsid w:val="003F73F0"/>
    <w:rsid w:val="00401423"/>
    <w:rsid w:val="00403105"/>
    <w:rsid w:val="00404476"/>
    <w:rsid w:val="00404F11"/>
    <w:rsid w:val="00405890"/>
    <w:rsid w:val="00405EF4"/>
    <w:rsid w:val="00406D7A"/>
    <w:rsid w:val="00411365"/>
    <w:rsid w:val="0041237F"/>
    <w:rsid w:val="00412B26"/>
    <w:rsid w:val="00412B6C"/>
    <w:rsid w:val="00414613"/>
    <w:rsid w:val="00415B19"/>
    <w:rsid w:val="0041767B"/>
    <w:rsid w:val="00420205"/>
    <w:rsid w:val="00421D5F"/>
    <w:rsid w:val="004225D8"/>
    <w:rsid w:val="00422831"/>
    <w:rsid w:val="0042416F"/>
    <w:rsid w:val="00424197"/>
    <w:rsid w:val="00425F40"/>
    <w:rsid w:val="004265AA"/>
    <w:rsid w:val="00426A8D"/>
    <w:rsid w:val="00430861"/>
    <w:rsid w:val="00432D4D"/>
    <w:rsid w:val="00433DCE"/>
    <w:rsid w:val="00437B1B"/>
    <w:rsid w:val="004405B8"/>
    <w:rsid w:val="004417A2"/>
    <w:rsid w:val="00442F9D"/>
    <w:rsid w:val="00444782"/>
    <w:rsid w:val="004448B3"/>
    <w:rsid w:val="00444EDF"/>
    <w:rsid w:val="004456A4"/>
    <w:rsid w:val="00445A6D"/>
    <w:rsid w:val="00446A6B"/>
    <w:rsid w:val="0045189C"/>
    <w:rsid w:val="00451A88"/>
    <w:rsid w:val="004524A0"/>
    <w:rsid w:val="004525E4"/>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3E4F"/>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454F"/>
    <w:rsid w:val="00505C67"/>
    <w:rsid w:val="00505F9A"/>
    <w:rsid w:val="00510A4F"/>
    <w:rsid w:val="005119E9"/>
    <w:rsid w:val="00512A65"/>
    <w:rsid w:val="005130BE"/>
    <w:rsid w:val="005140F2"/>
    <w:rsid w:val="00514358"/>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0A9"/>
    <w:rsid w:val="00592F78"/>
    <w:rsid w:val="00594EB6"/>
    <w:rsid w:val="005956FA"/>
    <w:rsid w:val="0059798F"/>
    <w:rsid w:val="00597EC9"/>
    <w:rsid w:val="005A0300"/>
    <w:rsid w:val="005A163F"/>
    <w:rsid w:val="005A3D73"/>
    <w:rsid w:val="005A3D8D"/>
    <w:rsid w:val="005A445D"/>
    <w:rsid w:val="005A46D7"/>
    <w:rsid w:val="005A5F3F"/>
    <w:rsid w:val="005A662B"/>
    <w:rsid w:val="005B0EA3"/>
    <w:rsid w:val="005B1B0A"/>
    <w:rsid w:val="005B3915"/>
    <w:rsid w:val="005B5062"/>
    <w:rsid w:val="005B6234"/>
    <w:rsid w:val="005B7596"/>
    <w:rsid w:val="005C4A91"/>
    <w:rsid w:val="005C5824"/>
    <w:rsid w:val="005C6118"/>
    <w:rsid w:val="005D3575"/>
    <w:rsid w:val="005D3CED"/>
    <w:rsid w:val="005D538F"/>
    <w:rsid w:val="005D614A"/>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0C38"/>
    <w:rsid w:val="00611A4E"/>
    <w:rsid w:val="006122C0"/>
    <w:rsid w:val="0061281D"/>
    <w:rsid w:val="00613C46"/>
    <w:rsid w:val="00614085"/>
    <w:rsid w:val="00616889"/>
    <w:rsid w:val="00617F77"/>
    <w:rsid w:val="00623004"/>
    <w:rsid w:val="006237CC"/>
    <w:rsid w:val="00624439"/>
    <w:rsid w:val="00627C91"/>
    <w:rsid w:val="00632236"/>
    <w:rsid w:val="006322ED"/>
    <w:rsid w:val="00634CBC"/>
    <w:rsid w:val="00635031"/>
    <w:rsid w:val="006369D4"/>
    <w:rsid w:val="00636C51"/>
    <w:rsid w:val="006407FA"/>
    <w:rsid w:val="00642537"/>
    <w:rsid w:val="006427B2"/>
    <w:rsid w:val="00642BEB"/>
    <w:rsid w:val="00647426"/>
    <w:rsid w:val="00647590"/>
    <w:rsid w:val="006526F5"/>
    <w:rsid w:val="00654926"/>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399C"/>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2DBD"/>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1D8"/>
    <w:rsid w:val="007134A2"/>
    <w:rsid w:val="00713FB2"/>
    <w:rsid w:val="00717B45"/>
    <w:rsid w:val="007202C4"/>
    <w:rsid w:val="0072331C"/>
    <w:rsid w:val="007256A1"/>
    <w:rsid w:val="00726CFA"/>
    <w:rsid w:val="0072758A"/>
    <w:rsid w:val="007304D5"/>
    <w:rsid w:val="00730965"/>
    <w:rsid w:val="00731AB3"/>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6A64"/>
    <w:rsid w:val="00767402"/>
    <w:rsid w:val="0077044D"/>
    <w:rsid w:val="007708B3"/>
    <w:rsid w:val="007710A8"/>
    <w:rsid w:val="007721B6"/>
    <w:rsid w:val="00774454"/>
    <w:rsid w:val="00774ABF"/>
    <w:rsid w:val="00776E17"/>
    <w:rsid w:val="00782D07"/>
    <w:rsid w:val="007859F8"/>
    <w:rsid w:val="00791384"/>
    <w:rsid w:val="00791440"/>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112"/>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189D"/>
    <w:rsid w:val="007E4B14"/>
    <w:rsid w:val="007E4B4C"/>
    <w:rsid w:val="007E7ABF"/>
    <w:rsid w:val="007F0907"/>
    <w:rsid w:val="007F0D24"/>
    <w:rsid w:val="007F10B5"/>
    <w:rsid w:val="007F1C81"/>
    <w:rsid w:val="007F1D3C"/>
    <w:rsid w:val="007F6ABA"/>
    <w:rsid w:val="0080144C"/>
    <w:rsid w:val="00801B90"/>
    <w:rsid w:val="00804A3C"/>
    <w:rsid w:val="00804A98"/>
    <w:rsid w:val="00805C3A"/>
    <w:rsid w:val="00806020"/>
    <w:rsid w:val="008061B8"/>
    <w:rsid w:val="008100CF"/>
    <w:rsid w:val="008129B1"/>
    <w:rsid w:val="00817A12"/>
    <w:rsid w:val="0082437E"/>
    <w:rsid w:val="0082440D"/>
    <w:rsid w:val="008259FD"/>
    <w:rsid w:val="00825B2C"/>
    <w:rsid w:val="00825D67"/>
    <w:rsid w:val="00826C1C"/>
    <w:rsid w:val="00832E86"/>
    <w:rsid w:val="00833BAB"/>
    <w:rsid w:val="00833FCC"/>
    <w:rsid w:val="008356E6"/>
    <w:rsid w:val="008360AA"/>
    <w:rsid w:val="00837412"/>
    <w:rsid w:val="00837C17"/>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8C8"/>
    <w:rsid w:val="008609B1"/>
    <w:rsid w:val="008645C4"/>
    <w:rsid w:val="00867884"/>
    <w:rsid w:val="008734F5"/>
    <w:rsid w:val="00874DE6"/>
    <w:rsid w:val="00875104"/>
    <w:rsid w:val="008774D2"/>
    <w:rsid w:val="00880E40"/>
    <w:rsid w:val="00882BF5"/>
    <w:rsid w:val="00883771"/>
    <w:rsid w:val="00883C9D"/>
    <w:rsid w:val="00883EFE"/>
    <w:rsid w:val="008869CA"/>
    <w:rsid w:val="008870CD"/>
    <w:rsid w:val="008905BA"/>
    <w:rsid w:val="0089375C"/>
    <w:rsid w:val="0089513F"/>
    <w:rsid w:val="00895699"/>
    <w:rsid w:val="008A153F"/>
    <w:rsid w:val="008A54A9"/>
    <w:rsid w:val="008A6188"/>
    <w:rsid w:val="008A62EE"/>
    <w:rsid w:val="008A79C6"/>
    <w:rsid w:val="008A7C53"/>
    <w:rsid w:val="008B2094"/>
    <w:rsid w:val="008B28F2"/>
    <w:rsid w:val="008B444F"/>
    <w:rsid w:val="008B5A86"/>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1FF7"/>
    <w:rsid w:val="008E3E1A"/>
    <w:rsid w:val="008E4039"/>
    <w:rsid w:val="008E72CE"/>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7F8"/>
    <w:rsid w:val="00945CE1"/>
    <w:rsid w:val="009467A8"/>
    <w:rsid w:val="00951A0B"/>
    <w:rsid w:val="009522F1"/>
    <w:rsid w:val="00953383"/>
    <w:rsid w:val="00955819"/>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5A2"/>
    <w:rsid w:val="00996BF2"/>
    <w:rsid w:val="009A222A"/>
    <w:rsid w:val="009A26CA"/>
    <w:rsid w:val="009A58F2"/>
    <w:rsid w:val="009A6137"/>
    <w:rsid w:val="009A6FE7"/>
    <w:rsid w:val="009B1BCA"/>
    <w:rsid w:val="009B1FD2"/>
    <w:rsid w:val="009B3AEB"/>
    <w:rsid w:val="009B7AE2"/>
    <w:rsid w:val="009C1F15"/>
    <w:rsid w:val="009C3C8B"/>
    <w:rsid w:val="009C3EB5"/>
    <w:rsid w:val="009C42BD"/>
    <w:rsid w:val="009C444B"/>
    <w:rsid w:val="009D3773"/>
    <w:rsid w:val="009D3D13"/>
    <w:rsid w:val="009D499D"/>
    <w:rsid w:val="009D72AA"/>
    <w:rsid w:val="009D7484"/>
    <w:rsid w:val="009E0078"/>
    <w:rsid w:val="009E14BA"/>
    <w:rsid w:val="009E2AEA"/>
    <w:rsid w:val="009E3183"/>
    <w:rsid w:val="009E36E1"/>
    <w:rsid w:val="009E3783"/>
    <w:rsid w:val="009E3EA3"/>
    <w:rsid w:val="009E3ED4"/>
    <w:rsid w:val="009F0715"/>
    <w:rsid w:val="009F0808"/>
    <w:rsid w:val="009F1615"/>
    <w:rsid w:val="009F4352"/>
    <w:rsid w:val="009F45FE"/>
    <w:rsid w:val="009F4E4E"/>
    <w:rsid w:val="009F6717"/>
    <w:rsid w:val="00A00F32"/>
    <w:rsid w:val="00A01F6A"/>
    <w:rsid w:val="00A0321B"/>
    <w:rsid w:val="00A045CA"/>
    <w:rsid w:val="00A04DC3"/>
    <w:rsid w:val="00A0597B"/>
    <w:rsid w:val="00A05DAD"/>
    <w:rsid w:val="00A06FB4"/>
    <w:rsid w:val="00A12DDB"/>
    <w:rsid w:val="00A14878"/>
    <w:rsid w:val="00A1707B"/>
    <w:rsid w:val="00A1739A"/>
    <w:rsid w:val="00A17694"/>
    <w:rsid w:val="00A17F2C"/>
    <w:rsid w:val="00A232B9"/>
    <w:rsid w:val="00A24F4B"/>
    <w:rsid w:val="00A3185E"/>
    <w:rsid w:val="00A33893"/>
    <w:rsid w:val="00A34C9A"/>
    <w:rsid w:val="00A34D89"/>
    <w:rsid w:val="00A3611E"/>
    <w:rsid w:val="00A4031E"/>
    <w:rsid w:val="00A41364"/>
    <w:rsid w:val="00A41F72"/>
    <w:rsid w:val="00A4278E"/>
    <w:rsid w:val="00A4292D"/>
    <w:rsid w:val="00A44A25"/>
    <w:rsid w:val="00A54891"/>
    <w:rsid w:val="00A54CA1"/>
    <w:rsid w:val="00A56516"/>
    <w:rsid w:val="00A62031"/>
    <w:rsid w:val="00A64639"/>
    <w:rsid w:val="00A65D80"/>
    <w:rsid w:val="00A66849"/>
    <w:rsid w:val="00A672A7"/>
    <w:rsid w:val="00A714DD"/>
    <w:rsid w:val="00A73044"/>
    <w:rsid w:val="00A7379C"/>
    <w:rsid w:val="00A73CF1"/>
    <w:rsid w:val="00A75C9A"/>
    <w:rsid w:val="00A77EB0"/>
    <w:rsid w:val="00A80432"/>
    <w:rsid w:val="00A835D4"/>
    <w:rsid w:val="00A853D1"/>
    <w:rsid w:val="00A85AA3"/>
    <w:rsid w:val="00A86302"/>
    <w:rsid w:val="00A86D69"/>
    <w:rsid w:val="00A90EE0"/>
    <w:rsid w:val="00A9123D"/>
    <w:rsid w:val="00A918D2"/>
    <w:rsid w:val="00A91DC0"/>
    <w:rsid w:val="00A91EEC"/>
    <w:rsid w:val="00A92534"/>
    <w:rsid w:val="00A927C4"/>
    <w:rsid w:val="00A92BCA"/>
    <w:rsid w:val="00A9340D"/>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5EC"/>
    <w:rsid w:val="00AD7E8E"/>
    <w:rsid w:val="00AE0487"/>
    <w:rsid w:val="00AE0F81"/>
    <w:rsid w:val="00AE330D"/>
    <w:rsid w:val="00AE7A51"/>
    <w:rsid w:val="00AF134A"/>
    <w:rsid w:val="00AF20B3"/>
    <w:rsid w:val="00AF3563"/>
    <w:rsid w:val="00AF3BCE"/>
    <w:rsid w:val="00AF3F03"/>
    <w:rsid w:val="00AF421C"/>
    <w:rsid w:val="00AF5C05"/>
    <w:rsid w:val="00AF7622"/>
    <w:rsid w:val="00B00238"/>
    <w:rsid w:val="00B019A9"/>
    <w:rsid w:val="00B03218"/>
    <w:rsid w:val="00B03273"/>
    <w:rsid w:val="00B039EC"/>
    <w:rsid w:val="00B06EFD"/>
    <w:rsid w:val="00B07EFF"/>
    <w:rsid w:val="00B10984"/>
    <w:rsid w:val="00B109B2"/>
    <w:rsid w:val="00B10D67"/>
    <w:rsid w:val="00B110B5"/>
    <w:rsid w:val="00B14C3A"/>
    <w:rsid w:val="00B15781"/>
    <w:rsid w:val="00B167A2"/>
    <w:rsid w:val="00B174E3"/>
    <w:rsid w:val="00B20415"/>
    <w:rsid w:val="00B2772E"/>
    <w:rsid w:val="00B27A5B"/>
    <w:rsid w:val="00B30EEF"/>
    <w:rsid w:val="00B316E7"/>
    <w:rsid w:val="00B3398C"/>
    <w:rsid w:val="00B34BDE"/>
    <w:rsid w:val="00B34EF9"/>
    <w:rsid w:val="00B3578F"/>
    <w:rsid w:val="00B35DAD"/>
    <w:rsid w:val="00B36EB3"/>
    <w:rsid w:val="00B40E17"/>
    <w:rsid w:val="00B41AE8"/>
    <w:rsid w:val="00B445D0"/>
    <w:rsid w:val="00B45829"/>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17B"/>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4FDA"/>
    <w:rsid w:val="00BC59B7"/>
    <w:rsid w:val="00BC5DCD"/>
    <w:rsid w:val="00BC626B"/>
    <w:rsid w:val="00BC7397"/>
    <w:rsid w:val="00BD0628"/>
    <w:rsid w:val="00BD304A"/>
    <w:rsid w:val="00BD7FD9"/>
    <w:rsid w:val="00BE1022"/>
    <w:rsid w:val="00BE1645"/>
    <w:rsid w:val="00BE283F"/>
    <w:rsid w:val="00BE2ECA"/>
    <w:rsid w:val="00BE2EFA"/>
    <w:rsid w:val="00BE3472"/>
    <w:rsid w:val="00BE597C"/>
    <w:rsid w:val="00BE6870"/>
    <w:rsid w:val="00BE71FD"/>
    <w:rsid w:val="00BE7B19"/>
    <w:rsid w:val="00BF23A6"/>
    <w:rsid w:val="00BF3B3D"/>
    <w:rsid w:val="00BF473E"/>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57557"/>
    <w:rsid w:val="00C6072B"/>
    <w:rsid w:val="00C6094D"/>
    <w:rsid w:val="00C62733"/>
    <w:rsid w:val="00C62FDC"/>
    <w:rsid w:val="00C63FDC"/>
    <w:rsid w:val="00C67BC7"/>
    <w:rsid w:val="00C724F5"/>
    <w:rsid w:val="00C72889"/>
    <w:rsid w:val="00C73066"/>
    <w:rsid w:val="00C743D2"/>
    <w:rsid w:val="00C77A1F"/>
    <w:rsid w:val="00C80647"/>
    <w:rsid w:val="00C80836"/>
    <w:rsid w:val="00C84DDE"/>
    <w:rsid w:val="00C84E33"/>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D6732"/>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868"/>
    <w:rsid w:val="00D56338"/>
    <w:rsid w:val="00D565F8"/>
    <w:rsid w:val="00D56ABB"/>
    <w:rsid w:val="00D571B1"/>
    <w:rsid w:val="00D57944"/>
    <w:rsid w:val="00D57EFC"/>
    <w:rsid w:val="00D602E0"/>
    <w:rsid w:val="00D61FB7"/>
    <w:rsid w:val="00D63EFF"/>
    <w:rsid w:val="00D64096"/>
    <w:rsid w:val="00D644BD"/>
    <w:rsid w:val="00D65500"/>
    <w:rsid w:val="00D65F8F"/>
    <w:rsid w:val="00D664A9"/>
    <w:rsid w:val="00D66520"/>
    <w:rsid w:val="00D66C5B"/>
    <w:rsid w:val="00D671E2"/>
    <w:rsid w:val="00D67E0A"/>
    <w:rsid w:val="00D712E9"/>
    <w:rsid w:val="00D7566A"/>
    <w:rsid w:val="00D80C5F"/>
    <w:rsid w:val="00D85008"/>
    <w:rsid w:val="00D87426"/>
    <w:rsid w:val="00D8754D"/>
    <w:rsid w:val="00D9116E"/>
    <w:rsid w:val="00D92717"/>
    <w:rsid w:val="00D93E05"/>
    <w:rsid w:val="00D9515D"/>
    <w:rsid w:val="00DA281E"/>
    <w:rsid w:val="00DA3A08"/>
    <w:rsid w:val="00DA4715"/>
    <w:rsid w:val="00DA62DF"/>
    <w:rsid w:val="00DA7439"/>
    <w:rsid w:val="00DB0DA9"/>
    <w:rsid w:val="00DB108A"/>
    <w:rsid w:val="00DC1776"/>
    <w:rsid w:val="00DC33A5"/>
    <w:rsid w:val="00DC4340"/>
    <w:rsid w:val="00DC602A"/>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4CD6"/>
    <w:rsid w:val="00E15743"/>
    <w:rsid w:val="00E17001"/>
    <w:rsid w:val="00E17406"/>
    <w:rsid w:val="00E20AE5"/>
    <w:rsid w:val="00E20F00"/>
    <w:rsid w:val="00E21297"/>
    <w:rsid w:val="00E23A38"/>
    <w:rsid w:val="00E23B6B"/>
    <w:rsid w:val="00E24721"/>
    <w:rsid w:val="00E25139"/>
    <w:rsid w:val="00E25E84"/>
    <w:rsid w:val="00E265A0"/>
    <w:rsid w:val="00E266DE"/>
    <w:rsid w:val="00E311F5"/>
    <w:rsid w:val="00E34BF8"/>
    <w:rsid w:val="00E35B1E"/>
    <w:rsid w:val="00E4250F"/>
    <w:rsid w:val="00E44A7E"/>
    <w:rsid w:val="00E46A7E"/>
    <w:rsid w:val="00E46CE8"/>
    <w:rsid w:val="00E50294"/>
    <w:rsid w:val="00E51559"/>
    <w:rsid w:val="00E548DB"/>
    <w:rsid w:val="00E552BD"/>
    <w:rsid w:val="00E55649"/>
    <w:rsid w:val="00E56A50"/>
    <w:rsid w:val="00E5798A"/>
    <w:rsid w:val="00E57A3E"/>
    <w:rsid w:val="00E628D9"/>
    <w:rsid w:val="00E62ED2"/>
    <w:rsid w:val="00E63ADA"/>
    <w:rsid w:val="00E640E0"/>
    <w:rsid w:val="00E645F6"/>
    <w:rsid w:val="00E64C5F"/>
    <w:rsid w:val="00E664F4"/>
    <w:rsid w:val="00E70355"/>
    <w:rsid w:val="00E71324"/>
    <w:rsid w:val="00E72855"/>
    <w:rsid w:val="00E72E5D"/>
    <w:rsid w:val="00E7377F"/>
    <w:rsid w:val="00E74710"/>
    <w:rsid w:val="00E74C1D"/>
    <w:rsid w:val="00E75ACC"/>
    <w:rsid w:val="00E81B2F"/>
    <w:rsid w:val="00E844ED"/>
    <w:rsid w:val="00E85810"/>
    <w:rsid w:val="00E85B0A"/>
    <w:rsid w:val="00E90558"/>
    <w:rsid w:val="00E909CD"/>
    <w:rsid w:val="00E917EF"/>
    <w:rsid w:val="00E92248"/>
    <w:rsid w:val="00E92BD1"/>
    <w:rsid w:val="00E935A1"/>
    <w:rsid w:val="00E93FB6"/>
    <w:rsid w:val="00E94BB6"/>
    <w:rsid w:val="00E95428"/>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23E4"/>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35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521"/>
    <w:rsid w:val="00FA7E00"/>
    <w:rsid w:val="00FB1780"/>
    <w:rsid w:val="00FB35C6"/>
    <w:rsid w:val="00FB4C5A"/>
    <w:rsid w:val="00FB5BFA"/>
    <w:rsid w:val="00FB6F79"/>
    <w:rsid w:val="00FC10F6"/>
    <w:rsid w:val="00FC2717"/>
    <w:rsid w:val="00FC33A2"/>
    <w:rsid w:val="00FC44B0"/>
    <w:rsid w:val="00FC7C25"/>
    <w:rsid w:val="00FD1C2E"/>
    <w:rsid w:val="00FD3574"/>
    <w:rsid w:val="00FD39B9"/>
    <w:rsid w:val="00FD602D"/>
    <w:rsid w:val="00FD60D2"/>
    <w:rsid w:val="00FD6A7D"/>
    <w:rsid w:val="00FD6FC9"/>
    <w:rsid w:val="00FE02C2"/>
    <w:rsid w:val="00FE2D34"/>
    <w:rsid w:val="00FF26F6"/>
    <w:rsid w:val="00FF35E2"/>
    <w:rsid w:val="00FF75ED"/>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A12DDB"/>
    <w:rPr>
      <w:color w:val="605E5C"/>
      <w:shd w:val="clear" w:color="auto" w:fill="E1DFDD"/>
    </w:rPr>
  </w:style>
  <w:style w:type="character" w:customStyle="1" w:styleId="CharChapNo">
    <w:name w:val="CharChapNo"/>
    <w:basedOn w:val="DefaultParagraphFont"/>
    <w:qFormat/>
    <w:rsid w:val="00FA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BELACIC, Diana</cp:lastModifiedBy>
  <cp:revision>8</cp:revision>
  <cp:lastPrinted>2024-01-22T02:02:00Z</cp:lastPrinted>
  <dcterms:created xsi:type="dcterms:W3CDTF">2024-01-23T00:37:00Z</dcterms:created>
  <dcterms:modified xsi:type="dcterms:W3CDTF">2024-01-30T01:14:00Z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