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EEF" w:rsidRDefault="00FD5DBE" w:rsidP="00F56587">
      <w:pPr>
        <w:pStyle w:val="LDAmendHeading"/>
        <w:ind w:left="0" w:firstLine="0"/>
        <w:jc w:val="center"/>
        <w:rPr>
          <w:rFonts w:ascii="Times New Roman" w:hAnsi="Times New Roman"/>
          <w:b w:val="0"/>
          <w:u w:val="single"/>
        </w:rPr>
      </w:pPr>
      <w:r w:rsidRPr="00F56587">
        <w:rPr>
          <w:rFonts w:ascii="Times New Roman" w:hAnsi="Times New Roman"/>
          <w:b w:val="0"/>
          <w:u w:val="single"/>
        </w:rPr>
        <w:t>Explanatory Statement</w:t>
      </w:r>
    </w:p>
    <w:p w:rsidR="00F56587" w:rsidRDefault="00F56587" w:rsidP="00F56587">
      <w:pPr>
        <w:pStyle w:val="LDBodytext"/>
        <w:jc w:val="center"/>
      </w:pPr>
      <w:bookmarkStart w:id="0" w:name="title"/>
    </w:p>
    <w:p w:rsidR="00F56587" w:rsidRPr="00F56587" w:rsidRDefault="00F56587" w:rsidP="00F56587">
      <w:pPr>
        <w:pStyle w:val="LDBodytext"/>
        <w:jc w:val="center"/>
      </w:pPr>
      <w:r w:rsidRPr="00F56587">
        <w:t>Issued by authority of the Minister for Emergency Management</w:t>
      </w:r>
    </w:p>
    <w:p w:rsidR="00F56587" w:rsidRPr="00F56587" w:rsidRDefault="00F56587" w:rsidP="00F56587">
      <w:pPr>
        <w:pStyle w:val="LDAmendHeading"/>
        <w:ind w:left="0" w:firstLine="0"/>
        <w:jc w:val="center"/>
        <w:rPr>
          <w:rFonts w:ascii="Times New Roman" w:hAnsi="Times New Roman"/>
          <w:b w:val="0"/>
        </w:rPr>
      </w:pPr>
      <w:r w:rsidRPr="00F56587">
        <w:rPr>
          <w:rFonts w:ascii="Times New Roman" w:hAnsi="Times New Roman"/>
          <w:b w:val="0"/>
          <w:i/>
        </w:rPr>
        <w:t>Social Security Act 1991</w:t>
      </w:r>
    </w:p>
    <w:p w:rsidR="00FD5DBE" w:rsidRPr="00F56587" w:rsidRDefault="00117314" w:rsidP="00F56587">
      <w:pPr>
        <w:pStyle w:val="LDAmendHeading"/>
        <w:ind w:left="0" w:firstLine="0"/>
        <w:jc w:val="center"/>
        <w:rPr>
          <w:rFonts w:ascii="Times New Roman" w:hAnsi="Times New Roman"/>
          <w:i/>
        </w:rPr>
      </w:pPr>
      <w:r w:rsidRPr="00F56587">
        <w:rPr>
          <w:rFonts w:ascii="Times New Roman" w:hAnsi="Times New Roman"/>
          <w:i/>
        </w:rPr>
        <w:t>Social Security (Australian Government Disaster Recovery Payment—</w:t>
      </w:r>
      <w:r w:rsidR="00647DAB" w:rsidRPr="00F56587">
        <w:rPr>
          <w:rFonts w:ascii="Times New Roman" w:hAnsi="Times New Roman"/>
          <w:i/>
        </w:rPr>
        <w:t>South East Queensland Severe Storms and Flooding– December 2023 to January 2024</w:t>
      </w:r>
      <w:r w:rsidRPr="00F56587">
        <w:rPr>
          <w:rFonts w:ascii="Times New Roman" w:hAnsi="Times New Roman"/>
          <w:i/>
        </w:rPr>
        <w:t>)</w:t>
      </w:r>
      <w:r w:rsidR="00D57FE9" w:rsidRPr="00F56587">
        <w:rPr>
          <w:rFonts w:ascii="Times New Roman" w:hAnsi="Times New Roman"/>
          <w:i/>
        </w:rPr>
        <w:t xml:space="preserve"> (LIN</w:t>
      </w:r>
      <w:r w:rsidR="001E0C29">
        <w:rPr>
          <w:rFonts w:ascii="Times New Roman" w:hAnsi="Times New Roman"/>
          <w:i/>
        </w:rPr>
        <w:t> </w:t>
      </w:r>
      <w:r w:rsidR="00D57FE9" w:rsidRPr="00F56587">
        <w:rPr>
          <w:rFonts w:ascii="Times New Roman" w:hAnsi="Times New Roman"/>
          <w:i/>
        </w:rPr>
        <w:t>24/</w:t>
      </w:r>
      <w:r w:rsidR="008B254E" w:rsidRPr="00F56587">
        <w:rPr>
          <w:rFonts w:ascii="Times New Roman" w:hAnsi="Times New Roman"/>
          <w:i/>
        </w:rPr>
        <w:t>019</w:t>
      </w:r>
      <w:r w:rsidR="00D57FE9" w:rsidRPr="00F56587">
        <w:rPr>
          <w:rFonts w:ascii="Times New Roman" w:hAnsi="Times New Roman"/>
          <w:i/>
        </w:rPr>
        <w:t>)</w:t>
      </w:r>
      <w:r w:rsidRPr="00F56587">
        <w:rPr>
          <w:rFonts w:ascii="Times New Roman" w:hAnsi="Times New Roman"/>
          <w:i/>
        </w:rPr>
        <w:t xml:space="preserve"> Determination 202</w:t>
      </w:r>
      <w:r w:rsidR="00647DAB" w:rsidRPr="00F56587">
        <w:rPr>
          <w:rFonts w:ascii="Times New Roman" w:hAnsi="Times New Roman"/>
          <w:i/>
        </w:rPr>
        <w:t>4</w:t>
      </w:r>
      <w:r w:rsidRPr="00F56587">
        <w:rPr>
          <w:rFonts w:ascii="Times New Roman" w:hAnsi="Times New Roman"/>
          <w:i/>
        </w:rPr>
        <w:t xml:space="preserve"> (No. </w:t>
      </w:r>
      <w:r w:rsidR="008B254E" w:rsidRPr="00F56587">
        <w:rPr>
          <w:rFonts w:ascii="Times New Roman" w:hAnsi="Times New Roman"/>
          <w:i/>
        </w:rPr>
        <w:t>3</w:t>
      </w:r>
      <w:r w:rsidRPr="00F56587">
        <w:rPr>
          <w:rFonts w:ascii="Times New Roman" w:hAnsi="Times New Roman"/>
          <w:i/>
        </w:rPr>
        <w:t>)</w:t>
      </w:r>
      <w:bookmarkEnd w:id="0"/>
    </w:p>
    <w:p w:rsidR="00B11FF4" w:rsidRPr="00F56587" w:rsidRDefault="00B11FF4" w:rsidP="00117314">
      <w:pPr>
        <w:pStyle w:val="LDBodytext"/>
      </w:pPr>
    </w:p>
    <w:p w:rsidR="00117314" w:rsidRPr="00F56587" w:rsidRDefault="00117314" w:rsidP="00117314">
      <w:pPr>
        <w:pStyle w:val="LDMinuteParagraph"/>
        <w:tabs>
          <w:tab w:val="clear" w:pos="360"/>
          <w:tab w:val="left" w:pos="709"/>
        </w:tabs>
        <w:rPr>
          <w:szCs w:val="24"/>
        </w:rPr>
      </w:pPr>
      <w:r w:rsidRPr="00F56587">
        <w:rPr>
          <w:szCs w:val="24"/>
        </w:rPr>
        <w:t xml:space="preserve">The Australian Government Disaster Recovery Payment (the </w:t>
      </w:r>
      <w:r w:rsidRPr="00F56587">
        <w:rPr>
          <w:b/>
          <w:i/>
          <w:szCs w:val="24"/>
        </w:rPr>
        <w:t>AGDRP</w:t>
      </w:r>
      <w:r w:rsidRPr="00F56587">
        <w:rPr>
          <w:szCs w:val="24"/>
        </w:rPr>
        <w:t>) provides an immediate, one-off payment to a person adversely affected by a major disaster.</w:t>
      </w:r>
    </w:p>
    <w:p w:rsidR="00117314" w:rsidRPr="00F56587" w:rsidRDefault="00117314" w:rsidP="00117314">
      <w:pPr>
        <w:pStyle w:val="LDMinuteParagraph"/>
        <w:tabs>
          <w:tab w:val="clear" w:pos="360"/>
          <w:tab w:val="left" w:pos="709"/>
        </w:tabs>
        <w:rPr>
          <w:szCs w:val="24"/>
        </w:rPr>
      </w:pPr>
      <w:r w:rsidRPr="00F56587">
        <w:rPr>
          <w:szCs w:val="24"/>
        </w:rPr>
        <w:t xml:space="preserve">Section 1061K of the </w:t>
      </w:r>
      <w:r w:rsidRPr="00F56587">
        <w:rPr>
          <w:i/>
          <w:szCs w:val="24"/>
        </w:rPr>
        <w:t>Social Security Act 1991</w:t>
      </w:r>
      <w:r w:rsidRPr="00F56587">
        <w:rPr>
          <w:szCs w:val="24"/>
        </w:rPr>
        <w:t xml:space="preserve"> (the </w:t>
      </w:r>
      <w:r w:rsidRPr="00F56587">
        <w:rPr>
          <w:b/>
          <w:i/>
          <w:szCs w:val="24"/>
        </w:rPr>
        <w:t>Act</w:t>
      </w:r>
      <w:r w:rsidRPr="00F56587">
        <w:rPr>
          <w:szCs w:val="24"/>
        </w:rPr>
        <w:t>) specifies the qualification criteria for the AGDRP. One of the qualification cr</w:t>
      </w:r>
      <w:r w:rsidR="00B11FF4" w:rsidRPr="00F56587">
        <w:rPr>
          <w:szCs w:val="24"/>
        </w:rPr>
        <w:t>iteria requires a person to be ‘</w:t>
      </w:r>
      <w:r w:rsidRPr="00F56587">
        <w:rPr>
          <w:szCs w:val="24"/>
        </w:rPr>
        <w:t>adversely affected by a major disaster</w:t>
      </w:r>
      <w:r w:rsidR="002C466E" w:rsidRPr="00F56587">
        <w:rPr>
          <w:szCs w:val="24"/>
        </w:rPr>
        <w:t>’</w:t>
      </w:r>
      <w:r w:rsidRPr="00F56587">
        <w:rPr>
          <w:szCs w:val="24"/>
        </w:rPr>
        <w:t>.</w:t>
      </w:r>
    </w:p>
    <w:p w:rsidR="00117314" w:rsidRPr="00F56587" w:rsidRDefault="00117314" w:rsidP="00117314">
      <w:pPr>
        <w:pStyle w:val="LDMinuteParagraph"/>
        <w:tabs>
          <w:tab w:val="clear" w:pos="360"/>
          <w:tab w:val="left" w:pos="709"/>
        </w:tabs>
        <w:rPr>
          <w:szCs w:val="24"/>
        </w:rPr>
      </w:pPr>
      <w:r w:rsidRPr="00F56587">
        <w:rPr>
          <w:szCs w:val="24"/>
        </w:rPr>
        <w:t xml:space="preserve">Subsection </w:t>
      </w:r>
      <w:proofErr w:type="gramStart"/>
      <w:r w:rsidRPr="00F56587">
        <w:rPr>
          <w:szCs w:val="24"/>
        </w:rPr>
        <w:t>1061L(</w:t>
      </w:r>
      <w:proofErr w:type="gramEnd"/>
      <w:r w:rsidRPr="00F56587">
        <w:rPr>
          <w:szCs w:val="24"/>
        </w:rPr>
        <w:t xml:space="preserve">1) of the Act provides that, for the Act, a person is adversely affected by a major disaster if the person is affected by the </w:t>
      </w:r>
      <w:r w:rsidR="009D61F3" w:rsidRPr="00F56587">
        <w:rPr>
          <w:szCs w:val="24"/>
        </w:rPr>
        <w:t xml:space="preserve">major </w:t>
      </w:r>
      <w:r w:rsidRPr="00F56587">
        <w:rPr>
          <w:szCs w:val="24"/>
        </w:rPr>
        <w:t>disaster in a way determined by the Minister.</w:t>
      </w:r>
    </w:p>
    <w:p w:rsidR="00117314" w:rsidRPr="00F56587" w:rsidRDefault="00117314" w:rsidP="00117314">
      <w:pPr>
        <w:pStyle w:val="LDMinuteParagraph"/>
        <w:tabs>
          <w:tab w:val="clear" w:pos="360"/>
          <w:tab w:val="left" w:pos="709"/>
        </w:tabs>
        <w:rPr>
          <w:szCs w:val="24"/>
        </w:rPr>
      </w:pPr>
      <w:r w:rsidRPr="00F56587">
        <w:rPr>
          <w:szCs w:val="24"/>
        </w:rPr>
        <w:t xml:space="preserve">Subsection 1061L(2) of the Act provides that the Minister may determine in writing, </w:t>
      </w:r>
      <w:r w:rsidR="00B11FF4" w:rsidRPr="00F56587">
        <w:rPr>
          <w:szCs w:val="24"/>
        </w:rPr>
        <w:t>for</w:t>
      </w:r>
      <w:r w:rsidRPr="00F56587">
        <w:rPr>
          <w:szCs w:val="24"/>
        </w:rPr>
        <w:t xml:space="preserve"> a major disaster, the circumstances in which persons are to be taken to be adversely affected by the </w:t>
      </w:r>
      <w:r w:rsidR="009D61F3" w:rsidRPr="00F56587">
        <w:rPr>
          <w:szCs w:val="24"/>
        </w:rPr>
        <w:t xml:space="preserve">major </w:t>
      </w:r>
      <w:r w:rsidRPr="00F56587">
        <w:rPr>
          <w:szCs w:val="24"/>
        </w:rPr>
        <w:t>disaster.</w:t>
      </w:r>
    </w:p>
    <w:p w:rsidR="00117314" w:rsidRPr="00F56587" w:rsidRDefault="00117314" w:rsidP="00117314">
      <w:pPr>
        <w:pStyle w:val="LDMinuteParagraph"/>
        <w:tabs>
          <w:tab w:val="clear" w:pos="360"/>
          <w:tab w:val="left" w:pos="709"/>
        </w:tabs>
        <w:rPr>
          <w:szCs w:val="24"/>
        </w:rPr>
      </w:pPr>
      <w:r w:rsidRPr="00F56587">
        <w:rPr>
          <w:szCs w:val="24"/>
        </w:rPr>
        <w:t>Subsection 36(1) of the Act empowers the Minister to determine</w:t>
      </w:r>
      <w:r w:rsidR="00B11FF4" w:rsidRPr="00F56587">
        <w:rPr>
          <w:szCs w:val="24"/>
        </w:rPr>
        <w:t xml:space="preserve"> in writing that an event is a major disaster</w:t>
      </w:r>
      <w:r w:rsidRPr="00F56587">
        <w:rPr>
          <w:szCs w:val="24"/>
        </w:rPr>
        <w:t xml:space="preserve"> if the Minister is satisfied that an event is a disaster that has such a significant impact on individuals that a government response is required, or the event is an emergency to which a national emergency declaration relates. </w:t>
      </w:r>
    </w:p>
    <w:p w:rsidR="00647DAB" w:rsidRPr="00F56587" w:rsidRDefault="00B11FF4" w:rsidP="00B11FF4">
      <w:pPr>
        <w:pStyle w:val="LDMinuteParagraph"/>
        <w:tabs>
          <w:tab w:val="clear" w:pos="360"/>
          <w:tab w:val="left" w:pos="709"/>
        </w:tabs>
        <w:rPr>
          <w:szCs w:val="24"/>
        </w:rPr>
      </w:pPr>
      <w:r w:rsidRPr="00F56587">
        <w:rPr>
          <w:szCs w:val="24"/>
        </w:rPr>
        <w:t xml:space="preserve">The Minister has made a determination under subsection 36(1) of the Act that applies only to the </w:t>
      </w:r>
      <w:r w:rsidR="00647DAB" w:rsidRPr="00F56587">
        <w:rPr>
          <w:szCs w:val="24"/>
        </w:rPr>
        <w:t>severe storms and flooding</w:t>
      </w:r>
      <w:r w:rsidRPr="00F56587">
        <w:rPr>
          <w:szCs w:val="24"/>
        </w:rPr>
        <w:t xml:space="preserve"> </w:t>
      </w:r>
      <w:r w:rsidR="00A62EF5" w:rsidRPr="00F56587">
        <w:rPr>
          <w:szCs w:val="24"/>
        </w:rPr>
        <w:t>which</w:t>
      </w:r>
      <w:r w:rsidRPr="00F56587">
        <w:rPr>
          <w:szCs w:val="24"/>
        </w:rPr>
        <w:t xml:space="preserve"> commenced on </w:t>
      </w:r>
      <w:r w:rsidR="00647DAB" w:rsidRPr="00F56587">
        <w:rPr>
          <w:szCs w:val="24"/>
        </w:rPr>
        <w:t>24 December 2023</w:t>
      </w:r>
      <w:r w:rsidRPr="00F56587">
        <w:rPr>
          <w:szCs w:val="24"/>
        </w:rPr>
        <w:t xml:space="preserve"> in </w:t>
      </w:r>
      <w:r w:rsidR="00647DAB" w:rsidRPr="00F56587">
        <w:rPr>
          <w:szCs w:val="24"/>
        </w:rPr>
        <w:t>Queensland</w:t>
      </w:r>
      <w:r w:rsidR="00A62EF5" w:rsidRPr="00F56587">
        <w:rPr>
          <w:szCs w:val="24"/>
        </w:rPr>
        <w:t>, and which are</w:t>
      </w:r>
      <w:r w:rsidRPr="00F56587">
        <w:rPr>
          <w:szCs w:val="24"/>
        </w:rPr>
        <w:t xml:space="preserve"> affecting </w:t>
      </w:r>
      <w:r w:rsidR="00005B89" w:rsidRPr="00F56587">
        <w:rPr>
          <w:szCs w:val="24"/>
        </w:rPr>
        <w:t>a number of</w:t>
      </w:r>
      <w:r w:rsidRPr="00F56587">
        <w:rPr>
          <w:szCs w:val="24"/>
        </w:rPr>
        <w:t xml:space="preserve"> </w:t>
      </w:r>
      <w:r w:rsidR="00647DAB" w:rsidRPr="00F56587">
        <w:rPr>
          <w:szCs w:val="24"/>
        </w:rPr>
        <w:t>suburbs</w:t>
      </w:r>
      <w:r w:rsidR="00005B89" w:rsidRPr="00F56587">
        <w:rPr>
          <w:szCs w:val="24"/>
        </w:rPr>
        <w:t xml:space="preserve"> withi</w:t>
      </w:r>
      <w:r w:rsidR="00CB1CC9" w:rsidRPr="00F56587">
        <w:rPr>
          <w:szCs w:val="24"/>
        </w:rPr>
        <w:t>n three local government areas</w:t>
      </w:r>
      <w:r w:rsidR="00005B89" w:rsidRPr="00F56587">
        <w:rPr>
          <w:szCs w:val="24"/>
        </w:rPr>
        <w:t>.  These</w:t>
      </w:r>
      <w:r w:rsidR="00BE2F58" w:rsidRPr="00F56587">
        <w:rPr>
          <w:szCs w:val="24"/>
        </w:rPr>
        <w:t xml:space="preserve"> suburbs</w:t>
      </w:r>
      <w:r w:rsidR="00005B89" w:rsidRPr="00F56587">
        <w:rPr>
          <w:szCs w:val="24"/>
        </w:rPr>
        <w:t xml:space="preserve"> are</w:t>
      </w:r>
      <w:r w:rsidR="00647DAB" w:rsidRPr="00F56587">
        <w:rPr>
          <w:szCs w:val="24"/>
        </w:rPr>
        <w:t xml:space="preserve"> </w:t>
      </w:r>
      <w:r w:rsidR="00005B89" w:rsidRPr="00F56587">
        <w:rPr>
          <w:szCs w:val="24"/>
        </w:rPr>
        <w:t>specified</w:t>
      </w:r>
      <w:r w:rsidR="00647DAB" w:rsidRPr="00F56587">
        <w:rPr>
          <w:szCs w:val="24"/>
        </w:rPr>
        <w:t xml:space="preserve"> in the table below.</w:t>
      </w:r>
    </w:p>
    <w:tbl>
      <w:tblPr>
        <w:tblStyle w:val="TableGrid"/>
        <w:tblW w:w="798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149"/>
      </w:tblGrid>
      <w:tr w:rsidR="00CC3928" w:rsidRPr="00F56587" w:rsidTr="00CC3928"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CC3928" w:rsidRPr="00F56587" w:rsidRDefault="00CC3928" w:rsidP="00DA03FD">
            <w:pPr>
              <w:pStyle w:val="LDTableheading"/>
            </w:pPr>
            <w:r w:rsidRPr="00F56587">
              <w:t>Local Government Area</w:t>
            </w:r>
          </w:p>
        </w:tc>
        <w:tc>
          <w:tcPr>
            <w:tcW w:w="5149" w:type="dxa"/>
            <w:tcBorders>
              <w:top w:val="nil"/>
              <w:bottom w:val="single" w:sz="4" w:space="0" w:color="auto"/>
            </w:tcBorders>
          </w:tcPr>
          <w:p w:rsidR="00CC3928" w:rsidRPr="00F56587" w:rsidRDefault="00CC3928" w:rsidP="00DA03FD">
            <w:pPr>
              <w:pStyle w:val="LDTableheading"/>
            </w:pPr>
            <w:r w:rsidRPr="00F56587">
              <w:t>Suburb</w:t>
            </w:r>
          </w:p>
        </w:tc>
      </w:tr>
      <w:tr w:rsidR="006B6C98" w:rsidRPr="00F56587" w:rsidTr="00CC3928">
        <w:tc>
          <w:tcPr>
            <w:tcW w:w="2835" w:type="dxa"/>
            <w:tcBorders>
              <w:top w:val="single" w:sz="4" w:space="0" w:color="auto"/>
            </w:tcBorders>
          </w:tcPr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City of Gold Coast</w:t>
            </w:r>
          </w:p>
        </w:tc>
        <w:tc>
          <w:tcPr>
            <w:tcW w:w="5149" w:type="dxa"/>
            <w:vMerge w:val="restart"/>
            <w:tcBorders>
              <w:top w:val="single" w:sz="4" w:space="0" w:color="auto"/>
            </w:tcBorders>
          </w:tcPr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Arundel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Ashmore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Biggera</w:t>
            </w:r>
            <w:proofErr w:type="spellEnd"/>
            <w:r w:rsidRPr="00F56587">
              <w:rPr>
                <w:rFonts w:ascii="Times New Roman" w:hAnsi="Times New Roman" w:cs="Times New Roman"/>
                <w:sz w:val="24"/>
                <w:szCs w:val="24"/>
              </w:rPr>
              <w:t xml:space="preserve"> Waters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Bonogin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Burleigh Heads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Burleigh Waters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Carrara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Clagiraba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Coombabah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Coomera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Currumbin Waters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Elanora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Gaven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Gilston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Guanaba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Helensvale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Hollywell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Hope Island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Kingsholme</w:t>
            </w:r>
          </w:p>
          <w:p w:rsidR="006B6C98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Labrador</w:t>
            </w:r>
          </w:p>
          <w:p w:rsidR="005008BD" w:rsidRDefault="005008BD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Lower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Beechmont</w:t>
            </w:r>
            <w:proofErr w:type="spellEnd"/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Maudsland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Merrimac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Mount Nathan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Mudgeeraba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Nerang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Ormeau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Oxenford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Pacific Pines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Palm Beach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Paradise Point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Parkwood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Pimpama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Reedy Creek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Robina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Runaway Bay</w:t>
            </w:r>
          </w:p>
          <w:p w:rsidR="005008BD" w:rsidRDefault="005008BD" w:rsidP="005008BD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Southport</w:t>
            </w:r>
            <w:r w:rsidRPr="00500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08BD" w:rsidRPr="005008BD" w:rsidRDefault="005008BD" w:rsidP="005008BD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5008BD">
              <w:rPr>
                <w:rFonts w:ascii="Times New Roman" w:hAnsi="Times New Roman" w:cs="Times New Roman"/>
                <w:sz w:val="24"/>
                <w:szCs w:val="24"/>
              </w:rPr>
              <w:t>Springbrook</w:t>
            </w:r>
          </w:p>
          <w:p w:rsidR="006B6C98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Tallai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Tallebudgera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Tug</w:t>
            </w:r>
            <w:r w:rsidR="009F0746" w:rsidRPr="00F5658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Upper Coomera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Varsity Lakes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5008BD">
              <w:rPr>
                <w:rFonts w:ascii="Times New Roman" w:hAnsi="Times New Roman" w:cs="Times New Roman"/>
                <w:sz w:val="24"/>
                <w:szCs w:val="24"/>
              </w:rPr>
              <w:t>Willow</w:t>
            </w:r>
            <w:r w:rsidR="005008BD" w:rsidRPr="00500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08BD">
              <w:rPr>
                <w:rFonts w:ascii="Times New Roman" w:hAnsi="Times New Roman" w:cs="Times New Roman"/>
                <w:sz w:val="24"/>
                <w:szCs w:val="24"/>
              </w:rPr>
              <w:t>Vale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Wongawallan</w:t>
            </w:r>
            <w:proofErr w:type="spellEnd"/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Worongary</w:t>
            </w:r>
          </w:p>
        </w:tc>
      </w:tr>
      <w:tr w:rsidR="006B6C98" w:rsidRPr="00F56587" w:rsidTr="00CC3928">
        <w:tc>
          <w:tcPr>
            <w:tcW w:w="2835" w:type="dxa"/>
          </w:tcPr>
          <w:p w:rsidR="006B6C98" w:rsidRPr="00F56587" w:rsidRDefault="006B6C98" w:rsidP="006B6C98">
            <w:pPr>
              <w:pStyle w:val="LDTabletext"/>
            </w:pPr>
          </w:p>
        </w:tc>
        <w:tc>
          <w:tcPr>
            <w:tcW w:w="5149" w:type="dxa"/>
            <w:vMerge/>
          </w:tcPr>
          <w:p w:rsidR="006B6C98" w:rsidRPr="00F56587" w:rsidRDefault="006B6C98" w:rsidP="006B6C98">
            <w:pPr>
              <w:pStyle w:val="LDTabletext"/>
            </w:pPr>
          </w:p>
        </w:tc>
      </w:tr>
      <w:tr w:rsidR="006B6C98" w:rsidRPr="00F56587" w:rsidTr="00CC3928">
        <w:tc>
          <w:tcPr>
            <w:tcW w:w="2835" w:type="dxa"/>
          </w:tcPr>
          <w:p w:rsidR="006B6C98" w:rsidRPr="00F56587" w:rsidRDefault="006B6C98" w:rsidP="006B6C98">
            <w:pPr>
              <w:pStyle w:val="LDTabletext"/>
            </w:pPr>
          </w:p>
        </w:tc>
        <w:tc>
          <w:tcPr>
            <w:tcW w:w="5149" w:type="dxa"/>
            <w:vMerge/>
          </w:tcPr>
          <w:p w:rsidR="006B6C98" w:rsidRPr="00F56587" w:rsidRDefault="006B6C98" w:rsidP="006B6C98">
            <w:pPr>
              <w:pStyle w:val="LDTabletext"/>
            </w:pPr>
          </w:p>
        </w:tc>
      </w:tr>
      <w:tr w:rsidR="006B6C98" w:rsidRPr="00F56587" w:rsidTr="00CC3928">
        <w:tc>
          <w:tcPr>
            <w:tcW w:w="2835" w:type="dxa"/>
          </w:tcPr>
          <w:p w:rsidR="006B6C98" w:rsidRPr="00F56587" w:rsidRDefault="006B6C98" w:rsidP="006B6C98">
            <w:pPr>
              <w:pStyle w:val="LDTabletext"/>
            </w:pPr>
          </w:p>
        </w:tc>
        <w:tc>
          <w:tcPr>
            <w:tcW w:w="5149" w:type="dxa"/>
            <w:vMerge/>
          </w:tcPr>
          <w:p w:rsidR="006B6C98" w:rsidRPr="00F56587" w:rsidRDefault="006B6C98" w:rsidP="006B6C98">
            <w:pPr>
              <w:pStyle w:val="LDTabletext"/>
            </w:pPr>
          </w:p>
        </w:tc>
      </w:tr>
      <w:tr w:rsidR="006B6C98" w:rsidRPr="00F56587" w:rsidTr="00CC3928">
        <w:tc>
          <w:tcPr>
            <w:tcW w:w="2835" w:type="dxa"/>
          </w:tcPr>
          <w:p w:rsidR="006B6C98" w:rsidRPr="00F56587" w:rsidRDefault="006B6C98" w:rsidP="006B6C98">
            <w:pPr>
              <w:pStyle w:val="LDTabletext"/>
            </w:pPr>
          </w:p>
        </w:tc>
        <w:tc>
          <w:tcPr>
            <w:tcW w:w="5149" w:type="dxa"/>
            <w:vMerge/>
          </w:tcPr>
          <w:p w:rsidR="006B6C98" w:rsidRPr="00F56587" w:rsidRDefault="006B6C98" w:rsidP="006B6C98">
            <w:pPr>
              <w:pStyle w:val="LDTabletext"/>
            </w:pPr>
          </w:p>
        </w:tc>
      </w:tr>
      <w:tr w:rsidR="006B6C98" w:rsidRPr="00F56587" w:rsidTr="00CC3928">
        <w:tc>
          <w:tcPr>
            <w:tcW w:w="2835" w:type="dxa"/>
          </w:tcPr>
          <w:p w:rsidR="006B6C98" w:rsidRPr="00F56587" w:rsidRDefault="006B6C98" w:rsidP="006B6C98">
            <w:pPr>
              <w:pStyle w:val="LDTabletext"/>
            </w:pPr>
          </w:p>
        </w:tc>
        <w:tc>
          <w:tcPr>
            <w:tcW w:w="5149" w:type="dxa"/>
            <w:vMerge/>
          </w:tcPr>
          <w:p w:rsidR="006B6C98" w:rsidRPr="00F56587" w:rsidRDefault="006B6C98" w:rsidP="006B6C98">
            <w:pPr>
              <w:pStyle w:val="LDTabletext"/>
            </w:pPr>
          </w:p>
        </w:tc>
      </w:tr>
      <w:tr w:rsidR="006B6C98" w:rsidRPr="00F56587" w:rsidTr="00CC3928">
        <w:tc>
          <w:tcPr>
            <w:tcW w:w="2835" w:type="dxa"/>
          </w:tcPr>
          <w:p w:rsidR="006B6C98" w:rsidRPr="00F56587" w:rsidRDefault="006B6C98" w:rsidP="006B6C98">
            <w:pPr>
              <w:pStyle w:val="LDTabletext"/>
            </w:pPr>
          </w:p>
        </w:tc>
        <w:tc>
          <w:tcPr>
            <w:tcW w:w="5149" w:type="dxa"/>
            <w:vMerge/>
          </w:tcPr>
          <w:p w:rsidR="006B6C98" w:rsidRPr="00F56587" w:rsidRDefault="006B6C98" w:rsidP="006B6C98">
            <w:pPr>
              <w:pStyle w:val="LDTabletext"/>
            </w:pPr>
          </w:p>
        </w:tc>
      </w:tr>
      <w:tr w:rsidR="006B6C98" w:rsidRPr="00F56587" w:rsidTr="00CC3928">
        <w:tc>
          <w:tcPr>
            <w:tcW w:w="2835" w:type="dxa"/>
          </w:tcPr>
          <w:p w:rsidR="006B6C98" w:rsidRPr="00F56587" w:rsidRDefault="006B6C98" w:rsidP="006B6C98">
            <w:pPr>
              <w:pStyle w:val="LDTabletext"/>
            </w:pPr>
          </w:p>
        </w:tc>
        <w:tc>
          <w:tcPr>
            <w:tcW w:w="5149" w:type="dxa"/>
            <w:vMerge/>
          </w:tcPr>
          <w:p w:rsidR="006B6C98" w:rsidRPr="00F56587" w:rsidRDefault="006B6C98" w:rsidP="006B6C98">
            <w:pPr>
              <w:pStyle w:val="LDTabletext"/>
            </w:pPr>
          </w:p>
        </w:tc>
      </w:tr>
      <w:tr w:rsidR="006B6C98" w:rsidRPr="00F56587" w:rsidTr="00CC3928">
        <w:tc>
          <w:tcPr>
            <w:tcW w:w="2835" w:type="dxa"/>
          </w:tcPr>
          <w:p w:rsidR="006B6C98" w:rsidRPr="00F56587" w:rsidRDefault="006B6C98" w:rsidP="006B6C98">
            <w:pPr>
              <w:pStyle w:val="LDTabletext"/>
            </w:pPr>
          </w:p>
        </w:tc>
        <w:tc>
          <w:tcPr>
            <w:tcW w:w="5149" w:type="dxa"/>
            <w:vMerge/>
          </w:tcPr>
          <w:p w:rsidR="006B6C98" w:rsidRPr="00F56587" w:rsidRDefault="006B6C98" w:rsidP="006B6C98">
            <w:pPr>
              <w:pStyle w:val="LDTabletext"/>
            </w:pPr>
          </w:p>
        </w:tc>
      </w:tr>
      <w:tr w:rsidR="006B6C98" w:rsidRPr="00F56587" w:rsidTr="00CC3928">
        <w:tc>
          <w:tcPr>
            <w:tcW w:w="2835" w:type="dxa"/>
            <w:tcBorders>
              <w:bottom w:val="single" w:sz="4" w:space="0" w:color="auto"/>
            </w:tcBorders>
          </w:tcPr>
          <w:p w:rsidR="006B6C98" w:rsidRPr="00F56587" w:rsidRDefault="006B6C98" w:rsidP="006B6C98">
            <w:pPr>
              <w:pStyle w:val="LDTabletext"/>
            </w:pPr>
          </w:p>
        </w:tc>
        <w:tc>
          <w:tcPr>
            <w:tcW w:w="5149" w:type="dxa"/>
            <w:vMerge/>
            <w:tcBorders>
              <w:bottom w:val="single" w:sz="4" w:space="0" w:color="auto"/>
            </w:tcBorders>
          </w:tcPr>
          <w:p w:rsidR="006B6C98" w:rsidRPr="00F56587" w:rsidRDefault="006B6C98" w:rsidP="006B6C98">
            <w:pPr>
              <w:pStyle w:val="LDTabletext"/>
            </w:pPr>
          </w:p>
        </w:tc>
      </w:tr>
      <w:tr w:rsidR="006B6C98" w:rsidRPr="00F56587" w:rsidTr="00CC3928">
        <w:tc>
          <w:tcPr>
            <w:tcW w:w="2835" w:type="dxa"/>
            <w:tcBorders>
              <w:top w:val="single" w:sz="4" w:space="0" w:color="auto"/>
            </w:tcBorders>
          </w:tcPr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City of Logan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9" w:type="dxa"/>
            <w:vMerge w:val="restart"/>
            <w:tcBorders>
              <w:top w:val="single" w:sz="4" w:space="0" w:color="auto"/>
            </w:tcBorders>
          </w:tcPr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Cedar Creek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Cedar Grove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Cedar Vale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Eagleby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Flagstone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Glenlogan</w:t>
            </w:r>
            <w:proofErr w:type="spellEnd"/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Jimboomba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Logan Village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Mundoolun</w:t>
            </w:r>
            <w:proofErr w:type="spellEnd"/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Riverbend</w:t>
            </w:r>
            <w:proofErr w:type="spellEnd"/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Tamborine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Veresdale</w:t>
            </w:r>
            <w:proofErr w:type="spellEnd"/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Woodhill</w:t>
            </w:r>
          </w:p>
        </w:tc>
      </w:tr>
      <w:tr w:rsidR="006B6C98" w:rsidRPr="00F56587" w:rsidTr="00CC3928">
        <w:tc>
          <w:tcPr>
            <w:tcW w:w="2835" w:type="dxa"/>
            <w:tcBorders>
              <w:bottom w:val="single" w:sz="4" w:space="0" w:color="auto"/>
            </w:tcBorders>
          </w:tcPr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9" w:type="dxa"/>
            <w:vMerge/>
            <w:tcBorders>
              <w:bottom w:val="single" w:sz="4" w:space="0" w:color="auto"/>
            </w:tcBorders>
          </w:tcPr>
          <w:p w:rsidR="006B6C98" w:rsidRPr="00F56587" w:rsidRDefault="006B6C98" w:rsidP="006B6C98">
            <w:pPr>
              <w:pStyle w:val="LDTabletext"/>
            </w:pPr>
          </w:p>
        </w:tc>
      </w:tr>
      <w:tr w:rsidR="006B6C98" w:rsidRPr="00F56587" w:rsidTr="00CC3928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Scenic Rim Region</w:t>
            </w:r>
          </w:p>
        </w:tc>
        <w:tc>
          <w:tcPr>
            <w:tcW w:w="5149" w:type="dxa"/>
            <w:tcBorders>
              <w:bottom w:val="single" w:sz="4" w:space="0" w:color="auto"/>
            </w:tcBorders>
          </w:tcPr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Beaudesert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Beechmont</w:t>
            </w:r>
            <w:proofErr w:type="spellEnd"/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Gleneagle</w:t>
            </w:r>
            <w:proofErr w:type="spellEnd"/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Tamborine</w:t>
            </w:r>
          </w:p>
          <w:p w:rsidR="005008BD" w:rsidRDefault="006B6C98" w:rsidP="005008BD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Tamborine Mountain</w:t>
            </w:r>
          </w:p>
          <w:p w:rsidR="005008BD" w:rsidRPr="00F56587" w:rsidRDefault="005008BD" w:rsidP="005008BD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8BD">
              <w:rPr>
                <w:rFonts w:ascii="Times New Roman" w:hAnsi="Times New Roman" w:cs="Times New Roman"/>
                <w:sz w:val="24"/>
                <w:szCs w:val="24"/>
              </w:rPr>
              <w:t>Veresdale</w:t>
            </w:r>
            <w:proofErr w:type="spellEnd"/>
            <w:r w:rsidRPr="00F56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11FF4" w:rsidRPr="00F56587" w:rsidRDefault="00B11FF4" w:rsidP="00A62EF5">
      <w:pPr>
        <w:pStyle w:val="LDMinuteParagraph"/>
        <w:numPr>
          <w:ilvl w:val="0"/>
          <w:numId w:val="0"/>
        </w:numPr>
        <w:tabs>
          <w:tab w:val="clear" w:pos="360"/>
          <w:tab w:val="left" w:pos="709"/>
        </w:tabs>
        <w:rPr>
          <w:szCs w:val="24"/>
        </w:rPr>
      </w:pPr>
    </w:p>
    <w:p w:rsidR="00B11FF4" w:rsidRPr="00F56587" w:rsidRDefault="00CC3928" w:rsidP="00342E2F">
      <w:pPr>
        <w:pStyle w:val="LDMinuteParagraph"/>
        <w:rPr>
          <w:szCs w:val="24"/>
        </w:rPr>
      </w:pPr>
      <w:r w:rsidRPr="00F56587">
        <w:rPr>
          <w:szCs w:val="24"/>
        </w:rPr>
        <w:tab/>
      </w:r>
      <w:r w:rsidR="00B11FF4" w:rsidRPr="00F56587">
        <w:rPr>
          <w:szCs w:val="24"/>
        </w:rPr>
        <w:t xml:space="preserve">The </w:t>
      </w:r>
      <w:r w:rsidR="00342E2F" w:rsidRPr="00F56587">
        <w:rPr>
          <w:i/>
          <w:szCs w:val="24"/>
        </w:rPr>
        <w:t>Social Security (Australian Government Disaster Recovery Payment—South East Queensland Severe Storms and Flooding– December 2023 to January 2024)</w:t>
      </w:r>
      <w:r w:rsidR="00321F62" w:rsidRPr="00F56587">
        <w:rPr>
          <w:i/>
          <w:szCs w:val="24"/>
        </w:rPr>
        <w:t xml:space="preserve"> (LIN 24/019</w:t>
      </w:r>
      <w:r w:rsidR="004700DD" w:rsidRPr="00F56587">
        <w:rPr>
          <w:i/>
          <w:szCs w:val="24"/>
        </w:rPr>
        <w:t>)</w:t>
      </w:r>
      <w:r w:rsidR="00342E2F" w:rsidRPr="00F56587">
        <w:rPr>
          <w:i/>
          <w:szCs w:val="24"/>
        </w:rPr>
        <w:t xml:space="preserve"> Determination 2024 (No. </w:t>
      </w:r>
      <w:r w:rsidR="00321F62" w:rsidRPr="00F56587">
        <w:rPr>
          <w:i/>
          <w:szCs w:val="24"/>
        </w:rPr>
        <w:t>3</w:t>
      </w:r>
      <w:r w:rsidR="00342E2F" w:rsidRPr="00F56587">
        <w:rPr>
          <w:i/>
          <w:szCs w:val="24"/>
        </w:rPr>
        <w:t xml:space="preserve">) </w:t>
      </w:r>
      <w:r w:rsidR="00B11FF4" w:rsidRPr="00F56587">
        <w:rPr>
          <w:szCs w:val="24"/>
        </w:rPr>
        <w:t xml:space="preserve">(the </w:t>
      </w:r>
      <w:r w:rsidR="00B11FF4" w:rsidRPr="00F56587">
        <w:rPr>
          <w:b/>
          <w:i/>
          <w:szCs w:val="24"/>
        </w:rPr>
        <w:t>Determination</w:t>
      </w:r>
      <w:r w:rsidR="00B11FF4" w:rsidRPr="00F56587">
        <w:rPr>
          <w:szCs w:val="24"/>
        </w:rPr>
        <w:t>)</w:t>
      </w:r>
      <w:r w:rsidR="00B11FF4" w:rsidRPr="00F56587">
        <w:rPr>
          <w:i/>
          <w:szCs w:val="24"/>
        </w:rPr>
        <w:t xml:space="preserve"> </w:t>
      </w:r>
      <w:r w:rsidR="00B11FF4" w:rsidRPr="00F56587">
        <w:rPr>
          <w:szCs w:val="24"/>
        </w:rPr>
        <w:t xml:space="preserve">sets out the circumstances in which a person is to be ‘adversely affected’ by the major disaster. </w:t>
      </w:r>
    </w:p>
    <w:p w:rsidR="00B11FF4" w:rsidRPr="00F56587" w:rsidRDefault="00B11FF4" w:rsidP="00B11FF4">
      <w:pPr>
        <w:pStyle w:val="LDMinuteParagraph"/>
        <w:tabs>
          <w:tab w:val="clear" w:pos="360"/>
          <w:tab w:val="left" w:pos="709"/>
        </w:tabs>
        <w:rPr>
          <w:szCs w:val="24"/>
        </w:rPr>
      </w:pPr>
      <w:r w:rsidRPr="00F56587">
        <w:rPr>
          <w:szCs w:val="24"/>
        </w:rPr>
        <w:lastRenderedPageBreak/>
        <w:t xml:space="preserve">Section 1 specifies the </w:t>
      </w:r>
      <w:r w:rsidR="00482A89" w:rsidRPr="00F56587">
        <w:rPr>
          <w:szCs w:val="24"/>
        </w:rPr>
        <w:t>name of the D</w:t>
      </w:r>
      <w:r w:rsidRPr="00F56587">
        <w:rPr>
          <w:szCs w:val="24"/>
        </w:rPr>
        <w:t xml:space="preserve">etermination. </w:t>
      </w:r>
    </w:p>
    <w:p w:rsidR="00B11FF4" w:rsidRPr="00F56587" w:rsidRDefault="00B11FF4" w:rsidP="00B11FF4">
      <w:pPr>
        <w:pStyle w:val="LDMinuteParagraph"/>
        <w:tabs>
          <w:tab w:val="clear" w:pos="360"/>
          <w:tab w:val="left" w:pos="709"/>
        </w:tabs>
        <w:rPr>
          <w:szCs w:val="24"/>
        </w:rPr>
      </w:pPr>
      <w:r w:rsidRPr="00F56587">
        <w:rPr>
          <w:szCs w:val="24"/>
        </w:rPr>
        <w:t xml:space="preserve">Section 2 provides that the Determination commences </w:t>
      </w:r>
      <w:r w:rsidR="009A6F6E" w:rsidRPr="00F56587">
        <w:rPr>
          <w:szCs w:val="24"/>
        </w:rPr>
        <w:t>immediately after it is signed</w:t>
      </w:r>
      <w:r w:rsidRPr="00F56587">
        <w:rPr>
          <w:szCs w:val="24"/>
        </w:rPr>
        <w:t xml:space="preserve">. For section 12 of the </w:t>
      </w:r>
      <w:r w:rsidRPr="00F56587">
        <w:rPr>
          <w:i/>
          <w:szCs w:val="24"/>
        </w:rPr>
        <w:t>Legislation Act 2003</w:t>
      </w:r>
      <w:r w:rsidRPr="00F56587">
        <w:rPr>
          <w:szCs w:val="24"/>
        </w:rPr>
        <w:t xml:space="preserve">, the Determination may commence before it is registered as it will not disadvantage any persons adversely affected by the </w:t>
      </w:r>
      <w:r w:rsidR="009D61F3" w:rsidRPr="00F56587">
        <w:rPr>
          <w:szCs w:val="24"/>
        </w:rPr>
        <w:t xml:space="preserve">major </w:t>
      </w:r>
      <w:r w:rsidRPr="00F56587">
        <w:rPr>
          <w:szCs w:val="24"/>
        </w:rPr>
        <w:t xml:space="preserve">disaster. </w:t>
      </w:r>
    </w:p>
    <w:p w:rsidR="00B11FF4" w:rsidRPr="00F56587" w:rsidRDefault="00B11FF4" w:rsidP="00B11FF4">
      <w:pPr>
        <w:pStyle w:val="LDMinuteParagraph"/>
        <w:tabs>
          <w:tab w:val="clear" w:pos="360"/>
          <w:tab w:val="left" w:pos="709"/>
        </w:tabs>
        <w:rPr>
          <w:szCs w:val="24"/>
        </w:rPr>
      </w:pPr>
      <w:r w:rsidRPr="00F56587">
        <w:rPr>
          <w:szCs w:val="24"/>
        </w:rPr>
        <w:t>Section 3 provides definitions relevant to the Determination</w:t>
      </w:r>
      <w:r w:rsidR="00482A89" w:rsidRPr="00F56587">
        <w:rPr>
          <w:szCs w:val="24"/>
        </w:rPr>
        <w:t xml:space="preserve">, including </w:t>
      </w:r>
      <w:r w:rsidR="00482A89" w:rsidRPr="00F56587">
        <w:rPr>
          <w:i/>
          <w:szCs w:val="24"/>
        </w:rPr>
        <w:t>destroyed</w:t>
      </w:r>
      <w:r w:rsidR="00482A89" w:rsidRPr="00F56587">
        <w:rPr>
          <w:szCs w:val="24"/>
        </w:rPr>
        <w:t xml:space="preserve">, </w:t>
      </w:r>
      <w:r w:rsidR="00482A89" w:rsidRPr="00F56587">
        <w:rPr>
          <w:i/>
          <w:szCs w:val="24"/>
        </w:rPr>
        <w:t>immediate family member</w:t>
      </w:r>
      <w:r w:rsidR="00482A89" w:rsidRPr="00F56587">
        <w:rPr>
          <w:szCs w:val="24"/>
        </w:rPr>
        <w:t xml:space="preserve">, </w:t>
      </w:r>
      <w:r w:rsidR="00482A89" w:rsidRPr="00F56587">
        <w:rPr>
          <w:i/>
          <w:szCs w:val="24"/>
        </w:rPr>
        <w:t>major asset or assets</w:t>
      </w:r>
      <w:r w:rsidR="00482A89" w:rsidRPr="00F56587">
        <w:rPr>
          <w:szCs w:val="24"/>
        </w:rPr>
        <w:t xml:space="preserve">, </w:t>
      </w:r>
      <w:r w:rsidR="00482A89" w:rsidRPr="00F56587">
        <w:rPr>
          <w:i/>
          <w:szCs w:val="24"/>
        </w:rPr>
        <w:t>major damage</w:t>
      </w:r>
      <w:r w:rsidR="00482A89" w:rsidRPr="00F56587">
        <w:rPr>
          <w:szCs w:val="24"/>
        </w:rPr>
        <w:t xml:space="preserve"> and </w:t>
      </w:r>
      <w:r w:rsidR="00482A89" w:rsidRPr="00F56587">
        <w:rPr>
          <w:i/>
          <w:szCs w:val="24"/>
        </w:rPr>
        <w:t xml:space="preserve">seriously injured </w:t>
      </w:r>
      <w:r w:rsidR="00482A89" w:rsidRPr="00F56587">
        <w:rPr>
          <w:szCs w:val="24"/>
        </w:rPr>
        <w:t>and</w:t>
      </w:r>
      <w:r w:rsidR="00482A89" w:rsidRPr="00F56587">
        <w:rPr>
          <w:i/>
          <w:szCs w:val="24"/>
        </w:rPr>
        <w:t xml:space="preserve"> principal place of residence</w:t>
      </w:r>
      <w:r w:rsidR="00482A89" w:rsidRPr="00F56587">
        <w:rPr>
          <w:szCs w:val="24"/>
        </w:rPr>
        <w:t>.</w:t>
      </w:r>
    </w:p>
    <w:p w:rsidR="00B11FF4" w:rsidRPr="00F56587" w:rsidRDefault="00B11FF4" w:rsidP="00B11FF4">
      <w:pPr>
        <w:pStyle w:val="LDMinuteParagraph"/>
        <w:tabs>
          <w:tab w:val="clear" w:pos="360"/>
          <w:tab w:val="left" w:pos="709"/>
        </w:tabs>
        <w:rPr>
          <w:szCs w:val="24"/>
        </w:rPr>
      </w:pPr>
      <w:r w:rsidRPr="00F56587">
        <w:rPr>
          <w:szCs w:val="24"/>
        </w:rPr>
        <w:t xml:space="preserve">Subsection 4(1) provides that the Determination applies to the major disaster being the </w:t>
      </w:r>
      <w:r w:rsidR="00342E2F" w:rsidRPr="00F56587">
        <w:rPr>
          <w:szCs w:val="24"/>
        </w:rPr>
        <w:t xml:space="preserve">severe storms and flooding </w:t>
      </w:r>
      <w:r w:rsidRPr="00F56587">
        <w:rPr>
          <w:szCs w:val="24"/>
        </w:rPr>
        <w:t xml:space="preserve">that commenced on </w:t>
      </w:r>
      <w:r w:rsidR="00342E2F" w:rsidRPr="00F56587">
        <w:rPr>
          <w:szCs w:val="24"/>
        </w:rPr>
        <w:t>24 December 2023, and c</w:t>
      </w:r>
      <w:r w:rsidR="00D66B5D" w:rsidRPr="00F56587">
        <w:rPr>
          <w:szCs w:val="24"/>
        </w:rPr>
        <w:t>ontinued</w:t>
      </w:r>
      <w:r w:rsidR="00342E2F" w:rsidRPr="00F56587">
        <w:rPr>
          <w:szCs w:val="24"/>
        </w:rPr>
        <w:t xml:space="preserve"> into January 2024</w:t>
      </w:r>
      <w:r w:rsidR="00976C6B" w:rsidRPr="00F56587">
        <w:rPr>
          <w:szCs w:val="24"/>
        </w:rPr>
        <w:t xml:space="preserve"> in Queensland</w:t>
      </w:r>
      <w:r w:rsidR="00342E2F" w:rsidRPr="00F56587">
        <w:rPr>
          <w:szCs w:val="24"/>
        </w:rPr>
        <w:t>,</w:t>
      </w:r>
      <w:r w:rsidR="00976C6B" w:rsidRPr="00F56587">
        <w:rPr>
          <w:szCs w:val="24"/>
        </w:rPr>
        <w:t xml:space="preserve"> </w:t>
      </w:r>
      <w:r w:rsidR="00D66B5D" w:rsidRPr="00F56587">
        <w:rPr>
          <w:szCs w:val="24"/>
        </w:rPr>
        <w:t>affecting</w:t>
      </w:r>
      <w:r w:rsidR="00976C6B" w:rsidRPr="00F56587">
        <w:rPr>
          <w:szCs w:val="24"/>
        </w:rPr>
        <w:t xml:space="preserve"> the suburbs </w:t>
      </w:r>
      <w:r w:rsidR="00A82BD3" w:rsidRPr="00F56587">
        <w:rPr>
          <w:szCs w:val="24"/>
        </w:rPr>
        <w:t xml:space="preserve">mentioned </w:t>
      </w:r>
      <w:r w:rsidR="00976C6B" w:rsidRPr="00F56587">
        <w:rPr>
          <w:szCs w:val="24"/>
        </w:rPr>
        <w:t>in the</w:t>
      </w:r>
      <w:r w:rsidR="00342E2F" w:rsidRPr="00F56587">
        <w:rPr>
          <w:szCs w:val="24"/>
        </w:rPr>
        <w:t xml:space="preserve"> </w:t>
      </w:r>
      <w:r w:rsidR="003B1ABF" w:rsidRPr="00F56587">
        <w:rPr>
          <w:szCs w:val="24"/>
        </w:rPr>
        <w:t>Schedule</w:t>
      </w:r>
      <w:r w:rsidR="00342E2F" w:rsidRPr="00F56587">
        <w:rPr>
          <w:szCs w:val="24"/>
        </w:rPr>
        <w:t>.</w:t>
      </w:r>
      <w:r w:rsidRPr="00F56587">
        <w:rPr>
          <w:szCs w:val="24"/>
        </w:rPr>
        <w:t xml:space="preserve"> </w:t>
      </w:r>
    </w:p>
    <w:p w:rsidR="00B11FF4" w:rsidRPr="00F56587" w:rsidRDefault="00B11FF4" w:rsidP="00B11FF4">
      <w:pPr>
        <w:pStyle w:val="LDMinuteParagraph"/>
        <w:tabs>
          <w:tab w:val="clear" w:pos="360"/>
          <w:tab w:val="left" w:pos="709"/>
        </w:tabs>
        <w:rPr>
          <w:szCs w:val="24"/>
        </w:rPr>
      </w:pPr>
      <w:r w:rsidRPr="00F56587">
        <w:rPr>
          <w:szCs w:val="24"/>
        </w:rPr>
        <w:t xml:space="preserve">Subsection 4(2) provides that the circumstances in which a person </w:t>
      </w:r>
      <w:r w:rsidR="00E836B7" w:rsidRPr="00F56587">
        <w:rPr>
          <w:szCs w:val="24"/>
        </w:rPr>
        <w:t>is</w:t>
      </w:r>
      <w:r w:rsidRPr="00F56587">
        <w:rPr>
          <w:szCs w:val="24"/>
        </w:rPr>
        <w:t xml:space="preserve"> taken to be adversely affected by the major disaster described in subsection 4(1) are </w:t>
      </w:r>
      <w:r w:rsidR="00E836B7" w:rsidRPr="00F56587">
        <w:rPr>
          <w:szCs w:val="24"/>
        </w:rPr>
        <w:t>if</w:t>
      </w:r>
      <w:r w:rsidRPr="00F56587">
        <w:rPr>
          <w:szCs w:val="24"/>
        </w:rPr>
        <w:t>:</w:t>
      </w:r>
    </w:p>
    <w:p w:rsidR="00B11FF4" w:rsidRPr="00F56587" w:rsidRDefault="00E836B7" w:rsidP="00E836B7">
      <w:pPr>
        <w:pStyle w:val="LDP1a"/>
      </w:pPr>
      <w:r w:rsidRPr="00F56587">
        <w:t>(a)</w:t>
      </w:r>
      <w:r w:rsidRPr="00F56587">
        <w:tab/>
      </w:r>
      <w:proofErr w:type="gramStart"/>
      <w:r w:rsidR="00B11FF4" w:rsidRPr="00F56587">
        <w:t>the</w:t>
      </w:r>
      <w:proofErr w:type="gramEnd"/>
      <w:r w:rsidR="00B11FF4" w:rsidRPr="00F56587">
        <w:t xml:space="preserve"> person is seriously injured as a direct re</w:t>
      </w:r>
      <w:r w:rsidR="00482A89" w:rsidRPr="00F56587">
        <w:t>sult of the</w:t>
      </w:r>
      <w:r w:rsidR="009D61F3" w:rsidRPr="00F56587">
        <w:t xml:space="preserve"> major</w:t>
      </w:r>
      <w:r w:rsidR="00482A89" w:rsidRPr="00F56587">
        <w:t xml:space="preserve"> disaster (paragraph </w:t>
      </w:r>
      <w:r w:rsidR="00B11FF4" w:rsidRPr="00F56587">
        <w:t xml:space="preserve">4(2)(a)); or </w:t>
      </w:r>
    </w:p>
    <w:p w:rsidR="00B11FF4" w:rsidRPr="00F56587" w:rsidRDefault="00E836B7" w:rsidP="00E836B7">
      <w:pPr>
        <w:pStyle w:val="LDP1a"/>
      </w:pPr>
      <w:r w:rsidRPr="00F56587">
        <w:t>(b)</w:t>
      </w:r>
      <w:r w:rsidRPr="00F56587">
        <w:tab/>
      </w:r>
      <w:r w:rsidR="00B11FF4" w:rsidRPr="00F56587">
        <w:t xml:space="preserve">the person is an immediate family member of an Australian citizen or resident who is </w:t>
      </w:r>
      <w:r w:rsidR="009A1B55" w:rsidRPr="00F56587">
        <w:t xml:space="preserve">missing and presumed killed or </w:t>
      </w:r>
      <w:r w:rsidR="00B11FF4" w:rsidRPr="00F56587">
        <w:t xml:space="preserve">killed as a direct result of the </w:t>
      </w:r>
      <w:r w:rsidR="009D61F3" w:rsidRPr="00F56587">
        <w:t xml:space="preserve">major </w:t>
      </w:r>
      <w:r w:rsidR="00B11FF4" w:rsidRPr="00F56587">
        <w:t xml:space="preserve">disaster (paragraph 4(2)(b)); or </w:t>
      </w:r>
    </w:p>
    <w:p w:rsidR="00B11FF4" w:rsidRPr="00F56587" w:rsidRDefault="00E836B7" w:rsidP="00E836B7">
      <w:pPr>
        <w:pStyle w:val="LDP1a"/>
      </w:pPr>
      <w:r w:rsidRPr="00F56587">
        <w:t>(c)</w:t>
      </w:r>
      <w:r w:rsidRPr="00F56587">
        <w:tab/>
      </w:r>
      <w:proofErr w:type="gramStart"/>
      <w:r w:rsidR="00B11FF4" w:rsidRPr="00F56587">
        <w:t>the</w:t>
      </w:r>
      <w:proofErr w:type="gramEnd"/>
      <w:r w:rsidR="00B11FF4" w:rsidRPr="00F56587">
        <w:t xml:space="preserve"> person’s principal place of residence has been destroyed or has major damage as a direct result of the </w:t>
      </w:r>
      <w:r w:rsidR="009D61F3" w:rsidRPr="00F56587">
        <w:t xml:space="preserve">major </w:t>
      </w:r>
      <w:r w:rsidR="00B11FF4" w:rsidRPr="00F56587">
        <w:t xml:space="preserve">disaster (paragraph 4(2)(c)); or </w:t>
      </w:r>
    </w:p>
    <w:p w:rsidR="00B11FF4" w:rsidRPr="00F56587" w:rsidRDefault="00E836B7" w:rsidP="00E836B7">
      <w:pPr>
        <w:pStyle w:val="LDP1a"/>
      </w:pPr>
      <w:r w:rsidRPr="00F56587">
        <w:t>(d)</w:t>
      </w:r>
      <w:r w:rsidRPr="00F56587">
        <w:tab/>
      </w:r>
      <w:r w:rsidR="00B11FF4" w:rsidRPr="00F56587">
        <w:t xml:space="preserve">a major asset or assets of the person has or have been destroyed or suffered major damage as a result of the </w:t>
      </w:r>
      <w:r w:rsidR="009D61F3" w:rsidRPr="00F56587">
        <w:t xml:space="preserve">major </w:t>
      </w:r>
      <w:r w:rsidR="00B11FF4" w:rsidRPr="00F56587">
        <w:t>disaster; or</w:t>
      </w:r>
    </w:p>
    <w:p w:rsidR="00B11FF4" w:rsidRPr="00F56587" w:rsidRDefault="00677E77" w:rsidP="00E836B7">
      <w:pPr>
        <w:pStyle w:val="LDP1a"/>
      </w:pPr>
      <w:r w:rsidRPr="00F56587">
        <w:t>(e</w:t>
      </w:r>
      <w:r w:rsidR="00E836B7" w:rsidRPr="00F56587">
        <w:t>)</w:t>
      </w:r>
      <w:r w:rsidR="00E836B7" w:rsidRPr="00F56587">
        <w:tab/>
      </w:r>
      <w:proofErr w:type="gramStart"/>
      <w:r w:rsidR="00B11FF4" w:rsidRPr="00F56587">
        <w:t>the</w:t>
      </w:r>
      <w:proofErr w:type="gramEnd"/>
      <w:r w:rsidR="00B11FF4" w:rsidRPr="00F56587">
        <w:t xml:space="preserve"> person is a </w:t>
      </w:r>
      <w:proofErr w:type="spellStart"/>
      <w:r w:rsidR="00B11FF4" w:rsidRPr="00F56587">
        <w:t>carer</w:t>
      </w:r>
      <w:proofErr w:type="spellEnd"/>
      <w:r w:rsidR="00B11FF4" w:rsidRPr="00F56587">
        <w:t xml:space="preserve"> of a child to whom paragraphs 4(2)(a), (b), (c) or (d) apply (paragraph 4(2)(e)).</w:t>
      </w:r>
    </w:p>
    <w:p w:rsidR="00C74C5A" w:rsidRPr="00F56587" w:rsidRDefault="00C74C5A" w:rsidP="00C74C5A">
      <w:pPr>
        <w:pStyle w:val="LDMinuteParagraph"/>
        <w:rPr>
          <w:szCs w:val="24"/>
        </w:rPr>
      </w:pPr>
      <w:r w:rsidRPr="00F56587">
        <w:rPr>
          <w:szCs w:val="24"/>
        </w:rPr>
        <w:t xml:space="preserve">Section 5 of the Determination provides that </w:t>
      </w:r>
      <w:r w:rsidRPr="00F56587">
        <w:rPr>
          <w:i/>
          <w:szCs w:val="24"/>
        </w:rPr>
        <w:t>Social Security (Australian Government Disaster Recovery Payment—South East Queensland Severe Storms and Flooding– December 2023 to January 2024)</w:t>
      </w:r>
      <w:r w:rsidR="009A6F6E" w:rsidRPr="00F56587">
        <w:rPr>
          <w:i/>
          <w:szCs w:val="24"/>
        </w:rPr>
        <w:t xml:space="preserve"> (LIN 24/013</w:t>
      </w:r>
      <w:r w:rsidRPr="00F56587">
        <w:rPr>
          <w:i/>
          <w:szCs w:val="24"/>
        </w:rPr>
        <w:t>) Determination 2024 (No.</w:t>
      </w:r>
      <w:r w:rsidR="009A6F6E" w:rsidRPr="00F56587">
        <w:rPr>
          <w:i/>
          <w:szCs w:val="24"/>
        </w:rPr>
        <w:t>2</w:t>
      </w:r>
      <w:r w:rsidRPr="00F56587">
        <w:rPr>
          <w:i/>
          <w:szCs w:val="24"/>
        </w:rPr>
        <w:t xml:space="preserve">) </w:t>
      </w:r>
      <w:r w:rsidRPr="00F56587">
        <w:rPr>
          <w:szCs w:val="24"/>
        </w:rPr>
        <w:t xml:space="preserve">is repealed, as enabled under section 33(3) of the </w:t>
      </w:r>
      <w:r w:rsidRPr="00F56587">
        <w:rPr>
          <w:i/>
          <w:szCs w:val="24"/>
        </w:rPr>
        <w:t>Acts Interpretation Act 1901</w:t>
      </w:r>
      <w:r w:rsidRPr="00F56587">
        <w:rPr>
          <w:szCs w:val="24"/>
        </w:rPr>
        <w:t xml:space="preserve">. </w:t>
      </w:r>
    </w:p>
    <w:p w:rsidR="00C74C5A" w:rsidRPr="00F56587" w:rsidRDefault="00C74C5A" w:rsidP="00C74C5A">
      <w:pPr>
        <w:pStyle w:val="LDMinuteParagraph"/>
        <w:rPr>
          <w:szCs w:val="24"/>
        </w:rPr>
      </w:pPr>
      <w:r w:rsidRPr="00F56587">
        <w:rPr>
          <w:szCs w:val="24"/>
        </w:rPr>
        <w:t xml:space="preserve">Section 6 provides that despite the operation of section 5, anything done under the </w:t>
      </w:r>
      <w:r w:rsidRPr="00F56587">
        <w:rPr>
          <w:i/>
          <w:szCs w:val="24"/>
        </w:rPr>
        <w:t>Social Security (Australian Government Disaster Recovery Payment—South East Queensland Severe Storms and Flooding– December 2023 to January 2024) (LIN 24/</w:t>
      </w:r>
      <w:r w:rsidR="00F56D57" w:rsidRPr="00F56587">
        <w:rPr>
          <w:i/>
          <w:szCs w:val="24"/>
        </w:rPr>
        <w:t>013</w:t>
      </w:r>
      <w:r w:rsidRPr="00F56587">
        <w:rPr>
          <w:i/>
          <w:szCs w:val="24"/>
        </w:rPr>
        <w:t xml:space="preserve">) Determination 2024 (No. </w:t>
      </w:r>
      <w:r w:rsidR="00F56D57" w:rsidRPr="00F56587">
        <w:rPr>
          <w:i/>
          <w:szCs w:val="24"/>
        </w:rPr>
        <w:t>2</w:t>
      </w:r>
      <w:r w:rsidRPr="00F56587">
        <w:rPr>
          <w:i/>
          <w:szCs w:val="24"/>
        </w:rPr>
        <w:t xml:space="preserve">) </w:t>
      </w:r>
      <w:r w:rsidRPr="00F56587">
        <w:rPr>
          <w:szCs w:val="24"/>
        </w:rPr>
        <w:t xml:space="preserve">continues to have effect as if it was done under this Determination. </w:t>
      </w:r>
      <w:r w:rsidR="00A82BD3" w:rsidRPr="00F56587">
        <w:rPr>
          <w:szCs w:val="24"/>
        </w:rPr>
        <w:t>The Determination in effect expands the number of suburbs identified as being affected by the major disast</w:t>
      </w:r>
      <w:r w:rsidR="009532D1">
        <w:rPr>
          <w:szCs w:val="24"/>
        </w:rPr>
        <w:t>er by adding an additional 26 suburbs.</w:t>
      </w:r>
    </w:p>
    <w:p w:rsidR="00C3452B" w:rsidRPr="00F56587" w:rsidRDefault="00C3452B" w:rsidP="00C74C5A">
      <w:pPr>
        <w:pStyle w:val="LDMinuteParagraph"/>
        <w:rPr>
          <w:szCs w:val="24"/>
        </w:rPr>
      </w:pPr>
      <w:r w:rsidRPr="00F56587">
        <w:rPr>
          <w:szCs w:val="24"/>
        </w:rPr>
        <w:t>Schedule 1 identifies the suburbs that are affected by the major disaster and the local government areas they fall within, including</w:t>
      </w:r>
      <w:r w:rsidR="00CB1CC9" w:rsidRPr="00F56587">
        <w:rPr>
          <w:szCs w:val="24"/>
        </w:rPr>
        <w:t xml:space="preserve"> the City of</w:t>
      </w:r>
      <w:r w:rsidRPr="00F56587">
        <w:rPr>
          <w:szCs w:val="24"/>
        </w:rPr>
        <w:t xml:space="preserve"> Gold Coast, </w:t>
      </w:r>
      <w:r w:rsidR="00CB1CC9" w:rsidRPr="00F56587">
        <w:rPr>
          <w:szCs w:val="24"/>
        </w:rPr>
        <w:t xml:space="preserve">City of </w:t>
      </w:r>
      <w:r w:rsidRPr="00F56587">
        <w:rPr>
          <w:szCs w:val="24"/>
        </w:rPr>
        <w:t xml:space="preserve">Logan and </w:t>
      </w:r>
      <w:r w:rsidR="00CB1CC9" w:rsidRPr="00F56587">
        <w:rPr>
          <w:szCs w:val="24"/>
        </w:rPr>
        <w:t xml:space="preserve">the </w:t>
      </w:r>
      <w:r w:rsidRPr="00F56587">
        <w:rPr>
          <w:szCs w:val="24"/>
        </w:rPr>
        <w:t>Scenic Rim Region.</w:t>
      </w:r>
    </w:p>
    <w:p w:rsidR="00B11FF4" w:rsidRPr="00F56587" w:rsidRDefault="00B11FF4" w:rsidP="00B11FF4">
      <w:pPr>
        <w:pStyle w:val="LDMinuteParagraph"/>
        <w:tabs>
          <w:tab w:val="clear" w:pos="360"/>
          <w:tab w:val="left" w:pos="709"/>
        </w:tabs>
        <w:rPr>
          <w:szCs w:val="24"/>
        </w:rPr>
      </w:pPr>
      <w:bookmarkStart w:id="1" w:name="_GoBack"/>
      <w:bookmarkEnd w:id="1"/>
      <w:r w:rsidRPr="00F56587">
        <w:rPr>
          <w:szCs w:val="24"/>
        </w:rPr>
        <w:t>Subsection 1061L(3) of the Act provides that a determination under section 1061L is a legislative instrument. However, th</w:t>
      </w:r>
      <w:r w:rsidR="00482A89" w:rsidRPr="00F56587">
        <w:rPr>
          <w:szCs w:val="24"/>
        </w:rPr>
        <w:t>e Determination</w:t>
      </w:r>
      <w:r w:rsidRPr="00F56587">
        <w:rPr>
          <w:szCs w:val="24"/>
        </w:rPr>
        <w:t xml:space="preserve"> is not subject to disallowance by the Parliament as subsection </w:t>
      </w:r>
      <w:proofErr w:type="gramStart"/>
      <w:r w:rsidRPr="00F56587">
        <w:rPr>
          <w:szCs w:val="24"/>
        </w:rPr>
        <w:t>1061L(</w:t>
      </w:r>
      <w:proofErr w:type="gramEnd"/>
      <w:r w:rsidRPr="00F56587">
        <w:rPr>
          <w:szCs w:val="24"/>
        </w:rPr>
        <w:t xml:space="preserve">3) of the Act provides that section 42 of the </w:t>
      </w:r>
      <w:r w:rsidRPr="00F56587">
        <w:rPr>
          <w:i/>
          <w:szCs w:val="24"/>
        </w:rPr>
        <w:t>Legislation Act 2003</w:t>
      </w:r>
      <w:r w:rsidRPr="00F56587">
        <w:rPr>
          <w:szCs w:val="24"/>
        </w:rPr>
        <w:t xml:space="preserve"> does not apply to </w:t>
      </w:r>
      <w:r w:rsidR="00482A89" w:rsidRPr="00F56587">
        <w:rPr>
          <w:szCs w:val="24"/>
        </w:rPr>
        <w:t>it</w:t>
      </w:r>
      <w:r w:rsidRPr="00F56587">
        <w:rPr>
          <w:szCs w:val="24"/>
        </w:rPr>
        <w:t xml:space="preserve">. </w:t>
      </w:r>
    </w:p>
    <w:p w:rsidR="00482A89" w:rsidRPr="009532D1" w:rsidRDefault="00B11FF4" w:rsidP="009532D1">
      <w:pPr>
        <w:pStyle w:val="LDMinuteParagraph"/>
        <w:tabs>
          <w:tab w:val="clear" w:pos="360"/>
          <w:tab w:val="left" w:pos="709"/>
        </w:tabs>
        <w:rPr>
          <w:szCs w:val="24"/>
        </w:rPr>
      </w:pPr>
      <w:r w:rsidRPr="009532D1">
        <w:rPr>
          <w:szCs w:val="24"/>
        </w:rPr>
        <w:t>Formal consultation has not been undertaken as the Determination was required to commence as a matter of urgency.</w:t>
      </w:r>
      <w:r w:rsidR="009532D1" w:rsidRPr="009532D1">
        <w:rPr>
          <w:szCs w:val="24"/>
        </w:rPr>
        <w:t xml:space="preserve"> </w:t>
      </w:r>
      <w:r w:rsidR="00CC5ADB" w:rsidRPr="009532D1">
        <w:rPr>
          <w:szCs w:val="24"/>
        </w:rPr>
        <w:t>The Office of Impact Analysis was consulted prior to making this instrument and advised that an impact analysis was not required. The OIA reference number is OIA2</w:t>
      </w:r>
      <w:r w:rsidR="00135633" w:rsidRPr="009532D1">
        <w:rPr>
          <w:szCs w:val="24"/>
        </w:rPr>
        <w:t>4-06318</w:t>
      </w:r>
      <w:r w:rsidR="00CC5ADB" w:rsidRPr="009532D1">
        <w:rPr>
          <w:szCs w:val="24"/>
        </w:rPr>
        <w:t xml:space="preserve">. No further formal </w:t>
      </w:r>
      <w:r w:rsidR="00CC5ADB" w:rsidRPr="009532D1">
        <w:rPr>
          <w:szCs w:val="24"/>
        </w:rPr>
        <w:lastRenderedPageBreak/>
        <w:t>consultation was undertaken as the Determination was required to commence as a matter of urgency.</w:t>
      </w:r>
    </w:p>
    <w:sectPr w:rsidR="00482A89" w:rsidRPr="009532D1" w:rsidSect="00AC0072">
      <w:headerReference w:type="even" r:id="rId10"/>
      <w:footerReference w:type="even" r:id="rId11"/>
      <w:footerReference w:type="default" r:id="rId12"/>
      <w:footerReference w:type="first" r:id="rId13"/>
      <w:pgSz w:w="11906" w:h="16838"/>
      <w:pgMar w:top="899" w:right="1800" w:bottom="53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405" w:rsidRDefault="00030405">
      <w:r>
        <w:separator/>
      </w:r>
    </w:p>
  </w:endnote>
  <w:endnote w:type="continuationSeparator" w:id="0">
    <w:p w:rsidR="00030405" w:rsidRDefault="00030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F7F" w:rsidRDefault="00D60F7F" w:rsidP="00760EA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D60F7F" w:rsidRDefault="00D60F7F" w:rsidP="00B4479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F7F" w:rsidRPr="00506142" w:rsidRDefault="00342E2F" w:rsidP="00AC0072">
    <w:pPr>
      <w:pStyle w:val="LDFooter"/>
      <w:rPr>
        <w:rFonts w:ascii="Arial" w:hAnsi="Arial" w:cs="Arial"/>
        <w:sz w:val="16"/>
        <w:szCs w:val="16"/>
      </w:rPr>
    </w:pPr>
    <w:r w:rsidRPr="00342E2F">
      <w:rPr>
        <w:rFonts w:ascii="Arial" w:hAnsi="Arial" w:cs="Arial"/>
        <w:i/>
        <w:sz w:val="16"/>
        <w:szCs w:val="16"/>
      </w:rPr>
      <w:t>Social Security (Australian Government Disaster Recovery Payment—South East Queensland Severe Storms and Flooding– December 2023 to January 2024)</w:t>
    </w:r>
    <w:r w:rsidR="004700DD">
      <w:rPr>
        <w:rFonts w:ascii="Arial" w:hAnsi="Arial" w:cs="Arial"/>
        <w:i/>
        <w:sz w:val="16"/>
        <w:szCs w:val="16"/>
      </w:rPr>
      <w:t xml:space="preserve"> (LIN 24/0</w:t>
    </w:r>
    <w:r w:rsidR="00321F62">
      <w:rPr>
        <w:rFonts w:ascii="Arial" w:hAnsi="Arial" w:cs="Arial"/>
        <w:i/>
        <w:sz w:val="16"/>
        <w:szCs w:val="16"/>
      </w:rPr>
      <w:t>19</w:t>
    </w:r>
    <w:r w:rsidR="004700DD">
      <w:rPr>
        <w:rFonts w:ascii="Arial" w:hAnsi="Arial" w:cs="Arial"/>
        <w:i/>
        <w:sz w:val="16"/>
        <w:szCs w:val="16"/>
      </w:rPr>
      <w:t>)</w:t>
    </w:r>
    <w:r w:rsidRPr="00342E2F">
      <w:rPr>
        <w:rFonts w:ascii="Arial" w:hAnsi="Arial" w:cs="Arial"/>
        <w:i/>
        <w:sz w:val="16"/>
        <w:szCs w:val="16"/>
      </w:rPr>
      <w:t xml:space="preserve"> Determination 2024 (No. </w:t>
    </w:r>
    <w:r w:rsidR="00321F62">
      <w:rPr>
        <w:rFonts w:ascii="Arial" w:hAnsi="Arial" w:cs="Arial"/>
        <w:i/>
        <w:sz w:val="16"/>
        <w:szCs w:val="16"/>
      </w:rPr>
      <w:t>3</w:t>
    </w:r>
    <w:r w:rsidRPr="00342E2F">
      <w:rPr>
        <w:rFonts w:ascii="Arial" w:hAnsi="Arial" w:cs="Arial"/>
        <w:i/>
        <w:sz w:val="16"/>
        <w:szCs w:val="16"/>
      </w:rPr>
      <w:t>)</w:t>
    </w:r>
    <w:r w:rsidR="00506142">
      <w:rPr>
        <w:rFonts w:ascii="Arial" w:hAnsi="Arial" w:cs="Arial"/>
        <w:sz w:val="16"/>
        <w:szCs w:val="16"/>
      </w:rPr>
      <w:tab/>
    </w:r>
    <w:r w:rsidR="00506142" w:rsidRPr="00DE2A5F">
      <w:rPr>
        <w:rStyle w:val="PageNumber"/>
        <w:rFonts w:ascii="Arial" w:hAnsi="Arial" w:cs="Arial"/>
        <w:sz w:val="16"/>
        <w:szCs w:val="16"/>
      </w:rPr>
      <w:fldChar w:fldCharType="begin"/>
    </w:r>
    <w:r w:rsidR="00506142" w:rsidRPr="00DE2A5F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506142" w:rsidRPr="00DE2A5F">
      <w:rPr>
        <w:rStyle w:val="PageNumber"/>
        <w:rFonts w:ascii="Arial" w:hAnsi="Arial" w:cs="Arial"/>
        <w:sz w:val="16"/>
        <w:szCs w:val="16"/>
      </w:rPr>
      <w:fldChar w:fldCharType="separate"/>
    </w:r>
    <w:r w:rsidR="00B6312B">
      <w:rPr>
        <w:rStyle w:val="PageNumber"/>
        <w:rFonts w:ascii="Arial" w:hAnsi="Arial" w:cs="Arial"/>
        <w:noProof/>
        <w:sz w:val="16"/>
        <w:szCs w:val="16"/>
      </w:rPr>
      <w:t>4</w:t>
    </w:r>
    <w:r w:rsidR="00506142" w:rsidRPr="00DE2A5F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AA2" w:rsidRPr="00034852" w:rsidRDefault="00AC0072" w:rsidP="00AC0072">
    <w:pPr>
      <w:pStyle w:val="LDFooter"/>
      <w:rPr>
        <w:rFonts w:ascii="Arial" w:hAnsi="Arial" w:cs="Arial"/>
        <w:sz w:val="16"/>
        <w:szCs w:val="16"/>
      </w:rPr>
    </w:pPr>
    <w:r w:rsidRPr="00AC0072">
      <w:rPr>
        <w:i/>
      </w:rPr>
      <w:fldChar w:fldCharType="begin"/>
    </w:r>
    <w:r w:rsidRPr="00AC0072">
      <w:rPr>
        <w:i/>
      </w:rPr>
      <w:instrText xml:space="preserve"> REF title \h  \* MERGEFORMAT </w:instrText>
    </w:r>
    <w:r w:rsidRPr="00AC0072">
      <w:rPr>
        <w:i/>
      </w:rPr>
    </w:r>
    <w:r w:rsidRPr="00AC0072">
      <w:rPr>
        <w:i/>
      </w:rPr>
      <w:fldChar w:fldCharType="separate"/>
    </w:r>
    <w:r w:rsidR="00C60C42" w:rsidRPr="00C60C42">
      <w:rPr>
        <w:i/>
      </w:rPr>
      <w:t>Social Security (Australian Government Disaster Recovery Payment—</w:t>
    </w:r>
    <w:r w:rsidR="00C60C42" w:rsidRPr="00C60C42">
      <w:rPr>
        <w:i/>
        <w:highlight w:val="yellow"/>
      </w:rPr>
      <w:t>Event name</w:t>
    </w:r>
    <w:r w:rsidR="00C60C42" w:rsidRPr="00C60C42">
      <w:rPr>
        <w:i/>
      </w:rPr>
      <w:t xml:space="preserve">) Determination 2022 (No. </w:t>
    </w:r>
    <w:r w:rsidR="00C60C42" w:rsidRPr="00C60C42">
      <w:rPr>
        <w:i/>
        <w:highlight w:val="yellow"/>
      </w:rPr>
      <w:t>XXX</w:t>
    </w:r>
    <w:r w:rsidR="00C60C42" w:rsidRPr="00C60C42">
      <w:rPr>
        <w:i/>
      </w:rPr>
      <w:t>)</w:t>
    </w:r>
    <w:r w:rsidRPr="00AC0072">
      <w:rPr>
        <w:i/>
      </w:rPr>
      <w:fldChar w:fldCharType="end"/>
    </w:r>
    <w:r w:rsidR="00034852">
      <w:rPr>
        <w:rFonts w:ascii="Arial" w:hAnsi="Arial" w:cs="Arial"/>
        <w:sz w:val="16"/>
        <w:szCs w:val="16"/>
      </w:rPr>
      <w:tab/>
    </w:r>
    <w:r w:rsidR="00034852" w:rsidRPr="00DE2A5F">
      <w:rPr>
        <w:rStyle w:val="PageNumber"/>
        <w:rFonts w:ascii="Arial" w:hAnsi="Arial" w:cs="Arial"/>
        <w:sz w:val="16"/>
        <w:szCs w:val="16"/>
      </w:rPr>
      <w:fldChar w:fldCharType="begin"/>
    </w:r>
    <w:r w:rsidR="00034852" w:rsidRPr="00DE2A5F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034852" w:rsidRPr="00DE2A5F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1</w:t>
    </w:r>
    <w:r w:rsidR="00034852" w:rsidRPr="00DE2A5F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405" w:rsidRDefault="00030405">
      <w:r>
        <w:separator/>
      </w:r>
    </w:p>
  </w:footnote>
  <w:footnote w:type="continuationSeparator" w:id="0">
    <w:p w:rsidR="00030405" w:rsidRDefault="00030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F7F" w:rsidRDefault="00D60F7F" w:rsidP="00545B5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D60F7F" w:rsidRDefault="00D60F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83530"/>
    <w:multiLevelType w:val="hybridMultilevel"/>
    <w:tmpl w:val="71F8A3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B3044"/>
    <w:multiLevelType w:val="hybridMultilevel"/>
    <w:tmpl w:val="6EF2ACBA"/>
    <w:lvl w:ilvl="0" w:tplc="EEB6804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E2EF5"/>
    <w:multiLevelType w:val="hybridMultilevel"/>
    <w:tmpl w:val="15E41B30"/>
    <w:lvl w:ilvl="0" w:tplc="4600DD6A">
      <w:start w:val="1"/>
      <w:numFmt w:val="decimal"/>
      <w:pStyle w:val="LDMinuteParagraph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745635"/>
    <w:multiLevelType w:val="hybridMultilevel"/>
    <w:tmpl w:val="E9226C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70905"/>
    <w:multiLevelType w:val="hybridMultilevel"/>
    <w:tmpl w:val="687E33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D22BB"/>
    <w:multiLevelType w:val="hybridMultilevel"/>
    <w:tmpl w:val="4B6034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A0A77"/>
    <w:multiLevelType w:val="hybridMultilevel"/>
    <w:tmpl w:val="58229E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6"/>
  </w:num>
  <w:num w:numId="27">
    <w:abstractNumId w:val="0"/>
  </w:num>
  <w:num w:numId="28">
    <w:abstractNumId w:val="4"/>
  </w:num>
  <w:num w:numId="29">
    <w:abstractNumId w:val="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C42"/>
    <w:rsid w:val="00005B89"/>
    <w:rsid w:val="00006DEC"/>
    <w:rsid w:val="00007792"/>
    <w:rsid w:val="00015758"/>
    <w:rsid w:val="00030405"/>
    <w:rsid w:val="00034852"/>
    <w:rsid w:val="000479EC"/>
    <w:rsid w:val="0006314D"/>
    <w:rsid w:val="00083A6A"/>
    <w:rsid w:val="000A1ECC"/>
    <w:rsid w:val="000A2964"/>
    <w:rsid w:val="000A4854"/>
    <w:rsid w:val="000E4F27"/>
    <w:rsid w:val="00117314"/>
    <w:rsid w:val="00123CB8"/>
    <w:rsid w:val="00135633"/>
    <w:rsid w:val="001710F5"/>
    <w:rsid w:val="00187967"/>
    <w:rsid w:val="00191B5D"/>
    <w:rsid w:val="00194868"/>
    <w:rsid w:val="001D419C"/>
    <w:rsid w:val="001E0C29"/>
    <w:rsid w:val="001E60FD"/>
    <w:rsid w:val="001F02B3"/>
    <w:rsid w:val="001F533A"/>
    <w:rsid w:val="001F5996"/>
    <w:rsid w:val="00206DB0"/>
    <w:rsid w:val="00213489"/>
    <w:rsid w:val="00215AA5"/>
    <w:rsid w:val="0023583C"/>
    <w:rsid w:val="00255D36"/>
    <w:rsid w:val="00270686"/>
    <w:rsid w:val="0027743B"/>
    <w:rsid w:val="00277D4E"/>
    <w:rsid w:val="002C466E"/>
    <w:rsid w:val="002D7C61"/>
    <w:rsid w:val="003141EB"/>
    <w:rsid w:val="00317AE8"/>
    <w:rsid w:val="00321E86"/>
    <w:rsid w:val="00321F62"/>
    <w:rsid w:val="0032325C"/>
    <w:rsid w:val="003268C8"/>
    <w:rsid w:val="00342E2F"/>
    <w:rsid w:val="00346D0C"/>
    <w:rsid w:val="00361390"/>
    <w:rsid w:val="003B1ABF"/>
    <w:rsid w:val="003B2EEF"/>
    <w:rsid w:val="003C0D84"/>
    <w:rsid w:val="00411185"/>
    <w:rsid w:val="00413F57"/>
    <w:rsid w:val="00426D66"/>
    <w:rsid w:val="00430134"/>
    <w:rsid w:val="00432C95"/>
    <w:rsid w:val="004511D5"/>
    <w:rsid w:val="004700DD"/>
    <w:rsid w:val="00481043"/>
    <w:rsid w:val="00482A89"/>
    <w:rsid w:val="004B2252"/>
    <w:rsid w:val="004E3842"/>
    <w:rsid w:val="005008BD"/>
    <w:rsid w:val="00506142"/>
    <w:rsid w:val="00524E04"/>
    <w:rsid w:val="00545B58"/>
    <w:rsid w:val="00580C34"/>
    <w:rsid w:val="0059658F"/>
    <w:rsid w:val="005B2444"/>
    <w:rsid w:val="005B52F3"/>
    <w:rsid w:val="005F256E"/>
    <w:rsid w:val="005F3B6C"/>
    <w:rsid w:val="00634DE1"/>
    <w:rsid w:val="00647DAB"/>
    <w:rsid w:val="00656080"/>
    <w:rsid w:val="00677E77"/>
    <w:rsid w:val="00697B63"/>
    <w:rsid w:val="006A42AF"/>
    <w:rsid w:val="006A6E0B"/>
    <w:rsid w:val="006B6C98"/>
    <w:rsid w:val="006C119E"/>
    <w:rsid w:val="006E1E21"/>
    <w:rsid w:val="006E2A8C"/>
    <w:rsid w:val="007005C4"/>
    <w:rsid w:val="00703059"/>
    <w:rsid w:val="0073657C"/>
    <w:rsid w:val="00755DD8"/>
    <w:rsid w:val="00760EAE"/>
    <w:rsid w:val="00773B3B"/>
    <w:rsid w:val="007E57BE"/>
    <w:rsid w:val="00833AA2"/>
    <w:rsid w:val="0085034C"/>
    <w:rsid w:val="008660D2"/>
    <w:rsid w:val="008846F2"/>
    <w:rsid w:val="00897403"/>
    <w:rsid w:val="008B254E"/>
    <w:rsid w:val="008B5367"/>
    <w:rsid w:val="008E2884"/>
    <w:rsid w:val="008F64BF"/>
    <w:rsid w:val="009030D5"/>
    <w:rsid w:val="00935B6F"/>
    <w:rsid w:val="009532D1"/>
    <w:rsid w:val="009623F7"/>
    <w:rsid w:val="00974171"/>
    <w:rsid w:val="00976C6B"/>
    <w:rsid w:val="00990056"/>
    <w:rsid w:val="009930DC"/>
    <w:rsid w:val="009A1B55"/>
    <w:rsid w:val="009A3D84"/>
    <w:rsid w:val="009A6F6E"/>
    <w:rsid w:val="009B015D"/>
    <w:rsid w:val="009B2616"/>
    <w:rsid w:val="009C3750"/>
    <w:rsid w:val="009D61F3"/>
    <w:rsid w:val="009F0746"/>
    <w:rsid w:val="009F7B4D"/>
    <w:rsid w:val="00A20FE1"/>
    <w:rsid w:val="00A302C2"/>
    <w:rsid w:val="00A32C6B"/>
    <w:rsid w:val="00A346B9"/>
    <w:rsid w:val="00A42FE5"/>
    <w:rsid w:val="00A53961"/>
    <w:rsid w:val="00A62EF5"/>
    <w:rsid w:val="00A82BD3"/>
    <w:rsid w:val="00AC0072"/>
    <w:rsid w:val="00AD3979"/>
    <w:rsid w:val="00AF07E8"/>
    <w:rsid w:val="00AF16BD"/>
    <w:rsid w:val="00B11FF4"/>
    <w:rsid w:val="00B1667C"/>
    <w:rsid w:val="00B345E4"/>
    <w:rsid w:val="00B36E48"/>
    <w:rsid w:val="00B4479A"/>
    <w:rsid w:val="00B4761B"/>
    <w:rsid w:val="00B6312B"/>
    <w:rsid w:val="00B95EA6"/>
    <w:rsid w:val="00B97324"/>
    <w:rsid w:val="00BA6239"/>
    <w:rsid w:val="00BB6EA6"/>
    <w:rsid w:val="00BD4B2B"/>
    <w:rsid w:val="00BE2F58"/>
    <w:rsid w:val="00BE35FC"/>
    <w:rsid w:val="00BE6B0F"/>
    <w:rsid w:val="00C061DE"/>
    <w:rsid w:val="00C3452B"/>
    <w:rsid w:val="00C605BA"/>
    <w:rsid w:val="00C60C42"/>
    <w:rsid w:val="00C72B76"/>
    <w:rsid w:val="00C74C5A"/>
    <w:rsid w:val="00C803C8"/>
    <w:rsid w:val="00CB1CC9"/>
    <w:rsid w:val="00CC3928"/>
    <w:rsid w:val="00CC5ADB"/>
    <w:rsid w:val="00CE2733"/>
    <w:rsid w:val="00D23A26"/>
    <w:rsid w:val="00D37A0B"/>
    <w:rsid w:val="00D57FE9"/>
    <w:rsid w:val="00D60F7F"/>
    <w:rsid w:val="00D63DCF"/>
    <w:rsid w:val="00D66B5D"/>
    <w:rsid w:val="00DA6784"/>
    <w:rsid w:val="00DB722D"/>
    <w:rsid w:val="00DE2E3D"/>
    <w:rsid w:val="00DE752E"/>
    <w:rsid w:val="00E118EB"/>
    <w:rsid w:val="00E13C91"/>
    <w:rsid w:val="00E14DCC"/>
    <w:rsid w:val="00E2679C"/>
    <w:rsid w:val="00E30375"/>
    <w:rsid w:val="00E54869"/>
    <w:rsid w:val="00E576E4"/>
    <w:rsid w:val="00E827F2"/>
    <w:rsid w:val="00E836B7"/>
    <w:rsid w:val="00E87181"/>
    <w:rsid w:val="00E90ECA"/>
    <w:rsid w:val="00EE71A2"/>
    <w:rsid w:val="00EF687D"/>
    <w:rsid w:val="00F0537A"/>
    <w:rsid w:val="00F44956"/>
    <w:rsid w:val="00F54626"/>
    <w:rsid w:val="00F555F3"/>
    <w:rsid w:val="00F56587"/>
    <w:rsid w:val="00F56D57"/>
    <w:rsid w:val="00F63BD0"/>
    <w:rsid w:val="00F660D0"/>
    <w:rsid w:val="00F80CA4"/>
    <w:rsid w:val="00F8601E"/>
    <w:rsid w:val="00FB71D1"/>
    <w:rsid w:val="00FC20F7"/>
    <w:rsid w:val="00FD568B"/>
    <w:rsid w:val="00FD5DBE"/>
    <w:rsid w:val="00FD7E01"/>
    <w:rsid w:val="00FF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5AE3C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DTitle">
    <w:name w:val="LDTitle"/>
    <w:rsid w:val="009030D5"/>
    <w:pPr>
      <w:spacing w:before="480" w:after="480"/>
    </w:pPr>
    <w:rPr>
      <w:rFonts w:ascii="Arial" w:hAnsi="Arial"/>
      <w:sz w:val="24"/>
      <w:szCs w:val="24"/>
      <w:lang w:eastAsia="en-US"/>
    </w:rPr>
  </w:style>
  <w:style w:type="paragraph" w:customStyle="1" w:styleId="LDDescription">
    <w:name w:val="LD Description"/>
    <w:basedOn w:val="LDTitle"/>
    <w:rsid w:val="009030D5"/>
    <w:pPr>
      <w:pBdr>
        <w:bottom w:val="single" w:sz="4" w:space="3" w:color="auto"/>
      </w:pBdr>
      <w:spacing w:before="600" w:after="120"/>
    </w:pPr>
    <w:rPr>
      <w:b/>
    </w:rPr>
  </w:style>
  <w:style w:type="paragraph" w:customStyle="1" w:styleId="LDAmendHeading">
    <w:name w:val="LDAmendHeading"/>
    <w:basedOn w:val="LDTitle"/>
    <w:next w:val="LDAmendInstruction"/>
    <w:rsid w:val="009030D5"/>
    <w:pPr>
      <w:keepNext/>
      <w:spacing w:before="180" w:after="60"/>
      <w:ind w:left="720" w:hanging="720"/>
    </w:pPr>
    <w:rPr>
      <w:b/>
    </w:rPr>
  </w:style>
  <w:style w:type="paragraph" w:customStyle="1" w:styleId="LDBodytext">
    <w:name w:val="LDBody text"/>
    <w:link w:val="LDBodytextChar"/>
    <w:rsid w:val="009030D5"/>
    <w:rPr>
      <w:sz w:val="24"/>
      <w:szCs w:val="24"/>
      <w:lang w:eastAsia="en-US"/>
    </w:rPr>
  </w:style>
  <w:style w:type="paragraph" w:customStyle="1" w:styleId="LDClause">
    <w:name w:val="LDClause"/>
    <w:basedOn w:val="LDBodytext"/>
    <w:rsid w:val="009030D5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ScheduleClause">
    <w:name w:val="LDScheduleClause"/>
    <w:basedOn w:val="LDClause"/>
    <w:rsid w:val="009030D5"/>
    <w:pPr>
      <w:ind w:left="738" w:hanging="851"/>
    </w:pPr>
  </w:style>
  <w:style w:type="paragraph" w:customStyle="1" w:styleId="LDAmendInstruction">
    <w:name w:val="LDAmendInstruction"/>
    <w:basedOn w:val="LDScheduleClause"/>
    <w:next w:val="LDAmendText"/>
    <w:rsid w:val="009030D5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9030D5"/>
    <w:pPr>
      <w:spacing w:before="60" w:after="60"/>
      <w:ind w:left="964"/>
    </w:pPr>
  </w:style>
  <w:style w:type="character" w:customStyle="1" w:styleId="LDBodytextChar">
    <w:name w:val="LDBody text Char"/>
    <w:basedOn w:val="DefaultParagraphFont"/>
    <w:link w:val="LDBodytext"/>
    <w:rsid w:val="009030D5"/>
    <w:rPr>
      <w:sz w:val="24"/>
      <w:szCs w:val="24"/>
      <w:lang w:val="en-AU" w:eastAsia="en-US" w:bidi="ar-SA"/>
    </w:rPr>
  </w:style>
  <w:style w:type="character" w:customStyle="1" w:styleId="LDCitation">
    <w:name w:val="LDCitation"/>
    <w:basedOn w:val="DefaultParagraphFont"/>
    <w:rsid w:val="009030D5"/>
    <w:rPr>
      <w:i/>
      <w:iCs/>
    </w:rPr>
  </w:style>
  <w:style w:type="paragraph" w:customStyle="1" w:styleId="LDClauseHeading">
    <w:name w:val="LDClauseHeading"/>
    <w:basedOn w:val="LDTitle"/>
    <w:next w:val="LDClause"/>
    <w:rsid w:val="009030D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Date">
    <w:name w:val="LDDate"/>
    <w:basedOn w:val="LDBodytext"/>
    <w:rsid w:val="009030D5"/>
    <w:pPr>
      <w:tabs>
        <w:tab w:val="left" w:pos="3402"/>
      </w:tabs>
      <w:spacing w:before="240"/>
    </w:pPr>
  </w:style>
  <w:style w:type="paragraph" w:customStyle="1" w:styleId="LDdefinition">
    <w:name w:val="LDdefinition"/>
    <w:basedOn w:val="LDClause"/>
    <w:rsid w:val="009030D5"/>
    <w:pPr>
      <w:tabs>
        <w:tab w:val="clear" w:pos="454"/>
        <w:tab w:val="clear" w:pos="737"/>
      </w:tabs>
      <w:ind w:firstLine="0"/>
    </w:pPr>
  </w:style>
  <w:style w:type="paragraph" w:customStyle="1" w:styleId="LDEndLine">
    <w:name w:val="LDEndLine"/>
    <w:basedOn w:val="BodyText"/>
    <w:rsid w:val="009030D5"/>
    <w:pPr>
      <w:pBdr>
        <w:bottom w:val="single" w:sz="2" w:space="0" w:color="auto"/>
      </w:pBdr>
      <w:spacing w:after="0"/>
    </w:pPr>
  </w:style>
  <w:style w:type="paragraph" w:styleId="BodyText">
    <w:name w:val="Body Text"/>
    <w:basedOn w:val="Normal"/>
    <w:rsid w:val="00FD5DBE"/>
    <w:pPr>
      <w:spacing w:after="120"/>
    </w:pPr>
  </w:style>
  <w:style w:type="paragraph" w:customStyle="1" w:styleId="LDFileRef">
    <w:name w:val="LDFileRef"/>
    <w:basedOn w:val="LDBodytext"/>
    <w:rsid w:val="00FD5DBE"/>
    <w:pPr>
      <w:widowControl w:val="0"/>
      <w:spacing w:after="240"/>
      <w:contextualSpacing/>
    </w:pPr>
    <w:rPr>
      <w:bCs/>
      <w:sz w:val="20"/>
      <w:szCs w:val="21"/>
    </w:rPr>
  </w:style>
  <w:style w:type="paragraph" w:customStyle="1" w:styleId="LDFollowing">
    <w:name w:val="LDFollowing"/>
    <w:basedOn w:val="LDDate"/>
    <w:next w:val="LDBodytext"/>
    <w:rsid w:val="009030D5"/>
    <w:pPr>
      <w:spacing w:before="60"/>
    </w:pPr>
  </w:style>
  <w:style w:type="paragraph" w:customStyle="1" w:styleId="LDFooter">
    <w:name w:val="LDFooter"/>
    <w:basedOn w:val="LDBodytext"/>
    <w:rsid w:val="009030D5"/>
    <w:pPr>
      <w:tabs>
        <w:tab w:val="right" w:pos="8505"/>
      </w:tabs>
    </w:pPr>
    <w:rPr>
      <w:sz w:val="20"/>
    </w:rPr>
  </w:style>
  <w:style w:type="paragraph" w:customStyle="1" w:styleId="LDMinHeading">
    <w:name w:val="LDMinHeading"/>
    <w:basedOn w:val="LDBodytext"/>
    <w:link w:val="LDMinHeadingChar"/>
    <w:rsid w:val="00FD5DBE"/>
    <w:pPr>
      <w:widowControl w:val="0"/>
      <w:spacing w:before="120" w:after="120"/>
      <w:ind w:left="1418" w:hanging="1418"/>
    </w:pPr>
    <w:rPr>
      <w:bCs/>
      <w:szCs w:val="21"/>
    </w:rPr>
  </w:style>
  <w:style w:type="character" w:customStyle="1" w:styleId="LDMinHeadingChar">
    <w:name w:val="LDMinHeading Char"/>
    <w:basedOn w:val="LDBodytextChar"/>
    <w:link w:val="LDMinHeading"/>
    <w:rsid w:val="00FD5DBE"/>
    <w:rPr>
      <w:bCs/>
      <w:sz w:val="24"/>
      <w:szCs w:val="21"/>
      <w:lang w:val="en-AU" w:eastAsia="en-US" w:bidi="ar-SA"/>
    </w:rPr>
  </w:style>
  <w:style w:type="paragraph" w:customStyle="1" w:styleId="LDMinuteHead">
    <w:name w:val="LDMinuteHead"/>
    <w:next w:val="LDFileRef"/>
    <w:rsid w:val="00FD5DBE"/>
    <w:pPr>
      <w:widowControl w:val="0"/>
      <w:spacing w:before="120" w:after="120"/>
    </w:pPr>
    <w:rPr>
      <w:rFonts w:ascii="Arial" w:hAnsi="Arial"/>
      <w:b/>
      <w:sz w:val="28"/>
      <w:szCs w:val="28"/>
      <w:lang w:eastAsia="en-US"/>
    </w:rPr>
  </w:style>
  <w:style w:type="paragraph" w:customStyle="1" w:styleId="LDNote">
    <w:name w:val="LDNote"/>
    <w:basedOn w:val="LDClause"/>
    <w:rsid w:val="009030D5"/>
    <w:pPr>
      <w:ind w:firstLine="0"/>
    </w:pPr>
    <w:rPr>
      <w:sz w:val="20"/>
    </w:rPr>
  </w:style>
  <w:style w:type="paragraph" w:customStyle="1" w:styleId="LDNotePara">
    <w:name w:val="LDNotePara"/>
    <w:basedOn w:val="LDNote"/>
    <w:rsid w:val="009030D5"/>
    <w:pPr>
      <w:tabs>
        <w:tab w:val="clear" w:pos="454"/>
      </w:tabs>
      <w:ind w:left="1701" w:hanging="454"/>
    </w:pPr>
  </w:style>
  <w:style w:type="paragraph" w:customStyle="1" w:styleId="LDP1a">
    <w:name w:val="LDP1(a)"/>
    <w:basedOn w:val="LDClause"/>
    <w:rsid w:val="009030D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 (i)"/>
    <w:basedOn w:val="LDP1a"/>
    <w:rsid w:val="009030D5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9030D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ParagraphHead">
    <w:name w:val="LDParagraphHead"/>
    <w:basedOn w:val="LDMinHeading"/>
    <w:next w:val="LDBodytext"/>
    <w:rsid w:val="00FD5DBE"/>
    <w:pPr>
      <w:spacing w:before="240"/>
    </w:pPr>
    <w:rPr>
      <w:b/>
    </w:rPr>
  </w:style>
  <w:style w:type="paragraph" w:customStyle="1" w:styleId="LDReference">
    <w:name w:val="LDReference"/>
    <w:basedOn w:val="LDTitle"/>
    <w:rsid w:val="009030D5"/>
    <w:pPr>
      <w:keepNext/>
      <w:spacing w:before="0" w:after="120"/>
      <w:ind w:left="1843"/>
    </w:pPr>
    <w:rPr>
      <w:rFonts w:ascii="Times New Roman" w:hAnsi="Times New Roman"/>
      <w:sz w:val="20"/>
      <w:szCs w:val="20"/>
    </w:rPr>
  </w:style>
  <w:style w:type="paragraph" w:customStyle="1" w:styleId="LDScheduleClauseHead">
    <w:name w:val="LDScheduleClauseHead"/>
    <w:basedOn w:val="LDClauseHeading"/>
    <w:next w:val="LDScheduleClause"/>
    <w:rsid w:val="009030D5"/>
  </w:style>
  <w:style w:type="paragraph" w:customStyle="1" w:styleId="LDSchedSubclHead">
    <w:name w:val="LDSchedSubclHead"/>
    <w:basedOn w:val="LDScheduleClauseHead"/>
    <w:rsid w:val="009030D5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Scheduleheading">
    <w:name w:val="LDSchedule heading"/>
    <w:basedOn w:val="LDTitle"/>
    <w:next w:val="LDBodytext"/>
    <w:rsid w:val="009030D5"/>
    <w:pPr>
      <w:keepNext/>
      <w:tabs>
        <w:tab w:val="left" w:pos="1843"/>
      </w:tabs>
      <w:spacing w:after="120"/>
      <w:ind w:left="1843" w:hanging="1843"/>
    </w:pPr>
    <w:rPr>
      <w:rFonts w:cs="Arial"/>
      <w:b/>
      <w:sz w:val="26"/>
    </w:rPr>
  </w:style>
  <w:style w:type="paragraph" w:customStyle="1" w:styleId="LDSignatory">
    <w:name w:val="LDSignatory"/>
    <w:basedOn w:val="LDBodytext"/>
    <w:next w:val="LDBodytext"/>
    <w:link w:val="LDSignatoryChar"/>
    <w:rsid w:val="009030D5"/>
    <w:pPr>
      <w:keepNext/>
      <w:spacing w:before="1440"/>
    </w:pPr>
  </w:style>
  <w:style w:type="paragraph" w:customStyle="1" w:styleId="LDSubclauseHead">
    <w:name w:val="LDSubclauseHead"/>
    <w:basedOn w:val="LDClauseHeading"/>
    <w:rsid w:val="009030D5"/>
    <w:rPr>
      <w:b w:val="0"/>
    </w:rPr>
  </w:style>
  <w:style w:type="paragraph" w:customStyle="1" w:styleId="LDTableheading">
    <w:name w:val="LDTableheading"/>
    <w:basedOn w:val="LDBodytext"/>
    <w:rsid w:val="009030D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9030D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MinuteParagraph">
    <w:name w:val="LDMinuteParagraph"/>
    <w:basedOn w:val="Normal"/>
    <w:rsid w:val="00E576E4"/>
    <w:pPr>
      <w:numPr>
        <w:numId w:val="1"/>
      </w:numPr>
      <w:tabs>
        <w:tab w:val="left" w:pos="360"/>
      </w:tabs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paragraph" w:styleId="Header">
    <w:name w:val="header"/>
    <w:basedOn w:val="Normal"/>
    <w:rsid w:val="00432C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32C95"/>
    <w:pPr>
      <w:tabs>
        <w:tab w:val="center" w:pos="4153"/>
        <w:tab w:val="right" w:pos="8306"/>
      </w:tabs>
    </w:pPr>
  </w:style>
  <w:style w:type="paragraph" w:customStyle="1" w:styleId="LDDivision">
    <w:name w:val="LDDivision"/>
    <w:basedOn w:val="LDBodytext"/>
    <w:next w:val="LDClauseHeading"/>
    <w:rsid w:val="009030D5"/>
    <w:pPr>
      <w:keepNext/>
      <w:keepLines/>
      <w:tabs>
        <w:tab w:val="left" w:pos="1701"/>
      </w:tabs>
      <w:spacing w:before="180" w:after="60"/>
      <w:ind w:left="1701" w:hanging="1701"/>
    </w:pPr>
    <w:rPr>
      <w:rFonts w:ascii="Arial" w:hAnsi="Arial"/>
      <w:b/>
      <w:sz w:val="28"/>
    </w:rPr>
  </w:style>
  <w:style w:type="paragraph" w:customStyle="1" w:styleId="LDpenalty">
    <w:name w:val="LDpenalty"/>
    <w:basedOn w:val="LDClause"/>
    <w:rsid w:val="009030D5"/>
    <w:pPr>
      <w:ind w:left="1134" w:firstLine="0"/>
    </w:pPr>
  </w:style>
  <w:style w:type="paragraph" w:customStyle="1" w:styleId="LDquery">
    <w:name w:val="LDquery"/>
    <w:basedOn w:val="LDClause"/>
    <w:rsid w:val="009030D5"/>
    <w:rPr>
      <w:b/>
      <w:i/>
    </w:rPr>
  </w:style>
  <w:style w:type="character" w:customStyle="1" w:styleId="LDSignatoryChar">
    <w:name w:val="LDSignatory Char"/>
    <w:basedOn w:val="LDBodytextChar"/>
    <w:link w:val="LDSignatory"/>
    <w:rsid w:val="009030D5"/>
    <w:rPr>
      <w:sz w:val="24"/>
      <w:szCs w:val="24"/>
      <w:lang w:val="en-AU" w:eastAsia="en-US" w:bidi="ar-SA"/>
    </w:rPr>
  </w:style>
  <w:style w:type="paragraph" w:customStyle="1" w:styleId="LDSubdivision">
    <w:name w:val="LDSubdivision"/>
    <w:basedOn w:val="LDDivision"/>
    <w:next w:val="LDClauseHeading"/>
    <w:rsid w:val="009030D5"/>
    <w:pPr>
      <w:spacing w:after="240" w:line="260" w:lineRule="atLeast"/>
    </w:pPr>
    <w:rPr>
      <w:i/>
      <w:sz w:val="26"/>
    </w:rPr>
  </w:style>
  <w:style w:type="paragraph" w:customStyle="1" w:styleId="LDTablespace">
    <w:name w:val="LDTablespace"/>
    <w:basedOn w:val="LDBodytext"/>
    <w:rsid w:val="009030D5"/>
    <w:pPr>
      <w:spacing w:before="120"/>
    </w:pPr>
  </w:style>
  <w:style w:type="paragraph" w:customStyle="1" w:styleId="LDSchedDivision">
    <w:name w:val="LDSchedDivision"/>
    <w:basedOn w:val="LDScheduleheading"/>
    <w:rsid w:val="009030D5"/>
    <w:pPr>
      <w:tabs>
        <w:tab w:val="clear" w:pos="1843"/>
        <w:tab w:val="left" w:pos="1440"/>
      </w:tabs>
      <w:ind w:left="1440" w:hanging="1440"/>
    </w:pPr>
    <w:rPr>
      <w:sz w:val="24"/>
    </w:rPr>
  </w:style>
  <w:style w:type="paragraph" w:customStyle="1" w:styleId="LDschedP1a">
    <w:name w:val="LDschedP1(a)"/>
    <w:basedOn w:val="LDTabletext"/>
    <w:qFormat/>
    <w:rsid w:val="009030D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404"/>
      </w:tabs>
      <w:ind w:left="404" w:hanging="404"/>
    </w:pPr>
  </w:style>
  <w:style w:type="paragraph" w:customStyle="1" w:styleId="LDschedP2i">
    <w:name w:val="LDschedP2(i)"/>
    <w:basedOn w:val="LDschedP1a"/>
    <w:qFormat/>
    <w:rsid w:val="009030D5"/>
    <w:pPr>
      <w:tabs>
        <w:tab w:val="clear" w:pos="404"/>
        <w:tab w:val="right" w:pos="507"/>
        <w:tab w:val="left" w:pos="649"/>
      </w:tabs>
      <w:spacing w:line="240" w:lineRule="atLeast"/>
      <w:ind w:left="507" w:hanging="507"/>
    </w:pPr>
    <w:rPr>
      <w:rFonts w:ascii="CG Times (WN)" w:hAnsi="CG Times (WN)"/>
    </w:rPr>
  </w:style>
  <w:style w:type="paragraph" w:customStyle="1" w:styleId="LDschedP3A">
    <w:name w:val="LDschedP3(A)"/>
    <w:basedOn w:val="LDschedP2i"/>
    <w:rsid w:val="009030D5"/>
    <w:pPr>
      <w:tabs>
        <w:tab w:val="clear" w:pos="507"/>
        <w:tab w:val="clear" w:pos="649"/>
        <w:tab w:val="right" w:pos="676"/>
        <w:tab w:val="left" w:pos="916"/>
      </w:tabs>
      <w:ind w:left="851" w:hanging="851"/>
    </w:pPr>
    <w:rPr>
      <w:lang w:val="en-GB" w:eastAsia="en-AU"/>
    </w:rPr>
  </w:style>
  <w:style w:type="character" w:styleId="PageNumber">
    <w:name w:val="page number"/>
    <w:basedOn w:val="DefaultParagraphFont"/>
    <w:rsid w:val="00506142"/>
  </w:style>
  <w:style w:type="paragraph" w:styleId="BalloonText">
    <w:name w:val="Balloon Text"/>
    <w:basedOn w:val="Normal"/>
    <w:link w:val="BalloonTextChar"/>
    <w:rsid w:val="009A3D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3D84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efaultParagraphFont"/>
    <w:rsid w:val="00697B63"/>
  </w:style>
  <w:style w:type="character" w:styleId="CommentReference">
    <w:name w:val="annotation reference"/>
    <w:basedOn w:val="DefaultParagraphFont"/>
    <w:semiHidden/>
    <w:unhideWhenUsed/>
    <w:rsid w:val="009A1B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A1B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1B5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1B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1B55"/>
    <w:rPr>
      <w:b/>
      <w:bCs/>
      <w:lang w:eastAsia="en-US"/>
    </w:rPr>
  </w:style>
  <w:style w:type="table" w:styleId="TableGrid">
    <w:name w:val="Table Grid"/>
    <w:basedOn w:val="TableNormal"/>
    <w:rsid w:val="00647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A62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DTableP1a">
    <w:name w:val="LDTableP1(a)"/>
    <w:rsid w:val="00CC3928"/>
    <w:pPr>
      <w:tabs>
        <w:tab w:val="left" w:pos="318"/>
      </w:tabs>
      <w:ind w:left="317" w:hanging="317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9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8318A2B21C78042AD8CE1B7BFF08709" ma:contentTypeVersion="" ma:contentTypeDescription="PDMS Document Site Content Type" ma:contentTypeScope="" ma:versionID="ca1b3bbf3afd1ef7c07e28e6773b4284">
  <xsd:schema xmlns:xsd="http://www.w3.org/2001/XMLSchema" xmlns:xs="http://www.w3.org/2001/XMLSchema" xmlns:p="http://schemas.microsoft.com/office/2006/metadata/properties" xmlns:ns2="C847FB30-BCFC-4660-B68B-AAE14CD98629" targetNamespace="http://schemas.microsoft.com/office/2006/metadata/properties" ma:root="true" ma:fieldsID="f61168be6ee53c699b40932acad18d99" ns2:_="">
    <xsd:import namespace="C847FB30-BCFC-4660-B68B-AAE14CD9862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7FB30-BCFC-4660-B68B-AAE14CD9862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847FB30-BCFC-4660-B68B-AAE14CD986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522C41-DEC2-43A7-9807-CC4FB3D45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47FB30-BCFC-4660-B68B-AAE14CD98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F09184-5584-4B81-B773-C0EE126B45E4}">
  <ds:schemaRefs>
    <ds:schemaRef ds:uri="http://schemas.microsoft.com/office/2006/metadata/properties"/>
    <ds:schemaRef ds:uri="http://schemas.microsoft.com/office/infopath/2007/PartnerControls"/>
    <ds:schemaRef ds:uri="C847FB30-BCFC-4660-B68B-AAE14CD98629"/>
  </ds:schemaRefs>
</ds:datastoreItem>
</file>

<file path=customXml/itemProps3.xml><?xml version="1.0" encoding="utf-8"?>
<ds:datastoreItem xmlns:ds="http://schemas.openxmlformats.org/officeDocument/2006/customXml" ds:itemID="{7F987428-B456-47FC-A853-47F19F73CE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2024-01-24T03:52:00Z</dcterms:created>
  <dcterms:modified xsi:type="dcterms:W3CDTF">2024-01-24T04:48:00Z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0x010100266966F133664895A6EE3632470D45F50028318A2B21C78042AD8CE1B7BFF08709</vt:lpwstr>
  </property>
</Properties>
</file>