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3ACD" w14:textId="6DB0F724" w:rsidR="00FF6E25" w:rsidRPr="00FC1BF0" w:rsidRDefault="00FF6E25" w:rsidP="000C310A">
      <w:pPr>
        <w:pStyle w:val="Title"/>
      </w:pPr>
      <w:r w:rsidRPr="00FC1BF0">
        <w:t>EXPLANATORY STATEMENT</w:t>
      </w:r>
    </w:p>
    <w:p w14:paraId="145EC655" w14:textId="3863E1B3" w:rsidR="0088497A" w:rsidRPr="00FC1BF0" w:rsidRDefault="0088497A" w:rsidP="000C310A">
      <w:pPr>
        <w:pStyle w:val="Subtitle"/>
        <w:rPr>
          <w:rStyle w:val="IntenseEmphasis"/>
          <w:color w:val="auto"/>
        </w:rPr>
      </w:pPr>
      <w:r w:rsidRPr="000C310A">
        <w:rPr>
          <w:rStyle w:val="IntenseEmphasis"/>
          <w:color w:val="auto"/>
        </w:rPr>
        <w:t xml:space="preserve">Issued by the authority </w:t>
      </w:r>
      <w:r w:rsidRPr="00FC1BF0">
        <w:rPr>
          <w:rStyle w:val="IntenseEmphasis"/>
          <w:color w:val="auto"/>
        </w:rPr>
        <w:t xml:space="preserve">of </w:t>
      </w:r>
      <w:r w:rsidR="002735E9">
        <w:rPr>
          <w:rStyle w:val="IntenseEmphasis"/>
          <w:color w:val="auto"/>
        </w:rPr>
        <w:t xml:space="preserve">a delegate of </w:t>
      </w:r>
      <w:r w:rsidR="00FC1BF0" w:rsidRPr="00FC1BF0">
        <w:rPr>
          <w:rStyle w:val="IntenseEmphasis"/>
          <w:color w:val="auto"/>
        </w:rPr>
        <w:t>the Minister for Education</w:t>
      </w:r>
    </w:p>
    <w:p w14:paraId="12EB6806" w14:textId="1539AE4A" w:rsidR="00455C2A" w:rsidRPr="00FC1BF0" w:rsidRDefault="00FC1BF0" w:rsidP="000C310A">
      <w:pPr>
        <w:pStyle w:val="Subtitle"/>
      </w:pPr>
      <w:r w:rsidRPr="00FC1BF0">
        <w:t>Higher Education Support Act 2003</w:t>
      </w:r>
    </w:p>
    <w:p w14:paraId="6C026A0C" w14:textId="25C5B0EE" w:rsidR="00503218" w:rsidRPr="0088497A" w:rsidRDefault="00FC1BF0" w:rsidP="000C310A">
      <w:pPr>
        <w:pStyle w:val="Subtitle"/>
      </w:pPr>
      <w:r w:rsidRPr="00FC1BF0">
        <w:t xml:space="preserve">Higher Education </w:t>
      </w:r>
      <w:r w:rsidR="002735E9">
        <w:t>Provider Approval (No. 11 of 2012) Amendment Instrument</w:t>
      </w:r>
      <w:r w:rsidRPr="00FC1BF0">
        <w:t xml:space="preserve"> 202</w:t>
      </w:r>
      <w:r w:rsidR="00DD29C1">
        <w:t>4</w:t>
      </w:r>
    </w:p>
    <w:p w14:paraId="33AB2D38" w14:textId="77777777" w:rsidR="00455C2A" w:rsidRPr="009D0999" w:rsidRDefault="00144950" w:rsidP="000C310A">
      <w:pPr>
        <w:pStyle w:val="Heading1"/>
      </w:pPr>
      <w:bookmarkStart w:id="0" w:name="_Toc23942238"/>
      <w:bookmarkStart w:id="1" w:name="_Toc34293358"/>
      <w:r w:rsidRPr="009D0999">
        <w:t>AUTHORITY</w:t>
      </w:r>
    </w:p>
    <w:p w14:paraId="4F7BADF6" w14:textId="14C90116" w:rsidR="00DB6247" w:rsidRDefault="002735E9" w:rsidP="00615218">
      <w:p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i/>
          <w:iCs/>
          <w:szCs w:val="24"/>
        </w:rPr>
        <w:t xml:space="preserve">Higher Education Provider </w:t>
      </w:r>
      <w:r w:rsidRPr="00980AF9">
        <w:rPr>
          <w:rFonts w:asciiTheme="minorHAnsi" w:hAnsiTheme="minorHAnsi" w:cstheme="minorHAnsi"/>
          <w:i/>
          <w:iCs/>
          <w:szCs w:val="24"/>
        </w:rPr>
        <w:t>Approval (No. 11 of 2012) Amendment Instrument 202</w:t>
      </w:r>
      <w:r w:rsidR="00DD29C1">
        <w:rPr>
          <w:rFonts w:asciiTheme="minorHAnsi" w:hAnsiTheme="minorHAnsi" w:cstheme="minorHAnsi"/>
          <w:i/>
          <w:iCs/>
          <w:szCs w:val="24"/>
        </w:rPr>
        <w:t>4</w:t>
      </w:r>
      <w:r w:rsidRPr="00980AF9">
        <w:rPr>
          <w:rFonts w:asciiTheme="minorHAnsi" w:hAnsiTheme="minorHAnsi" w:cstheme="minorHAnsi"/>
          <w:i/>
          <w:iCs/>
          <w:szCs w:val="24"/>
        </w:rPr>
        <w:t xml:space="preserve"> </w:t>
      </w:r>
      <w:r w:rsidRPr="00980AF9">
        <w:rPr>
          <w:rFonts w:asciiTheme="minorHAnsi" w:hAnsiTheme="minorHAnsi" w:cstheme="minorHAnsi"/>
          <w:szCs w:val="24"/>
        </w:rPr>
        <w:t xml:space="preserve">(the </w:t>
      </w:r>
      <w:r w:rsidR="00847429" w:rsidRPr="00980AF9">
        <w:rPr>
          <w:rFonts w:asciiTheme="minorHAnsi" w:hAnsiTheme="minorHAnsi" w:cstheme="minorHAnsi"/>
          <w:szCs w:val="24"/>
        </w:rPr>
        <w:t xml:space="preserve">Amendment </w:t>
      </w:r>
      <w:r w:rsidRPr="00980AF9">
        <w:rPr>
          <w:rFonts w:asciiTheme="minorHAnsi" w:hAnsiTheme="minorHAnsi" w:cstheme="minorHAnsi"/>
          <w:szCs w:val="24"/>
        </w:rPr>
        <w:t xml:space="preserve">Instrument) is made under </w:t>
      </w:r>
      <w:r w:rsidR="00F23932">
        <w:rPr>
          <w:rFonts w:asciiTheme="minorHAnsi" w:hAnsiTheme="minorHAnsi" w:cstheme="minorHAnsi"/>
          <w:szCs w:val="24"/>
        </w:rPr>
        <w:t>section</w:t>
      </w:r>
      <w:r w:rsidR="00F23932" w:rsidRPr="00980AF9">
        <w:rPr>
          <w:rFonts w:asciiTheme="minorHAnsi" w:hAnsiTheme="minorHAnsi" w:cstheme="minorHAnsi"/>
          <w:szCs w:val="24"/>
        </w:rPr>
        <w:t xml:space="preserve"> </w:t>
      </w:r>
      <w:r w:rsidRPr="00980AF9">
        <w:rPr>
          <w:rFonts w:asciiTheme="minorHAnsi" w:hAnsiTheme="minorHAnsi" w:cstheme="minorHAnsi"/>
          <w:szCs w:val="24"/>
        </w:rPr>
        <w:t>16-</w:t>
      </w:r>
      <w:r w:rsidR="00F23932">
        <w:rPr>
          <w:rFonts w:asciiTheme="minorHAnsi" w:hAnsiTheme="minorHAnsi" w:cstheme="minorHAnsi"/>
          <w:szCs w:val="24"/>
        </w:rPr>
        <w:t>25 and paragraph 16-50(1)(b)</w:t>
      </w:r>
      <w:r w:rsidRPr="00980AF9">
        <w:rPr>
          <w:rFonts w:asciiTheme="minorHAnsi" w:hAnsiTheme="minorHAnsi" w:cstheme="minorHAnsi"/>
          <w:szCs w:val="24"/>
        </w:rPr>
        <w:t xml:space="preserve"> of the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Cs w:val="24"/>
        </w:rPr>
        <w:t xml:space="preserve">Higher Education Support Act 2003 </w:t>
      </w:r>
      <w:r>
        <w:rPr>
          <w:rFonts w:asciiTheme="minorHAnsi" w:hAnsiTheme="minorHAnsi" w:cstheme="minorHAnsi"/>
          <w:szCs w:val="24"/>
        </w:rPr>
        <w:t xml:space="preserve">(the Act). </w:t>
      </w:r>
      <w:r w:rsidR="00BF188E">
        <w:rPr>
          <w:rFonts w:asciiTheme="minorHAnsi" w:hAnsiTheme="minorHAnsi" w:cstheme="minorHAnsi"/>
          <w:iCs/>
          <w:szCs w:val="24"/>
        </w:rPr>
        <w:t>Section</w:t>
      </w:r>
      <w:r w:rsidR="00C65599" w:rsidRPr="00BD63D4">
        <w:rPr>
          <w:rFonts w:asciiTheme="minorHAnsi" w:hAnsiTheme="minorHAnsi" w:cstheme="minorHAnsi"/>
          <w:iCs/>
          <w:szCs w:val="24"/>
        </w:rPr>
        <w:t xml:space="preserve"> 16-25</w:t>
      </w:r>
      <w:r w:rsidR="00BF188E">
        <w:rPr>
          <w:rFonts w:asciiTheme="minorHAnsi" w:hAnsiTheme="minorHAnsi" w:cstheme="minorHAnsi"/>
          <w:iCs/>
          <w:szCs w:val="24"/>
        </w:rPr>
        <w:t xml:space="preserve"> </w:t>
      </w:r>
      <w:r w:rsidR="00C65599" w:rsidRPr="00BD63D4">
        <w:rPr>
          <w:rFonts w:asciiTheme="minorHAnsi" w:hAnsiTheme="minorHAnsi" w:cstheme="minorHAnsi"/>
          <w:iCs/>
          <w:szCs w:val="24"/>
        </w:rPr>
        <w:t>of the Act provides that the Minister may approve a body corporate as a higher education provider if the body satisfies the requirements listed in that section</w:t>
      </w:r>
      <w:r w:rsidR="00BF188E">
        <w:rPr>
          <w:rFonts w:asciiTheme="minorHAnsi" w:hAnsiTheme="minorHAnsi" w:cstheme="minorHAnsi"/>
          <w:iCs/>
          <w:szCs w:val="24"/>
        </w:rPr>
        <w:t>, and paragraph 16-50(1)(b)</w:t>
      </w:r>
      <w:r w:rsidR="00F26346">
        <w:rPr>
          <w:rFonts w:asciiTheme="minorHAnsi" w:hAnsiTheme="minorHAnsi" w:cstheme="minorHAnsi"/>
          <w:iCs/>
          <w:szCs w:val="24"/>
        </w:rPr>
        <w:t xml:space="preserve"> provides that the Minister, in deciding an application for approval as a higher education provider, must cause the applicant to be notified in writing whether or not the applicant is approved as a higher education provider.</w:t>
      </w:r>
    </w:p>
    <w:p w14:paraId="54E636EE" w14:textId="10B3DDBE" w:rsidR="00F26346" w:rsidRPr="002735E9" w:rsidRDefault="00F26346" w:rsidP="00615218">
      <w:p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>Under subsection 33(3) of the 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Acts Interpretation Act 1901</w:t>
      </w:r>
      <w:r>
        <w:rPr>
          <w:rFonts w:ascii="Calibri" w:hAnsi="Calibri" w:cs="Calibri"/>
          <w:color w:val="000000"/>
          <w:shd w:val="clear" w:color="auto" w:fill="FFFFFF"/>
        </w:rPr>
        <w:t>, where an Act confers a power to make, grant or issue any instrument of a legislative or administrative character (including rules, regulations or by</w:t>
      </w:r>
      <w:r>
        <w:rPr>
          <w:rFonts w:ascii="Calibri" w:hAnsi="Calibri" w:cs="Calibri"/>
          <w:color w:val="000000"/>
          <w:shd w:val="clear" w:color="auto" w:fill="FFFFFF"/>
        </w:rPr>
        <w:noBreakHyphen/>
        <w:t>laws), the power shall be construed as including a power exercisable in the like manner and subject to the like conditions (if any) to repeal, rescind, revoke, amend, or vary any such instrument. The amendments to the </w:t>
      </w:r>
      <w:r>
        <w:rPr>
          <w:rFonts w:asciiTheme="minorHAnsi" w:hAnsiTheme="minorHAnsi" w:cstheme="minorHAnsi"/>
          <w:i/>
          <w:szCs w:val="24"/>
        </w:rPr>
        <w:t>Higher Education Provider Approval No. 11 of 2012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(the Principal Instrument) made by the Amendment Instrument rely on this provision.</w:t>
      </w:r>
    </w:p>
    <w:bookmarkEnd w:id="0"/>
    <w:bookmarkEnd w:id="1"/>
    <w:p w14:paraId="56CDA376" w14:textId="77777777" w:rsidR="00DA552F" w:rsidRPr="008134D5" w:rsidRDefault="00144950" w:rsidP="000C310A">
      <w:pPr>
        <w:pStyle w:val="Heading1"/>
      </w:pPr>
      <w:r>
        <w:t>PURPOSE AND OPERATION</w:t>
      </w:r>
    </w:p>
    <w:p w14:paraId="62F91DE1" w14:textId="10108121" w:rsidR="00E64A79" w:rsidRDefault="00615218" w:rsidP="00847429">
      <w:p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The </w:t>
      </w:r>
      <w:r w:rsidR="00847429">
        <w:rPr>
          <w:rFonts w:asciiTheme="minorHAnsi" w:hAnsiTheme="minorHAnsi" w:cstheme="minorHAnsi"/>
          <w:iCs/>
          <w:szCs w:val="24"/>
        </w:rPr>
        <w:t xml:space="preserve">purpose of the </w:t>
      </w:r>
      <w:r>
        <w:rPr>
          <w:rFonts w:asciiTheme="minorHAnsi" w:hAnsiTheme="minorHAnsi" w:cstheme="minorHAnsi"/>
          <w:iCs/>
          <w:szCs w:val="24"/>
        </w:rPr>
        <w:t xml:space="preserve">Amendment Instrument </w:t>
      </w:r>
      <w:r w:rsidR="00847429">
        <w:rPr>
          <w:rFonts w:asciiTheme="minorHAnsi" w:hAnsiTheme="minorHAnsi" w:cstheme="minorHAnsi"/>
          <w:iCs/>
          <w:szCs w:val="24"/>
        </w:rPr>
        <w:t xml:space="preserve">is to amend the </w:t>
      </w:r>
      <w:r w:rsidR="00F22F1F">
        <w:rPr>
          <w:rFonts w:asciiTheme="minorHAnsi" w:hAnsiTheme="minorHAnsi" w:cstheme="minorHAnsi"/>
          <w:iCs/>
          <w:szCs w:val="24"/>
        </w:rPr>
        <w:t>Principal Instrument</w:t>
      </w:r>
      <w:r w:rsidR="00847429">
        <w:rPr>
          <w:rFonts w:asciiTheme="minorHAnsi" w:hAnsiTheme="minorHAnsi" w:cstheme="minorHAnsi"/>
          <w:iCs/>
          <w:szCs w:val="24"/>
        </w:rPr>
        <w:t xml:space="preserve"> to remove references to the Australian Institute of Professional Counsellors Pty Ltd</w:t>
      </w:r>
      <w:r w:rsidR="007C58DF">
        <w:rPr>
          <w:rFonts w:asciiTheme="minorHAnsi" w:hAnsiTheme="minorHAnsi" w:cstheme="minorHAnsi"/>
          <w:iCs/>
          <w:szCs w:val="24"/>
        </w:rPr>
        <w:t xml:space="preserve"> (AIPC)</w:t>
      </w:r>
      <w:r w:rsidR="00847429">
        <w:rPr>
          <w:rFonts w:asciiTheme="minorHAnsi" w:hAnsiTheme="minorHAnsi" w:cstheme="minorHAnsi"/>
          <w:iCs/>
          <w:szCs w:val="24"/>
        </w:rPr>
        <w:t xml:space="preserve"> (the approved higher education provider) being a trustee for the AIPC Trust. This </w:t>
      </w:r>
      <w:r w:rsidR="007C58DF" w:rsidRPr="007C58DF">
        <w:rPr>
          <w:rFonts w:asciiTheme="minorHAnsi" w:hAnsiTheme="minorHAnsi" w:cstheme="minorHAnsi"/>
          <w:iCs/>
          <w:szCs w:val="24"/>
        </w:rPr>
        <w:t>is a technical amendment which makes it clear</w:t>
      </w:r>
      <w:r w:rsidR="00847429">
        <w:rPr>
          <w:rFonts w:asciiTheme="minorHAnsi" w:hAnsiTheme="minorHAnsi" w:cstheme="minorHAnsi"/>
          <w:iCs/>
          <w:szCs w:val="24"/>
        </w:rPr>
        <w:t xml:space="preserve"> that </w:t>
      </w:r>
      <w:r w:rsidR="007C58DF">
        <w:rPr>
          <w:rFonts w:asciiTheme="minorHAnsi" w:hAnsiTheme="minorHAnsi" w:cstheme="minorHAnsi"/>
          <w:iCs/>
          <w:szCs w:val="24"/>
        </w:rPr>
        <w:t xml:space="preserve">AIPC is the legal entity that is approved as a higher education provider under the Act, and it is not relevant that AIPC may be a trustee of the </w:t>
      </w:r>
      <w:r w:rsidR="007C58DF" w:rsidRPr="007C58DF">
        <w:rPr>
          <w:rFonts w:asciiTheme="minorHAnsi" w:hAnsiTheme="minorHAnsi" w:cstheme="minorHAnsi"/>
          <w:iCs/>
          <w:szCs w:val="24"/>
        </w:rPr>
        <w:t>AIPC Trust</w:t>
      </w:r>
      <w:r w:rsidR="00847429">
        <w:rPr>
          <w:rFonts w:asciiTheme="minorHAnsi" w:hAnsiTheme="minorHAnsi" w:cstheme="minorHAnsi"/>
          <w:iCs/>
          <w:szCs w:val="24"/>
        </w:rPr>
        <w:t xml:space="preserve">. </w:t>
      </w:r>
      <w:r w:rsidR="000B4E7E" w:rsidRPr="000B4E7E">
        <w:rPr>
          <w:rFonts w:asciiTheme="minorHAnsi" w:hAnsiTheme="minorHAnsi" w:cstheme="minorHAnsi"/>
          <w:iCs/>
          <w:szCs w:val="24"/>
        </w:rPr>
        <w:t>This amendment does not affect the provision of higher education by AIPC.</w:t>
      </w:r>
    </w:p>
    <w:p w14:paraId="626F1531" w14:textId="21BCA2BF" w:rsidR="00350779" w:rsidRPr="00350779" w:rsidRDefault="00144950" w:rsidP="000C310A">
      <w:pPr>
        <w:pStyle w:val="Heading1"/>
      </w:pPr>
      <w:r>
        <w:t>IMPACT</w:t>
      </w:r>
      <w:r w:rsidR="00C90E38">
        <w:t xml:space="preserve"> </w:t>
      </w:r>
      <w:r w:rsidR="00C90E38" w:rsidRPr="00C90E38">
        <w:t>ANALYSIS</w:t>
      </w:r>
    </w:p>
    <w:p w14:paraId="3623DDEE" w14:textId="009C8321" w:rsidR="003E578D" w:rsidRDefault="003E578D" w:rsidP="00847429">
      <w:pPr>
        <w:spacing w:before="120" w:after="120"/>
        <w:rPr>
          <w:rFonts w:asciiTheme="minorHAnsi" w:hAnsiTheme="minorHAnsi" w:cstheme="minorHAnsi"/>
          <w:iCs/>
          <w:szCs w:val="24"/>
        </w:rPr>
      </w:pPr>
      <w:r w:rsidRPr="003E578D">
        <w:rPr>
          <w:rFonts w:asciiTheme="minorHAnsi" w:hAnsiTheme="minorHAnsi" w:cstheme="minorHAnsi"/>
          <w:iCs/>
          <w:szCs w:val="24"/>
        </w:rPr>
        <w:t>The Office of Impact Analysis has advised that the Instrument is unlikely to have more than a minor impact</w:t>
      </w:r>
      <w:r w:rsidRPr="003E578D">
        <w:t xml:space="preserve"> </w:t>
      </w:r>
      <w:r w:rsidRPr="003E578D">
        <w:rPr>
          <w:rFonts w:asciiTheme="minorHAnsi" w:hAnsiTheme="minorHAnsi" w:cstheme="minorHAnsi"/>
          <w:iCs/>
          <w:szCs w:val="24"/>
        </w:rPr>
        <w:t xml:space="preserve">as </w:t>
      </w:r>
      <w:r>
        <w:rPr>
          <w:rFonts w:asciiTheme="minorHAnsi" w:hAnsiTheme="minorHAnsi" w:cstheme="minorHAnsi"/>
          <w:iCs/>
          <w:szCs w:val="24"/>
        </w:rPr>
        <w:t>t</w:t>
      </w:r>
      <w:r w:rsidRPr="003E578D">
        <w:rPr>
          <w:rFonts w:asciiTheme="minorHAnsi" w:hAnsiTheme="minorHAnsi" w:cstheme="minorHAnsi"/>
          <w:iCs/>
          <w:szCs w:val="24"/>
        </w:rPr>
        <w:t>his amendment does not affect the provision of higher education by AIPC</w:t>
      </w:r>
      <w:r>
        <w:rPr>
          <w:rFonts w:asciiTheme="minorHAnsi" w:hAnsiTheme="minorHAnsi" w:cstheme="minorHAnsi"/>
          <w:iCs/>
          <w:szCs w:val="24"/>
        </w:rPr>
        <w:t xml:space="preserve"> </w:t>
      </w:r>
      <w:r w:rsidRPr="003E578D">
        <w:rPr>
          <w:rFonts w:asciiTheme="minorHAnsi" w:hAnsiTheme="minorHAnsi" w:cstheme="minorHAnsi"/>
          <w:iCs/>
          <w:szCs w:val="24"/>
        </w:rPr>
        <w:t>and therefore a</w:t>
      </w:r>
      <w:r>
        <w:rPr>
          <w:rFonts w:asciiTheme="minorHAnsi" w:hAnsiTheme="minorHAnsi" w:cstheme="minorHAnsi"/>
          <w:iCs/>
          <w:szCs w:val="24"/>
        </w:rPr>
        <w:t>n</w:t>
      </w:r>
      <w:r w:rsidRPr="003E578D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>Impact Analysis</w:t>
      </w:r>
      <w:r w:rsidRPr="003E578D">
        <w:rPr>
          <w:rFonts w:asciiTheme="minorHAnsi" w:hAnsiTheme="minorHAnsi" w:cstheme="minorHAnsi"/>
          <w:iCs/>
          <w:szCs w:val="24"/>
        </w:rPr>
        <w:t xml:space="preserve"> is not required for this Instrument (</w:t>
      </w:r>
      <w:r>
        <w:rPr>
          <w:rFonts w:asciiTheme="minorHAnsi" w:hAnsiTheme="minorHAnsi" w:cstheme="minorHAnsi"/>
          <w:iCs/>
          <w:szCs w:val="24"/>
        </w:rPr>
        <w:t>reference number OIA23-05466</w:t>
      </w:r>
      <w:r w:rsidRPr="003E578D">
        <w:rPr>
          <w:rFonts w:asciiTheme="minorHAnsi" w:hAnsiTheme="minorHAnsi" w:cstheme="minorHAnsi"/>
          <w:iCs/>
          <w:szCs w:val="24"/>
        </w:rPr>
        <w:t>).</w:t>
      </w:r>
    </w:p>
    <w:p w14:paraId="4818CCF0" w14:textId="77777777" w:rsidR="00696CF0" w:rsidRPr="0088497A" w:rsidRDefault="00144950" w:rsidP="000C310A">
      <w:pPr>
        <w:pStyle w:val="Heading1"/>
      </w:pPr>
      <w:r w:rsidRPr="0088497A">
        <w:t>COMMENC</w:t>
      </w:r>
      <w:r>
        <w:t>E</w:t>
      </w:r>
      <w:r w:rsidRPr="0088497A">
        <w:t>MENT</w:t>
      </w:r>
    </w:p>
    <w:p w14:paraId="7A7AF185" w14:textId="30FDBFC9" w:rsidR="00696CF0" w:rsidRPr="00E645CC" w:rsidRDefault="00E645CC" w:rsidP="00DA552F">
      <w:p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The Amendment Instrument commences on the day after it is registered on the Federal Register of Legislation.</w:t>
      </w:r>
    </w:p>
    <w:p w14:paraId="59906F74" w14:textId="77777777" w:rsidR="00696CF0" w:rsidRPr="008134D5" w:rsidRDefault="00144950" w:rsidP="000C310A">
      <w:pPr>
        <w:pStyle w:val="Heading1"/>
      </w:pPr>
      <w:bookmarkStart w:id="2" w:name="_Toc34293360"/>
      <w:r w:rsidRPr="008134D5">
        <w:lastRenderedPageBreak/>
        <w:t>CONSULTATION</w:t>
      </w:r>
      <w:bookmarkEnd w:id="2"/>
    </w:p>
    <w:p w14:paraId="6FCA77F1" w14:textId="7F5E3EE9" w:rsidR="003E578D" w:rsidRPr="00681C0B" w:rsidRDefault="003E578D" w:rsidP="00847429">
      <w:pPr>
        <w:rPr>
          <w:rFonts w:asciiTheme="minorHAnsi" w:hAnsiTheme="minorHAnsi"/>
        </w:rPr>
      </w:pPr>
      <w:r w:rsidRPr="003E578D">
        <w:rPr>
          <w:rFonts w:asciiTheme="minorHAnsi" w:hAnsiTheme="minorHAnsi"/>
        </w:rPr>
        <w:t xml:space="preserve">The department undertook consultation with </w:t>
      </w:r>
      <w:r>
        <w:rPr>
          <w:rFonts w:asciiTheme="minorHAnsi" w:hAnsiTheme="minorHAnsi"/>
        </w:rPr>
        <w:t>AIPC</w:t>
      </w:r>
      <w:r w:rsidR="00803253">
        <w:rPr>
          <w:rFonts w:asciiTheme="minorHAnsi" w:hAnsiTheme="minorHAnsi"/>
        </w:rPr>
        <w:t xml:space="preserve"> and the Tertiary Education Quality and Standards Agency (TEQSA) </w:t>
      </w:r>
      <w:r>
        <w:rPr>
          <w:rFonts w:asciiTheme="minorHAnsi" w:hAnsiTheme="minorHAnsi"/>
        </w:rPr>
        <w:t>to ensure they had no questions</w:t>
      </w:r>
      <w:r w:rsidR="00E1543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comments</w:t>
      </w:r>
      <w:proofErr w:type="gramEnd"/>
      <w:r>
        <w:rPr>
          <w:rFonts w:asciiTheme="minorHAnsi" w:hAnsiTheme="minorHAnsi"/>
        </w:rPr>
        <w:t xml:space="preserve"> or concerns</w:t>
      </w:r>
      <w:r w:rsidR="00803253">
        <w:rPr>
          <w:rFonts w:asciiTheme="minorHAnsi" w:hAnsiTheme="minorHAnsi"/>
        </w:rPr>
        <w:t xml:space="preserve"> with the proposal to</w:t>
      </w:r>
      <w:r w:rsidR="00803253" w:rsidRPr="00803253">
        <w:rPr>
          <w:rFonts w:asciiTheme="minorHAnsi" w:hAnsiTheme="minorHAnsi"/>
        </w:rPr>
        <w:t xml:space="preserve"> </w:t>
      </w:r>
      <w:r w:rsidR="00803253">
        <w:rPr>
          <w:rFonts w:asciiTheme="minorHAnsi" w:hAnsiTheme="minorHAnsi"/>
        </w:rPr>
        <w:t xml:space="preserve">amend </w:t>
      </w:r>
      <w:r w:rsidR="00F22F1F">
        <w:rPr>
          <w:rFonts w:asciiTheme="minorHAnsi" w:hAnsiTheme="minorHAnsi"/>
        </w:rPr>
        <w:t>the Principal Instrument</w:t>
      </w:r>
      <w:r w:rsidR="00803253">
        <w:rPr>
          <w:rFonts w:asciiTheme="minorHAnsi" w:hAnsiTheme="minorHAnsi"/>
        </w:rPr>
        <w:t xml:space="preserve">. Both </w:t>
      </w:r>
      <w:r>
        <w:rPr>
          <w:rFonts w:asciiTheme="minorHAnsi" w:hAnsiTheme="minorHAnsi"/>
        </w:rPr>
        <w:t xml:space="preserve">AIPC </w:t>
      </w:r>
      <w:r w:rsidR="00803253">
        <w:rPr>
          <w:rFonts w:asciiTheme="minorHAnsi" w:hAnsiTheme="minorHAnsi"/>
        </w:rPr>
        <w:t>and TEQSA were</w:t>
      </w:r>
      <w:r>
        <w:rPr>
          <w:rFonts w:asciiTheme="minorHAnsi" w:hAnsiTheme="minorHAnsi"/>
        </w:rPr>
        <w:t xml:space="preserve"> supportive of the proposal</w:t>
      </w:r>
      <w:r w:rsidR="00803253">
        <w:rPr>
          <w:rFonts w:asciiTheme="minorHAnsi" w:hAnsiTheme="minorHAnsi"/>
        </w:rPr>
        <w:t xml:space="preserve">. </w:t>
      </w:r>
      <w:r w:rsidRPr="003E578D">
        <w:rPr>
          <w:rFonts w:asciiTheme="minorHAnsi" w:hAnsiTheme="minorHAnsi"/>
        </w:rPr>
        <w:t xml:space="preserve">Public consultation was not undertaken or considered necessary as </w:t>
      </w:r>
      <w:r w:rsidR="00803253">
        <w:rPr>
          <w:rFonts w:asciiTheme="minorHAnsi" w:hAnsiTheme="minorHAnsi"/>
        </w:rPr>
        <w:t>AIPC</w:t>
      </w:r>
      <w:r w:rsidRPr="003E578D">
        <w:rPr>
          <w:rFonts w:asciiTheme="minorHAnsi" w:hAnsiTheme="minorHAnsi"/>
        </w:rPr>
        <w:t xml:space="preserve"> is the only body affected by the notice. </w:t>
      </w:r>
      <w:r w:rsidRPr="003E578D">
        <w:rPr>
          <w:rFonts w:asciiTheme="minorHAnsi" w:hAnsiTheme="minorHAnsi"/>
        </w:rPr>
        <w:t> </w:t>
      </w:r>
    </w:p>
    <w:p w14:paraId="55A61931" w14:textId="77777777" w:rsidR="00681C0B" w:rsidRDefault="00681C0B" w:rsidP="000C310A">
      <w:pPr>
        <w:pStyle w:val="Title"/>
      </w:pPr>
      <w:r>
        <w:br w:type="page"/>
      </w:r>
    </w:p>
    <w:p w14:paraId="2023D52E" w14:textId="77777777" w:rsidR="00DA552F" w:rsidRPr="0080510C" w:rsidRDefault="00DA552F" w:rsidP="000C310A">
      <w:pPr>
        <w:pStyle w:val="Title"/>
      </w:pPr>
      <w:bookmarkStart w:id="3" w:name="_Toc23942241"/>
      <w:bookmarkStart w:id="4" w:name="_Toc34293362"/>
      <w:r w:rsidRPr="0080510C">
        <w:rPr>
          <w:u w:val="none"/>
        </w:rPr>
        <w:lastRenderedPageBreak/>
        <w:t>STATEMENT OF COMPATIBILITY WITH HUMAN RIGHTS</w:t>
      </w:r>
      <w:bookmarkEnd w:id="3"/>
      <w:bookmarkEnd w:id="4"/>
    </w:p>
    <w:p w14:paraId="19B61A02" w14:textId="77777777" w:rsidR="00DA552F" w:rsidRPr="008134D5" w:rsidRDefault="00DA552F" w:rsidP="00DA552F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i/>
          <w:szCs w:val="24"/>
        </w:rPr>
        <w:t xml:space="preserve">Prepared in accordance with Part 3 of the Human Rights (Parliamentary </w:t>
      </w:r>
      <w:r w:rsidR="003440C7" w:rsidRPr="008134D5">
        <w:rPr>
          <w:rFonts w:asciiTheme="minorHAnsi" w:hAnsiTheme="minorHAnsi" w:cstheme="minorHAnsi"/>
          <w:i/>
          <w:szCs w:val="24"/>
        </w:rPr>
        <w:t>Scrutiny) Act 2011</w:t>
      </w:r>
    </w:p>
    <w:p w14:paraId="7A107F76" w14:textId="48512281" w:rsidR="00DA552F" w:rsidRPr="008A34E6" w:rsidRDefault="00E645CC" w:rsidP="000C310A">
      <w:pPr>
        <w:pStyle w:val="Subtitle"/>
        <w:rPr>
          <w:bCs/>
          <w:u w:val="single"/>
        </w:rPr>
      </w:pPr>
      <w:r w:rsidRPr="0080077D">
        <w:rPr>
          <w:b w:val="0"/>
          <w:bCs/>
          <w:u w:val="single"/>
        </w:rPr>
        <w:t xml:space="preserve">Higher Education </w:t>
      </w:r>
      <w:r w:rsidR="00847429">
        <w:rPr>
          <w:b w:val="0"/>
          <w:bCs/>
          <w:u w:val="single"/>
        </w:rPr>
        <w:t>Provider Approval (No. 11 of 2012) Amendment Instrument 202</w:t>
      </w:r>
      <w:r w:rsidR="00DD29C1">
        <w:rPr>
          <w:b w:val="0"/>
          <w:bCs/>
          <w:u w:val="single"/>
        </w:rPr>
        <w:t>4</w:t>
      </w:r>
    </w:p>
    <w:p w14:paraId="65F6CFAB" w14:textId="48F8AD5F" w:rsidR="00DA552F" w:rsidRPr="008134D5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szCs w:val="24"/>
        </w:rPr>
        <w:t xml:space="preserve">The </w:t>
      </w:r>
      <w:r w:rsidR="00847429">
        <w:rPr>
          <w:rFonts w:asciiTheme="minorHAnsi" w:hAnsiTheme="minorHAnsi" w:cstheme="minorHAnsi"/>
          <w:i/>
          <w:iCs/>
          <w:szCs w:val="24"/>
        </w:rPr>
        <w:t>Higher Education Provider Approval (No. 11 of 2012) Amendment Instrument 202</w:t>
      </w:r>
      <w:r w:rsidR="00DD29C1">
        <w:rPr>
          <w:rFonts w:asciiTheme="minorHAnsi" w:hAnsiTheme="minorHAnsi" w:cstheme="minorHAnsi"/>
          <w:i/>
          <w:iCs/>
          <w:szCs w:val="24"/>
        </w:rPr>
        <w:t>4</w:t>
      </w:r>
      <w:r w:rsidR="001E52EB">
        <w:rPr>
          <w:rFonts w:asciiTheme="minorHAnsi" w:hAnsiTheme="minorHAnsi" w:cstheme="minorHAnsi"/>
          <w:szCs w:val="24"/>
        </w:rPr>
        <w:t xml:space="preserve">(the </w:t>
      </w:r>
      <w:r w:rsidR="00E645CC">
        <w:rPr>
          <w:rFonts w:asciiTheme="minorHAnsi" w:hAnsiTheme="minorHAnsi" w:cstheme="minorHAnsi"/>
          <w:szCs w:val="24"/>
        </w:rPr>
        <w:t xml:space="preserve">Amendment </w:t>
      </w:r>
      <w:r w:rsidR="00FF6E25">
        <w:rPr>
          <w:rFonts w:asciiTheme="minorHAnsi" w:hAnsiTheme="minorHAnsi" w:cstheme="minorHAnsi"/>
          <w:szCs w:val="24"/>
        </w:rPr>
        <w:t>Instrument</w:t>
      </w:r>
      <w:r w:rsidR="001E52EB">
        <w:rPr>
          <w:rFonts w:asciiTheme="minorHAnsi" w:hAnsiTheme="minorHAnsi" w:cstheme="minorHAnsi"/>
          <w:szCs w:val="24"/>
        </w:rPr>
        <w:t xml:space="preserve">) </w:t>
      </w:r>
      <w:r w:rsidR="002B5C28">
        <w:rPr>
          <w:rFonts w:asciiTheme="minorHAnsi" w:hAnsiTheme="minorHAnsi" w:cstheme="minorHAnsi"/>
          <w:szCs w:val="24"/>
        </w:rPr>
        <w:t xml:space="preserve">is </w:t>
      </w:r>
      <w:r w:rsidRPr="008134D5">
        <w:rPr>
          <w:rFonts w:asciiTheme="minorHAnsi" w:hAnsiTheme="minorHAnsi" w:cstheme="minorHAnsi"/>
          <w:szCs w:val="24"/>
        </w:rPr>
        <w:t xml:space="preserve">compatible with the human rights and freedoms recognised or declared in the international instruments listed in section 3 of the </w:t>
      </w:r>
      <w:r w:rsidRPr="008134D5">
        <w:rPr>
          <w:rFonts w:asciiTheme="minorHAnsi" w:hAnsiTheme="minorHAnsi" w:cstheme="minorHAnsi"/>
          <w:i/>
          <w:szCs w:val="24"/>
        </w:rPr>
        <w:t>Human Rights (Parliamentary Scrutiny) Act 2011</w:t>
      </w:r>
      <w:r w:rsidRPr="008134D5">
        <w:rPr>
          <w:rFonts w:asciiTheme="minorHAnsi" w:hAnsiTheme="minorHAnsi" w:cstheme="minorHAnsi"/>
          <w:szCs w:val="24"/>
        </w:rPr>
        <w:t>.</w:t>
      </w:r>
    </w:p>
    <w:p w14:paraId="4889D26D" w14:textId="28589A1B" w:rsidR="00F9205E" w:rsidRPr="00774144" w:rsidRDefault="00F9205E" w:rsidP="000C310A">
      <w:pPr>
        <w:pStyle w:val="Heading2"/>
      </w:pPr>
      <w:r w:rsidRPr="00774144">
        <w:t xml:space="preserve">Overview of the </w:t>
      </w:r>
      <w:r w:rsidR="002C40FB" w:rsidRPr="00774144">
        <w:t>Legislative Instrument</w:t>
      </w:r>
    </w:p>
    <w:p w14:paraId="01C94B53" w14:textId="7A97BE7A" w:rsidR="00847429" w:rsidRDefault="00847429" w:rsidP="00847429">
      <w:p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The purpose of the Amendment Instrument is to amend the </w:t>
      </w:r>
      <w:r>
        <w:rPr>
          <w:rFonts w:asciiTheme="minorHAnsi" w:hAnsiTheme="minorHAnsi" w:cstheme="minorHAnsi"/>
          <w:i/>
          <w:szCs w:val="24"/>
        </w:rPr>
        <w:t>Higher Education Provider Approval No. 11 of 2012</w:t>
      </w:r>
      <w:r>
        <w:rPr>
          <w:rFonts w:asciiTheme="minorHAnsi" w:hAnsiTheme="minorHAnsi" w:cstheme="minorHAnsi"/>
          <w:iCs/>
          <w:szCs w:val="24"/>
        </w:rPr>
        <w:t xml:space="preserve"> </w:t>
      </w:r>
      <w:r w:rsidR="0094483B">
        <w:rPr>
          <w:rFonts w:asciiTheme="minorHAnsi" w:hAnsiTheme="minorHAnsi" w:cstheme="minorHAnsi"/>
          <w:iCs/>
          <w:szCs w:val="24"/>
        </w:rPr>
        <w:t xml:space="preserve">(the Principal Instrument) </w:t>
      </w:r>
      <w:r>
        <w:rPr>
          <w:rFonts w:asciiTheme="minorHAnsi" w:hAnsiTheme="minorHAnsi" w:cstheme="minorHAnsi"/>
          <w:iCs/>
          <w:szCs w:val="24"/>
        </w:rPr>
        <w:t xml:space="preserve">to remove references to the Australian Institute of Professional Counsellors Pty Ltd </w:t>
      </w:r>
      <w:r w:rsidR="007C58DF">
        <w:rPr>
          <w:rFonts w:asciiTheme="minorHAnsi" w:hAnsiTheme="minorHAnsi" w:cstheme="minorHAnsi"/>
          <w:iCs/>
          <w:szCs w:val="24"/>
        </w:rPr>
        <w:t xml:space="preserve">(AIPC) </w:t>
      </w:r>
      <w:r>
        <w:rPr>
          <w:rFonts w:asciiTheme="minorHAnsi" w:hAnsiTheme="minorHAnsi" w:cstheme="minorHAnsi"/>
          <w:iCs/>
          <w:szCs w:val="24"/>
        </w:rPr>
        <w:t>(the approved higher education provider) being a trustee for the AIPC Trust. This</w:t>
      </w:r>
      <w:r w:rsidR="007C58DF">
        <w:rPr>
          <w:rFonts w:asciiTheme="minorHAnsi" w:hAnsiTheme="minorHAnsi" w:cstheme="minorHAnsi"/>
          <w:iCs/>
          <w:szCs w:val="24"/>
        </w:rPr>
        <w:t xml:space="preserve"> is a technical amendment</w:t>
      </w:r>
      <w:r>
        <w:rPr>
          <w:rFonts w:asciiTheme="minorHAnsi" w:hAnsiTheme="minorHAnsi" w:cstheme="minorHAnsi"/>
          <w:iCs/>
          <w:szCs w:val="24"/>
        </w:rPr>
        <w:t xml:space="preserve"> </w:t>
      </w:r>
      <w:r w:rsidR="007C58DF">
        <w:rPr>
          <w:rFonts w:asciiTheme="minorHAnsi" w:hAnsiTheme="minorHAnsi" w:cstheme="minorHAnsi"/>
          <w:iCs/>
          <w:szCs w:val="24"/>
        </w:rPr>
        <w:t>which makes it clear</w:t>
      </w:r>
      <w:r>
        <w:rPr>
          <w:rFonts w:asciiTheme="minorHAnsi" w:hAnsiTheme="minorHAnsi" w:cstheme="minorHAnsi"/>
          <w:iCs/>
          <w:szCs w:val="24"/>
        </w:rPr>
        <w:t xml:space="preserve"> that </w:t>
      </w:r>
      <w:r w:rsidR="007C58DF" w:rsidRPr="007C58DF">
        <w:rPr>
          <w:rFonts w:asciiTheme="minorHAnsi" w:hAnsiTheme="minorHAnsi" w:cstheme="minorHAnsi"/>
          <w:iCs/>
          <w:szCs w:val="24"/>
        </w:rPr>
        <w:t xml:space="preserve">AIPC is the legal entity that is approved as a higher education provider under </w:t>
      </w:r>
      <w:r w:rsidR="001912ED">
        <w:rPr>
          <w:rFonts w:asciiTheme="minorHAnsi" w:hAnsiTheme="minorHAnsi" w:cstheme="minorHAnsi"/>
          <w:iCs/>
          <w:szCs w:val="24"/>
        </w:rPr>
        <w:t xml:space="preserve">the </w:t>
      </w:r>
      <w:r w:rsidR="001912ED">
        <w:rPr>
          <w:rFonts w:asciiTheme="minorHAnsi" w:hAnsiTheme="minorHAnsi" w:cstheme="minorHAnsi"/>
          <w:i/>
          <w:szCs w:val="24"/>
        </w:rPr>
        <w:t xml:space="preserve">Higher Education Support Act </w:t>
      </w:r>
      <w:r w:rsidR="00737A51">
        <w:rPr>
          <w:rFonts w:asciiTheme="minorHAnsi" w:hAnsiTheme="minorHAnsi" w:cstheme="minorHAnsi"/>
          <w:i/>
          <w:szCs w:val="24"/>
        </w:rPr>
        <w:t>2003</w:t>
      </w:r>
      <w:r w:rsidR="00887926">
        <w:rPr>
          <w:rFonts w:asciiTheme="minorHAnsi" w:hAnsiTheme="minorHAnsi" w:cstheme="minorHAnsi"/>
          <w:i/>
          <w:szCs w:val="24"/>
        </w:rPr>
        <w:t xml:space="preserve"> </w:t>
      </w:r>
      <w:r w:rsidR="00887926">
        <w:rPr>
          <w:rFonts w:asciiTheme="minorHAnsi" w:hAnsiTheme="minorHAnsi" w:cstheme="minorHAnsi"/>
          <w:iCs/>
          <w:szCs w:val="24"/>
        </w:rPr>
        <w:t>(</w:t>
      </w:r>
      <w:r w:rsidR="007C58DF" w:rsidRPr="007C58DF">
        <w:rPr>
          <w:rFonts w:asciiTheme="minorHAnsi" w:hAnsiTheme="minorHAnsi" w:cstheme="minorHAnsi"/>
          <w:iCs/>
          <w:szCs w:val="24"/>
        </w:rPr>
        <w:t>the Act</w:t>
      </w:r>
      <w:r w:rsidR="00887926">
        <w:rPr>
          <w:rFonts w:asciiTheme="minorHAnsi" w:hAnsiTheme="minorHAnsi" w:cstheme="minorHAnsi"/>
          <w:iCs/>
          <w:szCs w:val="24"/>
        </w:rPr>
        <w:t>)</w:t>
      </w:r>
      <w:r w:rsidR="007C58DF" w:rsidRPr="007C58DF">
        <w:rPr>
          <w:rFonts w:asciiTheme="minorHAnsi" w:hAnsiTheme="minorHAnsi" w:cstheme="minorHAnsi"/>
          <w:iCs/>
          <w:szCs w:val="24"/>
        </w:rPr>
        <w:t>, and it is not relevant that AIPC may be a trustee of the AIPC Trust</w:t>
      </w:r>
      <w:r>
        <w:rPr>
          <w:rFonts w:asciiTheme="minorHAnsi" w:hAnsiTheme="minorHAnsi" w:cstheme="minorHAnsi"/>
          <w:iCs/>
          <w:szCs w:val="24"/>
        </w:rPr>
        <w:t xml:space="preserve">. </w:t>
      </w:r>
      <w:r w:rsidR="00F06A48">
        <w:rPr>
          <w:rFonts w:asciiTheme="minorHAnsi" w:hAnsiTheme="minorHAnsi" w:cstheme="minorHAnsi"/>
          <w:iCs/>
          <w:szCs w:val="24"/>
        </w:rPr>
        <w:t xml:space="preserve">This amendment does not affect the provision of higher education by AIPC. </w:t>
      </w:r>
    </w:p>
    <w:p w14:paraId="57CC71C9" w14:textId="77777777" w:rsidR="00F9205E" w:rsidRPr="008134D5" w:rsidRDefault="00F9205E" w:rsidP="000C310A">
      <w:pPr>
        <w:pStyle w:val="Heading2"/>
      </w:pPr>
      <w:r w:rsidRPr="008134D5">
        <w:t>Human rights implications</w:t>
      </w:r>
    </w:p>
    <w:p w14:paraId="22C0C3C1" w14:textId="4FA01D64" w:rsidR="002017E4" w:rsidRDefault="002017E4" w:rsidP="002017E4">
      <w:pPr>
        <w:pStyle w:val="Heading3"/>
        <w:rPr>
          <w:iCs/>
          <w:u w:val="none"/>
        </w:rPr>
      </w:pPr>
      <w:r>
        <w:rPr>
          <w:u w:val="none"/>
        </w:rPr>
        <w:t xml:space="preserve">The purpose of the Amendment Instrument is to make a minor technical amendment to make clear that AIPC </w:t>
      </w:r>
      <w:r w:rsidRPr="002017E4">
        <w:rPr>
          <w:iCs/>
          <w:u w:val="none"/>
        </w:rPr>
        <w:t>is the legal entity that is approved as a higher education provider under the Act, and it is not relevant that AIPC may be a trustee of the AIPC Trust. This amendment does not affect the provision of higher education by AIPC</w:t>
      </w:r>
      <w:r>
        <w:rPr>
          <w:iCs/>
          <w:u w:val="none"/>
        </w:rPr>
        <w:t xml:space="preserve">. </w:t>
      </w:r>
    </w:p>
    <w:p w14:paraId="72DA48E0" w14:textId="498B0D1C" w:rsidR="002017E4" w:rsidRPr="002017E4" w:rsidRDefault="002017E4" w:rsidP="002017E4">
      <w:pPr>
        <w:pStyle w:val="Heading3"/>
        <w:rPr>
          <w:u w:val="none"/>
        </w:rPr>
      </w:pPr>
      <w:r w:rsidRPr="002017E4">
        <w:rPr>
          <w:u w:val="none"/>
        </w:rPr>
        <w:t xml:space="preserve">As </w:t>
      </w:r>
      <w:r>
        <w:rPr>
          <w:u w:val="none"/>
        </w:rPr>
        <w:t>the Amendment Instrument only makes a technical change to the approval of AIPC, it does not impact any human rights.</w:t>
      </w:r>
    </w:p>
    <w:p w14:paraId="0D664062" w14:textId="77777777" w:rsidR="00DA552F" w:rsidRPr="008134D5" w:rsidRDefault="00F9205E" w:rsidP="000C310A">
      <w:pPr>
        <w:pStyle w:val="Heading2"/>
      </w:pPr>
      <w:r w:rsidRPr="008134D5">
        <w:t>Conclusion</w:t>
      </w:r>
    </w:p>
    <w:p w14:paraId="5BB8245D" w14:textId="77777777" w:rsidR="00152A57" w:rsidRPr="00152A57" w:rsidRDefault="00152A57" w:rsidP="00152A57">
      <w:pPr>
        <w:rPr>
          <w:rFonts w:asciiTheme="minorHAnsi" w:hAnsiTheme="minorHAnsi" w:cstheme="minorHAnsi"/>
          <w:szCs w:val="24"/>
        </w:rPr>
      </w:pPr>
      <w:r w:rsidRPr="00152A57">
        <w:rPr>
          <w:rFonts w:asciiTheme="minorHAnsi" w:hAnsiTheme="minorHAnsi" w:cstheme="minorHAnsi"/>
          <w:szCs w:val="24"/>
        </w:rPr>
        <w:t>This instrument is compatible with human rights as it does not raise any human rights issues.</w:t>
      </w:r>
    </w:p>
    <w:p w14:paraId="49175299" w14:textId="77777777" w:rsidR="00D8103E" w:rsidRPr="008134D5" w:rsidRDefault="00D8103E" w:rsidP="00DA552F">
      <w:pPr>
        <w:spacing w:before="120" w:after="120"/>
        <w:rPr>
          <w:rFonts w:asciiTheme="minorHAnsi" w:hAnsiTheme="minorHAnsi" w:cstheme="minorHAnsi"/>
          <w:b/>
          <w:szCs w:val="24"/>
        </w:rPr>
      </w:pPr>
    </w:p>
    <w:p w14:paraId="3C29FF1A" w14:textId="25CA9AAA" w:rsidR="009D7566" w:rsidRPr="008134D5" w:rsidRDefault="009D7566" w:rsidP="009D7566">
      <w:pPr>
        <w:spacing w:after="160" w:line="259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Delegate of the </w:t>
      </w:r>
      <w:r w:rsidRPr="008134D5">
        <w:rPr>
          <w:rFonts w:asciiTheme="minorHAnsi" w:hAnsiTheme="minorHAnsi" w:cstheme="minorHAnsi"/>
          <w:b/>
          <w:szCs w:val="24"/>
        </w:rPr>
        <w:t xml:space="preserve">Minister for </w:t>
      </w:r>
      <w:r>
        <w:rPr>
          <w:rFonts w:asciiTheme="minorHAnsi" w:hAnsiTheme="minorHAnsi" w:cstheme="minorHAnsi"/>
          <w:b/>
          <w:szCs w:val="24"/>
        </w:rPr>
        <w:t xml:space="preserve">Education, </w:t>
      </w:r>
      <w:r w:rsidR="00DD29C1">
        <w:rPr>
          <w:rFonts w:asciiTheme="minorHAnsi" w:hAnsiTheme="minorHAnsi" w:cstheme="minorHAnsi"/>
          <w:b/>
          <w:szCs w:val="24"/>
        </w:rPr>
        <w:t>Peta Brill</w:t>
      </w:r>
    </w:p>
    <w:p w14:paraId="1103BC73" w14:textId="77777777" w:rsidR="00DA552F" w:rsidRPr="008134D5" w:rsidRDefault="00DA552F" w:rsidP="00DA552F">
      <w:pPr>
        <w:spacing w:before="240" w:after="240"/>
        <w:rPr>
          <w:rFonts w:asciiTheme="minorHAnsi" w:hAnsiTheme="minorHAnsi" w:cstheme="minorHAnsi"/>
          <w:szCs w:val="24"/>
        </w:rPr>
        <w:sectPr w:rsidR="00DA552F" w:rsidRPr="008134D5" w:rsidSect="00785B1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92B2E5C" w14:textId="4D327B3F" w:rsidR="00DA552F" w:rsidRPr="00A60777" w:rsidRDefault="00A60777" w:rsidP="000C310A">
      <w:pPr>
        <w:pStyle w:val="Title"/>
        <w:rPr>
          <w:b w:val="0"/>
        </w:rPr>
      </w:pPr>
      <w:r w:rsidRPr="00A60777">
        <w:rPr>
          <w:u w:val="none"/>
        </w:rPr>
        <w:lastRenderedPageBreak/>
        <w:t xml:space="preserve">HIGHER EDUCATION </w:t>
      </w:r>
      <w:r w:rsidR="00153F23">
        <w:rPr>
          <w:u w:val="none"/>
        </w:rPr>
        <w:t>PROVIDER APPROVAL (NO. 11 OF 2012) AMENDMENT INSTRUMENT 202</w:t>
      </w:r>
      <w:r w:rsidR="00DD29C1">
        <w:rPr>
          <w:u w:val="none"/>
        </w:rPr>
        <w:t>4</w:t>
      </w:r>
    </w:p>
    <w:p w14:paraId="289E50B9" w14:textId="77777777" w:rsidR="00DA552F" w:rsidRPr="008134D5" w:rsidRDefault="00DB6247" w:rsidP="000C310A">
      <w:pPr>
        <w:pStyle w:val="Heading1"/>
      </w:pPr>
      <w:r>
        <w:t>EXPLANATION OF PROVISIONS</w:t>
      </w:r>
    </w:p>
    <w:p w14:paraId="5C8B7FC1" w14:textId="77777777" w:rsidR="00DA552F" w:rsidRPr="000C310A" w:rsidRDefault="00DB6247" w:rsidP="000C310A">
      <w:pPr>
        <w:pStyle w:val="Heading3"/>
        <w:spacing w:before="240"/>
        <w:rPr>
          <w:b/>
          <w:bCs/>
        </w:rPr>
      </w:pPr>
      <w:r w:rsidRPr="000C310A">
        <w:rPr>
          <w:b/>
          <w:bCs/>
        </w:rPr>
        <w:t>Section</w:t>
      </w:r>
      <w:r w:rsidR="00DA552F" w:rsidRPr="000C310A">
        <w:rPr>
          <w:b/>
          <w:bCs/>
        </w:rPr>
        <w:t xml:space="preserve"> 1: </w:t>
      </w:r>
      <w:r w:rsidR="00E631F9" w:rsidRPr="000C310A">
        <w:rPr>
          <w:b/>
          <w:bCs/>
        </w:rPr>
        <w:t>Name</w:t>
      </w:r>
    </w:p>
    <w:p w14:paraId="30BF8498" w14:textId="0C222D3F" w:rsidR="00A60777" w:rsidRDefault="00A60777" w:rsidP="00760FF8">
      <w:pPr>
        <w:pStyle w:val="ListParagraph"/>
        <w:numPr>
          <w:ilvl w:val="0"/>
          <w:numId w:val="4"/>
        </w:numPr>
        <w:spacing w:before="36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This section specifies the name of the instrument as the </w:t>
      </w:r>
      <w:r w:rsidR="00EB4D16">
        <w:rPr>
          <w:rFonts w:asciiTheme="minorHAnsi" w:hAnsiTheme="minorHAnsi" w:cstheme="minorHAnsi"/>
          <w:i/>
          <w:iCs/>
          <w:szCs w:val="24"/>
        </w:rPr>
        <w:t>Higher Education Provider Approval (No. 11 of 2012) Amendment Instrument 202</w:t>
      </w:r>
      <w:r w:rsidR="00DD29C1">
        <w:rPr>
          <w:rFonts w:asciiTheme="minorHAnsi" w:hAnsiTheme="minorHAnsi" w:cstheme="minorHAnsi"/>
          <w:i/>
          <w:iCs/>
          <w:szCs w:val="24"/>
        </w:rPr>
        <w:t xml:space="preserve">4 </w:t>
      </w:r>
      <w:r>
        <w:rPr>
          <w:rFonts w:asciiTheme="minorHAnsi" w:hAnsiTheme="minorHAnsi" w:cstheme="minorHAnsi"/>
          <w:szCs w:val="24"/>
        </w:rPr>
        <w:t xml:space="preserve">(the Amendment Instrument). </w:t>
      </w:r>
    </w:p>
    <w:p w14:paraId="153E9ACC" w14:textId="77777777" w:rsidR="00DA552F" w:rsidRPr="000C310A" w:rsidRDefault="00DB6247" w:rsidP="000C310A">
      <w:pPr>
        <w:pStyle w:val="Heading3"/>
        <w:spacing w:before="240"/>
        <w:rPr>
          <w:b/>
          <w:bCs/>
        </w:rPr>
      </w:pPr>
      <w:r w:rsidRPr="000C310A">
        <w:rPr>
          <w:b/>
          <w:bCs/>
        </w:rPr>
        <w:t>Section</w:t>
      </w:r>
      <w:r w:rsidR="00DA552F" w:rsidRPr="000C310A">
        <w:rPr>
          <w:b/>
          <w:bCs/>
        </w:rPr>
        <w:t xml:space="preserve"> 2: Commencement</w:t>
      </w:r>
    </w:p>
    <w:p w14:paraId="538C9C75" w14:textId="77777777" w:rsidR="00A60777" w:rsidRDefault="00A60777" w:rsidP="00760FF8">
      <w:pPr>
        <w:pStyle w:val="ListParagraph"/>
        <w:keepNext/>
        <w:numPr>
          <w:ilvl w:val="0"/>
          <w:numId w:val="4"/>
        </w:numPr>
        <w:spacing w:before="360" w:after="1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This section provides that the Amendment Instrument commences on the day after it is registered on the Federal Register of Legislation.</w:t>
      </w:r>
    </w:p>
    <w:p w14:paraId="3287C071" w14:textId="77777777" w:rsidR="00E631F9" w:rsidRPr="000C310A" w:rsidRDefault="00E631F9" w:rsidP="000C310A">
      <w:pPr>
        <w:pStyle w:val="Heading3"/>
        <w:spacing w:before="240"/>
        <w:rPr>
          <w:b/>
          <w:bCs/>
        </w:rPr>
      </w:pPr>
      <w:r w:rsidRPr="000C310A">
        <w:rPr>
          <w:b/>
          <w:bCs/>
        </w:rPr>
        <w:t>Section 3: Authority</w:t>
      </w:r>
    </w:p>
    <w:p w14:paraId="394D06A5" w14:textId="5291AAB1" w:rsidR="00A60777" w:rsidRDefault="00A60777" w:rsidP="00760FF8">
      <w:pPr>
        <w:pStyle w:val="ListParagraph"/>
        <w:keepNext/>
        <w:numPr>
          <w:ilvl w:val="0"/>
          <w:numId w:val="4"/>
        </w:numPr>
        <w:spacing w:before="360" w:after="1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This section provides that the Amendment Instrument is made under </w:t>
      </w:r>
      <w:r w:rsidR="00AA5B9A" w:rsidRPr="00AA5B9A">
        <w:rPr>
          <w:rFonts w:asciiTheme="minorHAnsi" w:hAnsiTheme="minorHAnsi" w:cstheme="minorHAnsi"/>
          <w:iCs/>
        </w:rPr>
        <w:t xml:space="preserve">section 16-25 and paragraph 16-50(1)(b) </w:t>
      </w:r>
      <w:r>
        <w:rPr>
          <w:rFonts w:asciiTheme="minorHAnsi" w:hAnsiTheme="minorHAnsi" w:cstheme="minorHAnsi"/>
          <w:iCs/>
        </w:rPr>
        <w:t xml:space="preserve">of the </w:t>
      </w:r>
      <w:r>
        <w:rPr>
          <w:rFonts w:asciiTheme="minorHAnsi" w:hAnsiTheme="minorHAnsi" w:cstheme="minorHAnsi"/>
          <w:i/>
        </w:rPr>
        <w:t xml:space="preserve">Higher Education Support Act 2003 </w:t>
      </w:r>
      <w:r>
        <w:rPr>
          <w:rFonts w:asciiTheme="minorHAnsi" w:hAnsiTheme="minorHAnsi" w:cstheme="minorHAnsi"/>
          <w:iCs/>
        </w:rPr>
        <w:t xml:space="preserve">(the Act). </w:t>
      </w:r>
    </w:p>
    <w:p w14:paraId="41B5753B" w14:textId="77777777" w:rsidR="00A60777" w:rsidRDefault="00A60777" w:rsidP="00A60777">
      <w:pPr>
        <w:pStyle w:val="Heading3"/>
        <w:spacing w:before="240"/>
        <w:rPr>
          <w:b/>
          <w:bCs/>
        </w:rPr>
      </w:pPr>
      <w:r>
        <w:rPr>
          <w:b/>
          <w:bCs/>
        </w:rPr>
        <w:t>Section 4: Schedules</w:t>
      </w:r>
    </w:p>
    <w:p w14:paraId="695F2E73" w14:textId="77777777" w:rsidR="00A60777" w:rsidRDefault="00A60777" w:rsidP="00760FF8">
      <w:pPr>
        <w:pStyle w:val="ListParagraph"/>
        <w:numPr>
          <w:ilvl w:val="0"/>
          <w:numId w:val="4"/>
        </w:numPr>
        <w:spacing w:before="36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This is a technical provision that explains that each instrument that is specified in a Schedule to the Amendment Instrument is amended or repealed as set out in the applicable items in the Schedule concerned. </w:t>
      </w:r>
    </w:p>
    <w:p w14:paraId="4F1912AF" w14:textId="77777777" w:rsidR="00A60777" w:rsidRDefault="00A60777" w:rsidP="00A60777">
      <w:pPr>
        <w:spacing w:before="36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b/>
          <w:bCs/>
          <w:iCs/>
          <w:szCs w:val="24"/>
          <w:u w:val="single"/>
        </w:rPr>
        <w:t>Schedule 1 – Amendments</w:t>
      </w:r>
    </w:p>
    <w:p w14:paraId="0FEE9806" w14:textId="5ABA0587" w:rsidR="00A60777" w:rsidRDefault="00A60777" w:rsidP="00A60777">
      <w:pPr>
        <w:spacing w:before="36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Higher Education </w:t>
      </w:r>
      <w:r w:rsidR="00EB4D16">
        <w:rPr>
          <w:rFonts w:asciiTheme="minorHAnsi" w:hAnsiTheme="minorHAnsi" w:cstheme="minorHAnsi"/>
          <w:i/>
          <w:szCs w:val="24"/>
        </w:rPr>
        <w:t>Provider Approval No. 11 of 2012</w:t>
      </w:r>
    </w:p>
    <w:p w14:paraId="4F4AC67E" w14:textId="26A0E5EA" w:rsidR="00A60777" w:rsidRDefault="00A60777" w:rsidP="00A60777">
      <w:pPr>
        <w:spacing w:before="36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  <w:u w:val="single"/>
        </w:rPr>
        <w:t>Item</w:t>
      </w:r>
      <w:r w:rsidR="00EB4D16">
        <w:rPr>
          <w:rFonts w:asciiTheme="minorHAnsi" w:hAnsiTheme="minorHAnsi" w:cstheme="minorHAnsi"/>
          <w:iCs/>
          <w:szCs w:val="24"/>
          <w:u w:val="single"/>
        </w:rPr>
        <w:t>s</w:t>
      </w:r>
      <w:r>
        <w:rPr>
          <w:rFonts w:asciiTheme="minorHAnsi" w:hAnsiTheme="minorHAnsi" w:cstheme="minorHAnsi"/>
          <w:iCs/>
          <w:szCs w:val="24"/>
          <w:u w:val="single"/>
        </w:rPr>
        <w:t xml:space="preserve"> 1</w:t>
      </w:r>
      <w:r w:rsidR="00EB4D16">
        <w:rPr>
          <w:rFonts w:asciiTheme="minorHAnsi" w:hAnsiTheme="minorHAnsi" w:cstheme="minorHAnsi"/>
          <w:iCs/>
          <w:szCs w:val="24"/>
          <w:u w:val="single"/>
        </w:rPr>
        <w:t xml:space="preserve"> to 3</w:t>
      </w:r>
    </w:p>
    <w:p w14:paraId="1E3BB9AC" w14:textId="2A8EF220" w:rsidR="00396260" w:rsidRDefault="009519F1" w:rsidP="00EB4D16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Item 1 </w:t>
      </w:r>
      <w:r w:rsidR="00EB4D16">
        <w:rPr>
          <w:rFonts w:asciiTheme="minorHAnsi" w:hAnsiTheme="minorHAnsi" w:cstheme="minorHAnsi"/>
          <w:iCs/>
          <w:szCs w:val="24"/>
        </w:rPr>
        <w:t xml:space="preserve">to 3 amend paragraphs (a) to (c) to remove references to the Australian Institute of Professional Counsellors Pty Ltd (the approved higher education provider) being a trustee of the AIPC Trust. </w:t>
      </w:r>
    </w:p>
    <w:sectPr w:rsidR="00396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B724" w14:textId="77777777" w:rsidR="00727AB0" w:rsidRDefault="00727AB0" w:rsidP="00783FAB">
      <w:pPr>
        <w:spacing w:after="0" w:line="240" w:lineRule="auto"/>
      </w:pPr>
      <w:r>
        <w:separator/>
      </w:r>
    </w:p>
  </w:endnote>
  <w:endnote w:type="continuationSeparator" w:id="0">
    <w:p w14:paraId="7DEC8676" w14:textId="77777777" w:rsidR="00727AB0" w:rsidRDefault="00727AB0" w:rsidP="00783FAB">
      <w:pPr>
        <w:spacing w:after="0" w:line="240" w:lineRule="auto"/>
      </w:pPr>
      <w:r>
        <w:continuationSeparator/>
      </w:r>
    </w:p>
  </w:endnote>
  <w:endnote w:type="continuationNotice" w:id="1">
    <w:p w14:paraId="7BACC374" w14:textId="77777777" w:rsidR="00727AB0" w:rsidRDefault="00727A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E2FE" w14:textId="77777777" w:rsidR="00DE1334" w:rsidRDefault="00DE1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06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28C77" w14:textId="77777777" w:rsidR="008134D5" w:rsidRDefault="008134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A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437BB6" w14:textId="77777777" w:rsidR="008134D5" w:rsidRDefault="008134D5" w:rsidP="00785B1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EE6F" w14:textId="77777777" w:rsidR="00DE1334" w:rsidRDefault="00DE1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139A" w14:textId="77777777" w:rsidR="00727AB0" w:rsidRDefault="00727AB0" w:rsidP="00783FAB">
      <w:pPr>
        <w:spacing w:after="0" w:line="240" w:lineRule="auto"/>
      </w:pPr>
      <w:r>
        <w:separator/>
      </w:r>
    </w:p>
  </w:footnote>
  <w:footnote w:type="continuationSeparator" w:id="0">
    <w:p w14:paraId="693F4F00" w14:textId="77777777" w:rsidR="00727AB0" w:rsidRDefault="00727AB0" w:rsidP="00783FAB">
      <w:pPr>
        <w:spacing w:after="0" w:line="240" w:lineRule="auto"/>
      </w:pPr>
      <w:r>
        <w:continuationSeparator/>
      </w:r>
    </w:p>
  </w:footnote>
  <w:footnote w:type="continuationNotice" w:id="1">
    <w:p w14:paraId="2CB350A0" w14:textId="77777777" w:rsidR="00727AB0" w:rsidRDefault="00727A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1113" w14:textId="77777777" w:rsidR="00DE1334" w:rsidRDefault="00DE1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8E03" w14:textId="77777777" w:rsidR="00DE1334" w:rsidRDefault="00DE13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A46B" w14:textId="77777777" w:rsidR="00DE1334" w:rsidRDefault="00DE1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DC8"/>
    <w:multiLevelType w:val="hybridMultilevel"/>
    <w:tmpl w:val="4CFCBF8C"/>
    <w:lvl w:ilvl="0" w:tplc="B156C2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DB6A73"/>
    <w:multiLevelType w:val="hybridMultilevel"/>
    <w:tmpl w:val="AB52EBF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19948">
    <w:abstractNumId w:val="0"/>
  </w:num>
  <w:num w:numId="2" w16cid:durableId="815727077">
    <w:abstractNumId w:val="1"/>
  </w:num>
  <w:num w:numId="3" w16cid:durableId="1858540607">
    <w:abstractNumId w:val="2"/>
  </w:num>
  <w:num w:numId="4" w16cid:durableId="49199294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2F"/>
    <w:rsid w:val="000009D4"/>
    <w:rsid w:val="00000F56"/>
    <w:rsid w:val="00003184"/>
    <w:rsid w:val="000036EB"/>
    <w:rsid w:val="0000395C"/>
    <w:rsid w:val="00011E4D"/>
    <w:rsid w:val="000138CF"/>
    <w:rsid w:val="000140D5"/>
    <w:rsid w:val="000146FA"/>
    <w:rsid w:val="0001554B"/>
    <w:rsid w:val="00016AFF"/>
    <w:rsid w:val="00017F54"/>
    <w:rsid w:val="000305EA"/>
    <w:rsid w:val="00031E3C"/>
    <w:rsid w:val="00032CB3"/>
    <w:rsid w:val="00036FAE"/>
    <w:rsid w:val="00044508"/>
    <w:rsid w:val="00047668"/>
    <w:rsid w:val="00047A2A"/>
    <w:rsid w:val="0005020B"/>
    <w:rsid w:val="00057815"/>
    <w:rsid w:val="00057A1E"/>
    <w:rsid w:val="000614A1"/>
    <w:rsid w:val="00062794"/>
    <w:rsid w:val="0006484E"/>
    <w:rsid w:val="000668B0"/>
    <w:rsid w:val="00070E7D"/>
    <w:rsid w:val="00076E76"/>
    <w:rsid w:val="00083F41"/>
    <w:rsid w:val="000846B7"/>
    <w:rsid w:val="00086DA5"/>
    <w:rsid w:val="000A2A28"/>
    <w:rsid w:val="000A2D3A"/>
    <w:rsid w:val="000A3124"/>
    <w:rsid w:val="000A35D6"/>
    <w:rsid w:val="000B1BE1"/>
    <w:rsid w:val="000B3914"/>
    <w:rsid w:val="000B4E7E"/>
    <w:rsid w:val="000B6430"/>
    <w:rsid w:val="000C2060"/>
    <w:rsid w:val="000C224C"/>
    <w:rsid w:val="000C310A"/>
    <w:rsid w:val="000C34FD"/>
    <w:rsid w:val="000C4D6B"/>
    <w:rsid w:val="000D1472"/>
    <w:rsid w:val="000D5E6D"/>
    <w:rsid w:val="000E3449"/>
    <w:rsid w:val="000E3516"/>
    <w:rsid w:val="000E41AF"/>
    <w:rsid w:val="000E57DB"/>
    <w:rsid w:val="000E6FD6"/>
    <w:rsid w:val="000F1811"/>
    <w:rsid w:val="000F7A8C"/>
    <w:rsid w:val="00103015"/>
    <w:rsid w:val="00103253"/>
    <w:rsid w:val="001042BA"/>
    <w:rsid w:val="00105AA4"/>
    <w:rsid w:val="00120A34"/>
    <w:rsid w:val="00124260"/>
    <w:rsid w:val="00125A8E"/>
    <w:rsid w:val="00126014"/>
    <w:rsid w:val="00127CD8"/>
    <w:rsid w:val="001301AD"/>
    <w:rsid w:val="001334D9"/>
    <w:rsid w:val="001377D9"/>
    <w:rsid w:val="00137ACD"/>
    <w:rsid w:val="00140DAD"/>
    <w:rsid w:val="00140E3D"/>
    <w:rsid w:val="001421FE"/>
    <w:rsid w:val="001437EA"/>
    <w:rsid w:val="00144950"/>
    <w:rsid w:val="00144B5F"/>
    <w:rsid w:val="00145BE1"/>
    <w:rsid w:val="001507FD"/>
    <w:rsid w:val="0015276C"/>
    <w:rsid w:val="00152947"/>
    <w:rsid w:val="00152A57"/>
    <w:rsid w:val="00153F23"/>
    <w:rsid w:val="0015508C"/>
    <w:rsid w:val="00160153"/>
    <w:rsid w:val="00161A1F"/>
    <w:rsid w:val="0017006A"/>
    <w:rsid w:val="00173A64"/>
    <w:rsid w:val="00173E0C"/>
    <w:rsid w:val="00176DB3"/>
    <w:rsid w:val="00185491"/>
    <w:rsid w:val="001912ED"/>
    <w:rsid w:val="00192D1B"/>
    <w:rsid w:val="00195030"/>
    <w:rsid w:val="00197C3F"/>
    <w:rsid w:val="00197EAE"/>
    <w:rsid w:val="001A2FE9"/>
    <w:rsid w:val="001A4389"/>
    <w:rsid w:val="001A563A"/>
    <w:rsid w:val="001B2300"/>
    <w:rsid w:val="001B3C7A"/>
    <w:rsid w:val="001B7E08"/>
    <w:rsid w:val="001D00E3"/>
    <w:rsid w:val="001D0AF3"/>
    <w:rsid w:val="001D1D8A"/>
    <w:rsid w:val="001D282F"/>
    <w:rsid w:val="001D36EE"/>
    <w:rsid w:val="001D60B4"/>
    <w:rsid w:val="001E07CE"/>
    <w:rsid w:val="001E52EB"/>
    <w:rsid w:val="001E5A0B"/>
    <w:rsid w:val="001F127D"/>
    <w:rsid w:val="001F2AAD"/>
    <w:rsid w:val="001F3626"/>
    <w:rsid w:val="001F7336"/>
    <w:rsid w:val="00200358"/>
    <w:rsid w:val="002005CD"/>
    <w:rsid w:val="002017E4"/>
    <w:rsid w:val="00201F75"/>
    <w:rsid w:val="00202EC1"/>
    <w:rsid w:val="00204283"/>
    <w:rsid w:val="00204EEF"/>
    <w:rsid w:val="00205DBD"/>
    <w:rsid w:val="00207297"/>
    <w:rsid w:val="0021337D"/>
    <w:rsid w:val="002165DB"/>
    <w:rsid w:val="00216A1C"/>
    <w:rsid w:val="00223F82"/>
    <w:rsid w:val="00224C52"/>
    <w:rsid w:val="00232304"/>
    <w:rsid w:val="00232EFF"/>
    <w:rsid w:val="002378EE"/>
    <w:rsid w:val="002445E3"/>
    <w:rsid w:val="00247EBF"/>
    <w:rsid w:val="00252BCD"/>
    <w:rsid w:val="00261499"/>
    <w:rsid w:val="002672A4"/>
    <w:rsid w:val="002735E9"/>
    <w:rsid w:val="002747E8"/>
    <w:rsid w:val="00274EEA"/>
    <w:rsid w:val="002759C4"/>
    <w:rsid w:val="0027686D"/>
    <w:rsid w:val="002808A9"/>
    <w:rsid w:val="00284C9D"/>
    <w:rsid w:val="00292863"/>
    <w:rsid w:val="00294430"/>
    <w:rsid w:val="00296CA7"/>
    <w:rsid w:val="00296FAF"/>
    <w:rsid w:val="00297EAB"/>
    <w:rsid w:val="002A15F1"/>
    <w:rsid w:val="002A2BE3"/>
    <w:rsid w:val="002A4961"/>
    <w:rsid w:val="002B313C"/>
    <w:rsid w:val="002B5C28"/>
    <w:rsid w:val="002C1EEF"/>
    <w:rsid w:val="002C1F84"/>
    <w:rsid w:val="002C40FB"/>
    <w:rsid w:val="002D1504"/>
    <w:rsid w:val="002D535B"/>
    <w:rsid w:val="002D564A"/>
    <w:rsid w:val="002E12E6"/>
    <w:rsid w:val="002E34A5"/>
    <w:rsid w:val="002E5735"/>
    <w:rsid w:val="002E6264"/>
    <w:rsid w:val="002F4EC2"/>
    <w:rsid w:val="002F76C6"/>
    <w:rsid w:val="00304A88"/>
    <w:rsid w:val="00304E64"/>
    <w:rsid w:val="00305772"/>
    <w:rsid w:val="003058B9"/>
    <w:rsid w:val="00307358"/>
    <w:rsid w:val="0031070C"/>
    <w:rsid w:val="00313612"/>
    <w:rsid w:val="00316053"/>
    <w:rsid w:val="003170AC"/>
    <w:rsid w:val="003215ED"/>
    <w:rsid w:val="003252EE"/>
    <w:rsid w:val="00326C24"/>
    <w:rsid w:val="00327329"/>
    <w:rsid w:val="0033070E"/>
    <w:rsid w:val="003348C2"/>
    <w:rsid w:val="00341A98"/>
    <w:rsid w:val="003440C7"/>
    <w:rsid w:val="00347150"/>
    <w:rsid w:val="00350779"/>
    <w:rsid w:val="00353D81"/>
    <w:rsid w:val="00354743"/>
    <w:rsid w:val="003634F0"/>
    <w:rsid w:val="00365D2C"/>
    <w:rsid w:val="00367C2D"/>
    <w:rsid w:val="0037028F"/>
    <w:rsid w:val="003719BF"/>
    <w:rsid w:val="00375010"/>
    <w:rsid w:val="0037728A"/>
    <w:rsid w:val="00377427"/>
    <w:rsid w:val="00386B68"/>
    <w:rsid w:val="00386E17"/>
    <w:rsid w:val="0038758C"/>
    <w:rsid w:val="003913F1"/>
    <w:rsid w:val="00393A61"/>
    <w:rsid w:val="00394454"/>
    <w:rsid w:val="00395655"/>
    <w:rsid w:val="00396260"/>
    <w:rsid w:val="003A0965"/>
    <w:rsid w:val="003A373E"/>
    <w:rsid w:val="003A3D0E"/>
    <w:rsid w:val="003A4424"/>
    <w:rsid w:val="003A530C"/>
    <w:rsid w:val="003A5841"/>
    <w:rsid w:val="003A7B17"/>
    <w:rsid w:val="003B29B0"/>
    <w:rsid w:val="003B2DA8"/>
    <w:rsid w:val="003B3044"/>
    <w:rsid w:val="003B6C2D"/>
    <w:rsid w:val="003C0D20"/>
    <w:rsid w:val="003C16A9"/>
    <w:rsid w:val="003C202D"/>
    <w:rsid w:val="003C2A76"/>
    <w:rsid w:val="003D47C4"/>
    <w:rsid w:val="003D7CE2"/>
    <w:rsid w:val="003E4413"/>
    <w:rsid w:val="003E5592"/>
    <w:rsid w:val="003E578D"/>
    <w:rsid w:val="003E5B26"/>
    <w:rsid w:val="003F09F7"/>
    <w:rsid w:val="003F1AA1"/>
    <w:rsid w:val="003F24BC"/>
    <w:rsid w:val="00402CC7"/>
    <w:rsid w:val="00402D70"/>
    <w:rsid w:val="00403CE4"/>
    <w:rsid w:val="004075A3"/>
    <w:rsid w:val="00410A3F"/>
    <w:rsid w:val="0041144F"/>
    <w:rsid w:val="004143B1"/>
    <w:rsid w:val="00415A55"/>
    <w:rsid w:val="004228EE"/>
    <w:rsid w:val="00423EF8"/>
    <w:rsid w:val="00425A1E"/>
    <w:rsid w:val="00425FCB"/>
    <w:rsid w:val="00430F1B"/>
    <w:rsid w:val="004327E1"/>
    <w:rsid w:val="00434240"/>
    <w:rsid w:val="00434641"/>
    <w:rsid w:val="00434CDD"/>
    <w:rsid w:val="004355D0"/>
    <w:rsid w:val="004355E8"/>
    <w:rsid w:val="00436435"/>
    <w:rsid w:val="00445460"/>
    <w:rsid w:val="00446B03"/>
    <w:rsid w:val="0044797F"/>
    <w:rsid w:val="004534AE"/>
    <w:rsid w:val="00455C2A"/>
    <w:rsid w:val="00470213"/>
    <w:rsid w:val="00472F61"/>
    <w:rsid w:val="00481DE1"/>
    <w:rsid w:val="00484DBC"/>
    <w:rsid w:val="00490BA0"/>
    <w:rsid w:val="00494834"/>
    <w:rsid w:val="0049486C"/>
    <w:rsid w:val="004A2F70"/>
    <w:rsid w:val="004A409F"/>
    <w:rsid w:val="004A48D9"/>
    <w:rsid w:val="004A6B2D"/>
    <w:rsid w:val="004B2C3F"/>
    <w:rsid w:val="004B3D95"/>
    <w:rsid w:val="004C4E63"/>
    <w:rsid w:val="004D5695"/>
    <w:rsid w:val="004D665B"/>
    <w:rsid w:val="004D7B86"/>
    <w:rsid w:val="004F4066"/>
    <w:rsid w:val="004F53E6"/>
    <w:rsid w:val="004F54FF"/>
    <w:rsid w:val="004F7224"/>
    <w:rsid w:val="00503218"/>
    <w:rsid w:val="00505873"/>
    <w:rsid w:val="00506F28"/>
    <w:rsid w:val="0051339E"/>
    <w:rsid w:val="005146EC"/>
    <w:rsid w:val="0051489C"/>
    <w:rsid w:val="00515BBE"/>
    <w:rsid w:val="005169CB"/>
    <w:rsid w:val="00517337"/>
    <w:rsid w:val="005173FC"/>
    <w:rsid w:val="00524226"/>
    <w:rsid w:val="00527330"/>
    <w:rsid w:val="00536596"/>
    <w:rsid w:val="005366FF"/>
    <w:rsid w:val="00537A32"/>
    <w:rsid w:val="0054602B"/>
    <w:rsid w:val="00546375"/>
    <w:rsid w:val="005620CA"/>
    <w:rsid w:val="0056339D"/>
    <w:rsid w:val="00564D5C"/>
    <w:rsid w:val="005655A9"/>
    <w:rsid w:val="00571189"/>
    <w:rsid w:val="00572401"/>
    <w:rsid w:val="005732E6"/>
    <w:rsid w:val="00574A9E"/>
    <w:rsid w:val="00577C30"/>
    <w:rsid w:val="005812FF"/>
    <w:rsid w:val="005819C8"/>
    <w:rsid w:val="0058346D"/>
    <w:rsid w:val="0058422E"/>
    <w:rsid w:val="00584B84"/>
    <w:rsid w:val="005850AB"/>
    <w:rsid w:val="005905A0"/>
    <w:rsid w:val="00591EC0"/>
    <w:rsid w:val="00597535"/>
    <w:rsid w:val="005A04E1"/>
    <w:rsid w:val="005A54B4"/>
    <w:rsid w:val="005A7050"/>
    <w:rsid w:val="005B0776"/>
    <w:rsid w:val="005B3CBC"/>
    <w:rsid w:val="005B510A"/>
    <w:rsid w:val="005C0740"/>
    <w:rsid w:val="005C1726"/>
    <w:rsid w:val="005C18D0"/>
    <w:rsid w:val="005E2026"/>
    <w:rsid w:val="005F4914"/>
    <w:rsid w:val="005F5DF6"/>
    <w:rsid w:val="005F5FA1"/>
    <w:rsid w:val="005F7D42"/>
    <w:rsid w:val="0060088C"/>
    <w:rsid w:val="00604F05"/>
    <w:rsid w:val="00611D31"/>
    <w:rsid w:val="00615218"/>
    <w:rsid w:val="006202A1"/>
    <w:rsid w:val="0062319E"/>
    <w:rsid w:val="00625432"/>
    <w:rsid w:val="00626E42"/>
    <w:rsid w:val="00627EDA"/>
    <w:rsid w:val="00636200"/>
    <w:rsid w:val="00645DC7"/>
    <w:rsid w:val="0064724F"/>
    <w:rsid w:val="006507CB"/>
    <w:rsid w:val="00651D68"/>
    <w:rsid w:val="00652D30"/>
    <w:rsid w:val="00656314"/>
    <w:rsid w:val="006603E9"/>
    <w:rsid w:val="00661BE8"/>
    <w:rsid w:val="00667B6F"/>
    <w:rsid w:val="00667F82"/>
    <w:rsid w:val="006700AA"/>
    <w:rsid w:val="006739B3"/>
    <w:rsid w:val="00677A0D"/>
    <w:rsid w:val="00681C0B"/>
    <w:rsid w:val="00683087"/>
    <w:rsid w:val="00685653"/>
    <w:rsid w:val="00685F9A"/>
    <w:rsid w:val="006930D1"/>
    <w:rsid w:val="006931AD"/>
    <w:rsid w:val="00693B5F"/>
    <w:rsid w:val="006940BB"/>
    <w:rsid w:val="00696CF0"/>
    <w:rsid w:val="00697001"/>
    <w:rsid w:val="006A1788"/>
    <w:rsid w:val="006A666D"/>
    <w:rsid w:val="006B2D99"/>
    <w:rsid w:val="006B5531"/>
    <w:rsid w:val="006B6E38"/>
    <w:rsid w:val="006D1065"/>
    <w:rsid w:val="006D3958"/>
    <w:rsid w:val="006D58E2"/>
    <w:rsid w:val="006D7B6B"/>
    <w:rsid w:val="006E206C"/>
    <w:rsid w:val="006E2BF6"/>
    <w:rsid w:val="006E3838"/>
    <w:rsid w:val="006E3C40"/>
    <w:rsid w:val="006E7699"/>
    <w:rsid w:val="006F27AC"/>
    <w:rsid w:val="006F3E5C"/>
    <w:rsid w:val="006F627D"/>
    <w:rsid w:val="00701CB8"/>
    <w:rsid w:val="00701E47"/>
    <w:rsid w:val="00705F2F"/>
    <w:rsid w:val="00707E57"/>
    <w:rsid w:val="00707F49"/>
    <w:rsid w:val="007103B5"/>
    <w:rsid w:val="00717294"/>
    <w:rsid w:val="007213BB"/>
    <w:rsid w:val="0072758F"/>
    <w:rsid w:val="00727AB0"/>
    <w:rsid w:val="007314EF"/>
    <w:rsid w:val="0073763E"/>
    <w:rsid w:val="00737A51"/>
    <w:rsid w:val="007452A0"/>
    <w:rsid w:val="00745FCA"/>
    <w:rsid w:val="00747943"/>
    <w:rsid w:val="00752BD5"/>
    <w:rsid w:val="00753090"/>
    <w:rsid w:val="0075563F"/>
    <w:rsid w:val="0075573F"/>
    <w:rsid w:val="00756861"/>
    <w:rsid w:val="00756D99"/>
    <w:rsid w:val="00756F20"/>
    <w:rsid w:val="00760772"/>
    <w:rsid w:val="00760DDE"/>
    <w:rsid w:val="00760FF8"/>
    <w:rsid w:val="007620AE"/>
    <w:rsid w:val="00772715"/>
    <w:rsid w:val="00774144"/>
    <w:rsid w:val="0077536C"/>
    <w:rsid w:val="0078058A"/>
    <w:rsid w:val="00782538"/>
    <w:rsid w:val="007828DD"/>
    <w:rsid w:val="00783FAB"/>
    <w:rsid w:val="00785B13"/>
    <w:rsid w:val="00791AAC"/>
    <w:rsid w:val="00795969"/>
    <w:rsid w:val="007A6AF0"/>
    <w:rsid w:val="007B44CD"/>
    <w:rsid w:val="007B4836"/>
    <w:rsid w:val="007C5020"/>
    <w:rsid w:val="007C58DF"/>
    <w:rsid w:val="007D12B2"/>
    <w:rsid w:val="007D1F16"/>
    <w:rsid w:val="007D4E08"/>
    <w:rsid w:val="007E00A8"/>
    <w:rsid w:val="007E16D6"/>
    <w:rsid w:val="007E2197"/>
    <w:rsid w:val="007E3446"/>
    <w:rsid w:val="007E3447"/>
    <w:rsid w:val="007E36E5"/>
    <w:rsid w:val="007E6EC6"/>
    <w:rsid w:val="007F563E"/>
    <w:rsid w:val="0080077D"/>
    <w:rsid w:val="00803253"/>
    <w:rsid w:val="00803447"/>
    <w:rsid w:val="008035CF"/>
    <w:rsid w:val="0080510C"/>
    <w:rsid w:val="0080584E"/>
    <w:rsid w:val="00805FEB"/>
    <w:rsid w:val="00811E34"/>
    <w:rsid w:val="00812C37"/>
    <w:rsid w:val="008134D5"/>
    <w:rsid w:val="00813A38"/>
    <w:rsid w:val="00821B75"/>
    <w:rsid w:val="00823B66"/>
    <w:rsid w:val="00824A98"/>
    <w:rsid w:val="008310AA"/>
    <w:rsid w:val="00834114"/>
    <w:rsid w:val="00842274"/>
    <w:rsid w:val="00844D23"/>
    <w:rsid w:val="00847429"/>
    <w:rsid w:val="008517D8"/>
    <w:rsid w:val="008535F2"/>
    <w:rsid w:val="00855239"/>
    <w:rsid w:val="00856BC4"/>
    <w:rsid w:val="00862D4B"/>
    <w:rsid w:val="00863985"/>
    <w:rsid w:val="00867101"/>
    <w:rsid w:val="008755D8"/>
    <w:rsid w:val="0088497A"/>
    <w:rsid w:val="00887926"/>
    <w:rsid w:val="008A1F97"/>
    <w:rsid w:val="008A34E6"/>
    <w:rsid w:val="008A6224"/>
    <w:rsid w:val="008B2A91"/>
    <w:rsid w:val="008B3B09"/>
    <w:rsid w:val="008B478B"/>
    <w:rsid w:val="008B61B7"/>
    <w:rsid w:val="008B7507"/>
    <w:rsid w:val="008C48EF"/>
    <w:rsid w:val="008C497B"/>
    <w:rsid w:val="008C5CE9"/>
    <w:rsid w:val="008C76FD"/>
    <w:rsid w:val="008D72EA"/>
    <w:rsid w:val="008D7625"/>
    <w:rsid w:val="008E30D6"/>
    <w:rsid w:val="008E30D9"/>
    <w:rsid w:val="008E68D3"/>
    <w:rsid w:val="008E79DF"/>
    <w:rsid w:val="008F002D"/>
    <w:rsid w:val="008F4001"/>
    <w:rsid w:val="008F43E8"/>
    <w:rsid w:val="00902A26"/>
    <w:rsid w:val="00903257"/>
    <w:rsid w:val="009048A2"/>
    <w:rsid w:val="00905C61"/>
    <w:rsid w:val="00907D61"/>
    <w:rsid w:val="00910064"/>
    <w:rsid w:val="009114DC"/>
    <w:rsid w:val="00911D92"/>
    <w:rsid w:val="009121D3"/>
    <w:rsid w:val="009176F5"/>
    <w:rsid w:val="0093169E"/>
    <w:rsid w:val="00933AD6"/>
    <w:rsid w:val="009401E3"/>
    <w:rsid w:val="009421AA"/>
    <w:rsid w:val="0094476A"/>
    <w:rsid w:val="0094483B"/>
    <w:rsid w:val="0094774B"/>
    <w:rsid w:val="009519F1"/>
    <w:rsid w:val="00970AAB"/>
    <w:rsid w:val="00974504"/>
    <w:rsid w:val="009757AB"/>
    <w:rsid w:val="00975A4A"/>
    <w:rsid w:val="00976413"/>
    <w:rsid w:val="009767B4"/>
    <w:rsid w:val="00977D37"/>
    <w:rsid w:val="009807AE"/>
    <w:rsid w:val="00980AF9"/>
    <w:rsid w:val="00990334"/>
    <w:rsid w:val="00991158"/>
    <w:rsid w:val="0099199E"/>
    <w:rsid w:val="00995579"/>
    <w:rsid w:val="00995C44"/>
    <w:rsid w:val="009A04A5"/>
    <w:rsid w:val="009A35A0"/>
    <w:rsid w:val="009A7CFA"/>
    <w:rsid w:val="009A7F64"/>
    <w:rsid w:val="009B0C51"/>
    <w:rsid w:val="009B2183"/>
    <w:rsid w:val="009B29AC"/>
    <w:rsid w:val="009B4B7F"/>
    <w:rsid w:val="009B7AF4"/>
    <w:rsid w:val="009C0F35"/>
    <w:rsid w:val="009C10C1"/>
    <w:rsid w:val="009C4F55"/>
    <w:rsid w:val="009C5E5D"/>
    <w:rsid w:val="009D0999"/>
    <w:rsid w:val="009D23FB"/>
    <w:rsid w:val="009D7562"/>
    <w:rsid w:val="009D7566"/>
    <w:rsid w:val="009E0803"/>
    <w:rsid w:val="009E575C"/>
    <w:rsid w:val="009E7C1C"/>
    <w:rsid w:val="009F13BF"/>
    <w:rsid w:val="009F1D34"/>
    <w:rsid w:val="009F4C47"/>
    <w:rsid w:val="009F528F"/>
    <w:rsid w:val="009F6AC9"/>
    <w:rsid w:val="00A02238"/>
    <w:rsid w:val="00A105DA"/>
    <w:rsid w:val="00A15D33"/>
    <w:rsid w:val="00A20031"/>
    <w:rsid w:val="00A202D5"/>
    <w:rsid w:val="00A23CDC"/>
    <w:rsid w:val="00A24596"/>
    <w:rsid w:val="00A24B24"/>
    <w:rsid w:val="00A25E6C"/>
    <w:rsid w:val="00A40E3D"/>
    <w:rsid w:val="00A40EA6"/>
    <w:rsid w:val="00A46B61"/>
    <w:rsid w:val="00A47C4E"/>
    <w:rsid w:val="00A52753"/>
    <w:rsid w:val="00A550E8"/>
    <w:rsid w:val="00A556D1"/>
    <w:rsid w:val="00A56E8B"/>
    <w:rsid w:val="00A60777"/>
    <w:rsid w:val="00A71133"/>
    <w:rsid w:val="00A713A5"/>
    <w:rsid w:val="00A7209C"/>
    <w:rsid w:val="00A727BD"/>
    <w:rsid w:val="00A761C7"/>
    <w:rsid w:val="00A77D42"/>
    <w:rsid w:val="00A82E17"/>
    <w:rsid w:val="00A85075"/>
    <w:rsid w:val="00A871B2"/>
    <w:rsid w:val="00A90245"/>
    <w:rsid w:val="00A93F1F"/>
    <w:rsid w:val="00A97947"/>
    <w:rsid w:val="00AA12F7"/>
    <w:rsid w:val="00AA3173"/>
    <w:rsid w:val="00AA3A3E"/>
    <w:rsid w:val="00AA5B9A"/>
    <w:rsid w:val="00AB19B6"/>
    <w:rsid w:val="00AC38CE"/>
    <w:rsid w:val="00AC6ABA"/>
    <w:rsid w:val="00AD0432"/>
    <w:rsid w:val="00AD1C80"/>
    <w:rsid w:val="00AD2E24"/>
    <w:rsid w:val="00AD5627"/>
    <w:rsid w:val="00AD65C9"/>
    <w:rsid w:val="00AD6639"/>
    <w:rsid w:val="00AE4A25"/>
    <w:rsid w:val="00AE5CCB"/>
    <w:rsid w:val="00AE7179"/>
    <w:rsid w:val="00AF58D0"/>
    <w:rsid w:val="00AF6215"/>
    <w:rsid w:val="00AF6F6E"/>
    <w:rsid w:val="00B00A18"/>
    <w:rsid w:val="00B11323"/>
    <w:rsid w:val="00B13A2F"/>
    <w:rsid w:val="00B145D2"/>
    <w:rsid w:val="00B178D3"/>
    <w:rsid w:val="00B22F73"/>
    <w:rsid w:val="00B339F8"/>
    <w:rsid w:val="00B4065C"/>
    <w:rsid w:val="00B43512"/>
    <w:rsid w:val="00B52CD8"/>
    <w:rsid w:val="00B604EB"/>
    <w:rsid w:val="00B6108C"/>
    <w:rsid w:val="00B67F7B"/>
    <w:rsid w:val="00B71202"/>
    <w:rsid w:val="00B739E2"/>
    <w:rsid w:val="00B8151D"/>
    <w:rsid w:val="00B819AA"/>
    <w:rsid w:val="00B81D4E"/>
    <w:rsid w:val="00B92312"/>
    <w:rsid w:val="00B957EC"/>
    <w:rsid w:val="00BA54AA"/>
    <w:rsid w:val="00BA7A46"/>
    <w:rsid w:val="00BB2109"/>
    <w:rsid w:val="00BB2C6B"/>
    <w:rsid w:val="00BB38D4"/>
    <w:rsid w:val="00BB4D85"/>
    <w:rsid w:val="00BB61E4"/>
    <w:rsid w:val="00BB631E"/>
    <w:rsid w:val="00BB71A8"/>
    <w:rsid w:val="00BC4BD5"/>
    <w:rsid w:val="00BC50A3"/>
    <w:rsid w:val="00BD41D4"/>
    <w:rsid w:val="00BD465A"/>
    <w:rsid w:val="00BD47A9"/>
    <w:rsid w:val="00BD5316"/>
    <w:rsid w:val="00BD5A86"/>
    <w:rsid w:val="00BD6AC2"/>
    <w:rsid w:val="00BE214C"/>
    <w:rsid w:val="00BE68F9"/>
    <w:rsid w:val="00BF188E"/>
    <w:rsid w:val="00BF2A9B"/>
    <w:rsid w:val="00BF3DAE"/>
    <w:rsid w:val="00C02595"/>
    <w:rsid w:val="00C12197"/>
    <w:rsid w:val="00C12AE6"/>
    <w:rsid w:val="00C1330A"/>
    <w:rsid w:val="00C145EB"/>
    <w:rsid w:val="00C2416A"/>
    <w:rsid w:val="00C30E45"/>
    <w:rsid w:val="00C325A5"/>
    <w:rsid w:val="00C36A15"/>
    <w:rsid w:val="00C3701B"/>
    <w:rsid w:val="00C37043"/>
    <w:rsid w:val="00C4300F"/>
    <w:rsid w:val="00C4404A"/>
    <w:rsid w:val="00C45661"/>
    <w:rsid w:val="00C5010C"/>
    <w:rsid w:val="00C62BC1"/>
    <w:rsid w:val="00C64879"/>
    <w:rsid w:val="00C65599"/>
    <w:rsid w:val="00C66953"/>
    <w:rsid w:val="00C73133"/>
    <w:rsid w:val="00C731FA"/>
    <w:rsid w:val="00C7617C"/>
    <w:rsid w:val="00C82C91"/>
    <w:rsid w:val="00C846A2"/>
    <w:rsid w:val="00C90E38"/>
    <w:rsid w:val="00C90EFC"/>
    <w:rsid w:val="00C90FC4"/>
    <w:rsid w:val="00C954B7"/>
    <w:rsid w:val="00C9591A"/>
    <w:rsid w:val="00CA46AC"/>
    <w:rsid w:val="00CA4F71"/>
    <w:rsid w:val="00CB337B"/>
    <w:rsid w:val="00CB45D5"/>
    <w:rsid w:val="00CB7A83"/>
    <w:rsid w:val="00CC3AE0"/>
    <w:rsid w:val="00CC3C0B"/>
    <w:rsid w:val="00CC3CD3"/>
    <w:rsid w:val="00CC4C6D"/>
    <w:rsid w:val="00CC595E"/>
    <w:rsid w:val="00CD20F8"/>
    <w:rsid w:val="00CD3705"/>
    <w:rsid w:val="00CD5408"/>
    <w:rsid w:val="00CD6E72"/>
    <w:rsid w:val="00CE3EA5"/>
    <w:rsid w:val="00CF1C96"/>
    <w:rsid w:val="00CF5A8C"/>
    <w:rsid w:val="00D010D3"/>
    <w:rsid w:val="00D05A8C"/>
    <w:rsid w:val="00D06E4C"/>
    <w:rsid w:val="00D119DD"/>
    <w:rsid w:val="00D14A9D"/>
    <w:rsid w:val="00D17A67"/>
    <w:rsid w:val="00D17FC6"/>
    <w:rsid w:val="00D217D1"/>
    <w:rsid w:val="00D2517F"/>
    <w:rsid w:val="00D3758C"/>
    <w:rsid w:val="00D46134"/>
    <w:rsid w:val="00D468A9"/>
    <w:rsid w:val="00D50946"/>
    <w:rsid w:val="00D51A0D"/>
    <w:rsid w:val="00D5387E"/>
    <w:rsid w:val="00D56A3B"/>
    <w:rsid w:val="00D61A73"/>
    <w:rsid w:val="00D63270"/>
    <w:rsid w:val="00D63CDD"/>
    <w:rsid w:val="00D6472B"/>
    <w:rsid w:val="00D658D0"/>
    <w:rsid w:val="00D66B65"/>
    <w:rsid w:val="00D70EAE"/>
    <w:rsid w:val="00D73415"/>
    <w:rsid w:val="00D74B9B"/>
    <w:rsid w:val="00D773CB"/>
    <w:rsid w:val="00D8103E"/>
    <w:rsid w:val="00D818BA"/>
    <w:rsid w:val="00D842A2"/>
    <w:rsid w:val="00D84946"/>
    <w:rsid w:val="00D92D50"/>
    <w:rsid w:val="00D93741"/>
    <w:rsid w:val="00D95F49"/>
    <w:rsid w:val="00DA552F"/>
    <w:rsid w:val="00DA6F6D"/>
    <w:rsid w:val="00DB1C9E"/>
    <w:rsid w:val="00DB2209"/>
    <w:rsid w:val="00DB226E"/>
    <w:rsid w:val="00DB2434"/>
    <w:rsid w:val="00DB461B"/>
    <w:rsid w:val="00DB4D35"/>
    <w:rsid w:val="00DB5823"/>
    <w:rsid w:val="00DB6247"/>
    <w:rsid w:val="00DB6B66"/>
    <w:rsid w:val="00DC19DD"/>
    <w:rsid w:val="00DC3E8C"/>
    <w:rsid w:val="00DC4B5E"/>
    <w:rsid w:val="00DD1234"/>
    <w:rsid w:val="00DD29C1"/>
    <w:rsid w:val="00DD408F"/>
    <w:rsid w:val="00DD5F43"/>
    <w:rsid w:val="00DD651A"/>
    <w:rsid w:val="00DD7496"/>
    <w:rsid w:val="00DD7B03"/>
    <w:rsid w:val="00DE02BB"/>
    <w:rsid w:val="00DE1334"/>
    <w:rsid w:val="00DE5F92"/>
    <w:rsid w:val="00DE715E"/>
    <w:rsid w:val="00DE7C37"/>
    <w:rsid w:val="00DF13F3"/>
    <w:rsid w:val="00DF3683"/>
    <w:rsid w:val="00DF46B2"/>
    <w:rsid w:val="00DF61B7"/>
    <w:rsid w:val="00E01C32"/>
    <w:rsid w:val="00E01F85"/>
    <w:rsid w:val="00E1257E"/>
    <w:rsid w:val="00E15433"/>
    <w:rsid w:val="00E2364B"/>
    <w:rsid w:val="00E24E50"/>
    <w:rsid w:val="00E251EE"/>
    <w:rsid w:val="00E302D5"/>
    <w:rsid w:val="00E33927"/>
    <w:rsid w:val="00E33FED"/>
    <w:rsid w:val="00E362AF"/>
    <w:rsid w:val="00E43542"/>
    <w:rsid w:val="00E43D36"/>
    <w:rsid w:val="00E5541C"/>
    <w:rsid w:val="00E55D04"/>
    <w:rsid w:val="00E60A2A"/>
    <w:rsid w:val="00E62C51"/>
    <w:rsid w:val="00E631F9"/>
    <w:rsid w:val="00E645CC"/>
    <w:rsid w:val="00E64A79"/>
    <w:rsid w:val="00E662FD"/>
    <w:rsid w:val="00E72FD0"/>
    <w:rsid w:val="00E756DD"/>
    <w:rsid w:val="00E757D0"/>
    <w:rsid w:val="00E767BE"/>
    <w:rsid w:val="00E8671C"/>
    <w:rsid w:val="00E90298"/>
    <w:rsid w:val="00E916A2"/>
    <w:rsid w:val="00E91930"/>
    <w:rsid w:val="00E96A26"/>
    <w:rsid w:val="00EA6D4F"/>
    <w:rsid w:val="00EA716A"/>
    <w:rsid w:val="00EA7EA8"/>
    <w:rsid w:val="00EB4D16"/>
    <w:rsid w:val="00EC0A15"/>
    <w:rsid w:val="00ED1A73"/>
    <w:rsid w:val="00EE412B"/>
    <w:rsid w:val="00EF4ACB"/>
    <w:rsid w:val="00F00674"/>
    <w:rsid w:val="00F03635"/>
    <w:rsid w:val="00F0455E"/>
    <w:rsid w:val="00F04AA8"/>
    <w:rsid w:val="00F0609A"/>
    <w:rsid w:val="00F06A48"/>
    <w:rsid w:val="00F10E46"/>
    <w:rsid w:val="00F1230D"/>
    <w:rsid w:val="00F14BCE"/>
    <w:rsid w:val="00F20DA8"/>
    <w:rsid w:val="00F21042"/>
    <w:rsid w:val="00F21A5E"/>
    <w:rsid w:val="00F21FAC"/>
    <w:rsid w:val="00F22F1F"/>
    <w:rsid w:val="00F23932"/>
    <w:rsid w:val="00F24705"/>
    <w:rsid w:val="00F25331"/>
    <w:rsid w:val="00F26346"/>
    <w:rsid w:val="00F3038A"/>
    <w:rsid w:val="00F3264E"/>
    <w:rsid w:val="00F33092"/>
    <w:rsid w:val="00F36014"/>
    <w:rsid w:val="00F36E18"/>
    <w:rsid w:val="00F37BC2"/>
    <w:rsid w:val="00F43DAD"/>
    <w:rsid w:val="00F45857"/>
    <w:rsid w:val="00F513EB"/>
    <w:rsid w:val="00F5236B"/>
    <w:rsid w:val="00F5252A"/>
    <w:rsid w:val="00F54266"/>
    <w:rsid w:val="00F54893"/>
    <w:rsid w:val="00F552D2"/>
    <w:rsid w:val="00F5679F"/>
    <w:rsid w:val="00F60D6A"/>
    <w:rsid w:val="00F60F15"/>
    <w:rsid w:val="00F62708"/>
    <w:rsid w:val="00F62D2E"/>
    <w:rsid w:val="00F6460E"/>
    <w:rsid w:val="00F64CB4"/>
    <w:rsid w:val="00F65889"/>
    <w:rsid w:val="00F72398"/>
    <w:rsid w:val="00F74CC9"/>
    <w:rsid w:val="00F77106"/>
    <w:rsid w:val="00F85B48"/>
    <w:rsid w:val="00F861AE"/>
    <w:rsid w:val="00F86E01"/>
    <w:rsid w:val="00F871D7"/>
    <w:rsid w:val="00F87FB6"/>
    <w:rsid w:val="00F90098"/>
    <w:rsid w:val="00F9205E"/>
    <w:rsid w:val="00F92FA5"/>
    <w:rsid w:val="00F935BD"/>
    <w:rsid w:val="00F96889"/>
    <w:rsid w:val="00FA1D5B"/>
    <w:rsid w:val="00FA6309"/>
    <w:rsid w:val="00FA6319"/>
    <w:rsid w:val="00FB14CA"/>
    <w:rsid w:val="00FB46DD"/>
    <w:rsid w:val="00FB656A"/>
    <w:rsid w:val="00FB7019"/>
    <w:rsid w:val="00FC17B8"/>
    <w:rsid w:val="00FC1BF0"/>
    <w:rsid w:val="00FC522B"/>
    <w:rsid w:val="00FD0A30"/>
    <w:rsid w:val="00FD1982"/>
    <w:rsid w:val="00FD1A80"/>
    <w:rsid w:val="00FD2C72"/>
    <w:rsid w:val="00FE2F0A"/>
    <w:rsid w:val="00FE775F"/>
    <w:rsid w:val="00FF2A10"/>
    <w:rsid w:val="00FF557B"/>
    <w:rsid w:val="00FF57B7"/>
    <w:rsid w:val="00FF69A5"/>
    <w:rsid w:val="00FF6E25"/>
    <w:rsid w:val="012A1AFD"/>
    <w:rsid w:val="032AB140"/>
    <w:rsid w:val="03AAAB3C"/>
    <w:rsid w:val="04B16D53"/>
    <w:rsid w:val="05ADE1CA"/>
    <w:rsid w:val="06DB5B92"/>
    <w:rsid w:val="0718BCEF"/>
    <w:rsid w:val="07E90E15"/>
    <w:rsid w:val="093D1A68"/>
    <w:rsid w:val="09B547BB"/>
    <w:rsid w:val="0E108B8B"/>
    <w:rsid w:val="147FCD0F"/>
    <w:rsid w:val="149B88FC"/>
    <w:rsid w:val="14AE68C0"/>
    <w:rsid w:val="151766D4"/>
    <w:rsid w:val="174DE505"/>
    <w:rsid w:val="17B76DD1"/>
    <w:rsid w:val="185EA310"/>
    <w:rsid w:val="1B14D8AD"/>
    <w:rsid w:val="1C154DF2"/>
    <w:rsid w:val="1D48D1F7"/>
    <w:rsid w:val="1E64A30F"/>
    <w:rsid w:val="1FA4FA34"/>
    <w:rsid w:val="2154423B"/>
    <w:rsid w:val="2C25E75C"/>
    <w:rsid w:val="2F0A6A7B"/>
    <w:rsid w:val="309B6F98"/>
    <w:rsid w:val="34596B8E"/>
    <w:rsid w:val="35910BDC"/>
    <w:rsid w:val="38B43747"/>
    <w:rsid w:val="38F8B9ED"/>
    <w:rsid w:val="390C3077"/>
    <w:rsid w:val="3B4F1CD7"/>
    <w:rsid w:val="3CEAED38"/>
    <w:rsid w:val="3DEB118D"/>
    <w:rsid w:val="3E969B89"/>
    <w:rsid w:val="3F641AB6"/>
    <w:rsid w:val="4269558E"/>
    <w:rsid w:val="44DB9D38"/>
    <w:rsid w:val="4708FC98"/>
    <w:rsid w:val="4784573B"/>
    <w:rsid w:val="4866D049"/>
    <w:rsid w:val="4B51D898"/>
    <w:rsid w:val="4B9E710B"/>
    <w:rsid w:val="5176F8ED"/>
    <w:rsid w:val="52C69B91"/>
    <w:rsid w:val="59C59619"/>
    <w:rsid w:val="59C95572"/>
    <w:rsid w:val="5C5A3ABF"/>
    <w:rsid w:val="5D00F634"/>
    <w:rsid w:val="5E11AA0F"/>
    <w:rsid w:val="5E876871"/>
    <w:rsid w:val="5E9CC695"/>
    <w:rsid w:val="603896F6"/>
    <w:rsid w:val="61BF0933"/>
    <w:rsid w:val="61D46757"/>
    <w:rsid w:val="64C9053A"/>
    <w:rsid w:val="68F38D68"/>
    <w:rsid w:val="6A728C7A"/>
    <w:rsid w:val="6ABB91A2"/>
    <w:rsid w:val="6BCB50A9"/>
    <w:rsid w:val="6C5095DA"/>
    <w:rsid w:val="6D8719ED"/>
    <w:rsid w:val="6E1E509F"/>
    <w:rsid w:val="6E7F0DA7"/>
    <w:rsid w:val="6F3D845D"/>
    <w:rsid w:val="6FB2C073"/>
    <w:rsid w:val="71DD1A83"/>
    <w:rsid w:val="72CA2978"/>
    <w:rsid w:val="762F2C63"/>
    <w:rsid w:val="76A0579D"/>
    <w:rsid w:val="77B115A8"/>
    <w:rsid w:val="78486BE2"/>
    <w:rsid w:val="784C5C07"/>
    <w:rsid w:val="7C9115C8"/>
    <w:rsid w:val="7D3B80BA"/>
    <w:rsid w:val="7EE8548D"/>
    <w:rsid w:val="7F47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09FBF"/>
  <w15:docId w15:val="{A71A134A-1A8B-49E3-841E-0AC8B0AF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52F"/>
    <w:pPr>
      <w:spacing w:after="200" w:line="276" w:lineRule="auto"/>
    </w:pPr>
  </w:style>
  <w:style w:type="paragraph" w:styleId="Heading1">
    <w:name w:val="heading 1"/>
    <w:basedOn w:val="Heading2"/>
    <w:next w:val="Normal"/>
    <w:link w:val="Heading1Char"/>
    <w:uiPriority w:val="9"/>
    <w:qFormat/>
    <w:rsid w:val="004B3D9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D95"/>
    <w:pPr>
      <w:keepNext/>
      <w:spacing w:before="240" w:after="120"/>
      <w:outlineLvl w:val="1"/>
    </w:pPr>
    <w:rPr>
      <w:rFonts w:asciiTheme="minorHAnsi" w:hAnsiTheme="minorHAnsi" w:cstheme="minorHAnsi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D95"/>
    <w:pPr>
      <w:keepNext/>
      <w:spacing w:before="120" w:after="120"/>
      <w:outlineLvl w:val="2"/>
    </w:pPr>
    <w:rPr>
      <w:rFonts w:asciiTheme="minorHAnsi" w:hAnsiTheme="minorHAnsi" w:cstheme="minorHAnsi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3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3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3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3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5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2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B3D95"/>
    <w:rPr>
      <w:rFonts w:asciiTheme="minorHAnsi" w:hAnsiTheme="minorHAnsi" w:cstheme="minorHAnsi"/>
      <w:b/>
      <w:szCs w:val="24"/>
    </w:rPr>
  </w:style>
  <w:style w:type="table" w:styleId="TableGrid">
    <w:name w:val="Table Grid"/>
    <w:basedOn w:val="TableNormal"/>
    <w:uiPriority w:val="39"/>
    <w:rsid w:val="0037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aliases w:val="Explanatory Memorandum"/>
    <w:next w:val="Normal"/>
    <w:autoRedefine/>
    <w:uiPriority w:val="39"/>
    <w:unhideWhenUsed/>
    <w:qFormat/>
    <w:rsid w:val="00036FAE"/>
    <w:pPr>
      <w:spacing w:before="360" w:after="0" w:line="276" w:lineRule="auto"/>
    </w:pPr>
    <w:rPr>
      <w:rFonts w:cs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7427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77427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77427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77427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77427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77427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77427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77427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B3D95"/>
    <w:rPr>
      <w:rFonts w:asciiTheme="minorHAnsi" w:hAnsiTheme="minorHAnsi" w:cstheme="minorHAnsi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D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3D95"/>
    <w:rPr>
      <w:rFonts w:asciiTheme="minorHAnsi" w:hAnsiTheme="minorHAnsi" w:cs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3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3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3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3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44D23"/>
    <w:pPr>
      <w:spacing w:line="259" w:lineRule="auto"/>
      <w:outlineLvl w:val="9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00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AB"/>
  </w:style>
  <w:style w:type="paragraph" w:styleId="Footer">
    <w:name w:val="footer"/>
    <w:basedOn w:val="Normal"/>
    <w:link w:val="Foot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AB"/>
  </w:style>
  <w:style w:type="paragraph" w:styleId="Revision">
    <w:name w:val="Revision"/>
    <w:hidden/>
    <w:uiPriority w:val="99"/>
    <w:semiHidden/>
    <w:rsid w:val="00A105DA"/>
    <w:pPr>
      <w:spacing w:after="0" w:line="240" w:lineRule="auto"/>
    </w:pPr>
  </w:style>
  <w:style w:type="paragraph" w:customStyle="1" w:styleId="BodyNum">
    <w:name w:val="BodyNum"/>
    <w:aliases w:val="b1"/>
    <w:basedOn w:val="Normal"/>
    <w:rsid w:val="00677A0D"/>
    <w:pPr>
      <w:numPr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">
    <w:name w:val="BodyPara"/>
    <w:aliases w:val="ba"/>
    <w:basedOn w:val="Normal"/>
    <w:rsid w:val="00677A0D"/>
    <w:pPr>
      <w:numPr>
        <w:ilvl w:val="1"/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677A0D"/>
    <w:pPr>
      <w:numPr>
        <w:ilvl w:val="2"/>
        <w:numId w:val="2"/>
      </w:numPr>
      <w:tabs>
        <w:tab w:val="left" w:pos="2160"/>
      </w:tabs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677A0D"/>
    <w:pPr>
      <w:numPr>
        <w:ilvl w:val="3"/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numbering" w:customStyle="1" w:styleId="OPCBodyList">
    <w:name w:val="OPCBodyList"/>
    <w:rsid w:val="00677A0D"/>
    <w:pPr>
      <w:numPr>
        <w:numId w:val="2"/>
      </w:numPr>
    </w:pPr>
  </w:style>
  <w:style w:type="paragraph" w:styleId="FootnoteText">
    <w:name w:val="footnote text"/>
    <w:basedOn w:val="Normal"/>
    <w:link w:val="FootnoteTextChar"/>
    <w:semiHidden/>
    <w:rsid w:val="00DB6247"/>
    <w:pPr>
      <w:overflowPunct w:val="0"/>
      <w:autoSpaceDE w:val="0"/>
      <w:autoSpaceDN w:val="0"/>
      <w:adjustRightInd w:val="0"/>
      <w:spacing w:after="0" w:line="240" w:lineRule="atLeast"/>
      <w:ind w:left="284" w:hanging="284"/>
      <w:textAlignment w:val="baseline"/>
    </w:pPr>
    <w:rPr>
      <w:rFonts w:eastAsia="Times New Roman" w:cs="Times New Roman"/>
      <w:sz w:val="20"/>
      <w:szCs w:val="20"/>
      <w:lang w:val="x-none"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DB6247"/>
    <w:rPr>
      <w:rFonts w:eastAsia="Times New Roman" w:cs="Times New Roman"/>
      <w:sz w:val="20"/>
      <w:szCs w:val="20"/>
      <w:lang w:val="x-none" w:eastAsia="en-AU"/>
    </w:rPr>
  </w:style>
  <w:style w:type="character" w:styleId="FootnoteReference">
    <w:name w:val="footnote reference"/>
    <w:semiHidden/>
    <w:rsid w:val="00DB6247"/>
    <w:rPr>
      <w:vertAlign w:val="superscript"/>
    </w:rPr>
  </w:style>
  <w:style w:type="paragraph" w:styleId="Quote">
    <w:name w:val="Quote"/>
    <w:basedOn w:val="Normal"/>
    <w:link w:val="QuoteChar"/>
    <w:qFormat/>
    <w:rsid w:val="00DB6247"/>
    <w:pPr>
      <w:spacing w:after="240" w:line="240" w:lineRule="auto"/>
      <w:ind w:left="851" w:right="851"/>
      <w:jc w:val="both"/>
    </w:pPr>
    <w:rPr>
      <w:rFonts w:eastAsia="Times New Roman" w:cs="Times New Roman"/>
      <w:szCs w:val="20"/>
    </w:rPr>
  </w:style>
  <w:style w:type="character" w:customStyle="1" w:styleId="QuoteChar">
    <w:name w:val="Quote Char"/>
    <w:basedOn w:val="DefaultParagraphFont"/>
    <w:link w:val="Quote"/>
    <w:rsid w:val="00DB6247"/>
    <w:rPr>
      <w:rFonts w:eastAsia="Times New Roman" w:cs="Times New Roman"/>
      <w:szCs w:val="20"/>
    </w:rPr>
  </w:style>
  <w:style w:type="character" w:customStyle="1" w:styleId="charapple-converted-space">
    <w:name w:val="charapple-converted-space"/>
    <w:rsid w:val="00DB6247"/>
  </w:style>
  <w:style w:type="paragraph" w:styleId="Title">
    <w:name w:val="Title"/>
    <w:basedOn w:val="Normal"/>
    <w:next w:val="Normal"/>
    <w:link w:val="TitleChar"/>
    <w:uiPriority w:val="10"/>
    <w:qFormat/>
    <w:rsid w:val="009D0999"/>
    <w:pPr>
      <w:jc w:val="center"/>
    </w:pPr>
    <w:rPr>
      <w:rFonts w:asciiTheme="minorHAnsi" w:hAnsiTheme="minorHAnsi" w:cstheme="minorHAnsi"/>
      <w:b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D0999"/>
    <w:rPr>
      <w:rFonts w:asciiTheme="minorHAnsi" w:hAnsiTheme="minorHAnsi" w:cstheme="minorHAnsi"/>
      <w:b/>
      <w:szCs w:val="24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999"/>
    <w:pPr>
      <w:jc w:val="center"/>
    </w:pPr>
    <w:rPr>
      <w:rFonts w:asciiTheme="minorHAnsi" w:hAnsiTheme="minorHAnsi" w:cstheme="minorHAnsi"/>
      <w:b/>
      <w:i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0999"/>
    <w:rPr>
      <w:rFonts w:asciiTheme="minorHAnsi" w:hAnsiTheme="minorHAnsi" w:cstheme="minorHAnsi"/>
      <w:b/>
      <w:i/>
      <w:szCs w:val="24"/>
    </w:rPr>
  </w:style>
  <w:style w:type="character" w:styleId="IntenseEmphasis">
    <w:name w:val="Intense Emphasis"/>
    <w:basedOn w:val="DefaultParagraphFont"/>
    <w:uiPriority w:val="21"/>
    <w:qFormat/>
    <w:rsid w:val="00D6472B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90E3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17294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717294"/>
  </w:style>
  <w:style w:type="character" w:customStyle="1" w:styleId="eop">
    <w:name w:val="eop"/>
    <w:basedOn w:val="DefaultParagraphFont"/>
    <w:rsid w:val="00717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215B359-FCCD-42CB-B441-332F06ACF0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0747F1875BF7D49B77A59640D85D6EF" ma:contentTypeVersion="" ma:contentTypeDescription="PDMS Document Site Content Type" ma:contentTypeScope="" ma:versionID="96a0b1a09cb220a35fa8c86176d60ffd">
  <xsd:schema xmlns:xsd="http://www.w3.org/2001/XMLSchema" xmlns:xs="http://www.w3.org/2001/XMLSchema" xmlns:p="http://schemas.microsoft.com/office/2006/metadata/properties" xmlns:ns2="F215B359-FCCD-42CB-B441-332F06ACF0EB" targetNamespace="http://schemas.microsoft.com/office/2006/metadata/properties" ma:root="true" ma:fieldsID="7c23c4e002fb38470a756654bb64f7e9" ns2:_="">
    <xsd:import namespace="F215B359-FCCD-42CB-B441-332F06ACF0E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5B359-FCCD-42CB-B441-332F06ACF0E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2F429-4198-4ECD-8E59-23F01B09005A}">
  <ds:schemaRefs>
    <ds:schemaRef ds:uri="http://schemas.microsoft.com/office/2006/metadata/properties"/>
    <ds:schemaRef ds:uri="http://schemas.microsoft.com/office/infopath/2007/PartnerControls"/>
    <ds:schemaRef ds:uri="76c08405-89e9-4c57-a585-b31d7bded94b"/>
    <ds:schemaRef ds:uri="http://schemas.microsoft.com/sharepoint/v4"/>
    <ds:schemaRef ds:uri="http://schemas.microsoft.com/sharepoint/v3"/>
    <ds:schemaRef ds:uri="F215B359-FCCD-42CB-B441-332F06ACF0EB"/>
  </ds:schemaRefs>
</ds:datastoreItem>
</file>

<file path=customXml/itemProps2.xml><?xml version="1.0" encoding="utf-8"?>
<ds:datastoreItem xmlns:ds="http://schemas.openxmlformats.org/officeDocument/2006/customXml" ds:itemID="{F3B610EE-0F70-4F01-817A-5807EACF1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0CF8B-BF75-464D-8F5B-9FE55892D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C4781B-B404-487E-A814-5AC241AED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5B359-FCCD-42CB-B441-332F06ACF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Solari, Jessica</dc:creator>
  <cp:lastModifiedBy>James McLaren</cp:lastModifiedBy>
  <cp:revision>4</cp:revision>
  <cp:lastPrinted>2019-11-17T23:12:00Z</cp:lastPrinted>
  <dcterms:created xsi:type="dcterms:W3CDTF">2023-09-15T05:02:00Z</dcterms:created>
  <dcterms:modified xsi:type="dcterms:W3CDTF">2024-01-18T04:30:00Z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0x010100266966F133664895A6EE3632470D45F500C0747F1875BF7D49B77A59640D85D6EF</vt:lpwstr>
  </property>
  <property fmtid="{D5CDD505-2E9C-101B-9397-08002B2CF9AE}" pid="3" name="DocHub_Year">
    <vt:lpwstr>3075;#2019|7e451fe0-4dc6-437a-a849-bab7965a9aee</vt:lpwstr>
  </property>
  <property fmtid="{D5CDD505-2E9C-101B-9397-08002B2CF9AE}" pid="4" name="DocHub_DocumentType">
    <vt:lpwstr>1456;#Explanatory Memorandum|e1baf4eb-cfb1-4562-a99a-5aebab1aca70</vt:lpwstr>
  </property>
  <property fmtid="{D5CDD505-2E9C-101B-9397-08002B2CF9AE}" pid="5" name="DocHub_SecurityClassification">
    <vt:lpwstr>1;#UNCLASSIFIED|6106d03b-a1a0-4e30-9d91-d5e9fb4314f9</vt:lpwstr>
  </property>
  <property fmtid="{D5CDD505-2E9C-101B-9397-08002B2CF9AE}" pid="6" name="DocHub_GovernmentEntities">
    <vt:lpwstr/>
  </property>
  <property fmtid="{D5CDD505-2E9C-101B-9397-08002B2CF9AE}" pid="7" name="DocHub_OrganisationEntities">
    <vt:lpwstr/>
  </property>
  <property fmtid="{D5CDD505-2E9C-101B-9397-08002B2CF9AE}" pid="8" name="DocHub_WorkActivity">
    <vt:lpwstr>102;#Legislation and Regulation|6cbc66f5-f4a2-4565-a58b-d5f2d2ac9bd0</vt:lpwstr>
  </property>
  <property fmtid="{D5CDD505-2E9C-101B-9397-08002B2CF9AE}" pid="9" name="DocHub_WorkTopic">
    <vt:lpwstr>407;#Legislative Amendments|dd198551-46f6-4185-84c8-5a26b7614e9c</vt:lpwstr>
  </property>
  <property fmtid="{D5CDD505-2E9C-101B-9397-08002B2CF9AE}" pid="10" name="_dlc_DocIdItemGuid">
    <vt:lpwstr>a6680b9a-9763-413f-a3b0-03d98c5ba8f8</vt:lpwstr>
  </property>
  <property fmtid="{D5CDD505-2E9C-101B-9397-08002B2CF9AE}" pid="11" name="MSIP_Label_79d889eb-932f-4752-8739-64d25806ef64_Enabled">
    <vt:lpwstr>true</vt:lpwstr>
  </property>
  <property fmtid="{D5CDD505-2E9C-101B-9397-08002B2CF9AE}" pid="12" name="MSIP_Label_79d889eb-932f-4752-8739-64d25806ef64_SetDate">
    <vt:lpwstr>2022-10-19T11:25:40Z</vt:lpwstr>
  </property>
  <property fmtid="{D5CDD505-2E9C-101B-9397-08002B2CF9AE}" pid="13" name="MSIP_Label_79d889eb-932f-4752-8739-64d25806ef64_Method">
    <vt:lpwstr>Privileged</vt:lpwstr>
  </property>
  <property fmtid="{D5CDD505-2E9C-101B-9397-08002B2CF9AE}" pid="14" name="MSIP_Label_79d889eb-932f-4752-8739-64d25806ef64_Name">
    <vt:lpwstr>79d889eb-932f-4752-8739-64d25806ef64</vt:lpwstr>
  </property>
  <property fmtid="{D5CDD505-2E9C-101B-9397-08002B2CF9AE}" pid="15" name="MSIP_Label_79d889eb-932f-4752-8739-64d25806ef64_SiteId">
    <vt:lpwstr>dd0cfd15-4558-4b12-8bad-ea26984fc417</vt:lpwstr>
  </property>
  <property fmtid="{D5CDD505-2E9C-101B-9397-08002B2CF9AE}" pid="16" name="MSIP_Label_79d889eb-932f-4752-8739-64d25806ef64_ActionId">
    <vt:lpwstr>9bc28db1-1627-49b0-a1fc-e4fbb1c176e0</vt:lpwstr>
  </property>
  <property fmtid="{D5CDD505-2E9C-101B-9397-08002B2CF9AE}" pid="17" name="MSIP_Label_79d889eb-932f-4752-8739-64d25806ef64_ContentBits">
    <vt:lpwstr>0</vt:lpwstr>
  </property>
  <property fmtid="{D5CDD505-2E9C-101B-9397-08002B2CF9AE}" pid="18" name="DocHub_SittingPeriod">
    <vt:lpwstr>Spring</vt:lpwstr>
  </property>
  <property fmtid="{D5CDD505-2E9C-101B-9397-08002B2CF9AE}" pid="19" name="n99e4c9942c6404eb103464a00e6097b">
    <vt:lpwstr>2019|7e451fe0-4dc6-437a-a849-bab7965a9aee</vt:lpwstr>
  </property>
  <property fmtid="{D5CDD505-2E9C-101B-9397-08002B2CF9AE}" pid="20" name="pe2555c81638466f9eb614edb9ecde52">
    <vt:lpwstr>Explanatory Memorandum|e1baf4eb-cfb1-4562-a99a-5aebab1aca70</vt:lpwstr>
  </property>
  <property fmtid="{D5CDD505-2E9C-101B-9397-08002B2CF9AE}" pid="21" name="g7bcb40ba23249a78edca7d43a67c1c9">
    <vt:lpwstr>Legislation and Regulation|6cbc66f5-f4a2-4565-a58b-d5f2d2ac9bd0</vt:lpwstr>
  </property>
  <property fmtid="{D5CDD505-2E9C-101B-9397-08002B2CF9AE}" pid="22" name="e63cd534a94446d68abe1904a0bcdfb2">
    <vt:lpwstr>Legislative Amendments|dd198551-46f6-4185-84c8-5a26b7614e9c</vt:lpwstr>
  </property>
  <property fmtid="{D5CDD505-2E9C-101B-9397-08002B2CF9AE}" pid="23" name="aa25a1a23adf4c92a153145de6afe324">
    <vt:lpwstr>UNCLASSIFIED|6106d03b-a1a0-4e30-9d91-d5e9fb4314f9</vt:lpwstr>
  </property>
  <property fmtid="{D5CDD505-2E9C-101B-9397-08002B2CF9AE}" pid="24" name="_dlc_DocId">
    <vt:lpwstr>P77SRJCMCQEC-141364255-605</vt:lpwstr>
  </property>
  <property fmtid="{D5CDD505-2E9C-101B-9397-08002B2CF9AE}" pid="25" name="TaxCatchAll">
    <vt:lpwstr>102;#;#407;#;#3075;#;#1;#;#1456;#</vt:lpwstr>
  </property>
  <property fmtid="{D5CDD505-2E9C-101B-9397-08002B2CF9AE}" pid="26" name="_dlc_DocIdUrl">
    <vt:lpwstr>https://dochub/div/resources/businessfunctions/offshoreresources/stratpolicy/legislation/_layouts/15/DocIdRedir.aspx?ID=P77SRJCMCQEC-141364255-605, P77SRJCMCQEC-141364255-605</vt:lpwstr>
  </property>
</Properties>
</file>