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F38A" w14:textId="77777777" w:rsidR="00D7268A" w:rsidRPr="00D7268A" w:rsidRDefault="00D7268A" w:rsidP="00D7268A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D7268A">
        <w:rPr>
          <w:rFonts w:eastAsia="Times New Roman" w:cs="Times New Roman"/>
          <w:noProof/>
          <w:sz w:val="20"/>
          <w:szCs w:val="24"/>
          <w:lang w:eastAsia="en-GB" w:bidi="en-US"/>
        </w:rPr>
        <w:drawing>
          <wp:inline distT="0" distB="0" distL="0" distR="0" wp14:anchorId="72FEE2A4" wp14:editId="0E216E02">
            <wp:extent cx="2657475" cy="438150"/>
            <wp:effectExtent l="0" t="0" r="9525" b="0"/>
            <wp:docPr id="3" name="Picture 3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AB02" w14:textId="77777777" w:rsidR="00D7268A" w:rsidRPr="00D7268A" w:rsidRDefault="00D7268A" w:rsidP="00D7268A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</w:p>
    <w:p w14:paraId="663A3634" w14:textId="77777777" w:rsidR="00D7268A" w:rsidRPr="00D7268A" w:rsidRDefault="00D7268A" w:rsidP="00D7268A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  <w:r w:rsidRPr="00D7268A">
        <w:rPr>
          <w:rFonts w:eastAsia="Times New Roman" w:cs="Times New Roman"/>
          <w:b/>
          <w:sz w:val="20"/>
          <w:szCs w:val="24"/>
          <w:lang w:bidi="en-US"/>
        </w:rPr>
        <w:t xml:space="preserve">Food Standards (Application </w:t>
      </w:r>
      <w:bookmarkStart w:id="0" w:name="_Hlk120043742"/>
      <w:r w:rsidRPr="00D7268A">
        <w:rPr>
          <w:rFonts w:eastAsia="Times New Roman" w:cs="Times New Roman"/>
          <w:b/>
          <w:sz w:val="20"/>
          <w:szCs w:val="24"/>
          <w:lang w:bidi="en-US"/>
        </w:rPr>
        <w:t xml:space="preserve">A1243 – </w:t>
      </w:r>
      <w:bookmarkEnd w:id="0"/>
      <w:r w:rsidRPr="00D7268A">
        <w:rPr>
          <w:rFonts w:eastAsia="Times New Roman" w:cs="Times New Roman"/>
          <w:b/>
          <w:sz w:val="20"/>
          <w:szCs w:val="24"/>
          <w:lang w:bidi="en-US"/>
        </w:rPr>
        <w:t>Harmonisation of marine biotoxin standards for bivalve shellfish) Variation</w:t>
      </w:r>
    </w:p>
    <w:p w14:paraId="623E57DC" w14:textId="77777777" w:rsidR="00D7268A" w:rsidRPr="00D7268A" w:rsidRDefault="00D7268A" w:rsidP="00D7268A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</w:p>
    <w:p w14:paraId="0CBD6D24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5A10A5DD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D7268A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D7268A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D7268A">
        <w:rPr>
          <w:rFonts w:eastAsia="Times New Roman" w:cs="Times New Roman"/>
          <w:sz w:val="20"/>
          <w:szCs w:val="24"/>
          <w:lang w:bidi="en-US"/>
        </w:rPr>
        <w:t>.  The variation commences on the date specified in clause 3 of this variation.</w:t>
      </w:r>
    </w:p>
    <w:p w14:paraId="4BB7FA6F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C0F446C" w14:textId="6BA45948" w:rsidR="00D7268A" w:rsidRPr="00D7268A" w:rsidRDefault="003713DC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3713DC">
        <w:rPr>
          <w:rFonts w:eastAsia="Times New Roman" w:cs="Times New Roman"/>
          <w:sz w:val="20"/>
          <w:szCs w:val="24"/>
          <w:lang w:bidi="en-US"/>
        </w:rPr>
        <w:t>12</w:t>
      </w:r>
      <w:r w:rsidRPr="003713DC">
        <w:rPr>
          <w:rFonts w:eastAsia="Times New Roman" w:cs="Times New Roman"/>
          <w:sz w:val="20"/>
          <w:szCs w:val="24"/>
          <w:lang w:bidi="en-US"/>
        </w:rPr>
        <w:t xml:space="preserve"> </w:t>
      </w:r>
      <w:r w:rsidR="00793877">
        <w:rPr>
          <w:rFonts w:eastAsia="Times New Roman" w:cs="Times New Roman"/>
          <w:sz w:val="20"/>
          <w:szCs w:val="24"/>
          <w:lang w:bidi="en-US"/>
        </w:rPr>
        <w:t>January 2024</w:t>
      </w:r>
      <w:r w:rsidR="00D7268A" w:rsidRPr="00D7268A">
        <w:rPr>
          <w:rFonts w:eastAsia="Times New Roman" w:cs="Times New Roman"/>
          <w:sz w:val="20"/>
          <w:szCs w:val="24"/>
          <w:lang w:bidi="en-US"/>
        </w:rPr>
        <w:t xml:space="preserve"> </w:t>
      </w:r>
    </w:p>
    <w:p w14:paraId="20C0C3BF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1E222811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2B8C300D" w14:textId="1D3E8459" w:rsidR="00D7268A" w:rsidRPr="00D7268A" w:rsidRDefault="008103F1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>
        <w:rPr>
          <w:rFonts w:eastAsia="Times New Roman" w:cs="Times New Roman"/>
          <w:noProof/>
          <w:sz w:val="20"/>
          <w:szCs w:val="24"/>
          <w:lang w:bidi="en-US"/>
        </w:rPr>
        <w:drawing>
          <wp:inline distT="0" distB="0" distL="0" distR="0" wp14:anchorId="1CD8096B" wp14:editId="5C42A78C">
            <wp:extent cx="951230" cy="676910"/>
            <wp:effectExtent l="0" t="0" r="1270" b="8890"/>
            <wp:docPr id="1" name="Picture 1" descr="Signature of the Delegate of the Board of Food Standards Australia New Zeal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290DA" w14:textId="62672690" w:rsidR="00793877" w:rsidRPr="009D01FB" w:rsidRDefault="00793877" w:rsidP="00793877">
      <w:pPr>
        <w:rPr>
          <w:rFonts w:eastAsia="Times New Roman" w:cs="Times New Roman"/>
          <w:sz w:val="20"/>
          <w:szCs w:val="24"/>
          <w:lang w:bidi="en-US"/>
        </w:rPr>
      </w:pPr>
      <w:r>
        <w:rPr>
          <w:rFonts w:eastAsia="Times New Roman" w:cs="Times New Roman"/>
          <w:sz w:val="20"/>
          <w:szCs w:val="24"/>
          <w:lang w:bidi="en-US"/>
        </w:rPr>
        <w:t>Owen Walsh, Section Manager – Standards Management</w:t>
      </w:r>
    </w:p>
    <w:p w14:paraId="215ABCDA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D7268A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310BAB1F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27B09962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CF90544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84BD22D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FCAE555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5CCD7AE" w14:textId="77777777" w:rsidR="00D7268A" w:rsidRPr="00D7268A" w:rsidRDefault="00D7268A" w:rsidP="00D72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D7268A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0E7AF3F9" w14:textId="77777777" w:rsidR="00D7268A" w:rsidRPr="00D7268A" w:rsidRDefault="00D7268A" w:rsidP="00D72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1DEE4F0E" w14:textId="41E0247F" w:rsidR="00D7268A" w:rsidRPr="00D7268A" w:rsidRDefault="00D7268A" w:rsidP="00D72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D7268A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7E74F9">
        <w:rPr>
          <w:rFonts w:eastAsia="Times New Roman" w:cs="Times New Roman"/>
          <w:sz w:val="20"/>
          <w:szCs w:val="24"/>
          <w:lang w:val="en-AU" w:bidi="en-US"/>
        </w:rPr>
        <w:t>165</w:t>
      </w:r>
      <w:r w:rsidRPr="00D7268A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7E74F9">
        <w:rPr>
          <w:rFonts w:eastAsia="Times New Roman" w:cs="Times New Roman"/>
          <w:sz w:val="20"/>
          <w:szCs w:val="24"/>
          <w:lang w:val="en-AU" w:bidi="en-US"/>
        </w:rPr>
        <w:t>19 January 2024</w:t>
      </w:r>
      <w:r w:rsidRPr="00D7268A">
        <w:rPr>
          <w:rFonts w:eastAsia="Times New Roman" w:cs="Times New Roman"/>
          <w:sz w:val="20"/>
          <w:szCs w:val="24"/>
          <w:lang w:val="en-AU" w:bidi="en-US"/>
        </w:rPr>
        <w:t xml:space="preserve">. This means that this date is the gazettal date for the purposes of clause 3 of the variation. </w:t>
      </w:r>
    </w:p>
    <w:p w14:paraId="5A5B9D62" w14:textId="77777777" w:rsidR="00D7268A" w:rsidRPr="00D7268A" w:rsidRDefault="00D7268A" w:rsidP="00D7268A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7B19584" w14:textId="77777777" w:rsidR="00D7268A" w:rsidRPr="00D7268A" w:rsidRDefault="00D7268A" w:rsidP="00D7268A">
      <w:pPr>
        <w:rPr>
          <w:rFonts w:eastAsia="Times New Roman" w:cs="Times New Roman"/>
          <w:sz w:val="20"/>
          <w:szCs w:val="24"/>
          <w:lang w:bidi="en-US"/>
        </w:rPr>
      </w:pPr>
      <w:r w:rsidRPr="00D7268A">
        <w:rPr>
          <w:rFonts w:eastAsia="Times New Roman" w:cs="Times New Roman"/>
          <w:sz w:val="20"/>
          <w:szCs w:val="24"/>
          <w:lang w:bidi="en-US"/>
        </w:rPr>
        <w:br w:type="page"/>
      </w:r>
    </w:p>
    <w:p w14:paraId="42C1A56C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D7268A">
        <w:rPr>
          <w:rFonts w:eastAsia="Times New Roman" w:cs="Times New Roman"/>
          <w:b/>
          <w:sz w:val="20"/>
          <w:szCs w:val="20"/>
        </w:rPr>
        <w:tab/>
        <w:t>Name</w:t>
      </w:r>
    </w:p>
    <w:p w14:paraId="19F3EA1E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 xml:space="preserve">This instrument is the </w:t>
      </w:r>
      <w:r w:rsidRPr="00D7268A">
        <w:rPr>
          <w:rFonts w:eastAsia="Times New Roman" w:cs="Times New Roman"/>
          <w:i/>
          <w:sz w:val="20"/>
          <w:szCs w:val="20"/>
        </w:rPr>
        <w:t xml:space="preserve">Food Standards (Application </w:t>
      </w:r>
      <w:r w:rsidRPr="00D7268A">
        <w:rPr>
          <w:rFonts w:eastAsia="Times New Roman" w:cs="Times New Roman"/>
          <w:bCs/>
          <w:i/>
          <w:iCs/>
          <w:sz w:val="20"/>
          <w:szCs w:val="20"/>
        </w:rPr>
        <w:t xml:space="preserve">A1243 – </w:t>
      </w:r>
      <w:bookmarkStart w:id="1" w:name="_Hlk136958128"/>
      <w:r w:rsidRPr="00D7268A">
        <w:rPr>
          <w:rFonts w:eastAsia="Times New Roman" w:cs="Times New Roman"/>
          <w:bCs/>
          <w:i/>
          <w:iCs/>
          <w:sz w:val="20"/>
          <w:szCs w:val="20"/>
        </w:rPr>
        <w:t>Harmonisation of marine biotoxin standards for bivalve shellfish</w:t>
      </w:r>
      <w:bookmarkEnd w:id="1"/>
      <w:r w:rsidRPr="00D7268A">
        <w:rPr>
          <w:rFonts w:eastAsia="Times New Roman" w:cs="Times New Roman"/>
          <w:i/>
          <w:sz w:val="20"/>
          <w:szCs w:val="20"/>
        </w:rPr>
        <w:t>) Variation</w:t>
      </w:r>
      <w:r w:rsidRPr="00D7268A">
        <w:rPr>
          <w:rFonts w:eastAsia="Times New Roman" w:cs="Times New Roman"/>
          <w:sz w:val="20"/>
          <w:szCs w:val="20"/>
        </w:rPr>
        <w:t>.</w:t>
      </w:r>
    </w:p>
    <w:p w14:paraId="3D69381F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</w:rPr>
        <w:t>2</w:t>
      </w:r>
      <w:r w:rsidRPr="00D7268A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D7268A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089AD216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D7268A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D7268A">
        <w:rPr>
          <w:rFonts w:eastAsia="Times New Roman" w:cs="Times New Roman"/>
          <w:sz w:val="20"/>
          <w:szCs w:val="20"/>
        </w:rPr>
        <w:t>.</w:t>
      </w:r>
    </w:p>
    <w:p w14:paraId="367A3AC8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</w:rPr>
        <w:t>3</w:t>
      </w:r>
      <w:r w:rsidRPr="00D7268A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0A2DEB9E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1EB4C186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b/>
          <w:bCs/>
          <w:sz w:val="20"/>
          <w:szCs w:val="20"/>
        </w:rPr>
      </w:pPr>
      <w:r w:rsidRPr="00D7268A">
        <w:rPr>
          <w:rFonts w:eastAsia="Times New Roman" w:cs="Times New Roman"/>
          <w:b/>
          <w:bCs/>
          <w:sz w:val="20"/>
          <w:szCs w:val="20"/>
        </w:rPr>
        <w:t>4.</w:t>
      </w:r>
      <w:r w:rsidRPr="00D7268A">
        <w:rPr>
          <w:rFonts w:eastAsia="Times New Roman" w:cs="Times New Roman"/>
          <w:b/>
          <w:bCs/>
          <w:sz w:val="20"/>
          <w:szCs w:val="20"/>
        </w:rPr>
        <w:tab/>
        <w:t>Effect of the variations made by this instrument</w:t>
      </w:r>
    </w:p>
    <w:p w14:paraId="17710334" w14:textId="77777777" w:rsidR="00D7268A" w:rsidRPr="00D7268A" w:rsidRDefault="00D7268A" w:rsidP="00D7268A">
      <w:pPr>
        <w:tabs>
          <w:tab w:val="left" w:pos="851"/>
        </w:tabs>
        <w:spacing w:before="120" w:after="120"/>
        <w:ind w:left="850" w:hanging="85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(1)</w:t>
      </w:r>
      <w:r w:rsidRPr="00D7268A">
        <w:rPr>
          <w:rFonts w:eastAsia="Times New Roman" w:cs="Times New Roman"/>
          <w:sz w:val="20"/>
          <w:szCs w:val="20"/>
        </w:rPr>
        <w:tab/>
        <w:t>Section 1.1.1—9 of Standard 1.1.1 does not apply to the variations made by this instrument.</w:t>
      </w:r>
    </w:p>
    <w:p w14:paraId="6594AD57" w14:textId="77777777" w:rsidR="00D7268A" w:rsidRPr="00D7268A" w:rsidRDefault="00D7268A" w:rsidP="00D7268A">
      <w:pPr>
        <w:tabs>
          <w:tab w:val="left" w:pos="851"/>
        </w:tabs>
        <w:spacing w:before="120" w:after="120"/>
        <w:ind w:left="850" w:hanging="85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(2)</w:t>
      </w:r>
      <w:r w:rsidRPr="00D7268A">
        <w:rPr>
          <w:rFonts w:eastAsia="Times New Roman" w:cs="Times New Roman"/>
          <w:sz w:val="20"/>
          <w:szCs w:val="20"/>
        </w:rPr>
        <w:tab/>
        <w:t>During the transition period, a food product may be sold if the product complies with one of the following:</w:t>
      </w:r>
    </w:p>
    <w:p w14:paraId="13CADF70" w14:textId="77777777" w:rsidR="00D7268A" w:rsidRPr="00D7268A" w:rsidRDefault="00D7268A" w:rsidP="00D7268A">
      <w:pPr>
        <w:tabs>
          <w:tab w:val="left" w:pos="851"/>
        </w:tabs>
        <w:spacing w:before="120" w:after="120"/>
        <w:ind w:left="85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(a)</w:t>
      </w:r>
      <w:r w:rsidRPr="00D7268A">
        <w:rPr>
          <w:rFonts w:eastAsia="Times New Roman" w:cs="Times New Roman"/>
          <w:sz w:val="20"/>
          <w:szCs w:val="20"/>
        </w:rPr>
        <w:tab/>
        <w:t>the Code as in force without the variations made by this instrument; or</w:t>
      </w:r>
    </w:p>
    <w:p w14:paraId="68EA96B0" w14:textId="77777777" w:rsidR="00D7268A" w:rsidRPr="00D7268A" w:rsidRDefault="00D7268A" w:rsidP="00D7268A">
      <w:pPr>
        <w:tabs>
          <w:tab w:val="left" w:pos="851"/>
        </w:tabs>
        <w:spacing w:before="120" w:after="120"/>
        <w:ind w:left="85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(b)</w:t>
      </w:r>
      <w:r w:rsidRPr="00D7268A">
        <w:rPr>
          <w:rFonts w:eastAsia="Times New Roman" w:cs="Times New Roman"/>
          <w:sz w:val="20"/>
          <w:szCs w:val="20"/>
        </w:rPr>
        <w:tab/>
        <w:t>the Code as amended by the variations made by this instrument.</w:t>
      </w:r>
    </w:p>
    <w:p w14:paraId="0AA3D753" w14:textId="77777777" w:rsidR="00D7268A" w:rsidRPr="00D7268A" w:rsidRDefault="00D7268A" w:rsidP="00D7268A">
      <w:pPr>
        <w:tabs>
          <w:tab w:val="left" w:pos="851"/>
        </w:tabs>
        <w:spacing w:before="120" w:after="120"/>
        <w:ind w:left="850" w:hanging="85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>(3)</w:t>
      </w:r>
      <w:r w:rsidRPr="00D7268A">
        <w:rPr>
          <w:rFonts w:eastAsia="Times New Roman" w:cs="Times New Roman"/>
          <w:sz w:val="20"/>
          <w:szCs w:val="20"/>
        </w:rPr>
        <w:tab/>
        <w:t xml:space="preserve">For the purposes of this clause, </w:t>
      </w:r>
      <w:r w:rsidRPr="00D7268A">
        <w:rPr>
          <w:rFonts w:eastAsia="Times New Roman" w:cs="Times New Roman"/>
          <w:b/>
          <w:bCs/>
          <w:i/>
          <w:iCs/>
          <w:sz w:val="20"/>
          <w:szCs w:val="20"/>
        </w:rPr>
        <w:t>transition period</w:t>
      </w:r>
      <w:r w:rsidRPr="00D7268A">
        <w:rPr>
          <w:rFonts w:eastAsia="Times New Roman" w:cs="Times New Roman"/>
          <w:sz w:val="20"/>
          <w:szCs w:val="20"/>
        </w:rPr>
        <w:t xml:space="preserve"> means the period commencing on the instrument’s date of commencement and ending 12 months after the date of commencement.</w:t>
      </w:r>
    </w:p>
    <w:p w14:paraId="4A884885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</w:p>
    <w:p w14:paraId="6952E716" w14:textId="77777777" w:rsidR="00D7268A" w:rsidRPr="00D7268A" w:rsidRDefault="00D7268A" w:rsidP="00D7268A">
      <w:pPr>
        <w:widowControl w:val="0"/>
        <w:jc w:val="center"/>
        <w:rPr>
          <w:rFonts w:eastAsia="Times New Roman" w:cs="Times New Roman"/>
          <w:b/>
          <w:sz w:val="20"/>
          <w:szCs w:val="24"/>
          <w:lang w:bidi="en-US"/>
        </w:rPr>
      </w:pPr>
      <w:r w:rsidRPr="00D7268A">
        <w:rPr>
          <w:rFonts w:eastAsia="Times New Roman" w:cs="Times New Roman"/>
          <w:b/>
          <w:sz w:val="20"/>
          <w:szCs w:val="24"/>
          <w:lang w:bidi="en-US"/>
        </w:rPr>
        <w:t>Schedule</w:t>
      </w:r>
    </w:p>
    <w:p w14:paraId="2C782FDA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  <w:lang w:bidi="en-US"/>
        </w:rPr>
        <w:t>Schedule 19—Maximum levels of contaminants and natural toxicants</w:t>
      </w:r>
    </w:p>
    <w:p w14:paraId="19D09783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</w:rPr>
        <w:t>[1]</w:t>
      </w:r>
      <w:r w:rsidRPr="00D7268A">
        <w:rPr>
          <w:rFonts w:eastAsia="Times New Roman" w:cs="Times New Roman"/>
          <w:b/>
          <w:sz w:val="20"/>
          <w:szCs w:val="20"/>
        </w:rPr>
        <w:tab/>
        <w:t>Section S19—5 (cell at table item dealing with “Diarrhetic shellfish poisons (Okadaic acid equivalent)</w:t>
      </w:r>
      <w:r w:rsidRPr="00D7268A">
        <w:rPr>
          <w:rFonts w:eastAsia="Times New Roman" w:cs="Arial"/>
          <w:b/>
          <w:sz w:val="20"/>
          <w:szCs w:val="20"/>
        </w:rPr>
        <w:t>”</w:t>
      </w:r>
      <w:r w:rsidRPr="00D7268A">
        <w:rPr>
          <w:rFonts w:eastAsia="Times New Roman" w:cs="Times New Roman"/>
          <w:b/>
          <w:sz w:val="20"/>
          <w:szCs w:val="20"/>
        </w:rPr>
        <w:t xml:space="preserve">, column headed </w:t>
      </w:r>
      <w:r w:rsidRPr="00D7268A">
        <w:rPr>
          <w:rFonts w:eastAsia="Times New Roman" w:cs="Arial"/>
          <w:b/>
          <w:sz w:val="20"/>
          <w:szCs w:val="20"/>
        </w:rPr>
        <w:t>“</w:t>
      </w:r>
      <w:r w:rsidRPr="00D7268A">
        <w:rPr>
          <w:rFonts w:eastAsia="Times New Roman" w:cs="Times New Roman"/>
          <w:b/>
          <w:sz w:val="20"/>
          <w:szCs w:val="20"/>
        </w:rPr>
        <w:t>Maximum level</w:t>
      </w:r>
      <w:r w:rsidRPr="00D7268A">
        <w:rPr>
          <w:rFonts w:eastAsia="Times New Roman" w:cs="Arial"/>
          <w:b/>
          <w:sz w:val="20"/>
          <w:szCs w:val="20"/>
        </w:rPr>
        <w:t>”</w:t>
      </w:r>
      <w:r w:rsidRPr="00D7268A">
        <w:rPr>
          <w:rFonts w:eastAsia="Times New Roman" w:cs="Times New Roman"/>
          <w:b/>
          <w:sz w:val="20"/>
          <w:szCs w:val="20"/>
        </w:rPr>
        <w:t>)</w:t>
      </w:r>
    </w:p>
    <w:p w14:paraId="725143D8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ab/>
        <w:t>Repeal the cell, substitute:</w:t>
      </w:r>
    </w:p>
    <w:tbl>
      <w:tblPr>
        <w:tblStyle w:val="TableGrid2"/>
        <w:tblW w:w="9072" w:type="dxa"/>
        <w:tblInd w:w="-5" w:type="dxa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D7268A" w:rsidRPr="00D7268A" w14:paraId="73FE50EB" w14:textId="77777777" w:rsidTr="00613232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2A4ABB5" w14:textId="77777777" w:rsidR="00D7268A" w:rsidRPr="00D7268A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725C0A81" w14:textId="77777777" w:rsidR="00D7268A" w:rsidRPr="00D7268A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BE934" w14:textId="77777777" w:rsidR="00D7268A" w:rsidRPr="009D6031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9D6031">
              <w:rPr>
                <w:rFonts w:ascii="Arial" w:hAnsi="Arial" w:cs="Arial"/>
                <w:sz w:val="18"/>
                <w:lang w:eastAsia="en-AU"/>
              </w:rPr>
              <w:t>0.16</w:t>
            </w:r>
          </w:p>
        </w:tc>
      </w:tr>
    </w:tbl>
    <w:p w14:paraId="7E735030" w14:textId="77777777" w:rsidR="00D7268A" w:rsidRPr="00D7268A" w:rsidRDefault="00D7268A" w:rsidP="00D7268A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D7268A">
        <w:rPr>
          <w:rFonts w:eastAsia="Times New Roman" w:cs="Times New Roman"/>
          <w:b/>
          <w:sz w:val="20"/>
          <w:szCs w:val="20"/>
        </w:rPr>
        <w:t>[2]</w:t>
      </w:r>
      <w:r w:rsidRPr="00D7268A">
        <w:rPr>
          <w:rFonts w:eastAsia="Times New Roman" w:cs="Times New Roman"/>
          <w:b/>
          <w:sz w:val="20"/>
          <w:szCs w:val="20"/>
        </w:rPr>
        <w:tab/>
        <w:t>Section S19—5 (cell at table item dealing with “Paralytic shellfish poisons (Saxitoxin equivalent)</w:t>
      </w:r>
      <w:r w:rsidRPr="00D7268A">
        <w:rPr>
          <w:rFonts w:eastAsia="Times New Roman" w:cs="Arial"/>
          <w:b/>
          <w:sz w:val="20"/>
          <w:szCs w:val="20"/>
        </w:rPr>
        <w:t>”</w:t>
      </w:r>
      <w:r w:rsidRPr="00D7268A">
        <w:rPr>
          <w:rFonts w:eastAsia="Times New Roman" w:cs="Times New Roman"/>
          <w:b/>
          <w:sz w:val="20"/>
          <w:szCs w:val="20"/>
        </w:rPr>
        <w:t xml:space="preserve">, column headed </w:t>
      </w:r>
      <w:r w:rsidRPr="00D7268A">
        <w:rPr>
          <w:rFonts w:eastAsia="Times New Roman" w:cs="Arial"/>
          <w:b/>
          <w:sz w:val="20"/>
          <w:szCs w:val="20"/>
        </w:rPr>
        <w:t>“</w:t>
      </w:r>
      <w:r w:rsidRPr="00D7268A">
        <w:rPr>
          <w:rFonts w:eastAsia="Times New Roman" w:cs="Times New Roman"/>
          <w:b/>
          <w:sz w:val="20"/>
          <w:szCs w:val="20"/>
        </w:rPr>
        <w:t>Contaminant</w:t>
      </w:r>
      <w:r w:rsidRPr="00D7268A">
        <w:rPr>
          <w:rFonts w:eastAsia="Times New Roman" w:cs="Arial"/>
          <w:b/>
          <w:sz w:val="20"/>
          <w:szCs w:val="20"/>
        </w:rPr>
        <w:t>”</w:t>
      </w:r>
      <w:r w:rsidRPr="00D7268A">
        <w:rPr>
          <w:rFonts w:eastAsia="Times New Roman" w:cs="Times New Roman"/>
          <w:b/>
          <w:sz w:val="20"/>
          <w:szCs w:val="20"/>
        </w:rPr>
        <w:t>)</w:t>
      </w:r>
    </w:p>
    <w:p w14:paraId="28D8355A" w14:textId="77777777" w:rsidR="00D7268A" w:rsidRPr="00D7268A" w:rsidRDefault="00D7268A" w:rsidP="00D7268A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D7268A">
        <w:rPr>
          <w:rFonts w:eastAsia="Times New Roman" w:cs="Times New Roman"/>
          <w:sz w:val="20"/>
          <w:szCs w:val="20"/>
        </w:rPr>
        <w:tab/>
        <w:t>Repeal the cell, substitute:</w:t>
      </w:r>
    </w:p>
    <w:tbl>
      <w:tblPr>
        <w:tblStyle w:val="TableGrid2"/>
        <w:tblW w:w="9072" w:type="dxa"/>
        <w:tblInd w:w="-5" w:type="dxa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D7268A" w:rsidRPr="00D7268A" w14:paraId="260D3947" w14:textId="77777777" w:rsidTr="00613232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3978A" w14:textId="77777777" w:rsidR="00D7268A" w:rsidRPr="009D6031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9D6031">
              <w:rPr>
                <w:rFonts w:ascii="Arial" w:hAnsi="Arial" w:cs="Arial"/>
                <w:sz w:val="18"/>
                <w:lang w:eastAsia="en-AU"/>
              </w:rPr>
              <w:t>Paralytic shellfish poisons (Saxitoxin dihydrochloride equivalent)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18593472" w14:textId="77777777" w:rsidR="00D7268A" w:rsidRPr="00D7268A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14:paraId="313DAC71" w14:textId="77777777" w:rsidR="00D7268A" w:rsidRPr="00D7268A" w:rsidRDefault="00D7268A" w:rsidP="00D7268A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</w:p>
        </w:tc>
      </w:tr>
    </w:tbl>
    <w:p w14:paraId="645B248B" w14:textId="77777777" w:rsidR="00D7268A" w:rsidRPr="00D7268A" w:rsidRDefault="00D7268A" w:rsidP="00D7268A">
      <w:pPr>
        <w:tabs>
          <w:tab w:val="left" w:pos="1701"/>
        </w:tabs>
        <w:spacing w:before="120" w:after="120"/>
        <w:ind w:left="2268" w:hanging="2268"/>
        <w:rPr>
          <w:rFonts w:eastAsia="Times New Roman" w:cs="Times New Roman"/>
          <w:sz w:val="20"/>
          <w:szCs w:val="20"/>
        </w:rPr>
      </w:pPr>
    </w:p>
    <w:p w14:paraId="1795DAD7" w14:textId="77777777" w:rsidR="00D7268A" w:rsidRPr="00D7268A" w:rsidRDefault="00D7268A" w:rsidP="00D7268A">
      <w:pPr>
        <w:widowControl w:val="0"/>
        <w:rPr>
          <w:rFonts w:eastAsia="Times New Roman" w:cs="Times New Roman"/>
          <w:szCs w:val="24"/>
        </w:rPr>
      </w:pPr>
    </w:p>
    <w:p w14:paraId="6AF9249F" w14:textId="6228B9EF" w:rsidR="00D7268A" w:rsidRPr="00D7268A" w:rsidRDefault="00D7268A" w:rsidP="00D7268A">
      <w:pPr>
        <w:widowControl w:val="0"/>
        <w:rPr>
          <w:rFonts w:eastAsia="Times New Roman" w:cs="Times New Roman"/>
          <w:szCs w:val="24"/>
          <w:lang w:val="en-AU" w:eastAsia="en-GB"/>
        </w:rPr>
      </w:pPr>
    </w:p>
    <w:p w14:paraId="08A15179" w14:textId="77777777" w:rsidR="00D5526B" w:rsidRPr="003A01FB" w:rsidRDefault="00D5526B" w:rsidP="003A01FB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E03A" w14:textId="77777777" w:rsidR="00352E6C" w:rsidRDefault="00352E6C" w:rsidP="00D7268A">
      <w:r>
        <w:separator/>
      </w:r>
    </w:p>
  </w:endnote>
  <w:endnote w:type="continuationSeparator" w:id="0">
    <w:p w14:paraId="13613DDC" w14:textId="77777777" w:rsidR="00352E6C" w:rsidRDefault="00352E6C" w:rsidP="00D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4FA6" w14:textId="77777777" w:rsidR="00793877" w:rsidRDefault="00793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D1BB" w14:textId="77777777" w:rsidR="00793877" w:rsidRDefault="00793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ACD3" w14:textId="77777777" w:rsidR="00793877" w:rsidRDefault="0079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64FB" w14:textId="77777777" w:rsidR="00352E6C" w:rsidRDefault="00352E6C" w:rsidP="00D7268A">
      <w:r>
        <w:separator/>
      </w:r>
    </w:p>
  </w:footnote>
  <w:footnote w:type="continuationSeparator" w:id="0">
    <w:p w14:paraId="7E01B70D" w14:textId="77777777" w:rsidR="00352E6C" w:rsidRDefault="00352E6C" w:rsidP="00D7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05FA" w14:textId="77777777" w:rsidR="00793877" w:rsidRDefault="00793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9E63" w14:textId="77777777" w:rsidR="00793877" w:rsidRDefault="00793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EEDA" w14:textId="77777777" w:rsidR="00793877" w:rsidRDefault="00793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511141890">
    <w:abstractNumId w:val="0"/>
  </w:num>
  <w:num w:numId="2" w16cid:durableId="1502545365">
    <w:abstractNumId w:val="0"/>
  </w:num>
  <w:num w:numId="3" w16cid:durableId="2132631027">
    <w:abstractNumId w:val="0"/>
  </w:num>
  <w:num w:numId="4" w16cid:durableId="1134562764">
    <w:abstractNumId w:val="0"/>
  </w:num>
  <w:num w:numId="5" w16cid:durableId="825588068">
    <w:abstractNumId w:val="0"/>
  </w:num>
  <w:num w:numId="6" w16cid:durableId="192308116">
    <w:abstractNumId w:val="0"/>
  </w:num>
  <w:num w:numId="7" w16cid:durableId="461728193">
    <w:abstractNumId w:val="0"/>
  </w:num>
  <w:num w:numId="8" w16cid:durableId="1453674531">
    <w:abstractNumId w:val="3"/>
  </w:num>
  <w:num w:numId="9" w16cid:durableId="2082559510">
    <w:abstractNumId w:val="1"/>
  </w:num>
  <w:num w:numId="10" w16cid:durableId="278996988">
    <w:abstractNumId w:val="2"/>
  </w:num>
  <w:num w:numId="11" w16cid:durableId="1547722667">
    <w:abstractNumId w:val="3"/>
  </w:num>
  <w:num w:numId="12" w16cid:durableId="699739493">
    <w:abstractNumId w:val="1"/>
  </w:num>
  <w:num w:numId="13" w16cid:durableId="89026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8A"/>
    <w:rsid w:val="0000542C"/>
    <w:rsid w:val="00041643"/>
    <w:rsid w:val="000622E7"/>
    <w:rsid w:val="00066854"/>
    <w:rsid w:val="00066D85"/>
    <w:rsid w:val="00087843"/>
    <w:rsid w:val="000A38F8"/>
    <w:rsid w:val="000F2196"/>
    <w:rsid w:val="001734EA"/>
    <w:rsid w:val="00184403"/>
    <w:rsid w:val="00191770"/>
    <w:rsid w:val="001C5126"/>
    <w:rsid w:val="001E696B"/>
    <w:rsid w:val="002232B1"/>
    <w:rsid w:val="00223A24"/>
    <w:rsid w:val="00234C31"/>
    <w:rsid w:val="00323223"/>
    <w:rsid w:val="0033021F"/>
    <w:rsid w:val="00341D25"/>
    <w:rsid w:val="00352E6C"/>
    <w:rsid w:val="003713DC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877"/>
    <w:rsid w:val="00793DE6"/>
    <w:rsid w:val="007E74F9"/>
    <w:rsid w:val="007F6456"/>
    <w:rsid w:val="008103F1"/>
    <w:rsid w:val="00830393"/>
    <w:rsid w:val="00833D5A"/>
    <w:rsid w:val="00860EE7"/>
    <w:rsid w:val="00877A81"/>
    <w:rsid w:val="008931F6"/>
    <w:rsid w:val="008E2339"/>
    <w:rsid w:val="00935023"/>
    <w:rsid w:val="009806A5"/>
    <w:rsid w:val="009D6031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CA10B2"/>
    <w:rsid w:val="00D16775"/>
    <w:rsid w:val="00D5526B"/>
    <w:rsid w:val="00D66962"/>
    <w:rsid w:val="00D7268A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3D2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1C65B8"/>
  <w15:chartTrackingRefBased/>
  <w15:docId w15:val="{45CD7696-E952-4B3A-A63E-6D23D9B0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7268A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7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43D2"/>
    <w:rPr>
      <w:rFonts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A784A-9468-400E-995F-23F3EF650A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54F0E-A03E-4DA7-8078-94BEF7524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0A379-F860-4782-AD5F-1C7D5D80DDFC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E5F4F7F0-0313-4B3E-B775-43268AF7D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1784</Characters>
  <Application>Microsoft Office Word</Application>
  <DocSecurity>0</DocSecurity>
  <Lines>62</Lines>
  <Paragraphs>27</Paragraphs>
  <ScaleCrop>false</ScaleCrop>
  <Company>Food Standards Australia New Zealand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12</cp:revision>
  <dcterms:created xsi:type="dcterms:W3CDTF">2023-12-20T18:38:00Z</dcterms:created>
  <dcterms:modified xsi:type="dcterms:W3CDTF">2024-01-14T20:38:00Z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v=2022.1;a=SHA256;h=67D56BDA5061653A3C2E293429D3DFFA40A6FE6FDA1B7FA72B39E9B5F7F7DD9C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2024-01-14T20:35:35Z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384F7B1783544870BC52B9E90FF5658A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CFCE691011598C8274B965848EAD5671</vt:lpwstr>
  </property>
  <property fmtid="{D5CDD505-2E9C-101B-9397-08002B2CF9AE}" pid="25" name="PM_Hash_Salt">
    <vt:lpwstr>AA6A93B31F98D30ACA7FBD8BE5D46CCA</vt:lpwstr>
  </property>
  <property fmtid="{D5CDD505-2E9C-101B-9397-08002B2CF9AE}" pid="26" name="PM_Hash_SHA1">
    <vt:lpwstr>4A9EBADE37A60A712B2AEF0A068239605573F309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MediaServiceImageTags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Classification">
    <vt:lpwstr>1;#OFFICIAL|3776503d-ed4e-4d70-8dfd-8e17b238523b</vt:lpwstr>
  </property>
  <property fmtid="{D5CDD505-2E9C-101B-9397-08002B2CF9AE}" pid="34" name="Data_x0020_Category">
    <vt:lpwstr/>
  </property>
  <property fmtid="{D5CDD505-2E9C-101B-9397-08002B2CF9AE}" pid="35" name="Data_x0020_Accessibility">
    <vt:lpwstr/>
  </property>
  <property fmtid="{D5CDD505-2E9C-101B-9397-08002B2CF9AE}" pid="36" name="o2e94e0b7bb742308b3aec7384781dc0">
    <vt:lpwstr/>
  </property>
  <property fmtid="{D5CDD505-2E9C-101B-9397-08002B2CF9AE}" pid="37" name="lcf76f155ced4ddcb4097134ff3c332f">
    <vt:lpwstr/>
  </property>
  <property fmtid="{D5CDD505-2E9C-101B-9397-08002B2CF9AE}" pid="38" name="BCS">
    <vt:lpwstr>27;#Instruments|4a8ff5e5-1f0e-4751-ab44-bc0d33b46a80</vt:lpwstr>
  </property>
  <property fmtid="{D5CDD505-2E9C-101B-9397-08002B2CF9AE}" pid="39" name="Data Privacy">
    <vt:lpwstr/>
  </property>
  <property fmtid="{D5CDD505-2E9C-101B-9397-08002B2CF9AE}" pid="40" name="Data Accessibility">
    <vt:lpwstr/>
  </property>
  <property fmtid="{D5CDD505-2E9C-101B-9397-08002B2CF9AE}" pid="41" name="Data Category">
    <vt:lpwstr/>
  </property>
  <property fmtid="{D5CDD505-2E9C-101B-9397-08002B2CF9AE}" pid="42" name="Data Owner and Authority">
    <vt:lpwstr/>
  </property>
  <property fmtid="{D5CDD505-2E9C-101B-9397-08002B2CF9AE}" pid="43" name="Data Description">
    <vt:lpwstr/>
  </property>
  <property fmtid="{D5CDD505-2E9C-101B-9397-08002B2CF9AE}" pid="44" name="Data Database Location">
    <vt:lpwstr/>
  </property>
  <property fmtid="{D5CDD505-2E9C-101B-9397-08002B2CF9AE}" pid="45" name="Data Origin">
    <vt:lpwstr/>
  </property>
  <property fmtid="{D5CDD505-2E9C-101B-9397-08002B2CF9AE}" pid="46" name="_ExtendedDescription">
    <vt:lpwstr/>
  </property>
  <property fmtid="{D5CDD505-2E9C-101B-9397-08002B2CF9AE}" pid="47" name="Data Machine Readable">
    <vt:bool>false</vt:bool>
  </property>
  <property fmtid="{D5CDD505-2E9C-101B-9397-08002B2CF9AE}" pid="48" name="Data Custodian">
    <vt:lpwstr/>
  </property>
  <property fmtid="{D5CDD505-2E9C-101B-9397-08002B2CF9AE}" pid="49" name="Data Quality">
    <vt:lpwstr/>
  </property>
  <property fmtid="{D5CDD505-2E9C-101B-9397-08002B2CF9AE}" pid="50" name="Summary Document">
    <vt:lpwstr/>
  </property>
</Properties>
</file>