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13E40" w14:textId="77777777" w:rsidR="007141F5" w:rsidRPr="007141F5" w:rsidRDefault="007141F5" w:rsidP="007141F5">
      <w:pPr>
        <w:widowControl w:val="0"/>
        <w:jc w:val="center"/>
        <w:rPr>
          <w:rFonts w:eastAsia="Times New Roman" w:cs="Times New Roman"/>
          <w:b/>
          <w:caps/>
          <w:u w:val="single"/>
        </w:rPr>
      </w:pPr>
      <w:r w:rsidRPr="007141F5">
        <w:rPr>
          <w:rFonts w:eastAsia="Times New Roman" w:cs="Times New Roman"/>
          <w:b/>
          <w:caps/>
          <w:szCs w:val="24"/>
          <w:u w:val="single"/>
          <w:lang w:bidi="en-US"/>
        </w:rPr>
        <w:t>Explanatory Statement</w:t>
      </w:r>
    </w:p>
    <w:p w14:paraId="079DF2BF" w14:textId="77777777" w:rsidR="007141F5" w:rsidRPr="007141F5" w:rsidRDefault="007141F5" w:rsidP="007141F5">
      <w:pPr>
        <w:widowControl w:val="0"/>
        <w:rPr>
          <w:rFonts w:eastAsia="Times New Roman" w:cs="Times New Roman"/>
          <w:szCs w:val="24"/>
          <w:lang w:bidi="en-US"/>
        </w:rPr>
      </w:pPr>
    </w:p>
    <w:p w14:paraId="51764687" w14:textId="77777777" w:rsidR="007141F5" w:rsidRPr="007141F5" w:rsidRDefault="007141F5" w:rsidP="007141F5">
      <w:pPr>
        <w:widowControl w:val="0"/>
        <w:shd w:val="clear" w:color="auto" w:fill="FFFFFF"/>
        <w:spacing w:after="200" w:line="253" w:lineRule="atLeast"/>
        <w:jc w:val="center"/>
        <w:rPr>
          <w:rFonts w:eastAsia="Times New Roman" w:cs="Times New Roman"/>
          <w:color w:val="000000"/>
          <w:szCs w:val="24"/>
          <w:lang w:eastAsia="en-GB" w:bidi="en-US"/>
        </w:rPr>
      </w:pPr>
      <w:r w:rsidRPr="007141F5">
        <w:rPr>
          <w:rFonts w:eastAsia="Times New Roman" w:cs="Arial"/>
          <w:i/>
          <w:iCs/>
          <w:color w:val="000000"/>
          <w:szCs w:val="24"/>
          <w:lang w:val="en-AU" w:eastAsia="en-GB" w:bidi="en-US"/>
        </w:rPr>
        <w:t>Food Standards Australia New Zealand Act 1991</w:t>
      </w:r>
    </w:p>
    <w:p w14:paraId="417C8B46" w14:textId="77777777" w:rsidR="007141F5" w:rsidRPr="007141F5" w:rsidRDefault="007141F5" w:rsidP="007141F5">
      <w:pPr>
        <w:widowControl w:val="0"/>
        <w:jc w:val="center"/>
        <w:rPr>
          <w:rFonts w:eastAsia="Times New Roman" w:cs="Times New Roman"/>
          <w:szCs w:val="24"/>
        </w:rPr>
      </w:pPr>
      <w:r w:rsidRPr="007141F5">
        <w:rPr>
          <w:rFonts w:eastAsia="Times New Roman" w:cs="Times New Roman"/>
          <w:b/>
          <w:bCs/>
          <w:i/>
          <w:iCs/>
          <w:szCs w:val="24"/>
          <w:lang w:bidi="en-US"/>
        </w:rPr>
        <w:t>Food Standards (Application A1243 – Harmonisation of marine biotoxin standards for bivalve shellfish) Variation</w:t>
      </w:r>
      <w:r w:rsidRPr="007141F5">
        <w:rPr>
          <w:rFonts w:eastAsia="Times New Roman" w:cs="Times New Roman"/>
          <w:b/>
          <w:bCs/>
          <w:sz w:val="20"/>
          <w:szCs w:val="24"/>
          <w:lang w:bidi="en-US"/>
        </w:rPr>
        <w:t xml:space="preserve"> </w:t>
      </w:r>
      <w:bookmarkStart w:id="0" w:name="_Hlk122511455"/>
    </w:p>
    <w:bookmarkEnd w:id="0"/>
    <w:p w14:paraId="61F7DB4A" w14:textId="77777777" w:rsidR="007141F5" w:rsidRPr="007141F5" w:rsidRDefault="007141F5" w:rsidP="007141F5">
      <w:pPr>
        <w:widowControl w:val="0"/>
        <w:rPr>
          <w:rFonts w:eastAsia="Times New Roman" w:cs="Times New Roman"/>
          <w:szCs w:val="24"/>
        </w:rPr>
      </w:pPr>
    </w:p>
    <w:p w14:paraId="7CA47E12" w14:textId="77777777" w:rsidR="007141F5" w:rsidRPr="007141F5" w:rsidRDefault="007141F5" w:rsidP="007141F5">
      <w:pPr>
        <w:widowControl w:val="0"/>
        <w:rPr>
          <w:rFonts w:eastAsia="Times New Roman" w:cs="Times New Roman"/>
          <w:b/>
          <w:szCs w:val="24"/>
          <w:lang w:val="en-AU" w:eastAsia="en-GB"/>
        </w:rPr>
      </w:pPr>
      <w:r w:rsidRPr="007141F5">
        <w:rPr>
          <w:rFonts w:eastAsia="Times New Roman" w:cs="Times New Roman"/>
          <w:b/>
          <w:szCs w:val="24"/>
          <w:lang w:val="en-AU" w:eastAsia="en-GB"/>
        </w:rPr>
        <w:t>1.</w:t>
      </w:r>
      <w:r w:rsidRPr="007141F5">
        <w:rPr>
          <w:rFonts w:eastAsia="Times New Roman" w:cs="Times New Roman"/>
          <w:b/>
          <w:szCs w:val="24"/>
          <w:lang w:val="en-AU" w:eastAsia="en-GB"/>
        </w:rPr>
        <w:tab/>
        <w:t>Authority</w:t>
      </w:r>
    </w:p>
    <w:p w14:paraId="4D8570B9" w14:textId="77777777" w:rsidR="007141F5" w:rsidRPr="007141F5" w:rsidRDefault="007141F5" w:rsidP="007141F5">
      <w:pPr>
        <w:widowControl w:val="0"/>
        <w:rPr>
          <w:rFonts w:eastAsia="Times New Roman" w:cs="Times New Roman"/>
          <w:szCs w:val="24"/>
          <w:lang w:val="en-AU" w:eastAsia="en-GB"/>
        </w:rPr>
      </w:pPr>
    </w:p>
    <w:p w14:paraId="13425089" w14:textId="77777777" w:rsidR="007141F5" w:rsidRPr="007141F5" w:rsidRDefault="007141F5" w:rsidP="007141F5">
      <w:pPr>
        <w:autoSpaceDE w:val="0"/>
        <w:autoSpaceDN w:val="0"/>
        <w:adjustRightInd w:val="0"/>
        <w:rPr>
          <w:rFonts w:eastAsia="Calibri" w:cs="Arial"/>
          <w:bCs/>
          <w:lang w:val="en-AU"/>
        </w:rPr>
      </w:pPr>
      <w:r w:rsidRPr="007141F5">
        <w:rPr>
          <w:rFonts w:eastAsia="Calibri" w:cs="Arial"/>
          <w:bCs/>
          <w:lang w:val="en-AU"/>
        </w:rPr>
        <w:t xml:space="preserve">Section 13 of the </w:t>
      </w:r>
      <w:r w:rsidRPr="007141F5">
        <w:rPr>
          <w:rFonts w:eastAsia="Calibri" w:cs="Arial"/>
          <w:bCs/>
          <w:i/>
          <w:lang w:val="en-AU"/>
        </w:rPr>
        <w:t>Food Standards Australia New Zealand Act 1991</w:t>
      </w:r>
      <w:r w:rsidRPr="007141F5">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7141F5">
        <w:rPr>
          <w:rFonts w:eastAsia="Calibri" w:cs="Arial"/>
          <w:bCs/>
          <w:i/>
          <w:lang w:val="en-AU"/>
        </w:rPr>
        <w:t>Australia New Zealand Food Standards Code</w:t>
      </w:r>
      <w:r w:rsidRPr="007141F5">
        <w:rPr>
          <w:rFonts w:eastAsia="Calibri" w:cs="Arial"/>
          <w:bCs/>
          <w:lang w:val="en-AU"/>
        </w:rPr>
        <w:t xml:space="preserve"> (the Code).</w:t>
      </w:r>
    </w:p>
    <w:p w14:paraId="72185DC0" w14:textId="77777777" w:rsidR="007141F5" w:rsidRPr="007141F5" w:rsidRDefault="007141F5" w:rsidP="007141F5">
      <w:pPr>
        <w:autoSpaceDE w:val="0"/>
        <w:autoSpaceDN w:val="0"/>
        <w:adjustRightInd w:val="0"/>
        <w:rPr>
          <w:rFonts w:eastAsia="Calibri" w:cs="Arial"/>
          <w:bCs/>
          <w:lang w:val="en-AU"/>
        </w:rPr>
      </w:pPr>
    </w:p>
    <w:p w14:paraId="2BD1819E" w14:textId="77777777" w:rsidR="007141F5" w:rsidRPr="007141F5" w:rsidRDefault="007141F5" w:rsidP="007141F5">
      <w:pPr>
        <w:autoSpaceDE w:val="0"/>
        <w:autoSpaceDN w:val="0"/>
        <w:adjustRightInd w:val="0"/>
        <w:rPr>
          <w:rFonts w:eastAsia="Calibri" w:cs="Arial"/>
          <w:bCs/>
          <w:lang w:val="en-AU"/>
        </w:rPr>
      </w:pPr>
      <w:r w:rsidRPr="007141F5">
        <w:rPr>
          <w:rFonts w:eastAsia="Calibri" w:cs="Arial"/>
          <w:bCs/>
          <w:lang w:val="en-AU"/>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1F664F69" w14:textId="77777777" w:rsidR="007141F5" w:rsidRPr="007141F5" w:rsidRDefault="007141F5" w:rsidP="007141F5">
      <w:pPr>
        <w:autoSpaceDE w:val="0"/>
        <w:autoSpaceDN w:val="0"/>
        <w:adjustRightInd w:val="0"/>
        <w:rPr>
          <w:rFonts w:eastAsia="Calibri" w:cs="Arial"/>
          <w:bCs/>
          <w:lang w:val="en-AU"/>
        </w:rPr>
      </w:pPr>
    </w:p>
    <w:p w14:paraId="33012DC9" w14:textId="77777777" w:rsidR="007141F5" w:rsidRPr="007141F5" w:rsidRDefault="007141F5" w:rsidP="007141F5">
      <w:pPr>
        <w:autoSpaceDE w:val="0"/>
        <w:autoSpaceDN w:val="0"/>
        <w:adjustRightInd w:val="0"/>
        <w:rPr>
          <w:rFonts w:eastAsia="Calibri" w:cs="Arial"/>
          <w:szCs w:val="24"/>
          <w:lang w:val="en-AU"/>
        </w:rPr>
      </w:pPr>
      <w:r w:rsidRPr="007141F5">
        <w:rPr>
          <w:rFonts w:eastAsia="Calibri" w:cs="Arial"/>
          <w:szCs w:val="24"/>
          <w:lang w:val="en-AU"/>
        </w:rPr>
        <w:t xml:space="preserve">The Authority accepted Application A1243 which sought to change the maximum level (ML) for two marine biotoxins (diarrhetic shellfish poisons and paralytic shellfish poisons) in bivalve molluscs. The Authority considered the application in accordance with Division 1 of Part 3 and has approved a draft variation </w:t>
      </w:r>
      <w:r w:rsidRPr="007141F5">
        <w:rPr>
          <w:rFonts w:eastAsia="Calibri" w:cs="Arial"/>
          <w:bCs/>
          <w:lang w:val="en-AU"/>
        </w:rPr>
        <w:t xml:space="preserve">– the </w:t>
      </w:r>
      <w:r w:rsidRPr="007141F5">
        <w:rPr>
          <w:rFonts w:eastAsia="Times New Roman" w:cs="Times New Roman"/>
          <w:i/>
          <w:iCs/>
          <w:szCs w:val="24"/>
          <w:lang w:bidi="en-US"/>
        </w:rPr>
        <w:t>Food Standards (Application A1243 – Harmonisation of marine biotoxin standards for bivalve shellfish) Variation</w:t>
      </w:r>
      <w:r w:rsidRPr="007141F5">
        <w:rPr>
          <w:rFonts w:eastAsia="Calibri" w:cs="Arial"/>
          <w:szCs w:val="24"/>
          <w:lang w:val="en-AU"/>
        </w:rPr>
        <w:t xml:space="preserve">. </w:t>
      </w:r>
    </w:p>
    <w:p w14:paraId="4F464C2A" w14:textId="77777777" w:rsidR="007141F5" w:rsidRPr="007141F5" w:rsidRDefault="007141F5" w:rsidP="007141F5">
      <w:pPr>
        <w:widowControl w:val="0"/>
        <w:rPr>
          <w:rFonts w:eastAsia="Calibri" w:cs="Times New Roman"/>
          <w:szCs w:val="24"/>
          <w:lang w:bidi="en-US"/>
        </w:rPr>
      </w:pPr>
    </w:p>
    <w:p w14:paraId="56E4C06C" w14:textId="77777777" w:rsidR="007141F5" w:rsidRPr="007141F5" w:rsidRDefault="007141F5" w:rsidP="007141F5">
      <w:pPr>
        <w:widowControl w:val="0"/>
        <w:rPr>
          <w:rFonts w:eastAsia="Calibri" w:cs="Times New Roman"/>
          <w:szCs w:val="24"/>
          <w:lang w:bidi="en-US"/>
        </w:rPr>
      </w:pPr>
      <w:r w:rsidRPr="007141F5">
        <w:rPr>
          <w:rFonts w:eastAsia="Calibri" w:cs="Times New Roman"/>
          <w:szCs w:val="24"/>
          <w:lang w:bidi="en-US"/>
        </w:rPr>
        <w:t xml:space="preserve">Following consideration by the </w:t>
      </w:r>
      <w:r w:rsidRPr="007141F5">
        <w:rPr>
          <w:rFonts w:eastAsia="Times New Roman" w:cs="Times New Roman"/>
          <w:szCs w:val="24"/>
          <w:lang w:bidi="en-US"/>
        </w:rPr>
        <w:t>Food Ministers’ Meeting</w:t>
      </w:r>
      <w:r w:rsidRPr="007141F5">
        <w:rPr>
          <w:rFonts w:eastAsia="Calibri" w:cs="Times New Roman"/>
          <w:szCs w:val="24"/>
          <w:lang w:bidi="en-US"/>
        </w:rPr>
        <w:t xml:space="preserve">, section 92 of the FSANZ Act stipulates that the Authority must publish a notice about the standard or draft variation of a standard. </w:t>
      </w:r>
    </w:p>
    <w:p w14:paraId="20B6CEEC" w14:textId="77777777" w:rsidR="007141F5" w:rsidRPr="007141F5" w:rsidRDefault="007141F5" w:rsidP="007141F5">
      <w:pPr>
        <w:widowControl w:val="0"/>
        <w:rPr>
          <w:rFonts w:eastAsia="Calibri" w:cs="Times New Roman"/>
          <w:szCs w:val="24"/>
          <w:lang w:bidi="en-US"/>
        </w:rPr>
      </w:pPr>
    </w:p>
    <w:p w14:paraId="202CE57D" w14:textId="77777777" w:rsidR="007141F5" w:rsidRPr="007141F5" w:rsidRDefault="007141F5" w:rsidP="007141F5">
      <w:pPr>
        <w:widowControl w:val="0"/>
        <w:rPr>
          <w:rFonts w:eastAsia="Calibri" w:cs="Arial"/>
          <w:color w:val="000000"/>
          <w:lang w:val="en-AU"/>
        </w:rPr>
      </w:pPr>
      <w:bookmarkStart w:id="1" w:name="_Hlk115965223"/>
      <w:r w:rsidRPr="007141F5">
        <w:rPr>
          <w:rFonts w:eastAsia="Calibri" w:cs="Times New Roman"/>
          <w:szCs w:val="24"/>
          <w:lang w:bidi="en-US"/>
        </w:rPr>
        <w:t>Section 94 of the FSANZ Act specifies that a standard, or a variation of a standard, in relation to</w:t>
      </w:r>
      <w:r w:rsidRPr="007141F5">
        <w:rPr>
          <w:rFonts w:eastAsia="Calibri" w:cs="Arial"/>
          <w:color w:val="000000"/>
          <w:lang w:val="en-AU"/>
        </w:rPr>
        <w:t xml:space="preserve"> which a notice is published under section 92 is a legislative instrument, but is not subject to parliamentary disallowance or sunsetting under the </w:t>
      </w:r>
      <w:r w:rsidRPr="007141F5">
        <w:rPr>
          <w:rFonts w:eastAsia="Calibri" w:cs="Arial"/>
          <w:i/>
          <w:color w:val="000000"/>
          <w:lang w:val="en-AU"/>
        </w:rPr>
        <w:t>Legislation Act 2003</w:t>
      </w:r>
      <w:r w:rsidRPr="007141F5">
        <w:rPr>
          <w:rFonts w:eastAsia="Calibri" w:cs="Arial"/>
          <w:color w:val="000000"/>
          <w:lang w:val="en-AU"/>
        </w:rPr>
        <w:t>.</w:t>
      </w:r>
    </w:p>
    <w:bookmarkEnd w:id="1"/>
    <w:p w14:paraId="756CB743" w14:textId="77777777" w:rsidR="007141F5" w:rsidRPr="007141F5" w:rsidRDefault="007141F5" w:rsidP="007141F5">
      <w:pPr>
        <w:autoSpaceDE w:val="0"/>
        <w:autoSpaceDN w:val="0"/>
        <w:adjustRightInd w:val="0"/>
        <w:rPr>
          <w:rFonts w:eastAsia="Calibri" w:cs="Arial"/>
          <w:bCs/>
          <w:lang w:val="en-AU"/>
        </w:rPr>
      </w:pPr>
    </w:p>
    <w:p w14:paraId="66BF70C9" w14:textId="77777777" w:rsidR="007141F5" w:rsidRPr="007141F5" w:rsidRDefault="007141F5" w:rsidP="007141F5">
      <w:pPr>
        <w:widowControl w:val="0"/>
        <w:rPr>
          <w:rFonts w:eastAsia="Times New Roman" w:cs="Times New Roman"/>
          <w:b/>
          <w:szCs w:val="24"/>
          <w:lang w:val="en-AU" w:eastAsia="en-GB"/>
        </w:rPr>
      </w:pPr>
      <w:r w:rsidRPr="007141F5">
        <w:rPr>
          <w:rFonts w:eastAsia="Times New Roman" w:cs="Times New Roman"/>
          <w:b/>
          <w:szCs w:val="24"/>
          <w:lang w:val="en-AU" w:eastAsia="en-GB"/>
        </w:rPr>
        <w:t xml:space="preserve">2. </w:t>
      </w:r>
      <w:r w:rsidRPr="007141F5">
        <w:rPr>
          <w:rFonts w:eastAsia="Times New Roman" w:cs="Times New Roman"/>
          <w:b/>
          <w:szCs w:val="24"/>
          <w:lang w:val="en-AU" w:eastAsia="en-GB"/>
        </w:rPr>
        <w:tab/>
        <w:t>Variation will be a legislative instrument</w:t>
      </w:r>
    </w:p>
    <w:p w14:paraId="5956BB24" w14:textId="77777777" w:rsidR="007141F5" w:rsidRPr="007141F5" w:rsidRDefault="007141F5" w:rsidP="007141F5">
      <w:pPr>
        <w:widowControl w:val="0"/>
        <w:rPr>
          <w:rFonts w:eastAsia="Times New Roman" w:cs="Times New Roman"/>
          <w:b/>
          <w:szCs w:val="24"/>
          <w:lang w:val="en-AU" w:eastAsia="en-GB"/>
        </w:rPr>
      </w:pPr>
    </w:p>
    <w:p w14:paraId="6F563209" w14:textId="24814E15" w:rsidR="007141F5" w:rsidRPr="007141F5" w:rsidRDefault="007141F5" w:rsidP="007141F5">
      <w:pPr>
        <w:widowControl w:val="0"/>
        <w:rPr>
          <w:rFonts w:eastAsia="Times New Roman" w:cs="Arial"/>
        </w:rPr>
      </w:pPr>
      <w:r w:rsidRPr="007141F5">
        <w:rPr>
          <w:rFonts w:eastAsia="Times New Roman" w:cs="Arial"/>
          <w:szCs w:val="24"/>
          <w:lang w:bidi="en-US"/>
        </w:rPr>
        <w:t xml:space="preserve">The approved draft variation is a legislative instrument for the purposes of the </w:t>
      </w:r>
      <w:r w:rsidRPr="007141F5">
        <w:rPr>
          <w:rFonts w:eastAsia="Times New Roman" w:cs="Arial"/>
          <w:i/>
          <w:iCs/>
          <w:szCs w:val="24"/>
          <w:lang w:bidi="en-US"/>
        </w:rPr>
        <w:t>Legislation Act 2003</w:t>
      </w:r>
      <w:r w:rsidRPr="007141F5">
        <w:rPr>
          <w:rFonts w:eastAsia="Times New Roman" w:cs="Arial"/>
          <w:szCs w:val="24"/>
          <w:lang w:bidi="en-US"/>
        </w:rPr>
        <w:t xml:space="preserve"> (see section 94 of the FSANZ Act) and</w:t>
      </w:r>
      <w:r w:rsidR="00875705">
        <w:rPr>
          <w:rFonts w:eastAsia="Times New Roman" w:cs="Arial"/>
          <w:szCs w:val="24"/>
          <w:lang w:bidi="en-US"/>
        </w:rPr>
        <w:t xml:space="preserve"> </w:t>
      </w:r>
      <w:r w:rsidR="00EA211C">
        <w:rPr>
          <w:rFonts w:eastAsia="Times New Roman" w:cs="Arial"/>
          <w:szCs w:val="24"/>
          <w:lang w:bidi="en-US"/>
        </w:rPr>
        <w:t xml:space="preserve">will </w:t>
      </w:r>
      <w:r w:rsidRPr="007141F5">
        <w:rPr>
          <w:rFonts w:eastAsia="Times New Roman" w:cs="Arial"/>
          <w:szCs w:val="24"/>
          <w:lang w:bidi="en-US"/>
        </w:rPr>
        <w:t>be publicly available on the Federal Register of Legislation (</w:t>
      </w:r>
      <w:hyperlink r:id="rId12" w:history="1">
        <w:r w:rsidRPr="007141F5">
          <w:rPr>
            <w:rFonts w:eastAsia="Times New Roman" w:cs="Arial"/>
            <w:color w:val="0000FF"/>
            <w:szCs w:val="24"/>
            <w:u w:val="single"/>
            <w:lang w:bidi="en-US"/>
          </w:rPr>
          <w:t>www.legislation.gov.au</w:t>
        </w:r>
      </w:hyperlink>
      <w:r w:rsidRPr="007141F5">
        <w:rPr>
          <w:rFonts w:eastAsia="Times New Roman" w:cs="Arial"/>
          <w:szCs w:val="24"/>
          <w:lang w:bidi="en-US"/>
        </w:rPr>
        <w:t>).</w:t>
      </w:r>
    </w:p>
    <w:p w14:paraId="58CA7AEE" w14:textId="77777777" w:rsidR="007141F5" w:rsidRPr="007141F5" w:rsidRDefault="007141F5" w:rsidP="007141F5">
      <w:pPr>
        <w:widowControl w:val="0"/>
        <w:rPr>
          <w:rFonts w:eastAsia="Times New Roman" w:cs="Arial"/>
          <w:szCs w:val="24"/>
          <w:lang w:bidi="en-US"/>
        </w:rPr>
      </w:pPr>
    </w:p>
    <w:p w14:paraId="6ADAD972" w14:textId="77777777" w:rsidR="007141F5" w:rsidRPr="007141F5" w:rsidRDefault="007141F5" w:rsidP="007141F5">
      <w:pPr>
        <w:widowControl w:val="0"/>
        <w:rPr>
          <w:rFonts w:eastAsia="Times New Roman" w:cs="Arial"/>
          <w:szCs w:val="24"/>
          <w:lang w:bidi="en-US"/>
        </w:rPr>
      </w:pPr>
      <w:r w:rsidRPr="007141F5">
        <w:rPr>
          <w:rFonts w:eastAsia="Times New Roman" w:cs="Arial"/>
          <w:szCs w:val="24"/>
          <w:lang w:bidi="en-US"/>
        </w:rPr>
        <w:t xml:space="preserve">The instrument is not subject to the disallowance or sunsetting provisions of the </w:t>
      </w:r>
      <w:r w:rsidRPr="007141F5">
        <w:rPr>
          <w:rFonts w:eastAsia="Times New Roman" w:cs="Arial"/>
          <w:i/>
          <w:iCs/>
          <w:szCs w:val="24"/>
          <w:lang w:bidi="en-US"/>
        </w:rPr>
        <w:t xml:space="preserve">Legislation Act 2003. </w:t>
      </w:r>
      <w:r w:rsidRPr="007141F5">
        <w:rPr>
          <w:rFonts w:eastAsia="Times New Roman" w:cs="Arial"/>
          <w:szCs w:val="24"/>
          <w:lang w:bidi="en-US"/>
        </w:rPr>
        <w:t>Subsections</w:t>
      </w:r>
      <w:r w:rsidRPr="007141F5">
        <w:rPr>
          <w:rFonts w:eastAsia="Times New Roman" w:cs="Arial"/>
          <w:i/>
          <w:iCs/>
          <w:szCs w:val="24"/>
          <w:lang w:bidi="en-US"/>
        </w:rPr>
        <w:t xml:space="preserve"> </w:t>
      </w:r>
      <w:r w:rsidRPr="007141F5">
        <w:rPr>
          <w:rFonts w:eastAsia="Times New Roman" w:cs="Arial"/>
          <w:szCs w:val="24"/>
          <w:lang w:bidi="en-US"/>
        </w:rPr>
        <w:t>44(1) and 54(1) of that Act</w:t>
      </w:r>
      <w:r w:rsidRPr="007141F5">
        <w:rPr>
          <w:rFonts w:eastAsia="Times New Roman" w:cs="Arial"/>
          <w:i/>
          <w:iCs/>
          <w:szCs w:val="24"/>
          <w:lang w:bidi="en-US"/>
        </w:rPr>
        <w:t xml:space="preserve"> </w:t>
      </w:r>
      <w:r w:rsidRPr="007141F5">
        <w:rPr>
          <w:rFonts w:eastAsia="Times New Roman" w:cs="Arial"/>
          <w:szCs w:val="24"/>
          <w:lang w:bidi="en-US"/>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7141F5">
        <w:rPr>
          <w:rFonts w:eastAsia="Times New Roman" w:cs="Arial"/>
          <w:i/>
          <w:iCs/>
          <w:szCs w:val="24"/>
          <w:lang w:bidi="en-US"/>
        </w:rPr>
        <w:t>Legislation (Exemptions and other Matters) Regulation 2015</w:t>
      </w:r>
      <w:r w:rsidRPr="007141F5">
        <w:rPr>
          <w:rFonts w:eastAsia="Times New Roman" w:cs="Arial"/>
          <w:szCs w:val="24"/>
          <w:lang w:bidi="en-US"/>
        </w:rPr>
        <w:t xml:space="preserve"> </w:t>
      </w:r>
      <w:r w:rsidRPr="007141F5">
        <w:rPr>
          <w:rFonts w:eastAsia="Times New Roman" w:cs="Arial"/>
          <w:szCs w:val="24"/>
          <w:lang w:val="en" w:bidi="en-US"/>
        </w:rPr>
        <w:t xml:space="preserve">also exempts from sunsetting legislative instruments </w:t>
      </w:r>
      <w:r w:rsidRPr="007141F5">
        <w:rPr>
          <w:rFonts w:eastAsia="Times New Roman" w:cs="Arial"/>
          <w:szCs w:val="24"/>
          <w:shd w:val="clear" w:color="auto" w:fill="FFFFFF"/>
          <w:lang w:bidi="en-US"/>
        </w:rPr>
        <w:t xml:space="preserve">a primary purpose of which is to </w:t>
      </w:r>
      <w:r w:rsidRPr="007141F5">
        <w:rPr>
          <w:rFonts w:eastAsia="Times New Roman" w:cs="Arial"/>
          <w:szCs w:val="24"/>
          <w:lang w:bidi="en-US"/>
        </w:rPr>
        <w:t>give effect to an international obligation of Australia.</w:t>
      </w:r>
    </w:p>
    <w:p w14:paraId="68D4D436" w14:textId="77777777" w:rsidR="007141F5" w:rsidRPr="007141F5" w:rsidRDefault="007141F5" w:rsidP="007141F5">
      <w:pPr>
        <w:widowControl w:val="0"/>
        <w:rPr>
          <w:rFonts w:eastAsia="Times New Roman" w:cs="Arial"/>
          <w:szCs w:val="24"/>
          <w:lang w:bidi="en-US"/>
        </w:rPr>
      </w:pPr>
    </w:p>
    <w:p w14:paraId="47DE07BD" w14:textId="77777777" w:rsidR="007141F5" w:rsidRPr="007141F5" w:rsidRDefault="007141F5" w:rsidP="007141F5">
      <w:pPr>
        <w:widowControl w:val="0"/>
        <w:rPr>
          <w:rFonts w:eastAsia="Times New Roman" w:cs="Arial"/>
          <w:szCs w:val="24"/>
          <w:lang w:val="en-AU" w:bidi="en-US"/>
        </w:rPr>
      </w:pPr>
      <w:r w:rsidRPr="007141F5">
        <w:rPr>
          <w:rFonts w:eastAsia="Times New Roman" w:cs="Arial"/>
          <w:szCs w:val="24"/>
          <w:lang w:bidi="en-US"/>
        </w:rPr>
        <w:t xml:space="preserve">The </w:t>
      </w:r>
      <w:r w:rsidRPr="007141F5">
        <w:rPr>
          <w:rFonts w:eastAsia="Times New Roman" w:cs="Arial"/>
          <w:szCs w:val="24"/>
          <w:lang w:val="en-AU" w:bidi="en-US"/>
        </w:rPr>
        <w:t>FSANZ Act</w:t>
      </w:r>
      <w:r w:rsidRPr="007141F5">
        <w:rPr>
          <w:rFonts w:eastAsia="Times New Roman" w:cs="Arial"/>
          <w:i/>
          <w:iCs/>
          <w:szCs w:val="24"/>
          <w:lang w:val="en-AU" w:bidi="en-US"/>
        </w:rPr>
        <w:t xml:space="preserve"> </w:t>
      </w:r>
      <w:r w:rsidRPr="007141F5">
        <w:rPr>
          <w:rFonts w:eastAsia="Times New Roman" w:cs="Arial"/>
          <w:szCs w:val="24"/>
          <w:lang w:val="en-AU" w:bidi="en-US"/>
        </w:rPr>
        <w:t xml:space="preserve">gives effect to </w:t>
      </w:r>
      <w:r w:rsidRPr="007141F5">
        <w:rPr>
          <w:rFonts w:eastAsia="Times New Roman" w:cs="Arial"/>
          <w:szCs w:val="24"/>
          <w:lang w:bidi="en-US"/>
        </w:rPr>
        <w:t xml:space="preserve">an intergovernmental agreement (the Food Regulation Agreement) and facilitates the establishment or operation of an intergovernmental scheme (national uniform food regulation). </w:t>
      </w:r>
      <w:r w:rsidRPr="007141F5">
        <w:rPr>
          <w:rFonts w:eastAsia="Times New Roman" w:cs="Arial"/>
          <w:szCs w:val="24"/>
          <w:lang w:val="en-AU" w:bidi="en-US"/>
        </w:rPr>
        <w:t>That Act also</w:t>
      </w:r>
      <w:r w:rsidRPr="007141F5">
        <w:rPr>
          <w:rFonts w:eastAsia="Times New Roman" w:cs="Arial"/>
          <w:i/>
          <w:iCs/>
          <w:szCs w:val="24"/>
          <w:lang w:val="en-AU" w:bidi="en-US"/>
        </w:rPr>
        <w:t xml:space="preserve"> </w:t>
      </w:r>
      <w:r w:rsidRPr="007141F5">
        <w:rPr>
          <w:rFonts w:eastAsia="Times New Roman" w:cs="Arial"/>
          <w:szCs w:val="24"/>
          <w:lang w:val="en-AU" w:bidi="en-US"/>
        </w:rPr>
        <w:t xml:space="preserve">gives effect to Australia’s obligations under an international agreement between Australia and New Zealand. For these purposes, the Act </w:t>
      </w:r>
      <w:r w:rsidRPr="007141F5">
        <w:rPr>
          <w:rFonts w:eastAsia="Times New Roman" w:cs="Arial"/>
          <w:szCs w:val="24"/>
          <w:lang w:bidi="en-US"/>
        </w:rPr>
        <w:t xml:space="preserve">establishes the Authority to </w:t>
      </w:r>
      <w:r w:rsidRPr="007141F5">
        <w:rPr>
          <w:rFonts w:eastAsia="Times New Roman" w:cs="Arial"/>
          <w:szCs w:val="24"/>
          <w:lang w:val="en-AU" w:bidi="en-US"/>
        </w:rPr>
        <w:t xml:space="preserve">develop food standards </w:t>
      </w:r>
      <w:r w:rsidRPr="007141F5">
        <w:rPr>
          <w:rFonts w:eastAsia="Times New Roman" w:cs="Arial"/>
          <w:szCs w:val="24"/>
          <w:lang w:bidi="en-US"/>
        </w:rPr>
        <w:t xml:space="preserve">for consideration and endorsement by the Food Ministers’ Meeting (FMM). The FMM is established under the Food Regulation </w:t>
      </w:r>
      <w:r w:rsidRPr="007141F5">
        <w:rPr>
          <w:rFonts w:eastAsia="Times New Roman" w:cs="Arial"/>
          <w:szCs w:val="24"/>
          <w:lang w:bidi="en-US"/>
        </w:rPr>
        <w:lastRenderedPageBreak/>
        <w:t xml:space="preserve">Agreement and the </w:t>
      </w:r>
      <w:r w:rsidRPr="007141F5">
        <w:rPr>
          <w:rFonts w:eastAsia="Times New Roman" w:cs="Arial"/>
          <w:szCs w:val="24"/>
          <w:lang w:val="en-AU" w:bidi="en-US"/>
        </w:rPr>
        <w:t>international agreement between Australia and New Zealand</w:t>
      </w:r>
      <w:r w:rsidRPr="007141F5">
        <w:rPr>
          <w:rFonts w:eastAsia="Times New Roman" w:cs="Arial"/>
          <w:szCs w:val="24"/>
          <w:lang w:bidi="en-US"/>
        </w:rPr>
        <w:t xml:space="preserve">, and consists of New Zealand, Commonwealth and State/Territory members. If endorsed by the FMM, </w:t>
      </w:r>
      <w:r w:rsidRPr="007141F5">
        <w:rPr>
          <w:rFonts w:eastAsia="Times New Roman" w:cs="Arial"/>
          <w:szCs w:val="24"/>
          <w:lang w:val="en-AU" w:bidi="en-US"/>
        </w:rPr>
        <w:t>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2BDBBB9F" w14:textId="77777777" w:rsidR="007141F5" w:rsidRPr="007141F5" w:rsidRDefault="007141F5" w:rsidP="007141F5">
      <w:pPr>
        <w:widowControl w:val="0"/>
        <w:rPr>
          <w:rFonts w:eastAsia="Times New Roman" w:cs="Times New Roman"/>
          <w:b/>
          <w:szCs w:val="24"/>
          <w:lang w:val="en-AU" w:eastAsia="en-GB"/>
        </w:rPr>
      </w:pPr>
    </w:p>
    <w:p w14:paraId="27B99410" w14:textId="77777777" w:rsidR="007141F5" w:rsidRPr="007141F5" w:rsidRDefault="007141F5" w:rsidP="007141F5">
      <w:pPr>
        <w:widowControl w:val="0"/>
        <w:rPr>
          <w:rFonts w:eastAsia="Times New Roman" w:cs="Times New Roman"/>
          <w:b/>
          <w:szCs w:val="24"/>
          <w:lang w:val="en-AU" w:eastAsia="en-GB"/>
        </w:rPr>
      </w:pPr>
      <w:r w:rsidRPr="007141F5">
        <w:rPr>
          <w:rFonts w:eastAsia="Times New Roman" w:cs="Times New Roman"/>
          <w:b/>
          <w:szCs w:val="24"/>
          <w:lang w:val="en-AU" w:eastAsia="en-GB"/>
        </w:rPr>
        <w:t>3.</w:t>
      </w:r>
      <w:r w:rsidRPr="007141F5">
        <w:rPr>
          <w:rFonts w:eastAsia="Times New Roman" w:cs="Times New Roman"/>
          <w:b/>
          <w:szCs w:val="24"/>
          <w:lang w:val="en-AU" w:eastAsia="en-GB"/>
        </w:rPr>
        <w:tab/>
        <w:t xml:space="preserve">Purpose </w:t>
      </w:r>
    </w:p>
    <w:p w14:paraId="1571E05D" w14:textId="77777777" w:rsidR="007141F5" w:rsidRPr="007141F5" w:rsidRDefault="007141F5" w:rsidP="007141F5">
      <w:pPr>
        <w:widowControl w:val="0"/>
        <w:rPr>
          <w:rFonts w:eastAsia="Times New Roman" w:cs="Times New Roman"/>
          <w:szCs w:val="24"/>
          <w:lang w:val="en-AU" w:eastAsia="en-GB"/>
        </w:rPr>
      </w:pPr>
    </w:p>
    <w:p w14:paraId="4CB90C40" w14:textId="77777777" w:rsidR="007141F5" w:rsidRPr="007141F5" w:rsidRDefault="007141F5" w:rsidP="007141F5">
      <w:pPr>
        <w:widowControl w:val="0"/>
        <w:rPr>
          <w:rFonts w:eastAsia="Times New Roman" w:cs="Times New Roman"/>
          <w:szCs w:val="24"/>
          <w:lang w:val="en-AU" w:eastAsia="en-GB"/>
        </w:rPr>
      </w:pPr>
      <w:r w:rsidRPr="007141F5">
        <w:rPr>
          <w:rFonts w:eastAsia="Times New Roman" w:cs="Times New Roman"/>
          <w:szCs w:val="24"/>
          <w:lang w:val="en-AU" w:eastAsia="en-GB"/>
        </w:rPr>
        <w:t xml:space="preserve">The Authority approved a draft variation amending the table to section </w:t>
      </w:r>
      <w:r w:rsidRPr="007141F5">
        <w:rPr>
          <w:rFonts w:eastAsia="Times New Roman" w:cs="Times New Roman"/>
          <w:szCs w:val="24"/>
          <w:lang w:bidi="en-US"/>
        </w:rPr>
        <w:t xml:space="preserve">S19—5 </w:t>
      </w:r>
      <w:r w:rsidRPr="007141F5">
        <w:rPr>
          <w:rFonts w:eastAsia="Times New Roman" w:cs="Times New Roman"/>
          <w:szCs w:val="24"/>
          <w:lang w:val="en-AU" w:eastAsia="en-GB"/>
        </w:rPr>
        <w:t xml:space="preserve">of the Code, to change the MLs for two marine biotoxins, </w:t>
      </w:r>
      <w:r w:rsidRPr="007141F5">
        <w:rPr>
          <w:rFonts w:eastAsia="Calibri" w:cs="Arial"/>
          <w:bCs/>
          <w:lang w:val="en-AU"/>
        </w:rPr>
        <w:t>diarrhetic shellfish poisons and paralytic shellfish poisons,</w:t>
      </w:r>
      <w:r w:rsidRPr="007141F5">
        <w:rPr>
          <w:rFonts w:eastAsia="Times New Roman" w:cs="Times New Roman"/>
          <w:szCs w:val="24"/>
          <w:lang w:val="en-AU" w:eastAsia="en-GB"/>
        </w:rPr>
        <w:t xml:space="preserve"> in bivalve molluscs. The amendments will align these MLs with the equivalent MLs set by the Codex Alimentarius Commission (Codex) </w:t>
      </w:r>
      <w:r w:rsidRPr="007141F5">
        <w:rPr>
          <w:rFonts w:eastAsia="Times New Roman" w:cs="Times New Roman"/>
          <w:snapToGrid w:val="0"/>
          <w:szCs w:val="24"/>
          <w:lang w:bidi="en-US"/>
        </w:rPr>
        <w:t>and with those set in New Zealand under the New Zealand Regulated Control Scheme - Bivalve Molluscan Shellfish for Human Consumption.</w:t>
      </w:r>
      <w:r w:rsidRPr="007141F5">
        <w:rPr>
          <w:rFonts w:eastAsia="Times New Roman" w:cs="Times New Roman"/>
          <w:szCs w:val="24"/>
          <w:lang w:val="en-AU" w:eastAsia="en-GB"/>
        </w:rPr>
        <w:t xml:space="preserve"> </w:t>
      </w:r>
    </w:p>
    <w:p w14:paraId="7217E37D" w14:textId="77777777" w:rsidR="007141F5" w:rsidRPr="007141F5" w:rsidRDefault="007141F5" w:rsidP="007141F5">
      <w:pPr>
        <w:widowControl w:val="0"/>
        <w:rPr>
          <w:rFonts w:eastAsia="Times New Roman" w:cs="Times New Roman"/>
          <w:szCs w:val="24"/>
          <w:lang w:val="en-AU" w:eastAsia="en-GB"/>
        </w:rPr>
      </w:pPr>
    </w:p>
    <w:p w14:paraId="197F365D" w14:textId="77777777" w:rsidR="007141F5" w:rsidRPr="007141F5" w:rsidRDefault="007141F5" w:rsidP="007141F5">
      <w:pPr>
        <w:widowControl w:val="0"/>
        <w:rPr>
          <w:rFonts w:eastAsia="Times New Roman" w:cs="Times New Roman"/>
          <w:b/>
          <w:szCs w:val="24"/>
          <w:lang w:val="en-AU" w:eastAsia="en-GB"/>
        </w:rPr>
      </w:pPr>
      <w:r w:rsidRPr="007141F5">
        <w:rPr>
          <w:rFonts w:eastAsia="Times New Roman" w:cs="Times New Roman"/>
          <w:b/>
          <w:szCs w:val="24"/>
          <w:lang w:val="en-AU" w:eastAsia="en-GB"/>
        </w:rPr>
        <w:t>4.</w:t>
      </w:r>
      <w:r w:rsidRPr="007141F5">
        <w:rPr>
          <w:rFonts w:eastAsia="Times New Roman" w:cs="Times New Roman"/>
          <w:b/>
          <w:szCs w:val="24"/>
          <w:lang w:val="en-AU" w:eastAsia="en-GB"/>
        </w:rPr>
        <w:tab/>
        <w:t>Documents incorporated by reference</w:t>
      </w:r>
    </w:p>
    <w:p w14:paraId="40553C51" w14:textId="77777777" w:rsidR="007141F5" w:rsidRPr="007141F5" w:rsidRDefault="007141F5" w:rsidP="007141F5">
      <w:pPr>
        <w:widowControl w:val="0"/>
        <w:rPr>
          <w:rFonts w:eastAsia="Times New Roman" w:cs="Times New Roman"/>
          <w:szCs w:val="24"/>
          <w:lang w:val="en-AU" w:eastAsia="en-GB"/>
        </w:rPr>
      </w:pPr>
    </w:p>
    <w:p w14:paraId="20F7C18D" w14:textId="77777777" w:rsidR="007141F5" w:rsidRPr="007141F5" w:rsidRDefault="007141F5" w:rsidP="007141F5">
      <w:pPr>
        <w:widowControl w:val="0"/>
        <w:rPr>
          <w:rFonts w:eastAsia="Calibri" w:cs="Arial"/>
          <w:bCs/>
          <w:lang w:val="en-AU"/>
        </w:rPr>
      </w:pPr>
      <w:r w:rsidRPr="007141F5">
        <w:rPr>
          <w:rFonts w:eastAsia="Calibri" w:cs="Arial"/>
          <w:bCs/>
          <w:lang w:val="en-AU"/>
        </w:rPr>
        <w:t>The approved draft variation does not incorporate any documents by reference.</w:t>
      </w:r>
    </w:p>
    <w:p w14:paraId="5BC8F4B2" w14:textId="77777777" w:rsidR="007141F5" w:rsidRPr="007141F5" w:rsidRDefault="007141F5" w:rsidP="007141F5">
      <w:pPr>
        <w:widowControl w:val="0"/>
        <w:rPr>
          <w:rFonts w:eastAsia="Times New Roman" w:cs="Times New Roman"/>
          <w:szCs w:val="24"/>
          <w:lang w:val="en-AU" w:eastAsia="en-GB"/>
        </w:rPr>
      </w:pPr>
    </w:p>
    <w:p w14:paraId="47602C87" w14:textId="77777777" w:rsidR="007141F5" w:rsidRPr="007141F5" w:rsidRDefault="007141F5" w:rsidP="007141F5">
      <w:pPr>
        <w:widowControl w:val="0"/>
        <w:rPr>
          <w:rFonts w:eastAsia="Times New Roman" w:cs="Times New Roman"/>
          <w:b/>
          <w:szCs w:val="24"/>
          <w:lang w:val="en-AU" w:eastAsia="en-GB"/>
        </w:rPr>
      </w:pPr>
      <w:r w:rsidRPr="007141F5">
        <w:rPr>
          <w:rFonts w:eastAsia="Times New Roman" w:cs="Times New Roman"/>
          <w:b/>
          <w:szCs w:val="24"/>
          <w:lang w:val="en-AU" w:eastAsia="en-GB"/>
        </w:rPr>
        <w:t>5.</w:t>
      </w:r>
      <w:r w:rsidRPr="007141F5">
        <w:rPr>
          <w:rFonts w:eastAsia="Times New Roman" w:cs="Times New Roman"/>
          <w:b/>
          <w:szCs w:val="24"/>
          <w:lang w:val="en-AU" w:eastAsia="en-GB"/>
        </w:rPr>
        <w:tab/>
        <w:t>Consultation</w:t>
      </w:r>
    </w:p>
    <w:p w14:paraId="4F99050B" w14:textId="77777777" w:rsidR="007141F5" w:rsidRPr="007141F5" w:rsidRDefault="007141F5" w:rsidP="007141F5">
      <w:pPr>
        <w:widowControl w:val="0"/>
        <w:rPr>
          <w:rFonts w:eastAsia="Times New Roman" w:cs="Times New Roman"/>
          <w:szCs w:val="24"/>
          <w:lang w:val="en-AU" w:eastAsia="en-GB"/>
        </w:rPr>
      </w:pPr>
    </w:p>
    <w:p w14:paraId="3C635435" w14:textId="77777777" w:rsidR="007141F5" w:rsidRPr="007141F5" w:rsidRDefault="007141F5" w:rsidP="007141F5">
      <w:pPr>
        <w:widowControl w:val="0"/>
        <w:rPr>
          <w:rFonts w:eastAsia="Times New Roman" w:cs="Times New Roman"/>
          <w:szCs w:val="24"/>
          <w:lang w:val="en-AU" w:bidi="en-US"/>
        </w:rPr>
      </w:pPr>
      <w:r w:rsidRPr="007141F5">
        <w:rPr>
          <w:rFonts w:eastAsia="Times New Roman" w:cs="Times New Roman"/>
          <w:lang w:bidi="en-US"/>
        </w:rPr>
        <w:t xml:space="preserve">In accordance with the procedure in Division 1 of Part 3 of the FSANZ Act, </w:t>
      </w:r>
      <w:r w:rsidRPr="007141F5">
        <w:rPr>
          <w:rFonts w:eastAsia="Calibri" w:cs="Arial"/>
          <w:bCs/>
          <w:lang w:val="en-AU"/>
        </w:rPr>
        <w:t>the Authority</w:t>
      </w:r>
      <w:r w:rsidRPr="007141F5">
        <w:rPr>
          <w:rFonts w:eastAsia="Times New Roman" w:cs="Times New Roman"/>
          <w:lang w:bidi="en-US"/>
        </w:rPr>
        <w:t>’s consideration of Application A1243 included one round of public consultation following an assessment and the preparation of a draft variation and associated assessment summary. Submissions were called for on 6 July 2022 for a six week period.</w:t>
      </w:r>
    </w:p>
    <w:p w14:paraId="49A24D98" w14:textId="77777777" w:rsidR="007141F5" w:rsidRPr="007141F5" w:rsidRDefault="007141F5" w:rsidP="007141F5">
      <w:pPr>
        <w:autoSpaceDE w:val="0"/>
        <w:autoSpaceDN w:val="0"/>
        <w:adjustRightInd w:val="0"/>
        <w:rPr>
          <w:rFonts w:eastAsia="Times New Roman" w:cs="Times New Roman"/>
          <w:szCs w:val="24"/>
          <w:lang w:bidi="en-US"/>
        </w:rPr>
      </w:pPr>
    </w:p>
    <w:p w14:paraId="72879FF9" w14:textId="77777777" w:rsidR="007141F5" w:rsidRPr="007141F5" w:rsidRDefault="007141F5" w:rsidP="007141F5">
      <w:pPr>
        <w:autoSpaceDE w:val="0"/>
        <w:autoSpaceDN w:val="0"/>
        <w:adjustRightInd w:val="0"/>
        <w:rPr>
          <w:rFonts w:eastAsia="Times New Roman" w:cs="Arial"/>
          <w:szCs w:val="24"/>
          <w:lang w:bidi="en-US"/>
        </w:rPr>
      </w:pPr>
      <w:r w:rsidRPr="007141F5">
        <w:rPr>
          <w:rFonts w:eastAsia="Times New Roman" w:cs="Times New Roman"/>
          <w:szCs w:val="24"/>
          <w:lang w:bidi="en-US"/>
        </w:rPr>
        <w:t>The Office of Impact Analysis (OIA) granted FSANZ an exemption from the requirement to develop a Regulation Impact Statement (RIS) for this application (correspondence dated 22 December 2022 and 17 February 2023, OIA ID OBPR22-03706). This exemption was provided as the OIA assessed the proposed change was unlikely to have a more than minor regulatory impact on consumers, businesses and government.</w:t>
      </w:r>
    </w:p>
    <w:p w14:paraId="581118E7" w14:textId="77777777" w:rsidR="007141F5" w:rsidRPr="007141F5" w:rsidRDefault="007141F5" w:rsidP="007141F5">
      <w:pPr>
        <w:rPr>
          <w:rFonts w:eastAsia="Calibri" w:cs="Arial"/>
          <w:b/>
          <w:bCs/>
          <w:lang w:val="en-AU"/>
        </w:rPr>
      </w:pPr>
    </w:p>
    <w:p w14:paraId="22F54317" w14:textId="77777777" w:rsidR="007141F5" w:rsidRPr="007141F5" w:rsidRDefault="007141F5" w:rsidP="007141F5">
      <w:pPr>
        <w:rPr>
          <w:rFonts w:eastAsia="Calibri" w:cs="Arial"/>
          <w:b/>
          <w:bCs/>
          <w:lang w:val="en-AU"/>
        </w:rPr>
      </w:pPr>
      <w:r w:rsidRPr="007141F5">
        <w:rPr>
          <w:rFonts w:eastAsia="Calibri" w:cs="Arial"/>
          <w:b/>
          <w:bCs/>
          <w:lang w:val="en-AU"/>
        </w:rPr>
        <w:t>6.</w:t>
      </w:r>
      <w:r w:rsidRPr="007141F5">
        <w:rPr>
          <w:rFonts w:eastAsia="Calibri" w:cs="Arial"/>
          <w:b/>
          <w:bCs/>
          <w:lang w:val="en-AU"/>
        </w:rPr>
        <w:tab/>
        <w:t>Statement of compatibility with human rights</w:t>
      </w:r>
    </w:p>
    <w:p w14:paraId="361B95C9" w14:textId="77777777" w:rsidR="007141F5" w:rsidRPr="007141F5" w:rsidRDefault="007141F5" w:rsidP="007141F5">
      <w:pPr>
        <w:widowControl w:val="0"/>
        <w:rPr>
          <w:rFonts w:eastAsia="Calibri" w:cs="Times New Roman"/>
          <w:szCs w:val="24"/>
          <w:lang w:val="en-AU"/>
        </w:rPr>
      </w:pPr>
    </w:p>
    <w:p w14:paraId="5B4DFDFC" w14:textId="77777777" w:rsidR="007141F5" w:rsidRPr="007141F5" w:rsidRDefault="007141F5" w:rsidP="007141F5">
      <w:pPr>
        <w:widowControl w:val="0"/>
        <w:rPr>
          <w:rFonts w:eastAsia="Calibri" w:cs="Times New Roman"/>
          <w:szCs w:val="24"/>
          <w:lang w:val="en-AU"/>
        </w:rPr>
      </w:pPr>
      <w:r w:rsidRPr="007141F5">
        <w:rPr>
          <w:rFonts w:eastAsia="Calibri" w:cs="Times New Roman"/>
          <w:szCs w:val="24"/>
          <w:lang w:val="en-AU"/>
        </w:rPr>
        <w:t xml:space="preserve">This instrument is exempt from the requirements for a statement of compatibility with human rights as it is a non-disallowable instrument under section 44 of the </w:t>
      </w:r>
      <w:r w:rsidRPr="007141F5">
        <w:rPr>
          <w:rFonts w:eastAsia="Calibri" w:cs="Times New Roman"/>
          <w:i/>
          <w:iCs/>
          <w:szCs w:val="24"/>
          <w:lang w:val="en-AU"/>
        </w:rPr>
        <w:t>Legislation Act 2003</w:t>
      </w:r>
      <w:r w:rsidRPr="007141F5">
        <w:rPr>
          <w:rFonts w:eastAsia="Calibri" w:cs="Times New Roman"/>
          <w:szCs w:val="24"/>
          <w:lang w:val="en-AU"/>
        </w:rPr>
        <w:t>.</w:t>
      </w:r>
    </w:p>
    <w:p w14:paraId="5A158EB4" w14:textId="77777777" w:rsidR="007141F5" w:rsidRPr="007141F5" w:rsidRDefault="007141F5" w:rsidP="007141F5">
      <w:pPr>
        <w:widowControl w:val="0"/>
        <w:rPr>
          <w:rFonts w:eastAsia="Calibri" w:cs="Times New Roman"/>
          <w:szCs w:val="24"/>
          <w:lang w:val="en-AU"/>
        </w:rPr>
      </w:pPr>
    </w:p>
    <w:p w14:paraId="08106749" w14:textId="77777777" w:rsidR="007141F5" w:rsidRPr="007141F5" w:rsidRDefault="007141F5" w:rsidP="007141F5">
      <w:pPr>
        <w:widowControl w:val="0"/>
        <w:rPr>
          <w:rFonts w:eastAsia="Times New Roman" w:cs="Times New Roman"/>
          <w:b/>
          <w:szCs w:val="24"/>
          <w:lang w:val="en-AU" w:eastAsia="en-GB"/>
        </w:rPr>
      </w:pPr>
      <w:r w:rsidRPr="007141F5">
        <w:rPr>
          <w:rFonts w:eastAsia="Times New Roman" w:cs="Times New Roman"/>
          <w:b/>
          <w:szCs w:val="24"/>
          <w:lang w:bidi="en-US"/>
        </w:rPr>
        <w:t>7.</w:t>
      </w:r>
      <w:r w:rsidRPr="007141F5">
        <w:rPr>
          <w:rFonts w:eastAsia="Times New Roman" w:cs="Times New Roman"/>
          <w:b/>
          <w:szCs w:val="24"/>
          <w:lang w:bidi="en-US"/>
        </w:rPr>
        <w:tab/>
      </w:r>
      <w:r w:rsidRPr="007141F5">
        <w:rPr>
          <w:rFonts w:eastAsia="Times New Roman" w:cs="Times New Roman"/>
          <w:b/>
          <w:szCs w:val="24"/>
          <w:lang w:val="en-AU" w:eastAsia="en-GB"/>
        </w:rPr>
        <w:t>Variation</w:t>
      </w:r>
    </w:p>
    <w:p w14:paraId="78571177" w14:textId="77777777" w:rsidR="007141F5" w:rsidRPr="007141F5" w:rsidRDefault="007141F5" w:rsidP="007141F5">
      <w:pPr>
        <w:widowControl w:val="0"/>
        <w:rPr>
          <w:rFonts w:eastAsia="Times New Roman" w:cs="Times New Roman"/>
          <w:b/>
          <w:szCs w:val="24"/>
          <w:lang w:bidi="en-US"/>
        </w:rPr>
      </w:pPr>
    </w:p>
    <w:p w14:paraId="3F45FA0B" w14:textId="77777777" w:rsidR="007141F5" w:rsidRPr="007141F5" w:rsidRDefault="007141F5" w:rsidP="007141F5">
      <w:pPr>
        <w:widowControl w:val="0"/>
        <w:rPr>
          <w:rFonts w:eastAsia="Times New Roman" w:cs="Times New Roman"/>
          <w:i/>
          <w:iCs/>
          <w:szCs w:val="24"/>
          <w:lang w:bidi="en-US"/>
        </w:rPr>
      </w:pPr>
      <w:r w:rsidRPr="007141F5">
        <w:rPr>
          <w:rFonts w:eastAsia="Times New Roman" w:cs="Times New Roman"/>
          <w:szCs w:val="24"/>
          <w:lang w:bidi="en-US"/>
        </w:rPr>
        <w:t xml:space="preserve">Clause 1 provides that the name of the variation is the </w:t>
      </w:r>
      <w:r w:rsidRPr="007141F5">
        <w:rPr>
          <w:rFonts w:eastAsia="Times New Roman" w:cs="Times New Roman"/>
          <w:i/>
          <w:iCs/>
          <w:szCs w:val="24"/>
          <w:lang w:bidi="en-US"/>
        </w:rPr>
        <w:t>Food Standards (Application A1243 – Harmonisation of marine biotoxin standards for bivalve shellfish) Variation.</w:t>
      </w:r>
    </w:p>
    <w:p w14:paraId="7A963C8D" w14:textId="77777777" w:rsidR="007141F5" w:rsidRPr="007141F5" w:rsidRDefault="007141F5" w:rsidP="007141F5">
      <w:pPr>
        <w:widowControl w:val="0"/>
        <w:rPr>
          <w:rFonts w:eastAsia="Times New Roman" w:cs="Times New Roman"/>
          <w:i/>
          <w:iCs/>
          <w:szCs w:val="24"/>
          <w:lang w:bidi="en-US"/>
        </w:rPr>
      </w:pPr>
    </w:p>
    <w:p w14:paraId="709DF524" w14:textId="77777777" w:rsidR="007141F5" w:rsidRPr="007141F5" w:rsidRDefault="007141F5" w:rsidP="007141F5">
      <w:pPr>
        <w:widowControl w:val="0"/>
        <w:rPr>
          <w:rFonts w:eastAsia="Times New Roman" w:cs="Times New Roman"/>
          <w:szCs w:val="24"/>
          <w:lang w:bidi="en-US"/>
        </w:rPr>
      </w:pPr>
      <w:r w:rsidRPr="007141F5">
        <w:rPr>
          <w:rFonts w:eastAsia="Times New Roman" w:cs="Times New Roman"/>
          <w:szCs w:val="24"/>
          <w:lang w:bidi="en-US"/>
        </w:rPr>
        <w:t>Clause 2 provides that the Code is amended by the Schedule to the variation.</w:t>
      </w:r>
    </w:p>
    <w:p w14:paraId="76D25319" w14:textId="77777777" w:rsidR="007141F5" w:rsidRPr="007141F5" w:rsidRDefault="007141F5" w:rsidP="007141F5">
      <w:pPr>
        <w:widowControl w:val="0"/>
        <w:rPr>
          <w:rFonts w:eastAsia="Times New Roman" w:cs="Times New Roman"/>
          <w:szCs w:val="24"/>
          <w:lang w:bidi="en-US"/>
        </w:rPr>
      </w:pPr>
    </w:p>
    <w:p w14:paraId="7DCACB02" w14:textId="77777777" w:rsidR="007141F5" w:rsidRPr="007141F5" w:rsidRDefault="007141F5" w:rsidP="007141F5">
      <w:pPr>
        <w:widowControl w:val="0"/>
        <w:rPr>
          <w:rFonts w:eastAsia="Times New Roman" w:cs="Times New Roman"/>
          <w:szCs w:val="24"/>
          <w:lang w:bidi="en-US"/>
        </w:rPr>
      </w:pPr>
      <w:r w:rsidRPr="007141F5">
        <w:rPr>
          <w:rFonts w:eastAsia="Times New Roman" w:cs="Times New Roman"/>
          <w:szCs w:val="24"/>
          <w:lang w:bidi="en-US"/>
        </w:rPr>
        <w:t xml:space="preserve">Clause 3 provides that the variation will commence on the date of gazettal of the instrument. </w:t>
      </w:r>
    </w:p>
    <w:p w14:paraId="67DAFF57" w14:textId="77777777" w:rsidR="007141F5" w:rsidRPr="007141F5" w:rsidRDefault="007141F5" w:rsidP="007141F5">
      <w:pPr>
        <w:widowControl w:val="0"/>
        <w:rPr>
          <w:rFonts w:eastAsia="Times New Roman" w:cs="Times New Roman"/>
          <w:szCs w:val="24"/>
          <w:lang w:bidi="en-US"/>
        </w:rPr>
      </w:pPr>
    </w:p>
    <w:p w14:paraId="578290EF" w14:textId="33330ADC" w:rsidR="007141F5" w:rsidRPr="007141F5" w:rsidRDefault="007141F5" w:rsidP="007141F5">
      <w:pPr>
        <w:widowControl w:val="0"/>
        <w:rPr>
          <w:rFonts w:eastAsia="Times New Roman" w:cs="Times New Roman"/>
          <w:szCs w:val="24"/>
          <w:lang w:bidi="en-US"/>
        </w:rPr>
      </w:pPr>
      <w:r w:rsidRPr="007141F5">
        <w:rPr>
          <w:rFonts w:eastAsia="Times New Roman" w:cs="Times New Roman"/>
          <w:szCs w:val="24"/>
          <w:lang w:bidi="en-US"/>
        </w:rPr>
        <w:t>Clause 4 provides a transitional arrangement. The stock-in-trade exemption provided by section 1.1.1</w:t>
      </w:r>
      <w:r w:rsidR="00875705" w:rsidRPr="007141F5">
        <w:rPr>
          <w:rFonts w:eastAsia="Arial" w:cs="Arial"/>
          <w:color w:val="333333"/>
          <w:lang w:bidi="en-US"/>
        </w:rPr>
        <w:t>—</w:t>
      </w:r>
      <w:r w:rsidRPr="007141F5">
        <w:rPr>
          <w:rFonts w:eastAsia="Times New Roman" w:cs="Times New Roman"/>
          <w:szCs w:val="24"/>
          <w:lang w:bidi="en-US"/>
        </w:rPr>
        <w:t xml:space="preserve">9 of Standard 1.1.1 will not apply to the amendments made by the variation (see subclause 4(1)). Instead, subclauses 4(2) and (3) provide a transitional arrangement where, during a 12 month transition period commencing on the date of gazettal, bivalve molluscs may be sold if they comply with either: the Code as in force without the amendments made by the variation; or the Code as amended by the variation. The intention is to provide a 12 month transitional arrangement that covers both stock-in-trade at the time of the commencement of the variation, as well as bivalve molluscs that are packaged, </w:t>
      </w:r>
      <w:r w:rsidRPr="007141F5">
        <w:rPr>
          <w:rFonts w:eastAsia="Times New Roman" w:cs="Times New Roman"/>
          <w:szCs w:val="24"/>
          <w:lang w:bidi="en-US"/>
        </w:rPr>
        <w:lastRenderedPageBreak/>
        <w:t xml:space="preserve">labelled and made available for sale before the end of the transition period. </w:t>
      </w:r>
    </w:p>
    <w:p w14:paraId="46FF02FB" w14:textId="77777777" w:rsidR="007141F5" w:rsidRPr="007141F5" w:rsidRDefault="007141F5" w:rsidP="007141F5">
      <w:pPr>
        <w:widowControl w:val="0"/>
        <w:rPr>
          <w:rFonts w:eastAsia="Times New Roman" w:cs="Times New Roman"/>
          <w:szCs w:val="24"/>
          <w:lang w:bidi="en-US"/>
        </w:rPr>
      </w:pPr>
    </w:p>
    <w:p w14:paraId="40222F13" w14:textId="48347436" w:rsidR="007141F5" w:rsidRPr="007141F5" w:rsidRDefault="007141F5" w:rsidP="007141F5">
      <w:pPr>
        <w:widowControl w:val="0"/>
        <w:rPr>
          <w:rFonts w:eastAsia="Arial" w:cs="Arial"/>
          <w:color w:val="333333"/>
          <w:lang w:bidi="en-US"/>
        </w:rPr>
      </w:pPr>
      <w:r w:rsidRPr="007141F5">
        <w:rPr>
          <w:rFonts w:eastAsia="Arial" w:cs="Arial"/>
          <w:i/>
          <w:iCs/>
          <w:color w:val="333333"/>
          <w:lang w:bidi="en-US"/>
        </w:rPr>
        <w:t xml:space="preserve">Item [1] </w:t>
      </w:r>
      <w:r w:rsidRPr="007141F5">
        <w:rPr>
          <w:rFonts w:eastAsia="Arial" w:cs="Arial"/>
          <w:color w:val="333333"/>
          <w:lang w:bidi="en-US"/>
        </w:rPr>
        <w:t>of the Schedule to the variation amends the table to section S19—5 by repealing the cell in the column headed “Maximum level” for the table item dealing with “Diarrhetic shellfish poisons (Okadaic acid equivalent)”; and substituting that cell with “0.16”.</w:t>
      </w:r>
    </w:p>
    <w:p w14:paraId="7A74C836" w14:textId="77777777" w:rsidR="007141F5" w:rsidRPr="007141F5" w:rsidRDefault="007141F5" w:rsidP="007141F5">
      <w:pPr>
        <w:widowControl w:val="0"/>
        <w:rPr>
          <w:rFonts w:eastAsia="Arial" w:cs="Arial"/>
          <w:lang w:bidi="en-US"/>
        </w:rPr>
      </w:pPr>
    </w:p>
    <w:p w14:paraId="6D31B76D" w14:textId="77777777" w:rsidR="007141F5" w:rsidRPr="007141F5" w:rsidRDefault="007141F5" w:rsidP="007141F5">
      <w:pPr>
        <w:widowControl w:val="0"/>
        <w:rPr>
          <w:rFonts w:eastAsia="Arial" w:cs="Arial"/>
          <w:color w:val="333333"/>
          <w:lang w:bidi="en-US"/>
        </w:rPr>
      </w:pPr>
      <w:r w:rsidRPr="007141F5">
        <w:rPr>
          <w:rFonts w:eastAsia="Arial" w:cs="Arial"/>
          <w:color w:val="333333"/>
          <w:lang w:bidi="en-US"/>
        </w:rPr>
        <w:t>The effect of this amendment is that the ML for the marine biotoxin diarrhetic shellfish poisons in bivalve molluscs is lowered from 0.2 mg/kg to 0.16 mg/kg.</w:t>
      </w:r>
    </w:p>
    <w:p w14:paraId="2756BB86" w14:textId="77777777" w:rsidR="007141F5" w:rsidRPr="007141F5" w:rsidRDefault="007141F5" w:rsidP="007141F5">
      <w:pPr>
        <w:widowControl w:val="0"/>
        <w:rPr>
          <w:rFonts w:eastAsia="Times New Roman" w:cs="Times New Roman"/>
          <w:szCs w:val="18"/>
          <w:lang w:bidi="en-US"/>
        </w:rPr>
      </w:pPr>
    </w:p>
    <w:p w14:paraId="4564BEF3" w14:textId="77777777" w:rsidR="007141F5" w:rsidRPr="007141F5" w:rsidRDefault="007141F5" w:rsidP="007141F5">
      <w:pPr>
        <w:widowControl w:val="0"/>
        <w:rPr>
          <w:rFonts w:eastAsia="Arial" w:cs="Arial"/>
          <w:color w:val="333333"/>
          <w:lang w:bidi="en-US"/>
        </w:rPr>
      </w:pPr>
      <w:r w:rsidRPr="007141F5">
        <w:rPr>
          <w:rFonts w:eastAsia="Arial" w:cs="Arial"/>
          <w:i/>
          <w:iCs/>
          <w:color w:val="333333"/>
          <w:lang w:bidi="en-US"/>
        </w:rPr>
        <w:t xml:space="preserve">Item [2] </w:t>
      </w:r>
      <w:r w:rsidRPr="007141F5">
        <w:rPr>
          <w:rFonts w:eastAsia="Arial" w:cs="Arial"/>
          <w:color w:val="333333"/>
          <w:lang w:bidi="en-US"/>
        </w:rPr>
        <w:t>of the Schedule to the variation amends the table to section S19—5 by repealing the cell in the column headed “Contaminant” for the table item dealing with “Paralytic shellfish poisons (Saxitoxin equivalent)”; and substituting that cell with “Paralytic shellfish poisons (Saxitoxin dihydrochloride equivalent).</w:t>
      </w:r>
    </w:p>
    <w:p w14:paraId="44FE3DC1" w14:textId="77777777" w:rsidR="007141F5" w:rsidRPr="007141F5" w:rsidRDefault="007141F5" w:rsidP="007141F5">
      <w:pPr>
        <w:widowControl w:val="0"/>
        <w:rPr>
          <w:rFonts w:eastAsia="Arial" w:cs="Arial"/>
          <w:lang w:bidi="en-US"/>
        </w:rPr>
      </w:pPr>
    </w:p>
    <w:p w14:paraId="6893E7E8" w14:textId="77777777" w:rsidR="007141F5" w:rsidRPr="007141F5" w:rsidRDefault="007141F5" w:rsidP="007141F5">
      <w:pPr>
        <w:widowControl w:val="0"/>
        <w:rPr>
          <w:rFonts w:eastAsia="Arial" w:cs="Arial"/>
          <w:color w:val="333333"/>
          <w:lang w:bidi="en-US"/>
        </w:rPr>
      </w:pPr>
      <w:r w:rsidRPr="007141F5">
        <w:rPr>
          <w:rFonts w:eastAsia="Arial" w:cs="Arial"/>
          <w:color w:val="333333"/>
          <w:lang w:bidi="en-US"/>
        </w:rPr>
        <w:t>The effect of this amendment is that the reporting unit for the marine biotoxin paralytic shellfish poisons in bivalve molluscs is changed from a saxitoxin equivalent to a saxitoxin dihydrochloride equivalent. This amendment effectively lowers the ML for marine biotoxin paralytic shellfish poisons in bivalve molluscs from 0.8 mg/kg to approximately 0.6 mg/kg.</w:t>
      </w:r>
    </w:p>
    <w:p w14:paraId="0D34A479" w14:textId="77777777" w:rsidR="007141F5" w:rsidRPr="007141F5" w:rsidRDefault="007141F5" w:rsidP="007141F5">
      <w:pPr>
        <w:widowControl w:val="0"/>
        <w:rPr>
          <w:rFonts w:eastAsia="Times New Roman" w:cs="Times New Roman"/>
          <w:szCs w:val="24"/>
          <w:lang w:bidi="en-US"/>
        </w:rPr>
      </w:pPr>
    </w:p>
    <w:p w14:paraId="37966CBB" w14:textId="77777777" w:rsidR="007141F5" w:rsidRPr="007141F5" w:rsidRDefault="007141F5" w:rsidP="007141F5">
      <w:pPr>
        <w:widowControl w:val="0"/>
        <w:rPr>
          <w:rFonts w:eastAsia="Times New Roman" w:cs="Times New Roman"/>
          <w:szCs w:val="24"/>
          <w:lang w:bidi="en-US"/>
        </w:rPr>
      </w:pPr>
    </w:p>
    <w:p w14:paraId="22C4EC07" w14:textId="77777777" w:rsidR="00D5526B" w:rsidRPr="003A01FB" w:rsidRDefault="00D5526B" w:rsidP="003A01FB"/>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FE91A" w14:textId="77777777" w:rsidR="002E65B2" w:rsidRDefault="002E65B2" w:rsidP="007141F5">
      <w:r>
        <w:separator/>
      </w:r>
    </w:p>
  </w:endnote>
  <w:endnote w:type="continuationSeparator" w:id="0">
    <w:p w14:paraId="7000AD95" w14:textId="77777777" w:rsidR="002E65B2" w:rsidRDefault="002E65B2" w:rsidP="0071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4E059" w14:textId="77777777" w:rsidR="002E65B2" w:rsidRDefault="002E65B2" w:rsidP="007141F5">
      <w:r>
        <w:separator/>
      </w:r>
    </w:p>
  </w:footnote>
  <w:footnote w:type="continuationSeparator" w:id="0">
    <w:p w14:paraId="23CA3907" w14:textId="77777777" w:rsidR="002E65B2" w:rsidRDefault="002E65B2" w:rsidP="00714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1161694331">
    <w:abstractNumId w:val="0"/>
  </w:num>
  <w:num w:numId="2" w16cid:durableId="355347126">
    <w:abstractNumId w:val="0"/>
  </w:num>
  <w:num w:numId="3" w16cid:durableId="39787176">
    <w:abstractNumId w:val="0"/>
  </w:num>
  <w:num w:numId="4" w16cid:durableId="2124499255">
    <w:abstractNumId w:val="0"/>
  </w:num>
  <w:num w:numId="5" w16cid:durableId="1067845641">
    <w:abstractNumId w:val="0"/>
  </w:num>
  <w:num w:numId="6" w16cid:durableId="657654937">
    <w:abstractNumId w:val="0"/>
  </w:num>
  <w:num w:numId="7" w16cid:durableId="380398416">
    <w:abstractNumId w:val="0"/>
  </w:num>
  <w:num w:numId="8" w16cid:durableId="207568443">
    <w:abstractNumId w:val="3"/>
  </w:num>
  <w:num w:numId="9" w16cid:durableId="601767612">
    <w:abstractNumId w:val="1"/>
  </w:num>
  <w:num w:numId="10" w16cid:durableId="135614616">
    <w:abstractNumId w:val="2"/>
  </w:num>
  <w:num w:numId="11" w16cid:durableId="1434322040">
    <w:abstractNumId w:val="3"/>
  </w:num>
  <w:num w:numId="12" w16cid:durableId="161509136">
    <w:abstractNumId w:val="1"/>
  </w:num>
  <w:num w:numId="13" w16cid:durableId="108668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BD7"/>
    <w:rsid w:val="0000542C"/>
    <w:rsid w:val="00041643"/>
    <w:rsid w:val="000622E7"/>
    <w:rsid w:val="00066854"/>
    <w:rsid w:val="00066D85"/>
    <w:rsid w:val="000A38F8"/>
    <w:rsid w:val="000F2196"/>
    <w:rsid w:val="00120BD7"/>
    <w:rsid w:val="001734EA"/>
    <w:rsid w:val="00184403"/>
    <w:rsid w:val="00191770"/>
    <w:rsid w:val="001C5126"/>
    <w:rsid w:val="001E3B24"/>
    <w:rsid w:val="001E696B"/>
    <w:rsid w:val="002232B1"/>
    <w:rsid w:val="00234C31"/>
    <w:rsid w:val="00267BF0"/>
    <w:rsid w:val="002E65B2"/>
    <w:rsid w:val="0033021F"/>
    <w:rsid w:val="00341D25"/>
    <w:rsid w:val="003A01FB"/>
    <w:rsid w:val="00404702"/>
    <w:rsid w:val="00404C52"/>
    <w:rsid w:val="00441D77"/>
    <w:rsid w:val="00443F05"/>
    <w:rsid w:val="00486619"/>
    <w:rsid w:val="004D3868"/>
    <w:rsid w:val="004E6694"/>
    <w:rsid w:val="0054036E"/>
    <w:rsid w:val="005B578D"/>
    <w:rsid w:val="005C1996"/>
    <w:rsid w:val="006B6900"/>
    <w:rsid w:val="006D473E"/>
    <w:rsid w:val="007141F5"/>
    <w:rsid w:val="007201F8"/>
    <w:rsid w:val="00793DE6"/>
    <w:rsid w:val="007F6456"/>
    <w:rsid w:val="00830393"/>
    <w:rsid w:val="00833D5A"/>
    <w:rsid w:val="00860EE7"/>
    <w:rsid w:val="00861071"/>
    <w:rsid w:val="00875705"/>
    <w:rsid w:val="00877A81"/>
    <w:rsid w:val="008931F6"/>
    <w:rsid w:val="008E2339"/>
    <w:rsid w:val="00935023"/>
    <w:rsid w:val="00972AAC"/>
    <w:rsid w:val="009806A5"/>
    <w:rsid w:val="009E265A"/>
    <w:rsid w:val="00A25B29"/>
    <w:rsid w:val="00A26F82"/>
    <w:rsid w:val="00A808E9"/>
    <w:rsid w:val="00B53154"/>
    <w:rsid w:val="00B72074"/>
    <w:rsid w:val="00BC2133"/>
    <w:rsid w:val="00BE4F3A"/>
    <w:rsid w:val="00C019A6"/>
    <w:rsid w:val="00C24CD3"/>
    <w:rsid w:val="00C3134D"/>
    <w:rsid w:val="00C572A2"/>
    <w:rsid w:val="00D5526B"/>
    <w:rsid w:val="00D66962"/>
    <w:rsid w:val="00D87D9C"/>
    <w:rsid w:val="00D92B3B"/>
    <w:rsid w:val="00D93EE0"/>
    <w:rsid w:val="00DA7DED"/>
    <w:rsid w:val="00DF4A30"/>
    <w:rsid w:val="00E0050C"/>
    <w:rsid w:val="00E2450C"/>
    <w:rsid w:val="00E3375A"/>
    <w:rsid w:val="00E340B5"/>
    <w:rsid w:val="00E35060"/>
    <w:rsid w:val="00E4001E"/>
    <w:rsid w:val="00E53ACA"/>
    <w:rsid w:val="00E9409E"/>
    <w:rsid w:val="00EA211C"/>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230AF"/>
  <w15:chartTrackingRefBased/>
  <w15:docId w15:val="{7A8D6DF1-F05D-494E-8743-B10AB3EC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styleId="Revision">
    <w:name w:val="Revision"/>
    <w:hidden/>
    <w:uiPriority w:val="99"/>
    <w:semiHidden/>
    <w:rsid w:val="00875705"/>
    <w:rPr>
      <w:rFonts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19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 xsi:nil="true"/>
    <jf6c16bbf41b473ebe1e583d28d77907 xmlns="0e0bee33-077a-46d4-80d5-abd1b3a3b85b">
      <Terms xmlns="http://schemas.microsoft.com/office/infopath/2007/PartnerControls"/>
    </jf6c16bbf41b473ebe1e583d28d77907>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TaxCatchAll xmlns="0e0bee33-077a-46d4-80d5-abd1b3a3b85b">
      <Value>1</Value>
      <Value>27</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1d26056e38933490155d3e4fb9e9c98e">
  <xsd:schema xmlns:xsd="http://www.w3.org/2001/XMLSchema" xmlns:xs="http://www.w3.org/2001/XMLSchema" xmlns:p="http://schemas.microsoft.com/office/2006/metadata/properties" xmlns:ns2="0e0bee33-077a-46d4-80d5-abd1b3a3b85b" targetNamespace="http://schemas.microsoft.com/office/2006/metadata/properties" ma:root="true" ma:fieldsID="c4b4c259f7d5c25d814874e6a78ae7d6"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Props1.xml><?xml version="1.0" encoding="utf-8"?>
<ds:datastoreItem xmlns:ds="http://schemas.openxmlformats.org/officeDocument/2006/customXml" ds:itemID="{290EE59F-E7A8-492C-A400-868C49CD5179}">
  <ds:schemaRefs>
    <ds:schemaRef ds:uri="http://schemas.microsoft.com/sharepoint/v3/contenttype/forms"/>
  </ds:schemaRefs>
</ds:datastoreItem>
</file>

<file path=customXml/itemProps2.xml><?xml version="1.0" encoding="utf-8"?>
<ds:datastoreItem xmlns:ds="http://schemas.openxmlformats.org/officeDocument/2006/customXml" ds:itemID="{A2DFE4F4-9A1D-43E9-9321-D0108AF18E2C}">
  <ds:schemaRefs>
    <ds:schemaRef ds:uri="http://schemas.microsoft.com/office/2006/metadata/properties"/>
    <ds:schemaRef ds:uri="http://schemas.microsoft.com/office/infopath/2007/PartnerControls"/>
    <ds:schemaRef ds:uri="0e0bee33-077a-46d4-80d5-abd1b3a3b85b"/>
  </ds:schemaRefs>
</ds:datastoreItem>
</file>

<file path=customXml/itemProps3.xml><?xml version="1.0" encoding="utf-8"?>
<ds:datastoreItem xmlns:ds="http://schemas.openxmlformats.org/officeDocument/2006/customXml" ds:itemID="{FF56D0F2-313A-4FD6-8263-43CF02416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customXml/itemProps5.xml><?xml version="1.0" encoding="utf-8"?>
<ds:datastoreItem xmlns:ds="http://schemas.openxmlformats.org/officeDocument/2006/customXml" ds:itemID="{9EC7B8E4-58C6-4C6F-ACF3-B5E6C8A2DAC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1219</Words>
  <Characters>6376</Characters>
  <Application>Microsoft Office Word</Application>
  <DocSecurity>0</DocSecurity>
  <Lines>910</Lines>
  <Paragraphs>399</Paragraphs>
  <ScaleCrop>false</ScaleCrop>
  <Company>Food Standards Australia New Zealand</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12</cp:revision>
  <dcterms:created xsi:type="dcterms:W3CDTF">2023-12-20T18:39:00Z</dcterms:created>
  <dcterms:modified xsi:type="dcterms:W3CDTF">2024-01-16T02:03:00Z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v=2022.1;a=SHA256;h=6ECEC69A4218914A5E017D9117C0AE8378E1CB4A347F3955101E47DDA62B70C0</vt:lpwstr>
  </property>
  <property fmtid="{D5CDD505-2E9C-101B-9397-08002B2CF9AE}" pid="7" name="PM_Qualifier">
    <vt:lpwstr/>
  </property>
  <property fmtid="{D5CDD505-2E9C-101B-9397-08002B2CF9AE}" pid="8" name="PM_SecurityClassification">
    <vt:lpwstr/>
  </property>
  <property fmtid="{D5CDD505-2E9C-101B-9397-08002B2CF9AE}" pid="9" name="PM_ProtectiveMarkingValue_Header">
    <vt:lpwstr/>
  </property>
  <property fmtid="{D5CDD505-2E9C-101B-9397-08002B2CF9AE}" pid="10" name="PM_OriginationTimeStamp">
    <vt:lpwstr>2024-01-14T20:39:47Z</vt:lpwstr>
  </property>
  <property fmtid="{D5CDD505-2E9C-101B-9397-08002B2CF9AE}" pid="11" name="PM_Markers">
    <vt:lpwstr/>
  </property>
  <property fmtid="{D5CDD505-2E9C-101B-9397-08002B2CF9AE}" pid="12" name="PM_InsertionValue">
    <vt:lpwstr/>
  </property>
  <property fmtid="{D5CDD505-2E9C-101B-9397-08002B2CF9AE}" pid="13" name="PM_Originator_Hash_SHA1">
    <vt:lpwstr>302BDBAD982F50293CEAD423BE77B1CA40A20CFD</vt:lpwstr>
  </property>
  <property fmtid="{D5CDD505-2E9C-101B-9397-08002B2CF9AE}" pid="14" name="PM_DisplayValueSecClassificationWithQualifier">
    <vt:lpwstr/>
  </property>
  <property fmtid="{D5CDD505-2E9C-101B-9397-08002B2CF9AE}" pid="15" name="PM_Originating_FileId">
    <vt:lpwstr>CC67FB1999234C7CB5678E30E920F220</vt:lpwstr>
  </property>
  <property fmtid="{D5CDD505-2E9C-101B-9397-08002B2CF9AE}" pid="16" name="PM_ProtectiveMarkingValue_Footer">
    <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
  </property>
  <property fmtid="{D5CDD505-2E9C-101B-9397-08002B2CF9AE}" pid="20" name="PM_OriginatorUserAccountName_SHA256">
    <vt:lpwstr>04BEB04951CF9C0309220DC261A43CF887B145345D33A4BC1A2FC1C39C61A0F4</vt:lpwstr>
  </property>
  <property fmtid="{D5CDD505-2E9C-101B-9397-08002B2CF9AE}" pid="21" name="PM_OriginatorDomainName_SHA256">
    <vt:lpwstr>1728E66681E435764AE865ABE664C38F2A2F6D4B1DC4AC4803028F4FC406745D</vt:lpwstr>
  </property>
  <property fmtid="{D5CDD505-2E9C-101B-9397-08002B2CF9AE}" pid="22" name="PMUuid">
    <vt:lpwstr/>
  </property>
  <property fmtid="{D5CDD505-2E9C-101B-9397-08002B2CF9AE}" pid="23" name="PM_Hash_Version">
    <vt:lpwstr>2022.1</vt:lpwstr>
  </property>
  <property fmtid="{D5CDD505-2E9C-101B-9397-08002B2CF9AE}" pid="24" name="PM_Hash_Salt_Prev">
    <vt:lpwstr>B17C357D32CD8FBD73FEFA4994453887</vt:lpwstr>
  </property>
  <property fmtid="{D5CDD505-2E9C-101B-9397-08002B2CF9AE}" pid="25" name="PM_Hash_Salt">
    <vt:lpwstr>F397F41B875E3648EA2E5466597EB6BB</vt:lpwstr>
  </property>
  <property fmtid="{D5CDD505-2E9C-101B-9397-08002B2CF9AE}" pid="26" name="PM_Hash_SHA1">
    <vt:lpwstr>35F2D93067D9560616C807E79122A8EDE58DBB9E</vt:lpwstr>
  </property>
  <property fmtid="{D5CDD505-2E9C-101B-9397-08002B2CF9AE}" pid="27" name="ContentTypeId">
    <vt:lpwstr>0x010100F5F252698E4843DFA3EBBF7EC57E522A00ED57D63352AC3D488C1927FA6C496CEC</vt:lpwstr>
  </property>
  <property fmtid="{D5CDD505-2E9C-101B-9397-08002B2CF9AE}" pid="28" name="Classification">
    <vt:lpwstr>1;#OFFICIAL|3776503d-ed4e-4d70-8dfd-8e17b238523b</vt:lpwstr>
  </property>
  <property fmtid="{D5CDD505-2E9C-101B-9397-08002B2CF9AE}" pid="29" name="pd3a3559ef84480a8025c4c7bb6e6dee">
    <vt:lpwstr/>
  </property>
  <property fmtid="{D5CDD505-2E9C-101B-9397-08002B2CF9AE}" pid="30" name="h46016694f704d158a57d0b5238c000e">
    <vt:lpwstr/>
  </property>
  <property fmtid="{D5CDD505-2E9C-101B-9397-08002B2CF9AE}" pid="31" name="Data_x0020_Privacy">
    <vt:lpwstr/>
  </property>
  <property fmtid="{D5CDD505-2E9C-101B-9397-08002B2CF9AE}" pid="32" name="MediaServiceImageTags">
    <vt:lpwstr/>
  </property>
  <property fmtid="{D5CDD505-2E9C-101B-9397-08002B2CF9AE}" pid="33" name="Access">
    <vt:lpwstr/>
  </property>
  <property fmtid="{D5CDD505-2E9C-101B-9397-08002B2CF9AE}" pid="34" name="Data_x0020_Category">
    <vt:lpwstr/>
  </property>
  <property fmtid="{D5CDD505-2E9C-101B-9397-08002B2CF9AE}" pid="35" name="Data_x0020_Accessibility">
    <vt:lpwstr/>
  </property>
  <property fmtid="{D5CDD505-2E9C-101B-9397-08002B2CF9AE}" pid="36" name="o2e94e0b7bb742308b3aec7384781dc0">
    <vt:lpwstr/>
  </property>
  <property fmtid="{D5CDD505-2E9C-101B-9397-08002B2CF9AE}" pid="37" name="lcf76f155ced4ddcb4097134ff3c332f">
    <vt:lpwstr/>
  </property>
  <property fmtid="{D5CDD505-2E9C-101B-9397-08002B2CF9AE}" pid="38" name="BCS">
    <vt:lpwstr>27;#Instruments|4a8ff5e5-1f0e-4751-ab44-bc0d33b46a80</vt:lpwstr>
  </property>
  <property fmtid="{D5CDD505-2E9C-101B-9397-08002B2CF9AE}" pid="39" name="Data Privacy">
    <vt:lpwstr/>
  </property>
  <property fmtid="{D5CDD505-2E9C-101B-9397-08002B2CF9AE}" pid="40" name="Data Accessibility">
    <vt:lpwstr/>
  </property>
  <property fmtid="{D5CDD505-2E9C-101B-9397-08002B2CF9AE}" pid="41" name="Data Category">
    <vt:lpwstr/>
  </property>
  <property fmtid="{D5CDD505-2E9C-101B-9397-08002B2CF9AE}" pid="42" name="Data Owner and Authority">
    <vt:lpwstr/>
  </property>
  <property fmtid="{D5CDD505-2E9C-101B-9397-08002B2CF9AE}" pid="43" name="Data Description">
    <vt:lpwstr/>
  </property>
  <property fmtid="{D5CDD505-2E9C-101B-9397-08002B2CF9AE}" pid="44" name="Data Database Location">
    <vt:lpwstr/>
  </property>
  <property fmtid="{D5CDD505-2E9C-101B-9397-08002B2CF9AE}" pid="45" name="Data Origin">
    <vt:lpwstr/>
  </property>
  <property fmtid="{D5CDD505-2E9C-101B-9397-08002B2CF9AE}" pid="46" name="_ExtendedDescription">
    <vt:lpwstr/>
  </property>
  <property fmtid="{D5CDD505-2E9C-101B-9397-08002B2CF9AE}" pid="47" name="Data Machine Readable">
    <vt:bool>false</vt:bool>
  </property>
  <property fmtid="{D5CDD505-2E9C-101B-9397-08002B2CF9AE}" pid="48" name="Data Custodian">
    <vt:lpwstr/>
  </property>
  <property fmtid="{D5CDD505-2E9C-101B-9397-08002B2CF9AE}" pid="49" name="Data Quality">
    <vt:lpwstr/>
  </property>
  <property fmtid="{D5CDD505-2E9C-101B-9397-08002B2CF9AE}" pid="50" name="Summary Document">
    <vt:lpwstr/>
  </property>
</Properties>
</file>