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Default="00414BC3" w:rsidP="00A94F2A">
      <w:pPr>
        <w:pStyle w:val="CoverTitle"/>
        <w:spacing w:after="600"/>
        <w:jc w:val="center"/>
      </w:pPr>
      <w:r>
        <w:t>Explanatory Statement</w:t>
      </w:r>
    </w:p>
    <w:p w14:paraId="13976966" w14:textId="4B6B568A"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6C6010">
        <w:rPr>
          <w:sz w:val="36"/>
          <w:szCs w:val="36"/>
        </w:rPr>
        <w:t xml:space="preserve">AASB </w:t>
      </w:r>
      <w:r w:rsidR="003B36C4">
        <w:rPr>
          <w:sz w:val="36"/>
          <w:szCs w:val="36"/>
        </w:rPr>
        <w:t>1056</w:t>
      </w:r>
      <w:r w:rsidR="00347521">
        <w:rPr>
          <w:sz w:val="36"/>
          <w:szCs w:val="36"/>
        </w:rPr>
        <w:br/>
      </w:r>
      <w:r w:rsidR="003B36C4">
        <w:rPr>
          <w:i/>
          <w:sz w:val="36"/>
          <w:szCs w:val="36"/>
        </w:rPr>
        <w:t>Superannuation Entities</w:t>
      </w:r>
    </w:p>
    <w:p w14:paraId="13976967" w14:textId="77777777" w:rsidR="006776BD" w:rsidRPr="006776BD" w:rsidRDefault="006776BD" w:rsidP="006776BD">
      <w:pPr>
        <w:pStyle w:val="CoverSubtitle"/>
        <w:spacing w:after="3120"/>
        <w:rPr>
          <w:sz w:val="32"/>
          <w:szCs w:val="32"/>
        </w:rPr>
      </w:pPr>
    </w:p>
    <w:p w14:paraId="13976968" w14:textId="27F84F90" w:rsidR="00414BC3" w:rsidRPr="00F62F5C" w:rsidRDefault="003B36C4" w:rsidP="00D2416F">
      <w:pPr>
        <w:pStyle w:val="CoverDate"/>
        <w:tabs>
          <w:tab w:val="left" w:pos="3794"/>
          <w:tab w:val="left" w:pos="6232"/>
        </w:tabs>
        <w:spacing w:before="840"/>
        <w:jc w:val="center"/>
        <w:rPr>
          <w:b/>
          <w:sz w:val="28"/>
          <w:szCs w:val="28"/>
        </w:rPr>
      </w:pPr>
      <w:r>
        <w:rPr>
          <w:b/>
          <w:sz w:val="28"/>
          <w:szCs w:val="28"/>
        </w:rPr>
        <w:t>Decem</w:t>
      </w:r>
      <w:r w:rsidR="00E30751">
        <w:rPr>
          <w:b/>
          <w:sz w:val="28"/>
          <w:szCs w:val="28"/>
        </w:rPr>
        <w:t>ber</w:t>
      </w:r>
      <w:r w:rsidR="00D33852">
        <w:rPr>
          <w:b/>
          <w:sz w:val="28"/>
          <w:szCs w:val="28"/>
        </w:rPr>
        <w:t xml:space="preserve"> </w:t>
      </w:r>
      <w:r w:rsidR="00225101">
        <w:rPr>
          <w:b/>
          <w:sz w:val="28"/>
          <w:szCs w:val="28"/>
        </w:rPr>
        <w:t>20</w:t>
      </w:r>
      <w:r w:rsidR="00D2416F">
        <w:rPr>
          <w:b/>
          <w:sz w:val="28"/>
          <w:szCs w:val="28"/>
        </w:rPr>
        <w:t>2</w:t>
      </w:r>
      <w:r w:rsidR="004D1170">
        <w:rPr>
          <w:b/>
          <w:sz w:val="28"/>
          <w:szCs w:val="28"/>
        </w:rPr>
        <w:t>3</w:t>
      </w:r>
    </w:p>
    <w:p w14:paraId="13976969" w14:textId="77777777" w:rsidR="00414BC3" w:rsidRDefault="00CD559D">
      <w:pPr>
        <w:sectPr w:rsidR="00414BC3" w:rsidSect="00B93CE4">
          <w:pgSz w:w="11907" w:h="16840"/>
          <w:pgMar w:top="1134" w:right="1134" w:bottom="1134" w:left="1134" w:header="720" w:footer="720" w:gutter="0"/>
          <w:cols w:space="720"/>
        </w:sectPr>
      </w:pPr>
      <w:r>
        <w:object w:dxaOrig="1440" w:dyaOrig="1440"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3.1pt;height:96pt;z-index:251658240;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2050" DrawAspect="Content" ObjectID="_1766841416" r:id="rId9"/>
        </w:object>
      </w:r>
    </w:p>
    <w:p w14:paraId="1397696A" w14:textId="77777777" w:rsidR="00414BC3" w:rsidRDefault="00414BC3">
      <w:pPr>
        <w:pStyle w:val="Heading1"/>
      </w:pPr>
      <w:r>
        <w:lastRenderedPageBreak/>
        <w:t>EXPLANATORY STATEMENT</w:t>
      </w:r>
    </w:p>
    <w:p w14:paraId="13976970" w14:textId="6177D661" w:rsidR="00FD4C0C" w:rsidRDefault="00FD4C0C" w:rsidP="00FD4C0C">
      <w:pPr>
        <w:pStyle w:val="Heading2"/>
      </w:pPr>
      <w:r>
        <w:t xml:space="preserve">Main Features of AASB </w:t>
      </w:r>
      <w:r w:rsidR="003B36C4">
        <w:t>1056</w:t>
      </w:r>
    </w:p>
    <w:p w14:paraId="4D164B5F" w14:textId="3069FC54" w:rsidR="006607F8" w:rsidRDefault="006607F8" w:rsidP="007C396E">
      <w:pPr>
        <w:pStyle w:val="NoNumPlain1"/>
      </w:pPr>
      <w:r>
        <w:t xml:space="preserve">AASB 1056 </w:t>
      </w:r>
      <w:r w:rsidR="005D1317" w:rsidRPr="003B36C4">
        <w:rPr>
          <w:i/>
          <w:iCs/>
        </w:rPr>
        <w:t>Superannuation Entities</w:t>
      </w:r>
      <w:r w:rsidR="005D1317">
        <w:t xml:space="preserve"> </w:t>
      </w:r>
      <w:r w:rsidRPr="004863E7">
        <w:t>requires the presentation of a comprehensive set of financial statements for superannuation entities, whether they constitute one or more superannuation plans and whether they have defined contribution members or defined benefit members, or both.</w:t>
      </w:r>
      <w:r w:rsidR="005D1317">
        <w:t xml:space="preserve">  The Standard also sets various recognition, measurement and disclosure requirements for assets, liabilities, revenue and expenses of particular relevance to superannuation entities, such as the liability for superannuation benefits accrued by members of the superannuation plan or plans.</w:t>
      </w:r>
    </w:p>
    <w:p w14:paraId="5F1D9212" w14:textId="2F8A6E9F" w:rsidR="003B36C4" w:rsidRPr="003B36C4" w:rsidRDefault="003B36C4" w:rsidP="007C396E">
      <w:pPr>
        <w:pStyle w:val="NoNumPlain1"/>
      </w:pPr>
      <w:r w:rsidRPr="003B36C4">
        <w:t xml:space="preserve">The AASB first issued AASB 1056 </w:t>
      </w:r>
      <w:r>
        <w:t xml:space="preserve">in June 2014 </w:t>
      </w:r>
      <w:r w:rsidRPr="003B36C4">
        <w:t xml:space="preserve">as an Accounting Standard without reference to its authority to make Standards for the purposes of the </w:t>
      </w:r>
      <w:r w:rsidRPr="003B36C4">
        <w:rPr>
          <w:i/>
          <w:iCs/>
        </w:rPr>
        <w:t>Corporations Act 2001</w:t>
      </w:r>
      <w:r w:rsidRPr="003B36C4">
        <w:t xml:space="preserve">.  This reflected that at the time superannuation entities were not required by the Corporations Act or other legislation to prepare financial statements </w:t>
      </w:r>
      <w:r w:rsidR="005D1317">
        <w:t xml:space="preserve">or to </w:t>
      </w:r>
      <w:r w:rsidR="005D1317" w:rsidRPr="003B36C4">
        <w:t xml:space="preserve">lodge </w:t>
      </w:r>
      <w:r w:rsidR="005D1317">
        <w:t>them w</w:t>
      </w:r>
      <w:r w:rsidRPr="003B36C4">
        <w:t>ith a regulator.</w:t>
      </w:r>
    </w:p>
    <w:p w14:paraId="46DE89B1" w14:textId="51EE9012" w:rsidR="001D1976" w:rsidRDefault="001D1976" w:rsidP="001D1976">
      <w:pPr>
        <w:pStyle w:val="Heading3"/>
      </w:pPr>
      <w:r>
        <w:t>Converting AASB 1056 to a Legislative Instrument</w:t>
      </w:r>
    </w:p>
    <w:p w14:paraId="0C79A7D7" w14:textId="64554E07" w:rsidR="003B36C4" w:rsidRPr="003B36C4" w:rsidRDefault="003B36C4" w:rsidP="007C396E">
      <w:pPr>
        <w:pStyle w:val="NoNumPlain1"/>
      </w:pPr>
      <w:r>
        <w:t xml:space="preserve">AASB 1056 </w:t>
      </w:r>
      <w:r w:rsidRPr="003B36C4">
        <w:t xml:space="preserve">is now reissued by the AASB as a legislative instrument under section 334 of the Corporations Act.  This is in response to amendments to the Corporations Act that require registrable superannuation entities </w:t>
      </w:r>
      <w:r w:rsidR="002650F6">
        <w:t xml:space="preserve">(RSEs) </w:t>
      </w:r>
      <w:r w:rsidRPr="003B36C4">
        <w:t>to prepare annual financial statements that comply with Australian Accounting Standards and lodge them on the public record with the Australian Securities and Investments Commission</w:t>
      </w:r>
      <w:r w:rsidR="008E0D7C">
        <w:t xml:space="preserve"> (ASIC)</w:t>
      </w:r>
      <w:r w:rsidRPr="003B36C4">
        <w:t>.  Since the requirements of this Standard differ in some respects from other Australian Accounting Standards, it is necessary for this Standard to also be a legislative instrument in order to take precedence over the other Standards as necessary.</w:t>
      </w:r>
    </w:p>
    <w:p w14:paraId="32289AC7" w14:textId="35FBD5F5" w:rsidR="003B36C4" w:rsidRPr="003B36C4" w:rsidRDefault="003B36C4" w:rsidP="007C396E">
      <w:pPr>
        <w:pStyle w:val="NoNumPlain1"/>
      </w:pPr>
      <w:r w:rsidRPr="003B36C4">
        <w:t xml:space="preserve">In converting AASB 1056 into a legislative instrument, the AASB has not changed the requirements.  However, some outdated requirements and </w:t>
      </w:r>
      <w:r w:rsidR="00E42D6D">
        <w:t xml:space="preserve">accompanying </w:t>
      </w:r>
      <w:r w:rsidRPr="003B36C4">
        <w:t>material have been deleted in this version of AASB 1056:</w:t>
      </w:r>
    </w:p>
    <w:p w14:paraId="5AC69C8F" w14:textId="3F2FD7CE" w:rsidR="003B36C4" w:rsidRPr="003B36C4" w:rsidRDefault="003B36C4" w:rsidP="001D6B16">
      <w:pPr>
        <w:pStyle w:val="NumPlainA"/>
        <w:tabs>
          <w:tab w:val="clear" w:pos="652"/>
        </w:tabs>
        <w:ind w:left="782" w:hanging="782"/>
      </w:pPr>
      <w:r w:rsidRPr="003B36C4">
        <w:t xml:space="preserve">the application paragraph identifying the entities and financial statements to which the Standard applies (paragraph 2) – the application of Standards is now set out in AASB 1057 </w:t>
      </w:r>
      <w:r w:rsidRPr="003B36C4">
        <w:rPr>
          <w:i/>
          <w:iCs/>
        </w:rPr>
        <w:t>Application of Australian Accounting Standards</w:t>
      </w:r>
      <w:r w:rsidR="00E42D6D">
        <w:t>, including the application of AASB 1056 in respect of for-profit and not-for-profit superannuation entities</w:t>
      </w:r>
      <w:r w:rsidRPr="003B36C4">
        <w:t>;</w:t>
      </w:r>
    </w:p>
    <w:p w14:paraId="1070F2BE" w14:textId="77777777" w:rsidR="003B36C4" w:rsidRPr="003B36C4" w:rsidRDefault="003B36C4" w:rsidP="001D6B16">
      <w:pPr>
        <w:pStyle w:val="NumPlainA"/>
        <w:tabs>
          <w:tab w:val="clear" w:pos="652"/>
        </w:tabs>
        <w:ind w:left="782" w:hanging="782"/>
      </w:pPr>
      <w:r w:rsidRPr="003B36C4">
        <w:t>the transitional provision (paragraph 37) that permitted an entity applying the Standard for the first time to not present a statement of financial position as at the beginning of the first comparative period – superannuation entities initially applying the reissued AASB 1056 would have prepared a statement of financial position under the original AASB 1056; and</w:t>
      </w:r>
    </w:p>
    <w:p w14:paraId="581D1FDD" w14:textId="4D8E4987" w:rsidR="003B36C4" w:rsidRPr="003B36C4" w:rsidRDefault="003B36C4" w:rsidP="001D6B16">
      <w:pPr>
        <w:pStyle w:val="NumPlainA"/>
        <w:tabs>
          <w:tab w:val="clear" w:pos="652"/>
        </w:tabs>
        <w:ind w:left="782" w:hanging="782"/>
      </w:pPr>
      <w:r w:rsidRPr="003B36C4">
        <w:t xml:space="preserve">the section addressing the main differences between AASB 1056 and </w:t>
      </w:r>
      <w:r>
        <w:t xml:space="preserve">the previous Standard </w:t>
      </w:r>
      <w:r w:rsidRPr="003B36C4">
        <w:t xml:space="preserve">AAS 25 </w:t>
      </w:r>
      <w:r w:rsidRPr="00AF66BB">
        <w:rPr>
          <w:i/>
          <w:iCs/>
        </w:rPr>
        <w:t>Financial Reporting by Superannuation Plans</w:t>
      </w:r>
      <w:r>
        <w:t xml:space="preserve">, which was issued in 1993 </w:t>
      </w:r>
      <w:r w:rsidRPr="003B36C4">
        <w:t xml:space="preserve">– as AAS 25 ceased to apply when </w:t>
      </w:r>
      <w:r w:rsidR="007C396E">
        <w:t xml:space="preserve">the original </w:t>
      </w:r>
      <w:r w:rsidRPr="003B36C4">
        <w:t>AASB 1056 became applicable to periods beginning on or after 1 July 2016, the comparison has no continuing relevance.</w:t>
      </w:r>
    </w:p>
    <w:p w14:paraId="705C4E01" w14:textId="77777777" w:rsidR="003B36C4" w:rsidRPr="003B36C4" w:rsidRDefault="003B36C4" w:rsidP="001D6B16">
      <w:pPr>
        <w:pStyle w:val="NoNumPlain1"/>
      </w:pPr>
      <w:r w:rsidRPr="003B36C4">
        <w:t>The AASB is also currently undertaking a post-implementation review of AASB 1056.  That work will identify whether changes are required to the substantive requirements of the Standard.</w:t>
      </w:r>
    </w:p>
    <w:p w14:paraId="72B3C873" w14:textId="77777777" w:rsidR="0031196F" w:rsidRDefault="0031196F" w:rsidP="0031196F">
      <w:pPr>
        <w:pStyle w:val="Heading3"/>
      </w:pPr>
      <w:r>
        <w:t>Application Date</w:t>
      </w:r>
    </w:p>
    <w:p w14:paraId="761DDDC2" w14:textId="69DBE1D4" w:rsidR="0031196F" w:rsidRDefault="0031196F" w:rsidP="0031196F">
      <w:pPr>
        <w:pStyle w:val="NoNumPlain1"/>
      </w:pPr>
      <w:r w:rsidRPr="002A6880">
        <w:t>Th</w:t>
      </w:r>
      <w:r w:rsidR="001D1976">
        <w:t>e reissued</w:t>
      </w:r>
      <w:r w:rsidRPr="002A6880">
        <w:t xml:space="preserve"> Standard applies to annual periods beginning on or after 1 J</w:t>
      </w:r>
      <w:r w:rsidR="003B36C4">
        <w:t>ul</w:t>
      </w:r>
      <w:r w:rsidRPr="002A6880">
        <w:t>y 202</w:t>
      </w:r>
      <w:r w:rsidR="003B36C4">
        <w:t>3 that end on or after 31 December 2023</w:t>
      </w:r>
      <w:r>
        <w:t xml:space="preserve">. </w:t>
      </w:r>
      <w:r w:rsidR="00CD559D">
        <w:t xml:space="preserve"> </w:t>
      </w:r>
      <w:r>
        <w:t>Earlier application is permitted.</w:t>
      </w:r>
    </w:p>
    <w:p w14:paraId="258D20DE" w14:textId="4F587D5F" w:rsidR="001D6B16" w:rsidRPr="002A6880" w:rsidRDefault="001D6B16" w:rsidP="0031196F">
      <w:pPr>
        <w:pStyle w:val="NoNumPlain1"/>
      </w:pPr>
      <w:r>
        <w:t xml:space="preserve">This two-pronged application date reflects that the amendments to the Corporations Act apply to </w:t>
      </w:r>
      <w:r w:rsidR="008E0D7C">
        <w:t xml:space="preserve">RSEs </w:t>
      </w:r>
      <w:r>
        <w:t>from 1 July 2023.  Since the AASB was not in a position to make the replacement AASB</w:t>
      </w:r>
      <w:r w:rsidR="00E42D6D">
        <w:t xml:space="preserve"> </w:t>
      </w:r>
      <w:r>
        <w:t xml:space="preserve">1056 prior to 1 July 2023, the “ending on or after 31 December 2023” part of the application date ensures that mandatory application of the Standard is required only for periods that have not been completed </w:t>
      </w:r>
      <w:r w:rsidR="001D1976">
        <w:t>by</w:t>
      </w:r>
      <w:r>
        <w:t xml:space="preserve"> the day when the AASB formally made the Standard (which was 18 December 2023).  </w:t>
      </w:r>
      <w:r w:rsidR="001D1976">
        <w:t>T</w:t>
      </w:r>
      <w:r>
        <w:t xml:space="preserve">he Standard applies mandatorily to the </w:t>
      </w:r>
      <w:r w:rsidR="008E0D7C">
        <w:t xml:space="preserve">regular </w:t>
      </w:r>
      <w:r>
        <w:t>2023/24 financial year</w:t>
      </w:r>
      <w:r w:rsidR="008E0D7C">
        <w:t xml:space="preserve"> and later periods</w:t>
      </w:r>
      <w:r>
        <w:t>, as intended by the Corporations Act</w:t>
      </w:r>
      <w:r w:rsidR="002650F6">
        <w:t xml:space="preserve"> amendments</w:t>
      </w:r>
      <w:r w:rsidR="002E7BF9">
        <w:t>.</w:t>
      </w:r>
    </w:p>
    <w:p w14:paraId="13976976" w14:textId="47CB03F5" w:rsidR="00EA0A87" w:rsidRPr="001D1FFA" w:rsidRDefault="00EA0A87" w:rsidP="00EA0A87">
      <w:pPr>
        <w:pStyle w:val="Heading2"/>
      </w:pPr>
      <w:r w:rsidRPr="001D1FFA">
        <w:t>Consultation Prior to Issuing this Standard</w:t>
      </w:r>
    </w:p>
    <w:p w14:paraId="6C5A35DB" w14:textId="6C91901F" w:rsidR="008E0D7C" w:rsidRDefault="007E5569" w:rsidP="005B0AB4">
      <w:pPr>
        <w:pStyle w:val="NoNumPlain1"/>
      </w:pPr>
      <w:r>
        <w:t>Under its post-implementation review (PIR) process, t</w:t>
      </w:r>
      <w:r w:rsidR="008E0D7C">
        <w:t>he AASB carried out initial</w:t>
      </w:r>
      <w:r>
        <w:t xml:space="preserve"> consultation</w:t>
      </w:r>
      <w:r w:rsidR="008E0D7C" w:rsidRPr="00593F65">
        <w:t xml:space="preserve"> with RSEs, audit firms, ASIC and the Australian Prudential Regulation Authority (APRA)</w:t>
      </w:r>
      <w:r>
        <w:t xml:space="preserve"> to identify whether there were any major issues with the original AASB 1056.  This phase of the PIR identified that </w:t>
      </w:r>
      <w:r w:rsidR="008E0D7C">
        <w:t xml:space="preserve">RSEs typically </w:t>
      </w:r>
      <w:r w:rsidR="002E7BF9">
        <w:t xml:space="preserve">were </w:t>
      </w:r>
      <w:r w:rsidR="008E0D7C">
        <w:t>complying with AASB 1056 in preparing their annual financial reports, even in the absence of legislative requirements to do so.</w:t>
      </w:r>
    </w:p>
    <w:p w14:paraId="13B835F0" w14:textId="411E6DD5" w:rsidR="005B0AB4" w:rsidRPr="00A35AF1" w:rsidRDefault="00D948E2" w:rsidP="005B0AB4">
      <w:pPr>
        <w:pStyle w:val="NoNumPlain1"/>
        <w:rPr>
          <w:iCs/>
        </w:rPr>
      </w:pPr>
      <w:r>
        <w:t xml:space="preserve">The AASB issued </w:t>
      </w:r>
      <w:r w:rsidR="001D6B16">
        <w:t>a Fatal-Flaw Review Draft of the replacement Standard</w:t>
      </w:r>
      <w:r w:rsidR="00345A43" w:rsidRPr="00C06546">
        <w:rPr>
          <w:i/>
        </w:rPr>
        <w:t xml:space="preserve"> </w:t>
      </w:r>
      <w:r w:rsidR="00345A43" w:rsidRPr="00C06546">
        <w:t xml:space="preserve">in </w:t>
      </w:r>
      <w:r w:rsidR="008D3631">
        <w:t>May 202</w:t>
      </w:r>
      <w:r w:rsidR="001D6B16">
        <w:t>3</w:t>
      </w:r>
      <w:r w:rsidR="00985250">
        <w:t xml:space="preserve"> for </w:t>
      </w:r>
      <w:r w:rsidR="00A35AF1">
        <w:t xml:space="preserve">a </w:t>
      </w:r>
      <w:r w:rsidR="007E5569">
        <w:t>formal</w:t>
      </w:r>
      <w:r w:rsidR="002E7BF9">
        <w:t>,</w:t>
      </w:r>
      <w:r w:rsidR="007E5569">
        <w:t xml:space="preserve"> </w:t>
      </w:r>
      <w:r w:rsidR="00A35AF1">
        <w:t xml:space="preserve">four-week </w:t>
      </w:r>
      <w:r w:rsidR="00985250">
        <w:t>public comment</w:t>
      </w:r>
      <w:r w:rsidR="00A35AF1">
        <w:t xml:space="preserve"> period</w:t>
      </w:r>
      <w:r w:rsidR="00C04EB7" w:rsidRPr="00C06546">
        <w:t xml:space="preserve">, with comments due by </w:t>
      </w:r>
      <w:r w:rsidR="00A35AF1">
        <w:t>15</w:t>
      </w:r>
      <w:r w:rsidR="008D3631">
        <w:t> Ju</w:t>
      </w:r>
      <w:r w:rsidR="00A35AF1">
        <w:t>ne</w:t>
      </w:r>
      <w:r w:rsidR="008D3631">
        <w:t xml:space="preserve"> 202</w:t>
      </w:r>
      <w:r w:rsidR="00A35AF1">
        <w:t>3</w:t>
      </w:r>
      <w:r w:rsidR="00345A43" w:rsidRPr="00C06546">
        <w:t>.</w:t>
      </w:r>
      <w:r w:rsidR="00A35AF1">
        <w:t xml:space="preserve">  The draft Standard showed the proposed text changes from the original AASB 1056 with marking up</w:t>
      </w:r>
      <w:r w:rsidR="000A1AB9">
        <w:rPr>
          <w:i/>
        </w:rPr>
        <w:t>.</w:t>
      </w:r>
    </w:p>
    <w:p w14:paraId="2AA7C5A7" w14:textId="4BAE415F" w:rsidR="008F635A" w:rsidRDefault="000E1311">
      <w:pPr>
        <w:pStyle w:val="NoNumPlain1"/>
      </w:pPr>
      <w:r w:rsidRPr="002D5998">
        <w:t>No submissions were received</w:t>
      </w:r>
      <w:r w:rsidR="00C717FF" w:rsidRPr="002D5998">
        <w:t>.</w:t>
      </w:r>
      <w:r w:rsidR="00A35AF1">
        <w:t xml:space="preserve">  </w:t>
      </w:r>
      <w:r w:rsidR="008E0D7C">
        <w:t>This was consistent with the AASB’s understanding b</w:t>
      </w:r>
      <w:r w:rsidR="008E0D7C" w:rsidRPr="00593F65">
        <w:t xml:space="preserve">ased on </w:t>
      </w:r>
      <w:r w:rsidR="002E7BF9">
        <w:t xml:space="preserve">the initial PIR </w:t>
      </w:r>
      <w:r w:rsidR="008E0D7C" w:rsidRPr="00593F65">
        <w:t xml:space="preserve">outreach </w:t>
      </w:r>
      <w:r w:rsidR="002E7BF9">
        <w:t xml:space="preserve">that there was a high level of compliance by RSEs with the original </w:t>
      </w:r>
      <w:r w:rsidR="008E0D7C">
        <w:t>AASB 1056.</w:t>
      </w:r>
    </w:p>
    <w:p w14:paraId="0426AC77" w14:textId="16B7F566" w:rsidR="008E432A" w:rsidRPr="008E432A" w:rsidRDefault="005978CA" w:rsidP="006018EA">
      <w:pPr>
        <w:pStyle w:val="NoNumPlain1"/>
      </w:pPr>
      <w:r w:rsidRPr="00FD1880">
        <w:lastRenderedPageBreak/>
        <w:t xml:space="preserve">A Policy Impact Analysis has not been prepared in connection with the issue of </w:t>
      </w:r>
      <w:r w:rsidR="008E0D7C">
        <w:t xml:space="preserve">the replacement version of </w:t>
      </w:r>
      <w:r w:rsidRPr="00FD1880">
        <w:t xml:space="preserve">AASB </w:t>
      </w:r>
      <w:r w:rsidR="008E0D7C">
        <w:t>1056</w:t>
      </w:r>
      <w:r w:rsidRPr="00FD1880">
        <w:t xml:space="preserve"> as the amendments made do not have a substantial direct or indirect impact on business or competition.</w:t>
      </w:r>
      <w:r w:rsidR="008E0D7C">
        <w:t xml:space="preserve">  The Office of Impact Analysis confirmed that remaking the existing, voluntary Standard AASB 1056 as an enforceable legislative instrument for the purposes of the </w:t>
      </w:r>
      <w:r w:rsidR="008E0D7C" w:rsidRPr="008E0D7C">
        <w:t xml:space="preserve">Corporations Act </w:t>
      </w:r>
      <w:r w:rsidR="008E0D7C">
        <w:t xml:space="preserve">would </w:t>
      </w:r>
      <w:r w:rsidR="008E0D7C" w:rsidRPr="008E0D7C">
        <w:t>not</w:t>
      </w:r>
      <w:r w:rsidR="008E0D7C">
        <w:t xml:space="preserve"> result in a “more-than-minor change” in behaviour or impact for people, businesses or community organisations.</w:t>
      </w:r>
    </w:p>
    <w:p w14:paraId="0AE931A0" w14:textId="0A95AA02" w:rsidR="008E704E" w:rsidRDefault="008E704E" w:rsidP="008E704E">
      <w:pPr>
        <w:pStyle w:val="Heading2"/>
      </w:pPr>
      <w:r>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77777777"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23A7FF29" w:rsidR="00FB4D41" w:rsidRDefault="0054748E" w:rsidP="00FB4D41">
      <w:pPr>
        <w:pStyle w:val="NoNumPlain1"/>
      </w:pPr>
      <w:r>
        <w:t xml:space="preserve">This Standard, like </w:t>
      </w:r>
      <w:r w:rsidR="00FB4D41">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98DA6DB" w14:textId="5A95B658" w:rsidR="007303BE" w:rsidRDefault="007303BE" w:rsidP="007303BE">
      <w:pPr>
        <w:pStyle w:val="NoNumPlain1"/>
      </w:pPr>
      <w:r>
        <w:t xml:space="preserve">The AASB’s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Pr>
          <w:lang w:eastAsia="en-AU"/>
        </w:rPr>
        <w:t xml:space="preserve"> </w:t>
      </w:r>
      <w:r w:rsidRPr="0062766C">
        <w:t xml:space="preserve">The AASB’s Standards are exempt from sunsetting because a more stringent review process than sunsetting applies to the Standards. </w:t>
      </w:r>
      <w:r>
        <w:t xml:space="preserve"> </w:t>
      </w:r>
      <w:r w:rsidRPr="0062766C">
        <w:t>This review process ensures Australia’s A</w:t>
      </w:r>
      <w:r>
        <w:t>ccoun</w:t>
      </w:r>
      <w:r w:rsidRPr="0062766C">
        <w:t xml:space="preserve">ting Standards regime remains consistent with international Standards. </w:t>
      </w:r>
      <w:r>
        <w:t xml:space="preserve"> </w:t>
      </w:r>
      <w:r w:rsidRPr="0062766C">
        <w:t xml:space="preserve">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 xml:space="preserve">revisions. </w:t>
      </w:r>
      <w:r>
        <w:t xml:space="preserve"> </w:t>
      </w:r>
      <w:r w:rsidRPr="0062766C">
        <w:t xml:space="preserve">Each revision follows the stringent review process (which includes the opportunity for public comment) in order to remain consistent with international Standards.  It is very unlikely that any AASB Standard would not have been amended (or else considered for amendment) within a ten-year period through these review processes. </w:t>
      </w:r>
      <w:r>
        <w:t xml:space="preserve"> </w:t>
      </w:r>
      <w:r w:rsidRPr="0062766C">
        <w:t xml:space="preserve">Therefore, </w:t>
      </w:r>
      <w:r>
        <w:t xml:space="preserve">if it applied, </w:t>
      </w:r>
      <w:r w:rsidRPr="0062766C">
        <w:t xml:space="preserve">a ten-year sunsetting regime would </w:t>
      </w:r>
      <w:r>
        <w:t xml:space="preserve">have very limited practical application to </w:t>
      </w:r>
      <w:r w:rsidRPr="0062766C">
        <w:t xml:space="preserve">AASB Standards. </w:t>
      </w:r>
      <w:r>
        <w:t xml:space="preserve"> </w:t>
      </w:r>
      <w:r w:rsidRPr="0062766C">
        <w:t xml:space="preserve">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FC41D9">
      <w:pPr>
        <w:pStyle w:val="Heading2"/>
        <w:spacing w:before="108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53089AE3" w:rsidR="00E770E5" w:rsidRDefault="00A90A3D" w:rsidP="00A90A3D">
      <w:pPr>
        <w:pStyle w:val="Heading3"/>
        <w:spacing w:after="360"/>
        <w:jc w:val="center"/>
      </w:pPr>
      <w:r w:rsidRPr="00347521">
        <w:t xml:space="preserve">Accounting Standard AASB </w:t>
      </w:r>
      <w:r w:rsidR="00141F08">
        <w:t>1056</w:t>
      </w:r>
      <w:r>
        <w:br/>
      </w:r>
      <w:r w:rsidR="00AB18E2" w:rsidRPr="00AB18E2">
        <w:rPr>
          <w:i/>
          <w:iCs w:val="0"/>
        </w:rPr>
        <w:t>S</w:t>
      </w:r>
      <w:r w:rsidR="00141F08">
        <w:rPr>
          <w:i/>
          <w:iCs w:val="0"/>
        </w:rPr>
        <w:t>uper</w:t>
      </w:r>
      <w:r w:rsidR="00AB18E2" w:rsidRPr="00AB18E2">
        <w:rPr>
          <w:i/>
          <w:iCs w:val="0"/>
        </w:rPr>
        <w:t>an</w:t>
      </w:r>
      <w:r w:rsidR="00141F08">
        <w:rPr>
          <w:i/>
          <w:iCs w:val="0"/>
        </w:rPr>
        <w:t>nuation</w:t>
      </w:r>
      <w:r w:rsidR="00C77305">
        <w:rPr>
          <w:i/>
          <w:iCs w:val="0"/>
        </w:rPr>
        <w:t xml:space="preserve"> En</w:t>
      </w:r>
      <w:r w:rsidR="00141F08">
        <w:rPr>
          <w:i/>
          <w:iCs w:val="0"/>
        </w:rPr>
        <w:t>tities</w:t>
      </w:r>
    </w:p>
    <w:p w14:paraId="1397697D" w14:textId="77777777" w:rsidR="00A90A3D" w:rsidRDefault="00A90A3D" w:rsidP="00A90A3D">
      <w:pPr>
        <w:pStyle w:val="Heading3"/>
      </w:pPr>
      <w:r>
        <w:t>Overview of the Accounting Standard</w:t>
      </w:r>
    </w:p>
    <w:p w14:paraId="5FDA7AD6" w14:textId="77777777" w:rsidR="00FC41D9" w:rsidRDefault="00FC41D9" w:rsidP="00FC41D9">
      <w:pPr>
        <w:pStyle w:val="NoNumPlain1"/>
      </w:pPr>
      <w:r>
        <w:t xml:space="preserve">AASB 1056 </w:t>
      </w:r>
      <w:r w:rsidRPr="003B36C4">
        <w:rPr>
          <w:i/>
          <w:iCs/>
        </w:rPr>
        <w:t>Superannuation Entities</w:t>
      </w:r>
      <w:r>
        <w:t xml:space="preserve"> </w:t>
      </w:r>
      <w:r w:rsidRPr="004863E7">
        <w:t>requires the presentation of a comprehensive set of financial statements for superannuation entities, whether they constitute one or more superannuation plans and whether they have defined contribution members or defined benefit members, or both.</w:t>
      </w:r>
      <w:r>
        <w:t xml:space="preserve">  The Standard also sets various recognition, measurement and disclosure requirements for assets, liabilities, revenue and expenses of particular relevance to superannuation entities, such as the liability for superannuation benefits accrued by members of the superannuation plan or plans.</w:t>
      </w:r>
    </w:p>
    <w:p w14:paraId="5C87A818" w14:textId="77777777" w:rsidR="00FC41D9" w:rsidRPr="003B36C4" w:rsidRDefault="00FC41D9" w:rsidP="00FC41D9">
      <w:pPr>
        <w:pStyle w:val="NoNumPlain1"/>
      </w:pPr>
      <w:r w:rsidRPr="003B36C4">
        <w:t xml:space="preserve">The AASB first issued AASB 1056 </w:t>
      </w:r>
      <w:r>
        <w:t xml:space="preserve">in June 2014 </w:t>
      </w:r>
      <w:r w:rsidRPr="003B36C4">
        <w:t xml:space="preserve">as an Accounting Standard without reference to its authority to make Standards for the purposes of the </w:t>
      </w:r>
      <w:r w:rsidRPr="003B36C4">
        <w:rPr>
          <w:i/>
          <w:iCs/>
        </w:rPr>
        <w:t>Corporations Act 2001</w:t>
      </w:r>
      <w:r w:rsidRPr="003B36C4">
        <w:t xml:space="preserve">.  This reflected that at the time superannuation entities were </w:t>
      </w:r>
      <w:r w:rsidRPr="003B36C4">
        <w:lastRenderedPageBreak/>
        <w:t xml:space="preserve">not required by the Corporations Act or other legislation to prepare financial statements </w:t>
      </w:r>
      <w:r>
        <w:t xml:space="preserve">or to </w:t>
      </w:r>
      <w:r w:rsidRPr="003B36C4">
        <w:t xml:space="preserve">lodge </w:t>
      </w:r>
      <w:r>
        <w:t>them w</w:t>
      </w:r>
      <w:r w:rsidRPr="003B36C4">
        <w:t>ith a regulator.</w:t>
      </w:r>
    </w:p>
    <w:p w14:paraId="08EE3677" w14:textId="77777777" w:rsidR="00FC41D9" w:rsidRPr="003B36C4" w:rsidRDefault="00FC41D9" w:rsidP="00FC41D9">
      <w:pPr>
        <w:pStyle w:val="NoNumPlain1"/>
      </w:pPr>
      <w:r>
        <w:t xml:space="preserve">AASB 1056 </w:t>
      </w:r>
      <w:r w:rsidRPr="003B36C4">
        <w:t xml:space="preserve">is now reissued by the AASB as a legislative instrument under section 334 of the Corporations Act.  This is in response to amendments to the Corporations Act that require registrable superannuation entities </w:t>
      </w:r>
      <w:r>
        <w:t xml:space="preserve">(RSEs) </w:t>
      </w:r>
      <w:r w:rsidRPr="003B36C4">
        <w:t>to prepare annual financial statements that comply with Australian Accounting Standards and lodge them on the public record with the Australian Securities and Investments Commission</w:t>
      </w:r>
      <w:r>
        <w:t xml:space="preserve"> (ASIC)</w:t>
      </w:r>
      <w:r w:rsidRPr="003B36C4">
        <w:t>.  Since the requirements of this Standard differ in some respects from other Australian Accounting Standards, it is necessary for this Standard to also be a legislative instrument in order to take precedence over the other Standards as necessary.</w:t>
      </w:r>
    </w:p>
    <w:p w14:paraId="1397697F" w14:textId="4A4A57DB" w:rsidR="00A90A3D" w:rsidRDefault="00A90A3D" w:rsidP="00A90A3D">
      <w:pPr>
        <w:pStyle w:val="Heading3"/>
      </w:pPr>
      <w:r>
        <w:t>Human Rights Implications</w:t>
      </w:r>
    </w:p>
    <w:p w14:paraId="13976980" w14:textId="77777777"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A408" w14:textId="77777777" w:rsidR="00432097" w:rsidRDefault="00432097">
      <w:r>
        <w:separator/>
      </w:r>
    </w:p>
  </w:endnote>
  <w:endnote w:type="continuationSeparator" w:id="0">
    <w:p w14:paraId="4B6E659B" w14:textId="77777777" w:rsidR="00432097" w:rsidRDefault="00432097">
      <w:r>
        <w:continuationSeparator/>
      </w:r>
    </w:p>
  </w:endnote>
  <w:endnote w:type="continuationNotice" w:id="1">
    <w:p w14:paraId="66CE9B33" w14:textId="77777777" w:rsidR="00432097" w:rsidRDefault="004320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5AEC37F9"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1D1976">
      <w:rPr>
        <w:b/>
      </w:rPr>
      <w:t>1056</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4C9C" w14:textId="77777777" w:rsidR="00432097" w:rsidRDefault="00432097">
      <w:r>
        <w:separator/>
      </w:r>
    </w:p>
  </w:footnote>
  <w:footnote w:type="continuationSeparator" w:id="0">
    <w:p w14:paraId="53CB1A63" w14:textId="77777777" w:rsidR="00432097" w:rsidRDefault="00432097">
      <w:r>
        <w:continuationSeparator/>
      </w:r>
    </w:p>
  </w:footnote>
  <w:footnote w:type="continuationNotice" w:id="1">
    <w:p w14:paraId="33B823AE" w14:textId="77777777" w:rsidR="00432097" w:rsidRDefault="004320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8"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10"/>
  </w:num>
  <w:num w:numId="2" w16cid:durableId="1429426008">
    <w:abstractNumId w:val="17"/>
  </w:num>
  <w:num w:numId="3" w16cid:durableId="1559124823">
    <w:abstractNumId w:val="13"/>
  </w:num>
  <w:num w:numId="4" w16cid:durableId="142161562">
    <w:abstractNumId w:val="1"/>
  </w:num>
  <w:num w:numId="5" w16cid:durableId="458110039">
    <w:abstractNumId w:val="9"/>
  </w:num>
  <w:num w:numId="6" w16cid:durableId="750128220">
    <w:abstractNumId w:val="8"/>
  </w:num>
  <w:num w:numId="7" w16cid:durableId="511379662">
    <w:abstractNumId w:val="11"/>
  </w:num>
  <w:num w:numId="8" w16cid:durableId="372267131">
    <w:abstractNumId w:val="7"/>
  </w:num>
  <w:num w:numId="9" w16cid:durableId="970400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15"/>
  </w:num>
  <w:num w:numId="12" w16cid:durableId="1696614698">
    <w:abstractNumId w:val="14"/>
  </w:num>
  <w:num w:numId="13" w16cid:durableId="1462574602">
    <w:abstractNumId w:val="14"/>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19"/>
  </w:num>
  <w:num w:numId="15" w16cid:durableId="239173273">
    <w:abstractNumId w:val="5"/>
  </w:num>
  <w:num w:numId="16" w16cid:durableId="647250156">
    <w:abstractNumId w:val="16"/>
  </w:num>
  <w:num w:numId="17" w16cid:durableId="740257289">
    <w:abstractNumId w:val="6"/>
  </w:num>
  <w:num w:numId="18" w16cid:durableId="1654673979">
    <w:abstractNumId w:val="18"/>
  </w:num>
  <w:num w:numId="19" w16cid:durableId="1017077237">
    <w:abstractNumId w:val="4"/>
  </w:num>
  <w:num w:numId="20" w16cid:durableId="1059590281">
    <w:abstractNumId w:val="3"/>
  </w:num>
  <w:num w:numId="21" w16cid:durableId="109471013">
    <w:abstractNumId w:val="2"/>
  </w:num>
  <w:num w:numId="22" w16cid:durableId="2054308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tKgFAKPaBl4tAAAA"/>
  </w:docVars>
  <w:rsids>
    <w:rsidRoot w:val="00D429C8"/>
    <w:rsid w:val="000018C8"/>
    <w:rsid w:val="00002AB8"/>
    <w:rsid w:val="00005371"/>
    <w:rsid w:val="0000582C"/>
    <w:rsid w:val="00005A5B"/>
    <w:rsid w:val="00006415"/>
    <w:rsid w:val="00007EF5"/>
    <w:rsid w:val="0001484E"/>
    <w:rsid w:val="000204A6"/>
    <w:rsid w:val="00021F54"/>
    <w:rsid w:val="00024D2A"/>
    <w:rsid w:val="00026782"/>
    <w:rsid w:val="00031923"/>
    <w:rsid w:val="00031DBC"/>
    <w:rsid w:val="00032964"/>
    <w:rsid w:val="000340ED"/>
    <w:rsid w:val="00040513"/>
    <w:rsid w:val="000408F8"/>
    <w:rsid w:val="000422D0"/>
    <w:rsid w:val="0004439B"/>
    <w:rsid w:val="00045495"/>
    <w:rsid w:val="00055755"/>
    <w:rsid w:val="00056DE8"/>
    <w:rsid w:val="000623C8"/>
    <w:rsid w:val="0006511D"/>
    <w:rsid w:val="000742AF"/>
    <w:rsid w:val="00075626"/>
    <w:rsid w:val="00080331"/>
    <w:rsid w:val="0008234F"/>
    <w:rsid w:val="0008242C"/>
    <w:rsid w:val="00082BF7"/>
    <w:rsid w:val="00085B62"/>
    <w:rsid w:val="0008680E"/>
    <w:rsid w:val="00090AD7"/>
    <w:rsid w:val="00090D77"/>
    <w:rsid w:val="000920D3"/>
    <w:rsid w:val="00092229"/>
    <w:rsid w:val="00093210"/>
    <w:rsid w:val="000936C7"/>
    <w:rsid w:val="00097A0A"/>
    <w:rsid w:val="000A1AB9"/>
    <w:rsid w:val="000A2A30"/>
    <w:rsid w:val="000A47AF"/>
    <w:rsid w:val="000A4C11"/>
    <w:rsid w:val="000A55AB"/>
    <w:rsid w:val="000B07AF"/>
    <w:rsid w:val="000B7A39"/>
    <w:rsid w:val="000C7398"/>
    <w:rsid w:val="000D380C"/>
    <w:rsid w:val="000D41A4"/>
    <w:rsid w:val="000D428B"/>
    <w:rsid w:val="000D5A37"/>
    <w:rsid w:val="000E1311"/>
    <w:rsid w:val="000E6E09"/>
    <w:rsid w:val="000E7F81"/>
    <w:rsid w:val="000F281A"/>
    <w:rsid w:val="000F2911"/>
    <w:rsid w:val="000F4C2A"/>
    <w:rsid w:val="001019DD"/>
    <w:rsid w:val="0010290A"/>
    <w:rsid w:val="00104195"/>
    <w:rsid w:val="001107F1"/>
    <w:rsid w:val="00111680"/>
    <w:rsid w:val="001218DE"/>
    <w:rsid w:val="00121C54"/>
    <w:rsid w:val="00125833"/>
    <w:rsid w:val="00126540"/>
    <w:rsid w:val="00126FC1"/>
    <w:rsid w:val="00127125"/>
    <w:rsid w:val="0012730F"/>
    <w:rsid w:val="001311D0"/>
    <w:rsid w:val="00131465"/>
    <w:rsid w:val="00131C3F"/>
    <w:rsid w:val="0014176B"/>
    <w:rsid w:val="00141D3C"/>
    <w:rsid w:val="00141F08"/>
    <w:rsid w:val="00143ED2"/>
    <w:rsid w:val="00144CC0"/>
    <w:rsid w:val="00145D0F"/>
    <w:rsid w:val="00150682"/>
    <w:rsid w:val="0015670A"/>
    <w:rsid w:val="001639EB"/>
    <w:rsid w:val="00164A51"/>
    <w:rsid w:val="00176AFE"/>
    <w:rsid w:val="0018198F"/>
    <w:rsid w:val="00183A24"/>
    <w:rsid w:val="00184EAD"/>
    <w:rsid w:val="00190DF0"/>
    <w:rsid w:val="001934F4"/>
    <w:rsid w:val="00195D9C"/>
    <w:rsid w:val="001A3A3D"/>
    <w:rsid w:val="001A4178"/>
    <w:rsid w:val="001A5D6F"/>
    <w:rsid w:val="001B14BE"/>
    <w:rsid w:val="001B490C"/>
    <w:rsid w:val="001B50B0"/>
    <w:rsid w:val="001B6F82"/>
    <w:rsid w:val="001C510E"/>
    <w:rsid w:val="001C7286"/>
    <w:rsid w:val="001C7634"/>
    <w:rsid w:val="001D0117"/>
    <w:rsid w:val="001D11AD"/>
    <w:rsid w:val="001D1976"/>
    <w:rsid w:val="001D1FFA"/>
    <w:rsid w:val="001D25AD"/>
    <w:rsid w:val="001D69FD"/>
    <w:rsid w:val="001D6B16"/>
    <w:rsid w:val="001D7463"/>
    <w:rsid w:val="001D7DA0"/>
    <w:rsid w:val="001E0872"/>
    <w:rsid w:val="001E0EA2"/>
    <w:rsid w:val="001E26D3"/>
    <w:rsid w:val="001E2BEB"/>
    <w:rsid w:val="001E4107"/>
    <w:rsid w:val="001E50B3"/>
    <w:rsid w:val="001E5C5D"/>
    <w:rsid w:val="001F3ED4"/>
    <w:rsid w:val="001F62E0"/>
    <w:rsid w:val="001F648A"/>
    <w:rsid w:val="001F6C93"/>
    <w:rsid w:val="001F7111"/>
    <w:rsid w:val="00200047"/>
    <w:rsid w:val="0020218F"/>
    <w:rsid w:val="0020261B"/>
    <w:rsid w:val="00203B57"/>
    <w:rsid w:val="00205EE9"/>
    <w:rsid w:val="00206A47"/>
    <w:rsid w:val="00212B63"/>
    <w:rsid w:val="00213241"/>
    <w:rsid w:val="00214B06"/>
    <w:rsid w:val="00216D67"/>
    <w:rsid w:val="00220F1B"/>
    <w:rsid w:val="00223EED"/>
    <w:rsid w:val="00225101"/>
    <w:rsid w:val="00225C75"/>
    <w:rsid w:val="00226895"/>
    <w:rsid w:val="00226D88"/>
    <w:rsid w:val="00227FB6"/>
    <w:rsid w:val="00230E6D"/>
    <w:rsid w:val="0023104C"/>
    <w:rsid w:val="00234DBE"/>
    <w:rsid w:val="00236896"/>
    <w:rsid w:val="00243728"/>
    <w:rsid w:val="00247FC3"/>
    <w:rsid w:val="002600A4"/>
    <w:rsid w:val="002650F6"/>
    <w:rsid w:val="00266D81"/>
    <w:rsid w:val="00267D86"/>
    <w:rsid w:val="00272C26"/>
    <w:rsid w:val="00273574"/>
    <w:rsid w:val="00282A29"/>
    <w:rsid w:val="0028374D"/>
    <w:rsid w:val="00284D8D"/>
    <w:rsid w:val="002A46EC"/>
    <w:rsid w:val="002A4C26"/>
    <w:rsid w:val="002A6880"/>
    <w:rsid w:val="002B19C5"/>
    <w:rsid w:val="002B36F5"/>
    <w:rsid w:val="002C0FEE"/>
    <w:rsid w:val="002D4E3D"/>
    <w:rsid w:val="002D5998"/>
    <w:rsid w:val="002D6726"/>
    <w:rsid w:val="002D6D7A"/>
    <w:rsid w:val="002E2390"/>
    <w:rsid w:val="002E6AE0"/>
    <w:rsid w:val="002E7BF9"/>
    <w:rsid w:val="002F49F8"/>
    <w:rsid w:val="002F6757"/>
    <w:rsid w:val="002F724F"/>
    <w:rsid w:val="0030160B"/>
    <w:rsid w:val="0031196F"/>
    <w:rsid w:val="0032467B"/>
    <w:rsid w:val="003276D9"/>
    <w:rsid w:val="0033233B"/>
    <w:rsid w:val="003329B8"/>
    <w:rsid w:val="0033786B"/>
    <w:rsid w:val="0034440A"/>
    <w:rsid w:val="00345A43"/>
    <w:rsid w:val="00345AF4"/>
    <w:rsid w:val="0034635D"/>
    <w:rsid w:val="003469FC"/>
    <w:rsid w:val="00347521"/>
    <w:rsid w:val="00352568"/>
    <w:rsid w:val="00352D10"/>
    <w:rsid w:val="00357735"/>
    <w:rsid w:val="0037581A"/>
    <w:rsid w:val="00377953"/>
    <w:rsid w:val="00384832"/>
    <w:rsid w:val="00384DE0"/>
    <w:rsid w:val="00385E62"/>
    <w:rsid w:val="0039164A"/>
    <w:rsid w:val="00391989"/>
    <w:rsid w:val="00391DC5"/>
    <w:rsid w:val="003959F6"/>
    <w:rsid w:val="00396BCD"/>
    <w:rsid w:val="003975D1"/>
    <w:rsid w:val="00397D98"/>
    <w:rsid w:val="003A09B8"/>
    <w:rsid w:val="003A1E87"/>
    <w:rsid w:val="003A2645"/>
    <w:rsid w:val="003A5EC1"/>
    <w:rsid w:val="003B36C4"/>
    <w:rsid w:val="003B4FF3"/>
    <w:rsid w:val="003C1874"/>
    <w:rsid w:val="003C701F"/>
    <w:rsid w:val="003C7139"/>
    <w:rsid w:val="003D1F98"/>
    <w:rsid w:val="003D3301"/>
    <w:rsid w:val="003D70D2"/>
    <w:rsid w:val="003E05BE"/>
    <w:rsid w:val="003E145B"/>
    <w:rsid w:val="003E5E16"/>
    <w:rsid w:val="003F01EE"/>
    <w:rsid w:val="003F02D6"/>
    <w:rsid w:val="003F1B8F"/>
    <w:rsid w:val="003F27D8"/>
    <w:rsid w:val="003F5B8A"/>
    <w:rsid w:val="00400192"/>
    <w:rsid w:val="00402FB3"/>
    <w:rsid w:val="0041172E"/>
    <w:rsid w:val="0041320B"/>
    <w:rsid w:val="00413230"/>
    <w:rsid w:val="00413838"/>
    <w:rsid w:val="00413F93"/>
    <w:rsid w:val="00414BC3"/>
    <w:rsid w:val="00416FE6"/>
    <w:rsid w:val="004179BF"/>
    <w:rsid w:val="004209B2"/>
    <w:rsid w:val="00432097"/>
    <w:rsid w:val="0043213F"/>
    <w:rsid w:val="00434707"/>
    <w:rsid w:val="00434740"/>
    <w:rsid w:val="00442527"/>
    <w:rsid w:val="00445C5B"/>
    <w:rsid w:val="0044721A"/>
    <w:rsid w:val="00457DCC"/>
    <w:rsid w:val="004605B1"/>
    <w:rsid w:val="004607FB"/>
    <w:rsid w:val="00462D2E"/>
    <w:rsid w:val="0046675A"/>
    <w:rsid w:val="00466C21"/>
    <w:rsid w:val="00467D03"/>
    <w:rsid w:val="004772DF"/>
    <w:rsid w:val="0047780E"/>
    <w:rsid w:val="00484224"/>
    <w:rsid w:val="00493DD4"/>
    <w:rsid w:val="004A25C5"/>
    <w:rsid w:val="004A4C97"/>
    <w:rsid w:val="004A793F"/>
    <w:rsid w:val="004B136A"/>
    <w:rsid w:val="004B1D54"/>
    <w:rsid w:val="004C0714"/>
    <w:rsid w:val="004C1230"/>
    <w:rsid w:val="004C1746"/>
    <w:rsid w:val="004C290D"/>
    <w:rsid w:val="004C3B43"/>
    <w:rsid w:val="004C62D2"/>
    <w:rsid w:val="004D1170"/>
    <w:rsid w:val="004D1342"/>
    <w:rsid w:val="004D2BDB"/>
    <w:rsid w:val="004E696F"/>
    <w:rsid w:val="004F063D"/>
    <w:rsid w:val="004F5926"/>
    <w:rsid w:val="005002D9"/>
    <w:rsid w:val="00512D58"/>
    <w:rsid w:val="00512F90"/>
    <w:rsid w:val="00516BAB"/>
    <w:rsid w:val="00520E9E"/>
    <w:rsid w:val="00526DA0"/>
    <w:rsid w:val="00532273"/>
    <w:rsid w:val="005324F0"/>
    <w:rsid w:val="0053377E"/>
    <w:rsid w:val="005352D8"/>
    <w:rsid w:val="00540A97"/>
    <w:rsid w:val="00540E70"/>
    <w:rsid w:val="00545801"/>
    <w:rsid w:val="0054748E"/>
    <w:rsid w:val="00551058"/>
    <w:rsid w:val="0055197A"/>
    <w:rsid w:val="00553133"/>
    <w:rsid w:val="00556F21"/>
    <w:rsid w:val="00557E5F"/>
    <w:rsid w:val="00565477"/>
    <w:rsid w:val="00565A4C"/>
    <w:rsid w:val="00570C59"/>
    <w:rsid w:val="0057408A"/>
    <w:rsid w:val="005845A2"/>
    <w:rsid w:val="005856F5"/>
    <w:rsid w:val="005874FB"/>
    <w:rsid w:val="00590D31"/>
    <w:rsid w:val="00592267"/>
    <w:rsid w:val="00596B1D"/>
    <w:rsid w:val="00597161"/>
    <w:rsid w:val="005978CA"/>
    <w:rsid w:val="005A0715"/>
    <w:rsid w:val="005A5A29"/>
    <w:rsid w:val="005B0AB4"/>
    <w:rsid w:val="005B238F"/>
    <w:rsid w:val="005B39FC"/>
    <w:rsid w:val="005B5DB6"/>
    <w:rsid w:val="005B7BB7"/>
    <w:rsid w:val="005D0051"/>
    <w:rsid w:val="005D1317"/>
    <w:rsid w:val="005D5F81"/>
    <w:rsid w:val="005E2750"/>
    <w:rsid w:val="005E2BBE"/>
    <w:rsid w:val="005E4C0C"/>
    <w:rsid w:val="005F0581"/>
    <w:rsid w:val="005F1173"/>
    <w:rsid w:val="005F14BD"/>
    <w:rsid w:val="005F3AA4"/>
    <w:rsid w:val="005F4451"/>
    <w:rsid w:val="005F75FF"/>
    <w:rsid w:val="005F7741"/>
    <w:rsid w:val="006018EA"/>
    <w:rsid w:val="0060325A"/>
    <w:rsid w:val="006104FA"/>
    <w:rsid w:val="0061517C"/>
    <w:rsid w:val="006163AE"/>
    <w:rsid w:val="00616B47"/>
    <w:rsid w:val="00620A91"/>
    <w:rsid w:val="006249FD"/>
    <w:rsid w:val="00626AC2"/>
    <w:rsid w:val="0063194F"/>
    <w:rsid w:val="00632D20"/>
    <w:rsid w:val="00635FA2"/>
    <w:rsid w:val="0064180B"/>
    <w:rsid w:val="0064180C"/>
    <w:rsid w:val="00646823"/>
    <w:rsid w:val="006575CF"/>
    <w:rsid w:val="006607F8"/>
    <w:rsid w:val="00661038"/>
    <w:rsid w:val="006628B2"/>
    <w:rsid w:val="006638BF"/>
    <w:rsid w:val="00664EE6"/>
    <w:rsid w:val="00666164"/>
    <w:rsid w:val="00667DFB"/>
    <w:rsid w:val="0067073C"/>
    <w:rsid w:val="0067195B"/>
    <w:rsid w:val="00672100"/>
    <w:rsid w:val="006773A3"/>
    <w:rsid w:val="006776BD"/>
    <w:rsid w:val="00677EC0"/>
    <w:rsid w:val="00684668"/>
    <w:rsid w:val="00685257"/>
    <w:rsid w:val="00686B7C"/>
    <w:rsid w:val="00692349"/>
    <w:rsid w:val="0069260A"/>
    <w:rsid w:val="00696DAB"/>
    <w:rsid w:val="006A01D2"/>
    <w:rsid w:val="006A0C7C"/>
    <w:rsid w:val="006A2549"/>
    <w:rsid w:val="006A2A04"/>
    <w:rsid w:val="006A56D8"/>
    <w:rsid w:val="006B1B4A"/>
    <w:rsid w:val="006B1C9A"/>
    <w:rsid w:val="006B4CBF"/>
    <w:rsid w:val="006C34F1"/>
    <w:rsid w:val="006C39D1"/>
    <w:rsid w:val="006C5EB8"/>
    <w:rsid w:val="006C6010"/>
    <w:rsid w:val="006D4CF4"/>
    <w:rsid w:val="006D5858"/>
    <w:rsid w:val="006D6B35"/>
    <w:rsid w:val="006E776F"/>
    <w:rsid w:val="006F217C"/>
    <w:rsid w:val="006F3F09"/>
    <w:rsid w:val="006F422A"/>
    <w:rsid w:val="006F46DE"/>
    <w:rsid w:val="00700221"/>
    <w:rsid w:val="0070090E"/>
    <w:rsid w:val="007011E7"/>
    <w:rsid w:val="00701AD4"/>
    <w:rsid w:val="00703BE9"/>
    <w:rsid w:val="0070643A"/>
    <w:rsid w:val="00706D55"/>
    <w:rsid w:val="00711664"/>
    <w:rsid w:val="00717627"/>
    <w:rsid w:val="007178F3"/>
    <w:rsid w:val="00720919"/>
    <w:rsid w:val="00720A2E"/>
    <w:rsid w:val="00722CEF"/>
    <w:rsid w:val="007231BD"/>
    <w:rsid w:val="00725555"/>
    <w:rsid w:val="007261ED"/>
    <w:rsid w:val="007303BE"/>
    <w:rsid w:val="00731975"/>
    <w:rsid w:val="007322D6"/>
    <w:rsid w:val="007328C0"/>
    <w:rsid w:val="00735E30"/>
    <w:rsid w:val="00741AD2"/>
    <w:rsid w:val="00743146"/>
    <w:rsid w:val="007501D5"/>
    <w:rsid w:val="00753A73"/>
    <w:rsid w:val="00753C86"/>
    <w:rsid w:val="00755B4C"/>
    <w:rsid w:val="00755D8C"/>
    <w:rsid w:val="00757555"/>
    <w:rsid w:val="00766192"/>
    <w:rsid w:val="007676C0"/>
    <w:rsid w:val="007729D8"/>
    <w:rsid w:val="00772FD5"/>
    <w:rsid w:val="00774277"/>
    <w:rsid w:val="00781C08"/>
    <w:rsid w:val="00783BEC"/>
    <w:rsid w:val="00785522"/>
    <w:rsid w:val="00786A48"/>
    <w:rsid w:val="00787825"/>
    <w:rsid w:val="00791279"/>
    <w:rsid w:val="00791336"/>
    <w:rsid w:val="00794926"/>
    <w:rsid w:val="007A487E"/>
    <w:rsid w:val="007B02E3"/>
    <w:rsid w:val="007B3132"/>
    <w:rsid w:val="007B323F"/>
    <w:rsid w:val="007B4653"/>
    <w:rsid w:val="007B539D"/>
    <w:rsid w:val="007C13D0"/>
    <w:rsid w:val="007C1E39"/>
    <w:rsid w:val="007C1FC7"/>
    <w:rsid w:val="007C2A76"/>
    <w:rsid w:val="007C2B04"/>
    <w:rsid w:val="007C396E"/>
    <w:rsid w:val="007C5692"/>
    <w:rsid w:val="007D1E4B"/>
    <w:rsid w:val="007D22EA"/>
    <w:rsid w:val="007D6D1B"/>
    <w:rsid w:val="007E548A"/>
    <w:rsid w:val="007E5569"/>
    <w:rsid w:val="007F4E20"/>
    <w:rsid w:val="007F5243"/>
    <w:rsid w:val="007F559F"/>
    <w:rsid w:val="00802C2B"/>
    <w:rsid w:val="00813CFA"/>
    <w:rsid w:val="00822659"/>
    <w:rsid w:val="00823396"/>
    <w:rsid w:val="008261A7"/>
    <w:rsid w:val="0082668C"/>
    <w:rsid w:val="00826B09"/>
    <w:rsid w:val="00826FE1"/>
    <w:rsid w:val="00830F6B"/>
    <w:rsid w:val="008343DD"/>
    <w:rsid w:val="00835C4B"/>
    <w:rsid w:val="008377FF"/>
    <w:rsid w:val="00840DF9"/>
    <w:rsid w:val="00840E63"/>
    <w:rsid w:val="008412BD"/>
    <w:rsid w:val="00843BF6"/>
    <w:rsid w:val="0084574B"/>
    <w:rsid w:val="00846DF4"/>
    <w:rsid w:val="008509A0"/>
    <w:rsid w:val="008535B7"/>
    <w:rsid w:val="00854BCD"/>
    <w:rsid w:val="00855064"/>
    <w:rsid w:val="00855B93"/>
    <w:rsid w:val="00857B51"/>
    <w:rsid w:val="00857D06"/>
    <w:rsid w:val="00861618"/>
    <w:rsid w:val="00861A3A"/>
    <w:rsid w:val="00866B9F"/>
    <w:rsid w:val="00870C00"/>
    <w:rsid w:val="00874677"/>
    <w:rsid w:val="00874B2D"/>
    <w:rsid w:val="00882101"/>
    <w:rsid w:val="008824C2"/>
    <w:rsid w:val="00891737"/>
    <w:rsid w:val="00896AE0"/>
    <w:rsid w:val="008A471F"/>
    <w:rsid w:val="008A6ADF"/>
    <w:rsid w:val="008B63BA"/>
    <w:rsid w:val="008B66C2"/>
    <w:rsid w:val="008C1BD9"/>
    <w:rsid w:val="008C1FEB"/>
    <w:rsid w:val="008C5B82"/>
    <w:rsid w:val="008C70DC"/>
    <w:rsid w:val="008C7E56"/>
    <w:rsid w:val="008D23B6"/>
    <w:rsid w:val="008D3631"/>
    <w:rsid w:val="008D3E1A"/>
    <w:rsid w:val="008E0D7C"/>
    <w:rsid w:val="008E0FA7"/>
    <w:rsid w:val="008E4294"/>
    <w:rsid w:val="008E432A"/>
    <w:rsid w:val="008E4AEA"/>
    <w:rsid w:val="008E704E"/>
    <w:rsid w:val="008F344A"/>
    <w:rsid w:val="008F53E7"/>
    <w:rsid w:val="008F635A"/>
    <w:rsid w:val="008F6E8E"/>
    <w:rsid w:val="008F73FD"/>
    <w:rsid w:val="008F79DA"/>
    <w:rsid w:val="009012DA"/>
    <w:rsid w:val="009021D8"/>
    <w:rsid w:val="00902A7E"/>
    <w:rsid w:val="00905ED9"/>
    <w:rsid w:val="00906821"/>
    <w:rsid w:val="0090761D"/>
    <w:rsid w:val="00907DFB"/>
    <w:rsid w:val="00910814"/>
    <w:rsid w:val="00912BD6"/>
    <w:rsid w:val="00913B8E"/>
    <w:rsid w:val="009143FD"/>
    <w:rsid w:val="00916B64"/>
    <w:rsid w:val="00917770"/>
    <w:rsid w:val="009178BF"/>
    <w:rsid w:val="00920660"/>
    <w:rsid w:val="009243C9"/>
    <w:rsid w:val="00930915"/>
    <w:rsid w:val="0093220C"/>
    <w:rsid w:val="00934282"/>
    <w:rsid w:val="00934970"/>
    <w:rsid w:val="00936AD7"/>
    <w:rsid w:val="009476A5"/>
    <w:rsid w:val="00956812"/>
    <w:rsid w:val="00957D59"/>
    <w:rsid w:val="00963C4D"/>
    <w:rsid w:val="009707EC"/>
    <w:rsid w:val="00970EDD"/>
    <w:rsid w:val="00972EC0"/>
    <w:rsid w:val="00975BB8"/>
    <w:rsid w:val="00975F5E"/>
    <w:rsid w:val="009839D3"/>
    <w:rsid w:val="00985250"/>
    <w:rsid w:val="00995438"/>
    <w:rsid w:val="00997560"/>
    <w:rsid w:val="009A21B4"/>
    <w:rsid w:val="009A252B"/>
    <w:rsid w:val="009A280B"/>
    <w:rsid w:val="009B1B46"/>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1B08"/>
    <w:rsid w:val="009E451E"/>
    <w:rsid w:val="009E70AD"/>
    <w:rsid w:val="009F2CD1"/>
    <w:rsid w:val="009F7265"/>
    <w:rsid w:val="00A01404"/>
    <w:rsid w:val="00A019FC"/>
    <w:rsid w:val="00A02299"/>
    <w:rsid w:val="00A02953"/>
    <w:rsid w:val="00A02CA7"/>
    <w:rsid w:val="00A033D0"/>
    <w:rsid w:val="00A043F0"/>
    <w:rsid w:val="00A04C1F"/>
    <w:rsid w:val="00A07B58"/>
    <w:rsid w:val="00A108EA"/>
    <w:rsid w:val="00A12B2F"/>
    <w:rsid w:val="00A13412"/>
    <w:rsid w:val="00A14C37"/>
    <w:rsid w:val="00A2422B"/>
    <w:rsid w:val="00A24F6F"/>
    <w:rsid w:val="00A33757"/>
    <w:rsid w:val="00A33E88"/>
    <w:rsid w:val="00A35AF1"/>
    <w:rsid w:val="00A41043"/>
    <w:rsid w:val="00A41EF3"/>
    <w:rsid w:val="00A43C4F"/>
    <w:rsid w:val="00A46379"/>
    <w:rsid w:val="00A479AE"/>
    <w:rsid w:val="00A531DE"/>
    <w:rsid w:val="00A56177"/>
    <w:rsid w:val="00A61CB2"/>
    <w:rsid w:val="00A63682"/>
    <w:rsid w:val="00A802A3"/>
    <w:rsid w:val="00A8344C"/>
    <w:rsid w:val="00A852FE"/>
    <w:rsid w:val="00A90590"/>
    <w:rsid w:val="00A90A3D"/>
    <w:rsid w:val="00A92FFA"/>
    <w:rsid w:val="00A9484D"/>
    <w:rsid w:val="00A94F2A"/>
    <w:rsid w:val="00A97AA9"/>
    <w:rsid w:val="00A97B77"/>
    <w:rsid w:val="00A97E68"/>
    <w:rsid w:val="00AA0395"/>
    <w:rsid w:val="00AB18E2"/>
    <w:rsid w:val="00AB2137"/>
    <w:rsid w:val="00AB61AB"/>
    <w:rsid w:val="00AB7BA8"/>
    <w:rsid w:val="00AC2063"/>
    <w:rsid w:val="00AC2CA9"/>
    <w:rsid w:val="00AD44F9"/>
    <w:rsid w:val="00AD5CC0"/>
    <w:rsid w:val="00AD73BA"/>
    <w:rsid w:val="00AE1F8A"/>
    <w:rsid w:val="00AE6CE3"/>
    <w:rsid w:val="00AF02A8"/>
    <w:rsid w:val="00AF3C4B"/>
    <w:rsid w:val="00AF61C3"/>
    <w:rsid w:val="00AF7057"/>
    <w:rsid w:val="00B00C1B"/>
    <w:rsid w:val="00B02951"/>
    <w:rsid w:val="00B06683"/>
    <w:rsid w:val="00B10AB1"/>
    <w:rsid w:val="00B127B5"/>
    <w:rsid w:val="00B13409"/>
    <w:rsid w:val="00B2160A"/>
    <w:rsid w:val="00B223A3"/>
    <w:rsid w:val="00B238A4"/>
    <w:rsid w:val="00B259A2"/>
    <w:rsid w:val="00B44EFA"/>
    <w:rsid w:val="00B50A3C"/>
    <w:rsid w:val="00B5196B"/>
    <w:rsid w:val="00B51E2C"/>
    <w:rsid w:val="00B528E1"/>
    <w:rsid w:val="00B53860"/>
    <w:rsid w:val="00B54797"/>
    <w:rsid w:val="00B57495"/>
    <w:rsid w:val="00B66CDA"/>
    <w:rsid w:val="00B67434"/>
    <w:rsid w:val="00B716EA"/>
    <w:rsid w:val="00B72216"/>
    <w:rsid w:val="00B76085"/>
    <w:rsid w:val="00B805A9"/>
    <w:rsid w:val="00B81972"/>
    <w:rsid w:val="00B842DF"/>
    <w:rsid w:val="00B85DBC"/>
    <w:rsid w:val="00B93CE4"/>
    <w:rsid w:val="00BA44B8"/>
    <w:rsid w:val="00BA5153"/>
    <w:rsid w:val="00BB2459"/>
    <w:rsid w:val="00BB74CE"/>
    <w:rsid w:val="00BC7C01"/>
    <w:rsid w:val="00BD0B5B"/>
    <w:rsid w:val="00BD3F1A"/>
    <w:rsid w:val="00BE1DD0"/>
    <w:rsid w:val="00BE2C0C"/>
    <w:rsid w:val="00BE6290"/>
    <w:rsid w:val="00BE66D4"/>
    <w:rsid w:val="00BF542F"/>
    <w:rsid w:val="00C04EB7"/>
    <w:rsid w:val="00C05016"/>
    <w:rsid w:val="00C05354"/>
    <w:rsid w:val="00C06546"/>
    <w:rsid w:val="00C068D8"/>
    <w:rsid w:val="00C119CC"/>
    <w:rsid w:val="00C1395D"/>
    <w:rsid w:val="00C14CCB"/>
    <w:rsid w:val="00C21F45"/>
    <w:rsid w:val="00C2384B"/>
    <w:rsid w:val="00C23936"/>
    <w:rsid w:val="00C313B4"/>
    <w:rsid w:val="00C32AEE"/>
    <w:rsid w:val="00C34A0B"/>
    <w:rsid w:val="00C35A20"/>
    <w:rsid w:val="00C36497"/>
    <w:rsid w:val="00C43F58"/>
    <w:rsid w:val="00C50B67"/>
    <w:rsid w:val="00C546C0"/>
    <w:rsid w:val="00C55425"/>
    <w:rsid w:val="00C6133A"/>
    <w:rsid w:val="00C61FC6"/>
    <w:rsid w:val="00C61FC9"/>
    <w:rsid w:val="00C634BB"/>
    <w:rsid w:val="00C63734"/>
    <w:rsid w:val="00C661A8"/>
    <w:rsid w:val="00C717FF"/>
    <w:rsid w:val="00C742AA"/>
    <w:rsid w:val="00C744B3"/>
    <w:rsid w:val="00C758E7"/>
    <w:rsid w:val="00C77305"/>
    <w:rsid w:val="00C80CE0"/>
    <w:rsid w:val="00C813F4"/>
    <w:rsid w:val="00C82A8C"/>
    <w:rsid w:val="00C92E61"/>
    <w:rsid w:val="00C93AFB"/>
    <w:rsid w:val="00CA1593"/>
    <w:rsid w:val="00CA20FA"/>
    <w:rsid w:val="00CA401C"/>
    <w:rsid w:val="00CA4618"/>
    <w:rsid w:val="00CA518E"/>
    <w:rsid w:val="00CB49A1"/>
    <w:rsid w:val="00CB74B0"/>
    <w:rsid w:val="00CC252A"/>
    <w:rsid w:val="00CC546B"/>
    <w:rsid w:val="00CC779C"/>
    <w:rsid w:val="00CD0A54"/>
    <w:rsid w:val="00CD1AB2"/>
    <w:rsid w:val="00CD50A4"/>
    <w:rsid w:val="00CD559D"/>
    <w:rsid w:val="00CE070C"/>
    <w:rsid w:val="00CF19C5"/>
    <w:rsid w:val="00CF3D4E"/>
    <w:rsid w:val="00CF4D2F"/>
    <w:rsid w:val="00CF72F6"/>
    <w:rsid w:val="00D02AD3"/>
    <w:rsid w:val="00D03547"/>
    <w:rsid w:val="00D03A28"/>
    <w:rsid w:val="00D04F30"/>
    <w:rsid w:val="00D06196"/>
    <w:rsid w:val="00D10418"/>
    <w:rsid w:val="00D15C0A"/>
    <w:rsid w:val="00D17CF4"/>
    <w:rsid w:val="00D2416F"/>
    <w:rsid w:val="00D2418C"/>
    <w:rsid w:val="00D24634"/>
    <w:rsid w:val="00D24B3E"/>
    <w:rsid w:val="00D27169"/>
    <w:rsid w:val="00D27E14"/>
    <w:rsid w:val="00D3041D"/>
    <w:rsid w:val="00D32242"/>
    <w:rsid w:val="00D33852"/>
    <w:rsid w:val="00D33B89"/>
    <w:rsid w:val="00D40502"/>
    <w:rsid w:val="00D429C8"/>
    <w:rsid w:val="00D43163"/>
    <w:rsid w:val="00D511B3"/>
    <w:rsid w:val="00D5323B"/>
    <w:rsid w:val="00D5363A"/>
    <w:rsid w:val="00D67C43"/>
    <w:rsid w:val="00D71916"/>
    <w:rsid w:val="00D71B35"/>
    <w:rsid w:val="00D72F19"/>
    <w:rsid w:val="00D74C19"/>
    <w:rsid w:val="00D81427"/>
    <w:rsid w:val="00D82053"/>
    <w:rsid w:val="00D850DE"/>
    <w:rsid w:val="00D930DE"/>
    <w:rsid w:val="00D948E2"/>
    <w:rsid w:val="00D96A9D"/>
    <w:rsid w:val="00DA2E07"/>
    <w:rsid w:val="00DA32D2"/>
    <w:rsid w:val="00DA4499"/>
    <w:rsid w:val="00DA505F"/>
    <w:rsid w:val="00DB5798"/>
    <w:rsid w:val="00DB620D"/>
    <w:rsid w:val="00DC2925"/>
    <w:rsid w:val="00DC30C9"/>
    <w:rsid w:val="00DC552A"/>
    <w:rsid w:val="00DD1167"/>
    <w:rsid w:val="00DD2F16"/>
    <w:rsid w:val="00DD3B65"/>
    <w:rsid w:val="00DD3FDF"/>
    <w:rsid w:val="00DD7166"/>
    <w:rsid w:val="00DD7EED"/>
    <w:rsid w:val="00DE2BF2"/>
    <w:rsid w:val="00DE2EAB"/>
    <w:rsid w:val="00DF183B"/>
    <w:rsid w:val="00DF23D7"/>
    <w:rsid w:val="00E00D64"/>
    <w:rsid w:val="00E030B5"/>
    <w:rsid w:val="00E04398"/>
    <w:rsid w:val="00E079C1"/>
    <w:rsid w:val="00E113C4"/>
    <w:rsid w:val="00E11F07"/>
    <w:rsid w:val="00E12D6E"/>
    <w:rsid w:val="00E1658F"/>
    <w:rsid w:val="00E24278"/>
    <w:rsid w:val="00E2740C"/>
    <w:rsid w:val="00E2749C"/>
    <w:rsid w:val="00E30751"/>
    <w:rsid w:val="00E332B9"/>
    <w:rsid w:val="00E34411"/>
    <w:rsid w:val="00E401CE"/>
    <w:rsid w:val="00E41A44"/>
    <w:rsid w:val="00E41E4F"/>
    <w:rsid w:val="00E41F02"/>
    <w:rsid w:val="00E42D6D"/>
    <w:rsid w:val="00E443CF"/>
    <w:rsid w:val="00E4487C"/>
    <w:rsid w:val="00E463EF"/>
    <w:rsid w:val="00E56A16"/>
    <w:rsid w:val="00E574C8"/>
    <w:rsid w:val="00E626CE"/>
    <w:rsid w:val="00E770E5"/>
    <w:rsid w:val="00E7777B"/>
    <w:rsid w:val="00E8259F"/>
    <w:rsid w:val="00E84132"/>
    <w:rsid w:val="00E90C7E"/>
    <w:rsid w:val="00E928A7"/>
    <w:rsid w:val="00E938FD"/>
    <w:rsid w:val="00EA0A87"/>
    <w:rsid w:val="00EA0CF7"/>
    <w:rsid w:val="00EA56FD"/>
    <w:rsid w:val="00EA6908"/>
    <w:rsid w:val="00EB406E"/>
    <w:rsid w:val="00EB7E6E"/>
    <w:rsid w:val="00EC1092"/>
    <w:rsid w:val="00EC3CE5"/>
    <w:rsid w:val="00ED03F7"/>
    <w:rsid w:val="00ED08B8"/>
    <w:rsid w:val="00ED5250"/>
    <w:rsid w:val="00EE1FA6"/>
    <w:rsid w:val="00EF1E68"/>
    <w:rsid w:val="00F0118A"/>
    <w:rsid w:val="00F038A3"/>
    <w:rsid w:val="00F041AA"/>
    <w:rsid w:val="00F04EBC"/>
    <w:rsid w:val="00F0766F"/>
    <w:rsid w:val="00F12B4A"/>
    <w:rsid w:val="00F12DF8"/>
    <w:rsid w:val="00F165E3"/>
    <w:rsid w:val="00F21B16"/>
    <w:rsid w:val="00F22BD6"/>
    <w:rsid w:val="00F23FEF"/>
    <w:rsid w:val="00F240F8"/>
    <w:rsid w:val="00F31F8A"/>
    <w:rsid w:val="00F33A28"/>
    <w:rsid w:val="00F3428C"/>
    <w:rsid w:val="00F34FE0"/>
    <w:rsid w:val="00F52782"/>
    <w:rsid w:val="00F5288D"/>
    <w:rsid w:val="00F52CE1"/>
    <w:rsid w:val="00F61BCB"/>
    <w:rsid w:val="00F62F5C"/>
    <w:rsid w:val="00F63F3B"/>
    <w:rsid w:val="00F657DB"/>
    <w:rsid w:val="00F70FD4"/>
    <w:rsid w:val="00F71510"/>
    <w:rsid w:val="00F73E27"/>
    <w:rsid w:val="00F7512E"/>
    <w:rsid w:val="00F7789B"/>
    <w:rsid w:val="00F81864"/>
    <w:rsid w:val="00F81F26"/>
    <w:rsid w:val="00F8246A"/>
    <w:rsid w:val="00F82A0B"/>
    <w:rsid w:val="00F82FF2"/>
    <w:rsid w:val="00F86557"/>
    <w:rsid w:val="00F92FA7"/>
    <w:rsid w:val="00F93501"/>
    <w:rsid w:val="00F93520"/>
    <w:rsid w:val="00F945F4"/>
    <w:rsid w:val="00FA01BF"/>
    <w:rsid w:val="00FA30CB"/>
    <w:rsid w:val="00FA45D2"/>
    <w:rsid w:val="00FA59D7"/>
    <w:rsid w:val="00FA7C5C"/>
    <w:rsid w:val="00FB0481"/>
    <w:rsid w:val="00FB0CFC"/>
    <w:rsid w:val="00FB158E"/>
    <w:rsid w:val="00FB3DED"/>
    <w:rsid w:val="00FB455A"/>
    <w:rsid w:val="00FB46AD"/>
    <w:rsid w:val="00FB4D41"/>
    <w:rsid w:val="00FB4E69"/>
    <w:rsid w:val="00FC41D9"/>
    <w:rsid w:val="00FC571F"/>
    <w:rsid w:val="00FC6232"/>
    <w:rsid w:val="00FD1880"/>
    <w:rsid w:val="00FD4C0C"/>
    <w:rsid w:val="00FD7413"/>
    <w:rsid w:val="00FF354C"/>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3976965"/>
  <w15:docId w15:val="{957BE834-65D5-433F-9A16-10786E5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96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 w:type="character" w:customStyle="1" w:styleId="Heading3Char">
    <w:name w:val="Heading 3 Char"/>
    <w:basedOn w:val="DefaultParagraphFont"/>
    <w:link w:val="Heading3"/>
    <w:rsid w:val="004D1342"/>
    <w:rPr>
      <w:rFonts w:cs="Arial"/>
      <w:b/>
      <w:bCs/>
      <w:iCs/>
      <w:sz w:val="24"/>
      <w:szCs w:val="26"/>
      <w:lang w:eastAsia="en-US"/>
    </w:rPr>
  </w:style>
  <w:style w:type="paragraph" w:customStyle="1" w:styleId="IASBNormal">
    <w:name w:val="IASB Normal"/>
    <w:link w:val="IASBNormalChar"/>
    <w:uiPriority w:val="99"/>
    <w:rsid w:val="003B36C4"/>
    <w:pPr>
      <w:tabs>
        <w:tab w:val="left" w:pos="4253"/>
      </w:tabs>
      <w:spacing w:before="100" w:after="100"/>
      <w:jc w:val="both"/>
    </w:pPr>
    <w:rPr>
      <w:rFonts w:eastAsia="Times New Roman"/>
      <w:sz w:val="19"/>
      <w:lang w:eastAsia="en-US"/>
    </w:rPr>
  </w:style>
  <w:style w:type="character" w:customStyle="1" w:styleId="IASBNormalChar">
    <w:name w:val="IASB Normal Char"/>
    <w:basedOn w:val="DefaultParagraphFont"/>
    <w:link w:val="IASBNormal"/>
    <w:uiPriority w:val="99"/>
    <w:rsid w:val="003B36C4"/>
    <w:rPr>
      <w:rFonts w:eastAsia="Times New Roman"/>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1576</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AASB1056_ES_12-23</vt:lpstr>
    </vt:vector>
  </TitlesOfParts>
  <Company>AASB</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AASB1056_ES_12-23</dc:title>
  <dc:subject/>
  <dc:creator>.</dc:creator>
  <cp:keywords/>
  <cp:lastModifiedBy>Clark Anstis</cp:lastModifiedBy>
  <cp:revision>9</cp:revision>
  <cp:lastPrinted>2022-12-20T05:14:00Z</cp:lastPrinted>
  <dcterms:created xsi:type="dcterms:W3CDTF">2023-10-11T22:27:00Z</dcterms:created>
  <dcterms:modified xsi:type="dcterms:W3CDTF">2024-01-15T05:30:00Z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