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2E811" w14:textId="0DE74D1B" w:rsidR="00FA06CA" w:rsidRPr="00F41875" w:rsidRDefault="00FA06CA" w:rsidP="00FA06CA">
      <w:pPr>
        <w:rPr>
          <w:sz w:val="28"/>
        </w:rPr>
      </w:pPr>
      <w:r w:rsidRPr="00F41875">
        <w:rPr>
          <w:noProof/>
          <w:lang w:eastAsia="en-AU"/>
        </w:rPr>
        <w:drawing>
          <wp:inline distT="0" distB="0" distL="0" distR="0" wp14:anchorId="00BAD816" wp14:editId="1B00653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A756190" w14:textId="77777777" w:rsidR="00846EF8" w:rsidRPr="00F41875" w:rsidRDefault="00846EF8" w:rsidP="00FA06CA">
      <w:pPr>
        <w:rPr>
          <w:sz w:val="19"/>
        </w:rPr>
      </w:pPr>
    </w:p>
    <w:p w14:paraId="5489D2C9" w14:textId="7FAC310A" w:rsidR="00FA06CA" w:rsidRPr="00F41875" w:rsidRDefault="00523059" w:rsidP="00FA06CA">
      <w:pPr>
        <w:pStyle w:val="ShortT"/>
      </w:pPr>
      <w:r w:rsidRPr="006E6EB3">
        <w:t>Financial Sector (Shareholdings) (</w:t>
      </w:r>
      <w:r w:rsidR="00462E6C" w:rsidRPr="006E6EB3">
        <w:t>Resolution Life</w:t>
      </w:r>
      <w:r w:rsidR="00F408C7" w:rsidRPr="006E6EB3">
        <w:t>)</w:t>
      </w:r>
      <w:r w:rsidRPr="006E6EB3">
        <w:t xml:space="preserve"> </w:t>
      </w:r>
      <w:r w:rsidR="00462E6C" w:rsidRPr="006E6EB3">
        <w:t xml:space="preserve">Amendment </w:t>
      </w:r>
      <w:r w:rsidR="00322DCC">
        <w:t xml:space="preserve">(No. 2) </w:t>
      </w:r>
      <w:r w:rsidRPr="006E6EB3">
        <w:t>Instrument 202</w:t>
      </w:r>
      <w:r w:rsidR="007C0642" w:rsidRPr="006E6EB3">
        <w:t>3</w:t>
      </w:r>
    </w:p>
    <w:p w14:paraId="46684C00" w14:textId="7947175F" w:rsidR="00FA06CA" w:rsidRPr="00F41875" w:rsidRDefault="00FA06CA" w:rsidP="00FA06CA">
      <w:pPr>
        <w:pStyle w:val="SignCoverPageStart"/>
        <w:spacing w:before="240"/>
        <w:rPr>
          <w:szCs w:val="22"/>
        </w:rPr>
      </w:pPr>
      <w:r w:rsidRPr="00F41875">
        <w:rPr>
          <w:szCs w:val="22"/>
        </w:rPr>
        <w:t xml:space="preserve">I, </w:t>
      </w:r>
      <w:r w:rsidR="00523059" w:rsidRPr="00F41875">
        <w:rPr>
          <w:szCs w:val="22"/>
        </w:rPr>
        <w:t>Jim Chalmers, Treasurer, make the following instrument.</w:t>
      </w:r>
    </w:p>
    <w:p w14:paraId="2A3873D1" w14:textId="7123F68A" w:rsidR="00FA06CA" w:rsidRPr="00F41875" w:rsidRDefault="00FA06CA" w:rsidP="00FA06CA">
      <w:pPr>
        <w:keepNext/>
        <w:spacing w:before="720" w:line="240" w:lineRule="atLeast"/>
        <w:ind w:right="397"/>
        <w:jc w:val="both"/>
        <w:rPr>
          <w:szCs w:val="22"/>
        </w:rPr>
      </w:pPr>
      <w:r w:rsidRPr="00F41875">
        <w:rPr>
          <w:szCs w:val="22"/>
        </w:rPr>
        <w:t xml:space="preserve">Dated </w:t>
      </w:r>
      <w:r w:rsidRPr="00F41875">
        <w:rPr>
          <w:szCs w:val="22"/>
        </w:rPr>
        <w:tab/>
      </w:r>
      <w:r w:rsidRPr="00F41875">
        <w:rPr>
          <w:szCs w:val="22"/>
        </w:rPr>
        <w:tab/>
      </w:r>
      <w:r w:rsidR="00E20B32">
        <w:rPr>
          <w:szCs w:val="22"/>
        </w:rPr>
        <w:t>12 September</w:t>
      </w:r>
      <w:r w:rsidR="00CA3096">
        <w:rPr>
          <w:szCs w:val="22"/>
        </w:rPr>
        <w:tab/>
      </w:r>
      <w:r w:rsidR="00CA3096">
        <w:rPr>
          <w:szCs w:val="22"/>
        </w:rPr>
        <w:tab/>
        <w:t>2023</w:t>
      </w:r>
    </w:p>
    <w:p w14:paraId="29C61C65" w14:textId="3AED8FA3" w:rsidR="00523059" w:rsidRPr="00F41875" w:rsidRDefault="00523059" w:rsidP="00FA06CA">
      <w:pPr>
        <w:keepNext/>
        <w:tabs>
          <w:tab w:val="left" w:pos="3402"/>
        </w:tabs>
        <w:spacing w:before="840" w:after="1080" w:line="300" w:lineRule="atLeast"/>
        <w:ind w:right="397"/>
        <w:rPr>
          <w:szCs w:val="22"/>
        </w:rPr>
      </w:pPr>
    </w:p>
    <w:p w14:paraId="6B3F4D43" w14:textId="7CB11A6D" w:rsidR="00FA06CA" w:rsidRPr="00F41875" w:rsidRDefault="00523059" w:rsidP="00FA06CA">
      <w:pPr>
        <w:keepNext/>
        <w:tabs>
          <w:tab w:val="left" w:pos="3402"/>
        </w:tabs>
        <w:spacing w:before="480" w:line="300" w:lineRule="atLeast"/>
        <w:ind w:right="397"/>
        <w:rPr>
          <w:szCs w:val="22"/>
        </w:rPr>
      </w:pPr>
      <w:r w:rsidRPr="00F41875">
        <w:rPr>
          <w:szCs w:val="22"/>
        </w:rPr>
        <w:t>Dr Jim Chalmers</w:t>
      </w:r>
    </w:p>
    <w:p w14:paraId="7683E292" w14:textId="2BEC5133" w:rsidR="00FA06CA" w:rsidRPr="00F41875" w:rsidRDefault="00523059" w:rsidP="00FA06CA">
      <w:pPr>
        <w:pStyle w:val="SignCoverPageEnd"/>
        <w:rPr>
          <w:szCs w:val="22"/>
        </w:rPr>
      </w:pPr>
      <w:r w:rsidRPr="00F41875">
        <w:rPr>
          <w:szCs w:val="22"/>
        </w:rPr>
        <w:t>Treasurer</w:t>
      </w:r>
    </w:p>
    <w:p w14:paraId="3C97F626" w14:textId="77777777" w:rsidR="00FA06CA" w:rsidRPr="00F41875" w:rsidRDefault="00FA06CA" w:rsidP="00FA06CA">
      <w:pPr>
        <w:rPr>
          <w:rStyle w:val="CharAmSchNo"/>
        </w:rPr>
      </w:pPr>
    </w:p>
    <w:p w14:paraId="2CCAD411" w14:textId="77777777" w:rsidR="00FA06CA" w:rsidRPr="00F41875" w:rsidRDefault="00FA06CA" w:rsidP="00FA06CA">
      <w:pPr>
        <w:pStyle w:val="Header"/>
        <w:tabs>
          <w:tab w:val="clear" w:pos="4150"/>
          <w:tab w:val="clear" w:pos="8307"/>
        </w:tabs>
      </w:pPr>
      <w:r w:rsidRPr="00F41875">
        <w:rPr>
          <w:rStyle w:val="CharChapNo"/>
        </w:rPr>
        <w:t xml:space="preserve"> </w:t>
      </w:r>
      <w:r w:rsidRPr="00F41875">
        <w:rPr>
          <w:rStyle w:val="CharChapText"/>
        </w:rPr>
        <w:t xml:space="preserve"> </w:t>
      </w:r>
    </w:p>
    <w:p w14:paraId="7C3655DB" w14:textId="77777777" w:rsidR="00FA06CA" w:rsidRPr="00F41875" w:rsidRDefault="00FA06CA" w:rsidP="00FA06CA">
      <w:pPr>
        <w:pStyle w:val="Header"/>
        <w:tabs>
          <w:tab w:val="clear" w:pos="4150"/>
          <w:tab w:val="clear" w:pos="8307"/>
        </w:tabs>
      </w:pPr>
      <w:r w:rsidRPr="00F41875">
        <w:rPr>
          <w:rStyle w:val="CharPartNo"/>
        </w:rPr>
        <w:t xml:space="preserve"> </w:t>
      </w:r>
      <w:r w:rsidRPr="00F41875">
        <w:rPr>
          <w:rStyle w:val="CharPartText"/>
        </w:rPr>
        <w:t xml:space="preserve"> </w:t>
      </w:r>
    </w:p>
    <w:p w14:paraId="4B88AFEA" w14:textId="77777777" w:rsidR="00FA06CA" w:rsidRPr="00F41875" w:rsidRDefault="00FA06CA" w:rsidP="00FA06CA">
      <w:pPr>
        <w:pStyle w:val="Header"/>
        <w:tabs>
          <w:tab w:val="clear" w:pos="4150"/>
          <w:tab w:val="clear" w:pos="8307"/>
        </w:tabs>
      </w:pPr>
      <w:r w:rsidRPr="00F41875">
        <w:rPr>
          <w:rStyle w:val="CharDivNo"/>
        </w:rPr>
        <w:t xml:space="preserve"> </w:t>
      </w:r>
      <w:r w:rsidRPr="00F41875">
        <w:rPr>
          <w:rStyle w:val="CharDivText"/>
        </w:rPr>
        <w:t xml:space="preserve"> </w:t>
      </w:r>
    </w:p>
    <w:p w14:paraId="55D17980" w14:textId="77777777" w:rsidR="00FA06CA" w:rsidRPr="00F41875" w:rsidRDefault="00FA06CA" w:rsidP="00FA06CA">
      <w:pPr>
        <w:sectPr w:rsidR="00FA06CA" w:rsidRPr="00F41875" w:rsidSect="00E155F7">
          <w:headerReference w:type="even" r:id="rId13"/>
          <w:headerReference w:type="default" r:id="rId14"/>
          <w:headerReference w:type="first" r:id="rId15"/>
          <w:footerReference w:type="first" r:id="rId16"/>
          <w:pgSz w:w="11907" w:h="16839"/>
          <w:pgMar w:top="1440" w:right="1797" w:bottom="1440" w:left="1797" w:header="720" w:footer="709" w:gutter="0"/>
          <w:cols w:space="708"/>
          <w:docGrid w:linePitch="360"/>
        </w:sectPr>
      </w:pPr>
    </w:p>
    <w:p w14:paraId="602F0701" w14:textId="653083CF" w:rsidR="00FA06CA" w:rsidRPr="00F41875" w:rsidRDefault="00FA06CA" w:rsidP="00E155F7">
      <w:pPr>
        <w:rPr>
          <w:sz w:val="36"/>
        </w:rPr>
      </w:pPr>
      <w:r w:rsidRPr="00F41875">
        <w:rPr>
          <w:sz w:val="36"/>
        </w:rPr>
        <w:lastRenderedPageBreak/>
        <w:t>Contents</w:t>
      </w:r>
    </w:p>
    <w:p w14:paraId="169AEA7C" w14:textId="44B5A157" w:rsidR="001E0078" w:rsidRDefault="00FA06CA">
      <w:pPr>
        <w:pStyle w:val="TOC5"/>
        <w:rPr>
          <w:rFonts w:asciiTheme="minorHAnsi" w:eastAsiaTheme="minorEastAsia" w:hAnsiTheme="minorHAnsi" w:cstheme="minorBidi"/>
          <w:noProof/>
          <w:kern w:val="0"/>
          <w:sz w:val="22"/>
          <w:szCs w:val="22"/>
        </w:rPr>
      </w:pPr>
      <w:r w:rsidRPr="001E0078">
        <w:rPr>
          <w:b/>
          <w:sz w:val="24"/>
        </w:rPr>
        <w:fldChar w:fldCharType="begin"/>
      </w:r>
      <w:r w:rsidRPr="00F41875">
        <w:instrText xml:space="preserve"> TOC \o "1-9" </w:instrText>
      </w:r>
      <w:r w:rsidRPr="001E0078">
        <w:rPr>
          <w:b/>
          <w:sz w:val="24"/>
        </w:rPr>
        <w:fldChar w:fldCharType="separate"/>
      </w:r>
      <w:r w:rsidR="001E0078">
        <w:rPr>
          <w:noProof/>
        </w:rPr>
        <w:t>1  Name</w:t>
      </w:r>
      <w:r w:rsidR="001E0078">
        <w:rPr>
          <w:noProof/>
        </w:rPr>
        <w:tab/>
      </w:r>
      <w:r w:rsidR="00142D55">
        <w:rPr>
          <w:noProof/>
        </w:rPr>
        <w:tab/>
      </w:r>
      <w:r w:rsidR="001E0078" w:rsidRPr="001E0078">
        <w:rPr>
          <w:noProof/>
        </w:rPr>
        <w:fldChar w:fldCharType="begin"/>
      </w:r>
      <w:r w:rsidR="001E0078" w:rsidRPr="001E0078">
        <w:rPr>
          <w:noProof/>
        </w:rPr>
        <w:instrText xml:space="preserve"> PAGEREF _Toc145061622 \h </w:instrText>
      </w:r>
      <w:r w:rsidR="001E0078" w:rsidRPr="001E0078">
        <w:rPr>
          <w:noProof/>
        </w:rPr>
      </w:r>
      <w:r w:rsidR="001E0078" w:rsidRPr="001E0078">
        <w:rPr>
          <w:noProof/>
        </w:rPr>
        <w:fldChar w:fldCharType="separate"/>
      </w:r>
      <w:r w:rsidR="00357852">
        <w:rPr>
          <w:noProof/>
        </w:rPr>
        <w:t>1</w:t>
      </w:r>
      <w:r w:rsidR="001E0078" w:rsidRPr="001E0078">
        <w:rPr>
          <w:noProof/>
        </w:rPr>
        <w:fldChar w:fldCharType="end"/>
      </w:r>
    </w:p>
    <w:p w14:paraId="50225AEE" w14:textId="74F7A3DA" w:rsidR="001E0078" w:rsidRDefault="001E0078">
      <w:pPr>
        <w:pStyle w:val="TOC5"/>
        <w:rPr>
          <w:rFonts w:asciiTheme="minorHAnsi" w:eastAsiaTheme="minorEastAsia" w:hAnsiTheme="minorHAnsi" w:cstheme="minorBidi"/>
          <w:noProof/>
          <w:kern w:val="0"/>
          <w:sz w:val="22"/>
          <w:szCs w:val="22"/>
        </w:rPr>
      </w:pPr>
      <w:r>
        <w:rPr>
          <w:noProof/>
        </w:rPr>
        <w:t>2  Commencement</w:t>
      </w:r>
      <w:r>
        <w:rPr>
          <w:noProof/>
        </w:rPr>
        <w:tab/>
      </w:r>
      <w:r w:rsidRPr="001E0078">
        <w:rPr>
          <w:noProof/>
        </w:rPr>
        <w:fldChar w:fldCharType="begin"/>
      </w:r>
      <w:r w:rsidRPr="001E0078">
        <w:rPr>
          <w:noProof/>
        </w:rPr>
        <w:instrText xml:space="preserve"> PAGEREF _Toc145061623 \h </w:instrText>
      </w:r>
      <w:r w:rsidRPr="001E0078">
        <w:rPr>
          <w:noProof/>
        </w:rPr>
      </w:r>
      <w:r w:rsidRPr="001E0078">
        <w:rPr>
          <w:noProof/>
        </w:rPr>
        <w:fldChar w:fldCharType="separate"/>
      </w:r>
      <w:r w:rsidR="00357852">
        <w:rPr>
          <w:noProof/>
        </w:rPr>
        <w:t>1</w:t>
      </w:r>
      <w:r w:rsidRPr="001E0078">
        <w:rPr>
          <w:noProof/>
        </w:rPr>
        <w:fldChar w:fldCharType="end"/>
      </w:r>
    </w:p>
    <w:p w14:paraId="51074C07" w14:textId="04D9030D" w:rsidR="001E0078" w:rsidRDefault="001E0078">
      <w:pPr>
        <w:pStyle w:val="TOC5"/>
        <w:rPr>
          <w:rFonts w:asciiTheme="minorHAnsi" w:eastAsiaTheme="minorEastAsia" w:hAnsiTheme="minorHAnsi" w:cstheme="minorBidi"/>
          <w:noProof/>
          <w:kern w:val="0"/>
          <w:sz w:val="22"/>
          <w:szCs w:val="22"/>
        </w:rPr>
      </w:pPr>
      <w:r>
        <w:rPr>
          <w:noProof/>
        </w:rPr>
        <w:t>3  Authority</w:t>
      </w:r>
      <w:r>
        <w:rPr>
          <w:noProof/>
        </w:rPr>
        <w:tab/>
      </w:r>
      <w:r w:rsidRPr="001E0078">
        <w:rPr>
          <w:noProof/>
        </w:rPr>
        <w:fldChar w:fldCharType="begin"/>
      </w:r>
      <w:r w:rsidRPr="001E0078">
        <w:rPr>
          <w:noProof/>
        </w:rPr>
        <w:instrText xml:space="preserve"> PAGEREF _Toc145061624 \h </w:instrText>
      </w:r>
      <w:r w:rsidRPr="001E0078">
        <w:rPr>
          <w:noProof/>
        </w:rPr>
      </w:r>
      <w:r w:rsidRPr="001E0078">
        <w:rPr>
          <w:noProof/>
        </w:rPr>
        <w:fldChar w:fldCharType="separate"/>
      </w:r>
      <w:r w:rsidR="00357852">
        <w:rPr>
          <w:noProof/>
        </w:rPr>
        <w:t>1</w:t>
      </w:r>
      <w:r w:rsidRPr="001E0078">
        <w:rPr>
          <w:noProof/>
        </w:rPr>
        <w:fldChar w:fldCharType="end"/>
      </w:r>
    </w:p>
    <w:p w14:paraId="1FFC9424" w14:textId="5CED52FC" w:rsidR="001E0078" w:rsidRDefault="001E0078">
      <w:pPr>
        <w:pStyle w:val="TOC5"/>
        <w:rPr>
          <w:rFonts w:asciiTheme="minorHAnsi" w:eastAsiaTheme="minorEastAsia" w:hAnsiTheme="minorHAnsi" w:cstheme="minorBidi"/>
          <w:noProof/>
          <w:kern w:val="0"/>
          <w:sz w:val="22"/>
          <w:szCs w:val="22"/>
        </w:rPr>
      </w:pPr>
      <w:r>
        <w:rPr>
          <w:noProof/>
        </w:rPr>
        <w:t>4  Schedules</w:t>
      </w:r>
      <w:r>
        <w:rPr>
          <w:noProof/>
        </w:rPr>
        <w:tab/>
      </w:r>
      <w:r w:rsidRPr="001E0078">
        <w:rPr>
          <w:noProof/>
        </w:rPr>
        <w:fldChar w:fldCharType="begin"/>
      </w:r>
      <w:r w:rsidRPr="001E0078">
        <w:rPr>
          <w:noProof/>
        </w:rPr>
        <w:instrText xml:space="preserve"> PAGEREF _Toc145061625 \h </w:instrText>
      </w:r>
      <w:r w:rsidRPr="001E0078">
        <w:rPr>
          <w:noProof/>
        </w:rPr>
      </w:r>
      <w:r w:rsidRPr="001E0078">
        <w:rPr>
          <w:noProof/>
        </w:rPr>
        <w:fldChar w:fldCharType="separate"/>
      </w:r>
      <w:r w:rsidR="00357852">
        <w:rPr>
          <w:noProof/>
        </w:rPr>
        <w:t>1</w:t>
      </w:r>
      <w:r w:rsidRPr="001E0078">
        <w:rPr>
          <w:noProof/>
        </w:rPr>
        <w:fldChar w:fldCharType="end"/>
      </w:r>
    </w:p>
    <w:p w14:paraId="37CBFCA0" w14:textId="5C1BD692" w:rsidR="001E0078" w:rsidRDefault="001E0078">
      <w:pPr>
        <w:pStyle w:val="TOC6"/>
        <w:rPr>
          <w:rFonts w:asciiTheme="minorHAnsi" w:eastAsiaTheme="minorEastAsia" w:hAnsiTheme="minorHAnsi" w:cstheme="minorBidi"/>
          <w:b w:val="0"/>
          <w:noProof/>
          <w:kern w:val="0"/>
          <w:sz w:val="22"/>
          <w:szCs w:val="22"/>
        </w:rPr>
      </w:pPr>
      <w:r>
        <w:rPr>
          <w:noProof/>
        </w:rPr>
        <w:t>Schedule 1—Amendments</w:t>
      </w:r>
      <w:r>
        <w:rPr>
          <w:noProof/>
        </w:rPr>
        <w:tab/>
      </w:r>
      <w:r w:rsidRPr="001E0078">
        <w:rPr>
          <w:b w:val="0"/>
          <w:noProof/>
          <w:sz w:val="18"/>
        </w:rPr>
        <w:fldChar w:fldCharType="begin"/>
      </w:r>
      <w:r w:rsidRPr="001E0078">
        <w:rPr>
          <w:b w:val="0"/>
          <w:noProof/>
          <w:sz w:val="18"/>
        </w:rPr>
        <w:instrText xml:space="preserve"> PAGEREF _Toc145061626 \h </w:instrText>
      </w:r>
      <w:r w:rsidRPr="001E0078">
        <w:rPr>
          <w:b w:val="0"/>
          <w:noProof/>
          <w:sz w:val="18"/>
        </w:rPr>
      </w:r>
      <w:r w:rsidRPr="001E0078">
        <w:rPr>
          <w:b w:val="0"/>
          <w:noProof/>
          <w:sz w:val="18"/>
        </w:rPr>
        <w:fldChar w:fldCharType="separate"/>
      </w:r>
      <w:r w:rsidR="00357852">
        <w:rPr>
          <w:b w:val="0"/>
          <w:noProof/>
          <w:sz w:val="18"/>
        </w:rPr>
        <w:t>2</w:t>
      </w:r>
      <w:r w:rsidRPr="001E0078">
        <w:rPr>
          <w:b w:val="0"/>
          <w:noProof/>
          <w:sz w:val="18"/>
        </w:rPr>
        <w:fldChar w:fldCharType="end"/>
      </w:r>
    </w:p>
    <w:p w14:paraId="27A74DE8" w14:textId="2B269489" w:rsidR="001E0078" w:rsidRDefault="001E0078">
      <w:pPr>
        <w:pStyle w:val="TOC2"/>
        <w:rPr>
          <w:rFonts w:asciiTheme="minorHAnsi" w:eastAsiaTheme="minorEastAsia" w:hAnsiTheme="minorHAnsi" w:cstheme="minorBidi"/>
          <w:b w:val="0"/>
          <w:noProof/>
          <w:kern w:val="0"/>
          <w:sz w:val="22"/>
          <w:szCs w:val="22"/>
        </w:rPr>
      </w:pPr>
      <w:r>
        <w:rPr>
          <w:noProof/>
        </w:rPr>
        <w:t>Part 1—New approvals and conditions</w:t>
      </w:r>
      <w:r>
        <w:rPr>
          <w:noProof/>
        </w:rPr>
        <w:tab/>
      </w:r>
      <w:r w:rsidRPr="001E0078">
        <w:rPr>
          <w:b w:val="0"/>
          <w:noProof/>
          <w:sz w:val="18"/>
        </w:rPr>
        <w:fldChar w:fldCharType="begin"/>
      </w:r>
      <w:r w:rsidRPr="001E0078">
        <w:rPr>
          <w:b w:val="0"/>
          <w:noProof/>
          <w:sz w:val="18"/>
        </w:rPr>
        <w:instrText xml:space="preserve"> PAGEREF _Toc145061627 \h </w:instrText>
      </w:r>
      <w:r w:rsidRPr="001E0078">
        <w:rPr>
          <w:b w:val="0"/>
          <w:noProof/>
          <w:sz w:val="18"/>
        </w:rPr>
      </w:r>
      <w:r w:rsidRPr="001E0078">
        <w:rPr>
          <w:b w:val="0"/>
          <w:noProof/>
          <w:sz w:val="18"/>
        </w:rPr>
        <w:fldChar w:fldCharType="separate"/>
      </w:r>
      <w:r w:rsidR="00357852">
        <w:rPr>
          <w:b w:val="0"/>
          <w:noProof/>
          <w:sz w:val="18"/>
        </w:rPr>
        <w:t>2</w:t>
      </w:r>
      <w:r w:rsidRPr="001E0078">
        <w:rPr>
          <w:b w:val="0"/>
          <w:noProof/>
          <w:sz w:val="18"/>
        </w:rPr>
        <w:fldChar w:fldCharType="end"/>
      </w:r>
    </w:p>
    <w:p w14:paraId="58649792" w14:textId="3192165B" w:rsidR="001E0078" w:rsidRDefault="001E0078">
      <w:pPr>
        <w:pStyle w:val="TOC9"/>
        <w:rPr>
          <w:rFonts w:asciiTheme="minorHAnsi" w:eastAsiaTheme="minorEastAsia" w:hAnsiTheme="minorHAnsi" w:cstheme="minorBidi"/>
          <w:i w:val="0"/>
          <w:noProof/>
          <w:kern w:val="0"/>
          <w:sz w:val="22"/>
          <w:szCs w:val="22"/>
        </w:rPr>
      </w:pPr>
      <w:r>
        <w:rPr>
          <w:noProof/>
        </w:rPr>
        <w:t>Financial Sector (Shareholdings) (Resolution Life) Instrument 2021</w:t>
      </w:r>
      <w:r>
        <w:rPr>
          <w:noProof/>
        </w:rPr>
        <w:tab/>
      </w:r>
      <w:r w:rsidRPr="001E0078">
        <w:rPr>
          <w:i w:val="0"/>
          <w:iCs/>
          <w:noProof/>
          <w:sz w:val="18"/>
        </w:rPr>
        <w:fldChar w:fldCharType="begin"/>
      </w:r>
      <w:r w:rsidRPr="001E0078">
        <w:rPr>
          <w:i w:val="0"/>
          <w:iCs/>
          <w:noProof/>
          <w:sz w:val="18"/>
        </w:rPr>
        <w:instrText xml:space="preserve"> PAGEREF _Toc145061628 \h </w:instrText>
      </w:r>
      <w:r w:rsidRPr="001E0078">
        <w:rPr>
          <w:i w:val="0"/>
          <w:iCs/>
          <w:noProof/>
          <w:sz w:val="18"/>
        </w:rPr>
      </w:r>
      <w:r w:rsidRPr="001E0078">
        <w:rPr>
          <w:i w:val="0"/>
          <w:iCs/>
          <w:noProof/>
          <w:sz w:val="18"/>
        </w:rPr>
        <w:fldChar w:fldCharType="separate"/>
      </w:r>
      <w:r w:rsidR="00357852">
        <w:rPr>
          <w:i w:val="0"/>
          <w:iCs/>
          <w:noProof/>
          <w:sz w:val="18"/>
        </w:rPr>
        <w:t>2</w:t>
      </w:r>
      <w:r w:rsidRPr="001E0078">
        <w:rPr>
          <w:i w:val="0"/>
          <w:iCs/>
          <w:noProof/>
          <w:sz w:val="18"/>
        </w:rPr>
        <w:fldChar w:fldCharType="end"/>
      </w:r>
    </w:p>
    <w:p w14:paraId="26179129" w14:textId="10E2E0D9" w:rsidR="001E0078" w:rsidRDefault="001E0078">
      <w:pPr>
        <w:pStyle w:val="TOC2"/>
        <w:rPr>
          <w:rFonts w:asciiTheme="minorHAnsi" w:eastAsiaTheme="minorEastAsia" w:hAnsiTheme="minorHAnsi" w:cstheme="minorBidi"/>
          <w:b w:val="0"/>
          <w:noProof/>
          <w:kern w:val="0"/>
          <w:sz w:val="22"/>
          <w:szCs w:val="22"/>
        </w:rPr>
      </w:pPr>
      <w:r>
        <w:rPr>
          <w:noProof/>
        </w:rPr>
        <w:t>Part 2—Repeals</w:t>
      </w:r>
      <w:r>
        <w:rPr>
          <w:noProof/>
        </w:rPr>
        <w:tab/>
      </w:r>
      <w:r w:rsidRPr="001E0078">
        <w:rPr>
          <w:b w:val="0"/>
          <w:noProof/>
          <w:sz w:val="18"/>
        </w:rPr>
        <w:fldChar w:fldCharType="begin"/>
      </w:r>
      <w:r w:rsidRPr="001E0078">
        <w:rPr>
          <w:b w:val="0"/>
          <w:noProof/>
          <w:sz w:val="18"/>
        </w:rPr>
        <w:instrText xml:space="preserve"> PAGEREF _Toc145061629 \h </w:instrText>
      </w:r>
      <w:r w:rsidRPr="001E0078">
        <w:rPr>
          <w:b w:val="0"/>
          <w:noProof/>
          <w:sz w:val="18"/>
        </w:rPr>
      </w:r>
      <w:r w:rsidRPr="001E0078">
        <w:rPr>
          <w:b w:val="0"/>
          <w:noProof/>
          <w:sz w:val="18"/>
        </w:rPr>
        <w:fldChar w:fldCharType="separate"/>
      </w:r>
      <w:r w:rsidR="00357852">
        <w:rPr>
          <w:b w:val="0"/>
          <w:noProof/>
          <w:sz w:val="18"/>
        </w:rPr>
        <w:t>5</w:t>
      </w:r>
      <w:r w:rsidRPr="001E0078">
        <w:rPr>
          <w:b w:val="0"/>
          <w:noProof/>
          <w:sz w:val="18"/>
        </w:rPr>
        <w:fldChar w:fldCharType="end"/>
      </w:r>
    </w:p>
    <w:p w14:paraId="7128928E" w14:textId="11B6E79E" w:rsidR="001E0078" w:rsidRPr="001E0078" w:rsidRDefault="001E0078">
      <w:pPr>
        <w:pStyle w:val="TOC9"/>
        <w:rPr>
          <w:rFonts w:asciiTheme="minorHAnsi" w:eastAsiaTheme="minorEastAsia" w:hAnsiTheme="minorHAnsi" w:cstheme="minorBidi"/>
          <w:i w:val="0"/>
          <w:noProof/>
          <w:kern w:val="0"/>
          <w:sz w:val="18"/>
          <w:szCs w:val="22"/>
        </w:rPr>
      </w:pPr>
      <w:r>
        <w:rPr>
          <w:noProof/>
        </w:rPr>
        <w:t>Financial Sector (Shareholdings) (Resolution Life) Instrument 2021</w:t>
      </w:r>
      <w:r>
        <w:rPr>
          <w:noProof/>
        </w:rPr>
        <w:tab/>
      </w:r>
      <w:r w:rsidRPr="001E0078">
        <w:rPr>
          <w:i w:val="0"/>
          <w:iCs/>
          <w:noProof/>
          <w:sz w:val="18"/>
        </w:rPr>
        <w:fldChar w:fldCharType="begin"/>
      </w:r>
      <w:r w:rsidRPr="001E0078">
        <w:rPr>
          <w:i w:val="0"/>
          <w:iCs/>
          <w:noProof/>
          <w:sz w:val="18"/>
        </w:rPr>
        <w:instrText xml:space="preserve"> PAGEREF _Toc145061630 \h </w:instrText>
      </w:r>
      <w:r w:rsidRPr="001E0078">
        <w:rPr>
          <w:i w:val="0"/>
          <w:iCs/>
          <w:noProof/>
          <w:sz w:val="18"/>
        </w:rPr>
      </w:r>
      <w:r w:rsidRPr="001E0078">
        <w:rPr>
          <w:i w:val="0"/>
          <w:iCs/>
          <w:noProof/>
          <w:sz w:val="18"/>
        </w:rPr>
        <w:fldChar w:fldCharType="separate"/>
      </w:r>
      <w:r w:rsidR="00357852">
        <w:rPr>
          <w:i w:val="0"/>
          <w:iCs/>
          <w:noProof/>
          <w:sz w:val="18"/>
        </w:rPr>
        <w:t>5</w:t>
      </w:r>
      <w:r w:rsidRPr="001E0078">
        <w:rPr>
          <w:i w:val="0"/>
          <w:iCs/>
          <w:noProof/>
          <w:sz w:val="18"/>
        </w:rPr>
        <w:fldChar w:fldCharType="end"/>
      </w:r>
    </w:p>
    <w:p w14:paraId="2B5EF1A0" w14:textId="3C8B486C" w:rsidR="00FA06CA" w:rsidRPr="00F41875" w:rsidRDefault="00FA06CA" w:rsidP="00FA06CA">
      <w:pPr>
        <w:sectPr w:rsidR="00FA06CA" w:rsidRPr="00F41875" w:rsidSect="00E155F7">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r w:rsidRPr="001E0078">
        <w:rPr>
          <w:sz w:val="18"/>
        </w:rPr>
        <w:fldChar w:fldCharType="end"/>
      </w:r>
    </w:p>
    <w:p w14:paraId="603AB97C" w14:textId="32931463" w:rsidR="00FA06CA" w:rsidRPr="00F41875" w:rsidRDefault="00FA06CA" w:rsidP="00FA06CA">
      <w:pPr>
        <w:pStyle w:val="Header"/>
      </w:pPr>
      <w:r w:rsidRPr="00F41875">
        <w:lastRenderedPageBreak/>
        <w:t xml:space="preserve">  </w:t>
      </w:r>
    </w:p>
    <w:p w14:paraId="47EAA263" w14:textId="77777777" w:rsidR="00FA06CA" w:rsidRPr="00F41875" w:rsidRDefault="00FA06CA" w:rsidP="00FA06CA">
      <w:pPr>
        <w:pStyle w:val="ActHead5"/>
      </w:pPr>
      <w:bookmarkStart w:id="10" w:name="_Toc131683766"/>
      <w:bookmarkStart w:id="11" w:name="_Toc145061622"/>
      <w:r w:rsidRPr="00F41875">
        <w:rPr>
          <w:rStyle w:val="CharSectno"/>
        </w:rPr>
        <w:t>1</w:t>
      </w:r>
      <w:r w:rsidRPr="00F41875">
        <w:t xml:space="preserve">  Name</w:t>
      </w:r>
      <w:bookmarkEnd w:id="10"/>
      <w:bookmarkEnd w:id="11"/>
    </w:p>
    <w:p w14:paraId="0F648FBA" w14:textId="2B4BB0D6" w:rsidR="00FA06CA" w:rsidRPr="00F41875" w:rsidRDefault="00FA06CA" w:rsidP="00FA06CA">
      <w:pPr>
        <w:pStyle w:val="subsection"/>
      </w:pPr>
      <w:r w:rsidRPr="00F41875">
        <w:tab/>
      </w:r>
      <w:r w:rsidRPr="00F41875">
        <w:tab/>
        <w:t xml:space="preserve">This instrument is the </w:t>
      </w:r>
      <w:r w:rsidR="00523059" w:rsidRPr="006E6EB3">
        <w:rPr>
          <w:i/>
          <w:noProof/>
        </w:rPr>
        <w:t>Financial Sector (Shareholdings)</w:t>
      </w:r>
      <w:r w:rsidR="001E0637" w:rsidRPr="006E6EB3">
        <w:rPr>
          <w:i/>
          <w:noProof/>
        </w:rPr>
        <w:t xml:space="preserve"> </w:t>
      </w:r>
      <w:r w:rsidR="00523059" w:rsidRPr="006E6EB3">
        <w:rPr>
          <w:i/>
          <w:noProof/>
        </w:rPr>
        <w:t>(</w:t>
      </w:r>
      <w:r w:rsidR="00EC2275" w:rsidRPr="006E6EB3">
        <w:rPr>
          <w:i/>
          <w:noProof/>
        </w:rPr>
        <w:t>Resolution Life</w:t>
      </w:r>
      <w:r w:rsidR="008E1513" w:rsidRPr="006E6EB3">
        <w:rPr>
          <w:i/>
          <w:noProof/>
        </w:rPr>
        <w:t xml:space="preserve">) Amendment </w:t>
      </w:r>
      <w:r w:rsidR="00322DCC">
        <w:rPr>
          <w:i/>
          <w:noProof/>
        </w:rPr>
        <w:t xml:space="preserve">(No. 2) </w:t>
      </w:r>
      <w:r w:rsidR="00523059" w:rsidRPr="006E6EB3">
        <w:rPr>
          <w:i/>
          <w:noProof/>
        </w:rPr>
        <w:t>Instrument 2023</w:t>
      </w:r>
      <w:r w:rsidRPr="006E6EB3">
        <w:t>.</w:t>
      </w:r>
    </w:p>
    <w:p w14:paraId="1FEA8B4B" w14:textId="77777777" w:rsidR="00FA06CA" w:rsidRPr="00F41875" w:rsidRDefault="00FA06CA" w:rsidP="00FA06CA">
      <w:pPr>
        <w:pStyle w:val="ActHead5"/>
      </w:pPr>
      <w:bookmarkStart w:id="12" w:name="_Toc145061623"/>
      <w:r w:rsidRPr="00F41875">
        <w:rPr>
          <w:rStyle w:val="CharSectno"/>
        </w:rPr>
        <w:t>2</w:t>
      </w:r>
      <w:r w:rsidRPr="00F41875">
        <w:t xml:space="preserve">  Commencement</w:t>
      </w:r>
      <w:bookmarkEnd w:id="12"/>
    </w:p>
    <w:p w14:paraId="03EE82FB" w14:textId="087EEBEE" w:rsidR="00FA06CA" w:rsidRPr="00F41875" w:rsidRDefault="00FA06CA" w:rsidP="00FA06CA">
      <w:pPr>
        <w:pStyle w:val="subsection"/>
      </w:pPr>
      <w:r w:rsidRPr="00F41875">
        <w:tab/>
        <w:t>(1)</w:t>
      </w:r>
      <w:r w:rsidRPr="00F41875">
        <w:tab/>
        <w:t>Each provision of</w:t>
      </w:r>
      <w:r w:rsidR="00523059" w:rsidRPr="00F41875">
        <w:t xml:space="preserve"> this</w:t>
      </w:r>
      <w:r w:rsidRPr="00F41875">
        <w:t xml:space="preserve"> instrument specified in column 1 of the table commences, or is taken to have commenced, in accordance with column 2 of the table. Any other statement in column 2 has effect according to its terms.</w:t>
      </w:r>
    </w:p>
    <w:p w14:paraId="70239CA4" w14:textId="77777777" w:rsidR="00FA06CA" w:rsidRPr="00F41875" w:rsidRDefault="00FA06CA" w:rsidP="00FA06CA">
      <w:pPr>
        <w:pStyle w:val="Tabletext"/>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FA06CA" w:rsidRPr="00F41875" w14:paraId="42357679" w14:textId="77777777" w:rsidTr="00CA3096">
        <w:trPr>
          <w:tblHeader/>
        </w:trPr>
        <w:tc>
          <w:tcPr>
            <w:tcW w:w="8364" w:type="dxa"/>
            <w:gridSpan w:val="3"/>
            <w:tcBorders>
              <w:top w:val="single" w:sz="12" w:space="0" w:color="auto"/>
              <w:bottom w:val="single" w:sz="6" w:space="0" w:color="auto"/>
            </w:tcBorders>
            <w:shd w:val="clear" w:color="auto" w:fill="auto"/>
            <w:hideMark/>
          </w:tcPr>
          <w:p w14:paraId="213D2808" w14:textId="77777777" w:rsidR="00FA06CA" w:rsidRPr="00F41875" w:rsidRDefault="00FA06CA" w:rsidP="0048252E">
            <w:pPr>
              <w:pStyle w:val="TableHeading"/>
            </w:pPr>
            <w:r w:rsidRPr="00F41875">
              <w:t>Commencement information</w:t>
            </w:r>
          </w:p>
        </w:tc>
      </w:tr>
      <w:tr w:rsidR="00FA06CA" w:rsidRPr="00F41875" w14:paraId="2677B68F" w14:textId="77777777" w:rsidTr="00CA3096">
        <w:trPr>
          <w:tblHeader/>
        </w:trPr>
        <w:tc>
          <w:tcPr>
            <w:tcW w:w="2127" w:type="dxa"/>
            <w:tcBorders>
              <w:top w:val="single" w:sz="6" w:space="0" w:color="auto"/>
              <w:bottom w:val="single" w:sz="6" w:space="0" w:color="auto"/>
            </w:tcBorders>
            <w:shd w:val="clear" w:color="auto" w:fill="auto"/>
            <w:hideMark/>
          </w:tcPr>
          <w:p w14:paraId="180EE94F" w14:textId="77777777" w:rsidR="00FA06CA" w:rsidRPr="00F41875" w:rsidRDefault="00FA06CA" w:rsidP="0048252E">
            <w:pPr>
              <w:pStyle w:val="TableHeading"/>
            </w:pPr>
            <w:r w:rsidRPr="00F41875">
              <w:t>Column 1</w:t>
            </w:r>
          </w:p>
        </w:tc>
        <w:tc>
          <w:tcPr>
            <w:tcW w:w="4394" w:type="dxa"/>
            <w:tcBorders>
              <w:top w:val="single" w:sz="6" w:space="0" w:color="auto"/>
              <w:bottom w:val="single" w:sz="6" w:space="0" w:color="auto"/>
            </w:tcBorders>
            <w:shd w:val="clear" w:color="auto" w:fill="auto"/>
            <w:hideMark/>
          </w:tcPr>
          <w:p w14:paraId="0F193E04" w14:textId="77777777" w:rsidR="00FA06CA" w:rsidRPr="00F41875" w:rsidRDefault="00FA06CA" w:rsidP="0048252E">
            <w:pPr>
              <w:pStyle w:val="TableHeading"/>
            </w:pPr>
            <w:r w:rsidRPr="00F41875">
              <w:t>Column 2</w:t>
            </w:r>
          </w:p>
        </w:tc>
        <w:tc>
          <w:tcPr>
            <w:tcW w:w="1843" w:type="dxa"/>
            <w:tcBorders>
              <w:top w:val="single" w:sz="6" w:space="0" w:color="auto"/>
              <w:bottom w:val="single" w:sz="6" w:space="0" w:color="auto"/>
            </w:tcBorders>
            <w:shd w:val="clear" w:color="auto" w:fill="auto"/>
            <w:hideMark/>
          </w:tcPr>
          <w:p w14:paraId="566CC969" w14:textId="77777777" w:rsidR="00FA06CA" w:rsidRPr="00F41875" w:rsidRDefault="00FA06CA" w:rsidP="0048252E">
            <w:pPr>
              <w:pStyle w:val="TableHeading"/>
            </w:pPr>
            <w:r w:rsidRPr="00F41875">
              <w:t>Column 3</w:t>
            </w:r>
          </w:p>
        </w:tc>
      </w:tr>
      <w:tr w:rsidR="00FA06CA" w:rsidRPr="00F41875" w14:paraId="2C0AD239" w14:textId="77777777" w:rsidTr="00CA3096">
        <w:trPr>
          <w:tblHeader/>
        </w:trPr>
        <w:tc>
          <w:tcPr>
            <w:tcW w:w="2127" w:type="dxa"/>
            <w:tcBorders>
              <w:top w:val="single" w:sz="6" w:space="0" w:color="auto"/>
              <w:bottom w:val="single" w:sz="12" w:space="0" w:color="auto"/>
            </w:tcBorders>
            <w:shd w:val="clear" w:color="auto" w:fill="auto"/>
            <w:hideMark/>
          </w:tcPr>
          <w:p w14:paraId="59A357A0" w14:textId="77777777" w:rsidR="00FA06CA" w:rsidRPr="00F41875" w:rsidRDefault="00FA06CA" w:rsidP="0048252E">
            <w:pPr>
              <w:pStyle w:val="TableHeading"/>
            </w:pPr>
            <w:r w:rsidRPr="00F41875">
              <w:t>Provisions</w:t>
            </w:r>
          </w:p>
        </w:tc>
        <w:tc>
          <w:tcPr>
            <w:tcW w:w="4394" w:type="dxa"/>
            <w:tcBorders>
              <w:top w:val="single" w:sz="6" w:space="0" w:color="auto"/>
              <w:bottom w:val="single" w:sz="12" w:space="0" w:color="auto"/>
            </w:tcBorders>
            <w:shd w:val="clear" w:color="auto" w:fill="auto"/>
            <w:hideMark/>
          </w:tcPr>
          <w:p w14:paraId="6A65807F" w14:textId="77777777" w:rsidR="00FA06CA" w:rsidRPr="00F41875" w:rsidRDefault="00FA06CA" w:rsidP="0048252E">
            <w:pPr>
              <w:pStyle w:val="TableHeading"/>
            </w:pPr>
            <w:r w:rsidRPr="00F41875">
              <w:t>Commencement</w:t>
            </w:r>
          </w:p>
        </w:tc>
        <w:tc>
          <w:tcPr>
            <w:tcW w:w="1843" w:type="dxa"/>
            <w:tcBorders>
              <w:top w:val="single" w:sz="6" w:space="0" w:color="auto"/>
              <w:bottom w:val="single" w:sz="12" w:space="0" w:color="auto"/>
            </w:tcBorders>
            <w:shd w:val="clear" w:color="auto" w:fill="auto"/>
            <w:hideMark/>
          </w:tcPr>
          <w:p w14:paraId="52FF6D24" w14:textId="77777777" w:rsidR="00FA06CA" w:rsidRPr="00F41875" w:rsidRDefault="00FA06CA" w:rsidP="0048252E">
            <w:pPr>
              <w:pStyle w:val="TableHeading"/>
            </w:pPr>
            <w:r w:rsidRPr="00F41875">
              <w:t>Date/Details</w:t>
            </w:r>
          </w:p>
        </w:tc>
      </w:tr>
      <w:tr w:rsidR="00FA06CA" w:rsidRPr="00F41875" w14:paraId="752E3282" w14:textId="77777777" w:rsidTr="00CA3096">
        <w:tc>
          <w:tcPr>
            <w:tcW w:w="2127" w:type="dxa"/>
            <w:tcBorders>
              <w:top w:val="single" w:sz="12" w:space="0" w:color="auto"/>
            </w:tcBorders>
            <w:shd w:val="clear" w:color="auto" w:fill="auto"/>
            <w:hideMark/>
          </w:tcPr>
          <w:p w14:paraId="362FADDF" w14:textId="1DA95712" w:rsidR="00FA06CA" w:rsidRPr="00F41875" w:rsidRDefault="00E30884" w:rsidP="0048252E">
            <w:pPr>
              <w:pStyle w:val="Tabletext"/>
            </w:pPr>
            <w:r>
              <w:rPr>
                <w:color w:val="000000"/>
                <w:shd w:val="clear" w:color="auto" w:fill="FFFFFF"/>
              </w:rPr>
              <w:t>1.  Sections 1 to 4 and anything in this instrument not elsewhere covered by this table</w:t>
            </w:r>
          </w:p>
        </w:tc>
        <w:tc>
          <w:tcPr>
            <w:tcW w:w="4394" w:type="dxa"/>
            <w:tcBorders>
              <w:top w:val="single" w:sz="12" w:space="0" w:color="auto"/>
            </w:tcBorders>
            <w:shd w:val="clear" w:color="auto" w:fill="auto"/>
            <w:hideMark/>
          </w:tcPr>
          <w:p w14:paraId="5E2E23B2" w14:textId="77777777" w:rsidR="00FA06CA" w:rsidRPr="00F41875" w:rsidRDefault="00FA06CA" w:rsidP="0048252E">
            <w:pPr>
              <w:pStyle w:val="Tabletext"/>
            </w:pPr>
            <w:r w:rsidRPr="00F41875">
              <w:t>The day after this instrument is registered.</w:t>
            </w:r>
          </w:p>
        </w:tc>
        <w:tc>
          <w:tcPr>
            <w:tcW w:w="1843" w:type="dxa"/>
            <w:tcBorders>
              <w:top w:val="single" w:sz="12" w:space="0" w:color="auto"/>
            </w:tcBorders>
            <w:shd w:val="clear" w:color="auto" w:fill="auto"/>
          </w:tcPr>
          <w:p w14:paraId="2B1C3BC8" w14:textId="77777777" w:rsidR="00FA06CA" w:rsidRPr="00F41875" w:rsidRDefault="00FA06CA" w:rsidP="0048252E">
            <w:pPr>
              <w:pStyle w:val="Tabletext"/>
            </w:pPr>
          </w:p>
        </w:tc>
      </w:tr>
      <w:tr w:rsidR="00E30884" w:rsidRPr="00F41875" w14:paraId="6595C604" w14:textId="77777777" w:rsidTr="00CA3096">
        <w:tc>
          <w:tcPr>
            <w:tcW w:w="2127" w:type="dxa"/>
            <w:tcBorders>
              <w:bottom w:val="single" w:sz="2" w:space="0" w:color="auto"/>
            </w:tcBorders>
            <w:shd w:val="clear" w:color="auto" w:fill="auto"/>
          </w:tcPr>
          <w:p w14:paraId="4349603C" w14:textId="429791CB" w:rsidR="00E30884" w:rsidRDefault="00A30C2A" w:rsidP="0048252E">
            <w:pPr>
              <w:pStyle w:val="Tabletext"/>
              <w:rPr>
                <w:color w:val="000000"/>
                <w:shd w:val="clear" w:color="auto" w:fill="FFFFFF"/>
              </w:rPr>
            </w:pPr>
            <w:r>
              <w:rPr>
                <w:color w:val="000000"/>
                <w:shd w:val="clear" w:color="auto" w:fill="FFFFFF"/>
              </w:rPr>
              <w:t>2. Schedule 1, Part 1</w:t>
            </w:r>
          </w:p>
        </w:tc>
        <w:tc>
          <w:tcPr>
            <w:tcW w:w="4394" w:type="dxa"/>
            <w:tcBorders>
              <w:bottom w:val="single" w:sz="2" w:space="0" w:color="auto"/>
            </w:tcBorders>
            <w:shd w:val="clear" w:color="auto" w:fill="auto"/>
          </w:tcPr>
          <w:p w14:paraId="70FDC32C" w14:textId="7837FE22" w:rsidR="00E30884" w:rsidRPr="00F41875" w:rsidRDefault="00A30C2A" w:rsidP="0048252E">
            <w:pPr>
              <w:pStyle w:val="Tabletext"/>
            </w:pPr>
            <w:r>
              <w:t>The day after this instrument is registered</w:t>
            </w:r>
          </w:p>
        </w:tc>
        <w:tc>
          <w:tcPr>
            <w:tcW w:w="1843" w:type="dxa"/>
            <w:tcBorders>
              <w:bottom w:val="single" w:sz="2" w:space="0" w:color="auto"/>
            </w:tcBorders>
            <w:shd w:val="clear" w:color="auto" w:fill="auto"/>
          </w:tcPr>
          <w:p w14:paraId="523565F8" w14:textId="77777777" w:rsidR="00E30884" w:rsidRPr="00F41875" w:rsidRDefault="00E30884" w:rsidP="0048252E">
            <w:pPr>
              <w:pStyle w:val="Tabletext"/>
            </w:pPr>
          </w:p>
        </w:tc>
      </w:tr>
      <w:tr w:rsidR="00A30C2A" w:rsidRPr="00F41875" w14:paraId="53CD4DB4" w14:textId="77777777" w:rsidTr="00CA3096">
        <w:tc>
          <w:tcPr>
            <w:tcW w:w="2127" w:type="dxa"/>
            <w:tcBorders>
              <w:top w:val="single" w:sz="2" w:space="0" w:color="auto"/>
              <w:bottom w:val="single" w:sz="12" w:space="0" w:color="auto"/>
            </w:tcBorders>
            <w:shd w:val="clear" w:color="auto" w:fill="auto"/>
          </w:tcPr>
          <w:p w14:paraId="7F12385A" w14:textId="007FBA3A" w:rsidR="00A30C2A" w:rsidRDefault="00A30C2A" w:rsidP="0048252E">
            <w:pPr>
              <w:pStyle w:val="Tabletext"/>
              <w:rPr>
                <w:color w:val="000000"/>
                <w:shd w:val="clear" w:color="auto" w:fill="FFFFFF"/>
              </w:rPr>
            </w:pPr>
            <w:r>
              <w:rPr>
                <w:color w:val="000000"/>
                <w:shd w:val="clear" w:color="auto" w:fill="FFFFFF"/>
              </w:rPr>
              <w:t>3. Schedule 1, Part 2</w:t>
            </w:r>
          </w:p>
        </w:tc>
        <w:tc>
          <w:tcPr>
            <w:tcW w:w="4394" w:type="dxa"/>
            <w:tcBorders>
              <w:top w:val="single" w:sz="2" w:space="0" w:color="auto"/>
              <w:bottom w:val="single" w:sz="12" w:space="0" w:color="auto"/>
            </w:tcBorders>
            <w:shd w:val="clear" w:color="auto" w:fill="auto"/>
          </w:tcPr>
          <w:p w14:paraId="7908E24E" w14:textId="780E6D9D" w:rsidR="00A30C2A" w:rsidRPr="00F41875" w:rsidRDefault="00AD406F" w:rsidP="0048252E">
            <w:pPr>
              <w:pStyle w:val="Tabletext"/>
            </w:pPr>
            <w:r>
              <w:rPr>
                <w:color w:val="000000"/>
                <w:shd w:val="clear" w:color="auto" w:fill="FFFFFF"/>
              </w:rPr>
              <w:t xml:space="preserve">The </w:t>
            </w:r>
            <w:r w:rsidR="002D1780">
              <w:rPr>
                <w:color w:val="000000"/>
                <w:shd w:val="clear" w:color="auto" w:fill="FFFFFF"/>
              </w:rPr>
              <w:t>60</w:t>
            </w:r>
            <w:r w:rsidR="009D3818" w:rsidRPr="009D3818">
              <w:rPr>
                <w:color w:val="000000"/>
                <w:shd w:val="clear" w:color="auto" w:fill="FFFFFF"/>
                <w:vertAlign w:val="superscript"/>
              </w:rPr>
              <w:t>th</w:t>
            </w:r>
            <w:r w:rsidR="009D3818">
              <w:rPr>
                <w:color w:val="000000"/>
                <w:shd w:val="clear" w:color="auto" w:fill="FFFFFF"/>
              </w:rPr>
              <w:t xml:space="preserve"> </w:t>
            </w:r>
            <w:r>
              <w:rPr>
                <w:color w:val="000000"/>
                <w:shd w:val="clear" w:color="auto" w:fill="FFFFFF"/>
              </w:rPr>
              <w:t>day after this instrument is registered.</w:t>
            </w:r>
          </w:p>
        </w:tc>
        <w:tc>
          <w:tcPr>
            <w:tcW w:w="1843" w:type="dxa"/>
            <w:tcBorders>
              <w:top w:val="single" w:sz="2" w:space="0" w:color="auto"/>
              <w:bottom w:val="single" w:sz="12" w:space="0" w:color="auto"/>
            </w:tcBorders>
            <w:shd w:val="clear" w:color="auto" w:fill="auto"/>
          </w:tcPr>
          <w:p w14:paraId="64DED63A" w14:textId="77777777" w:rsidR="00A30C2A" w:rsidRPr="00F41875" w:rsidRDefault="00A30C2A" w:rsidP="0048252E">
            <w:pPr>
              <w:pStyle w:val="Tabletext"/>
            </w:pPr>
          </w:p>
        </w:tc>
      </w:tr>
    </w:tbl>
    <w:p w14:paraId="2D971426" w14:textId="77777777" w:rsidR="00FA06CA" w:rsidRPr="00F41875" w:rsidRDefault="00FA06CA" w:rsidP="00FA06CA">
      <w:pPr>
        <w:pStyle w:val="notetext"/>
      </w:pPr>
      <w:r w:rsidRPr="00F41875">
        <w:rPr>
          <w:snapToGrid w:val="0"/>
          <w:lang w:eastAsia="en-US"/>
        </w:rPr>
        <w:t>Note:</w:t>
      </w:r>
      <w:r w:rsidRPr="00F41875">
        <w:rPr>
          <w:snapToGrid w:val="0"/>
          <w:lang w:eastAsia="en-US"/>
        </w:rPr>
        <w:tab/>
        <w:t xml:space="preserve">This table relates only to the provisions of this </w:t>
      </w:r>
      <w:r w:rsidRPr="00F41875">
        <w:t xml:space="preserve">instrument </w:t>
      </w:r>
      <w:r w:rsidRPr="00F41875">
        <w:rPr>
          <w:snapToGrid w:val="0"/>
          <w:lang w:eastAsia="en-US"/>
        </w:rPr>
        <w:t>as originally made. It will not be amended to deal with any later amendments of this instrument.</w:t>
      </w:r>
    </w:p>
    <w:p w14:paraId="17ECCC80" w14:textId="77777777" w:rsidR="00FA06CA" w:rsidRPr="00F41875" w:rsidRDefault="00FA06CA" w:rsidP="00FA06CA">
      <w:pPr>
        <w:pStyle w:val="subsection"/>
      </w:pPr>
      <w:r w:rsidRPr="00F41875">
        <w:tab/>
        <w:t>(2)</w:t>
      </w:r>
      <w:r w:rsidRPr="00F41875">
        <w:tab/>
        <w:t>Any information in column 3 of the table is not part of this instrument. Information may be inserted in this column, or information in it may be edited, in any published version of this instrument.</w:t>
      </w:r>
    </w:p>
    <w:p w14:paraId="49327A9D" w14:textId="614C189E" w:rsidR="007D6A82" w:rsidRDefault="007D6A82" w:rsidP="007D6A82">
      <w:pPr>
        <w:pStyle w:val="ActHead5"/>
      </w:pPr>
      <w:bookmarkStart w:id="13" w:name="_Toc145061624"/>
      <w:r w:rsidRPr="007D6A82">
        <w:rPr>
          <w:rStyle w:val="CharSectno"/>
        </w:rPr>
        <w:t>3</w:t>
      </w:r>
      <w:r>
        <w:t xml:space="preserve"> </w:t>
      </w:r>
      <w:r w:rsidR="00FA06CA" w:rsidRPr="00F41875">
        <w:t xml:space="preserve"> Auth</w:t>
      </w:r>
      <w:r>
        <w:t>ority</w:t>
      </w:r>
      <w:bookmarkEnd w:id="13"/>
    </w:p>
    <w:p w14:paraId="1E97E28F" w14:textId="6E79CF98" w:rsidR="00523059" w:rsidRDefault="00FA06CA" w:rsidP="00A15782">
      <w:pPr>
        <w:pStyle w:val="subsection"/>
        <w:rPr>
          <w:i/>
          <w:iCs/>
        </w:rPr>
      </w:pPr>
      <w:r w:rsidRPr="00F41875">
        <w:tab/>
      </w:r>
      <w:r w:rsidRPr="00F41875">
        <w:tab/>
        <w:t xml:space="preserve">This instrument is made under the </w:t>
      </w:r>
      <w:r w:rsidR="00523059" w:rsidRPr="00F41875">
        <w:rPr>
          <w:i/>
          <w:iCs/>
        </w:rPr>
        <w:t>Financial Sector (</w:t>
      </w:r>
      <w:r w:rsidR="00AA7A84" w:rsidRPr="00F41875">
        <w:rPr>
          <w:i/>
          <w:iCs/>
        </w:rPr>
        <w:t>Shareholdings</w:t>
      </w:r>
      <w:r w:rsidR="00523059" w:rsidRPr="00F41875">
        <w:rPr>
          <w:i/>
          <w:iCs/>
        </w:rPr>
        <w:t>) Act 199</w:t>
      </w:r>
      <w:r w:rsidR="00AA7A84" w:rsidRPr="00F41875">
        <w:rPr>
          <w:i/>
          <w:iCs/>
        </w:rPr>
        <w:t>8.</w:t>
      </w:r>
    </w:p>
    <w:p w14:paraId="36553A8F" w14:textId="4B9C8CD1" w:rsidR="003915AA" w:rsidRDefault="003915AA" w:rsidP="003915AA">
      <w:pPr>
        <w:pStyle w:val="ActHead5"/>
      </w:pPr>
      <w:bookmarkStart w:id="14" w:name="_Toc145061625"/>
      <w:r w:rsidRPr="003915AA">
        <w:rPr>
          <w:rStyle w:val="CharSectno"/>
        </w:rPr>
        <w:t>4</w:t>
      </w:r>
      <w:r>
        <w:t xml:space="preserve">  Schedules</w:t>
      </w:r>
      <w:bookmarkEnd w:id="14"/>
    </w:p>
    <w:p w14:paraId="1B8DF175" w14:textId="77777777" w:rsidR="00B53204" w:rsidRDefault="00EC2275" w:rsidP="00EC2275">
      <w:pPr>
        <w:pStyle w:val="subsection"/>
        <w:ind w:firstLine="0"/>
        <w:sectPr w:rsidR="00B53204" w:rsidSect="007F545E">
          <w:headerReference w:type="even" r:id="rId22"/>
          <w:headerReference w:type="default" r:id="rId23"/>
          <w:pgSz w:w="11907" w:h="16839" w:code="9"/>
          <w:pgMar w:top="2233" w:right="1797" w:bottom="1440" w:left="1797" w:header="720" w:footer="709" w:gutter="0"/>
          <w:pgNumType w:start="1"/>
          <w:cols w:space="708"/>
          <w:docGrid w:linePitch="360"/>
        </w:sectPr>
      </w:pPr>
      <w:r>
        <w:t>Each instrument that is specified in a Schedule to this instrument is amended or repealed as set out in the applicable items in the Schedule concerned, and any other items in a Schedule to this instrument has effect according to its terms.</w:t>
      </w:r>
    </w:p>
    <w:p w14:paraId="6594D9DF" w14:textId="76FBE8D1" w:rsidR="00A26F86" w:rsidRPr="00887679" w:rsidRDefault="00887679" w:rsidP="009609DB">
      <w:pPr>
        <w:pStyle w:val="ActHead6"/>
        <w:rPr>
          <w:lang w:eastAsia="en-US"/>
        </w:rPr>
      </w:pPr>
      <w:bookmarkStart w:id="15" w:name="_Toc145061626"/>
      <w:r w:rsidRPr="00887679">
        <w:rPr>
          <w:rStyle w:val="CharChapNo"/>
        </w:rPr>
        <w:lastRenderedPageBreak/>
        <w:t>Schedule 1</w:t>
      </w:r>
      <w:r>
        <w:t>—</w:t>
      </w:r>
      <w:r w:rsidR="00C627D5">
        <w:rPr>
          <w:rStyle w:val="CharChapText"/>
        </w:rPr>
        <w:t>Amendments</w:t>
      </w:r>
      <w:bookmarkEnd w:id="15"/>
    </w:p>
    <w:p w14:paraId="38A6200F" w14:textId="2B6143CC" w:rsidR="007D2418" w:rsidRPr="007D2418" w:rsidRDefault="007D2418" w:rsidP="009609DB">
      <w:pPr>
        <w:pStyle w:val="ActHead2"/>
        <w:rPr>
          <w:lang w:eastAsia="en-US"/>
        </w:rPr>
      </w:pPr>
      <w:bookmarkStart w:id="16" w:name="_Toc145061627"/>
      <w:r w:rsidRPr="007D2418">
        <w:rPr>
          <w:rStyle w:val="CharPartNo"/>
        </w:rPr>
        <w:t>Part 1</w:t>
      </w:r>
      <w:r>
        <w:t>—</w:t>
      </w:r>
      <w:r w:rsidRPr="007D2418">
        <w:rPr>
          <w:rStyle w:val="CharPartText"/>
        </w:rPr>
        <w:t>New approvals</w:t>
      </w:r>
      <w:r w:rsidR="0078710C">
        <w:rPr>
          <w:rStyle w:val="CharPartText"/>
        </w:rPr>
        <w:t xml:space="preserve"> and conditions</w:t>
      </w:r>
      <w:bookmarkEnd w:id="16"/>
    </w:p>
    <w:p w14:paraId="182F4ECF" w14:textId="6D0BB286" w:rsidR="000C6D5C" w:rsidRDefault="000C6D5C" w:rsidP="000C6D5C">
      <w:pPr>
        <w:pStyle w:val="ActHead9"/>
      </w:pPr>
      <w:bookmarkStart w:id="17" w:name="_Toc145061628"/>
      <w:r w:rsidRPr="00C17460">
        <w:t>Financial Sector (Shareholdings) (Resolution Life) Instrument 2021</w:t>
      </w:r>
      <w:bookmarkEnd w:id="17"/>
    </w:p>
    <w:p w14:paraId="36EF8D65" w14:textId="7CFB9BE2" w:rsidR="00A61842" w:rsidRPr="00A61842" w:rsidRDefault="00A61842" w:rsidP="00A61842">
      <w:pPr>
        <w:pStyle w:val="ItemHead"/>
      </w:pPr>
      <w:r>
        <w:t>1  Section 5</w:t>
      </w:r>
    </w:p>
    <w:p w14:paraId="12F5F807" w14:textId="6AD68632" w:rsidR="00057F7C" w:rsidRDefault="00057F7C" w:rsidP="00057F7C">
      <w:pPr>
        <w:pStyle w:val="Item"/>
      </w:pPr>
      <w:r>
        <w:t>Insert:</w:t>
      </w:r>
    </w:p>
    <w:p w14:paraId="30291C0B" w14:textId="7D20D204" w:rsidR="00057F7C" w:rsidRPr="00EE5053" w:rsidRDefault="00EE5053" w:rsidP="009609DB">
      <w:pPr>
        <w:pStyle w:val="Definition"/>
      </w:pPr>
      <w:r w:rsidRPr="008A055E">
        <w:rPr>
          <w:b/>
          <w:i/>
        </w:rPr>
        <w:t>APRA </w:t>
      </w:r>
      <w:r w:rsidRPr="00EE5053">
        <w:t>means the Australian Prudential Regulation Authority.</w:t>
      </w:r>
    </w:p>
    <w:p w14:paraId="0F05DA2A" w14:textId="13F5CCAF" w:rsidR="00507FBC" w:rsidRDefault="00A61842" w:rsidP="00507FBC">
      <w:pPr>
        <w:pStyle w:val="ItemHead"/>
      </w:pPr>
      <w:r>
        <w:t>2</w:t>
      </w:r>
      <w:r w:rsidR="00507FBC">
        <w:t xml:space="preserve">  Subsection 6(2) (</w:t>
      </w:r>
      <w:r w:rsidR="004E373D">
        <w:t xml:space="preserve">after table item </w:t>
      </w:r>
      <w:r w:rsidR="00E604F2">
        <w:t>30</w:t>
      </w:r>
      <w:r w:rsidR="00507FBC">
        <w:t>)</w:t>
      </w:r>
    </w:p>
    <w:p w14:paraId="2DDBB12B" w14:textId="5E6B1890" w:rsidR="00AF74CD" w:rsidRDefault="00ED691C" w:rsidP="00AF74CD">
      <w:pPr>
        <w:pStyle w:val="Item"/>
      </w:pPr>
      <w:r>
        <w:t>Insert:</w:t>
      </w:r>
    </w:p>
    <w:p w14:paraId="60288A12" w14:textId="77777777" w:rsidR="00932B36" w:rsidRPr="00563332" w:rsidRDefault="00932B36" w:rsidP="00563332">
      <w:pPr>
        <w:pStyle w:val="Tabletext"/>
      </w:pPr>
    </w:p>
    <w:tbl>
      <w:tblPr>
        <w:tblW w:w="6660" w:type="dxa"/>
        <w:tblInd w:w="1332" w:type="dxa"/>
        <w:tblLayout w:type="fixed"/>
        <w:tblLook w:val="0000" w:firstRow="0" w:lastRow="0" w:firstColumn="0" w:lastColumn="0" w:noHBand="0" w:noVBand="0"/>
      </w:tblPr>
      <w:tblGrid>
        <w:gridCol w:w="726"/>
        <w:gridCol w:w="3863"/>
        <w:gridCol w:w="2071"/>
      </w:tblGrid>
      <w:tr w:rsidR="00932B36" w14:paraId="687BCD0D" w14:textId="77777777" w:rsidTr="00932B36">
        <w:trPr>
          <w:trHeight w:val="257"/>
        </w:trPr>
        <w:tc>
          <w:tcPr>
            <w:tcW w:w="726" w:type="dxa"/>
            <w:shd w:val="clear" w:color="auto" w:fill="auto"/>
            <w:vAlign w:val="bottom"/>
          </w:tcPr>
          <w:p w14:paraId="4B1DC7A7" w14:textId="2EE00B8A" w:rsidR="00932B36" w:rsidRDefault="00A7585C" w:rsidP="00423033">
            <w:pPr>
              <w:pStyle w:val="Tabletext"/>
            </w:pPr>
            <w:r>
              <w:t>30A</w:t>
            </w:r>
          </w:p>
        </w:tc>
        <w:tc>
          <w:tcPr>
            <w:tcW w:w="3863" w:type="dxa"/>
            <w:shd w:val="clear" w:color="auto" w:fill="auto"/>
          </w:tcPr>
          <w:p w14:paraId="508126A3" w14:textId="18F634AF" w:rsidR="00932B36" w:rsidRPr="005A4F44" w:rsidRDefault="00932B36" w:rsidP="00423033">
            <w:pPr>
              <w:pStyle w:val="Tabletext"/>
            </w:pPr>
            <w:r>
              <w:t>Blackstone</w:t>
            </w:r>
            <w:r w:rsidR="00A7585C">
              <w:t xml:space="preserve"> </w:t>
            </w:r>
            <w:r w:rsidR="000C68ED">
              <w:t>Group Management L</w:t>
            </w:r>
            <w:r w:rsidR="00180E37">
              <w:t>.</w:t>
            </w:r>
            <w:r w:rsidR="000C68ED">
              <w:t>L</w:t>
            </w:r>
            <w:r w:rsidR="00180E37">
              <w:t>.</w:t>
            </w:r>
            <w:r w:rsidR="000C68ED">
              <w:t>C.</w:t>
            </w:r>
          </w:p>
        </w:tc>
        <w:tc>
          <w:tcPr>
            <w:tcW w:w="2071" w:type="dxa"/>
            <w:shd w:val="clear" w:color="auto" w:fill="auto"/>
          </w:tcPr>
          <w:p w14:paraId="05B4144F" w14:textId="77777777" w:rsidR="00932B36" w:rsidRDefault="00932B36" w:rsidP="00423033">
            <w:pPr>
              <w:pStyle w:val="Tabletext"/>
            </w:pPr>
          </w:p>
        </w:tc>
      </w:tr>
      <w:tr w:rsidR="00932B36" w14:paraId="216EC06E" w14:textId="77777777" w:rsidTr="00932B36">
        <w:trPr>
          <w:trHeight w:val="310"/>
        </w:trPr>
        <w:tc>
          <w:tcPr>
            <w:tcW w:w="726" w:type="dxa"/>
            <w:shd w:val="clear" w:color="auto" w:fill="auto"/>
            <w:vAlign w:val="bottom"/>
          </w:tcPr>
          <w:p w14:paraId="0A334414" w14:textId="77777777" w:rsidR="00932B36" w:rsidRPr="009A401F" w:rsidRDefault="00932B36" w:rsidP="00423033">
            <w:pPr>
              <w:pStyle w:val="Tabletext"/>
              <w:rPr>
                <w:sz w:val="18"/>
                <w:szCs w:val="18"/>
              </w:rPr>
            </w:pPr>
            <w:r>
              <w:t>30B</w:t>
            </w:r>
          </w:p>
        </w:tc>
        <w:tc>
          <w:tcPr>
            <w:tcW w:w="3863" w:type="dxa"/>
            <w:shd w:val="clear" w:color="auto" w:fill="auto"/>
          </w:tcPr>
          <w:p w14:paraId="6BC76EC2" w14:textId="53CCB786" w:rsidR="00932B36" w:rsidRPr="009A401F" w:rsidRDefault="00932B36" w:rsidP="00423033">
            <w:pPr>
              <w:pStyle w:val="Tabletext"/>
              <w:rPr>
                <w:sz w:val="18"/>
                <w:szCs w:val="18"/>
              </w:rPr>
            </w:pPr>
            <w:r w:rsidRPr="005A4F44">
              <w:t>Blackstone Holdings IV GP L</w:t>
            </w:r>
            <w:r w:rsidR="004A4B31">
              <w:t>.</w:t>
            </w:r>
            <w:r w:rsidRPr="005A4F44">
              <w:t>P</w:t>
            </w:r>
            <w:r w:rsidR="004A4B31">
              <w:t>.</w:t>
            </w:r>
          </w:p>
        </w:tc>
        <w:tc>
          <w:tcPr>
            <w:tcW w:w="2071" w:type="dxa"/>
            <w:shd w:val="clear" w:color="auto" w:fill="auto"/>
          </w:tcPr>
          <w:p w14:paraId="5CF0EADB" w14:textId="77777777" w:rsidR="00932B36" w:rsidRDefault="00932B36" w:rsidP="00423033">
            <w:pPr>
              <w:pStyle w:val="Tabletext"/>
            </w:pPr>
          </w:p>
        </w:tc>
      </w:tr>
      <w:tr w:rsidR="00932B36" w14:paraId="76C998B1" w14:textId="77777777" w:rsidTr="00932B36">
        <w:trPr>
          <w:trHeight w:val="544"/>
        </w:trPr>
        <w:tc>
          <w:tcPr>
            <w:tcW w:w="726" w:type="dxa"/>
            <w:shd w:val="clear" w:color="auto" w:fill="auto"/>
            <w:vAlign w:val="bottom"/>
          </w:tcPr>
          <w:p w14:paraId="30D912E1" w14:textId="77777777" w:rsidR="00932B36" w:rsidRDefault="00932B36" w:rsidP="00423033">
            <w:pPr>
              <w:pStyle w:val="Tabletext"/>
            </w:pPr>
            <w:r>
              <w:t>30C</w:t>
            </w:r>
          </w:p>
        </w:tc>
        <w:tc>
          <w:tcPr>
            <w:tcW w:w="3863" w:type="dxa"/>
            <w:shd w:val="clear" w:color="auto" w:fill="auto"/>
          </w:tcPr>
          <w:p w14:paraId="12B61031" w14:textId="54FFFF41" w:rsidR="00932B36" w:rsidRPr="005A4F44" w:rsidRDefault="00932B36" w:rsidP="00423033">
            <w:pPr>
              <w:pStyle w:val="Tabletext"/>
            </w:pPr>
            <w:r w:rsidRPr="005A4F44">
              <w:t>Blackstone Holdings IV GP Management (Delaware) L</w:t>
            </w:r>
            <w:r w:rsidR="004A4B31">
              <w:t>.</w:t>
            </w:r>
            <w:r w:rsidRPr="005A4F44">
              <w:t>P</w:t>
            </w:r>
            <w:r w:rsidR="004A4B31">
              <w:t>.</w:t>
            </w:r>
          </w:p>
        </w:tc>
        <w:tc>
          <w:tcPr>
            <w:tcW w:w="2071" w:type="dxa"/>
            <w:shd w:val="clear" w:color="auto" w:fill="auto"/>
          </w:tcPr>
          <w:p w14:paraId="6D97E218" w14:textId="77777777" w:rsidR="00932B36" w:rsidRDefault="00932B36" w:rsidP="00423033">
            <w:pPr>
              <w:pStyle w:val="Tabletext"/>
            </w:pPr>
          </w:p>
        </w:tc>
      </w:tr>
      <w:tr w:rsidR="00932B36" w14:paraId="17289C51" w14:textId="77777777" w:rsidTr="00932B36">
        <w:trPr>
          <w:trHeight w:val="562"/>
        </w:trPr>
        <w:tc>
          <w:tcPr>
            <w:tcW w:w="726" w:type="dxa"/>
            <w:shd w:val="clear" w:color="auto" w:fill="auto"/>
            <w:vAlign w:val="bottom"/>
          </w:tcPr>
          <w:p w14:paraId="2EF3C6BF" w14:textId="77777777" w:rsidR="00932B36" w:rsidRDefault="00932B36" w:rsidP="00423033">
            <w:pPr>
              <w:pStyle w:val="Tabletext"/>
            </w:pPr>
            <w:r>
              <w:t>30D</w:t>
            </w:r>
          </w:p>
        </w:tc>
        <w:tc>
          <w:tcPr>
            <w:tcW w:w="3863" w:type="dxa"/>
            <w:shd w:val="clear" w:color="auto" w:fill="auto"/>
          </w:tcPr>
          <w:p w14:paraId="591C5E62" w14:textId="5295D84B" w:rsidR="00932B36" w:rsidRPr="005A4F44" w:rsidRDefault="00932B36" w:rsidP="00423033">
            <w:pPr>
              <w:pStyle w:val="Tabletext"/>
            </w:pPr>
            <w:r w:rsidRPr="005A4F44">
              <w:t>Blackstone Holdings IV GP Management</w:t>
            </w:r>
            <w:r w:rsidR="00955DC5">
              <w:t> </w:t>
            </w:r>
            <w:r w:rsidRPr="005A4F44">
              <w:t>L</w:t>
            </w:r>
            <w:r w:rsidR="004A4B31">
              <w:t>.</w:t>
            </w:r>
            <w:r w:rsidRPr="005A4F44">
              <w:t>L</w:t>
            </w:r>
            <w:r w:rsidR="004A4B31">
              <w:t>.</w:t>
            </w:r>
            <w:r w:rsidRPr="005A4F44">
              <w:t>C</w:t>
            </w:r>
            <w:r w:rsidR="004A4B31">
              <w:t>.</w:t>
            </w:r>
          </w:p>
        </w:tc>
        <w:tc>
          <w:tcPr>
            <w:tcW w:w="2071" w:type="dxa"/>
            <w:shd w:val="clear" w:color="auto" w:fill="auto"/>
          </w:tcPr>
          <w:p w14:paraId="305DBD01" w14:textId="77777777" w:rsidR="00932B36" w:rsidRDefault="00932B36" w:rsidP="00423033">
            <w:pPr>
              <w:pStyle w:val="Tabletext"/>
            </w:pPr>
          </w:p>
        </w:tc>
      </w:tr>
      <w:tr w:rsidR="00932B36" w14:paraId="1109AAB0" w14:textId="77777777" w:rsidTr="00932B36">
        <w:trPr>
          <w:trHeight w:val="310"/>
        </w:trPr>
        <w:tc>
          <w:tcPr>
            <w:tcW w:w="726" w:type="dxa"/>
            <w:shd w:val="clear" w:color="auto" w:fill="auto"/>
            <w:vAlign w:val="bottom"/>
          </w:tcPr>
          <w:p w14:paraId="0C0197CF" w14:textId="77777777" w:rsidR="00932B36" w:rsidRDefault="00932B36" w:rsidP="00423033">
            <w:pPr>
              <w:pStyle w:val="Tabletext"/>
            </w:pPr>
            <w:r>
              <w:t>30E</w:t>
            </w:r>
          </w:p>
        </w:tc>
        <w:tc>
          <w:tcPr>
            <w:tcW w:w="3863" w:type="dxa"/>
            <w:shd w:val="clear" w:color="auto" w:fill="auto"/>
          </w:tcPr>
          <w:p w14:paraId="3429A582" w14:textId="764DA1E8" w:rsidR="00932B36" w:rsidRPr="005A4F44" w:rsidRDefault="00932B36" w:rsidP="00423033">
            <w:pPr>
              <w:pStyle w:val="Tabletext"/>
            </w:pPr>
            <w:r w:rsidRPr="005A4F44">
              <w:t>Blackstone Holdings IV L</w:t>
            </w:r>
            <w:r w:rsidR="004A4B31">
              <w:t>.</w:t>
            </w:r>
            <w:r w:rsidRPr="005A4F44">
              <w:t>P</w:t>
            </w:r>
            <w:r w:rsidR="004A4B31">
              <w:t>.</w:t>
            </w:r>
          </w:p>
        </w:tc>
        <w:tc>
          <w:tcPr>
            <w:tcW w:w="2071" w:type="dxa"/>
            <w:shd w:val="clear" w:color="auto" w:fill="auto"/>
          </w:tcPr>
          <w:p w14:paraId="3CBF46BE" w14:textId="77777777" w:rsidR="00932B36" w:rsidRDefault="00932B36" w:rsidP="00423033">
            <w:pPr>
              <w:pStyle w:val="Tabletext"/>
            </w:pPr>
          </w:p>
        </w:tc>
      </w:tr>
      <w:tr w:rsidR="00932B36" w14:paraId="0E0AA8E7" w14:textId="77777777" w:rsidTr="00932B36">
        <w:trPr>
          <w:trHeight w:val="291"/>
        </w:trPr>
        <w:tc>
          <w:tcPr>
            <w:tcW w:w="726" w:type="dxa"/>
            <w:shd w:val="clear" w:color="auto" w:fill="auto"/>
            <w:vAlign w:val="bottom"/>
          </w:tcPr>
          <w:p w14:paraId="3AE5D63D" w14:textId="77777777" w:rsidR="00932B36" w:rsidRDefault="00932B36" w:rsidP="00423033">
            <w:pPr>
              <w:pStyle w:val="Tabletext"/>
            </w:pPr>
            <w:r>
              <w:t>30F</w:t>
            </w:r>
          </w:p>
        </w:tc>
        <w:tc>
          <w:tcPr>
            <w:tcW w:w="3863" w:type="dxa"/>
            <w:shd w:val="clear" w:color="auto" w:fill="auto"/>
          </w:tcPr>
          <w:p w14:paraId="1E58B3C2" w14:textId="2AD34A1B" w:rsidR="00932B36" w:rsidRPr="005A4F44" w:rsidRDefault="00932B36" w:rsidP="00423033">
            <w:pPr>
              <w:pStyle w:val="Tabletext"/>
            </w:pPr>
            <w:r w:rsidRPr="005A4F44">
              <w:t>Blackstone Inc</w:t>
            </w:r>
          </w:p>
        </w:tc>
        <w:tc>
          <w:tcPr>
            <w:tcW w:w="2071" w:type="dxa"/>
            <w:shd w:val="clear" w:color="auto" w:fill="auto"/>
          </w:tcPr>
          <w:p w14:paraId="4BF4EBE6" w14:textId="77777777" w:rsidR="00932B36" w:rsidRDefault="00932B36" w:rsidP="00423033">
            <w:pPr>
              <w:pStyle w:val="Tabletext"/>
            </w:pPr>
          </w:p>
        </w:tc>
      </w:tr>
      <w:tr w:rsidR="00932B36" w14:paraId="0452D342" w14:textId="77777777" w:rsidTr="00932B36">
        <w:trPr>
          <w:trHeight w:val="524"/>
        </w:trPr>
        <w:tc>
          <w:tcPr>
            <w:tcW w:w="726" w:type="dxa"/>
            <w:shd w:val="clear" w:color="auto" w:fill="auto"/>
            <w:vAlign w:val="bottom"/>
          </w:tcPr>
          <w:p w14:paraId="49FE714C" w14:textId="77777777" w:rsidR="00932B36" w:rsidRDefault="00932B36" w:rsidP="00423033">
            <w:pPr>
              <w:pStyle w:val="Tabletext"/>
            </w:pPr>
            <w:r>
              <w:t>30G</w:t>
            </w:r>
          </w:p>
        </w:tc>
        <w:tc>
          <w:tcPr>
            <w:tcW w:w="3863" w:type="dxa"/>
            <w:shd w:val="clear" w:color="auto" w:fill="auto"/>
          </w:tcPr>
          <w:p w14:paraId="414D401C" w14:textId="5186EF15" w:rsidR="00932B36" w:rsidRPr="005A4F44" w:rsidRDefault="00932B36" w:rsidP="00423033">
            <w:pPr>
              <w:pStyle w:val="Tabletext"/>
            </w:pPr>
            <w:r w:rsidRPr="005A4F44">
              <w:t>Blackstone ISG Investment Associates – R (BMU) Ltd</w:t>
            </w:r>
          </w:p>
        </w:tc>
        <w:tc>
          <w:tcPr>
            <w:tcW w:w="2071" w:type="dxa"/>
            <w:shd w:val="clear" w:color="auto" w:fill="auto"/>
          </w:tcPr>
          <w:p w14:paraId="4BA1414C" w14:textId="77777777" w:rsidR="00932B36" w:rsidRDefault="00932B36" w:rsidP="00423033">
            <w:pPr>
              <w:pStyle w:val="Tabletext"/>
            </w:pPr>
          </w:p>
        </w:tc>
      </w:tr>
      <w:tr w:rsidR="00932B36" w:rsidRPr="00D93593" w14:paraId="516F0808" w14:textId="77777777" w:rsidTr="00932B36">
        <w:trPr>
          <w:trHeight w:val="544"/>
        </w:trPr>
        <w:tc>
          <w:tcPr>
            <w:tcW w:w="726" w:type="dxa"/>
            <w:shd w:val="clear" w:color="auto" w:fill="auto"/>
            <w:vAlign w:val="bottom"/>
          </w:tcPr>
          <w:p w14:paraId="787F4BDD" w14:textId="77777777" w:rsidR="00932B36" w:rsidRDefault="00932B36" w:rsidP="00423033">
            <w:pPr>
              <w:pStyle w:val="Tabletext"/>
            </w:pPr>
            <w:r>
              <w:t>30H</w:t>
            </w:r>
          </w:p>
        </w:tc>
        <w:tc>
          <w:tcPr>
            <w:tcW w:w="3863" w:type="dxa"/>
            <w:shd w:val="clear" w:color="auto" w:fill="auto"/>
          </w:tcPr>
          <w:p w14:paraId="468E42AA" w14:textId="1CEEAC4C" w:rsidR="00932B36" w:rsidRPr="005A4F44" w:rsidRDefault="00932B36" w:rsidP="00423033">
            <w:pPr>
              <w:pStyle w:val="Tabletext"/>
            </w:pPr>
            <w:r w:rsidRPr="005A4F44">
              <w:t>Blackstone ISG Investment Partners – R (BMU) L</w:t>
            </w:r>
            <w:r w:rsidR="004A4B31">
              <w:t>.</w:t>
            </w:r>
            <w:r w:rsidRPr="005A4F44">
              <w:t>P</w:t>
            </w:r>
            <w:r w:rsidR="004A4B31">
              <w:t>.</w:t>
            </w:r>
          </w:p>
        </w:tc>
        <w:tc>
          <w:tcPr>
            <w:tcW w:w="2071" w:type="dxa"/>
            <w:shd w:val="clear" w:color="auto" w:fill="auto"/>
          </w:tcPr>
          <w:p w14:paraId="5AA04474" w14:textId="249AA287" w:rsidR="00932B36" w:rsidRPr="00D93593" w:rsidRDefault="00932B36" w:rsidP="00423033">
            <w:pPr>
              <w:pStyle w:val="Tabletext"/>
            </w:pPr>
          </w:p>
        </w:tc>
      </w:tr>
    </w:tbl>
    <w:p w14:paraId="5E2CCDB1" w14:textId="77777777" w:rsidR="006D7AFF" w:rsidRPr="00563332" w:rsidRDefault="006D7AFF" w:rsidP="00563332">
      <w:pPr>
        <w:pStyle w:val="Tabletext"/>
      </w:pPr>
    </w:p>
    <w:p w14:paraId="742BE515" w14:textId="28B54E57" w:rsidR="00D32CB7" w:rsidRDefault="00A61842" w:rsidP="00D32CB7">
      <w:pPr>
        <w:pStyle w:val="ItemHead"/>
      </w:pPr>
      <w:r>
        <w:t>3</w:t>
      </w:r>
      <w:r w:rsidR="00D32CB7">
        <w:t xml:space="preserve">  Subsection 6(2) (after table item 3</w:t>
      </w:r>
      <w:r w:rsidR="007F3333">
        <w:t>7A</w:t>
      </w:r>
      <w:r w:rsidR="00D32CB7">
        <w:t>)</w:t>
      </w:r>
    </w:p>
    <w:p w14:paraId="5E87AE64" w14:textId="6A14E936" w:rsidR="00D32CB7" w:rsidRDefault="00D32CB7" w:rsidP="00D32CB7">
      <w:pPr>
        <w:pStyle w:val="Item"/>
      </w:pPr>
      <w:r>
        <w:t>Insert:</w:t>
      </w:r>
    </w:p>
    <w:p w14:paraId="08CF613E" w14:textId="77777777" w:rsidR="00D32CB7" w:rsidRPr="00DC7E44" w:rsidRDefault="00D32CB7" w:rsidP="00DC7E44">
      <w:pPr>
        <w:pStyle w:val="Tabletext"/>
      </w:pPr>
    </w:p>
    <w:tbl>
      <w:tblPr>
        <w:tblW w:w="6660" w:type="dxa"/>
        <w:tblInd w:w="1332" w:type="dxa"/>
        <w:tblLayout w:type="fixed"/>
        <w:tblLook w:val="0000" w:firstRow="0" w:lastRow="0" w:firstColumn="0" w:lastColumn="0" w:noHBand="0" w:noVBand="0"/>
      </w:tblPr>
      <w:tblGrid>
        <w:gridCol w:w="726"/>
        <w:gridCol w:w="3863"/>
        <w:gridCol w:w="2071"/>
      </w:tblGrid>
      <w:tr w:rsidR="00D32CB7" w14:paraId="241884FB" w14:textId="77777777" w:rsidTr="00423033">
        <w:trPr>
          <w:trHeight w:val="257"/>
        </w:trPr>
        <w:tc>
          <w:tcPr>
            <w:tcW w:w="726" w:type="dxa"/>
            <w:shd w:val="clear" w:color="auto" w:fill="auto"/>
            <w:vAlign w:val="bottom"/>
          </w:tcPr>
          <w:p w14:paraId="2E388CB4" w14:textId="236FE68F" w:rsidR="00D32CB7" w:rsidRDefault="00D32CB7" w:rsidP="00423033">
            <w:pPr>
              <w:pStyle w:val="Tabletext"/>
            </w:pPr>
            <w:r>
              <w:t>38</w:t>
            </w:r>
          </w:p>
        </w:tc>
        <w:tc>
          <w:tcPr>
            <w:tcW w:w="3863" w:type="dxa"/>
            <w:shd w:val="clear" w:color="auto" w:fill="auto"/>
          </w:tcPr>
          <w:p w14:paraId="4A7AAF61" w14:textId="35B897C1" w:rsidR="00D32CB7" w:rsidRPr="005A4F44" w:rsidRDefault="00D32CB7" w:rsidP="00423033">
            <w:pPr>
              <w:pStyle w:val="Tabletext"/>
            </w:pPr>
            <w:r>
              <w:t>Christopher James</w:t>
            </w:r>
          </w:p>
        </w:tc>
        <w:tc>
          <w:tcPr>
            <w:tcW w:w="2071" w:type="dxa"/>
            <w:shd w:val="clear" w:color="auto" w:fill="auto"/>
          </w:tcPr>
          <w:p w14:paraId="5FA6FBD8" w14:textId="77777777" w:rsidR="00D32CB7" w:rsidRDefault="00D32CB7" w:rsidP="00423033">
            <w:pPr>
              <w:pStyle w:val="Tabletext"/>
            </w:pPr>
          </w:p>
        </w:tc>
      </w:tr>
    </w:tbl>
    <w:p w14:paraId="69F573B3" w14:textId="77777777" w:rsidR="00D32CB7" w:rsidRPr="00DC7E44" w:rsidRDefault="00D32CB7" w:rsidP="00DC7E44">
      <w:pPr>
        <w:pStyle w:val="Tabletext"/>
      </w:pPr>
    </w:p>
    <w:p w14:paraId="0AB9E2CD" w14:textId="62A23413" w:rsidR="006D7AFF" w:rsidRDefault="00A61842" w:rsidP="006D7AFF">
      <w:pPr>
        <w:pStyle w:val="ItemHead"/>
      </w:pPr>
      <w:r>
        <w:t>4</w:t>
      </w:r>
      <w:r w:rsidR="006D7AFF">
        <w:t xml:space="preserve">  Subsection 6(2) (after table item </w:t>
      </w:r>
      <w:r w:rsidR="00502C56">
        <w:t>46</w:t>
      </w:r>
      <w:r w:rsidR="006D7AFF">
        <w:t>)</w:t>
      </w:r>
    </w:p>
    <w:p w14:paraId="0994CEA5" w14:textId="14B734AE" w:rsidR="006D7AFF" w:rsidRDefault="006D7AFF" w:rsidP="006D7AFF">
      <w:pPr>
        <w:pStyle w:val="Item"/>
      </w:pPr>
      <w:r>
        <w:t>Insert</w:t>
      </w:r>
      <w:r w:rsidR="00B22AF4">
        <w:t>:</w:t>
      </w:r>
    </w:p>
    <w:p w14:paraId="2D7303CA" w14:textId="77777777" w:rsidR="001A1EF1" w:rsidRPr="00150E3D" w:rsidRDefault="001A1EF1" w:rsidP="00150E3D">
      <w:pPr>
        <w:pStyle w:val="Tabletext"/>
      </w:pPr>
    </w:p>
    <w:tbl>
      <w:tblPr>
        <w:tblW w:w="6660" w:type="dxa"/>
        <w:tblInd w:w="1332" w:type="dxa"/>
        <w:tblLayout w:type="fixed"/>
        <w:tblLook w:val="0000" w:firstRow="0" w:lastRow="0" w:firstColumn="0" w:lastColumn="0" w:noHBand="0" w:noVBand="0"/>
      </w:tblPr>
      <w:tblGrid>
        <w:gridCol w:w="726"/>
        <w:gridCol w:w="3863"/>
        <w:gridCol w:w="2071"/>
      </w:tblGrid>
      <w:tr w:rsidR="001A1EF1" w14:paraId="2C97176F" w14:textId="77777777" w:rsidTr="00191135">
        <w:trPr>
          <w:trHeight w:val="257"/>
        </w:trPr>
        <w:tc>
          <w:tcPr>
            <w:tcW w:w="726" w:type="dxa"/>
            <w:shd w:val="clear" w:color="auto" w:fill="auto"/>
            <w:vAlign w:val="bottom"/>
          </w:tcPr>
          <w:p w14:paraId="4DD60857" w14:textId="7CBF9836" w:rsidR="001A1EF1" w:rsidRDefault="00502C56" w:rsidP="00423033">
            <w:pPr>
              <w:pStyle w:val="Tabletext"/>
            </w:pPr>
            <w:r>
              <w:t>46A</w:t>
            </w:r>
          </w:p>
        </w:tc>
        <w:tc>
          <w:tcPr>
            <w:tcW w:w="3863" w:type="dxa"/>
            <w:shd w:val="clear" w:color="auto" w:fill="auto"/>
          </w:tcPr>
          <w:p w14:paraId="270AD244" w14:textId="30A70B55" w:rsidR="001A1EF1" w:rsidRPr="005A4F44" w:rsidRDefault="006F39C3" w:rsidP="00423033">
            <w:pPr>
              <w:pStyle w:val="Tabletext"/>
            </w:pPr>
            <w:r>
              <w:t>David Watters</w:t>
            </w:r>
          </w:p>
        </w:tc>
        <w:tc>
          <w:tcPr>
            <w:tcW w:w="2071" w:type="dxa"/>
            <w:shd w:val="clear" w:color="auto" w:fill="auto"/>
          </w:tcPr>
          <w:p w14:paraId="65313A51" w14:textId="77777777" w:rsidR="001A1EF1" w:rsidRDefault="001A1EF1" w:rsidP="00423033">
            <w:pPr>
              <w:pStyle w:val="Tabletext"/>
            </w:pPr>
          </w:p>
        </w:tc>
      </w:tr>
    </w:tbl>
    <w:p w14:paraId="342F48F5" w14:textId="77777777" w:rsidR="00E15600" w:rsidRPr="00150E3D" w:rsidRDefault="00E15600" w:rsidP="00150E3D">
      <w:pPr>
        <w:pStyle w:val="Tabletext"/>
      </w:pPr>
    </w:p>
    <w:p w14:paraId="6223E93F" w14:textId="127BF848" w:rsidR="00B22AF4" w:rsidRDefault="00A61842" w:rsidP="00697F65">
      <w:pPr>
        <w:pStyle w:val="ItemHead"/>
      </w:pPr>
      <w:r>
        <w:t>5</w:t>
      </w:r>
      <w:r w:rsidR="00697F65">
        <w:t xml:space="preserve">  Subsection 6(2) (after table item </w:t>
      </w:r>
      <w:r w:rsidR="00F35166">
        <w:t>58</w:t>
      </w:r>
      <w:r w:rsidR="00697F65">
        <w:t>)</w:t>
      </w:r>
    </w:p>
    <w:p w14:paraId="1EC7061A" w14:textId="0E0E5A76" w:rsidR="00697F65" w:rsidRDefault="00697F65" w:rsidP="00697F65">
      <w:pPr>
        <w:pStyle w:val="Item"/>
      </w:pPr>
      <w:r>
        <w:t>Insert:</w:t>
      </w:r>
    </w:p>
    <w:p w14:paraId="25FE3E8A" w14:textId="77777777" w:rsidR="00F9772B" w:rsidRPr="00150E3D" w:rsidRDefault="00F9772B" w:rsidP="00150E3D">
      <w:pPr>
        <w:pStyle w:val="Tabletext"/>
      </w:pPr>
    </w:p>
    <w:tbl>
      <w:tblPr>
        <w:tblW w:w="6660" w:type="dxa"/>
        <w:tblInd w:w="1332" w:type="dxa"/>
        <w:tblLayout w:type="fixed"/>
        <w:tblLook w:val="0000" w:firstRow="0" w:lastRow="0" w:firstColumn="0" w:lastColumn="0" w:noHBand="0" w:noVBand="0"/>
      </w:tblPr>
      <w:tblGrid>
        <w:gridCol w:w="726"/>
        <w:gridCol w:w="3863"/>
        <w:gridCol w:w="2071"/>
      </w:tblGrid>
      <w:tr w:rsidR="002C569B" w14:paraId="7FE35C15" w14:textId="77777777" w:rsidTr="00423033">
        <w:trPr>
          <w:trHeight w:val="257"/>
        </w:trPr>
        <w:tc>
          <w:tcPr>
            <w:tcW w:w="726" w:type="dxa"/>
            <w:shd w:val="clear" w:color="auto" w:fill="auto"/>
            <w:vAlign w:val="bottom"/>
          </w:tcPr>
          <w:p w14:paraId="73CE129A" w14:textId="7F94F3F7" w:rsidR="002C569B" w:rsidRDefault="00F35166" w:rsidP="00423033">
            <w:pPr>
              <w:pStyle w:val="Tabletext"/>
            </w:pPr>
            <w:r>
              <w:t>58A</w:t>
            </w:r>
          </w:p>
        </w:tc>
        <w:tc>
          <w:tcPr>
            <w:tcW w:w="3863" w:type="dxa"/>
            <w:shd w:val="clear" w:color="auto" w:fill="auto"/>
          </w:tcPr>
          <w:p w14:paraId="43ACA557" w14:textId="38F87399" w:rsidR="002C569B" w:rsidRPr="005A4F44" w:rsidRDefault="006F39C3" w:rsidP="00423033">
            <w:pPr>
              <w:pStyle w:val="Tabletext"/>
            </w:pPr>
            <w:r>
              <w:t>Erich Schram</w:t>
            </w:r>
          </w:p>
        </w:tc>
        <w:tc>
          <w:tcPr>
            <w:tcW w:w="2071" w:type="dxa"/>
            <w:shd w:val="clear" w:color="auto" w:fill="auto"/>
          </w:tcPr>
          <w:p w14:paraId="514FDD23" w14:textId="77777777" w:rsidR="002C569B" w:rsidRDefault="002C569B" w:rsidP="00423033">
            <w:pPr>
              <w:pStyle w:val="Tabletext"/>
            </w:pPr>
          </w:p>
        </w:tc>
      </w:tr>
    </w:tbl>
    <w:p w14:paraId="04EF3D7B" w14:textId="77777777" w:rsidR="00E15600" w:rsidRPr="00150E3D" w:rsidRDefault="00E15600" w:rsidP="00150E3D">
      <w:pPr>
        <w:pStyle w:val="Tabletext"/>
      </w:pPr>
    </w:p>
    <w:p w14:paraId="04A5F67F" w14:textId="635EB205" w:rsidR="00F9772B" w:rsidRDefault="00A61842" w:rsidP="00F9772B">
      <w:pPr>
        <w:pStyle w:val="ItemHead"/>
      </w:pPr>
      <w:r>
        <w:t>6</w:t>
      </w:r>
      <w:r w:rsidR="00F9772B">
        <w:t xml:space="preserve">  Subsection 6(2) (after table item </w:t>
      </w:r>
      <w:r w:rsidR="00297F51">
        <w:t>62</w:t>
      </w:r>
      <w:r w:rsidR="00F9772B">
        <w:t>)</w:t>
      </w:r>
    </w:p>
    <w:p w14:paraId="6DEE2646" w14:textId="77777777" w:rsidR="00F9772B" w:rsidRDefault="00F9772B" w:rsidP="00F9772B">
      <w:pPr>
        <w:pStyle w:val="Item"/>
      </w:pPr>
      <w:r>
        <w:t>Insert:</w:t>
      </w:r>
    </w:p>
    <w:p w14:paraId="10CCD838" w14:textId="77777777" w:rsidR="00E15600" w:rsidRPr="00150E3D" w:rsidRDefault="00E15600" w:rsidP="00150E3D">
      <w:pPr>
        <w:pStyle w:val="Tabletext"/>
      </w:pPr>
    </w:p>
    <w:tbl>
      <w:tblPr>
        <w:tblW w:w="6660" w:type="dxa"/>
        <w:tblInd w:w="1332" w:type="dxa"/>
        <w:tblLayout w:type="fixed"/>
        <w:tblLook w:val="0000" w:firstRow="0" w:lastRow="0" w:firstColumn="0" w:lastColumn="0" w:noHBand="0" w:noVBand="0"/>
      </w:tblPr>
      <w:tblGrid>
        <w:gridCol w:w="726"/>
        <w:gridCol w:w="3863"/>
        <w:gridCol w:w="2071"/>
      </w:tblGrid>
      <w:tr w:rsidR="002C569B" w14:paraId="2E5F5360" w14:textId="77777777" w:rsidTr="002C569B">
        <w:trPr>
          <w:trHeight w:val="257"/>
        </w:trPr>
        <w:tc>
          <w:tcPr>
            <w:tcW w:w="726" w:type="dxa"/>
            <w:shd w:val="clear" w:color="auto" w:fill="auto"/>
            <w:vAlign w:val="bottom"/>
          </w:tcPr>
          <w:p w14:paraId="2F66569E" w14:textId="5A6DACBF" w:rsidR="002C569B" w:rsidRDefault="00297F51" w:rsidP="00423033">
            <w:pPr>
              <w:pStyle w:val="Tabletext"/>
            </w:pPr>
            <w:r>
              <w:t>62A</w:t>
            </w:r>
          </w:p>
        </w:tc>
        <w:tc>
          <w:tcPr>
            <w:tcW w:w="3863" w:type="dxa"/>
            <w:shd w:val="clear" w:color="auto" w:fill="auto"/>
          </w:tcPr>
          <w:p w14:paraId="0415BDF9" w14:textId="0BDFA3E3" w:rsidR="002C569B" w:rsidRPr="005A4F44" w:rsidRDefault="006F39C3" w:rsidP="00423033">
            <w:pPr>
              <w:pStyle w:val="Tabletext"/>
            </w:pPr>
            <w:r>
              <w:t>Gi</w:t>
            </w:r>
            <w:r w:rsidR="00D1577C">
              <w:t>lles Dellaert</w:t>
            </w:r>
          </w:p>
        </w:tc>
        <w:tc>
          <w:tcPr>
            <w:tcW w:w="2071" w:type="dxa"/>
            <w:shd w:val="clear" w:color="auto" w:fill="auto"/>
          </w:tcPr>
          <w:p w14:paraId="5125B360" w14:textId="77777777" w:rsidR="002C569B" w:rsidRDefault="002C569B" w:rsidP="00423033">
            <w:pPr>
              <w:pStyle w:val="Tabletext"/>
            </w:pPr>
          </w:p>
        </w:tc>
      </w:tr>
    </w:tbl>
    <w:p w14:paraId="5626622D" w14:textId="77777777" w:rsidR="00697F65" w:rsidRPr="00150E3D" w:rsidRDefault="00697F65" w:rsidP="00150E3D">
      <w:pPr>
        <w:pStyle w:val="Tabletext"/>
      </w:pPr>
    </w:p>
    <w:p w14:paraId="153D5D12" w14:textId="284AEDA4" w:rsidR="003A30B1" w:rsidRDefault="003A30B1" w:rsidP="003A30B1">
      <w:pPr>
        <w:pStyle w:val="ItemHead"/>
      </w:pPr>
      <w:r>
        <w:t xml:space="preserve">5  Subsection 6(2) (after table item </w:t>
      </w:r>
      <w:r w:rsidR="00297F51">
        <w:t>70</w:t>
      </w:r>
      <w:r>
        <w:t>)</w:t>
      </w:r>
    </w:p>
    <w:p w14:paraId="6E2834DB" w14:textId="77777777" w:rsidR="003A30B1" w:rsidRDefault="003A30B1" w:rsidP="003A30B1">
      <w:pPr>
        <w:pStyle w:val="Item"/>
      </w:pPr>
      <w:r>
        <w:t>Insert:</w:t>
      </w:r>
    </w:p>
    <w:p w14:paraId="1780B40A" w14:textId="77777777" w:rsidR="003A30B1" w:rsidRPr="00150E3D" w:rsidRDefault="003A30B1" w:rsidP="00150E3D">
      <w:pPr>
        <w:pStyle w:val="Tabletext"/>
      </w:pPr>
    </w:p>
    <w:tbl>
      <w:tblPr>
        <w:tblW w:w="6660" w:type="dxa"/>
        <w:tblInd w:w="1332" w:type="dxa"/>
        <w:tblLayout w:type="fixed"/>
        <w:tblLook w:val="0000" w:firstRow="0" w:lastRow="0" w:firstColumn="0" w:lastColumn="0" w:noHBand="0" w:noVBand="0"/>
      </w:tblPr>
      <w:tblGrid>
        <w:gridCol w:w="726"/>
        <w:gridCol w:w="3863"/>
        <w:gridCol w:w="2071"/>
      </w:tblGrid>
      <w:tr w:rsidR="00F94526" w14:paraId="40FCEA6E" w14:textId="77777777" w:rsidTr="00423033">
        <w:trPr>
          <w:trHeight w:val="257"/>
        </w:trPr>
        <w:tc>
          <w:tcPr>
            <w:tcW w:w="726" w:type="dxa"/>
            <w:shd w:val="clear" w:color="auto" w:fill="auto"/>
            <w:vAlign w:val="bottom"/>
          </w:tcPr>
          <w:p w14:paraId="59077A9C" w14:textId="1A624DB0" w:rsidR="00F94526" w:rsidRDefault="00297F51" w:rsidP="00423033">
            <w:pPr>
              <w:pStyle w:val="Tabletext"/>
            </w:pPr>
            <w:r>
              <w:t>70A</w:t>
            </w:r>
          </w:p>
        </w:tc>
        <w:tc>
          <w:tcPr>
            <w:tcW w:w="3863" w:type="dxa"/>
            <w:shd w:val="clear" w:color="auto" w:fill="auto"/>
          </w:tcPr>
          <w:p w14:paraId="0EF7A564" w14:textId="187AA30F" w:rsidR="00F94526" w:rsidRPr="005A4F44" w:rsidRDefault="00D1577C" w:rsidP="00423033">
            <w:pPr>
              <w:pStyle w:val="Tabletext"/>
            </w:pPr>
            <w:r>
              <w:t>I</w:t>
            </w:r>
            <w:r w:rsidR="00F56607">
              <w:t>da Hoghooghi</w:t>
            </w:r>
          </w:p>
        </w:tc>
        <w:tc>
          <w:tcPr>
            <w:tcW w:w="2071" w:type="dxa"/>
            <w:shd w:val="clear" w:color="auto" w:fill="auto"/>
          </w:tcPr>
          <w:p w14:paraId="4D90A453" w14:textId="77777777" w:rsidR="00F94526" w:rsidRDefault="00F94526" w:rsidP="00423033">
            <w:pPr>
              <w:pStyle w:val="Tabletext"/>
            </w:pPr>
          </w:p>
        </w:tc>
      </w:tr>
    </w:tbl>
    <w:p w14:paraId="53E670CC" w14:textId="77777777" w:rsidR="003A30B1" w:rsidRPr="00150E3D" w:rsidRDefault="003A30B1" w:rsidP="00150E3D">
      <w:pPr>
        <w:pStyle w:val="Tabletext"/>
      </w:pPr>
    </w:p>
    <w:p w14:paraId="465BF371" w14:textId="510BFC36" w:rsidR="003A30B1" w:rsidRDefault="00A61842" w:rsidP="003A30B1">
      <w:pPr>
        <w:pStyle w:val="ItemHead"/>
      </w:pPr>
      <w:r>
        <w:t>7</w:t>
      </w:r>
      <w:r w:rsidR="003A30B1">
        <w:t xml:space="preserve">  Subsection 6(2) (after table item </w:t>
      </w:r>
      <w:r w:rsidR="00E22FCF">
        <w:t>72</w:t>
      </w:r>
      <w:r w:rsidR="003A30B1">
        <w:t>)</w:t>
      </w:r>
    </w:p>
    <w:p w14:paraId="5096FE35" w14:textId="77777777" w:rsidR="003A30B1" w:rsidRDefault="003A30B1" w:rsidP="003A30B1">
      <w:pPr>
        <w:pStyle w:val="Item"/>
      </w:pPr>
      <w:r>
        <w:t>Insert:</w:t>
      </w:r>
    </w:p>
    <w:p w14:paraId="4BA30E05" w14:textId="77777777" w:rsidR="003A30B1" w:rsidRPr="00E15600" w:rsidRDefault="003A30B1" w:rsidP="00150E3D">
      <w:pPr>
        <w:pStyle w:val="Tabletext"/>
      </w:pPr>
    </w:p>
    <w:tbl>
      <w:tblPr>
        <w:tblW w:w="6660" w:type="dxa"/>
        <w:tblInd w:w="1332" w:type="dxa"/>
        <w:tblLayout w:type="fixed"/>
        <w:tblLook w:val="0000" w:firstRow="0" w:lastRow="0" w:firstColumn="0" w:lastColumn="0" w:noHBand="0" w:noVBand="0"/>
      </w:tblPr>
      <w:tblGrid>
        <w:gridCol w:w="726"/>
        <w:gridCol w:w="3863"/>
        <w:gridCol w:w="2071"/>
      </w:tblGrid>
      <w:tr w:rsidR="00403290" w14:paraId="21642440" w14:textId="77777777" w:rsidTr="00423033">
        <w:trPr>
          <w:trHeight w:val="257"/>
        </w:trPr>
        <w:tc>
          <w:tcPr>
            <w:tcW w:w="726" w:type="dxa"/>
            <w:shd w:val="clear" w:color="auto" w:fill="auto"/>
            <w:vAlign w:val="bottom"/>
          </w:tcPr>
          <w:p w14:paraId="583DDEE6" w14:textId="7176C481" w:rsidR="00403290" w:rsidRDefault="00E22FCF" w:rsidP="00423033">
            <w:pPr>
              <w:pStyle w:val="Tabletext"/>
            </w:pPr>
            <w:r>
              <w:t>72A</w:t>
            </w:r>
          </w:p>
        </w:tc>
        <w:tc>
          <w:tcPr>
            <w:tcW w:w="3863" w:type="dxa"/>
            <w:shd w:val="clear" w:color="auto" w:fill="auto"/>
          </w:tcPr>
          <w:p w14:paraId="589D0D46" w14:textId="2A64593C" w:rsidR="00403290" w:rsidRPr="005A4F44" w:rsidRDefault="00F56607" w:rsidP="00423033">
            <w:pPr>
              <w:pStyle w:val="Tabletext"/>
            </w:pPr>
            <w:r>
              <w:t>John G. Finley</w:t>
            </w:r>
          </w:p>
        </w:tc>
        <w:tc>
          <w:tcPr>
            <w:tcW w:w="2071" w:type="dxa"/>
            <w:shd w:val="clear" w:color="auto" w:fill="auto"/>
          </w:tcPr>
          <w:p w14:paraId="1C13099A" w14:textId="77777777" w:rsidR="00403290" w:rsidRDefault="00403290" w:rsidP="00423033">
            <w:pPr>
              <w:pStyle w:val="Tabletext"/>
            </w:pPr>
          </w:p>
        </w:tc>
      </w:tr>
    </w:tbl>
    <w:p w14:paraId="04EB6652" w14:textId="77777777" w:rsidR="00E35770" w:rsidRDefault="00E35770" w:rsidP="00150E3D">
      <w:pPr>
        <w:pStyle w:val="Tabletext"/>
      </w:pPr>
    </w:p>
    <w:p w14:paraId="256D5653" w14:textId="4698D8C8" w:rsidR="00E35770" w:rsidRDefault="00A61842" w:rsidP="00E35770">
      <w:pPr>
        <w:pStyle w:val="ItemHead"/>
      </w:pPr>
      <w:r>
        <w:t>8</w:t>
      </w:r>
      <w:r w:rsidR="00E35770">
        <w:t xml:space="preserve">  Subsection 6(2) (after table item </w:t>
      </w:r>
      <w:r w:rsidR="00E22FCF">
        <w:t>100A</w:t>
      </w:r>
      <w:r w:rsidR="00E35770">
        <w:t>)</w:t>
      </w:r>
    </w:p>
    <w:p w14:paraId="6E9583A5" w14:textId="77777777" w:rsidR="00E35770" w:rsidRDefault="00E35770" w:rsidP="00E35770">
      <w:pPr>
        <w:pStyle w:val="Item"/>
      </w:pPr>
      <w:r>
        <w:t>Insert:</w:t>
      </w:r>
    </w:p>
    <w:p w14:paraId="78E83471" w14:textId="77777777" w:rsidR="00E35770" w:rsidRPr="00E15600" w:rsidRDefault="00E35770" w:rsidP="00150E3D">
      <w:pPr>
        <w:pStyle w:val="Tabletext"/>
      </w:pPr>
    </w:p>
    <w:tbl>
      <w:tblPr>
        <w:tblW w:w="6665" w:type="dxa"/>
        <w:tblInd w:w="1332" w:type="dxa"/>
        <w:tblLayout w:type="fixed"/>
        <w:tblLook w:val="0000" w:firstRow="0" w:lastRow="0" w:firstColumn="0" w:lastColumn="0" w:noHBand="0" w:noVBand="0"/>
      </w:tblPr>
      <w:tblGrid>
        <w:gridCol w:w="726"/>
        <w:gridCol w:w="3866"/>
        <w:gridCol w:w="2073"/>
      </w:tblGrid>
      <w:tr w:rsidR="00403290" w14:paraId="76323EA1" w14:textId="77777777" w:rsidTr="00403290">
        <w:trPr>
          <w:trHeight w:val="257"/>
        </w:trPr>
        <w:tc>
          <w:tcPr>
            <w:tcW w:w="726" w:type="dxa"/>
            <w:shd w:val="clear" w:color="auto" w:fill="auto"/>
            <w:vAlign w:val="bottom"/>
          </w:tcPr>
          <w:p w14:paraId="0506FF97" w14:textId="73C77463" w:rsidR="00403290" w:rsidRDefault="00E22FCF" w:rsidP="00423033">
            <w:pPr>
              <w:pStyle w:val="Tabletext"/>
            </w:pPr>
            <w:r>
              <w:t>100B</w:t>
            </w:r>
          </w:p>
        </w:tc>
        <w:tc>
          <w:tcPr>
            <w:tcW w:w="3866" w:type="dxa"/>
            <w:shd w:val="clear" w:color="auto" w:fill="auto"/>
          </w:tcPr>
          <w:p w14:paraId="7887ED23" w14:textId="47A607E6" w:rsidR="00403290" w:rsidRPr="005A4F44" w:rsidRDefault="00F56607" w:rsidP="00423033">
            <w:pPr>
              <w:pStyle w:val="Tabletext"/>
            </w:pPr>
            <w:r>
              <w:t>Menes Chee</w:t>
            </w:r>
          </w:p>
        </w:tc>
        <w:tc>
          <w:tcPr>
            <w:tcW w:w="2073" w:type="dxa"/>
            <w:shd w:val="clear" w:color="auto" w:fill="auto"/>
          </w:tcPr>
          <w:p w14:paraId="11A15B24" w14:textId="77777777" w:rsidR="00403290" w:rsidRDefault="00403290" w:rsidP="00423033">
            <w:pPr>
              <w:pStyle w:val="Tabletext"/>
            </w:pPr>
          </w:p>
        </w:tc>
      </w:tr>
      <w:tr w:rsidR="00F9250A" w14:paraId="0EFEF305" w14:textId="77777777" w:rsidTr="00403290">
        <w:trPr>
          <w:trHeight w:val="257"/>
        </w:trPr>
        <w:tc>
          <w:tcPr>
            <w:tcW w:w="726" w:type="dxa"/>
            <w:shd w:val="clear" w:color="auto" w:fill="auto"/>
            <w:vAlign w:val="bottom"/>
          </w:tcPr>
          <w:p w14:paraId="399EF58C" w14:textId="668BDDE4" w:rsidR="00F9250A" w:rsidRDefault="00F9250A" w:rsidP="00423033">
            <w:pPr>
              <w:pStyle w:val="Tabletext"/>
            </w:pPr>
            <w:r>
              <w:t>100C</w:t>
            </w:r>
          </w:p>
        </w:tc>
        <w:tc>
          <w:tcPr>
            <w:tcW w:w="3866" w:type="dxa"/>
            <w:shd w:val="clear" w:color="auto" w:fill="auto"/>
          </w:tcPr>
          <w:p w14:paraId="223EC00C" w14:textId="67335D3A" w:rsidR="00F9250A" w:rsidRDefault="00F9250A" w:rsidP="00423033">
            <w:pPr>
              <w:pStyle w:val="Tabletext"/>
            </w:pPr>
            <w:r>
              <w:t>Michael Hovey</w:t>
            </w:r>
          </w:p>
        </w:tc>
        <w:tc>
          <w:tcPr>
            <w:tcW w:w="2073" w:type="dxa"/>
            <w:shd w:val="clear" w:color="auto" w:fill="auto"/>
          </w:tcPr>
          <w:p w14:paraId="5C5A4B13" w14:textId="77777777" w:rsidR="00F9250A" w:rsidRDefault="00F9250A" w:rsidP="00423033">
            <w:pPr>
              <w:pStyle w:val="Tabletext"/>
            </w:pPr>
          </w:p>
        </w:tc>
      </w:tr>
    </w:tbl>
    <w:p w14:paraId="4E5393CB" w14:textId="77777777" w:rsidR="00E35770" w:rsidRDefault="00E35770" w:rsidP="00150E3D">
      <w:pPr>
        <w:pStyle w:val="Tabletext"/>
      </w:pPr>
    </w:p>
    <w:p w14:paraId="3F41EDEE" w14:textId="22C1DA07" w:rsidR="00E35770" w:rsidRDefault="00A61842" w:rsidP="00E35770">
      <w:pPr>
        <w:pStyle w:val="ItemHead"/>
      </w:pPr>
      <w:r>
        <w:t>9</w:t>
      </w:r>
      <w:r w:rsidR="00E35770">
        <w:t xml:space="preserve">  Subsection 6(2) (after table item </w:t>
      </w:r>
      <w:r w:rsidR="00F9250A">
        <w:t>112</w:t>
      </w:r>
      <w:r w:rsidR="00E35770">
        <w:t>)</w:t>
      </w:r>
    </w:p>
    <w:p w14:paraId="5F518FBD" w14:textId="77777777" w:rsidR="00E35770" w:rsidRDefault="00E35770" w:rsidP="00E35770">
      <w:pPr>
        <w:pStyle w:val="Item"/>
      </w:pPr>
      <w:r>
        <w:t>Insert:</w:t>
      </w:r>
    </w:p>
    <w:p w14:paraId="57041C0D" w14:textId="77777777" w:rsidR="00E35770" w:rsidRPr="00E15600" w:rsidRDefault="00E35770" w:rsidP="00150E3D">
      <w:pPr>
        <w:pStyle w:val="Tabletext"/>
      </w:pPr>
    </w:p>
    <w:tbl>
      <w:tblPr>
        <w:tblW w:w="6665" w:type="dxa"/>
        <w:tblInd w:w="1332" w:type="dxa"/>
        <w:tblLayout w:type="fixed"/>
        <w:tblLook w:val="0000" w:firstRow="0" w:lastRow="0" w:firstColumn="0" w:lastColumn="0" w:noHBand="0" w:noVBand="0"/>
      </w:tblPr>
      <w:tblGrid>
        <w:gridCol w:w="726"/>
        <w:gridCol w:w="3866"/>
        <w:gridCol w:w="2073"/>
      </w:tblGrid>
      <w:tr w:rsidR="00575B9A" w14:paraId="03EB1E4A" w14:textId="77777777" w:rsidTr="00575B9A">
        <w:trPr>
          <w:trHeight w:val="257"/>
        </w:trPr>
        <w:tc>
          <w:tcPr>
            <w:tcW w:w="726" w:type="dxa"/>
            <w:shd w:val="clear" w:color="auto" w:fill="auto"/>
            <w:vAlign w:val="bottom"/>
          </w:tcPr>
          <w:p w14:paraId="24A68DCC" w14:textId="242A603B" w:rsidR="00575B9A" w:rsidRDefault="00F9250A" w:rsidP="00423033">
            <w:pPr>
              <w:pStyle w:val="Tabletext"/>
            </w:pPr>
            <w:r>
              <w:t>112A</w:t>
            </w:r>
          </w:p>
        </w:tc>
        <w:tc>
          <w:tcPr>
            <w:tcW w:w="3866" w:type="dxa"/>
            <w:shd w:val="clear" w:color="auto" w:fill="auto"/>
          </w:tcPr>
          <w:p w14:paraId="249A94C4" w14:textId="47AC9949" w:rsidR="00575B9A" w:rsidRPr="005A4F44" w:rsidRDefault="00070950" w:rsidP="00423033">
            <w:pPr>
              <w:pStyle w:val="Tabletext"/>
            </w:pPr>
            <w:r>
              <w:t>Nela D’Agosta</w:t>
            </w:r>
          </w:p>
        </w:tc>
        <w:tc>
          <w:tcPr>
            <w:tcW w:w="2073" w:type="dxa"/>
            <w:shd w:val="clear" w:color="auto" w:fill="auto"/>
          </w:tcPr>
          <w:p w14:paraId="5949EBE2" w14:textId="77777777" w:rsidR="00575B9A" w:rsidRDefault="00575B9A" w:rsidP="00423033">
            <w:pPr>
              <w:pStyle w:val="Tabletext"/>
            </w:pPr>
          </w:p>
        </w:tc>
      </w:tr>
    </w:tbl>
    <w:p w14:paraId="59EF18CF" w14:textId="77777777" w:rsidR="00E35770" w:rsidRDefault="00E35770" w:rsidP="00150E3D">
      <w:pPr>
        <w:pStyle w:val="Tabletext"/>
      </w:pPr>
    </w:p>
    <w:p w14:paraId="5C57FF67" w14:textId="1CE6F255" w:rsidR="00E35770" w:rsidRDefault="00A61842" w:rsidP="00E35770">
      <w:pPr>
        <w:pStyle w:val="ItemHead"/>
      </w:pPr>
      <w:r>
        <w:t>10</w:t>
      </w:r>
      <w:r w:rsidR="00E35770">
        <w:t xml:space="preserve">  Subsection 6(2) (after table item </w:t>
      </w:r>
      <w:r w:rsidR="001532F3">
        <w:t>133</w:t>
      </w:r>
      <w:r w:rsidR="00E35770">
        <w:t>)</w:t>
      </w:r>
    </w:p>
    <w:p w14:paraId="36EDFBFE" w14:textId="77777777" w:rsidR="00E35770" w:rsidRDefault="00E35770" w:rsidP="00E35770">
      <w:pPr>
        <w:pStyle w:val="Item"/>
      </w:pPr>
      <w:r>
        <w:t>Insert:</w:t>
      </w:r>
    </w:p>
    <w:p w14:paraId="62E9167D" w14:textId="77777777" w:rsidR="00E35770" w:rsidRPr="00E15600" w:rsidRDefault="00E35770" w:rsidP="00150E3D">
      <w:pPr>
        <w:pStyle w:val="Tabletext"/>
      </w:pPr>
    </w:p>
    <w:tbl>
      <w:tblPr>
        <w:tblW w:w="6660" w:type="dxa"/>
        <w:tblInd w:w="1332" w:type="dxa"/>
        <w:tblLayout w:type="fixed"/>
        <w:tblLook w:val="0000" w:firstRow="0" w:lastRow="0" w:firstColumn="0" w:lastColumn="0" w:noHBand="0" w:noVBand="0"/>
      </w:tblPr>
      <w:tblGrid>
        <w:gridCol w:w="726"/>
        <w:gridCol w:w="3863"/>
        <w:gridCol w:w="2071"/>
      </w:tblGrid>
      <w:tr w:rsidR="00575B9A" w14:paraId="01AF1083" w14:textId="77777777" w:rsidTr="00575B9A">
        <w:trPr>
          <w:trHeight w:val="257"/>
        </w:trPr>
        <w:tc>
          <w:tcPr>
            <w:tcW w:w="726" w:type="dxa"/>
            <w:shd w:val="clear" w:color="auto" w:fill="auto"/>
            <w:vAlign w:val="bottom"/>
          </w:tcPr>
          <w:p w14:paraId="714888B2" w14:textId="5BDF29CD" w:rsidR="00575B9A" w:rsidRDefault="001532F3" w:rsidP="00423033">
            <w:pPr>
              <w:pStyle w:val="Tabletext"/>
            </w:pPr>
            <w:r>
              <w:t>133A</w:t>
            </w:r>
          </w:p>
        </w:tc>
        <w:tc>
          <w:tcPr>
            <w:tcW w:w="3863" w:type="dxa"/>
            <w:shd w:val="clear" w:color="auto" w:fill="auto"/>
          </w:tcPr>
          <w:p w14:paraId="06B11971" w14:textId="0A004F06" w:rsidR="00575B9A" w:rsidRPr="005A4F44" w:rsidRDefault="00070950" w:rsidP="00423033">
            <w:pPr>
              <w:pStyle w:val="Tabletext"/>
            </w:pPr>
            <w:r>
              <w:t>Rome Holdco L</w:t>
            </w:r>
            <w:r w:rsidR="00CF4C07">
              <w:t>.</w:t>
            </w:r>
            <w:r>
              <w:t>L</w:t>
            </w:r>
            <w:r w:rsidR="00CF4C07">
              <w:t>.</w:t>
            </w:r>
            <w:r>
              <w:t>C</w:t>
            </w:r>
            <w:r w:rsidR="00CF4C07">
              <w:t>.</w:t>
            </w:r>
          </w:p>
        </w:tc>
        <w:tc>
          <w:tcPr>
            <w:tcW w:w="2071" w:type="dxa"/>
            <w:shd w:val="clear" w:color="auto" w:fill="auto"/>
          </w:tcPr>
          <w:p w14:paraId="5329B26E" w14:textId="77777777" w:rsidR="00575B9A" w:rsidRDefault="00575B9A" w:rsidP="00423033">
            <w:pPr>
              <w:pStyle w:val="Tabletext"/>
            </w:pPr>
          </w:p>
        </w:tc>
      </w:tr>
      <w:tr w:rsidR="00F9250A" w14:paraId="163B44A7" w14:textId="77777777" w:rsidTr="00575B9A">
        <w:trPr>
          <w:trHeight w:val="257"/>
        </w:trPr>
        <w:tc>
          <w:tcPr>
            <w:tcW w:w="726" w:type="dxa"/>
            <w:shd w:val="clear" w:color="auto" w:fill="auto"/>
            <w:vAlign w:val="bottom"/>
          </w:tcPr>
          <w:p w14:paraId="5C337F1F" w14:textId="17607F93" w:rsidR="00F9250A" w:rsidRDefault="001532F3" w:rsidP="00423033">
            <w:pPr>
              <w:pStyle w:val="Tabletext"/>
            </w:pPr>
            <w:r>
              <w:t>133B</w:t>
            </w:r>
          </w:p>
        </w:tc>
        <w:tc>
          <w:tcPr>
            <w:tcW w:w="3863" w:type="dxa"/>
            <w:shd w:val="clear" w:color="auto" w:fill="auto"/>
          </w:tcPr>
          <w:p w14:paraId="3EA0B1C3" w14:textId="4E60805F" w:rsidR="00F9250A" w:rsidRDefault="00F9250A" w:rsidP="00423033">
            <w:pPr>
              <w:pStyle w:val="Tabletext"/>
            </w:pPr>
            <w:r>
              <w:t>Rome Holdco L</w:t>
            </w:r>
            <w:r w:rsidR="00CF4C07">
              <w:t>.</w:t>
            </w:r>
            <w:r>
              <w:t>P</w:t>
            </w:r>
            <w:r w:rsidR="00CF4C07">
              <w:t>.</w:t>
            </w:r>
          </w:p>
        </w:tc>
        <w:tc>
          <w:tcPr>
            <w:tcW w:w="2071" w:type="dxa"/>
            <w:shd w:val="clear" w:color="auto" w:fill="auto"/>
          </w:tcPr>
          <w:p w14:paraId="35D0618E" w14:textId="77777777" w:rsidR="00F9250A" w:rsidRDefault="00F9250A" w:rsidP="00423033">
            <w:pPr>
              <w:pStyle w:val="Tabletext"/>
            </w:pPr>
          </w:p>
        </w:tc>
      </w:tr>
    </w:tbl>
    <w:p w14:paraId="25E7A247" w14:textId="77777777" w:rsidR="00E35770" w:rsidRDefault="00E35770" w:rsidP="00150E3D">
      <w:pPr>
        <w:pStyle w:val="Tabletext"/>
      </w:pPr>
    </w:p>
    <w:p w14:paraId="31EF48CA" w14:textId="7D6ACB80" w:rsidR="00F025AC" w:rsidRDefault="00FF7BA3" w:rsidP="00F025AC">
      <w:pPr>
        <w:pStyle w:val="ItemHead"/>
      </w:pPr>
      <w:r>
        <w:t>1</w:t>
      </w:r>
      <w:r w:rsidR="00A61842">
        <w:t>1</w:t>
      </w:r>
      <w:r w:rsidR="00F025AC">
        <w:t xml:space="preserve">  Subsection 6(2) (after table item </w:t>
      </w:r>
      <w:r w:rsidR="001532F3">
        <w:t>138</w:t>
      </w:r>
      <w:r w:rsidR="00F025AC">
        <w:t>)</w:t>
      </w:r>
    </w:p>
    <w:p w14:paraId="43C83E4E" w14:textId="77777777" w:rsidR="00F025AC" w:rsidRDefault="00F025AC" w:rsidP="00F025AC">
      <w:pPr>
        <w:pStyle w:val="Item"/>
      </w:pPr>
      <w:r>
        <w:t>Insert:</w:t>
      </w:r>
    </w:p>
    <w:p w14:paraId="740B16C4" w14:textId="77777777" w:rsidR="00F025AC" w:rsidRPr="00E15600" w:rsidRDefault="00F025AC" w:rsidP="00150E3D">
      <w:pPr>
        <w:pStyle w:val="Tabletext"/>
      </w:pPr>
    </w:p>
    <w:tbl>
      <w:tblPr>
        <w:tblW w:w="6665" w:type="dxa"/>
        <w:tblInd w:w="1332" w:type="dxa"/>
        <w:tblLayout w:type="fixed"/>
        <w:tblLook w:val="0000" w:firstRow="0" w:lastRow="0" w:firstColumn="0" w:lastColumn="0" w:noHBand="0" w:noVBand="0"/>
      </w:tblPr>
      <w:tblGrid>
        <w:gridCol w:w="726"/>
        <w:gridCol w:w="3866"/>
        <w:gridCol w:w="2073"/>
      </w:tblGrid>
      <w:tr w:rsidR="00C67D98" w14:paraId="0C63369D" w14:textId="77777777" w:rsidTr="00C67D98">
        <w:trPr>
          <w:trHeight w:val="257"/>
        </w:trPr>
        <w:tc>
          <w:tcPr>
            <w:tcW w:w="726" w:type="dxa"/>
            <w:shd w:val="clear" w:color="auto" w:fill="auto"/>
            <w:vAlign w:val="bottom"/>
          </w:tcPr>
          <w:p w14:paraId="226C6ECB" w14:textId="52E0A132" w:rsidR="00C67D98" w:rsidRDefault="001532F3" w:rsidP="00423033">
            <w:pPr>
              <w:pStyle w:val="Tabletext"/>
            </w:pPr>
            <w:r>
              <w:t>138A</w:t>
            </w:r>
          </w:p>
        </w:tc>
        <w:tc>
          <w:tcPr>
            <w:tcW w:w="3866" w:type="dxa"/>
            <w:shd w:val="clear" w:color="auto" w:fill="auto"/>
          </w:tcPr>
          <w:p w14:paraId="34E32BDA" w14:textId="099E187A" w:rsidR="00C67D98" w:rsidRPr="005A4F44" w:rsidRDefault="008F1E46" w:rsidP="00423033">
            <w:pPr>
              <w:pStyle w:val="Tabletext"/>
            </w:pPr>
            <w:r>
              <w:t>Sean Cort</w:t>
            </w:r>
          </w:p>
        </w:tc>
        <w:tc>
          <w:tcPr>
            <w:tcW w:w="2073" w:type="dxa"/>
            <w:shd w:val="clear" w:color="auto" w:fill="auto"/>
          </w:tcPr>
          <w:p w14:paraId="0A161653" w14:textId="77777777" w:rsidR="00C67D98" w:rsidRDefault="00C67D98" w:rsidP="00423033">
            <w:pPr>
              <w:pStyle w:val="Tabletext"/>
            </w:pPr>
          </w:p>
        </w:tc>
      </w:tr>
    </w:tbl>
    <w:p w14:paraId="6F1F5A29" w14:textId="77777777" w:rsidR="00E35770" w:rsidRDefault="00E35770" w:rsidP="00150E3D">
      <w:pPr>
        <w:pStyle w:val="Tabletext"/>
      </w:pPr>
    </w:p>
    <w:p w14:paraId="088F246A" w14:textId="09C8533F" w:rsidR="00F025AC" w:rsidRDefault="00FF7BA3" w:rsidP="00102894">
      <w:pPr>
        <w:pStyle w:val="ItemHead"/>
        <w:ind w:left="0" w:firstLine="0"/>
      </w:pPr>
      <w:r>
        <w:t>1</w:t>
      </w:r>
      <w:r w:rsidR="00A61842">
        <w:t>2</w:t>
      </w:r>
      <w:r w:rsidR="00F025AC">
        <w:t xml:space="preserve">  Subsection 6(2) (after table item </w:t>
      </w:r>
      <w:r w:rsidR="00A7585C">
        <w:t>146</w:t>
      </w:r>
      <w:r w:rsidR="00F025AC">
        <w:t>)</w:t>
      </w:r>
    </w:p>
    <w:p w14:paraId="7674AE54" w14:textId="77777777" w:rsidR="00F025AC" w:rsidRDefault="00F025AC" w:rsidP="00F025AC">
      <w:pPr>
        <w:pStyle w:val="Item"/>
      </w:pPr>
      <w:r>
        <w:t>Insert:</w:t>
      </w:r>
    </w:p>
    <w:p w14:paraId="7550B2B7" w14:textId="77777777" w:rsidR="00F025AC" w:rsidRPr="00E15600" w:rsidRDefault="00F025AC" w:rsidP="00150E3D">
      <w:pPr>
        <w:pStyle w:val="Tabletext"/>
      </w:pPr>
    </w:p>
    <w:tbl>
      <w:tblPr>
        <w:tblW w:w="6665" w:type="dxa"/>
        <w:tblInd w:w="1332" w:type="dxa"/>
        <w:tblLayout w:type="fixed"/>
        <w:tblLook w:val="0000" w:firstRow="0" w:lastRow="0" w:firstColumn="0" w:lastColumn="0" w:noHBand="0" w:noVBand="0"/>
      </w:tblPr>
      <w:tblGrid>
        <w:gridCol w:w="726"/>
        <w:gridCol w:w="3866"/>
        <w:gridCol w:w="2073"/>
      </w:tblGrid>
      <w:tr w:rsidR="00C67D98" w14:paraId="76CF08D4" w14:textId="77777777" w:rsidTr="00C67D98">
        <w:trPr>
          <w:trHeight w:val="257"/>
        </w:trPr>
        <w:tc>
          <w:tcPr>
            <w:tcW w:w="726" w:type="dxa"/>
            <w:shd w:val="clear" w:color="auto" w:fill="auto"/>
            <w:vAlign w:val="bottom"/>
          </w:tcPr>
          <w:p w14:paraId="7E2AB1B4" w14:textId="7C5B2228" w:rsidR="00C67D98" w:rsidRDefault="00A7585C" w:rsidP="00423033">
            <w:pPr>
              <w:pStyle w:val="Tabletext"/>
            </w:pPr>
            <w:r>
              <w:t>146A</w:t>
            </w:r>
          </w:p>
        </w:tc>
        <w:tc>
          <w:tcPr>
            <w:tcW w:w="3866" w:type="dxa"/>
            <w:shd w:val="clear" w:color="auto" w:fill="auto"/>
          </w:tcPr>
          <w:p w14:paraId="46F03702" w14:textId="5FB880B0" w:rsidR="00C67D98" w:rsidRPr="005A4F44" w:rsidRDefault="008F1E46" w:rsidP="00423033">
            <w:pPr>
              <w:pStyle w:val="Tabletext"/>
            </w:pPr>
            <w:r>
              <w:t>Stephen A. Schwarzman</w:t>
            </w:r>
          </w:p>
        </w:tc>
        <w:tc>
          <w:tcPr>
            <w:tcW w:w="2073" w:type="dxa"/>
            <w:shd w:val="clear" w:color="auto" w:fill="auto"/>
          </w:tcPr>
          <w:p w14:paraId="087B21DE" w14:textId="77777777" w:rsidR="00C67D98" w:rsidRDefault="00C67D98" w:rsidP="00423033">
            <w:pPr>
              <w:pStyle w:val="Tabletext"/>
            </w:pPr>
          </w:p>
        </w:tc>
      </w:tr>
    </w:tbl>
    <w:p w14:paraId="2DFFBCB9" w14:textId="77777777" w:rsidR="003C74C0" w:rsidRDefault="003C74C0" w:rsidP="00150E3D">
      <w:pPr>
        <w:pStyle w:val="Tabletext"/>
      </w:pPr>
    </w:p>
    <w:p w14:paraId="298D5C4E" w14:textId="297DF598" w:rsidR="008F1E46" w:rsidRDefault="00FF7BA3" w:rsidP="008F1E46">
      <w:pPr>
        <w:pStyle w:val="ItemHead"/>
        <w:ind w:left="0" w:firstLine="0"/>
      </w:pPr>
      <w:r>
        <w:t>1</w:t>
      </w:r>
      <w:r w:rsidR="00A61842">
        <w:t>3</w:t>
      </w:r>
      <w:r w:rsidR="008F1E46">
        <w:t xml:space="preserve">  Subsection 6(2) (after table item </w:t>
      </w:r>
      <w:r w:rsidR="00A7585C">
        <w:t>172</w:t>
      </w:r>
      <w:r w:rsidR="008F1E46">
        <w:t>)</w:t>
      </w:r>
    </w:p>
    <w:p w14:paraId="2F1AEA30" w14:textId="77777777" w:rsidR="008F1E46" w:rsidRDefault="008F1E46" w:rsidP="008F1E46">
      <w:pPr>
        <w:pStyle w:val="Item"/>
      </w:pPr>
      <w:r>
        <w:t>Insert:</w:t>
      </w:r>
    </w:p>
    <w:p w14:paraId="369702B6" w14:textId="77777777" w:rsidR="008F1E46" w:rsidRPr="00E15600" w:rsidRDefault="008F1E46" w:rsidP="00150E3D">
      <w:pPr>
        <w:pStyle w:val="Tabletext"/>
      </w:pPr>
    </w:p>
    <w:tbl>
      <w:tblPr>
        <w:tblW w:w="6665" w:type="dxa"/>
        <w:tblInd w:w="1332" w:type="dxa"/>
        <w:tblLayout w:type="fixed"/>
        <w:tblLook w:val="0000" w:firstRow="0" w:lastRow="0" w:firstColumn="0" w:lastColumn="0" w:noHBand="0" w:noVBand="0"/>
      </w:tblPr>
      <w:tblGrid>
        <w:gridCol w:w="726"/>
        <w:gridCol w:w="3866"/>
        <w:gridCol w:w="2073"/>
      </w:tblGrid>
      <w:tr w:rsidR="008F1E46" w14:paraId="45C717A2" w14:textId="77777777" w:rsidTr="00423033">
        <w:trPr>
          <w:trHeight w:val="257"/>
        </w:trPr>
        <w:tc>
          <w:tcPr>
            <w:tcW w:w="726" w:type="dxa"/>
            <w:shd w:val="clear" w:color="auto" w:fill="auto"/>
            <w:vAlign w:val="bottom"/>
          </w:tcPr>
          <w:p w14:paraId="5A4FE0B3" w14:textId="10A56F12" w:rsidR="008F1E46" w:rsidRDefault="00A7585C" w:rsidP="00423033">
            <w:pPr>
              <w:pStyle w:val="Tabletext"/>
            </w:pPr>
            <w:r>
              <w:t>172A</w:t>
            </w:r>
          </w:p>
        </w:tc>
        <w:tc>
          <w:tcPr>
            <w:tcW w:w="3866" w:type="dxa"/>
            <w:shd w:val="clear" w:color="auto" w:fill="auto"/>
          </w:tcPr>
          <w:p w14:paraId="456C1209" w14:textId="7EAAC782" w:rsidR="008F1E46" w:rsidRPr="005A4F44" w:rsidRDefault="008F1E46" w:rsidP="00423033">
            <w:pPr>
              <w:pStyle w:val="Tabletext"/>
            </w:pPr>
            <w:r>
              <w:t>Vikrant Sawhney</w:t>
            </w:r>
          </w:p>
        </w:tc>
        <w:tc>
          <w:tcPr>
            <w:tcW w:w="2073" w:type="dxa"/>
            <w:shd w:val="clear" w:color="auto" w:fill="auto"/>
          </w:tcPr>
          <w:p w14:paraId="5DFCC965" w14:textId="77777777" w:rsidR="008F1E46" w:rsidRDefault="008F1E46" w:rsidP="00423033">
            <w:pPr>
              <w:pStyle w:val="Tabletext"/>
            </w:pPr>
          </w:p>
        </w:tc>
      </w:tr>
    </w:tbl>
    <w:p w14:paraId="487A342E" w14:textId="77777777" w:rsidR="004C09F1" w:rsidRPr="004C09F1" w:rsidRDefault="004C09F1" w:rsidP="00150E3D">
      <w:pPr>
        <w:pStyle w:val="Tabletext"/>
      </w:pPr>
    </w:p>
    <w:p w14:paraId="07BB7BDC" w14:textId="353FB84D" w:rsidR="00CF6430" w:rsidRDefault="00284031" w:rsidP="00C9487C">
      <w:pPr>
        <w:pStyle w:val="ItemHead"/>
      </w:pPr>
      <w:r>
        <w:t>1</w:t>
      </w:r>
      <w:r w:rsidR="00A61842">
        <w:t>4</w:t>
      </w:r>
      <w:r w:rsidR="00C9487C">
        <w:t xml:space="preserve">  Subsection</w:t>
      </w:r>
      <w:r w:rsidR="00735481">
        <w:t>s</w:t>
      </w:r>
      <w:r w:rsidR="00A91D35">
        <w:t xml:space="preserve"> 7(2)</w:t>
      </w:r>
      <w:r w:rsidR="00791972">
        <w:t xml:space="preserve"> to (9)</w:t>
      </w:r>
    </w:p>
    <w:p w14:paraId="4ABBE088" w14:textId="479A81DC" w:rsidR="00C9487C" w:rsidRDefault="00D25060" w:rsidP="00C9487C">
      <w:pPr>
        <w:pStyle w:val="Item"/>
      </w:pPr>
      <w:r>
        <w:t>Repeal</w:t>
      </w:r>
      <w:r w:rsidR="00CE2DBF">
        <w:t xml:space="preserve"> the</w:t>
      </w:r>
      <w:r w:rsidR="000E67F1">
        <w:t xml:space="preserve"> subsections, substitute:</w:t>
      </w:r>
    </w:p>
    <w:p w14:paraId="463E679E" w14:textId="3E649DC5" w:rsidR="005A2F5B" w:rsidRPr="005A2F5B" w:rsidRDefault="005A2F5B" w:rsidP="00150E3D">
      <w:pPr>
        <w:pStyle w:val="SubsectionHead"/>
      </w:pPr>
      <w:r w:rsidRPr="005A2F5B">
        <w:t xml:space="preserve">Condition 1: </w:t>
      </w:r>
      <w:r w:rsidR="002110AA">
        <w:t>provision of documents to APRA</w:t>
      </w:r>
    </w:p>
    <w:p w14:paraId="45F83293" w14:textId="5E5F20B0" w:rsidR="00953676" w:rsidRDefault="00B6446D" w:rsidP="00150E3D">
      <w:pPr>
        <w:pStyle w:val="subsection"/>
      </w:pPr>
      <w:r>
        <w:tab/>
        <w:t>(</w:t>
      </w:r>
      <w:r w:rsidR="00B110EF">
        <w:t>2</w:t>
      </w:r>
      <w:r>
        <w:t>)</w:t>
      </w:r>
      <w:r>
        <w:tab/>
      </w:r>
      <w:r w:rsidR="00077E85">
        <w:t>T</w:t>
      </w:r>
      <w:r>
        <w:t xml:space="preserve">he </w:t>
      </w:r>
      <w:r w:rsidR="00DF31BB">
        <w:t>entity</w:t>
      </w:r>
      <w:r w:rsidR="00077E85">
        <w:t xml:space="preserve"> mentioned in item </w:t>
      </w:r>
      <w:r w:rsidR="00DF31BB">
        <w:t>4C of the table in subsection 6(</w:t>
      </w:r>
      <w:r w:rsidR="009E0252">
        <w:t>3</w:t>
      </w:r>
      <w:r w:rsidR="00DF31BB">
        <w:t xml:space="preserve">) must </w:t>
      </w:r>
      <w:r w:rsidR="00440785">
        <w:t xml:space="preserve">give to APRA copies of </w:t>
      </w:r>
      <w:r w:rsidR="00EB4536">
        <w:t xml:space="preserve">all of </w:t>
      </w:r>
      <w:r w:rsidR="00440785">
        <w:t>the following documents</w:t>
      </w:r>
      <w:r w:rsidR="001C1B2A">
        <w:t>:</w:t>
      </w:r>
    </w:p>
    <w:p w14:paraId="5C02AE2F" w14:textId="120958C1" w:rsidR="00EB4536" w:rsidRDefault="00EB4536" w:rsidP="006D6AF0">
      <w:pPr>
        <w:pStyle w:val="paragraph"/>
      </w:pPr>
      <w:r>
        <w:tab/>
        <w:t>(a)</w:t>
      </w:r>
      <w:r>
        <w:tab/>
        <w:t>any i</w:t>
      </w:r>
      <w:r w:rsidRPr="00150E3D">
        <w:t>ndependent advice commissioned and received by the board of directors</w:t>
      </w:r>
      <w:r>
        <w:t xml:space="preserve"> of the entity relating to the entity’s </w:t>
      </w:r>
      <w:r w:rsidRPr="00150E3D">
        <w:t>overall investment strategy, strategic asset allocations, associated risks, and investment manager performance</w:t>
      </w:r>
      <w:r>
        <w:t>;</w:t>
      </w:r>
    </w:p>
    <w:p w14:paraId="2B053FAD" w14:textId="54634D35" w:rsidR="001C1B2A" w:rsidRDefault="006D6AF0" w:rsidP="006D6AF0">
      <w:pPr>
        <w:pStyle w:val="paragraph"/>
      </w:pPr>
      <w:r>
        <w:tab/>
        <w:t>(</w:t>
      </w:r>
      <w:r w:rsidR="00EB4536">
        <w:t>b</w:t>
      </w:r>
      <w:r>
        <w:t>)</w:t>
      </w:r>
      <w:r>
        <w:tab/>
        <w:t xml:space="preserve">minutes and resolutions from the meetings of the </w:t>
      </w:r>
      <w:r w:rsidR="00D27DD0">
        <w:t xml:space="preserve">Joint Shareholders Committee (being the committee established by the Joint Shareholders Committee Agreement between </w:t>
      </w:r>
      <w:r w:rsidR="008871DB">
        <w:t>the entit</w:t>
      </w:r>
      <w:r w:rsidR="00E91604">
        <w:t>ies</w:t>
      </w:r>
      <w:r w:rsidR="008871DB">
        <w:t xml:space="preserve"> </w:t>
      </w:r>
      <w:r w:rsidR="00EB4536">
        <w:t>mentioned</w:t>
      </w:r>
      <w:r w:rsidR="008871DB">
        <w:t xml:space="preserve"> </w:t>
      </w:r>
      <w:r w:rsidR="00F55774">
        <w:t>in</w:t>
      </w:r>
      <w:r w:rsidR="008871DB">
        <w:t xml:space="preserve"> subsection </w:t>
      </w:r>
      <w:r w:rsidR="00E91604">
        <w:t>(4)</w:t>
      </w:r>
      <w:r w:rsidR="00317352">
        <w:t>)</w:t>
      </w:r>
      <w:r w:rsidR="003E697F">
        <w:t>;</w:t>
      </w:r>
    </w:p>
    <w:p w14:paraId="5CD7A79E" w14:textId="778932C8" w:rsidR="00317352" w:rsidRDefault="00317352" w:rsidP="006D6AF0">
      <w:pPr>
        <w:pStyle w:val="paragraph"/>
      </w:pPr>
      <w:r>
        <w:tab/>
        <w:t>(</w:t>
      </w:r>
      <w:r w:rsidR="00EB4536">
        <w:t>c</w:t>
      </w:r>
      <w:r>
        <w:t>)</w:t>
      </w:r>
      <w:r>
        <w:tab/>
        <w:t xml:space="preserve">minutes and resolutions from the meetings of the </w:t>
      </w:r>
      <w:r w:rsidR="00BC5DAA" w:rsidRPr="00150E3D">
        <w:t>Limited Partner Advisory Committee</w:t>
      </w:r>
      <w:r w:rsidR="00BC5DAA">
        <w:t xml:space="preserve"> (being the advisory committee consisting of representatives of </w:t>
      </w:r>
      <w:r w:rsidR="00FB7CF2">
        <w:t xml:space="preserve">the </w:t>
      </w:r>
      <w:r w:rsidR="00BC5DAA">
        <w:t xml:space="preserve">limited partners of the entity mentioned in </w:t>
      </w:r>
      <w:r w:rsidR="0049259B">
        <w:t>item 30</w:t>
      </w:r>
      <w:r w:rsidR="00BF4B10">
        <w:t>H</w:t>
      </w:r>
      <w:r w:rsidR="0049259B">
        <w:t xml:space="preserve"> of the table in</w:t>
      </w:r>
      <w:r w:rsidR="009E0252">
        <w:t xml:space="preserve"> subsection 6(</w:t>
      </w:r>
      <w:r w:rsidR="00F26C9F">
        <w:t>2)</w:t>
      </w:r>
      <w:r w:rsidR="003533A5">
        <w:t>)</w:t>
      </w:r>
      <w:r w:rsidR="00EB4536">
        <w:t>.</w:t>
      </w:r>
    </w:p>
    <w:p w14:paraId="3737BEDB" w14:textId="391E9493" w:rsidR="00F26C9F" w:rsidRDefault="00B110EF" w:rsidP="00B110EF">
      <w:pPr>
        <w:pStyle w:val="subsection"/>
      </w:pPr>
      <w:r>
        <w:tab/>
        <w:t>(3)</w:t>
      </w:r>
      <w:r>
        <w:tab/>
      </w:r>
      <w:r w:rsidR="00B071D7">
        <w:t xml:space="preserve">A document required to be given to APRA under subsection (2) must be given to APRA at the same time it is given to the </w:t>
      </w:r>
      <w:r w:rsidR="006F29A9" w:rsidRPr="0040610F">
        <w:t>Bermuda Monetary Authority</w:t>
      </w:r>
      <w:r w:rsidR="006F29A9">
        <w:t>.</w:t>
      </w:r>
    </w:p>
    <w:p w14:paraId="1ABDAF37" w14:textId="08280ACF" w:rsidR="003E697F" w:rsidRDefault="00E91604" w:rsidP="00E91604">
      <w:pPr>
        <w:pStyle w:val="subsection"/>
      </w:pPr>
      <w:r>
        <w:tab/>
        <w:t>(4)</w:t>
      </w:r>
      <w:r>
        <w:tab/>
        <w:t>A</w:t>
      </w:r>
      <w:r w:rsidR="00AF719C">
        <w:t>n</w:t>
      </w:r>
      <w:r>
        <w:t xml:space="preserve"> entity is </w:t>
      </w:r>
      <w:r w:rsidR="00EB4536">
        <w:t>mentioned</w:t>
      </w:r>
      <w:r>
        <w:t xml:space="preserve"> </w:t>
      </w:r>
      <w:r w:rsidR="00A24368">
        <w:t>in</w:t>
      </w:r>
      <w:r>
        <w:t xml:space="preserve"> this </w:t>
      </w:r>
      <w:r w:rsidR="00F55774">
        <w:t>subsection if it is mentioned in items 30A, 30C, 30D, 30F, 30G, 38, 46A, 58A, 62A, 70A, 72A, 100B, 100C, 112A, 138A, 146A and 172A of the table in subsection 6(2).</w:t>
      </w:r>
    </w:p>
    <w:p w14:paraId="2C2D774C" w14:textId="71E5D6AD" w:rsidR="00F474E8" w:rsidRPr="00E61293" w:rsidRDefault="00200A9D" w:rsidP="00E61293">
      <w:pPr>
        <w:pStyle w:val="ActHead2"/>
        <w:pageBreakBefore/>
      </w:pPr>
      <w:bookmarkStart w:id="18" w:name="_Toc145061629"/>
      <w:r w:rsidRPr="00E61293">
        <w:rPr>
          <w:rStyle w:val="CharPartNo"/>
        </w:rPr>
        <w:lastRenderedPageBreak/>
        <w:t>Part 2</w:t>
      </w:r>
      <w:r w:rsidRPr="00E61293">
        <w:t>—</w:t>
      </w:r>
      <w:r w:rsidRPr="00E61293">
        <w:rPr>
          <w:rStyle w:val="CharPartText"/>
        </w:rPr>
        <w:t>Repeals</w:t>
      </w:r>
      <w:bookmarkEnd w:id="18"/>
    </w:p>
    <w:p w14:paraId="10175B89" w14:textId="4A3016E2" w:rsidR="00200A9D" w:rsidRDefault="006A56C9" w:rsidP="006A56C9">
      <w:pPr>
        <w:pStyle w:val="ActHead9"/>
      </w:pPr>
      <w:bookmarkStart w:id="19" w:name="_Toc145061630"/>
      <w:r w:rsidRPr="00C17460">
        <w:t>Financial Sector (Shareholdings) (Resolution Life) Instrument 2021</w:t>
      </w:r>
      <w:bookmarkEnd w:id="19"/>
    </w:p>
    <w:p w14:paraId="6C69B57C" w14:textId="5CB8FD67" w:rsidR="00A12D61" w:rsidRDefault="00A12D61" w:rsidP="00A12D61">
      <w:pPr>
        <w:pStyle w:val="ItemHead"/>
      </w:pPr>
      <w:r>
        <w:t>1</w:t>
      </w:r>
      <w:r w:rsidR="00D9121E">
        <w:t>5</w:t>
      </w:r>
      <w:r>
        <w:t xml:space="preserve">  Subsection 6(2) (table items 5 and 6)</w:t>
      </w:r>
    </w:p>
    <w:p w14:paraId="1A032256" w14:textId="5A194F4C" w:rsidR="00A12D61" w:rsidRPr="00A12D61" w:rsidRDefault="00A12D61" w:rsidP="00A12D61">
      <w:pPr>
        <w:pStyle w:val="Item"/>
      </w:pPr>
      <w:r>
        <w:t>Repeal the items.</w:t>
      </w:r>
    </w:p>
    <w:p w14:paraId="02307C2B" w14:textId="36E408E2" w:rsidR="00D9121E" w:rsidRDefault="00D9121E" w:rsidP="00FD5CC3">
      <w:pPr>
        <w:pStyle w:val="ItemHead"/>
      </w:pPr>
      <w:r>
        <w:t>16  Subsection 6(2) (table item 10)</w:t>
      </w:r>
    </w:p>
    <w:p w14:paraId="3436A3AA" w14:textId="1A6F9129" w:rsidR="00D9121E" w:rsidRPr="00D9121E" w:rsidRDefault="00D9121E" w:rsidP="00D9121E">
      <w:pPr>
        <w:pStyle w:val="Item"/>
      </w:pPr>
      <w:r>
        <w:t>Repeal the item</w:t>
      </w:r>
    </w:p>
    <w:p w14:paraId="6A7E23FD" w14:textId="4AB975BA" w:rsidR="006B56FD" w:rsidRDefault="00FD5CC3" w:rsidP="00FD5CC3">
      <w:pPr>
        <w:pStyle w:val="ItemHead"/>
      </w:pPr>
      <w:r>
        <w:t>1</w:t>
      </w:r>
      <w:r w:rsidR="00A61842">
        <w:t>7</w:t>
      </w:r>
      <w:r>
        <w:t xml:space="preserve">  Subsection 6(2) (table items </w:t>
      </w:r>
      <w:r w:rsidR="00BE2677">
        <w:t>1</w:t>
      </w:r>
      <w:r w:rsidR="00D9121E">
        <w:t>1</w:t>
      </w:r>
      <w:r>
        <w:t xml:space="preserve"> to </w:t>
      </w:r>
      <w:r w:rsidR="00A44C4C">
        <w:t>30</w:t>
      </w:r>
      <w:r>
        <w:t>)</w:t>
      </w:r>
    </w:p>
    <w:p w14:paraId="6E1E9CD1" w14:textId="20E4BA97" w:rsidR="00FD5CC3" w:rsidRDefault="00FD5CC3" w:rsidP="00FD5CC3">
      <w:pPr>
        <w:pStyle w:val="Item"/>
      </w:pPr>
      <w:r>
        <w:t>Repeal the items.</w:t>
      </w:r>
    </w:p>
    <w:p w14:paraId="0A5F1184" w14:textId="3DEC3E28" w:rsidR="00A44C4C" w:rsidRDefault="00A44C4C" w:rsidP="00A44C4C">
      <w:pPr>
        <w:pStyle w:val="ItemHead"/>
      </w:pPr>
      <w:r>
        <w:t xml:space="preserve">18  Subsection 6(2) (table items </w:t>
      </w:r>
      <w:r w:rsidR="00A31670">
        <w:t>31</w:t>
      </w:r>
      <w:r>
        <w:t xml:space="preserve"> to </w:t>
      </w:r>
      <w:r w:rsidR="00A31670">
        <w:t>37A</w:t>
      </w:r>
      <w:r>
        <w:t>)</w:t>
      </w:r>
    </w:p>
    <w:p w14:paraId="7C2FA32E" w14:textId="77777777" w:rsidR="00A44C4C" w:rsidRDefault="00A44C4C" w:rsidP="00A44C4C">
      <w:pPr>
        <w:pStyle w:val="Item"/>
      </w:pPr>
      <w:r>
        <w:t>Repeal the items.</w:t>
      </w:r>
    </w:p>
    <w:p w14:paraId="47C51A6B" w14:textId="6C349161" w:rsidR="00A31670" w:rsidRDefault="00A31670" w:rsidP="00A31670">
      <w:pPr>
        <w:pStyle w:val="ItemHead"/>
      </w:pPr>
      <w:r>
        <w:t xml:space="preserve">19  Subsection 6(2) (table items 39 to </w:t>
      </w:r>
      <w:r w:rsidR="00F14B9B">
        <w:t>46</w:t>
      </w:r>
      <w:r>
        <w:t>)</w:t>
      </w:r>
    </w:p>
    <w:p w14:paraId="6F9350D0" w14:textId="77777777" w:rsidR="00A31670" w:rsidRDefault="00A31670" w:rsidP="00A31670">
      <w:pPr>
        <w:pStyle w:val="Item"/>
      </w:pPr>
      <w:r>
        <w:t>Repeal the items.</w:t>
      </w:r>
    </w:p>
    <w:p w14:paraId="14F7736B" w14:textId="1DAB4262" w:rsidR="00F14B9B" w:rsidRDefault="00F14B9B" w:rsidP="00F14B9B">
      <w:pPr>
        <w:pStyle w:val="ItemHead"/>
      </w:pPr>
      <w:r>
        <w:t>20  Subsection 6(2) (table items 47 to 58)</w:t>
      </w:r>
    </w:p>
    <w:p w14:paraId="74137B2D" w14:textId="77777777" w:rsidR="00F14B9B" w:rsidRDefault="00F14B9B" w:rsidP="00F14B9B">
      <w:pPr>
        <w:pStyle w:val="Item"/>
      </w:pPr>
      <w:r>
        <w:t>Repeal the items.</w:t>
      </w:r>
    </w:p>
    <w:p w14:paraId="1B790393" w14:textId="2553A749" w:rsidR="00F14B9B" w:rsidRDefault="00D55D29" w:rsidP="00F14B9B">
      <w:pPr>
        <w:pStyle w:val="ItemHead"/>
      </w:pPr>
      <w:r>
        <w:t>21</w:t>
      </w:r>
      <w:r w:rsidR="00F14B9B">
        <w:t xml:space="preserve">  Subsection 6(2) (table items </w:t>
      </w:r>
      <w:r>
        <w:t>59</w:t>
      </w:r>
      <w:r w:rsidR="00F14B9B">
        <w:t xml:space="preserve"> to </w:t>
      </w:r>
      <w:r w:rsidR="00CD40A7">
        <w:t>62</w:t>
      </w:r>
      <w:r w:rsidR="00F14B9B">
        <w:t>)</w:t>
      </w:r>
    </w:p>
    <w:p w14:paraId="0C8ACEE2" w14:textId="77777777" w:rsidR="00F14B9B" w:rsidRDefault="00F14B9B" w:rsidP="00F14B9B">
      <w:pPr>
        <w:pStyle w:val="Item"/>
      </w:pPr>
      <w:r>
        <w:t>Repeal the items.</w:t>
      </w:r>
    </w:p>
    <w:p w14:paraId="62ED33AD" w14:textId="5EF5A199" w:rsidR="00CD40A7" w:rsidRDefault="00CD40A7" w:rsidP="00CD40A7">
      <w:pPr>
        <w:pStyle w:val="ItemHead"/>
      </w:pPr>
      <w:r>
        <w:t>22  Subsection 6(2) (table items 63 to 70)</w:t>
      </w:r>
    </w:p>
    <w:p w14:paraId="40E451CF" w14:textId="77777777" w:rsidR="00CD40A7" w:rsidRDefault="00CD40A7" w:rsidP="00CD40A7">
      <w:pPr>
        <w:pStyle w:val="Item"/>
      </w:pPr>
      <w:r>
        <w:t>Repeal the items.</w:t>
      </w:r>
    </w:p>
    <w:p w14:paraId="4C349AA5" w14:textId="6ECE8DC3" w:rsidR="00CD40A7" w:rsidRDefault="00CD40A7" w:rsidP="00CD40A7">
      <w:pPr>
        <w:pStyle w:val="ItemHead"/>
      </w:pPr>
      <w:r>
        <w:t xml:space="preserve">23  Subsection 6(2) (table items 71 </w:t>
      </w:r>
      <w:r w:rsidR="002975C9">
        <w:t>and</w:t>
      </w:r>
      <w:r>
        <w:t xml:space="preserve"> </w:t>
      </w:r>
      <w:r w:rsidR="002975C9">
        <w:t>72</w:t>
      </w:r>
      <w:r>
        <w:t>)</w:t>
      </w:r>
    </w:p>
    <w:p w14:paraId="191D9405" w14:textId="77777777" w:rsidR="00CD40A7" w:rsidRDefault="00CD40A7" w:rsidP="00CD40A7">
      <w:pPr>
        <w:pStyle w:val="Item"/>
      </w:pPr>
      <w:r>
        <w:t>Repeal the items.</w:t>
      </w:r>
    </w:p>
    <w:p w14:paraId="4EBE0BFC" w14:textId="06E87840" w:rsidR="002975C9" w:rsidRDefault="002975C9" w:rsidP="002975C9">
      <w:pPr>
        <w:pStyle w:val="ItemHead"/>
      </w:pPr>
      <w:r>
        <w:t xml:space="preserve">24  Subsection 6(2) (table items 73 to </w:t>
      </w:r>
      <w:r w:rsidR="00362B09">
        <w:t>100A</w:t>
      </w:r>
      <w:r>
        <w:t>)</w:t>
      </w:r>
    </w:p>
    <w:p w14:paraId="6BDEA36D" w14:textId="77777777" w:rsidR="002975C9" w:rsidRDefault="002975C9" w:rsidP="002975C9">
      <w:pPr>
        <w:pStyle w:val="Item"/>
      </w:pPr>
      <w:r>
        <w:t>Repeal the items.</w:t>
      </w:r>
    </w:p>
    <w:p w14:paraId="2E265A14" w14:textId="4F26D0BE" w:rsidR="00B145F0" w:rsidRDefault="00B145F0" w:rsidP="00B145F0">
      <w:pPr>
        <w:pStyle w:val="ItemHead"/>
      </w:pPr>
      <w:r>
        <w:t xml:space="preserve">25  Subsection 6(2) (table items </w:t>
      </w:r>
      <w:r w:rsidR="00AD7926">
        <w:t>101</w:t>
      </w:r>
      <w:r>
        <w:t xml:space="preserve"> to </w:t>
      </w:r>
      <w:r w:rsidR="00AD7926">
        <w:t>112</w:t>
      </w:r>
      <w:r>
        <w:t>)</w:t>
      </w:r>
    </w:p>
    <w:p w14:paraId="105A8603" w14:textId="77777777" w:rsidR="00B145F0" w:rsidRDefault="00B145F0" w:rsidP="00B145F0">
      <w:pPr>
        <w:pStyle w:val="Item"/>
      </w:pPr>
      <w:r>
        <w:t>Repeal the items.</w:t>
      </w:r>
    </w:p>
    <w:p w14:paraId="2DA320D9" w14:textId="69E0BD11" w:rsidR="00AD7926" w:rsidRDefault="00AD7926" w:rsidP="00AD7926">
      <w:pPr>
        <w:pStyle w:val="ItemHead"/>
      </w:pPr>
      <w:r>
        <w:t>26  Subsection 6(2) (table items</w:t>
      </w:r>
      <w:r w:rsidR="00C12727">
        <w:t xml:space="preserve"> 113 </w:t>
      </w:r>
      <w:r>
        <w:t xml:space="preserve">to </w:t>
      </w:r>
      <w:r w:rsidR="00EF5569">
        <w:t>116</w:t>
      </w:r>
      <w:r>
        <w:t>)</w:t>
      </w:r>
    </w:p>
    <w:p w14:paraId="662FF8D3" w14:textId="77777777" w:rsidR="00AD7926" w:rsidRDefault="00AD7926" w:rsidP="00AD7926">
      <w:pPr>
        <w:pStyle w:val="Item"/>
      </w:pPr>
      <w:r>
        <w:t>Repeal the items.</w:t>
      </w:r>
    </w:p>
    <w:p w14:paraId="6CF2BE38" w14:textId="02063756" w:rsidR="00EF5569" w:rsidRDefault="00EF5569" w:rsidP="00EF5569">
      <w:pPr>
        <w:pStyle w:val="ItemHead"/>
      </w:pPr>
      <w:r>
        <w:t>2</w:t>
      </w:r>
      <w:r w:rsidR="00D04262">
        <w:t>7</w:t>
      </w:r>
      <w:r>
        <w:t xml:space="preserve">  Subsection 6(2) (table items </w:t>
      </w:r>
      <w:r w:rsidR="00D04262">
        <w:t>117A</w:t>
      </w:r>
      <w:r>
        <w:t xml:space="preserve"> to </w:t>
      </w:r>
      <w:r w:rsidR="006C654F">
        <w:t>129</w:t>
      </w:r>
      <w:r>
        <w:t>)</w:t>
      </w:r>
    </w:p>
    <w:p w14:paraId="3778575E" w14:textId="77777777" w:rsidR="00EF5569" w:rsidRDefault="00EF5569" w:rsidP="00EF5569">
      <w:pPr>
        <w:pStyle w:val="Item"/>
      </w:pPr>
      <w:r>
        <w:t>Repeal the items.</w:t>
      </w:r>
    </w:p>
    <w:p w14:paraId="0D1F9193" w14:textId="66BC3555" w:rsidR="00E30470" w:rsidRDefault="00925E09" w:rsidP="00E30470">
      <w:pPr>
        <w:pStyle w:val="ItemHead"/>
      </w:pPr>
      <w:r>
        <w:t>2</w:t>
      </w:r>
      <w:r w:rsidR="00D04262">
        <w:t>8</w:t>
      </w:r>
      <w:r w:rsidR="00E30470">
        <w:t xml:space="preserve">  Subsection 6(2) (tables item </w:t>
      </w:r>
      <w:r w:rsidR="00117BA5">
        <w:t>132</w:t>
      </w:r>
      <w:r w:rsidR="00E30470">
        <w:t>)</w:t>
      </w:r>
    </w:p>
    <w:p w14:paraId="55A30FB3" w14:textId="7C7C6E01" w:rsidR="00E30470" w:rsidRDefault="00E30470" w:rsidP="00E30470">
      <w:pPr>
        <w:pStyle w:val="Item"/>
      </w:pPr>
      <w:r>
        <w:t>Repeal the item.</w:t>
      </w:r>
    </w:p>
    <w:p w14:paraId="145AF643" w14:textId="4F30FCA4" w:rsidR="00BC5AA5" w:rsidRDefault="00BC5AA5" w:rsidP="00BC5AA5">
      <w:pPr>
        <w:pStyle w:val="ItemHead"/>
      </w:pPr>
      <w:r>
        <w:lastRenderedPageBreak/>
        <w:t>2</w:t>
      </w:r>
      <w:r w:rsidR="00D04262">
        <w:t>9</w:t>
      </w:r>
      <w:r>
        <w:t xml:space="preserve">  Subsection 6(2) (table items 134 to 138)</w:t>
      </w:r>
    </w:p>
    <w:p w14:paraId="00A62CE7" w14:textId="77777777" w:rsidR="00BC5AA5" w:rsidRDefault="00BC5AA5" w:rsidP="00BC5AA5">
      <w:pPr>
        <w:pStyle w:val="Item"/>
      </w:pPr>
      <w:r>
        <w:t>Repeal the items.</w:t>
      </w:r>
    </w:p>
    <w:p w14:paraId="3CC065C4" w14:textId="2A6893C2" w:rsidR="00AD3301" w:rsidRDefault="00D04262" w:rsidP="00AD3301">
      <w:pPr>
        <w:pStyle w:val="ItemHead"/>
      </w:pPr>
      <w:r>
        <w:t>30</w:t>
      </w:r>
      <w:r w:rsidR="00AD3301">
        <w:t xml:space="preserve">  Subsection 6(2) (table items 139 to 140)</w:t>
      </w:r>
    </w:p>
    <w:p w14:paraId="3C0CE433" w14:textId="77777777" w:rsidR="00AD3301" w:rsidRDefault="00AD3301" w:rsidP="00AD3301">
      <w:pPr>
        <w:pStyle w:val="Item"/>
      </w:pPr>
      <w:r>
        <w:t>Repeal the items.</w:t>
      </w:r>
    </w:p>
    <w:p w14:paraId="407CD52D" w14:textId="0826171F" w:rsidR="00533342" w:rsidRDefault="00533342" w:rsidP="00533342">
      <w:pPr>
        <w:pStyle w:val="ItemHead"/>
      </w:pPr>
      <w:r>
        <w:t>3</w:t>
      </w:r>
      <w:r w:rsidR="00D04262">
        <w:t>1</w:t>
      </w:r>
      <w:r>
        <w:t xml:space="preserve">  Subsection 6(2) (table items </w:t>
      </w:r>
      <w:r w:rsidR="006206B8">
        <w:t>142</w:t>
      </w:r>
      <w:r>
        <w:t xml:space="preserve"> to </w:t>
      </w:r>
      <w:r w:rsidR="006206B8">
        <w:t>146</w:t>
      </w:r>
      <w:r>
        <w:t>)</w:t>
      </w:r>
    </w:p>
    <w:p w14:paraId="100AF764" w14:textId="77777777" w:rsidR="00533342" w:rsidRDefault="00533342" w:rsidP="00533342">
      <w:pPr>
        <w:pStyle w:val="Item"/>
      </w:pPr>
      <w:r>
        <w:t>Repeal the items.</w:t>
      </w:r>
    </w:p>
    <w:p w14:paraId="4A39C75B" w14:textId="331ECEE1" w:rsidR="006206B8" w:rsidRDefault="006206B8" w:rsidP="006206B8">
      <w:pPr>
        <w:pStyle w:val="ItemHead"/>
      </w:pPr>
      <w:r>
        <w:t>3</w:t>
      </w:r>
      <w:r w:rsidR="00D04262">
        <w:t>2</w:t>
      </w:r>
      <w:r>
        <w:t xml:space="preserve">  Subsection 6(2) (table items 147 to </w:t>
      </w:r>
      <w:r w:rsidR="00B97E84">
        <w:t>172</w:t>
      </w:r>
      <w:r>
        <w:t>)</w:t>
      </w:r>
    </w:p>
    <w:p w14:paraId="25A1CF51" w14:textId="77777777" w:rsidR="006206B8" w:rsidRDefault="006206B8" w:rsidP="006206B8">
      <w:pPr>
        <w:pStyle w:val="Item"/>
      </w:pPr>
      <w:r>
        <w:t>Repeal the items.</w:t>
      </w:r>
    </w:p>
    <w:p w14:paraId="249A76BB" w14:textId="6D68F789" w:rsidR="00B97E84" w:rsidRDefault="00B97E84" w:rsidP="00B97E84">
      <w:pPr>
        <w:pStyle w:val="ItemHead"/>
      </w:pPr>
      <w:r>
        <w:t>3</w:t>
      </w:r>
      <w:r w:rsidR="00D04262">
        <w:t>3</w:t>
      </w:r>
      <w:r>
        <w:t xml:space="preserve">  Subsection 6(2) (table items 173 to 179)</w:t>
      </w:r>
    </w:p>
    <w:p w14:paraId="54C9A366" w14:textId="77777777" w:rsidR="00B97E84" w:rsidRDefault="00B97E84" w:rsidP="00B97E84">
      <w:pPr>
        <w:pStyle w:val="Item"/>
      </w:pPr>
      <w:r>
        <w:t>Repeal the items.</w:t>
      </w:r>
    </w:p>
    <w:p w14:paraId="42F29CFC" w14:textId="651EE8FE" w:rsidR="005B368A" w:rsidRDefault="004E62AB" w:rsidP="005B368A">
      <w:pPr>
        <w:pStyle w:val="ItemHead"/>
      </w:pPr>
      <w:r>
        <w:t>3</w:t>
      </w:r>
      <w:r w:rsidR="00D04262">
        <w:t>4</w:t>
      </w:r>
      <w:r w:rsidR="005B368A">
        <w:t xml:space="preserve">  Subsection </w:t>
      </w:r>
      <w:r w:rsidR="004430F7">
        <w:t>6</w:t>
      </w:r>
      <w:r w:rsidR="005B368A">
        <w:t>(</w:t>
      </w:r>
      <w:r w:rsidR="004430F7">
        <w:t>3</w:t>
      </w:r>
      <w:r w:rsidR="005B368A">
        <w:t>) (table item 4B)</w:t>
      </w:r>
    </w:p>
    <w:p w14:paraId="20037FB6" w14:textId="1A2D371C" w:rsidR="005B368A" w:rsidRPr="005B368A" w:rsidRDefault="00EF63F0" w:rsidP="005B368A">
      <w:pPr>
        <w:pStyle w:val="Item"/>
      </w:pPr>
      <w:r>
        <w:t>Repeal the item.</w:t>
      </w:r>
    </w:p>
    <w:sectPr w:rsidR="005B368A" w:rsidRPr="005B368A" w:rsidSect="004A26CF">
      <w:headerReference w:type="default" r:id="rId24"/>
      <w:pgSz w:w="11907" w:h="16839" w:code="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4F188" w14:textId="77777777" w:rsidR="008F5895" w:rsidRDefault="008F5895" w:rsidP="00FA06CA">
      <w:pPr>
        <w:spacing w:line="240" w:lineRule="auto"/>
      </w:pPr>
      <w:r>
        <w:separator/>
      </w:r>
    </w:p>
  </w:endnote>
  <w:endnote w:type="continuationSeparator" w:id="0">
    <w:p w14:paraId="142848D3" w14:textId="77777777" w:rsidR="008F5895" w:rsidRDefault="008F5895" w:rsidP="00FA06CA">
      <w:pPr>
        <w:spacing w:line="240" w:lineRule="auto"/>
      </w:pPr>
      <w:r>
        <w:continuationSeparator/>
      </w:r>
    </w:p>
  </w:endnote>
  <w:endnote w:type="continuationNotice" w:id="1">
    <w:p w14:paraId="57D80D62" w14:textId="77777777" w:rsidR="008F5895" w:rsidRDefault="008F58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94E82" w14:textId="77777777" w:rsidR="00FA06CA" w:rsidRPr="00846EF8" w:rsidRDefault="00FA06CA" w:rsidP="00846EF8">
    <w:pPr>
      <w:pStyle w:val="Footer"/>
    </w:pPr>
    <w:bookmarkStart w:id="2" w:name="_Hlk26286431"/>
    <w:bookmarkStart w:id="3" w:name="_Hlk26286432"/>
    <w:bookmarkStart w:id="4" w:name="_Hlk26286443"/>
    <w:bookmarkStart w:id="5" w:name="_Hlk26286444"/>
    <w:bookmarkEnd w:id="2"/>
    <w:bookmarkEnd w:id="3"/>
    <w:bookmarkEnd w:id="4"/>
    <w:bookmarkEnd w:id="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A951" w14:textId="5AC3736D" w:rsidR="00FA06CA" w:rsidRPr="00E33C1C" w:rsidRDefault="00FA06CA"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FA06CA" w14:paraId="5BC0BCB7" w14:textId="77777777" w:rsidTr="00BD7B41">
      <w:tc>
        <w:tcPr>
          <w:tcW w:w="709" w:type="dxa"/>
          <w:tcBorders>
            <w:top w:val="nil"/>
            <w:left w:val="nil"/>
            <w:bottom w:val="nil"/>
            <w:right w:val="nil"/>
          </w:tcBorders>
        </w:tcPr>
        <w:p w14:paraId="75337046" w14:textId="77777777" w:rsidR="00FA06CA" w:rsidRDefault="00FA06CA"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51672431" w14:textId="15340CB5" w:rsidR="00FA06CA" w:rsidRDefault="00FA06CA"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E20B32">
            <w:rPr>
              <w:i/>
              <w:noProof/>
              <w:sz w:val="18"/>
            </w:rPr>
            <w:t>Financial Sector (Shareholdings) (Resolution Life) Amendment (No. 2) Instrument 2023</w:t>
          </w:r>
          <w:r>
            <w:rPr>
              <w:i/>
              <w:sz w:val="18"/>
            </w:rPr>
            <w:fldChar w:fldCharType="end"/>
          </w:r>
        </w:p>
      </w:tc>
      <w:tc>
        <w:tcPr>
          <w:tcW w:w="1384" w:type="dxa"/>
          <w:tcBorders>
            <w:top w:val="nil"/>
            <w:left w:val="nil"/>
            <w:bottom w:val="nil"/>
            <w:right w:val="nil"/>
          </w:tcBorders>
        </w:tcPr>
        <w:p w14:paraId="19264029" w14:textId="77777777" w:rsidR="00846EF8" w:rsidRDefault="00846EF8" w:rsidP="00830B62">
          <w:pPr>
            <w:spacing w:line="0" w:lineRule="atLeast"/>
            <w:jc w:val="right"/>
            <w:rPr>
              <w:sz w:val="18"/>
            </w:rPr>
          </w:pPr>
        </w:p>
        <w:p w14:paraId="7CE441E4" w14:textId="748122F0" w:rsidR="00FA06CA" w:rsidRDefault="00FA06CA" w:rsidP="00830B62">
          <w:pPr>
            <w:spacing w:line="0" w:lineRule="atLeast"/>
            <w:jc w:val="right"/>
            <w:rPr>
              <w:sz w:val="18"/>
            </w:rPr>
          </w:pPr>
        </w:p>
      </w:tc>
    </w:tr>
  </w:tbl>
  <w:p w14:paraId="09CC1524" w14:textId="77777777" w:rsidR="00FA06CA" w:rsidRPr="00ED79B6" w:rsidRDefault="00FA06CA" w:rsidP="007500C8">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8D8A" w14:textId="1BCD6E10" w:rsidR="00FA06CA" w:rsidRPr="00E33C1C" w:rsidRDefault="00FA06CA" w:rsidP="004E063A">
    <w:pPr>
      <w:pBdr>
        <w:top w:val="single" w:sz="6" w:space="1" w:color="auto"/>
      </w:pBdr>
      <w:spacing w:before="120" w:line="0" w:lineRule="atLeast"/>
      <w:rPr>
        <w:sz w:val="16"/>
        <w:szCs w:val="16"/>
      </w:rPr>
    </w:pPr>
    <w:bookmarkStart w:id="6" w:name="_Hlk26286441"/>
    <w:bookmarkStart w:id="7" w:name="_Hlk26286442"/>
    <w:bookmarkStart w:id="8" w:name="_Hlk26286445"/>
    <w:bookmarkStart w:id="9" w:name="_Hlk26286446"/>
  </w:p>
  <w:tbl>
    <w:tblPr>
      <w:tblStyle w:val="TableGrid"/>
      <w:tblW w:w="8472" w:type="dxa"/>
      <w:tblLayout w:type="fixed"/>
      <w:tblLook w:val="04A0" w:firstRow="1" w:lastRow="0" w:firstColumn="1" w:lastColumn="0" w:noHBand="0" w:noVBand="1"/>
    </w:tblPr>
    <w:tblGrid>
      <w:gridCol w:w="1383"/>
      <w:gridCol w:w="6380"/>
      <w:gridCol w:w="709"/>
    </w:tblGrid>
    <w:tr w:rsidR="00FA06CA" w14:paraId="350934BD" w14:textId="77777777" w:rsidTr="00B33709">
      <w:tc>
        <w:tcPr>
          <w:tcW w:w="1383" w:type="dxa"/>
          <w:tcBorders>
            <w:top w:val="nil"/>
            <w:left w:val="nil"/>
            <w:bottom w:val="nil"/>
            <w:right w:val="nil"/>
          </w:tcBorders>
        </w:tcPr>
        <w:p w14:paraId="7717B9C7" w14:textId="77777777" w:rsidR="00FA06CA" w:rsidRDefault="00FA06CA" w:rsidP="00830B62">
          <w:pPr>
            <w:spacing w:line="0" w:lineRule="atLeast"/>
            <w:rPr>
              <w:sz w:val="18"/>
            </w:rPr>
          </w:pPr>
        </w:p>
      </w:tc>
      <w:tc>
        <w:tcPr>
          <w:tcW w:w="6380" w:type="dxa"/>
          <w:tcBorders>
            <w:top w:val="nil"/>
            <w:left w:val="nil"/>
            <w:bottom w:val="nil"/>
            <w:right w:val="nil"/>
          </w:tcBorders>
        </w:tcPr>
        <w:p w14:paraId="643EEE8B" w14:textId="760435E2" w:rsidR="00FA06CA" w:rsidRDefault="00FA06CA"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E20B32">
            <w:rPr>
              <w:i/>
              <w:noProof/>
              <w:sz w:val="18"/>
            </w:rPr>
            <w:t>Financial Sector (Shareholdings) (Resolution Life) Amendment (No. 2) Instrument 2023</w:t>
          </w:r>
          <w:r>
            <w:rPr>
              <w:i/>
              <w:sz w:val="18"/>
            </w:rPr>
            <w:fldChar w:fldCharType="end"/>
          </w:r>
        </w:p>
      </w:tc>
      <w:tc>
        <w:tcPr>
          <w:tcW w:w="709" w:type="dxa"/>
          <w:tcBorders>
            <w:top w:val="nil"/>
            <w:left w:val="nil"/>
            <w:bottom w:val="nil"/>
            <w:right w:val="nil"/>
          </w:tcBorders>
        </w:tcPr>
        <w:p w14:paraId="5D523006" w14:textId="77777777" w:rsidR="00FA06CA" w:rsidRDefault="00FA06CA"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bookmarkEnd w:id="6"/>
    <w:bookmarkEnd w:id="7"/>
    <w:bookmarkEnd w:id="8"/>
    <w:bookmarkEnd w:id="9"/>
  </w:tbl>
  <w:p w14:paraId="2CC5D079" w14:textId="77777777" w:rsidR="00FA06CA" w:rsidRPr="00ED79B6" w:rsidRDefault="00FA06CA"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8E41B" w14:textId="77777777" w:rsidR="008F5895" w:rsidRDefault="008F5895" w:rsidP="00FA06CA">
      <w:pPr>
        <w:spacing w:line="240" w:lineRule="auto"/>
      </w:pPr>
      <w:r>
        <w:separator/>
      </w:r>
    </w:p>
  </w:footnote>
  <w:footnote w:type="continuationSeparator" w:id="0">
    <w:p w14:paraId="2B5C90D3" w14:textId="77777777" w:rsidR="008F5895" w:rsidRDefault="008F5895" w:rsidP="00FA06CA">
      <w:pPr>
        <w:spacing w:line="240" w:lineRule="auto"/>
      </w:pPr>
      <w:r>
        <w:continuationSeparator/>
      </w:r>
    </w:p>
  </w:footnote>
  <w:footnote w:type="continuationNotice" w:id="1">
    <w:p w14:paraId="65A6C462" w14:textId="77777777" w:rsidR="008F5895" w:rsidRDefault="008F589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2E6E" w14:textId="48FB95E0" w:rsidR="00FA06CA" w:rsidRPr="005F1388" w:rsidRDefault="00FA06CA"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311D4" w14:textId="2BD6ECFF" w:rsidR="00FA06CA" w:rsidRPr="005F1388" w:rsidRDefault="00FA06CA"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90EED" w14:textId="77777777" w:rsidR="00FA06CA" w:rsidRPr="005F1388" w:rsidRDefault="00FA06CA" w:rsidP="00715914">
    <w:pPr>
      <w:pStyle w:val="Header"/>
      <w:tabs>
        <w:tab w:val="clear" w:pos="4150"/>
        <w:tab w:val="clear" w:pos="8307"/>
      </w:tabs>
    </w:pPr>
    <w:bookmarkStart w:id="0" w:name="_Hlk26286425"/>
    <w:bookmarkStart w:id="1" w:name="_Hlk26286426"/>
    <w:bookmarkEnd w:id="0"/>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BF3C" w14:textId="5F045B69" w:rsidR="00FA06CA" w:rsidRPr="00ED79B6" w:rsidRDefault="00FA06CA"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5995E" w14:textId="57CE290D" w:rsidR="00FA06CA" w:rsidRPr="00ED79B6" w:rsidRDefault="00FA06CA"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8CBD" w14:textId="6C44E00A" w:rsidR="00FA06CA" w:rsidRPr="00ED79B6" w:rsidRDefault="00FA06CA"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D91D1" w14:textId="324CD90C" w:rsidR="00BB33F8" w:rsidRDefault="00BB33F8" w:rsidP="00BB33F8">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E20B32">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E20B32">
      <w:rPr>
        <w:noProof/>
        <w:sz w:val="20"/>
      </w:rPr>
      <w:t>Amendments</w:t>
    </w:r>
    <w:r>
      <w:rPr>
        <w:sz w:val="20"/>
      </w:rPr>
      <w:fldChar w:fldCharType="end"/>
    </w:r>
  </w:p>
  <w:p w14:paraId="2FFFC79C" w14:textId="7141CEF7" w:rsidR="00BB33F8" w:rsidRDefault="00BB33F8" w:rsidP="00BB33F8">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20B32">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20B32">
      <w:rPr>
        <w:noProof/>
        <w:sz w:val="20"/>
      </w:rPr>
      <w:t>Repeals</w:t>
    </w:r>
    <w:r>
      <w:rPr>
        <w:sz w:val="20"/>
      </w:rPr>
      <w:fldChar w:fldCharType="end"/>
    </w:r>
  </w:p>
  <w:p w14:paraId="0299667F" w14:textId="0C9DC7AE" w:rsidR="00BB33F8" w:rsidRPr="007A1328" w:rsidRDefault="00BB33F8" w:rsidP="00BB33F8">
    <w:pPr>
      <w:tabs>
        <w:tab w:val="center" w:pos="4156"/>
      </w:tabs>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1FDB9CD" w14:textId="77777777" w:rsidR="00BB33F8" w:rsidRPr="007A1328" w:rsidRDefault="00BB33F8" w:rsidP="00BB33F8">
    <w:pPr>
      <w:pBdr>
        <w:bottom w:val="single" w:sz="6" w:space="1" w:color="auto"/>
      </w:pBdr>
      <w:spacing w:after="120"/>
      <w:rPr>
        <w:sz w:val="24"/>
      </w:rPr>
    </w:pPr>
  </w:p>
  <w:p w14:paraId="3D419537" w14:textId="66F3F43C" w:rsidR="00867930" w:rsidRPr="00BB33F8" w:rsidRDefault="00867930" w:rsidP="00BB33F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5B0A" w14:textId="1F3BE973" w:rsidR="003A39F6" w:rsidRPr="007A1328" w:rsidRDefault="003A39F6" w:rsidP="003A39F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CB78458" w14:textId="6B619BE9" w:rsidR="003A39F6" w:rsidRPr="007A1328" w:rsidRDefault="003A39F6" w:rsidP="003A39F6">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30D50193" w14:textId="181EBCBA" w:rsidR="00DA031D" w:rsidRPr="003A39F6" w:rsidRDefault="00F474E8" w:rsidP="003A39F6">
    <w:pPr>
      <w:jc w:val="right"/>
      <w:rPr>
        <w:sz w:val="20"/>
      </w:rPr>
    </w:pPr>
    <w:r>
      <w:rPr>
        <w:b/>
        <w:sz w:val="20"/>
      </w:rPr>
      <w:fldChar w:fldCharType="begin"/>
    </w:r>
    <w:r>
      <w:rPr>
        <w:b/>
        <w:sz w:val="20"/>
      </w:rPr>
      <w:instrText xml:space="preserve"> STYLEREF CharDivNo </w:instrText>
    </w:r>
    <w:r>
      <w:rPr>
        <w:b/>
        <w:sz w:val="20"/>
      </w:rPr>
      <w:fldChar w:fldCharType="end"/>
    </w:r>
  </w:p>
  <w:p w14:paraId="1F44F34E" w14:textId="637D41AD" w:rsidR="00F474E8" w:rsidRPr="007A1328" w:rsidRDefault="00C1118A" w:rsidP="00C1118A">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357852">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20B32">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36B3C" w14:textId="2E51F52B" w:rsidR="00546951" w:rsidRPr="007A1328" w:rsidRDefault="00546951" w:rsidP="003A39F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E20B32">
      <w:rPr>
        <w:noProof/>
        <w:sz w:val="20"/>
      </w:rPr>
      <w:t>Amendments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E20B32">
      <w:rPr>
        <w:b/>
        <w:noProof/>
        <w:sz w:val="20"/>
      </w:rPr>
      <w:t>Schedule 1</w:t>
    </w:r>
    <w:r>
      <w:rPr>
        <w:b/>
        <w:sz w:val="20"/>
      </w:rPr>
      <w:fldChar w:fldCharType="end"/>
    </w:r>
  </w:p>
  <w:p w14:paraId="10F59D9D" w14:textId="607AE6BC" w:rsidR="00546951" w:rsidRPr="007A1328" w:rsidRDefault="00546951" w:rsidP="003A39F6">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E20B32">
      <w:rPr>
        <w:noProof/>
        <w:sz w:val="20"/>
      </w:rPr>
      <w:t>Repeals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E20B32">
      <w:rPr>
        <w:b/>
        <w:noProof/>
        <w:sz w:val="20"/>
      </w:rPr>
      <w:t>Part 2</w:t>
    </w:r>
    <w:r>
      <w:rPr>
        <w:b/>
        <w:sz w:val="20"/>
      </w:rPr>
      <w:fldChar w:fldCharType="end"/>
    </w:r>
  </w:p>
  <w:p w14:paraId="39AC4815" w14:textId="27CD8182" w:rsidR="00546951" w:rsidRPr="003A39F6" w:rsidRDefault="00546951" w:rsidP="003A39F6">
    <w:pPr>
      <w:jc w:val="right"/>
      <w:rPr>
        <w:sz w:val="20"/>
      </w:rPr>
    </w:pPr>
    <w:r>
      <w:rPr>
        <w:b/>
        <w:sz w:val="20"/>
      </w:rPr>
      <w:fldChar w:fldCharType="begin"/>
    </w:r>
    <w:r>
      <w:rPr>
        <w:b/>
        <w:sz w:val="20"/>
      </w:rPr>
      <w:instrText xml:space="preserve"> STYLEREF CharDivNo </w:instrText>
    </w:r>
    <w:r>
      <w:rPr>
        <w:b/>
        <w:sz w:val="20"/>
      </w:rPr>
      <w:fldChar w:fldCharType="end"/>
    </w:r>
  </w:p>
  <w:p w14:paraId="21562260" w14:textId="3F86CF0A" w:rsidR="00546951" w:rsidRPr="007A1328" w:rsidRDefault="00546951" w:rsidP="00C1118A">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37ED3"/>
    <w:multiLevelType w:val="hybridMultilevel"/>
    <w:tmpl w:val="9200A568"/>
    <w:lvl w:ilvl="0" w:tplc="5A9210C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61E4A8E"/>
    <w:multiLevelType w:val="multilevel"/>
    <w:tmpl w:val="3AE4B308"/>
    <w:lvl w:ilvl="0">
      <w:start w:val="1"/>
      <w:numFmt w:val="none"/>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934924"/>
    <w:multiLevelType w:val="hybridMultilevel"/>
    <w:tmpl w:val="407EA780"/>
    <w:lvl w:ilvl="0" w:tplc="CC2C6162">
      <w:start w:val="2"/>
      <w:numFmt w:val="lowerLetter"/>
      <w:lvlText w:val="(%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BAF5809"/>
    <w:multiLevelType w:val="multilevel"/>
    <w:tmpl w:val="3AE4B308"/>
    <w:lvl w:ilvl="0">
      <w:start w:val="1"/>
      <w:numFmt w:val="none"/>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3671575"/>
    <w:multiLevelType w:val="hybridMultilevel"/>
    <w:tmpl w:val="99943DB8"/>
    <w:lvl w:ilvl="0" w:tplc="E9585C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40416B9"/>
    <w:multiLevelType w:val="hybridMultilevel"/>
    <w:tmpl w:val="894E1F12"/>
    <w:lvl w:ilvl="0" w:tplc="8B8026FE">
      <w:start w:val="2"/>
      <w:numFmt w:val="decimal"/>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7" w15:restartNumberingAfterBreak="0">
    <w:nsid w:val="14BB0225"/>
    <w:multiLevelType w:val="hybridMultilevel"/>
    <w:tmpl w:val="CAC8E096"/>
    <w:lvl w:ilvl="0" w:tplc="FFFFFFFF">
      <w:start w:val="1"/>
      <w:numFmt w:val="decimal"/>
      <w:lvlText w:val="(%1)"/>
      <w:lvlJc w:val="left"/>
      <w:pPr>
        <w:ind w:left="1140" w:hanging="390"/>
      </w:pPr>
      <w:rPr>
        <w:rFonts w:hint="default"/>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18" w15:restartNumberingAfterBreak="0">
    <w:nsid w:val="1C9F248F"/>
    <w:multiLevelType w:val="hybridMultilevel"/>
    <w:tmpl w:val="6AB66AE2"/>
    <w:lvl w:ilvl="0" w:tplc="46E2D0EA">
      <w:start w:val="1"/>
      <w:numFmt w:val="lowerLetter"/>
      <w:lvlText w:val="(%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0297DFC"/>
    <w:multiLevelType w:val="multilevel"/>
    <w:tmpl w:val="0360E0B8"/>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4490305"/>
    <w:multiLevelType w:val="hybridMultilevel"/>
    <w:tmpl w:val="3920D4B0"/>
    <w:lvl w:ilvl="0" w:tplc="249E2782">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1" w15:restartNumberingAfterBreak="0">
    <w:nsid w:val="395C3F59"/>
    <w:multiLevelType w:val="hybridMultilevel"/>
    <w:tmpl w:val="37F03E68"/>
    <w:lvl w:ilvl="0" w:tplc="1AD6F590">
      <w:start w:val="1"/>
      <w:numFmt w:val="lowerLetter"/>
      <w:lvlText w:val="(%1)"/>
      <w:lvlJc w:val="left"/>
      <w:pPr>
        <w:ind w:left="1110" w:hanging="36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2" w15:restartNumberingAfterBreak="0">
    <w:nsid w:val="3A4538C4"/>
    <w:multiLevelType w:val="hybridMultilevel"/>
    <w:tmpl w:val="DB526840"/>
    <w:lvl w:ilvl="0" w:tplc="5FEC4D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15:restartNumberingAfterBreak="0">
    <w:nsid w:val="482622E5"/>
    <w:multiLevelType w:val="hybridMultilevel"/>
    <w:tmpl w:val="BC826CB2"/>
    <w:lvl w:ilvl="0" w:tplc="4C6E9A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3D72FBE"/>
    <w:multiLevelType w:val="hybridMultilevel"/>
    <w:tmpl w:val="97262418"/>
    <w:lvl w:ilvl="0" w:tplc="E9585C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4B0F1B"/>
    <w:multiLevelType w:val="hybridMultilevel"/>
    <w:tmpl w:val="51DCC5D6"/>
    <w:lvl w:ilvl="0" w:tplc="E45C1D10">
      <w:start w:val="5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A8534C"/>
    <w:multiLevelType w:val="hybridMultilevel"/>
    <w:tmpl w:val="F33CE920"/>
    <w:lvl w:ilvl="0" w:tplc="3E9EB504">
      <w:start w:val="2"/>
      <w:numFmt w:val="decimal"/>
      <w:lvlText w:val="(%1)"/>
      <w:lvlJc w:val="left"/>
      <w:pPr>
        <w:ind w:left="1854" w:hanging="360"/>
      </w:pPr>
      <w:rPr>
        <w:rFonts w:hint="default"/>
      </w:r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8" w15:restartNumberingAfterBreak="0">
    <w:nsid w:val="60072ACF"/>
    <w:multiLevelType w:val="hybridMultilevel"/>
    <w:tmpl w:val="E9C25174"/>
    <w:lvl w:ilvl="0" w:tplc="4C6E9A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2DE23CF"/>
    <w:multiLevelType w:val="hybridMultilevel"/>
    <w:tmpl w:val="D7FCA0A8"/>
    <w:lvl w:ilvl="0" w:tplc="E9585C46">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0" w15:restartNumberingAfterBreak="0">
    <w:nsid w:val="67B7333A"/>
    <w:multiLevelType w:val="hybridMultilevel"/>
    <w:tmpl w:val="D37E410A"/>
    <w:lvl w:ilvl="0" w:tplc="364C6440">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1" w15:restartNumberingAfterBreak="0">
    <w:nsid w:val="6BF6195C"/>
    <w:multiLevelType w:val="hybridMultilevel"/>
    <w:tmpl w:val="4B4ACD1A"/>
    <w:lvl w:ilvl="0" w:tplc="5FEC4D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2A500B4"/>
    <w:multiLevelType w:val="multilevel"/>
    <w:tmpl w:val="0360E0B8"/>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60035A8"/>
    <w:multiLevelType w:val="hybridMultilevel"/>
    <w:tmpl w:val="EBF251F2"/>
    <w:lvl w:ilvl="0" w:tplc="D838994E">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71D70B6"/>
    <w:multiLevelType w:val="multilevel"/>
    <w:tmpl w:val="3756316E"/>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45082332">
    <w:abstractNumId w:val="9"/>
  </w:num>
  <w:num w:numId="2" w16cid:durableId="355736112">
    <w:abstractNumId w:val="7"/>
  </w:num>
  <w:num w:numId="3" w16cid:durableId="331420417">
    <w:abstractNumId w:val="6"/>
  </w:num>
  <w:num w:numId="4" w16cid:durableId="1322927567">
    <w:abstractNumId w:val="5"/>
  </w:num>
  <w:num w:numId="5" w16cid:durableId="1228107118">
    <w:abstractNumId w:val="4"/>
  </w:num>
  <w:num w:numId="6" w16cid:durableId="1663074019">
    <w:abstractNumId w:val="8"/>
  </w:num>
  <w:num w:numId="7" w16cid:durableId="1525166469">
    <w:abstractNumId w:val="3"/>
  </w:num>
  <w:num w:numId="8" w16cid:durableId="118690781">
    <w:abstractNumId w:val="2"/>
  </w:num>
  <w:num w:numId="9" w16cid:durableId="834884474">
    <w:abstractNumId w:val="1"/>
  </w:num>
  <w:num w:numId="10" w16cid:durableId="90591172">
    <w:abstractNumId w:val="0"/>
  </w:num>
  <w:num w:numId="11" w16cid:durableId="790515029">
    <w:abstractNumId w:val="23"/>
  </w:num>
  <w:num w:numId="12" w16cid:durableId="37508580">
    <w:abstractNumId w:val="12"/>
  </w:num>
  <w:num w:numId="13" w16cid:durableId="1927499311">
    <w:abstractNumId w:val="18"/>
  </w:num>
  <w:num w:numId="14" w16cid:durableId="1731616453">
    <w:abstractNumId w:val="11"/>
  </w:num>
  <w:num w:numId="15" w16cid:durableId="20668979">
    <w:abstractNumId w:val="14"/>
  </w:num>
  <w:num w:numId="16" w16cid:durableId="1379477198">
    <w:abstractNumId w:val="32"/>
  </w:num>
  <w:num w:numId="17" w16cid:durableId="949581053">
    <w:abstractNumId w:val="25"/>
  </w:num>
  <w:num w:numId="18" w16cid:durableId="672994341">
    <w:abstractNumId w:val="13"/>
  </w:num>
  <w:num w:numId="19" w16cid:durableId="1591041691">
    <w:abstractNumId w:val="22"/>
  </w:num>
  <w:num w:numId="20" w16cid:durableId="126902024">
    <w:abstractNumId w:val="19"/>
  </w:num>
  <w:num w:numId="21" w16cid:durableId="576868072">
    <w:abstractNumId w:val="29"/>
  </w:num>
  <w:num w:numId="22" w16cid:durableId="229120612">
    <w:abstractNumId w:val="15"/>
  </w:num>
  <w:num w:numId="23" w16cid:durableId="1339112527">
    <w:abstractNumId w:val="33"/>
  </w:num>
  <w:num w:numId="24" w16cid:durableId="1042049708">
    <w:abstractNumId w:val="20"/>
  </w:num>
  <w:num w:numId="25" w16cid:durableId="160047483">
    <w:abstractNumId w:val="21"/>
  </w:num>
  <w:num w:numId="26" w16cid:durableId="2138402414">
    <w:abstractNumId w:val="17"/>
  </w:num>
  <w:num w:numId="27" w16cid:durableId="404960682">
    <w:abstractNumId w:val="31"/>
  </w:num>
  <w:num w:numId="28" w16cid:durableId="385957856">
    <w:abstractNumId w:val="26"/>
  </w:num>
  <w:num w:numId="29" w16cid:durableId="916478644">
    <w:abstractNumId w:val="10"/>
  </w:num>
  <w:num w:numId="30" w16cid:durableId="1611816669">
    <w:abstractNumId w:val="16"/>
  </w:num>
  <w:num w:numId="31" w16cid:durableId="712731513">
    <w:abstractNumId w:val="30"/>
  </w:num>
  <w:num w:numId="32" w16cid:durableId="921984408">
    <w:abstractNumId w:val="28"/>
  </w:num>
  <w:num w:numId="33" w16cid:durableId="1598323810">
    <w:abstractNumId w:val="27"/>
  </w:num>
  <w:num w:numId="34" w16cid:durableId="100804671">
    <w:abstractNumId w:val="34"/>
  </w:num>
  <w:num w:numId="35" w16cid:durableId="155523648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TrueTypeFonts/>
  <w:saveSubsetFonts/>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059"/>
    <w:rsid w:val="00003099"/>
    <w:rsid w:val="000068D5"/>
    <w:rsid w:val="00006E33"/>
    <w:rsid w:val="000071B3"/>
    <w:rsid w:val="00010789"/>
    <w:rsid w:val="000144A6"/>
    <w:rsid w:val="0002510F"/>
    <w:rsid w:val="00025EAB"/>
    <w:rsid w:val="00034D9E"/>
    <w:rsid w:val="00037347"/>
    <w:rsid w:val="00040447"/>
    <w:rsid w:val="00041D88"/>
    <w:rsid w:val="000531BD"/>
    <w:rsid w:val="00053B0F"/>
    <w:rsid w:val="00057F7C"/>
    <w:rsid w:val="00067C13"/>
    <w:rsid w:val="00070950"/>
    <w:rsid w:val="00077D72"/>
    <w:rsid w:val="00077E85"/>
    <w:rsid w:val="00090C2B"/>
    <w:rsid w:val="000968B1"/>
    <w:rsid w:val="000A1A2D"/>
    <w:rsid w:val="000A2BE5"/>
    <w:rsid w:val="000A2FD6"/>
    <w:rsid w:val="000A354A"/>
    <w:rsid w:val="000A6ECD"/>
    <w:rsid w:val="000B528E"/>
    <w:rsid w:val="000C4011"/>
    <w:rsid w:val="000C68ED"/>
    <w:rsid w:val="000C6D5C"/>
    <w:rsid w:val="000C7983"/>
    <w:rsid w:val="000D06F1"/>
    <w:rsid w:val="000D74BA"/>
    <w:rsid w:val="000E3FA6"/>
    <w:rsid w:val="000E67F1"/>
    <w:rsid w:val="000F3307"/>
    <w:rsid w:val="00102894"/>
    <w:rsid w:val="001061ED"/>
    <w:rsid w:val="001077DE"/>
    <w:rsid w:val="001111F0"/>
    <w:rsid w:val="0011162E"/>
    <w:rsid w:val="00114341"/>
    <w:rsid w:val="001153DF"/>
    <w:rsid w:val="00117BA5"/>
    <w:rsid w:val="0012412B"/>
    <w:rsid w:val="001428DF"/>
    <w:rsid w:val="00142D55"/>
    <w:rsid w:val="001468CF"/>
    <w:rsid w:val="00150E3D"/>
    <w:rsid w:val="0015118A"/>
    <w:rsid w:val="001532F3"/>
    <w:rsid w:val="00154576"/>
    <w:rsid w:val="001553D6"/>
    <w:rsid w:val="0015762E"/>
    <w:rsid w:val="001654D4"/>
    <w:rsid w:val="00174C42"/>
    <w:rsid w:val="001751D2"/>
    <w:rsid w:val="00180E37"/>
    <w:rsid w:val="00185119"/>
    <w:rsid w:val="00191135"/>
    <w:rsid w:val="00194161"/>
    <w:rsid w:val="00195AB8"/>
    <w:rsid w:val="00197273"/>
    <w:rsid w:val="001A1EF1"/>
    <w:rsid w:val="001A6DCA"/>
    <w:rsid w:val="001B0410"/>
    <w:rsid w:val="001B6016"/>
    <w:rsid w:val="001C19D3"/>
    <w:rsid w:val="001C1B2A"/>
    <w:rsid w:val="001C48AC"/>
    <w:rsid w:val="001C7583"/>
    <w:rsid w:val="001D07DA"/>
    <w:rsid w:val="001D2F45"/>
    <w:rsid w:val="001D3471"/>
    <w:rsid w:val="001E0078"/>
    <w:rsid w:val="001E0637"/>
    <w:rsid w:val="001E155C"/>
    <w:rsid w:val="001E2FAC"/>
    <w:rsid w:val="001E39D3"/>
    <w:rsid w:val="001F102E"/>
    <w:rsid w:val="001F14EC"/>
    <w:rsid w:val="001F2854"/>
    <w:rsid w:val="001F3002"/>
    <w:rsid w:val="00200A9D"/>
    <w:rsid w:val="002047A8"/>
    <w:rsid w:val="00210372"/>
    <w:rsid w:val="002110AA"/>
    <w:rsid w:val="00220AA4"/>
    <w:rsid w:val="00224C0B"/>
    <w:rsid w:val="0022557F"/>
    <w:rsid w:val="00226F50"/>
    <w:rsid w:val="0023173C"/>
    <w:rsid w:val="00233154"/>
    <w:rsid w:val="002366DE"/>
    <w:rsid w:val="002405E5"/>
    <w:rsid w:val="00242A24"/>
    <w:rsid w:val="002515C4"/>
    <w:rsid w:val="00251C63"/>
    <w:rsid w:val="00252567"/>
    <w:rsid w:val="002535A2"/>
    <w:rsid w:val="002548E4"/>
    <w:rsid w:val="002566D6"/>
    <w:rsid w:val="00257ECF"/>
    <w:rsid w:val="00261694"/>
    <w:rsid w:val="0027066D"/>
    <w:rsid w:val="00272F42"/>
    <w:rsid w:val="00283237"/>
    <w:rsid w:val="00284031"/>
    <w:rsid w:val="002917F6"/>
    <w:rsid w:val="002938A1"/>
    <w:rsid w:val="0029396C"/>
    <w:rsid w:val="002975C9"/>
    <w:rsid w:val="00297F51"/>
    <w:rsid w:val="002A0069"/>
    <w:rsid w:val="002A4643"/>
    <w:rsid w:val="002A760E"/>
    <w:rsid w:val="002B1913"/>
    <w:rsid w:val="002C2D0D"/>
    <w:rsid w:val="002C38CF"/>
    <w:rsid w:val="002C569B"/>
    <w:rsid w:val="002D010C"/>
    <w:rsid w:val="002D1780"/>
    <w:rsid w:val="002F0830"/>
    <w:rsid w:val="002F197C"/>
    <w:rsid w:val="002F3E77"/>
    <w:rsid w:val="002F7C6E"/>
    <w:rsid w:val="00301B36"/>
    <w:rsid w:val="00305C67"/>
    <w:rsid w:val="00306922"/>
    <w:rsid w:val="003154DE"/>
    <w:rsid w:val="00317352"/>
    <w:rsid w:val="00317C18"/>
    <w:rsid w:val="003211A8"/>
    <w:rsid w:val="00322DCC"/>
    <w:rsid w:val="00327829"/>
    <w:rsid w:val="003449AD"/>
    <w:rsid w:val="00344F4B"/>
    <w:rsid w:val="003533A5"/>
    <w:rsid w:val="00353DA7"/>
    <w:rsid w:val="00356BAB"/>
    <w:rsid w:val="003577AF"/>
    <w:rsid w:val="00357852"/>
    <w:rsid w:val="00360FA6"/>
    <w:rsid w:val="00361852"/>
    <w:rsid w:val="00362B09"/>
    <w:rsid w:val="003701D0"/>
    <w:rsid w:val="00371F49"/>
    <w:rsid w:val="00372622"/>
    <w:rsid w:val="0037664C"/>
    <w:rsid w:val="0038593A"/>
    <w:rsid w:val="003915AA"/>
    <w:rsid w:val="00391FB7"/>
    <w:rsid w:val="00393493"/>
    <w:rsid w:val="00396481"/>
    <w:rsid w:val="003A13B4"/>
    <w:rsid w:val="003A1587"/>
    <w:rsid w:val="003A30B1"/>
    <w:rsid w:val="003A39F6"/>
    <w:rsid w:val="003C74C0"/>
    <w:rsid w:val="003C7634"/>
    <w:rsid w:val="003D7797"/>
    <w:rsid w:val="003E374E"/>
    <w:rsid w:val="003E697F"/>
    <w:rsid w:val="003F4225"/>
    <w:rsid w:val="00400CB0"/>
    <w:rsid w:val="00403290"/>
    <w:rsid w:val="0040527B"/>
    <w:rsid w:val="0040610F"/>
    <w:rsid w:val="0041348E"/>
    <w:rsid w:val="004224F3"/>
    <w:rsid w:val="004241A5"/>
    <w:rsid w:val="00425154"/>
    <w:rsid w:val="00430791"/>
    <w:rsid w:val="00430CA7"/>
    <w:rsid w:val="00433855"/>
    <w:rsid w:val="00440785"/>
    <w:rsid w:val="004430F7"/>
    <w:rsid w:val="00443C14"/>
    <w:rsid w:val="00443CFF"/>
    <w:rsid w:val="00457DAB"/>
    <w:rsid w:val="00462E6C"/>
    <w:rsid w:val="00476B90"/>
    <w:rsid w:val="004809EF"/>
    <w:rsid w:val="00482246"/>
    <w:rsid w:val="00482F9A"/>
    <w:rsid w:val="0048758B"/>
    <w:rsid w:val="00492139"/>
    <w:rsid w:val="0049259B"/>
    <w:rsid w:val="00494059"/>
    <w:rsid w:val="004A26CF"/>
    <w:rsid w:val="004A4B31"/>
    <w:rsid w:val="004B5051"/>
    <w:rsid w:val="004B5D4F"/>
    <w:rsid w:val="004B6825"/>
    <w:rsid w:val="004C09F1"/>
    <w:rsid w:val="004C38A5"/>
    <w:rsid w:val="004D60D4"/>
    <w:rsid w:val="004E1847"/>
    <w:rsid w:val="004E373D"/>
    <w:rsid w:val="004E62AB"/>
    <w:rsid w:val="00500146"/>
    <w:rsid w:val="00501BE2"/>
    <w:rsid w:val="00502C56"/>
    <w:rsid w:val="0050365E"/>
    <w:rsid w:val="00507FBC"/>
    <w:rsid w:val="005115CD"/>
    <w:rsid w:val="00512FBC"/>
    <w:rsid w:val="00523059"/>
    <w:rsid w:val="0052471A"/>
    <w:rsid w:val="00527744"/>
    <w:rsid w:val="00533342"/>
    <w:rsid w:val="00536811"/>
    <w:rsid w:val="00536855"/>
    <w:rsid w:val="00540CEB"/>
    <w:rsid w:val="00543382"/>
    <w:rsid w:val="00544F55"/>
    <w:rsid w:val="00546951"/>
    <w:rsid w:val="005559FA"/>
    <w:rsid w:val="00561155"/>
    <w:rsid w:val="00563332"/>
    <w:rsid w:val="00563A82"/>
    <w:rsid w:val="00570870"/>
    <w:rsid w:val="00575B9A"/>
    <w:rsid w:val="00576A41"/>
    <w:rsid w:val="00577C4F"/>
    <w:rsid w:val="0058566E"/>
    <w:rsid w:val="0059773C"/>
    <w:rsid w:val="005A01CC"/>
    <w:rsid w:val="005A2F5B"/>
    <w:rsid w:val="005A3994"/>
    <w:rsid w:val="005A4F44"/>
    <w:rsid w:val="005B368A"/>
    <w:rsid w:val="005B41B6"/>
    <w:rsid w:val="005B470E"/>
    <w:rsid w:val="005C3939"/>
    <w:rsid w:val="005C47FE"/>
    <w:rsid w:val="005D2987"/>
    <w:rsid w:val="005F31CF"/>
    <w:rsid w:val="00603148"/>
    <w:rsid w:val="0060566B"/>
    <w:rsid w:val="00617AAB"/>
    <w:rsid w:val="006206B8"/>
    <w:rsid w:val="006259D0"/>
    <w:rsid w:val="006303DF"/>
    <w:rsid w:val="00635508"/>
    <w:rsid w:val="0063596B"/>
    <w:rsid w:val="00636078"/>
    <w:rsid w:val="00643806"/>
    <w:rsid w:val="006472E8"/>
    <w:rsid w:val="00647AEF"/>
    <w:rsid w:val="0065077B"/>
    <w:rsid w:val="006548BB"/>
    <w:rsid w:val="00656553"/>
    <w:rsid w:val="00667421"/>
    <w:rsid w:val="00671976"/>
    <w:rsid w:val="00675CF8"/>
    <w:rsid w:val="00687043"/>
    <w:rsid w:val="00692E14"/>
    <w:rsid w:val="00697F65"/>
    <w:rsid w:val="006A56C9"/>
    <w:rsid w:val="006A739D"/>
    <w:rsid w:val="006B2A41"/>
    <w:rsid w:val="006B35EC"/>
    <w:rsid w:val="006B56FD"/>
    <w:rsid w:val="006B5784"/>
    <w:rsid w:val="006B783B"/>
    <w:rsid w:val="006C04CE"/>
    <w:rsid w:val="006C10D1"/>
    <w:rsid w:val="006C654F"/>
    <w:rsid w:val="006D361E"/>
    <w:rsid w:val="006D5AFB"/>
    <w:rsid w:val="006D6AF0"/>
    <w:rsid w:val="006D7AFF"/>
    <w:rsid w:val="006E6EB3"/>
    <w:rsid w:val="006F002D"/>
    <w:rsid w:val="006F29A9"/>
    <w:rsid w:val="006F39C3"/>
    <w:rsid w:val="006F503B"/>
    <w:rsid w:val="006F7538"/>
    <w:rsid w:val="007006C3"/>
    <w:rsid w:val="00700FD8"/>
    <w:rsid w:val="00701F34"/>
    <w:rsid w:val="0070379F"/>
    <w:rsid w:val="00706140"/>
    <w:rsid w:val="00707CD4"/>
    <w:rsid w:val="007162D4"/>
    <w:rsid w:val="00716612"/>
    <w:rsid w:val="00721EAB"/>
    <w:rsid w:val="00726DA4"/>
    <w:rsid w:val="00735481"/>
    <w:rsid w:val="00742D16"/>
    <w:rsid w:val="0074469A"/>
    <w:rsid w:val="00747E1A"/>
    <w:rsid w:val="00760463"/>
    <w:rsid w:val="00763510"/>
    <w:rsid w:val="0076514D"/>
    <w:rsid w:val="00765F95"/>
    <w:rsid w:val="007711A3"/>
    <w:rsid w:val="00776681"/>
    <w:rsid w:val="0078710C"/>
    <w:rsid w:val="00791972"/>
    <w:rsid w:val="00793FFF"/>
    <w:rsid w:val="007961DF"/>
    <w:rsid w:val="00796B79"/>
    <w:rsid w:val="00796CF7"/>
    <w:rsid w:val="007A507E"/>
    <w:rsid w:val="007B1A86"/>
    <w:rsid w:val="007C0642"/>
    <w:rsid w:val="007C4055"/>
    <w:rsid w:val="007C612D"/>
    <w:rsid w:val="007C6B21"/>
    <w:rsid w:val="007D016C"/>
    <w:rsid w:val="007D2418"/>
    <w:rsid w:val="007D6A82"/>
    <w:rsid w:val="007E2A36"/>
    <w:rsid w:val="007E3B09"/>
    <w:rsid w:val="007E3F9A"/>
    <w:rsid w:val="007E492F"/>
    <w:rsid w:val="007E539E"/>
    <w:rsid w:val="007F1DD3"/>
    <w:rsid w:val="007F3333"/>
    <w:rsid w:val="007F545E"/>
    <w:rsid w:val="007F6A12"/>
    <w:rsid w:val="007F7588"/>
    <w:rsid w:val="00800958"/>
    <w:rsid w:val="00814297"/>
    <w:rsid w:val="008148AC"/>
    <w:rsid w:val="00816B1C"/>
    <w:rsid w:val="00817782"/>
    <w:rsid w:val="00821E5D"/>
    <w:rsid w:val="00825AA5"/>
    <w:rsid w:val="00826234"/>
    <w:rsid w:val="00827387"/>
    <w:rsid w:val="00846EF8"/>
    <w:rsid w:val="008530F6"/>
    <w:rsid w:val="008531FD"/>
    <w:rsid w:val="00860724"/>
    <w:rsid w:val="00866FD2"/>
    <w:rsid w:val="008673CC"/>
    <w:rsid w:val="00867930"/>
    <w:rsid w:val="008845FE"/>
    <w:rsid w:val="008871DB"/>
    <w:rsid w:val="00887679"/>
    <w:rsid w:val="00892B06"/>
    <w:rsid w:val="00893239"/>
    <w:rsid w:val="00897EED"/>
    <w:rsid w:val="008A055E"/>
    <w:rsid w:val="008A62E8"/>
    <w:rsid w:val="008B5C84"/>
    <w:rsid w:val="008C0C2C"/>
    <w:rsid w:val="008C3D2F"/>
    <w:rsid w:val="008C4C06"/>
    <w:rsid w:val="008D5BFA"/>
    <w:rsid w:val="008E1513"/>
    <w:rsid w:val="008E30AC"/>
    <w:rsid w:val="008E4AB6"/>
    <w:rsid w:val="008E5798"/>
    <w:rsid w:val="008E5905"/>
    <w:rsid w:val="008F1E46"/>
    <w:rsid w:val="008F5895"/>
    <w:rsid w:val="009179C2"/>
    <w:rsid w:val="00925CE8"/>
    <w:rsid w:val="00925E09"/>
    <w:rsid w:val="00932A61"/>
    <w:rsid w:val="00932B36"/>
    <w:rsid w:val="0093671C"/>
    <w:rsid w:val="00942865"/>
    <w:rsid w:val="00947064"/>
    <w:rsid w:val="00953676"/>
    <w:rsid w:val="0095539B"/>
    <w:rsid w:val="00955DC5"/>
    <w:rsid w:val="00957B72"/>
    <w:rsid w:val="009609DB"/>
    <w:rsid w:val="00961E22"/>
    <w:rsid w:val="00977144"/>
    <w:rsid w:val="00981647"/>
    <w:rsid w:val="00982A4D"/>
    <w:rsid w:val="009836C3"/>
    <w:rsid w:val="00984667"/>
    <w:rsid w:val="00985699"/>
    <w:rsid w:val="0099240F"/>
    <w:rsid w:val="009924E8"/>
    <w:rsid w:val="009960C9"/>
    <w:rsid w:val="009979EC"/>
    <w:rsid w:val="009A0EB5"/>
    <w:rsid w:val="009A25B8"/>
    <w:rsid w:val="009A401F"/>
    <w:rsid w:val="009A4245"/>
    <w:rsid w:val="009A4358"/>
    <w:rsid w:val="009B116D"/>
    <w:rsid w:val="009B1DA5"/>
    <w:rsid w:val="009B7517"/>
    <w:rsid w:val="009C28E9"/>
    <w:rsid w:val="009C6E3A"/>
    <w:rsid w:val="009C7171"/>
    <w:rsid w:val="009C7CC5"/>
    <w:rsid w:val="009C7F4A"/>
    <w:rsid w:val="009D1A2A"/>
    <w:rsid w:val="009D325E"/>
    <w:rsid w:val="009D3818"/>
    <w:rsid w:val="009D65E4"/>
    <w:rsid w:val="009E0252"/>
    <w:rsid w:val="009E2200"/>
    <w:rsid w:val="009F05E4"/>
    <w:rsid w:val="009F2957"/>
    <w:rsid w:val="00A00CE5"/>
    <w:rsid w:val="00A050A2"/>
    <w:rsid w:val="00A078D8"/>
    <w:rsid w:val="00A108D5"/>
    <w:rsid w:val="00A10A0C"/>
    <w:rsid w:val="00A12D61"/>
    <w:rsid w:val="00A15782"/>
    <w:rsid w:val="00A16722"/>
    <w:rsid w:val="00A24368"/>
    <w:rsid w:val="00A24522"/>
    <w:rsid w:val="00A25DB2"/>
    <w:rsid w:val="00A26F86"/>
    <w:rsid w:val="00A30C2A"/>
    <w:rsid w:val="00A31670"/>
    <w:rsid w:val="00A36B44"/>
    <w:rsid w:val="00A41693"/>
    <w:rsid w:val="00A42616"/>
    <w:rsid w:val="00A44C4C"/>
    <w:rsid w:val="00A60927"/>
    <w:rsid w:val="00A61062"/>
    <w:rsid w:val="00A61842"/>
    <w:rsid w:val="00A65B32"/>
    <w:rsid w:val="00A72BAA"/>
    <w:rsid w:val="00A7585C"/>
    <w:rsid w:val="00A876DC"/>
    <w:rsid w:val="00A91D35"/>
    <w:rsid w:val="00A929F5"/>
    <w:rsid w:val="00AA677E"/>
    <w:rsid w:val="00AA7A84"/>
    <w:rsid w:val="00AB2AB6"/>
    <w:rsid w:val="00AC704F"/>
    <w:rsid w:val="00AC7612"/>
    <w:rsid w:val="00AD2D31"/>
    <w:rsid w:val="00AD3301"/>
    <w:rsid w:val="00AD406F"/>
    <w:rsid w:val="00AD5137"/>
    <w:rsid w:val="00AD6075"/>
    <w:rsid w:val="00AD7926"/>
    <w:rsid w:val="00AE248F"/>
    <w:rsid w:val="00AF719C"/>
    <w:rsid w:val="00AF74CD"/>
    <w:rsid w:val="00AF7BC8"/>
    <w:rsid w:val="00B0480F"/>
    <w:rsid w:val="00B04C5E"/>
    <w:rsid w:val="00B071D7"/>
    <w:rsid w:val="00B110EF"/>
    <w:rsid w:val="00B145F0"/>
    <w:rsid w:val="00B14956"/>
    <w:rsid w:val="00B21266"/>
    <w:rsid w:val="00B22AF4"/>
    <w:rsid w:val="00B412D4"/>
    <w:rsid w:val="00B435FE"/>
    <w:rsid w:val="00B450CD"/>
    <w:rsid w:val="00B53204"/>
    <w:rsid w:val="00B5532A"/>
    <w:rsid w:val="00B60B08"/>
    <w:rsid w:val="00B6446D"/>
    <w:rsid w:val="00B700D8"/>
    <w:rsid w:val="00B706CC"/>
    <w:rsid w:val="00B737C1"/>
    <w:rsid w:val="00B74E79"/>
    <w:rsid w:val="00B80AD5"/>
    <w:rsid w:val="00B84ADB"/>
    <w:rsid w:val="00B84F54"/>
    <w:rsid w:val="00B85D0D"/>
    <w:rsid w:val="00B90A29"/>
    <w:rsid w:val="00B93EB1"/>
    <w:rsid w:val="00B9640D"/>
    <w:rsid w:val="00B97E84"/>
    <w:rsid w:val="00BA557D"/>
    <w:rsid w:val="00BA55CB"/>
    <w:rsid w:val="00BB21AD"/>
    <w:rsid w:val="00BB23CC"/>
    <w:rsid w:val="00BB33F8"/>
    <w:rsid w:val="00BC17D7"/>
    <w:rsid w:val="00BC222E"/>
    <w:rsid w:val="00BC5AA5"/>
    <w:rsid w:val="00BC5DAA"/>
    <w:rsid w:val="00BD2E7C"/>
    <w:rsid w:val="00BD43AD"/>
    <w:rsid w:val="00BD5977"/>
    <w:rsid w:val="00BD5AE6"/>
    <w:rsid w:val="00BD6A5D"/>
    <w:rsid w:val="00BD7B27"/>
    <w:rsid w:val="00BD7B41"/>
    <w:rsid w:val="00BE2677"/>
    <w:rsid w:val="00BE38C2"/>
    <w:rsid w:val="00BE4534"/>
    <w:rsid w:val="00BE6274"/>
    <w:rsid w:val="00BF4B10"/>
    <w:rsid w:val="00BF6F4E"/>
    <w:rsid w:val="00C04922"/>
    <w:rsid w:val="00C1118A"/>
    <w:rsid w:val="00C12727"/>
    <w:rsid w:val="00C147E1"/>
    <w:rsid w:val="00C14C05"/>
    <w:rsid w:val="00C22616"/>
    <w:rsid w:val="00C25333"/>
    <w:rsid w:val="00C36A26"/>
    <w:rsid w:val="00C37821"/>
    <w:rsid w:val="00C422A9"/>
    <w:rsid w:val="00C42E4B"/>
    <w:rsid w:val="00C4399A"/>
    <w:rsid w:val="00C53081"/>
    <w:rsid w:val="00C5373B"/>
    <w:rsid w:val="00C53987"/>
    <w:rsid w:val="00C56F21"/>
    <w:rsid w:val="00C57280"/>
    <w:rsid w:val="00C610B4"/>
    <w:rsid w:val="00C6118A"/>
    <w:rsid w:val="00C61D1F"/>
    <w:rsid w:val="00C627D5"/>
    <w:rsid w:val="00C6377B"/>
    <w:rsid w:val="00C6512A"/>
    <w:rsid w:val="00C67D98"/>
    <w:rsid w:val="00C72AB0"/>
    <w:rsid w:val="00C7306A"/>
    <w:rsid w:val="00C764EE"/>
    <w:rsid w:val="00C9209D"/>
    <w:rsid w:val="00C9487C"/>
    <w:rsid w:val="00C94D0B"/>
    <w:rsid w:val="00C9500F"/>
    <w:rsid w:val="00C952A7"/>
    <w:rsid w:val="00CA3096"/>
    <w:rsid w:val="00CA581F"/>
    <w:rsid w:val="00CB1833"/>
    <w:rsid w:val="00CC1010"/>
    <w:rsid w:val="00CC1970"/>
    <w:rsid w:val="00CC2773"/>
    <w:rsid w:val="00CC41A5"/>
    <w:rsid w:val="00CC6662"/>
    <w:rsid w:val="00CD40A7"/>
    <w:rsid w:val="00CE2DBF"/>
    <w:rsid w:val="00CE5380"/>
    <w:rsid w:val="00CE5E65"/>
    <w:rsid w:val="00CF2309"/>
    <w:rsid w:val="00CF4C07"/>
    <w:rsid w:val="00CF53DA"/>
    <w:rsid w:val="00CF6430"/>
    <w:rsid w:val="00D01891"/>
    <w:rsid w:val="00D04262"/>
    <w:rsid w:val="00D05199"/>
    <w:rsid w:val="00D066F0"/>
    <w:rsid w:val="00D15714"/>
    <w:rsid w:val="00D1577C"/>
    <w:rsid w:val="00D17032"/>
    <w:rsid w:val="00D20CDB"/>
    <w:rsid w:val="00D25060"/>
    <w:rsid w:val="00D27DD0"/>
    <w:rsid w:val="00D31E11"/>
    <w:rsid w:val="00D32CB7"/>
    <w:rsid w:val="00D34B99"/>
    <w:rsid w:val="00D3550B"/>
    <w:rsid w:val="00D35DCB"/>
    <w:rsid w:val="00D41BB7"/>
    <w:rsid w:val="00D41C2E"/>
    <w:rsid w:val="00D44144"/>
    <w:rsid w:val="00D55D29"/>
    <w:rsid w:val="00D60950"/>
    <w:rsid w:val="00D6289F"/>
    <w:rsid w:val="00D83B34"/>
    <w:rsid w:val="00D87973"/>
    <w:rsid w:val="00D9121E"/>
    <w:rsid w:val="00D9332B"/>
    <w:rsid w:val="00D97A25"/>
    <w:rsid w:val="00DA031D"/>
    <w:rsid w:val="00DA1187"/>
    <w:rsid w:val="00DB0048"/>
    <w:rsid w:val="00DB079A"/>
    <w:rsid w:val="00DB69B8"/>
    <w:rsid w:val="00DB6F65"/>
    <w:rsid w:val="00DC22E9"/>
    <w:rsid w:val="00DC79C1"/>
    <w:rsid w:val="00DC7E44"/>
    <w:rsid w:val="00DD3D32"/>
    <w:rsid w:val="00DE215C"/>
    <w:rsid w:val="00DE3074"/>
    <w:rsid w:val="00DE34AC"/>
    <w:rsid w:val="00DE44DC"/>
    <w:rsid w:val="00DE4E19"/>
    <w:rsid w:val="00DE7382"/>
    <w:rsid w:val="00DF31BB"/>
    <w:rsid w:val="00DF4196"/>
    <w:rsid w:val="00DF5422"/>
    <w:rsid w:val="00DF55D9"/>
    <w:rsid w:val="00DF5CF4"/>
    <w:rsid w:val="00E025FF"/>
    <w:rsid w:val="00E14740"/>
    <w:rsid w:val="00E155F7"/>
    <w:rsid w:val="00E15600"/>
    <w:rsid w:val="00E16F46"/>
    <w:rsid w:val="00E20B32"/>
    <w:rsid w:val="00E22FCF"/>
    <w:rsid w:val="00E30470"/>
    <w:rsid w:val="00E30884"/>
    <w:rsid w:val="00E3470E"/>
    <w:rsid w:val="00E35770"/>
    <w:rsid w:val="00E40528"/>
    <w:rsid w:val="00E51656"/>
    <w:rsid w:val="00E53A0E"/>
    <w:rsid w:val="00E543A3"/>
    <w:rsid w:val="00E604F2"/>
    <w:rsid w:val="00E61293"/>
    <w:rsid w:val="00E61F63"/>
    <w:rsid w:val="00E75FC8"/>
    <w:rsid w:val="00E80015"/>
    <w:rsid w:val="00E81B6B"/>
    <w:rsid w:val="00E830EB"/>
    <w:rsid w:val="00E8405B"/>
    <w:rsid w:val="00E853A1"/>
    <w:rsid w:val="00E904DF"/>
    <w:rsid w:val="00E91604"/>
    <w:rsid w:val="00E91FAA"/>
    <w:rsid w:val="00E94EB2"/>
    <w:rsid w:val="00EB4536"/>
    <w:rsid w:val="00EB4C06"/>
    <w:rsid w:val="00EC01F2"/>
    <w:rsid w:val="00EC2275"/>
    <w:rsid w:val="00EC26AE"/>
    <w:rsid w:val="00EC5061"/>
    <w:rsid w:val="00EC6C74"/>
    <w:rsid w:val="00ED2BBD"/>
    <w:rsid w:val="00ED604F"/>
    <w:rsid w:val="00ED691C"/>
    <w:rsid w:val="00EE0769"/>
    <w:rsid w:val="00EE122A"/>
    <w:rsid w:val="00EE331F"/>
    <w:rsid w:val="00EE5053"/>
    <w:rsid w:val="00EE6C36"/>
    <w:rsid w:val="00EE7076"/>
    <w:rsid w:val="00EF17C8"/>
    <w:rsid w:val="00EF5569"/>
    <w:rsid w:val="00EF5DD2"/>
    <w:rsid w:val="00EF63F0"/>
    <w:rsid w:val="00F00FEE"/>
    <w:rsid w:val="00F025AC"/>
    <w:rsid w:val="00F036D3"/>
    <w:rsid w:val="00F03D53"/>
    <w:rsid w:val="00F0413C"/>
    <w:rsid w:val="00F05EC2"/>
    <w:rsid w:val="00F14B9B"/>
    <w:rsid w:val="00F14E06"/>
    <w:rsid w:val="00F170E3"/>
    <w:rsid w:val="00F20712"/>
    <w:rsid w:val="00F24BD6"/>
    <w:rsid w:val="00F26C9F"/>
    <w:rsid w:val="00F30165"/>
    <w:rsid w:val="00F3156B"/>
    <w:rsid w:val="00F35166"/>
    <w:rsid w:val="00F408C7"/>
    <w:rsid w:val="00F41875"/>
    <w:rsid w:val="00F474E8"/>
    <w:rsid w:val="00F50162"/>
    <w:rsid w:val="00F50258"/>
    <w:rsid w:val="00F524DA"/>
    <w:rsid w:val="00F55774"/>
    <w:rsid w:val="00F56607"/>
    <w:rsid w:val="00F6423B"/>
    <w:rsid w:val="00F65D5D"/>
    <w:rsid w:val="00F705EB"/>
    <w:rsid w:val="00F70B37"/>
    <w:rsid w:val="00F811C3"/>
    <w:rsid w:val="00F84822"/>
    <w:rsid w:val="00F84923"/>
    <w:rsid w:val="00F873CC"/>
    <w:rsid w:val="00F91DEC"/>
    <w:rsid w:val="00F9250A"/>
    <w:rsid w:val="00F94526"/>
    <w:rsid w:val="00F95EE5"/>
    <w:rsid w:val="00F96ADF"/>
    <w:rsid w:val="00F9712E"/>
    <w:rsid w:val="00F9772B"/>
    <w:rsid w:val="00FA06CA"/>
    <w:rsid w:val="00FA0C5D"/>
    <w:rsid w:val="00FA3B76"/>
    <w:rsid w:val="00FA3B81"/>
    <w:rsid w:val="00FA6BB4"/>
    <w:rsid w:val="00FA75DF"/>
    <w:rsid w:val="00FB2C2F"/>
    <w:rsid w:val="00FB68D1"/>
    <w:rsid w:val="00FB7CF2"/>
    <w:rsid w:val="00FC33AA"/>
    <w:rsid w:val="00FD1F68"/>
    <w:rsid w:val="00FD4592"/>
    <w:rsid w:val="00FD46C1"/>
    <w:rsid w:val="00FD5CC3"/>
    <w:rsid w:val="00FD75CA"/>
    <w:rsid w:val="00FE664E"/>
    <w:rsid w:val="00FF7588"/>
    <w:rsid w:val="00FF7BA3"/>
    <w:rsid w:val="00FF7C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EB7FD"/>
  <w15:chartTrackingRefBased/>
  <w15:docId w15:val="{F6A2889B-FDBF-4F2E-83A2-A6D1515E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41875"/>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F4187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41875"/>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41875"/>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41875"/>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41875"/>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41875"/>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4187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4187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4187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87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F41875"/>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41875"/>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F41875"/>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F41875"/>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F41875"/>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F41875"/>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F4187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41875"/>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F41875"/>
  </w:style>
  <w:style w:type="paragraph" w:customStyle="1" w:styleId="OPCParaBase">
    <w:name w:val="OPCParaBase"/>
    <w:qFormat/>
    <w:rsid w:val="00F41875"/>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F41875"/>
    <w:pPr>
      <w:spacing w:line="240" w:lineRule="auto"/>
    </w:pPr>
    <w:rPr>
      <w:b/>
      <w:sz w:val="40"/>
    </w:rPr>
  </w:style>
  <w:style w:type="paragraph" w:customStyle="1" w:styleId="ActHead1">
    <w:name w:val="ActHead 1"/>
    <w:aliases w:val="c"/>
    <w:basedOn w:val="OPCParaBase"/>
    <w:next w:val="Normal"/>
    <w:qFormat/>
    <w:rsid w:val="00F4187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4187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4187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4187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4187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4187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4187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4187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4187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41875"/>
  </w:style>
  <w:style w:type="paragraph" w:customStyle="1" w:styleId="Blocks">
    <w:name w:val="Blocks"/>
    <w:aliases w:val="bb"/>
    <w:basedOn w:val="OPCParaBase"/>
    <w:qFormat/>
    <w:rsid w:val="00F41875"/>
    <w:pPr>
      <w:spacing w:line="240" w:lineRule="auto"/>
    </w:pPr>
    <w:rPr>
      <w:sz w:val="24"/>
    </w:rPr>
  </w:style>
  <w:style w:type="paragraph" w:customStyle="1" w:styleId="BoxText">
    <w:name w:val="BoxText"/>
    <w:aliases w:val="bt"/>
    <w:basedOn w:val="OPCParaBase"/>
    <w:qFormat/>
    <w:rsid w:val="00F4187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41875"/>
    <w:rPr>
      <w:b/>
    </w:rPr>
  </w:style>
  <w:style w:type="paragraph" w:customStyle="1" w:styleId="BoxHeadItalic">
    <w:name w:val="BoxHeadItalic"/>
    <w:aliases w:val="bhi"/>
    <w:basedOn w:val="BoxText"/>
    <w:next w:val="BoxStep"/>
    <w:qFormat/>
    <w:rsid w:val="00F41875"/>
    <w:rPr>
      <w:i/>
    </w:rPr>
  </w:style>
  <w:style w:type="paragraph" w:customStyle="1" w:styleId="BoxList">
    <w:name w:val="BoxList"/>
    <w:aliases w:val="bl"/>
    <w:basedOn w:val="BoxText"/>
    <w:qFormat/>
    <w:rsid w:val="00F41875"/>
    <w:pPr>
      <w:ind w:left="1559" w:hanging="425"/>
    </w:pPr>
  </w:style>
  <w:style w:type="paragraph" w:customStyle="1" w:styleId="BoxNote">
    <w:name w:val="BoxNote"/>
    <w:aliases w:val="bn"/>
    <w:basedOn w:val="BoxText"/>
    <w:qFormat/>
    <w:rsid w:val="00F41875"/>
    <w:pPr>
      <w:tabs>
        <w:tab w:val="left" w:pos="1985"/>
      </w:tabs>
      <w:spacing w:before="122" w:line="198" w:lineRule="exact"/>
      <w:ind w:left="2948" w:hanging="1814"/>
    </w:pPr>
    <w:rPr>
      <w:sz w:val="18"/>
    </w:rPr>
  </w:style>
  <w:style w:type="paragraph" w:customStyle="1" w:styleId="BoxPara">
    <w:name w:val="BoxPara"/>
    <w:aliases w:val="bp"/>
    <w:basedOn w:val="BoxText"/>
    <w:qFormat/>
    <w:rsid w:val="00F41875"/>
    <w:pPr>
      <w:tabs>
        <w:tab w:val="right" w:pos="2268"/>
      </w:tabs>
      <w:ind w:left="2552" w:hanging="1418"/>
    </w:pPr>
  </w:style>
  <w:style w:type="paragraph" w:customStyle="1" w:styleId="BoxStep">
    <w:name w:val="BoxStep"/>
    <w:aliases w:val="bs"/>
    <w:basedOn w:val="BoxText"/>
    <w:qFormat/>
    <w:rsid w:val="00F41875"/>
    <w:pPr>
      <w:ind w:left="1985" w:hanging="851"/>
    </w:pPr>
  </w:style>
  <w:style w:type="character" w:customStyle="1" w:styleId="CharAmPartNo">
    <w:name w:val="CharAmPartNo"/>
    <w:basedOn w:val="OPCCharBase"/>
    <w:uiPriority w:val="1"/>
    <w:qFormat/>
    <w:rsid w:val="00F41875"/>
  </w:style>
  <w:style w:type="character" w:customStyle="1" w:styleId="CharAmPartText">
    <w:name w:val="CharAmPartText"/>
    <w:basedOn w:val="OPCCharBase"/>
    <w:uiPriority w:val="1"/>
    <w:qFormat/>
    <w:rsid w:val="00F41875"/>
  </w:style>
  <w:style w:type="character" w:customStyle="1" w:styleId="CharAmSchNo">
    <w:name w:val="CharAmSchNo"/>
    <w:basedOn w:val="OPCCharBase"/>
    <w:uiPriority w:val="1"/>
    <w:qFormat/>
    <w:rsid w:val="00F41875"/>
  </w:style>
  <w:style w:type="character" w:customStyle="1" w:styleId="CharAmSchText">
    <w:name w:val="CharAmSchText"/>
    <w:basedOn w:val="OPCCharBase"/>
    <w:uiPriority w:val="1"/>
    <w:qFormat/>
    <w:rsid w:val="00F41875"/>
  </w:style>
  <w:style w:type="character" w:customStyle="1" w:styleId="CharBoldItalic">
    <w:name w:val="CharBoldItalic"/>
    <w:basedOn w:val="OPCCharBase"/>
    <w:uiPriority w:val="1"/>
    <w:qFormat/>
    <w:rsid w:val="00F41875"/>
    <w:rPr>
      <w:b/>
      <w:i/>
    </w:rPr>
  </w:style>
  <w:style w:type="character" w:customStyle="1" w:styleId="CharChapNo">
    <w:name w:val="CharChapNo"/>
    <w:basedOn w:val="OPCCharBase"/>
    <w:qFormat/>
    <w:rsid w:val="00F41875"/>
  </w:style>
  <w:style w:type="character" w:customStyle="1" w:styleId="CharChapText">
    <w:name w:val="CharChapText"/>
    <w:basedOn w:val="OPCCharBase"/>
    <w:qFormat/>
    <w:rsid w:val="00F41875"/>
  </w:style>
  <w:style w:type="character" w:customStyle="1" w:styleId="CharDivNo">
    <w:name w:val="CharDivNo"/>
    <w:basedOn w:val="OPCCharBase"/>
    <w:qFormat/>
    <w:rsid w:val="00F41875"/>
  </w:style>
  <w:style w:type="character" w:customStyle="1" w:styleId="CharDivText">
    <w:name w:val="CharDivText"/>
    <w:basedOn w:val="OPCCharBase"/>
    <w:qFormat/>
    <w:rsid w:val="00F41875"/>
  </w:style>
  <w:style w:type="character" w:customStyle="1" w:styleId="CharItalic">
    <w:name w:val="CharItalic"/>
    <w:basedOn w:val="OPCCharBase"/>
    <w:uiPriority w:val="1"/>
    <w:qFormat/>
    <w:rsid w:val="00F41875"/>
    <w:rPr>
      <w:i/>
    </w:rPr>
  </w:style>
  <w:style w:type="character" w:customStyle="1" w:styleId="CharPartNo">
    <w:name w:val="CharPartNo"/>
    <w:basedOn w:val="OPCCharBase"/>
    <w:qFormat/>
    <w:rsid w:val="00F41875"/>
  </w:style>
  <w:style w:type="character" w:customStyle="1" w:styleId="CharPartText">
    <w:name w:val="CharPartText"/>
    <w:basedOn w:val="OPCCharBase"/>
    <w:qFormat/>
    <w:rsid w:val="00F41875"/>
  </w:style>
  <w:style w:type="character" w:customStyle="1" w:styleId="CharSectno">
    <w:name w:val="CharSectno"/>
    <w:basedOn w:val="OPCCharBase"/>
    <w:qFormat/>
    <w:rsid w:val="00F41875"/>
  </w:style>
  <w:style w:type="character" w:customStyle="1" w:styleId="CharSubdNo">
    <w:name w:val="CharSubdNo"/>
    <w:basedOn w:val="OPCCharBase"/>
    <w:uiPriority w:val="1"/>
    <w:qFormat/>
    <w:rsid w:val="00F41875"/>
  </w:style>
  <w:style w:type="character" w:customStyle="1" w:styleId="CharSubdText">
    <w:name w:val="CharSubdText"/>
    <w:basedOn w:val="OPCCharBase"/>
    <w:uiPriority w:val="1"/>
    <w:qFormat/>
    <w:rsid w:val="00F41875"/>
  </w:style>
  <w:style w:type="paragraph" w:customStyle="1" w:styleId="CTA--">
    <w:name w:val="CTA --"/>
    <w:basedOn w:val="OPCParaBase"/>
    <w:next w:val="Normal"/>
    <w:rsid w:val="00F41875"/>
    <w:pPr>
      <w:spacing w:before="60" w:line="240" w:lineRule="atLeast"/>
      <w:ind w:left="142" w:hanging="142"/>
    </w:pPr>
    <w:rPr>
      <w:sz w:val="20"/>
    </w:rPr>
  </w:style>
  <w:style w:type="paragraph" w:customStyle="1" w:styleId="CTA-">
    <w:name w:val="CTA -"/>
    <w:basedOn w:val="OPCParaBase"/>
    <w:rsid w:val="00F41875"/>
    <w:pPr>
      <w:spacing w:before="60" w:line="240" w:lineRule="atLeast"/>
      <w:ind w:left="85" w:hanging="85"/>
    </w:pPr>
    <w:rPr>
      <w:sz w:val="20"/>
    </w:rPr>
  </w:style>
  <w:style w:type="paragraph" w:customStyle="1" w:styleId="CTA---">
    <w:name w:val="CTA ---"/>
    <w:basedOn w:val="OPCParaBase"/>
    <w:next w:val="Normal"/>
    <w:rsid w:val="00F41875"/>
    <w:pPr>
      <w:spacing w:before="60" w:line="240" w:lineRule="atLeast"/>
      <w:ind w:left="198" w:hanging="198"/>
    </w:pPr>
    <w:rPr>
      <w:sz w:val="20"/>
    </w:rPr>
  </w:style>
  <w:style w:type="paragraph" w:customStyle="1" w:styleId="CTA----">
    <w:name w:val="CTA ----"/>
    <w:basedOn w:val="OPCParaBase"/>
    <w:next w:val="Normal"/>
    <w:rsid w:val="00F41875"/>
    <w:pPr>
      <w:spacing w:before="60" w:line="240" w:lineRule="atLeast"/>
      <w:ind w:left="255" w:hanging="255"/>
    </w:pPr>
    <w:rPr>
      <w:sz w:val="20"/>
    </w:rPr>
  </w:style>
  <w:style w:type="paragraph" w:customStyle="1" w:styleId="CTA1a">
    <w:name w:val="CTA 1(a)"/>
    <w:basedOn w:val="OPCParaBase"/>
    <w:rsid w:val="00F41875"/>
    <w:pPr>
      <w:tabs>
        <w:tab w:val="right" w:pos="414"/>
      </w:tabs>
      <w:spacing w:before="40" w:line="240" w:lineRule="atLeast"/>
      <w:ind w:left="675" w:hanging="675"/>
    </w:pPr>
    <w:rPr>
      <w:sz w:val="20"/>
    </w:rPr>
  </w:style>
  <w:style w:type="paragraph" w:customStyle="1" w:styleId="CTA1ai">
    <w:name w:val="CTA 1(a)(i)"/>
    <w:basedOn w:val="OPCParaBase"/>
    <w:rsid w:val="00F41875"/>
    <w:pPr>
      <w:tabs>
        <w:tab w:val="right" w:pos="1004"/>
      </w:tabs>
      <w:spacing w:before="40" w:line="240" w:lineRule="atLeast"/>
      <w:ind w:left="1253" w:hanging="1253"/>
    </w:pPr>
    <w:rPr>
      <w:sz w:val="20"/>
    </w:rPr>
  </w:style>
  <w:style w:type="paragraph" w:customStyle="1" w:styleId="CTA2a">
    <w:name w:val="CTA 2(a)"/>
    <w:basedOn w:val="OPCParaBase"/>
    <w:rsid w:val="00F41875"/>
    <w:pPr>
      <w:tabs>
        <w:tab w:val="right" w:pos="482"/>
      </w:tabs>
      <w:spacing w:before="40" w:line="240" w:lineRule="atLeast"/>
      <w:ind w:left="748" w:hanging="748"/>
    </w:pPr>
    <w:rPr>
      <w:sz w:val="20"/>
    </w:rPr>
  </w:style>
  <w:style w:type="paragraph" w:customStyle="1" w:styleId="CTA2ai">
    <w:name w:val="CTA 2(a)(i)"/>
    <w:basedOn w:val="OPCParaBase"/>
    <w:rsid w:val="00F41875"/>
    <w:pPr>
      <w:tabs>
        <w:tab w:val="right" w:pos="1089"/>
      </w:tabs>
      <w:spacing w:before="40" w:line="240" w:lineRule="atLeast"/>
      <w:ind w:left="1327" w:hanging="1327"/>
    </w:pPr>
    <w:rPr>
      <w:sz w:val="20"/>
    </w:rPr>
  </w:style>
  <w:style w:type="paragraph" w:customStyle="1" w:styleId="CTA3a">
    <w:name w:val="CTA 3(a)"/>
    <w:basedOn w:val="OPCParaBase"/>
    <w:rsid w:val="00F41875"/>
    <w:pPr>
      <w:tabs>
        <w:tab w:val="right" w:pos="556"/>
      </w:tabs>
      <w:spacing w:before="40" w:line="240" w:lineRule="atLeast"/>
      <w:ind w:left="805" w:hanging="805"/>
    </w:pPr>
    <w:rPr>
      <w:sz w:val="20"/>
    </w:rPr>
  </w:style>
  <w:style w:type="paragraph" w:customStyle="1" w:styleId="CTA3ai">
    <w:name w:val="CTA 3(a)(i)"/>
    <w:basedOn w:val="OPCParaBase"/>
    <w:rsid w:val="00F41875"/>
    <w:pPr>
      <w:tabs>
        <w:tab w:val="right" w:pos="1140"/>
      </w:tabs>
      <w:spacing w:before="40" w:line="240" w:lineRule="atLeast"/>
      <w:ind w:left="1361" w:hanging="1361"/>
    </w:pPr>
    <w:rPr>
      <w:sz w:val="20"/>
    </w:rPr>
  </w:style>
  <w:style w:type="paragraph" w:customStyle="1" w:styleId="CTA4a">
    <w:name w:val="CTA 4(a)"/>
    <w:basedOn w:val="OPCParaBase"/>
    <w:rsid w:val="00F41875"/>
    <w:pPr>
      <w:tabs>
        <w:tab w:val="right" w:pos="624"/>
      </w:tabs>
      <w:spacing w:before="40" w:line="240" w:lineRule="atLeast"/>
      <w:ind w:left="873" w:hanging="873"/>
    </w:pPr>
    <w:rPr>
      <w:sz w:val="20"/>
    </w:rPr>
  </w:style>
  <w:style w:type="paragraph" w:customStyle="1" w:styleId="CTA4ai">
    <w:name w:val="CTA 4(a)(i)"/>
    <w:basedOn w:val="OPCParaBase"/>
    <w:rsid w:val="00F41875"/>
    <w:pPr>
      <w:tabs>
        <w:tab w:val="right" w:pos="1213"/>
      </w:tabs>
      <w:spacing w:before="40" w:line="240" w:lineRule="atLeast"/>
      <w:ind w:left="1452" w:hanging="1452"/>
    </w:pPr>
    <w:rPr>
      <w:sz w:val="20"/>
    </w:rPr>
  </w:style>
  <w:style w:type="paragraph" w:customStyle="1" w:styleId="CTACAPS">
    <w:name w:val="CTA CAPS"/>
    <w:basedOn w:val="OPCParaBase"/>
    <w:rsid w:val="00F41875"/>
    <w:pPr>
      <w:spacing w:before="60" w:line="240" w:lineRule="atLeast"/>
    </w:pPr>
    <w:rPr>
      <w:sz w:val="20"/>
    </w:rPr>
  </w:style>
  <w:style w:type="paragraph" w:customStyle="1" w:styleId="CTAright">
    <w:name w:val="CTA right"/>
    <w:basedOn w:val="OPCParaBase"/>
    <w:rsid w:val="00F41875"/>
    <w:pPr>
      <w:spacing w:before="60" w:line="240" w:lineRule="auto"/>
      <w:jc w:val="right"/>
    </w:pPr>
    <w:rPr>
      <w:sz w:val="20"/>
    </w:rPr>
  </w:style>
  <w:style w:type="paragraph" w:customStyle="1" w:styleId="subsection">
    <w:name w:val="subsection"/>
    <w:aliases w:val="ss"/>
    <w:basedOn w:val="OPCParaBase"/>
    <w:link w:val="subsectionChar"/>
    <w:rsid w:val="00F41875"/>
    <w:pPr>
      <w:tabs>
        <w:tab w:val="right" w:pos="1021"/>
      </w:tabs>
      <w:spacing w:before="180" w:line="240" w:lineRule="auto"/>
      <w:ind w:left="1134" w:hanging="1134"/>
    </w:pPr>
  </w:style>
  <w:style w:type="paragraph" w:customStyle="1" w:styleId="Definition">
    <w:name w:val="Definition"/>
    <w:aliases w:val="dd"/>
    <w:basedOn w:val="OPCParaBase"/>
    <w:rsid w:val="00F41875"/>
    <w:pPr>
      <w:spacing w:before="180" w:line="240" w:lineRule="auto"/>
      <w:ind w:left="1134"/>
    </w:pPr>
  </w:style>
  <w:style w:type="paragraph" w:customStyle="1" w:styleId="EndNotespara">
    <w:name w:val="EndNotes(para)"/>
    <w:aliases w:val="eta"/>
    <w:basedOn w:val="OPCParaBase"/>
    <w:next w:val="EndNotessubpara"/>
    <w:rsid w:val="00F4187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4187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4187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41875"/>
    <w:pPr>
      <w:tabs>
        <w:tab w:val="right" w:pos="1412"/>
      </w:tabs>
      <w:spacing w:before="60" w:line="240" w:lineRule="auto"/>
      <w:ind w:left="1525" w:hanging="1525"/>
    </w:pPr>
    <w:rPr>
      <w:sz w:val="20"/>
    </w:rPr>
  </w:style>
  <w:style w:type="paragraph" w:customStyle="1" w:styleId="Formula">
    <w:name w:val="Formula"/>
    <w:basedOn w:val="OPCParaBase"/>
    <w:rsid w:val="00F41875"/>
    <w:pPr>
      <w:spacing w:line="240" w:lineRule="auto"/>
      <w:ind w:left="1134"/>
    </w:pPr>
    <w:rPr>
      <w:sz w:val="20"/>
    </w:rPr>
  </w:style>
  <w:style w:type="paragraph" w:styleId="Header">
    <w:name w:val="header"/>
    <w:basedOn w:val="OPCParaBase"/>
    <w:link w:val="HeaderChar"/>
    <w:unhideWhenUsed/>
    <w:rsid w:val="00F4187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41875"/>
    <w:rPr>
      <w:rFonts w:ascii="Times New Roman" w:eastAsia="Times New Roman" w:hAnsi="Times New Roman" w:cs="Times New Roman"/>
      <w:sz w:val="16"/>
      <w:szCs w:val="20"/>
      <w:lang w:eastAsia="en-AU"/>
    </w:rPr>
  </w:style>
  <w:style w:type="paragraph" w:customStyle="1" w:styleId="House">
    <w:name w:val="House"/>
    <w:basedOn w:val="OPCParaBase"/>
    <w:rsid w:val="00F41875"/>
    <w:pPr>
      <w:spacing w:line="240" w:lineRule="auto"/>
    </w:pPr>
    <w:rPr>
      <w:sz w:val="28"/>
    </w:rPr>
  </w:style>
  <w:style w:type="paragraph" w:customStyle="1" w:styleId="Item">
    <w:name w:val="Item"/>
    <w:aliases w:val="i"/>
    <w:basedOn w:val="OPCParaBase"/>
    <w:next w:val="ItemHead"/>
    <w:rsid w:val="00F41875"/>
    <w:pPr>
      <w:keepLines/>
      <w:spacing w:before="80" w:line="240" w:lineRule="auto"/>
      <w:ind w:left="709"/>
    </w:pPr>
  </w:style>
  <w:style w:type="paragraph" w:customStyle="1" w:styleId="ItemHead">
    <w:name w:val="ItemHead"/>
    <w:aliases w:val="ih"/>
    <w:basedOn w:val="OPCParaBase"/>
    <w:next w:val="Item"/>
    <w:rsid w:val="00F4187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41875"/>
    <w:pPr>
      <w:spacing w:line="240" w:lineRule="auto"/>
    </w:pPr>
    <w:rPr>
      <w:b/>
      <w:sz w:val="32"/>
    </w:rPr>
  </w:style>
  <w:style w:type="paragraph" w:customStyle="1" w:styleId="notedraft">
    <w:name w:val="note(draft)"/>
    <w:aliases w:val="nd"/>
    <w:basedOn w:val="OPCParaBase"/>
    <w:rsid w:val="00F41875"/>
    <w:pPr>
      <w:spacing w:before="240" w:line="240" w:lineRule="auto"/>
      <w:ind w:left="284" w:hanging="284"/>
    </w:pPr>
    <w:rPr>
      <w:i/>
      <w:sz w:val="24"/>
    </w:rPr>
  </w:style>
  <w:style w:type="paragraph" w:customStyle="1" w:styleId="notemargin">
    <w:name w:val="note(margin)"/>
    <w:aliases w:val="nm"/>
    <w:basedOn w:val="OPCParaBase"/>
    <w:rsid w:val="00F41875"/>
    <w:pPr>
      <w:tabs>
        <w:tab w:val="left" w:pos="709"/>
      </w:tabs>
      <w:spacing w:before="122" w:line="198" w:lineRule="exact"/>
      <w:ind w:left="709" w:hanging="709"/>
    </w:pPr>
    <w:rPr>
      <w:sz w:val="18"/>
    </w:rPr>
  </w:style>
  <w:style w:type="paragraph" w:customStyle="1" w:styleId="noteToPara">
    <w:name w:val="noteToPara"/>
    <w:aliases w:val="ntp"/>
    <w:basedOn w:val="OPCParaBase"/>
    <w:rsid w:val="00F41875"/>
    <w:pPr>
      <w:spacing w:before="122" w:line="198" w:lineRule="exact"/>
      <w:ind w:left="2353" w:hanging="709"/>
    </w:pPr>
    <w:rPr>
      <w:sz w:val="18"/>
    </w:rPr>
  </w:style>
  <w:style w:type="paragraph" w:customStyle="1" w:styleId="noteParlAmend">
    <w:name w:val="note(ParlAmend)"/>
    <w:aliases w:val="npp"/>
    <w:basedOn w:val="OPCParaBase"/>
    <w:next w:val="ParlAmend"/>
    <w:rsid w:val="00F41875"/>
    <w:pPr>
      <w:spacing w:line="240" w:lineRule="auto"/>
      <w:jc w:val="right"/>
    </w:pPr>
    <w:rPr>
      <w:rFonts w:ascii="Arial" w:hAnsi="Arial"/>
      <w:b/>
      <w:i/>
    </w:rPr>
  </w:style>
  <w:style w:type="paragraph" w:customStyle="1" w:styleId="Page1">
    <w:name w:val="Page1"/>
    <w:basedOn w:val="OPCParaBase"/>
    <w:rsid w:val="00F41875"/>
    <w:pPr>
      <w:spacing w:before="5600" w:line="240" w:lineRule="auto"/>
    </w:pPr>
    <w:rPr>
      <w:b/>
      <w:sz w:val="32"/>
    </w:rPr>
  </w:style>
  <w:style w:type="paragraph" w:customStyle="1" w:styleId="PageBreak">
    <w:name w:val="PageBreak"/>
    <w:aliases w:val="pb"/>
    <w:basedOn w:val="OPCParaBase"/>
    <w:rsid w:val="00F41875"/>
    <w:pPr>
      <w:spacing w:line="240" w:lineRule="auto"/>
    </w:pPr>
    <w:rPr>
      <w:sz w:val="20"/>
    </w:rPr>
  </w:style>
  <w:style w:type="paragraph" w:customStyle="1" w:styleId="paragraphsub">
    <w:name w:val="paragraph(sub)"/>
    <w:aliases w:val="aa"/>
    <w:basedOn w:val="OPCParaBase"/>
    <w:rsid w:val="00F41875"/>
    <w:pPr>
      <w:tabs>
        <w:tab w:val="right" w:pos="1985"/>
      </w:tabs>
      <w:spacing w:before="40" w:line="240" w:lineRule="auto"/>
      <w:ind w:left="2098" w:hanging="2098"/>
    </w:pPr>
  </w:style>
  <w:style w:type="paragraph" w:customStyle="1" w:styleId="paragraphsub-sub">
    <w:name w:val="paragraph(sub-sub)"/>
    <w:aliases w:val="aaa"/>
    <w:basedOn w:val="OPCParaBase"/>
    <w:rsid w:val="00F41875"/>
    <w:pPr>
      <w:tabs>
        <w:tab w:val="right" w:pos="2722"/>
      </w:tabs>
      <w:spacing w:before="40" w:line="240" w:lineRule="auto"/>
      <w:ind w:left="2835" w:hanging="2835"/>
    </w:pPr>
  </w:style>
  <w:style w:type="paragraph" w:customStyle="1" w:styleId="paragraph">
    <w:name w:val="paragraph"/>
    <w:aliases w:val="a"/>
    <w:basedOn w:val="OPCParaBase"/>
    <w:rsid w:val="00F41875"/>
    <w:pPr>
      <w:tabs>
        <w:tab w:val="right" w:pos="1531"/>
      </w:tabs>
      <w:spacing w:before="40" w:line="240" w:lineRule="auto"/>
      <w:ind w:left="1644" w:hanging="1644"/>
    </w:pPr>
  </w:style>
  <w:style w:type="paragraph" w:customStyle="1" w:styleId="ParlAmend">
    <w:name w:val="ParlAmend"/>
    <w:aliases w:val="pp"/>
    <w:basedOn w:val="OPCParaBase"/>
    <w:rsid w:val="00F41875"/>
    <w:pPr>
      <w:spacing w:before="240" w:line="240" w:lineRule="atLeast"/>
      <w:ind w:hanging="567"/>
    </w:pPr>
    <w:rPr>
      <w:sz w:val="24"/>
    </w:rPr>
  </w:style>
  <w:style w:type="paragraph" w:customStyle="1" w:styleId="Penalty">
    <w:name w:val="Penalty"/>
    <w:basedOn w:val="OPCParaBase"/>
    <w:rsid w:val="00F41875"/>
    <w:pPr>
      <w:tabs>
        <w:tab w:val="left" w:pos="2977"/>
      </w:tabs>
      <w:spacing w:before="180" w:line="240" w:lineRule="auto"/>
      <w:ind w:left="1985" w:hanging="851"/>
    </w:pPr>
  </w:style>
  <w:style w:type="paragraph" w:customStyle="1" w:styleId="Portfolio">
    <w:name w:val="Portfolio"/>
    <w:basedOn w:val="OPCParaBase"/>
    <w:rsid w:val="00F41875"/>
    <w:pPr>
      <w:spacing w:line="240" w:lineRule="auto"/>
    </w:pPr>
    <w:rPr>
      <w:i/>
      <w:sz w:val="20"/>
    </w:rPr>
  </w:style>
  <w:style w:type="paragraph" w:customStyle="1" w:styleId="Preamble">
    <w:name w:val="Preamble"/>
    <w:basedOn w:val="OPCParaBase"/>
    <w:next w:val="Normal"/>
    <w:rsid w:val="00F4187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41875"/>
    <w:pPr>
      <w:spacing w:line="240" w:lineRule="auto"/>
    </w:pPr>
    <w:rPr>
      <w:i/>
      <w:sz w:val="20"/>
    </w:rPr>
  </w:style>
  <w:style w:type="paragraph" w:customStyle="1" w:styleId="Session">
    <w:name w:val="Session"/>
    <w:basedOn w:val="OPCParaBase"/>
    <w:rsid w:val="00F41875"/>
    <w:pPr>
      <w:spacing w:line="240" w:lineRule="auto"/>
    </w:pPr>
    <w:rPr>
      <w:sz w:val="28"/>
    </w:rPr>
  </w:style>
  <w:style w:type="paragraph" w:customStyle="1" w:styleId="Sponsor">
    <w:name w:val="Sponsor"/>
    <w:basedOn w:val="OPCParaBase"/>
    <w:rsid w:val="00F41875"/>
    <w:pPr>
      <w:spacing w:line="240" w:lineRule="auto"/>
    </w:pPr>
    <w:rPr>
      <w:i/>
    </w:rPr>
  </w:style>
  <w:style w:type="paragraph" w:customStyle="1" w:styleId="Subitem">
    <w:name w:val="Subitem"/>
    <w:aliases w:val="iss"/>
    <w:basedOn w:val="OPCParaBase"/>
    <w:rsid w:val="00F41875"/>
    <w:pPr>
      <w:spacing w:before="180" w:line="240" w:lineRule="auto"/>
      <w:ind w:left="709" w:hanging="709"/>
    </w:pPr>
  </w:style>
  <w:style w:type="paragraph" w:customStyle="1" w:styleId="SubitemHead">
    <w:name w:val="SubitemHead"/>
    <w:aliases w:val="issh"/>
    <w:basedOn w:val="OPCParaBase"/>
    <w:rsid w:val="00F4187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41875"/>
    <w:pPr>
      <w:spacing w:before="40" w:line="240" w:lineRule="auto"/>
      <w:ind w:left="1134"/>
    </w:pPr>
  </w:style>
  <w:style w:type="paragraph" w:customStyle="1" w:styleId="SubsectionHead">
    <w:name w:val="SubsectionHead"/>
    <w:aliases w:val="ssh"/>
    <w:basedOn w:val="OPCParaBase"/>
    <w:next w:val="subsection"/>
    <w:rsid w:val="00F41875"/>
    <w:pPr>
      <w:keepNext/>
      <w:keepLines/>
      <w:spacing w:before="240" w:line="240" w:lineRule="auto"/>
      <w:ind w:left="1134"/>
    </w:pPr>
    <w:rPr>
      <w:i/>
    </w:rPr>
  </w:style>
  <w:style w:type="paragraph" w:customStyle="1" w:styleId="Tablea">
    <w:name w:val="Table(a)"/>
    <w:aliases w:val="ta"/>
    <w:basedOn w:val="OPCParaBase"/>
    <w:rsid w:val="00F41875"/>
    <w:pPr>
      <w:spacing w:before="60" w:line="240" w:lineRule="auto"/>
      <w:ind w:left="284" w:hanging="284"/>
    </w:pPr>
    <w:rPr>
      <w:sz w:val="20"/>
    </w:rPr>
  </w:style>
  <w:style w:type="paragraph" w:customStyle="1" w:styleId="TableAA">
    <w:name w:val="Table(AA)"/>
    <w:aliases w:val="taaa"/>
    <w:basedOn w:val="OPCParaBase"/>
    <w:rsid w:val="00F4187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4187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41875"/>
    <w:pPr>
      <w:spacing w:before="60" w:line="240" w:lineRule="atLeast"/>
    </w:pPr>
    <w:rPr>
      <w:sz w:val="20"/>
    </w:rPr>
  </w:style>
  <w:style w:type="paragraph" w:customStyle="1" w:styleId="TLPBoxTextnote">
    <w:name w:val="TLPBoxText(note"/>
    <w:aliases w:val="right)"/>
    <w:basedOn w:val="OPCParaBase"/>
    <w:rsid w:val="00F4187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4187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41875"/>
    <w:pPr>
      <w:spacing w:before="122" w:line="198" w:lineRule="exact"/>
      <w:ind w:left="1985" w:hanging="851"/>
      <w:jc w:val="right"/>
    </w:pPr>
    <w:rPr>
      <w:sz w:val="18"/>
    </w:rPr>
  </w:style>
  <w:style w:type="paragraph" w:customStyle="1" w:styleId="TLPTableBullet">
    <w:name w:val="TLPTableBullet"/>
    <w:aliases w:val="ttb"/>
    <w:basedOn w:val="OPCParaBase"/>
    <w:rsid w:val="00F41875"/>
    <w:pPr>
      <w:spacing w:line="240" w:lineRule="exact"/>
      <w:ind w:left="284" w:hanging="284"/>
    </w:pPr>
    <w:rPr>
      <w:sz w:val="20"/>
    </w:rPr>
  </w:style>
  <w:style w:type="paragraph" w:styleId="TOC1">
    <w:name w:val="toc 1"/>
    <w:basedOn w:val="OPCParaBase"/>
    <w:next w:val="Normal"/>
    <w:uiPriority w:val="39"/>
    <w:unhideWhenUsed/>
    <w:rsid w:val="00F41875"/>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41875"/>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41875"/>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41875"/>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4187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F41875"/>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41875"/>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41875"/>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41875"/>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41875"/>
    <w:pPr>
      <w:keepLines/>
      <w:spacing w:before="240" w:after="120" w:line="240" w:lineRule="auto"/>
      <w:ind w:left="794"/>
    </w:pPr>
    <w:rPr>
      <w:b/>
      <w:kern w:val="28"/>
      <w:sz w:val="20"/>
    </w:rPr>
  </w:style>
  <w:style w:type="paragraph" w:customStyle="1" w:styleId="TofSectsHeading">
    <w:name w:val="TofSects(Heading)"/>
    <w:basedOn w:val="OPCParaBase"/>
    <w:rsid w:val="00F41875"/>
    <w:pPr>
      <w:spacing w:before="240" w:after="120" w:line="240" w:lineRule="auto"/>
    </w:pPr>
    <w:rPr>
      <w:b/>
      <w:sz w:val="24"/>
    </w:rPr>
  </w:style>
  <w:style w:type="paragraph" w:customStyle="1" w:styleId="TofSectsSection">
    <w:name w:val="TofSects(Section)"/>
    <w:basedOn w:val="OPCParaBase"/>
    <w:rsid w:val="00F41875"/>
    <w:pPr>
      <w:keepLines/>
      <w:spacing w:before="40" w:line="240" w:lineRule="auto"/>
      <w:ind w:left="1588" w:hanging="794"/>
    </w:pPr>
    <w:rPr>
      <w:kern w:val="28"/>
      <w:sz w:val="18"/>
    </w:rPr>
  </w:style>
  <w:style w:type="paragraph" w:customStyle="1" w:styleId="TofSectsSubdiv">
    <w:name w:val="TofSects(Subdiv)"/>
    <w:basedOn w:val="OPCParaBase"/>
    <w:rsid w:val="00F41875"/>
    <w:pPr>
      <w:keepLines/>
      <w:spacing w:before="80" w:line="240" w:lineRule="auto"/>
      <w:ind w:left="1588" w:hanging="794"/>
    </w:pPr>
    <w:rPr>
      <w:kern w:val="28"/>
    </w:rPr>
  </w:style>
  <w:style w:type="paragraph" w:customStyle="1" w:styleId="WRStyle">
    <w:name w:val="WR Style"/>
    <w:aliases w:val="WR"/>
    <w:basedOn w:val="OPCParaBase"/>
    <w:rsid w:val="00F41875"/>
    <w:pPr>
      <w:spacing w:before="240" w:line="240" w:lineRule="auto"/>
      <w:ind w:left="284" w:hanging="284"/>
    </w:pPr>
    <w:rPr>
      <w:b/>
      <w:i/>
      <w:kern w:val="28"/>
      <w:sz w:val="24"/>
    </w:rPr>
  </w:style>
  <w:style w:type="paragraph" w:customStyle="1" w:styleId="notepara">
    <w:name w:val="note(para)"/>
    <w:aliases w:val="na"/>
    <w:basedOn w:val="OPCParaBase"/>
    <w:rsid w:val="00F41875"/>
    <w:pPr>
      <w:spacing w:before="40" w:line="198" w:lineRule="exact"/>
      <w:ind w:left="2354" w:hanging="369"/>
    </w:pPr>
    <w:rPr>
      <w:sz w:val="18"/>
    </w:rPr>
  </w:style>
  <w:style w:type="paragraph" w:styleId="Footer">
    <w:name w:val="footer"/>
    <w:link w:val="FooterChar"/>
    <w:rsid w:val="00F41875"/>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F41875"/>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F41875"/>
    <w:rPr>
      <w:sz w:val="16"/>
    </w:rPr>
  </w:style>
  <w:style w:type="table" w:customStyle="1" w:styleId="CFlag">
    <w:name w:val="CFlag"/>
    <w:basedOn w:val="TableNormal"/>
    <w:uiPriority w:val="99"/>
    <w:rsid w:val="00F41875"/>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F418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875"/>
    <w:rPr>
      <w:rFonts w:ascii="Tahoma" w:hAnsi="Tahoma" w:cs="Tahoma"/>
      <w:sz w:val="16"/>
      <w:szCs w:val="16"/>
    </w:rPr>
  </w:style>
  <w:style w:type="table" w:styleId="TableGrid">
    <w:name w:val="Table Grid"/>
    <w:basedOn w:val="TableNormal"/>
    <w:uiPriority w:val="59"/>
    <w:rsid w:val="00F41875"/>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41875"/>
    <w:rPr>
      <w:b/>
      <w:sz w:val="28"/>
      <w:szCs w:val="32"/>
    </w:rPr>
  </w:style>
  <w:style w:type="paragraph" w:customStyle="1" w:styleId="LegislationMadeUnder">
    <w:name w:val="LegislationMadeUnder"/>
    <w:basedOn w:val="OPCParaBase"/>
    <w:next w:val="Normal"/>
    <w:rsid w:val="00F41875"/>
    <w:rPr>
      <w:i/>
      <w:sz w:val="32"/>
      <w:szCs w:val="32"/>
    </w:rPr>
  </w:style>
  <w:style w:type="paragraph" w:customStyle="1" w:styleId="SignCoverPageEnd">
    <w:name w:val="SignCoverPageEnd"/>
    <w:basedOn w:val="OPCParaBase"/>
    <w:next w:val="Normal"/>
    <w:rsid w:val="00F41875"/>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41875"/>
    <w:pPr>
      <w:pBdr>
        <w:top w:val="single" w:sz="4" w:space="1" w:color="auto"/>
      </w:pBdr>
      <w:spacing w:before="360"/>
      <w:ind w:right="397"/>
      <w:jc w:val="both"/>
    </w:pPr>
  </w:style>
  <w:style w:type="paragraph" w:customStyle="1" w:styleId="NotesHeading1">
    <w:name w:val="NotesHeading 1"/>
    <w:basedOn w:val="OPCParaBase"/>
    <w:next w:val="Normal"/>
    <w:rsid w:val="00F41875"/>
    <w:pPr>
      <w:outlineLvl w:val="0"/>
    </w:pPr>
    <w:rPr>
      <w:b/>
      <w:sz w:val="28"/>
      <w:szCs w:val="28"/>
    </w:rPr>
  </w:style>
  <w:style w:type="paragraph" w:customStyle="1" w:styleId="NotesHeading2">
    <w:name w:val="NotesHeading 2"/>
    <w:basedOn w:val="OPCParaBase"/>
    <w:next w:val="Normal"/>
    <w:rsid w:val="00F41875"/>
    <w:rPr>
      <w:b/>
      <w:sz w:val="28"/>
      <w:szCs w:val="28"/>
    </w:rPr>
  </w:style>
  <w:style w:type="paragraph" w:customStyle="1" w:styleId="CompiledActNo">
    <w:name w:val="CompiledActNo"/>
    <w:basedOn w:val="OPCParaBase"/>
    <w:next w:val="Normal"/>
    <w:rsid w:val="00F41875"/>
    <w:rPr>
      <w:b/>
      <w:sz w:val="24"/>
      <w:szCs w:val="24"/>
    </w:rPr>
  </w:style>
  <w:style w:type="paragraph" w:customStyle="1" w:styleId="ENotesText">
    <w:name w:val="ENotesText"/>
    <w:aliases w:val="Ent"/>
    <w:basedOn w:val="OPCParaBase"/>
    <w:next w:val="Normal"/>
    <w:rsid w:val="00F41875"/>
    <w:pPr>
      <w:spacing w:before="120"/>
    </w:pPr>
  </w:style>
  <w:style w:type="paragraph" w:customStyle="1" w:styleId="CompiledMadeUnder">
    <w:name w:val="CompiledMadeUnder"/>
    <w:basedOn w:val="OPCParaBase"/>
    <w:next w:val="Normal"/>
    <w:rsid w:val="00F41875"/>
    <w:rPr>
      <w:i/>
      <w:sz w:val="24"/>
      <w:szCs w:val="24"/>
    </w:rPr>
  </w:style>
  <w:style w:type="paragraph" w:customStyle="1" w:styleId="Paragraphsub-sub-sub">
    <w:name w:val="Paragraph(sub-sub-sub)"/>
    <w:aliases w:val="aaaa"/>
    <w:basedOn w:val="OPCParaBase"/>
    <w:rsid w:val="00F41875"/>
    <w:pPr>
      <w:tabs>
        <w:tab w:val="right" w:pos="3402"/>
      </w:tabs>
      <w:spacing w:before="40" w:line="240" w:lineRule="auto"/>
      <w:ind w:left="3402" w:hanging="3402"/>
    </w:pPr>
  </w:style>
  <w:style w:type="paragraph" w:customStyle="1" w:styleId="TableTextEndNotes">
    <w:name w:val="TableTextEndNotes"/>
    <w:aliases w:val="Tten"/>
    <w:basedOn w:val="Normal"/>
    <w:rsid w:val="00F41875"/>
    <w:pPr>
      <w:spacing w:before="60" w:line="240" w:lineRule="auto"/>
    </w:pPr>
    <w:rPr>
      <w:rFonts w:cs="Arial"/>
      <w:sz w:val="20"/>
      <w:szCs w:val="22"/>
    </w:rPr>
  </w:style>
  <w:style w:type="paragraph" w:customStyle="1" w:styleId="NoteToSubpara">
    <w:name w:val="NoteToSubpara"/>
    <w:aliases w:val="nts"/>
    <w:basedOn w:val="OPCParaBase"/>
    <w:rsid w:val="00F41875"/>
    <w:pPr>
      <w:spacing w:before="40" w:line="198" w:lineRule="exact"/>
      <w:ind w:left="2835" w:hanging="709"/>
    </w:pPr>
    <w:rPr>
      <w:sz w:val="18"/>
    </w:rPr>
  </w:style>
  <w:style w:type="paragraph" w:customStyle="1" w:styleId="ENoteTableHeading">
    <w:name w:val="ENoteTableHeading"/>
    <w:aliases w:val="enth"/>
    <w:basedOn w:val="OPCParaBase"/>
    <w:rsid w:val="00F41875"/>
    <w:pPr>
      <w:keepNext/>
      <w:spacing w:before="60" w:line="240" w:lineRule="atLeast"/>
    </w:pPr>
    <w:rPr>
      <w:rFonts w:ascii="Arial" w:hAnsi="Arial"/>
      <w:b/>
      <w:sz w:val="16"/>
    </w:rPr>
  </w:style>
  <w:style w:type="paragraph" w:customStyle="1" w:styleId="ENoteTTi">
    <w:name w:val="ENoteTTi"/>
    <w:aliases w:val="entti"/>
    <w:basedOn w:val="OPCParaBase"/>
    <w:rsid w:val="00F41875"/>
    <w:pPr>
      <w:keepNext/>
      <w:spacing w:before="60" w:line="240" w:lineRule="atLeast"/>
      <w:ind w:left="170"/>
    </w:pPr>
    <w:rPr>
      <w:sz w:val="16"/>
    </w:rPr>
  </w:style>
  <w:style w:type="paragraph" w:customStyle="1" w:styleId="ENotesHeading1">
    <w:name w:val="ENotesHeading 1"/>
    <w:aliases w:val="Enh1"/>
    <w:basedOn w:val="OPCParaBase"/>
    <w:next w:val="Normal"/>
    <w:rsid w:val="00F41875"/>
    <w:pPr>
      <w:spacing w:before="120"/>
      <w:outlineLvl w:val="1"/>
    </w:pPr>
    <w:rPr>
      <w:b/>
      <w:sz w:val="28"/>
      <w:szCs w:val="28"/>
    </w:rPr>
  </w:style>
  <w:style w:type="paragraph" w:customStyle="1" w:styleId="ENotesHeading2">
    <w:name w:val="ENotesHeading 2"/>
    <w:aliases w:val="Enh2"/>
    <w:basedOn w:val="OPCParaBase"/>
    <w:next w:val="Normal"/>
    <w:rsid w:val="00F41875"/>
    <w:pPr>
      <w:spacing w:before="120" w:after="120"/>
      <w:outlineLvl w:val="2"/>
    </w:pPr>
    <w:rPr>
      <w:b/>
      <w:sz w:val="24"/>
      <w:szCs w:val="28"/>
    </w:rPr>
  </w:style>
  <w:style w:type="paragraph" w:customStyle="1" w:styleId="ENoteTTIndentHeading">
    <w:name w:val="ENoteTTIndentHeading"/>
    <w:aliases w:val="enTTHi"/>
    <w:basedOn w:val="OPCParaBase"/>
    <w:rsid w:val="00F4187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41875"/>
    <w:pPr>
      <w:spacing w:before="60" w:line="240" w:lineRule="atLeast"/>
    </w:pPr>
    <w:rPr>
      <w:sz w:val="16"/>
    </w:rPr>
  </w:style>
  <w:style w:type="paragraph" w:customStyle="1" w:styleId="MadeunderText">
    <w:name w:val="MadeunderText"/>
    <w:basedOn w:val="OPCParaBase"/>
    <w:next w:val="CompiledMadeUnder"/>
    <w:rsid w:val="00F41875"/>
    <w:pPr>
      <w:spacing w:before="240"/>
    </w:pPr>
    <w:rPr>
      <w:sz w:val="24"/>
      <w:szCs w:val="24"/>
    </w:rPr>
  </w:style>
  <w:style w:type="paragraph" w:customStyle="1" w:styleId="ENotesHeading3">
    <w:name w:val="ENotesHeading 3"/>
    <w:aliases w:val="Enh3"/>
    <w:basedOn w:val="OPCParaBase"/>
    <w:next w:val="Normal"/>
    <w:rsid w:val="00F41875"/>
    <w:pPr>
      <w:keepNext/>
      <w:spacing w:before="120" w:line="240" w:lineRule="auto"/>
      <w:outlineLvl w:val="4"/>
    </w:pPr>
    <w:rPr>
      <w:b/>
      <w:szCs w:val="24"/>
    </w:rPr>
  </w:style>
  <w:style w:type="character" w:customStyle="1" w:styleId="CharSubPartTextCASA">
    <w:name w:val="CharSubPartText(CASA)"/>
    <w:basedOn w:val="OPCCharBase"/>
    <w:uiPriority w:val="1"/>
    <w:rsid w:val="00F41875"/>
  </w:style>
  <w:style w:type="character" w:customStyle="1" w:styleId="CharSubPartNoCASA">
    <w:name w:val="CharSubPartNo(CASA)"/>
    <w:basedOn w:val="OPCCharBase"/>
    <w:uiPriority w:val="1"/>
    <w:rsid w:val="00F41875"/>
  </w:style>
  <w:style w:type="paragraph" w:customStyle="1" w:styleId="ENoteTTIndentHeadingSub">
    <w:name w:val="ENoteTTIndentHeadingSub"/>
    <w:aliases w:val="enTTHis"/>
    <w:basedOn w:val="OPCParaBase"/>
    <w:rsid w:val="00F41875"/>
    <w:pPr>
      <w:keepNext/>
      <w:spacing w:before="60" w:line="240" w:lineRule="atLeast"/>
      <w:ind w:left="340"/>
    </w:pPr>
    <w:rPr>
      <w:b/>
      <w:sz w:val="16"/>
    </w:rPr>
  </w:style>
  <w:style w:type="paragraph" w:customStyle="1" w:styleId="ENoteTTiSub">
    <w:name w:val="ENoteTTiSub"/>
    <w:aliases w:val="enttis"/>
    <w:basedOn w:val="OPCParaBase"/>
    <w:rsid w:val="00F41875"/>
    <w:pPr>
      <w:keepNext/>
      <w:spacing w:before="60" w:line="240" w:lineRule="atLeast"/>
      <w:ind w:left="340"/>
    </w:pPr>
    <w:rPr>
      <w:sz w:val="16"/>
    </w:rPr>
  </w:style>
  <w:style w:type="paragraph" w:customStyle="1" w:styleId="SubDivisionMigration">
    <w:name w:val="SubDivisionMigration"/>
    <w:aliases w:val="sdm"/>
    <w:basedOn w:val="OPCParaBase"/>
    <w:rsid w:val="00F4187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4187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41875"/>
    <w:pPr>
      <w:spacing w:before="122" w:line="240" w:lineRule="auto"/>
      <w:ind w:left="1985" w:hanging="851"/>
    </w:pPr>
    <w:rPr>
      <w:sz w:val="18"/>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F41875"/>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F41875"/>
    <w:rPr>
      <w:rFonts w:ascii="Times New Roman" w:hAnsi="Times New Roman"/>
      <w:szCs w:val="20"/>
    </w:rPr>
  </w:style>
  <w:style w:type="paragraph" w:customStyle="1" w:styleId="SOTextNote">
    <w:name w:val="SO TextNote"/>
    <w:aliases w:val="sont"/>
    <w:basedOn w:val="SOText"/>
    <w:qFormat/>
    <w:rsid w:val="00F41875"/>
    <w:pPr>
      <w:spacing w:before="122" w:line="198" w:lineRule="exact"/>
      <w:ind w:left="1843" w:hanging="709"/>
    </w:pPr>
    <w:rPr>
      <w:sz w:val="18"/>
    </w:rPr>
  </w:style>
  <w:style w:type="paragraph" w:customStyle="1" w:styleId="SOPara">
    <w:name w:val="SO Para"/>
    <w:aliases w:val="soa"/>
    <w:basedOn w:val="SOText"/>
    <w:link w:val="SOParaChar"/>
    <w:qFormat/>
    <w:rsid w:val="00F41875"/>
    <w:pPr>
      <w:tabs>
        <w:tab w:val="right" w:pos="1786"/>
      </w:tabs>
      <w:spacing w:before="40"/>
      <w:ind w:left="2070" w:hanging="936"/>
    </w:pPr>
  </w:style>
  <w:style w:type="character" w:customStyle="1" w:styleId="SOParaChar">
    <w:name w:val="SO Para Char"/>
    <w:aliases w:val="soa Char"/>
    <w:basedOn w:val="DefaultParagraphFont"/>
    <w:link w:val="SOPara"/>
    <w:rsid w:val="00F41875"/>
    <w:rPr>
      <w:rFonts w:ascii="Times New Roman" w:hAnsi="Times New Roman"/>
      <w:szCs w:val="20"/>
    </w:rPr>
  </w:style>
  <w:style w:type="paragraph" w:customStyle="1" w:styleId="FileName">
    <w:name w:val="FileName"/>
    <w:basedOn w:val="Normal"/>
    <w:rsid w:val="00F41875"/>
  </w:style>
  <w:style w:type="paragraph" w:customStyle="1" w:styleId="TableHeading">
    <w:name w:val="TableHeading"/>
    <w:aliases w:val="th"/>
    <w:basedOn w:val="OPCParaBase"/>
    <w:next w:val="Tabletext"/>
    <w:rsid w:val="00F41875"/>
    <w:pPr>
      <w:keepNext/>
      <w:spacing w:before="60" w:line="240" w:lineRule="atLeast"/>
    </w:pPr>
    <w:rPr>
      <w:b/>
      <w:sz w:val="20"/>
    </w:rPr>
  </w:style>
  <w:style w:type="paragraph" w:customStyle="1" w:styleId="SOHeadBold">
    <w:name w:val="SO HeadBold"/>
    <w:aliases w:val="sohb"/>
    <w:basedOn w:val="SOText"/>
    <w:next w:val="SOText"/>
    <w:link w:val="SOHeadBoldChar"/>
    <w:qFormat/>
    <w:rsid w:val="00F41875"/>
    <w:rPr>
      <w:b/>
    </w:rPr>
  </w:style>
  <w:style w:type="character" w:customStyle="1" w:styleId="SOHeadBoldChar">
    <w:name w:val="SO HeadBold Char"/>
    <w:aliases w:val="sohb Char"/>
    <w:basedOn w:val="DefaultParagraphFont"/>
    <w:link w:val="SOHeadBold"/>
    <w:rsid w:val="00F41875"/>
    <w:rPr>
      <w:rFonts w:ascii="Times New Roman" w:hAnsi="Times New Roman"/>
      <w:b/>
      <w:szCs w:val="20"/>
    </w:rPr>
  </w:style>
  <w:style w:type="paragraph" w:customStyle="1" w:styleId="SOHeadItalic">
    <w:name w:val="SO HeadItalic"/>
    <w:aliases w:val="sohi"/>
    <w:basedOn w:val="SOText"/>
    <w:next w:val="SOText"/>
    <w:link w:val="SOHeadItalicChar"/>
    <w:qFormat/>
    <w:rsid w:val="00F41875"/>
    <w:rPr>
      <w:i/>
    </w:rPr>
  </w:style>
  <w:style w:type="character" w:customStyle="1" w:styleId="SOHeadItalicChar">
    <w:name w:val="SO HeadItalic Char"/>
    <w:aliases w:val="sohi Char"/>
    <w:basedOn w:val="DefaultParagraphFont"/>
    <w:link w:val="SOHeadItalic"/>
    <w:rsid w:val="00F41875"/>
    <w:rPr>
      <w:rFonts w:ascii="Times New Roman" w:hAnsi="Times New Roman"/>
      <w:i/>
      <w:szCs w:val="20"/>
    </w:rPr>
  </w:style>
  <w:style w:type="paragraph" w:customStyle="1" w:styleId="SOBullet">
    <w:name w:val="SO Bullet"/>
    <w:aliases w:val="sotb"/>
    <w:basedOn w:val="SOText"/>
    <w:link w:val="SOBulletChar"/>
    <w:qFormat/>
    <w:rsid w:val="00F41875"/>
    <w:pPr>
      <w:ind w:left="1559" w:hanging="425"/>
    </w:pPr>
  </w:style>
  <w:style w:type="character" w:customStyle="1" w:styleId="SOBulletChar">
    <w:name w:val="SO Bullet Char"/>
    <w:aliases w:val="sotb Char"/>
    <w:basedOn w:val="DefaultParagraphFont"/>
    <w:link w:val="SOBullet"/>
    <w:rsid w:val="00F41875"/>
    <w:rPr>
      <w:rFonts w:ascii="Times New Roman" w:hAnsi="Times New Roman"/>
      <w:szCs w:val="20"/>
    </w:rPr>
  </w:style>
  <w:style w:type="paragraph" w:customStyle="1" w:styleId="SOBulletNote">
    <w:name w:val="SO BulletNote"/>
    <w:aliases w:val="sonb"/>
    <w:basedOn w:val="SOTextNote"/>
    <w:link w:val="SOBulletNoteChar"/>
    <w:qFormat/>
    <w:rsid w:val="00F41875"/>
    <w:pPr>
      <w:tabs>
        <w:tab w:val="left" w:pos="1560"/>
      </w:tabs>
      <w:ind w:left="2268" w:hanging="1134"/>
    </w:pPr>
  </w:style>
  <w:style w:type="character" w:customStyle="1" w:styleId="SOBulletNoteChar">
    <w:name w:val="SO BulletNote Char"/>
    <w:aliases w:val="sonb Char"/>
    <w:basedOn w:val="DefaultParagraphFont"/>
    <w:link w:val="SOBulletNote"/>
    <w:rsid w:val="00F41875"/>
    <w:rPr>
      <w:rFonts w:ascii="Times New Roman" w:hAnsi="Times New Roman"/>
      <w:sz w:val="18"/>
      <w:szCs w:val="20"/>
    </w:rPr>
  </w:style>
  <w:style w:type="paragraph" w:customStyle="1" w:styleId="SOText2">
    <w:name w:val="SO Text2"/>
    <w:aliases w:val="sot2"/>
    <w:basedOn w:val="Normal"/>
    <w:next w:val="SOText"/>
    <w:link w:val="SOText2Char"/>
    <w:rsid w:val="00F4187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41875"/>
    <w:rPr>
      <w:rFonts w:ascii="Times New Roman" w:hAnsi="Times New Roman"/>
      <w:szCs w:val="20"/>
    </w:rPr>
  </w:style>
  <w:style w:type="paragraph" w:customStyle="1" w:styleId="SubPartCASA">
    <w:name w:val="SubPart(CASA)"/>
    <w:aliases w:val="csp"/>
    <w:basedOn w:val="OPCParaBase"/>
    <w:next w:val="ActHead3"/>
    <w:rsid w:val="00F4187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41875"/>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41875"/>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9179C2"/>
    <w:rPr>
      <w:sz w:val="16"/>
      <w:szCs w:val="16"/>
    </w:rPr>
  </w:style>
  <w:style w:type="paragraph" w:styleId="CommentText">
    <w:name w:val="annotation text"/>
    <w:basedOn w:val="Normal"/>
    <w:link w:val="CommentTextChar"/>
    <w:uiPriority w:val="99"/>
    <w:semiHidden/>
    <w:unhideWhenUsed/>
    <w:rsid w:val="009179C2"/>
    <w:pPr>
      <w:spacing w:line="240" w:lineRule="auto"/>
    </w:pPr>
    <w:rPr>
      <w:sz w:val="20"/>
    </w:rPr>
  </w:style>
  <w:style w:type="character" w:customStyle="1" w:styleId="CommentTextChar">
    <w:name w:val="Comment Text Char"/>
    <w:basedOn w:val="DefaultParagraphFont"/>
    <w:link w:val="CommentText"/>
    <w:uiPriority w:val="99"/>
    <w:semiHidden/>
    <w:rsid w:val="009179C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179C2"/>
    <w:rPr>
      <w:b/>
      <w:bCs/>
    </w:rPr>
  </w:style>
  <w:style w:type="character" w:customStyle="1" w:styleId="CommentSubjectChar">
    <w:name w:val="Comment Subject Char"/>
    <w:basedOn w:val="CommentTextChar"/>
    <w:link w:val="CommentSubject"/>
    <w:uiPriority w:val="99"/>
    <w:semiHidden/>
    <w:rsid w:val="009179C2"/>
    <w:rPr>
      <w:rFonts w:ascii="Times New Roman" w:hAnsi="Times New Roman"/>
      <w:b/>
      <w:bCs/>
      <w:sz w:val="20"/>
      <w:szCs w:val="20"/>
    </w:rPr>
  </w:style>
  <w:style w:type="paragraph" w:styleId="ListParagraph">
    <w:name w:val="List Paragraph"/>
    <w:basedOn w:val="Normal"/>
    <w:uiPriority w:val="34"/>
    <w:qFormat/>
    <w:rsid w:val="00FA3B81"/>
    <w:pPr>
      <w:ind w:left="720"/>
      <w:contextualSpacing/>
    </w:pPr>
  </w:style>
  <w:style w:type="paragraph" w:styleId="Revision">
    <w:name w:val="Revision"/>
    <w:hidden/>
    <w:uiPriority w:val="99"/>
    <w:semiHidden/>
    <w:rsid w:val="000068D5"/>
    <w:pPr>
      <w:spacing w:after="0" w:line="240" w:lineRule="auto"/>
    </w:pPr>
    <w:rPr>
      <w:rFonts w:ascii="Times New Roman" w:hAnsi="Times New Roman"/>
      <w:szCs w:val="20"/>
    </w:rPr>
  </w:style>
  <w:style w:type="paragraph" w:customStyle="1" w:styleId="OutlineNumbered1">
    <w:name w:val="Outline Numbered 1"/>
    <w:basedOn w:val="Normal"/>
    <w:link w:val="OutlineNumbered1Char"/>
    <w:rsid w:val="00EE6C36"/>
    <w:pPr>
      <w:numPr>
        <w:numId w:val="34"/>
      </w:numPr>
    </w:pPr>
    <w:rPr>
      <w:rFonts w:eastAsia="Times New Roman" w:cs="Times New Roman"/>
      <w:lang w:eastAsia="en-AU"/>
    </w:rPr>
  </w:style>
  <w:style w:type="character" w:customStyle="1" w:styleId="OutlineNumbered1Char">
    <w:name w:val="Outline Numbered 1 Char"/>
    <w:basedOn w:val="subsectionChar"/>
    <w:link w:val="OutlineNumbered1"/>
    <w:rsid w:val="00EE6C36"/>
    <w:rPr>
      <w:rFonts w:ascii="Times New Roman" w:eastAsia="Times New Roman" w:hAnsi="Times New Roman" w:cs="Times New Roman"/>
      <w:szCs w:val="20"/>
      <w:lang w:eastAsia="en-AU"/>
    </w:rPr>
  </w:style>
  <w:style w:type="paragraph" w:customStyle="1" w:styleId="OutlineNumbered2">
    <w:name w:val="Outline Numbered 2"/>
    <w:basedOn w:val="Normal"/>
    <w:link w:val="OutlineNumbered2Char"/>
    <w:rsid w:val="00EE6C36"/>
    <w:pPr>
      <w:numPr>
        <w:ilvl w:val="1"/>
        <w:numId w:val="34"/>
      </w:numPr>
    </w:pPr>
    <w:rPr>
      <w:rFonts w:eastAsia="Times New Roman" w:cs="Times New Roman"/>
      <w:lang w:eastAsia="en-AU"/>
    </w:rPr>
  </w:style>
  <w:style w:type="character" w:customStyle="1" w:styleId="OutlineNumbered2Char">
    <w:name w:val="Outline Numbered 2 Char"/>
    <w:basedOn w:val="subsectionChar"/>
    <w:link w:val="OutlineNumbered2"/>
    <w:rsid w:val="00EE6C36"/>
    <w:rPr>
      <w:rFonts w:ascii="Times New Roman" w:eastAsia="Times New Roman" w:hAnsi="Times New Roman" w:cs="Times New Roman"/>
      <w:szCs w:val="20"/>
      <w:lang w:eastAsia="en-AU"/>
    </w:rPr>
  </w:style>
  <w:style w:type="paragraph" w:customStyle="1" w:styleId="OutlineNumbered3">
    <w:name w:val="Outline Numbered 3"/>
    <w:basedOn w:val="Normal"/>
    <w:link w:val="OutlineNumbered3Char"/>
    <w:rsid w:val="00EE6C36"/>
    <w:pPr>
      <w:numPr>
        <w:ilvl w:val="2"/>
        <w:numId w:val="34"/>
      </w:numPr>
    </w:pPr>
    <w:rPr>
      <w:rFonts w:eastAsia="Times New Roman" w:cs="Times New Roman"/>
      <w:lang w:eastAsia="en-AU"/>
    </w:rPr>
  </w:style>
  <w:style w:type="character" w:customStyle="1" w:styleId="OutlineNumbered3Char">
    <w:name w:val="Outline Numbered 3 Char"/>
    <w:basedOn w:val="subsectionChar"/>
    <w:link w:val="OutlineNumbered3"/>
    <w:rsid w:val="00EE6C36"/>
    <w:rPr>
      <w:rFonts w:ascii="Times New Roman" w:eastAsia="Times New Roman" w:hAnsi="Times New Roman" w:cs="Times New Roman"/>
      <w:szCs w:val="20"/>
      <w:lang w:eastAsia="en-AU"/>
    </w:rPr>
  </w:style>
  <w:style w:type="paragraph" w:customStyle="1" w:styleId="Default">
    <w:name w:val="Default"/>
    <w:rsid w:val="002C2D0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2352">
      <w:bodyDiv w:val="1"/>
      <w:marLeft w:val="0"/>
      <w:marRight w:val="0"/>
      <w:marTop w:val="0"/>
      <w:marBottom w:val="0"/>
      <w:divBdr>
        <w:top w:val="none" w:sz="0" w:space="0" w:color="auto"/>
        <w:left w:val="none" w:sz="0" w:space="0" w:color="auto"/>
        <w:bottom w:val="none" w:sz="0" w:space="0" w:color="auto"/>
        <w:right w:val="none" w:sz="0" w:space="0" w:color="auto"/>
      </w:divBdr>
    </w:div>
    <w:div w:id="35746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41</Value>
      <Value>36</Value>
      <Value>1</Value>
      <Value>35</Value>
    </TaxCatchAll>
    <_dlc_DocId xmlns="fe39d773-a83d-4623-ae74-f25711a76616">S574FYTY5PW6-969949929-737</_dlc_DocId>
    <_dlc_DocIdUrl xmlns="fe39d773-a83d-4623-ae74-f25711a76616">
      <Url>https://austreasury.sharepoint.com/sites/leg-cord-function/_layouts/15/DocIdRedir.aspx?ID=S574FYTY5PW6-969949929-737</Url>
      <Description>S574FYTY5PW6-969949929-737</Description>
    </_dlc_DocIdUrl>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lcf76f155ced4ddcb4097134ff3c332f xmlns="30b813c2-29e2-43aa-bac2-1ed67b791ce7">
      <Terms xmlns="http://schemas.microsoft.com/office/infopath/2007/PartnerControls"/>
    </lcf76f155ced4ddcb4097134ff3c332f>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Additional Documents</TermName>
          <TermId xmlns="http://schemas.microsoft.com/office/infopath/2007/PartnerControls">00485a83-454b-4661-806b-0c0b2f8c1787</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27" ma:contentTypeDescription="Create a new document." ma:contentTypeScope="" ma:versionID="e4b61e3ac6f2f58b7eaf0730342ba934">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ed7e77d46236ca87119dc59929ec0c3d"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98B5DE-04E2-4E2B-9938-6E1A64E9D42D}">
  <ds:schemaRefs>
    <ds:schemaRef ds:uri="http://schemas.microsoft.com/sharepoint/events"/>
  </ds:schemaRefs>
</ds:datastoreItem>
</file>

<file path=customXml/itemProps2.xml><?xml version="1.0" encoding="utf-8"?>
<ds:datastoreItem xmlns:ds="http://schemas.openxmlformats.org/officeDocument/2006/customXml" ds:itemID="{FAD96223-32D1-49EA-AA1C-BF373F3A2CE1}">
  <ds:schemaRefs>
    <ds:schemaRef ds:uri="http://schemas.openxmlformats.org/officeDocument/2006/bibliography"/>
  </ds:schemaRefs>
</ds:datastoreItem>
</file>

<file path=customXml/itemProps3.xml><?xml version="1.0" encoding="utf-8"?>
<ds:datastoreItem xmlns:ds="http://schemas.openxmlformats.org/officeDocument/2006/customXml" ds:itemID="{8ED19B1E-4657-471D-AFFD-17663E513720}">
  <ds:schemaRefs>
    <ds:schemaRef ds:uri="http://schemas.microsoft.com/office/2006/documentManagement/types"/>
    <ds:schemaRef ds:uri="http://purl.org/dc/terms/"/>
    <ds:schemaRef ds:uri="59a97669-a6c8-4691-b007-60f3016a35d2"/>
    <ds:schemaRef ds:uri="http://www.w3.org/XML/1998/namespace"/>
    <ds:schemaRef ds:uri="ff38c824-6e29-4496-8487-69f397e7ed29"/>
    <ds:schemaRef ds:uri="a289cb20-8bb9-401f-8d7b-706fb1a2988d"/>
    <ds:schemaRef ds:uri="http://schemas.microsoft.com/sharepoint/v3"/>
    <ds:schemaRef ds:uri="http://schemas.microsoft.com/office/infopath/2007/PartnerControls"/>
    <ds:schemaRef ds:uri="fe39d773-a83d-4623-ae74-f25711a76616"/>
    <ds:schemaRef ds:uri="http://purl.org/dc/elements/1.1/"/>
    <ds:schemaRef ds:uri="http://schemas.openxmlformats.org/package/2006/metadata/core-properties"/>
    <ds:schemaRef ds:uri="http://schemas.microsoft.com/office/2006/metadata/properties"/>
    <ds:schemaRef ds:uri="http://purl.org/dc/dcmitype/"/>
    <ds:schemaRef ds:uri="30b813c2-29e2-43aa-bac2-1ed67b791ce7"/>
    <ds:schemaRef ds:uri="42f4cb5a-261c-4c59-b165-7132460581a3"/>
  </ds:schemaRefs>
</ds:datastoreItem>
</file>

<file path=customXml/itemProps4.xml><?xml version="1.0" encoding="utf-8"?>
<ds:datastoreItem xmlns:ds="http://schemas.openxmlformats.org/officeDocument/2006/customXml" ds:itemID="{E02275E6-68A5-46F8-AE38-7E639F491B4C}">
  <ds:schemaRefs>
    <ds:schemaRef ds:uri="http://schemas.microsoft.com/sharepoint/v3/contenttype/forms"/>
  </ds:schemaRefs>
</ds:datastoreItem>
</file>

<file path=customXml/itemProps5.xml><?xml version="1.0" encoding="utf-8"?>
<ds:datastoreItem xmlns:ds="http://schemas.openxmlformats.org/officeDocument/2006/customXml" ds:itemID="{939FA9A4-E8E8-4CD4-B25B-BA59EB8AC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30b813c2-29e2-43aa-bac2-1ed67b791ce7"/>
    <ds:schemaRef ds:uri="42f4cb5a-261c-4c59-b165-7132460581a3"/>
    <ds:schemaRef ds:uri="fe39d773-a83d-4623-ae74-f25711a76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Inst_New.dotx</Template>
  <TotalTime>2807</TotalTime>
  <Pages>10</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Halse, Katie</cp:lastModifiedBy>
  <cp:revision>455</cp:revision>
  <cp:lastPrinted>2023-09-10T21:29:00Z</cp:lastPrinted>
  <dcterms:created xsi:type="dcterms:W3CDTF">2023-09-04T04:20:00Z</dcterms:created>
  <dcterms:modified xsi:type="dcterms:W3CDTF">2023-09-13T02:35:00Z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Financial Sector (Shareholdings) (Resolution Life) Amendment (No. 2) Instrument 2023</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2023</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 </vt:lpwstr>
  </property>
  <property fmtid="{D5CDD505-2E9C-101B-9397-08002B2CF9AE}" pid="13" name="DLM">
    <vt:lpwstr> </vt:lpwstr>
  </property>
  <property fmtid="{D5CDD505-2E9C-101B-9397-08002B2CF9AE}" pid="14" name="ContentTypeId">
    <vt:lpwstr>0x010100B569D256E75E71428C72445DFBB99E7A</vt:lpwstr>
  </property>
  <property fmtid="{D5CDD505-2E9C-101B-9397-08002B2CF9AE}" pid="15" name="TSYRecordClass">
    <vt:lpwstr>1;#AE-20260-Destroy 7 years after action completed|623f5ec9-ec5d-4824-8e13-9c9bfc51fe7e</vt:lpwstr>
  </property>
  <property fmtid="{D5CDD505-2E9C-101B-9397-08002B2CF9AE}" pid="16" name="_dlc_DocIdItemGuid">
    <vt:lpwstr>4156b085-bde4-4c0e-b997-175895849441</vt:lpwstr>
  </property>
  <property fmtid="{D5CDD505-2E9C-101B-9397-08002B2CF9AE}" pid="17" name="TSYStatus">
    <vt:lpwstr/>
  </property>
  <property fmtid="{D5CDD505-2E9C-101B-9397-08002B2CF9AE}" pid="18" name="eTheme">
    <vt:lpwstr>1;#Law Design|318dd2d2-18da-4b8e-a458-14db2c1af95f</vt:lpwstr>
  </property>
  <property fmtid="{D5CDD505-2E9C-101B-9397-08002B2CF9AE}" pid="19" name="eDocumentType">
    <vt:lpwstr>68;#Legislation|bc5c492f-641e-4b74-8651-322acd553d0f</vt:lpwstr>
  </property>
  <property fmtid="{D5CDD505-2E9C-101B-9397-08002B2CF9AE}" pid="20" name="eTopic">
    <vt:lpwstr>93;#Banking|a80f1bf8-7f20-4745-be5a-677803385232</vt:lpwstr>
  </property>
  <property fmtid="{D5CDD505-2E9C-101B-9397-08002B2CF9AE}" pid="21" name="LMDivision">
    <vt:lpwstr/>
  </property>
  <property fmtid="{D5CDD505-2E9C-101B-9397-08002B2CF9AE}" pid="22" name="eActivity">
    <vt:lpwstr>28;#Legislative measures|0d31ce10-0017-4a46-8d2d-ba60058cb6a2</vt:lpwstr>
  </property>
  <property fmtid="{D5CDD505-2E9C-101B-9397-08002B2CF9AE}" pid="23" name="k8424359e03846678cc4a99dd97e9705">
    <vt:lpwstr/>
  </property>
  <property fmtid="{D5CDD505-2E9C-101B-9397-08002B2CF9AE}" pid="24" name="Topic">
    <vt:lpwstr>36;#Legislation Coordination|58c6712e-e847-48f4-81ab-b25e2bbd3986</vt:lpwstr>
  </property>
  <property fmtid="{D5CDD505-2E9C-101B-9397-08002B2CF9AE}" pid="25" name="Document_x0020_Type">
    <vt:lpwstr/>
  </property>
  <property fmtid="{D5CDD505-2E9C-101B-9397-08002B2CF9AE}" pid="26" name="Activity">
    <vt:lpwstr>35;#Legislation management|cb630f2f-9155-496b-ad0f-d960eb1bf90c</vt:lpwstr>
  </property>
  <property fmtid="{D5CDD505-2E9C-101B-9397-08002B2CF9AE}" pid="27" name="MediaServiceImageTags">
    <vt:lpwstr/>
  </property>
  <property fmtid="{D5CDD505-2E9C-101B-9397-08002B2CF9AE}" pid="28" name="Document Type">
    <vt:lpwstr>41;#Additional Documents|00485a83-454b-4661-806b-0c0b2f8c1787</vt:lpwstr>
  </property>
</Properties>
</file>