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024B8" w14:textId="77777777" w:rsidR="00FA06CA" w:rsidRPr="005F1388" w:rsidRDefault="00FA06CA" w:rsidP="00FA06CA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1E1B777" wp14:editId="0B482C5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D85ED" w14:textId="77777777" w:rsidR="00FA06CA" w:rsidRPr="00E500D4" w:rsidRDefault="00FA06CA" w:rsidP="00FA06CA">
      <w:pPr>
        <w:rPr>
          <w:sz w:val="19"/>
        </w:rPr>
      </w:pPr>
    </w:p>
    <w:p w14:paraId="5A67C231" w14:textId="01C5EAD2" w:rsidR="00FA06CA" w:rsidRPr="00E500D4" w:rsidRDefault="00704C3C" w:rsidP="00FA06CA">
      <w:pPr>
        <w:pStyle w:val="ShortT"/>
      </w:pPr>
      <w:r>
        <w:t>Treasury Portfolio Governance (</w:t>
      </w:r>
      <w:r w:rsidR="00A428B3">
        <w:t>Commonwealth Grants Commission</w:t>
      </w:r>
      <w:r>
        <w:t>) Instrument 202</w:t>
      </w:r>
      <w:r w:rsidR="00044047">
        <w:t>3</w:t>
      </w:r>
    </w:p>
    <w:p w14:paraId="5991BD9F" w14:textId="28F8AEC8" w:rsidR="00FA06CA" w:rsidRPr="00BC5754" w:rsidRDefault="00FA06CA" w:rsidP="00FA06CA">
      <w:pPr>
        <w:pStyle w:val="SignCoverPageStart"/>
        <w:spacing w:before="240"/>
        <w:rPr>
          <w:szCs w:val="22"/>
        </w:rPr>
      </w:pPr>
      <w:r w:rsidRPr="00BC5754">
        <w:rPr>
          <w:szCs w:val="22"/>
        </w:rPr>
        <w:t xml:space="preserve">I, </w:t>
      </w:r>
      <w:r w:rsidR="00704C3C">
        <w:rPr>
          <w:szCs w:val="22"/>
        </w:rPr>
        <w:t>Steven Kennedy</w:t>
      </w:r>
      <w:r w:rsidRPr="00BC5754">
        <w:rPr>
          <w:szCs w:val="22"/>
        </w:rPr>
        <w:t xml:space="preserve">, </w:t>
      </w:r>
      <w:r w:rsidR="00704C3C">
        <w:rPr>
          <w:szCs w:val="22"/>
        </w:rPr>
        <w:t>Secretary to the Department of the Treasury</w:t>
      </w:r>
      <w:r w:rsidRPr="00BC5754">
        <w:rPr>
          <w:szCs w:val="22"/>
        </w:rPr>
        <w:t xml:space="preserve">, make the following </w:t>
      </w:r>
      <w:r w:rsidR="00704C3C">
        <w:rPr>
          <w:szCs w:val="22"/>
        </w:rPr>
        <w:t>instrument</w:t>
      </w:r>
      <w:r w:rsidRPr="00BC5754">
        <w:rPr>
          <w:szCs w:val="22"/>
        </w:rPr>
        <w:t>.</w:t>
      </w:r>
    </w:p>
    <w:p w14:paraId="47246536" w14:textId="4A998778" w:rsidR="00FA06CA" w:rsidRPr="00BC5754" w:rsidRDefault="00FA06CA" w:rsidP="00FA06CA">
      <w:pPr>
        <w:keepNext/>
        <w:spacing w:before="720" w:line="240" w:lineRule="atLeast"/>
        <w:ind w:right="397"/>
        <w:jc w:val="both"/>
        <w:rPr>
          <w:szCs w:val="22"/>
        </w:rPr>
      </w:pPr>
      <w:r w:rsidRPr="00BC5754">
        <w:rPr>
          <w:szCs w:val="22"/>
        </w:rPr>
        <w:t xml:space="preserve">Dated </w:t>
      </w:r>
      <w:r w:rsidRPr="00BC5754">
        <w:rPr>
          <w:szCs w:val="22"/>
        </w:rPr>
        <w:tab/>
      </w:r>
      <w:r w:rsidRPr="00BC5754">
        <w:rPr>
          <w:szCs w:val="22"/>
        </w:rPr>
        <w:tab/>
      </w:r>
      <w:r w:rsidR="00387061">
        <w:rPr>
          <w:szCs w:val="22"/>
        </w:rPr>
        <w:t xml:space="preserve">27 February </w:t>
      </w:r>
      <w:r w:rsidR="00704C3C">
        <w:rPr>
          <w:szCs w:val="22"/>
        </w:rPr>
        <w:t>202</w:t>
      </w:r>
      <w:r w:rsidR="00044047">
        <w:rPr>
          <w:szCs w:val="22"/>
        </w:rPr>
        <w:t>3</w:t>
      </w:r>
    </w:p>
    <w:p w14:paraId="399A5426" w14:textId="12A735DA" w:rsidR="00FA06CA" w:rsidRPr="00BC5754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709B0560" w14:textId="4ADCEBB4" w:rsidR="00FA06CA" w:rsidRPr="00BC5754" w:rsidRDefault="00704C3C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>
        <w:rPr>
          <w:szCs w:val="22"/>
        </w:rPr>
        <w:t>Dr Steven Kennedy</w:t>
      </w:r>
    </w:p>
    <w:p w14:paraId="062A3056" w14:textId="5131E519" w:rsidR="00FA06CA" w:rsidRPr="00BC5754" w:rsidRDefault="00704C3C" w:rsidP="00FA06CA">
      <w:pPr>
        <w:pStyle w:val="SignCoverPageEnd"/>
        <w:rPr>
          <w:szCs w:val="22"/>
        </w:rPr>
      </w:pPr>
      <w:r>
        <w:rPr>
          <w:szCs w:val="22"/>
        </w:rPr>
        <w:t>Secretary</w:t>
      </w:r>
      <w:r>
        <w:rPr>
          <w:szCs w:val="22"/>
        </w:rPr>
        <w:br/>
        <w:t xml:space="preserve">Department of the </w:t>
      </w:r>
      <w:r w:rsidR="005627E0">
        <w:rPr>
          <w:szCs w:val="22"/>
        </w:rPr>
        <w:t>Treasury</w:t>
      </w:r>
    </w:p>
    <w:p w14:paraId="1B8CFB7B" w14:textId="77777777" w:rsidR="00FA06CA" w:rsidRPr="00BC5754" w:rsidRDefault="00FA06CA" w:rsidP="00FA06CA">
      <w:pPr>
        <w:rPr>
          <w:rStyle w:val="CharAmSchNo"/>
        </w:rPr>
      </w:pPr>
    </w:p>
    <w:p w14:paraId="0A9865EB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ChapNo"/>
        </w:rPr>
        <w:t xml:space="preserve"> </w:t>
      </w:r>
      <w:r w:rsidRPr="00ED79B6">
        <w:rPr>
          <w:rStyle w:val="CharChapText"/>
        </w:rPr>
        <w:t xml:space="preserve"> </w:t>
      </w:r>
    </w:p>
    <w:p w14:paraId="138A9FBF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PartNo"/>
        </w:rPr>
        <w:t xml:space="preserve"> </w:t>
      </w:r>
      <w:r w:rsidRPr="00ED79B6">
        <w:rPr>
          <w:rStyle w:val="CharPartText"/>
        </w:rPr>
        <w:t xml:space="preserve"> </w:t>
      </w:r>
    </w:p>
    <w:p w14:paraId="481F1EC7" w14:textId="77777777" w:rsidR="00FA06CA" w:rsidRPr="00ED79B6" w:rsidRDefault="00FA06CA" w:rsidP="00FA06CA">
      <w:pPr>
        <w:pStyle w:val="Header"/>
        <w:tabs>
          <w:tab w:val="clear" w:pos="4150"/>
          <w:tab w:val="clear" w:pos="8307"/>
        </w:tabs>
      </w:pPr>
      <w:r w:rsidRPr="00ED79B6">
        <w:rPr>
          <w:rStyle w:val="CharDivNo"/>
        </w:rPr>
        <w:t xml:space="preserve"> </w:t>
      </w:r>
      <w:r w:rsidRPr="00ED79B6">
        <w:rPr>
          <w:rStyle w:val="CharDivText"/>
        </w:rPr>
        <w:t xml:space="preserve"> </w:t>
      </w:r>
    </w:p>
    <w:p w14:paraId="6CECA191" w14:textId="77777777" w:rsidR="00FA06CA" w:rsidRDefault="00FA06CA" w:rsidP="00FA06CA">
      <w:pPr>
        <w:sectPr w:rsidR="00FA06CA" w:rsidSect="00FA1E52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CFF1962" w14:textId="77777777" w:rsidR="00FA06CA" w:rsidRDefault="00FA06CA" w:rsidP="00FA06CA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1005310D" w14:textId="5C9297C9" w:rsidR="00F857A6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F857A6">
        <w:fldChar w:fldCharType="begin"/>
      </w:r>
      <w:r>
        <w:instrText xml:space="preserve"> TOC \o "1-9" </w:instrText>
      </w:r>
      <w:r w:rsidRPr="00F857A6">
        <w:fldChar w:fldCharType="separate"/>
      </w:r>
      <w:r w:rsidR="00F857A6">
        <w:rPr>
          <w:noProof/>
        </w:rPr>
        <w:t>Part 1—Preliminary</w:t>
      </w:r>
      <w:r w:rsidR="00F857A6">
        <w:rPr>
          <w:noProof/>
        </w:rPr>
        <w:tab/>
      </w:r>
      <w:r w:rsidR="00F857A6" w:rsidRPr="00F857A6">
        <w:rPr>
          <w:b w:val="0"/>
          <w:noProof/>
          <w:sz w:val="18"/>
        </w:rPr>
        <w:fldChar w:fldCharType="begin"/>
      </w:r>
      <w:r w:rsidR="00F857A6" w:rsidRPr="00F857A6">
        <w:rPr>
          <w:b w:val="0"/>
          <w:noProof/>
          <w:sz w:val="18"/>
        </w:rPr>
        <w:instrText xml:space="preserve"> PAGEREF _Toc127345796 \h </w:instrText>
      </w:r>
      <w:r w:rsidR="00F857A6" w:rsidRPr="00F857A6">
        <w:rPr>
          <w:b w:val="0"/>
          <w:noProof/>
          <w:sz w:val="18"/>
        </w:rPr>
      </w:r>
      <w:r w:rsidR="00F857A6" w:rsidRPr="00F857A6">
        <w:rPr>
          <w:b w:val="0"/>
          <w:noProof/>
          <w:sz w:val="18"/>
        </w:rPr>
        <w:fldChar w:fldCharType="separate"/>
      </w:r>
      <w:r w:rsidR="00F538A7">
        <w:rPr>
          <w:b w:val="0"/>
          <w:noProof/>
          <w:sz w:val="18"/>
        </w:rPr>
        <w:t>1</w:t>
      </w:r>
      <w:r w:rsidR="00F857A6" w:rsidRPr="00F857A6">
        <w:rPr>
          <w:b w:val="0"/>
          <w:noProof/>
          <w:sz w:val="18"/>
        </w:rPr>
        <w:fldChar w:fldCharType="end"/>
      </w:r>
    </w:p>
    <w:p w14:paraId="32376843" w14:textId="6DB17F22" w:rsidR="00F857A6" w:rsidRDefault="00F857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F857A6">
        <w:rPr>
          <w:noProof/>
        </w:rPr>
        <w:fldChar w:fldCharType="begin"/>
      </w:r>
      <w:r w:rsidRPr="00F857A6">
        <w:rPr>
          <w:noProof/>
        </w:rPr>
        <w:instrText xml:space="preserve"> PAGEREF _Toc127345797 \h </w:instrText>
      </w:r>
      <w:r w:rsidRPr="00F857A6">
        <w:rPr>
          <w:noProof/>
        </w:rPr>
      </w:r>
      <w:r w:rsidRPr="00F857A6">
        <w:rPr>
          <w:noProof/>
        </w:rPr>
        <w:fldChar w:fldCharType="separate"/>
      </w:r>
      <w:r w:rsidR="00F538A7">
        <w:rPr>
          <w:noProof/>
        </w:rPr>
        <w:t>1</w:t>
      </w:r>
      <w:r w:rsidRPr="00F857A6">
        <w:rPr>
          <w:noProof/>
        </w:rPr>
        <w:fldChar w:fldCharType="end"/>
      </w:r>
    </w:p>
    <w:p w14:paraId="12A79015" w14:textId="09736A38" w:rsidR="00F857A6" w:rsidRDefault="00F857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F857A6">
        <w:rPr>
          <w:noProof/>
        </w:rPr>
        <w:fldChar w:fldCharType="begin"/>
      </w:r>
      <w:r w:rsidRPr="00F857A6">
        <w:rPr>
          <w:noProof/>
        </w:rPr>
        <w:instrText xml:space="preserve"> PAGEREF _Toc127345798 \h </w:instrText>
      </w:r>
      <w:r w:rsidRPr="00F857A6">
        <w:rPr>
          <w:noProof/>
        </w:rPr>
      </w:r>
      <w:r w:rsidRPr="00F857A6">
        <w:rPr>
          <w:noProof/>
        </w:rPr>
        <w:fldChar w:fldCharType="separate"/>
      </w:r>
      <w:r w:rsidR="00F538A7">
        <w:rPr>
          <w:noProof/>
        </w:rPr>
        <w:t>1</w:t>
      </w:r>
      <w:r w:rsidRPr="00F857A6">
        <w:rPr>
          <w:noProof/>
        </w:rPr>
        <w:fldChar w:fldCharType="end"/>
      </w:r>
    </w:p>
    <w:p w14:paraId="414F42E1" w14:textId="4BEEAA24" w:rsidR="00F857A6" w:rsidRDefault="00F857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F857A6">
        <w:rPr>
          <w:noProof/>
        </w:rPr>
        <w:fldChar w:fldCharType="begin"/>
      </w:r>
      <w:r w:rsidRPr="00F857A6">
        <w:rPr>
          <w:noProof/>
        </w:rPr>
        <w:instrText xml:space="preserve"> PAGEREF _Toc127345799 \h </w:instrText>
      </w:r>
      <w:r w:rsidRPr="00F857A6">
        <w:rPr>
          <w:noProof/>
        </w:rPr>
      </w:r>
      <w:r w:rsidRPr="00F857A6">
        <w:rPr>
          <w:noProof/>
        </w:rPr>
        <w:fldChar w:fldCharType="separate"/>
      </w:r>
      <w:r w:rsidR="00F538A7">
        <w:rPr>
          <w:noProof/>
        </w:rPr>
        <w:t>1</w:t>
      </w:r>
      <w:r w:rsidRPr="00F857A6">
        <w:rPr>
          <w:noProof/>
        </w:rPr>
        <w:fldChar w:fldCharType="end"/>
      </w:r>
    </w:p>
    <w:p w14:paraId="18C595FF" w14:textId="4C26BD59" w:rsidR="00F857A6" w:rsidRDefault="00F857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Pr="00F857A6">
        <w:rPr>
          <w:noProof/>
        </w:rPr>
        <w:fldChar w:fldCharType="begin"/>
      </w:r>
      <w:r w:rsidRPr="00F857A6">
        <w:rPr>
          <w:noProof/>
        </w:rPr>
        <w:instrText xml:space="preserve"> PAGEREF _Toc127345800 \h </w:instrText>
      </w:r>
      <w:r w:rsidRPr="00F857A6">
        <w:rPr>
          <w:noProof/>
        </w:rPr>
      </w:r>
      <w:r w:rsidRPr="00F857A6">
        <w:rPr>
          <w:noProof/>
        </w:rPr>
        <w:fldChar w:fldCharType="separate"/>
      </w:r>
      <w:r w:rsidR="00F538A7">
        <w:rPr>
          <w:noProof/>
        </w:rPr>
        <w:t>1</w:t>
      </w:r>
      <w:r w:rsidRPr="00F857A6">
        <w:rPr>
          <w:noProof/>
        </w:rPr>
        <w:fldChar w:fldCharType="end"/>
      </w:r>
    </w:p>
    <w:p w14:paraId="6F180C75" w14:textId="3CD2A85B" w:rsidR="00F857A6" w:rsidRDefault="00F857A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2—Delegations and authorisations relating to the Commonwealth Grants Commission</w:t>
      </w:r>
      <w:r>
        <w:rPr>
          <w:noProof/>
        </w:rPr>
        <w:tab/>
      </w:r>
      <w:r w:rsidRPr="00F857A6">
        <w:rPr>
          <w:b w:val="0"/>
          <w:noProof/>
          <w:sz w:val="18"/>
        </w:rPr>
        <w:fldChar w:fldCharType="begin"/>
      </w:r>
      <w:r w:rsidRPr="00F857A6">
        <w:rPr>
          <w:b w:val="0"/>
          <w:noProof/>
          <w:sz w:val="18"/>
        </w:rPr>
        <w:instrText xml:space="preserve"> PAGEREF _Toc127345801 \h </w:instrText>
      </w:r>
      <w:r w:rsidRPr="00F857A6">
        <w:rPr>
          <w:b w:val="0"/>
          <w:noProof/>
          <w:sz w:val="18"/>
        </w:rPr>
      </w:r>
      <w:r w:rsidRPr="00F857A6">
        <w:rPr>
          <w:b w:val="0"/>
          <w:noProof/>
          <w:sz w:val="18"/>
        </w:rPr>
        <w:fldChar w:fldCharType="separate"/>
      </w:r>
      <w:r w:rsidR="00F538A7">
        <w:rPr>
          <w:b w:val="0"/>
          <w:noProof/>
          <w:sz w:val="18"/>
        </w:rPr>
        <w:t>3</w:t>
      </w:r>
      <w:r w:rsidRPr="00F857A6">
        <w:rPr>
          <w:b w:val="0"/>
          <w:noProof/>
          <w:sz w:val="18"/>
        </w:rPr>
        <w:fldChar w:fldCharType="end"/>
      </w:r>
    </w:p>
    <w:p w14:paraId="08A2E6E2" w14:textId="01E65A42" w:rsidR="00F857A6" w:rsidRDefault="00F857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5  Delegation under the </w:t>
      </w:r>
      <w:r w:rsidRPr="000D2CC5">
        <w:rPr>
          <w:i/>
          <w:iCs/>
          <w:noProof/>
        </w:rPr>
        <w:t>Australian Public Service Commissioner’s Directions 2022</w:t>
      </w:r>
      <w:r>
        <w:rPr>
          <w:noProof/>
        </w:rPr>
        <w:tab/>
      </w:r>
      <w:r w:rsidRPr="00F857A6">
        <w:rPr>
          <w:noProof/>
        </w:rPr>
        <w:fldChar w:fldCharType="begin"/>
      </w:r>
      <w:r w:rsidRPr="00F857A6">
        <w:rPr>
          <w:noProof/>
        </w:rPr>
        <w:instrText xml:space="preserve"> PAGEREF _Toc127345802 \h </w:instrText>
      </w:r>
      <w:r w:rsidRPr="00F857A6">
        <w:rPr>
          <w:noProof/>
        </w:rPr>
      </w:r>
      <w:r w:rsidRPr="00F857A6">
        <w:rPr>
          <w:noProof/>
        </w:rPr>
        <w:fldChar w:fldCharType="separate"/>
      </w:r>
      <w:r w:rsidR="00F538A7">
        <w:rPr>
          <w:noProof/>
        </w:rPr>
        <w:t>3</w:t>
      </w:r>
      <w:r w:rsidRPr="00F857A6">
        <w:rPr>
          <w:noProof/>
        </w:rPr>
        <w:fldChar w:fldCharType="end"/>
      </w:r>
    </w:p>
    <w:p w14:paraId="6C8021AC" w14:textId="7E4898A0" w:rsidR="00F857A6" w:rsidRDefault="00F857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6  Authorisation under the </w:t>
      </w:r>
      <w:r w:rsidRPr="000D2CC5">
        <w:rPr>
          <w:i/>
          <w:iCs/>
          <w:noProof/>
        </w:rPr>
        <w:t>Fair Work Regulations 2009</w:t>
      </w:r>
      <w:r>
        <w:rPr>
          <w:noProof/>
        </w:rPr>
        <w:tab/>
      </w:r>
      <w:r w:rsidRPr="00F857A6">
        <w:rPr>
          <w:noProof/>
        </w:rPr>
        <w:fldChar w:fldCharType="begin"/>
      </w:r>
      <w:r w:rsidRPr="00F857A6">
        <w:rPr>
          <w:noProof/>
        </w:rPr>
        <w:instrText xml:space="preserve"> PAGEREF _Toc127345803 \h </w:instrText>
      </w:r>
      <w:r w:rsidRPr="00F857A6">
        <w:rPr>
          <w:noProof/>
        </w:rPr>
      </w:r>
      <w:r w:rsidRPr="00F857A6">
        <w:rPr>
          <w:noProof/>
        </w:rPr>
        <w:fldChar w:fldCharType="separate"/>
      </w:r>
      <w:r w:rsidR="00F538A7">
        <w:rPr>
          <w:noProof/>
        </w:rPr>
        <w:t>3</w:t>
      </w:r>
      <w:r w:rsidRPr="00F857A6">
        <w:rPr>
          <w:noProof/>
        </w:rPr>
        <w:fldChar w:fldCharType="end"/>
      </w:r>
    </w:p>
    <w:p w14:paraId="0A98BED2" w14:textId="1BF2913B" w:rsidR="00F857A6" w:rsidRDefault="00F857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7  Sub-delegation under the </w:t>
      </w:r>
      <w:r w:rsidRPr="000D2CC5">
        <w:rPr>
          <w:i/>
          <w:iCs/>
          <w:noProof/>
        </w:rPr>
        <w:t>Governance of Australian Government Superannuation Schemes Act 2011</w:t>
      </w:r>
      <w:r>
        <w:rPr>
          <w:noProof/>
        </w:rPr>
        <w:tab/>
      </w:r>
      <w:r w:rsidRPr="00F857A6">
        <w:rPr>
          <w:noProof/>
        </w:rPr>
        <w:fldChar w:fldCharType="begin"/>
      </w:r>
      <w:r w:rsidRPr="00F857A6">
        <w:rPr>
          <w:noProof/>
        </w:rPr>
        <w:instrText xml:space="preserve"> PAGEREF _Toc127345804 \h </w:instrText>
      </w:r>
      <w:r w:rsidRPr="00F857A6">
        <w:rPr>
          <w:noProof/>
        </w:rPr>
      </w:r>
      <w:r w:rsidRPr="00F857A6">
        <w:rPr>
          <w:noProof/>
        </w:rPr>
        <w:fldChar w:fldCharType="separate"/>
      </w:r>
      <w:r w:rsidR="00F538A7">
        <w:rPr>
          <w:noProof/>
        </w:rPr>
        <w:t>3</w:t>
      </w:r>
      <w:r w:rsidRPr="00F857A6">
        <w:rPr>
          <w:noProof/>
        </w:rPr>
        <w:fldChar w:fldCharType="end"/>
      </w:r>
    </w:p>
    <w:p w14:paraId="20DD312B" w14:textId="5BC8C2C1" w:rsidR="00F857A6" w:rsidRDefault="00F857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8  Delegation under the </w:t>
      </w:r>
      <w:r w:rsidRPr="000D2CC5">
        <w:rPr>
          <w:i/>
          <w:iCs/>
          <w:noProof/>
        </w:rPr>
        <w:t>Long Service Leave (Commonwealth Employees) Act 1976</w:t>
      </w:r>
      <w:r>
        <w:rPr>
          <w:noProof/>
        </w:rPr>
        <w:tab/>
      </w:r>
      <w:r w:rsidRPr="00F857A6">
        <w:rPr>
          <w:noProof/>
        </w:rPr>
        <w:fldChar w:fldCharType="begin"/>
      </w:r>
      <w:r w:rsidRPr="00F857A6">
        <w:rPr>
          <w:noProof/>
        </w:rPr>
        <w:instrText xml:space="preserve"> PAGEREF _Toc127345805 \h </w:instrText>
      </w:r>
      <w:r w:rsidRPr="00F857A6">
        <w:rPr>
          <w:noProof/>
        </w:rPr>
      </w:r>
      <w:r w:rsidRPr="00F857A6">
        <w:rPr>
          <w:noProof/>
        </w:rPr>
        <w:fldChar w:fldCharType="separate"/>
      </w:r>
      <w:r w:rsidR="00F538A7">
        <w:rPr>
          <w:noProof/>
        </w:rPr>
        <w:t>4</w:t>
      </w:r>
      <w:r w:rsidRPr="00F857A6">
        <w:rPr>
          <w:noProof/>
        </w:rPr>
        <w:fldChar w:fldCharType="end"/>
      </w:r>
    </w:p>
    <w:p w14:paraId="60B3FEE8" w14:textId="31EF2B64" w:rsidR="00F857A6" w:rsidRDefault="00F857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9  Delegation under the </w:t>
      </w:r>
      <w:r w:rsidRPr="000D2CC5">
        <w:rPr>
          <w:i/>
          <w:iCs/>
          <w:noProof/>
        </w:rPr>
        <w:t>Maternity Leave (Commonwealth Employees) Act 1973</w:t>
      </w:r>
      <w:r>
        <w:rPr>
          <w:noProof/>
        </w:rPr>
        <w:tab/>
      </w:r>
      <w:r w:rsidRPr="00F857A6">
        <w:rPr>
          <w:noProof/>
        </w:rPr>
        <w:fldChar w:fldCharType="begin"/>
      </w:r>
      <w:r w:rsidRPr="00F857A6">
        <w:rPr>
          <w:noProof/>
        </w:rPr>
        <w:instrText xml:space="preserve"> PAGEREF _Toc127345806 \h </w:instrText>
      </w:r>
      <w:r w:rsidRPr="00F857A6">
        <w:rPr>
          <w:noProof/>
        </w:rPr>
      </w:r>
      <w:r w:rsidRPr="00F857A6">
        <w:rPr>
          <w:noProof/>
        </w:rPr>
        <w:fldChar w:fldCharType="separate"/>
      </w:r>
      <w:r w:rsidR="00F538A7">
        <w:rPr>
          <w:noProof/>
        </w:rPr>
        <w:t>4</w:t>
      </w:r>
      <w:r w:rsidRPr="00F857A6">
        <w:rPr>
          <w:noProof/>
        </w:rPr>
        <w:fldChar w:fldCharType="end"/>
      </w:r>
    </w:p>
    <w:p w14:paraId="744704A3" w14:textId="72B261D5" w:rsidR="00F857A6" w:rsidRDefault="00F857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10  Appointments under the </w:t>
      </w:r>
      <w:r w:rsidRPr="000D2CC5">
        <w:rPr>
          <w:i/>
          <w:iCs/>
          <w:noProof/>
        </w:rPr>
        <w:t>Public Interest Disclosure Act 2013</w:t>
      </w:r>
      <w:r>
        <w:rPr>
          <w:noProof/>
        </w:rPr>
        <w:tab/>
      </w:r>
      <w:r w:rsidRPr="00F857A6">
        <w:rPr>
          <w:noProof/>
        </w:rPr>
        <w:fldChar w:fldCharType="begin"/>
      </w:r>
      <w:r w:rsidRPr="00F857A6">
        <w:rPr>
          <w:noProof/>
        </w:rPr>
        <w:instrText xml:space="preserve"> PAGEREF _Toc127345807 \h </w:instrText>
      </w:r>
      <w:r w:rsidRPr="00F857A6">
        <w:rPr>
          <w:noProof/>
        </w:rPr>
      </w:r>
      <w:r w:rsidRPr="00F857A6">
        <w:rPr>
          <w:noProof/>
        </w:rPr>
        <w:fldChar w:fldCharType="separate"/>
      </w:r>
      <w:r w:rsidR="00F538A7">
        <w:rPr>
          <w:noProof/>
        </w:rPr>
        <w:t>4</w:t>
      </w:r>
      <w:r w:rsidRPr="00F857A6">
        <w:rPr>
          <w:noProof/>
        </w:rPr>
        <w:fldChar w:fldCharType="end"/>
      </w:r>
    </w:p>
    <w:p w14:paraId="6389D2CE" w14:textId="43B4114B" w:rsidR="00F857A6" w:rsidRDefault="00F857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11  Delegation under the </w:t>
      </w:r>
      <w:r w:rsidRPr="000D2CC5">
        <w:rPr>
          <w:i/>
          <w:iCs/>
          <w:noProof/>
        </w:rPr>
        <w:t>Public Service Act 1999</w:t>
      </w:r>
      <w:r>
        <w:rPr>
          <w:noProof/>
        </w:rPr>
        <w:tab/>
      </w:r>
      <w:r w:rsidRPr="00F857A6">
        <w:rPr>
          <w:noProof/>
        </w:rPr>
        <w:fldChar w:fldCharType="begin"/>
      </w:r>
      <w:r w:rsidRPr="00F857A6">
        <w:rPr>
          <w:noProof/>
        </w:rPr>
        <w:instrText xml:space="preserve"> PAGEREF _Toc127345808 \h </w:instrText>
      </w:r>
      <w:r w:rsidRPr="00F857A6">
        <w:rPr>
          <w:noProof/>
        </w:rPr>
      </w:r>
      <w:r w:rsidRPr="00F857A6">
        <w:rPr>
          <w:noProof/>
        </w:rPr>
        <w:fldChar w:fldCharType="separate"/>
      </w:r>
      <w:r w:rsidR="00F538A7">
        <w:rPr>
          <w:noProof/>
        </w:rPr>
        <w:t>4</w:t>
      </w:r>
      <w:r w:rsidRPr="00F857A6">
        <w:rPr>
          <w:noProof/>
        </w:rPr>
        <w:fldChar w:fldCharType="end"/>
      </w:r>
    </w:p>
    <w:p w14:paraId="396910C3" w14:textId="4D84F909" w:rsidR="00F857A6" w:rsidRDefault="00F857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12  Delegation under the </w:t>
      </w:r>
      <w:r w:rsidRPr="000D2CC5">
        <w:rPr>
          <w:i/>
          <w:iCs/>
          <w:noProof/>
        </w:rPr>
        <w:t>Public Service Classification Rules 2000</w:t>
      </w:r>
      <w:r>
        <w:rPr>
          <w:noProof/>
        </w:rPr>
        <w:tab/>
      </w:r>
      <w:r w:rsidRPr="00F857A6">
        <w:rPr>
          <w:noProof/>
        </w:rPr>
        <w:fldChar w:fldCharType="begin"/>
      </w:r>
      <w:r w:rsidRPr="00F857A6">
        <w:rPr>
          <w:noProof/>
        </w:rPr>
        <w:instrText xml:space="preserve"> PAGEREF _Toc127345809 \h </w:instrText>
      </w:r>
      <w:r w:rsidRPr="00F857A6">
        <w:rPr>
          <w:noProof/>
        </w:rPr>
      </w:r>
      <w:r w:rsidRPr="00F857A6">
        <w:rPr>
          <w:noProof/>
        </w:rPr>
        <w:fldChar w:fldCharType="separate"/>
      </w:r>
      <w:r w:rsidR="00F538A7">
        <w:rPr>
          <w:noProof/>
        </w:rPr>
        <w:t>5</w:t>
      </w:r>
      <w:r w:rsidRPr="00F857A6">
        <w:rPr>
          <w:noProof/>
        </w:rPr>
        <w:fldChar w:fldCharType="end"/>
      </w:r>
    </w:p>
    <w:p w14:paraId="0EB4E036" w14:textId="5BAEC457" w:rsidR="00F857A6" w:rsidRDefault="00F857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13  Delegation under the </w:t>
      </w:r>
      <w:r w:rsidRPr="000D2CC5">
        <w:rPr>
          <w:i/>
          <w:iCs/>
          <w:noProof/>
        </w:rPr>
        <w:t>Public Service Regulations 1999</w:t>
      </w:r>
      <w:r>
        <w:rPr>
          <w:noProof/>
        </w:rPr>
        <w:tab/>
      </w:r>
      <w:r w:rsidRPr="00F857A6">
        <w:rPr>
          <w:noProof/>
        </w:rPr>
        <w:fldChar w:fldCharType="begin"/>
      </w:r>
      <w:r w:rsidRPr="00F857A6">
        <w:rPr>
          <w:noProof/>
        </w:rPr>
        <w:instrText xml:space="preserve"> PAGEREF _Toc127345810 \h </w:instrText>
      </w:r>
      <w:r w:rsidRPr="00F857A6">
        <w:rPr>
          <w:noProof/>
        </w:rPr>
      </w:r>
      <w:r w:rsidRPr="00F857A6">
        <w:rPr>
          <w:noProof/>
        </w:rPr>
        <w:fldChar w:fldCharType="separate"/>
      </w:r>
      <w:r w:rsidR="00F538A7">
        <w:rPr>
          <w:noProof/>
        </w:rPr>
        <w:t>5</w:t>
      </w:r>
      <w:r w:rsidRPr="00F857A6">
        <w:rPr>
          <w:noProof/>
        </w:rPr>
        <w:fldChar w:fldCharType="end"/>
      </w:r>
    </w:p>
    <w:p w14:paraId="4C0A2326" w14:textId="0E7E9B60" w:rsidR="00F857A6" w:rsidRDefault="00F857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 xml:space="preserve">14  Delegation under the </w:t>
      </w:r>
      <w:r w:rsidRPr="000D2CC5">
        <w:rPr>
          <w:i/>
          <w:iCs/>
          <w:noProof/>
        </w:rPr>
        <w:t>Safety, Rehabilitation and Compensation Act 1988</w:t>
      </w:r>
      <w:r>
        <w:rPr>
          <w:noProof/>
        </w:rPr>
        <w:tab/>
      </w:r>
      <w:r w:rsidRPr="00F857A6">
        <w:rPr>
          <w:noProof/>
        </w:rPr>
        <w:fldChar w:fldCharType="begin"/>
      </w:r>
      <w:r w:rsidRPr="00F857A6">
        <w:rPr>
          <w:noProof/>
        </w:rPr>
        <w:instrText xml:space="preserve"> PAGEREF _Toc127345811 \h </w:instrText>
      </w:r>
      <w:r w:rsidRPr="00F857A6">
        <w:rPr>
          <w:noProof/>
        </w:rPr>
      </w:r>
      <w:r w:rsidRPr="00F857A6">
        <w:rPr>
          <w:noProof/>
        </w:rPr>
        <w:fldChar w:fldCharType="separate"/>
      </w:r>
      <w:r w:rsidR="00F538A7">
        <w:rPr>
          <w:noProof/>
        </w:rPr>
        <w:t>5</w:t>
      </w:r>
      <w:r w:rsidRPr="00F857A6">
        <w:rPr>
          <w:noProof/>
        </w:rPr>
        <w:fldChar w:fldCharType="end"/>
      </w:r>
    </w:p>
    <w:p w14:paraId="3BF3571A" w14:textId="789E98C5" w:rsidR="00F857A6" w:rsidRDefault="00F857A6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3—Revocation of previous delegations, authorisations and appointments</w:t>
      </w:r>
      <w:r>
        <w:rPr>
          <w:noProof/>
        </w:rPr>
        <w:tab/>
      </w:r>
      <w:r w:rsidRPr="00F857A6">
        <w:rPr>
          <w:b w:val="0"/>
          <w:noProof/>
          <w:sz w:val="18"/>
        </w:rPr>
        <w:fldChar w:fldCharType="begin"/>
      </w:r>
      <w:r w:rsidRPr="00F857A6">
        <w:rPr>
          <w:b w:val="0"/>
          <w:noProof/>
          <w:sz w:val="18"/>
        </w:rPr>
        <w:instrText xml:space="preserve"> PAGEREF _Toc127345812 \h </w:instrText>
      </w:r>
      <w:r w:rsidRPr="00F857A6">
        <w:rPr>
          <w:b w:val="0"/>
          <w:noProof/>
          <w:sz w:val="18"/>
        </w:rPr>
      </w:r>
      <w:r w:rsidRPr="00F857A6">
        <w:rPr>
          <w:b w:val="0"/>
          <w:noProof/>
          <w:sz w:val="18"/>
        </w:rPr>
        <w:fldChar w:fldCharType="separate"/>
      </w:r>
      <w:r w:rsidR="00F538A7">
        <w:rPr>
          <w:b w:val="0"/>
          <w:noProof/>
          <w:sz w:val="18"/>
        </w:rPr>
        <w:t>7</w:t>
      </w:r>
      <w:r w:rsidRPr="00F857A6">
        <w:rPr>
          <w:b w:val="0"/>
          <w:noProof/>
          <w:sz w:val="18"/>
        </w:rPr>
        <w:fldChar w:fldCharType="end"/>
      </w:r>
    </w:p>
    <w:p w14:paraId="01614250" w14:textId="794680B2" w:rsidR="00F857A6" w:rsidRPr="00F857A6" w:rsidRDefault="00F857A6">
      <w:pPr>
        <w:pStyle w:val="TOC5"/>
        <w:rPr>
          <w:rFonts w:asciiTheme="minorHAnsi" w:eastAsiaTheme="minorEastAsia" w:hAnsiTheme="minorHAnsi" w:cstheme="minorBidi"/>
          <w:noProof/>
          <w:kern w:val="0"/>
          <w:szCs w:val="22"/>
        </w:rPr>
      </w:pPr>
      <w:r>
        <w:rPr>
          <w:noProof/>
        </w:rPr>
        <w:t>15  Revocations</w:t>
      </w:r>
      <w:r>
        <w:rPr>
          <w:noProof/>
        </w:rPr>
        <w:tab/>
      </w:r>
      <w:r w:rsidRPr="00F857A6">
        <w:rPr>
          <w:noProof/>
        </w:rPr>
        <w:fldChar w:fldCharType="begin"/>
      </w:r>
      <w:r w:rsidRPr="00F857A6">
        <w:rPr>
          <w:noProof/>
        </w:rPr>
        <w:instrText xml:space="preserve"> PAGEREF _Toc127345813 \h </w:instrText>
      </w:r>
      <w:r w:rsidRPr="00F857A6">
        <w:rPr>
          <w:noProof/>
        </w:rPr>
      </w:r>
      <w:r w:rsidRPr="00F857A6">
        <w:rPr>
          <w:noProof/>
        </w:rPr>
        <w:fldChar w:fldCharType="separate"/>
      </w:r>
      <w:r w:rsidR="00F538A7">
        <w:rPr>
          <w:noProof/>
        </w:rPr>
        <w:t>7</w:t>
      </w:r>
      <w:r w:rsidRPr="00F857A6">
        <w:rPr>
          <w:noProof/>
        </w:rPr>
        <w:fldChar w:fldCharType="end"/>
      </w:r>
    </w:p>
    <w:p w14:paraId="28ECD8A7" w14:textId="0B399D94" w:rsidR="00FA06CA" w:rsidRDefault="00FA06CA" w:rsidP="00FA06CA">
      <w:r w:rsidRPr="00F857A6">
        <w:rPr>
          <w:sz w:val="18"/>
        </w:rPr>
        <w:fldChar w:fldCharType="end"/>
      </w:r>
    </w:p>
    <w:p w14:paraId="2140452D" w14:textId="77777777" w:rsidR="00FA06CA" w:rsidRDefault="00FA06CA" w:rsidP="00FA06CA">
      <w:pPr>
        <w:sectPr w:rsidR="00FA06CA" w:rsidSect="0024301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7484E720" w14:textId="1BD999B1" w:rsidR="00E92406" w:rsidRPr="00E92406" w:rsidRDefault="00E92406" w:rsidP="00E92406">
      <w:pPr>
        <w:pStyle w:val="ActHead2"/>
        <w:pageBreakBefore/>
        <w:rPr>
          <w:lang w:eastAsia="en-US"/>
        </w:rPr>
      </w:pPr>
      <w:bookmarkStart w:id="16" w:name="_Toc127345796"/>
      <w:r w:rsidRPr="00E92406">
        <w:rPr>
          <w:rStyle w:val="CharPartNo"/>
        </w:rPr>
        <w:lastRenderedPageBreak/>
        <w:t>Part 1</w:t>
      </w:r>
      <w:r>
        <w:t>—</w:t>
      </w:r>
      <w:r w:rsidRPr="00E92406">
        <w:rPr>
          <w:rStyle w:val="CharPartText"/>
        </w:rPr>
        <w:t>Preliminary</w:t>
      </w:r>
      <w:bookmarkEnd w:id="16"/>
    </w:p>
    <w:p w14:paraId="62B94D27" w14:textId="77777777" w:rsidR="00FA06CA" w:rsidRDefault="00FA06CA" w:rsidP="00FA06CA">
      <w:pPr>
        <w:pStyle w:val="Header"/>
      </w:pPr>
      <w:r>
        <w:t xml:space="preserve">  </w:t>
      </w:r>
    </w:p>
    <w:p w14:paraId="79D1B1D2" w14:textId="77777777" w:rsidR="00FA06CA" w:rsidRDefault="00FA06CA" w:rsidP="00FA06CA">
      <w:pPr>
        <w:pStyle w:val="ActHead5"/>
      </w:pPr>
      <w:bookmarkStart w:id="17" w:name="_Toc127345797"/>
      <w:r w:rsidRPr="00C2746F">
        <w:rPr>
          <w:rStyle w:val="CharSectno"/>
        </w:rPr>
        <w:t>1</w:t>
      </w:r>
      <w:r>
        <w:t xml:space="preserve">  Name</w:t>
      </w:r>
      <w:bookmarkEnd w:id="17"/>
    </w:p>
    <w:p w14:paraId="7C9FD1A0" w14:textId="67421F66" w:rsidR="00FA06CA" w:rsidRPr="009A038B" w:rsidRDefault="00FA06CA" w:rsidP="00FA06CA">
      <w:pPr>
        <w:pStyle w:val="subsection"/>
      </w:pPr>
      <w:r w:rsidRPr="009A038B">
        <w:tab/>
      </w:r>
      <w:r w:rsidRPr="009A038B">
        <w:tab/>
      </w:r>
      <w:r>
        <w:t xml:space="preserve">This instrument is the </w:t>
      </w:r>
      <w:r w:rsidR="00E92406" w:rsidRPr="00E92406">
        <w:rPr>
          <w:i/>
          <w:noProof/>
        </w:rPr>
        <w:t>Treasury Portfolio Governance (</w:t>
      </w:r>
      <w:r w:rsidR="00205F34">
        <w:rPr>
          <w:i/>
          <w:noProof/>
        </w:rPr>
        <w:t>Commonwealth Grants Commission</w:t>
      </w:r>
      <w:r w:rsidR="00E92406" w:rsidRPr="00E92406">
        <w:rPr>
          <w:i/>
          <w:noProof/>
        </w:rPr>
        <w:t>) Instrument 202</w:t>
      </w:r>
      <w:r w:rsidR="00205F34">
        <w:rPr>
          <w:i/>
          <w:noProof/>
        </w:rPr>
        <w:t>3</w:t>
      </w:r>
      <w:r w:rsidRPr="009A038B">
        <w:t>.</w:t>
      </w:r>
    </w:p>
    <w:p w14:paraId="1A39EF92" w14:textId="77777777" w:rsidR="00FA06CA" w:rsidRDefault="00FA06CA" w:rsidP="00FA06CA">
      <w:pPr>
        <w:pStyle w:val="ActHead5"/>
      </w:pPr>
      <w:bookmarkStart w:id="18" w:name="_Toc127345798"/>
      <w:r w:rsidRPr="009A038B">
        <w:rPr>
          <w:rStyle w:val="CharSectno"/>
        </w:rPr>
        <w:t>2</w:t>
      </w:r>
      <w:r w:rsidRPr="009A038B">
        <w:t xml:space="preserve">  Commencement</w:t>
      </w:r>
      <w:bookmarkEnd w:id="18"/>
    </w:p>
    <w:p w14:paraId="3BA8850A" w14:textId="7CEAD3B7" w:rsidR="00FA06CA" w:rsidRDefault="00FA06CA" w:rsidP="00FA06CA">
      <w:pPr>
        <w:pStyle w:val="subsection"/>
      </w:pPr>
      <w:r>
        <w:tab/>
        <w:t>(1)</w:t>
      </w:r>
      <w:r>
        <w:tab/>
        <w:t xml:space="preserve">Each provision of </w:t>
      </w:r>
      <w:r w:rsidR="00E92406">
        <w:t xml:space="preserve">this </w:t>
      </w:r>
      <w:r>
        <w:t>instrument specified in column 1 of the table commences, or is taken to have commenced, in accordance with column 2 of the table. Any other statement in column 2 has effect according to its terms.</w:t>
      </w:r>
    </w:p>
    <w:p w14:paraId="4B0491AC" w14:textId="77777777" w:rsidR="00FA06CA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14:paraId="2695D112" w14:textId="77777777" w:rsidTr="00E92406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9554070" w14:textId="77777777" w:rsidR="00FA06CA" w:rsidRPr="00416235" w:rsidRDefault="00FA06CA" w:rsidP="0048252E">
            <w:pPr>
              <w:pStyle w:val="TableHeading"/>
            </w:pPr>
            <w:r w:rsidRPr="00416235">
              <w:t>Commencement information</w:t>
            </w:r>
          </w:p>
        </w:tc>
      </w:tr>
      <w:tr w:rsidR="00FA06CA" w:rsidRPr="00416235" w14:paraId="22D28AF0" w14:textId="77777777" w:rsidTr="00E92406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5C8264D9" w14:textId="77777777" w:rsidR="00FA06CA" w:rsidRPr="00416235" w:rsidRDefault="00FA06CA" w:rsidP="0048252E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163B359" w14:textId="77777777" w:rsidR="00FA06CA" w:rsidRPr="00416235" w:rsidRDefault="00FA06CA" w:rsidP="0048252E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38E420FE" w14:textId="77777777" w:rsidR="00FA06CA" w:rsidRPr="00416235" w:rsidRDefault="00FA06CA" w:rsidP="0048252E">
            <w:pPr>
              <w:pStyle w:val="TableHeading"/>
            </w:pPr>
            <w:r w:rsidRPr="00416235">
              <w:t>Column 3</w:t>
            </w:r>
          </w:p>
        </w:tc>
      </w:tr>
      <w:tr w:rsidR="00FA06CA" w14:paraId="16D21370" w14:textId="77777777" w:rsidTr="00E92406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228EACA" w14:textId="77777777" w:rsidR="00FA06CA" w:rsidRPr="00416235" w:rsidRDefault="00FA06CA" w:rsidP="0048252E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6C3F370" w14:textId="77777777" w:rsidR="00FA06CA" w:rsidRPr="00416235" w:rsidRDefault="00FA06CA" w:rsidP="0048252E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65F0866" w14:textId="77777777" w:rsidR="00FA06CA" w:rsidRPr="00416235" w:rsidRDefault="00FA06CA" w:rsidP="0048252E">
            <w:pPr>
              <w:pStyle w:val="TableHeading"/>
            </w:pPr>
            <w:r w:rsidRPr="00416235">
              <w:t>Date/Details</w:t>
            </w:r>
          </w:p>
        </w:tc>
      </w:tr>
      <w:tr w:rsidR="00FA06CA" w14:paraId="6EAC2896" w14:textId="77777777" w:rsidTr="00E92406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51615E3" w14:textId="6D66086B" w:rsidR="00FA06CA" w:rsidRDefault="00E92406" w:rsidP="0048252E">
            <w:pPr>
              <w:pStyle w:val="Tabletext"/>
            </w:pPr>
            <w:r>
              <w:t>1</w:t>
            </w:r>
            <w:r w:rsidR="00FA06CA">
              <w:t xml:space="preserve">.  </w:t>
            </w:r>
            <w:r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B529029" w14:textId="2A72BAF1" w:rsidR="00FA06CA" w:rsidRDefault="00E92406" w:rsidP="0048252E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97167E9" w14:textId="77777777" w:rsidR="00FA06CA" w:rsidRDefault="00FA06CA" w:rsidP="0048252E">
            <w:pPr>
              <w:pStyle w:val="Tabletext"/>
            </w:pPr>
          </w:p>
        </w:tc>
      </w:tr>
    </w:tbl>
    <w:p w14:paraId="5D9E059D" w14:textId="77777777" w:rsidR="00FA06CA" w:rsidRPr="001E6DD6" w:rsidRDefault="00FA06CA" w:rsidP="00FA06CA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this </w:t>
      </w:r>
      <w:r>
        <w:rPr>
          <w:snapToGrid w:val="0"/>
          <w:lang w:eastAsia="en-US"/>
        </w:rPr>
        <w:t>instrument</w:t>
      </w:r>
      <w:r w:rsidRPr="005F477A">
        <w:rPr>
          <w:snapToGrid w:val="0"/>
          <w:lang w:eastAsia="en-US"/>
        </w:rPr>
        <w:t>.</w:t>
      </w:r>
    </w:p>
    <w:p w14:paraId="124A5372" w14:textId="77777777" w:rsidR="00FA06CA" w:rsidRPr="00FB7638" w:rsidRDefault="00FA06CA" w:rsidP="00FA06CA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this </w:t>
      </w:r>
      <w:r>
        <w:t>instrument</w:t>
      </w:r>
      <w:r w:rsidRPr="005F477A">
        <w:t xml:space="preserve">. Information may be inserted in this column, or information in it may be edited, in any published version of this </w:t>
      </w:r>
      <w:r>
        <w:t>instrument</w:t>
      </w:r>
      <w:r w:rsidRPr="005F477A">
        <w:t>.</w:t>
      </w:r>
    </w:p>
    <w:p w14:paraId="486FF61C" w14:textId="77777777" w:rsidR="00FA06CA" w:rsidRDefault="00FA06CA" w:rsidP="00FA06CA">
      <w:pPr>
        <w:pStyle w:val="ActHead5"/>
      </w:pPr>
      <w:bookmarkStart w:id="19" w:name="_Toc127345799"/>
      <w:r w:rsidRPr="00C2746F">
        <w:rPr>
          <w:rStyle w:val="CharSectno"/>
        </w:rPr>
        <w:t>3</w:t>
      </w:r>
      <w:r>
        <w:t xml:space="preserve">  Authority</w:t>
      </w:r>
      <w:bookmarkEnd w:id="19"/>
    </w:p>
    <w:p w14:paraId="0A4164C5" w14:textId="03125235" w:rsidR="00FA06CA" w:rsidRDefault="00FA06CA" w:rsidP="00FA06CA">
      <w:pPr>
        <w:pStyle w:val="subsection"/>
        <w:rPr>
          <w:iCs/>
        </w:rPr>
      </w:pPr>
      <w:r>
        <w:tab/>
      </w:r>
      <w:r>
        <w:tab/>
        <w:t>This instrument is made under the</w:t>
      </w:r>
      <w:r w:rsidR="009C3CF1">
        <w:rPr>
          <w:iCs/>
        </w:rPr>
        <w:t xml:space="preserve"> following:</w:t>
      </w:r>
    </w:p>
    <w:p w14:paraId="70E85BB2" w14:textId="7E6C2E3A" w:rsidR="009C3CF1" w:rsidRDefault="009C3CF1" w:rsidP="009C3CF1">
      <w:pPr>
        <w:pStyle w:val="paragraph"/>
      </w:pPr>
      <w:r>
        <w:tab/>
        <w:t>(a)</w:t>
      </w:r>
      <w:r>
        <w:tab/>
      </w:r>
      <w:r w:rsidR="004E2170" w:rsidRPr="004E2170">
        <w:rPr>
          <w:i/>
          <w:iCs/>
        </w:rPr>
        <w:t>Australian Public Service Commissioner</w:t>
      </w:r>
      <w:r w:rsidR="00D0209A">
        <w:rPr>
          <w:i/>
          <w:iCs/>
        </w:rPr>
        <w:t>’</w:t>
      </w:r>
      <w:r w:rsidR="004E2170" w:rsidRPr="004E2170">
        <w:rPr>
          <w:i/>
          <w:iCs/>
        </w:rPr>
        <w:t>s Directions 2022</w:t>
      </w:r>
      <w:r w:rsidR="004E2170">
        <w:t>; and</w:t>
      </w:r>
    </w:p>
    <w:p w14:paraId="744563C0" w14:textId="1BDADCD7" w:rsidR="00C85DCE" w:rsidRDefault="00C85DCE" w:rsidP="009C3CF1">
      <w:pPr>
        <w:pStyle w:val="paragraph"/>
      </w:pPr>
      <w:r>
        <w:tab/>
        <w:t>(b)</w:t>
      </w:r>
      <w:r>
        <w:tab/>
      </w:r>
      <w:r w:rsidRPr="00C85DCE">
        <w:rPr>
          <w:i/>
          <w:iCs/>
        </w:rPr>
        <w:t>Fair Work Regulations 2009</w:t>
      </w:r>
      <w:r>
        <w:t>; and</w:t>
      </w:r>
    </w:p>
    <w:p w14:paraId="151CE0C9" w14:textId="142BA1C3" w:rsidR="004E2170" w:rsidRDefault="004E2170" w:rsidP="009C3CF1">
      <w:pPr>
        <w:pStyle w:val="paragraph"/>
      </w:pPr>
      <w:r>
        <w:tab/>
        <w:t>(</w:t>
      </w:r>
      <w:r w:rsidR="00C85DCE">
        <w:t>c</w:t>
      </w:r>
      <w:r>
        <w:t>)</w:t>
      </w:r>
      <w:r>
        <w:tab/>
      </w:r>
      <w:r w:rsidR="009A4CC4" w:rsidRPr="00C85DCE">
        <w:rPr>
          <w:i/>
          <w:iCs/>
        </w:rPr>
        <w:t>Governance of Australian Government Superannuation Schemes Act 2011</w:t>
      </w:r>
      <w:r w:rsidR="00FF2932">
        <w:t>; and</w:t>
      </w:r>
    </w:p>
    <w:p w14:paraId="539B537B" w14:textId="08EB8FF8" w:rsidR="004E2170" w:rsidRDefault="004E2170" w:rsidP="009C3CF1">
      <w:pPr>
        <w:pStyle w:val="paragraph"/>
      </w:pPr>
      <w:r>
        <w:tab/>
        <w:t>(</w:t>
      </w:r>
      <w:r w:rsidR="00C85DCE">
        <w:t>d</w:t>
      </w:r>
      <w:r>
        <w:t>)</w:t>
      </w:r>
      <w:r>
        <w:tab/>
      </w:r>
      <w:r w:rsidRPr="004E2170">
        <w:rPr>
          <w:i/>
          <w:iCs/>
        </w:rPr>
        <w:t>Long Service Leave (Commonwealth Employees) Act 1976</w:t>
      </w:r>
      <w:r>
        <w:t>; and</w:t>
      </w:r>
    </w:p>
    <w:p w14:paraId="68289A87" w14:textId="5025E225" w:rsidR="004E2170" w:rsidRDefault="004E2170" w:rsidP="009C3CF1">
      <w:pPr>
        <w:pStyle w:val="paragraph"/>
      </w:pPr>
      <w:r>
        <w:tab/>
        <w:t>(</w:t>
      </w:r>
      <w:r w:rsidR="00C85DCE">
        <w:t>e</w:t>
      </w:r>
      <w:r>
        <w:t>)</w:t>
      </w:r>
      <w:r>
        <w:tab/>
      </w:r>
      <w:r w:rsidR="00C85DCE" w:rsidRPr="00C85DCE">
        <w:rPr>
          <w:i/>
          <w:iCs/>
        </w:rPr>
        <w:t>Maternity Leave (Commonwealth Employees) Act 1973</w:t>
      </w:r>
      <w:r w:rsidR="00C85DCE">
        <w:t>; and</w:t>
      </w:r>
    </w:p>
    <w:p w14:paraId="5C9F8EEC" w14:textId="770E0330" w:rsidR="00C85DCE" w:rsidRDefault="00C85DCE" w:rsidP="009C3CF1">
      <w:pPr>
        <w:pStyle w:val="paragraph"/>
      </w:pPr>
      <w:r>
        <w:tab/>
        <w:t>(f)</w:t>
      </w:r>
      <w:r>
        <w:tab/>
      </w:r>
      <w:r w:rsidRPr="00FF2932">
        <w:rPr>
          <w:i/>
          <w:iCs/>
        </w:rPr>
        <w:t>Public Interest Disclosure</w:t>
      </w:r>
      <w:r w:rsidR="00FF2932" w:rsidRPr="00FF2932">
        <w:rPr>
          <w:i/>
          <w:iCs/>
        </w:rPr>
        <w:t xml:space="preserve"> Act 2013</w:t>
      </w:r>
      <w:r>
        <w:t>; and</w:t>
      </w:r>
    </w:p>
    <w:p w14:paraId="09BC16C4" w14:textId="6CCFAE25" w:rsidR="00C85DCE" w:rsidRDefault="00C85DCE" w:rsidP="009C3CF1">
      <w:pPr>
        <w:pStyle w:val="paragraph"/>
      </w:pPr>
      <w:r>
        <w:tab/>
        <w:t>(g)</w:t>
      </w:r>
      <w:r>
        <w:tab/>
      </w:r>
      <w:r w:rsidRPr="00C85DCE">
        <w:rPr>
          <w:i/>
          <w:iCs/>
        </w:rPr>
        <w:t>Public Service Act 1999</w:t>
      </w:r>
      <w:r>
        <w:t>; and</w:t>
      </w:r>
    </w:p>
    <w:p w14:paraId="7658B43B" w14:textId="604B4DF7" w:rsidR="00C85DCE" w:rsidRDefault="00C85DCE" w:rsidP="009C3CF1">
      <w:pPr>
        <w:pStyle w:val="paragraph"/>
      </w:pPr>
      <w:r>
        <w:tab/>
        <w:t>(h)</w:t>
      </w:r>
      <w:r>
        <w:tab/>
      </w:r>
      <w:r w:rsidRPr="00C85DCE">
        <w:rPr>
          <w:i/>
          <w:iCs/>
        </w:rPr>
        <w:t>Public Service Classification Rules 2000</w:t>
      </w:r>
      <w:r>
        <w:t>; and</w:t>
      </w:r>
    </w:p>
    <w:p w14:paraId="4BC4FA32" w14:textId="3C5EC623" w:rsidR="00C85DCE" w:rsidRDefault="00C85DCE" w:rsidP="00C85DCE">
      <w:pPr>
        <w:pStyle w:val="paragraph"/>
      </w:pPr>
      <w:r>
        <w:tab/>
        <w:t>(i)</w:t>
      </w:r>
      <w:r>
        <w:tab/>
      </w:r>
      <w:r w:rsidRPr="00C85DCE">
        <w:rPr>
          <w:i/>
          <w:iCs/>
        </w:rPr>
        <w:t>Public Service Regulations 1999</w:t>
      </w:r>
      <w:r>
        <w:t>; and</w:t>
      </w:r>
    </w:p>
    <w:p w14:paraId="1AE3FD44" w14:textId="25AFBA33" w:rsidR="00C85DCE" w:rsidRPr="00C85DCE" w:rsidRDefault="00C85DCE" w:rsidP="00C85DCE">
      <w:pPr>
        <w:pStyle w:val="paragraph"/>
      </w:pPr>
      <w:r>
        <w:tab/>
        <w:t>(j)</w:t>
      </w:r>
      <w:r>
        <w:tab/>
      </w:r>
      <w:r w:rsidRPr="00C85DCE">
        <w:rPr>
          <w:i/>
          <w:iCs/>
        </w:rPr>
        <w:t>Safety, Rehabilitation and Compensation Act 1988</w:t>
      </w:r>
      <w:r>
        <w:t>.</w:t>
      </w:r>
    </w:p>
    <w:p w14:paraId="09C38FD1" w14:textId="2B0FF779" w:rsidR="00FA06CA" w:rsidRDefault="00FA06CA" w:rsidP="00FA06CA">
      <w:pPr>
        <w:pStyle w:val="ActHead5"/>
      </w:pPr>
      <w:bookmarkStart w:id="20" w:name="_Toc127345800"/>
      <w:r w:rsidRPr="00AE1A82">
        <w:rPr>
          <w:rStyle w:val="CharSectno"/>
        </w:rPr>
        <w:t>4</w:t>
      </w:r>
      <w:r>
        <w:t xml:space="preserve">  </w:t>
      </w:r>
      <w:r w:rsidR="00E92406">
        <w:t>Definitions</w:t>
      </w:r>
      <w:bookmarkEnd w:id="20"/>
    </w:p>
    <w:p w14:paraId="77819843" w14:textId="57E957F5" w:rsidR="00E92406" w:rsidRDefault="00E92406" w:rsidP="00E92406">
      <w:pPr>
        <w:pStyle w:val="subsection"/>
      </w:pPr>
      <w:r w:rsidRPr="00EA057A">
        <w:tab/>
      </w:r>
      <w:r w:rsidRPr="00EA057A">
        <w:tab/>
        <w:t>In this instrument:</w:t>
      </w:r>
    </w:p>
    <w:p w14:paraId="2DE042C6" w14:textId="7DD4AFE7" w:rsidR="00E92406" w:rsidRDefault="00A428B3" w:rsidP="000561ED">
      <w:pPr>
        <w:pStyle w:val="Definition"/>
      </w:pPr>
      <w:r>
        <w:rPr>
          <w:b/>
          <w:bCs/>
          <w:i/>
          <w:iCs/>
        </w:rPr>
        <w:t>CGC</w:t>
      </w:r>
      <w:r w:rsidR="000561ED">
        <w:t xml:space="preserve"> means the </w:t>
      </w:r>
      <w:r>
        <w:t>Commonwealth Grants Commission</w:t>
      </w:r>
      <w:r w:rsidR="000561ED">
        <w:t>.</w:t>
      </w:r>
    </w:p>
    <w:p w14:paraId="1026943D" w14:textId="27099A2A" w:rsidR="000561ED" w:rsidRDefault="00A428B3" w:rsidP="000561ED">
      <w:pPr>
        <w:pStyle w:val="Definition"/>
      </w:pPr>
      <w:r>
        <w:rPr>
          <w:b/>
          <w:bCs/>
          <w:i/>
          <w:iCs/>
        </w:rPr>
        <w:lastRenderedPageBreak/>
        <w:t>Secretary</w:t>
      </w:r>
      <w:r w:rsidR="000561ED">
        <w:t xml:space="preserve">, in relation to the </w:t>
      </w:r>
      <w:r>
        <w:t>CGC</w:t>
      </w:r>
      <w:r w:rsidR="000561ED">
        <w:t xml:space="preserve">, means </w:t>
      </w:r>
      <w:r w:rsidR="009002C1">
        <w:t>the</w:t>
      </w:r>
      <w:r w:rsidR="000561ED">
        <w:t xml:space="preserve"> SES employee</w:t>
      </w:r>
      <w:r w:rsidR="00340635">
        <w:t>, or acting SES employee,</w:t>
      </w:r>
      <w:r w:rsidR="000561ED">
        <w:t xml:space="preserve"> </w:t>
      </w:r>
      <w:r w:rsidR="001E7C81">
        <w:t xml:space="preserve">holding, occupying or performing the duties of </w:t>
      </w:r>
      <w:r w:rsidR="000561ED">
        <w:t xml:space="preserve">the </w:t>
      </w:r>
      <w:r>
        <w:t>Secretary of</w:t>
      </w:r>
      <w:r w:rsidR="000561ED">
        <w:t xml:space="preserve"> </w:t>
      </w:r>
      <w:r w:rsidR="001E7C81">
        <w:t xml:space="preserve">the </w:t>
      </w:r>
      <w:r>
        <w:t>CGC</w:t>
      </w:r>
      <w:r w:rsidR="000561ED">
        <w:t>.</w:t>
      </w:r>
    </w:p>
    <w:p w14:paraId="6C1289A3" w14:textId="35A5BEAF" w:rsidR="000561ED" w:rsidRPr="000561ED" w:rsidRDefault="000561ED" w:rsidP="000561ED">
      <w:pPr>
        <w:pStyle w:val="Definition"/>
      </w:pPr>
      <w:r>
        <w:rPr>
          <w:b/>
          <w:bCs/>
          <w:i/>
          <w:iCs/>
        </w:rPr>
        <w:t>Treasury</w:t>
      </w:r>
      <w:r>
        <w:t xml:space="preserve"> means the Department of the Treasury.</w:t>
      </w:r>
    </w:p>
    <w:p w14:paraId="7C5E3146" w14:textId="52B4AB40" w:rsidR="00E33161" w:rsidRPr="00E33161" w:rsidRDefault="00E33161" w:rsidP="00E33161">
      <w:pPr>
        <w:pStyle w:val="ActHead2"/>
        <w:pageBreakBefore/>
        <w:rPr>
          <w:lang w:eastAsia="en-US"/>
        </w:rPr>
      </w:pPr>
      <w:bookmarkStart w:id="21" w:name="_Toc127345801"/>
      <w:r w:rsidRPr="00E33161">
        <w:rPr>
          <w:rStyle w:val="CharPartNo"/>
        </w:rPr>
        <w:lastRenderedPageBreak/>
        <w:t>Part 2</w:t>
      </w:r>
      <w:r>
        <w:t>—</w:t>
      </w:r>
      <w:r w:rsidRPr="00E33161">
        <w:rPr>
          <w:rStyle w:val="CharPartText"/>
        </w:rPr>
        <w:t>Delegations</w:t>
      </w:r>
      <w:r w:rsidR="00341D80">
        <w:rPr>
          <w:rStyle w:val="CharPartText"/>
        </w:rPr>
        <w:t xml:space="preserve"> and authorisations</w:t>
      </w:r>
      <w:r w:rsidRPr="00E33161">
        <w:rPr>
          <w:rStyle w:val="CharPartText"/>
        </w:rPr>
        <w:t xml:space="preserve"> relating to the </w:t>
      </w:r>
      <w:r w:rsidR="00A428B3">
        <w:rPr>
          <w:rStyle w:val="CharPartText"/>
        </w:rPr>
        <w:t>Commonwealth Grants Commission</w:t>
      </w:r>
      <w:bookmarkEnd w:id="21"/>
    </w:p>
    <w:p w14:paraId="669DA1BC" w14:textId="77777777" w:rsidR="00E33161" w:rsidRDefault="00E33161" w:rsidP="00E33161">
      <w:pPr>
        <w:pStyle w:val="Header"/>
      </w:pPr>
      <w:r>
        <w:t xml:space="preserve">  </w:t>
      </w:r>
    </w:p>
    <w:p w14:paraId="10A9A210" w14:textId="7F36F77E" w:rsidR="00E33161" w:rsidRDefault="00340635" w:rsidP="00340635">
      <w:pPr>
        <w:pStyle w:val="ActHead5"/>
      </w:pPr>
      <w:bookmarkStart w:id="22" w:name="_Toc127345802"/>
      <w:r w:rsidRPr="00340635">
        <w:rPr>
          <w:rStyle w:val="CharSectno"/>
        </w:rPr>
        <w:t>5</w:t>
      </w:r>
      <w:r>
        <w:t xml:space="preserve">  Delegation under</w:t>
      </w:r>
      <w:r w:rsidR="006776A3">
        <w:t xml:space="preserve"> the</w:t>
      </w:r>
      <w:r>
        <w:t xml:space="preserve"> </w:t>
      </w:r>
      <w:r w:rsidRPr="00A55BF9">
        <w:rPr>
          <w:i/>
          <w:iCs/>
        </w:rPr>
        <w:t>Australian Public Service Commissioner</w:t>
      </w:r>
      <w:r w:rsidR="00D0209A">
        <w:rPr>
          <w:i/>
          <w:iCs/>
        </w:rPr>
        <w:t>’</w:t>
      </w:r>
      <w:r w:rsidRPr="00A55BF9">
        <w:rPr>
          <w:i/>
          <w:iCs/>
        </w:rPr>
        <w:t>s Directions 2022</w:t>
      </w:r>
      <w:bookmarkEnd w:id="22"/>
    </w:p>
    <w:p w14:paraId="0D7E0660" w14:textId="4B7BE9A5" w:rsidR="00340635" w:rsidRDefault="00B22CA4" w:rsidP="00340635">
      <w:pPr>
        <w:pStyle w:val="subsection"/>
      </w:pPr>
      <w:r>
        <w:tab/>
        <w:t>(1)</w:t>
      </w:r>
      <w:r>
        <w:tab/>
        <w:t>Under</w:t>
      </w:r>
      <w:r w:rsidR="008F6E44">
        <w:t xml:space="preserve"> subsection 69(1) of the </w:t>
      </w:r>
      <w:r w:rsidR="008F6E44" w:rsidRPr="008F6E44">
        <w:rPr>
          <w:i/>
          <w:iCs/>
        </w:rPr>
        <w:t>Australian Public Service Commissioner</w:t>
      </w:r>
      <w:r w:rsidR="00D0209A">
        <w:rPr>
          <w:i/>
          <w:iCs/>
        </w:rPr>
        <w:t>’</w:t>
      </w:r>
      <w:r w:rsidR="008F6E44" w:rsidRPr="008F6E44">
        <w:rPr>
          <w:i/>
          <w:iCs/>
        </w:rPr>
        <w:t>s Directions 2022</w:t>
      </w:r>
      <w:r w:rsidR="00025739">
        <w:t xml:space="preserve">, </w:t>
      </w:r>
      <w:r w:rsidR="00E3496C">
        <w:t>the</w:t>
      </w:r>
      <w:r w:rsidR="00025739">
        <w:t xml:space="preserve"> </w:t>
      </w:r>
      <w:r w:rsidR="00A428B3">
        <w:t>Secretary</w:t>
      </w:r>
      <w:r w:rsidR="00025739">
        <w:t xml:space="preserve"> of the </w:t>
      </w:r>
      <w:r w:rsidR="00A428B3">
        <w:t>CGC</w:t>
      </w:r>
      <w:r w:rsidR="00025739">
        <w:t xml:space="preserve"> </w:t>
      </w:r>
      <w:r w:rsidR="008F6E44">
        <w:t xml:space="preserve">is delegated all </w:t>
      </w:r>
      <w:r w:rsidR="003562AF">
        <w:t xml:space="preserve">of </w:t>
      </w:r>
      <w:r w:rsidR="008F6E44">
        <w:t>the Secretary to the Treasury</w:t>
      </w:r>
      <w:r w:rsidR="00D0209A">
        <w:t>’</w:t>
      </w:r>
      <w:r w:rsidR="008F6E44">
        <w:t>s power</w:t>
      </w:r>
      <w:r w:rsidR="003562AF">
        <w:t>s</w:t>
      </w:r>
      <w:r w:rsidR="008F6E44">
        <w:t xml:space="preserve"> or functions under </w:t>
      </w:r>
      <w:r w:rsidR="00A55869">
        <w:t>that</w:t>
      </w:r>
      <w:r w:rsidR="008F6E44">
        <w:t xml:space="preserve"> instrument.</w:t>
      </w:r>
    </w:p>
    <w:p w14:paraId="3363CDA0" w14:textId="5244198B" w:rsidR="00A922D9" w:rsidRDefault="008F6E44" w:rsidP="00340635">
      <w:pPr>
        <w:pStyle w:val="subsection"/>
      </w:pPr>
      <w:r>
        <w:tab/>
        <w:t>(2)</w:t>
      </w:r>
      <w:r>
        <w:tab/>
        <w:t xml:space="preserve">Under subsection 69(5) of the </w:t>
      </w:r>
      <w:r w:rsidRPr="008F6E44">
        <w:rPr>
          <w:i/>
          <w:iCs/>
        </w:rPr>
        <w:t>Australian Public Service Commissioner</w:t>
      </w:r>
      <w:r w:rsidR="00D0209A">
        <w:rPr>
          <w:i/>
          <w:iCs/>
        </w:rPr>
        <w:t>’</w:t>
      </w:r>
      <w:r w:rsidRPr="008F6E44">
        <w:rPr>
          <w:i/>
          <w:iCs/>
        </w:rPr>
        <w:t>s Directions 2022</w:t>
      </w:r>
      <w:r w:rsidR="00A57E02">
        <w:t>, a delegate under subsection (1) is directed to exercise the power</w:t>
      </w:r>
      <w:r w:rsidR="003562AF">
        <w:t>s</w:t>
      </w:r>
      <w:r w:rsidR="00A57E02">
        <w:t xml:space="preserve"> or function</w:t>
      </w:r>
      <w:r w:rsidR="003562AF">
        <w:t>s</w:t>
      </w:r>
      <w:r w:rsidR="00A57E02">
        <w:t xml:space="preserve"> </w:t>
      </w:r>
      <w:r w:rsidR="00A922D9">
        <w:t>in a manner consistent with all of the following:</w:t>
      </w:r>
    </w:p>
    <w:p w14:paraId="3A1571B1" w14:textId="0C36EE76" w:rsidR="00A922D9" w:rsidRDefault="00A922D9" w:rsidP="00A922D9">
      <w:pPr>
        <w:pStyle w:val="paragraph"/>
      </w:pPr>
      <w:r>
        <w:tab/>
        <w:t>(a)</w:t>
      </w:r>
      <w:r>
        <w:tab/>
      </w:r>
      <w:r w:rsidR="003562AF">
        <w:t>a</w:t>
      </w:r>
      <w:r>
        <w:t xml:space="preserve"> power or function must </w:t>
      </w:r>
      <w:r w:rsidR="00A2618D">
        <w:t xml:space="preserve">only </w:t>
      </w:r>
      <w:r>
        <w:t>be exercised with</w:t>
      </w:r>
      <w:r w:rsidR="00A2618D">
        <w:t xml:space="preserve"> respect </w:t>
      </w:r>
      <w:r>
        <w:t>to</w:t>
      </w:r>
      <w:r w:rsidR="00A2618D">
        <w:t xml:space="preserve"> </w:t>
      </w:r>
      <w:r w:rsidR="00B2398D">
        <w:t xml:space="preserve">employees holding or occupying positions, or performing duties, within </w:t>
      </w:r>
      <w:r>
        <w:t xml:space="preserve">the </w:t>
      </w:r>
      <w:r w:rsidR="00A428B3">
        <w:t>CGC</w:t>
      </w:r>
      <w:r>
        <w:t>;</w:t>
      </w:r>
    </w:p>
    <w:p w14:paraId="399A934B" w14:textId="561CCAC9" w:rsidR="00A922D9" w:rsidRDefault="00A922D9" w:rsidP="00A922D9">
      <w:pPr>
        <w:pStyle w:val="paragraph"/>
      </w:pPr>
      <w:r>
        <w:tab/>
        <w:t>(b)</w:t>
      </w:r>
      <w:r>
        <w:tab/>
      </w:r>
      <w:r w:rsidR="003562AF">
        <w:t>a</w:t>
      </w:r>
      <w:r>
        <w:t xml:space="preserve"> power or function must</w:t>
      </w:r>
      <w:r w:rsidRPr="00A922D9">
        <w:rPr>
          <w:i/>
          <w:iCs/>
        </w:rPr>
        <w:t xml:space="preserve"> not</w:t>
      </w:r>
      <w:r w:rsidRPr="00A922D9">
        <w:t xml:space="preserve"> </w:t>
      </w:r>
      <w:r>
        <w:t>be exercised with respect to any matter which may benefit the delegate in their personal capacity.</w:t>
      </w:r>
    </w:p>
    <w:p w14:paraId="65E9F089" w14:textId="19449295" w:rsidR="00305BFB" w:rsidRDefault="003562AF" w:rsidP="003562AF">
      <w:pPr>
        <w:pStyle w:val="ActHead5"/>
      </w:pPr>
      <w:bookmarkStart w:id="23" w:name="_Toc127345803"/>
      <w:r w:rsidRPr="003562AF">
        <w:rPr>
          <w:rStyle w:val="CharSectno"/>
        </w:rPr>
        <w:t>6</w:t>
      </w:r>
      <w:r>
        <w:t xml:space="preserve">  </w:t>
      </w:r>
      <w:r w:rsidR="00D2660F">
        <w:t>Authorisation</w:t>
      </w:r>
      <w:r>
        <w:t xml:space="preserve"> under</w:t>
      </w:r>
      <w:r w:rsidR="006776A3">
        <w:t xml:space="preserve"> the</w:t>
      </w:r>
      <w:r w:rsidR="006A4F8E">
        <w:t xml:space="preserve"> </w:t>
      </w:r>
      <w:r w:rsidR="006A4F8E" w:rsidRPr="00A55BF9">
        <w:rPr>
          <w:i/>
          <w:iCs/>
        </w:rPr>
        <w:t>Fair Work Regulations 2009</w:t>
      </w:r>
      <w:bookmarkEnd w:id="23"/>
    </w:p>
    <w:p w14:paraId="34530727" w14:textId="41664F10" w:rsidR="003562AF" w:rsidRDefault="00A55BF9" w:rsidP="003562AF">
      <w:pPr>
        <w:pStyle w:val="subsection"/>
      </w:pPr>
      <w:r>
        <w:tab/>
      </w:r>
      <w:r>
        <w:tab/>
        <w:t xml:space="preserve">Under item 2 in the table in Schedule 6.3 to the </w:t>
      </w:r>
      <w:r w:rsidRPr="00A55BF9">
        <w:rPr>
          <w:i/>
          <w:iCs/>
        </w:rPr>
        <w:t>Fair Work Regulations 2009</w:t>
      </w:r>
      <w:r>
        <w:t xml:space="preserve">, </w:t>
      </w:r>
      <w:r w:rsidR="00E3496C">
        <w:t>the</w:t>
      </w:r>
      <w:r>
        <w:t xml:space="preserve"> </w:t>
      </w:r>
      <w:r w:rsidR="00A428B3">
        <w:t>Secretary</w:t>
      </w:r>
      <w:r>
        <w:t xml:space="preserve"> of the </w:t>
      </w:r>
      <w:r w:rsidR="00A428B3">
        <w:t>CGC</w:t>
      </w:r>
      <w:r>
        <w:t xml:space="preserve"> is authorised as the employing authority of employees </w:t>
      </w:r>
      <w:r w:rsidR="00A60C9E">
        <w:t xml:space="preserve">employed under the </w:t>
      </w:r>
      <w:r w:rsidR="00A60C9E" w:rsidRPr="00A60C9E">
        <w:rPr>
          <w:i/>
          <w:iCs/>
        </w:rPr>
        <w:t>Public Service Act 1999</w:t>
      </w:r>
      <w:r w:rsidR="00881568">
        <w:t xml:space="preserve"> (other than </w:t>
      </w:r>
      <w:r w:rsidR="00A60C9E">
        <w:t>SES employees</w:t>
      </w:r>
      <w:r w:rsidR="00047967">
        <w:t xml:space="preserve"> or acting SES employees</w:t>
      </w:r>
      <w:r w:rsidR="00881568">
        <w:t>)</w:t>
      </w:r>
      <w:r w:rsidR="00B57496">
        <w:t xml:space="preserve"> that are </w:t>
      </w:r>
      <w:r w:rsidR="00B2398D">
        <w:t xml:space="preserve">holding or occupying positions, or performing duties, within </w:t>
      </w:r>
      <w:r w:rsidR="00B57496">
        <w:t xml:space="preserve">the </w:t>
      </w:r>
      <w:r w:rsidR="00A428B3">
        <w:t>CGC</w:t>
      </w:r>
      <w:r>
        <w:t>.</w:t>
      </w:r>
    </w:p>
    <w:p w14:paraId="1F677392" w14:textId="3E716C0D" w:rsidR="00A715EB" w:rsidRDefault="00531ECB" w:rsidP="00531ECB">
      <w:pPr>
        <w:pStyle w:val="ActHead5"/>
      </w:pPr>
      <w:bookmarkStart w:id="24" w:name="_Toc127345804"/>
      <w:r w:rsidRPr="00531ECB">
        <w:rPr>
          <w:rStyle w:val="CharSectno"/>
        </w:rPr>
        <w:t>7</w:t>
      </w:r>
      <w:r>
        <w:t xml:space="preserve">  </w:t>
      </w:r>
      <w:r w:rsidR="00D2660F">
        <w:t>Sub-d</w:t>
      </w:r>
      <w:r>
        <w:t xml:space="preserve">elegation under </w:t>
      </w:r>
      <w:r w:rsidR="006776A3">
        <w:t xml:space="preserve">the </w:t>
      </w:r>
      <w:r w:rsidRPr="00531ECB">
        <w:rPr>
          <w:i/>
          <w:iCs/>
        </w:rPr>
        <w:t>Governance of Australian Government Superannuation Schemes Act 2011</w:t>
      </w:r>
      <w:bookmarkEnd w:id="24"/>
    </w:p>
    <w:p w14:paraId="7C7FC83F" w14:textId="24F3DCB1" w:rsidR="00531ECB" w:rsidRDefault="00531ECB" w:rsidP="00531ECB">
      <w:pPr>
        <w:pStyle w:val="subsection"/>
      </w:pPr>
      <w:r>
        <w:tab/>
        <w:t>(1)</w:t>
      </w:r>
      <w:r>
        <w:tab/>
        <w:t xml:space="preserve">Under subsection 36(5) of the </w:t>
      </w:r>
      <w:r w:rsidRPr="00531ECB">
        <w:rPr>
          <w:i/>
          <w:iCs/>
        </w:rPr>
        <w:t>Governance of Australian Government Superannuation Schemes Act 2011</w:t>
      </w:r>
      <w:r>
        <w:t xml:space="preserve">, </w:t>
      </w:r>
      <w:r w:rsidR="00E3496C">
        <w:t>the</w:t>
      </w:r>
      <w:r>
        <w:t xml:space="preserve"> </w:t>
      </w:r>
      <w:r w:rsidR="00A428B3">
        <w:t xml:space="preserve">Secretary </w:t>
      </w:r>
      <w:r>
        <w:t xml:space="preserve">of the </w:t>
      </w:r>
      <w:r w:rsidR="00A428B3">
        <w:t>CGC</w:t>
      </w:r>
      <w:r>
        <w:t xml:space="preserve"> is </w:t>
      </w:r>
      <w:r w:rsidR="001B15DA">
        <w:t>sub-</w:t>
      </w:r>
      <w:r>
        <w:t xml:space="preserve">delegated the </w:t>
      </w:r>
      <w:r w:rsidR="001C2144">
        <w:t>powers</w:t>
      </w:r>
      <w:r w:rsidR="001B15DA">
        <w:t xml:space="preserve"> of the </w:t>
      </w:r>
      <w:r w:rsidR="001B15DA">
        <w:rPr>
          <w:color w:val="000000"/>
          <w:szCs w:val="22"/>
          <w:shd w:val="clear" w:color="auto" w:fill="FFFFFF"/>
        </w:rPr>
        <w:t>Commonwealth Superannuation Corporation</w:t>
      </w:r>
      <w:r w:rsidR="001C2144">
        <w:t xml:space="preserve"> under the following </w:t>
      </w:r>
      <w:r w:rsidR="00730204">
        <w:rPr>
          <w:color w:val="000000"/>
          <w:szCs w:val="22"/>
          <w:shd w:val="clear" w:color="auto" w:fill="FFFFFF"/>
        </w:rPr>
        <w:t>provisions</w:t>
      </w:r>
      <w:r w:rsidR="001C2144">
        <w:t>:</w:t>
      </w:r>
    </w:p>
    <w:p w14:paraId="2805950C" w14:textId="1398FF21" w:rsidR="001C2144" w:rsidRDefault="001C2144" w:rsidP="001C2144">
      <w:pPr>
        <w:pStyle w:val="paragraph"/>
      </w:pPr>
      <w:r>
        <w:tab/>
        <w:t>(a)</w:t>
      </w:r>
      <w:r>
        <w:tab/>
        <w:t xml:space="preserve">subsections 11(1), 13(1) and 14(1) of the </w:t>
      </w:r>
      <w:r w:rsidRPr="001C2144">
        <w:rPr>
          <w:i/>
          <w:iCs/>
        </w:rPr>
        <w:t>Superannuation Act 1976</w:t>
      </w:r>
      <w:r>
        <w:t>;</w:t>
      </w:r>
      <w:r w:rsidR="00A55A5D">
        <w:t xml:space="preserve"> and</w:t>
      </w:r>
    </w:p>
    <w:p w14:paraId="4E216476" w14:textId="79C03F04" w:rsidR="001C2144" w:rsidRDefault="001C2144" w:rsidP="001C2144">
      <w:pPr>
        <w:pStyle w:val="paragraph"/>
      </w:pPr>
      <w:r>
        <w:tab/>
        <w:t>(b)</w:t>
      </w:r>
      <w:r>
        <w:tab/>
        <w:t xml:space="preserve">regulations 6, 8E, 10 and 15 of the </w:t>
      </w:r>
      <w:r w:rsidRPr="001C2144">
        <w:rPr>
          <w:i/>
          <w:iCs/>
        </w:rPr>
        <w:t>Superannuation (CSS) Salary Regulations 1978</w:t>
      </w:r>
      <w:r>
        <w:t>;</w:t>
      </w:r>
      <w:r w:rsidR="00A55A5D">
        <w:t xml:space="preserve"> and</w:t>
      </w:r>
    </w:p>
    <w:p w14:paraId="651D02DD" w14:textId="500FAD55" w:rsidR="001B15DA" w:rsidRDefault="001B15DA" w:rsidP="001C2144">
      <w:pPr>
        <w:pStyle w:val="paragraph"/>
      </w:pPr>
      <w:r>
        <w:tab/>
        <w:t>(c)</w:t>
      </w:r>
      <w:r>
        <w:tab/>
      </w:r>
      <w:r w:rsidR="00440D47">
        <w:t xml:space="preserve">the definition of “partial contributor” in section 3 of the </w:t>
      </w:r>
      <w:r w:rsidR="00440D47" w:rsidRPr="001C2144">
        <w:rPr>
          <w:i/>
          <w:iCs/>
        </w:rPr>
        <w:t>Superannuation Act 1976</w:t>
      </w:r>
      <w:r w:rsidR="00440D47">
        <w:t xml:space="preserve"> as modified by the Schedule to the </w:t>
      </w:r>
      <w:r w:rsidR="00440D47" w:rsidRPr="00440D47">
        <w:rPr>
          <w:i/>
          <w:iCs/>
        </w:rPr>
        <w:t>Superannuation (CSS) Approved Part-time Employees Regulations</w:t>
      </w:r>
      <w:r w:rsidR="00440D47">
        <w:t>.</w:t>
      </w:r>
    </w:p>
    <w:p w14:paraId="73676916" w14:textId="57587927" w:rsidR="00D90E2F" w:rsidRPr="00D90E2F" w:rsidRDefault="00D90E2F" w:rsidP="00D90E2F">
      <w:pPr>
        <w:pStyle w:val="notetext"/>
      </w:pPr>
      <w:r w:rsidRPr="00D90E2F">
        <w:t>Note</w:t>
      </w:r>
      <w:r>
        <w:t>:</w:t>
      </w:r>
      <w:r>
        <w:tab/>
        <w:t xml:space="preserve">The delegation of the above powers to accountable authorities by the </w:t>
      </w:r>
      <w:r>
        <w:rPr>
          <w:shd w:val="clear" w:color="auto" w:fill="FFFFFF"/>
        </w:rPr>
        <w:t xml:space="preserve">Commonwealth Superannuation Corporation is contained in the </w:t>
      </w:r>
      <w:r w:rsidRPr="00D90E2F">
        <w:rPr>
          <w:i/>
          <w:iCs/>
          <w:shd w:val="clear" w:color="auto" w:fill="FFFFFF"/>
        </w:rPr>
        <w:t>Governance of Australian Government Superannuation Schemes Act 2011 (Commonwealth Superannuation Corporation to non-CSC employers) Delegation</w:t>
      </w:r>
      <w:r>
        <w:rPr>
          <w:shd w:val="clear" w:color="auto" w:fill="FFFFFF"/>
        </w:rPr>
        <w:t xml:space="preserve"> made on 18 November 2021.</w:t>
      </w:r>
    </w:p>
    <w:p w14:paraId="248E73B4" w14:textId="5DC05EFC" w:rsidR="00CC1B1C" w:rsidRDefault="00CC1B1C" w:rsidP="00CC1B1C">
      <w:pPr>
        <w:pStyle w:val="subsection"/>
      </w:pPr>
      <w:r>
        <w:tab/>
        <w:t>(2)</w:t>
      </w:r>
      <w:r>
        <w:tab/>
        <w:t xml:space="preserve">A </w:t>
      </w:r>
      <w:r w:rsidR="00F70DF1">
        <w:t>sub-</w:t>
      </w:r>
      <w:r>
        <w:t>delegate under subsection (1) is directed to exercise the powers in a manner consistent with all of the following:</w:t>
      </w:r>
    </w:p>
    <w:p w14:paraId="07F983D4" w14:textId="06D3029C" w:rsidR="00CC1B1C" w:rsidRDefault="00CC1B1C" w:rsidP="00CC1B1C">
      <w:pPr>
        <w:pStyle w:val="paragraph"/>
      </w:pPr>
      <w:r>
        <w:tab/>
        <w:t>(a)</w:t>
      </w:r>
      <w:r>
        <w:tab/>
        <w:t xml:space="preserve">a power must only be exercised with respect to </w:t>
      </w:r>
      <w:r w:rsidR="00B2398D">
        <w:t xml:space="preserve">employees holding or occupying positions, or performing duties, within </w:t>
      </w:r>
      <w:r>
        <w:t xml:space="preserve">the </w:t>
      </w:r>
      <w:r w:rsidR="00A428B3">
        <w:t>CGC</w:t>
      </w:r>
      <w:r>
        <w:t>;</w:t>
      </w:r>
    </w:p>
    <w:p w14:paraId="0A4321C7" w14:textId="44E2CA7F" w:rsidR="00CC1B1C" w:rsidRDefault="00CC1B1C" w:rsidP="00CC1B1C">
      <w:pPr>
        <w:pStyle w:val="paragraph"/>
      </w:pPr>
      <w:r>
        <w:tab/>
        <w:t>(b)</w:t>
      </w:r>
      <w:r>
        <w:tab/>
        <w:t>a power must</w:t>
      </w:r>
      <w:r w:rsidRPr="00A922D9">
        <w:rPr>
          <w:i/>
          <w:iCs/>
        </w:rPr>
        <w:t xml:space="preserve"> not</w:t>
      </w:r>
      <w:r w:rsidRPr="00A922D9">
        <w:t xml:space="preserve"> </w:t>
      </w:r>
      <w:r>
        <w:t xml:space="preserve">be exercised with respect to any matter which may benefit the </w:t>
      </w:r>
      <w:r w:rsidR="00F70DF1">
        <w:t>sub-</w:t>
      </w:r>
      <w:r>
        <w:t>delegate in their personal capacity.</w:t>
      </w:r>
    </w:p>
    <w:p w14:paraId="36F6292C" w14:textId="543E3078" w:rsidR="001C2144" w:rsidRDefault="00A92F66" w:rsidP="00A92F66">
      <w:pPr>
        <w:pStyle w:val="ActHead5"/>
      </w:pPr>
      <w:bookmarkStart w:id="25" w:name="_Toc127345805"/>
      <w:r w:rsidRPr="00A92F66">
        <w:rPr>
          <w:rStyle w:val="CharSectno"/>
        </w:rPr>
        <w:lastRenderedPageBreak/>
        <w:t>8</w:t>
      </w:r>
      <w:r>
        <w:t xml:space="preserve">  Delegation under</w:t>
      </w:r>
      <w:r w:rsidR="006776A3">
        <w:t xml:space="preserve"> the</w:t>
      </w:r>
      <w:r>
        <w:t xml:space="preserve"> </w:t>
      </w:r>
      <w:r w:rsidRPr="00A92F66">
        <w:rPr>
          <w:i/>
          <w:iCs/>
        </w:rPr>
        <w:t>Long Service Leave (Commonwealth Employees) Act 1976</w:t>
      </w:r>
      <w:bookmarkEnd w:id="25"/>
    </w:p>
    <w:p w14:paraId="3056165A" w14:textId="1DDD4F9B" w:rsidR="00A92F66" w:rsidRPr="006C4277" w:rsidRDefault="006C4277" w:rsidP="00A92F66">
      <w:pPr>
        <w:pStyle w:val="subsection"/>
      </w:pPr>
      <w:r>
        <w:tab/>
        <w:t>(1)</w:t>
      </w:r>
      <w:r>
        <w:tab/>
        <w:t xml:space="preserve">Under subsection 9(1) of the </w:t>
      </w:r>
      <w:r w:rsidRPr="00A92F66">
        <w:rPr>
          <w:i/>
          <w:iCs/>
        </w:rPr>
        <w:t>Long Service Leave (Commonwealth Employees) Act 1976</w:t>
      </w:r>
      <w:r>
        <w:t xml:space="preserve">, </w:t>
      </w:r>
      <w:r w:rsidR="00E3496C">
        <w:t>the</w:t>
      </w:r>
      <w:r>
        <w:t xml:space="preserve"> </w:t>
      </w:r>
      <w:r w:rsidR="00A428B3">
        <w:t xml:space="preserve">Secretary </w:t>
      </w:r>
      <w:r>
        <w:t xml:space="preserve">of the </w:t>
      </w:r>
      <w:r w:rsidR="00A428B3">
        <w:t>CGC</w:t>
      </w:r>
      <w:r>
        <w:t xml:space="preserve"> is delegated all of the Secretary to the Treasury</w:t>
      </w:r>
      <w:r w:rsidR="00D0209A">
        <w:t>’</w:t>
      </w:r>
      <w:r>
        <w:t xml:space="preserve">s powers or functions under </w:t>
      </w:r>
      <w:r w:rsidR="00A55869">
        <w:t>that</w:t>
      </w:r>
      <w:r>
        <w:t xml:space="preserve"> Act.</w:t>
      </w:r>
    </w:p>
    <w:p w14:paraId="243C4EA2" w14:textId="49F56136" w:rsidR="006C4277" w:rsidRDefault="006C4277" w:rsidP="006C4277">
      <w:pPr>
        <w:pStyle w:val="subsection"/>
      </w:pPr>
      <w:r>
        <w:tab/>
        <w:t>(2)</w:t>
      </w:r>
      <w:r>
        <w:tab/>
        <w:t xml:space="preserve">Under subsection 9(4) of the </w:t>
      </w:r>
      <w:r w:rsidRPr="00A92F66">
        <w:rPr>
          <w:i/>
          <w:iCs/>
        </w:rPr>
        <w:t>Long Service Leave (Commonwealth Employees) Act 1976</w:t>
      </w:r>
      <w:r>
        <w:t>, a delegate under subsection (1) is directed to exercise the powers or functions in a manner consistent with all of the following:</w:t>
      </w:r>
    </w:p>
    <w:p w14:paraId="38A15C8B" w14:textId="5C85CC3B" w:rsidR="006C4277" w:rsidRDefault="006C4277" w:rsidP="006C4277">
      <w:pPr>
        <w:pStyle w:val="paragraph"/>
      </w:pPr>
      <w:r>
        <w:tab/>
        <w:t>(a)</w:t>
      </w:r>
      <w:r>
        <w:tab/>
        <w:t xml:space="preserve">a power or function must only be exercised with respect to </w:t>
      </w:r>
      <w:r w:rsidR="00B2398D">
        <w:t xml:space="preserve">employees holding or occupying positions, or performing duties, within </w:t>
      </w:r>
      <w:r>
        <w:t xml:space="preserve">the </w:t>
      </w:r>
      <w:r w:rsidR="00A428B3">
        <w:t>CGC</w:t>
      </w:r>
      <w:r>
        <w:t>;</w:t>
      </w:r>
    </w:p>
    <w:p w14:paraId="2168031C" w14:textId="77777777" w:rsidR="006C4277" w:rsidRDefault="006C4277" w:rsidP="006C4277">
      <w:pPr>
        <w:pStyle w:val="paragraph"/>
      </w:pPr>
      <w:r>
        <w:tab/>
        <w:t>(b)</w:t>
      </w:r>
      <w:r>
        <w:tab/>
        <w:t>a power or function must</w:t>
      </w:r>
      <w:r w:rsidRPr="00A922D9">
        <w:rPr>
          <w:i/>
          <w:iCs/>
        </w:rPr>
        <w:t xml:space="preserve"> not</w:t>
      </w:r>
      <w:r w:rsidRPr="00A922D9">
        <w:t xml:space="preserve"> </w:t>
      </w:r>
      <w:r>
        <w:t>be exercised with respect to any matter which may benefit the delegate in their personal capacity.</w:t>
      </w:r>
    </w:p>
    <w:p w14:paraId="001EFD30" w14:textId="03A857C5" w:rsidR="001C2144" w:rsidRDefault="006669C6" w:rsidP="006669C6">
      <w:pPr>
        <w:pStyle w:val="ActHead5"/>
      </w:pPr>
      <w:bookmarkStart w:id="26" w:name="_Toc127345806"/>
      <w:r w:rsidRPr="006669C6">
        <w:rPr>
          <w:rStyle w:val="CharSectno"/>
        </w:rPr>
        <w:t>9</w:t>
      </w:r>
      <w:r>
        <w:t xml:space="preserve">  Delegation under</w:t>
      </w:r>
      <w:r w:rsidR="006776A3">
        <w:t xml:space="preserve"> the</w:t>
      </w:r>
      <w:r w:rsidR="008B3126">
        <w:t xml:space="preserve"> </w:t>
      </w:r>
      <w:r w:rsidR="008B3126" w:rsidRPr="00C85DCE">
        <w:rPr>
          <w:i/>
          <w:iCs/>
        </w:rPr>
        <w:t>Maternity Leave (Commonwealth Employees) Act 1973</w:t>
      </w:r>
      <w:bookmarkEnd w:id="26"/>
    </w:p>
    <w:p w14:paraId="6976B07B" w14:textId="1C02D766" w:rsidR="00CF0EEE" w:rsidRPr="006C4277" w:rsidRDefault="00CF0EEE" w:rsidP="00CF0EEE">
      <w:pPr>
        <w:pStyle w:val="subsection"/>
      </w:pPr>
      <w:r>
        <w:tab/>
        <w:t>(1)</w:t>
      </w:r>
      <w:r>
        <w:tab/>
        <w:t xml:space="preserve">Under subsection 11(1) of the </w:t>
      </w:r>
      <w:r w:rsidRPr="00C85DCE">
        <w:rPr>
          <w:i/>
          <w:iCs/>
        </w:rPr>
        <w:t>Maternity Leave (Commonwealth Employees) Act</w:t>
      </w:r>
      <w:r>
        <w:rPr>
          <w:i/>
          <w:iCs/>
        </w:rPr>
        <w:t> </w:t>
      </w:r>
      <w:r w:rsidRPr="00C85DCE">
        <w:rPr>
          <w:i/>
          <w:iCs/>
        </w:rPr>
        <w:t>1973</w:t>
      </w:r>
      <w:r>
        <w:t xml:space="preserve">, </w:t>
      </w:r>
      <w:r w:rsidR="00E3496C">
        <w:t>the</w:t>
      </w:r>
      <w:r>
        <w:t xml:space="preserve"> </w:t>
      </w:r>
      <w:r w:rsidR="00A428B3">
        <w:t xml:space="preserve">Secretary </w:t>
      </w:r>
      <w:r>
        <w:t xml:space="preserve">of the </w:t>
      </w:r>
      <w:r w:rsidR="00A428B3">
        <w:t>CGC</w:t>
      </w:r>
      <w:r>
        <w:t xml:space="preserve"> is delegated all of the Secretary to the Treasury</w:t>
      </w:r>
      <w:r w:rsidR="00D0209A">
        <w:t>’</w:t>
      </w:r>
      <w:r>
        <w:t xml:space="preserve">s powers or functions under </w:t>
      </w:r>
      <w:r w:rsidR="00A55869">
        <w:t>that</w:t>
      </w:r>
      <w:r>
        <w:t xml:space="preserve"> Act.</w:t>
      </w:r>
    </w:p>
    <w:p w14:paraId="095D53E0" w14:textId="4CFA1B5E" w:rsidR="00CF0EEE" w:rsidRDefault="00CF0EEE" w:rsidP="00CF0EEE">
      <w:pPr>
        <w:pStyle w:val="subsection"/>
      </w:pPr>
      <w:r>
        <w:tab/>
        <w:t>(2)</w:t>
      </w:r>
      <w:r>
        <w:tab/>
        <w:t xml:space="preserve">Under subsection 11(4) of the </w:t>
      </w:r>
      <w:r w:rsidRPr="00C85DCE">
        <w:rPr>
          <w:i/>
          <w:iCs/>
        </w:rPr>
        <w:t>Maternity Leave (Commonwealth Employees) Act</w:t>
      </w:r>
      <w:r>
        <w:rPr>
          <w:i/>
          <w:iCs/>
        </w:rPr>
        <w:t> </w:t>
      </w:r>
      <w:r w:rsidRPr="00C85DCE">
        <w:rPr>
          <w:i/>
          <w:iCs/>
        </w:rPr>
        <w:t>1973</w:t>
      </w:r>
      <w:r>
        <w:t>, a delegate under subsection (1) is directed to exercise the powers or functions in a manner consistent with all of the following:</w:t>
      </w:r>
    </w:p>
    <w:p w14:paraId="5C676F25" w14:textId="73063C8B" w:rsidR="00CF0EEE" w:rsidRDefault="00CF0EEE" w:rsidP="00CF0EEE">
      <w:pPr>
        <w:pStyle w:val="paragraph"/>
      </w:pPr>
      <w:r>
        <w:tab/>
        <w:t>(a)</w:t>
      </w:r>
      <w:r>
        <w:tab/>
        <w:t xml:space="preserve">a power or function must only be exercised with respect to </w:t>
      </w:r>
      <w:r w:rsidR="00B2398D">
        <w:t xml:space="preserve">employees holding or occupying positions, or performing duties, within </w:t>
      </w:r>
      <w:r>
        <w:t xml:space="preserve">the </w:t>
      </w:r>
      <w:r w:rsidR="00A428B3">
        <w:t>CGC</w:t>
      </w:r>
      <w:r>
        <w:t>;</w:t>
      </w:r>
    </w:p>
    <w:p w14:paraId="071FD62E" w14:textId="77777777" w:rsidR="00CF0EEE" w:rsidRDefault="00CF0EEE" w:rsidP="00CF0EEE">
      <w:pPr>
        <w:pStyle w:val="paragraph"/>
      </w:pPr>
      <w:r>
        <w:tab/>
        <w:t>(b)</w:t>
      </w:r>
      <w:r>
        <w:tab/>
        <w:t>a power or function must</w:t>
      </w:r>
      <w:r w:rsidRPr="00A922D9">
        <w:rPr>
          <w:i/>
          <w:iCs/>
        </w:rPr>
        <w:t xml:space="preserve"> not</w:t>
      </w:r>
      <w:r w:rsidRPr="00A922D9">
        <w:t xml:space="preserve"> </w:t>
      </w:r>
      <w:r>
        <w:t>be exercised with respect to any matter which may benefit the delegate in their personal capacity.</w:t>
      </w:r>
    </w:p>
    <w:p w14:paraId="4FEC6719" w14:textId="456EFE69" w:rsidR="006669C6" w:rsidRDefault="00DB41F7" w:rsidP="00DB41F7">
      <w:pPr>
        <w:pStyle w:val="ActHead5"/>
      </w:pPr>
      <w:bookmarkStart w:id="27" w:name="_Toc127345807"/>
      <w:r w:rsidRPr="00DB41F7">
        <w:rPr>
          <w:rStyle w:val="CharSectno"/>
        </w:rPr>
        <w:t>10</w:t>
      </w:r>
      <w:r>
        <w:t xml:space="preserve">  </w:t>
      </w:r>
      <w:r w:rsidR="00250A7E">
        <w:t>Appointments</w:t>
      </w:r>
      <w:r>
        <w:t xml:space="preserve"> under </w:t>
      </w:r>
      <w:r w:rsidR="006776A3">
        <w:t xml:space="preserve">the </w:t>
      </w:r>
      <w:r w:rsidR="00305F92" w:rsidRPr="00FF2932">
        <w:rPr>
          <w:i/>
          <w:iCs/>
        </w:rPr>
        <w:t>Public Interest Disclosure Act 2013</w:t>
      </w:r>
      <w:bookmarkEnd w:id="27"/>
    </w:p>
    <w:p w14:paraId="15633502" w14:textId="469BB767" w:rsidR="00DB41F7" w:rsidRDefault="00250A7E" w:rsidP="00DB41F7">
      <w:pPr>
        <w:pStyle w:val="subsection"/>
        <w:rPr>
          <w:color w:val="000000"/>
          <w:szCs w:val="22"/>
          <w:shd w:val="clear" w:color="auto" w:fill="FFFFFF"/>
        </w:rPr>
      </w:pPr>
      <w:r>
        <w:tab/>
      </w:r>
      <w:r w:rsidR="00E23B83">
        <w:tab/>
        <w:t xml:space="preserve">Under section 36 of the </w:t>
      </w:r>
      <w:r w:rsidR="00E23B83" w:rsidRPr="00FF2932">
        <w:rPr>
          <w:i/>
          <w:iCs/>
        </w:rPr>
        <w:t>Public Interest Disclosure Act 2013</w:t>
      </w:r>
      <w:r w:rsidR="00E23B83">
        <w:t xml:space="preserve">, </w:t>
      </w:r>
      <w:r w:rsidR="00E23B83">
        <w:rPr>
          <w:color w:val="000000"/>
          <w:szCs w:val="22"/>
          <w:shd w:val="clear" w:color="auto" w:fill="FFFFFF"/>
        </w:rPr>
        <w:t xml:space="preserve">each person holding, occupying or performing the duties of each of the following offices or positions in the </w:t>
      </w:r>
      <w:r w:rsidR="00A428B3">
        <w:rPr>
          <w:color w:val="000000"/>
          <w:szCs w:val="22"/>
          <w:shd w:val="clear" w:color="auto" w:fill="FFFFFF"/>
        </w:rPr>
        <w:t>CGC</w:t>
      </w:r>
      <w:r w:rsidR="00E23B83">
        <w:rPr>
          <w:color w:val="000000"/>
          <w:szCs w:val="22"/>
          <w:shd w:val="clear" w:color="auto" w:fill="FFFFFF"/>
        </w:rPr>
        <w:t>, is appointed as an authorised officer for the purposes of that Act:</w:t>
      </w:r>
    </w:p>
    <w:p w14:paraId="7D199ED8" w14:textId="7495EFE4" w:rsidR="00E23B83" w:rsidRDefault="00E23B83" w:rsidP="00E23B83">
      <w:pPr>
        <w:pStyle w:val="paragraph"/>
      </w:pPr>
      <w:r>
        <w:tab/>
        <w:t>(a)</w:t>
      </w:r>
      <w:r>
        <w:tab/>
        <w:t xml:space="preserve">the </w:t>
      </w:r>
      <w:r w:rsidR="00A428B3">
        <w:t>Secretary</w:t>
      </w:r>
      <w:r>
        <w:t>;</w:t>
      </w:r>
    </w:p>
    <w:p w14:paraId="39E9C815" w14:textId="0025DF4A" w:rsidR="00E23B83" w:rsidRDefault="00E23B83" w:rsidP="00E23B83">
      <w:pPr>
        <w:pStyle w:val="paragraph"/>
      </w:pPr>
      <w:r>
        <w:tab/>
        <w:t>(b)</w:t>
      </w:r>
      <w:r>
        <w:tab/>
        <w:t xml:space="preserve">the </w:t>
      </w:r>
      <w:r w:rsidR="00A428B3">
        <w:t>Assistant Secretary, Branch A</w:t>
      </w:r>
      <w:r>
        <w:t>;</w:t>
      </w:r>
    </w:p>
    <w:p w14:paraId="798272D1" w14:textId="02F6C9F7" w:rsidR="00E23B83" w:rsidRDefault="00E23B83" w:rsidP="00E23B83">
      <w:pPr>
        <w:pStyle w:val="paragraph"/>
      </w:pPr>
      <w:r>
        <w:tab/>
        <w:t>(c)</w:t>
      </w:r>
      <w:r>
        <w:tab/>
      </w:r>
      <w:r w:rsidR="00051502">
        <w:t xml:space="preserve">the </w:t>
      </w:r>
      <w:r w:rsidR="00A428B3">
        <w:t>Director</w:t>
      </w:r>
      <w:r w:rsidR="00051502">
        <w:t xml:space="preserve">, </w:t>
      </w:r>
      <w:r w:rsidR="00A428B3">
        <w:t>Corporate Services</w:t>
      </w:r>
      <w:r w:rsidR="00051502">
        <w:t>;</w:t>
      </w:r>
    </w:p>
    <w:p w14:paraId="73C4D60D" w14:textId="4CC6B454" w:rsidR="00051502" w:rsidRDefault="00051502" w:rsidP="00E23B83">
      <w:pPr>
        <w:pStyle w:val="paragraph"/>
      </w:pPr>
      <w:r>
        <w:tab/>
        <w:t>(d)</w:t>
      </w:r>
      <w:r>
        <w:tab/>
        <w:t>if an office or position covered by a preceding paragraph ceases to exist or is renamed—all of the offices or positions with similar functions or responsibilities.</w:t>
      </w:r>
    </w:p>
    <w:p w14:paraId="7E00C9B6" w14:textId="1163F9D1" w:rsidR="00051502" w:rsidRDefault="00002B27" w:rsidP="00002B27">
      <w:pPr>
        <w:pStyle w:val="ActHead5"/>
      </w:pPr>
      <w:bookmarkStart w:id="28" w:name="_Toc127345808"/>
      <w:r w:rsidRPr="00002B27">
        <w:rPr>
          <w:rStyle w:val="CharSectno"/>
        </w:rPr>
        <w:t>11</w:t>
      </w:r>
      <w:r>
        <w:t xml:space="preserve">  Delegation under</w:t>
      </w:r>
      <w:r w:rsidR="002208B4">
        <w:t xml:space="preserve"> the </w:t>
      </w:r>
      <w:r w:rsidR="002208B4" w:rsidRPr="002208B4">
        <w:rPr>
          <w:i/>
          <w:iCs/>
        </w:rPr>
        <w:t>Public Service Act 1999</w:t>
      </w:r>
      <w:bookmarkEnd w:id="28"/>
    </w:p>
    <w:p w14:paraId="703E8809" w14:textId="3B2AFA4F" w:rsidR="00A55869" w:rsidRPr="006C4277" w:rsidRDefault="00A55869" w:rsidP="00A55869">
      <w:pPr>
        <w:pStyle w:val="subsection"/>
      </w:pPr>
      <w:r>
        <w:tab/>
        <w:t>(1)</w:t>
      </w:r>
      <w:r>
        <w:tab/>
        <w:t xml:space="preserve">Under subsection 78(7) of the </w:t>
      </w:r>
      <w:r w:rsidRPr="002208B4">
        <w:rPr>
          <w:i/>
          <w:iCs/>
        </w:rPr>
        <w:t>Public Service Act 1999</w:t>
      </w:r>
      <w:r>
        <w:t xml:space="preserve">, </w:t>
      </w:r>
      <w:r w:rsidR="00E3496C">
        <w:t xml:space="preserve">the </w:t>
      </w:r>
      <w:r w:rsidR="003F1B5E">
        <w:t xml:space="preserve">Secretary </w:t>
      </w:r>
      <w:r>
        <w:t xml:space="preserve">of the </w:t>
      </w:r>
      <w:r w:rsidR="003F1B5E">
        <w:t>CGC</w:t>
      </w:r>
      <w:r>
        <w:t xml:space="preserve"> is delegated all of the Secretary to the Treasury</w:t>
      </w:r>
      <w:r w:rsidR="00D0209A">
        <w:t>’</w:t>
      </w:r>
      <w:r>
        <w:t>s powers or functions under that Act</w:t>
      </w:r>
      <w:r w:rsidR="006B6002">
        <w:t xml:space="preserve"> (other than powers under section 73 of that Act)</w:t>
      </w:r>
      <w:r>
        <w:t>.</w:t>
      </w:r>
    </w:p>
    <w:p w14:paraId="29F5ABE5" w14:textId="097CDBF3" w:rsidR="00A55869" w:rsidRDefault="00A55869" w:rsidP="00A55869">
      <w:pPr>
        <w:pStyle w:val="subsection"/>
      </w:pPr>
      <w:r>
        <w:tab/>
        <w:t>(2)</w:t>
      </w:r>
      <w:r>
        <w:tab/>
        <w:t xml:space="preserve">Under subsection 78(11) of the </w:t>
      </w:r>
      <w:r w:rsidRPr="002208B4">
        <w:rPr>
          <w:i/>
          <w:iCs/>
        </w:rPr>
        <w:t>Public Service Act 1999</w:t>
      </w:r>
      <w:r>
        <w:t>, a delegate under subsection (1) is directed to exercise the powers or functions in a manner consistent with all of the following:</w:t>
      </w:r>
    </w:p>
    <w:p w14:paraId="50D035F3" w14:textId="07075DE7" w:rsidR="00A55869" w:rsidRDefault="00A55869" w:rsidP="00A55869">
      <w:pPr>
        <w:pStyle w:val="paragraph"/>
      </w:pPr>
      <w:r>
        <w:lastRenderedPageBreak/>
        <w:tab/>
        <w:t>(a)</w:t>
      </w:r>
      <w:r>
        <w:tab/>
        <w:t xml:space="preserve">a power or function must only be exercised with respect to </w:t>
      </w:r>
      <w:r w:rsidR="00B2398D">
        <w:t xml:space="preserve">employees holding or occupying positions, or performing duties, within </w:t>
      </w:r>
      <w:r>
        <w:t xml:space="preserve">the </w:t>
      </w:r>
      <w:r w:rsidR="003F1B5E">
        <w:t>CGC</w:t>
      </w:r>
      <w:r>
        <w:t>;</w:t>
      </w:r>
    </w:p>
    <w:p w14:paraId="5EB2893C" w14:textId="5A9B62AD" w:rsidR="00A55869" w:rsidRDefault="00A55869" w:rsidP="00A55869">
      <w:pPr>
        <w:pStyle w:val="paragraph"/>
      </w:pPr>
      <w:r>
        <w:tab/>
        <w:t>(b)</w:t>
      </w:r>
      <w:r>
        <w:tab/>
        <w:t>a power or function must</w:t>
      </w:r>
      <w:r w:rsidRPr="00A922D9">
        <w:rPr>
          <w:i/>
          <w:iCs/>
        </w:rPr>
        <w:t xml:space="preserve"> not</w:t>
      </w:r>
      <w:r w:rsidRPr="00A922D9">
        <w:t xml:space="preserve"> </w:t>
      </w:r>
      <w:r>
        <w:t>be exercised with respect to any matter which may benefit the delegate in their personal capacity</w:t>
      </w:r>
      <w:r w:rsidR="001F2CFE">
        <w:t>;</w:t>
      </w:r>
    </w:p>
    <w:p w14:paraId="5FEC9A5A" w14:textId="46201A22" w:rsidR="001F2CFE" w:rsidRDefault="001F2CFE" w:rsidP="001F2CFE">
      <w:pPr>
        <w:pStyle w:val="paragraph"/>
      </w:pPr>
      <w:r>
        <w:tab/>
        <w:t>(c)</w:t>
      </w:r>
      <w:r>
        <w:tab/>
        <w:t xml:space="preserve">a power of function must only be exercised in a manner consistent with any direction issued by the Prime Minister, Public Service Minister or Australian Public Service Commissioner, under the </w:t>
      </w:r>
      <w:r w:rsidRPr="009D4935">
        <w:rPr>
          <w:i/>
          <w:iCs/>
        </w:rPr>
        <w:t>Public Service Act</w:t>
      </w:r>
      <w:r>
        <w:rPr>
          <w:i/>
          <w:iCs/>
        </w:rPr>
        <w:t> </w:t>
      </w:r>
      <w:r w:rsidRPr="009D4935">
        <w:rPr>
          <w:i/>
          <w:iCs/>
        </w:rPr>
        <w:t>1999</w:t>
      </w:r>
      <w:r>
        <w:t xml:space="preserve">, to which the Secretary </w:t>
      </w:r>
      <w:r w:rsidR="006249CC">
        <w:t>to the Treasury</w:t>
      </w:r>
      <w:r>
        <w:t xml:space="preserve"> is subject.</w:t>
      </w:r>
    </w:p>
    <w:p w14:paraId="43738C16" w14:textId="251C9C90" w:rsidR="002208B4" w:rsidRDefault="0092368C" w:rsidP="0092368C">
      <w:pPr>
        <w:pStyle w:val="ActHead5"/>
      </w:pPr>
      <w:bookmarkStart w:id="29" w:name="_Toc127345809"/>
      <w:r w:rsidRPr="0092368C">
        <w:rPr>
          <w:rStyle w:val="CharSectno"/>
        </w:rPr>
        <w:t>12</w:t>
      </w:r>
      <w:r>
        <w:t xml:space="preserve">  Delegation under the </w:t>
      </w:r>
      <w:r w:rsidRPr="00C85DCE">
        <w:rPr>
          <w:i/>
          <w:iCs/>
        </w:rPr>
        <w:t>Public Service Classification Rules 2000</w:t>
      </w:r>
      <w:bookmarkEnd w:id="29"/>
    </w:p>
    <w:p w14:paraId="76AA8E7E" w14:textId="1FD2C0F3" w:rsidR="0092368C" w:rsidRPr="006C4277" w:rsidRDefault="0092368C" w:rsidP="0092368C">
      <w:pPr>
        <w:pStyle w:val="subsection"/>
      </w:pPr>
      <w:r>
        <w:tab/>
        <w:t>(1)</w:t>
      </w:r>
      <w:r>
        <w:tab/>
        <w:t xml:space="preserve">Under subrule 13(1) of the </w:t>
      </w:r>
      <w:r w:rsidRPr="00C85DCE">
        <w:rPr>
          <w:i/>
          <w:iCs/>
        </w:rPr>
        <w:t>Public Service Classification Rules 2000</w:t>
      </w:r>
      <w:r>
        <w:t xml:space="preserve">, </w:t>
      </w:r>
      <w:r w:rsidR="00E3496C">
        <w:t>the</w:t>
      </w:r>
      <w:r>
        <w:t xml:space="preserve"> </w:t>
      </w:r>
      <w:r w:rsidR="003F1B5E">
        <w:t xml:space="preserve">Secretary </w:t>
      </w:r>
      <w:r>
        <w:t xml:space="preserve">of the </w:t>
      </w:r>
      <w:r w:rsidR="003F1B5E">
        <w:t>CGC</w:t>
      </w:r>
      <w:r>
        <w:t xml:space="preserve"> is delegated all of the Secretary to the Treasury</w:t>
      </w:r>
      <w:r w:rsidR="00D0209A">
        <w:t>’</w:t>
      </w:r>
      <w:r>
        <w:t>s powers or functions under that instrument.</w:t>
      </w:r>
    </w:p>
    <w:p w14:paraId="08296D57" w14:textId="3F6A3C6E" w:rsidR="0092368C" w:rsidRDefault="0092368C" w:rsidP="0092368C">
      <w:pPr>
        <w:pStyle w:val="subsection"/>
      </w:pPr>
      <w:r>
        <w:tab/>
        <w:t>(2)</w:t>
      </w:r>
      <w:r>
        <w:tab/>
        <w:t xml:space="preserve">Under subrule 13(6) of the </w:t>
      </w:r>
      <w:r w:rsidRPr="00C85DCE">
        <w:rPr>
          <w:i/>
          <w:iCs/>
        </w:rPr>
        <w:t>Public Service Classification Rules 2000</w:t>
      </w:r>
      <w:r>
        <w:t>, a delegate under subsection (1) is directed to exercise the powers or functions in a manner consistent with all of the following:</w:t>
      </w:r>
    </w:p>
    <w:p w14:paraId="385455EF" w14:textId="2DB1E510" w:rsidR="0092368C" w:rsidRDefault="0092368C" w:rsidP="0092368C">
      <w:pPr>
        <w:pStyle w:val="paragraph"/>
      </w:pPr>
      <w:r>
        <w:tab/>
        <w:t>(a)</w:t>
      </w:r>
      <w:r>
        <w:tab/>
        <w:t xml:space="preserve">a power or function must only be exercised with respect to </w:t>
      </w:r>
      <w:r w:rsidR="00B2398D">
        <w:t xml:space="preserve">employees holding or occupying positions, or performing duties, within </w:t>
      </w:r>
      <w:r>
        <w:t xml:space="preserve">the </w:t>
      </w:r>
      <w:r w:rsidR="003F1B5E">
        <w:t>CGC</w:t>
      </w:r>
      <w:r>
        <w:t>;</w:t>
      </w:r>
    </w:p>
    <w:p w14:paraId="16717590" w14:textId="77777777" w:rsidR="0092368C" w:rsidRDefault="0092368C" w:rsidP="0092368C">
      <w:pPr>
        <w:pStyle w:val="paragraph"/>
      </w:pPr>
      <w:r>
        <w:tab/>
        <w:t>(b)</w:t>
      </w:r>
      <w:r>
        <w:tab/>
        <w:t>a power or function must</w:t>
      </w:r>
      <w:r w:rsidRPr="00A922D9">
        <w:rPr>
          <w:i/>
          <w:iCs/>
        </w:rPr>
        <w:t xml:space="preserve"> not</w:t>
      </w:r>
      <w:r w:rsidRPr="00A922D9">
        <w:t xml:space="preserve"> </w:t>
      </w:r>
      <w:r>
        <w:t>be exercised with respect to any matter which may benefit the delegate in their personal capacity.</w:t>
      </w:r>
    </w:p>
    <w:p w14:paraId="075B61E0" w14:textId="78920806" w:rsidR="0092368C" w:rsidRDefault="00F13734" w:rsidP="00F13734">
      <w:pPr>
        <w:pStyle w:val="ActHead5"/>
      </w:pPr>
      <w:bookmarkStart w:id="30" w:name="_Toc127345810"/>
      <w:r w:rsidRPr="00F13734">
        <w:rPr>
          <w:rStyle w:val="CharSectno"/>
        </w:rPr>
        <w:t>13</w:t>
      </w:r>
      <w:r>
        <w:t xml:space="preserve">  Delegation under the </w:t>
      </w:r>
      <w:r w:rsidRPr="00C85DCE">
        <w:rPr>
          <w:i/>
          <w:iCs/>
        </w:rPr>
        <w:t>Public Service Regulations 1999</w:t>
      </w:r>
      <w:bookmarkEnd w:id="30"/>
    </w:p>
    <w:p w14:paraId="58266A13" w14:textId="221083ED" w:rsidR="00F13734" w:rsidRPr="006C4277" w:rsidRDefault="00F13734" w:rsidP="00F13734">
      <w:pPr>
        <w:pStyle w:val="subsection"/>
      </w:pPr>
      <w:r>
        <w:tab/>
        <w:t>(1)</w:t>
      </w:r>
      <w:r>
        <w:tab/>
        <w:t xml:space="preserve">Under subregulation 9.3(3) of the </w:t>
      </w:r>
      <w:r w:rsidRPr="00C85DCE">
        <w:rPr>
          <w:i/>
          <w:iCs/>
        </w:rPr>
        <w:t>Public Service Regulations 1999</w:t>
      </w:r>
      <w:r>
        <w:t xml:space="preserve">, </w:t>
      </w:r>
      <w:r w:rsidR="00E3496C">
        <w:t>the</w:t>
      </w:r>
      <w:r>
        <w:t xml:space="preserve"> </w:t>
      </w:r>
      <w:r w:rsidR="003F1B5E">
        <w:t xml:space="preserve">Secretary </w:t>
      </w:r>
      <w:r>
        <w:t xml:space="preserve">of the </w:t>
      </w:r>
      <w:r w:rsidR="003F1B5E">
        <w:t>CGC</w:t>
      </w:r>
      <w:r>
        <w:t xml:space="preserve"> is delegated all of the Secretary to the Treasury</w:t>
      </w:r>
      <w:r w:rsidR="00D0209A">
        <w:t>’</w:t>
      </w:r>
      <w:r>
        <w:t>s powers or functions under that instrument.</w:t>
      </w:r>
    </w:p>
    <w:p w14:paraId="54C050D7" w14:textId="49C7F2E7" w:rsidR="00F13734" w:rsidRDefault="00F13734" w:rsidP="00F13734">
      <w:pPr>
        <w:pStyle w:val="subsection"/>
      </w:pPr>
      <w:r>
        <w:tab/>
        <w:t>(2)</w:t>
      </w:r>
      <w:r>
        <w:tab/>
        <w:t xml:space="preserve">Under subregulation 9.3(8) of the </w:t>
      </w:r>
      <w:r w:rsidRPr="00C85DCE">
        <w:rPr>
          <w:i/>
          <w:iCs/>
        </w:rPr>
        <w:t>Public Service Regulations 1999</w:t>
      </w:r>
      <w:r>
        <w:t>, a delegate under subsection (1) is directed to exercise the powers or functions in a manner consistent with all of the following:</w:t>
      </w:r>
    </w:p>
    <w:p w14:paraId="70EA1E32" w14:textId="3FAD6100" w:rsidR="00F13734" w:rsidRDefault="00F13734" w:rsidP="00F13734">
      <w:pPr>
        <w:pStyle w:val="paragraph"/>
      </w:pPr>
      <w:r>
        <w:tab/>
        <w:t>(a)</w:t>
      </w:r>
      <w:r>
        <w:tab/>
        <w:t xml:space="preserve">a power or function must only be exercised with respect to </w:t>
      </w:r>
      <w:r w:rsidR="004E267A">
        <w:t xml:space="preserve">employees holding or occupying positions, or performing duties, within </w:t>
      </w:r>
      <w:r>
        <w:t xml:space="preserve">the </w:t>
      </w:r>
      <w:r w:rsidR="003F1B5E">
        <w:t>CGC</w:t>
      </w:r>
      <w:r>
        <w:t>;</w:t>
      </w:r>
    </w:p>
    <w:p w14:paraId="6095590D" w14:textId="5CFF4EAA" w:rsidR="00F13734" w:rsidRDefault="00F13734" w:rsidP="00F13734">
      <w:pPr>
        <w:pStyle w:val="paragraph"/>
      </w:pPr>
      <w:r>
        <w:tab/>
        <w:t>(b)</w:t>
      </w:r>
      <w:r>
        <w:tab/>
        <w:t>a power or function must</w:t>
      </w:r>
      <w:r w:rsidRPr="00A922D9">
        <w:rPr>
          <w:i/>
          <w:iCs/>
        </w:rPr>
        <w:t xml:space="preserve"> not</w:t>
      </w:r>
      <w:r w:rsidRPr="00A922D9">
        <w:t xml:space="preserve"> </w:t>
      </w:r>
      <w:r>
        <w:t>be exercised with respect to any matter which may benefit the delegate in their personal capacity</w:t>
      </w:r>
      <w:r w:rsidR="00B278D2">
        <w:t>;</w:t>
      </w:r>
    </w:p>
    <w:p w14:paraId="55468781" w14:textId="77777777" w:rsidR="00B278D2" w:rsidRDefault="00B278D2" w:rsidP="00B278D2">
      <w:pPr>
        <w:pStyle w:val="paragraph"/>
      </w:pPr>
      <w:r>
        <w:tab/>
        <w:t>(c)</w:t>
      </w:r>
      <w:r>
        <w:tab/>
        <w:t xml:space="preserve">a power of function must only be exercised in a manner consistent with any direction issued by the Prime Minister, Public Service Minister or Australian Public Service Commissioner, under the </w:t>
      </w:r>
      <w:r w:rsidRPr="009D4935">
        <w:rPr>
          <w:i/>
          <w:iCs/>
        </w:rPr>
        <w:t>Public Service Act</w:t>
      </w:r>
      <w:r>
        <w:rPr>
          <w:i/>
          <w:iCs/>
        </w:rPr>
        <w:t> </w:t>
      </w:r>
      <w:r w:rsidRPr="009D4935">
        <w:rPr>
          <w:i/>
          <w:iCs/>
        </w:rPr>
        <w:t>1999</w:t>
      </w:r>
      <w:r>
        <w:t>, to which the Secretary to the Treasury is subject.</w:t>
      </w:r>
    </w:p>
    <w:p w14:paraId="4B8D1FD8" w14:textId="309C506D" w:rsidR="00F13734" w:rsidRDefault="006D4218" w:rsidP="006D4218">
      <w:pPr>
        <w:pStyle w:val="ActHead5"/>
      </w:pPr>
      <w:bookmarkStart w:id="31" w:name="_Toc127345811"/>
      <w:r w:rsidRPr="006D4218">
        <w:rPr>
          <w:rStyle w:val="CharSectno"/>
        </w:rPr>
        <w:t>14</w:t>
      </w:r>
      <w:r>
        <w:t xml:space="preserve">  Delegation under the </w:t>
      </w:r>
      <w:r w:rsidRPr="006D4218">
        <w:rPr>
          <w:i/>
          <w:iCs/>
        </w:rPr>
        <w:t>Safety, Rehabilitation and Compensation Act 1988</w:t>
      </w:r>
      <w:bookmarkEnd w:id="31"/>
    </w:p>
    <w:p w14:paraId="5D76B3C5" w14:textId="46CDD84C" w:rsidR="0052347F" w:rsidRPr="006C4277" w:rsidRDefault="0052347F" w:rsidP="0052347F">
      <w:pPr>
        <w:pStyle w:val="subsection"/>
      </w:pPr>
      <w:r>
        <w:tab/>
        <w:t>(1)</w:t>
      </w:r>
      <w:r>
        <w:tab/>
        <w:t xml:space="preserve">Under section 41A of the </w:t>
      </w:r>
      <w:r w:rsidRPr="006D4218">
        <w:rPr>
          <w:i/>
          <w:iCs/>
        </w:rPr>
        <w:t>Safety, Rehabilitation and Compensation Act 1988</w:t>
      </w:r>
      <w:r>
        <w:t xml:space="preserve">, </w:t>
      </w:r>
      <w:r w:rsidR="00E3496C">
        <w:t>the</w:t>
      </w:r>
      <w:r>
        <w:t xml:space="preserve"> </w:t>
      </w:r>
      <w:r w:rsidR="003F1B5E">
        <w:t xml:space="preserve">Secretary </w:t>
      </w:r>
      <w:r>
        <w:t xml:space="preserve">of the </w:t>
      </w:r>
      <w:r w:rsidR="003F1B5E">
        <w:t>CGC</w:t>
      </w:r>
      <w:r>
        <w:t xml:space="preserve"> is delegated all of the Secretary to the Treasury</w:t>
      </w:r>
      <w:r w:rsidR="00D0209A">
        <w:t>’</w:t>
      </w:r>
      <w:r>
        <w:t>s powers or functions as a rehabilitation authority under sections 36 and 37 of that Act.</w:t>
      </w:r>
    </w:p>
    <w:p w14:paraId="2DDB77B7" w14:textId="4FA96C3D" w:rsidR="0052347F" w:rsidRDefault="0052347F" w:rsidP="0052347F">
      <w:pPr>
        <w:pStyle w:val="subsection"/>
      </w:pPr>
      <w:r>
        <w:tab/>
        <w:t>(2)</w:t>
      </w:r>
      <w:r>
        <w:tab/>
        <w:t>A delegate under subsection (1) is directed to exercise the powers or functions in a manner consistent with all of the following:</w:t>
      </w:r>
    </w:p>
    <w:p w14:paraId="578C7794" w14:textId="362A95DB" w:rsidR="0052347F" w:rsidRDefault="0052347F" w:rsidP="0052347F">
      <w:pPr>
        <w:pStyle w:val="paragraph"/>
      </w:pPr>
      <w:r>
        <w:lastRenderedPageBreak/>
        <w:tab/>
        <w:t>(a)</w:t>
      </w:r>
      <w:r>
        <w:tab/>
        <w:t xml:space="preserve">a power or function must only be exercised with respect to </w:t>
      </w:r>
      <w:r w:rsidR="004E267A">
        <w:t xml:space="preserve">employees holding or occupying positions, or performing duties, within </w:t>
      </w:r>
      <w:r>
        <w:t xml:space="preserve">the </w:t>
      </w:r>
      <w:r w:rsidR="003F1B5E">
        <w:t>CGC</w:t>
      </w:r>
      <w:r>
        <w:t>;</w:t>
      </w:r>
    </w:p>
    <w:p w14:paraId="42D44946" w14:textId="63BA980D" w:rsidR="0052347F" w:rsidRDefault="0052347F" w:rsidP="0052347F">
      <w:pPr>
        <w:pStyle w:val="paragraph"/>
      </w:pPr>
      <w:r>
        <w:tab/>
        <w:t>(b)</w:t>
      </w:r>
      <w:r>
        <w:tab/>
        <w:t>a power or function must</w:t>
      </w:r>
      <w:r w:rsidRPr="00A922D9">
        <w:rPr>
          <w:i/>
          <w:iCs/>
        </w:rPr>
        <w:t xml:space="preserve"> not</w:t>
      </w:r>
      <w:r w:rsidRPr="00A922D9">
        <w:t xml:space="preserve"> </w:t>
      </w:r>
      <w:r>
        <w:t>be exercised with respect to any matter which may benefit the delegate in their personal capacity.</w:t>
      </w:r>
    </w:p>
    <w:p w14:paraId="0E036419" w14:textId="0BA06A80" w:rsidR="00070425" w:rsidRDefault="00070425" w:rsidP="00070425">
      <w:pPr>
        <w:pStyle w:val="subsection"/>
        <w:rPr>
          <w:color w:val="000000"/>
          <w:szCs w:val="22"/>
          <w:shd w:val="clear" w:color="auto" w:fill="FFFFFF"/>
        </w:rPr>
      </w:pPr>
      <w:r>
        <w:tab/>
        <w:t>(3)</w:t>
      </w:r>
      <w:r>
        <w:tab/>
        <w:t>E</w:t>
      </w:r>
      <w:r>
        <w:rPr>
          <w:color w:val="000000"/>
          <w:szCs w:val="22"/>
          <w:shd w:val="clear" w:color="auto" w:fill="FFFFFF"/>
        </w:rPr>
        <w:t xml:space="preserve">ach person holding, occupying or performing the duties of each of the following offices or positions in the CGC, is authorised to </w:t>
      </w:r>
      <w:r w:rsidRPr="00AE0CA8">
        <w:rPr>
          <w:color w:val="000000"/>
          <w:szCs w:val="22"/>
          <w:shd w:val="clear" w:color="auto" w:fill="FFFFFF"/>
        </w:rPr>
        <w:t xml:space="preserve">give </w:t>
      </w:r>
      <w:r>
        <w:rPr>
          <w:color w:val="000000"/>
          <w:szCs w:val="22"/>
          <w:shd w:val="clear" w:color="auto" w:fill="FFFFFF"/>
        </w:rPr>
        <w:t xml:space="preserve">a </w:t>
      </w:r>
      <w:r w:rsidRPr="00AE0CA8">
        <w:rPr>
          <w:color w:val="000000"/>
          <w:szCs w:val="22"/>
          <w:shd w:val="clear" w:color="auto" w:fill="FFFFFF"/>
        </w:rPr>
        <w:t xml:space="preserve">written notice to Comcare </w:t>
      </w:r>
      <w:r>
        <w:rPr>
          <w:color w:val="000000"/>
          <w:szCs w:val="22"/>
          <w:shd w:val="clear" w:color="auto" w:fill="FFFFFF"/>
        </w:rPr>
        <w:t xml:space="preserve">under subsection 114A(1) of the </w:t>
      </w:r>
      <w:r w:rsidRPr="006D4218">
        <w:rPr>
          <w:i/>
          <w:iCs/>
        </w:rPr>
        <w:t>Safety, Rehabilitation and Compensation Act 1988</w:t>
      </w:r>
      <w:r>
        <w:rPr>
          <w:color w:val="000000"/>
          <w:szCs w:val="22"/>
          <w:shd w:val="clear" w:color="auto" w:fill="FFFFFF"/>
        </w:rPr>
        <w:t xml:space="preserve"> for and on behalf of the Secretary to the Treasury:</w:t>
      </w:r>
    </w:p>
    <w:p w14:paraId="7719ED34" w14:textId="77777777" w:rsidR="003E5A43" w:rsidRDefault="003E5A43" w:rsidP="003E5A43">
      <w:pPr>
        <w:pStyle w:val="paragraph"/>
      </w:pPr>
      <w:r>
        <w:tab/>
        <w:t>(a)</w:t>
      </w:r>
      <w:r>
        <w:tab/>
        <w:t>the Secretary;</w:t>
      </w:r>
    </w:p>
    <w:p w14:paraId="004E12E7" w14:textId="52F61701" w:rsidR="003E5A43" w:rsidRDefault="003E5A43" w:rsidP="003E5A43">
      <w:pPr>
        <w:pStyle w:val="paragraph"/>
      </w:pPr>
      <w:r>
        <w:tab/>
        <w:t>(b)</w:t>
      </w:r>
      <w:r>
        <w:tab/>
        <w:t>the Director, Corporate Services;</w:t>
      </w:r>
    </w:p>
    <w:p w14:paraId="4E37E0DD" w14:textId="0AB39742" w:rsidR="003E5A43" w:rsidRDefault="003E5A43" w:rsidP="003E5A43">
      <w:pPr>
        <w:pStyle w:val="paragraph"/>
      </w:pPr>
      <w:r>
        <w:tab/>
        <w:t>(c)</w:t>
      </w:r>
      <w:r>
        <w:tab/>
        <w:t>if an office or position covered by a preceding paragraph ceases to exist or is renamed—all of the offices or positions with similar functions or responsibilities.</w:t>
      </w:r>
    </w:p>
    <w:p w14:paraId="086821B6" w14:textId="70D6F515" w:rsidR="008D32B8" w:rsidRPr="008D32B8" w:rsidRDefault="008D32B8" w:rsidP="008D32B8">
      <w:pPr>
        <w:pStyle w:val="ActHead2"/>
        <w:pageBreakBefore/>
        <w:rPr>
          <w:lang w:eastAsia="en-US"/>
        </w:rPr>
      </w:pPr>
      <w:bookmarkStart w:id="32" w:name="_Toc127345812"/>
      <w:r w:rsidRPr="008D32B8">
        <w:rPr>
          <w:rStyle w:val="CharPartNo"/>
        </w:rPr>
        <w:lastRenderedPageBreak/>
        <w:t>Part 3</w:t>
      </w:r>
      <w:r>
        <w:t>—</w:t>
      </w:r>
      <w:r w:rsidRPr="008D32B8">
        <w:rPr>
          <w:rStyle w:val="CharPartText"/>
        </w:rPr>
        <w:t>Revocation of previous delegations, authorisations and appointments</w:t>
      </w:r>
      <w:bookmarkEnd w:id="32"/>
    </w:p>
    <w:p w14:paraId="6307C58D" w14:textId="77777777" w:rsidR="008D32B8" w:rsidRDefault="008D32B8" w:rsidP="008D32B8">
      <w:pPr>
        <w:pStyle w:val="Header"/>
      </w:pPr>
      <w:r>
        <w:t xml:space="preserve">  </w:t>
      </w:r>
    </w:p>
    <w:p w14:paraId="176A7A38" w14:textId="217F892C" w:rsidR="008D32B8" w:rsidRDefault="008D32B8" w:rsidP="008D32B8">
      <w:pPr>
        <w:pStyle w:val="ActHead5"/>
      </w:pPr>
      <w:bookmarkStart w:id="33" w:name="_Toc127345813"/>
      <w:r w:rsidRPr="008D32B8">
        <w:rPr>
          <w:rStyle w:val="CharSectno"/>
        </w:rPr>
        <w:t>15</w:t>
      </w:r>
      <w:r>
        <w:t xml:space="preserve">  Revocations</w:t>
      </w:r>
      <w:bookmarkEnd w:id="33"/>
    </w:p>
    <w:p w14:paraId="1B21C9E1" w14:textId="71C9B149" w:rsidR="008D32B8" w:rsidRDefault="008D32B8" w:rsidP="008D32B8">
      <w:pPr>
        <w:pStyle w:val="subsection"/>
        <w:rPr>
          <w:rStyle w:val="CharPartText"/>
        </w:rPr>
      </w:pPr>
      <w:r>
        <w:tab/>
      </w:r>
      <w:r w:rsidR="00E534C5">
        <w:t>(1)</w:t>
      </w:r>
      <w:r>
        <w:tab/>
        <w:t xml:space="preserve">All previous </w:t>
      </w:r>
      <w:r w:rsidRPr="008D32B8">
        <w:rPr>
          <w:rStyle w:val="CharPartText"/>
        </w:rPr>
        <w:t>delegations, authorisations and appointments</w:t>
      </w:r>
      <w:r>
        <w:rPr>
          <w:rStyle w:val="CharPartText"/>
        </w:rPr>
        <w:t xml:space="preserve"> to the </w:t>
      </w:r>
      <w:r w:rsidR="003F1B5E">
        <w:t>Secretary</w:t>
      </w:r>
      <w:r w:rsidR="003F1B5E">
        <w:rPr>
          <w:rStyle w:val="CharPartText"/>
        </w:rPr>
        <w:t xml:space="preserve"> </w:t>
      </w:r>
      <w:r>
        <w:rPr>
          <w:rStyle w:val="CharPartText"/>
        </w:rPr>
        <w:t xml:space="preserve">of the </w:t>
      </w:r>
      <w:r w:rsidR="003F1B5E">
        <w:rPr>
          <w:rStyle w:val="CharPartText"/>
        </w:rPr>
        <w:t>CGC</w:t>
      </w:r>
      <w:r>
        <w:rPr>
          <w:rStyle w:val="CharPartText"/>
        </w:rPr>
        <w:t xml:space="preserve">, or any </w:t>
      </w:r>
      <w:r w:rsidR="00072EC7">
        <w:rPr>
          <w:rStyle w:val="CharPartText"/>
        </w:rPr>
        <w:t xml:space="preserve">other </w:t>
      </w:r>
      <w:r>
        <w:rPr>
          <w:rStyle w:val="CharPartText"/>
        </w:rPr>
        <w:t xml:space="preserve">person </w:t>
      </w:r>
      <w:r>
        <w:rPr>
          <w:color w:val="000000"/>
          <w:szCs w:val="22"/>
          <w:shd w:val="clear" w:color="auto" w:fill="FFFFFF"/>
        </w:rPr>
        <w:t xml:space="preserve">holding, occupying or performing the duties of an office or position in the </w:t>
      </w:r>
      <w:r w:rsidR="003F1B5E">
        <w:rPr>
          <w:color w:val="000000"/>
          <w:szCs w:val="22"/>
          <w:shd w:val="clear" w:color="auto" w:fill="FFFFFF"/>
        </w:rPr>
        <w:t>CGC</w:t>
      </w:r>
      <w:r>
        <w:rPr>
          <w:color w:val="000000"/>
          <w:szCs w:val="22"/>
          <w:shd w:val="clear" w:color="auto" w:fill="FFFFFF"/>
        </w:rPr>
        <w:t>,</w:t>
      </w:r>
      <w:r>
        <w:rPr>
          <w:rStyle w:val="CharPartText"/>
        </w:rPr>
        <w:t xml:space="preserve"> under an Act or instrument referred to in Part 2</w:t>
      </w:r>
      <w:r w:rsidR="00072EC7">
        <w:rPr>
          <w:rStyle w:val="CharPartText"/>
        </w:rPr>
        <w:t>,</w:t>
      </w:r>
      <w:r>
        <w:rPr>
          <w:rStyle w:val="CharPartText"/>
        </w:rPr>
        <w:t xml:space="preserve"> </w:t>
      </w:r>
      <w:r w:rsidR="00272FF1">
        <w:rPr>
          <w:rStyle w:val="CharPartText"/>
        </w:rPr>
        <w:t>are</w:t>
      </w:r>
      <w:r>
        <w:rPr>
          <w:rStyle w:val="CharPartText"/>
        </w:rPr>
        <w:t xml:space="preserve"> revoked.</w:t>
      </w:r>
    </w:p>
    <w:p w14:paraId="643E50A4" w14:textId="19D9DFC8" w:rsidR="00E534C5" w:rsidRPr="008D32B8" w:rsidRDefault="00E534C5" w:rsidP="008D32B8">
      <w:pPr>
        <w:pStyle w:val="subsection"/>
      </w:pPr>
      <w:r>
        <w:rPr>
          <w:rStyle w:val="CharPartText"/>
        </w:rPr>
        <w:tab/>
        <w:t>(2)</w:t>
      </w:r>
      <w:r>
        <w:rPr>
          <w:rStyle w:val="CharPartText"/>
        </w:rPr>
        <w:tab/>
      </w:r>
      <w:r w:rsidR="007D542F">
        <w:rPr>
          <w:rStyle w:val="CharPartText"/>
        </w:rPr>
        <w:t xml:space="preserve">To avoid doubt, subsection (1) does not affect any appointment of a person as </w:t>
      </w:r>
      <w:r w:rsidR="00272FF1">
        <w:rPr>
          <w:rStyle w:val="CharPartText"/>
        </w:rPr>
        <w:t xml:space="preserve">the </w:t>
      </w:r>
      <w:r w:rsidR="007D542F">
        <w:rPr>
          <w:rStyle w:val="CharPartText"/>
        </w:rPr>
        <w:t>Secretary of the CGC.</w:t>
      </w:r>
    </w:p>
    <w:sectPr w:rsidR="00E534C5" w:rsidRPr="008D32B8" w:rsidSect="0024301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8162" w14:textId="77777777" w:rsidR="006459FB" w:rsidRDefault="006459FB" w:rsidP="00FA06CA">
      <w:pPr>
        <w:spacing w:line="240" w:lineRule="auto"/>
      </w:pPr>
      <w:r>
        <w:separator/>
      </w:r>
    </w:p>
  </w:endnote>
  <w:endnote w:type="continuationSeparator" w:id="0">
    <w:p w14:paraId="5D033457" w14:textId="77777777" w:rsidR="006459FB" w:rsidRDefault="006459FB" w:rsidP="00FA06CA">
      <w:pPr>
        <w:spacing w:line="240" w:lineRule="auto"/>
      </w:pPr>
      <w:r>
        <w:continuationSeparator/>
      </w:r>
    </w:p>
  </w:endnote>
  <w:endnote w:type="continuationNotice" w:id="1">
    <w:p w14:paraId="7C8C6D2B" w14:textId="77777777" w:rsidR="006459FB" w:rsidRDefault="006459F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CA54D" w14:textId="60191C5E" w:rsidR="00FA06CA" w:rsidRDefault="00FA06CA" w:rsidP="007500C8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27CF54E3" w14:textId="77777777" w:rsidR="00FA06CA" w:rsidRPr="007500C8" w:rsidRDefault="00FA06CA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CD663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75EC" w14:textId="45997B6D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3F5A6291" w14:textId="77777777" w:rsidTr="005627E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07AAFE3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BA4013" w14:textId="0268EA07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F538A7">
            <w:rPr>
              <w:i/>
              <w:noProof/>
              <w:sz w:val="18"/>
            </w:rPr>
            <w:t>Treasury Portfolio Governance (Commonwealth Grants Commission)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D3903F9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E396601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1A32" w14:textId="052958D8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30CFBF8A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D90B026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62C2A6A7" w14:textId="7FC56AE4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87061">
            <w:rPr>
              <w:i/>
              <w:noProof/>
              <w:sz w:val="18"/>
            </w:rPr>
            <w:t>Treasury Portfolio Governance (Commonwealth Grants Commission)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0803074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6946746C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514A" w14:textId="671ED916" w:rsidR="007500C8" w:rsidRPr="00E33C1C" w:rsidRDefault="0038706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6EB15AA5" w14:textId="77777777" w:rsidTr="005627E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3F5E9E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51DD255" w14:textId="3A97FE89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87061">
            <w:rPr>
              <w:i/>
              <w:noProof/>
              <w:sz w:val="18"/>
            </w:rPr>
            <w:t>Treasury Portfolio Governance (Commonwealth Grants Commission)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41AAED0" w14:textId="77777777" w:rsidR="007500C8" w:rsidRDefault="00387061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F42610A" w14:textId="77777777" w:rsidR="007500C8" w:rsidRPr="00ED79B6" w:rsidRDefault="00387061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E38C" w14:textId="73AFEE6F" w:rsidR="00472DBE" w:rsidRPr="00E33C1C" w:rsidRDefault="0038706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8" w:name="_Hlk26286453"/>
    <w:bookmarkStart w:id="39" w:name="_Hlk26286454"/>
    <w:bookmarkStart w:id="40" w:name="_Hlk26286457"/>
    <w:bookmarkStart w:id="41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472DBE" w14:paraId="21FB86E7" w14:textId="77777777" w:rsidTr="005627E0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6F565D14" w14:textId="77777777" w:rsidR="00472DBE" w:rsidRDefault="00387061" w:rsidP="008067B4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5F3DC5C5" w14:textId="579233DC" w:rsidR="00472DBE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387061">
            <w:rPr>
              <w:i/>
              <w:noProof/>
              <w:sz w:val="18"/>
            </w:rPr>
            <w:t>Treasury Portfolio Governance (Commonwealth Grants Commission) Instrument 2023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5FD8F9FF" w14:textId="77777777" w:rsidR="00472DBE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8"/>
    <w:bookmarkEnd w:id="39"/>
    <w:bookmarkEnd w:id="40"/>
    <w:bookmarkEnd w:id="41"/>
  </w:tbl>
  <w:p w14:paraId="7A961AD5" w14:textId="77777777" w:rsidR="00472DBE" w:rsidRPr="00ED79B6" w:rsidRDefault="00387061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4F9A" w14:textId="77777777" w:rsidR="007500C8" w:rsidRPr="00E33C1C" w:rsidRDefault="00387061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44" w:name="_Hlk26286455"/>
    <w:bookmarkStart w:id="45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500C8" w14:paraId="578461FD" w14:textId="77777777" w:rsidTr="005627E0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7706BE9A" w14:textId="77777777" w:rsidR="007500C8" w:rsidRDefault="00387061" w:rsidP="00830B6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58CB1D4B" w14:textId="76FE5233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F538A7">
            <w:rPr>
              <w:i/>
              <w:sz w:val="18"/>
            </w:rPr>
            <w:t>[title] 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032FB020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44"/>
    <w:bookmarkEnd w:id="45"/>
  </w:tbl>
  <w:p w14:paraId="0F455BED" w14:textId="77777777" w:rsidR="007500C8" w:rsidRPr="00ED79B6" w:rsidRDefault="00387061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18A3A" w14:textId="77777777" w:rsidR="006459FB" w:rsidRDefault="006459FB" w:rsidP="00FA06CA">
      <w:pPr>
        <w:spacing w:line="240" w:lineRule="auto"/>
      </w:pPr>
      <w:r>
        <w:separator/>
      </w:r>
    </w:p>
  </w:footnote>
  <w:footnote w:type="continuationSeparator" w:id="0">
    <w:p w14:paraId="64DF8A38" w14:textId="77777777" w:rsidR="006459FB" w:rsidRDefault="006459FB" w:rsidP="00FA06CA">
      <w:pPr>
        <w:spacing w:line="240" w:lineRule="auto"/>
      </w:pPr>
      <w:r>
        <w:continuationSeparator/>
      </w:r>
    </w:p>
  </w:footnote>
  <w:footnote w:type="continuationNotice" w:id="1">
    <w:p w14:paraId="4CFFCA41" w14:textId="77777777" w:rsidR="006459FB" w:rsidRDefault="006459F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245E2" w14:textId="528A6028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0B44" w14:textId="21463438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49C86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7D5A" w14:textId="08746717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C3AF" w14:textId="0C374C02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B6F4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0B14" w14:textId="4C66432E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FC0BE41" w14:textId="5252F649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387061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387061">
      <w:rPr>
        <w:noProof/>
        <w:sz w:val="20"/>
      </w:rPr>
      <w:t>Delegations and authorisations relating to the Commonwealth Grants Commission</w:t>
    </w:r>
    <w:r>
      <w:rPr>
        <w:sz w:val="20"/>
      </w:rPr>
      <w:fldChar w:fldCharType="end"/>
    </w:r>
  </w:p>
  <w:p w14:paraId="004FA21A" w14:textId="71762635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0A0A74CC" w14:textId="77777777" w:rsidR="00715914" w:rsidRPr="007A1328" w:rsidRDefault="00387061" w:rsidP="00715914">
    <w:pPr>
      <w:rPr>
        <w:b/>
        <w:sz w:val="24"/>
      </w:rPr>
    </w:pPr>
  </w:p>
  <w:p w14:paraId="4E2F762D" w14:textId="3318EDE1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538A7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87061">
      <w:rPr>
        <w:noProof/>
        <w:sz w:val="24"/>
      </w:rPr>
      <w:t>14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4" w:name="_Hlk26286447"/>
  <w:bookmarkStart w:id="35" w:name="_Hlk26286448"/>
  <w:bookmarkStart w:id="36" w:name="_Hlk26286451"/>
  <w:bookmarkStart w:id="37" w:name="_Hlk26286452"/>
  <w:p w14:paraId="4F493A70" w14:textId="3FC9F347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753A76A" w14:textId="56616FAF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387061">
      <w:rPr>
        <w:sz w:val="20"/>
      </w:rPr>
      <w:fldChar w:fldCharType="separate"/>
    </w:r>
    <w:r w:rsidR="00387061">
      <w:rPr>
        <w:noProof/>
        <w:sz w:val="20"/>
      </w:rPr>
      <w:t>Revocation of previous delegations, authorisations and appointments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387061">
      <w:rPr>
        <w:b/>
        <w:sz w:val="20"/>
      </w:rPr>
      <w:fldChar w:fldCharType="separate"/>
    </w:r>
    <w:r w:rsidR="00387061">
      <w:rPr>
        <w:b/>
        <w:noProof/>
        <w:sz w:val="20"/>
      </w:rPr>
      <w:t>Part 3</w:t>
    </w:r>
    <w:r>
      <w:rPr>
        <w:b/>
        <w:sz w:val="20"/>
      </w:rPr>
      <w:fldChar w:fldCharType="end"/>
    </w:r>
  </w:p>
  <w:p w14:paraId="6F4A6758" w14:textId="5A1750DE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46B9302" w14:textId="77777777" w:rsidR="00715914" w:rsidRPr="007A1328" w:rsidRDefault="00387061" w:rsidP="00715914">
    <w:pPr>
      <w:jc w:val="right"/>
      <w:rPr>
        <w:b/>
        <w:sz w:val="24"/>
      </w:rPr>
    </w:pPr>
  </w:p>
  <w:p w14:paraId="7DF366E6" w14:textId="77E5A9BB" w:rsidR="00715914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F538A7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387061">
      <w:rPr>
        <w:noProof/>
        <w:sz w:val="24"/>
      </w:rPr>
      <w:t>15</w:t>
    </w:r>
    <w:r w:rsidRPr="007A1328">
      <w:rPr>
        <w:sz w:val="24"/>
      </w:rPr>
      <w:fldChar w:fldCharType="end"/>
    </w:r>
    <w:bookmarkEnd w:id="34"/>
    <w:bookmarkEnd w:id="35"/>
    <w:bookmarkEnd w:id="36"/>
    <w:bookmarkEnd w:id="37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1653" w14:textId="77777777" w:rsidR="00715914" w:rsidRPr="007A1328" w:rsidRDefault="00387061" w:rsidP="00715914">
    <w:bookmarkStart w:id="42" w:name="_Hlk26286449"/>
    <w:bookmarkStart w:id="43" w:name="_Hlk26286450"/>
    <w:bookmarkEnd w:id="42"/>
    <w:bookmarkEnd w:id="4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2023629595">
    <w:abstractNumId w:val="9"/>
  </w:num>
  <w:num w:numId="2" w16cid:durableId="670178849">
    <w:abstractNumId w:val="7"/>
  </w:num>
  <w:num w:numId="3" w16cid:durableId="2031105672">
    <w:abstractNumId w:val="6"/>
  </w:num>
  <w:num w:numId="4" w16cid:durableId="1046415246">
    <w:abstractNumId w:val="5"/>
  </w:num>
  <w:num w:numId="5" w16cid:durableId="1841315197">
    <w:abstractNumId w:val="4"/>
  </w:num>
  <w:num w:numId="6" w16cid:durableId="1567491954">
    <w:abstractNumId w:val="8"/>
  </w:num>
  <w:num w:numId="7" w16cid:durableId="1628124621">
    <w:abstractNumId w:val="3"/>
  </w:num>
  <w:num w:numId="8" w16cid:durableId="1046027462">
    <w:abstractNumId w:val="2"/>
  </w:num>
  <w:num w:numId="9" w16cid:durableId="1754282252">
    <w:abstractNumId w:val="1"/>
  </w:num>
  <w:num w:numId="10" w16cid:durableId="730494841">
    <w:abstractNumId w:val="0"/>
  </w:num>
  <w:num w:numId="11" w16cid:durableId="911040114">
    <w:abstractNumId w:val="11"/>
  </w:num>
  <w:num w:numId="12" w16cid:durableId="13762745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3C"/>
    <w:rsid w:val="00002B27"/>
    <w:rsid w:val="00025739"/>
    <w:rsid w:val="00044047"/>
    <w:rsid w:val="00047967"/>
    <w:rsid w:val="00051502"/>
    <w:rsid w:val="000561ED"/>
    <w:rsid w:val="00070425"/>
    <w:rsid w:val="00072EC7"/>
    <w:rsid w:val="000F42B4"/>
    <w:rsid w:val="001B15DA"/>
    <w:rsid w:val="001C2144"/>
    <w:rsid w:val="001E7C81"/>
    <w:rsid w:val="001F2CFE"/>
    <w:rsid w:val="00205F34"/>
    <w:rsid w:val="00217FAC"/>
    <w:rsid w:val="002208B4"/>
    <w:rsid w:val="00250A7E"/>
    <w:rsid w:val="00272FF1"/>
    <w:rsid w:val="002C3092"/>
    <w:rsid w:val="00305BFB"/>
    <w:rsid w:val="00305F92"/>
    <w:rsid w:val="00340635"/>
    <w:rsid w:val="00341D80"/>
    <w:rsid w:val="003562AF"/>
    <w:rsid w:val="00387061"/>
    <w:rsid w:val="003B61F5"/>
    <w:rsid w:val="003C31D8"/>
    <w:rsid w:val="003E5A43"/>
    <w:rsid w:val="003F1B5E"/>
    <w:rsid w:val="00440D47"/>
    <w:rsid w:val="004E2170"/>
    <w:rsid w:val="004E267A"/>
    <w:rsid w:val="0050564B"/>
    <w:rsid w:val="005110C2"/>
    <w:rsid w:val="00522FD9"/>
    <w:rsid w:val="0052347F"/>
    <w:rsid w:val="00531ECB"/>
    <w:rsid w:val="00534C74"/>
    <w:rsid w:val="00554CCB"/>
    <w:rsid w:val="005627E0"/>
    <w:rsid w:val="005F3F77"/>
    <w:rsid w:val="00617188"/>
    <w:rsid w:val="006249CC"/>
    <w:rsid w:val="00626CC2"/>
    <w:rsid w:val="00627E91"/>
    <w:rsid w:val="00636078"/>
    <w:rsid w:val="006459FB"/>
    <w:rsid w:val="006669C6"/>
    <w:rsid w:val="00674935"/>
    <w:rsid w:val="006776A3"/>
    <w:rsid w:val="00694EDD"/>
    <w:rsid w:val="006A4F8E"/>
    <w:rsid w:val="006B6002"/>
    <w:rsid w:val="006B7214"/>
    <w:rsid w:val="006C4277"/>
    <w:rsid w:val="006D4218"/>
    <w:rsid w:val="00704C3C"/>
    <w:rsid w:val="00722BC3"/>
    <w:rsid w:val="00730204"/>
    <w:rsid w:val="007D542F"/>
    <w:rsid w:val="007E7F65"/>
    <w:rsid w:val="00881568"/>
    <w:rsid w:val="008B3126"/>
    <w:rsid w:val="008D32B8"/>
    <w:rsid w:val="008F6E44"/>
    <w:rsid w:val="009002C1"/>
    <w:rsid w:val="0092368C"/>
    <w:rsid w:val="009A4CC4"/>
    <w:rsid w:val="009C3CF1"/>
    <w:rsid w:val="00A05818"/>
    <w:rsid w:val="00A0757F"/>
    <w:rsid w:val="00A24522"/>
    <w:rsid w:val="00A259BC"/>
    <w:rsid w:val="00A2618D"/>
    <w:rsid w:val="00A36EEE"/>
    <w:rsid w:val="00A428B3"/>
    <w:rsid w:val="00A55869"/>
    <w:rsid w:val="00A55A5D"/>
    <w:rsid w:val="00A55BF9"/>
    <w:rsid w:val="00A57E02"/>
    <w:rsid w:val="00A60C9E"/>
    <w:rsid w:val="00A671FB"/>
    <w:rsid w:val="00A715EB"/>
    <w:rsid w:val="00A922D9"/>
    <w:rsid w:val="00A92F66"/>
    <w:rsid w:val="00B22CA4"/>
    <w:rsid w:val="00B2398D"/>
    <w:rsid w:val="00B278D2"/>
    <w:rsid w:val="00B57496"/>
    <w:rsid w:val="00B84C23"/>
    <w:rsid w:val="00C53081"/>
    <w:rsid w:val="00C85DCE"/>
    <w:rsid w:val="00C9209D"/>
    <w:rsid w:val="00C9500F"/>
    <w:rsid w:val="00CC1B1C"/>
    <w:rsid w:val="00CD4D07"/>
    <w:rsid w:val="00CD58EC"/>
    <w:rsid w:val="00CE1F74"/>
    <w:rsid w:val="00CF0EEE"/>
    <w:rsid w:val="00D0209A"/>
    <w:rsid w:val="00D2660F"/>
    <w:rsid w:val="00D42E2D"/>
    <w:rsid w:val="00D90E2F"/>
    <w:rsid w:val="00DB41F7"/>
    <w:rsid w:val="00E23B83"/>
    <w:rsid w:val="00E30CC3"/>
    <w:rsid w:val="00E33161"/>
    <w:rsid w:val="00E3496C"/>
    <w:rsid w:val="00E534C5"/>
    <w:rsid w:val="00E5769D"/>
    <w:rsid w:val="00E729BE"/>
    <w:rsid w:val="00E92406"/>
    <w:rsid w:val="00F13734"/>
    <w:rsid w:val="00F25B33"/>
    <w:rsid w:val="00F538A7"/>
    <w:rsid w:val="00F70DF1"/>
    <w:rsid w:val="00F857A6"/>
    <w:rsid w:val="00FA06CA"/>
    <w:rsid w:val="00FD72C8"/>
    <w:rsid w:val="00FF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BB9DE"/>
  <w15:chartTrackingRefBased/>
  <w15:docId w15:val="{6867C204-D52E-47E9-8B9E-0F56BC86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06CA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6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06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6C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6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6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6C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6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6C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6C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6C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A06C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6CA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6CA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6CA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6CA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6C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6C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FA06CA"/>
  </w:style>
  <w:style w:type="paragraph" w:customStyle="1" w:styleId="OPCParaBase">
    <w:name w:val="OPCParaBase"/>
    <w:qFormat/>
    <w:rsid w:val="00FA06CA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FA06C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A06C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A06C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A06C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A06C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FA06C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A06C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A06C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A06C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A06CA"/>
  </w:style>
  <w:style w:type="paragraph" w:customStyle="1" w:styleId="Blocks">
    <w:name w:val="Blocks"/>
    <w:aliases w:val="bb"/>
    <w:basedOn w:val="OPCParaBase"/>
    <w:qFormat/>
    <w:rsid w:val="00FA06C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A06C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A06CA"/>
    <w:rPr>
      <w:i/>
    </w:rPr>
  </w:style>
  <w:style w:type="paragraph" w:customStyle="1" w:styleId="BoxList">
    <w:name w:val="BoxList"/>
    <w:aliases w:val="bl"/>
    <w:basedOn w:val="BoxText"/>
    <w:qFormat/>
    <w:rsid w:val="00FA06C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A06C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A06C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A06CA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FA06CA"/>
  </w:style>
  <w:style w:type="character" w:customStyle="1" w:styleId="CharAmPartText">
    <w:name w:val="CharAmPartText"/>
    <w:basedOn w:val="OPCCharBase"/>
    <w:uiPriority w:val="1"/>
    <w:qFormat/>
    <w:rsid w:val="00FA06CA"/>
  </w:style>
  <w:style w:type="character" w:customStyle="1" w:styleId="CharAmSchNo">
    <w:name w:val="CharAmSchNo"/>
    <w:basedOn w:val="OPCCharBase"/>
    <w:uiPriority w:val="1"/>
    <w:qFormat/>
    <w:rsid w:val="00FA06CA"/>
  </w:style>
  <w:style w:type="character" w:customStyle="1" w:styleId="CharAmSchText">
    <w:name w:val="CharAmSchText"/>
    <w:basedOn w:val="OPCCharBase"/>
    <w:uiPriority w:val="1"/>
    <w:qFormat/>
    <w:rsid w:val="00FA06CA"/>
  </w:style>
  <w:style w:type="character" w:customStyle="1" w:styleId="CharBoldItalic">
    <w:name w:val="CharBoldItalic"/>
    <w:basedOn w:val="OPCCharBase"/>
    <w:uiPriority w:val="1"/>
    <w:qFormat/>
    <w:rsid w:val="00FA06CA"/>
    <w:rPr>
      <w:b/>
      <w:i/>
    </w:rPr>
  </w:style>
  <w:style w:type="character" w:customStyle="1" w:styleId="CharChapNo">
    <w:name w:val="CharChapNo"/>
    <w:basedOn w:val="OPCCharBase"/>
    <w:qFormat/>
    <w:rsid w:val="00FA06CA"/>
  </w:style>
  <w:style w:type="character" w:customStyle="1" w:styleId="CharChapText">
    <w:name w:val="CharChapText"/>
    <w:basedOn w:val="OPCCharBase"/>
    <w:qFormat/>
    <w:rsid w:val="00FA06CA"/>
  </w:style>
  <w:style w:type="character" w:customStyle="1" w:styleId="CharDivNo">
    <w:name w:val="CharDivNo"/>
    <w:basedOn w:val="OPCCharBase"/>
    <w:qFormat/>
    <w:rsid w:val="00FA06CA"/>
  </w:style>
  <w:style w:type="character" w:customStyle="1" w:styleId="CharDivText">
    <w:name w:val="CharDivText"/>
    <w:basedOn w:val="OPCCharBase"/>
    <w:qFormat/>
    <w:rsid w:val="00FA06CA"/>
  </w:style>
  <w:style w:type="character" w:customStyle="1" w:styleId="CharItalic">
    <w:name w:val="CharItalic"/>
    <w:basedOn w:val="OPCCharBase"/>
    <w:uiPriority w:val="1"/>
    <w:qFormat/>
    <w:rsid w:val="00FA06CA"/>
    <w:rPr>
      <w:i/>
    </w:rPr>
  </w:style>
  <w:style w:type="character" w:customStyle="1" w:styleId="CharPartNo">
    <w:name w:val="CharPartNo"/>
    <w:basedOn w:val="OPCCharBase"/>
    <w:qFormat/>
    <w:rsid w:val="00FA06CA"/>
  </w:style>
  <w:style w:type="character" w:customStyle="1" w:styleId="CharPartText">
    <w:name w:val="CharPartText"/>
    <w:basedOn w:val="OPCCharBase"/>
    <w:qFormat/>
    <w:rsid w:val="00FA06CA"/>
  </w:style>
  <w:style w:type="character" w:customStyle="1" w:styleId="CharSectno">
    <w:name w:val="CharSectno"/>
    <w:basedOn w:val="OPCCharBase"/>
    <w:qFormat/>
    <w:rsid w:val="00FA06CA"/>
  </w:style>
  <w:style w:type="character" w:customStyle="1" w:styleId="CharSubdNo">
    <w:name w:val="CharSubdNo"/>
    <w:basedOn w:val="OPCCharBase"/>
    <w:uiPriority w:val="1"/>
    <w:qFormat/>
    <w:rsid w:val="00FA06CA"/>
  </w:style>
  <w:style w:type="character" w:customStyle="1" w:styleId="CharSubdText">
    <w:name w:val="CharSubdText"/>
    <w:basedOn w:val="OPCCharBase"/>
    <w:uiPriority w:val="1"/>
    <w:qFormat/>
    <w:rsid w:val="00FA06CA"/>
  </w:style>
  <w:style w:type="paragraph" w:customStyle="1" w:styleId="CTA--">
    <w:name w:val="CTA --"/>
    <w:basedOn w:val="OPCParaBase"/>
    <w:next w:val="Normal"/>
    <w:rsid w:val="00FA06C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A06C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A06C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A06C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A06C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A06C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A06C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A06C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A06C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A06C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A06C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A06C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A06C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FA06C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A06CA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A06C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A06C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A06C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A06C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A06C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A06C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A06C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FA06C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A06C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A06CA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A06C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A06C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A06C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A06C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A06C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A06CA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A06C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A06C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A06C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A06C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A06C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A06C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A06C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A06C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A06C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A06C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A06C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A06C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A06C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A06C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A06C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A06C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A06C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A06C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A06C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A06C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A06C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FA06CA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FA06CA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FA06C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FA06CA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FA06C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A06C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A06C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A06C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A06C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A06C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A06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A06CA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06CA"/>
    <w:rPr>
      <w:sz w:val="16"/>
    </w:rPr>
  </w:style>
  <w:style w:type="table" w:customStyle="1" w:styleId="CFlag">
    <w:name w:val="CFlag"/>
    <w:basedOn w:val="TableNormal"/>
    <w:uiPriority w:val="99"/>
    <w:rsid w:val="00FA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FA06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06C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A06CA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A06CA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A06C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A06C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A06CA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A06CA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A06CA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A06CA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A06CA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A06C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A06CA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A06CA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A06CA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A06CA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A06CA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A06CA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A06CA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A06CA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A06CA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A06CA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A06CA"/>
  </w:style>
  <w:style w:type="character" w:customStyle="1" w:styleId="CharSubPartNoCASA">
    <w:name w:val="CharSubPartNo(CASA)"/>
    <w:basedOn w:val="OPCCharBase"/>
    <w:uiPriority w:val="1"/>
    <w:rsid w:val="00FA06CA"/>
  </w:style>
  <w:style w:type="paragraph" w:customStyle="1" w:styleId="ENoteTTIndentHeadingSub">
    <w:name w:val="ENoteTTIndentHeadingSub"/>
    <w:aliases w:val="enTTHis"/>
    <w:basedOn w:val="OPCParaBase"/>
    <w:rsid w:val="00FA06CA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A06CA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A06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A06CA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A06CA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FA06CA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FA06CA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A06C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A06CA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FA06CA"/>
  </w:style>
  <w:style w:type="paragraph" w:customStyle="1" w:styleId="TableHeading">
    <w:name w:val="TableHeading"/>
    <w:aliases w:val="th"/>
    <w:basedOn w:val="OPCParaBase"/>
    <w:next w:val="Tabletext"/>
    <w:rsid w:val="00FA06CA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A06CA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A06CA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A06CA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A06CA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FA06CA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A06CA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A06C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A06CA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FA06C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A06CA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FA06CA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A06C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A06CA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26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8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7.xml"/><Relationship Id="rId28" Type="http://schemas.openxmlformats.org/officeDocument/2006/relationships/footer" Target="footer7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9D256E75E71428C72445DFBB99E7A" ma:contentTypeVersion="21" ma:contentTypeDescription="Create a new document." ma:contentTypeScope="" ma:versionID="6ce77a1c7edcfd829f749eb9f3a04d1e">
  <xsd:schema xmlns:xsd="http://www.w3.org/2001/XMLSchema" xmlns:xs="http://www.w3.org/2001/XMLSchema" xmlns:p="http://schemas.microsoft.com/office/2006/metadata/properties" xmlns:ns2="ff38c824-6e29-4496-8487-69f397e7ed29" xmlns:ns3="30b813c2-29e2-43aa-bac2-1ed67b791ce7" xmlns:ns4="42f4cb5a-261c-4c59-b165-7132460581a3" xmlns:ns5="fe39d773-a83d-4623-ae74-f25711a76616" targetNamespace="http://schemas.microsoft.com/office/2006/metadata/properties" ma:root="true" ma:fieldsID="9d818fa730222b30f58dd376f8e2166a" ns2:_="" ns3:_="" ns4:_="" ns5:_="">
    <xsd:import namespace="ff38c824-6e29-4496-8487-69f397e7ed29"/>
    <xsd:import namespace="30b813c2-29e2-43aa-bac2-1ed67b791ce7"/>
    <xsd:import namespace="42f4cb5a-261c-4c59-b165-7132460581a3"/>
    <xsd:import namespace="fe39d773-a83d-4623-ae74-f25711a76616"/>
    <xsd:element name="properties">
      <xsd:complexType>
        <xsd:sequence>
          <xsd:element name="documentManagement">
            <xsd:complexType>
              <xsd:all>
                <xsd:element ref="ns5:_dlc_DocId" minOccurs="0"/>
                <xsd:element ref="ns5:_dlc_DocIdUrl" minOccurs="0"/>
                <xsd:element ref="ns5:_dlc_DocIdPersistId" minOccurs="0"/>
                <xsd:element ref="ns5:a48f371a4a874164b16a8c4aab488f5c"/>
                <xsd:element ref="ns2:TaxCatchAll" minOccurs="0"/>
                <xsd:element ref="ns2:TaxCatchAllLabel" minOccurs="0"/>
                <xsd:element ref="ns5:ge25bdd0d6464e36b066695d9e81d63d" minOccurs="0"/>
                <xsd:element ref="ns4:a922f8bb565746e594dfd9759c83997b" minOccurs="0"/>
                <xsd:element ref="ns3:n354c18657b04d3aab7a0b7552b22c2a" minOccurs="0"/>
                <xsd:element ref="ns3:k5702ebc2d804f54815653409837d9c5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813c2-29e2-43aa-bac2-1ed67b791ce7" elementFormDefault="qualified">
    <xsd:import namespace="http://schemas.microsoft.com/office/2006/documentManagement/types"/>
    <xsd:import namespace="http://schemas.microsoft.com/office/infopath/2007/PartnerControls"/>
    <xsd:element name="n354c18657b04d3aab7a0b7552b22c2a" ma:index="20" ma:taxonomy="true" ma:internalName="n354c18657b04d3aab7a0b7552b22c2a" ma:taxonomyFieldName="Activity" ma:displayName="Activity" ma:default="35;#Legislation management|cb630f2f-9155-496b-ad0f-d960eb1bf90c" ma:fieldId="{7354c186-57b0-4d3a-ab7a-0b7552b22c2a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702ebc2d804f54815653409837d9c5" ma:index="21" ma:taxonomy="true" ma:internalName="k5702ebc2d804f54815653409837d9c5" ma:taxonomyFieldName="Topic" ma:displayName="Topic" ma:default="36;#Legislation Coordination|58c6712e-e847-48f4-81ab-b25e2bbd3986" ma:fieldId="{45702ebc-2d80-4f54-8156-53409837d9c5}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a922f8bb565746e594dfd9759c83997b" ma:index="18" ma:taxonomy="true" ma:internalName="a922f8bb565746e594dfd9759c83997b" ma:taxonomyFieldName="Document_x0020_Type" ma:displayName="Document Type" ma:default="" ma:fieldId="{a922f8bb-5657-46e5-94df-d9759c83997b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-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5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8c824-6e29-4496-8487-69f397e7ed29">
      <Value>35</Value>
      <Value>36</Value>
      <Value>79</Value>
      <Value>1</Value>
      <Value>42</Value>
    </TaxCatchAll>
    <_dlc_DocId xmlns="fe39d773-a83d-4623-ae74-f25711a76616">S574FYTY5PW6-969949929-204</_dlc_DocId>
    <_dlc_DocIdUrl xmlns="fe39d773-a83d-4623-ae74-f25711a76616">
      <Url>https://austreasury.sharepoint.com/sites/leg-cord-function/_layouts/15/DocIdRedir.aspx?ID=S574FYTY5PW6-969949929-204</Url>
      <Description>S574FYTY5PW6-969949929-204</Description>
    </_dlc_DocIdUrl>
    <ge25bdd0d6464e36b066695d9e81d63d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Open</TermName>
          <TermId xmlns="http://schemas.microsoft.com/office/infopath/2007/PartnerControls">e428aafc-0091-466f-8e1d-88278084e06c</TermId>
        </TermInfo>
      </Terms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k5702ebc2d804f54815653409837d9c5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k5702ebc2d804f54815653409837d9c5>
    <a922f8bb565746e594dfd9759c83997b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a922f8bb565746e594dfd9759c83997b>
    <n354c18657b04d3aab7a0b7552b22c2a xmlns="30b813c2-29e2-43aa-bac2-1ed67b791c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n354c18657b04d3aab7a0b7552b22c2a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0290BE-67EE-4BD6-91AE-8C2738A56B5A}"/>
</file>

<file path=customXml/itemProps3.xml><?xml version="1.0" encoding="utf-8"?>
<ds:datastoreItem xmlns:ds="http://schemas.openxmlformats.org/officeDocument/2006/customXml" ds:itemID="{70E19AFF-AC38-4260-9407-6922E7B4224B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a289cb20-8bb9-401f-8d7b-706fb1a2988d"/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ff38c824-6e29-4496-8487-69f397e7ed29"/>
    <ds:schemaRef ds:uri="fe39d773-a83d-4623-ae74-f25711a76616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B6BB1F4-CEBD-4260-99A5-7FD063AB63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8ED79B-9DC3-4DEF-B18F-06D2D1AF300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18</TotalTime>
  <Pages>11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221031-NI-TSY_47_0111-HR delegations-CGC.master</dc:title>
  <dc:subject/>
  <dc:creator>Leggett, Chris</dc:creator>
  <cp:keywords/>
  <dc:description/>
  <cp:lastModifiedBy>Leggett, Chris</cp:lastModifiedBy>
  <cp:revision>29</cp:revision>
  <cp:lastPrinted>2023-02-14T23:30:00Z</cp:lastPrinted>
  <dcterms:created xsi:type="dcterms:W3CDTF">2022-10-31T05:11:00Z</dcterms:created>
  <dcterms:modified xsi:type="dcterms:W3CDTF">2023-02-27T06:36:00Z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     , 2017</vt:lpwstr>
  </property>
  <property fmtid="{D5CDD505-2E9C-101B-9397-08002B2CF9AE}" pid="3" name="ShortT">
    <vt:lpwstr>[title] 2017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0x010100B569D256E75E71428C72445DFBB99E7A</vt:lpwstr>
  </property>
  <property fmtid="{D5CDD505-2E9C-101B-9397-08002B2CF9AE}" pid="15" name="TSYRecordClass">
    <vt:lpwstr>7;#TSY RA-9236 - Retain as national archives|c6a225b4-6b93-473e-bcbb-6bc6ab25b623</vt:lpwstr>
  </property>
  <property fmtid="{D5CDD505-2E9C-101B-9397-08002B2CF9AE}" pid="16" name="_dlc_DocIdItemGuid">
    <vt:lpwstr>72f0baaf-58a8-4663-b5e7-2571ec4a0605</vt:lpwstr>
  </property>
  <property fmtid="{D5CDD505-2E9C-101B-9397-08002B2CF9AE}" pid="17" name="TSYTopic">
    <vt:lpwstr/>
  </property>
  <property fmtid="{D5CDD505-2E9C-101B-9397-08002B2CF9AE}" pid="18" name="eActivity">
    <vt:lpwstr>28;#Legislative measures|0d31ce10-0017-4a46-8d2d-ba60058cb6a2</vt:lpwstr>
  </property>
  <property fmtid="{D5CDD505-2E9C-101B-9397-08002B2CF9AE}" pid="19" name="k8424359e03846678cc4a99dd97e9705">
    <vt:lpwstr>Treasury Enterprise Terms|69519368-d55f-4403-adc0-7b3d464d5501</vt:lpwstr>
  </property>
  <property fmtid="{D5CDD505-2E9C-101B-9397-08002B2CF9AE}" pid="20" name="eTopic">
    <vt:lpwstr>129;#Delegations|fe1041dc-8723-4ceb-be35-134357177b67</vt:lpwstr>
  </property>
  <property fmtid="{D5CDD505-2E9C-101B-9397-08002B2CF9AE}" pid="21" name="eTheme">
    <vt:lpwstr>1;#Law Design|318dd2d2-18da-4b8e-a458-14db2c1af95f</vt:lpwstr>
  </property>
  <property fmtid="{D5CDD505-2E9C-101B-9397-08002B2CF9AE}" pid="22" name="TSYStatus">
    <vt:lpwstr>79;#Open|e428aafc-0091-466f-8e1d-88278084e06c</vt:lpwstr>
  </property>
  <property fmtid="{D5CDD505-2E9C-101B-9397-08002B2CF9AE}" pid="23" name="EmailAttachments">
    <vt:bool>false</vt:bool>
  </property>
  <property fmtid="{D5CDD505-2E9C-101B-9397-08002B2CF9AE}" pid="24" name="eDocumentType">
    <vt:lpwstr>68;#Legislation|bc5c492f-641e-4b74-8651-322acd553d0f</vt:lpwstr>
  </property>
  <property fmtid="{D5CDD505-2E9C-101B-9397-08002B2CF9AE}" pid="25" name="LMDivision">
    <vt:lpwstr>3;#Treasury Enterprise Terms|69519368-d55f-4403-adc0-7b3d464d5501</vt:lpwstr>
  </property>
  <property fmtid="{D5CDD505-2E9C-101B-9397-08002B2CF9AE}" pid="26" name="Activity">
    <vt:lpwstr>35;#Legislation management|cb630f2f-9155-496b-ad0f-d960eb1bf90c</vt:lpwstr>
  </property>
  <property fmtid="{D5CDD505-2E9C-101B-9397-08002B2CF9AE}" pid="27" name="Topic">
    <vt:lpwstr>36;#Legislation Coordination|58c6712e-e847-48f4-81ab-b25e2bbd3986</vt:lpwstr>
  </property>
  <property fmtid="{D5CDD505-2E9C-101B-9397-08002B2CF9AE}" pid="28" name="Order">
    <vt:r8>20400</vt:r8>
  </property>
  <property fmtid="{D5CDD505-2E9C-101B-9397-08002B2CF9AE}" pid="29" name="Document Type">
    <vt:lpwstr>42;#Legislation|25c35cca-98fe-4d3e-a63c-3dda1c39f3ec</vt:lpwstr>
  </property>
</Properties>
</file>