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7DE10" w14:textId="77777777" w:rsidR="00281F10" w:rsidRPr="00603AF4" w:rsidRDefault="00281F10" w:rsidP="008C2CB4">
      <w:pPr>
        <w:spacing w:before="0" w:after="120"/>
        <w:ind w:right="91"/>
        <w:jc w:val="center"/>
        <w:rPr>
          <w:rFonts w:ascii="Arial" w:hAnsi="Arial" w:cs="Arial"/>
          <w:szCs w:val="24"/>
        </w:rPr>
      </w:pPr>
    </w:p>
    <w:p w14:paraId="57294790" w14:textId="2DC4B386" w:rsidR="00F328DA" w:rsidRPr="00603AF4" w:rsidRDefault="002533F0" w:rsidP="008C2CB4">
      <w:pPr>
        <w:spacing w:before="0" w:after="120"/>
        <w:ind w:right="91"/>
        <w:jc w:val="center"/>
        <w:rPr>
          <w:rFonts w:ascii="Arial" w:hAnsi="Arial" w:cs="Arial"/>
          <w:b/>
          <w:szCs w:val="24"/>
          <w:u w:val="single"/>
        </w:rPr>
      </w:pPr>
      <w:r w:rsidRPr="00603AF4">
        <w:rPr>
          <w:rFonts w:ascii="Arial" w:hAnsi="Arial" w:cs="Arial"/>
          <w:b/>
          <w:szCs w:val="24"/>
          <w:u w:val="single"/>
        </w:rPr>
        <w:t>EXPLANATORY STATEMENT</w:t>
      </w:r>
      <w:r w:rsidR="00B54C30" w:rsidRPr="00603AF4">
        <w:rPr>
          <w:rFonts w:ascii="Arial" w:hAnsi="Arial" w:cs="Arial"/>
          <w:b/>
          <w:szCs w:val="24"/>
          <w:u w:val="single"/>
        </w:rPr>
        <w:t xml:space="preserve"> </w:t>
      </w:r>
    </w:p>
    <w:p w14:paraId="65AB50AD" w14:textId="77777777" w:rsidR="00EC0C59" w:rsidRPr="005C21C7" w:rsidRDefault="00EC0C59" w:rsidP="002533F0">
      <w:pPr>
        <w:spacing w:before="0"/>
        <w:ind w:right="91"/>
        <w:jc w:val="center"/>
        <w:rPr>
          <w:rFonts w:ascii="Arial" w:hAnsi="Arial" w:cs="Arial"/>
          <w:szCs w:val="24"/>
        </w:rPr>
      </w:pPr>
    </w:p>
    <w:p w14:paraId="7842F63A" w14:textId="1DBEEC65" w:rsidR="002533F0" w:rsidRPr="00603AF4" w:rsidRDefault="002533F0" w:rsidP="002533F0">
      <w:pPr>
        <w:spacing w:before="0"/>
        <w:ind w:right="91"/>
        <w:jc w:val="center"/>
        <w:rPr>
          <w:rFonts w:ascii="Arial" w:hAnsi="Arial" w:cs="Arial"/>
          <w:szCs w:val="24"/>
          <w:u w:val="single"/>
        </w:rPr>
      </w:pPr>
      <w:r w:rsidRPr="00603AF4">
        <w:rPr>
          <w:rFonts w:ascii="Arial" w:hAnsi="Arial" w:cs="Arial"/>
          <w:szCs w:val="24"/>
          <w:u w:val="single"/>
        </w:rPr>
        <w:t>Issued by the authority of the</w:t>
      </w:r>
      <w:r w:rsidR="00AD1645" w:rsidRPr="00603AF4">
        <w:rPr>
          <w:rFonts w:ascii="Arial" w:hAnsi="Arial" w:cs="Arial"/>
          <w:szCs w:val="24"/>
          <w:u w:val="single"/>
        </w:rPr>
        <w:t xml:space="preserve"> </w:t>
      </w:r>
      <w:r w:rsidR="0018738B" w:rsidRPr="00603AF4">
        <w:rPr>
          <w:rFonts w:ascii="Arial" w:hAnsi="Arial" w:cs="Arial"/>
          <w:szCs w:val="24"/>
          <w:u w:val="single"/>
        </w:rPr>
        <w:t>Secretary of the Department of Social Services</w:t>
      </w:r>
    </w:p>
    <w:p w14:paraId="3BED192A" w14:textId="77777777" w:rsidR="002533F0" w:rsidRPr="005C21C7" w:rsidRDefault="002533F0" w:rsidP="002533F0">
      <w:pPr>
        <w:spacing w:before="0"/>
        <w:ind w:right="91"/>
        <w:jc w:val="center"/>
        <w:rPr>
          <w:rFonts w:ascii="Arial" w:hAnsi="Arial" w:cs="Arial"/>
          <w:szCs w:val="24"/>
        </w:rPr>
      </w:pPr>
    </w:p>
    <w:p w14:paraId="11EB311C" w14:textId="77777777" w:rsidR="00966756" w:rsidRPr="00603AF4" w:rsidRDefault="00644388" w:rsidP="002533F0">
      <w:pPr>
        <w:spacing w:before="0"/>
        <w:ind w:right="91"/>
        <w:jc w:val="center"/>
        <w:rPr>
          <w:rFonts w:ascii="Arial" w:hAnsi="Arial" w:cs="Arial"/>
          <w:i/>
          <w:szCs w:val="24"/>
        </w:rPr>
      </w:pPr>
      <w:r w:rsidRPr="00603AF4">
        <w:rPr>
          <w:rFonts w:ascii="Arial" w:hAnsi="Arial" w:cs="Arial"/>
          <w:i/>
          <w:szCs w:val="24"/>
        </w:rPr>
        <w:t>Disability Services and Inclusion Act 2003</w:t>
      </w:r>
    </w:p>
    <w:p w14:paraId="06C7B247" w14:textId="77777777" w:rsidR="00966756" w:rsidRPr="005C21C7" w:rsidRDefault="00966756" w:rsidP="002533F0">
      <w:pPr>
        <w:spacing w:before="0"/>
        <w:ind w:right="91"/>
        <w:jc w:val="center"/>
        <w:rPr>
          <w:rFonts w:ascii="Arial" w:hAnsi="Arial" w:cs="Arial"/>
          <w:szCs w:val="24"/>
        </w:rPr>
      </w:pPr>
    </w:p>
    <w:p w14:paraId="360EFCA0" w14:textId="77019042" w:rsidR="002533F0" w:rsidRPr="00603AF4" w:rsidRDefault="00644388" w:rsidP="002533F0">
      <w:pPr>
        <w:spacing w:before="0"/>
        <w:ind w:right="91"/>
        <w:jc w:val="center"/>
        <w:rPr>
          <w:rFonts w:ascii="Arial" w:hAnsi="Arial" w:cs="Arial"/>
          <w:i/>
          <w:szCs w:val="24"/>
        </w:rPr>
      </w:pPr>
      <w:r w:rsidRPr="00603AF4">
        <w:rPr>
          <w:rFonts w:ascii="Arial" w:hAnsi="Arial" w:cs="Arial"/>
          <w:bCs/>
          <w:i/>
          <w:szCs w:val="24"/>
        </w:rPr>
        <w:t>Disability Service</w:t>
      </w:r>
      <w:r w:rsidR="00F0013E" w:rsidRPr="00603AF4">
        <w:rPr>
          <w:rFonts w:ascii="Arial" w:hAnsi="Arial" w:cs="Arial"/>
          <w:bCs/>
          <w:i/>
          <w:szCs w:val="24"/>
        </w:rPr>
        <w:t>s and Inclusion (Regulated Activities</w:t>
      </w:r>
      <w:r w:rsidRPr="00603AF4">
        <w:rPr>
          <w:rFonts w:ascii="Arial" w:hAnsi="Arial" w:cs="Arial"/>
          <w:bCs/>
          <w:i/>
          <w:szCs w:val="24"/>
        </w:rPr>
        <w:t xml:space="preserve">) </w:t>
      </w:r>
      <w:r w:rsidR="00F0013E" w:rsidRPr="00603AF4">
        <w:rPr>
          <w:rFonts w:ascii="Arial" w:hAnsi="Arial" w:cs="Arial"/>
          <w:bCs/>
          <w:i/>
          <w:szCs w:val="24"/>
        </w:rPr>
        <w:t>Determination</w:t>
      </w:r>
      <w:r w:rsidRPr="00603AF4">
        <w:rPr>
          <w:rFonts w:ascii="Arial" w:hAnsi="Arial" w:cs="Arial"/>
          <w:bCs/>
          <w:i/>
          <w:szCs w:val="24"/>
        </w:rPr>
        <w:t xml:space="preserve"> 2023</w:t>
      </w:r>
    </w:p>
    <w:p w14:paraId="77FE4DC1" w14:textId="77777777" w:rsidR="00911B86" w:rsidRPr="005C21C7" w:rsidRDefault="00911B86" w:rsidP="002533F0">
      <w:pPr>
        <w:spacing w:before="0"/>
        <w:ind w:right="91"/>
        <w:rPr>
          <w:rFonts w:ascii="Arial" w:hAnsi="Arial" w:cs="Arial"/>
          <w:szCs w:val="24"/>
        </w:rPr>
      </w:pPr>
    </w:p>
    <w:p w14:paraId="71F9D7D3" w14:textId="77777777" w:rsidR="002533F0" w:rsidRPr="00603AF4" w:rsidRDefault="0083135C" w:rsidP="0078201B">
      <w:pPr>
        <w:spacing w:before="0"/>
        <w:ind w:right="91"/>
        <w:jc w:val="both"/>
        <w:rPr>
          <w:rFonts w:ascii="Arial" w:hAnsi="Arial" w:cs="Arial"/>
          <w:b/>
          <w:szCs w:val="24"/>
        </w:rPr>
      </w:pPr>
      <w:r w:rsidRPr="00603AF4">
        <w:rPr>
          <w:rFonts w:ascii="Arial" w:hAnsi="Arial" w:cs="Arial"/>
          <w:b/>
          <w:szCs w:val="24"/>
        </w:rPr>
        <w:t>Purpose</w:t>
      </w:r>
    </w:p>
    <w:p w14:paraId="2DDFA622" w14:textId="79D7F303" w:rsidR="005D1DB5" w:rsidRPr="00603AF4" w:rsidRDefault="009B2471" w:rsidP="0078201B">
      <w:pPr>
        <w:jc w:val="both"/>
        <w:rPr>
          <w:rFonts w:ascii="Arial" w:hAnsi="Arial" w:cs="Arial"/>
          <w:szCs w:val="24"/>
        </w:rPr>
      </w:pPr>
      <w:r w:rsidRPr="00603AF4">
        <w:rPr>
          <w:rFonts w:ascii="Arial" w:hAnsi="Arial" w:cs="Arial"/>
          <w:szCs w:val="24"/>
        </w:rPr>
        <w:t xml:space="preserve">The </w:t>
      </w:r>
      <w:r w:rsidR="00644388" w:rsidRPr="00603AF4">
        <w:rPr>
          <w:rFonts w:ascii="Arial" w:hAnsi="Arial" w:cs="Arial"/>
          <w:i/>
          <w:szCs w:val="24"/>
        </w:rPr>
        <w:t>Disability Services and Inclusi</w:t>
      </w:r>
      <w:r w:rsidR="00F0013E" w:rsidRPr="00603AF4">
        <w:rPr>
          <w:rFonts w:ascii="Arial" w:hAnsi="Arial" w:cs="Arial"/>
          <w:i/>
          <w:szCs w:val="24"/>
        </w:rPr>
        <w:t>on (Regulated Activities) Determination 2023</w:t>
      </w:r>
      <w:r w:rsidR="00F0013E" w:rsidRPr="00603AF4">
        <w:rPr>
          <w:rFonts w:ascii="Arial" w:hAnsi="Arial" w:cs="Arial"/>
          <w:szCs w:val="24"/>
        </w:rPr>
        <w:t xml:space="preserve"> </w:t>
      </w:r>
      <w:r w:rsidR="00644388" w:rsidRPr="00603AF4">
        <w:rPr>
          <w:rFonts w:ascii="Arial" w:hAnsi="Arial" w:cs="Arial"/>
          <w:szCs w:val="24"/>
        </w:rPr>
        <w:t xml:space="preserve">(the instrument) </w:t>
      </w:r>
      <w:r w:rsidR="00F0013E" w:rsidRPr="00603AF4">
        <w:rPr>
          <w:rFonts w:ascii="Arial" w:hAnsi="Arial" w:cs="Arial"/>
          <w:szCs w:val="24"/>
        </w:rPr>
        <w:t xml:space="preserve">specifies the kinds of eligible activities that are regulated activities </w:t>
      </w:r>
      <w:r w:rsidR="0078201B" w:rsidRPr="00603AF4">
        <w:rPr>
          <w:rFonts w:ascii="Arial" w:hAnsi="Arial" w:cs="Arial"/>
          <w:szCs w:val="24"/>
        </w:rPr>
        <w:t>for the purposes of section 11</w:t>
      </w:r>
      <w:r w:rsidR="00F0013E" w:rsidRPr="00603AF4">
        <w:rPr>
          <w:rFonts w:ascii="Arial" w:hAnsi="Arial" w:cs="Arial"/>
          <w:szCs w:val="24"/>
        </w:rPr>
        <w:t xml:space="preserve"> of the </w:t>
      </w:r>
      <w:r w:rsidR="00644388" w:rsidRPr="00603AF4">
        <w:rPr>
          <w:rFonts w:ascii="Arial" w:hAnsi="Arial" w:cs="Arial"/>
          <w:i/>
          <w:szCs w:val="24"/>
        </w:rPr>
        <w:t>Disability Services and Inclusion Act 2023</w:t>
      </w:r>
      <w:r w:rsidR="00F0013E" w:rsidRPr="00603AF4">
        <w:rPr>
          <w:rFonts w:ascii="Arial" w:hAnsi="Arial" w:cs="Arial"/>
          <w:szCs w:val="24"/>
        </w:rPr>
        <w:t xml:space="preserve"> (the Act). </w:t>
      </w:r>
      <w:r w:rsidR="005D1DB5" w:rsidRPr="00603AF4">
        <w:rPr>
          <w:rFonts w:ascii="Arial" w:hAnsi="Arial" w:cs="Arial"/>
          <w:szCs w:val="24"/>
        </w:rPr>
        <w:t>People undertaking regulated activities are subject to a higher degree of scrutiny and regulation.</w:t>
      </w:r>
    </w:p>
    <w:p w14:paraId="19ECE767" w14:textId="694F9662" w:rsidR="009269BD" w:rsidRPr="00603AF4" w:rsidRDefault="0015134A" w:rsidP="0078201B">
      <w:pPr>
        <w:jc w:val="both"/>
        <w:rPr>
          <w:rFonts w:ascii="Arial" w:hAnsi="Arial" w:cs="Arial"/>
          <w:b/>
          <w:szCs w:val="24"/>
        </w:rPr>
      </w:pPr>
      <w:r w:rsidRPr="00603AF4">
        <w:rPr>
          <w:rStyle w:val="BookTitle"/>
          <w:rFonts w:ascii="Arial" w:hAnsi="Arial" w:cs="Arial"/>
          <w:b/>
          <w:i w:val="0"/>
          <w:iCs w:val="0"/>
          <w:smallCaps w:val="0"/>
          <w:spacing w:val="0"/>
          <w:szCs w:val="24"/>
        </w:rPr>
        <w:t>Background</w:t>
      </w:r>
    </w:p>
    <w:p w14:paraId="419A35DD" w14:textId="0D2B2742" w:rsidR="00194971" w:rsidRPr="00603AF4" w:rsidRDefault="00194971" w:rsidP="0078201B">
      <w:pPr>
        <w:jc w:val="both"/>
        <w:rPr>
          <w:rFonts w:ascii="Arial" w:hAnsi="Arial" w:cs="Arial"/>
          <w:szCs w:val="24"/>
        </w:rPr>
      </w:pPr>
      <w:r w:rsidRPr="00603AF4">
        <w:rPr>
          <w:rFonts w:ascii="Arial" w:hAnsi="Arial" w:cs="Arial"/>
          <w:szCs w:val="24"/>
        </w:rPr>
        <w:t xml:space="preserve">The Act replaces the </w:t>
      </w:r>
      <w:r w:rsidRPr="00603AF4">
        <w:rPr>
          <w:rFonts w:ascii="Arial" w:hAnsi="Arial" w:cs="Arial"/>
          <w:i/>
          <w:szCs w:val="24"/>
        </w:rPr>
        <w:t>Disability Services Act 1986</w:t>
      </w:r>
      <w:r w:rsidRPr="00603AF4">
        <w:rPr>
          <w:rFonts w:ascii="Arial" w:hAnsi="Arial" w:cs="Arial"/>
          <w:szCs w:val="24"/>
        </w:rPr>
        <w:t xml:space="preserve"> (the DS Act). </w:t>
      </w:r>
      <w:r w:rsidR="0031666F" w:rsidRPr="00603AF4">
        <w:rPr>
          <w:rFonts w:ascii="Arial" w:hAnsi="Arial" w:cs="Arial"/>
          <w:szCs w:val="24"/>
        </w:rPr>
        <w:t>One of the</w:t>
      </w:r>
      <w:r w:rsidRPr="00603AF4">
        <w:rPr>
          <w:rFonts w:ascii="Arial" w:hAnsi="Arial" w:cs="Arial"/>
          <w:szCs w:val="24"/>
        </w:rPr>
        <w:t xml:space="preserve"> key driver</w:t>
      </w:r>
      <w:r w:rsidR="0031666F" w:rsidRPr="00603AF4">
        <w:rPr>
          <w:rFonts w:ascii="Arial" w:hAnsi="Arial" w:cs="Arial"/>
          <w:szCs w:val="24"/>
        </w:rPr>
        <w:t>s</w:t>
      </w:r>
      <w:r w:rsidRPr="00603AF4">
        <w:rPr>
          <w:rFonts w:ascii="Arial" w:hAnsi="Arial" w:cs="Arial"/>
          <w:szCs w:val="24"/>
        </w:rPr>
        <w:t xml:space="preserve"> for replacing the DS Act was to establish a more consistent approach</w:t>
      </w:r>
      <w:r w:rsidR="00793BE2" w:rsidRPr="00603AF4">
        <w:rPr>
          <w:rFonts w:ascii="Arial" w:hAnsi="Arial" w:cs="Arial"/>
          <w:szCs w:val="24"/>
        </w:rPr>
        <w:t xml:space="preserve"> to</w:t>
      </w:r>
      <w:r w:rsidRPr="00603AF4">
        <w:rPr>
          <w:rFonts w:ascii="Arial" w:hAnsi="Arial" w:cs="Arial"/>
          <w:szCs w:val="24"/>
        </w:rPr>
        <w:t xml:space="preserve"> regulation and safeguarding in relation to Commonwealth funded disability services outside of the N</w:t>
      </w:r>
      <w:r w:rsidR="00E850BC" w:rsidRPr="00603AF4">
        <w:rPr>
          <w:rFonts w:ascii="Arial" w:hAnsi="Arial" w:cs="Arial"/>
          <w:szCs w:val="24"/>
        </w:rPr>
        <w:t xml:space="preserve">ational </w:t>
      </w:r>
      <w:r w:rsidRPr="00603AF4">
        <w:rPr>
          <w:rFonts w:ascii="Arial" w:hAnsi="Arial" w:cs="Arial"/>
          <w:szCs w:val="24"/>
        </w:rPr>
        <w:t>D</w:t>
      </w:r>
      <w:r w:rsidR="00E850BC" w:rsidRPr="00603AF4">
        <w:rPr>
          <w:rFonts w:ascii="Arial" w:hAnsi="Arial" w:cs="Arial"/>
          <w:szCs w:val="24"/>
        </w:rPr>
        <w:t xml:space="preserve">isability </w:t>
      </w:r>
      <w:r w:rsidRPr="00603AF4">
        <w:rPr>
          <w:rFonts w:ascii="Arial" w:hAnsi="Arial" w:cs="Arial"/>
          <w:szCs w:val="24"/>
        </w:rPr>
        <w:t>I</w:t>
      </w:r>
      <w:r w:rsidR="00E850BC" w:rsidRPr="00603AF4">
        <w:rPr>
          <w:rFonts w:ascii="Arial" w:hAnsi="Arial" w:cs="Arial"/>
          <w:szCs w:val="24"/>
        </w:rPr>
        <w:t xml:space="preserve">nsurance </w:t>
      </w:r>
      <w:r w:rsidRPr="00603AF4">
        <w:rPr>
          <w:rFonts w:ascii="Arial" w:hAnsi="Arial" w:cs="Arial"/>
          <w:szCs w:val="24"/>
        </w:rPr>
        <w:t>S</w:t>
      </w:r>
      <w:r w:rsidR="00E850BC" w:rsidRPr="00603AF4">
        <w:rPr>
          <w:rFonts w:ascii="Arial" w:hAnsi="Arial" w:cs="Arial"/>
          <w:szCs w:val="24"/>
        </w:rPr>
        <w:t>cheme (NDIS)</w:t>
      </w:r>
      <w:r w:rsidRPr="00603AF4">
        <w:rPr>
          <w:rFonts w:ascii="Arial" w:hAnsi="Arial" w:cs="Arial"/>
          <w:szCs w:val="24"/>
        </w:rPr>
        <w:t>. The intent is also to reduce unnecessary regulatory burden on providers of disability related supports and services.</w:t>
      </w:r>
    </w:p>
    <w:p w14:paraId="3A9D414B" w14:textId="312FC3EE" w:rsidR="00194971" w:rsidRPr="00603AF4" w:rsidRDefault="00CC55F4" w:rsidP="00194971">
      <w:pPr>
        <w:jc w:val="both"/>
        <w:rPr>
          <w:rFonts w:ascii="Arial" w:hAnsi="Arial" w:cs="Arial"/>
          <w:szCs w:val="24"/>
        </w:rPr>
      </w:pPr>
      <w:r w:rsidRPr="00603AF4">
        <w:rPr>
          <w:rFonts w:ascii="Arial" w:hAnsi="Arial" w:cs="Arial"/>
          <w:szCs w:val="24"/>
        </w:rPr>
        <w:t xml:space="preserve">While some of </w:t>
      </w:r>
      <w:r w:rsidR="00AA0935" w:rsidRPr="00603AF4">
        <w:rPr>
          <w:rFonts w:ascii="Arial" w:hAnsi="Arial" w:cs="Arial"/>
          <w:szCs w:val="24"/>
        </w:rPr>
        <w:t xml:space="preserve">the </w:t>
      </w:r>
      <w:r w:rsidRPr="00603AF4">
        <w:rPr>
          <w:rFonts w:ascii="Arial" w:hAnsi="Arial" w:cs="Arial"/>
          <w:szCs w:val="24"/>
        </w:rPr>
        <w:t>eligible activities may be very low risk and involve little to no direct contact with people with disability, other activities</w:t>
      </w:r>
      <w:r w:rsidR="00640057" w:rsidRPr="00603AF4">
        <w:rPr>
          <w:rFonts w:ascii="Arial" w:hAnsi="Arial" w:cs="Arial"/>
          <w:szCs w:val="24"/>
        </w:rPr>
        <w:t xml:space="preserve"> may be higher risk and more complex</w:t>
      </w:r>
      <w:r w:rsidRPr="00603AF4">
        <w:rPr>
          <w:rFonts w:ascii="Arial" w:hAnsi="Arial" w:cs="Arial"/>
          <w:szCs w:val="24"/>
        </w:rPr>
        <w:t xml:space="preserve">. It is </w:t>
      </w:r>
      <w:r w:rsidR="003446C0" w:rsidRPr="00603AF4">
        <w:rPr>
          <w:rFonts w:ascii="Arial" w:hAnsi="Arial" w:cs="Arial"/>
          <w:szCs w:val="24"/>
        </w:rPr>
        <w:t>appropriate</w:t>
      </w:r>
      <w:r w:rsidRPr="00603AF4">
        <w:rPr>
          <w:rFonts w:ascii="Arial" w:hAnsi="Arial" w:cs="Arial"/>
          <w:szCs w:val="24"/>
        </w:rPr>
        <w:t xml:space="preserve"> for these higher</w:t>
      </w:r>
      <w:r w:rsidR="00640057" w:rsidRPr="00603AF4">
        <w:rPr>
          <w:rFonts w:ascii="Arial" w:hAnsi="Arial" w:cs="Arial"/>
          <w:szCs w:val="24"/>
        </w:rPr>
        <w:t xml:space="preserve"> </w:t>
      </w:r>
      <w:r w:rsidRPr="00603AF4">
        <w:rPr>
          <w:rFonts w:ascii="Arial" w:hAnsi="Arial" w:cs="Arial"/>
          <w:szCs w:val="24"/>
        </w:rPr>
        <w:t xml:space="preserve">risk activities </w:t>
      </w:r>
      <w:r w:rsidR="0031666F" w:rsidRPr="00603AF4">
        <w:rPr>
          <w:rFonts w:ascii="Arial" w:hAnsi="Arial" w:cs="Arial"/>
          <w:szCs w:val="24"/>
        </w:rPr>
        <w:t xml:space="preserve">to </w:t>
      </w:r>
      <w:r w:rsidRPr="00603AF4">
        <w:rPr>
          <w:rFonts w:ascii="Arial" w:hAnsi="Arial" w:cs="Arial"/>
          <w:szCs w:val="24"/>
        </w:rPr>
        <w:t xml:space="preserve">have a greater level of oversight and regulation. </w:t>
      </w:r>
      <w:r w:rsidR="00640057" w:rsidRPr="00603AF4">
        <w:rPr>
          <w:rFonts w:ascii="Arial" w:hAnsi="Arial" w:cs="Arial"/>
          <w:szCs w:val="24"/>
        </w:rPr>
        <w:t>I</w:t>
      </w:r>
      <w:r w:rsidRPr="00603AF4">
        <w:rPr>
          <w:rFonts w:ascii="Arial" w:hAnsi="Arial" w:cs="Arial"/>
          <w:szCs w:val="24"/>
        </w:rPr>
        <w:t>t would be unnecessarily burdensome, and could be prohibitive, if persons providing low</w:t>
      </w:r>
      <w:r w:rsidR="0031666F" w:rsidRPr="00603AF4">
        <w:rPr>
          <w:rFonts w:ascii="Arial" w:hAnsi="Arial" w:cs="Arial"/>
          <w:szCs w:val="24"/>
        </w:rPr>
        <w:t>er</w:t>
      </w:r>
      <w:r w:rsidRPr="00603AF4">
        <w:rPr>
          <w:rFonts w:ascii="Arial" w:hAnsi="Arial" w:cs="Arial"/>
          <w:szCs w:val="24"/>
        </w:rPr>
        <w:t xml:space="preserve"> risk activities are required to meet the same regulatory requirements.</w:t>
      </w:r>
      <w:r w:rsidR="00194971" w:rsidRPr="00603AF4">
        <w:rPr>
          <w:rFonts w:ascii="Arial" w:hAnsi="Arial" w:cs="Arial"/>
          <w:szCs w:val="24"/>
        </w:rPr>
        <w:t xml:space="preserve"> </w:t>
      </w:r>
    </w:p>
    <w:p w14:paraId="5974D795" w14:textId="3D925AE1" w:rsidR="003446C0" w:rsidRPr="00603AF4" w:rsidRDefault="003446C0" w:rsidP="0078201B">
      <w:pPr>
        <w:jc w:val="both"/>
        <w:rPr>
          <w:rFonts w:ascii="Arial" w:hAnsi="Arial" w:cs="Arial"/>
          <w:szCs w:val="24"/>
        </w:rPr>
      </w:pPr>
      <w:r w:rsidRPr="00603AF4">
        <w:rPr>
          <w:rFonts w:ascii="Arial" w:hAnsi="Arial" w:cs="Arial"/>
          <w:szCs w:val="24"/>
        </w:rPr>
        <w:t>In developing a new activity, the relative risks and complexity of the supports and services</w:t>
      </w:r>
      <w:r w:rsidR="0031666F" w:rsidRPr="00603AF4">
        <w:rPr>
          <w:rFonts w:ascii="Arial" w:hAnsi="Arial" w:cs="Arial"/>
          <w:szCs w:val="24"/>
        </w:rPr>
        <w:t xml:space="preserve"> needs to be taken into consideration</w:t>
      </w:r>
      <w:r w:rsidRPr="00603AF4">
        <w:rPr>
          <w:rFonts w:ascii="Arial" w:hAnsi="Arial" w:cs="Arial"/>
          <w:szCs w:val="24"/>
        </w:rPr>
        <w:t>. A determination will then be made as to whether the activity fits within one of the kinds of activities that is a regulated activity. If it does, then the person is required to hold a certificate of compliance in relation to that activity, or to</w:t>
      </w:r>
      <w:r w:rsidR="0031666F" w:rsidRPr="00603AF4">
        <w:rPr>
          <w:rFonts w:ascii="Arial" w:hAnsi="Arial" w:cs="Arial"/>
          <w:szCs w:val="24"/>
        </w:rPr>
        <w:t xml:space="preserve"> be</w:t>
      </w:r>
      <w:r w:rsidRPr="00603AF4">
        <w:rPr>
          <w:rFonts w:ascii="Arial" w:hAnsi="Arial" w:cs="Arial"/>
          <w:szCs w:val="24"/>
        </w:rPr>
        <w:t xml:space="preserve"> covered by a determination under subsection 9(2) of the Act. </w:t>
      </w:r>
    </w:p>
    <w:p w14:paraId="68A00EF6" w14:textId="5FD8D4C2" w:rsidR="000B4130" w:rsidRPr="00603AF4" w:rsidRDefault="000B4130" w:rsidP="0078201B">
      <w:pPr>
        <w:jc w:val="both"/>
        <w:rPr>
          <w:rStyle w:val="BookTitle"/>
          <w:rFonts w:ascii="Arial" w:hAnsi="Arial" w:cs="Arial"/>
          <w:b/>
          <w:i w:val="0"/>
          <w:iCs w:val="0"/>
          <w:smallCaps w:val="0"/>
          <w:spacing w:val="0"/>
          <w:szCs w:val="24"/>
        </w:rPr>
      </w:pPr>
      <w:r w:rsidRPr="00603AF4">
        <w:rPr>
          <w:rStyle w:val="BookTitle"/>
          <w:rFonts w:ascii="Arial" w:hAnsi="Arial" w:cs="Arial"/>
          <w:b/>
          <w:i w:val="0"/>
          <w:iCs w:val="0"/>
          <w:smallCaps w:val="0"/>
          <w:spacing w:val="0"/>
          <w:szCs w:val="24"/>
        </w:rPr>
        <w:t>Commencement</w:t>
      </w:r>
    </w:p>
    <w:p w14:paraId="60D5C8B9" w14:textId="77777777" w:rsidR="00CC55F4" w:rsidRPr="00603AF4" w:rsidRDefault="00CC55F4" w:rsidP="00CC55F4">
      <w:pPr>
        <w:jc w:val="both"/>
        <w:rPr>
          <w:rStyle w:val="BookTitle"/>
          <w:rFonts w:ascii="Arial" w:hAnsi="Arial" w:cs="Arial"/>
          <w:i w:val="0"/>
          <w:iCs w:val="0"/>
          <w:smallCaps w:val="0"/>
          <w:spacing w:val="0"/>
          <w:szCs w:val="24"/>
        </w:rPr>
      </w:pPr>
      <w:r w:rsidRPr="00603AF4">
        <w:rPr>
          <w:rStyle w:val="BookTitle"/>
          <w:rFonts w:ascii="Arial" w:hAnsi="Arial" w:cs="Arial"/>
          <w:i w:val="0"/>
          <w:iCs w:val="0"/>
          <w:smallCaps w:val="0"/>
          <w:spacing w:val="0"/>
          <w:szCs w:val="24"/>
        </w:rPr>
        <w:t>The instrument commences on the later of the day on which the Act commences and the day after this instrument is registered.</w:t>
      </w:r>
    </w:p>
    <w:p w14:paraId="5F6AF48B" w14:textId="41409774" w:rsidR="000004B9" w:rsidRPr="00603AF4" w:rsidRDefault="00CC55F4" w:rsidP="00CC55F4">
      <w:pPr>
        <w:jc w:val="both"/>
        <w:rPr>
          <w:rFonts w:ascii="Arial" w:hAnsi="Arial" w:cs="Arial"/>
          <w:szCs w:val="24"/>
        </w:rPr>
      </w:pPr>
      <w:r w:rsidRPr="00603AF4">
        <w:rPr>
          <w:rStyle w:val="BookTitle"/>
          <w:rFonts w:ascii="Arial" w:hAnsi="Arial" w:cs="Arial"/>
          <w:i w:val="0"/>
          <w:iCs w:val="0"/>
          <w:smallCaps w:val="0"/>
          <w:spacing w:val="0"/>
          <w:szCs w:val="24"/>
        </w:rPr>
        <w:t xml:space="preserve">The instrument is made in reliance on subsection 4(2) of the </w:t>
      </w:r>
      <w:r w:rsidRPr="00603AF4">
        <w:rPr>
          <w:rStyle w:val="BookTitle"/>
          <w:rFonts w:ascii="Arial" w:hAnsi="Arial" w:cs="Arial"/>
          <w:iCs w:val="0"/>
          <w:smallCaps w:val="0"/>
          <w:spacing w:val="0"/>
          <w:szCs w:val="24"/>
        </w:rPr>
        <w:t>Acts Interpretation Act 1901</w:t>
      </w:r>
      <w:r w:rsidRPr="00603AF4">
        <w:rPr>
          <w:rStyle w:val="BookTitle"/>
          <w:rFonts w:ascii="Arial" w:hAnsi="Arial" w:cs="Arial"/>
          <w:i w:val="0"/>
          <w:iCs w:val="0"/>
          <w:smallCaps w:val="0"/>
          <w:spacing w:val="0"/>
          <w:szCs w:val="24"/>
        </w:rPr>
        <w:t>, which allows for the exercise of a power following enactment but before the commencement of an Act.</w:t>
      </w:r>
    </w:p>
    <w:p w14:paraId="25345808" w14:textId="77777777" w:rsidR="00B57F0C" w:rsidRPr="00603AF4" w:rsidRDefault="00B57F0C" w:rsidP="0078201B">
      <w:pPr>
        <w:keepNext/>
        <w:jc w:val="both"/>
        <w:rPr>
          <w:rStyle w:val="BookTitle"/>
          <w:rFonts w:ascii="Arial" w:hAnsi="Arial" w:cs="Arial"/>
          <w:b/>
          <w:i w:val="0"/>
          <w:iCs w:val="0"/>
          <w:smallCaps w:val="0"/>
          <w:spacing w:val="0"/>
          <w:szCs w:val="24"/>
        </w:rPr>
      </w:pPr>
      <w:r w:rsidRPr="00603AF4">
        <w:rPr>
          <w:rStyle w:val="BookTitle"/>
          <w:rFonts w:ascii="Arial" w:hAnsi="Arial" w:cs="Arial"/>
          <w:b/>
          <w:i w:val="0"/>
          <w:iCs w:val="0"/>
          <w:smallCaps w:val="0"/>
          <w:spacing w:val="0"/>
          <w:szCs w:val="24"/>
        </w:rPr>
        <w:lastRenderedPageBreak/>
        <w:t>Consultation</w:t>
      </w:r>
    </w:p>
    <w:p w14:paraId="349C724C" w14:textId="6403A9CB" w:rsidR="00797EA4" w:rsidRPr="00603AF4" w:rsidRDefault="00797EA4" w:rsidP="00797EA4">
      <w:pPr>
        <w:rPr>
          <w:rFonts w:ascii="Arial" w:hAnsi="Arial" w:cs="Arial"/>
          <w:szCs w:val="24"/>
        </w:rPr>
      </w:pPr>
      <w:r w:rsidRPr="00603AF4">
        <w:rPr>
          <w:rFonts w:ascii="Arial" w:hAnsi="Arial" w:cs="Arial"/>
          <w:szCs w:val="24"/>
        </w:rPr>
        <w:t xml:space="preserve">The instrument </w:t>
      </w:r>
      <w:r w:rsidR="00AA0935" w:rsidRPr="00603AF4">
        <w:rPr>
          <w:rFonts w:ascii="Arial" w:hAnsi="Arial" w:cs="Arial"/>
          <w:szCs w:val="24"/>
        </w:rPr>
        <w:t>was</w:t>
      </w:r>
      <w:r w:rsidRPr="00603AF4">
        <w:rPr>
          <w:rFonts w:ascii="Arial" w:hAnsi="Arial" w:cs="Arial"/>
          <w:szCs w:val="24"/>
        </w:rPr>
        <w:t xml:space="preserve"> circulated to Disability Representative Organisations along with all service providers who are currently funded by the department to provide disability services and supports outside the NDIS for input. The Australian Services Union </w:t>
      </w:r>
      <w:r w:rsidR="00AA0935" w:rsidRPr="00603AF4">
        <w:rPr>
          <w:rFonts w:ascii="Arial" w:hAnsi="Arial" w:cs="Arial"/>
          <w:szCs w:val="24"/>
        </w:rPr>
        <w:t xml:space="preserve">was </w:t>
      </w:r>
      <w:r w:rsidRPr="00603AF4">
        <w:rPr>
          <w:rFonts w:ascii="Arial" w:hAnsi="Arial" w:cs="Arial"/>
          <w:szCs w:val="24"/>
        </w:rPr>
        <w:t xml:space="preserve">also </w:t>
      </w:r>
      <w:r w:rsidR="00E850BC" w:rsidRPr="00603AF4">
        <w:rPr>
          <w:rFonts w:ascii="Arial" w:hAnsi="Arial" w:cs="Arial"/>
          <w:szCs w:val="24"/>
        </w:rPr>
        <w:t>consulted</w:t>
      </w:r>
      <w:r w:rsidRPr="00603AF4">
        <w:rPr>
          <w:rFonts w:ascii="Arial" w:hAnsi="Arial" w:cs="Arial"/>
          <w:szCs w:val="24"/>
        </w:rPr>
        <w:t xml:space="preserve">. The combined feedback from this consultation </w:t>
      </w:r>
      <w:r w:rsidR="00AA0935" w:rsidRPr="00603AF4">
        <w:rPr>
          <w:rFonts w:ascii="Arial" w:hAnsi="Arial" w:cs="Arial"/>
          <w:szCs w:val="24"/>
        </w:rPr>
        <w:t>was</w:t>
      </w:r>
      <w:r w:rsidRPr="00603AF4">
        <w:rPr>
          <w:rFonts w:ascii="Arial" w:hAnsi="Arial" w:cs="Arial"/>
          <w:szCs w:val="24"/>
        </w:rPr>
        <w:t xml:space="preserve"> considered for the final version of the instrument. </w:t>
      </w:r>
    </w:p>
    <w:p w14:paraId="6955A7B5" w14:textId="51C57CA3" w:rsidR="00DE52CE" w:rsidRPr="00603AF4" w:rsidRDefault="00797EA4" w:rsidP="004F6F67">
      <w:pPr>
        <w:spacing w:after="240"/>
        <w:jc w:val="both"/>
        <w:rPr>
          <w:rFonts w:ascii="Arial" w:hAnsi="Arial" w:cs="Arial"/>
          <w:szCs w:val="24"/>
        </w:rPr>
      </w:pPr>
      <w:r w:rsidRPr="00603AF4">
        <w:rPr>
          <w:rFonts w:ascii="Arial" w:hAnsi="Arial" w:cs="Arial"/>
          <w:szCs w:val="24"/>
        </w:rPr>
        <w:t>The department will continue to work and engage with stakeholders in relation to individual programs so that they deliver the intended outcomes for people with disability into the future.</w:t>
      </w:r>
    </w:p>
    <w:p w14:paraId="47B51218" w14:textId="15A801B1" w:rsidR="004F6F67" w:rsidRPr="00603AF4" w:rsidRDefault="004F6F67" w:rsidP="004F6F67">
      <w:pPr>
        <w:spacing w:after="240"/>
        <w:jc w:val="both"/>
        <w:rPr>
          <w:rFonts w:ascii="Arial" w:hAnsi="Arial" w:cs="Arial"/>
          <w:b/>
          <w:szCs w:val="24"/>
        </w:rPr>
      </w:pPr>
      <w:r w:rsidRPr="00603AF4">
        <w:rPr>
          <w:rFonts w:ascii="Arial" w:hAnsi="Arial" w:cs="Arial"/>
          <w:b/>
          <w:szCs w:val="24"/>
        </w:rPr>
        <w:t>Regulation Impact Analysis (RIA)</w:t>
      </w:r>
    </w:p>
    <w:p w14:paraId="4C626754" w14:textId="428886BF" w:rsidR="00DE52CE" w:rsidRPr="00603AF4" w:rsidRDefault="004F6F67" w:rsidP="008C2CB4">
      <w:pPr>
        <w:spacing w:before="120"/>
        <w:rPr>
          <w:rStyle w:val="BookTitle"/>
          <w:rFonts w:ascii="Arial" w:hAnsi="Arial" w:cs="Arial"/>
          <w:i w:val="0"/>
          <w:iCs w:val="0"/>
          <w:smallCaps w:val="0"/>
          <w:spacing w:val="0"/>
          <w:szCs w:val="24"/>
        </w:rPr>
      </w:pPr>
      <w:r w:rsidRPr="00603AF4">
        <w:rPr>
          <w:rFonts w:ascii="Arial" w:hAnsi="Arial" w:cs="Arial"/>
          <w:szCs w:val="24"/>
        </w:rPr>
        <w:t>A RIA is not required for this instrument (OIA23-05099).</w:t>
      </w:r>
    </w:p>
    <w:p w14:paraId="3EE55525" w14:textId="34556DCF" w:rsidR="00504FE7" w:rsidRPr="00603AF4" w:rsidRDefault="006A6D51" w:rsidP="0078201B">
      <w:pPr>
        <w:jc w:val="both"/>
        <w:rPr>
          <w:rFonts w:ascii="Arial" w:hAnsi="Arial" w:cs="Arial"/>
          <w:b/>
          <w:szCs w:val="24"/>
        </w:rPr>
      </w:pPr>
      <w:r w:rsidRPr="00603AF4">
        <w:rPr>
          <w:rStyle w:val="BookTitle"/>
          <w:rFonts w:ascii="Arial" w:hAnsi="Arial" w:cs="Arial"/>
          <w:b/>
          <w:i w:val="0"/>
          <w:iCs w:val="0"/>
          <w:smallCaps w:val="0"/>
          <w:spacing w:val="0"/>
          <w:szCs w:val="24"/>
        </w:rPr>
        <w:t>Explanation of the provisions</w:t>
      </w:r>
    </w:p>
    <w:p w14:paraId="7F004CCC" w14:textId="77777777" w:rsidR="00504FE7" w:rsidRPr="00603AF4" w:rsidRDefault="00504FE7" w:rsidP="0078201B">
      <w:pPr>
        <w:jc w:val="both"/>
        <w:rPr>
          <w:rFonts w:ascii="Arial" w:hAnsi="Arial" w:cs="Arial"/>
          <w:b/>
          <w:szCs w:val="24"/>
          <w:u w:val="single"/>
        </w:rPr>
      </w:pPr>
      <w:r w:rsidRPr="00603AF4">
        <w:rPr>
          <w:rFonts w:ascii="Arial" w:hAnsi="Arial" w:cs="Arial"/>
          <w:b/>
          <w:szCs w:val="24"/>
          <w:u w:val="single"/>
        </w:rPr>
        <w:t>Part 1 - Preliminary</w:t>
      </w:r>
    </w:p>
    <w:p w14:paraId="0771E7A5" w14:textId="24C417DA" w:rsidR="00596729" w:rsidRPr="00603AF4" w:rsidRDefault="00596729" w:rsidP="0078201B">
      <w:pPr>
        <w:jc w:val="both"/>
        <w:rPr>
          <w:rFonts w:ascii="Arial" w:hAnsi="Arial" w:cs="Arial"/>
          <w:szCs w:val="24"/>
        </w:rPr>
      </w:pPr>
      <w:r w:rsidRPr="00603AF4">
        <w:rPr>
          <w:rFonts w:ascii="Arial" w:hAnsi="Arial" w:cs="Arial"/>
          <w:b/>
          <w:szCs w:val="24"/>
        </w:rPr>
        <w:t xml:space="preserve">Section 1 – Name </w:t>
      </w:r>
    </w:p>
    <w:p w14:paraId="498F1E94" w14:textId="397B4EC2" w:rsidR="0049522A" w:rsidRPr="00603AF4" w:rsidRDefault="0049522A" w:rsidP="0078201B">
      <w:pPr>
        <w:jc w:val="both"/>
        <w:rPr>
          <w:rFonts w:ascii="Arial" w:hAnsi="Arial" w:cs="Arial"/>
          <w:szCs w:val="24"/>
        </w:rPr>
      </w:pPr>
      <w:r w:rsidRPr="00603AF4">
        <w:rPr>
          <w:rFonts w:ascii="Arial" w:hAnsi="Arial" w:cs="Arial"/>
          <w:szCs w:val="24"/>
        </w:rPr>
        <w:t>Section 1</w:t>
      </w:r>
      <w:r w:rsidRPr="00603AF4">
        <w:rPr>
          <w:rFonts w:ascii="Arial" w:hAnsi="Arial" w:cs="Arial"/>
          <w:b/>
          <w:szCs w:val="24"/>
        </w:rPr>
        <w:t xml:space="preserve"> </w:t>
      </w:r>
      <w:r w:rsidR="005E6272" w:rsidRPr="00603AF4">
        <w:rPr>
          <w:rFonts w:ascii="Arial" w:hAnsi="Arial" w:cs="Arial"/>
          <w:szCs w:val="24"/>
        </w:rPr>
        <w:t>provides</w:t>
      </w:r>
      <w:r w:rsidR="00504FE7" w:rsidRPr="00603AF4">
        <w:rPr>
          <w:rFonts w:ascii="Arial" w:hAnsi="Arial" w:cs="Arial"/>
          <w:szCs w:val="24"/>
        </w:rPr>
        <w:t xml:space="preserve"> </w:t>
      </w:r>
      <w:r w:rsidR="00596729" w:rsidRPr="00603AF4">
        <w:rPr>
          <w:rFonts w:ascii="Arial" w:hAnsi="Arial" w:cs="Arial"/>
          <w:szCs w:val="24"/>
        </w:rPr>
        <w:t>that the title of the</w:t>
      </w:r>
      <w:r w:rsidR="00504FE7" w:rsidRPr="00603AF4">
        <w:rPr>
          <w:rFonts w:ascii="Arial" w:hAnsi="Arial" w:cs="Arial"/>
          <w:szCs w:val="24"/>
        </w:rPr>
        <w:t xml:space="preserve"> instrument</w:t>
      </w:r>
      <w:r w:rsidRPr="00603AF4">
        <w:rPr>
          <w:rFonts w:ascii="Arial" w:hAnsi="Arial" w:cs="Arial"/>
          <w:szCs w:val="24"/>
        </w:rPr>
        <w:t xml:space="preserve"> </w:t>
      </w:r>
      <w:r w:rsidR="00596729" w:rsidRPr="00603AF4">
        <w:rPr>
          <w:rFonts w:ascii="Arial" w:hAnsi="Arial" w:cs="Arial"/>
          <w:szCs w:val="24"/>
        </w:rPr>
        <w:t xml:space="preserve">is </w:t>
      </w:r>
      <w:r w:rsidRPr="00603AF4">
        <w:rPr>
          <w:rFonts w:ascii="Arial" w:hAnsi="Arial" w:cs="Arial"/>
          <w:szCs w:val="24"/>
        </w:rPr>
        <w:t xml:space="preserve">the </w:t>
      </w:r>
      <w:r w:rsidR="00504FE7" w:rsidRPr="00603AF4">
        <w:rPr>
          <w:rFonts w:ascii="Arial" w:hAnsi="Arial" w:cs="Arial"/>
          <w:i/>
          <w:szCs w:val="24"/>
        </w:rPr>
        <w:t xml:space="preserve">Disability </w:t>
      </w:r>
      <w:r w:rsidR="005E6272" w:rsidRPr="00603AF4">
        <w:rPr>
          <w:rFonts w:ascii="Arial" w:hAnsi="Arial" w:cs="Arial"/>
          <w:i/>
          <w:szCs w:val="24"/>
        </w:rPr>
        <w:t>Services and I</w:t>
      </w:r>
      <w:r w:rsidR="00223E7A" w:rsidRPr="00603AF4">
        <w:rPr>
          <w:rFonts w:ascii="Arial" w:hAnsi="Arial" w:cs="Arial"/>
          <w:i/>
          <w:szCs w:val="24"/>
        </w:rPr>
        <w:t>nclusion (Regulated Activities) Determination</w:t>
      </w:r>
      <w:r w:rsidR="005E6272" w:rsidRPr="00603AF4">
        <w:rPr>
          <w:rFonts w:ascii="Arial" w:hAnsi="Arial" w:cs="Arial"/>
          <w:i/>
          <w:szCs w:val="24"/>
        </w:rPr>
        <w:t xml:space="preserve"> 2023</w:t>
      </w:r>
      <w:r w:rsidR="005E6272" w:rsidRPr="00603AF4">
        <w:rPr>
          <w:rFonts w:ascii="Arial" w:hAnsi="Arial" w:cs="Arial"/>
          <w:szCs w:val="24"/>
        </w:rPr>
        <w:t>.</w:t>
      </w:r>
    </w:p>
    <w:p w14:paraId="33DF82C2" w14:textId="3B34D5F1" w:rsidR="00596729" w:rsidRPr="00603AF4" w:rsidRDefault="00596729" w:rsidP="0078201B">
      <w:pPr>
        <w:jc w:val="both"/>
        <w:rPr>
          <w:rFonts w:ascii="Arial" w:hAnsi="Arial" w:cs="Arial"/>
          <w:b/>
          <w:bCs/>
          <w:szCs w:val="24"/>
        </w:rPr>
      </w:pPr>
      <w:r w:rsidRPr="00603AF4">
        <w:rPr>
          <w:rFonts w:ascii="Arial" w:hAnsi="Arial" w:cs="Arial"/>
          <w:b/>
          <w:bCs/>
          <w:szCs w:val="24"/>
        </w:rPr>
        <w:t xml:space="preserve">Section 2 – Commencement </w:t>
      </w:r>
    </w:p>
    <w:p w14:paraId="5D39160F" w14:textId="77777777" w:rsidR="00596729" w:rsidRPr="00603AF4" w:rsidRDefault="0049522A" w:rsidP="0078201B">
      <w:pPr>
        <w:jc w:val="both"/>
        <w:rPr>
          <w:rFonts w:ascii="Arial" w:hAnsi="Arial" w:cs="Arial"/>
          <w:szCs w:val="24"/>
        </w:rPr>
      </w:pPr>
      <w:r w:rsidRPr="00603AF4">
        <w:rPr>
          <w:rFonts w:ascii="Arial" w:hAnsi="Arial" w:cs="Arial"/>
          <w:szCs w:val="24"/>
        </w:rPr>
        <w:t>Section 2</w:t>
      </w:r>
      <w:r w:rsidRPr="00603AF4">
        <w:rPr>
          <w:rFonts w:ascii="Arial" w:hAnsi="Arial" w:cs="Arial"/>
          <w:b/>
          <w:szCs w:val="24"/>
        </w:rPr>
        <w:t xml:space="preserve"> </w:t>
      </w:r>
      <w:r w:rsidR="005E6272" w:rsidRPr="00603AF4">
        <w:rPr>
          <w:rFonts w:ascii="Arial" w:hAnsi="Arial" w:cs="Arial"/>
          <w:szCs w:val="24"/>
        </w:rPr>
        <w:t>provides that</w:t>
      </w:r>
      <w:r w:rsidRPr="00603AF4">
        <w:rPr>
          <w:rFonts w:ascii="Arial" w:hAnsi="Arial" w:cs="Arial"/>
          <w:szCs w:val="24"/>
        </w:rPr>
        <w:t xml:space="preserve"> the </w:t>
      </w:r>
      <w:r w:rsidR="005E6272" w:rsidRPr="00603AF4">
        <w:rPr>
          <w:rFonts w:ascii="Arial" w:hAnsi="Arial" w:cs="Arial"/>
          <w:szCs w:val="24"/>
        </w:rPr>
        <w:t>instrument</w:t>
      </w:r>
      <w:r w:rsidRPr="00603AF4">
        <w:rPr>
          <w:rFonts w:ascii="Arial" w:hAnsi="Arial" w:cs="Arial"/>
          <w:szCs w:val="24"/>
        </w:rPr>
        <w:t xml:space="preserve"> commence</w:t>
      </w:r>
      <w:r w:rsidR="005E6272" w:rsidRPr="00603AF4">
        <w:rPr>
          <w:rFonts w:ascii="Arial" w:hAnsi="Arial" w:cs="Arial"/>
          <w:szCs w:val="24"/>
        </w:rPr>
        <w:t>s</w:t>
      </w:r>
      <w:r w:rsidRPr="00603AF4">
        <w:rPr>
          <w:rFonts w:ascii="Arial" w:hAnsi="Arial" w:cs="Arial"/>
          <w:szCs w:val="24"/>
        </w:rPr>
        <w:t xml:space="preserve"> on </w:t>
      </w:r>
      <w:r w:rsidR="0018738B" w:rsidRPr="00603AF4">
        <w:rPr>
          <w:rFonts w:ascii="Arial" w:hAnsi="Arial" w:cs="Arial"/>
          <w:szCs w:val="24"/>
        </w:rPr>
        <w:t>the later of</w:t>
      </w:r>
      <w:r w:rsidR="00596729" w:rsidRPr="00603AF4">
        <w:rPr>
          <w:rFonts w:ascii="Arial" w:hAnsi="Arial" w:cs="Arial"/>
          <w:szCs w:val="24"/>
        </w:rPr>
        <w:t>:</w:t>
      </w:r>
    </w:p>
    <w:p w14:paraId="4A383897" w14:textId="4A893308" w:rsidR="00596729" w:rsidRPr="00603AF4" w:rsidRDefault="0018738B" w:rsidP="004379B4">
      <w:pPr>
        <w:pStyle w:val="ListParagraph"/>
        <w:numPr>
          <w:ilvl w:val="0"/>
          <w:numId w:val="20"/>
        </w:numPr>
        <w:jc w:val="both"/>
        <w:rPr>
          <w:rFonts w:ascii="Arial" w:hAnsi="Arial" w:cs="Arial"/>
          <w:szCs w:val="24"/>
        </w:rPr>
      </w:pPr>
      <w:r w:rsidRPr="00603AF4">
        <w:rPr>
          <w:rFonts w:ascii="Arial" w:hAnsi="Arial" w:cs="Arial"/>
          <w:szCs w:val="24"/>
        </w:rPr>
        <w:t xml:space="preserve">the day on which the Act commences </w:t>
      </w:r>
    </w:p>
    <w:p w14:paraId="61CA75A1" w14:textId="0C77897C" w:rsidR="00596729" w:rsidRPr="00603AF4" w:rsidRDefault="0018738B" w:rsidP="004379B4">
      <w:pPr>
        <w:pStyle w:val="ListParagraph"/>
        <w:numPr>
          <w:ilvl w:val="0"/>
          <w:numId w:val="20"/>
        </w:numPr>
        <w:jc w:val="both"/>
        <w:rPr>
          <w:rFonts w:ascii="Arial" w:hAnsi="Arial" w:cs="Arial"/>
          <w:szCs w:val="24"/>
        </w:rPr>
      </w:pPr>
      <w:r w:rsidRPr="00603AF4">
        <w:rPr>
          <w:rFonts w:ascii="Arial" w:hAnsi="Arial" w:cs="Arial"/>
          <w:szCs w:val="24"/>
        </w:rPr>
        <w:t xml:space="preserve">the day after this instrument is registered. </w:t>
      </w:r>
    </w:p>
    <w:p w14:paraId="5D4E4064" w14:textId="4BE982BF" w:rsidR="00C86B4D" w:rsidRPr="00603AF4" w:rsidRDefault="00C86B4D" w:rsidP="0078201B">
      <w:pPr>
        <w:jc w:val="both"/>
        <w:rPr>
          <w:rFonts w:ascii="Arial" w:hAnsi="Arial" w:cs="Arial"/>
          <w:szCs w:val="24"/>
        </w:rPr>
      </w:pPr>
      <w:r w:rsidRPr="00603AF4">
        <w:rPr>
          <w:rFonts w:ascii="Arial" w:hAnsi="Arial" w:cs="Arial"/>
          <w:szCs w:val="24"/>
        </w:rPr>
        <w:t>The Act commences 28 days after it receives the Royal Assent.</w:t>
      </w:r>
    </w:p>
    <w:p w14:paraId="1294DFF9" w14:textId="60E209C6" w:rsidR="0049522A" w:rsidRPr="00603AF4" w:rsidRDefault="00596729" w:rsidP="0078201B">
      <w:pPr>
        <w:jc w:val="both"/>
        <w:rPr>
          <w:rFonts w:ascii="Arial" w:hAnsi="Arial" w:cs="Arial"/>
          <w:szCs w:val="24"/>
        </w:rPr>
      </w:pPr>
      <w:r w:rsidRPr="00603AF4">
        <w:rPr>
          <w:rFonts w:ascii="Arial" w:hAnsi="Arial" w:cs="Arial"/>
          <w:b/>
          <w:szCs w:val="24"/>
        </w:rPr>
        <w:t xml:space="preserve">Section 3 – Authority </w:t>
      </w:r>
    </w:p>
    <w:p w14:paraId="7460FC84" w14:textId="1DB28515" w:rsidR="0049522A" w:rsidRPr="00603AF4" w:rsidRDefault="0049522A" w:rsidP="0078201B">
      <w:pPr>
        <w:jc w:val="both"/>
        <w:rPr>
          <w:rFonts w:ascii="Arial" w:hAnsi="Arial" w:cs="Arial"/>
          <w:szCs w:val="24"/>
        </w:rPr>
      </w:pPr>
      <w:r w:rsidRPr="00603AF4">
        <w:rPr>
          <w:rFonts w:ascii="Arial" w:hAnsi="Arial" w:cs="Arial"/>
          <w:szCs w:val="24"/>
        </w:rPr>
        <w:t>Section 3</w:t>
      </w:r>
      <w:r w:rsidRPr="00603AF4">
        <w:rPr>
          <w:rFonts w:ascii="Arial" w:hAnsi="Arial" w:cs="Arial"/>
          <w:b/>
          <w:szCs w:val="24"/>
        </w:rPr>
        <w:t xml:space="preserve"> </w:t>
      </w:r>
      <w:r w:rsidR="005E6272" w:rsidRPr="00603AF4">
        <w:rPr>
          <w:rFonts w:ascii="Arial" w:hAnsi="Arial" w:cs="Arial"/>
          <w:szCs w:val="24"/>
        </w:rPr>
        <w:t>provides</w:t>
      </w:r>
      <w:r w:rsidRPr="00603AF4">
        <w:rPr>
          <w:rFonts w:ascii="Arial" w:hAnsi="Arial" w:cs="Arial"/>
          <w:szCs w:val="24"/>
        </w:rPr>
        <w:t xml:space="preserve"> </w:t>
      </w:r>
      <w:r w:rsidR="005F12BD" w:rsidRPr="00603AF4">
        <w:rPr>
          <w:rFonts w:ascii="Arial" w:hAnsi="Arial" w:cs="Arial"/>
          <w:szCs w:val="24"/>
        </w:rPr>
        <w:t>this</w:t>
      </w:r>
      <w:r w:rsidR="006646C7" w:rsidRPr="00603AF4">
        <w:rPr>
          <w:rFonts w:ascii="Arial" w:hAnsi="Arial" w:cs="Arial"/>
          <w:szCs w:val="24"/>
        </w:rPr>
        <w:t xml:space="preserve"> </w:t>
      </w:r>
      <w:r w:rsidRPr="00603AF4">
        <w:rPr>
          <w:rFonts w:ascii="Arial" w:hAnsi="Arial" w:cs="Arial"/>
          <w:szCs w:val="24"/>
        </w:rPr>
        <w:t>instrument is</w:t>
      </w:r>
      <w:r w:rsidR="005F12BD" w:rsidRPr="00603AF4">
        <w:rPr>
          <w:rFonts w:ascii="Arial" w:hAnsi="Arial" w:cs="Arial"/>
          <w:szCs w:val="24"/>
        </w:rPr>
        <w:t xml:space="preserve"> made under</w:t>
      </w:r>
      <w:r w:rsidRPr="00603AF4">
        <w:rPr>
          <w:rFonts w:ascii="Arial" w:hAnsi="Arial" w:cs="Arial"/>
          <w:szCs w:val="24"/>
        </w:rPr>
        <w:t xml:space="preserve"> </w:t>
      </w:r>
      <w:r w:rsidR="00A079CE" w:rsidRPr="00603AF4">
        <w:rPr>
          <w:rFonts w:ascii="Arial" w:hAnsi="Arial" w:cs="Arial"/>
          <w:szCs w:val="24"/>
        </w:rPr>
        <w:t xml:space="preserve">the </w:t>
      </w:r>
      <w:r w:rsidR="00F171F1" w:rsidRPr="00603AF4">
        <w:rPr>
          <w:rFonts w:ascii="Arial" w:hAnsi="Arial" w:cs="Arial"/>
          <w:i/>
          <w:szCs w:val="24"/>
        </w:rPr>
        <w:t>Disability Services and Inclusion Act 2023</w:t>
      </w:r>
      <w:r w:rsidR="00A079CE" w:rsidRPr="00603AF4">
        <w:rPr>
          <w:rFonts w:ascii="Arial" w:hAnsi="Arial" w:cs="Arial"/>
          <w:szCs w:val="24"/>
        </w:rPr>
        <w:t>.</w:t>
      </w:r>
      <w:r w:rsidR="005E6272" w:rsidRPr="00603AF4">
        <w:rPr>
          <w:rFonts w:ascii="Arial" w:hAnsi="Arial" w:cs="Arial"/>
          <w:szCs w:val="24"/>
        </w:rPr>
        <w:t xml:space="preserve"> </w:t>
      </w:r>
    </w:p>
    <w:p w14:paraId="1B6AFADF" w14:textId="1E656707" w:rsidR="00C86B4D" w:rsidRPr="00603AF4" w:rsidRDefault="00C86B4D" w:rsidP="0078201B">
      <w:pPr>
        <w:jc w:val="both"/>
        <w:rPr>
          <w:rFonts w:ascii="Arial" w:hAnsi="Arial" w:cs="Arial"/>
          <w:szCs w:val="24"/>
        </w:rPr>
      </w:pPr>
      <w:r w:rsidRPr="00603AF4">
        <w:rPr>
          <w:rFonts w:ascii="Arial" w:hAnsi="Arial" w:cs="Arial"/>
          <w:szCs w:val="24"/>
        </w:rPr>
        <w:t>Specifically, it is made under section 11 of the Act, allowing the Secretary to determine that a specified kind of eligible activity is a regulated activity.</w:t>
      </w:r>
    </w:p>
    <w:p w14:paraId="7497DAEA" w14:textId="705B1CD1" w:rsidR="00596729" w:rsidRPr="00603AF4" w:rsidRDefault="00596729" w:rsidP="0078201B">
      <w:pPr>
        <w:jc w:val="both"/>
        <w:rPr>
          <w:rFonts w:ascii="Arial" w:hAnsi="Arial" w:cs="Arial"/>
          <w:szCs w:val="24"/>
        </w:rPr>
      </w:pPr>
      <w:r w:rsidRPr="00603AF4">
        <w:rPr>
          <w:rFonts w:ascii="Arial" w:hAnsi="Arial" w:cs="Arial"/>
          <w:b/>
          <w:szCs w:val="24"/>
        </w:rPr>
        <w:t xml:space="preserve">Section 4 – Definitions </w:t>
      </w:r>
    </w:p>
    <w:p w14:paraId="5F0C665B" w14:textId="77777777" w:rsidR="00C86B4D" w:rsidRPr="00603AF4" w:rsidRDefault="0049522A" w:rsidP="0078201B">
      <w:pPr>
        <w:jc w:val="both"/>
        <w:rPr>
          <w:rFonts w:ascii="Arial" w:hAnsi="Arial" w:cs="Arial"/>
          <w:szCs w:val="24"/>
        </w:rPr>
      </w:pPr>
      <w:r w:rsidRPr="00603AF4">
        <w:rPr>
          <w:rFonts w:ascii="Arial" w:hAnsi="Arial" w:cs="Arial"/>
          <w:szCs w:val="24"/>
        </w:rPr>
        <w:t>Section 4</w:t>
      </w:r>
      <w:r w:rsidR="00A079CE" w:rsidRPr="00603AF4">
        <w:rPr>
          <w:rFonts w:ascii="Arial" w:hAnsi="Arial" w:cs="Arial"/>
          <w:szCs w:val="24"/>
        </w:rPr>
        <w:t xml:space="preserve"> </w:t>
      </w:r>
      <w:r w:rsidR="00C86B4D" w:rsidRPr="00603AF4">
        <w:rPr>
          <w:rFonts w:ascii="Arial" w:hAnsi="Arial" w:cs="Arial"/>
          <w:szCs w:val="24"/>
        </w:rPr>
        <w:t xml:space="preserve">sets out the definitions for terms used in the determination. </w:t>
      </w:r>
    </w:p>
    <w:p w14:paraId="75FA41C7" w14:textId="45DE0CA1" w:rsidR="00C86B4D" w:rsidRPr="00603AF4" w:rsidRDefault="00C86B4D" w:rsidP="0078201B">
      <w:pPr>
        <w:jc w:val="both"/>
        <w:rPr>
          <w:rFonts w:ascii="Arial" w:hAnsi="Arial" w:cs="Arial"/>
          <w:szCs w:val="24"/>
        </w:rPr>
      </w:pPr>
      <w:r w:rsidRPr="00603AF4">
        <w:rPr>
          <w:rFonts w:ascii="Arial" w:hAnsi="Arial" w:cs="Arial"/>
          <w:szCs w:val="24"/>
        </w:rPr>
        <w:t>A number of expressions used in the instrument are defined in the Act, including</w:t>
      </w:r>
      <w:r w:rsidR="00706218" w:rsidRPr="00603AF4">
        <w:rPr>
          <w:rFonts w:ascii="Arial" w:hAnsi="Arial" w:cs="Arial"/>
          <w:szCs w:val="24"/>
        </w:rPr>
        <w:t xml:space="preserve"> eligible activity.</w:t>
      </w:r>
    </w:p>
    <w:p w14:paraId="4FB3BEA2" w14:textId="0FA36AD5" w:rsidR="00596729" w:rsidRPr="00603AF4" w:rsidRDefault="00706218" w:rsidP="0078201B">
      <w:pPr>
        <w:jc w:val="both"/>
        <w:rPr>
          <w:rFonts w:ascii="Arial" w:hAnsi="Arial" w:cs="Arial"/>
          <w:szCs w:val="24"/>
        </w:rPr>
      </w:pPr>
      <w:r w:rsidRPr="00603AF4">
        <w:rPr>
          <w:rFonts w:ascii="Arial" w:hAnsi="Arial" w:cs="Arial"/>
          <w:szCs w:val="24"/>
        </w:rPr>
        <w:t xml:space="preserve">This section also provides that </w:t>
      </w:r>
      <w:r w:rsidR="006646C7" w:rsidRPr="00603AF4">
        <w:rPr>
          <w:rFonts w:ascii="Arial" w:hAnsi="Arial" w:cs="Arial"/>
          <w:szCs w:val="24"/>
        </w:rPr>
        <w:t xml:space="preserve">a reference to </w:t>
      </w:r>
      <w:r w:rsidR="006646C7" w:rsidRPr="00603AF4">
        <w:rPr>
          <w:rFonts w:ascii="Arial" w:hAnsi="Arial" w:cs="Arial"/>
          <w:b/>
          <w:i/>
          <w:szCs w:val="24"/>
        </w:rPr>
        <w:t>Act</w:t>
      </w:r>
      <w:r w:rsidR="006646C7" w:rsidRPr="00603AF4">
        <w:rPr>
          <w:rFonts w:ascii="Arial" w:hAnsi="Arial" w:cs="Arial"/>
          <w:szCs w:val="24"/>
        </w:rPr>
        <w:t xml:space="preserve"> means the </w:t>
      </w:r>
      <w:r w:rsidR="006646C7" w:rsidRPr="00603AF4">
        <w:rPr>
          <w:rFonts w:ascii="Arial" w:hAnsi="Arial" w:cs="Arial"/>
          <w:i/>
          <w:szCs w:val="24"/>
        </w:rPr>
        <w:t>Disability Services and Inclusion Act 2023</w:t>
      </w:r>
      <w:r w:rsidR="006646C7" w:rsidRPr="00603AF4">
        <w:rPr>
          <w:rFonts w:ascii="Arial" w:hAnsi="Arial" w:cs="Arial"/>
          <w:szCs w:val="24"/>
        </w:rPr>
        <w:t>.</w:t>
      </w:r>
    </w:p>
    <w:p w14:paraId="0B461E3C" w14:textId="77777777" w:rsidR="004D5D40" w:rsidRPr="00603AF4" w:rsidRDefault="004D5D40" w:rsidP="0078201B">
      <w:pPr>
        <w:jc w:val="both"/>
        <w:rPr>
          <w:rFonts w:ascii="Arial" w:hAnsi="Arial" w:cs="Arial"/>
          <w:szCs w:val="24"/>
        </w:rPr>
      </w:pPr>
    </w:p>
    <w:p w14:paraId="4F36F2CC" w14:textId="53A71526" w:rsidR="0049522A" w:rsidRPr="00603AF4" w:rsidRDefault="00596729" w:rsidP="0078201B">
      <w:pPr>
        <w:jc w:val="both"/>
        <w:rPr>
          <w:rFonts w:ascii="Arial" w:hAnsi="Arial" w:cs="Arial"/>
          <w:szCs w:val="24"/>
        </w:rPr>
      </w:pPr>
      <w:r w:rsidRPr="00603AF4">
        <w:rPr>
          <w:rFonts w:ascii="Arial" w:hAnsi="Arial" w:cs="Arial"/>
          <w:b/>
          <w:szCs w:val="24"/>
        </w:rPr>
        <w:lastRenderedPageBreak/>
        <w:t>Section 5 – Regulated activities</w:t>
      </w:r>
    </w:p>
    <w:p w14:paraId="3FA69A6B" w14:textId="4BE326CD" w:rsidR="0049522A" w:rsidRPr="00603AF4" w:rsidRDefault="00A079CE" w:rsidP="0078201B">
      <w:pPr>
        <w:jc w:val="both"/>
        <w:rPr>
          <w:rFonts w:ascii="Arial" w:hAnsi="Arial" w:cs="Arial"/>
          <w:szCs w:val="24"/>
        </w:rPr>
      </w:pPr>
      <w:r w:rsidRPr="00603AF4">
        <w:rPr>
          <w:rFonts w:ascii="Arial" w:hAnsi="Arial" w:cs="Arial"/>
          <w:szCs w:val="24"/>
        </w:rPr>
        <w:t>Section 5</w:t>
      </w:r>
      <w:r w:rsidRPr="00603AF4">
        <w:rPr>
          <w:rFonts w:ascii="Arial" w:hAnsi="Arial" w:cs="Arial"/>
          <w:b/>
          <w:szCs w:val="24"/>
        </w:rPr>
        <w:t xml:space="preserve"> </w:t>
      </w:r>
      <w:r w:rsidR="00706218" w:rsidRPr="00603AF4">
        <w:rPr>
          <w:rFonts w:ascii="Arial" w:hAnsi="Arial" w:cs="Arial"/>
          <w:szCs w:val="24"/>
        </w:rPr>
        <w:t>prescribes</w:t>
      </w:r>
      <w:r w:rsidR="00C8411E" w:rsidRPr="00603AF4">
        <w:rPr>
          <w:rFonts w:ascii="Arial" w:hAnsi="Arial" w:cs="Arial"/>
          <w:szCs w:val="24"/>
        </w:rPr>
        <w:t xml:space="preserve"> the kinds of eligible activities that are regulated activities. </w:t>
      </w:r>
    </w:p>
    <w:p w14:paraId="26E811AF" w14:textId="1A90E816" w:rsidR="00706218" w:rsidRPr="00603AF4" w:rsidRDefault="00706218" w:rsidP="0078201B">
      <w:pPr>
        <w:jc w:val="both"/>
        <w:rPr>
          <w:rFonts w:ascii="Arial" w:hAnsi="Arial" w:cs="Arial"/>
          <w:szCs w:val="24"/>
        </w:rPr>
      </w:pPr>
      <w:r w:rsidRPr="00603AF4">
        <w:rPr>
          <w:rFonts w:ascii="Arial" w:hAnsi="Arial" w:cs="Arial"/>
          <w:szCs w:val="24"/>
        </w:rPr>
        <w:t xml:space="preserve">Paragraph 5(a) provides that an eligible activity is a regulated activity if it involves the delivery of higher-risk </w:t>
      </w:r>
      <w:r w:rsidR="00172A3B" w:rsidRPr="00603AF4">
        <w:rPr>
          <w:rFonts w:ascii="Arial" w:hAnsi="Arial" w:cs="Arial"/>
          <w:szCs w:val="24"/>
        </w:rPr>
        <w:t>or</w:t>
      </w:r>
      <w:r w:rsidRPr="00603AF4">
        <w:rPr>
          <w:rFonts w:ascii="Arial" w:hAnsi="Arial" w:cs="Arial"/>
          <w:szCs w:val="24"/>
        </w:rPr>
        <w:t xml:space="preserve"> complex supports to people with disability.</w:t>
      </w:r>
    </w:p>
    <w:p w14:paraId="7FE5365E" w14:textId="56D7F07A" w:rsidR="00187E3C" w:rsidRPr="00603AF4" w:rsidRDefault="00CC711E" w:rsidP="0078201B">
      <w:pPr>
        <w:jc w:val="both"/>
        <w:rPr>
          <w:rFonts w:ascii="Arial" w:hAnsi="Arial" w:cs="Arial"/>
          <w:szCs w:val="24"/>
        </w:rPr>
      </w:pPr>
      <w:r w:rsidRPr="00603AF4">
        <w:rPr>
          <w:rFonts w:ascii="Arial" w:hAnsi="Arial" w:cs="Arial"/>
          <w:szCs w:val="24"/>
        </w:rPr>
        <w:t xml:space="preserve">Higher-risk </w:t>
      </w:r>
      <w:r w:rsidR="00430E5E" w:rsidRPr="00603AF4">
        <w:rPr>
          <w:rFonts w:ascii="Arial" w:hAnsi="Arial" w:cs="Arial"/>
          <w:szCs w:val="24"/>
        </w:rPr>
        <w:t>or</w:t>
      </w:r>
      <w:r w:rsidRPr="00603AF4">
        <w:rPr>
          <w:rFonts w:ascii="Arial" w:hAnsi="Arial" w:cs="Arial"/>
          <w:szCs w:val="24"/>
        </w:rPr>
        <w:t xml:space="preserve"> more complex </w:t>
      </w:r>
      <w:r w:rsidR="00AD6F59" w:rsidRPr="00603AF4">
        <w:rPr>
          <w:rFonts w:ascii="Arial" w:hAnsi="Arial" w:cs="Arial"/>
          <w:szCs w:val="24"/>
        </w:rPr>
        <w:t>supports and services</w:t>
      </w:r>
      <w:r w:rsidRPr="00603AF4">
        <w:rPr>
          <w:rFonts w:ascii="Arial" w:hAnsi="Arial" w:cs="Arial"/>
          <w:szCs w:val="24"/>
        </w:rPr>
        <w:t xml:space="preserve"> may</w:t>
      </w:r>
      <w:r w:rsidR="00D442A8" w:rsidRPr="00603AF4">
        <w:rPr>
          <w:rFonts w:ascii="Arial" w:hAnsi="Arial" w:cs="Arial"/>
          <w:szCs w:val="24"/>
        </w:rPr>
        <w:t xml:space="preserve"> require greater or more specific technical skill to deliver, or a greater degree of coordination or collaboration to be effective. They could also be services or supports which, if delivered poorly or incorrectly, could expose a person with disability to a risk of harm.</w:t>
      </w:r>
      <w:r w:rsidRPr="00603AF4">
        <w:rPr>
          <w:rFonts w:ascii="Arial" w:hAnsi="Arial" w:cs="Arial"/>
          <w:szCs w:val="24"/>
        </w:rPr>
        <w:t xml:space="preserve"> </w:t>
      </w:r>
      <w:r w:rsidR="00AA573E" w:rsidRPr="00603AF4">
        <w:rPr>
          <w:rFonts w:ascii="Arial" w:hAnsi="Arial" w:cs="Arial"/>
          <w:szCs w:val="24"/>
        </w:rPr>
        <w:t>Further, t</w:t>
      </w:r>
      <w:r w:rsidRPr="00603AF4">
        <w:rPr>
          <w:rFonts w:ascii="Arial" w:hAnsi="Arial" w:cs="Arial"/>
          <w:szCs w:val="24"/>
        </w:rPr>
        <w:t>hese supports and services may place the person with disability in a position where they must be able to trust the service provider to uphold their rights.</w:t>
      </w:r>
    </w:p>
    <w:p w14:paraId="16671ED8" w14:textId="77777777" w:rsidR="00187E3C" w:rsidRPr="00603AF4" w:rsidRDefault="00D442A8" w:rsidP="0078201B">
      <w:pPr>
        <w:jc w:val="both"/>
        <w:rPr>
          <w:rFonts w:ascii="Arial" w:hAnsi="Arial" w:cs="Arial"/>
          <w:szCs w:val="24"/>
        </w:rPr>
      </w:pPr>
      <w:r w:rsidRPr="00603AF4">
        <w:rPr>
          <w:rFonts w:ascii="Arial" w:hAnsi="Arial" w:cs="Arial"/>
          <w:szCs w:val="24"/>
        </w:rPr>
        <w:t>For example, an advocate is in a</w:t>
      </w:r>
      <w:r w:rsidR="00187E3C" w:rsidRPr="00603AF4">
        <w:rPr>
          <w:rFonts w:ascii="Arial" w:hAnsi="Arial" w:cs="Arial"/>
          <w:szCs w:val="24"/>
        </w:rPr>
        <w:t xml:space="preserve"> highly</w:t>
      </w:r>
      <w:r w:rsidRPr="00603AF4">
        <w:rPr>
          <w:rFonts w:ascii="Arial" w:hAnsi="Arial" w:cs="Arial"/>
          <w:szCs w:val="24"/>
        </w:rPr>
        <w:t xml:space="preserve"> trusted position</w:t>
      </w:r>
      <w:r w:rsidR="00187E3C" w:rsidRPr="00603AF4">
        <w:rPr>
          <w:rFonts w:ascii="Arial" w:hAnsi="Arial" w:cs="Arial"/>
          <w:szCs w:val="24"/>
        </w:rPr>
        <w:t>, potentially having access to sensitive and personal information about a person with disability. They have the potential to guide or influence a person with disability towards a course of action. T</w:t>
      </w:r>
      <w:r w:rsidRPr="00603AF4">
        <w:rPr>
          <w:rFonts w:ascii="Arial" w:hAnsi="Arial" w:cs="Arial"/>
          <w:szCs w:val="24"/>
        </w:rPr>
        <w:t xml:space="preserve">he </w:t>
      </w:r>
      <w:r w:rsidR="00187E3C" w:rsidRPr="00603AF4">
        <w:rPr>
          <w:rFonts w:ascii="Arial" w:hAnsi="Arial" w:cs="Arial"/>
          <w:szCs w:val="24"/>
        </w:rPr>
        <w:t>service</w:t>
      </w:r>
      <w:r w:rsidRPr="00603AF4">
        <w:rPr>
          <w:rFonts w:ascii="Arial" w:hAnsi="Arial" w:cs="Arial"/>
          <w:szCs w:val="24"/>
        </w:rPr>
        <w:t xml:space="preserve"> that they provide is expected to be in the best interests of the person with disability</w:t>
      </w:r>
      <w:r w:rsidR="00187E3C" w:rsidRPr="00603AF4">
        <w:rPr>
          <w:rFonts w:ascii="Arial" w:hAnsi="Arial" w:cs="Arial"/>
          <w:szCs w:val="24"/>
        </w:rPr>
        <w:t xml:space="preserve"> and be directly connected to upholding their human rights</w:t>
      </w:r>
      <w:r w:rsidRPr="00603AF4">
        <w:rPr>
          <w:rFonts w:ascii="Arial" w:hAnsi="Arial" w:cs="Arial"/>
          <w:szCs w:val="24"/>
        </w:rPr>
        <w:t>.</w:t>
      </w:r>
    </w:p>
    <w:p w14:paraId="46FA3017" w14:textId="0FCBCD32" w:rsidR="00706218" w:rsidRPr="00603AF4" w:rsidRDefault="00D442A8" w:rsidP="0078201B">
      <w:pPr>
        <w:jc w:val="both"/>
        <w:rPr>
          <w:rFonts w:ascii="Arial" w:hAnsi="Arial" w:cs="Arial"/>
          <w:szCs w:val="24"/>
        </w:rPr>
      </w:pPr>
      <w:r w:rsidRPr="00603AF4">
        <w:rPr>
          <w:rFonts w:ascii="Arial" w:hAnsi="Arial" w:cs="Arial"/>
          <w:szCs w:val="24"/>
        </w:rPr>
        <w:t xml:space="preserve">It is </w:t>
      </w:r>
      <w:r w:rsidR="00187E3C" w:rsidRPr="00603AF4">
        <w:rPr>
          <w:rFonts w:ascii="Arial" w:hAnsi="Arial" w:cs="Arial"/>
          <w:szCs w:val="24"/>
        </w:rPr>
        <w:t>necessary</w:t>
      </w:r>
      <w:r w:rsidRPr="00603AF4">
        <w:rPr>
          <w:rFonts w:ascii="Arial" w:hAnsi="Arial" w:cs="Arial"/>
          <w:szCs w:val="24"/>
        </w:rPr>
        <w:t xml:space="preserve"> to ensure that supports of this nature are subject to sufficient scrutiny to </w:t>
      </w:r>
      <w:r w:rsidR="00187E3C" w:rsidRPr="00603AF4">
        <w:rPr>
          <w:rFonts w:ascii="Arial" w:hAnsi="Arial" w:cs="Arial"/>
          <w:szCs w:val="24"/>
        </w:rPr>
        <w:t>assure</w:t>
      </w:r>
      <w:r w:rsidRPr="00603AF4">
        <w:rPr>
          <w:rFonts w:ascii="Arial" w:hAnsi="Arial" w:cs="Arial"/>
          <w:szCs w:val="24"/>
        </w:rPr>
        <w:t xml:space="preserve"> people with disability and government that the chosen providers </w:t>
      </w:r>
      <w:r w:rsidR="00793BE2" w:rsidRPr="00603AF4">
        <w:rPr>
          <w:rFonts w:ascii="Arial" w:hAnsi="Arial" w:cs="Arial"/>
          <w:szCs w:val="24"/>
        </w:rPr>
        <w:t>deliver safe and quality services</w:t>
      </w:r>
      <w:r w:rsidRPr="00603AF4">
        <w:rPr>
          <w:rFonts w:ascii="Arial" w:hAnsi="Arial" w:cs="Arial"/>
          <w:szCs w:val="24"/>
        </w:rPr>
        <w:t xml:space="preserve">. </w:t>
      </w:r>
    </w:p>
    <w:p w14:paraId="2AA9D3C0" w14:textId="589BCEDD" w:rsidR="00706218" w:rsidRPr="00603AF4" w:rsidRDefault="00706218" w:rsidP="0078201B">
      <w:pPr>
        <w:jc w:val="both"/>
        <w:rPr>
          <w:rFonts w:ascii="Arial" w:hAnsi="Arial" w:cs="Arial"/>
          <w:szCs w:val="24"/>
        </w:rPr>
      </w:pPr>
      <w:r w:rsidRPr="00603AF4">
        <w:rPr>
          <w:rFonts w:ascii="Arial" w:hAnsi="Arial" w:cs="Arial"/>
          <w:szCs w:val="24"/>
        </w:rPr>
        <w:t xml:space="preserve">Paragraph 5(b) provides that an eligible activity is a regulated activity if it </w:t>
      </w:r>
      <w:r w:rsidR="00172A3B" w:rsidRPr="00603AF4">
        <w:rPr>
          <w:rFonts w:ascii="Arial" w:hAnsi="Arial" w:cs="Arial"/>
          <w:szCs w:val="24"/>
        </w:rPr>
        <w:t>is delivered by persons undertaking the activity through</w:t>
      </w:r>
      <w:r w:rsidR="00D70C17" w:rsidRPr="00603AF4">
        <w:rPr>
          <w:rFonts w:ascii="Arial" w:hAnsi="Arial" w:cs="Arial"/>
          <w:szCs w:val="24"/>
        </w:rPr>
        <w:t xml:space="preserve"> </w:t>
      </w:r>
      <w:r w:rsidRPr="00603AF4">
        <w:rPr>
          <w:rFonts w:ascii="Arial" w:hAnsi="Arial" w:cs="Arial"/>
          <w:szCs w:val="24"/>
        </w:rPr>
        <w:t>substantial one</w:t>
      </w:r>
      <w:r w:rsidRPr="00603AF4">
        <w:rPr>
          <w:rFonts w:ascii="Arial" w:hAnsi="Arial" w:cs="Arial"/>
          <w:szCs w:val="24"/>
        </w:rPr>
        <w:noBreakHyphen/>
        <w:t>on</w:t>
      </w:r>
      <w:r w:rsidRPr="00603AF4">
        <w:rPr>
          <w:rFonts w:ascii="Arial" w:hAnsi="Arial" w:cs="Arial"/>
          <w:szCs w:val="24"/>
        </w:rPr>
        <w:noBreakHyphen/>
        <w:t>one contact with people with disability</w:t>
      </w:r>
      <w:r w:rsidR="00172A3B" w:rsidRPr="00603AF4">
        <w:rPr>
          <w:rFonts w:ascii="Arial" w:hAnsi="Arial" w:cs="Arial"/>
          <w:szCs w:val="24"/>
        </w:rPr>
        <w:t xml:space="preserve"> to whom the activity is provided</w:t>
      </w:r>
      <w:r w:rsidRPr="00603AF4">
        <w:rPr>
          <w:rFonts w:ascii="Arial" w:hAnsi="Arial" w:cs="Arial"/>
          <w:szCs w:val="24"/>
        </w:rPr>
        <w:t>.</w:t>
      </w:r>
    </w:p>
    <w:p w14:paraId="4AB2AC9C" w14:textId="692B4DEB" w:rsidR="00CC711E" w:rsidRPr="00603AF4" w:rsidRDefault="004B06BC" w:rsidP="0078201B">
      <w:pPr>
        <w:jc w:val="both"/>
        <w:rPr>
          <w:rFonts w:ascii="Arial" w:hAnsi="Arial" w:cs="Arial"/>
          <w:szCs w:val="24"/>
        </w:rPr>
      </w:pPr>
      <w:r w:rsidRPr="00603AF4">
        <w:rPr>
          <w:rFonts w:ascii="Arial" w:hAnsi="Arial" w:cs="Arial"/>
          <w:szCs w:val="24"/>
        </w:rPr>
        <w:t>An eligible activity that involves s</w:t>
      </w:r>
      <w:r w:rsidR="00CC711E" w:rsidRPr="00603AF4">
        <w:rPr>
          <w:rFonts w:ascii="Arial" w:hAnsi="Arial" w:cs="Arial"/>
          <w:szCs w:val="24"/>
        </w:rPr>
        <w:t xml:space="preserve">ubstantial one-on-one contact </w:t>
      </w:r>
      <w:r w:rsidRPr="00603AF4">
        <w:rPr>
          <w:rFonts w:ascii="Arial" w:hAnsi="Arial" w:cs="Arial"/>
          <w:szCs w:val="24"/>
        </w:rPr>
        <w:t>will generally pose a higher risk to a person with disability du</w:t>
      </w:r>
      <w:r w:rsidR="001345FC" w:rsidRPr="00603AF4">
        <w:rPr>
          <w:rFonts w:ascii="Arial" w:hAnsi="Arial" w:cs="Arial"/>
          <w:szCs w:val="24"/>
        </w:rPr>
        <w:t>e to the increased opportunity</w:t>
      </w:r>
      <w:r w:rsidRPr="00603AF4">
        <w:rPr>
          <w:rFonts w:ascii="Arial" w:hAnsi="Arial" w:cs="Arial"/>
          <w:szCs w:val="24"/>
        </w:rPr>
        <w:t xml:space="preserve"> for</w:t>
      </w:r>
      <w:r w:rsidR="001345FC" w:rsidRPr="00603AF4">
        <w:rPr>
          <w:rFonts w:ascii="Arial" w:hAnsi="Arial" w:cs="Arial"/>
          <w:szCs w:val="24"/>
        </w:rPr>
        <w:t xml:space="preserve"> private</w:t>
      </w:r>
      <w:r w:rsidRPr="00603AF4">
        <w:rPr>
          <w:rFonts w:ascii="Arial" w:hAnsi="Arial" w:cs="Arial"/>
          <w:szCs w:val="24"/>
        </w:rPr>
        <w:t xml:space="preserve"> </w:t>
      </w:r>
      <w:r w:rsidR="008E75A9" w:rsidRPr="00603AF4">
        <w:rPr>
          <w:rFonts w:ascii="Arial" w:hAnsi="Arial" w:cs="Arial"/>
          <w:szCs w:val="24"/>
        </w:rPr>
        <w:t>interaction</w:t>
      </w:r>
      <w:r w:rsidRPr="00603AF4">
        <w:rPr>
          <w:rFonts w:ascii="Arial" w:hAnsi="Arial" w:cs="Arial"/>
          <w:szCs w:val="24"/>
        </w:rPr>
        <w:t>.</w:t>
      </w:r>
      <w:r w:rsidR="008E75A9" w:rsidRPr="00603AF4">
        <w:rPr>
          <w:rFonts w:ascii="Arial" w:hAnsi="Arial" w:cs="Arial"/>
          <w:szCs w:val="24"/>
        </w:rPr>
        <w:t xml:space="preserve"> Incidental or shorter interactions with people with disability pose minimal risk to people with disability.</w:t>
      </w:r>
    </w:p>
    <w:p w14:paraId="54D748C2" w14:textId="6F7A9829" w:rsidR="00706218" w:rsidRPr="00603AF4" w:rsidRDefault="009C3068" w:rsidP="0078201B">
      <w:pPr>
        <w:jc w:val="both"/>
        <w:rPr>
          <w:rFonts w:ascii="Arial" w:hAnsi="Arial" w:cs="Arial"/>
          <w:szCs w:val="24"/>
        </w:rPr>
      </w:pPr>
      <w:r w:rsidRPr="00603AF4">
        <w:rPr>
          <w:rFonts w:ascii="Arial" w:hAnsi="Arial" w:cs="Arial"/>
          <w:szCs w:val="24"/>
        </w:rPr>
        <w:t xml:space="preserve">For example, </w:t>
      </w:r>
      <w:r w:rsidR="00172A3B" w:rsidRPr="00603AF4">
        <w:rPr>
          <w:rFonts w:ascii="Arial" w:hAnsi="Arial" w:cs="Arial"/>
          <w:szCs w:val="24"/>
        </w:rPr>
        <w:t xml:space="preserve">where providers of disability </w:t>
      </w:r>
      <w:r w:rsidR="00E45374" w:rsidRPr="00603AF4">
        <w:rPr>
          <w:rFonts w:ascii="Arial" w:hAnsi="Arial" w:cs="Arial"/>
          <w:szCs w:val="24"/>
        </w:rPr>
        <w:t xml:space="preserve">related </w:t>
      </w:r>
      <w:r w:rsidR="00172A3B" w:rsidRPr="00603AF4">
        <w:rPr>
          <w:rFonts w:ascii="Arial" w:hAnsi="Arial" w:cs="Arial"/>
          <w:szCs w:val="24"/>
        </w:rPr>
        <w:t xml:space="preserve">supports and services have </w:t>
      </w:r>
      <w:r w:rsidR="0069245A" w:rsidRPr="00603AF4">
        <w:rPr>
          <w:rFonts w:ascii="Arial" w:hAnsi="Arial" w:cs="Arial"/>
          <w:szCs w:val="24"/>
        </w:rPr>
        <w:t xml:space="preserve">substantial </w:t>
      </w:r>
      <w:r w:rsidRPr="00603AF4">
        <w:rPr>
          <w:rFonts w:ascii="Arial" w:hAnsi="Arial" w:cs="Arial"/>
          <w:szCs w:val="24"/>
        </w:rPr>
        <w:t xml:space="preserve">private one-on-one </w:t>
      </w:r>
      <w:r w:rsidR="00CC711E" w:rsidRPr="00603AF4">
        <w:rPr>
          <w:rFonts w:ascii="Arial" w:hAnsi="Arial" w:cs="Arial"/>
          <w:szCs w:val="24"/>
        </w:rPr>
        <w:t>appointments</w:t>
      </w:r>
      <w:r w:rsidR="00172A3B" w:rsidRPr="00603AF4">
        <w:rPr>
          <w:rFonts w:ascii="Arial" w:hAnsi="Arial" w:cs="Arial"/>
          <w:szCs w:val="24"/>
        </w:rPr>
        <w:t xml:space="preserve"> with people with disability, this</w:t>
      </w:r>
      <w:r w:rsidRPr="00603AF4">
        <w:rPr>
          <w:rFonts w:ascii="Arial" w:hAnsi="Arial" w:cs="Arial"/>
          <w:szCs w:val="24"/>
        </w:rPr>
        <w:t xml:space="preserve"> </w:t>
      </w:r>
      <w:r w:rsidR="008E75A9" w:rsidRPr="00603AF4">
        <w:rPr>
          <w:rFonts w:ascii="Arial" w:hAnsi="Arial" w:cs="Arial"/>
          <w:szCs w:val="24"/>
        </w:rPr>
        <w:t>pose</w:t>
      </w:r>
      <w:r w:rsidR="00172A3B" w:rsidRPr="00603AF4">
        <w:rPr>
          <w:rFonts w:ascii="Arial" w:hAnsi="Arial" w:cs="Arial"/>
          <w:szCs w:val="24"/>
        </w:rPr>
        <w:t>s</w:t>
      </w:r>
      <w:r w:rsidR="008E75A9" w:rsidRPr="00603AF4">
        <w:rPr>
          <w:rFonts w:ascii="Arial" w:hAnsi="Arial" w:cs="Arial"/>
          <w:szCs w:val="24"/>
        </w:rPr>
        <w:t xml:space="preserve"> a higher risk to a person with disability than </w:t>
      </w:r>
      <w:r w:rsidRPr="00603AF4">
        <w:rPr>
          <w:rFonts w:ascii="Arial" w:hAnsi="Arial" w:cs="Arial"/>
          <w:szCs w:val="24"/>
        </w:rPr>
        <w:t xml:space="preserve">one-on-one interaction in the course of providing information (such as at </w:t>
      </w:r>
      <w:r w:rsidR="008E75A9" w:rsidRPr="00603AF4">
        <w:rPr>
          <w:rFonts w:ascii="Arial" w:hAnsi="Arial" w:cs="Arial"/>
          <w:szCs w:val="24"/>
        </w:rPr>
        <w:t>a conference</w:t>
      </w:r>
      <w:r w:rsidRPr="00603AF4">
        <w:rPr>
          <w:rFonts w:ascii="Arial" w:hAnsi="Arial" w:cs="Arial"/>
          <w:szCs w:val="24"/>
        </w:rPr>
        <w:t xml:space="preserve"> or other publicly accessible setting). </w:t>
      </w:r>
    </w:p>
    <w:p w14:paraId="76E9224A" w14:textId="1952CF8D" w:rsidR="00706218" w:rsidRPr="00603AF4" w:rsidRDefault="00706218" w:rsidP="00E20801">
      <w:pPr>
        <w:rPr>
          <w:rFonts w:ascii="Arial" w:hAnsi="Arial" w:cs="Arial"/>
          <w:szCs w:val="24"/>
        </w:rPr>
      </w:pPr>
      <w:r w:rsidRPr="00603AF4">
        <w:rPr>
          <w:rFonts w:ascii="Arial" w:hAnsi="Arial" w:cs="Arial"/>
          <w:szCs w:val="24"/>
        </w:rPr>
        <w:t xml:space="preserve">Paragraph 5(c) provides that an eligible activity is a regulated activity if it involves regular engagement </w:t>
      </w:r>
      <w:r w:rsidR="00EF70DB" w:rsidRPr="00603AF4">
        <w:rPr>
          <w:rFonts w:ascii="Arial" w:hAnsi="Arial" w:cs="Arial"/>
          <w:szCs w:val="24"/>
        </w:rPr>
        <w:t>over a prolonged period between persons undertaking the activity and</w:t>
      </w:r>
      <w:r w:rsidRPr="00603AF4">
        <w:rPr>
          <w:rFonts w:ascii="Arial" w:hAnsi="Arial" w:cs="Arial"/>
          <w:szCs w:val="24"/>
        </w:rPr>
        <w:t xml:space="preserve"> people with disability</w:t>
      </w:r>
      <w:r w:rsidR="00E20801" w:rsidRPr="00603AF4">
        <w:rPr>
          <w:rFonts w:ascii="Arial" w:hAnsi="Arial" w:cs="Arial"/>
          <w:szCs w:val="24"/>
        </w:rPr>
        <w:t xml:space="preserve"> to whom the activity is provided</w:t>
      </w:r>
      <w:r w:rsidRPr="00603AF4">
        <w:rPr>
          <w:rFonts w:ascii="Arial" w:hAnsi="Arial" w:cs="Arial"/>
          <w:szCs w:val="24"/>
        </w:rPr>
        <w:t xml:space="preserve"> (whether the engagement or contact is in person or by other means).</w:t>
      </w:r>
      <w:r w:rsidR="00EF70DB" w:rsidRPr="00603AF4">
        <w:rPr>
          <w:rFonts w:ascii="Arial" w:hAnsi="Arial" w:cs="Arial"/>
          <w:szCs w:val="24"/>
        </w:rPr>
        <w:t xml:space="preserve"> </w:t>
      </w:r>
    </w:p>
    <w:p w14:paraId="1116DB19" w14:textId="710937F9" w:rsidR="005E7375" w:rsidRPr="00603AF4" w:rsidRDefault="005E7375" w:rsidP="0078201B">
      <w:pPr>
        <w:jc w:val="both"/>
        <w:rPr>
          <w:rFonts w:ascii="Arial" w:hAnsi="Arial" w:cs="Arial"/>
          <w:szCs w:val="24"/>
        </w:rPr>
      </w:pPr>
      <w:r w:rsidRPr="00603AF4">
        <w:rPr>
          <w:rFonts w:ascii="Arial" w:hAnsi="Arial" w:cs="Arial"/>
          <w:szCs w:val="24"/>
        </w:rPr>
        <w:t>Regular engagement</w:t>
      </w:r>
      <w:r w:rsidR="00E45374" w:rsidRPr="00603AF4">
        <w:rPr>
          <w:rFonts w:ascii="Arial" w:hAnsi="Arial" w:cs="Arial"/>
          <w:szCs w:val="24"/>
        </w:rPr>
        <w:t xml:space="preserve"> between</w:t>
      </w:r>
      <w:r w:rsidR="00EF70DB" w:rsidRPr="00603AF4">
        <w:rPr>
          <w:rFonts w:ascii="Arial" w:hAnsi="Arial" w:cs="Arial"/>
          <w:szCs w:val="24"/>
        </w:rPr>
        <w:t xml:space="preserve"> providers of disability </w:t>
      </w:r>
      <w:r w:rsidR="00E45374" w:rsidRPr="00603AF4">
        <w:rPr>
          <w:rFonts w:ascii="Arial" w:hAnsi="Arial" w:cs="Arial"/>
          <w:szCs w:val="24"/>
        </w:rPr>
        <w:t xml:space="preserve">related </w:t>
      </w:r>
      <w:r w:rsidR="00EF70DB" w:rsidRPr="00603AF4">
        <w:rPr>
          <w:rFonts w:ascii="Arial" w:hAnsi="Arial" w:cs="Arial"/>
          <w:szCs w:val="24"/>
        </w:rPr>
        <w:t>supports and services</w:t>
      </w:r>
      <w:r w:rsidR="00E45374" w:rsidRPr="00603AF4">
        <w:rPr>
          <w:rFonts w:ascii="Arial" w:hAnsi="Arial" w:cs="Arial"/>
          <w:szCs w:val="24"/>
        </w:rPr>
        <w:t xml:space="preserve"> under the Act</w:t>
      </w:r>
      <w:r w:rsidR="00D70C17" w:rsidRPr="00603AF4">
        <w:rPr>
          <w:rFonts w:ascii="Arial" w:hAnsi="Arial" w:cs="Arial"/>
          <w:szCs w:val="24"/>
        </w:rPr>
        <w:t xml:space="preserve"> </w:t>
      </w:r>
      <w:r w:rsidR="00E45374" w:rsidRPr="00603AF4">
        <w:rPr>
          <w:rFonts w:ascii="Arial" w:hAnsi="Arial" w:cs="Arial"/>
          <w:szCs w:val="24"/>
        </w:rPr>
        <w:t>and</w:t>
      </w:r>
      <w:r w:rsidRPr="00603AF4">
        <w:rPr>
          <w:rFonts w:ascii="Arial" w:hAnsi="Arial" w:cs="Arial"/>
          <w:szCs w:val="24"/>
        </w:rPr>
        <w:t xml:space="preserve"> people with disability </w:t>
      </w:r>
      <w:r w:rsidR="00E45374" w:rsidRPr="00603AF4">
        <w:rPr>
          <w:rFonts w:ascii="Arial" w:hAnsi="Arial" w:cs="Arial"/>
          <w:szCs w:val="24"/>
        </w:rPr>
        <w:t xml:space="preserve">receiving the subject supports and services </w:t>
      </w:r>
      <w:r w:rsidRPr="00603AF4">
        <w:rPr>
          <w:rFonts w:ascii="Arial" w:hAnsi="Arial" w:cs="Arial"/>
          <w:szCs w:val="24"/>
        </w:rPr>
        <w:t>over prolonged periods may pose a higher level of risk</w:t>
      </w:r>
      <w:r w:rsidR="00323910" w:rsidRPr="00603AF4">
        <w:rPr>
          <w:rFonts w:ascii="Arial" w:hAnsi="Arial" w:cs="Arial"/>
          <w:szCs w:val="24"/>
        </w:rPr>
        <w:t xml:space="preserve"> as </w:t>
      </w:r>
      <w:r w:rsidRPr="00603AF4">
        <w:rPr>
          <w:rFonts w:ascii="Arial" w:hAnsi="Arial" w:cs="Arial"/>
          <w:szCs w:val="24"/>
        </w:rPr>
        <w:t>it provides the opportunity to develop a more substantial relationship of trust.</w:t>
      </w:r>
      <w:r w:rsidR="001345FC" w:rsidRPr="00603AF4">
        <w:rPr>
          <w:rFonts w:ascii="Arial" w:hAnsi="Arial" w:cs="Arial"/>
          <w:szCs w:val="24"/>
        </w:rPr>
        <w:t xml:space="preserve"> For example, engagement</w:t>
      </w:r>
      <w:r w:rsidR="00E45374" w:rsidRPr="00603AF4">
        <w:rPr>
          <w:rFonts w:ascii="Arial" w:hAnsi="Arial" w:cs="Arial"/>
          <w:szCs w:val="24"/>
        </w:rPr>
        <w:t xml:space="preserve"> between providers of disability related supports and services and people with disability</w:t>
      </w:r>
      <w:r w:rsidR="005E2BA2" w:rsidRPr="00603AF4">
        <w:rPr>
          <w:rFonts w:ascii="Arial" w:hAnsi="Arial" w:cs="Arial"/>
          <w:szCs w:val="24"/>
        </w:rPr>
        <w:t xml:space="preserve"> receiving the subject supports and services</w:t>
      </w:r>
      <w:r w:rsidR="001345FC" w:rsidRPr="00603AF4">
        <w:rPr>
          <w:rFonts w:ascii="Arial" w:hAnsi="Arial" w:cs="Arial"/>
          <w:szCs w:val="24"/>
        </w:rPr>
        <w:t xml:space="preserve"> every week over a period </w:t>
      </w:r>
      <w:r w:rsidR="005E2BA2" w:rsidRPr="00603AF4">
        <w:rPr>
          <w:rFonts w:ascii="Arial" w:hAnsi="Arial" w:cs="Arial"/>
          <w:szCs w:val="24"/>
        </w:rPr>
        <w:t xml:space="preserve">of </w:t>
      </w:r>
      <w:r w:rsidR="001345FC" w:rsidRPr="00603AF4">
        <w:rPr>
          <w:rFonts w:ascii="Arial" w:hAnsi="Arial" w:cs="Arial"/>
          <w:szCs w:val="24"/>
        </w:rPr>
        <w:t xml:space="preserve">12 months, even if that engagement is in the context of a group of people, will pose a higher risk to people with disability and </w:t>
      </w:r>
      <w:r w:rsidR="00323910" w:rsidRPr="00603AF4">
        <w:rPr>
          <w:rFonts w:ascii="Arial" w:hAnsi="Arial" w:cs="Arial"/>
          <w:szCs w:val="24"/>
        </w:rPr>
        <w:t xml:space="preserve">therefore </w:t>
      </w:r>
      <w:r w:rsidR="001345FC" w:rsidRPr="00603AF4">
        <w:rPr>
          <w:rFonts w:ascii="Arial" w:hAnsi="Arial" w:cs="Arial"/>
          <w:szCs w:val="24"/>
        </w:rPr>
        <w:t>require</w:t>
      </w:r>
      <w:r w:rsidR="00323910" w:rsidRPr="00603AF4">
        <w:rPr>
          <w:rFonts w:ascii="Arial" w:hAnsi="Arial" w:cs="Arial"/>
          <w:szCs w:val="24"/>
        </w:rPr>
        <w:t>s</w:t>
      </w:r>
      <w:r w:rsidR="001345FC" w:rsidRPr="00603AF4">
        <w:rPr>
          <w:rFonts w:ascii="Arial" w:hAnsi="Arial" w:cs="Arial"/>
          <w:szCs w:val="24"/>
        </w:rPr>
        <w:t xml:space="preserve"> a greater level of oversight.</w:t>
      </w:r>
    </w:p>
    <w:p w14:paraId="554CD083" w14:textId="17346A75" w:rsidR="00D70C17" w:rsidRPr="005C21C7" w:rsidRDefault="00D70C17">
      <w:pPr>
        <w:spacing w:before="0" w:after="200" w:line="276" w:lineRule="auto"/>
        <w:rPr>
          <w:rFonts w:ascii="Arial" w:eastAsiaTheme="majorEastAsia" w:hAnsi="Arial" w:cs="Arial"/>
          <w:bCs/>
          <w:sz w:val="26"/>
          <w:szCs w:val="26"/>
        </w:rPr>
      </w:pPr>
    </w:p>
    <w:p w14:paraId="524800AC" w14:textId="149FE625" w:rsidR="00E6292B" w:rsidRPr="00603AF4" w:rsidRDefault="00E6292B" w:rsidP="0083331E">
      <w:pPr>
        <w:pStyle w:val="Heading2"/>
        <w:jc w:val="center"/>
        <w:rPr>
          <w:rFonts w:ascii="Arial" w:hAnsi="Arial" w:cs="Arial"/>
        </w:rPr>
      </w:pPr>
      <w:r w:rsidRPr="00603AF4">
        <w:rPr>
          <w:rFonts w:ascii="Arial" w:hAnsi="Arial" w:cs="Arial"/>
        </w:rPr>
        <w:t>Statement of Compatibility with Human Rights</w:t>
      </w:r>
    </w:p>
    <w:p w14:paraId="241E9C95" w14:textId="30F0BD95" w:rsidR="006C0544" w:rsidRPr="00603AF4" w:rsidRDefault="006C0544" w:rsidP="0083331E">
      <w:pPr>
        <w:jc w:val="center"/>
        <w:rPr>
          <w:rFonts w:ascii="Arial" w:hAnsi="Arial" w:cs="Arial"/>
        </w:rPr>
      </w:pPr>
      <w:r w:rsidRPr="00603AF4">
        <w:rPr>
          <w:rFonts w:ascii="Arial" w:hAnsi="Arial" w:cs="Arial"/>
        </w:rPr>
        <w:t>Prepared in accordance with Part 3 of the Human Rights (Parliamentary Scrutiny) Act 2011</w:t>
      </w:r>
    </w:p>
    <w:p w14:paraId="1EA5DD7D" w14:textId="55D3BB77" w:rsidR="006C0544" w:rsidRPr="00603AF4" w:rsidRDefault="006C0544" w:rsidP="0083331E">
      <w:pPr>
        <w:rPr>
          <w:rFonts w:ascii="Arial" w:hAnsi="Arial" w:cs="Arial"/>
          <w:i/>
        </w:rPr>
      </w:pPr>
      <w:r w:rsidRPr="00603AF4">
        <w:rPr>
          <w:rFonts w:ascii="Arial" w:hAnsi="Arial" w:cs="Arial"/>
          <w:b/>
          <w:i/>
        </w:rPr>
        <w:t>Disability Services and Inclusion (Regulated Activities) Determination 2023</w:t>
      </w:r>
    </w:p>
    <w:p w14:paraId="0889EBD9" w14:textId="4F893DB0" w:rsidR="006C0544" w:rsidRPr="00603AF4" w:rsidRDefault="006C0544" w:rsidP="00805497">
      <w:pPr>
        <w:jc w:val="center"/>
        <w:rPr>
          <w:rFonts w:ascii="Arial" w:hAnsi="Arial" w:cs="Arial"/>
        </w:rPr>
      </w:pPr>
      <w:r w:rsidRPr="00603AF4">
        <w:rPr>
          <w:rFonts w:ascii="Arial" w:hAnsi="Arial" w:cs="Arial"/>
        </w:rPr>
        <w:t xml:space="preserve">The legislative instrument is compatible with the human rights and freedoms recognised or declared in the international instruments listed in section 3 of the </w:t>
      </w:r>
      <w:r w:rsidRPr="00603AF4">
        <w:rPr>
          <w:rFonts w:ascii="Arial" w:hAnsi="Arial" w:cs="Arial"/>
          <w:i/>
        </w:rPr>
        <w:t>Human Rights (Parliamentary Scrutiny) Act 2011</w:t>
      </w:r>
      <w:r w:rsidRPr="00603AF4">
        <w:rPr>
          <w:rFonts w:ascii="Arial" w:hAnsi="Arial" w:cs="Arial"/>
        </w:rPr>
        <w:t>.</w:t>
      </w:r>
    </w:p>
    <w:p w14:paraId="13BA85A1" w14:textId="6D4BDF42" w:rsidR="006C0544" w:rsidRPr="00603AF4" w:rsidRDefault="006C0544" w:rsidP="00F61D6D">
      <w:pPr>
        <w:rPr>
          <w:rFonts w:ascii="Arial" w:hAnsi="Arial" w:cs="Arial"/>
        </w:rPr>
      </w:pPr>
      <w:r w:rsidRPr="00603AF4">
        <w:rPr>
          <w:rFonts w:ascii="Arial" w:hAnsi="Arial" w:cs="Arial"/>
          <w:b/>
        </w:rPr>
        <w:t>Overview of the legislative instrument</w:t>
      </w:r>
    </w:p>
    <w:p w14:paraId="54DAC636" w14:textId="77777777" w:rsidR="00805497" w:rsidRPr="00603AF4" w:rsidRDefault="006C0544" w:rsidP="0083331E">
      <w:pPr>
        <w:jc w:val="both"/>
        <w:rPr>
          <w:rFonts w:ascii="Arial" w:hAnsi="Arial" w:cs="Arial"/>
          <w:szCs w:val="24"/>
        </w:rPr>
      </w:pPr>
      <w:r w:rsidRPr="00603AF4">
        <w:rPr>
          <w:rFonts w:ascii="Arial" w:hAnsi="Arial" w:cs="Arial"/>
          <w:szCs w:val="24"/>
        </w:rPr>
        <w:t xml:space="preserve">The </w:t>
      </w:r>
      <w:r w:rsidRPr="00603AF4">
        <w:rPr>
          <w:rFonts w:ascii="Arial" w:hAnsi="Arial" w:cs="Arial"/>
          <w:i/>
          <w:szCs w:val="24"/>
        </w:rPr>
        <w:t>Disability Services and Inclusion (Regulated Activities) Determination 2023</w:t>
      </w:r>
      <w:r w:rsidRPr="00603AF4">
        <w:rPr>
          <w:rFonts w:ascii="Arial" w:hAnsi="Arial" w:cs="Arial"/>
          <w:szCs w:val="24"/>
        </w:rPr>
        <w:t xml:space="preserve"> (the instrument) specifies the kinds of eligible activities that are regulated activities for the purposes of section 11 of the </w:t>
      </w:r>
      <w:r w:rsidRPr="00603AF4">
        <w:rPr>
          <w:rFonts w:ascii="Arial" w:hAnsi="Arial" w:cs="Arial"/>
          <w:i/>
          <w:szCs w:val="24"/>
        </w:rPr>
        <w:t>Disability Services and Inclusion Act 2023</w:t>
      </w:r>
      <w:r w:rsidRPr="00603AF4">
        <w:rPr>
          <w:rFonts w:ascii="Arial" w:hAnsi="Arial" w:cs="Arial"/>
          <w:szCs w:val="24"/>
        </w:rPr>
        <w:t xml:space="preserve"> (the Act). </w:t>
      </w:r>
    </w:p>
    <w:p w14:paraId="783C4611" w14:textId="6D867A89" w:rsidR="006C0544" w:rsidRPr="00603AF4" w:rsidRDefault="006C0544" w:rsidP="0083331E">
      <w:pPr>
        <w:jc w:val="both"/>
        <w:rPr>
          <w:rFonts w:ascii="Arial" w:hAnsi="Arial" w:cs="Arial"/>
          <w:szCs w:val="24"/>
        </w:rPr>
      </w:pPr>
      <w:r w:rsidRPr="00603AF4">
        <w:rPr>
          <w:rFonts w:ascii="Arial" w:hAnsi="Arial" w:cs="Arial"/>
          <w:szCs w:val="24"/>
        </w:rPr>
        <w:t>People undertaking regulated activities are subject to a higher degree of scrutiny and regulation.</w:t>
      </w:r>
      <w:r w:rsidR="00805497" w:rsidRPr="00603AF4">
        <w:rPr>
          <w:rFonts w:ascii="Arial" w:hAnsi="Arial" w:cs="Arial"/>
          <w:szCs w:val="24"/>
        </w:rPr>
        <w:t xml:space="preserve"> This is an important quality and safeguarding arrangement to promote a safe and skilled workforce of persons providing supports and services under the Act.</w:t>
      </w:r>
    </w:p>
    <w:p w14:paraId="3CACE2CC" w14:textId="3FB6788D" w:rsidR="006C0544" w:rsidRPr="00603AF4" w:rsidRDefault="00805497" w:rsidP="0083331E">
      <w:pPr>
        <w:jc w:val="both"/>
        <w:rPr>
          <w:rFonts w:ascii="Arial" w:hAnsi="Arial" w:cs="Arial"/>
          <w:b/>
          <w:szCs w:val="24"/>
        </w:rPr>
      </w:pPr>
      <w:r w:rsidRPr="00603AF4">
        <w:rPr>
          <w:rFonts w:ascii="Arial" w:hAnsi="Arial" w:cs="Arial"/>
          <w:b/>
          <w:szCs w:val="24"/>
        </w:rPr>
        <w:t>Human rights i</w:t>
      </w:r>
      <w:r w:rsidR="006C0544" w:rsidRPr="00603AF4">
        <w:rPr>
          <w:rFonts w:ascii="Arial" w:hAnsi="Arial" w:cs="Arial"/>
          <w:b/>
          <w:szCs w:val="24"/>
        </w:rPr>
        <w:t>mplications</w:t>
      </w:r>
    </w:p>
    <w:p w14:paraId="06848C4F" w14:textId="4007D3D5" w:rsidR="00D70C17" w:rsidRPr="00603AF4" w:rsidRDefault="00D70C17" w:rsidP="00D70C17">
      <w:pPr>
        <w:spacing w:after="200"/>
        <w:jc w:val="both"/>
        <w:rPr>
          <w:rFonts w:ascii="Arial" w:hAnsi="Arial" w:cs="Arial"/>
          <w:color w:val="000000"/>
        </w:rPr>
      </w:pPr>
      <w:r w:rsidRPr="00603AF4">
        <w:rPr>
          <w:rFonts w:ascii="Arial" w:hAnsi="Arial" w:cs="Arial"/>
          <w:szCs w:val="24"/>
        </w:rPr>
        <w:t xml:space="preserve">This instrument engages the right to </w:t>
      </w:r>
      <w:r w:rsidRPr="00603AF4">
        <w:rPr>
          <w:rFonts w:ascii="Arial" w:hAnsi="Arial" w:cs="Arial"/>
          <w:iCs/>
          <w:color w:val="000000"/>
        </w:rPr>
        <w:t xml:space="preserve">freedom from exploitation, violence and abuse set out in article 16 of the </w:t>
      </w:r>
      <w:r w:rsidRPr="00603AF4">
        <w:rPr>
          <w:rFonts w:ascii="Arial" w:hAnsi="Arial" w:cs="Arial"/>
          <w:i/>
          <w:iCs/>
          <w:color w:val="000000"/>
        </w:rPr>
        <w:t>Convention on the Rights of Persons with Disabilities</w:t>
      </w:r>
      <w:r w:rsidRPr="00603AF4">
        <w:rPr>
          <w:rFonts w:ascii="Arial" w:hAnsi="Arial" w:cs="Arial"/>
          <w:color w:val="000000"/>
        </w:rPr>
        <w:t xml:space="preserve"> (</w:t>
      </w:r>
      <w:r w:rsidRPr="00603AF4">
        <w:rPr>
          <w:rFonts w:ascii="Arial" w:hAnsi="Arial" w:cs="Arial"/>
          <w:bCs/>
          <w:color w:val="000000"/>
        </w:rPr>
        <w:t>CRPD</w:t>
      </w:r>
      <w:r w:rsidRPr="00603AF4">
        <w:rPr>
          <w:rFonts w:ascii="Arial" w:hAnsi="Arial" w:cs="Arial"/>
          <w:color w:val="000000"/>
        </w:rPr>
        <w:t>).</w:t>
      </w:r>
    </w:p>
    <w:p w14:paraId="6CF87EC1" w14:textId="06CAEBD4" w:rsidR="00D70C17" w:rsidRPr="00603AF4" w:rsidRDefault="00D70C17" w:rsidP="00D70C17">
      <w:pPr>
        <w:jc w:val="both"/>
        <w:rPr>
          <w:rFonts w:ascii="Arial" w:hAnsi="Arial" w:cs="Arial"/>
          <w:szCs w:val="24"/>
        </w:rPr>
      </w:pPr>
      <w:r w:rsidRPr="00603AF4">
        <w:rPr>
          <w:rFonts w:ascii="Arial" w:hAnsi="Arial" w:cs="Arial"/>
        </w:rPr>
        <w:t>Article 16 provides that States Parties shall take all appropriate measures to protect persons with disabilities from all forms of exploitation, violence and abuse and that to facilitate this, State Parties must ensure that all facilities and programmes designed to serve persons with disabilities are effectively monitored by independent authorities.</w:t>
      </w:r>
    </w:p>
    <w:p w14:paraId="029D6728" w14:textId="52B21888" w:rsidR="00D70C17" w:rsidRPr="00603AF4" w:rsidRDefault="00D70C17" w:rsidP="00D70C17">
      <w:pPr>
        <w:jc w:val="both"/>
        <w:rPr>
          <w:rFonts w:ascii="Arial" w:hAnsi="Arial" w:cs="Arial"/>
          <w:color w:val="000000"/>
          <w:shd w:val="clear" w:color="auto" w:fill="FFFFFF"/>
        </w:rPr>
      </w:pPr>
      <w:r w:rsidRPr="00603AF4">
        <w:rPr>
          <w:rFonts w:ascii="Arial" w:hAnsi="Arial" w:cs="Arial"/>
          <w:color w:val="000000"/>
          <w:shd w:val="clear" w:color="auto" w:fill="FFFFFF"/>
        </w:rPr>
        <w:t xml:space="preserve">This instrument prescribes the kinds of supports or services provided under the Act that are ‘regulated activities’ and therefore subject to certain safeguarding and compliance requirements. Entities providing regulated activities are required to obtain a certificate of compliance, either through an audit against the compliance standards set out in the </w:t>
      </w:r>
      <w:r w:rsidRPr="00603AF4">
        <w:rPr>
          <w:rFonts w:ascii="Arial" w:hAnsi="Arial" w:cs="Arial"/>
          <w:i/>
          <w:szCs w:val="24"/>
        </w:rPr>
        <w:t>Disability Services and Inclusion (Compliance Standards and Alternative Compliance Requirements) Rules 2023</w:t>
      </w:r>
      <w:r w:rsidRPr="00603AF4">
        <w:rPr>
          <w:rFonts w:ascii="Arial" w:hAnsi="Arial" w:cs="Arial"/>
          <w:szCs w:val="24"/>
        </w:rPr>
        <w:t xml:space="preserve"> (Compliance Rules), or by meeting the alternative compliance requirements prescribed in the Compliance Rules.</w:t>
      </w:r>
    </w:p>
    <w:p w14:paraId="041E3A5A" w14:textId="41D26B8D" w:rsidR="00E6292B" w:rsidRPr="00603AF4" w:rsidRDefault="00D70C17" w:rsidP="00D70C17">
      <w:pPr>
        <w:spacing w:after="200"/>
        <w:jc w:val="both"/>
        <w:rPr>
          <w:rFonts w:ascii="Arial" w:hAnsi="Arial" w:cs="Arial"/>
          <w:szCs w:val="24"/>
        </w:rPr>
      </w:pPr>
      <w:r w:rsidRPr="00603AF4">
        <w:rPr>
          <w:rFonts w:ascii="Arial" w:hAnsi="Arial" w:cs="Arial"/>
          <w:szCs w:val="24"/>
        </w:rPr>
        <w:t>These compliance requirements</w:t>
      </w:r>
      <w:r w:rsidR="00E6292B" w:rsidRPr="00603AF4">
        <w:rPr>
          <w:rFonts w:ascii="Arial" w:hAnsi="Arial" w:cs="Arial"/>
          <w:szCs w:val="24"/>
        </w:rPr>
        <w:t xml:space="preserve"> support the rights of people with disability </w:t>
      </w:r>
      <w:r w:rsidRPr="00603AF4">
        <w:rPr>
          <w:rFonts w:ascii="Arial" w:hAnsi="Arial" w:cs="Arial"/>
          <w:szCs w:val="24"/>
        </w:rPr>
        <w:t>by ensuring that</w:t>
      </w:r>
      <w:r w:rsidR="00E53D60" w:rsidRPr="00603AF4">
        <w:rPr>
          <w:rFonts w:ascii="Arial" w:hAnsi="Arial" w:cs="Arial"/>
          <w:szCs w:val="24"/>
        </w:rPr>
        <w:t xml:space="preserve"> appropriate</w:t>
      </w:r>
      <w:r w:rsidR="00E6292B" w:rsidRPr="00603AF4">
        <w:rPr>
          <w:rFonts w:ascii="Arial" w:hAnsi="Arial" w:cs="Arial"/>
          <w:szCs w:val="24"/>
        </w:rPr>
        <w:t xml:space="preserve"> safeguards are in place for higher</w:t>
      </w:r>
      <w:r w:rsidR="00CD158E" w:rsidRPr="00603AF4">
        <w:rPr>
          <w:rFonts w:ascii="Arial" w:hAnsi="Arial" w:cs="Arial"/>
          <w:szCs w:val="24"/>
        </w:rPr>
        <w:t>-</w:t>
      </w:r>
      <w:r w:rsidR="00E6292B" w:rsidRPr="00603AF4">
        <w:rPr>
          <w:rFonts w:ascii="Arial" w:hAnsi="Arial" w:cs="Arial"/>
          <w:szCs w:val="24"/>
        </w:rPr>
        <w:t>risk activities</w:t>
      </w:r>
      <w:r w:rsidR="000B34B9" w:rsidRPr="00603AF4">
        <w:rPr>
          <w:rFonts w:ascii="Arial" w:hAnsi="Arial" w:cs="Arial"/>
          <w:szCs w:val="24"/>
        </w:rPr>
        <w:t>, particularly where those activities could pose a risk of exploitation, violence or abuse against people with disability.</w:t>
      </w:r>
    </w:p>
    <w:p w14:paraId="16B14C10" w14:textId="77777777" w:rsidR="00E6292B" w:rsidRPr="00603AF4" w:rsidRDefault="00E6292B" w:rsidP="0057192D">
      <w:pPr>
        <w:jc w:val="both"/>
        <w:rPr>
          <w:rFonts w:ascii="Arial" w:hAnsi="Arial" w:cs="Arial"/>
          <w:b/>
          <w:szCs w:val="24"/>
        </w:rPr>
      </w:pPr>
      <w:r w:rsidRPr="00603AF4">
        <w:rPr>
          <w:rFonts w:ascii="Arial" w:hAnsi="Arial" w:cs="Arial"/>
          <w:b/>
          <w:szCs w:val="24"/>
        </w:rPr>
        <w:t>Conclusion</w:t>
      </w:r>
    </w:p>
    <w:p w14:paraId="6CA7699C" w14:textId="1024D3DE" w:rsidR="00E6292B" w:rsidRPr="00603AF4" w:rsidRDefault="00E6292B" w:rsidP="005C21C7">
      <w:pPr>
        <w:spacing w:after="200"/>
        <w:jc w:val="both"/>
        <w:rPr>
          <w:rStyle w:val="BookTitle"/>
          <w:rFonts w:ascii="Arial" w:hAnsi="Arial" w:cs="Arial"/>
          <w:i w:val="0"/>
          <w:iCs w:val="0"/>
          <w:smallCaps w:val="0"/>
          <w:spacing w:val="0"/>
          <w:szCs w:val="24"/>
        </w:rPr>
      </w:pPr>
      <w:r w:rsidRPr="00603AF4">
        <w:rPr>
          <w:rFonts w:ascii="Arial" w:hAnsi="Arial" w:cs="Arial"/>
          <w:szCs w:val="24"/>
        </w:rPr>
        <w:t>This instrument is compatible with human rights as it forms part of an overall legislative framework designed to deliver improved quality and safeguards for people with disability receiving supports and services</w:t>
      </w:r>
      <w:r w:rsidR="0057192D" w:rsidRPr="00603AF4">
        <w:rPr>
          <w:rFonts w:ascii="Arial" w:hAnsi="Arial" w:cs="Arial"/>
          <w:szCs w:val="24"/>
        </w:rPr>
        <w:t xml:space="preserve"> </w:t>
      </w:r>
      <w:r w:rsidR="0031622A" w:rsidRPr="00603AF4">
        <w:rPr>
          <w:rFonts w:ascii="Arial" w:hAnsi="Arial" w:cs="Arial"/>
          <w:szCs w:val="24"/>
        </w:rPr>
        <w:t>by</w:t>
      </w:r>
      <w:r w:rsidR="0057192D" w:rsidRPr="00603AF4">
        <w:rPr>
          <w:rFonts w:ascii="Arial" w:hAnsi="Arial" w:cs="Arial"/>
          <w:szCs w:val="24"/>
        </w:rPr>
        <w:t xml:space="preserve"> persons</w:t>
      </w:r>
      <w:r w:rsidRPr="00603AF4">
        <w:rPr>
          <w:rFonts w:ascii="Arial" w:hAnsi="Arial" w:cs="Arial"/>
          <w:szCs w:val="24"/>
        </w:rPr>
        <w:t xml:space="preserve"> funded under this Act. </w:t>
      </w:r>
      <w:bookmarkStart w:id="0" w:name="_GoBack"/>
      <w:bookmarkEnd w:id="0"/>
    </w:p>
    <w:sectPr w:rsidR="00E6292B" w:rsidRPr="00603AF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AD5B1" w14:textId="77777777" w:rsidR="00795CC3" w:rsidRDefault="00795CC3" w:rsidP="00AD1645">
      <w:pPr>
        <w:spacing w:before="0"/>
      </w:pPr>
      <w:r>
        <w:separator/>
      </w:r>
    </w:p>
  </w:endnote>
  <w:endnote w:type="continuationSeparator" w:id="0">
    <w:p w14:paraId="6411CB24" w14:textId="77777777" w:rsidR="00795CC3" w:rsidRDefault="00795CC3" w:rsidP="00AD1645">
      <w:pPr>
        <w:spacing w:before="0"/>
      </w:pPr>
      <w:r>
        <w:continuationSeparator/>
      </w:r>
    </w:p>
  </w:endnote>
  <w:endnote w:type="continuationNotice" w:id="1">
    <w:p w14:paraId="54739D26" w14:textId="77777777" w:rsidR="00795CC3" w:rsidRDefault="00795C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26EF" w14:textId="77777777" w:rsidR="00F8230E" w:rsidRDefault="00F82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518738"/>
      <w:docPartObj>
        <w:docPartGallery w:val="Page Numbers (Bottom of Page)"/>
        <w:docPartUnique/>
      </w:docPartObj>
    </w:sdtPr>
    <w:sdtEndPr>
      <w:rPr>
        <w:noProof/>
      </w:rPr>
    </w:sdtEndPr>
    <w:sdtContent>
      <w:p w14:paraId="6F53FA1D" w14:textId="1BE0D5D6" w:rsidR="00F8230E" w:rsidRDefault="00F8230E">
        <w:pPr>
          <w:pStyle w:val="Footer"/>
          <w:jc w:val="center"/>
        </w:pPr>
        <w:r>
          <w:fldChar w:fldCharType="begin"/>
        </w:r>
        <w:r>
          <w:instrText xml:space="preserve"> PAGE   \* MERGEFORMAT </w:instrText>
        </w:r>
        <w:r>
          <w:fldChar w:fldCharType="separate"/>
        </w:r>
        <w:r w:rsidR="005C21C7">
          <w:rPr>
            <w:noProof/>
          </w:rPr>
          <w:t>2</w:t>
        </w:r>
        <w:r>
          <w:rPr>
            <w:noProof/>
          </w:rPr>
          <w:fldChar w:fldCharType="end"/>
        </w:r>
      </w:p>
    </w:sdtContent>
  </w:sdt>
  <w:p w14:paraId="437A5BAC" w14:textId="77777777" w:rsidR="00F8230E" w:rsidRDefault="00F82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30C6" w14:textId="77777777" w:rsidR="00F8230E" w:rsidRDefault="00F82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9BF2" w14:textId="77777777" w:rsidR="00795CC3" w:rsidRDefault="00795CC3" w:rsidP="00AD1645">
      <w:pPr>
        <w:spacing w:before="0"/>
      </w:pPr>
      <w:r>
        <w:separator/>
      </w:r>
    </w:p>
  </w:footnote>
  <w:footnote w:type="continuationSeparator" w:id="0">
    <w:p w14:paraId="6196FE1C" w14:textId="77777777" w:rsidR="00795CC3" w:rsidRDefault="00795CC3" w:rsidP="00AD1645">
      <w:pPr>
        <w:spacing w:before="0"/>
      </w:pPr>
      <w:r>
        <w:continuationSeparator/>
      </w:r>
    </w:p>
  </w:footnote>
  <w:footnote w:type="continuationNotice" w:id="1">
    <w:p w14:paraId="16364AF1" w14:textId="77777777" w:rsidR="00795CC3" w:rsidRDefault="00795CC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175D5" w14:textId="77777777" w:rsidR="00F8230E" w:rsidRDefault="00F82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7364" w14:textId="77777777" w:rsidR="00F8230E" w:rsidRDefault="00F82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3316" w14:textId="77777777" w:rsidR="00F8230E" w:rsidRDefault="00F82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82F2E"/>
    <w:multiLevelType w:val="hybridMultilevel"/>
    <w:tmpl w:val="8AEAD88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D029F6"/>
    <w:multiLevelType w:val="hybridMultilevel"/>
    <w:tmpl w:val="47C81118"/>
    <w:lvl w:ilvl="0" w:tplc="95BEFD12">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BB17875"/>
    <w:multiLevelType w:val="hybridMultilevel"/>
    <w:tmpl w:val="F78C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01955"/>
    <w:multiLevelType w:val="hybridMultilevel"/>
    <w:tmpl w:val="0674D4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EDC7516"/>
    <w:multiLevelType w:val="hybridMultilevel"/>
    <w:tmpl w:val="36E8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BB3F17"/>
    <w:multiLevelType w:val="hybridMultilevel"/>
    <w:tmpl w:val="1CB47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4"/>
  </w:num>
  <w:num w:numId="5">
    <w:abstractNumId w:val="13"/>
  </w:num>
  <w:num w:numId="6">
    <w:abstractNumId w:val="1"/>
  </w:num>
  <w:num w:numId="7">
    <w:abstractNumId w:val="10"/>
  </w:num>
  <w:num w:numId="8">
    <w:abstractNumId w:val="17"/>
  </w:num>
  <w:num w:numId="9">
    <w:abstractNumId w:val="8"/>
  </w:num>
  <w:num w:numId="10">
    <w:abstractNumId w:val="18"/>
  </w:num>
  <w:num w:numId="11">
    <w:abstractNumId w:val="2"/>
  </w:num>
  <w:num w:numId="12">
    <w:abstractNumId w:val="5"/>
  </w:num>
  <w:num w:numId="13">
    <w:abstractNumId w:val="0"/>
  </w:num>
  <w:num w:numId="14">
    <w:abstractNumId w:val="9"/>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num>
  <w:num w:numId="19">
    <w:abstractNumId w:val="3"/>
  </w:num>
  <w:num w:numId="20">
    <w:abstractNumId w:val="15"/>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4B9"/>
    <w:rsid w:val="00000E2A"/>
    <w:rsid w:val="000034D9"/>
    <w:rsid w:val="00004004"/>
    <w:rsid w:val="0000668E"/>
    <w:rsid w:val="0001690A"/>
    <w:rsid w:val="00021ED2"/>
    <w:rsid w:val="00024793"/>
    <w:rsid w:val="00030B79"/>
    <w:rsid w:val="00031D0B"/>
    <w:rsid w:val="00035D9B"/>
    <w:rsid w:val="00043B6D"/>
    <w:rsid w:val="00045BF2"/>
    <w:rsid w:val="00051C3F"/>
    <w:rsid w:val="00055251"/>
    <w:rsid w:val="00066DAE"/>
    <w:rsid w:val="00074C1A"/>
    <w:rsid w:val="000760DC"/>
    <w:rsid w:val="000844AF"/>
    <w:rsid w:val="00084B46"/>
    <w:rsid w:val="00085730"/>
    <w:rsid w:val="00096B8D"/>
    <w:rsid w:val="000A3595"/>
    <w:rsid w:val="000A772F"/>
    <w:rsid w:val="000B34B9"/>
    <w:rsid w:val="000B4130"/>
    <w:rsid w:val="000C2DDB"/>
    <w:rsid w:val="000C5204"/>
    <w:rsid w:val="000C6748"/>
    <w:rsid w:val="000D00A1"/>
    <w:rsid w:val="000D365F"/>
    <w:rsid w:val="000E02A0"/>
    <w:rsid w:val="000E3915"/>
    <w:rsid w:val="000F66F2"/>
    <w:rsid w:val="0010109C"/>
    <w:rsid w:val="0010483A"/>
    <w:rsid w:val="0011719D"/>
    <w:rsid w:val="001218A9"/>
    <w:rsid w:val="00126429"/>
    <w:rsid w:val="001310C6"/>
    <w:rsid w:val="001345FC"/>
    <w:rsid w:val="00140359"/>
    <w:rsid w:val="001502F9"/>
    <w:rsid w:val="0015134A"/>
    <w:rsid w:val="00152472"/>
    <w:rsid w:val="00157BAE"/>
    <w:rsid w:val="00163809"/>
    <w:rsid w:val="0016653C"/>
    <w:rsid w:val="00172A3B"/>
    <w:rsid w:val="00175BC6"/>
    <w:rsid w:val="00183061"/>
    <w:rsid w:val="0018738B"/>
    <w:rsid w:val="00187E3C"/>
    <w:rsid w:val="00191AEC"/>
    <w:rsid w:val="001920F3"/>
    <w:rsid w:val="00194971"/>
    <w:rsid w:val="001A3C2A"/>
    <w:rsid w:val="001A6FE2"/>
    <w:rsid w:val="001A737C"/>
    <w:rsid w:val="001B5379"/>
    <w:rsid w:val="001C0A38"/>
    <w:rsid w:val="001C64F9"/>
    <w:rsid w:val="001D69AF"/>
    <w:rsid w:val="001E0F21"/>
    <w:rsid w:val="001E51E9"/>
    <w:rsid w:val="001E5B72"/>
    <w:rsid w:val="001E5D12"/>
    <w:rsid w:val="001E630D"/>
    <w:rsid w:val="001E7422"/>
    <w:rsid w:val="001F4805"/>
    <w:rsid w:val="001F4E3C"/>
    <w:rsid w:val="001F72CE"/>
    <w:rsid w:val="00204321"/>
    <w:rsid w:val="00204FA5"/>
    <w:rsid w:val="002154EE"/>
    <w:rsid w:val="00223E7A"/>
    <w:rsid w:val="00224887"/>
    <w:rsid w:val="002329E1"/>
    <w:rsid w:val="002334D9"/>
    <w:rsid w:val="00234F9E"/>
    <w:rsid w:val="00242FB3"/>
    <w:rsid w:val="0024465E"/>
    <w:rsid w:val="0024760C"/>
    <w:rsid w:val="002533F0"/>
    <w:rsid w:val="0025363D"/>
    <w:rsid w:val="00254BF8"/>
    <w:rsid w:val="002642C7"/>
    <w:rsid w:val="00264C31"/>
    <w:rsid w:val="002741BD"/>
    <w:rsid w:val="00274CAF"/>
    <w:rsid w:val="00276D06"/>
    <w:rsid w:val="00276F09"/>
    <w:rsid w:val="002810A5"/>
    <w:rsid w:val="00281F10"/>
    <w:rsid w:val="00283079"/>
    <w:rsid w:val="002926E3"/>
    <w:rsid w:val="002A0E63"/>
    <w:rsid w:val="002A2A71"/>
    <w:rsid w:val="002A523B"/>
    <w:rsid w:val="002A6007"/>
    <w:rsid w:val="002A63EA"/>
    <w:rsid w:val="002B0175"/>
    <w:rsid w:val="002B141D"/>
    <w:rsid w:val="002C0F57"/>
    <w:rsid w:val="002C1403"/>
    <w:rsid w:val="002C1938"/>
    <w:rsid w:val="002C2252"/>
    <w:rsid w:val="002C2656"/>
    <w:rsid w:val="002C4C76"/>
    <w:rsid w:val="002C6177"/>
    <w:rsid w:val="002D0F1C"/>
    <w:rsid w:val="002D35D8"/>
    <w:rsid w:val="002D4522"/>
    <w:rsid w:val="002D487C"/>
    <w:rsid w:val="002D7A90"/>
    <w:rsid w:val="002E0BB1"/>
    <w:rsid w:val="002E45E2"/>
    <w:rsid w:val="002E68EB"/>
    <w:rsid w:val="00300D8B"/>
    <w:rsid w:val="00302322"/>
    <w:rsid w:val="00304705"/>
    <w:rsid w:val="003063C9"/>
    <w:rsid w:val="003119FD"/>
    <w:rsid w:val="0031622A"/>
    <w:rsid w:val="0031666F"/>
    <w:rsid w:val="00323910"/>
    <w:rsid w:val="0033127B"/>
    <w:rsid w:val="00331C40"/>
    <w:rsid w:val="00334F9D"/>
    <w:rsid w:val="00337065"/>
    <w:rsid w:val="003430FC"/>
    <w:rsid w:val="003434E2"/>
    <w:rsid w:val="003446C0"/>
    <w:rsid w:val="00345FFE"/>
    <w:rsid w:val="0035378F"/>
    <w:rsid w:val="003606C5"/>
    <w:rsid w:val="00365424"/>
    <w:rsid w:val="00374A77"/>
    <w:rsid w:val="00380666"/>
    <w:rsid w:val="003817B3"/>
    <w:rsid w:val="003859C2"/>
    <w:rsid w:val="00387D89"/>
    <w:rsid w:val="00392EB6"/>
    <w:rsid w:val="00393032"/>
    <w:rsid w:val="00393D4E"/>
    <w:rsid w:val="00394743"/>
    <w:rsid w:val="003A04AD"/>
    <w:rsid w:val="003A51C2"/>
    <w:rsid w:val="003B2BB8"/>
    <w:rsid w:val="003B44E1"/>
    <w:rsid w:val="003C095C"/>
    <w:rsid w:val="003C1398"/>
    <w:rsid w:val="003C3368"/>
    <w:rsid w:val="003C54B6"/>
    <w:rsid w:val="003D34FF"/>
    <w:rsid w:val="003D71F6"/>
    <w:rsid w:val="003E1784"/>
    <w:rsid w:val="003E4259"/>
    <w:rsid w:val="003F022C"/>
    <w:rsid w:val="003F525C"/>
    <w:rsid w:val="00400273"/>
    <w:rsid w:val="00420387"/>
    <w:rsid w:val="0042132E"/>
    <w:rsid w:val="00430A2B"/>
    <w:rsid w:val="00430E5E"/>
    <w:rsid w:val="004379B4"/>
    <w:rsid w:val="00446D6C"/>
    <w:rsid w:val="0045240C"/>
    <w:rsid w:val="00453FC9"/>
    <w:rsid w:val="00454405"/>
    <w:rsid w:val="00454FE8"/>
    <w:rsid w:val="00456FBD"/>
    <w:rsid w:val="00457792"/>
    <w:rsid w:val="004646E1"/>
    <w:rsid w:val="00470C3D"/>
    <w:rsid w:val="004726FF"/>
    <w:rsid w:val="004814F1"/>
    <w:rsid w:val="00482411"/>
    <w:rsid w:val="00485CCC"/>
    <w:rsid w:val="00493B37"/>
    <w:rsid w:val="0049522A"/>
    <w:rsid w:val="004956ED"/>
    <w:rsid w:val="0049646F"/>
    <w:rsid w:val="00497768"/>
    <w:rsid w:val="00497D7D"/>
    <w:rsid w:val="004A0C19"/>
    <w:rsid w:val="004A126A"/>
    <w:rsid w:val="004A24AF"/>
    <w:rsid w:val="004A2F22"/>
    <w:rsid w:val="004B06BC"/>
    <w:rsid w:val="004B079D"/>
    <w:rsid w:val="004B3147"/>
    <w:rsid w:val="004B54CA"/>
    <w:rsid w:val="004C0B32"/>
    <w:rsid w:val="004C163F"/>
    <w:rsid w:val="004D336A"/>
    <w:rsid w:val="004D5D40"/>
    <w:rsid w:val="004E0654"/>
    <w:rsid w:val="004E3A61"/>
    <w:rsid w:val="004E5CBF"/>
    <w:rsid w:val="004F1CD0"/>
    <w:rsid w:val="004F264A"/>
    <w:rsid w:val="004F5308"/>
    <w:rsid w:val="004F69ED"/>
    <w:rsid w:val="004F6F67"/>
    <w:rsid w:val="00504FE7"/>
    <w:rsid w:val="00511520"/>
    <w:rsid w:val="00527238"/>
    <w:rsid w:val="0053034D"/>
    <w:rsid w:val="005332C8"/>
    <w:rsid w:val="00540BD8"/>
    <w:rsid w:val="0055503B"/>
    <w:rsid w:val="00562CBC"/>
    <w:rsid w:val="00566538"/>
    <w:rsid w:val="00566BF6"/>
    <w:rsid w:val="00570884"/>
    <w:rsid w:val="0057192D"/>
    <w:rsid w:val="00575658"/>
    <w:rsid w:val="00576330"/>
    <w:rsid w:val="0057641C"/>
    <w:rsid w:val="005766D2"/>
    <w:rsid w:val="00591D1A"/>
    <w:rsid w:val="00594251"/>
    <w:rsid w:val="00594CC2"/>
    <w:rsid w:val="00596729"/>
    <w:rsid w:val="005B78FF"/>
    <w:rsid w:val="005C1691"/>
    <w:rsid w:val="005C21C7"/>
    <w:rsid w:val="005C390A"/>
    <w:rsid w:val="005C3AA9"/>
    <w:rsid w:val="005C54B4"/>
    <w:rsid w:val="005C78B2"/>
    <w:rsid w:val="005D1DB5"/>
    <w:rsid w:val="005E193A"/>
    <w:rsid w:val="005E2BA2"/>
    <w:rsid w:val="005E4167"/>
    <w:rsid w:val="005E4362"/>
    <w:rsid w:val="005E4607"/>
    <w:rsid w:val="005E6272"/>
    <w:rsid w:val="005E7375"/>
    <w:rsid w:val="005E7B26"/>
    <w:rsid w:val="005F12BD"/>
    <w:rsid w:val="005F41C9"/>
    <w:rsid w:val="005F5E17"/>
    <w:rsid w:val="00603AF4"/>
    <w:rsid w:val="0060448D"/>
    <w:rsid w:val="00614C63"/>
    <w:rsid w:val="00620404"/>
    <w:rsid w:val="00622668"/>
    <w:rsid w:val="00622B71"/>
    <w:rsid w:val="00622D63"/>
    <w:rsid w:val="00624E34"/>
    <w:rsid w:val="00632754"/>
    <w:rsid w:val="00632F44"/>
    <w:rsid w:val="00640057"/>
    <w:rsid w:val="006402A6"/>
    <w:rsid w:val="006407D3"/>
    <w:rsid w:val="0064167D"/>
    <w:rsid w:val="00644388"/>
    <w:rsid w:val="00650B9C"/>
    <w:rsid w:val="00650C1C"/>
    <w:rsid w:val="00652954"/>
    <w:rsid w:val="006546B7"/>
    <w:rsid w:val="006562AE"/>
    <w:rsid w:val="00656723"/>
    <w:rsid w:val="00663DD9"/>
    <w:rsid w:val="006643AB"/>
    <w:rsid w:val="006646C7"/>
    <w:rsid w:val="0067070B"/>
    <w:rsid w:val="00681C7F"/>
    <w:rsid w:val="00683FF5"/>
    <w:rsid w:val="00687351"/>
    <w:rsid w:val="0069245A"/>
    <w:rsid w:val="006931BB"/>
    <w:rsid w:val="006A1F70"/>
    <w:rsid w:val="006A2C29"/>
    <w:rsid w:val="006A4CE7"/>
    <w:rsid w:val="006A5D55"/>
    <w:rsid w:val="006A6D51"/>
    <w:rsid w:val="006C0544"/>
    <w:rsid w:val="006C5E5E"/>
    <w:rsid w:val="006D7E0F"/>
    <w:rsid w:val="006E1B19"/>
    <w:rsid w:val="006F0769"/>
    <w:rsid w:val="00701486"/>
    <w:rsid w:val="007041EE"/>
    <w:rsid w:val="00706218"/>
    <w:rsid w:val="00720E42"/>
    <w:rsid w:val="00733E95"/>
    <w:rsid w:val="0073766B"/>
    <w:rsid w:val="00762A05"/>
    <w:rsid w:val="007643C5"/>
    <w:rsid w:val="00771003"/>
    <w:rsid w:val="0077461F"/>
    <w:rsid w:val="0078126B"/>
    <w:rsid w:val="0078201B"/>
    <w:rsid w:val="00785261"/>
    <w:rsid w:val="007907A8"/>
    <w:rsid w:val="007938F3"/>
    <w:rsid w:val="00793BE2"/>
    <w:rsid w:val="0079557B"/>
    <w:rsid w:val="00795CC3"/>
    <w:rsid w:val="00797EA4"/>
    <w:rsid w:val="007A53DD"/>
    <w:rsid w:val="007B0256"/>
    <w:rsid w:val="007B69DD"/>
    <w:rsid w:val="007C4060"/>
    <w:rsid w:val="007C4B27"/>
    <w:rsid w:val="007C5234"/>
    <w:rsid w:val="007D3712"/>
    <w:rsid w:val="007D6273"/>
    <w:rsid w:val="007E4FAD"/>
    <w:rsid w:val="007F44F6"/>
    <w:rsid w:val="00805497"/>
    <w:rsid w:val="00807CD7"/>
    <w:rsid w:val="00815645"/>
    <w:rsid w:val="00816CFA"/>
    <w:rsid w:val="0083135C"/>
    <w:rsid w:val="008319A2"/>
    <w:rsid w:val="0083331E"/>
    <w:rsid w:val="00841C22"/>
    <w:rsid w:val="00860BE9"/>
    <w:rsid w:val="008669B7"/>
    <w:rsid w:val="008707FE"/>
    <w:rsid w:val="00871F28"/>
    <w:rsid w:val="008761FF"/>
    <w:rsid w:val="00880E92"/>
    <w:rsid w:val="008954BF"/>
    <w:rsid w:val="00896466"/>
    <w:rsid w:val="008A0722"/>
    <w:rsid w:val="008A251E"/>
    <w:rsid w:val="008A4F3D"/>
    <w:rsid w:val="008B026E"/>
    <w:rsid w:val="008B1AA5"/>
    <w:rsid w:val="008B4CF1"/>
    <w:rsid w:val="008B7BD7"/>
    <w:rsid w:val="008C14FF"/>
    <w:rsid w:val="008C2CB4"/>
    <w:rsid w:val="008D2D41"/>
    <w:rsid w:val="008D2FC2"/>
    <w:rsid w:val="008D59CA"/>
    <w:rsid w:val="008D68B6"/>
    <w:rsid w:val="008D7A97"/>
    <w:rsid w:val="008E1D0E"/>
    <w:rsid w:val="008E320A"/>
    <w:rsid w:val="008E75A9"/>
    <w:rsid w:val="008F5702"/>
    <w:rsid w:val="0090001F"/>
    <w:rsid w:val="0090702B"/>
    <w:rsid w:val="00911B86"/>
    <w:rsid w:val="009140F6"/>
    <w:rsid w:val="00915A96"/>
    <w:rsid w:val="009225F0"/>
    <w:rsid w:val="00925633"/>
    <w:rsid w:val="009269BD"/>
    <w:rsid w:val="00930624"/>
    <w:rsid w:val="009311B8"/>
    <w:rsid w:val="009322F2"/>
    <w:rsid w:val="00932E80"/>
    <w:rsid w:val="009332B3"/>
    <w:rsid w:val="00935A03"/>
    <w:rsid w:val="00936518"/>
    <w:rsid w:val="0093706F"/>
    <w:rsid w:val="009426E4"/>
    <w:rsid w:val="0094333D"/>
    <w:rsid w:val="00946730"/>
    <w:rsid w:val="00950ACB"/>
    <w:rsid w:val="0095196E"/>
    <w:rsid w:val="009537D6"/>
    <w:rsid w:val="00956519"/>
    <w:rsid w:val="009618DD"/>
    <w:rsid w:val="00966756"/>
    <w:rsid w:val="00966F79"/>
    <w:rsid w:val="00970C88"/>
    <w:rsid w:val="00985038"/>
    <w:rsid w:val="009860B7"/>
    <w:rsid w:val="00992B62"/>
    <w:rsid w:val="0099649B"/>
    <w:rsid w:val="00997374"/>
    <w:rsid w:val="009A4EAB"/>
    <w:rsid w:val="009A5D3E"/>
    <w:rsid w:val="009B2471"/>
    <w:rsid w:val="009B71A9"/>
    <w:rsid w:val="009C147F"/>
    <w:rsid w:val="009C3068"/>
    <w:rsid w:val="009C63A9"/>
    <w:rsid w:val="009C63B6"/>
    <w:rsid w:val="009D1BE5"/>
    <w:rsid w:val="009D397C"/>
    <w:rsid w:val="009E4D83"/>
    <w:rsid w:val="009E6CC4"/>
    <w:rsid w:val="009F3C43"/>
    <w:rsid w:val="00A06B72"/>
    <w:rsid w:val="00A079CE"/>
    <w:rsid w:val="00A27E85"/>
    <w:rsid w:val="00A375D4"/>
    <w:rsid w:val="00A37984"/>
    <w:rsid w:val="00A42690"/>
    <w:rsid w:val="00A4616D"/>
    <w:rsid w:val="00A6045B"/>
    <w:rsid w:val="00A63D74"/>
    <w:rsid w:val="00A63F35"/>
    <w:rsid w:val="00A66DD0"/>
    <w:rsid w:val="00A719D2"/>
    <w:rsid w:val="00A7615A"/>
    <w:rsid w:val="00A763EC"/>
    <w:rsid w:val="00A80F92"/>
    <w:rsid w:val="00A8767B"/>
    <w:rsid w:val="00A94C22"/>
    <w:rsid w:val="00A95B6C"/>
    <w:rsid w:val="00AA0935"/>
    <w:rsid w:val="00AA0F80"/>
    <w:rsid w:val="00AA37AC"/>
    <w:rsid w:val="00AA45C6"/>
    <w:rsid w:val="00AA51E7"/>
    <w:rsid w:val="00AA573E"/>
    <w:rsid w:val="00AB7356"/>
    <w:rsid w:val="00AC060E"/>
    <w:rsid w:val="00AC271F"/>
    <w:rsid w:val="00AC635D"/>
    <w:rsid w:val="00AC68AA"/>
    <w:rsid w:val="00AD1347"/>
    <w:rsid w:val="00AD1645"/>
    <w:rsid w:val="00AD69FE"/>
    <w:rsid w:val="00AD6F59"/>
    <w:rsid w:val="00AE11F6"/>
    <w:rsid w:val="00AE3176"/>
    <w:rsid w:val="00AE31B0"/>
    <w:rsid w:val="00AF0E6A"/>
    <w:rsid w:val="00B01538"/>
    <w:rsid w:val="00B04EB0"/>
    <w:rsid w:val="00B25A32"/>
    <w:rsid w:val="00B261D9"/>
    <w:rsid w:val="00B3089F"/>
    <w:rsid w:val="00B33E33"/>
    <w:rsid w:val="00B376E6"/>
    <w:rsid w:val="00B44122"/>
    <w:rsid w:val="00B52B87"/>
    <w:rsid w:val="00B53BD5"/>
    <w:rsid w:val="00B54C30"/>
    <w:rsid w:val="00B54DF4"/>
    <w:rsid w:val="00B57278"/>
    <w:rsid w:val="00B57F0C"/>
    <w:rsid w:val="00B6472A"/>
    <w:rsid w:val="00B708D8"/>
    <w:rsid w:val="00B73680"/>
    <w:rsid w:val="00B74531"/>
    <w:rsid w:val="00B777D9"/>
    <w:rsid w:val="00B821A0"/>
    <w:rsid w:val="00BA2DB9"/>
    <w:rsid w:val="00BA45DD"/>
    <w:rsid w:val="00BB0D37"/>
    <w:rsid w:val="00BB2A8E"/>
    <w:rsid w:val="00BC35F6"/>
    <w:rsid w:val="00BC76EB"/>
    <w:rsid w:val="00BD25AE"/>
    <w:rsid w:val="00BD6A58"/>
    <w:rsid w:val="00BD7E9D"/>
    <w:rsid w:val="00BE56A0"/>
    <w:rsid w:val="00BE7148"/>
    <w:rsid w:val="00BF2FB3"/>
    <w:rsid w:val="00C06E47"/>
    <w:rsid w:val="00C21C68"/>
    <w:rsid w:val="00C24A16"/>
    <w:rsid w:val="00C2733D"/>
    <w:rsid w:val="00C3204C"/>
    <w:rsid w:val="00C3470C"/>
    <w:rsid w:val="00C37944"/>
    <w:rsid w:val="00C37BA8"/>
    <w:rsid w:val="00C41C32"/>
    <w:rsid w:val="00C4511C"/>
    <w:rsid w:val="00C455A2"/>
    <w:rsid w:val="00C559BF"/>
    <w:rsid w:val="00C66CFA"/>
    <w:rsid w:val="00C7238E"/>
    <w:rsid w:val="00C72F9F"/>
    <w:rsid w:val="00C77B41"/>
    <w:rsid w:val="00C833FC"/>
    <w:rsid w:val="00C8411E"/>
    <w:rsid w:val="00C86B4D"/>
    <w:rsid w:val="00C9636F"/>
    <w:rsid w:val="00CA1A93"/>
    <w:rsid w:val="00CA33B2"/>
    <w:rsid w:val="00CA3D78"/>
    <w:rsid w:val="00CA43C4"/>
    <w:rsid w:val="00CA6F15"/>
    <w:rsid w:val="00CB2C2B"/>
    <w:rsid w:val="00CB344C"/>
    <w:rsid w:val="00CB42CE"/>
    <w:rsid w:val="00CC55F4"/>
    <w:rsid w:val="00CC711E"/>
    <w:rsid w:val="00CC7EC4"/>
    <w:rsid w:val="00CD0DDB"/>
    <w:rsid w:val="00CD158E"/>
    <w:rsid w:val="00CE1802"/>
    <w:rsid w:val="00CF0527"/>
    <w:rsid w:val="00D1706F"/>
    <w:rsid w:val="00D2075E"/>
    <w:rsid w:val="00D21D83"/>
    <w:rsid w:val="00D243C5"/>
    <w:rsid w:val="00D304EE"/>
    <w:rsid w:val="00D3071D"/>
    <w:rsid w:val="00D31C51"/>
    <w:rsid w:val="00D367AA"/>
    <w:rsid w:val="00D37C2C"/>
    <w:rsid w:val="00D442A8"/>
    <w:rsid w:val="00D459E0"/>
    <w:rsid w:val="00D520A1"/>
    <w:rsid w:val="00D61C4B"/>
    <w:rsid w:val="00D631D0"/>
    <w:rsid w:val="00D648F3"/>
    <w:rsid w:val="00D708CA"/>
    <w:rsid w:val="00D70C17"/>
    <w:rsid w:val="00D72F4B"/>
    <w:rsid w:val="00D849AE"/>
    <w:rsid w:val="00D90769"/>
    <w:rsid w:val="00DA4043"/>
    <w:rsid w:val="00DB6E7A"/>
    <w:rsid w:val="00DC765C"/>
    <w:rsid w:val="00DD3BC1"/>
    <w:rsid w:val="00DD666D"/>
    <w:rsid w:val="00DE0717"/>
    <w:rsid w:val="00DE3A1F"/>
    <w:rsid w:val="00DE52CE"/>
    <w:rsid w:val="00E01E71"/>
    <w:rsid w:val="00E027AF"/>
    <w:rsid w:val="00E15CFF"/>
    <w:rsid w:val="00E17BE7"/>
    <w:rsid w:val="00E20801"/>
    <w:rsid w:val="00E230ED"/>
    <w:rsid w:val="00E23C53"/>
    <w:rsid w:val="00E32139"/>
    <w:rsid w:val="00E44FD4"/>
    <w:rsid w:val="00E45374"/>
    <w:rsid w:val="00E53D60"/>
    <w:rsid w:val="00E6292B"/>
    <w:rsid w:val="00E708B1"/>
    <w:rsid w:val="00E72DC6"/>
    <w:rsid w:val="00E745BB"/>
    <w:rsid w:val="00E7675B"/>
    <w:rsid w:val="00E850BC"/>
    <w:rsid w:val="00E85BF2"/>
    <w:rsid w:val="00E87016"/>
    <w:rsid w:val="00E907A4"/>
    <w:rsid w:val="00E90C52"/>
    <w:rsid w:val="00E9738E"/>
    <w:rsid w:val="00EA16F9"/>
    <w:rsid w:val="00EA2DDC"/>
    <w:rsid w:val="00EA3666"/>
    <w:rsid w:val="00EA677D"/>
    <w:rsid w:val="00EA6829"/>
    <w:rsid w:val="00EA76C2"/>
    <w:rsid w:val="00EB51BC"/>
    <w:rsid w:val="00EC0C59"/>
    <w:rsid w:val="00EC132F"/>
    <w:rsid w:val="00EC25F5"/>
    <w:rsid w:val="00EC47F6"/>
    <w:rsid w:val="00ED1D5E"/>
    <w:rsid w:val="00ED5531"/>
    <w:rsid w:val="00ED6613"/>
    <w:rsid w:val="00EE2764"/>
    <w:rsid w:val="00EE410C"/>
    <w:rsid w:val="00EE5E57"/>
    <w:rsid w:val="00EF0862"/>
    <w:rsid w:val="00EF54F0"/>
    <w:rsid w:val="00EF70DB"/>
    <w:rsid w:val="00F0013E"/>
    <w:rsid w:val="00F01AE6"/>
    <w:rsid w:val="00F0332B"/>
    <w:rsid w:val="00F0576D"/>
    <w:rsid w:val="00F108ED"/>
    <w:rsid w:val="00F15CAE"/>
    <w:rsid w:val="00F171F1"/>
    <w:rsid w:val="00F21958"/>
    <w:rsid w:val="00F227A4"/>
    <w:rsid w:val="00F328DA"/>
    <w:rsid w:val="00F35271"/>
    <w:rsid w:val="00F35580"/>
    <w:rsid w:val="00F41304"/>
    <w:rsid w:val="00F44CFB"/>
    <w:rsid w:val="00F502A9"/>
    <w:rsid w:val="00F52853"/>
    <w:rsid w:val="00F61A88"/>
    <w:rsid w:val="00F61D6D"/>
    <w:rsid w:val="00F65E0E"/>
    <w:rsid w:val="00F754A3"/>
    <w:rsid w:val="00F8230E"/>
    <w:rsid w:val="00F925B9"/>
    <w:rsid w:val="00FA0A6C"/>
    <w:rsid w:val="00FA6F53"/>
    <w:rsid w:val="00FA7196"/>
    <w:rsid w:val="00FB030F"/>
    <w:rsid w:val="00FD2F20"/>
    <w:rsid w:val="00FD368E"/>
    <w:rsid w:val="00FD6BF4"/>
    <w:rsid w:val="00FD7A80"/>
    <w:rsid w:val="00FE2E9F"/>
    <w:rsid w:val="00FE5C69"/>
    <w:rsid w:val="00FF20B0"/>
    <w:rsid w:val="00FF218B"/>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0EE16"/>
  <w15:docId w15:val="{1813D054-92FB-47DF-8504-556B6EA8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Bullet Point,Bullet point,Bullet points,CV text,Content descriptions,Dot pt,F5 List Paragraph,L,List Paragraph Number,List Paragraph1,List Paragraph11,List Paragraph111,Medium Grid 1 - Accent 21,Recommendation,Table 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B54DF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 Char,Bullet Point Char,Bullet point Char,Bullet points Char,CV text Char,Content descriptions Char,Dot pt Char,F5 List Paragraph Char,L Char,List Paragraph Number Char,List Paragraph1 Char,List Paragraph11 Char"/>
    <w:basedOn w:val="DefaultParagraphFont"/>
    <w:link w:val="ListParagraph"/>
    <w:uiPriority w:val="34"/>
    <w:qFormat/>
    <w:locked/>
    <w:rsid w:val="00E6292B"/>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9814">
      <w:bodyDiv w:val="1"/>
      <w:marLeft w:val="0"/>
      <w:marRight w:val="0"/>
      <w:marTop w:val="0"/>
      <w:marBottom w:val="0"/>
      <w:divBdr>
        <w:top w:val="none" w:sz="0" w:space="0" w:color="auto"/>
        <w:left w:val="none" w:sz="0" w:space="0" w:color="auto"/>
        <w:bottom w:val="none" w:sz="0" w:space="0" w:color="auto"/>
        <w:right w:val="none" w:sz="0" w:space="0" w:color="auto"/>
      </w:divBdr>
    </w:div>
    <w:div w:id="877543504">
      <w:bodyDiv w:val="1"/>
      <w:marLeft w:val="0"/>
      <w:marRight w:val="0"/>
      <w:marTop w:val="0"/>
      <w:marBottom w:val="0"/>
      <w:divBdr>
        <w:top w:val="none" w:sz="0" w:space="0" w:color="auto"/>
        <w:left w:val="none" w:sz="0" w:space="0" w:color="auto"/>
        <w:bottom w:val="none" w:sz="0" w:space="0" w:color="auto"/>
        <w:right w:val="none" w:sz="0" w:space="0" w:color="auto"/>
      </w:divBdr>
    </w:div>
    <w:div w:id="1242329233">
      <w:bodyDiv w:val="1"/>
      <w:marLeft w:val="0"/>
      <w:marRight w:val="0"/>
      <w:marTop w:val="0"/>
      <w:marBottom w:val="0"/>
      <w:divBdr>
        <w:top w:val="none" w:sz="0" w:space="0" w:color="auto"/>
        <w:left w:val="none" w:sz="0" w:space="0" w:color="auto"/>
        <w:bottom w:val="none" w:sz="0" w:space="0" w:color="auto"/>
        <w:right w:val="none" w:sz="0" w:space="0" w:color="auto"/>
      </w:divBdr>
    </w:div>
    <w:div w:id="1535192419">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5CEE9D1-FC27-4F37-8650-98041FA89B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8BCB650ABBC42B5878914DFBEDCA3" ma:contentTypeVersion="" ma:contentTypeDescription="PDMS Document Site Content Type" ma:contentTypeScope="" ma:versionID="8f327fde12ad7bd61cb9d10cf0de278e">
  <xsd:schema xmlns:xsd="http://www.w3.org/2001/XMLSchema" xmlns:xs="http://www.w3.org/2001/XMLSchema" xmlns:p="http://schemas.microsoft.com/office/2006/metadata/properties" xmlns:ns2="55CEE9D1-FC27-4F37-8650-98041FA89B6F" targetNamespace="http://schemas.microsoft.com/office/2006/metadata/properties" ma:root="true" ma:fieldsID="8c0380084f1e2fe083cf95dfa6c4a13a" ns2:_="">
    <xsd:import namespace="55CEE9D1-FC27-4F37-8650-98041FA89B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EE9D1-FC27-4F37-8650-98041FA89B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0518-0BE9-43D2-92F3-F60039E0A86A}">
  <ds:schemaRefs>
    <ds:schemaRef ds:uri="http://schemas.microsoft.com/office/2006/metadata/properties"/>
    <ds:schemaRef ds:uri="http://schemas.microsoft.com/office/infopath/2007/PartnerControls"/>
    <ds:schemaRef ds:uri="55CEE9D1-FC27-4F37-8650-98041FA89B6F"/>
  </ds:schemaRefs>
</ds:datastoreItem>
</file>

<file path=customXml/itemProps2.xml><?xml version="1.0" encoding="utf-8"?>
<ds:datastoreItem xmlns:ds="http://schemas.openxmlformats.org/officeDocument/2006/customXml" ds:itemID="{FF1403D4-97EB-4EAC-AB11-6F8578E3C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EE9D1-FC27-4F37-8650-98041FA89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7B9DB-974A-4BA9-B28E-0D04D95DC111}">
  <ds:schemaRefs>
    <ds:schemaRef ds:uri="http://schemas.microsoft.com/sharepoint/v3/contenttype/forms"/>
  </ds:schemaRefs>
</ds:datastoreItem>
</file>

<file path=customXml/itemProps4.xml><?xml version="1.0" encoding="utf-8"?>
<ds:datastoreItem xmlns:ds="http://schemas.openxmlformats.org/officeDocument/2006/customXml" ds:itemID="{FA54B384-C531-447F-9BFB-D64A0495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1472</Words>
  <Characters>8283</Characters>
  <Application>Microsoft Office Word</Application>
  <DocSecurity>0</DocSecurity>
  <Lines>151</Lines>
  <Paragraphs>59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cp:keywords>
  <cp:lastModifiedBy>BROWN, Caitlin</cp:lastModifiedBy>
  <cp:revision>4</cp:revision>
  <cp:lastPrinted>2016-04-08T01:41:00Z</cp:lastPrinted>
  <dcterms:created xsi:type="dcterms:W3CDTF">2023-12-21T22:48:00Z</dcterms:created>
  <dcterms:modified xsi:type="dcterms:W3CDTF">2023-12-21T23:00:00Z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8AF19626AA03483F8193A69578BEB4E3</vt:lpwstr>
  </property>
  <property fmtid="{D5CDD505-2E9C-101B-9397-08002B2CF9AE}" pid="9" name="PM_ProtectiveMarkingValue_Footer">
    <vt:lpwstr>OFFICIAL</vt:lpwstr>
  </property>
  <property fmtid="{D5CDD505-2E9C-101B-9397-08002B2CF9AE}" pid="10" name="PM_OriginationTimeStamp">
    <vt:lpwstr>2023-12-21T23:00:37Z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2018.0</vt:lpwstr>
  </property>
  <property fmtid="{D5CDD505-2E9C-101B-9397-08002B2CF9AE}" pid="19" name="PM_Hash_Salt_Prev">
    <vt:lpwstr>C24F8B1442AF0C1390739415A1857CFB</vt:lpwstr>
  </property>
  <property fmtid="{D5CDD505-2E9C-101B-9397-08002B2CF9AE}" pid="20" name="PM_Hash_Salt">
    <vt:lpwstr>7D264C9BC223BD1DA257D7631A56F500</vt:lpwstr>
  </property>
  <property fmtid="{D5CDD505-2E9C-101B-9397-08002B2CF9AE}" pid="21" name="PM_Hash_SHA1">
    <vt:lpwstr>EA60AA8643374DE00A1F069195C6EA782EC92093</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ContentTypeId">
    <vt:lpwstr>0x010100266966F133664895A6EE3632470D45F50024E8BCB650ABBC42B5878914DFBEDCA3</vt:lpwstr>
  </property>
  <property fmtid="{D5CDD505-2E9C-101B-9397-08002B2CF9AE}" pid="27" name="PM_Originator_Hash_SHA1">
    <vt:lpwstr>3FCA0F279EA2CE1590F710F4D9986086E3F3B88E</vt:lpwstr>
  </property>
  <property fmtid="{D5CDD505-2E9C-101B-9397-08002B2CF9AE}" pid="28" name="PM_OriginatorUserAccountName_SHA256">
    <vt:lpwstr>6822F99E6DE5605CCC28832AE3BE61F7B9BB21FD77E47A7F68E0ECE52B8112AE</vt:lpwstr>
  </property>
  <property fmtid="{D5CDD505-2E9C-101B-9397-08002B2CF9AE}" pid="29" name="Order">
    <vt:lpwstr>2200.00000000000</vt:lpwstr>
  </property>
  <property fmtid="{D5CDD505-2E9C-101B-9397-08002B2CF9AE}" pid="30" name="ResponseType">
    <vt:lpwstr>Ministerial Correspondence</vt:lpwstr>
  </property>
  <property fmtid="{D5CDD505-2E9C-101B-9397-08002B2CF9AE}" pid="31" name="PdrLibraryTypeName">
    <vt:lpwstr>MC</vt:lpwstr>
  </property>
  <property fmtid="{D5CDD505-2E9C-101B-9397-08002B2CF9AE}" pid="32" name="PriorityLevel">
    <vt:lpwstr>1</vt:lpwstr>
  </property>
  <property fmtid="{D5CDD505-2E9C-101B-9397-08002B2CF9AE}" pid="33" name="ReplyLevel">
    <vt:lpwstr>55</vt:lpwstr>
  </property>
  <property fmtid="{D5CDD505-2E9C-101B-9397-08002B2CF9AE}" pid="34" name="Priority">
    <vt:lpwstr>1</vt:lpwstr>
  </property>
</Properties>
</file>