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072964B3" w14:textId="77777777" w:rsidR="00C31924" w:rsidRPr="00F765F9" w:rsidRDefault="00C31924" w:rsidP="00C31924">
      <w:pPr>
        <w:jc w:val="center"/>
        <w:rPr>
          <w:rFonts w:ascii="Times New Roman" w:hAnsi="Times New Roman" w:cs="Times New Roman"/>
          <w:i/>
          <w:iCs/>
        </w:rPr>
      </w:pPr>
      <w:r>
        <w:rPr>
          <w:rFonts w:ascii="Times New Roman" w:hAnsi="Times New Roman" w:cs="Times New Roman"/>
          <w:i/>
          <w:iCs/>
        </w:rPr>
        <w:t>Radiocommunications Act 1992</w:t>
      </w:r>
    </w:p>
    <w:p w14:paraId="3E70F89F" w14:textId="0DF542B0" w:rsidR="004D2843" w:rsidRPr="00641906" w:rsidRDefault="00C31924" w:rsidP="004D2843">
      <w:pPr>
        <w:jc w:val="center"/>
        <w:rPr>
          <w:rFonts w:ascii="Times New Roman" w:hAnsi="Times New Roman" w:cs="Times New Roman"/>
          <w:b/>
          <w:i/>
        </w:rPr>
      </w:pPr>
      <w:bookmarkStart w:id="0" w:name="_Hlk152592025"/>
      <w:r w:rsidRPr="00C31924">
        <w:rPr>
          <w:rFonts w:ascii="Times New Roman" w:hAnsi="Times New Roman" w:cs="Times New Roman"/>
          <w:b/>
          <w:i/>
        </w:rPr>
        <w:t>Radiocommunications (Communication with Space Object) Class Licence Variation 2023 (No. 1)</w:t>
      </w:r>
    </w:p>
    <w:bookmarkEnd w:id="0"/>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0D7BCD0E" w14:textId="639D3377" w:rsidR="00B54C45" w:rsidRPr="00B54C45" w:rsidRDefault="00B54C45" w:rsidP="00C31924">
      <w:pPr>
        <w:rPr>
          <w:rFonts w:ascii="Times New Roman" w:hAnsi="Times New Roman" w:cs="Times New Roman"/>
        </w:rPr>
      </w:pPr>
      <w:r w:rsidRPr="00B54C45">
        <w:rPr>
          <w:rFonts w:ascii="Times New Roman" w:hAnsi="Times New Roman" w:cs="Times New Roman"/>
        </w:rPr>
        <w:t xml:space="preserve">The Australian Communications and Media Authority (the </w:t>
      </w:r>
      <w:r w:rsidRPr="004409AF">
        <w:rPr>
          <w:rFonts w:ascii="Times New Roman" w:hAnsi="Times New Roman" w:cs="Times New Roman"/>
          <w:b/>
          <w:bCs/>
        </w:rPr>
        <w:t>ACMA</w:t>
      </w:r>
      <w:r w:rsidRPr="00B54C45">
        <w:rPr>
          <w:rFonts w:ascii="Times New Roman" w:hAnsi="Times New Roman" w:cs="Times New Roman"/>
        </w:rPr>
        <w:t xml:space="preserve">) has made the </w:t>
      </w:r>
      <w:r w:rsidR="00C31924" w:rsidRPr="00C31924">
        <w:rPr>
          <w:rFonts w:ascii="Times New Roman" w:hAnsi="Times New Roman" w:cs="Times New Roman"/>
          <w:i/>
          <w:iCs/>
        </w:rPr>
        <w:t>Radiocommunications (Communication with Space Object) Class Licence Variation 2023 (No. 1)</w:t>
      </w:r>
      <w:r w:rsidR="00C31924">
        <w:rPr>
          <w:rFonts w:ascii="Times New Roman" w:hAnsi="Times New Roman" w:cs="Times New Roman"/>
          <w:i/>
          <w:iCs/>
        </w:rPr>
        <w:t xml:space="preserve"> </w:t>
      </w:r>
      <w:r w:rsidR="00C31924">
        <w:rPr>
          <w:rFonts w:ascii="Times New Roman" w:hAnsi="Times New Roman" w:cs="Times New Roman"/>
        </w:rPr>
        <w:t>th</w:t>
      </w:r>
      <w:r w:rsidRPr="00B54C45">
        <w:rPr>
          <w:rFonts w:ascii="Times New Roman" w:hAnsi="Times New Roman" w:cs="Times New Roman"/>
        </w:rPr>
        <w:t xml:space="preserve">e </w:t>
      </w:r>
      <w:r w:rsidR="00683940" w:rsidRPr="0086022B">
        <w:rPr>
          <w:rFonts w:ascii="Times New Roman" w:hAnsi="Times New Roman" w:cs="Times New Roman"/>
          <w:b/>
          <w:bCs/>
        </w:rPr>
        <w:t>variation</w:t>
      </w:r>
      <w:r w:rsidR="00683940">
        <w:rPr>
          <w:rFonts w:ascii="Times New Roman" w:hAnsi="Times New Roman" w:cs="Times New Roman"/>
        </w:rPr>
        <w:t xml:space="preserve"> </w:t>
      </w:r>
      <w:r w:rsidRPr="004409AF">
        <w:rPr>
          <w:rFonts w:ascii="Times New Roman" w:hAnsi="Times New Roman" w:cs="Times New Roman"/>
          <w:b/>
          <w:bCs/>
        </w:rPr>
        <w:t>instrument</w:t>
      </w:r>
      <w:r w:rsidRPr="00B54C45">
        <w:rPr>
          <w:rFonts w:ascii="Times New Roman" w:hAnsi="Times New Roman" w:cs="Times New Roman"/>
        </w:rPr>
        <w:t xml:space="preserve">) under </w:t>
      </w:r>
      <w:r w:rsidR="00B53EF6">
        <w:rPr>
          <w:rFonts w:ascii="Times New Roman" w:hAnsi="Times New Roman" w:cs="Times New Roman"/>
        </w:rPr>
        <w:t xml:space="preserve">subsection </w:t>
      </w:r>
      <w:r w:rsidR="00C31924" w:rsidRPr="00C31924">
        <w:rPr>
          <w:rFonts w:ascii="Times New Roman" w:hAnsi="Times New Roman" w:cs="Times New Roman"/>
        </w:rPr>
        <w:t xml:space="preserve">132(1) </w:t>
      </w:r>
      <w:r w:rsidRPr="00B54C45">
        <w:rPr>
          <w:rFonts w:ascii="Times New Roman" w:hAnsi="Times New Roman" w:cs="Times New Roman"/>
        </w:rPr>
        <w:t xml:space="preserve">of the </w:t>
      </w:r>
      <w:r w:rsidR="00C31924" w:rsidRPr="00601347">
        <w:rPr>
          <w:rFonts w:ascii="Times New Roman" w:hAnsi="Times New Roman" w:cs="Times New Roman"/>
          <w:i/>
        </w:rPr>
        <w:t>Radiocommunications Act 1992</w:t>
      </w:r>
      <w:r w:rsidRPr="00B54C45">
        <w:rPr>
          <w:rFonts w:ascii="Times New Roman" w:hAnsi="Times New Roman" w:cs="Times New Roman"/>
        </w:rPr>
        <w:t xml:space="preserve"> (the </w:t>
      </w:r>
      <w:r w:rsidRPr="00A31ED3">
        <w:rPr>
          <w:rFonts w:ascii="Times New Roman" w:hAnsi="Times New Roman" w:cs="Times New Roman"/>
          <w:b/>
          <w:bCs/>
        </w:rPr>
        <w:t>Act</w:t>
      </w:r>
      <w:r w:rsidRPr="00B54C45">
        <w:rPr>
          <w:rFonts w:ascii="Times New Roman" w:hAnsi="Times New Roman" w:cs="Times New Roman"/>
        </w:rPr>
        <w:t xml:space="preserve">) and subsection 33(3) of the </w:t>
      </w:r>
      <w:r w:rsidRPr="007C3382">
        <w:rPr>
          <w:rFonts w:ascii="Times New Roman" w:hAnsi="Times New Roman" w:cs="Times New Roman"/>
          <w:i/>
          <w:iCs/>
        </w:rPr>
        <w:t>Acts Interpretation Act 1901</w:t>
      </w:r>
      <w:r w:rsidRPr="00B54C45">
        <w:rPr>
          <w:rFonts w:ascii="Times New Roman" w:hAnsi="Times New Roman" w:cs="Times New Roman"/>
        </w:rPr>
        <w:t xml:space="preserve"> (the </w:t>
      </w:r>
      <w:r w:rsidRPr="007C3382">
        <w:rPr>
          <w:rFonts w:ascii="Times New Roman" w:hAnsi="Times New Roman" w:cs="Times New Roman"/>
          <w:b/>
          <w:bCs/>
        </w:rPr>
        <w:t>AIA</w:t>
      </w:r>
      <w:r w:rsidRPr="00B54C45">
        <w:rPr>
          <w:rFonts w:ascii="Times New Roman" w:hAnsi="Times New Roman" w:cs="Times New Roman"/>
        </w:rPr>
        <w:t>).</w:t>
      </w:r>
    </w:p>
    <w:p w14:paraId="5B267903" w14:textId="451631BE" w:rsidR="00A6690B" w:rsidRDefault="00FC6713" w:rsidP="00C31924">
      <w:pPr>
        <w:rPr>
          <w:rFonts w:ascii="Times New Roman" w:hAnsi="Times New Roman" w:cs="Times New Roman"/>
        </w:rPr>
      </w:pPr>
      <w:r w:rsidRPr="00FC6713">
        <w:rPr>
          <w:rFonts w:ascii="Times New Roman" w:hAnsi="Times New Roman" w:cs="Times New Roman"/>
        </w:rPr>
        <w:t xml:space="preserve">Subsection 132(1) of the Act provides that the ACMA may, by legislative instrument, issue class licences. </w:t>
      </w:r>
      <w:r w:rsidR="00B54C45" w:rsidRPr="00B54C45">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329F9F28" w14:textId="66561B9B"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 xml:space="preserve">of the </w:t>
      </w:r>
      <w:r w:rsidR="00683940">
        <w:rPr>
          <w:rFonts w:ascii="Times New Roman" w:hAnsi="Times New Roman" w:cs="Times New Roman"/>
          <w:b/>
        </w:rPr>
        <w:t xml:space="preserve">variation </w:t>
      </w:r>
      <w:r w:rsidRPr="00C57E29">
        <w:rPr>
          <w:rFonts w:ascii="Times New Roman" w:hAnsi="Times New Roman" w:cs="Times New Roman"/>
          <w:b/>
        </w:rPr>
        <w:t>instrument</w:t>
      </w:r>
    </w:p>
    <w:p w14:paraId="54F93C66" w14:textId="02304F1B" w:rsidR="00FC6713" w:rsidRPr="00FC6713" w:rsidRDefault="00FC6713" w:rsidP="00FC6713">
      <w:pPr>
        <w:spacing w:after="40"/>
        <w:rPr>
          <w:rFonts w:ascii="Times New Roman" w:hAnsi="Times New Roman" w:cs="Times New Roman"/>
        </w:rPr>
      </w:pPr>
      <w:r w:rsidRPr="00FC6713">
        <w:rPr>
          <w:rFonts w:ascii="Times New Roman" w:hAnsi="Times New Roman" w:cs="Times New Roman"/>
        </w:rPr>
        <w:t xml:space="preserve">The purpose of the </w:t>
      </w:r>
      <w:r w:rsidR="00683940">
        <w:rPr>
          <w:rFonts w:ascii="Times New Roman" w:hAnsi="Times New Roman" w:cs="Times New Roman"/>
        </w:rPr>
        <w:t xml:space="preserve">variation </w:t>
      </w:r>
      <w:r w:rsidRPr="00FC6713">
        <w:rPr>
          <w:rFonts w:ascii="Times New Roman" w:hAnsi="Times New Roman" w:cs="Times New Roman"/>
        </w:rPr>
        <w:t xml:space="preserve">instrument is to vary the </w:t>
      </w:r>
      <w:r w:rsidRPr="002A6591">
        <w:rPr>
          <w:rFonts w:ascii="Times New Roman" w:hAnsi="Times New Roman" w:cs="Times New Roman"/>
          <w:i/>
          <w:iCs/>
        </w:rPr>
        <w:t>Radiocommunications (Communication with Space Object) Class Licence 2015</w:t>
      </w:r>
      <w:r w:rsidRPr="00FC6713">
        <w:rPr>
          <w:rFonts w:ascii="Times New Roman" w:hAnsi="Times New Roman" w:cs="Times New Roman"/>
        </w:rPr>
        <w:t xml:space="preserve"> (the </w:t>
      </w:r>
      <w:r w:rsidRPr="0011696E">
        <w:rPr>
          <w:rFonts w:ascii="Times New Roman" w:hAnsi="Times New Roman" w:cs="Times New Roman"/>
          <w:b/>
          <w:bCs/>
        </w:rPr>
        <w:t>Space Object Class Licence</w:t>
      </w:r>
      <w:r w:rsidRPr="00FC6713">
        <w:rPr>
          <w:rFonts w:ascii="Times New Roman" w:hAnsi="Times New Roman" w:cs="Times New Roman"/>
        </w:rPr>
        <w:t xml:space="preserve">) to add new frequency ranges to the list of frequencies specified for the operation of stations as authorised by the Space Object Class Licence. The </w:t>
      </w:r>
      <w:r w:rsidR="00683940">
        <w:rPr>
          <w:rFonts w:ascii="Times New Roman" w:hAnsi="Times New Roman" w:cs="Times New Roman"/>
        </w:rPr>
        <w:t xml:space="preserve">variation </w:t>
      </w:r>
      <w:r w:rsidRPr="00FC6713">
        <w:rPr>
          <w:rFonts w:ascii="Times New Roman" w:hAnsi="Times New Roman" w:cs="Times New Roman"/>
        </w:rPr>
        <w:t xml:space="preserve">instrument also </w:t>
      </w:r>
      <w:r w:rsidR="00EB424F">
        <w:rPr>
          <w:rFonts w:ascii="Times New Roman" w:hAnsi="Times New Roman" w:cs="Times New Roman"/>
        </w:rPr>
        <w:t xml:space="preserve">updates the reference to </w:t>
      </w:r>
      <w:r w:rsidRPr="00FC6713">
        <w:rPr>
          <w:rFonts w:ascii="Times New Roman" w:hAnsi="Times New Roman" w:cs="Times New Roman"/>
        </w:rPr>
        <w:t xml:space="preserve">the </w:t>
      </w:r>
      <w:r w:rsidRPr="00EB424F">
        <w:rPr>
          <w:rFonts w:ascii="Times New Roman" w:hAnsi="Times New Roman" w:cs="Times New Roman"/>
          <w:i/>
          <w:iCs/>
        </w:rPr>
        <w:t>Radiocommunications (Mid-West Radio Quiet Zone) Frequency Band Plan 2011</w:t>
      </w:r>
      <w:r w:rsidR="00EB424F">
        <w:rPr>
          <w:rFonts w:ascii="Times New Roman" w:hAnsi="Times New Roman" w:cs="Times New Roman"/>
        </w:rPr>
        <w:t xml:space="preserve">, which has been remade as the </w:t>
      </w:r>
      <w:r w:rsidR="00EB424F" w:rsidRPr="00EB424F">
        <w:rPr>
          <w:rFonts w:ascii="Times New Roman" w:hAnsi="Times New Roman" w:cs="Times New Roman"/>
          <w:i/>
          <w:iCs/>
        </w:rPr>
        <w:t>Radiocommunications (Australian Radio Quiet Zone Western Australia) Frequency Band Plan 2023</w:t>
      </w:r>
      <w:r w:rsidR="00EB424F" w:rsidRPr="00EB424F">
        <w:rPr>
          <w:rFonts w:ascii="Times New Roman" w:hAnsi="Times New Roman" w:cs="Times New Roman"/>
        </w:rPr>
        <w:t xml:space="preserve"> (the </w:t>
      </w:r>
      <w:bookmarkStart w:id="1" w:name="_Hlk150853666"/>
      <w:r w:rsidR="00EB424F" w:rsidRPr="0011696E">
        <w:rPr>
          <w:rFonts w:ascii="Times New Roman" w:hAnsi="Times New Roman" w:cs="Times New Roman"/>
          <w:b/>
          <w:bCs/>
        </w:rPr>
        <w:t xml:space="preserve">ARQZWA </w:t>
      </w:r>
      <w:bookmarkEnd w:id="1"/>
      <w:r w:rsidR="005D130A" w:rsidRPr="0011696E">
        <w:rPr>
          <w:rFonts w:ascii="Times New Roman" w:hAnsi="Times New Roman" w:cs="Times New Roman"/>
          <w:b/>
          <w:bCs/>
        </w:rPr>
        <w:t>B</w:t>
      </w:r>
      <w:r w:rsidR="00EB424F" w:rsidRPr="0011696E">
        <w:rPr>
          <w:rFonts w:ascii="Times New Roman" w:hAnsi="Times New Roman" w:cs="Times New Roman"/>
          <w:b/>
          <w:bCs/>
        </w:rPr>
        <w:t xml:space="preserve">and </w:t>
      </w:r>
      <w:r w:rsidR="005D130A" w:rsidRPr="0011696E">
        <w:rPr>
          <w:rFonts w:ascii="Times New Roman" w:hAnsi="Times New Roman" w:cs="Times New Roman"/>
          <w:b/>
          <w:bCs/>
        </w:rPr>
        <w:t>P</w:t>
      </w:r>
      <w:r w:rsidR="00EB424F" w:rsidRPr="0011696E">
        <w:rPr>
          <w:rFonts w:ascii="Times New Roman" w:hAnsi="Times New Roman" w:cs="Times New Roman"/>
          <w:b/>
          <w:bCs/>
        </w:rPr>
        <w:t>lan</w:t>
      </w:r>
      <w:r w:rsidR="00EB424F" w:rsidRPr="00EB424F">
        <w:rPr>
          <w:rFonts w:ascii="Times New Roman" w:hAnsi="Times New Roman" w:cs="Times New Roman"/>
        </w:rPr>
        <w:t>)</w:t>
      </w:r>
      <w:r w:rsidRPr="00FC6713">
        <w:rPr>
          <w:rFonts w:ascii="Times New Roman" w:hAnsi="Times New Roman" w:cs="Times New Roman"/>
        </w:rPr>
        <w:t>.</w:t>
      </w:r>
    </w:p>
    <w:p w14:paraId="788EFC74" w14:textId="77777777" w:rsidR="00FC6713" w:rsidRPr="00FC6713" w:rsidRDefault="00FC6713" w:rsidP="00FC6713">
      <w:pPr>
        <w:spacing w:after="40"/>
        <w:rPr>
          <w:rFonts w:ascii="Times New Roman" w:hAnsi="Times New Roman" w:cs="Times New Roman"/>
        </w:rPr>
      </w:pPr>
    </w:p>
    <w:p w14:paraId="2077E175" w14:textId="466481FF" w:rsidR="00FC6713" w:rsidRPr="00FC6713" w:rsidRDefault="00FC6713" w:rsidP="00FC6713">
      <w:pPr>
        <w:spacing w:after="40"/>
        <w:rPr>
          <w:rFonts w:ascii="Times New Roman" w:hAnsi="Times New Roman" w:cs="Times New Roman"/>
        </w:rPr>
      </w:pPr>
      <w:r w:rsidRPr="00FC6713">
        <w:rPr>
          <w:rFonts w:ascii="Times New Roman" w:hAnsi="Times New Roman" w:cs="Times New Roman"/>
        </w:rPr>
        <w:t>The Space Object Class Licence contains the licence conditions, operational requirements and technical parameters associated with an earth station</w:t>
      </w:r>
      <w:r w:rsidR="00B53EF6">
        <w:rPr>
          <w:rFonts w:ascii="Times New Roman" w:hAnsi="Times New Roman" w:cs="Times New Roman"/>
        </w:rPr>
        <w:t xml:space="preserve"> or earth receive station</w:t>
      </w:r>
      <w:r w:rsidRPr="00FC6713">
        <w:rPr>
          <w:rFonts w:ascii="Times New Roman" w:hAnsi="Times New Roman" w:cs="Times New Roman"/>
        </w:rPr>
        <w:t xml:space="preserve"> communicating with a</w:t>
      </w:r>
      <w:r w:rsidR="00B53EF6">
        <w:rPr>
          <w:rFonts w:ascii="Times New Roman" w:hAnsi="Times New Roman" w:cs="Times New Roman"/>
        </w:rPr>
        <w:t xml:space="preserve"> station on a</w:t>
      </w:r>
      <w:r w:rsidRPr="00FC6713">
        <w:rPr>
          <w:rFonts w:ascii="Times New Roman" w:hAnsi="Times New Roman" w:cs="Times New Roman"/>
        </w:rPr>
        <w:t xml:space="preserve"> space object</w:t>
      </w:r>
      <w:r w:rsidR="00E24333">
        <w:rPr>
          <w:rFonts w:ascii="Times New Roman" w:hAnsi="Times New Roman" w:cs="Times New Roman"/>
        </w:rPr>
        <w:t>, or another station through a station on a space object,</w:t>
      </w:r>
      <w:r w:rsidRPr="00FC6713">
        <w:rPr>
          <w:rFonts w:ascii="Times New Roman" w:hAnsi="Times New Roman" w:cs="Times New Roman"/>
        </w:rPr>
        <w:t xml:space="preserve"> which is authorised by a space or space receive apparatus licence, in various segments of the radiofrequency spectrum.</w:t>
      </w:r>
    </w:p>
    <w:p w14:paraId="32110DF6" w14:textId="77777777" w:rsidR="00FC6713" w:rsidRPr="00FC6713" w:rsidRDefault="00FC6713" w:rsidP="00FC6713">
      <w:pPr>
        <w:spacing w:after="40"/>
        <w:rPr>
          <w:rFonts w:ascii="Times New Roman" w:hAnsi="Times New Roman" w:cs="Times New Roman"/>
        </w:rPr>
      </w:pPr>
    </w:p>
    <w:p w14:paraId="535162A5" w14:textId="723A766D" w:rsidR="00FC6713" w:rsidRDefault="00FC6713" w:rsidP="00FC6713">
      <w:pPr>
        <w:spacing w:after="40"/>
        <w:rPr>
          <w:rFonts w:ascii="Times New Roman" w:hAnsi="Times New Roman" w:cs="Times New Roman"/>
        </w:rPr>
      </w:pPr>
      <w:r w:rsidRPr="00FC6713">
        <w:rPr>
          <w:rFonts w:ascii="Times New Roman" w:hAnsi="Times New Roman" w:cs="Times New Roman"/>
        </w:rPr>
        <w:t xml:space="preserve">The </w:t>
      </w:r>
      <w:r w:rsidR="00683940">
        <w:rPr>
          <w:rFonts w:ascii="Times New Roman" w:hAnsi="Times New Roman" w:cs="Times New Roman"/>
        </w:rPr>
        <w:t xml:space="preserve">variation </w:t>
      </w:r>
      <w:r w:rsidRPr="00FC6713">
        <w:rPr>
          <w:rFonts w:ascii="Times New Roman" w:hAnsi="Times New Roman" w:cs="Times New Roman"/>
        </w:rPr>
        <w:t>instrument varies the Space Object Class Licence by:</w:t>
      </w:r>
    </w:p>
    <w:p w14:paraId="3AF23D39" w14:textId="5F3FA211" w:rsidR="00E24333" w:rsidRDefault="00FC6713" w:rsidP="00CD1275">
      <w:pPr>
        <w:pStyle w:val="ListParagraph"/>
        <w:numPr>
          <w:ilvl w:val="0"/>
          <w:numId w:val="14"/>
        </w:numPr>
        <w:spacing w:before="40"/>
        <w:ind w:left="1077" w:hanging="357"/>
        <w:rPr>
          <w:rFonts w:ascii="Times New Roman" w:hAnsi="Times New Roman" w:cs="Times New Roman"/>
        </w:rPr>
      </w:pPr>
      <w:r w:rsidRPr="00FC6713">
        <w:rPr>
          <w:rFonts w:ascii="Times New Roman" w:hAnsi="Times New Roman" w:cs="Times New Roman"/>
        </w:rPr>
        <w:t xml:space="preserve">inserting </w:t>
      </w:r>
      <w:r w:rsidR="00E24333">
        <w:rPr>
          <w:rFonts w:ascii="Times New Roman" w:hAnsi="Times New Roman" w:cs="Times New Roman"/>
        </w:rPr>
        <w:t xml:space="preserve">a </w:t>
      </w:r>
      <w:r w:rsidRPr="00FC6713">
        <w:rPr>
          <w:rFonts w:ascii="Times New Roman" w:hAnsi="Times New Roman" w:cs="Times New Roman"/>
        </w:rPr>
        <w:t>new frequency range</w:t>
      </w:r>
      <w:r w:rsidR="00E24333">
        <w:rPr>
          <w:rFonts w:ascii="Times New Roman" w:hAnsi="Times New Roman" w:cs="Times New Roman"/>
        </w:rPr>
        <w:t xml:space="preserve"> of</w:t>
      </w:r>
      <w:r w:rsidRPr="00FC6713">
        <w:rPr>
          <w:rFonts w:ascii="Times New Roman" w:hAnsi="Times New Roman" w:cs="Times New Roman"/>
        </w:rPr>
        <w:t xml:space="preserve"> </w:t>
      </w:r>
      <w:r w:rsidR="00CD1275">
        <w:rPr>
          <w:rFonts w:ascii="Times New Roman" w:hAnsi="Times New Roman" w:cs="Times New Roman"/>
        </w:rPr>
        <w:t xml:space="preserve">1668 </w:t>
      </w:r>
      <w:r w:rsidRPr="00FC6713">
        <w:rPr>
          <w:rFonts w:ascii="Times New Roman" w:hAnsi="Times New Roman" w:cs="Times New Roman"/>
        </w:rPr>
        <w:t>–</w:t>
      </w:r>
      <w:r w:rsidR="00CD1275">
        <w:rPr>
          <w:rFonts w:ascii="Times New Roman" w:hAnsi="Times New Roman" w:cs="Times New Roman"/>
        </w:rPr>
        <w:t xml:space="preserve"> 1675</w:t>
      </w:r>
      <w:r w:rsidRPr="00FC6713">
        <w:rPr>
          <w:rFonts w:ascii="Times New Roman" w:hAnsi="Times New Roman" w:cs="Times New Roman"/>
        </w:rPr>
        <w:t xml:space="preserve"> </w:t>
      </w:r>
      <w:r w:rsidR="00CD1275">
        <w:rPr>
          <w:rFonts w:ascii="Times New Roman" w:hAnsi="Times New Roman" w:cs="Times New Roman"/>
        </w:rPr>
        <w:t>M</w:t>
      </w:r>
      <w:r w:rsidRPr="00FC6713">
        <w:rPr>
          <w:rFonts w:ascii="Times New Roman" w:hAnsi="Times New Roman" w:cs="Times New Roman"/>
        </w:rPr>
        <w:t>Hz in the list of frequencies authorised for transmission of radio emissions by a</w:t>
      </w:r>
      <w:r w:rsidR="00B53EF6">
        <w:rPr>
          <w:rFonts w:ascii="Times New Roman" w:hAnsi="Times New Roman" w:cs="Times New Roman"/>
        </w:rPr>
        <w:t xml:space="preserve">n earth station </w:t>
      </w:r>
      <w:r w:rsidRPr="00FC6713">
        <w:rPr>
          <w:rFonts w:ascii="Times New Roman" w:hAnsi="Times New Roman" w:cs="Times New Roman"/>
        </w:rPr>
        <w:t>operating under the Space Object Class Licence</w:t>
      </w:r>
      <w:r w:rsidR="003113E8">
        <w:rPr>
          <w:rFonts w:ascii="Times New Roman" w:hAnsi="Times New Roman" w:cs="Times New Roman"/>
        </w:rPr>
        <w:t>;</w:t>
      </w:r>
      <w:r w:rsidR="00B53EF6">
        <w:rPr>
          <w:rFonts w:ascii="Times New Roman" w:hAnsi="Times New Roman" w:cs="Times New Roman"/>
        </w:rPr>
        <w:t xml:space="preserve"> </w:t>
      </w:r>
    </w:p>
    <w:p w14:paraId="77EA4236" w14:textId="49E0465A" w:rsidR="00FC6713" w:rsidRPr="00CD1275" w:rsidRDefault="00E24333" w:rsidP="00CD1275">
      <w:pPr>
        <w:pStyle w:val="ListParagraph"/>
        <w:numPr>
          <w:ilvl w:val="0"/>
          <w:numId w:val="14"/>
        </w:numPr>
        <w:spacing w:before="40"/>
        <w:ind w:left="1077" w:hanging="357"/>
        <w:rPr>
          <w:rFonts w:ascii="Times New Roman" w:hAnsi="Times New Roman" w:cs="Times New Roman"/>
        </w:rPr>
      </w:pPr>
      <w:r>
        <w:rPr>
          <w:rFonts w:ascii="Times New Roman" w:hAnsi="Times New Roman" w:cs="Times New Roman"/>
        </w:rPr>
        <w:t xml:space="preserve">inserting a new frequency range of 1518 </w:t>
      </w:r>
      <w:r w:rsidRPr="00FC6713">
        <w:rPr>
          <w:rFonts w:ascii="Times New Roman" w:hAnsi="Times New Roman" w:cs="Times New Roman"/>
        </w:rPr>
        <w:t>–</w:t>
      </w:r>
      <w:r>
        <w:rPr>
          <w:rFonts w:ascii="Times New Roman" w:hAnsi="Times New Roman" w:cs="Times New Roman"/>
        </w:rPr>
        <w:t xml:space="preserve"> 1525 MHz in the list of frequencies authorised for reception of radio emission</w:t>
      </w:r>
      <w:r w:rsidR="004A2A86">
        <w:rPr>
          <w:rFonts w:ascii="Times New Roman" w:hAnsi="Times New Roman" w:cs="Times New Roman"/>
        </w:rPr>
        <w:t>s</w:t>
      </w:r>
      <w:r>
        <w:rPr>
          <w:rFonts w:ascii="Times New Roman" w:hAnsi="Times New Roman" w:cs="Times New Roman"/>
        </w:rPr>
        <w:t xml:space="preserve"> by an earth receive station operating under the Space Object Class Licence</w:t>
      </w:r>
      <w:r w:rsidR="00FC6713" w:rsidRPr="00CD1275">
        <w:rPr>
          <w:rFonts w:ascii="Times New Roman" w:hAnsi="Times New Roman" w:cs="Times New Roman"/>
        </w:rPr>
        <w:t>.</w:t>
      </w:r>
    </w:p>
    <w:p w14:paraId="31ADEE9F" w14:textId="65120CD1" w:rsidR="003113E8" w:rsidRDefault="003113E8" w:rsidP="004D2843">
      <w:pPr>
        <w:rPr>
          <w:rFonts w:ascii="Times New Roman" w:hAnsi="Times New Roman" w:cs="Times New Roman"/>
        </w:rPr>
      </w:pPr>
      <w:r>
        <w:rPr>
          <w:rFonts w:ascii="Times New Roman" w:hAnsi="Times New Roman" w:cs="Times New Roman"/>
        </w:rPr>
        <w:t>These variations support the mobile-satellite service (</w:t>
      </w:r>
      <w:r w:rsidRPr="0011696E">
        <w:rPr>
          <w:rFonts w:ascii="Times New Roman" w:hAnsi="Times New Roman" w:cs="Times New Roman"/>
          <w:b/>
          <w:bCs/>
        </w:rPr>
        <w:t>MSS</w:t>
      </w:r>
      <w:r>
        <w:rPr>
          <w:rFonts w:ascii="Times New Roman" w:hAnsi="Times New Roman" w:cs="Times New Roman"/>
        </w:rPr>
        <w:t>).</w:t>
      </w:r>
    </w:p>
    <w:p w14:paraId="01173E68" w14:textId="360A53C2" w:rsidR="00805358" w:rsidRDefault="00025ACE" w:rsidP="004D2843">
      <w:pPr>
        <w:rPr>
          <w:rFonts w:ascii="Times New Roman" w:hAnsi="Times New Roman" w:cs="Times New Roman"/>
        </w:rPr>
      </w:pPr>
      <w:r>
        <w:rPr>
          <w:rFonts w:ascii="Times New Roman" w:hAnsi="Times New Roman" w:cs="Times New Roman"/>
        </w:rPr>
        <w:t xml:space="preserve">A provision-by-provision </w:t>
      </w:r>
      <w:r w:rsidR="00805358">
        <w:rPr>
          <w:rFonts w:ascii="Times New Roman" w:hAnsi="Times New Roman" w:cs="Times New Roman"/>
        </w:rPr>
        <w:t>description</w:t>
      </w:r>
      <w:r>
        <w:rPr>
          <w:rFonts w:ascii="Times New Roman" w:hAnsi="Times New Roman" w:cs="Times New Roman"/>
        </w:rPr>
        <w:t xml:space="preserve"> of the </w:t>
      </w:r>
      <w:r w:rsidR="00683940">
        <w:rPr>
          <w:rFonts w:ascii="Times New Roman" w:hAnsi="Times New Roman" w:cs="Times New Roman"/>
        </w:rPr>
        <w:t xml:space="preserve">variation </w:t>
      </w:r>
      <w:r>
        <w:rPr>
          <w:rFonts w:ascii="Times New Roman" w:hAnsi="Times New Roman" w:cs="Times New Roman"/>
        </w:rPr>
        <w:t xml:space="preserve">instrument is </w:t>
      </w:r>
      <w:r w:rsidR="00AD3414">
        <w:rPr>
          <w:rFonts w:ascii="Times New Roman" w:hAnsi="Times New Roman" w:cs="Times New Roman"/>
        </w:rPr>
        <w:t>set out</w:t>
      </w:r>
      <w:r w:rsidR="001C4BF8">
        <w:rPr>
          <w:rFonts w:ascii="Times New Roman" w:hAnsi="Times New Roman" w:cs="Times New Roman"/>
        </w:rPr>
        <w:t xml:space="preserve"> in the n</w:t>
      </w:r>
      <w:r>
        <w:rPr>
          <w:rFonts w:ascii="Times New Roman" w:hAnsi="Times New Roman" w:cs="Times New Roman"/>
        </w:rPr>
        <w:t>otes</w:t>
      </w:r>
      <w:r w:rsidR="001C4BF8">
        <w:rPr>
          <w:rFonts w:ascii="Times New Roman" w:hAnsi="Times New Roman" w:cs="Times New Roman"/>
        </w:rPr>
        <w:t xml:space="preserve"> </w:t>
      </w:r>
      <w:r>
        <w:rPr>
          <w:rFonts w:ascii="Times New Roman" w:hAnsi="Times New Roman" w:cs="Times New Roman"/>
        </w:rPr>
        <w:t xml:space="preserve">at </w:t>
      </w:r>
      <w:r w:rsidRPr="00025ACE">
        <w:rPr>
          <w:rFonts w:ascii="Times New Roman" w:hAnsi="Times New Roman" w:cs="Times New Roman"/>
          <w:b/>
        </w:rPr>
        <w:t>Attachment A</w:t>
      </w:r>
      <w:r>
        <w:rPr>
          <w:rFonts w:ascii="Times New Roman" w:hAnsi="Times New Roman" w:cs="Times New Roman"/>
        </w:rPr>
        <w:t>.</w:t>
      </w:r>
    </w:p>
    <w:p w14:paraId="6D026E2B" w14:textId="7CBCE58C" w:rsidR="00025ACE" w:rsidRPr="000B4B6C" w:rsidRDefault="00805358" w:rsidP="004D2843">
      <w:pPr>
        <w:rPr>
          <w:rFonts w:ascii="Times New Roman" w:hAnsi="Times New Roman" w:cs="Times New Roman"/>
        </w:rPr>
      </w:pPr>
      <w:r>
        <w:rPr>
          <w:rFonts w:ascii="Times New Roman" w:hAnsi="Times New Roman" w:cs="Times New Roman"/>
        </w:rPr>
        <w:t xml:space="preserve">The </w:t>
      </w:r>
      <w:r w:rsidR="00683940">
        <w:rPr>
          <w:rFonts w:ascii="Times New Roman" w:hAnsi="Times New Roman" w:cs="Times New Roman"/>
        </w:rPr>
        <w:t xml:space="preserve">variation </w:t>
      </w:r>
      <w:r>
        <w:rPr>
          <w:rFonts w:ascii="Times New Roman" w:hAnsi="Times New Roman" w:cs="Times New Roman"/>
        </w:rPr>
        <w:t xml:space="preserve">instrument is a </w:t>
      </w:r>
      <w:r w:rsidR="00767870">
        <w:rPr>
          <w:rFonts w:ascii="Times New Roman" w:hAnsi="Times New Roman" w:cs="Times New Roman"/>
        </w:rPr>
        <w:t xml:space="preserve">disallowable </w:t>
      </w:r>
      <w:r w:rsidR="00065037">
        <w:rPr>
          <w:rFonts w:ascii="Times New Roman" w:hAnsi="Times New Roman" w:cs="Times New Roman"/>
        </w:rPr>
        <w:t>legisl</w:t>
      </w:r>
      <w:r>
        <w:rPr>
          <w:rFonts w:ascii="Times New Roman" w:hAnsi="Times New Roman" w:cs="Times New Roman"/>
        </w:rPr>
        <w:t xml:space="preserve">ative instrument for the purposes of the </w:t>
      </w:r>
      <w:r w:rsidRPr="00450F48">
        <w:rPr>
          <w:rFonts w:ascii="Times New Roman" w:hAnsi="Times New Roman" w:cs="Times New Roman"/>
          <w:i/>
        </w:rPr>
        <w:t>Legislation Act 2003</w:t>
      </w:r>
      <w:r w:rsidR="00696659">
        <w:rPr>
          <w:rFonts w:ascii="Times New Roman" w:hAnsi="Times New Roman" w:cs="Times New Roman"/>
          <w:i/>
        </w:rPr>
        <w:t xml:space="preserve"> </w:t>
      </w:r>
      <w:r w:rsidR="00696659" w:rsidRPr="00696659">
        <w:rPr>
          <w:rFonts w:ascii="Times New Roman" w:hAnsi="Times New Roman" w:cs="Times New Roman"/>
        </w:rPr>
        <w:t>(</w:t>
      </w:r>
      <w:r w:rsidR="00696659" w:rsidRPr="00C5312F">
        <w:rPr>
          <w:rFonts w:ascii="Times New Roman" w:hAnsi="Times New Roman" w:cs="Times New Roman"/>
          <w:bCs/>
        </w:rPr>
        <w:t>the</w:t>
      </w:r>
      <w:r w:rsidR="00696659" w:rsidRPr="00696659">
        <w:rPr>
          <w:rFonts w:ascii="Times New Roman" w:hAnsi="Times New Roman" w:cs="Times New Roman"/>
          <w:b/>
        </w:rPr>
        <w:t xml:space="preserve"> LA</w:t>
      </w:r>
      <w:r w:rsidR="00696659" w:rsidRPr="00696659">
        <w:rPr>
          <w:rFonts w:ascii="Times New Roman" w:hAnsi="Times New Roman" w:cs="Times New Roman"/>
        </w:rPr>
        <w:t>)</w:t>
      </w:r>
      <w:r>
        <w:rPr>
          <w:rFonts w:ascii="Times New Roman" w:hAnsi="Times New Roman" w:cs="Times New Roman"/>
        </w:rPr>
        <w:t>.</w:t>
      </w:r>
    </w:p>
    <w:p w14:paraId="6A2E8396" w14:textId="77777777" w:rsidR="00BB076E" w:rsidRDefault="00BB076E" w:rsidP="001F1017">
      <w:pPr>
        <w:keepNext/>
        <w:rPr>
          <w:rFonts w:ascii="Times New Roman" w:hAnsi="Times New Roman" w:cs="Times New Roman"/>
          <w:b/>
        </w:rPr>
      </w:pPr>
      <w:r>
        <w:rPr>
          <w:rFonts w:ascii="Times New Roman" w:hAnsi="Times New Roman" w:cs="Times New Roman"/>
          <w:b/>
        </w:rPr>
        <w:lastRenderedPageBreak/>
        <w:t>Documents incorporated by reference</w:t>
      </w:r>
    </w:p>
    <w:p w14:paraId="6D844F5B" w14:textId="128CE935" w:rsidR="00011D80" w:rsidRDefault="00011D80" w:rsidP="00670716">
      <w:pPr>
        <w:spacing w:after="40"/>
        <w:rPr>
          <w:rFonts w:ascii="Times New Roman" w:hAnsi="Times New Roman" w:cs="Times New Roman"/>
        </w:rPr>
      </w:pPr>
      <w:r w:rsidRPr="00011D80">
        <w:rPr>
          <w:rFonts w:ascii="Times New Roman" w:hAnsi="Times New Roman" w:cs="Times New Roman"/>
        </w:rPr>
        <w:t xml:space="preserve">The </w:t>
      </w:r>
      <w:r w:rsidR="00683940">
        <w:rPr>
          <w:rFonts w:ascii="Times New Roman" w:hAnsi="Times New Roman" w:cs="Times New Roman"/>
        </w:rPr>
        <w:t xml:space="preserve">variation </w:t>
      </w:r>
      <w:r w:rsidRPr="00011D80">
        <w:rPr>
          <w:rFonts w:ascii="Times New Roman" w:hAnsi="Times New Roman" w:cs="Times New Roman"/>
        </w:rPr>
        <w:t xml:space="preserve">instrument inserts into the Space Object Class Licence references to the </w:t>
      </w:r>
      <w:r w:rsidR="00CD1275" w:rsidRPr="001F1017">
        <w:rPr>
          <w:rFonts w:ascii="Times New Roman" w:hAnsi="Times New Roman" w:cs="Times New Roman"/>
        </w:rPr>
        <w:t xml:space="preserve">ARQZWA </w:t>
      </w:r>
      <w:r w:rsidRPr="001F1017">
        <w:rPr>
          <w:rFonts w:ascii="Times New Roman" w:hAnsi="Times New Roman" w:cs="Times New Roman"/>
        </w:rPr>
        <w:t>Band Plan</w:t>
      </w:r>
      <w:r w:rsidRPr="00011D80">
        <w:rPr>
          <w:rFonts w:ascii="Times New Roman" w:hAnsi="Times New Roman" w:cs="Times New Roman"/>
        </w:rPr>
        <w:t>, as permitted by section 314A of the Act.  The</w:t>
      </w:r>
      <w:r w:rsidR="00CD1275" w:rsidRPr="00CD1275">
        <w:t xml:space="preserve"> </w:t>
      </w:r>
      <w:r w:rsidR="00CD1275" w:rsidRPr="00CD1275">
        <w:rPr>
          <w:rFonts w:ascii="Times New Roman" w:hAnsi="Times New Roman" w:cs="Times New Roman"/>
        </w:rPr>
        <w:t>ARQZWA</w:t>
      </w:r>
      <w:r w:rsidRPr="00011D80">
        <w:rPr>
          <w:rFonts w:ascii="Times New Roman" w:hAnsi="Times New Roman" w:cs="Times New Roman"/>
        </w:rPr>
        <w:t xml:space="preserve"> Band Plan may be accessed, free of charge, on the Federal Register of Legislation (</w:t>
      </w:r>
      <w:hyperlink r:id="rId12" w:history="1">
        <w:r w:rsidRPr="007E77AE">
          <w:rPr>
            <w:rStyle w:val="Hyperlink"/>
            <w:rFonts w:ascii="Times New Roman" w:hAnsi="Times New Roman" w:cs="Times New Roman"/>
          </w:rPr>
          <w:t>www.legislation.gov.au</w:t>
        </w:r>
      </w:hyperlink>
      <w:r w:rsidRPr="00011D80">
        <w:rPr>
          <w:rFonts w:ascii="Times New Roman" w:hAnsi="Times New Roman" w:cs="Times New Roman"/>
        </w:rPr>
        <w:t xml:space="preserve">).   </w:t>
      </w:r>
    </w:p>
    <w:p w14:paraId="020EB267" w14:textId="77777777" w:rsidR="00011D80" w:rsidRDefault="00011D80" w:rsidP="00670716">
      <w:pPr>
        <w:spacing w:after="40"/>
        <w:rPr>
          <w:rFonts w:ascii="Times New Roman" w:hAnsi="Times New Roman" w:cs="Times New Roman"/>
        </w:rPr>
      </w:pP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773618F3" w14:textId="45DDF79C" w:rsidR="001D6C10" w:rsidRDefault="001D6C10" w:rsidP="00810499">
      <w:pPr>
        <w:rPr>
          <w:rFonts w:ascii="Times New Roman" w:hAnsi="Times New Roman" w:cs="Times New Roman"/>
        </w:rPr>
      </w:pPr>
      <w:r w:rsidRPr="001D6C10">
        <w:rPr>
          <w:rFonts w:ascii="Times New Roman" w:hAnsi="Times New Roman" w:cs="Times New Roman"/>
        </w:rPr>
        <w:t xml:space="preserve">Before the </w:t>
      </w:r>
      <w:r w:rsidR="00683940">
        <w:rPr>
          <w:rFonts w:ascii="Times New Roman" w:hAnsi="Times New Roman" w:cs="Times New Roman"/>
        </w:rPr>
        <w:t xml:space="preserve">variation </w:t>
      </w:r>
      <w:r w:rsidRPr="001D6C10">
        <w:rPr>
          <w:rFonts w:ascii="Times New Roman" w:hAnsi="Times New Roman" w:cs="Times New Roman"/>
        </w:rPr>
        <w:t>instrument was made, the ACMA was required by subsection 136(2) of the Act to publish a written notice that:</w:t>
      </w:r>
    </w:p>
    <w:p w14:paraId="2590FD3D" w14:textId="77777777" w:rsidR="001D6C10" w:rsidRDefault="001D6C10" w:rsidP="001D6C10">
      <w:pPr>
        <w:spacing w:after="0"/>
        <w:ind w:firstLine="720"/>
        <w:rPr>
          <w:rFonts w:ascii="Times New Roman" w:hAnsi="Times New Roman" w:cs="Times New Roman"/>
        </w:rPr>
      </w:pPr>
      <w:r w:rsidRPr="001D6C10">
        <w:rPr>
          <w:rFonts w:ascii="Times New Roman" w:hAnsi="Times New Roman" w:cs="Times New Roman"/>
        </w:rPr>
        <w:t>(a)    stated that the ACMA proposed to vary the Space Object Class Licence;</w:t>
      </w:r>
    </w:p>
    <w:p w14:paraId="750C0D78" w14:textId="5FDC680F" w:rsidR="001D6C10" w:rsidRPr="001D6C10" w:rsidRDefault="001D6C10" w:rsidP="001D6C10">
      <w:pPr>
        <w:spacing w:after="0"/>
        <w:ind w:firstLine="720"/>
        <w:rPr>
          <w:rFonts w:ascii="Times New Roman" w:hAnsi="Times New Roman" w:cs="Times New Roman"/>
        </w:rPr>
      </w:pPr>
      <w:r w:rsidRPr="001D6C10">
        <w:rPr>
          <w:rFonts w:ascii="Times New Roman" w:hAnsi="Times New Roman" w:cs="Times New Roman"/>
        </w:rPr>
        <w:t>(b)   stated the subject matter of the proposed variation;</w:t>
      </w:r>
    </w:p>
    <w:p w14:paraId="0EA3BD83" w14:textId="77777777" w:rsidR="001D6C10" w:rsidRPr="001D6C10" w:rsidRDefault="001D6C10" w:rsidP="001D6C10">
      <w:pPr>
        <w:spacing w:after="0"/>
        <w:ind w:firstLine="720"/>
        <w:rPr>
          <w:rFonts w:ascii="Times New Roman" w:hAnsi="Times New Roman" w:cs="Times New Roman"/>
        </w:rPr>
      </w:pPr>
      <w:r w:rsidRPr="001D6C10">
        <w:rPr>
          <w:rFonts w:ascii="Times New Roman" w:hAnsi="Times New Roman" w:cs="Times New Roman"/>
        </w:rPr>
        <w:t>(c)    set out the Space Object Class Licence and the proposed variation; and</w:t>
      </w:r>
    </w:p>
    <w:p w14:paraId="3F060836" w14:textId="462D54BF" w:rsidR="001D6C10" w:rsidRDefault="001D6C10" w:rsidP="001F1017">
      <w:pPr>
        <w:ind w:left="1134" w:hanging="414"/>
        <w:rPr>
          <w:rFonts w:ascii="Times New Roman" w:hAnsi="Times New Roman" w:cs="Times New Roman"/>
        </w:rPr>
      </w:pPr>
      <w:r w:rsidRPr="001D6C10">
        <w:rPr>
          <w:rFonts w:ascii="Times New Roman" w:hAnsi="Times New Roman" w:cs="Times New Roman"/>
        </w:rPr>
        <w:t xml:space="preserve">(d)   invited interested persons to make representations about the proposed variation by a </w:t>
      </w:r>
      <w:r>
        <w:rPr>
          <w:rFonts w:ascii="Times New Roman" w:hAnsi="Times New Roman" w:cs="Times New Roman"/>
        </w:rPr>
        <w:t xml:space="preserve"> </w:t>
      </w:r>
      <w:r w:rsidRPr="001D6C10">
        <w:rPr>
          <w:rFonts w:ascii="Times New Roman" w:hAnsi="Times New Roman" w:cs="Times New Roman"/>
        </w:rPr>
        <w:t>specified date that was at least one month after the date of publication.</w:t>
      </w:r>
    </w:p>
    <w:p w14:paraId="1E4B63A1" w14:textId="77777777" w:rsidR="001D6C10" w:rsidRPr="001D6C10" w:rsidRDefault="001D6C10" w:rsidP="001D6C10">
      <w:pPr>
        <w:rPr>
          <w:rFonts w:ascii="Times New Roman" w:hAnsi="Times New Roman" w:cs="Times New Roman"/>
        </w:rPr>
      </w:pPr>
      <w:r w:rsidRPr="001D6C10">
        <w:rPr>
          <w:rFonts w:ascii="Times New Roman" w:hAnsi="Times New Roman" w:cs="Times New Roman"/>
        </w:rPr>
        <w:t>Under subsection 136(2A) of the Act, a written notice prepared pursuant to subsection 136(1) must be published on the ACMA’s website and in another form readily available to the public. Under subsection 136(4) of the Act, the ACMA must give due consideration to any representations made before varying the Space Object Class Licence.</w:t>
      </w:r>
    </w:p>
    <w:p w14:paraId="40AA2F2F" w14:textId="77777777" w:rsidR="001D6C10" w:rsidRPr="001D6C10" w:rsidRDefault="001D6C10" w:rsidP="001D6C10">
      <w:pPr>
        <w:rPr>
          <w:rFonts w:ascii="Times New Roman" w:hAnsi="Times New Roman" w:cs="Times New Roman"/>
        </w:rPr>
      </w:pPr>
      <w:r w:rsidRPr="001D6C10">
        <w:rPr>
          <w:rFonts w:ascii="Times New Roman" w:hAnsi="Times New Roman" w:cs="Times New Roman"/>
        </w:rPr>
        <w:t>Further, subsection 17(1) of the LA requires that before a legislative instrument is made, the rule-maker must be satisfied that any consultation considered by the rule-maker to be appropriate and that is reasonably practicable to undertake has been undertaken.</w:t>
      </w:r>
    </w:p>
    <w:p w14:paraId="7CF2071B" w14:textId="75BF2ED5" w:rsidR="001D6C10" w:rsidRPr="001D6C10" w:rsidRDefault="001D6C10" w:rsidP="001D6C10">
      <w:pPr>
        <w:rPr>
          <w:rFonts w:ascii="Times New Roman" w:hAnsi="Times New Roman" w:cs="Times New Roman"/>
        </w:rPr>
      </w:pPr>
      <w:r w:rsidRPr="001D6C10">
        <w:rPr>
          <w:rFonts w:ascii="Times New Roman" w:hAnsi="Times New Roman" w:cs="Times New Roman"/>
        </w:rPr>
        <w:t>Between 1</w:t>
      </w:r>
      <w:r w:rsidR="00CB334C">
        <w:rPr>
          <w:rFonts w:ascii="Times New Roman" w:hAnsi="Times New Roman" w:cs="Times New Roman"/>
        </w:rPr>
        <w:t>6</w:t>
      </w:r>
      <w:r w:rsidRPr="001D6C10">
        <w:rPr>
          <w:rFonts w:ascii="Times New Roman" w:hAnsi="Times New Roman" w:cs="Times New Roman"/>
        </w:rPr>
        <w:t xml:space="preserve"> </w:t>
      </w:r>
      <w:r w:rsidR="00CB334C">
        <w:rPr>
          <w:rFonts w:ascii="Times New Roman" w:hAnsi="Times New Roman" w:cs="Times New Roman"/>
        </w:rPr>
        <w:t>August</w:t>
      </w:r>
      <w:r w:rsidRPr="001D6C10">
        <w:rPr>
          <w:rFonts w:ascii="Times New Roman" w:hAnsi="Times New Roman" w:cs="Times New Roman"/>
        </w:rPr>
        <w:t xml:space="preserve"> </w:t>
      </w:r>
      <w:r w:rsidR="00CB334C">
        <w:rPr>
          <w:rFonts w:ascii="Times New Roman" w:hAnsi="Times New Roman" w:cs="Times New Roman"/>
        </w:rPr>
        <w:t>2023</w:t>
      </w:r>
      <w:r w:rsidRPr="001D6C10">
        <w:rPr>
          <w:rFonts w:ascii="Times New Roman" w:hAnsi="Times New Roman" w:cs="Times New Roman"/>
        </w:rPr>
        <w:t xml:space="preserve"> and </w:t>
      </w:r>
      <w:r w:rsidR="00CB334C">
        <w:rPr>
          <w:rFonts w:ascii="Times New Roman" w:hAnsi="Times New Roman" w:cs="Times New Roman"/>
        </w:rPr>
        <w:t>20</w:t>
      </w:r>
      <w:r w:rsidRPr="001D6C10">
        <w:rPr>
          <w:rFonts w:ascii="Times New Roman" w:hAnsi="Times New Roman" w:cs="Times New Roman"/>
        </w:rPr>
        <w:t xml:space="preserve"> </w:t>
      </w:r>
      <w:r w:rsidR="00CB334C">
        <w:rPr>
          <w:rFonts w:ascii="Times New Roman" w:hAnsi="Times New Roman" w:cs="Times New Roman"/>
        </w:rPr>
        <w:t>September</w:t>
      </w:r>
      <w:r w:rsidRPr="001D6C10">
        <w:rPr>
          <w:rFonts w:ascii="Times New Roman" w:hAnsi="Times New Roman" w:cs="Times New Roman"/>
        </w:rPr>
        <w:t xml:space="preserve"> 202</w:t>
      </w:r>
      <w:r w:rsidR="00CB334C">
        <w:rPr>
          <w:rFonts w:ascii="Times New Roman" w:hAnsi="Times New Roman" w:cs="Times New Roman"/>
        </w:rPr>
        <w:t>3</w:t>
      </w:r>
      <w:r w:rsidRPr="001D6C10">
        <w:rPr>
          <w:rFonts w:ascii="Times New Roman" w:hAnsi="Times New Roman" w:cs="Times New Roman"/>
        </w:rPr>
        <w:t xml:space="preserve">, the ACMA conducted a public consultation process in relation to the </w:t>
      </w:r>
      <w:r w:rsidR="00683940">
        <w:rPr>
          <w:rFonts w:ascii="Times New Roman" w:hAnsi="Times New Roman" w:cs="Times New Roman"/>
        </w:rPr>
        <w:t xml:space="preserve">variation </w:t>
      </w:r>
      <w:r w:rsidRPr="001D6C10">
        <w:rPr>
          <w:rFonts w:ascii="Times New Roman" w:hAnsi="Times New Roman" w:cs="Times New Roman"/>
        </w:rPr>
        <w:t xml:space="preserve">instrument. A written notice about the proposal to vary the Space Object Class Licence and a draft of the </w:t>
      </w:r>
      <w:r w:rsidR="00683940">
        <w:rPr>
          <w:rFonts w:ascii="Times New Roman" w:hAnsi="Times New Roman" w:cs="Times New Roman"/>
        </w:rPr>
        <w:t xml:space="preserve">variation </w:t>
      </w:r>
      <w:r w:rsidRPr="001D6C10">
        <w:rPr>
          <w:rFonts w:ascii="Times New Roman" w:hAnsi="Times New Roman" w:cs="Times New Roman"/>
        </w:rPr>
        <w:t>instrument were published on the ACMA’s website and in the Gazette in accordance with the requirements of subsections 136(1) and 136(2A) of the Act. Interested parties were invited to comment.</w:t>
      </w:r>
    </w:p>
    <w:p w14:paraId="1AC8901B" w14:textId="138D6435" w:rsidR="001D6C10" w:rsidRDefault="001D6C10" w:rsidP="001D6C10">
      <w:pPr>
        <w:rPr>
          <w:rFonts w:ascii="Times New Roman" w:hAnsi="Times New Roman" w:cs="Times New Roman"/>
        </w:rPr>
      </w:pPr>
      <w:r w:rsidRPr="001D6C10">
        <w:rPr>
          <w:rFonts w:ascii="Times New Roman" w:hAnsi="Times New Roman" w:cs="Times New Roman"/>
        </w:rPr>
        <w:t xml:space="preserve">The ACMA received </w:t>
      </w:r>
      <w:r w:rsidR="00CB334C">
        <w:rPr>
          <w:rFonts w:ascii="Times New Roman" w:hAnsi="Times New Roman" w:cs="Times New Roman"/>
        </w:rPr>
        <w:t>eight</w:t>
      </w:r>
      <w:r w:rsidRPr="001D6C10">
        <w:rPr>
          <w:rFonts w:ascii="Times New Roman" w:hAnsi="Times New Roman" w:cs="Times New Roman"/>
        </w:rPr>
        <w:t xml:space="preserve"> written submissions in response to the consultation process. The ACMA considered all submissions prior to making the </w:t>
      </w:r>
      <w:r w:rsidR="00683940">
        <w:rPr>
          <w:rFonts w:ascii="Times New Roman" w:hAnsi="Times New Roman" w:cs="Times New Roman"/>
        </w:rPr>
        <w:t xml:space="preserve">variation </w:t>
      </w:r>
      <w:r w:rsidRPr="001D6C10">
        <w:rPr>
          <w:rFonts w:ascii="Times New Roman" w:hAnsi="Times New Roman" w:cs="Times New Roman"/>
        </w:rPr>
        <w:t xml:space="preserve">instrument, </w:t>
      </w:r>
      <w:r w:rsidR="00CB334C">
        <w:rPr>
          <w:rFonts w:ascii="Times New Roman" w:hAnsi="Times New Roman" w:cs="Times New Roman"/>
        </w:rPr>
        <w:t>seven</w:t>
      </w:r>
      <w:r w:rsidRPr="001D6C10">
        <w:rPr>
          <w:rFonts w:ascii="Times New Roman" w:hAnsi="Times New Roman" w:cs="Times New Roman"/>
        </w:rPr>
        <w:t xml:space="preserve"> of which </w:t>
      </w:r>
      <w:r w:rsidR="00CB334C">
        <w:rPr>
          <w:rFonts w:ascii="Times New Roman" w:hAnsi="Times New Roman" w:cs="Times New Roman"/>
        </w:rPr>
        <w:t>supported</w:t>
      </w:r>
      <w:r w:rsidRPr="001D6C10">
        <w:rPr>
          <w:rFonts w:ascii="Times New Roman" w:hAnsi="Times New Roman" w:cs="Times New Roman"/>
        </w:rPr>
        <w:t xml:space="preserve"> the proposed </w:t>
      </w:r>
      <w:r w:rsidR="00CB334C">
        <w:rPr>
          <w:rFonts w:ascii="Times New Roman" w:hAnsi="Times New Roman" w:cs="Times New Roman"/>
        </w:rPr>
        <w:t xml:space="preserve">preferred </w:t>
      </w:r>
      <w:r w:rsidRPr="001D6C10">
        <w:rPr>
          <w:rFonts w:ascii="Times New Roman" w:hAnsi="Times New Roman" w:cs="Times New Roman"/>
        </w:rPr>
        <w:t>variation</w:t>
      </w:r>
      <w:r w:rsidR="00CB334C">
        <w:rPr>
          <w:rFonts w:ascii="Times New Roman" w:hAnsi="Times New Roman" w:cs="Times New Roman"/>
        </w:rPr>
        <w:t>. The other submission did not provide a preference</w:t>
      </w:r>
      <w:r w:rsidRPr="001D6C10">
        <w:rPr>
          <w:rFonts w:ascii="Times New Roman" w:hAnsi="Times New Roman" w:cs="Times New Roman"/>
        </w:rPr>
        <w:t xml:space="preserve">. </w:t>
      </w:r>
      <w:r w:rsidR="00CB334C" w:rsidRPr="00CB334C">
        <w:rPr>
          <w:rFonts w:ascii="Times New Roman" w:hAnsi="Times New Roman" w:cs="Times New Roman"/>
        </w:rPr>
        <w:t xml:space="preserve">Two submissions to the </w:t>
      </w:r>
      <w:r w:rsidR="00CB334C">
        <w:rPr>
          <w:rFonts w:ascii="Times New Roman" w:hAnsi="Times New Roman" w:cs="Times New Roman"/>
        </w:rPr>
        <w:t>consultation</w:t>
      </w:r>
      <w:r w:rsidR="00CB334C" w:rsidRPr="00CB334C">
        <w:rPr>
          <w:rFonts w:ascii="Times New Roman" w:hAnsi="Times New Roman" w:cs="Times New Roman"/>
        </w:rPr>
        <w:t xml:space="preserve"> noted a minor frequency range error in the CSO class licence variation which has been updated.</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7D0E3A41" w14:textId="61A95947" w:rsidR="00794100" w:rsidRDefault="00794100" w:rsidP="00AB21A7">
      <w:pPr>
        <w:rPr>
          <w:rFonts w:ascii="Times New Roman" w:hAnsi="Times New Roman" w:cs="Times New Roman"/>
        </w:rPr>
      </w:pPr>
      <w:r w:rsidRPr="00794100">
        <w:rPr>
          <w:rFonts w:ascii="Times New Roman" w:hAnsi="Times New Roman" w:cs="Times New Roman"/>
        </w:rPr>
        <w:t xml:space="preserve">A preliminary assessment of the proposal to make the </w:t>
      </w:r>
      <w:r w:rsidR="00683940">
        <w:rPr>
          <w:rFonts w:ascii="Times New Roman" w:hAnsi="Times New Roman" w:cs="Times New Roman"/>
        </w:rPr>
        <w:t xml:space="preserve">variation </w:t>
      </w:r>
      <w:r w:rsidRPr="00794100">
        <w:rPr>
          <w:rFonts w:ascii="Times New Roman" w:hAnsi="Times New Roman" w:cs="Times New Roman"/>
        </w:rPr>
        <w:t>instrument was conducted by the Office of Impact Analysis (</w:t>
      </w:r>
      <w:r w:rsidRPr="00794100">
        <w:rPr>
          <w:rFonts w:ascii="Times New Roman" w:hAnsi="Times New Roman" w:cs="Times New Roman"/>
          <w:b/>
          <w:bCs/>
        </w:rPr>
        <w:t>OIA</w:t>
      </w:r>
      <w:r w:rsidRPr="00794100">
        <w:rPr>
          <w:rFonts w:ascii="Times New Roman" w:hAnsi="Times New Roman" w:cs="Times New Roman"/>
        </w:rPr>
        <w:t>), based on information provided by the ACMA, for the purposes of determining whether a Regulation Impact Statement (</w:t>
      </w:r>
      <w:r w:rsidRPr="00794100">
        <w:rPr>
          <w:rFonts w:ascii="Times New Roman" w:hAnsi="Times New Roman" w:cs="Times New Roman"/>
          <w:b/>
          <w:bCs/>
        </w:rPr>
        <w:t>RIS</w:t>
      </w:r>
      <w:r w:rsidRPr="00794100">
        <w:rPr>
          <w:rFonts w:ascii="Times New Roman" w:hAnsi="Times New Roman" w:cs="Times New Roman"/>
        </w:rPr>
        <w:t xml:space="preserve">) would be required. OIA advised that a RIS would not be required because the </w:t>
      </w:r>
      <w:r w:rsidR="00683940">
        <w:rPr>
          <w:rFonts w:ascii="Times New Roman" w:hAnsi="Times New Roman" w:cs="Times New Roman"/>
        </w:rPr>
        <w:t xml:space="preserve">variation </w:t>
      </w:r>
      <w:r w:rsidRPr="00794100">
        <w:rPr>
          <w:rFonts w:ascii="Times New Roman" w:hAnsi="Times New Roman" w:cs="Times New Roman"/>
        </w:rPr>
        <w:t xml:space="preserve">instrument was not expected to have a regulatory impact on businesses, community organisations or individuals (OIA reference number </w:t>
      </w:r>
      <w:r w:rsidR="00AB21A7" w:rsidRPr="00AB21A7">
        <w:rPr>
          <w:rFonts w:ascii="Times New Roman" w:hAnsi="Times New Roman" w:cs="Times New Roman"/>
        </w:rPr>
        <w:t>OIA23-05058</w:t>
      </w:r>
      <w:r w:rsidRPr="00794100">
        <w:rPr>
          <w:rFonts w:ascii="Times New Roman" w:hAnsi="Times New Roman" w:cs="Times New Roman"/>
        </w:rPr>
        <w:t>)</w:t>
      </w:r>
      <w:r w:rsidR="008A39EF">
        <w:rPr>
          <w:rFonts w:ascii="Times New Roman" w:hAnsi="Times New Roman" w:cs="Times New Roman"/>
        </w:rPr>
        <w:t>.</w:t>
      </w:r>
    </w:p>
    <w:p w14:paraId="307F40E0" w14:textId="7CE43381" w:rsidR="004D2843" w:rsidRDefault="00FB4437" w:rsidP="001F1017">
      <w:pPr>
        <w:tabs>
          <w:tab w:val="left" w:pos="7523"/>
        </w:tabs>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r w:rsidR="00033A28">
        <w:rPr>
          <w:rFonts w:ascii="Times New Roman" w:hAnsi="Times New Roman" w:cs="Times New Roman"/>
          <w:b/>
        </w:rPr>
        <w:tab/>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6EFB330B" w:rsidR="00134705" w:rsidRDefault="00134705" w:rsidP="00AB21A7">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below has been prepared to meet that requirement.</w:t>
      </w:r>
    </w:p>
    <w:p w14:paraId="29DF75CB" w14:textId="47237AAD" w:rsidR="00134705" w:rsidRDefault="00134705" w:rsidP="00AB21A7">
      <w:pPr>
        <w:rPr>
          <w:rFonts w:ascii="Times New Roman" w:hAnsi="Times New Roman" w:cs="Times New Roman"/>
          <w:b/>
          <w:i/>
        </w:rPr>
      </w:pPr>
      <w:r>
        <w:rPr>
          <w:rFonts w:ascii="Times New Roman" w:hAnsi="Times New Roman" w:cs="Times New Roman"/>
          <w:b/>
          <w:i/>
        </w:rPr>
        <w:lastRenderedPageBreak/>
        <w:t xml:space="preserve">Overview of the </w:t>
      </w:r>
      <w:r w:rsidR="00683940">
        <w:rPr>
          <w:rFonts w:ascii="Times New Roman" w:hAnsi="Times New Roman" w:cs="Times New Roman"/>
          <w:b/>
          <w:i/>
        </w:rPr>
        <w:t xml:space="preserve">variation </w:t>
      </w:r>
      <w:r>
        <w:rPr>
          <w:rFonts w:ascii="Times New Roman" w:hAnsi="Times New Roman" w:cs="Times New Roman"/>
          <w:b/>
          <w:i/>
        </w:rPr>
        <w:t>instrument</w:t>
      </w:r>
    </w:p>
    <w:p w14:paraId="057C4692" w14:textId="0C934378" w:rsidR="00971D5D" w:rsidRPr="00033A28" w:rsidRDefault="00AB21A7" w:rsidP="001F1017">
      <w:r w:rsidRPr="001F1017">
        <w:rPr>
          <w:rFonts w:ascii="Times New Roman" w:hAnsi="Times New Roman" w:cs="Times New Roman"/>
        </w:rPr>
        <w:t xml:space="preserve">The </w:t>
      </w:r>
      <w:r w:rsidR="00683940" w:rsidRPr="001F1017">
        <w:rPr>
          <w:rFonts w:ascii="Times New Roman" w:hAnsi="Times New Roman" w:cs="Times New Roman"/>
        </w:rPr>
        <w:t xml:space="preserve">variation </w:t>
      </w:r>
      <w:r w:rsidRPr="001F1017">
        <w:rPr>
          <w:rFonts w:ascii="Times New Roman" w:hAnsi="Times New Roman" w:cs="Times New Roman"/>
        </w:rPr>
        <w:t>instrument varies the Space Object Class Licence to include new frequency ranges</w:t>
      </w:r>
      <w:r w:rsidR="00860239" w:rsidRPr="001F1017">
        <w:rPr>
          <w:rFonts w:ascii="Times New Roman" w:hAnsi="Times New Roman" w:cs="Times New Roman"/>
        </w:rPr>
        <w:t xml:space="preserve"> of</w:t>
      </w:r>
      <w:r w:rsidRPr="001F1017">
        <w:rPr>
          <w:rFonts w:ascii="Times New Roman" w:hAnsi="Times New Roman" w:cs="Times New Roman"/>
        </w:rPr>
        <w:t xml:space="preserve"> </w:t>
      </w:r>
      <w:r w:rsidR="00CB334C" w:rsidRPr="001F1017">
        <w:rPr>
          <w:rFonts w:ascii="Times New Roman" w:hAnsi="Times New Roman" w:cs="Times New Roman"/>
        </w:rPr>
        <w:t>1668 – 1675 MHz</w:t>
      </w:r>
      <w:r w:rsidRPr="001F1017">
        <w:rPr>
          <w:rFonts w:ascii="Times New Roman" w:hAnsi="Times New Roman" w:cs="Times New Roman"/>
        </w:rPr>
        <w:t xml:space="preserve"> in the list authorised for transmission </w:t>
      </w:r>
      <w:r w:rsidR="005D130A" w:rsidRPr="001F1017">
        <w:rPr>
          <w:rFonts w:ascii="Times New Roman" w:hAnsi="Times New Roman" w:cs="Times New Roman"/>
        </w:rPr>
        <w:t xml:space="preserve">and 1518 – 1525 MHz in the list authorised for reception </w:t>
      </w:r>
      <w:r w:rsidRPr="001F1017">
        <w:rPr>
          <w:rFonts w:ascii="Times New Roman" w:hAnsi="Times New Roman" w:cs="Times New Roman"/>
        </w:rPr>
        <w:t>of radio emissions by a station operating under the Space Object Class Licence. The inclusion of th</w:t>
      </w:r>
      <w:r w:rsidR="005D130A" w:rsidRPr="001F1017">
        <w:rPr>
          <w:rFonts w:ascii="Times New Roman" w:hAnsi="Times New Roman" w:cs="Times New Roman"/>
        </w:rPr>
        <w:t>ese</w:t>
      </w:r>
      <w:r w:rsidRPr="001F1017">
        <w:rPr>
          <w:rFonts w:ascii="Times New Roman" w:hAnsi="Times New Roman" w:cs="Times New Roman"/>
        </w:rPr>
        <w:t xml:space="preserve"> range</w:t>
      </w:r>
      <w:r w:rsidR="005D130A" w:rsidRPr="001F1017">
        <w:rPr>
          <w:rFonts w:ascii="Times New Roman" w:hAnsi="Times New Roman" w:cs="Times New Roman"/>
        </w:rPr>
        <w:t>s</w:t>
      </w:r>
      <w:r w:rsidRPr="001F1017">
        <w:rPr>
          <w:rFonts w:ascii="Times New Roman" w:hAnsi="Times New Roman" w:cs="Times New Roman"/>
        </w:rPr>
        <w:t xml:space="preserve"> in the Space Object Class Licence was a result of the ACMA’s review of </w:t>
      </w:r>
      <w:r w:rsidRPr="00767870">
        <w:rPr>
          <w:rFonts w:ascii="Times New Roman" w:hAnsi="Times New Roman" w:cs="Times New Roman"/>
        </w:rPr>
        <w:t>arrangements in the</w:t>
      </w:r>
      <w:r w:rsidR="00971D5D" w:rsidRPr="00767870">
        <w:rPr>
          <w:rFonts w:ascii="Times New Roman" w:hAnsi="Times New Roman" w:cs="Times New Roman"/>
        </w:rPr>
        <w:t xml:space="preserve"> </w:t>
      </w:r>
      <w:hyperlink r:id="rId13" w:history="1">
        <w:r w:rsidR="00971D5D" w:rsidRPr="0011696E">
          <w:rPr>
            <w:rFonts w:ascii="Times New Roman" w:hAnsi="Times New Roman" w:cs="Times New Roman"/>
            <w:i/>
            <w:iCs/>
          </w:rPr>
          <w:t>Radiocommunications 1.5 GHz Frequency Band Plan 2015</w:t>
        </w:r>
      </w:hyperlink>
      <w:r w:rsidR="00971D5D" w:rsidRPr="00767870">
        <w:rPr>
          <w:rFonts w:ascii="Times New Roman" w:hAnsi="Times New Roman" w:cs="Times New Roman"/>
        </w:rPr>
        <w:t xml:space="preserve"> (</w:t>
      </w:r>
      <w:r w:rsidR="00767870">
        <w:rPr>
          <w:rFonts w:ascii="Times New Roman" w:hAnsi="Times New Roman" w:cs="Times New Roman"/>
        </w:rPr>
        <w:t xml:space="preserve">the </w:t>
      </w:r>
      <w:r w:rsidR="00971D5D" w:rsidRPr="0011696E">
        <w:rPr>
          <w:rFonts w:ascii="Times New Roman" w:hAnsi="Times New Roman" w:cs="Times New Roman"/>
          <w:b/>
          <w:bCs/>
        </w:rPr>
        <w:t xml:space="preserve">1.5 GHz </w:t>
      </w:r>
      <w:r w:rsidR="005D130A" w:rsidRPr="0011696E">
        <w:rPr>
          <w:rFonts w:ascii="Times New Roman" w:hAnsi="Times New Roman" w:cs="Times New Roman"/>
          <w:b/>
          <w:bCs/>
        </w:rPr>
        <w:t>B</w:t>
      </w:r>
      <w:r w:rsidR="00971D5D" w:rsidRPr="0011696E">
        <w:rPr>
          <w:rFonts w:ascii="Times New Roman" w:hAnsi="Times New Roman" w:cs="Times New Roman"/>
          <w:b/>
          <w:bCs/>
        </w:rPr>
        <w:t xml:space="preserve">and </w:t>
      </w:r>
      <w:r w:rsidR="005D130A" w:rsidRPr="0011696E">
        <w:rPr>
          <w:rFonts w:ascii="Times New Roman" w:hAnsi="Times New Roman" w:cs="Times New Roman"/>
          <w:b/>
          <w:bCs/>
        </w:rPr>
        <w:t>P</w:t>
      </w:r>
      <w:r w:rsidR="00971D5D" w:rsidRPr="0011696E">
        <w:rPr>
          <w:rFonts w:ascii="Times New Roman" w:hAnsi="Times New Roman" w:cs="Times New Roman"/>
          <w:b/>
          <w:bCs/>
        </w:rPr>
        <w:t>lan</w:t>
      </w:r>
      <w:r w:rsidR="00971D5D" w:rsidRPr="00767870">
        <w:rPr>
          <w:rFonts w:ascii="Times New Roman" w:hAnsi="Times New Roman" w:cs="Times New Roman"/>
        </w:rPr>
        <w:t>).</w:t>
      </w:r>
      <w:r w:rsidR="00971D5D" w:rsidRPr="001F1017">
        <w:rPr>
          <w:rFonts w:ascii="Times New Roman" w:hAnsi="Times New Roman" w:cs="Times New Roman"/>
        </w:rPr>
        <w:t xml:space="preserve"> The review of the 1.5 GHz </w:t>
      </w:r>
      <w:r w:rsidR="005D130A" w:rsidRPr="001F1017">
        <w:rPr>
          <w:rFonts w:ascii="Times New Roman" w:hAnsi="Times New Roman" w:cs="Times New Roman"/>
        </w:rPr>
        <w:t>B</w:t>
      </w:r>
      <w:r w:rsidR="00971D5D" w:rsidRPr="001F1017">
        <w:rPr>
          <w:rFonts w:ascii="Times New Roman" w:hAnsi="Times New Roman" w:cs="Times New Roman"/>
        </w:rPr>
        <w:t xml:space="preserve">and </w:t>
      </w:r>
      <w:r w:rsidR="005D130A" w:rsidRPr="001F1017">
        <w:rPr>
          <w:rFonts w:ascii="Times New Roman" w:hAnsi="Times New Roman" w:cs="Times New Roman"/>
        </w:rPr>
        <w:t>P</w:t>
      </w:r>
      <w:r w:rsidR="00971D5D" w:rsidRPr="001F1017">
        <w:rPr>
          <w:rFonts w:ascii="Times New Roman" w:hAnsi="Times New Roman" w:cs="Times New Roman"/>
        </w:rPr>
        <w:t>lan was undertaken to</w:t>
      </w:r>
      <w:r w:rsidR="005D130A" w:rsidRPr="001F1017">
        <w:rPr>
          <w:rFonts w:ascii="Times New Roman" w:hAnsi="Times New Roman" w:cs="Times New Roman"/>
        </w:rPr>
        <w:t>:</w:t>
      </w:r>
      <w:r w:rsidR="00971D5D" w:rsidRPr="001F1017">
        <w:rPr>
          <w:rFonts w:ascii="Times New Roman" w:hAnsi="Times New Roman" w:cs="Times New Roman"/>
        </w:rPr>
        <w:t xml:space="preserve"> </w:t>
      </w:r>
    </w:p>
    <w:p w14:paraId="37EA1D6A" w14:textId="4DF286F6" w:rsidR="00971D5D" w:rsidRPr="00971D5D" w:rsidRDefault="00971D5D" w:rsidP="0086022B">
      <w:pPr>
        <w:pStyle w:val="Default"/>
        <w:spacing w:after="40"/>
        <w:ind w:left="993" w:hanging="273"/>
        <w:rPr>
          <w:sz w:val="22"/>
          <w:szCs w:val="22"/>
        </w:rPr>
      </w:pPr>
      <w:r>
        <w:rPr>
          <w:sz w:val="22"/>
          <w:szCs w:val="22"/>
        </w:rPr>
        <w:t xml:space="preserve">a. </w:t>
      </w:r>
      <w:r w:rsidR="005D130A">
        <w:rPr>
          <w:sz w:val="22"/>
          <w:szCs w:val="22"/>
        </w:rPr>
        <w:tab/>
      </w:r>
      <w:r w:rsidRPr="00971D5D">
        <w:rPr>
          <w:sz w:val="22"/>
          <w:szCs w:val="22"/>
        </w:rPr>
        <w:t>support new wireless broadband (WBB) in the 1427</w:t>
      </w:r>
      <w:r w:rsidR="005D130A">
        <w:rPr>
          <w:sz w:val="22"/>
          <w:szCs w:val="22"/>
        </w:rPr>
        <w:t xml:space="preserve"> </w:t>
      </w:r>
      <w:r w:rsidRPr="00971D5D">
        <w:rPr>
          <w:sz w:val="22"/>
          <w:szCs w:val="22"/>
        </w:rPr>
        <w:t>–</w:t>
      </w:r>
      <w:r w:rsidR="005D130A">
        <w:rPr>
          <w:sz w:val="22"/>
          <w:szCs w:val="22"/>
        </w:rPr>
        <w:t xml:space="preserve"> </w:t>
      </w:r>
      <w:r w:rsidRPr="00971D5D">
        <w:rPr>
          <w:sz w:val="22"/>
          <w:szCs w:val="22"/>
        </w:rPr>
        <w:t>1518 MHz band. This band was identified for International Mobile Telecommunications (IMT) at the 2015 World Radiocommunication Conference (WRC-15). Japan and numerous European countries have made all or part of the band available for WBB use</w:t>
      </w:r>
      <w:r>
        <w:rPr>
          <w:sz w:val="22"/>
          <w:szCs w:val="22"/>
        </w:rPr>
        <w:t>; and</w:t>
      </w:r>
    </w:p>
    <w:p w14:paraId="6FDD1BC4" w14:textId="5962D01D" w:rsidR="00971D5D" w:rsidRDefault="00971D5D" w:rsidP="0086022B">
      <w:pPr>
        <w:pStyle w:val="Default"/>
        <w:spacing w:after="40"/>
        <w:ind w:left="993" w:hanging="273"/>
        <w:rPr>
          <w:sz w:val="22"/>
          <w:szCs w:val="22"/>
        </w:rPr>
      </w:pPr>
      <w:r>
        <w:rPr>
          <w:sz w:val="22"/>
          <w:szCs w:val="22"/>
        </w:rPr>
        <w:t xml:space="preserve">b. </w:t>
      </w:r>
      <w:r w:rsidR="005D130A">
        <w:rPr>
          <w:sz w:val="22"/>
          <w:szCs w:val="22"/>
        </w:rPr>
        <w:tab/>
      </w:r>
      <w:r w:rsidRPr="00971D5D">
        <w:rPr>
          <w:sz w:val="22"/>
          <w:szCs w:val="22"/>
        </w:rPr>
        <w:t>support mobile-satellite services (MSS) in the 1518</w:t>
      </w:r>
      <w:r w:rsidR="005D130A">
        <w:rPr>
          <w:sz w:val="22"/>
          <w:szCs w:val="22"/>
        </w:rPr>
        <w:t xml:space="preserve"> </w:t>
      </w:r>
      <w:r w:rsidRPr="00971D5D">
        <w:rPr>
          <w:sz w:val="22"/>
          <w:szCs w:val="22"/>
        </w:rPr>
        <w:t>–</w:t>
      </w:r>
      <w:r w:rsidR="005D130A">
        <w:rPr>
          <w:sz w:val="22"/>
          <w:szCs w:val="22"/>
        </w:rPr>
        <w:t xml:space="preserve"> </w:t>
      </w:r>
      <w:r w:rsidRPr="00971D5D">
        <w:rPr>
          <w:sz w:val="22"/>
          <w:szCs w:val="22"/>
        </w:rPr>
        <w:t>1525 MHz and 1668</w:t>
      </w:r>
      <w:r w:rsidR="005D130A">
        <w:rPr>
          <w:sz w:val="22"/>
          <w:szCs w:val="22"/>
        </w:rPr>
        <w:t xml:space="preserve"> </w:t>
      </w:r>
      <w:r w:rsidRPr="00971D5D">
        <w:rPr>
          <w:sz w:val="22"/>
          <w:szCs w:val="22"/>
        </w:rPr>
        <w:t>–</w:t>
      </w:r>
      <w:r w:rsidR="005D130A">
        <w:rPr>
          <w:sz w:val="22"/>
          <w:szCs w:val="22"/>
        </w:rPr>
        <w:t xml:space="preserve"> </w:t>
      </w:r>
      <w:r w:rsidRPr="00971D5D">
        <w:rPr>
          <w:sz w:val="22"/>
          <w:szCs w:val="22"/>
        </w:rPr>
        <w:t>1675 MHz bands – often referred to as the extended MSS L-band. The 2003 and 2007 World Radiocommunication Conferences (WRC-03 and WRC-07) made MSS spectrum allocations in these bands to complete existing allocations. In its response to the 2021-2026 FYSO, Inmarsat announced plans to launch satellites in 2022 that support MSS use in the 1518–1525 MHz and 1668–1675 MHz frequency ranges in the Asia-Pacific region.</w:t>
      </w:r>
    </w:p>
    <w:p w14:paraId="5E59F11C" w14:textId="77777777" w:rsidR="00971D5D" w:rsidRDefault="00971D5D" w:rsidP="00AB21A7">
      <w:pPr>
        <w:pStyle w:val="Default"/>
        <w:spacing w:after="40"/>
        <w:rPr>
          <w:sz w:val="22"/>
          <w:szCs w:val="22"/>
        </w:rPr>
      </w:pPr>
    </w:p>
    <w:p w14:paraId="10F05B3D" w14:textId="42B411AC" w:rsidR="00AB21A7" w:rsidRDefault="00AB21A7" w:rsidP="00AB21A7">
      <w:pPr>
        <w:pStyle w:val="Default"/>
        <w:spacing w:after="40" w:line="259" w:lineRule="auto"/>
        <w:rPr>
          <w:b/>
          <w:i/>
        </w:rPr>
      </w:pPr>
      <w:r w:rsidRPr="00AB21A7">
        <w:rPr>
          <w:sz w:val="22"/>
          <w:szCs w:val="22"/>
        </w:rPr>
        <w:t xml:space="preserve">The </w:t>
      </w:r>
      <w:r w:rsidR="00683940">
        <w:rPr>
          <w:sz w:val="22"/>
          <w:szCs w:val="22"/>
        </w:rPr>
        <w:t xml:space="preserve">variation </w:t>
      </w:r>
      <w:r w:rsidRPr="00AB21A7">
        <w:rPr>
          <w:sz w:val="22"/>
          <w:szCs w:val="22"/>
        </w:rPr>
        <w:t xml:space="preserve">instrument also </w:t>
      </w:r>
      <w:r w:rsidR="00971D5D">
        <w:rPr>
          <w:sz w:val="22"/>
          <w:szCs w:val="22"/>
        </w:rPr>
        <w:t>updates reference</w:t>
      </w:r>
      <w:r w:rsidR="005D130A">
        <w:rPr>
          <w:sz w:val="22"/>
          <w:szCs w:val="22"/>
        </w:rPr>
        <w:t>s</w:t>
      </w:r>
      <w:r w:rsidR="00971D5D">
        <w:rPr>
          <w:sz w:val="22"/>
          <w:szCs w:val="22"/>
        </w:rPr>
        <w:t xml:space="preserve"> to</w:t>
      </w:r>
      <w:r w:rsidRPr="00AB21A7">
        <w:rPr>
          <w:sz w:val="22"/>
          <w:szCs w:val="22"/>
        </w:rPr>
        <w:t xml:space="preserve"> the </w:t>
      </w:r>
      <w:r w:rsidRPr="0086022B">
        <w:rPr>
          <w:i/>
          <w:iCs/>
          <w:sz w:val="22"/>
          <w:szCs w:val="22"/>
        </w:rPr>
        <w:t>Radiocommunications (Mid-West Radio Quiet Zone) Frequency Band Plan 2011</w:t>
      </w:r>
      <w:r w:rsidRPr="00AB21A7">
        <w:rPr>
          <w:sz w:val="22"/>
          <w:szCs w:val="22"/>
        </w:rPr>
        <w:t xml:space="preserve">, </w:t>
      </w:r>
      <w:r w:rsidR="00971D5D">
        <w:rPr>
          <w:sz w:val="22"/>
          <w:szCs w:val="22"/>
        </w:rPr>
        <w:t>which has been remade and is now called the</w:t>
      </w:r>
      <w:r w:rsidR="00971D5D" w:rsidRPr="00971D5D">
        <w:t xml:space="preserve"> </w:t>
      </w:r>
      <w:r w:rsidR="00971D5D" w:rsidRPr="00971D5D">
        <w:rPr>
          <w:i/>
          <w:iCs/>
          <w:sz w:val="22"/>
          <w:szCs w:val="22"/>
        </w:rPr>
        <w:t>Radiocommunications (Australian Radio Quiet Zone Western Australia) Frequency Band Plan 2023</w:t>
      </w:r>
      <w:r w:rsidR="00971D5D">
        <w:rPr>
          <w:sz w:val="22"/>
          <w:szCs w:val="22"/>
        </w:rPr>
        <w:t>.</w:t>
      </w:r>
    </w:p>
    <w:p w14:paraId="06CB69C3" w14:textId="56D05241" w:rsidR="00134705" w:rsidRPr="00A213A8" w:rsidRDefault="00134705" w:rsidP="00AB21A7">
      <w:pPr>
        <w:rPr>
          <w:rFonts w:ascii="Times New Roman" w:hAnsi="Times New Roman" w:cs="Times New Roman"/>
          <w:b/>
          <w:i/>
        </w:rPr>
      </w:pPr>
      <w:r>
        <w:rPr>
          <w:rFonts w:ascii="Times New Roman" w:hAnsi="Times New Roman" w:cs="Times New Roman"/>
          <w:b/>
          <w:i/>
        </w:rPr>
        <w:t>Human rights implications</w:t>
      </w:r>
    </w:p>
    <w:p w14:paraId="44A4FF08" w14:textId="2AFCF8D3" w:rsidR="00134705" w:rsidRDefault="00134705" w:rsidP="00AB21A7">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sidR="00683940">
        <w:rPr>
          <w:rFonts w:ascii="Times New Roman" w:hAnsi="Times New Roman" w:cs="Times New Roman"/>
        </w:rPr>
        <w:t xml:space="preserve">variation </w:t>
      </w:r>
      <w:r>
        <w:rPr>
          <w:rFonts w:ascii="Times New Roman" w:hAnsi="Times New Roman" w:cs="Times New Roman"/>
        </w:rPr>
        <w:t>instrument is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as they apply to Australia.</w:t>
      </w:r>
    </w:p>
    <w:p w14:paraId="08D8C1A8" w14:textId="121A476E" w:rsidR="00134705" w:rsidRDefault="00134705" w:rsidP="00AB21A7">
      <w:pPr>
        <w:rPr>
          <w:rFonts w:ascii="Times New Roman" w:hAnsi="Times New Roman" w:cs="Times New Roman"/>
        </w:rPr>
      </w:pPr>
      <w:r>
        <w:rPr>
          <w:rFonts w:ascii="Times New Roman" w:hAnsi="Times New Roman" w:cs="Times New Roman"/>
        </w:rPr>
        <w:t xml:space="preserve">Having considered the likely impact of the </w:t>
      </w:r>
      <w:r w:rsidR="00683940">
        <w:rPr>
          <w:rFonts w:ascii="Times New Roman" w:hAnsi="Times New Roman" w:cs="Times New Roman"/>
        </w:rPr>
        <w:t xml:space="preserve">variation </w:t>
      </w:r>
      <w:r>
        <w:rPr>
          <w:rFonts w:ascii="Times New Roman" w:hAnsi="Times New Roman" w:cs="Times New Roman"/>
        </w:rPr>
        <w:t>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p>
    <w:p w14:paraId="7E8A0525" w14:textId="77777777" w:rsidR="00134705" w:rsidRPr="00671216" w:rsidRDefault="00134705" w:rsidP="00AB21A7">
      <w:pPr>
        <w:rPr>
          <w:rFonts w:ascii="Times New Roman" w:hAnsi="Times New Roman" w:cs="Times New Roman"/>
          <w:b/>
          <w:i/>
        </w:rPr>
      </w:pPr>
      <w:r w:rsidRPr="00671216">
        <w:rPr>
          <w:rFonts w:ascii="Times New Roman" w:hAnsi="Times New Roman" w:cs="Times New Roman"/>
          <w:b/>
          <w:i/>
        </w:rPr>
        <w:t>Conclusion</w:t>
      </w:r>
    </w:p>
    <w:p w14:paraId="0FF468B6" w14:textId="1E400D1C" w:rsidR="00134705" w:rsidRDefault="00134705" w:rsidP="00AB21A7">
      <w:pPr>
        <w:rPr>
          <w:rFonts w:ascii="Times New Roman" w:hAnsi="Times New Roman" w:cs="Times New Roman"/>
        </w:rPr>
      </w:pPr>
      <w:r>
        <w:rPr>
          <w:rFonts w:ascii="Times New Roman" w:hAnsi="Times New Roman" w:cs="Times New Roman"/>
        </w:rPr>
        <w:t xml:space="preserve">The </w:t>
      </w:r>
      <w:r w:rsidR="00683940">
        <w:rPr>
          <w:rFonts w:ascii="Times New Roman" w:hAnsi="Times New Roman" w:cs="Times New Roman"/>
        </w:rPr>
        <w:t xml:space="preserve">variation </w:t>
      </w:r>
      <w:r>
        <w:rPr>
          <w:rFonts w:ascii="Times New Roman" w:hAnsi="Times New Roman" w:cs="Times New Roman"/>
        </w:rPr>
        <w:t>instrument is compatible with human rights as it does not raise any human rights issues.</w:t>
      </w:r>
    </w:p>
    <w:p w14:paraId="54D659A0" w14:textId="77777777" w:rsidR="00932D8F" w:rsidRDefault="00932D8F">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375736E3"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E57ECE" w:rsidRPr="00E57ECE">
        <w:rPr>
          <w:rFonts w:ascii="Times New Roman" w:hAnsi="Times New Roman" w:cs="Times New Roman"/>
          <w:b/>
          <w:sz w:val="28"/>
          <w:szCs w:val="28"/>
        </w:rPr>
        <w:t>Radiocommunications (Communication with Space Object) Class Licence Variation 2023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71D7F000"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437F49" w:rsidRPr="00437F49">
        <w:rPr>
          <w:rFonts w:ascii="Times New Roman" w:hAnsi="Times New Roman" w:cs="Times New Roman"/>
          <w:i/>
        </w:rPr>
        <w:t>Radiocommunications (Communication with Space Object) Class Licence Variation 2023 (No. 1)</w:t>
      </w:r>
      <w:r w:rsidR="00437F49">
        <w:rPr>
          <w:rFonts w:ascii="Times New Roman" w:hAnsi="Times New Roman" w:cs="Times New Roman"/>
          <w:i/>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580F5BC9" w:rsidR="006940DB" w:rsidRDefault="006940DB" w:rsidP="004D2843">
      <w:pPr>
        <w:rPr>
          <w:rFonts w:ascii="Times New Roman" w:hAnsi="Times New Roman" w:cs="Times New Roman"/>
        </w:rPr>
      </w:pPr>
      <w:r>
        <w:rPr>
          <w:rFonts w:ascii="Times New Roman" w:hAnsi="Times New Roman" w:cs="Times New Roman"/>
        </w:rPr>
        <w:t>This section provides for the instrument to commence at the start of the day after</w:t>
      </w:r>
      <w:r w:rsidR="00F030D8">
        <w:rPr>
          <w:rFonts w:ascii="Times New Roman" w:hAnsi="Times New Roman" w:cs="Times New Roman"/>
        </w:rPr>
        <w:t xml:space="preserve"> the day</w:t>
      </w:r>
      <w:r>
        <w:rPr>
          <w:rFonts w:ascii="Times New Roman" w:hAnsi="Times New Roman" w:cs="Times New Roman"/>
        </w:rPr>
        <w:t xml:space="preserve"> it is registered</w:t>
      </w:r>
      <w:r w:rsidR="00603B3F">
        <w:rPr>
          <w:rFonts w:ascii="Times New Roman" w:hAnsi="Times New Roman" w:cs="Times New Roman"/>
        </w:rPr>
        <w:t xml:space="preserve"> on the Federal Register of Legislation</w:t>
      </w:r>
      <w:r w:rsidR="002549FE">
        <w:rPr>
          <w:rFonts w:ascii="Times New Roman" w:hAnsi="Times New Roman" w:cs="Times New Roman"/>
        </w:rPr>
        <w:t>.</w:t>
      </w:r>
    </w:p>
    <w:p w14:paraId="7D143460" w14:textId="22D7E983"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hyperlink r:id="rId14" w:history="1">
        <w:r w:rsidR="001C46B2" w:rsidRPr="00CE51FC">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4B232D76"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437F49" w:rsidRPr="00437F49">
        <w:rPr>
          <w:rFonts w:ascii="Times New Roman" w:hAnsi="Times New Roman" w:cs="Times New Roman"/>
        </w:rPr>
        <w:t>subsection 132(1)</w:t>
      </w:r>
      <w:r w:rsidR="00C14388">
        <w:rPr>
          <w:rFonts w:ascii="Times New Roman" w:hAnsi="Times New Roman" w:cs="Times New Roman"/>
        </w:rPr>
        <w:t xml:space="preserve"> of </w:t>
      </w:r>
      <w:r>
        <w:rPr>
          <w:rFonts w:ascii="Times New Roman" w:hAnsi="Times New Roman" w:cs="Times New Roman"/>
        </w:rPr>
        <w:t xml:space="preserve">the </w:t>
      </w:r>
      <w:r w:rsidR="00437F49">
        <w:rPr>
          <w:rFonts w:ascii="Times New Roman" w:hAnsi="Times New Roman" w:cs="Times New Roman"/>
          <w:i/>
        </w:rPr>
        <w:t>Radiocommunications Act</w:t>
      </w:r>
      <w:r w:rsidR="005D130A">
        <w:rPr>
          <w:rFonts w:ascii="Times New Roman" w:hAnsi="Times New Roman" w:cs="Times New Roman"/>
          <w:i/>
        </w:rPr>
        <w:t xml:space="preserve"> 1992</w:t>
      </w:r>
      <w:r>
        <w:rPr>
          <w:rFonts w:ascii="Times New Roman" w:hAnsi="Times New Roman" w:cs="Times New Roman"/>
        </w:rPr>
        <w:t xml:space="preserve"> (</w:t>
      </w:r>
      <w:r w:rsidRPr="00C5312F">
        <w:rPr>
          <w:rFonts w:ascii="Times New Roman" w:hAnsi="Times New Roman" w:cs="Times New Roman"/>
          <w:bCs/>
        </w:rPr>
        <w:t>the</w:t>
      </w:r>
      <w:r w:rsidRPr="006940DB">
        <w:rPr>
          <w:rFonts w:ascii="Times New Roman" w:hAnsi="Times New Roman" w:cs="Times New Roman"/>
          <w:b/>
        </w:rPr>
        <w:t xml:space="preserve"> Act</w:t>
      </w:r>
      <w:r>
        <w:rPr>
          <w:rFonts w:ascii="Times New Roman" w:hAnsi="Times New Roman" w:cs="Times New Roman"/>
        </w:rPr>
        <w:t>).</w:t>
      </w:r>
    </w:p>
    <w:p w14:paraId="7B50D725" w14:textId="1B6D0BAB"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767870">
        <w:rPr>
          <w:rFonts w:ascii="Times New Roman" w:hAnsi="Times New Roman" w:cs="Times New Roman"/>
          <w:b/>
        </w:rPr>
        <w:t>Variations</w:t>
      </w:r>
    </w:p>
    <w:p w14:paraId="3DD3634E" w14:textId="31DC69EF" w:rsidR="005958D6" w:rsidRPr="005958D6" w:rsidRDefault="005958D6" w:rsidP="006940DB">
      <w:pPr>
        <w:rPr>
          <w:rFonts w:ascii="Times New Roman" w:hAnsi="Times New Roman" w:cs="Times New Roman"/>
        </w:rPr>
      </w:pPr>
      <w:r>
        <w:rPr>
          <w:rFonts w:ascii="Times New Roman" w:hAnsi="Times New Roman" w:cs="Times New Roman"/>
        </w:rPr>
        <w:t>T</w:t>
      </w:r>
      <w:r w:rsidR="00437F49" w:rsidRPr="00437F49">
        <w:rPr>
          <w:rFonts w:ascii="Times New Roman" w:hAnsi="Times New Roman" w:cs="Times New Roman"/>
        </w:rPr>
        <w:t xml:space="preserve">his section provides </w:t>
      </w:r>
      <w:r w:rsidR="00E57ECE">
        <w:rPr>
          <w:rFonts w:ascii="Times New Roman" w:hAnsi="Times New Roman" w:cs="Times New Roman"/>
        </w:rPr>
        <w:t>the instrument</w:t>
      </w:r>
      <w:r w:rsidR="00437F49" w:rsidRPr="00437F49">
        <w:rPr>
          <w:rFonts w:ascii="Times New Roman" w:hAnsi="Times New Roman" w:cs="Times New Roman"/>
        </w:rPr>
        <w:t xml:space="preserve"> specified in Schedule </w:t>
      </w:r>
      <w:r w:rsidR="00E57ECE">
        <w:rPr>
          <w:rFonts w:ascii="Times New Roman" w:hAnsi="Times New Roman" w:cs="Times New Roman"/>
        </w:rPr>
        <w:t xml:space="preserve">1 </w:t>
      </w:r>
      <w:r w:rsidR="00437F49" w:rsidRPr="00437F49">
        <w:rPr>
          <w:rFonts w:ascii="Times New Roman" w:hAnsi="Times New Roman" w:cs="Times New Roman"/>
        </w:rPr>
        <w:t>is amended in the manner set out in that Schedule</w:t>
      </w:r>
      <w:r w:rsidR="00437F49">
        <w:rPr>
          <w:rFonts w:ascii="Times New Roman" w:hAnsi="Times New Roman" w:cs="Times New Roman"/>
        </w:rPr>
        <w:t>.</w:t>
      </w:r>
    </w:p>
    <w:p w14:paraId="040A5317" w14:textId="3B3E6F55" w:rsidR="006940DB" w:rsidRDefault="00437F49" w:rsidP="006940DB">
      <w:pPr>
        <w:rPr>
          <w:rFonts w:ascii="Times New Roman" w:hAnsi="Times New Roman" w:cs="Times New Roman"/>
          <w:b/>
        </w:rPr>
      </w:pPr>
      <w:r>
        <w:rPr>
          <w:rFonts w:ascii="Times New Roman" w:hAnsi="Times New Roman" w:cs="Times New Roman"/>
          <w:b/>
        </w:rPr>
        <w:t>Schedule 1</w:t>
      </w:r>
    </w:p>
    <w:p w14:paraId="491D8E97" w14:textId="77777777" w:rsidR="00437F49" w:rsidRPr="00437F49" w:rsidRDefault="00437F49" w:rsidP="005958D6">
      <w:pPr>
        <w:rPr>
          <w:rFonts w:ascii="Times New Roman" w:hAnsi="Times New Roman" w:cs="Times New Roman"/>
          <w:b/>
          <w:i/>
          <w:iCs/>
        </w:rPr>
      </w:pPr>
      <w:r w:rsidRPr="00437F49">
        <w:rPr>
          <w:rFonts w:ascii="Times New Roman" w:hAnsi="Times New Roman" w:cs="Times New Roman"/>
          <w:b/>
          <w:i/>
          <w:iCs/>
        </w:rPr>
        <w:t xml:space="preserve">Radiocommunications (Communication with Space Object) Class Licence 2015 </w:t>
      </w:r>
      <w:r w:rsidRPr="0086022B">
        <w:rPr>
          <w:rFonts w:ascii="Times New Roman" w:hAnsi="Times New Roman" w:cs="Times New Roman"/>
          <w:b/>
        </w:rPr>
        <w:t>(F2015L01486)</w:t>
      </w:r>
    </w:p>
    <w:p w14:paraId="722C1D8F" w14:textId="011F11ED" w:rsidR="00F373E2" w:rsidRDefault="00F373E2" w:rsidP="005958D6">
      <w:pPr>
        <w:rPr>
          <w:rFonts w:ascii="Times New Roman" w:hAnsi="Times New Roman" w:cs="Times New Roman"/>
          <w:b/>
        </w:rPr>
      </w:pPr>
      <w:r>
        <w:rPr>
          <w:rFonts w:ascii="Times New Roman" w:hAnsi="Times New Roman" w:cs="Times New Roman"/>
          <w:b/>
        </w:rPr>
        <w:t>Item 1</w:t>
      </w:r>
    </w:p>
    <w:p w14:paraId="1FFF72A0" w14:textId="066D7DE8" w:rsidR="00F373E2" w:rsidRPr="0086022B" w:rsidRDefault="00F373E2" w:rsidP="005958D6">
      <w:pPr>
        <w:rPr>
          <w:rFonts w:ascii="Times New Roman" w:hAnsi="Times New Roman" w:cs="Times New Roman"/>
          <w:bCs/>
        </w:rPr>
      </w:pPr>
      <w:r w:rsidRPr="0086022B">
        <w:rPr>
          <w:rFonts w:ascii="Times New Roman" w:hAnsi="Times New Roman" w:cs="Times New Roman"/>
          <w:bCs/>
        </w:rPr>
        <w:t>Note 2</w:t>
      </w:r>
      <w:r>
        <w:rPr>
          <w:rFonts w:ascii="Times New Roman" w:hAnsi="Times New Roman" w:cs="Times New Roman"/>
          <w:bCs/>
        </w:rPr>
        <w:t xml:space="preserve"> to subsection 4(1) has been amended to include ‘earth receive licence’ as a term in the list of terms defined in the </w:t>
      </w:r>
      <w:r w:rsidRPr="0086022B">
        <w:rPr>
          <w:rFonts w:ascii="Times New Roman" w:hAnsi="Times New Roman" w:cs="Times New Roman"/>
          <w:bCs/>
          <w:i/>
          <w:iCs/>
        </w:rPr>
        <w:t>Radiocommunications (Interpretation) Determination 2015</w:t>
      </w:r>
      <w:r>
        <w:rPr>
          <w:rFonts w:ascii="Times New Roman" w:hAnsi="Times New Roman" w:cs="Times New Roman"/>
          <w:bCs/>
        </w:rPr>
        <w:t>.</w:t>
      </w:r>
    </w:p>
    <w:p w14:paraId="54585208" w14:textId="0B78F7D6" w:rsidR="00437F49" w:rsidRDefault="00437F49" w:rsidP="005958D6">
      <w:pPr>
        <w:rPr>
          <w:rFonts w:ascii="Times New Roman" w:hAnsi="Times New Roman" w:cs="Times New Roman"/>
          <w:b/>
        </w:rPr>
      </w:pPr>
      <w:r>
        <w:rPr>
          <w:rFonts w:ascii="Times New Roman" w:hAnsi="Times New Roman" w:cs="Times New Roman"/>
          <w:b/>
        </w:rPr>
        <w:t xml:space="preserve">Item </w:t>
      </w:r>
      <w:r w:rsidR="00F373E2">
        <w:rPr>
          <w:rFonts w:ascii="Times New Roman" w:hAnsi="Times New Roman" w:cs="Times New Roman"/>
          <w:b/>
        </w:rPr>
        <w:t>2</w:t>
      </w:r>
    </w:p>
    <w:p w14:paraId="288FA83F" w14:textId="6370440E" w:rsidR="00437F49" w:rsidRPr="005958D6" w:rsidRDefault="000C2831" w:rsidP="00437F49">
      <w:pPr>
        <w:rPr>
          <w:rFonts w:ascii="Times New Roman" w:hAnsi="Times New Roman" w:cs="Times New Roman"/>
        </w:rPr>
      </w:pPr>
      <w:r>
        <w:rPr>
          <w:rFonts w:ascii="Times New Roman" w:hAnsi="Times New Roman" w:cs="Times New Roman"/>
        </w:rPr>
        <w:t>Subparagraph 6(a)(ii</w:t>
      </w:r>
      <w:r w:rsidR="00F373E2">
        <w:rPr>
          <w:rFonts w:ascii="Times New Roman" w:hAnsi="Times New Roman" w:cs="Times New Roman"/>
        </w:rPr>
        <w:t>a</w:t>
      </w:r>
      <w:r>
        <w:rPr>
          <w:rFonts w:ascii="Times New Roman" w:hAnsi="Times New Roman" w:cs="Times New Roman"/>
        </w:rPr>
        <w:t>) has been amended to include the frequency range 1668 to 1675 MHz.</w:t>
      </w:r>
      <w:r w:rsidR="009F3017">
        <w:rPr>
          <w:rFonts w:ascii="Times New Roman" w:hAnsi="Times New Roman" w:cs="Times New Roman"/>
        </w:rPr>
        <w:t xml:space="preserve"> The frequency range 2005 to 2010 MHz that was in subparagraph 6(a)(iia) is now in subparagraph 6(a)(iib).</w:t>
      </w:r>
    </w:p>
    <w:p w14:paraId="6EEA6346" w14:textId="4D23E1ED" w:rsidR="00437F49" w:rsidRDefault="00437F49" w:rsidP="00437F49">
      <w:pPr>
        <w:rPr>
          <w:rFonts w:ascii="Times New Roman" w:hAnsi="Times New Roman" w:cs="Times New Roman"/>
          <w:b/>
        </w:rPr>
      </w:pPr>
      <w:r>
        <w:rPr>
          <w:rFonts w:ascii="Times New Roman" w:hAnsi="Times New Roman" w:cs="Times New Roman"/>
          <w:b/>
        </w:rPr>
        <w:t xml:space="preserve">Item </w:t>
      </w:r>
      <w:r w:rsidR="00F373E2">
        <w:rPr>
          <w:rFonts w:ascii="Times New Roman" w:hAnsi="Times New Roman" w:cs="Times New Roman"/>
          <w:b/>
        </w:rPr>
        <w:t>3</w:t>
      </w:r>
    </w:p>
    <w:p w14:paraId="3561801E" w14:textId="66124C3C" w:rsidR="000C2831" w:rsidRPr="005958D6" w:rsidRDefault="000C2831" w:rsidP="000C2831">
      <w:pPr>
        <w:rPr>
          <w:rFonts w:ascii="Times New Roman" w:hAnsi="Times New Roman" w:cs="Times New Roman"/>
        </w:rPr>
      </w:pPr>
      <w:r>
        <w:rPr>
          <w:rFonts w:ascii="Times New Roman" w:hAnsi="Times New Roman" w:cs="Times New Roman"/>
        </w:rPr>
        <w:t>Subparagraph 6(b)(iv) has been amended to extend the frequency range from 1525 to 1559 MHz to 1518 to 1559 MHz.</w:t>
      </w:r>
    </w:p>
    <w:p w14:paraId="6C408945" w14:textId="5D1ED163" w:rsidR="00437F49" w:rsidRDefault="00437F49" w:rsidP="00437F49">
      <w:pPr>
        <w:rPr>
          <w:rFonts w:ascii="Times New Roman" w:hAnsi="Times New Roman" w:cs="Times New Roman"/>
          <w:b/>
        </w:rPr>
      </w:pPr>
      <w:r>
        <w:rPr>
          <w:rFonts w:ascii="Times New Roman" w:hAnsi="Times New Roman" w:cs="Times New Roman"/>
          <w:b/>
        </w:rPr>
        <w:t xml:space="preserve">Item </w:t>
      </w:r>
      <w:r w:rsidR="00F373E2">
        <w:rPr>
          <w:rFonts w:ascii="Times New Roman" w:hAnsi="Times New Roman" w:cs="Times New Roman"/>
          <w:b/>
        </w:rPr>
        <w:t>4</w:t>
      </w:r>
    </w:p>
    <w:p w14:paraId="02DF10A9" w14:textId="41656BED" w:rsidR="00437F49" w:rsidRPr="005958D6" w:rsidRDefault="000C2831" w:rsidP="00437F49">
      <w:pPr>
        <w:rPr>
          <w:rFonts w:ascii="Times New Roman" w:hAnsi="Times New Roman" w:cs="Times New Roman"/>
        </w:rPr>
      </w:pPr>
      <w:r>
        <w:rPr>
          <w:rFonts w:ascii="Times New Roman" w:hAnsi="Times New Roman" w:cs="Times New Roman"/>
        </w:rPr>
        <w:t xml:space="preserve">Subsection 8(2) has been amended to include the frequency range 1670 to 1675 MHz </w:t>
      </w:r>
      <w:r w:rsidR="00767870">
        <w:rPr>
          <w:rFonts w:ascii="Times New Roman" w:hAnsi="Times New Roman" w:cs="Times New Roman"/>
        </w:rPr>
        <w:t>within</w:t>
      </w:r>
      <w:r>
        <w:rPr>
          <w:rFonts w:ascii="Times New Roman" w:hAnsi="Times New Roman" w:cs="Times New Roman"/>
        </w:rPr>
        <w:t xml:space="preserve"> the </w:t>
      </w:r>
      <w:r w:rsidRPr="000C2831">
        <w:rPr>
          <w:rFonts w:ascii="Times New Roman" w:hAnsi="Times New Roman" w:cs="Times New Roman"/>
        </w:rPr>
        <w:t xml:space="preserve">additional conditions that apply if a station is operated within 20 kilometres of a radio astronomy observatory mentioned in footnote AUS87 of the </w:t>
      </w:r>
      <w:r w:rsidRPr="0086022B">
        <w:rPr>
          <w:rFonts w:ascii="Times New Roman" w:hAnsi="Times New Roman" w:cs="Times New Roman"/>
          <w:i/>
          <w:iCs/>
        </w:rPr>
        <w:t>Australian Radiofrequency Spectrum Plan 20</w:t>
      </w:r>
      <w:r w:rsidR="005D130A" w:rsidRPr="0086022B">
        <w:rPr>
          <w:rFonts w:ascii="Times New Roman" w:hAnsi="Times New Roman" w:cs="Times New Roman"/>
          <w:i/>
          <w:iCs/>
        </w:rPr>
        <w:t>21</w:t>
      </w:r>
      <w:r w:rsidRPr="000C2831">
        <w:rPr>
          <w:rFonts w:ascii="Times New Roman" w:hAnsi="Times New Roman" w:cs="Times New Roman"/>
        </w:rPr>
        <w:t xml:space="preserve">. </w:t>
      </w:r>
    </w:p>
    <w:p w14:paraId="428EC8C9" w14:textId="1F3B543F" w:rsidR="00437F49" w:rsidRDefault="00437F49" w:rsidP="0086022B">
      <w:pPr>
        <w:keepNext/>
        <w:rPr>
          <w:rFonts w:ascii="Times New Roman" w:hAnsi="Times New Roman" w:cs="Times New Roman"/>
          <w:b/>
        </w:rPr>
      </w:pPr>
      <w:r>
        <w:rPr>
          <w:rFonts w:ascii="Times New Roman" w:hAnsi="Times New Roman" w:cs="Times New Roman"/>
          <w:b/>
        </w:rPr>
        <w:t xml:space="preserve">Item </w:t>
      </w:r>
      <w:r w:rsidR="00F373E2">
        <w:rPr>
          <w:rFonts w:ascii="Times New Roman" w:hAnsi="Times New Roman" w:cs="Times New Roman"/>
          <w:b/>
        </w:rPr>
        <w:t>5</w:t>
      </w:r>
    </w:p>
    <w:p w14:paraId="0884CEA9" w14:textId="6AEA290A" w:rsidR="000C2831" w:rsidRDefault="000C2831" w:rsidP="000C2831">
      <w:pPr>
        <w:rPr>
          <w:rFonts w:ascii="Times New Roman" w:hAnsi="Times New Roman" w:cs="Times New Roman"/>
        </w:rPr>
      </w:pPr>
      <w:r>
        <w:rPr>
          <w:rFonts w:ascii="Times New Roman" w:hAnsi="Times New Roman" w:cs="Times New Roman"/>
        </w:rPr>
        <w:t xml:space="preserve">Subsection 8(3) has been amended to include the frequency range 1668 to 1670 MHz to the frequency ranges </w:t>
      </w:r>
      <w:r w:rsidR="001866D6">
        <w:rPr>
          <w:rFonts w:ascii="Times New Roman" w:hAnsi="Times New Roman" w:cs="Times New Roman"/>
        </w:rPr>
        <w:t xml:space="preserve">in which </w:t>
      </w:r>
      <w:r w:rsidRPr="000C2831">
        <w:rPr>
          <w:rFonts w:ascii="Times New Roman" w:hAnsi="Times New Roman" w:cs="Times New Roman"/>
        </w:rPr>
        <w:t xml:space="preserve">the class licence does not authorise operation of a station where the station is within </w:t>
      </w:r>
      <w:r w:rsidRPr="000C2831">
        <w:rPr>
          <w:rFonts w:ascii="Times New Roman" w:hAnsi="Times New Roman" w:cs="Times New Roman"/>
        </w:rPr>
        <w:lastRenderedPageBreak/>
        <w:t xml:space="preserve">500 kilometres of a radio astronomy observatory mentioned in footnote AUS87 of the </w:t>
      </w:r>
      <w:r w:rsidRPr="0086022B">
        <w:rPr>
          <w:rFonts w:ascii="Times New Roman" w:hAnsi="Times New Roman" w:cs="Times New Roman"/>
          <w:i/>
          <w:iCs/>
        </w:rPr>
        <w:t>Australian Radiofrequency Spectrum Plan 20</w:t>
      </w:r>
      <w:r w:rsidR="005D130A" w:rsidRPr="0086022B">
        <w:rPr>
          <w:rFonts w:ascii="Times New Roman" w:hAnsi="Times New Roman" w:cs="Times New Roman"/>
          <w:i/>
          <w:iCs/>
        </w:rPr>
        <w:t>21</w:t>
      </w:r>
      <w:r w:rsidRPr="0086022B">
        <w:rPr>
          <w:rFonts w:ascii="Times New Roman" w:hAnsi="Times New Roman" w:cs="Times New Roman"/>
          <w:i/>
          <w:iCs/>
        </w:rPr>
        <w:t xml:space="preserve"> </w:t>
      </w:r>
      <w:r w:rsidRPr="000C2831">
        <w:rPr>
          <w:rFonts w:ascii="Times New Roman" w:hAnsi="Times New Roman" w:cs="Times New Roman"/>
        </w:rPr>
        <w:t>or where the station is an airborne aircraft.</w:t>
      </w:r>
    </w:p>
    <w:p w14:paraId="3C493886" w14:textId="5BD07AF4" w:rsidR="00437F49" w:rsidRDefault="00437F49" w:rsidP="00437F49">
      <w:pPr>
        <w:rPr>
          <w:rFonts w:ascii="Times New Roman" w:hAnsi="Times New Roman" w:cs="Times New Roman"/>
          <w:b/>
        </w:rPr>
      </w:pPr>
      <w:r>
        <w:rPr>
          <w:rFonts w:ascii="Times New Roman" w:hAnsi="Times New Roman" w:cs="Times New Roman"/>
          <w:b/>
        </w:rPr>
        <w:t xml:space="preserve">Item </w:t>
      </w:r>
      <w:r w:rsidR="00F373E2">
        <w:rPr>
          <w:rFonts w:ascii="Times New Roman" w:hAnsi="Times New Roman" w:cs="Times New Roman"/>
          <w:b/>
        </w:rPr>
        <w:t>6</w:t>
      </w:r>
    </w:p>
    <w:p w14:paraId="600A3821" w14:textId="34356729" w:rsidR="00437F49" w:rsidRPr="005958D6" w:rsidRDefault="001866D6" w:rsidP="00437F49">
      <w:pPr>
        <w:rPr>
          <w:rFonts w:ascii="Times New Roman" w:hAnsi="Times New Roman" w:cs="Times New Roman"/>
        </w:rPr>
      </w:pPr>
      <w:r>
        <w:rPr>
          <w:rFonts w:ascii="Times New Roman" w:hAnsi="Times New Roman" w:cs="Times New Roman"/>
        </w:rPr>
        <w:t>Item 6 i</w:t>
      </w:r>
      <w:r w:rsidR="009F3017">
        <w:rPr>
          <w:rFonts w:ascii="Times New Roman" w:hAnsi="Times New Roman" w:cs="Times New Roman"/>
        </w:rPr>
        <w:t xml:space="preserve">nserts a new subparagraph </w:t>
      </w:r>
      <w:r w:rsidR="000C2831">
        <w:rPr>
          <w:rFonts w:ascii="Times New Roman" w:hAnsi="Times New Roman" w:cs="Times New Roman"/>
        </w:rPr>
        <w:t>(3</w:t>
      </w:r>
      <w:r w:rsidR="009F3017">
        <w:rPr>
          <w:rFonts w:ascii="Times New Roman" w:hAnsi="Times New Roman" w:cs="Times New Roman"/>
        </w:rPr>
        <w:t>A</w:t>
      </w:r>
      <w:r w:rsidR="000C2831">
        <w:rPr>
          <w:rFonts w:ascii="Times New Roman" w:hAnsi="Times New Roman" w:cs="Times New Roman"/>
        </w:rPr>
        <w:t xml:space="preserve">) to </w:t>
      </w:r>
      <w:r w:rsidR="009F3017">
        <w:rPr>
          <w:rFonts w:ascii="Times New Roman" w:hAnsi="Times New Roman" w:cs="Times New Roman"/>
        </w:rPr>
        <w:t xml:space="preserve">limit the </w:t>
      </w:r>
      <w:r w:rsidR="000C2831">
        <w:rPr>
          <w:rFonts w:ascii="Times New Roman" w:hAnsi="Times New Roman" w:cs="Times New Roman"/>
        </w:rPr>
        <w:t>authoris</w:t>
      </w:r>
      <w:r w:rsidR="009F3017">
        <w:rPr>
          <w:rFonts w:ascii="Times New Roman" w:hAnsi="Times New Roman" w:cs="Times New Roman"/>
        </w:rPr>
        <w:t xml:space="preserve">ation for </w:t>
      </w:r>
      <w:r w:rsidR="000C2831">
        <w:rPr>
          <w:rFonts w:ascii="Times New Roman" w:hAnsi="Times New Roman" w:cs="Times New Roman"/>
        </w:rPr>
        <w:t xml:space="preserve">operation of a station in the frequency range 1673.38 to 1675 MHz. The </w:t>
      </w:r>
      <w:r w:rsidR="009222ED">
        <w:rPr>
          <w:rFonts w:ascii="Times New Roman" w:hAnsi="Times New Roman" w:cs="Times New Roman"/>
        </w:rPr>
        <w:t xml:space="preserve">emissions of the radiocommunications transmitter of the station </w:t>
      </w:r>
      <w:r w:rsidR="000C2831">
        <w:rPr>
          <w:rFonts w:ascii="Times New Roman" w:hAnsi="Times New Roman" w:cs="Times New Roman"/>
        </w:rPr>
        <w:t xml:space="preserve">must not exceed </w:t>
      </w:r>
      <w:r w:rsidR="000C2831" w:rsidRPr="000C2831">
        <w:rPr>
          <w:rFonts w:ascii="Times New Roman" w:hAnsi="Times New Roman" w:cs="Times New Roman"/>
        </w:rPr>
        <w:t>a level of -1</w:t>
      </w:r>
      <w:r w:rsidR="009F3017">
        <w:rPr>
          <w:rFonts w:ascii="Times New Roman" w:hAnsi="Times New Roman" w:cs="Times New Roman"/>
        </w:rPr>
        <w:t>28.1</w:t>
      </w:r>
      <w:r w:rsidR="000C2831" w:rsidRPr="000C2831">
        <w:rPr>
          <w:rFonts w:ascii="Times New Roman" w:hAnsi="Times New Roman" w:cs="Times New Roman"/>
        </w:rPr>
        <w:t xml:space="preserve"> dBm/4 kHz</w:t>
      </w:r>
      <w:r w:rsidR="009222ED">
        <w:rPr>
          <w:rFonts w:ascii="Times New Roman" w:hAnsi="Times New Roman" w:cs="Times New Roman"/>
        </w:rPr>
        <w:t xml:space="preserve"> for more than 20% of the time</w:t>
      </w:r>
      <w:r w:rsidR="000C2831" w:rsidRPr="000C2831">
        <w:rPr>
          <w:rFonts w:ascii="Times New Roman" w:hAnsi="Times New Roman" w:cs="Times New Roman"/>
        </w:rPr>
        <w:t xml:space="preserve"> at the output of the antenna of any </w:t>
      </w:r>
      <w:r w:rsidR="009222ED">
        <w:rPr>
          <w:rFonts w:ascii="Times New Roman" w:hAnsi="Times New Roman" w:cs="Times New Roman"/>
        </w:rPr>
        <w:t xml:space="preserve">radiocommunications receiver </w:t>
      </w:r>
      <w:r w:rsidR="000C2831" w:rsidRPr="000C2831">
        <w:rPr>
          <w:rFonts w:ascii="Times New Roman" w:hAnsi="Times New Roman" w:cs="Times New Roman"/>
        </w:rPr>
        <w:t>authorised to operate in all or part of th</w:t>
      </w:r>
      <w:r w:rsidR="009222ED">
        <w:rPr>
          <w:rFonts w:ascii="Times New Roman" w:hAnsi="Times New Roman" w:cs="Times New Roman"/>
        </w:rPr>
        <w:t>at</w:t>
      </w:r>
      <w:r w:rsidR="000C2831" w:rsidRPr="000C2831">
        <w:rPr>
          <w:rFonts w:ascii="Times New Roman" w:hAnsi="Times New Roman" w:cs="Times New Roman"/>
        </w:rPr>
        <w:t xml:space="preserve"> frequency range</w:t>
      </w:r>
      <w:r w:rsidR="009222ED">
        <w:rPr>
          <w:rFonts w:ascii="Times New Roman" w:hAnsi="Times New Roman" w:cs="Times New Roman"/>
        </w:rPr>
        <w:t xml:space="preserve"> under an earth receive licence</w:t>
      </w:r>
      <w:r w:rsidR="000C2831" w:rsidRPr="000C2831">
        <w:rPr>
          <w:rFonts w:ascii="Times New Roman" w:hAnsi="Times New Roman" w:cs="Times New Roman"/>
        </w:rPr>
        <w:t>.</w:t>
      </w:r>
    </w:p>
    <w:p w14:paraId="031846D3" w14:textId="0C603AA6" w:rsidR="00437F49" w:rsidRDefault="00437F49" w:rsidP="00437F49">
      <w:pPr>
        <w:rPr>
          <w:rFonts w:ascii="Times New Roman" w:hAnsi="Times New Roman" w:cs="Times New Roman"/>
          <w:b/>
        </w:rPr>
      </w:pPr>
      <w:r>
        <w:rPr>
          <w:rFonts w:ascii="Times New Roman" w:hAnsi="Times New Roman" w:cs="Times New Roman"/>
          <w:b/>
        </w:rPr>
        <w:t>Item</w:t>
      </w:r>
      <w:r w:rsidR="009F3017">
        <w:rPr>
          <w:rFonts w:ascii="Times New Roman" w:hAnsi="Times New Roman" w:cs="Times New Roman"/>
          <w:b/>
        </w:rPr>
        <w:t>s</w:t>
      </w:r>
      <w:r>
        <w:rPr>
          <w:rFonts w:ascii="Times New Roman" w:hAnsi="Times New Roman" w:cs="Times New Roman"/>
          <w:b/>
        </w:rPr>
        <w:t xml:space="preserve"> </w:t>
      </w:r>
      <w:r w:rsidR="009F3017">
        <w:rPr>
          <w:rFonts w:ascii="Times New Roman" w:hAnsi="Times New Roman" w:cs="Times New Roman"/>
          <w:b/>
        </w:rPr>
        <w:t>7</w:t>
      </w:r>
      <w:r w:rsidR="000C2831">
        <w:rPr>
          <w:rFonts w:ascii="Times New Roman" w:hAnsi="Times New Roman" w:cs="Times New Roman"/>
          <w:b/>
        </w:rPr>
        <w:t xml:space="preserve"> and </w:t>
      </w:r>
      <w:r w:rsidR="009F3017">
        <w:rPr>
          <w:rFonts w:ascii="Times New Roman" w:hAnsi="Times New Roman" w:cs="Times New Roman"/>
          <w:b/>
        </w:rPr>
        <w:t>8</w:t>
      </w:r>
    </w:p>
    <w:p w14:paraId="1073CC9A" w14:textId="7FC3538D" w:rsidR="00437F49" w:rsidRPr="005958D6" w:rsidRDefault="000C2831" w:rsidP="00437F49">
      <w:pPr>
        <w:rPr>
          <w:rFonts w:ascii="Times New Roman" w:hAnsi="Times New Roman" w:cs="Times New Roman"/>
        </w:rPr>
      </w:pPr>
      <w:r>
        <w:rPr>
          <w:rFonts w:ascii="Times New Roman" w:hAnsi="Times New Roman" w:cs="Times New Roman"/>
        </w:rPr>
        <w:t xml:space="preserve">Section 8 Note 2 and Note 3 have been amended to update the name of the </w:t>
      </w:r>
      <w:r w:rsidRPr="000C2831">
        <w:rPr>
          <w:rFonts w:ascii="Times New Roman" w:hAnsi="Times New Roman" w:cs="Times New Roman"/>
          <w:i/>
          <w:iCs/>
        </w:rPr>
        <w:t xml:space="preserve">Radiocommunications (Mid-West Radio Quiet Zone) Frequency Band Plan </w:t>
      </w:r>
      <w:r>
        <w:rPr>
          <w:rFonts w:ascii="Times New Roman" w:hAnsi="Times New Roman" w:cs="Times New Roman"/>
        </w:rPr>
        <w:t>as the band plan has recently been remade and is now</w:t>
      </w:r>
      <w:r w:rsidR="009222ED">
        <w:rPr>
          <w:rFonts w:ascii="Times New Roman" w:hAnsi="Times New Roman" w:cs="Times New Roman"/>
        </w:rPr>
        <w:t xml:space="preserve"> the</w:t>
      </w:r>
      <w:r>
        <w:rPr>
          <w:rFonts w:ascii="Times New Roman" w:hAnsi="Times New Roman" w:cs="Times New Roman"/>
        </w:rPr>
        <w:t xml:space="preserve"> </w:t>
      </w:r>
      <w:r w:rsidRPr="000C2831">
        <w:rPr>
          <w:rFonts w:ascii="Times New Roman" w:hAnsi="Times New Roman" w:cs="Times New Roman"/>
          <w:i/>
          <w:iCs/>
        </w:rPr>
        <w:t>Radiocommunications (</w:t>
      </w:r>
      <w:r w:rsidR="001866D6">
        <w:rPr>
          <w:rFonts w:ascii="Times New Roman" w:hAnsi="Times New Roman" w:cs="Times New Roman"/>
          <w:i/>
          <w:iCs/>
        </w:rPr>
        <w:t>Australian</w:t>
      </w:r>
      <w:r w:rsidRPr="000C2831">
        <w:rPr>
          <w:rFonts w:ascii="Times New Roman" w:hAnsi="Times New Roman" w:cs="Times New Roman"/>
          <w:i/>
          <w:iCs/>
        </w:rPr>
        <w:t xml:space="preserve"> Radio Quiet Zone</w:t>
      </w:r>
      <w:r w:rsidR="001866D6">
        <w:rPr>
          <w:rFonts w:ascii="Times New Roman" w:hAnsi="Times New Roman" w:cs="Times New Roman"/>
          <w:i/>
          <w:iCs/>
        </w:rPr>
        <w:t xml:space="preserve"> Western Australia</w:t>
      </w:r>
      <w:r w:rsidRPr="000C2831">
        <w:rPr>
          <w:rFonts w:ascii="Times New Roman" w:hAnsi="Times New Roman" w:cs="Times New Roman"/>
          <w:i/>
          <w:iCs/>
        </w:rPr>
        <w:t>) Frequency Band Plan</w:t>
      </w:r>
      <w:r>
        <w:rPr>
          <w:rFonts w:ascii="Times New Roman" w:hAnsi="Times New Roman" w:cs="Times New Roman"/>
          <w:i/>
          <w:iCs/>
        </w:rPr>
        <w:t xml:space="preserve"> 2023</w:t>
      </w:r>
      <w:r w:rsidR="00CF2959">
        <w:rPr>
          <w:rFonts w:ascii="Times New Roman" w:hAnsi="Times New Roman" w:cs="Times New Roman"/>
          <w:i/>
          <w:iCs/>
        </w:rPr>
        <w:t>.</w:t>
      </w:r>
    </w:p>
    <w:sectPr w:rsidR="00437F49" w:rsidRPr="005958D6" w:rsidSect="0008235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97B5" w14:textId="77777777" w:rsidR="00951D9F" w:rsidRDefault="00951D9F" w:rsidP="00025ACE">
      <w:pPr>
        <w:spacing w:after="0" w:line="240" w:lineRule="auto"/>
      </w:pPr>
      <w:r>
        <w:separator/>
      </w:r>
    </w:p>
  </w:endnote>
  <w:endnote w:type="continuationSeparator" w:id="0">
    <w:p w14:paraId="569C7662" w14:textId="77777777" w:rsidR="00951D9F" w:rsidRDefault="00951D9F"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256E7702"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sidR="00683940" w:rsidRPr="0086022B">
          <w:rPr>
            <w:rFonts w:ascii="Times New Roman" w:hAnsi="Times New Roman" w:cs="Times New Roman"/>
            <w:i/>
            <w:sz w:val="20"/>
            <w:szCs w:val="20"/>
          </w:rPr>
          <w:t>Radiocommunications (Communication with Space Object) Class Licence Variation 2023 (No. 1)</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D27C" w14:textId="77777777" w:rsidR="00951D9F" w:rsidRDefault="00951D9F" w:rsidP="00025ACE">
      <w:pPr>
        <w:spacing w:after="0" w:line="240" w:lineRule="auto"/>
      </w:pPr>
      <w:r>
        <w:separator/>
      </w:r>
    </w:p>
  </w:footnote>
  <w:footnote w:type="continuationSeparator" w:id="0">
    <w:p w14:paraId="229CBDA8" w14:textId="77777777" w:rsidR="00951D9F" w:rsidRDefault="00951D9F" w:rsidP="0002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9"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E0072FF"/>
    <w:multiLevelType w:val="hybridMultilevel"/>
    <w:tmpl w:val="DB5CDE1C"/>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12"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13"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num w:numId="1" w16cid:durableId="1034617558">
    <w:abstractNumId w:val="10"/>
  </w:num>
  <w:num w:numId="2" w16cid:durableId="466432665">
    <w:abstractNumId w:val="7"/>
  </w:num>
  <w:num w:numId="3" w16cid:durableId="627517530">
    <w:abstractNumId w:val="1"/>
  </w:num>
  <w:num w:numId="4" w16cid:durableId="2042048329">
    <w:abstractNumId w:val="5"/>
  </w:num>
  <w:num w:numId="5" w16cid:durableId="1430009742">
    <w:abstractNumId w:val="4"/>
  </w:num>
  <w:num w:numId="6" w16cid:durableId="364910424">
    <w:abstractNumId w:val="0"/>
  </w:num>
  <w:num w:numId="7" w16cid:durableId="1969847570">
    <w:abstractNumId w:val="3"/>
  </w:num>
  <w:num w:numId="8" w16cid:durableId="675889603">
    <w:abstractNumId w:val="13"/>
  </w:num>
  <w:num w:numId="9" w16cid:durableId="489322803">
    <w:abstractNumId w:val="6"/>
  </w:num>
  <w:num w:numId="10" w16cid:durableId="718285516">
    <w:abstractNumId w:val="2"/>
  </w:num>
  <w:num w:numId="11" w16cid:durableId="825782125">
    <w:abstractNumId w:val="11"/>
  </w:num>
  <w:num w:numId="12" w16cid:durableId="1413620440">
    <w:abstractNumId w:val="8"/>
  </w:num>
  <w:num w:numId="13" w16cid:durableId="460080279">
    <w:abstractNumId w:val="12"/>
  </w:num>
  <w:num w:numId="14" w16cid:durableId="496725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5535"/>
    <w:rsid w:val="00006D41"/>
    <w:rsid w:val="00011D80"/>
    <w:rsid w:val="000124F9"/>
    <w:rsid w:val="00013079"/>
    <w:rsid w:val="000144AE"/>
    <w:rsid w:val="0001487D"/>
    <w:rsid w:val="00025ACE"/>
    <w:rsid w:val="00033A28"/>
    <w:rsid w:val="00037F0E"/>
    <w:rsid w:val="0006427E"/>
    <w:rsid w:val="00065037"/>
    <w:rsid w:val="00065B29"/>
    <w:rsid w:val="00070D91"/>
    <w:rsid w:val="000726C7"/>
    <w:rsid w:val="00074A8D"/>
    <w:rsid w:val="00082354"/>
    <w:rsid w:val="00083BC3"/>
    <w:rsid w:val="00087F3D"/>
    <w:rsid w:val="00095005"/>
    <w:rsid w:val="00095AB3"/>
    <w:rsid w:val="00097DD1"/>
    <w:rsid w:val="000A3A94"/>
    <w:rsid w:val="000A5F8E"/>
    <w:rsid w:val="000B0BA7"/>
    <w:rsid w:val="000B0FA8"/>
    <w:rsid w:val="000B33B6"/>
    <w:rsid w:val="000B4B6C"/>
    <w:rsid w:val="000C1D17"/>
    <w:rsid w:val="000C2831"/>
    <w:rsid w:val="000C6436"/>
    <w:rsid w:val="000C6CBB"/>
    <w:rsid w:val="000C7491"/>
    <w:rsid w:val="000D28A5"/>
    <w:rsid w:val="000D483F"/>
    <w:rsid w:val="000D4ECE"/>
    <w:rsid w:val="000E20FF"/>
    <w:rsid w:val="000E2A3E"/>
    <w:rsid w:val="000E2C66"/>
    <w:rsid w:val="000E317C"/>
    <w:rsid w:val="000E38C9"/>
    <w:rsid w:val="000E6F58"/>
    <w:rsid w:val="000F1C01"/>
    <w:rsid w:val="000F6255"/>
    <w:rsid w:val="0010174C"/>
    <w:rsid w:val="00104130"/>
    <w:rsid w:val="0010665F"/>
    <w:rsid w:val="00112987"/>
    <w:rsid w:val="0011696E"/>
    <w:rsid w:val="00117351"/>
    <w:rsid w:val="00121B9E"/>
    <w:rsid w:val="00122072"/>
    <w:rsid w:val="001279B9"/>
    <w:rsid w:val="0013145C"/>
    <w:rsid w:val="0013336B"/>
    <w:rsid w:val="00134705"/>
    <w:rsid w:val="00146A0C"/>
    <w:rsid w:val="00161C1F"/>
    <w:rsid w:val="00161C73"/>
    <w:rsid w:val="001761AF"/>
    <w:rsid w:val="00180BB7"/>
    <w:rsid w:val="001815B5"/>
    <w:rsid w:val="00182134"/>
    <w:rsid w:val="0018562C"/>
    <w:rsid w:val="00185BDC"/>
    <w:rsid w:val="001866D6"/>
    <w:rsid w:val="00190EDD"/>
    <w:rsid w:val="00191E92"/>
    <w:rsid w:val="001A145E"/>
    <w:rsid w:val="001B1A6C"/>
    <w:rsid w:val="001B5196"/>
    <w:rsid w:val="001B5706"/>
    <w:rsid w:val="001C46B2"/>
    <w:rsid w:val="001C4BF8"/>
    <w:rsid w:val="001C5421"/>
    <w:rsid w:val="001C74E0"/>
    <w:rsid w:val="001D13CE"/>
    <w:rsid w:val="001D1D5A"/>
    <w:rsid w:val="001D3CAF"/>
    <w:rsid w:val="001D5C25"/>
    <w:rsid w:val="001D6C10"/>
    <w:rsid w:val="001E343E"/>
    <w:rsid w:val="001E54CE"/>
    <w:rsid w:val="001E64FF"/>
    <w:rsid w:val="001E66C0"/>
    <w:rsid w:val="001E72ED"/>
    <w:rsid w:val="001F1017"/>
    <w:rsid w:val="00212847"/>
    <w:rsid w:val="00222868"/>
    <w:rsid w:val="00235735"/>
    <w:rsid w:val="002508F7"/>
    <w:rsid w:val="002522B8"/>
    <w:rsid w:val="002549FE"/>
    <w:rsid w:val="00264DEE"/>
    <w:rsid w:val="002674E7"/>
    <w:rsid w:val="0028558A"/>
    <w:rsid w:val="002909B6"/>
    <w:rsid w:val="00293B06"/>
    <w:rsid w:val="00293E4F"/>
    <w:rsid w:val="0029415B"/>
    <w:rsid w:val="00294E33"/>
    <w:rsid w:val="0029574B"/>
    <w:rsid w:val="00297F1E"/>
    <w:rsid w:val="002A34C4"/>
    <w:rsid w:val="002A6591"/>
    <w:rsid w:val="002B0C3D"/>
    <w:rsid w:val="002B6699"/>
    <w:rsid w:val="002B7EEA"/>
    <w:rsid w:val="002C2256"/>
    <w:rsid w:val="002C24FF"/>
    <w:rsid w:val="002C48E5"/>
    <w:rsid w:val="002C48F5"/>
    <w:rsid w:val="002C6631"/>
    <w:rsid w:val="002C68D4"/>
    <w:rsid w:val="002C76E7"/>
    <w:rsid w:val="002D0405"/>
    <w:rsid w:val="002D3913"/>
    <w:rsid w:val="002D3E72"/>
    <w:rsid w:val="002E3B2A"/>
    <w:rsid w:val="002E3F80"/>
    <w:rsid w:val="002F03AC"/>
    <w:rsid w:val="002F2036"/>
    <w:rsid w:val="002F2655"/>
    <w:rsid w:val="002F2FAF"/>
    <w:rsid w:val="002F36E0"/>
    <w:rsid w:val="003004B0"/>
    <w:rsid w:val="00303A0F"/>
    <w:rsid w:val="003053B3"/>
    <w:rsid w:val="003053FB"/>
    <w:rsid w:val="00306175"/>
    <w:rsid w:val="003113E8"/>
    <w:rsid w:val="00312891"/>
    <w:rsid w:val="00314F9C"/>
    <w:rsid w:val="0031674F"/>
    <w:rsid w:val="0031706D"/>
    <w:rsid w:val="00325011"/>
    <w:rsid w:val="00330729"/>
    <w:rsid w:val="00333308"/>
    <w:rsid w:val="00336E3C"/>
    <w:rsid w:val="00342063"/>
    <w:rsid w:val="003434D4"/>
    <w:rsid w:val="003577F6"/>
    <w:rsid w:val="00364E46"/>
    <w:rsid w:val="0036752E"/>
    <w:rsid w:val="00370620"/>
    <w:rsid w:val="003758F4"/>
    <w:rsid w:val="00375FA7"/>
    <w:rsid w:val="00382D7B"/>
    <w:rsid w:val="00383221"/>
    <w:rsid w:val="00385EF1"/>
    <w:rsid w:val="00391575"/>
    <w:rsid w:val="00394F22"/>
    <w:rsid w:val="003A3635"/>
    <w:rsid w:val="003A7407"/>
    <w:rsid w:val="003B1557"/>
    <w:rsid w:val="003B3D92"/>
    <w:rsid w:val="003C1A36"/>
    <w:rsid w:val="003C2F82"/>
    <w:rsid w:val="003C36DE"/>
    <w:rsid w:val="003C44B4"/>
    <w:rsid w:val="003C4957"/>
    <w:rsid w:val="003D114A"/>
    <w:rsid w:val="003D210B"/>
    <w:rsid w:val="003D38F0"/>
    <w:rsid w:val="003D74BE"/>
    <w:rsid w:val="003D76FA"/>
    <w:rsid w:val="003E3E9B"/>
    <w:rsid w:val="003E4EA4"/>
    <w:rsid w:val="003E7113"/>
    <w:rsid w:val="003F19BB"/>
    <w:rsid w:val="003F1CD5"/>
    <w:rsid w:val="003F5C58"/>
    <w:rsid w:val="003F67D8"/>
    <w:rsid w:val="00402859"/>
    <w:rsid w:val="00404C67"/>
    <w:rsid w:val="0041003E"/>
    <w:rsid w:val="00412D4C"/>
    <w:rsid w:val="00414B00"/>
    <w:rsid w:val="00416865"/>
    <w:rsid w:val="00426EFC"/>
    <w:rsid w:val="00430E3C"/>
    <w:rsid w:val="004362E3"/>
    <w:rsid w:val="00437F49"/>
    <w:rsid w:val="004409AF"/>
    <w:rsid w:val="004432A1"/>
    <w:rsid w:val="0044733C"/>
    <w:rsid w:val="00450F48"/>
    <w:rsid w:val="00453A8F"/>
    <w:rsid w:val="0045489F"/>
    <w:rsid w:val="0045671C"/>
    <w:rsid w:val="00457D21"/>
    <w:rsid w:val="00460C6C"/>
    <w:rsid w:val="0046203F"/>
    <w:rsid w:val="00464CCF"/>
    <w:rsid w:val="0047140A"/>
    <w:rsid w:val="0047188E"/>
    <w:rsid w:val="00473EF0"/>
    <w:rsid w:val="0047413C"/>
    <w:rsid w:val="00474889"/>
    <w:rsid w:val="00476859"/>
    <w:rsid w:val="004826DD"/>
    <w:rsid w:val="004857B0"/>
    <w:rsid w:val="00490B57"/>
    <w:rsid w:val="004971D6"/>
    <w:rsid w:val="004A1064"/>
    <w:rsid w:val="004A2A86"/>
    <w:rsid w:val="004A2F8B"/>
    <w:rsid w:val="004B2981"/>
    <w:rsid w:val="004B388A"/>
    <w:rsid w:val="004C2412"/>
    <w:rsid w:val="004D0AAA"/>
    <w:rsid w:val="004D124F"/>
    <w:rsid w:val="004D2843"/>
    <w:rsid w:val="004D3713"/>
    <w:rsid w:val="004E0871"/>
    <w:rsid w:val="004E790E"/>
    <w:rsid w:val="004F05D8"/>
    <w:rsid w:val="004F3C37"/>
    <w:rsid w:val="00500735"/>
    <w:rsid w:val="00501E31"/>
    <w:rsid w:val="0050389F"/>
    <w:rsid w:val="0050539A"/>
    <w:rsid w:val="00505A30"/>
    <w:rsid w:val="0051163B"/>
    <w:rsid w:val="00512112"/>
    <w:rsid w:val="0051377E"/>
    <w:rsid w:val="005142D4"/>
    <w:rsid w:val="00521BA5"/>
    <w:rsid w:val="0052687A"/>
    <w:rsid w:val="0053636A"/>
    <w:rsid w:val="005471E5"/>
    <w:rsid w:val="00551A3A"/>
    <w:rsid w:val="005532A9"/>
    <w:rsid w:val="005538A6"/>
    <w:rsid w:val="00562AC6"/>
    <w:rsid w:val="00566B57"/>
    <w:rsid w:val="00570974"/>
    <w:rsid w:val="00570990"/>
    <w:rsid w:val="00572308"/>
    <w:rsid w:val="005731BE"/>
    <w:rsid w:val="00576AD1"/>
    <w:rsid w:val="00584269"/>
    <w:rsid w:val="005919F1"/>
    <w:rsid w:val="00592642"/>
    <w:rsid w:val="005958D6"/>
    <w:rsid w:val="005964CF"/>
    <w:rsid w:val="005B0878"/>
    <w:rsid w:val="005B5359"/>
    <w:rsid w:val="005B7188"/>
    <w:rsid w:val="005C65EB"/>
    <w:rsid w:val="005D130A"/>
    <w:rsid w:val="005D323C"/>
    <w:rsid w:val="005E2FDB"/>
    <w:rsid w:val="005F0329"/>
    <w:rsid w:val="005F5BE6"/>
    <w:rsid w:val="005F7A64"/>
    <w:rsid w:val="00603B3F"/>
    <w:rsid w:val="00606EDE"/>
    <w:rsid w:val="006256FD"/>
    <w:rsid w:val="006304DD"/>
    <w:rsid w:val="00641906"/>
    <w:rsid w:val="006419AD"/>
    <w:rsid w:val="00644BDA"/>
    <w:rsid w:val="00663AF2"/>
    <w:rsid w:val="00670716"/>
    <w:rsid w:val="00671216"/>
    <w:rsid w:val="00674849"/>
    <w:rsid w:val="006761A9"/>
    <w:rsid w:val="0067677D"/>
    <w:rsid w:val="006770CD"/>
    <w:rsid w:val="00681986"/>
    <w:rsid w:val="00682811"/>
    <w:rsid w:val="00682D8B"/>
    <w:rsid w:val="00683940"/>
    <w:rsid w:val="00686F06"/>
    <w:rsid w:val="00687290"/>
    <w:rsid w:val="006905FF"/>
    <w:rsid w:val="006921FA"/>
    <w:rsid w:val="006940DB"/>
    <w:rsid w:val="00696555"/>
    <w:rsid w:val="00696659"/>
    <w:rsid w:val="00696814"/>
    <w:rsid w:val="00696F62"/>
    <w:rsid w:val="0069794E"/>
    <w:rsid w:val="006A07E1"/>
    <w:rsid w:val="006A0BDF"/>
    <w:rsid w:val="006A53BB"/>
    <w:rsid w:val="006B082A"/>
    <w:rsid w:val="006B18E1"/>
    <w:rsid w:val="006C184F"/>
    <w:rsid w:val="006C20BC"/>
    <w:rsid w:val="006C3FD6"/>
    <w:rsid w:val="006C59D5"/>
    <w:rsid w:val="006C632A"/>
    <w:rsid w:val="006C71BA"/>
    <w:rsid w:val="006E476E"/>
    <w:rsid w:val="006F0DA0"/>
    <w:rsid w:val="006F32BF"/>
    <w:rsid w:val="007003DE"/>
    <w:rsid w:val="007008B1"/>
    <w:rsid w:val="00703347"/>
    <w:rsid w:val="00706F43"/>
    <w:rsid w:val="007132B7"/>
    <w:rsid w:val="00714D79"/>
    <w:rsid w:val="007173EF"/>
    <w:rsid w:val="00724C25"/>
    <w:rsid w:val="00726C40"/>
    <w:rsid w:val="00740608"/>
    <w:rsid w:val="00740791"/>
    <w:rsid w:val="00742084"/>
    <w:rsid w:val="0074219B"/>
    <w:rsid w:val="0074661C"/>
    <w:rsid w:val="00750397"/>
    <w:rsid w:val="007564A7"/>
    <w:rsid w:val="00757CD2"/>
    <w:rsid w:val="00764FEC"/>
    <w:rsid w:val="00766475"/>
    <w:rsid w:val="00767870"/>
    <w:rsid w:val="0077287D"/>
    <w:rsid w:val="0077364D"/>
    <w:rsid w:val="00774A51"/>
    <w:rsid w:val="00783829"/>
    <w:rsid w:val="00794100"/>
    <w:rsid w:val="007943A4"/>
    <w:rsid w:val="00794C5F"/>
    <w:rsid w:val="007A0103"/>
    <w:rsid w:val="007A2277"/>
    <w:rsid w:val="007A29F5"/>
    <w:rsid w:val="007B389C"/>
    <w:rsid w:val="007C3382"/>
    <w:rsid w:val="007C384F"/>
    <w:rsid w:val="007E0075"/>
    <w:rsid w:val="007F16F8"/>
    <w:rsid w:val="007F7FB2"/>
    <w:rsid w:val="00801C2B"/>
    <w:rsid w:val="00805358"/>
    <w:rsid w:val="00807078"/>
    <w:rsid w:val="008070A8"/>
    <w:rsid w:val="00810499"/>
    <w:rsid w:val="0081166D"/>
    <w:rsid w:val="0081203C"/>
    <w:rsid w:val="00812E01"/>
    <w:rsid w:val="00821F3F"/>
    <w:rsid w:val="008247E7"/>
    <w:rsid w:val="0084169E"/>
    <w:rsid w:val="008441CF"/>
    <w:rsid w:val="0084470A"/>
    <w:rsid w:val="0084677E"/>
    <w:rsid w:val="00851EEA"/>
    <w:rsid w:val="00855448"/>
    <w:rsid w:val="008556E8"/>
    <w:rsid w:val="0086022B"/>
    <w:rsid w:val="00860239"/>
    <w:rsid w:val="00864B7E"/>
    <w:rsid w:val="0087707C"/>
    <w:rsid w:val="00884225"/>
    <w:rsid w:val="008A1FDF"/>
    <w:rsid w:val="008A2340"/>
    <w:rsid w:val="008A39EF"/>
    <w:rsid w:val="008A648D"/>
    <w:rsid w:val="008B0CCB"/>
    <w:rsid w:val="008B5BCE"/>
    <w:rsid w:val="008C584E"/>
    <w:rsid w:val="008C77C6"/>
    <w:rsid w:val="008E0D98"/>
    <w:rsid w:val="008E0E18"/>
    <w:rsid w:val="008E344D"/>
    <w:rsid w:val="008E3483"/>
    <w:rsid w:val="008E70A2"/>
    <w:rsid w:val="008F0544"/>
    <w:rsid w:val="008F2212"/>
    <w:rsid w:val="008F4C58"/>
    <w:rsid w:val="0090572C"/>
    <w:rsid w:val="0091080B"/>
    <w:rsid w:val="00920C8F"/>
    <w:rsid w:val="009222ED"/>
    <w:rsid w:val="00926833"/>
    <w:rsid w:val="00926AED"/>
    <w:rsid w:val="00932D8F"/>
    <w:rsid w:val="00951D9F"/>
    <w:rsid w:val="00960CAE"/>
    <w:rsid w:val="00964E35"/>
    <w:rsid w:val="009670B7"/>
    <w:rsid w:val="00971D5D"/>
    <w:rsid w:val="009723D1"/>
    <w:rsid w:val="009732C1"/>
    <w:rsid w:val="00974BEA"/>
    <w:rsid w:val="00977705"/>
    <w:rsid w:val="00984171"/>
    <w:rsid w:val="009847F4"/>
    <w:rsid w:val="0099282E"/>
    <w:rsid w:val="00994448"/>
    <w:rsid w:val="009A2D28"/>
    <w:rsid w:val="009A311B"/>
    <w:rsid w:val="009B01B5"/>
    <w:rsid w:val="009B1832"/>
    <w:rsid w:val="009B39ED"/>
    <w:rsid w:val="009B3A9E"/>
    <w:rsid w:val="009B40D2"/>
    <w:rsid w:val="009C0852"/>
    <w:rsid w:val="009C0C2B"/>
    <w:rsid w:val="009D5062"/>
    <w:rsid w:val="009D5783"/>
    <w:rsid w:val="009D67A8"/>
    <w:rsid w:val="009D7890"/>
    <w:rsid w:val="009E4EA2"/>
    <w:rsid w:val="009F275A"/>
    <w:rsid w:val="009F3017"/>
    <w:rsid w:val="009F3270"/>
    <w:rsid w:val="009F7219"/>
    <w:rsid w:val="00A0138A"/>
    <w:rsid w:val="00A01CD2"/>
    <w:rsid w:val="00A04536"/>
    <w:rsid w:val="00A07103"/>
    <w:rsid w:val="00A078E1"/>
    <w:rsid w:val="00A07A2F"/>
    <w:rsid w:val="00A11286"/>
    <w:rsid w:val="00A11538"/>
    <w:rsid w:val="00A13C48"/>
    <w:rsid w:val="00A17394"/>
    <w:rsid w:val="00A213A8"/>
    <w:rsid w:val="00A21F3E"/>
    <w:rsid w:val="00A23605"/>
    <w:rsid w:val="00A25DE6"/>
    <w:rsid w:val="00A31ED3"/>
    <w:rsid w:val="00A35A7B"/>
    <w:rsid w:val="00A36D64"/>
    <w:rsid w:val="00A40615"/>
    <w:rsid w:val="00A462F0"/>
    <w:rsid w:val="00A64EC4"/>
    <w:rsid w:val="00A65C2C"/>
    <w:rsid w:val="00A6690B"/>
    <w:rsid w:val="00A7023B"/>
    <w:rsid w:val="00A70947"/>
    <w:rsid w:val="00A75F13"/>
    <w:rsid w:val="00A81D45"/>
    <w:rsid w:val="00A84CE9"/>
    <w:rsid w:val="00AA6088"/>
    <w:rsid w:val="00AB21A7"/>
    <w:rsid w:val="00AB2507"/>
    <w:rsid w:val="00AB65E7"/>
    <w:rsid w:val="00AB778B"/>
    <w:rsid w:val="00AB7DA4"/>
    <w:rsid w:val="00AD330C"/>
    <w:rsid w:val="00AD3414"/>
    <w:rsid w:val="00AD34DA"/>
    <w:rsid w:val="00AD500F"/>
    <w:rsid w:val="00AE0946"/>
    <w:rsid w:val="00AE2148"/>
    <w:rsid w:val="00AE2CB4"/>
    <w:rsid w:val="00AE630C"/>
    <w:rsid w:val="00AE6898"/>
    <w:rsid w:val="00AF080D"/>
    <w:rsid w:val="00AF09E1"/>
    <w:rsid w:val="00AF5CE8"/>
    <w:rsid w:val="00AF6545"/>
    <w:rsid w:val="00AF7C84"/>
    <w:rsid w:val="00B00FC3"/>
    <w:rsid w:val="00B108FB"/>
    <w:rsid w:val="00B1568A"/>
    <w:rsid w:val="00B200AA"/>
    <w:rsid w:val="00B265A3"/>
    <w:rsid w:val="00B30AD7"/>
    <w:rsid w:val="00B33BED"/>
    <w:rsid w:val="00B34E1D"/>
    <w:rsid w:val="00B401FB"/>
    <w:rsid w:val="00B433E1"/>
    <w:rsid w:val="00B46D56"/>
    <w:rsid w:val="00B52584"/>
    <w:rsid w:val="00B52F5E"/>
    <w:rsid w:val="00B5343A"/>
    <w:rsid w:val="00B53EF6"/>
    <w:rsid w:val="00B54C45"/>
    <w:rsid w:val="00B54C8B"/>
    <w:rsid w:val="00B6013B"/>
    <w:rsid w:val="00B65847"/>
    <w:rsid w:val="00B665E6"/>
    <w:rsid w:val="00B727F3"/>
    <w:rsid w:val="00B73A97"/>
    <w:rsid w:val="00B82C8F"/>
    <w:rsid w:val="00B90F17"/>
    <w:rsid w:val="00B93D86"/>
    <w:rsid w:val="00B94B30"/>
    <w:rsid w:val="00BA2DF5"/>
    <w:rsid w:val="00BA7D17"/>
    <w:rsid w:val="00BA7D5E"/>
    <w:rsid w:val="00BB076E"/>
    <w:rsid w:val="00BB1CF2"/>
    <w:rsid w:val="00BB656B"/>
    <w:rsid w:val="00BB7A25"/>
    <w:rsid w:val="00BC0A3C"/>
    <w:rsid w:val="00BC3B10"/>
    <w:rsid w:val="00BC5916"/>
    <w:rsid w:val="00BC621F"/>
    <w:rsid w:val="00BF7F90"/>
    <w:rsid w:val="00C032F0"/>
    <w:rsid w:val="00C03503"/>
    <w:rsid w:val="00C05C4B"/>
    <w:rsid w:val="00C10E3A"/>
    <w:rsid w:val="00C14388"/>
    <w:rsid w:val="00C20621"/>
    <w:rsid w:val="00C21933"/>
    <w:rsid w:val="00C31924"/>
    <w:rsid w:val="00C368F8"/>
    <w:rsid w:val="00C42BCE"/>
    <w:rsid w:val="00C43D4C"/>
    <w:rsid w:val="00C52681"/>
    <w:rsid w:val="00C5312F"/>
    <w:rsid w:val="00C56BA4"/>
    <w:rsid w:val="00C57E29"/>
    <w:rsid w:val="00C60499"/>
    <w:rsid w:val="00C610D4"/>
    <w:rsid w:val="00C61909"/>
    <w:rsid w:val="00C635EE"/>
    <w:rsid w:val="00C63E8C"/>
    <w:rsid w:val="00C63F2A"/>
    <w:rsid w:val="00C6506A"/>
    <w:rsid w:val="00C659A7"/>
    <w:rsid w:val="00C66BD3"/>
    <w:rsid w:val="00C67113"/>
    <w:rsid w:val="00C67DF1"/>
    <w:rsid w:val="00C70918"/>
    <w:rsid w:val="00C72B34"/>
    <w:rsid w:val="00C73DA7"/>
    <w:rsid w:val="00C76FFC"/>
    <w:rsid w:val="00C81930"/>
    <w:rsid w:val="00C828BD"/>
    <w:rsid w:val="00C84F4D"/>
    <w:rsid w:val="00C9259F"/>
    <w:rsid w:val="00C961CD"/>
    <w:rsid w:val="00C96ABF"/>
    <w:rsid w:val="00C97C21"/>
    <w:rsid w:val="00CA3398"/>
    <w:rsid w:val="00CA3D9F"/>
    <w:rsid w:val="00CA40FA"/>
    <w:rsid w:val="00CA56BE"/>
    <w:rsid w:val="00CA6926"/>
    <w:rsid w:val="00CA735C"/>
    <w:rsid w:val="00CB0ED8"/>
    <w:rsid w:val="00CB334C"/>
    <w:rsid w:val="00CB3AD5"/>
    <w:rsid w:val="00CC5CF3"/>
    <w:rsid w:val="00CC7A9F"/>
    <w:rsid w:val="00CD0D86"/>
    <w:rsid w:val="00CD1275"/>
    <w:rsid w:val="00CD6E97"/>
    <w:rsid w:val="00CD71EB"/>
    <w:rsid w:val="00CE12DD"/>
    <w:rsid w:val="00CE3CC8"/>
    <w:rsid w:val="00CE5861"/>
    <w:rsid w:val="00CF2959"/>
    <w:rsid w:val="00CF3EA7"/>
    <w:rsid w:val="00D01E1C"/>
    <w:rsid w:val="00D13D39"/>
    <w:rsid w:val="00D20E6B"/>
    <w:rsid w:val="00D23BD5"/>
    <w:rsid w:val="00D250A7"/>
    <w:rsid w:val="00D2518B"/>
    <w:rsid w:val="00D307CC"/>
    <w:rsid w:val="00D31857"/>
    <w:rsid w:val="00D32B87"/>
    <w:rsid w:val="00D32C2B"/>
    <w:rsid w:val="00D32E4E"/>
    <w:rsid w:val="00D35790"/>
    <w:rsid w:val="00D40225"/>
    <w:rsid w:val="00D4610F"/>
    <w:rsid w:val="00D5385A"/>
    <w:rsid w:val="00D57387"/>
    <w:rsid w:val="00D60C5E"/>
    <w:rsid w:val="00D7152B"/>
    <w:rsid w:val="00D75313"/>
    <w:rsid w:val="00D83D7A"/>
    <w:rsid w:val="00D85D54"/>
    <w:rsid w:val="00D90DCA"/>
    <w:rsid w:val="00D95F8A"/>
    <w:rsid w:val="00DA0D39"/>
    <w:rsid w:val="00DA1559"/>
    <w:rsid w:val="00DA1C53"/>
    <w:rsid w:val="00DA6C21"/>
    <w:rsid w:val="00DB4A50"/>
    <w:rsid w:val="00DC4EBE"/>
    <w:rsid w:val="00DD13F8"/>
    <w:rsid w:val="00DE644E"/>
    <w:rsid w:val="00DF2758"/>
    <w:rsid w:val="00DF422B"/>
    <w:rsid w:val="00E05F1F"/>
    <w:rsid w:val="00E106C6"/>
    <w:rsid w:val="00E112BA"/>
    <w:rsid w:val="00E1557E"/>
    <w:rsid w:val="00E24333"/>
    <w:rsid w:val="00E25096"/>
    <w:rsid w:val="00E332A9"/>
    <w:rsid w:val="00E37DD8"/>
    <w:rsid w:val="00E42C75"/>
    <w:rsid w:val="00E47A40"/>
    <w:rsid w:val="00E5021A"/>
    <w:rsid w:val="00E50D2A"/>
    <w:rsid w:val="00E51F60"/>
    <w:rsid w:val="00E565DC"/>
    <w:rsid w:val="00E57ECE"/>
    <w:rsid w:val="00E67298"/>
    <w:rsid w:val="00E77355"/>
    <w:rsid w:val="00E81D90"/>
    <w:rsid w:val="00E833DA"/>
    <w:rsid w:val="00E84277"/>
    <w:rsid w:val="00EA142C"/>
    <w:rsid w:val="00EA567C"/>
    <w:rsid w:val="00EB0C79"/>
    <w:rsid w:val="00EB1BC9"/>
    <w:rsid w:val="00EB424F"/>
    <w:rsid w:val="00EB78E2"/>
    <w:rsid w:val="00EC14E7"/>
    <w:rsid w:val="00EC54C3"/>
    <w:rsid w:val="00EC76A0"/>
    <w:rsid w:val="00EC7F5A"/>
    <w:rsid w:val="00ED1437"/>
    <w:rsid w:val="00EE5017"/>
    <w:rsid w:val="00EE5E7F"/>
    <w:rsid w:val="00EE6DDD"/>
    <w:rsid w:val="00EF417E"/>
    <w:rsid w:val="00F01FE0"/>
    <w:rsid w:val="00F030D8"/>
    <w:rsid w:val="00F063E3"/>
    <w:rsid w:val="00F101C1"/>
    <w:rsid w:val="00F10C41"/>
    <w:rsid w:val="00F10D99"/>
    <w:rsid w:val="00F1208D"/>
    <w:rsid w:val="00F15B78"/>
    <w:rsid w:val="00F2024F"/>
    <w:rsid w:val="00F251E3"/>
    <w:rsid w:val="00F2700E"/>
    <w:rsid w:val="00F30011"/>
    <w:rsid w:val="00F30289"/>
    <w:rsid w:val="00F33BD8"/>
    <w:rsid w:val="00F34D94"/>
    <w:rsid w:val="00F3667B"/>
    <w:rsid w:val="00F373E2"/>
    <w:rsid w:val="00F4037B"/>
    <w:rsid w:val="00F406BB"/>
    <w:rsid w:val="00F4414D"/>
    <w:rsid w:val="00F4687E"/>
    <w:rsid w:val="00F5127F"/>
    <w:rsid w:val="00F63374"/>
    <w:rsid w:val="00F675AA"/>
    <w:rsid w:val="00F76815"/>
    <w:rsid w:val="00F81C76"/>
    <w:rsid w:val="00F8272A"/>
    <w:rsid w:val="00F938FD"/>
    <w:rsid w:val="00F950B8"/>
    <w:rsid w:val="00FA1C2D"/>
    <w:rsid w:val="00FA6087"/>
    <w:rsid w:val="00FB4437"/>
    <w:rsid w:val="00FC0BF3"/>
    <w:rsid w:val="00FC0EBD"/>
    <w:rsid w:val="00FC5A23"/>
    <w:rsid w:val="00FC6713"/>
    <w:rsid w:val="00FC67DA"/>
    <w:rsid w:val="00FC68EA"/>
    <w:rsid w:val="00FD0A62"/>
    <w:rsid w:val="00FD4207"/>
    <w:rsid w:val="00FD6A58"/>
    <w:rsid w:val="00FD724A"/>
    <w:rsid w:val="00FF10C3"/>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Revision">
    <w:name w:val="Revision"/>
    <w:hidden/>
    <w:uiPriority w:val="99"/>
    <w:semiHidden/>
    <w:rsid w:val="00B53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F2015L0127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UQVA7MFFXVNW-850449931-2696</_dlc_DocId>
    <_dlc_DocIdUrl xmlns="04b8ec43-391f-4ce4-8841-d6a482add564">
      <Url>http://collaboration/organisation/auth/Chair/Auth/_layouts/15/DocIdRedir.aspx?ID=UQVA7MFFXVNW-850449931-2696</Url>
      <Description>UQVA7MFFXVNW-850449931-2696</Description>
    </_dlc_DocIdUrl>
    <Category xmlns="026d8262-4725-4a9c-834e-3f991ab17ffd">(none)</Category>
  </documentManagement>
</p:properties>
</file>

<file path=customXml/itemProps1.xml><?xml version="1.0" encoding="utf-8"?>
<ds:datastoreItem xmlns:ds="http://schemas.openxmlformats.org/officeDocument/2006/customXml" ds:itemID="{AC3DC3F5-13BD-4215-84B0-B3655FBA8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25AD4-FA4E-4A34-A52A-3556B72CE44D}">
  <ds:schemaRefs>
    <ds:schemaRef ds:uri="http://schemas.microsoft.com/sharepoint/events"/>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5.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1d983eb4-33f7-44b0-aea1-cbdcf0c55136"/>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Dieter Dambiec</cp:lastModifiedBy>
  <cp:revision>3</cp:revision>
  <cp:lastPrinted>2016-07-25T00:08:00Z</cp:lastPrinted>
  <dcterms:created xsi:type="dcterms:W3CDTF">2023-12-13T01:21:00Z</dcterms:created>
  <dcterms:modified xsi:type="dcterms:W3CDTF">2023-12-13T01:21:00Z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1a8b07f3-1ee3-4d8c-89b5-d4cd9049077d</vt:lpwstr>
  </property>
</Properties>
</file>