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9449B" w14:textId="350135B9" w:rsidR="001B07B5" w:rsidRPr="000538A7" w:rsidRDefault="000E60B1" w:rsidP="00090253">
      <w:pPr>
        <w:spacing w:before="120" w:after="120" w:line="240" w:lineRule="auto"/>
        <w:jc w:val="center"/>
        <w:rPr>
          <w:rFonts w:ascii="Times New Roman" w:hAnsi="Times New Roman"/>
          <w:b/>
          <w:sz w:val="24"/>
          <w:szCs w:val="24"/>
          <w:u w:val="single"/>
        </w:rPr>
      </w:pPr>
      <w:r w:rsidRPr="000538A7">
        <w:rPr>
          <w:rFonts w:ascii="Times New Roman" w:hAnsi="Times New Roman"/>
          <w:b/>
          <w:sz w:val="24"/>
          <w:szCs w:val="24"/>
          <w:u w:val="single"/>
        </w:rPr>
        <w:t>SAFETY, REHABILITATION AND COMPENSATION</w:t>
      </w:r>
      <w:r w:rsidR="001B07B5" w:rsidRPr="000538A7">
        <w:rPr>
          <w:rFonts w:ascii="Times New Roman" w:hAnsi="Times New Roman"/>
          <w:b/>
          <w:sz w:val="24"/>
          <w:szCs w:val="24"/>
          <w:u w:val="single"/>
        </w:rPr>
        <w:t xml:space="preserve"> AMENDMENT</w:t>
      </w:r>
      <w:r w:rsidRPr="000538A7">
        <w:rPr>
          <w:rFonts w:ascii="Times New Roman" w:hAnsi="Times New Roman"/>
          <w:b/>
          <w:sz w:val="24"/>
          <w:szCs w:val="24"/>
          <w:u w:val="single"/>
        </w:rPr>
        <w:t xml:space="preserve"> (</w:t>
      </w:r>
      <w:r w:rsidR="00E807AE" w:rsidRPr="000538A7">
        <w:rPr>
          <w:rFonts w:ascii="Times New Roman" w:hAnsi="Times New Roman"/>
          <w:b/>
          <w:sz w:val="24"/>
          <w:szCs w:val="24"/>
          <w:u w:val="single"/>
        </w:rPr>
        <w:t>PERIOD FOR DECISION</w:t>
      </w:r>
      <w:r w:rsidR="00C66D79">
        <w:rPr>
          <w:rFonts w:ascii="Times New Roman" w:hAnsi="Times New Roman"/>
          <w:b/>
          <w:sz w:val="24"/>
          <w:szCs w:val="24"/>
          <w:u w:val="single"/>
        </w:rPr>
        <w:t>-</w:t>
      </w:r>
      <w:r w:rsidR="00E807AE" w:rsidRPr="000538A7">
        <w:rPr>
          <w:rFonts w:ascii="Times New Roman" w:hAnsi="Times New Roman"/>
          <w:b/>
          <w:sz w:val="24"/>
          <w:szCs w:val="24"/>
          <w:u w:val="single"/>
        </w:rPr>
        <w:t>MAKING</w:t>
      </w:r>
      <w:r w:rsidR="001B07B5" w:rsidRPr="000538A7">
        <w:rPr>
          <w:rFonts w:ascii="Times New Roman" w:hAnsi="Times New Roman"/>
          <w:b/>
          <w:sz w:val="24"/>
          <w:szCs w:val="24"/>
          <w:u w:val="single"/>
        </w:rPr>
        <w:t>)</w:t>
      </w:r>
      <w:r w:rsidRPr="000538A7">
        <w:rPr>
          <w:rFonts w:ascii="Times New Roman" w:hAnsi="Times New Roman"/>
          <w:b/>
          <w:sz w:val="24"/>
          <w:szCs w:val="24"/>
          <w:u w:val="single"/>
        </w:rPr>
        <w:t xml:space="preserve"> </w:t>
      </w:r>
      <w:r w:rsidR="001B07B5" w:rsidRPr="000538A7">
        <w:rPr>
          <w:rFonts w:ascii="Times New Roman" w:hAnsi="Times New Roman"/>
          <w:b/>
          <w:sz w:val="24"/>
          <w:szCs w:val="24"/>
          <w:u w:val="single"/>
        </w:rPr>
        <w:t>REGULATIONS</w:t>
      </w:r>
      <w:r w:rsidRPr="000538A7">
        <w:rPr>
          <w:rFonts w:ascii="Times New Roman" w:hAnsi="Times New Roman"/>
          <w:b/>
          <w:sz w:val="24"/>
          <w:szCs w:val="24"/>
          <w:u w:val="single"/>
        </w:rPr>
        <w:t xml:space="preserve"> 202</w:t>
      </w:r>
      <w:r w:rsidR="00E807AE" w:rsidRPr="000538A7">
        <w:rPr>
          <w:rFonts w:ascii="Times New Roman" w:hAnsi="Times New Roman"/>
          <w:b/>
          <w:sz w:val="24"/>
          <w:szCs w:val="24"/>
          <w:u w:val="single"/>
        </w:rPr>
        <w:t>3</w:t>
      </w:r>
    </w:p>
    <w:p w14:paraId="29853D2E" w14:textId="33F73096" w:rsidR="001B07B5" w:rsidRPr="000538A7" w:rsidRDefault="001B07B5" w:rsidP="000E60B1">
      <w:pPr>
        <w:spacing w:before="120" w:after="120" w:line="240" w:lineRule="auto"/>
        <w:jc w:val="center"/>
        <w:rPr>
          <w:rFonts w:ascii="Times New Roman" w:hAnsi="Times New Roman"/>
          <w:b/>
          <w:sz w:val="24"/>
          <w:szCs w:val="24"/>
          <w:u w:val="single"/>
        </w:rPr>
      </w:pPr>
    </w:p>
    <w:p w14:paraId="0740ACAB" w14:textId="77777777" w:rsidR="000E60B1" w:rsidRPr="000538A7" w:rsidRDefault="000E60B1" w:rsidP="000E60B1">
      <w:pPr>
        <w:spacing w:before="120" w:after="120" w:line="240" w:lineRule="auto"/>
        <w:jc w:val="center"/>
        <w:rPr>
          <w:rFonts w:ascii="Times New Roman" w:hAnsi="Times New Roman"/>
          <w:b/>
          <w:sz w:val="24"/>
          <w:szCs w:val="24"/>
          <w:u w:val="single"/>
        </w:rPr>
      </w:pPr>
      <w:r w:rsidRPr="000538A7">
        <w:rPr>
          <w:rFonts w:ascii="Times New Roman" w:hAnsi="Times New Roman"/>
          <w:b/>
          <w:sz w:val="24"/>
          <w:szCs w:val="24"/>
          <w:u w:val="single"/>
        </w:rPr>
        <w:t>EXPLANATORY STATEMENT</w:t>
      </w:r>
    </w:p>
    <w:p w14:paraId="0740ACAC" w14:textId="77777777" w:rsidR="000E60B1" w:rsidRPr="000538A7" w:rsidRDefault="000E60B1" w:rsidP="000E60B1">
      <w:pPr>
        <w:spacing w:before="120" w:after="120" w:line="240" w:lineRule="auto"/>
        <w:jc w:val="center"/>
        <w:rPr>
          <w:rFonts w:ascii="Times New Roman" w:hAnsi="Times New Roman"/>
          <w:b/>
          <w:sz w:val="24"/>
          <w:szCs w:val="24"/>
          <w:u w:val="single"/>
        </w:rPr>
      </w:pPr>
    </w:p>
    <w:p w14:paraId="0740ACAD" w14:textId="3BFBAB76" w:rsidR="000E60B1" w:rsidRPr="000538A7" w:rsidRDefault="000E60B1" w:rsidP="000E60B1">
      <w:pPr>
        <w:spacing w:before="120" w:after="120" w:line="240" w:lineRule="auto"/>
        <w:jc w:val="center"/>
        <w:rPr>
          <w:rFonts w:ascii="Times New Roman" w:hAnsi="Times New Roman"/>
          <w:sz w:val="24"/>
          <w:szCs w:val="24"/>
        </w:rPr>
      </w:pPr>
      <w:r w:rsidRPr="000538A7">
        <w:rPr>
          <w:rFonts w:ascii="Times New Roman" w:hAnsi="Times New Roman"/>
          <w:sz w:val="24"/>
          <w:szCs w:val="24"/>
        </w:rPr>
        <w:t xml:space="preserve">Issued by authority of the </w:t>
      </w:r>
      <w:r w:rsidRPr="000538A7">
        <w:rPr>
          <w:rFonts w:ascii="Times New Roman" w:hAnsi="Times New Roman"/>
          <w:sz w:val="24"/>
          <w:szCs w:val="24"/>
          <w:lang w:val="en"/>
        </w:rPr>
        <w:t xml:space="preserve">Minister for </w:t>
      </w:r>
      <w:r w:rsidR="00DC47EC" w:rsidRPr="000538A7">
        <w:rPr>
          <w:rFonts w:ascii="Times New Roman" w:hAnsi="Times New Roman"/>
          <w:sz w:val="24"/>
          <w:szCs w:val="24"/>
          <w:lang w:val="en"/>
        </w:rPr>
        <w:t>Employment and Workplace</w:t>
      </w:r>
      <w:r w:rsidRPr="000538A7">
        <w:rPr>
          <w:rFonts w:ascii="Times New Roman" w:hAnsi="Times New Roman"/>
          <w:sz w:val="24"/>
          <w:szCs w:val="24"/>
          <w:lang w:val="en"/>
        </w:rPr>
        <w:t xml:space="preserve"> Relations </w:t>
      </w:r>
    </w:p>
    <w:p w14:paraId="0740ACAE" w14:textId="34A7B552" w:rsidR="000E60B1" w:rsidRPr="000538A7" w:rsidRDefault="000E60B1" w:rsidP="000E60B1">
      <w:pPr>
        <w:spacing w:before="120" w:after="120" w:line="240" w:lineRule="auto"/>
        <w:jc w:val="center"/>
        <w:rPr>
          <w:rFonts w:ascii="Times New Roman" w:hAnsi="Times New Roman"/>
          <w:i/>
          <w:sz w:val="24"/>
          <w:szCs w:val="24"/>
        </w:rPr>
      </w:pPr>
      <w:r w:rsidRPr="000538A7">
        <w:rPr>
          <w:rFonts w:ascii="Times New Roman" w:hAnsi="Times New Roman"/>
          <w:sz w:val="24"/>
          <w:szCs w:val="24"/>
          <w:lang w:val="en"/>
        </w:rPr>
        <w:t xml:space="preserve">under </w:t>
      </w:r>
      <w:r w:rsidRPr="000538A7">
        <w:rPr>
          <w:rFonts w:ascii="Times New Roman" w:hAnsi="Times New Roman"/>
          <w:sz w:val="24"/>
          <w:szCs w:val="24"/>
        </w:rPr>
        <w:t xml:space="preserve">the </w:t>
      </w:r>
      <w:r w:rsidRPr="000538A7">
        <w:rPr>
          <w:rFonts w:ascii="Times New Roman" w:hAnsi="Times New Roman"/>
          <w:i/>
          <w:sz w:val="24"/>
          <w:szCs w:val="24"/>
        </w:rPr>
        <w:t>Safety, Rehabilitation and Compensation Act 1988</w:t>
      </w:r>
    </w:p>
    <w:p w14:paraId="0740ACAF" w14:textId="77777777" w:rsidR="000E60B1" w:rsidRPr="003A2101" w:rsidRDefault="000E60B1" w:rsidP="000E60B1">
      <w:pPr>
        <w:spacing w:before="120" w:after="120" w:line="240" w:lineRule="auto"/>
        <w:rPr>
          <w:rFonts w:ascii="Times New Roman" w:eastAsia="Times New Roman" w:hAnsi="Times New Roman"/>
          <w:b/>
          <w:caps/>
        </w:rPr>
      </w:pPr>
    </w:p>
    <w:p w14:paraId="0740ACB0" w14:textId="77777777" w:rsidR="000E60B1" w:rsidRPr="000538A7" w:rsidRDefault="000E60B1" w:rsidP="000E60B1">
      <w:pPr>
        <w:spacing w:before="120" w:after="120" w:line="240" w:lineRule="auto"/>
        <w:rPr>
          <w:rFonts w:ascii="Times New Roman" w:eastAsia="Times New Roman" w:hAnsi="Times New Roman"/>
          <w:b/>
          <w:sz w:val="24"/>
          <w:szCs w:val="24"/>
        </w:rPr>
      </w:pPr>
      <w:r w:rsidRPr="000538A7">
        <w:rPr>
          <w:rFonts w:ascii="Times New Roman" w:eastAsia="Times New Roman" w:hAnsi="Times New Roman"/>
          <w:b/>
          <w:caps/>
          <w:sz w:val="24"/>
          <w:szCs w:val="24"/>
        </w:rPr>
        <w:t>Purpose and operation of the Instrument</w:t>
      </w:r>
    </w:p>
    <w:p w14:paraId="0740ACB1" w14:textId="77777777" w:rsidR="000E60B1" w:rsidRPr="000538A7" w:rsidRDefault="000E60B1" w:rsidP="000E60B1">
      <w:pPr>
        <w:spacing w:before="120" w:after="120" w:line="240" w:lineRule="auto"/>
        <w:rPr>
          <w:rFonts w:ascii="Times New Roman" w:hAnsi="Times New Roman"/>
          <w:sz w:val="24"/>
          <w:szCs w:val="24"/>
        </w:rPr>
      </w:pPr>
      <w:r w:rsidRPr="000538A7">
        <w:rPr>
          <w:rFonts w:ascii="Times New Roman" w:hAnsi="Times New Roman"/>
          <w:sz w:val="24"/>
          <w:szCs w:val="24"/>
        </w:rPr>
        <w:t xml:space="preserve">The </w:t>
      </w:r>
      <w:r w:rsidRPr="000538A7">
        <w:rPr>
          <w:rFonts w:ascii="Times New Roman" w:hAnsi="Times New Roman"/>
          <w:i/>
          <w:iCs/>
          <w:sz w:val="24"/>
          <w:szCs w:val="24"/>
        </w:rPr>
        <w:t xml:space="preserve">Safety, Rehabilitation and Compensation Act 1988 </w:t>
      </w:r>
      <w:r w:rsidRPr="000538A7">
        <w:rPr>
          <w:rFonts w:ascii="Times New Roman" w:hAnsi="Times New Roman"/>
          <w:sz w:val="24"/>
          <w:szCs w:val="24"/>
        </w:rPr>
        <w:t>(SRC Act) establishes the Commonwealth workers’ compensation and rehabilitation scheme for employees of the Commonwealth, Commonwealth authorities and licensed corporations.</w:t>
      </w:r>
    </w:p>
    <w:p w14:paraId="64B809AA" w14:textId="46A4B2A3" w:rsidR="00BB07BD" w:rsidRDefault="0010569F" w:rsidP="000E60B1">
      <w:pPr>
        <w:spacing w:before="120" w:after="120" w:line="240" w:lineRule="auto"/>
        <w:rPr>
          <w:rFonts w:ascii="Times New Roman" w:hAnsi="Times New Roman"/>
          <w:iCs/>
          <w:sz w:val="24"/>
          <w:szCs w:val="24"/>
        </w:rPr>
      </w:pPr>
      <w:r w:rsidRPr="000538A7">
        <w:rPr>
          <w:rFonts w:ascii="Times New Roman" w:hAnsi="Times New Roman"/>
          <w:iCs/>
          <w:sz w:val="24"/>
          <w:szCs w:val="24"/>
        </w:rPr>
        <w:t>Section 14 of the SRC Act</w:t>
      </w:r>
      <w:r w:rsidR="00BB07BD">
        <w:rPr>
          <w:rFonts w:ascii="Times New Roman" w:hAnsi="Times New Roman"/>
          <w:iCs/>
          <w:sz w:val="24"/>
          <w:szCs w:val="24"/>
        </w:rPr>
        <w:t xml:space="preserve"> provides that, subject to Part II of the Act, </w:t>
      </w:r>
      <w:r w:rsidR="00D1119F">
        <w:rPr>
          <w:rFonts w:ascii="Times New Roman" w:hAnsi="Times New Roman"/>
          <w:iCs/>
          <w:sz w:val="24"/>
          <w:szCs w:val="24"/>
        </w:rPr>
        <w:t xml:space="preserve">Comcare is liable </w:t>
      </w:r>
      <w:r w:rsidR="00141D5C">
        <w:rPr>
          <w:rFonts w:ascii="Times New Roman" w:hAnsi="Times New Roman"/>
          <w:iCs/>
          <w:sz w:val="24"/>
          <w:szCs w:val="24"/>
        </w:rPr>
        <w:t>to pay compensation in accordance with the SRC Act in re</w:t>
      </w:r>
      <w:r w:rsidR="00161683">
        <w:rPr>
          <w:rFonts w:ascii="Times New Roman" w:hAnsi="Times New Roman"/>
          <w:iCs/>
          <w:sz w:val="24"/>
          <w:szCs w:val="24"/>
        </w:rPr>
        <w:t xml:space="preserve">spect of an injury suffered by an employee if the injury </w:t>
      </w:r>
      <w:r w:rsidR="00117451">
        <w:rPr>
          <w:rFonts w:ascii="Times New Roman" w:hAnsi="Times New Roman"/>
          <w:iCs/>
          <w:sz w:val="24"/>
          <w:szCs w:val="24"/>
        </w:rPr>
        <w:t xml:space="preserve">results in death, incapacity for work or impairment. </w:t>
      </w:r>
    </w:p>
    <w:p w14:paraId="70F7AD52" w14:textId="76B8E373" w:rsidR="00D51FE0" w:rsidRDefault="007A78A2" w:rsidP="000E60B1">
      <w:pPr>
        <w:spacing w:before="120" w:after="120" w:line="240" w:lineRule="auto"/>
        <w:rPr>
          <w:rFonts w:ascii="Times New Roman" w:hAnsi="Times New Roman"/>
          <w:iCs/>
          <w:sz w:val="24"/>
          <w:szCs w:val="24"/>
        </w:rPr>
      </w:pPr>
      <w:r>
        <w:rPr>
          <w:rFonts w:ascii="Times New Roman" w:hAnsi="Times New Roman"/>
          <w:iCs/>
          <w:sz w:val="24"/>
          <w:szCs w:val="24"/>
        </w:rPr>
        <w:t>The</w:t>
      </w:r>
      <w:r w:rsidRPr="000538A7">
        <w:rPr>
          <w:rFonts w:ascii="Times New Roman" w:hAnsi="Times New Roman"/>
          <w:iCs/>
          <w:sz w:val="24"/>
          <w:szCs w:val="24"/>
        </w:rPr>
        <w:t xml:space="preserve"> liability to pay compensation ‘in accordance with’ the Act </w:t>
      </w:r>
      <w:r>
        <w:rPr>
          <w:rFonts w:ascii="Times New Roman" w:hAnsi="Times New Roman"/>
          <w:iCs/>
          <w:sz w:val="24"/>
          <w:szCs w:val="24"/>
        </w:rPr>
        <w:t xml:space="preserve">is a liability to pay compensation </w:t>
      </w:r>
      <w:r w:rsidRPr="000538A7">
        <w:rPr>
          <w:rFonts w:ascii="Times New Roman" w:hAnsi="Times New Roman"/>
          <w:iCs/>
          <w:sz w:val="24"/>
          <w:szCs w:val="24"/>
        </w:rPr>
        <w:t xml:space="preserve">under </w:t>
      </w:r>
      <w:r w:rsidR="000D6C2A">
        <w:rPr>
          <w:rFonts w:ascii="Times New Roman" w:hAnsi="Times New Roman"/>
          <w:iCs/>
          <w:sz w:val="24"/>
          <w:szCs w:val="24"/>
        </w:rPr>
        <w:t xml:space="preserve">the </w:t>
      </w:r>
      <w:r w:rsidRPr="000538A7">
        <w:rPr>
          <w:rFonts w:ascii="Times New Roman" w:hAnsi="Times New Roman"/>
          <w:iCs/>
          <w:sz w:val="24"/>
          <w:szCs w:val="24"/>
        </w:rPr>
        <w:t>‘heads of compensation’</w:t>
      </w:r>
      <w:r w:rsidR="000D6C2A">
        <w:rPr>
          <w:rFonts w:ascii="Times New Roman" w:hAnsi="Times New Roman"/>
          <w:iCs/>
          <w:sz w:val="24"/>
          <w:szCs w:val="24"/>
        </w:rPr>
        <w:t xml:space="preserve"> </w:t>
      </w:r>
      <w:r w:rsidR="007A473A">
        <w:rPr>
          <w:rFonts w:ascii="Times New Roman" w:hAnsi="Times New Roman"/>
          <w:iCs/>
          <w:sz w:val="24"/>
          <w:szCs w:val="24"/>
        </w:rPr>
        <w:t>provided for in Part II of the Act,</w:t>
      </w:r>
      <w:r w:rsidRPr="000538A7">
        <w:rPr>
          <w:rFonts w:ascii="Times New Roman" w:hAnsi="Times New Roman"/>
          <w:iCs/>
          <w:sz w:val="24"/>
          <w:szCs w:val="24"/>
        </w:rPr>
        <w:t xml:space="preserve"> such as medical treatment, </w:t>
      </w:r>
      <w:proofErr w:type="gramStart"/>
      <w:r w:rsidRPr="000538A7">
        <w:rPr>
          <w:rFonts w:ascii="Times New Roman" w:hAnsi="Times New Roman"/>
          <w:iCs/>
          <w:sz w:val="24"/>
          <w:szCs w:val="24"/>
        </w:rPr>
        <w:t>incapacity</w:t>
      </w:r>
      <w:proofErr w:type="gramEnd"/>
      <w:r w:rsidRPr="000538A7">
        <w:rPr>
          <w:rFonts w:ascii="Times New Roman" w:hAnsi="Times New Roman"/>
          <w:iCs/>
          <w:sz w:val="24"/>
          <w:szCs w:val="24"/>
        </w:rPr>
        <w:t xml:space="preserve"> and permanent impairment. After a determination is made under section 14 of the Act, further determinations need to be made under the applicable heads of compensation provision</w:t>
      </w:r>
      <w:r w:rsidR="00C40FFC">
        <w:rPr>
          <w:rFonts w:ascii="Times New Roman" w:hAnsi="Times New Roman"/>
          <w:iCs/>
          <w:sz w:val="24"/>
          <w:szCs w:val="24"/>
        </w:rPr>
        <w:t>s</w:t>
      </w:r>
      <w:r w:rsidRPr="000538A7">
        <w:rPr>
          <w:rFonts w:ascii="Times New Roman" w:hAnsi="Times New Roman"/>
          <w:iCs/>
          <w:sz w:val="24"/>
          <w:szCs w:val="24"/>
        </w:rPr>
        <w:t xml:space="preserve">. </w:t>
      </w:r>
    </w:p>
    <w:p w14:paraId="140E515B" w14:textId="611360B4" w:rsidR="00D633DF" w:rsidRDefault="008928E3" w:rsidP="000E60B1">
      <w:pPr>
        <w:spacing w:before="120" w:after="120" w:line="240" w:lineRule="auto"/>
        <w:rPr>
          <w:rFonts w:ascii="Times New Roman" w:hAnsi="Times New Roman"/>
          <w:iCs/>
          <w:sz w:val="24"/>
          <w:szCs w:val="24"/>
        </w:rPr>
      </w:pPr>
      <w:r w:rsidRPr="000538A7">
        <w:rPr>
          <w:rFonts w:ascii="Times New Roman" w:hAnsi="Times New Roman"/>
          <w:sz w:val="24"/>
          <w:szCs w:val="24"/>
        </w:rPr>
        <w:t>Subsections 4(10) and (10A) of the SRC Act provide that, for the purposes of the application of the SRC Act to employees of licens</w:t>
      </w:r>
      <w:r>
        <w:rPr>
          <w:rFonts w:ascii="Times New Roman" w:hAnsi="Times New Roman"/>
          <w:sz w:val="24"/>
          <w:szCs w:val="24"/>
        </w:rPr>
        <w:t xml:space="preserve">ed authorities and licensed corporations </w:t>
      </w:r>
      <w:r w:rsidR="001D2567">
        <w:rPr>
          <w:rFonts w:ascii="Times New Roman" w:hAnsi="Times New Roman"/>
          <w:sz w:val="24"/>
          <w:szCs w:val="24"/>
        </w:rPr>
        <w:t>(</w:t>
      </w:r>
      <w:r>
        <w:rPr>
          <w:rFonts w:ascii="Times New Roman" w:hAnsi="Times New Roman"/>
          <w:sz w:val="24"/>
          <w:szCs w:val="24"/>
        </w:rPr>
        <w:t>respectively</w:t>
      </w:r>
      <w:r w:rsidR="001D2567">
        <w:rPr>
          <w:rFonts w:ascii="Times New Roman" w:hAnsi="Times New Roman"/>
          <w:sz w:val="24"/>
          <w:szCs w:val="24"/>
        </w:rPr>
        <w:t>)</w:t>
      </w:r>
      <w:r w:rsidRPr="000538A7">
        <w:rPr>
          <w:rFonts w:ascii="Times New Roman" w:hAnsi="Times New Roman"/>
          <w:sz w:val="24"/>
          <w:szCs w:val="24"/>
        </w:rPr>
        <w:t xml:space="preserve">, a reference to ‘Comcare’ is a reference to a licensed authority or licensed corporation (as the case may be), unless a contrary intention appears. </w:t>
      </w:r>
      <w:r>
        <w:rPr>
          <w:rFonts w:ascii="Times New Roman" w:hAnsi="Times New Roman"/>
          <w:sz w:val="24"/>
          <w:szCs w:val="24"/>
        </w:rPr>
        <w:t>Accordingly</w:t>
      </w:r>
      <w:r w:rsidR="00CC1969">
        <w:rPr>
          <w:rFonts w:ascii="Times New Roman" w:hAnsi="Times New Roman"/>
          <w:sz w:val="24"/>
          <w:szCs w:val="24"/>
        </w:rPr>
        <w:t xml:space="preserve">, </w:t>
      </w:r>
      <w:r w:rsidR="00530FF8">
        <w:rPr>
          <w:rFonts w:ascii="Times New Roman" w:hAnsi="Times New Roman"/>
          <w:sz w:val="24"/>
          <w:szCs w:val="24"/>
        </w:rPr>
        <w:t>pursuant to s</w:t>
      </w:r>
      <w:r w:rsidR="002E0C06">
        <w:rPr>
          <w:rFonts w:ascii="Times New Roman" w:hAnsi="Times New Roman"/>
          <w:sz w:val="24"/>
          <w:szCs w:val="24"/>
        </w:rPr>
        <w:t>ubs</w:t>
      </w:r>
      <w:r w:rsidR="00530FF8">
        <w:rPr>
          <w:rFonts w:ascii="Times New Roman" w:hAnsi="Times New Roman"/>
          <w:sz w:val="24"/>
          <w:szCs w:val="24"/>
        </w:rPr>
        <w:t xml:space="preserve">ections 4(10), </w:t>
      </w:r>
      <w:r w:rsidR="00CB0BBA">
        <w:rPr>
          <w:rFonts w:ascii="Times New Roman" w:hAnsi="Times New Roman"/>
          <w:sz w:val="24"/>
          <w:szCs w:val="24"/>
        </w:rPr>
        <w:t>4(10A) and</w:t>
      </w:r>
      <w:r w:rsidR="002E0C06">
        <w:rPr>
          <w:rFonts w:ascii="Times New Roman" w:hAnsi="Times New Roman"/>
          <w:sz w:val="24"/>
          <w:szCs w:val="24"/>
        </w:rPr>
        <w:t xml:space="preserve"> section</w:t>
      </w:r>
      <w:r w:rsidR="00CB0BBA">
        <w:rPr>
          <w:rFonts w:ascii="Times New Roman" w:hAnsi="Times New Roman"/>
          <w:sz w:val="24"/>
          <w:szCs w:val="24"/>
        </w:rPr>
        <w:t xml:space="preserve"> 14, </w:t>
      </w:r>
      <w:r w:rsidR="0080419B">
        <w:rPr>
          <w:rFonts w:ascii="Times New Roman" w:hAnsi="Times New Roman"/>
          <w:sz w:val="24"/>
          <w:szCs w:val="24"/>
        </w:rPr>
        <w:t>licensed authorities and lic</w:t>
      </w:r>
      <w:r w:rsidR="00770F45">
        <w:rPr>
          <w:rFonts w:ascii="Times New Roman" w:hAnsi="Times New Roman"/>
          <w:sz w:val="24"/>
          <w:szCs w:val="24"/>
        </w:rPr>
        <w:t xml:space="preserve">ensed corporations </w:t>
      </w:r>
      <w:r w:rsidR="00FD2752">
        <w:rPr>
          <w:rFonts w:ascii="Times New Roman" w:hAnsi="Times New Roman"/>
          <w:sz w:val="24"/>
          <w:szCs w:val="24"/>
        </w:rPr>
        <w:t xml:space="preserve">are also liable to </w:t>
      </w:r>
      <w:r w:rsidR="00E917A0">
        <w:rPr>
          <w:rFonts w:ascii="Times New Roman" w:hAnsi="Times New Roman"/>
          <w:iCs/>
          <w:sz w:val="24"/>
          <w:szCs w:val="24"/>
        </w:rPr>
        <w:t>pay compensation in accordance with the SRC Act in respect of an injury suffered by their respective employees if the injury results in death, incapacity for work or impairment.</w:t>
      </w:r>
    </w:p>
    <w:p w14:paraId="4398C94E" w14:textId="01AA130D" w:rsidR="00BD4CA7" w:rsidRPr="000538A7" w:rsidRDefault="00953E99" w:rsidP="00BD4CA7">
      <w:pPr>
        <w:spacing w:before="120" w:after="120" w:line="240" w:lineRule="auto"/>
        <w:rPr>
          <w:rFonts w:ascii="Times New Roman" w:hAnsi="Times New Roman"/>
          <w:sz w:val="24"/>
          <w:szCs w:val="24"/>
        </w:rPr>
      </w:pPr>
      <w:r>
        <w:rPr>
          <w:rFonts w:ascii="Times New Roman" w:hAnsi="Times New Roman"/>
          <w:iCs/>
          <w:sz w:val="24"/>
          <w:szCs w:val="24"/>
        </w:rPr>
        <w:t xml:space="preserve">Part VI of the SRC Act </w:t>
      </w:r>
      <w:r w:rsidR="00660DBF">
        <w:rPr>
          <w:rFonts w:ascii="Times New Roman" w:hAnsi="Times New Roman"/>
          <w:iCs/>
          <w:sz w:val="24"/>
          <w:szCs w:val="24"/>
        </w:rPr>
        <w:t>concerns decision making under the Act</w:t>
      </w:r>
      <w:r w:rsidR="00BD4CA7">
        <w:rPr>
          <w:rFonts w:ascii="Times New Roman" w:hAnsi="Times New Roman"/>
          <w:iCs/>
          <w:sz w:val="24"/>
          <w:szCs w:val="24"/>
        </w:rPr>
        <w:t xml:space="preserve">. Under this Part, subsection </w:t>
      </w:r>
      <w:r w:rsidR="00BD4CA7" w:rsidRPr="000538A7">
        <w:rPr>
          <w:rFonts w:ascii="Times New Roman" w:hAnsi="Times New Roman"/>
          <w:sz w:val="24"/>
          <w:szCs w:val="24"/>
        </w:rPr>
        <w:t xml:space="preserve">61(1A) provides that a </w:t>
      </w:r>
      <w:r w:rsidR="00AF0815">
        <w:rPr>
          <w:rFonts w:ascii="Times New Roman" w:hAnsi="Times New Roman"/>
          <w:sz w:val="24"/>
          <w:szCs w:val="24"/>
        </w:rPr>
        <w:t>‘</w:t>
      </w:r>
      <w:r w:rsidR="00BD4CA7" w:rsidRPr="000538A7">
        <w:rPr>
          <w:rFonts w:ascii="Times New Roman" w:hAnsi="Times New Roman"/>
          <w:sz w:val="24"/>
          <w:szCs w:val="24"/>
        </w:rPr>
        <w:t>determining authority</w:t>
      </w:r>
      <w:r w:rsidR="00AF0815">
        <w:rPr>
          <w:rFonts w:ascii="Times New Roman" w:hAnsi="Times New Roman"/>
          <w:sz w:val="24"/>
          <w:szCs w:val="24"/>
        </w:rPr>
        <w:t>’</w:t>
      </w:r>
      <w:r w:rsidR="00BD4CA7" w:rsidRPr="000538A7">
        <w:rPr>
          <w:rFonts w:ascii="Times New Roman" w:hAnsi="Times New Roman"/>
          <w:sz w:val="24"/>
          <w:szCs w:val="24"/>
        </w:rPr>
        <w:t xml:space="preserve"> must consider and determine a claim under section 14 of the SRC Act, within the period prescribed by the regulations. A determining authority is defined for the purposes of Part VI of the Act to mean ‘the person who made the determination’.  </w:t>
      </w:r>
    </w:p>
    <w:p w14:paraId="681C7E0A" w14:textId="554AB519" w:rsidR="004652E4" w:rsidRDefault="004652E4" w:rsidP="004652E4">
      <w:pPr>
        <w:spacing w:before="120" w:after="120" w:line="240" w:lineRule="auto"/>
        <w:rPr>
          <w:rFonts w:ascii="Times New Roman" w:hAnsi="Times New Roman"/>
          <w:sz w:val="24"/>
          <w:szCs w:val="24"/>
        </w:rPr>
      </w:pPr>
      <w:r w:rsidRPr="000538A7">
        <w:rPr>
          <w:rFonts w:ascii="Times New Roman" w:hAnsi="Times New Roman"/>
          <w:sz w:val="24"/>
          <w:szCs w:val="24"/>
        </w:rPr>
        <w:t xml:space="preserve">Subsection 62(6) </w:t>
      </w:r>
      <w:r>
        <w:rPr>
          <w:rFonts w:ascii="Times New Roman" w:hAnsi="Times New Roman"/>
          <w:sz w:val="24"/>
          <w:szCs w:val="24"/>
        </w:rPr>
        <w:t xml:space="preserve">of the SRC Act </w:t>
      </w:r>
      <w:r w:rsidRPr="000538A7">
        <w:rPr>
          <w:rFonts w:ascii="Times New Roman" w:hAnsi="Times New Roman"/>
          <w:sz w:val="24"/>
          <w:szCs w:val="24"/>
        </w:rPr>
        <w:t xml:space="preserve">provides that </w:t>
      </w:r>
      <w:r>
        <w:rPr>
          <w:rFonts w:ascii="Times New Roman" w:hAnsi="Times New Roman"/>
          <w:sz w:val="24"/>
          <w:szCs w:val="24"/>
        </w:rPr>
        <w:t xml:space="preserve">a determining authority or person must also decide a request made by a claimant to reconsider a determination within the period prescribed by the regulations. Determinations may be reconsidered by a determining authority or person under sections 38 or 62 of the SRC Act. </w:t>
      </w:r>
    </w:p>
    <w:p w14:paraId="47B01EC9" w14:textId="77777777" w:rsidR="008D0D56" w:rsidRPr="008D0D56" w:rsidRDefault="008D0D56" w:rsidP="008D0D56">
      <w:pPr>
        <w:spacing w:before="120" w:after="120" w:line="240" w:lineRule="auto"/>
        <w:rPr>
          <w:rFonts w:ascii="Times New Roman" w:eastAsia="Times New Roman" w:hAnsi="Times New Roman"/>
          <w:sz w:val="24"/>
          <w:szCs w:val="24"/>
          <w:lang w:eastAsia="en-AU"/>
        </w:rPr>
      </w:pPr>
      <w:r w:rsidRPr="008D0D56">
        <w:rPr>
          <w:rFonts w:ascii="Times New Roman" w:eastAsia="Times New Roman" w:hAnsi="Times New Roman"/>
          <w:sz w:val="24"/>
          <w:szCs w:val="24"/>
          <w:lang w:eastAsia="en-AU"/>
        </w:rPr>
        <w:t xml:space="preserve">Section 122 of the SRC Act provides the Governor-General may make regulations prescribing matters required or permitted by the Act to be prescribed, or necessary or convenient to be prescribed for carrying out or giving effect to the Act. </w:t>
      </w:r>
    </w:p>
    <w:p w14:paraId="0891AE4B" w14:textId="6B2EEB2D" w:rsidR="001830AA" w:rsidRPr="00D3588F" w:rsidRDefault="008D0D56" w:rsidP="00D3588F">
      <w:pPr>
        <w:spacing w:before="120" w:after="120" w:line="240" w:lineRule="auto"/>
        <w:rPr>
          <w:rFonts w:ascii="Times New Roman" w:eastAsia="Times New Roman" w:hAnsi="Times New Roman"/>
          <w:sz w:val="24"/>
          <w:szCs w:val="24"/>
          <w:lang w:eastAsia="en-AU"/>
        </w:rPr>
      </w:pPr>
      <w:r w:rsidRPr="00E97B4D">
        <w:rPr>
          <w:rFonts w:ascii="Times New Roman" w:eastAsia="Times New Roman" w:hAnsi="Times New Roman"/>
          <w:sz w:val="24"/>
          <w:szCs w:val="24"/>
          <w:lang w:eastAsia="en-AU"/>
        </w:rPr>
        <w:t>Pursuant to subsections 61</w:t>
      </w:r>
      <w:r w:rsidR="009448A8" w:rsidRPr="00E97B4D">
        <w:rPr>
          <w:rFonts w:ascii="Times New Roman" w:eastAsia="Times New Roman" w:hAnsi="Times New Roman"/>
          <w:sz w:val="24"/>
          <w:szCs w:val="24"/>
          <w:lang w:eastAsia="en-AU"/>
        </w:rPr>
        <w:t xml:space="preserve">(1A), 62(6) </w:t>
      </w:r>
      <w:r w:rsidRPr="00E97B4D">
        <w:rPr>
          <w:rFonts w:ascii="Times New Roman" w:eastAsia="Times New Roman" w:hAnsi="Times New Roman"/>
          <w:sz w:val="24"/>
          <w:szCs w:val="24"/>
          <w:lang w:eastAsia="en-AU"/>
        </w:rPr>
        <w:t xml:space="preserve">and section 122 of the SRC Act the </w:t>
      </w:r>
      <w:r w:rsidRPr="00E97B4D">
        <w:rPr>
          <w:rFonts w:ascii="Times New Roman" w:eastAsia="Times New Roman" w:hAnsi="Times New Roman"/>
          <w:i/>
          <w:iCs/>
          <w:sz w:val="24"/>
          <w:szCs w:val="24"/>
          <w:lang w:eastAsia="en-AU"/>
        </w:rPr>
        <w:t>Safety, Rehabilitation and Compensation Amendment (P</w:t>
      </w:r>
      <w:r w:rsidR="009448A8" w:rsidRPr="00E97B4D">
        <w:rPr>
          <w:rFonts w:ascii="Times New Roman" w:eastAsia="Times New Roman" w:hAnsi="Times New Roman"/>
          <w:i/>
          <w:iCs/>
          <w:sz w:val="24"/>
          <w:szCs w:val="24"/>
          <w:lang w:eastAsia="en-AU"/>
        </w:rPr>
        <w:t>eriod for Decision Making</w:t>
      </w:r>
      <w:r w:rsidRPr="00E97B4D">
        <w:rPr>
          <w:rFonts w:ascii="Times New Roman" w:eastAsia="Times New Roman" w:hAnsi="Times New Roman"/>
          <w:i/>
          <w:iCs/>
          <w:sz w:val="24"/>
          <w:szCs w:val="24"/>
          <w:lang w:eastAsia="en-AU"/>
        </w:rPr>
        <w:t>) Regulations 202</w:t>
      </w:r>
      <w:r w:rsidR="009448A8" w:rsidRPr="00E97B4D">
        <w:rPr>
          <w:rFonts w:ascii="Times New Roman" w:eastAsia="Times New Roman" w:hAnsi="Times New Roman"/>
          <w:i/>
          <w:iCs/>
          <w:sz w:val="24"/>
          <w:szCs w:val="24"/>
          <w:lang w:eastAsia="en-AU"/>
        </w:rPr>
        <w:t>3</w:t>
      </w:r>
      <w:r w:rsidRPr="00E97B4D">
        <w:rPr>
          <w:rFonts w:ascii="Times New Roman" w:eastAsia="Times New Roman" w:hAnsi="Times New Roman"/>
          <w:sz w:val="24"/>
          <w:szCs w:val="24"/>
          <w:lang w:eastAsia="en-AU"/>
        </w:rPr>
        <w:t xml:space="preserve"> (the Amendment Instrument)</w:t>
      </w:r>
      <w:r w:rsidR="009448A8" w:rsidRPr="00E97B4D">
        <w:rPr>
          <w:rFonts w:ascii="Times New Roman" w:eastAsia="Times New Roman" w:hAnsi="Times New Roman"/>
          <w:sz w:val="24"/>
          <w:szCs w:val="24"/>
          <w:lang w:eastAsia="en-AU"/>
        </w:rPr>
        <w:t xml:space="preserve"> amends the </w:t>
      </w:r>
      <w:r w:rsidR="00E97B4D" w:rsidRPr="00E97B4D">
        <w:rPr>
          <w:rFonts w:ascii="Times New Roman" w:eastAsia="Times New Roman" w:hAnsi="Times New Roman"/>
          <w:i/>
          <w:iCs/>
          <w:sz w:val="24"/>
          <w:szCs w:val="24"/>
          <w:lang w:eastAsia="en-AU"/>
        </w:rPr>
        <w:t xml:space="preserve">Safety, Rehabilitation and Compensation </w:t>
      </w:r>
      <w:r w:rsidR="00E97B4D" w:rsidRPr="00E97B4D">
        <w:rPr>
          <w:rFonts w:ascii="Times New Roman" w:eastAsia="Times New Roman" w:hAnsi="Times New Roman"/>
          <w:i/>
          <w:iCs/>
          <w:sz w:val="24"/>
          <w:szCs w:val="24"/>
          <w:lang w:eastAsia="en-AU"/>
        </w:rPr>
        <w:lastRenderedPageBreak/>
        <w:t>Regulations 2019</w:t>
      </w:r>
      <w:r w:rsidR="00E97B4D" w:rsidRPr="00E97B4D">
        <w:rPr>
          <w:rFonts w:ascii="Times New Roman" w:eastAsia="Times New Roman" w:hAnsi="Times New Roman"/>
          <w:sz w:val="24"/>
          <w:szCs w:val="24"/>
          <w:lang w:eastAsia="en-AU"/>
        </w:rPr>
        <w:t xml:space="preserve"> to </w:t>
      </w:r>
      <w:r w:rsidR="00B20211">
        <w:rPr>
          <w:rFonts w:ascii="Times New Roman" w:eastAsia="Times New Roman" w:hAnsi="Times New Roman"/>
          <w:sz w:val="24"/>
          <w:szCs w:val="24"/>
          <w:lang w:eastAsia="en-AU"/>
        </w:rPr>
        <w:t xml:space="preserve">prescribe the </w:t>
      </w:r>
      <w:r w:rsidR="00200AA1">
        <w:rPr>
          <w:rFonts w:ascii="Times New Roman" w:eastAsia="Times New Roman" w:hAnsi="Times New Roman"/>
          <w:sz w:val="24"/>
          <w:szCs w:val="24"/>
          <w:lang w:eastAsia="en-AU"/>
        </w:rPr>
        <w:t xml:space="preserve">following </w:t>
      </w:r>
      <w:r w:rsidR="00B20211">
        <w:rPr>
          <w:rFonts w:ascii="Times New Roman" w:eastAsia="Times New Roman" w:hAnsi="Times New Roman"/>
          <w:sz w:val="24"/>
          <w:szCs w:val="24"/>
          <w:lang w:eastAsia="en-AU"/>
        </w:rPr>
        <w:t xml:space="preserve">periods for decision making </w:t>
      </w:r>
      <w:r w:rsidR="0093648A">
        <w:rPr>
          <w:rFonts w:ascii="Times New Roman" w:eastAsia="Times New Roman" w:hAnsi="Times New Roman"/>
          <w:sz w:val="24"/>
          <w:szCs w:val="24"/>
          <w:lang w:eastAsia="en-AU"/>
        </w:rPr>
        <w:t>in relation to section 14 determinations</w:t>
      </w:r>
      <w:r w:rsidR="00D3588F">
        <w:rPr>
          <w:rFonts w:ascii="Times New Roman" w:eastAsia="Times New Roman" w:hAnsi="Times New Roman"/>
          <w:sz w:val="24"/>
          <w:szCs w:val="24"/>
          <w:lang w:eastAsia="en-AU"/>
        </w:rPr>
        <w:t>:</w:t>
      </w:r>
    </w:p>
    <w:p w14:paraId="7C8CB91C" w14:textId="3160D6CD" w:rsidR="00D3588F" w:rsidRPr="00A865AF" w:rsidRDefault="002609D1" w:rsidP="00D77522">
      <w:pPr>
        <w:pStyle w:val="paragraph"/>
        <w:numPr>
          <w:ilvl w:val="0"/>
          <w:numId w:val="3"/>
        </w:numPr>
        <w:tabs>
          <w:tab w:val="right" w:pos="1531"/>
        </w:tabs>
        <w:spacing w:before="40" w:beforeAutospacing="0" w:after="0" w:afterAutospacing="0"/>
      </w:pPr>
      <w:r>
        <w:t>2</w:t>
      </w:r>
      <w:r w:rsidR="00D3588F" w:rsidRPr="00A865AF">
        <w:t>0 calendar days for claims made in respect of an injury (other than a disease) or an aggravation of an injury (other than a disease); and</w:t>
      </w:r>
    </w:p>
    <w:p w14:paraId="54E57203" w14:textId="77777777" w:rsidR="002609D1" w:rsidRDefault="002609D1" w:rsidP="00EA7087">
      <w:pPr>
        <w:pStyle w:val="paragraph"/>
        <w:numPr>
          <w:ilvl w:val="0"/>
          <w:numId w:val="3"/>
        </w:numPr>
        <w:tabs>
          <w:tab w:val="right" w:pos="1531"/>
        </w:tabs>
        <w:spacing w:before="40" w:beforeAutospacing="0" w:after="0" w:afterAutospacing="0"/>
      </w:pPr>
      <w:r>
        <w:t>6</w:t>
      </w:r>
      <w:r w:rsidR="00D3588F" w:rsidRPr="00A865AF">
        <w:t>0 calendar days for claims made in respect of a disease</w:t>
      </w:r>
      <w:r w:rsidR="000C2797">
        <w:t>;</w:t>
      </w:r>
      <w:r w:rsidR="001707E3">
        <w:t xml:space="preserve"> </w:t>
      </w:r>
      <w:r w:rsidR="00D3588F" w:rsidRPr="00A865AF">
        <w:t xml:space="preserve">and </w:t>
      </w:r>
    </w:p>
    <w:p w14:paraId="1CBAB3AD" w14:textId="02E98D7C" w:rsidR="00D3588F" w:rsidRPr="00A865AF" w:rsidRDefault="00D3588F" w:rsidP="00EA7087">
      <w:pPr>
        <w:pStyle w:val="paragraph"/>
        <w:numPr>
          <w:ilvl w:val="0"/>
          <w:numId w:val="3"/>
        </w:numPr>
        <w:tabs>
          <w:tab w:val="right" w:pos="1531"/>
        </w:tabs>
        <w:spacing w:before="40" w:beforeAutospacing="0" w:after="0" w:afterAutospacing="0"/>
      </w:pPr>
      <w:r w:rsidRPr="00A865AF">
        <w:t>40 calendar days to decide a request made by a claimant to reconsider a determination.</w:t>
      </w:r>
    </w:p>
    <w:p w14:paraId="0226CD0C" w14:textId="04B1A4B9" w:rsidR="00211E50" w:rsidRPr="0011651E" w:rsidRDefault="007D02C4" w:rsidP="003D738E">
      <w:pPr>
        <w:spacing w:before="120" w:after="120" w:line="240" w:lineRule="auto"/>
        <w:rPr>
          <w:rFonts w:ascii="Times New Roman" w:hAnsi="Times New Roman"/>
          <w:sz w:val="24"/>
          <w:szCs w:val="24"/>
        </w:rPr>
      </w:pPr>
      <w:r w:rsidRPr="0011651E">
        <w:rPr>
          <w:rFonts w:ascii="Times New Roman" w:hAnsi="Times New Roman"/>
          <w:sz w:val="24"/>
          <w:szCs w:val="24"/>
        </w:rPr>
        <w:t>The Amendment Instrument also clarifies that the periods prescribed by this instrument for decision making in relation to section 14 determinations do not include certain specified periods during which a determining authority is seeking further information or material in relation to a claim. This includes where:</w:t>
      </w:r>
    </w:p>
    <w:p w14:paraId="212D43F0" w14:textId="77777777" w:rsidR="002F7E32" w:rsidRPr="0011651E" w:rsidRDefault="00156F31" w:rsidP="00D77522">
      <w:pPr>
        <w:pStyle w:val="paragraph"/>
        <w:numPr>
          <w:ilvl w:val="0"/>
          <w:numId w:val="5"/>
        </w:numPr>
        <w:tabs>
          <w:tab w:val="right" w:pos="0"/>
        </w:tabs>
        <w:spacing w:before="40" w:beforeAutospacing="0" w:after="0" w:afterAutospacing="0"/>
      </w:pPr>
      <w:r w:rsidRPr="0011651E">
        <w:t xml:space="preserve">a determining authority </w:t>
      </w:r>
      <w:r w:rsidR="002F7E32" w:rsidRPr="0011651E">
        <w:t xml:space="preserve">requires a claimant to undergo an examination by a nominated legally qualified medical practitioner pursuant to section 57 of the SRC </w:t>
      </w:r>
      <w:proofErr w:type="gramStart"/>
      <w:r w:rsidR="002F7E32" w:rsidRPr="0011651E">
        <w:t>Act;</w:t>
      </w:r>
      <w:proofErr w:type="gramEnd"/>
    </w:p>
    <w:p w14:paraId="60941584" w14:textId="77777777" w:rsidR="002F7E32" w:rsidRPr="0011651E" w:rsidRDefault="002F7E32" w:rsidP="00D77522">
      <w:pPr>
        <w:pStyle w:val="paragraph"/>
        <w:numPr>
          <w:ilvl w:val="0"/>
          <w:numId w:val="5"/>
        </w:numPr>
        <w:tabs>
          <w:tab w:val="right" w:pos="0"/>
        </w:tabs>
        <w:spacing w:before="40" w:beforeAutospacing="0" w:after="0" w:afterAutospacing="0"/>
      </w:pPr>
      <w:r w:rsidRPr="0011651E">
        <w:t xml:space="preserve">a determining authority has requested the claimant provide further information or documentation under section 58 of the SRC </w:t>
      </w:r>
      <w:proofErr w:type="gramStart"/>
      <w:r w:rsidRPr="0011651E">
        <w:t>Act;</w:t>
      </w:r>
      <w:proofErr w:type="gramEnd"/>
    </w:p>
    <w:p w14:paraId="2C0A6629" w14:textId="77777777" w:rsidR="002F7E32" w:rsidRPr="0011651E" w:rsidRDefault="002F7E32" w:rsidP="00D77522">
      <w:pPr>
        <w:pStyle w:val="paragraph"/>
        <w:numPr>
          <w:ilvl w:val="0"/>
          <w:numId w:val="5"/>
        </w:numPr>
        <w:tabs>
          <w:tab w:val="right" w:pos="0"/>
        </w:tabs>
        <w:spacing w:before="40" w:beforeAutospacing="0" w:after="0" w:afterAutospacing="0"/>
      </w:pPr>
      <w:r w:rsidRPr="0011651E">
        <w:t xml:space="preserve">a determining authority requires an employer to provide information or documentation under section 71 of the SRC </w:t>
      </w:r>
      <w:proofErr w:type="gramStart"/>
      <w:r w:rsidRPr="0011651E">
        <w:t>Act;</w:t>
      </w:r>
      <w:proofErr w:type="gramEnd"/>
    </w:p>
    <w:p w14:paraId="25FDFA61" w14:textId="77777777" w:rsidR="002F7E32" w:rsidRPr="0011651E" w:rsidRDefault="002F7E32" w:rsidP="00D77522">
      <w:pPr>
        <w:pStyle w:val="paragraph"/>
        <w:numPr>
          <w:ilvl w:val="0"/>
          <w:numId w:val="5"/>
        </w:numPr>
        <w:tabs>
          <w:tab w:val="right" w:pos="0"/>
        </w:tabs>
        <w:spacing w:before="40" w:beforeAutospacing="0" w:after="0" w:afterAutospacing="0"/>
      </w:pPr>
      <w:r w:rsidRPr="0011651E">
        <w:t>a claimant has advised that they will be providing further evidence; and</w:t>
      </w:r>
    </w:p>
    <w:p w14:paraId="1B7B19A8" w14:textId="77777777" w:rsidR="002F7E32" w:rsidRPr="0011651E" w:rsidRDefault="002F7E32" w:rsidP="00D77522">
      <w:pPr>
        <w:pStyle w:val="paragraph"/>
        <w:numPr>
          <w:ilvl w:val="0"/>
          <w:numId w:val="5"/>
        </w:numPr>
        <w:tabs>
          <w:tab w:val="right" w:pos="0"/>
        </w:tabs>
        <w:spacing w:before="40" w:beforeAutospacing="0" w:after="0" w:afterAutospacing="0"/>
      </w:pPr>
      <w:r w:rsidRPr="0011651E">
        <w:t>a determining authority considers it reasonable and necessary to obtain further medical evidence.</w:t>
      </w:r>
    </w:p>
    <w:p w14:paraId="77CC8732" w14:textId="402386DA" w:rsidR="00321B27" w:rsidRDefault="004D605B" w:rsidP="000A11EE">
      <w:pPr>
        <w:spacing w:before="120" w:after="120" w:line="240" w:lineRule="auto"/>
        <w:rPr>
          <w:rFonts w:ascii="Times New Roman" w:hAnsi="Times New Roman"/>
          <w:sz w:val="24"/>
          <w:szCs w:val="24"/>
        </w:rPr>
      </w:pPr>
      <w:r w:rsidRPr="008C7C60">
        <w:rPr>
          <w:rFonts w:ascii="Times New Roman" w:hAnsi="Times New Roman"/>
          <w:sz w:val="24"/>
          <w:szCs w:val="24"/>
        </w:rPr>
        <w:t>The Amendm</w:t>
      </w:r>
      <w:r w:rsidRPr="008C7C60">
        <w:rPr>
          <w:rFonts w:ascii="Times New Roman" w:eastAsia="Times New Roman" w:hAnsi="Times New Roman"/>
          <w:sz w:val="24"/>
          <w:szCs w:val="24"/>
          <w:lang w:eastAsia="en-AU"/>
        </w:rPr>
        <w:t xml:space="preserve">ent Instrument </w:t>
      </w:r>
      <w:r w:rsidR="006F792F" w:rsidRPr="008C7C60">
        <w:rPr>
          <w:rFonts w:ascii="Times New Roman" w:eastAsia="Times New Roman" w:hAnsi="Times New Roman"/>
          <w:sz w:val="24"/>
          <w:szCs w:val="24"/>
          <w:lang w:eastAsia="en-AU"/>
        </w:rPr>
        <w:t xml:space="preserve">commences </w:t>
      </w:r>
      <w:r w:rsidR="009A259B">
        <w:rPr>
          <w:rFonts w:ascii="Times New Roman" w:eastAsia="Times New Roman" w:hAnsi="Times New Roman"/>
          <w:sz w:val="24"/>
          <w:szCs w:val="24"/>
          <w:lang w:eastAsia="en-AU"/>
        </w:rPr>
        <w:t>on 1 April 2024</w:t>
      </w:r>
      <w:r w:rsidR="008C7C60" w:rsidRPr="008C7C60">
        <w:rPr>
          <w:rFonts w:ascii="Times New Roman" w:hAnsi="Times New Roman"/>
          <w:sz w:val="24"/>
          <w:szCs w:val="24"/>
        </w:rPr>
        <w:t xml:space="preserve"> and will apply to </w:t>
      </w:r>
      <w:r w:rsidR="00EB40AD">
        <w:rPr>
          <w:rFonts w:ascii="Times New Roman" w:hAnsi="Times New Roman"/>
          <w:sz w:val="24"/>
          <w:szCs w:val="24"/>
        </w:rPr>
        <w:t xml:space="preserve">claims for compensation made under section </w:t>
      </w:r>
      <w:r w:rsidR="00306C8B">
        <w:rPr>
          <w:rFonts w:ascii="Times New Roman" w:hAnsi="Times New Roman"/>
          <w:sz w:val="24"/>
          <w:szCs w:val="24"/>
        </w:rPr>
        <w:t>14 of the SRC Act</w:t>
      </w:r>
      <w:r w:rsidR="00925762">
        <w:rPr>
          <w:rFonts w:ascii="Times New Roman" w:hAnsi="Times New Roman"/>
          <w:sz w:val="24"/>
          <w:szCs w:val="24"/>
        </w:rPr>
        <w:t xml:space="preserve">, and requests for reconsiderations </w:t>
      </w:r>
      <w:r w:rsidR="00147785">
        <w:rPr>
          <w:rFonts w:ascii="Times New Roman" w:hAnsi="Times New Roman"/>
          <w:sz w:val="24"/>
          <w:szCs w:val="24"/>
        </w:rPr>
        <w:t xml:space="preserve">made </w:t>
      </w:r>
      <w:r w:rsidR="00CD6D11">
        <w:rPr>
          <w:rFonts w:ascii="Times New Roman" w:hAnsi="Times New Roman"/>
          <w:sz w:val="24"/>
          <w:szCs w:val="24"/>
        </w:rPr>
        <w:t xml:space="preserve">under either </w:t>
      </w:r>
      <w:r w:rsidR="00FB4769">
        <w:rPr>
          <w:rFonts w:ascii="Times New Roman" w:hAnsi="Times New Roman"/>
          <w:sz w:val="24"/>
          <w:szCs w:val="24"/>
        </w:rPr>
        <w:t xml:space="preserve">section 38 or 62 </w:t>
      </w:r>
      <w:r w:rsidR="00147785">
        <w:rPr>
          <w:rFonts w:ascii="Times New Roman" w:hAnsi="Times New Roman"/>
          <w:sz w:val="24"/>
          <w:szCs w:val="24"/>
        </w:rPr>
        <w:t xml:space="preserve">on or after the commencement of the </w:t>
      </w:r>
      <w:r w:rsidR="00FB4769">
        <w:rPr>
          <w:rFonts w:ascii="Times New Roman" w:hAnsi="Times New Roman"/>
          <w:sz w:val="24"/>
          <w:szCs w:val="24"/>
        </w:rPr>
        <w:t>Amendment Instrument.</w:t>
      </w:r>
    </w:p>
    <w:p w14:paraId="276864ED" w14:textId="77777777" w:rsidR="00811431" w:rsidRPr="000538A7" w:rsidRDefault="00811431" w:rsidP="000A11EE">
      <w:pPr>
        <w:spacing w:before="120" w:after="120" w:line="240" w:lineRule="auto"/>
        <w:rPr>
          <w:rFonts w:ascii="Times New Roman" w:eastAsia="Times New Roman" w:hAnsi="Times New Roman"/>
          <w:sz w:val="24"/>
          <w:szCs w:val="24"/>
          <w:lang w:eastAsia="en-AU"/>
        </w:rPr>
      </w:pPr>
    </w:p>
    <w:p w14:paraId="1622759D" w14:textId="698017E8" w:rsidR="00444718" w:rsidRPr="00FB4769" w:rsidRDefault="00444718" w:rsidP="000A11EE">
      <w:pPr>
        <w:spacing w:before="120" w:after="120" w:line="240" w:lineRule="auto"/>
        <w:rPr>
          <w:rFonts w:ascii="Times New Roman" w:eastAsia="Times New Roman" w:hAnsi="Times New Roman"/>
          <w:b/>
          <w:caps/>
          <w:sz w:val="24"/>
          <w:szCs w:val="24"/>
        </w:rPr>
      </w:pPr>
      <w:r w:rsidRPr="00FB4769">
        <w:rPr>
          <w:rFonts w:ascii="Times New Roman" w:eastAsia="Times New Roman" w:hAnsi="Times New Roman"/>
          <w:b/>
          <w:caps/>
          <w:sz w:val="24"/>
          <w:szCs w:val="24"/>
        </w:rPr>
        <w:t xml:space="preserve">CONSULTATION </w:t>
      </w:r>
    </w:p>
    <w:p w14:paraId="4EFEAD02" w14:textId="44DC4174" w:rsidR="002A34A8" w:rsidRPr="00FB4769" w:rsidRDefault="002A34A8" w:rsidP="000E60B1">
      <w:pPr>
        <w:spacing w:before="120" w:after="120" w:line="240" w:lineRule="auto"/>
        <w:rPr>
          <w:rFonts w:ascii="Times New Roman" w:hAnsi="Times New Roman"/>
          <w:sz w:val="24"/>
          <w:szCs w:val="24"/>
        </w:rPr>
      </w:pPr>
      <w:r w:rsidRPr="00FB4769">
        <w:rPr>
          <w:rFonts w:ascii="Times New Roman" w:hAnsi="Times New Roman"/>
          <w:sz w:val="24"/>
          <w:szCs w:val="24"/>
        </w:rPr>
        <w:t xml:space="preserve">This instrument was made in consultation </w:t>
      </w:r>
      <w:r w:rsidR="003A2101" w:rsidRPr="00FB4769">
        <w:rPr>
          <w:rFonts w:ascii="Times New Roman" w:hAnsi="Times New Roman"/>
          <w:sz w:val="24"/>
          <w:szCs w:val="24"/>
        </w:rPr>
        <w:t xml:space="preserve">with </w:t>
      </w:r>
      <w:r w:rsidR="000D6D0B" w:rsidRPr="00FB4769">
        <w:rPr>
          <w:rFonts w:ascii="Times New Roman" w:hAnsi="Times New Roman"/>
          <w:sz w:val="24"/>
          <w:szCs w:val="24"/>
        </w:rPr>
        <w:t xml:space="preserve">Comcare. </w:t>
      </w:r>
      <w:r w:rsidR="00EA618D">
        <w:rPr>
          <w:rFonts w:ascii="Times New Roman" w:hAnsi="Times New Roman"/>
          <w:sz w:val="24"/>
          <w:szCs w:val="24"/>
        </w:rPr>
        <w:t xml:space="preserve"> </w:t>
      </w:r>
      <w:r w:rsidR="00EA618D">
        <w:rPr>
          <w:rFonts w:ascii="Times New Roman" w:eastAsia="Times New Roman" w:hAnsi="Times New Roman"/>
          <w:sz w:val="24"/>
          <w:szCs w:val="24"/>
          <w:lang w:eastAsia="en-AU"/>
        </w:rPr>
        <w:t>Representations from stakeholders, including claimants and the Law Council of Australia, were also considered.</w:t>
      </w:r>
    </w:p>
    <w:p w14:paraId="6C3199EC" w14:textId="77777777" w:rsidR="00FB4769" w:rsidRPr="00FB4769" w:rsidRDefault="00FB4769" w:rsidP="000E60B1">
      <w:pPr>
        <w:spacing w:before="120" w:after="120" w:line="240" w:lineRule="auto"/>
        <w:rPr>
          <w:rFonts w:ascii="Times New Roman" w:hAnsi="Times New Roman"/>
          <w:b/>
          <w:sz w:val="24"/>
          <w:szCs w:val="24"/>
        </w:rPr>
      </w:pPr>
    </w:p>
    <w:p w14:paraId="0740ACC5" w14:textId="5D634BDE" w:rsidR="000E60B1" w:rsidRPr="00FB4769" w:rsidRDefault="000E60B1" w:rsidP="000E60B1">
      <w:pPr>
        <w:spacing w:before="120" w:after="120" w:line="240" w:lineRule="auto"/>
        <w:rPr>
          <w:rFonts w:ascii="Times New Roman" w:hAnsi="Times New Roman"/>
          <w:b/>
          <w:sz w:val="24"/>
          <w:szCs w:val="24"/>
        </w:rPr>
      </w:pPr>
      <w:r w:rsidRPr="00FB4769">
        <w:rPr>
          <w:rFonts w:ascii="Times New Roman" w:hAnsi="Times New Roman"/>
          <w:b/>
          <w:sz w:val="24"/>
          <w:szCs w:val="24"/>
        </w:rPr>
        <w:t>IMPACT</w:t>
      </w:r>
      <w:r w:rsidR="00A5681B">
        <w:rPr>
          <w:rFonts w:ascii="Times New Roman" w:hAnsi="Times New Roman"/>
          <w:b/>
          <w:sz w:val="24"/>
          <w:szCs w:val="24"/>
        </w:rPr>
        <w:t xml:space="preserve"> ANALYSIS</w:t>
      </w:r>
      <w:r w:rsidRPr="00FB4769">
        <w:rPr>
          <w:rFonts w:ascii="Times New Roman" w:hAnsi="Times New Roman"/>
          <w:b/>
          <w:sz w:val="24"/>
          <w:szCs w:val="24"/>
        </w:rPr>
        <w:t xml:space="preserve"> </w:t>
      </w:r>
    </w:p>
    <w:p w14:paraId="0740ACC6" w14:textId="56573CB6" w:rsidR="000E60B1" w:rsidRPr="00FB4769" w:rsidRDefault="000E60B1" w:rsidP="507B06EC">
      <w:pPr>
        <w:shd w:val="clear" w:color="auto" w:fill="FFFFFF" w:themeFill="background1"/>
        <w:spacing w:before="120" w:after="120" w:line="240" w:lineRule="auto"/>
        <w:rPr>
          <w:rFonts w:ascii="Times New Roman" w:hAnsi="Times New Roman"/>
          <w:sz w:val="24"/>
          <w:szCs w:val="24"/>
        </w:rPr>
      </w:pPr>
      <w:r w:rsidRPr="507B06EC">
        <w:rPr>
          <w:rFonts w:ascii="Times New Roman" w:hAnsi="Times New Roman"/>
          <w:sz w:val="24"/>
          <w:szCs w:val="24"/>
        </w:rPr>
        <w:t xml:space="preserve">The Office of </w:t>
      </w:r>
      <w:r w:rsidR="00F710B8" w:rsidRPr="507B06EC">
        <w:rPr>
          <w:rFonts w:ascii="Times New Roman" w:hAnsi="Times New Roman"/>
          <w:sz w:val="24"/>
          <w:szCs w:val="24"/>
        </w:rPr>
        <w:t>Impact Analysis</w:t>
      </w:r>
      <w:r w:rsidRPr="507B06EC">
        <w:rPr>
          <w:rFonts w:ascii="Times New Roman" w:hAnsi="Times New Roman"/>
          <w:sz w:val="24"/>
          <w:szCs w:val="24"/>
        </w:rPr>
        <w:t xml:space="preserve"> was consulted regarding this instrument and </w:t>
      </w:r>
      <w:r w:rsidR="257B66D4" w:rsidRPr="507B06EC">
        <w:rPr>
          <w:rFonts w:ascii="Times New Roman" w:hAnsi="Times New Roman"/>
          <w:sz w:val="24"/>
          <w:szCs w:val="24"/>
        </w:rPr>
        <w:t>was satisfied</w:t>
      </w:r>
      <w:r w:rsidRPr="507B06EC">
        <w:rPr>
          <w:rFonts w:ascii="Times New Roman" w:hAnsi="Times New Roman"/>
          <w:sz w:val="24"/>
          <w:szCs w:val="24"/>
        </w:rPr>
        <w:t xml:space="preserve"> that</w:t>
      </w:r>
      <w:r w:rsidR="00474DCB">
        <w:rPr>
          <w:rFonts w:ascii="Times New Roman" w:hAnsi="Times New Roman"/>
          <w:sz w:val="24"/>
          <w:szCs w:val="24"/>
        </w:rPr>
        <w:t xml:space="preserve"> </w:t>
      </w:r>
      <w:r w:rsidR="57905DA0" w:rsidRPr="507B06EC">
        <w:rPr>
          <w:rFonts w:ascii="Times New Roman" w:hAnsi="Times New Roman"/>
          <w:sz w:val="24"/>
          <w:szCs w:val="24"/>
        </w:rPr>
        <w:t>Impact Analysis</w:t>
      </w:r>
      <w:r w:rsidRPr="507B06EC">
        <w:rPr>
          <w:rFonts w:ascii="Times New Roman" w:hAnsi="Times New Roman"/>
          <w:sz w:val="24"/>
          <w:szCs w:val="24"/>
        </w:rPr>
        <w:t xml:space="preserve"> is not required (</w:t>
      </w:r>
      <w:r w:rsidR="001707E3" w:rsidRPr="507B06EC">
        <w:rPr>
          <w:rFonts w:ascii="Times New Roman" w:hAnsi="Times New Roman"/>
          <w:sz w:val="24"/>
          <w:szCs w:val="24"/>
        </w:rPr>
        <w:t>OIA</w:t>
      </w:r>
      <w:r w:rsidR="00AE6B3F" w:rsidRPr="507B06EC">
        <w:rPr>
          <w:rFonts w:ascii="Times New Roman" w:hAnsi="Times New Roman"/>
          <w:sz w:val="24"/>
          <w:szCs w:val="24"/>
        </w:rPr>
        <w:t xml:space="preserve"> ID</w:t>
      </w:r>
      <w:r w:rsidRPr="507B06EC">
        <w:rPr>
          <w:rFonts w:ascii="Times New Roman" w:hAnsi="Times New Roman"/>
          <w:sz w:val="24"/>
          <w:szCs w:val="24"/>
        </w:rPr>
        <w:t>:</w:t>
      </w:r>
      <w:r w:rsidR="008B473D" w:rsidRPr="507B06EC">
        <w:rPr>
          <w:rFonts w:ascii="Times New Roman" w:hAnsi="Times New Roman"/>
          <w:sz w:val="24"/>
          <w:szCs w:val="24"/>
        </w:rPr>
        <w:t xml:space="preserve"> 23-06094</w:t>
      </w:r>
      <w:r w:rsidRPr="507B06EC">
        <w:rPr>
          <w:rFonts w:ascii="Times New Roman" w:hAnsi="Times New Roman"/>
          <w:sz w:val="24"/>
          <w:szCs w:val="24"/>
        </w:rPr>
        <w:t>).</w:t>
      </w:r>
    </w:p>
    <w:p w14:paraId="222A5795" w14:textId="77777777" w:rsidR="00B966BD" w:rsidRPr="00FB4769" w:rsidRDefault="00B966BD" w:rsidP="00F60E71">
      <w:pPr>
        <w:spacing w:before="120" w:after="120" w:line="240" w:lineRule="auto"/>
        <w:rPr>
          <w:rFonts w:ascii="Times New Roman" w:hAnsi="Times New Roman"/>
          <w:sz w:val="24"/>
          <w:szCs w:val="24"/>
        </w:rPr>
      </w:pPr>
      <w:r w:rsidRPr="00FB4769">
        <w:rPr>
          <w:rFonts w:ascii="Times New Roman" w:hAnsi="Times New Roman"/>
          <w:sz w:val="24"/>
          <w:szCs w:val="24"/>
        </w:rPr>
        <w:t xml:space="preserve">This instrument is a legislative instrument for the purposes of the </w:t>
      </w:r>
      <w:r w:rsidRPr="00FB4769">
        <w:rPr>
          <w:rFonts w:ascii="Times New Roman" w:hAnsi="Times New Roman"/>
          <w:i/>
          <w:iCs/>
          <w:sz w:val="24"/>
          <w:szCs w:val="24"/>
        </w:rPr>
        <w:t>Legislation Act 2003</w:t>
      </w:r>
      <w:r w:rsidRPr="00FB4769">
        <w:rPr>
          <w:rFonts w:ascii="Times New Roman" w:hAnsi="Times New Roman"/>
          <w:sz w:val="24"/>
          <w:szCs w:val="24"/>
        </w:rPr>
        <w:t xml:space="preserve">. </w:t>
      </w:r>
    </w:p>
    <w:p w14:paraId="1FF71BCC" w14:textId="0A7DE5F4" w:rsidR="008D1B45" w:rsidRPr="00474DCB" w:rsidRDefault="00474DCB" w:rsidP="00474DCB">
      <w:pPr>
        <w:spacing w:after="160" w:line="259" w:lineRule="auto"/>
        <w:rPr>
          <w:rFonts w:ascii="Times New Roman" w:hAnsi="Times New Roman"/>
          <w:b/>
          <w:caps/>
        </w:rPr>
      </w:pPr>
      <w:r>
        <w:rPr>
          <w:rFonts w:ascii="Times New Roman" w:hAnsi="Times New Roman"/>
          <w:b/>
          <w:caps/>
        </w:rPr>
        <w:br w:type="page"/>
      </w:r>
    </w:p>
    <w:p w14:paraId="0740ACCD" w14:textId="6D5639DF" w:rsidR="000E60B1" w:rsidRPr="0050718B" w:rsidRDefault="000E60B1" w:rsidP="000E60B1">
      <w:pPr>
        <w:spacing w:before="120" w:after="120" w:line="240" w:lineRule="auto"/>
        <w:jc w:val="center"/>
        <w:rPr>
          <w:rFonts w:ascii="Times New Roman" w:hAnsi="Times New Roman"/>
          <w:b/>
          <w:caps/>
          <w:sz w:val="24"/>
          <w:szCs w:val="24"/>
        </w:rPr>
      </w:pPr>
      <w:r w:rsidRPr="0050718B">
        <w:rPr>
          <w:rFonts w:ascii="Times New Roman" w:hAnsi="Times New Roman"/>
          <w:b/>
          <w:caps/>
          <w:sz w:val="24"/>
          <w:szCs w:val="24"/>
        </w:rPr>
        <w:lastRenderedPageBreak/>
        <w:t>Statement of Compatibility with Human Rights</w:t>
      </w:r>
    </w:p>
    <w:p w14:paraId="0740ACCE" w14:textId="77777777" w:rsidR="000E60B1" w:rsidRPr="0050718B" w:rsidRDefault="000E60B1" w:rsidP="000E60B1">
      <w:pPr>
        <w:shd w:val="clear" w:color="auto" w:fill="FFFFFF"/>
        <w:spacing w:before="120" w:after="120" w:line="240" w:lineRule="auto"/>
        <w:jc w:val="center"/>
        <w:rPr>
          <w:rFonts w:ascii="Times New Roman" w:hAnsi="Times New Roman"/>
          <w:i/>
          <w:sz w:val="24"/>
          <w:szCs w:val="24"/>
        </w:rPr>
      </w:pPr>
      <w:r w:rsidRPr="0050718B">
        <w:rPr>
          <w:rFonts w:ascii="Times New Roman" w:hAnsi="Times New Roman"/>
          <w:i/>
          <w:sz w:val="24"/>
          <w:szCs w:val="24"/>
        </w:rPr>
        <w:t>Prepared in accordance with Part 3 of the Human Rights (Parliamentary Scrutiny) Act 2011</w:t>
      </w:r>
    </w:p>
    <w:p w14:paraId="76089230" w14:textId="1C32E17F" w:rsidR="00573C16" w:rsidRPr="0050718B" w:rsidRDefault="00573C16" w:rsidP="005E10D8">
      <w:pPr>
        <w:spacing w:before="120" w:after="120" w:line="240" w:lineRule="auto"/>
        <w:rPr>
          <w:rFonts w:ascii="Times New Roman" w:hAnsi="Times New Roman"/>
          <w:b/>
          <w:bCs/>
          <w:sz w:val="24"/>
          <w:szCs w:val="24"/>
        </w:rPr>
      </w:pPr>
      <w:r w:rsidRPr="0050718B">
        <w:rPr>
          <w:rFonts w:ascii="Times New Roman" w:eastAsia="Times New Roman" w:hAnsi="Times New Roman"/>
          <w:b/>
          <w:bCs/>
          <w:sz w:val="24"/>
          <w:szCs w:val="24"/>
          <w:lang w:eastAsia="en-AU"/>
        </w:rPr>
        <w:t>Safety, Rehabilitation and Compensation Amendment (</w:t>
      </w:r>
      <w:r w:rsidR="00F170C1" w:rsidRPr="0050718B">
        <w:rPr>
          <w:rFonts w:ascii="Times New Roman" w:eastAsia="Times New Roman" w:hAnsi="Times New Roman"/>
          <w:b/>
          <w:bCs/>
          <w:sz w:val="24"/>
          <w:szCs w:val="24"/>
          <w:lang w:eastAsia="en-AU"/>
        </w:rPr>
        <w:t>Period for Decision Making</w:t>
      </w:r>
      <w:r w:rsidRPr="0050718B">
        <w:rPr>
          <w:rFonts w:ascii="Times New Roman" w:eastAsia="Times New Roman" w:hAnsi="Times New Roman"/>
          <w:b/>
          <w:bCs/>
          <w:sz w:val="24"/>
          <w:szCs w:val="24"/>
          <w:lang w:eastAsia="en-AU"/>
        </w:rPr>
        <w:t>) Regulations 202</w:t>
      </w:r>
      <w:r w:rsidR="00F170C1" w:rsidRPr="0050718B">
        <w:rPr>
          <w:rFonts w:ascii="Times New Roman" w:eastAsia="Times New Roman" w:hAnsi="Times New Roman"/>
          <w:b/>
          <w:bCs/>
          <w:sz w:val="24"/>
          <w:szCs w:val="24"/>
          <w:lang w:eastAsia="en-AU"/>
        </w:rPr>
        <w:t>3</w:t>
      </w:r>
    </w:p>
    <w:p w14:paraId="236792A1" w14:textId="5DC7D585" w:rsidR="0050718B" w:rsidRPr="00474DCB" w:rsidRDefault="000E60B1" w:rsidP="000E60B1">
      <w:pPr>
        <w:shd w:val="clear" w:color="auto" w:fill="FFFFFF"/>
        <w:spacing w:before="120" w:after="120" w:line="240" w:lineRule="auto"/>
        <w:rPr>
          <w:rFonts w:ascii="Times New Roman" w:hAnsi="Times New Roman"/>
          <w:sz w:val="24"/>
          <w:szCs w:val="24"/>
        </w:rPr>
      </w:pPr>
      <w:r w:rsidRPr="0050718B">
        <w:rPr>
          <w:rFonts w:ascii="Times New Roman" w:hAnsi="Times New Roman"/>
          <w:sz w:val="24"/>
          <w:szCs w:val="24"/>
        </w:rPr>
        <w:t xml:space="preserve">This legislative instrument is compatible with the human rights and freedoms recognised or declared by the international instruments listed in section 3 of the </w:t>
      </w:r>
      <w:r w:rsidRPr="0050718B">
        <w:rPr>
          <w:rFonts w:ascii="Times New Roman" w:hAnsi="Times New Roman"/>
          <w:i/>
          <w:sz w:val="24"/>
          <w:szCs w:val="24"/>
        </w:rPr>
        <w:t>Human Rights (Parliamentary Scrutiny) Act 2011</w:t>
      </w:r>
      <w:r w:rsidRPr="0050718B">
        <w:rPr>
          <w:rFonts w:ascii="Times New Roman" w:hAnsi="Times New Roman"/>
          <w:sz w:val="24"/>
          <w:szCs w:val="24"/>
        </w:rPr>
        <w:t>.</w:t>
      </w:r>
    </w:p>
    <w:p w14:paraId="0740ACD1" w14:textId="30ED872D" w:rsidR="000E60B1" w:rsidRPr="004615AC" w:rsidRDefault="000E60B1" w:rsidP="000E60B1">
      <w:pPr>
        <w:shd w:val="clear" w:color="auto" w:fill="FFFFFF"/>
        <w:spacing w:before="120" w:after="120" w:line="240" w:lineRule="auto"/>
        <w:rPr>
          <w:rFonts w:ascii="Times New Roman" w:hAnsi="Times New Roman"/>
          <w:b/>
          <w:sz w:val="24"/>
          <w:szCs w:val="24"/>
        </w:rPr>
      </w:pPr>
      <w:r w:rsidRPr="004615AC">
        <w:rPr>
          <w:rFonts w:ascii="Times New Roman" w:hAnsi="Times New Roman"/>
          <w:b/>
          <w:sz w:val="24"/>
          <w:szCs w:val="24"/>
        </w:rPr>
        <w:t>Overview of the legislative instrument</w:t>
      </w:r>
    </w:p>
    <w:p w14:paraId="56CB77D8" w14:textId="77777777" w:rsidR="004615AC" w:rsidRPr="000538A7" w:rsidRDefault="004615AC" w:rsidP="004615AC">
      <w:pPr>
        <w:spacing w:before="120" w:after="120" w:line="240" w:lineRule="auto"/>
        <w:rPr>
          <w:rFonts w:ascii="Times New Roman" w:hAnsi="Times New Roman"/>
          <w:sz w:val="24"/>
          <w:szCs w:val="24"/>
        </w:rPr>
      </w:pPr>
      <w:r w:rsidRPr="000538A7">
        <w:rPr>
          <w:rFonts w:ascii="Times New Roman" w:hAnsi="Times New Roman"/>
          <w:sz w:val="24"/>
          <w:szCs w:val="24"/>
        </w:rPr>
        <w:t xml:space="preserve">The </w:t>
      </w:r>
      <w:r w:rsidRPr="000538A7">
        <w:rPr>
          <w:rFonts w:ascii="Times New Roman" w:hAnsi="Times New Roman"/>
          <w:i/>
          <w:iCs/>
          <w:sz w:val="24"/>
          <w:szCs w:val="24"/>
        </w:rPr>
        <w:t xml:space="preserve">Safety, Rehabilitation and Compensation Act 1988 </w:t>
      </w:r>
      <w:r w:rsidRPr="000538A7">
        <w:rPr>
          <w:rFonts w:ascii="Times New Roman" w:hAnsi="Times New Roman"/>
          <w:sz w:val="24"/>
          <w:szCs w:val="24"/>
        </w:rPr>
        <w:t>(SRC Act) establishes the Commonwealth workers’ compensation and rehabilitation scheme for employees of the Commonwealth, Commonwealth authorities and licensed corporations.</w:t>
      </w:r>
    </w:p>
    <w:p w14:paraId="56C177CD" w14:textId="77777777" w:rsidR="004615AC" w:rsidRDefault="004615AC" w:rsidP="004615AC">
      <w:pPr>
        <w:spacing w:before="120" w:after="120" w:line="240" w:lineRule="auto"/>
        <w:rPr>
          <w:rFonts w:ascii="Times New Roman" w:hAnsi="Times New Roman"/>
          <w:iCs/>
          <w:sz w:val="24"/>
          <w:szCs w:val="24"/>
        </w:rPr>
      </w:pPr>
      <w:r w:rsidRPr="000538A7">
        <w:rPr>
          <w:rFonts w:ascii="Times New Roman" w:hAnsi="Times New Roman"/>
          <w:iCs/>
          <w:sz w:val="24"/>
          <w:szCs w:val="24"/>
        </w:rPr>
        <w:t>Section 14 of the SRC Act</w:t>
      </w:r>
      <w:r>
        <w:rPr>
          <w:rFonts w:ascii="Times New Roman" w:hAnsi="Times New Roman"/>
          <w:iCs/>
          <w:sz w:val="24"/>
          <w:szCs w:val="24"/>
        </w:rPr>
        <w:t xml:space="preserve"> provides that, subject to Part II of the Act, Comcare is liable to pay compensation in accordance with the SRC Act in respect of an injury suffered by an employee if the injury results in death, incapacity for work or impairment. </w:t>
      </w:r>
    </w:p>
    <w:p w14:paraId="571DE79C" w14:textId="77777777" w:rsidR="004615AC" w:rsidRDefault="004615AC" w:rsidP="004615AC">
      <w:pPr>
        <w:spacing w:before="120" w:after="120" w:line="240" w:lineRule="auto"/>
        <w:rPr>
          <w:rFonts w:ascii="Times New Roman" w:hAnsi="Times New Roman"/>
          <w:iCs/>
          <w:sz w:val="24"/>
          <w:szCs w:val="24"/>
        </w:rPr>
      </w:pPr>
      <w:r>
        <w:rPr>
          <w:rFonts w:ascii="Times New Roman" w:hAnsi="Times New Roman"/>
          <w:iCs/>
          <w:sz w:val="24"/>
          <w:szCs w:val="24"/>
        </w:rPr>
        <w:t>The</w:t>
      </w:r>
      <w:r w:rsidRPr="000538A7">
        <w:rPr>
          <w:rFonts w:ascii="Times New Roman" w:hAnsi="Times New Roman"/>
          <w:iCs/>
          <w:sz w:val="24"/>
          <w:szCs w:val="24"/>
        </w:rPr>
        <w:t xml:space="preserve"> liability to pay compensation ‘in accordance with’ the Act </w:t>
      </w:r>
      <w:r>
        <w:rPr>
          <w:rFonts w:ascii="Times New Roman" w:hAnsi="Times New Roman"/>
          <w:iCs/>
          <w:sz w:val="24"/>
          <w:szCs w:val="24"/>
        </w:rPr>
        <w:t xml:space="preserve">is a liability to pay compensation </w:t>
      </w:r>
      <w:r w:rsidRPr="000538A7">
        <w:rPr>
          <w:rFonts w:ascii="Times New Roman" w:hAnsi="Times New Roman"/>
          <w:iCs/>
          <w:sz w:val="24"/>
          <w:szCs w:val="24"/>
        </w:rPr>
        <w:t xml:space="preserve">under </w:t>
      </w:r>
      <w:r>
        <w:rPr>
          <w:rFonts w:ascii="Times New Roman" w:hAnsi="Times New Roman"/>
          <w:iCs/>
          <w:sz w:val="24"/>
          <w:szCs w:val="24"/>
        </w:rPr>
        <w:t xml:space="preserve">the </w:t>
      </w:r>
      <w:r w:rsidRPr="000538A7">
        <w:rPr>
          <w:rFonts w:ascii="Times New Roman" w:hAnsi="Times New Roman"/>
          <w:iCs/>
          <w:sz w:val="24"/>
          <w:szCs w:val="24"/>
        </w:rPr>
        <w:t>‘heads of compensation’</w:t>
      </w:r>
      <w:r>
        <w:rPr>
          <w:rFonts w:ascii="Times New Roman" w:hAnsi="Times New Roman"/>
          <w:iCs/>
          <w:sz w:val="24"/>
          <w:szCs w:val="24"/>
        </w:rPr>
        <w:t xml:space="preserve"> provided for in Part II of the Act,</w:t>
      </w:r>
      <w:r w:rsidRPr="000538A7">
        <w:rPr>
          <w:rFonts w:ascii="Times New Roman" w:hAnsi="Times New Roman"/>
          <w:iCs/>
          <w:sz w:val="24"/>
          <w:szCs w:val="24"/>
        </w:rPr>
        <w:t xml:space="preserve"> such as medical treatment, </w:t>
      </w:r>
      <w:proofErr w:type="gramStart"/>
      <w:r w:rsidRPr="000538A7">
        <w:rPr>
          <w:rFonts w:ascii="Times New Roman" w:hAnsi="Times New Roman"/>
          <w:iCs/>
          <w:sz w:val="24"/>
          <w:szCs w:val="24"/>
        </w:rPr>
        <w:t>incapacity</w:t>
      </w:r>
      <w:proofErr w:type="gramEnd"/>
      <w:r w:rsidRPr="000538A7">
        <w:rPr>
          <w:rFonts w:ascii="Times New Roman" w:hAnsi="Times New Roman"/>
          <w:iCs/>
          <w:sz w:val="24"/>
          <w:szCs w:val="24"/>
        </w:rPr>
        <w:t xml:space="preserve"> and permanent impairment. After a determination is made under section 14 of the Act, further determinations need to be made under the applicable heads of compensation provision</w:t>
      </w:r>
      <w:r>
        <w:rPr>
          <w:rFonts w:ascii="Times New Roman" w:hAnsi="Times New Roman"/>
          <w:iCs/>
          <w:sz w:val="24"/>
          <w:szCs w:val="24"/>
        </w:rPr>
        <w:t>s</w:t>
      </w:r>
      <w:r w:rsidRPr="000538A7">
        <w:rPr>
          <w:rFonts w:ascii="Times New Roman" w:hAnsi="Times New Roman"/>
          <w:iCs/>
          <w:sz w:val="24"/>
          <w:szCs w:val="24"/>
        </w:rPr>
        <w:t xml:space="preserve">. </w:t>
      </w:r>
    </w:p>
    <w:p w14:paraId="314B3A58" w14:textId="77777777" w:rsidR="004615AC" w:rsidRDefault="004615AC" w:rsidP="004615AC">
      <w:pPr>
        <w:spacing w:before="120" w:after="120" w:line="240" w:lineRule="auto"/>
        <w:rPr>
          <w:rFonts w:ascii="Times New Roman" w:hAnsi="Times New Roman"/>
          <w:iCs/>
          <w:sz w:val="24"/>
          <w:szCs w:val="24"/>
        </w:rPr>
      </w:pPr>
      <w:r w:rsidRPr="000538A7">
        <w:rPr>
          <w:rFonts w:ascii="Times New Roman" w:hAnsi="Times New Roman"/>
          <w:sz w:val="24"/>
          <w:szCs w:val="24"/>
        </w:rPr>
        <w:t>Subsections 4(10) and (10A) of the SRC Act provide that, for the purposes of the application of the SRC Act to employees of licens</w:t>
      </w:r>
      <w:r>
        <w:rPr>
          <w:rFonts w:ascii="Times New Roman" w:hAnsi="Times New Roman"/>
          <w:sz w:val="24"/>
          <w:szCs w:val="24"/>
        </w:rPr>
        <w:t>ed authorities and licensed corporations (respectively)</w:t>
      </w:r>
      <w:r w:rsidRPr="000538A7">
        <w:rPr>
          <w:rFonts w:ascii="Times New Roman" w:hAnsi="Times New Roman"/>
          <w:sz w:val="24"/>
          <w:szCs w:val="24"/>
        </w:rPr>
        <w:t xml:space="preserve">, a reference to ‘Comcare’ is a reference to a licensed authority or licensed corporation (as the case may be), unless a contrary intention appears. </w:t>
      </w:r>
      <w:r>
        <w:rPr>
          <w:rFonts w:ascii="Times New Roman" w:hAnsi="Times New Roman"/>
          <w:sz w:val="24"/>
          <w:szCs w:val="24"/>
        </w:rPr>
        <w:t xml:space="preserve">Accordingly, pursuant to sections 4(10), 4(10A) and 14, licensed authorities and licensed corporations are also liable to </w:t>
      </w:r>
      <w:r>
        <w:rPr>
          <w:rFonts w:ascii="Times New Roman" w:hAnsi="Times New Roman"/>
          <w:iCs/>
          <w:sz w:val="24"/>
          <w:szCs w:val="24"/>
        </w:rPr>
        <w:t>pay compensation in accordance with the SRC Act in respect of an injury suffered by their respective employees if the injury results in death, incapacity for work or impairment.</w:t>
      </w:r>
    </w:p>
    <w:p w14:paraId="2E0A004F" w14:textId="77777777" w:rsidR="004615AC" w:rsidRPr="000538A7" w:rsidRDefault="004615AC" w:rsidP="004615AC">
      <w:pPr>
        <w:spacing w:before="120" w:after="120" w:line="240" w:lineRule="auto"/>
        <w:rPr>
          <w:rFonts w:ascii="Times New Roman" w:hAnsi="Times New Roman"/>
          <w:sz w:val="24"/>
          <w:szCs w:val="24"/>
        </w:rPr>
      </w:pPr>
      <w:r>
        <w:rPr>
          <w:rFonts w:ascii="Times New Roman" w:hAnsi="Times New Roman"/>
          <w:iCs/>
          <w:sz w:val="24"/>
          <w:szCs w:val="24"/>
        </w:rPr>
        <w:t xml:space="preserve">Part VI of the SRC Act concerns decision making under the Act. Under this Part, subsection </w:t>
      </w:r>
      <w:r w:rsidRPr="000538A7">
        <w:rPr>
          <w:rFonts w:ascii="Times New Roman" w:hAnsi="Times New Roman"/>
          <w:sz w:val="24"/>
          <w:szCs w:val="24"/>
        </w:rPr>
        <w:t xml:space="preserve">61(1A) provides that a </w:t>
      </w:r>
      <w:r>
        <w:rPr>
          <w:rFonts w:ascii="Times New Roman" w:hAnsi="Times New Roman"/>
          <w:sz w:val="24"/>
          <w:szCs w:val="24"/>
        </w:rPr>
        <w:t>‘</w:t>
      </w:r>
      <w:r w:rsidRPr="000538A7">
        <w:rPr>
          <w:rFonts w:ascii="Times New Roman" w:hAnsi="Times New Roman"/>
          <w:sz w:val="24"/>
          <w:szCs w:val="24"/>
        </w:rPr>
        <w:t>determining authority</w:t>
      </w:r>
      <w:r>
        <w:rPr>
          <w:rFonts w:ascii="Times New Roman" w:hAnsi="Times New Roman"/>
          <w:sz w:val="24"/>
          <w:szCs w:val="24"/>
        </w:rPr>
        <w:t>’</w:t>
      </w:r>
      <w:r w:rsidRPr="000538A7">
        <w:rPr>
          <w:rFonts w:ascii="Times New Roman" w:hAnsi="Times New Roman"/>
          <w:sz w:val="24"/>
          <w:szCs w:val="24"/>
        </w:rPr>
        <w:t xml:space="preserve"> must consider and determine a claim under section 14 of the SRC Act, within the period prescribed by the regulations. A determining authority is defined for the purposes of Part VI of the Act to mean ‘the person who made the determination’.  </w:t>
      </w:r>
    </w:p>
    <w:p w14:paraId="50BAB555" w14:textId="77492484" w:rsidR="004615AC" w:rsidRDefault="004615AC" w:rsidP="004615AC">
      <w:pPr>
        <w:spacing w:before="120" w:after="120" w:line="240" w:lineRule="auto"/>
        <w:rPr>
          <w:rFonts w:ascii="Times New Roman" w:hAnsi="Times New Roman"/>
          <w:sz w:val="24"/>
          <w:szCs w:val="24"/>
        </w:rPr>
      </w:pPr>
      <w:r w:rsidRPr="000538A7">
        <w:rPr>
          <w:rFonts w:ascii="Times New Roman" w:hAnsi="Times New Roman"/>
          <w:sz w:val="24"/>
          <w:szCs w:val="24"/>
        </w:rPr>
        <w:t xml:space="preserve">Subsection 62(6) </w:t>
      </w:r>
      <w:r>
        <w:rPr>
          <w:rFonts w:ascii="Times New Roman" w:hAnsi="Times New Roman"/>
          <w:sz w:val="24"/>
          <w:szCs w:val="24"/>
        </w:rPr>
        <w:t xml:space="preserve">of the SRC Act </w:t>
      </w:r>
      <w:r w:rsidRPr="000538A7">
        <w:rPr>
          <w:rFonts w:ascii="Times New Roman" w:hAnsi="Times New Roman"/>
          <w:sz w:val="24"/>
          <w:szCs w:val="24"/>
        </w:rPr>
        <w:t xml:space="preserve">provides that </w:t>
      </w:r>
      <w:r>
        <w:rPr>
          <w:rFonts w:ascii="Times New Roman" w:hAnsi="Times New Roman"/>
          <w:sz w:val="24"/>
          <w:szCs w:val="24"/>
        </w:rPr>
        <w:t>a determining authority</w:t>
      </w:r>
      <w:r w:rsidR="004652E4">
        <w:rPr>
          <w:rFonts w:ascii="Times New Roman" w:hAnsi="Times New Roman"/>
          <w:sz w:val="24"/>
          <w:szCs w:val="24"/>
        </w:rPr>
        <w:t xml:space="preserve"> or person</w:t>
      </w:r>
      <w:r>
        <w:rPr>
          <w:rFonts w:ascii="Times New Roman" w:hAnsi="Times New Roman"/>
          <w:sz w:val="24"/>
          <w:szCs w:val="24"/>
        </w:rPr>
        <w:t xml:space="preserve"> must also decide a request made by a claimant to reconsider a determination within the period prescribed by the regulations.</w:t>
      </w:r>
      <w:r w:rsidR="004652E4">
        <w:rPr>
          <w:rFonts w:ascii="Times New Roman" w:hAnsi="Times New Roman"/>
          <w:sz w:val="24"/>
          <w:szCs w:val="24"/>
        </w:rPr>
        <w:t xml:space="preserve"> Determinations may be reconsidered by a determining authority or person under sections 38 or 62 of the SRC Act. </w:t>
      </w:r>
    </w:p>
    <w:p w14:paraId="25CB6788" w14:textId="77777777" w:rsidR="004615AC" w:rsidRPr="008D0D56" w:rsidRDefault="004615AC" w:rsidP="004615AC">
      <w:pPr>
        <w:spacing w:before="120" w:after="120" w:line="240" w:lineRule="auto"/>
        <w:rPr>
          <w:rFonts w:ascii="Times New Roman" w:eastAsia="Times New Roman" w:hAnsi="Times New Roman"/>
          <w:sz w:val="24"/>
          <w:szCs w:val="24"/>
          <w:lang w:eastAsia="en-AU"/>
        </w:rPr>
      </w:pPr>
      <w:r w:rsidRPr="008D0D56">
        <w:rPr>
          <w:rFonts w:ascii="Times New Roman" w:eastAsia="Times New Roman" w:hAnsi="Times New Roman"/>
          <w:sz w:val="24"/>
          <w:szCs w:val="24"/>
          <w:lang w:eastAsia="en-AU"/>
        </w:rPr>
        <w:t xml:space="preserve">Section 122 of the SRC Act provides the Governor-General may make regulations prescribing matters required or permitted by the Act to be prescribed, or necessary or convenient to be prescribed for carrying out or giving effect to the Act. </w:t>
      </w:r>
    </w:p>
    <w:p w14:paraId="074F843B" w14:textId="77777777" w:rsidR="004615AC" w:rsidRPr="00D3588F" w:rsidRDefault="004615AC" w:rsidP="004615AC">
      <w:pPr>
        <w:spacing w:before="120" w:after="120" w:line="240" w:lineRule="auto"/>
        <w:rPr>
          <w:rFonts w:ascii="Times New Roman" w:eastAsia="Times New Roman" w:hAnsi="Times New Roman"/>
          <w:sz w:val="24"/>
          <w:szCs w:val="24"/>
          <w:lang w:eastAsia="en-AU"/>
        </w:rPr>
      </w:pPr>
      <w:r w:rsidRPr="00E97B4D">
        <w:rPr>
          <w:rFonts w:ascii="Times New Roman" w:eastAsia="Times New Roman" w:hAnsi="Times New Roman"/>
          <w:sz w:val="24"/>
          <w:szCs w:val="24"/>
          <w:lang w:eastAsia="en-AU"/>
        </w:rPr>
        <w:t xml:space="preserve">Pursuant to subsections 61(1A), 62(6) and section 122 of the SRC Act the </w:t>
      </w:r>
      <w:r w:rsidRPr="00E97B4D">
        <w:rPr>
          <w:rFonts w:ascii="Times New Roman" w:eastAsia="Times New Roman" w:hAnsi="Times New Roman"/>
          <w:i/>
          <w:iCs/>
          <w:sz w:val="24"/>
          <w:szCs w:val="24"/>
          <w:lang w:eastAsia="en-AU"/>
        </w:rPr>
        <w:t>Safety, Rehabilitation and Compensation Amendment (Period for Decision Making) Regulations 2023</w:t>
      </w:r>
      <w:r w:rsidRPr="00E97B4D">
        <w:rPr>
          <w:rFonts w:ascii="Times New Roman" w:eastAsia="Times New Roman" w:hAnsi="Times New Roman"/>
          <w:sz w:val="24"/>
          <w:szCs w:val="24"/>
          <w:lang w:eastAsia="en-AU"/>
        </w:rPr>
        <w:t xml:space="preserve"> (the Amendment Instrument) amends the </w:t>
      </w:r>
      <w:r w:rsidRPr="00E97B4D">
        <w:rPr>
          <w:rFonts w:ascii="Times New Roman" w:eastAsia="Times New Roman" w:hAnsi="Times New Roman"/>
          <w:i/>
          <w:iCs/>
          <w:sz w:val="24"/>
          <w:szCs w:val="24"/>
          <w:lang w:eastAsia="en-AU"/>
        </w:rPr>
        <w:t>Safety, Rehabilitation and Compensation Regulations 2019</w:t>
      </w:r>
      <w:r w:rsidRPr="00E97B4D">
        <w:rPr>
          <w:rFonts w:ascii="Times New Roman" w:eastAsia="Times New Roman" w:hAnsi="Times New Roman"/>
          <w:sz w:val="24"/>
          <w:szCs w:val="24"/>
          <w:lang w:eastAsia="en-AU"/>
        </w:rPr>
        <w:t xml:space="preserve"> to </w:t>
      </w:r>
      <w:r>
        <w:rPr>
          <w:rFonts w:ascii="Times New Roman" w:eastAsia="Times New Roman" w:hAnsi="Times New Roman"/>
          <w:sz w:val="24"/>
          <w:szCs w:val="24"/>
          <w:lang w:eastAsia="en-AU"/>
        </w:rPr>
        <w:t>prescribe the following periods for decision making in relation to section 14 determinations:</w:t>
      </w:r>
    </w:p>
    <w:p w14:paraId="10908B47" w14:textId="7E7CFE5E" w:rsidR="004615AC" w:rsidRPr="00A865AF" w:rsidRDefault="00A95830" w:rsidP="004615AC">
      <w:pPr>
        <w:pStyle w:val="paragraph"/>
        <w:numPr>
          <w:ilvl w:val="0"/>
          <w:numId w:val="3"/>
        </w:numPr>
        <w:tabs>
          <w:tab w:val="right" w:pos="1531"/>
        </w:tabs>
        <w:spacing w:before="40" w:beforeAutospacing="0" w:after="0" w:afterAutospacing="0"/>
      </w:pPr>
      <w:r>
        <w:lastRenderedPageBreak/>
        <w:t>2</w:t>
      </w:r>
      <w:r w:rsidR="004615AC" w:rsidRPr="00A865AF">
        <w:t>0 calendar days for claims made in respect of an injury (other than a disease) or an aggravation of an injury (other than a disease); and</w:t>
      </w:r>
    </w:p>
    <w:p w14:paraId="35D63207" w14:textId="13DBAF10" w:rsidR="001707E3" w:rsidRDefault="00A95830" w:rsidP="004615AC">
      <w:pPr>
        <w:pStyle w:val="paragraph"/>
        <w:numPr>
          <w:ilvl w:val="0"/>
          <w:numId w:val="3"/>
        </w:numPr>
        <w:tabs>
          <w:tab w:val="right" w:pos="1531"/>
        </w:tabs>
        <w:spacing w:before="40" w:beforeAutospacing="0" w:after="0" w:afterAutospacing="0"/>
      </w:pPr>
      <w:r>
        <w:t>6</w:t>
      </w:r>
      <w:r w:rsidR="004615AC" w:rsidRPr="00A865AF">
        <w:t>0 calendar days for claims made in respect of a disease</w:t>
      </w:r>
      <w:r w:rsidR="004615AC">
        <w:t>;</w:t>
      </w:r>
      <w:r w:rsidR="001707E3">
        <w:t xml:space="preserve"> </w:t>
      </w:r>
      <w:r w:rsidR="004615AC" w:rsidRPr="00A865AF">
        <w:t xml:space="preserve">and </w:t>
      </w:r>
    </w:p>
    <w:p w14:paraId="553376C6" w14:textId="0A185518" w:rsidR="004615AC" w:rsidRPr="00A865AF" w:rsidRDefault="00A95830" w:rsidP="004615AC">
      <w:pPr>
        <w:pStyle w:val="paragraph"/>
        <w:numPr>
          <w:ilvl w:val="0"/>
          <w:numId w:val="3"/>
        </w:numPr>
        <w:tabs>
          <w:tab w:val="right" w:pos="1531"/>
        </w:tabs>
        <w:spacing w:before="40" w:beforeAutospacing="0" w:after="0" w:afterAutospacing="0"/>
      </w:pPr>
      <w:r>
        <w:t>3</w:t>
      </w:r>
      <w:r w:rsidR="004615AC" w:rsidRPr="00A865AF">
        <w:t>0 calendar days to decide a request made by a claimant to reconsider a determination.</w:t>
      </w:r>
    </w:p>
    <w:p w14:paraId="32606F9C" w14:textId="2D654355" w:rsidR="004615AC" w:rsidRPr="0011651E" w:rsidRDefault="004615AC" w:rsidP="004615AC">
      <w:pPr>
        <w:spacing w:before="120" w:after="120" w:line="240" w:lineRule="auto"/>
        <w:rPr>
          <w:rFonts w:ascii="Times New Roman" w:hAnsi="Times New Roman"/>
          <w:sz w:val="24"/>
          <w:szCs w:val="24"/>
        </w:rPr>
      </w:pPr>
      <w:r w:rsidRPr="0011651E">
        <w:rPr>
          <w:rFonts w:ascii="Times New Roman" w:hAnsi="Times New Roman"/>
          <w:sz w:val="24"/>
          <w:szCs w:val="24"/>
        </w:rPr>
        <w:t>The Amendment Instrument also clarifies that the periods prescribed by this instrument for decision making in relation to section 14 determinations do not include certain specified periods during which a determining authority is seeking further information or material in relation to a claim. This includes where:</w:t>
      </w:r>
    </w:p>
    <w:p w14:paraId="38A679CE" w14:textId="77777777" w:rsidR="004615AC" w:rsidRPr="0011651E" w:rsidRDefault="004615AC" w:rsidP="004615AC">
      <w:pPr>
        <w:pStyle w:val="paragraph"/>
        <w:numPr>
          <w:ilvl w:val="0"/>
          <w:numId w:val="5"/>
        </w:numPr>
        <w:tabs>
          <w:tab w:val="right" w:pos="0"/>
        </w:tabs>
        <w:spacing w:before="40" w:beforeAutospacing="0" w:after="0" w:afterAutospacing="0"/>
      </w:pPr>
      <w:r w:rsidRPr="0011651E">
        <w:t xml:space="preserve">a determining authority requires a claimant to undergo an examination by a nominated legally qualified medical practitioner pursuant to section 57 of the SRC </w:t>
      </w:r>
      <w:proofErr w:type="gramStart"/>
      <w:r w:rsidRPr="0011651E">
        <w:t>Act;</w:t>
      </w:r>
      <w:proofErr w:type="gramEnd"/>
    </w:p>
    <w:p w14:paraId="659BAE46" w14:textId="77777777" w:rsidR="004615AC" w:rsidRPr="0011651E" w:rsidRDefault="004615AC" w:rsidP="004615AC">
      <w:pPr>
        <w:pStyle w:val="paragraph"/>
        <w:numPr>
          <w:ilvl w:val="0"/>
          <w:numId w:val="5"/>
        </w:numPr>
        <w:tabs>
          <w:tab w:val="right" w:pos="0"/>
        </w:tabs>
        <w:spacing w:before="40" w:beforeAutospacing="0" w:after="0" w:afterAutospacing="0"/>
      </w:pPr>
      <w:r w:rsidRPr="0011651E">
        <w:t xml:space="preserve">a determining authority has requested the claimant provide further information or documentation under section 58 of the SRC </w:t>
      </w:r>
      <w:proofErr w:type="gramStart"/>
      <w:r w:rsidRPr="0011651E">
        <w:t>Act;</w:t>
      </w:r>
      <w:proofErr w:type="gramEnd"/>
    </w:p>
    <w:p w14:paraId="2079967D" w14:textId="77777777" w:rsidR="004615AC" w:rsidRPr="0011651E" w:rsidRDefault="004615AC" w:rsidP="004615AC">
      <w:pPr>
        <w:pStyle w:val="paragraph"/>
        <w:numPr>
          <w:ilvl w:val="0"/>
          <w:numId w:val="5"/>
        </w:numPr>
        <w:tabs>
          <w:tab w:val="right" w:pos="0"/>
        </w:tabs>
        <w:spacing w:before="40" w:beforeAutospacing="0" w:after="0" w:afterAutospacing="0"/>
      </w:pPr>
      <w:r w:rsidRPr="0011651E">
        <w:t xml:space="preserve">a determining authority requires an employer to provide information or documentation under section 71 of the SRC </w:t>
      </w:r>
      <w:proofErr w:type="gramStart"/>
      <w:r w:rsidRPr="0011651E">
        <w:t>Act;</w:t>
      </w:r>
      <w:proofErr w:type="gramEnd"/>
    </w:p>
    <w:p w14:paraId="738EF1D4" w14:textId="77777777" w:rsidR="004615AC" w:rsidRPr="0011651E" w:rsidRDefault="004615AC" w:rsidP="004615AC">
      <w:pPr>
        <w:pStyle w:val="paragraph"/>
        <w:numPr>
          <w:ilvl w:val="0"/>
          <w:numId w:val="5"/>
        </w:numPr>
        <w:tabs>
          <w:tab w:val="right" w:pos="0"/>
        </w:tabs>
        <w:spacing w:before="40" w:beforeAutospacing="0" w:after="0" w:afterAutospacing="0"/>
      </w:pPr>
      <w:r w:rsidRPr="0011651E">
        <w:t>a claimant has advised that they will be providing further evidence; and</w:t>
      </w:r>
    </w:p>
    <w:p w14:paraId="4DE0499A" w14:textId="77777777" w:rsidR="004615AC" w:rsidRPr="0011651E" w:rsidRDefault="004615AC" w:rsidP="004615AC">
      <w:pPr>
        <w:pStyle w:val="paragraph"/>
        <w:numPr>
          <w:ilvl w:val="0"/>
          <w:numId w:val="5"/>
        </w:numPr>
        <w:tabs>
          <w:tab w:val="right" w:pos="0"/>
        </w:tabs>
        <w:spacing w:before="40" w:beforeAutospacing="0" w:after="0" w:afterAutospacing="0"/>
      </w:pPr>
      <w:r w:rsidRPr="0011651E">
        <w:t>a determining authority considers it reasonable and necessary to obtain further medical evidence.</w:t>
      </w:r>
    </w:p>
    <w:p w14:paraId="30746EE4" w14:textId="1257EA49" w:rsidR="004615AC" w:rsidRDefault="004615AC" w:rsidP="004615AC">
      <w:pPr>
        <w:spacing w:before="120" w:after="120" w:line="240" w:lineRule="auto"/>
        <w:rPr>
          <w:rFonts w:ascii="Times New Roman" w:hAnsi="Times New Roman"/>
          <w:sz w:val="24"/>
          <w:szCs w:val="24"/>
        </w:rPr>
      </w:pPr>
      <w:r w:rsidRPr="008C7C60">
        <w:rPr>
          <w:rFonts w:ascii="Times New Roman" w:hAnsi="Times New Roman"/>
          <w:sz w:val="24"/>
          <w:szCs w:val="24"/>
        </w:rPr>
        <w:t>The Amendm</w:t>
      </w:r>
      <w:r w:rsidRPr="008C7C60">
        <w:rPr>
          <w:rFonts w:ascii="Times New Roman" w:eastAsia="Times New Roman" w:hAnsi="Times New Roman"/>
          <w:sz w:val="24"/>
          <w:szCs w:val="24"/>
          <w:lang w:eastAsia="en-AU"/>
        </w:rPr>
        <w:t xml:space="preserve">ent Instrument commences </w:t>
      </w:r>
      <w:r w:rsidR="009A259B">
        <w:rPr>
          <w:rFonts w:ascii="Times New Roman" w:eastAsia="Times New Roman" w:hAnsi="Times New Roman"/>
          <w:sz w:val="24"/>
          <w:szCs w:val="24"/>
          <w:lang w:eastAsia="en-AU"/>
        </w:rPr>
        <w:t>on 1 April 2024</w:t>
      </w:r>
      <w:r w:rsidRPr="008C7C60">
        <w:rPr>
          <w:rFonts w:ascii="Times New Roman" w:hAnsi="Times New Roman"/>
          <w:sz w:val="24"/>
          <w:szCs w:val="24"/>
        </w:rPr>
        <w:t xml:space="preserve"> and will apply to </w:t>
      </w:r>
      <w:r>
        <w:rPr>
          <w:rFonts w:ascii="Times New Roman" w:hAnsi="Times New Roman"/>
          <w:sz w:val="24"/>
          <w:szCs w:val="24"/>
        </w:rPr>
        <w:t>claims for compensation made under section 14 of the SRC Act, and requests for reconsiderations made under either section 38 or 62 on or after the commencement of the Amendment Instrument.</w:t>
      </w:r>
    </w:p>
    <w:p w14:paraId="040BAC98" w14:textId="77777777" w:rsidR="004615AC" w:rsidRDefault="004615AC" w:rsidP="000E60B1">
      <w:pPr>
        <w:shd w:val="clear" w:color="auto" w:fill="FFFFFF"/>
        <w:spacing w:before="120" w:after="120" w:line="240" w:lineRule="auto"/>
        <w:rPr>
          <w:rFonts w:ascii="Times New Roman" w:hAnsi="Times New Roman"/>
          <w:b/>
        </w:rPr>
      </w:pPr>
    </w:p>
    <w:p w14:paraId="0740ACD4" w14:textId="1179ADC2" w:rsidR="000E60B1" w:rsidRPr="0000379F" w:rsidRDefault="000E60B1" w:rsidP="000E60B1">
      <w:pPr>
        <w:shd w:val="clear" w:color="auto" w:fill="FFFFFF"/>
        <w:spacing w:before="120" w:after="120" w:line="240" w:lineRule="auto"/>
        <w:rPr>
          <w:rFonts w:ascii="Times New Roman" w:hAnsi="Times New Roman"/>
          <w:b/>
          <w:sz w:val="24"/>
          <w:szCs w:val="24"/>
        </w:rPr>
      </w:pPr>
      <w:r w:rsidRPr="0000379F">
        <w:rPr>
          <w:rFonts w:ascii="Times New Roman" w:hAnsi="Times New Roman"/>
          <w:b/>
          <w:sz w:val="24"/>
          <w:szCs w:val="24"/>
        </w:rPr>
        <w:t>Human rights implications</w:t>
      </w:r>
    </w:p>
    <w:p w14:paraId="0092DCA0" w14:textId="03C247BC" w:rsidR="00873102" w:rsidRPr="003F30D8" w:rsidRDefault="00873102" w:rsidP="00873102">
      <w:pPr>
        <w:shd w:val="clear" w:color="auto" w:fill="FFFFFF"/>
        <w:spacing w:before="120" w:after="120" w:line="240" w:lineRule="auto"/>
        <w:rPr>
          <w:rFonts w:ascii="Times New Roman" w:hAnsi="Times New Roman"/>
          <w:sz w:val="24"/>
          <w:szCs w:val="24"/>
        </w:rPr>
      </w:pPr>
      <w:r w:rsidRPr="003F30D8">
        <w:rPr>
          <w:rFonts w:ascii="Times New Roman" w:hAnsi="Times New Roman"/>
          <w:sz w:val="24"/>
          <w:szCs w:val="24"/>
        </w:rPr>
        <w:t xml:space="preserve">Article 7 of the </w:t>
      </w:r>
      <w:r w:rsidRPr="003F30D8">
        <w:rPr>
          <w:rFonts w:ascii="Times New Roman" w:hAnsi="Times New Roman"/>
          <w:i/>
          <w:iCs/>
          <w:sz w:val="24"/>
          <w:szCs w:val="24"/>
        </w:rPr>
        <w:t>International Covenant on Economic, Social and Cultural Rights</w:t>
      </w:r>
      <w:r w:rsidRPr="003F30D8">
        <w:rPr>
          <w:rFonts w:ascii="Times New Roman" w:hAnsi="Times New Roman"/>
          <w:sz w:val="24"/>
          <w:szCs w:val="24"/>
        </w:rPr>
        <w:t xml:space="preserve"> (ICESCR) provides for the right of everyone to the enjoyment of just and favourable conditions of work.  Article 11 of the ICESCR provides for the right of everyone to an adequate standard of living.  Article 9 of the ICESCR provides for the right of everyone to social security, including social insurance. General Comment 19 by the Committee on Economic, Social and Cultural Rights sets out the essential elements of the right to social security, including that ‘States parties should … ensure the protection of workers who are injured in the course of employment or other productive work’.</w:t>
      </w:r>
      <w:r w:rsidRPr="003F30D8">
        <w:rPr>
          <w:rFonts w:ascii="Times New Roman" w:hAnsi="Times New Roman"/>
          <w:sz w:val="24"/>
          <w:szCs w:val="24"/>
        </w:rPr>
        <w:footnoteReference w:customMarkFollows="1" w:id="2"/>
        <w:t>[1]</w:t>
      </w:r>
    </w:p>
    <w:p w14:paraId="6CA5FD34" w14:textId="0160F0EE" w:rsidR="00873102" w:rsidRPr="003F30D8" w:rsidRDefault="00873102" w:rsidP="00873102">
      <w:pPr>
        <w:shd w:val="clear" w:color="auto" w:fill="FFFFFF"/>
        <w:spacing w:before="120" w:after="120" w:line="240" w:lineRule="auto"/>
        <w:rPr>
          <w:rFonts w:ascii="Times New Roman" w:hAnsi="Times New Roman"/>
          <w:sz w:val="24"/>
          <w:szCs w:val="24"/>
        </w:rPr>
      </w:pPr>
      <w:r w:rsidRPr="003F30D8">
        <w:rPr>
          <w:rFonts w:ascii="Times New Roman" w:hAnsi="Times New Roman"/>
          <w:sz w:val="24"/>
          <w:szCs w:val="24"/>
        </w:rPr>
        <w:t>Workers’ compensation legislation ensures the protection of injured workers by way of compensation payments, payment of medical expenses, permanent impairment benefits and other benefits, such as access to rehabilitation support.  By doing so, it also supports the rights to just and favourable working conditions and to an adequate standard of living.</w:t>
      </w:r>
    </w:p>
    <w:p w14:paraId="1422BC8C" w14:textId="536A4790" w:rsidR="003F30D8" w:rsidRPr="00474DCB" w:rsidRDefault="00873102" w:rsidP="000E60B1">
      <w:pPr>
        <w:shd w:val="clear" w:color="auto" w:fill="FFFFFF"/>
        <w:spacing w:before="120" w:after="120" w:line="240" w:lineRule="auto"/>
        <w:rPr>
          <w:rFonts w:ascii="Times New Roman" w:hAnsi="Times New Roman"/>
          <w:sz w:val="24"/>
          <w:szCs w:val="24"/>
        </w:rPr>
      </w:pPr>
      <w:r w:rsidRPr="003F30D8">
        <w:rPr>
          <w:rFonts w:ascii="Times New Roman" w:hAnsi="Times New Roman"/>
          <w:sz w:val="24"/>
          <w:szCs w:val="24"/>
        </w:rPr>
        <w:t xml:space="preserve">The Amendment Instrument engages, but does not limit, human rights. Its effect is to ensure that determining authorities consider claims for workers’ compensation the SRC Act in a timely manner. </w:t>
      </w:r>
      <w:r w:rsidR="003F30D8">
        <w:rPr>
          <w:rFonts w:ascii="Times New Roman" w:hAnsi="Times New Roman"/>
          <w:sz w:val="24"/>
          <w:szCs w:val="24"/>
        </w:rPr>
        <w:t xml:space="preserve">It does this by prescribing time periods for decision making in relation to both initial claims for compensation made under section 14 of the SRC Act, and requests for reconsideration of determinations made by claimants. </w:t>
      </w:r>
      <w:r w:rsidRPr="003F30D8">
        <w:rPr>
          <w:rFonts w:ascii="Times New Roman" w:hAnsi="Times New Roman"/>
          <w:sz w:val="24"/>
          <w:szCs w:val="24"/>
        </w:rPr>
        <w:t>Accordingly, the instrument enhances the right to just and favourable working conditions and to an adequate standard of living, by ensuring that liability is determined, and compensation paid in a timely manner.</w:t>
      </w:r>
      <w:r>
        <w:rPr>
          <w:rFonts w:ascii="Times New Roman" w:hAnsi="Times New Roman"/>
          <w:sz w:val="24"/>
          <w:szCs w:val="24"/>
        </w:rPr>
        <w:t xml:space="preserve"> </w:t>
      </w:r>
    </w:p>
    <w:p w14:paraId="0740ACD8" w14:textId="77777777" w:rsidR="000E60B1" w:rsidRPr="00602268" w:rsidRDefault="000E60B1" w:rsidP="00CB4ABF">
      <w:pPr>
        <w:keepNext/>
        <w:shd w:val="clear" w:color="auto" w:fill="FFFFFF"/>
        <w:spacing w:before="120" w:after="120" w:line="240" w:lineRule="auto"/>
        <w:rPr>
          <w:rFonts w:ascii="Times New Roman" w:hAnsi="Times New Roman"/>
          <w:b/>
          <w:sz w:val="24"/>
          <w:szCs w:val="24"/>
        </w:rPr>
      </w:pPr>
      <w:r w:rsidRPr="00602268">
        <w:rPr>
          <w:rFonts w:ascii="Times New Roman" w:hAnsi="Times New Roman"/>
          <w:b/>
          <w:sz w:val="24"/>
          <w:szCs w:val="24"/>
        </w:rPr>
        <w:lastRenderedPageBreak/>
        <w:t>Conclusion</w:t>
      </w:r>
    </w:p>
    <w:p w14:paraId="0740ACD9" w14:textId="3AA37C7C" w:rsidR="000E60B1" w:rsidRPr="00602268" w:rsidRDefault="000E60B1" w:rsidP="00CB4ABF">
      <w:pPr>
        <w:keepNext/>
        <w:spacing w:before="120" w:after="120" w:line="240" w:lineRule="auto"/>
        <w:rPr>
          <w:rFonts w:ascii="Times New Roman" w:hAnsi="Times New Roman"/>
          <w:sz w:val="24"/>
          <w:szCs w:val="24"/>
        </w:rPr>
      </w:pPr>
      <w:r w:rsidRPr="00602268">
        <w:rPr>
          <w:rFonts w:ascii="Times New Roman" w:hAnsi="Times New Roman"/>
          <w:sz w:val="24"/>
          <w:szCs w:val="24"/>
        </w:rPr>
        <w:t xml:space="preserve">The legislative instrument is compatible with human rights </w:t>
      </w:r>
      <w:r w:rsidR="00EC4DC3" w:rsidRPr="00602268">
        <w:rPr>
          <w:rFonts w:ascii="Times New Roman" w:hAnsi="Times New Roman"/>
          <w:sz w:val="24"/>
          <w:szCs w:val="24"/>
        </w:rPr>
        <w:t xml:space="preserve">because it promotes </w:t>
      </w:r>
      <w:r w:rsidR="00F55E32" w:rsidRPr="00602268">
        <w:rPr>
          <w:rFonts w:ascii="Times New Roman" w:hAnsi="Times New Roman"/>
          <w:sz w:val="24"/>
          <w:szCs w:val="24"/>
        </w:rPr>
        <w:t xml:space="preserve">the right to social security, by way of </w:t>
      </w:r>
      <w:r w:rsidR="001707E3">
        <w:rPr>
          <w:rFonts w:ascii="Times New Roman" w:hAnsi="Times New Roman"/>
          <w:sz w:val="24"/>
          <w:szCs w:val="24"/>
        </w:rPr>
        <w:t xml:space="preserve">assisting access to </w:t>
      </w:r>
      <w:r w:rsidR="00F55E32" w:rsidRPr="00602268">
        <w:rPr>
          <w:rFonts w:ascii="Times New Roman" w:hAnsi="Times New Roman"/>
          <w:sz w:val="24"/>
          <w:szCs w:val="24"/>
        </w:rPr>
        <w:t xml:space="preserve">workers’ compensation. </w:t>
      </w:r>
    </w:p>
    <w:p w14:paraId="0740ACDA" w14:textId="77777777" w:rsidR="000E60B1" w:rsidRPr="00602268" w:rsidRDefault="000E60B1" w:rsidP="000E60B1">
      <w:pPr>
        <w:spacing w:before="120" w:after="120" w:line="240" w:lineRule="auto"/>
        <w:jc w:val="center"/>
        <w:rPr>
          <w:rFonts w:ascii="Times New Roman" w:hAnsi="Times New Roman"/>
          <w:b/>
          <w:sz w:val="24"/>
          <w:szCs w:val="24"/>
        </w:rPr>
      </w:pPr>
    </w:p>
    <w:p w14:paraId="0740ACDB" w14:textId="1491217A" w:rsidR="000E60B1" w:rsidRPr="00602268" w:rsidRDefault="001F148F" w:rsidP="000E60B1">
      <w:pPr>
        <w:spacing w:before="120" w:after="120" w:line="240" w:lineRule="auto"/>
        <w:jc w:val="center"/>
        <w:rPr>
          <w:rFonts w:ascii="Times New Roman" w:hAnsi="Times New Roman"/>
          <w:b/>
          <w:sz w:val="24"/>
          <w:szCs w:val="24"/>
        </w:rPr>
      </w:pPr>
      <w:r w:rsidRPr="00602268">
        <w:rPr>
          <w:rFonts w:ascii="Times New Roman" w:hAnsi="Times New Roman"/>
          <w:b/>
          <w:sz w:val="24"/>
          <w:szCs w:val="24"/>
        </w:rPr>
        <w:t>The Hon Tony Burke MP</w:t>
      </w:r>
      <w:r w:rsidR="000E60B1" w:rsidRPr="00602268">
        <w:rPr>
          <w:rFonts w:ascii="Times New Roman" w:hAnsi="Times New Roman"/>
          <w:b/>
          <w:sz w:val="24"/>
          <w:szCs w:val="24"/>
        </w:rPr>
        <w:t xml:space="preserve"> </w:t>
      </w:r>
    </w:p>
    <w:p w14:paraId="0740ACDC" w14:textId="391730C0" w:rsidR="000E60B1" w:rsidRPr="00602268" w:rsidRDefault="000E60B1" w:rsidP="000E60B1">
      <w:pPr>
        <w:spacing w:before="120" w:after="120" w:line="240" w:lineRule="auto"/>
        <w:jc w:val="center"/>
        <w:rPr>
          <w:rFonts w:ascii="Times New Roman" w:hAnsi="Times New Roman"/>
          <w:sz w:val="24"/>
          <w:szCs w:val="24"/>
          <w:lang w:val="en"/>
        </w:rPr>
      </w:pPr>
      <w:r w:rsidRPr="00602268">
        <w:rPr>
          <w:rFonts w:ascii="Times New Roman" w:eastAsia="Times New Roman" w:hAnsi="Times New Roman"/>
          <w:bCs/>
          <w:sz w:val="24"/>
          <w:szCs w:val="24"/>
          <w:lang w:eastAsia="en-AU"/>
        </w:rPr>
        <w:t xml:space="preserve">Minister </w:t>
      </w:r>
      <w:r w:rsidRPr="00602268">
        <w:rPr>
          <w:rFonts w:ascii="Times New Roman" w:hAnsi="Times New Roman"/>
          <w:sz w:val="24"/>
          <w:szCs w:val="24"/>
          <w:lang w:val="en"/>
        </w:rPr>
        <w:t xml:space="preserve">for </w:t>
      </w:r>
      <w:r w:rsidR="001F148F" w:rsidRPr="00602268">
        <w:rPr>
          <w:rFonts w:ascii="Times New Roman" w:hAnsi="Times New Roman"/>
          <w:sz w:val="24"/>
          <w:szCs w:val="24"/>
          <w:lang w:val="en"/>
        </w:rPr>
        <w:t>Employment and Workplace</w:t>
      </w:r>
      <w:r w:rsidRPr="00602268">
        <w:rPr>
          <w:rFonts w:ascii="Times New Roman" w:hAnsi="Times New Roman"/>
          <w:sz w:val="24"/>
          <w:szCs w:val="24"/>
          <w:lang w:val="en"/>
        </w:rPr>
        <w:t xml:space="preserve"> Relations</w:t>
      </w:r>
    </w:p>
    <w:p w14:paraId="5588B69D" w14:textId="77777777" w:rsidR="000E60B1" w:rsidRDefault="000E60B1" w:rsidP="000E60B1">
      <w:pPr>
        <w:spacing w:before="120" w:after="120" w:line="240" w:lineRule="auto"/>
        <w:rPr>
          <w:rFonts w:ascii="Times New Roman" w:hAnsi="Times New Roman"/>
          <w:b/>
        </w:rPr>
      </w:pPr>
    </w:p>
    <w:p w14:paraId="0AACFC0C" w14:textId="50834050" w:rsidR="00474DCB" w:rsidRDefault="00474DCB">
      <w:pPr>
        <w:spacing w:after="160" w:line="259" w:lineRule="auto"/>
        <w:rPr>
          <w:rFonts w:ascii="Times New Roman" w:hAnsi="Times New Roman"/>
          <w:b/>
        </w:rPr>
      </w:pPr>
      <w:r>
        <w:rPr>
          <w:rFonts w:ascii="Times New Roman" w:hAnsi="Times New Roman"/>
          <w:b/>
        </w:rPr>
        <w:br w:type="page"/>
      </w:r>
    </w:p>
    <w:p w14:paraId="0740ACDE" w14:textId="77777777" w:rsidR="000E60B1" w:rsidRPr="003A2101" w:rsidRDefault="000E60B1" w:rsidP="000E60B1">
      <w:pPr>
        <w:spacing w:before="120" w:after="120" w:line="240" w:lineRule="auto"/>
        <w:jc w:val="right"/>
        <w:rPr>
          <w:rFonts w:ascii="Times New Roman" w:hAnsi="Times New Roman"/>
          <w:b/>
        </w:rPr>
      </w:pPr>
      <w:r w:rsidRPr="003A2101">
        <w:rPr>
          <w:rFonts w:ascii="Times New Roman" w:hAnsi="Times New Roman"/>
          <w:b/>
        </w:rPr>
        <w:lastRenderedPageBreak/>
        <w:t>Attachment A</w:t>
      </w:r>
    </w:p>
    <w:p w14:paraId="0740ACDF" w14:textId="77777777" w:rsidR="000E60B1" w:rsidRPr="00E95B09" w:rsidRDefault="000E60B1" w:rsidP="000E60B1">
      <w:pPr>
        <w:spacing w:before="120" w:after="120" w:line="240" w:lineRule="auto"/>
        <w:jc w:val="center"/>
        <w:rPr>
          <w:rFonts w:ascii="Times New Roman" w:hAnsi="Times New Roman"/>
          <w:b/>
        </w:rPr>
      </w:pPr>
      <w:r w:rsidRPr="00E95B09">
        <w:rPr>
          <w:rFonts w:ascii="Times New Roman" w:hAnsi="Times New Roman"/>
          <w:b/>
        </w:rPr>
        <w:t>NOTES ON SECTIONS</w:t>
      </w:r>
    </w:p>
    <w:p w14:paraId="78B53DDD" w14:textId="77777777" w:rsidR="00154449" w:rsidRPr="00E95B09" w:rsidRDefault="00154449" w:rsidP="00154449">
      <w:pPr>
        <w:shd w:val="clear" w:color="auto" w:fill="FFFFFF"/>
        <w:spacing w:before="120" w:after="120" w:line="240" w:lineRule="auto"/>
        <w:rPr>
          <w:rFonts w:ascii="Times New Roman" w:eastAsia="Times New Roman" w:hAnsi="Times New Roman"/>
          <w:b/>
          <w:bCs/>
          <w:lang w:eastAsia="en-AU"/>
        </w:rPr>
      </w:pPr>
      <w:r w:rsidRPr="00E95B09">
        <w:rPr>
          <w:rFonts w:ascii="Times New Roman" w:eastAsia="Times New Roman" w:hAnsi="Times New Roman"/>
          <w:b/>
          <w:bCs/>
          <w:lang w:eastAsia="en-AU"/>
        </w:rPr>
        <w:t>Section 1 – Name</w:t>
      </w:r>
    </w:p>
    <w:p w14:paraId="67ECF7B6" w14:textId="4DF5F4E1" w:rsidR="00154449" w:rsidRPr="00E95B09" w:rsidRDefault="00154449" w:rsidP="00154449">
      <w:pPr>
        <w:shd w:val="clear" w:color="auto" w:fill="FFFFFF"/>
        <w:spacing w:before="120" w:after="120" w:line="240" w:lineRule="auto"/>
        <w:rPr>
          <w:rFonts w:ascii="Times New Roman" w:eastAsia="Times New Roman" w:hAnsi="Times New Roman"/>
          <w:bCs/>
          <w:lang w:eastAsia="en-AU"/>
        </w:rPr>
      </w:pPr>
      <w:r w:rsidRPr="00E95B09">
        <w:rPr>
          <w:rFonts w:ascii="Times New Roman" w:eastAsia="Times New Roman" w:hAnsi="Times New Roman"/>
          <w:bCs/>
          <w:lang w:eastAsia="en-AU"/>
        </w:rPr>
        <w:t xml:space="preserve">Section 1 provides that the title of the instrument is the </w:t>
      </w:r>
      <w:r w:rsidRPr="00E95B09">
        <w:rPr>
          <w:rFonts w:ascii="Times New Roman" w:eastAsia="Times New Roman" w:hAnsi="Times New Roman"/>
          <w:i/>
          <w:iCs/>
          <w:lang w:eastAsia="en-AU"/>
        </w:rPr>
        <w:t>Safety, Rehabilitation and Compensation Amendment (P</w:t>
      </w:r>
      <w:r w:rsidR="00DE2A7B" w:rsidRPr="00E95B09">
        <w:rPr>
          <w:rFonts w:ascii="Times New Roman" w:eastAsia="Times New Roman" w:hAnsi="Times New Roman"/>
          <w:i/>
          <w:iCs/>
          <w:lang w:eastAsia="en-AU"/>
        </w:rPr>
        <w:t>eriod for Decision</w:t>
      </w:r>
      <w:r w:rsidR="00B67479">
        <w:rPr>
          <w:rFonts w:ascii="Times New Roman" w:eastAsia="Times New Roman" w:hAnsi="Times New Roman"/>
          <w:i/>
          <w:iCs/>
          <w:lang w:eastAsia="en-AU"/>
        </w:rPr>
        <w:t>-</w:t>
      </w:r>
      <w:r w:rsidR="00E95B09">
        <w:rPr>
          <w:rFonts w:ascii="Times New Roman" w:eastAsia="Times New Roman" w:hAnsi="Times New Roman"/>
          <w:i/>
          <w:iCs/>
          <w:lang w:eastAsia="en-AU"/>
        </w:rPr>
        <w:t>M</w:t>
      </w:r>
      <w:r w:rsidR="00DE2A7B" w:rsidRPr="00E95B09">
        <w:rPr>
          <w:rFonts w:ascii="Times New Roman" w:eastAsia="Times New Roman" w:hAnsi="Times New Roman"/>
          <w:i/>
          <w:iCs/>
          <w:lang w:eastAsia="en-AU"/>
        </w:rPr>
        <w:t>aking</w:t>
      </w:r>
      <w:r w:rsidRPr="00E95B09">
        <w:rPr>
          <w:rFonts w:ascii="Times New Roman" w:eastAsia="Times New Roman" w:hAnsi="Times New Roman"/>
          <w:i/>
          <w:iCs/>
          <w:lang w:eastAsia="en-AU"/>
        </w:rPr>
        <w:t>) Regulations 202</w:t>
      </w:r>
      <w:r w:rsidR="00DE2A7B" w:rsidRPr="00E95B09">
        <w:rPr>
          <w:rFonts w:ascii="Times New Roman" w:eastAsia="Times New Roman" w:hAnsi="Times New Roman"/>
          <w:i/>
          <w:iCs/>
          <w:lang w:eastAsia="en-AU"/>
        </w:rPr>
        <w:t>3</w:t>
      </w:r>
      <w:r w:rsidRPr="00E95B09">
        <w:rPr>
          <w:rFonts w:ascii="Times New Roman" w:eastAsia="Times New Roman" w:hAnsi="Times New Roman"/>
          <w:lang w:eastAsia="en-AU"/>
        </w:rPr>
        <w:t>.</w:t>
      </w:r>
    </w:p>
    <w:p w14:paraId="08E7E992" w14:textId="77777777" w:rsidR="00154449" w:rsidRPr="00E95B09" w:rsidRDefault="00154449" w:rsidP="00154449">
      <w:pPr>
        <w:shd w:val="clear" w:color="auto" w:fill="FFFFFF"/>
        <w:spacing w:before="120" w:after="120" w:line="240" w:lineRule="auto"/>
        <w:rPr>
          <w:rFonts w:ascii="Times New Roman" w:eastAsia="Times New Roman" w:hAnsi="Times New Roman"/>
          <w:b/>
          <w:bCs/>
          <w:lang w:eastAsia="en-AU"/>
        </w:rPr>
      </w:pPr>
      <w:r w:rsidRPr="00E95B09">
        <w:rPr>
          <w:rFonts w:ascii="Times New Roman" w:eastAsia="Times New Roman" w:hAnsi="Times New Roman"/>
          <w:b/>
          <w:bCs/>
          <w:lang w:eastAsia="en-AU"/>
        </w:rPr>
        <w:t xml:space="preserve">Section 2 – Commencement </w:t>
      </w:r>
    </w:p>
    <w:p w14:paraId="25F400EB" w14:textId="21A2E26F" w:rsidR="00154449" w:rsidRPr="00E95B09" w:rsidRDefault="00154449" w:rsidP="00154449">
      <w:pPr>
        <w:spacing w:before="120" w:after="120" w:line="240" w:lineRule="auto"/>
        <w:rPr>
          <w:rFonts w:ascii="Times New Roman" w:eastAsia="Times New Roman" w:hAnsi="Times New Roman"/>
          <w:bCs/>
          <w:lang w:eastAsia="en-AU"/>
        </w:rPr>
      </w:pPr>
      <w:r w:rsidRPr="00E95B09">
        <w:rPr>
          <w:rFonts w:ascii="Times New Roman" w:eastAsia="Times New Roman" w:hAnsi="Times New Roman"/>
          <w:bCs/>
          <w:lang w:eastAsia="en-AU"/>
        </w:rPr>
        <w:t xml:space="preserve">Section 2 provides that the instrument is </w:t>
      </w:r>
      <w:r w:rsidRPr="00E95B09">
        <w:rPr>
          <w:rFonts w:ascii="Times New Roman" w:hAnsi="Times New Roman"/>
          <w:color w:val="000000"/>
          <w:shd w:val="clear" w:color="auto" w:fill="FFFFFF"/>
        </w:rPr>
        <w:t xml:space="preserve">to commence on </w:t>
      </w:r>
      <w:r w:rsidR="009A259B">
        <w:rPr>
          <w:rFonts w:ascii="Times New Roman" w:hAnsi="Times New Roman"/>
          <w:color w:val="000000"/>
          <w:shd w:val="clear" w:color="auto" w:fill="FFFFFF"/>
        </w:rPr>
        <w:t>1 April 2024</w:t>
      </w:r>
      <w:r w:rsidR="00DE2A7B" w:rsidRPr="00E95B09">
        <w:rPr>
          <w:rFonts w:ascii="Times New Roman" w:hAnsi="Times New Roman"/>
          <w:color w:val="000000"/>
          <w:shd w:val="clear" w:color="auto" w:fill="FFFFFF"/>
        </w:rPr>
        <w:t xml:space="preserve">. </w:t>
      </w:r>
    </w:p>
    <w:p w14:paraId="1CD401ED" w14:textId="77777777" w:rsidR="00154449" w:rsidRPr="00E95B09" w:rsidRDefault="00154449" w:rsidP="00154449">
      <w:pPr>
        <w:shd w:val="clear" w:color="auto" w:fill="FFFFFF"/>
        <w:spacing w:before="120" w:after="120" w:line="240" w:lineRule="auto"/>
        <w:rPr>
          <w:rFonts w:ascii="Times New Roman" w:eastAsia="Times New Roman" w:hAnsi="Times New Roman"/>
          <w:b/>
          <w:bCs/>
          <w:lang w:eastAsia="en-AU"/>
        </w:rPr>
      </w:pPr>
      <w:r w:rsidRPr="00E95B09">
        <w:rPr>
          <w:rFonts w:ascii="Times New Roman" w:eastAsia="Times New Roman" w:hAnsi="Times New Roman"/>
          <w:b/>
          <w:bCs/>
          <w:lang w:eastAsia="en-AU"/>
        </w:rPr>
        <w:t>Section 3 – Authority</w:t>
      </w:r>
    </w:p>
    <w:p w14:paraId="0E388C95" w14:textId="425AB2D8" w:rsidR="00154449" w:rsidRPr="00E95B09" w:rsidRDefault="00154449" w:rsidP="00154449">
      <w:pPr>
        <w:shd w:val="clear" w:color="auto" w:fill="FFFFFF"/>
        <w:spacing w:before="120" w:after="120" w:line="240" w:lineRule="auto"/>
        <w:rPr>
          <w:rFonts w:ascii="Times New Roman" w:eastAsia="Times New Roman" w:hAnsi="Times New Roman"/>
          <w:lang w:eastAsia="en-AU"/>
        </w:rPr>
      </w:pPr>
      <w:r w:rsidRPr="00E95B09">
        <w:rPr>
          <w:rFonts w:ascii="Times New Roman" w:eastAsia="Times New Roman" w:hAnsi="Times New Roman"/>
          <w:lang w:eastAsia="en-AU"/>
        </w:rPr>
        <w:t xml:space="preserve">Section 3 provides that the </w:t>
      </w:r>
      <w:r w:rsidRPr="00E95B09">
        <w:rPr>
          <w:rFonts w:ascii="Times New Roman" w:hAnsi="Times New Roman"/>
        </w:rPr>
        <w:t xml:space="preserve">instrument is made under the </w:t>
      </w:r>
      <w:r w:rsidRPr="00E95B09">
        <w:rPr>
          <w:rFonts w:ascii="Times New Roman" w:hAnsi="Times New Roman"/>
          <w:i/>
        </w:rPr>
        <w:t>Safety, Rehabilitation and Compensation Act 1988</w:t>
      </w:r>
      <w:r w:rsidRPr="00E95B09">
        <w:rPr>
          <w:rFonts w:ascii="Times New Roman" w:hAnsi="Times New Roman"/>
        </w:rPr>
        <w:t>.</w:t>
      </w:r>
    </w:p>
    <w:p w14:paraId="2A75D84B" w14:textId="77777777" w:rsidR="00154449" w:rsidRPr="00E95B09" w:rsidRDefault="00154449" w:rsidP="00154449">
      <w:pPr>
        <w:shd w:val="clear" w:color="auto" w:fill="FFFFFF"/>
        <w:spacing w:before="120" w:after="120" w:line="240" w:lineRule="auto"/>
        <w:rPr>
          <w:rFonts w:ascii="Times New Roman" w:eastAsia="Times New Roman" w:hAnsi="Times New Roman"/>
          <w:b/>
          <w:bCs/>
          <w:lang w:eastAsia="en-AU"/>
        </w:rPr>
      </w:pPr>
      <w:r w:rsidRPr="00E95B09">
        <w:rPr>
          <w:rFonts w:ascii="Times New Roman" w:eastAsia="Times New Roman" w:hAnsi="Times New Roman"/>
          <w:b/>
          <w:bCs/>
          <w:lang w:eastAsia="en-AU"/>
        </w:rPr>
        <w:t>Section 4 – Schedules</w:t>
      </w:r>
    </w:p>
    <w:p w14:paraId="1576FF2B" w14:textId="5320D116" w:rsidR="00154449" w:rsidRPr="00E95B09" w:rsidRDefault="00154449" w:rsidP="00166D9D">
      <w:pPr>
        <w:shd w:val="clear" w:color="auto" w:fill="FFFFFF"/>
        <w:spacing w:before="120" w:after="120" w:line="240" w:lineRule="auto"/>
        <w:rPr>
          <w:rFonts w:ascii="Times New Roman" w:eastAsia="Times New Roman" w:hAnsi="Times New Roman"/>
          <w:lang w:eastAsia="en-AU"/>
        </w:rPr>
      </w:pPr>
      <w:r w:rsidRPr="00E95B09">
        <w:rPr>
          <w:rFonts w:ascii="Times New Roman" w:eastAsia="Times New Roman" w:hAnsi="Times New Roman"/>
          <w:lang w:eastAsia="en-AU"/>
        </w:rPr>
        <w:t xml:space="preserve">Section 4 provides that each </w:t>
      </w:r>
      <w:r w:rsidRPr="00E95B09">
        <w:rPr>
          <w:rFonts w:ascii="Times New Roman" w:hAnsi="Times New Roman"/>
        </w:rPr>
        <w:t>instrument that is specified in a Schedule to this instrument is amended or repealed as set out in the applicable items in the Schedule concerned, and any other item in a Schedule to this instrument has effect according to its terms</w:t>
      </w:r>
      <w:r w:rsidR="00DE2A7B" w:rsidRPr="00E95B09">
        <w:rPr>
          <w:rFonts w:ascii="Times New Roman" w:hAnsi="Times New Roman"/>
        </w:rPr>
        <w:t xml:space="preserve">. </w:t>
      </w:r>
    </w:p>
    <w:p w14:paraId="19277487" w14:textId="6E9E5434" w:rsidR="00154449" w:rsidRPr="00C41519" w:rsidRDefault="00154449" w:rsidP="00154449">
      <w:pPr>
        <w:spacing w:before="120" w:after="120" w:line="240" w:lineRule="auto"/>
        <w:rPr>
          <w:rFonts w:ascii="Times New Roman" w:hAnsi="Times New Roman"/>
          <w:b/>
          <w:bCs/>
        </w:rPr>
      </w:pPr>
      <w:r w:rsidRPr="00C41519">
        <w:rPr>
          <w:rFonts w:ascii="Times New Roman" w:hAnsi="Times New Roman"/>
          <w:b/>
        </w:rPr>
        <w:t xml:space="preserve">Schedule 1 – </w:t>
      </w:r>
      <w:r w:rsidRPr="00C41519">
        <w:rPr>
          <w:rFonts w:ascii="Times New Roman" w:hAnsi="Times New Roman"/>
          <w:b/>
          <w:bCs/>
        </w:rPr>
        <w:t>Amendments</w:t>
      </w:r>
    </w:p>
    <w:p w14:paraId="19AE1422" w14:textId="24441746" w:rsidR="00154449" w:rsidRPr="00C41519" w:rsidRDefault="00154449" w:rsidP="00154449">
      <w:pPr>
        <w:spacing w:before="120" w:after="120" w:line="240" w:lineRule="auto"/>
        <w:rPr>
          <w:rFonts w:ascii="Times New Roman" w:hAnsi="Times New Roman"/>
          <w:b/>
          <w:bCs/>
        </w:rPr>
      </w:pPr>
      <w:r w:rsidRPr="00C41519">
        <w:rPr>
          <w:rFonts w:ascii="Times New Roman" w:hAnsi="Times New Roman"/>
          <w:b/>
          <w:bCs/>
        </w:rPr>
        <w:t xml:space="preserve">Item 1 – Prescribed </w:t>
      </w:r>
      <w:r w:rsidR="00B67479">
        <w:rPr>
          <w:rFonts w:ascii="Times New Roman" w:hAnsi="Times New Roman"/>
          <w:b/>
          <w:bCs/>
        </w:rPr>
        <w:t xml:space="preserve">periods for decision-making </w:t>
      </w:r>
    </w:p>
    <w:p w14:paraId="7AFDD50F" w14:textId="0B7F1157" w:rsidR="00DE2A7B" w:rsidRPr="00C41519" w:rsidRDefault="00154449" w:rsidP="00154449">
      <w:pPr>
        <w:spacing w:before="120" w:after="120" w:line="240" w:lineRule="auto"/>
        <w:rPr>
          <w:rFonts w:ascii="Times New Roman" w:hAnsi="Times New Roman"/>
        </w:rPr>
      </w:pPr>
      <w:r w:rsidRPr="00C41519">
        <w:rPr>
          <w:rFonts w:ascii="Times New Roman" w:hAnsi="Times New Roman"/>
          <w:bCs/>
        </w:rPr>
        <w:t xml:space="preserve">Item 1 amends Part 2 of the </w:t>
      </w:r>
      <w:r w:rsidRPr="00C41519">
        <w:rPr>
          <w:rFonts w:ascii="Times New Roman" w:eastAsia="Times New Roman" w:hAnsi="Times New Roman"/>
          <w:bCs/>
          <w:i/>
          <w:iCs/>
          <w:lang w:eastAsia="en-AU"/>
        </w:rPr>
        <w:t xml:space="preserve">Safety, Rehabilitation and Compensation Regulations 2019 </w:t>
      </w:r>
      <w:r w:rsidRPr="00C41519">
        <w:rPr>
          <w:rFonts w:ascii="Times New Roman" w:hAnsi="Times New Roman"/>
          <w:bCs/>
        </w:rPr>
        <w:t xml:space="preserve">to insert a new section </w:t>
      </w:r>
      <w:r w:rsidR="00DE2A7B" w:rsidRPr="00C41519">
        <w:rPr>
          <w:rFonts w:ascii="Times New Roman" w:hAnsi="Times New Roman"/>
          <w:bCs/>
        </w:rPr>
        <w:t>11A</w:t>
      </w:r>
      <w:r w:rsidRPr="00C41519">
        <w:rPr>
          <w:rFonts w:ascii="Times New Roman" w:hAnsi="Times New Roman"/>
          <w:bCs/>
        </w:rPr>
        <w:t xml:space="preserve">. Section </w:t>
      </w:r>
      <w:r w:rsidR="00DE2A7B" w:rsidRPr="00C41519">
        <w:rPr>
          <w:rFonts w:ascii="Times New Roman" w:hAnsi="Times New Roman"/>
          <w:bCs/>
        </w:rPr>
        <w:t>11A</w:t>
      </w:r>
      <w:r w:rsidR="00FF47B7" w:rsidRPr="00C41519">
        <w:rPr>
          <w:rFonts w:ascii="Times New Roman" w:hAnsi="Times New Roman"/>
          <w:bCs/>
        </w:rPr>
        <w:t>(1)</w:t>
      </w:r>
      <w:r w:rsidR="00DE2A7B" w:rsidRPr="00C41519">
        <w:rPr>
          <w:rFonts w:ascii="Times New Roman" w:hAnsi="Times New Roman"/>
          <w:bCs/>
        </w:rPr>
        <w:t xml:space="preserve"> </w:t>
      </w:r>
      <w:r w:rsidRPr="00C41519">
        <w:rPr>
          <w:rFonts w:ascii="Times New Roman" w:hAnsi="Times New Roman"/>
          <w:bCs/>
        </w:rPr>
        <w:t xml:space="preserve">provides </w:t>
      </w:r>
      <w:r w:rsidRPr="00C41519">
        <w:rPr>
          <w:rFonts w:ascii="Times New Roman" w:hAnsi="Times New Roman"/>
        </w:rPr>
        <w:t xml:space="preserve">that, </w:t>
      </w:r>
      <w:r w:rsidR="00DE2A7B" w:rsidRPr="00C41519">
        <w:rPr>
          <w:rFonts w:ascii="Times New Roman" w:hAnsi="Times New Roman"/>
        </w:rPr>
        <w:t>for the purposes of subsection 61(1A) of the Act</w:t>
      </w:r>
      <w:r w:rsidR="00FF47B7" w:rsidRPr="00C41519">
        <w:rPr>
          <w:rFonts w:ascii="Times New Roman" w:hAnsi="Times New Roman"/>
        </w:rPr>
        <w:t xml:space="preserve">, the periods for decision-making for a claim for compensation under section 14, are prescribed. </w:t>
      </w:r>
    </w:p>
    <w:p w14:paraId="274890F7" w14:textId="1DCBD782" w:rsidR="00FF47B7" w:rsidRPr="00C41519" w:rsidRDefault="00FF47B7" w:rsidP="00154449">
      <w:pPr>
        <w:spacing w:before="120" w:after="120" w:line="240" w:lineRule="auto"/>
        <w:rPr>
          <w:rFonts w:ascii="Times New Roman" w:hAnsi="Times New Roman"/>
        </w:rPr>
      </w:pPr>
      <w:r w:rsidRPr="00C41519">
        <w:rPr>
          <w:rFonts w:ascii="Times New Roman" w:hAnsi="Times New Roman"/>
        </w:rPr>
        <w:t xml:space="preserve">Section 11A(2) provides that, for the purposes of subsection 62(6) of the Act, the period for decision-making for a request made by a claimant to reconsider a decision, is prescribed. </w:t>
      </w:r>
    </w:p>
    <w:p w14:paraId="0C13C64B" w14:textId="6EC09555" w:rsidR="00FF47B7" w:rsidRPr="00C41519" w:rsidRDefault="00FF47B7" w:rsidP="00154449">
      <w:pPr>
        <w:spacing w:before="120" w:after="120" w:line="240" w:lineRule="auto"/>
        <w:rPr>
          <w:rFonts w:ascii="Times New Roman" w:hAnsi="Times New Roman"/>
        </w:rPr>
      </w:pPr>
      <w:r w:rsidRPr="00C41519">
        <w:rPr>
          <w:rFonts w:ascii="Times New Roman" w:hAnsi="Times New Roman"/>
        </w:rPr>
        <w:t>The Table in section 11A(3) provides the</w:t>
      </w:r>
      <w:r w:rsidR="00166D9D" w:rsidRPr="00C41519">
        <w:rPr>
          <w:rFonts w:ascii="Times New Roman" w:hAnsi="Times New Roman"/>
        </w:rPr>
        <w:t xml:space="preserve"> situation and the</w:t>
      </w:r>
      <w:r w:rsidRPr="00C41519">
        <w:rPr>
          <w:rFonts w:ascii="Times New Roman" w:hAnsi="Times New Roman"/>
        </w:rPr>
        <w:t xml:space="preserve"> periods in which calendar days are not counted for the purposes of the prescribed periods contained within subsection 11A(1)</w:t>
      </w:r>
      <w:r w:rsidR="00166D9D" w:rsidRPr="00C41519">
        <w:rPr>
          <w:rFonts w:ascii="Times New Roman" w:hAnsi="Times New Roman"/>
        </w:rPr>
        <w:t xml:space="preserve">. It specifies the following situations: </w:t>
      </w:r>
    </w:p>
    <w:p w14:paraId="2AC0AE5C" w14:textId="77777777" w:rsidR="00166D9D" w:rsidRPr="00C41519" w:rsidRDefault="00166D9D" w:rsidP="00166D9D">
      <w:pPr>
        <w:pStyle w:val="paragraph"/>
        <w:numPr>
          <w:ilvl w:val="0"/>
          <w:numId w:val="6"/>
        </w:numPr>
        <w:tabs>
          <w:tab w:val="right" w:pos="0"/>
        </w:tabs>
        <w:spacing w:before="40" w:beforeAutospacing="0" w:after="0" w:afterAutospacing="0"/>
        <w:rPr>
          <w:sz w:val="22"/>
          <w:szCs w:val="22"/>
        </w:rPr>
      </w:pPr>
      <w:r w:rsidRPr="00C41519">
        <w:rPr>
          <w:sz w:val="22"/>
          <w:szCs w:val="22"/>
        </w:rPr>
        <w:t xml:space="preserve">a determining authority requires a claimant to undergo an examination by a nominated legally qualified medical practitioner pursuant to section 57 of the SRC </w:t>
      </w:r>
      <w:proofErr w:type="gramStart"/>
      <w:r w:rsidRPr="00C41519">
        <w:rPr>
          <w:sz w:val="22"/>
          <w:szCs w:val="22"/>
        </w:rPr>
        <w:t>Act;</w:t>
      </w:r>
      <w:proofErr w:type="gramEnd"/>
    </w:p>
    <w:p w14:paraId="3CEDC9AD" w14:textId="77777777" w:rsidR="00166D9D" w:rsidRPr="00C41519" w:rsidRDefault="00166D9D" w:rsidP="00166D9D">
      <w:pPr>
        <w:pStyle w:val="paragraph"/>
        <w:numPr>
          <w:ilvl w:val="0"/>
          <w:numId w:val="6"/>
        </w:numPr>
        <w:tabs>
          <w:tab w:val="right" w:pos="0"/>
        </w:tabs>
        <w:spacing w:before="40" w:beforeAutospacing="0" w:after="0" w:afterAutospacing="0"/>
        <w:rPr>
          <w:sz w:val="22"/>
          <w:szCs w:val="22"/>
        </w:rPr>
      </w:pPr>
      <w:r w:rsidRPr="00C41519">
        <w:rPr>
          <w:sz w:val="22"/>
          <w:szCs w:val="22"/>
        </w:rPr>
        <w:t xml:space="preserve">a determining authority has requested the claimant provide further information or documentation under section 58 of the SRC </w:t>
      </w:r>
      <w:proofErr w:type="gramStart"/>
      <w:r w:rsidRPr="00C41519">
        <w:rPr>
          <w:sz w:val="22"/>
          <w:szCs w:val="22"/>
        </w:rPr>
        <w:t>Act;</w:t>
      </w:r>
      <w:proofErr w:type="gramEnd"/>
    </w:p>
    <w:p w14:paraId="095ECBEA" w14:textId="77777777" w:rsidR="00166D9D" w:rsidRPr="00C41519" w:rsidRDefault="00166D9D" w:rsidP="00166D9D">
      <w:pPr>
        <w:pStyle w:val="paragraph"/>
        <w:numPr>
          <w:ilvl w:val="0"/>
          <w:numId w:val="6"/>
        </w:numPr>
        <w:tabs>
          <w:tab w:val="right" w:pos="0"/>
        </w:tabs>
        <w:spacing w:before="40" w:beforeAutospacing="0" w:after="0" w:afterAutospacing="0"/>
        <w:rPr>
          <w:sz w:val="22"/>
          <w:szCs w:val="22"/>
        </w:rPr>
      </w:pPr>
      <w:r w:rsidRPr="00C41519">
        <w:rPr>
          <w:sz w:val="22"/>
          <w:szCs w:val="22"/>
        </w:rPr>
        <w:t xml:space="preserve">a determining authority requires an employer to provide information or documentation under section 71 of the SRC </w:t>
      </w:r>
      <w:proofErr w:type="gramStart"/>
      <w:r w:rsidRPr="00C41519">
        <w:rPr>
          <w:sz w:val="22"/>
          <w:szCs w:val="22"/>
        </w:rPr>
        <w:t>Act;</w:t>
      </w:r>
      <w:proofErr w:type="gramEnd"/>
    </w:p>
    <w:p w14:paraId="14C19039" w14:textId="77777777" w:rsidR="00166D9D" w:rsidRPr="00C41519" w:rsidRDefault="00166D9D" w:rsidP="00166D9D">
      <w:pPr>
        <w:pStyle w:val="paragraph"/>
        <w:numPr>
          <w:ilvl w:val="0"/>
          <w:numId w:val="6"/>
        </w:numPr>
        <w:tabs>
          <w:tab w:val="right" w:pos="0"/>
        </w:tabs>
        <w:spacing w:before="40" w:beforeAutospacing="0" w:after="0" w:afterAutospacing="0"/>
        <w:rPr>
          <w:sz w:val="22"/>
          <w:szCs w:val="22"/>
        </w:rPr>
      </w:pPr>
      <w:r w:rsidRPr="00C41519">
        <w:rPr>
          <w:sz w:val="22"/>
          <w:szCs w:val="22"/>
        </w:rPr>
        <w:t>a claimant has advised that they will be providing further evidence; and</w:t>
      </w:r>
    </w:p>
    <w:p w14:paraId="57F50F24" w14:textId="7D9E4E2D" w:rsidR="00166D9D" w:rsidRPr="00C41519" w:rsidRDefault="00166D9D" w:rsidP="001707E3">
      <w:pPr>
        <w:pStyle w:val="paragraph"/>
        <w:numPr>
          <w:ilvl w:val="0"/>
          <w:numId w:val="6"/>
        </w:numPr>
        <w:tabs>
          <w:tab w:val="right" w:pos="0"/>
        </w:tabs>
        <w:spacing w:before="40" w:beforeAutospacing="0" w:after="0" w:afterAutospacing="0"/>
        <w:rPr>
          <w:sz w:val="22"/>
          <w:szCs w:val="22"/>
        </w:rPr>
      </w:pPr>
      <w:r w:rsidRPr="00C41519">
        <w:rPr>
          <w:sz w:val="22"/>
          <w:szCs w:val="22"/>
        </w:rPr>
        <w:t>a determining authority considers it reasonable and necessary to obtain further medical evidence.</w:t>
      </w:r>
    </w:p>
    <w:p w14:paraId="371F36CB" w14:textId="77777777" w:rsidR="00154449" w:rsidRPr="00C41519" w:rsidRDefault="00154449" w:rsidP="00154449">
      <w:pPr>
        <w:spacing w:before="120" w:after="120" w:line="240" w:lineRule="auto"/>
        <w:rPr>
          <w:rFonts w:ascii="Times New Roman" w:hAnsi="Times New Roman"/>
          <w:b/>
          <w:bCs/>
        </w:rPr>
      </w:pPr>
      <w:r w:rsidRPr="00C41519">
        <w:rPr>
          <w:rFonts w:ascii="Times New Roman" w:hAnsi="Times New Roman"/>
          <w:b/>
          <w:bCs/>
        </w:rPr>
        <w:t>Item 2 – Application of amendments</w:t>
      </w:r>
    </w:p>
    <w:p w14:paraId="128E4CAC" w14:textId="679C6F92" w:rsidR="001707E3" w:rsidRPr="001707E3" w:rsidRDefault="00154449" w:rsidP="00154449">
      <w:pPr>
        <w:spacing w:before="120" w:after="120" w:line="240" w:lineRule="auto"/>
        <w:rPr>
          <w:rFonts w:ascii="Times New Roman" w:hAnsi="Times New Roman"/>
        </w:rPr>
      </w:pPr>
      <w:r w:rsidRPr="00C41519">
        <w:rPr>
          <w:rFonts w:ascii="Times New Roman" w:hAnsi="Times New Roman"/>
        </w:rPr>
        <w:t xml:space="preserve">Item 2 amends Part 5 of the </w:t>
      </w:r>
      <w:r w:rsidRPr="00C41519">
        <w:rPr>
          <w:rFonts w:ascii="Times New Roman" w:eastAsia="Times New Roman" w:hAnsi="Times New Roman"/>
          <w:i/>
          <w:iCs/>
          <w:lang w:eastAsia="en-AU"/>
        </w:rPr>
        <w:t xml:space="preserve">Safety, Rehabilitation and Compensation Regulations 2019 </w:t>
      </w:r>
      <w:r w:rsidRPr="00C41519">
        <w:rPr>
          <w:rFonts w:ascii="Times New Roman" w:hAnsi="Times New Roman"/>
        </w:rPr>
        <w:t>to insert a new section 3</w:t>
      </w:r>
      <w:r w:rsidR="001707E3" w:rsidRPr="00C41519">
        <w:rPr>
          <w:rFonts w:ascii="Times New Roman" w:hAnsi="Times New Roman"/>
        </w:rPr>
        <w:t>7</w:t>
      </w:r>
      <w:r w:rsidRPr="00C41519">
        <w:rPr>
          <w:rFonts w:ascii="Times New Roman" w:hAnsi="Times New Roman"/>
        </w:rPr>
        <w:t xml:space="preserve">, which provides that section </w:t>
      </w:r>
      <w:r w:rsidR="001707E3" w:rsidRPr="00C41519">
        <w:rPr>
          <w:rFonts w:ascii="Times New Roman" w:hAnsi="Times New Roman"/>
        </w:rPr>
        <w:t>11A</w:t>
      </w:r>
      <w:r w:rsidRPr="00C41519">
        <w:rPr>
          <w:rFonts w:ascii="Times New Roman" w:hAnsi="Times New Roman"/>
        </w:rPr>
        <w:t xml:space="preserve">, as inserted by the </w:t>
      </w:r>
      <w:r w:rsidRPr="00C41519">
        <w:rPr>
          <w:rFonts w:ascii="Times New Roman" w:hAnsi="Times New Roman"/>
          <w:i/>
        </w:rPr>
        <w:t>Safety, Rehabilitation and Compensation Amendment (</w:t>
      </w:r>
      <w:r w:rsidR="001707E3" w:rsidRPr="00C41519">
        <w:rPr>
          <w:rFonts w:ascii="Times New Roman" w:hAnsi="Times New Roman"/>
          <w:i/>
        </w:rPr>
        <w:t>Period for Decision-making</w:t>
      </w:r>
      <w:r w:rsidRPr="00C41519">
        <w:rPr>
          <w:rFonts w:ascii="Times New Roman" w:hAnsi="Times New Roman"/>
          <w:i/>
        </w:rPr>
        <w:t>) Regulations 202</w:t>
      </w:r>
      <w:r w:rsidR="001707E3" w:rsidRPr="00C41519">
        <w:rPr>
          <w:rFonts w:ascii="Times New Roman" w:hAnsi="Times New Roman"/>
          <w:i/>
        </w:rPr>
        <w:t>3</w:t>
      </w:r>
      <w:r w:rsidRPr="00C41519">
        <w:rPr>
          <w:rFonts w:ascii="Times New Roman" w:hAnsi="Times New Roman"/>
        </w:rPr>
        <w:t>, applies</w:t>
      </w:r>
      <w:r w:rsidR="00B61F97" w:rsidRPr="00C41519">
        <w:rPr>
          <w:rFonts w:ascii="Times New Roman" w:hAnsi="Times New Roman"/>
        </w:rPr>
        <w:t xml:space="preserve"> in relation to a decision made under</w:t>
      </w:r>
      <w:r w:rsidR="001707E3" w:rsidRPr="00C41519">
        <w:rPr>
          <w:rFonts w:ascii="Times New Roman" w:hAnsi="Times New Roman"/>
        </w:rPr>
        <w:t xml:space="preserve"> section 14 in accordance with section 54 of</w:t>
      </w:r>
      <w:r w:rsidR="00B61F97" w:rsidRPr="00C41519">
        <w:rPr>
          <w:rFonts w:ascii="Times New Roman" w:hAnsi="Times New Roman"/>
        </w:rPr>
        <w:t xml:space="preserve"> the Act</w:t>
      </w:r>
      <w:r w:rsidR="001707E3" w:rsidRPr="00C41519">
        <w:rPr>
          <w:rFonts w:ascii="Times New Roman" w:hAnsi="Times New Roman"/>
        </w:rPr>
        <w:t>, and in respect of a request to reconsider a decision made by a claimant on or after the commencement of that instrument.</w:t>
      </w:r>
      <w:r w:rsidR="001707E3" w:rsidRPr="001707E3">
        <w:rPr>
          <w:rFonts w:ascii="Times New Roman" w:hAnsi="Times New Roman"/>
        </w:rPr>
        <w:t xml:space="preserve"> </w:t>
      </w:r>
    </w:p>
    <w:p w14:paraId="0740ACEA" w14:textId="4C320FA5" w:rsidR="00985074" w:rsidRPr="003A2101" w:rsidRDefault="00985074" w:rsidP="000E60B1">
      <w:pPr>
        <w:spacing w:before="120" w:after="120" w:line="240" w:lineRule="auto"/>
        <w:rPr>
          <w:rFonts w:ascii="Times New Roman" w:hAnsi="Times New Roman"/>
          <w:b/>
        </w:rPr>
      </w:pPr>
    </w:p>
    <w:sectPr w:rsidR="00985074" w:rsidRPr="003A2101" w:rsidSect="000E60B1">
      <w:headerReference w:type="default" r:id="rId10"/>
      <w:footerReference w:type="default" r:id="rId11"/>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79CEC" w14:textId="77777777" w:rsidR="007A5357" w:rsidRDefault="007A5357" w:rsidP="000E60B1">
      <w:pPr>
        <w:spacing w:after="0" w:line="240" w:lineRule="auto"/>
      </w:pPr>
      <w:r>
        <w:separator/>
      </w:r>
    </w:p>
  </w:endnote>
  <w:endnote w:type="continuationSeparator" w:id="0">
    <w:p w14:paraId="2DE12198" w14:textId="77777777" w:rsidR="007A5357" w:rsidRDefault="007A5357" w:rsidP="000E60B1">
      <w:pPr>
        <w:spacing w:after="0" w:line="240" w:lineRule="auto"/>
      </w:pPr>
      <w:r>
        <w:continuationSeparator/>
      </w:r>
    </w:p>
  </w:endnote>
  <w:endnote w:type="continuationNotice" w:id="1">
    <w:p w14:paraId="1823B85C" w14:textId="77777777" w:rsidR="007A5357" w:rsidRDefault="007A53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ACF3" w14:textId="7312F35D" w:rsidR="000E60B1" w:rsidRPr="006B03DD" w:rsidRDefault="0096449C">
    <w:pPr>
      <w:pStyle w:val="Footer"/>
      <w:jc w:val="center"/>
      <w:rPr>
        <w:rFonts w:ascii="Times New Roman" w:hAnsi="Times New Roman" w:cs="Times New Roman"/>
      </w:rPr>
    </w:pPr>
    <w:sdt>
      <w:sdtPr>
        <w:id w:val="1612933439"/>
        <w:docPartObj>
          <w:docPartGallery w:val="Page Numbers (Bottom of Page)"/>
          <w:docPartUnique/>
        </w:docPartObj>
      </w:sdtPr>
      <w:sdtEndPr>
        <w:rPr>
          <w:rFonts w:ascii="Times New Roman" w:hAnsi="Times New Roman" w:cs="Times New Roman"/>
          <w:noProof/>
        </w:rPr>
      </w:sdtEndPr>
      <w:sdtContent>
        <w:r w:rsidR="000E60B1" w:rsidRPr="006B03DD">
          <w:rPr>
            <w:rFonts w:ascii="Times New Roman" w:hAnsi="Times New Roman" w:cs="Times New Roman"/>
          </w:rPr>
          <w:fldChar w:fldCharType="begin"/>
        </w:r>
        <w:r w:rsidR="000E60B1" w:rsidRPr="006B03DD">
          <w:rPr>
            <w:rFonts w:ascii="Times New Roman" w:hAnsi="Times New Roman" w:cs="Times New Roman"/>
          </w:rPr>
          <w:instrText xml:space="preserve"> PAGE   \* MERGEFORMAT </w:instrText>
        </w:r>
        <w:r w:rsidR="000E60B1" w:rsidRPr="006B03DD">
          <w:rPr>
            <w:rFonts w:ascii="Times New Roman" w:hAnsi="Times New Roman" w:cs="Times New Roman"/>
          </w:rPr>
          <w:fldChar w:fldCharType="separate"/>
        </w:r>
        <w:r w:rsidR="002101A6">
          <w:rPr>
            <w:rFonts w:ascii="Times New Roman" w:hAnsi="Times New Roman" w:cs="Times New Roman"/>
            <w:noProof/>
          </w:rPr>
          <w:t>4</w:t>
        </w:r>
        <w:r w:rsidR="000E60B1" w:rsidRPr="006B03DD">
          <w:rPr>
            <w:rFonts w:ascii="Times New Roman" w:hAnsi="Times New Roman" w:cs="Times New Roman"/>
            <w:noProof/>
          </w:rPr>
          <w:fldChar w:fldCharType="end"/>
        </w:r>
      </w:sdtContent>
    </w:sdt>
  </w:p>
  <w:p w14:paraId="0740ACF4" w14:textId="77777777" w:rsidR="000E60B1" w:rsidRDefault="000E6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BDD6A" w14:textId="77777777" w:rsidR="007A5357" w:rsidRDefault="007A5357" w:rsidP="000E60B1">
      <w:pPr>
        <w:spacing w:after="0" w:line="240" w:lineRule="auto"/>
      </w:pPr>
      <w:r>
        <w:separator/>
      </w:r>
    </w:p>
  </w:footnote>
  <w:footnote w:type="continuationSeparator" w:id="0">
    <w:p w14:paraId="6AB0882C" w14:textId="77777777" w:rsidR="007A5357" w:rsidRDefault="007A5357" w:rsidP="000E60B1">
      <w:pPr>
        <w:spacing w:after="0" w:line="240" w:lineRule="auto"/>
      </w:pPr>
      <w:r>
        <w:continuationSeparator/>
      </w:r>
    </w:p>
  </w:footnote>
  <w:footnote w:type="continuationNotice" w:id="1">
    <w:p w14:paraId="69E7AD11" w14:textId="77777777" w:rsidR="007A5357" w:rsidRDefault="007A5357">
      <w:pPr>
        <w:spacing w:after="0" w:line="240" w:lineRule="auto"/>
      </w:pPr>
    </w:p>
  </w:footnote>
  <w:footnote w:id="2">
    <w:p w14:paraId="219F83D1" w14:textId="77777777" w:rsidR="00873102" w:rsidRDefault="00873102" w:rsidP="00873102">
      <w:pPr>
        <w:pStyle w:val="FootnoteText"/>
        <w:rPr>
          <w:rFonts w:ascii="Calibri" w:hAnsi="Calibri" w:cs="Calibri"/>
          <w:sz w:val="18"/>
          <w:szCs w:val="18"/>
        </w:rPr>
      </w:pPr>
      <w:r>
        <w:rPr>
          <w:rStyle w:val="FootnoteReference"/>
        </w:rPr>
        <w:t>[1]</w:t>
      </w:r>
      <w:r>
        <w:t xml:space="preserve"> </w:t>
      </w:r>
      <w:r>
        <w:rPr>
          <w:sz w:val="18"/>
          <w:szCs w:val="18"/>
        </w:rPr>
        <w:t xml:space="preserve">Committee on Economic, Social and Cultural Rights, </w:t>
      </w:r>
      <w:r>
        <w:rPr>
          <w:i/>
          <w:iCs/>
          <w:sz w:val="18"/>
          <w:szCs w:val="18"/>
        </w:rPr>
        <w:t>General Comment 19: The Right to Social Security (art. 9)</w:t>
      </w:r>
      <w:r>
        <w:rPr>
          <w:sz w:val="18"/>
          <w:szCs w:val="18"/>
        </w:rPr>
        <w:t>, U.N. Doc E/C.12/GC/19 (2008),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ACF2" w14:textId="5A994674" w:rsidR="000E60B1" w:rsidRDefault="000E60B1">
    <w:pPr>
      <w:pStyle w:val="Header"/>
    </w:pPr>
  </w:p>
  <w:sdt>
    <w:sdtPr>
      <w:id w:val="-1876919723"/>
      <w:docPartObj>
        <w:docPartGallery w:val="Watermarks"/>
        <w:docPartUnique/>
      </w:docPartObj>
    </w:sdtPr>
    <w:sdtEndPr/>
    <w:sdtContent>
      <w:p w14:paraId="4B83F32E" w14:textId="77777777" w:rsidR="000E60B1" w:rsidRDefault="000E60B1">
        <w:pPr>
          <w:pStyle w:val="Header"/>
        </w:pPr>
        <w:r>
          <w:rPr>
            <w:noProof/>
            <w:lang w:eastAsia="en-AU"/>
          </w:rPr>
          <mc:AlternateContent>
            <mc:Choice Requires="wps">
              <w:drawing>
                <wp:anchor distT="0" distB="0" distL="114300" distR="114300" simplePos="0" relativeHeight="251658240" behindDoc="1" locked="0" layoutInCell="0" allowOverlap="1" wp14:anchorId="0740ACF6" wp14:editId="0740ACF7">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40ACF9" w14:textId="77777777" w:rsidR="000E60B1" w:rsidRDefault="000E60B1" w:rsidP="000E60B1">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40ACF6"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0740ACF9" w14:textId="77777777" w:rsidR="000E60B1" w:rsidRDefault="000E60B1" w:rsidP="000E60B1">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C1BB5"/>
    <w:multiLevelType w:val="hybridMultilevel"/>
    <w:tmpl w:val="5D9A4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8131992"/>
    <w:multiLevelType w:val="hybridMultilevel"/>
    <w:tmpl w:val="F118D35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D08353F"/>
    <w:multiLevelType w:val="hybridMultilevel"/>
    <w:tmpl w:val="D57A5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DD0684E"/>
    <w:multiLevelType w:val="hybridMultilevel"/>
    <w:tmpl w:val="A0AEC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5203E72"/>
    <w:multiLevelType w:val="hybridMultilevel"/>
    <w:tmpl w:val="D58E540A"/>
    <w:lvl w:ilvl="0" w:tplc="B8E00CC8">
      <w:start w:val="1"/>
      <w:numFmt w:val="lowerRoman"/>
      <w:lvlText w:val="(%1)"/>
      <w:lvlJc w:val="left"/>
      <w:pPr>
        <w:ind w:left="1287" w:hanging="720"/>
      </w:pPr>
      <w:rPr>
        <w:rFonts w:hint="default"/>
        <w:color w:val="auto"/>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1613394111">
    <w:abstractNumId w:val="1"/>
  </w:num>
  <w:num w:numId="2" w16cid:durableId="371075724">
    <w:abstractNumId w:val="5"/>
  </w:num>
  <w:num w:numId="3" w16cid:durableId="1885369729">
    <w:abstractNumId w:val="0"/>
  </w:num>
  <w:num w:numId="4" w16cid:durableId="792360339">
    <w:abstractNumId w:val="4"/>
  </w:num>
  <w:num w:numId="5" w16cid:durableId="1210534140">
    <w:abstractNumId w:val="3"/>
  </w:num>
  <w:num w:numId="6" w16cid:durableId="88024565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0B1"/>
    <w:rsid w:val="0000379F"/>
    <w:rsid w:val="00011700"/>
    <w:rsid w:val="000403E2"/>
    <w:rsid w:val="00041FA4"/>
    <w:rsid w:val="00044A11"/>
    <w:rsid w:val="000453C5"/>
    <w:rsid w:val="000538A7"/>
    <w:rsid w:val="000607B5"/>
    <w:rsid w:val="00061B86"/>
    <w:rsid w:val="00064262"/>
    <w:rsid w:val="0008054C"/>
    <w:rsid w:val="0009016B"/>
    <w:rsid w:val="00090253"/>
    <w:rsid w:val="000972B8"/>
    <w:rsid w:val="000A11EE"/>
    <w:rsid w:val="000A60AB"/>
    <w:rsid w:val="000B6B46"/>
    <w:rsid w:val="000C0784"/>
    <w:rsid w:val="000C2797"/>
    <w:rsid w:val="000C2F7D"/>
    <w:rsid w:val="000C3993"/>
    <w:rsid w:val="000D1E76"/>
    <w:rsid w:val="000D6C2A"/>
    <w:rsid w:val="000D6D0B"/>
    <w:rsid w:val="000E60B1"/>
    <w:rsid w:val="000F5E46"/>
    <w:rsid w:val="001019F2"/>
    <w:rsid w:val="0010569F"/>
    <w:rsid w:val="0011120E"/>
    <w:rsid w:val="0011651E"/>
    <w:rsid w:val="00117451"/>
    <w:rsid w:val="001201C3"/>
    <w:rsid w:val="00132D8A"/>
    <w:rsid w:val="001340E9"/>
    <w:rsid w:val="00135BE6"/>
    <w:rsid w:val="00141501"/>
    <w:rsid w:val="00141D5C"/>
    <w:rsid w:val="00147785"/>
    <w:rsid w:val="0015375A"/>
    <w:rsid w:val="00154449"/>
    <w:rsid w:val="00156F31"/>
    <w:rsid w:val="00161683"/>
    <w:rsid w:val="00166D9D"/>
    <w:rsid w:val="001707E3"/>
    <w:rsid w:val="0017209D"/>
    <w:rsid w:val="0017460C"/>
    <w:rsid w:val="001830AA"/>
    <w:rsid w:val="001831AF"/>
    <w:rsid w:val="00186611"/>
    <w:rsid w:val="00187023"/>
    <w:rsid w:val="00191DFA"/>
    <w:rsid w:val="00195B00"/>
    <w:rsid w:val="00195F06"/>
    <w:rsid w:val="00196313"/>
    <w:rsid w:val="001B07B5"/>
    <w:rsid w:val="001B49E6"/>
    <w:rsid w:val="001B7D69"/>
    <w:rsid w:val="001C34A9"/>
    <w:rsid w:val="001C7109"/>
    <w:rsid w:val="001D0A80"/>
    <w:rsid w:val="001D2567"/>
    <w:rsid w:val="001D45C5"/>
    <w:rsid w:val="001F0B8E"/>
    <w:rsid w:val="001F148F"/>
    <w:rsid w:val="00200AA1"/>
    <w:rsid w:val="002101A6"/>
    <w:rsid w:val="00211E50"/>
    <w:rsid w:val="002147EF"/>
    <w:rsid w:val="00224EFD"/>
    <w:rsid w:val="002341D1"/>
    <w:rsid w:val="002548BE"/>
    <w:rsid w:val="00254900"/>
    <w:rsid w:val="00255E5B"/>
    <w:rsid w:val="002609D1"/>
    <w:rsid w:val="0027198B"/>
    <w:rsid w:val="00297ACB"/>
    <w:rsid w:val="002A34A8"/>
    <w:rsid w:val="002B182E"/>
    <w:rsid w:val="002C34D9"/>
    <w:rsid w:val="002D7472"/>
    <w:rsid w:val="002D7B01"/>
    <w:rsid w:val="002E0C06"/>
    <w:rsid w:val="002E1141"/>
    <w:rsid w:val="002E2E69"/>
    <w:rsid w:val="002E65A9"/>
    <w:rsid w:val="002F7E32"/>
    <w:rsid w:val="003002FD"/>
    <w:rsid w:val="00306C8B"/>
    <w:rsid w:val="00321B27"/>
    <w:rsid w:val="00331BC0"/>
    <w:rsid w:val="00332D89"/>
    <w:rsid w:val="003476EF"/>
    <w:rsid w:val="0035451F"/>
    <w:rsid w:val="0036050E"/>
    <w:rsid w:val="00361A09"/>
    <w:rsid w:val="00366570"/>
    <w:rsid w:val="00366CF6"/>
    <w:rsid w:val="003708F5"/>
    <w:rsid w:val="00372607"/>
    <w:rsid w:val="00380DF6"/>
    <w:rsid w:val="003812F5"/>
    <w:rsid w:val="00392A6E"/>
    <w:rsid w:val="003A2101"/>
    <w:rsid w:val="003C2FFB"/>
    <w:rsid w:val="003D4699"/>
    <w:rsid w:val="003D738E"/>
    <w:rsid w:val="003F3007"/>
    <w:rsid w:val="003F30D8"/>
    <w:rsid w:val="00414B5F"/>
    <w:rsid w:val="00415CFE"/>
    <w:rsid w:val="0042553E"/>
    <w:rsid w:val="00435BD8"/>
    <w:rsid w:val="0044277E"/>
    <w:rsid w:val="00444718"/>
    <w:rsid w:val="00452916"/>
    <w:rsid w:val="00456F1B"/>
    <w:rsid w:val="00460E17"/>
    <w:rsid w:val="0046145C"/>
    <w:rsid w:val="004615AC"/>
    <w:rsid w:val="00463A1E"/>
    <w:rsid w:val="004652E4"/>
    <w:rsid w:val="00472C7B"/>
    <w:rsid w:val="00474DCB"/>
    <w:rsid w:val="00490602"/>
    <w:rsid w:val="00491555"/>
    <w:rsid w:val="00494651"/>
    <w:rsid w:val="004A1BEB"/>
    <w:rsid w:val="004D1C98"/>
    <w:rsid w:val="004D605B"/>
    <w:rsid w:val="004D73DC"/>
    <w:rsid w:val="004F0A6E"/>
    <w:rsid w:val="004F3056"/>
    <w:rsid w:val="005053C6"/>
    <w:rsid w:val="0050718B"/>
    <w:rsid w:val="005157D4"/>
    <w:rsid w:val="00530FF8"/>
    <w:rsid w:val="0055068D"/>
    <w:rsid w:val="00556A7B"/>
    <w:rsid w:val="005707CB"/>
    <w:rsid w:val="00573C16"/>
    <w:rsid w:val="00575664"/>
    <w:rsid w:val="005C4989"/>
    <w:rsid w:val="005D0ED8"/>
    <w:rsid w:val="005E10D8"/>
    <w:rsid w:val="005E2B16"/>
    <w:rsid w:val="005E3DB8"/>
    <w:rsid w:val="005E71FF"/>
    <w:rsid w:val="005F3444"/>
    <w:rsid w:val="00602268"/>
    <w:rsid w:val="0061165F"/>
    <w:rsid w:val="0064214F"/>
    <w:rsid w:val="00643C7D"/>
    <w:rsid w:val="006478D4"/>
    <w:rsid w:val="00650780"/>
    <w:rsid w:val="0066098F"/>
    <w:rsid w:val="00660DBF"/>
    <w:rsid w:val="006666A3"/>
    <w:rsid w:val="00671B68"/>
    <w:rsid w:val="00671C7A"/>
    <w:rsid w:val="00673B75"/>
    <w:rsid w:val="00695738"/>
    <w:rsid w:val="006A1F63"/>
    <w:rsid w:val="006A559B"/>
    <w:rsid w:val="006B518B"/>
    <w:rsid w:val="006B6FFD"/>
    <w:rsid w:val="006C0B91"/>
    <w:rsid w:val="006C1CE5"/>
    <w:rsid w:val="006E4617"/>
    <w:rsid w:val="006E75F8"/>
    <w:rsid w:val="006F792F"/>
    <w:rsid w:val="00703143"/>
    <w:rsid w:val="00716280"/>
    <w:rsid w:val="0071647B"/>
    <w:rsid w:val="00732F38"/>
    <w:rsid w:val="00733275"/>
    <w:rsid w:val="007439EA"/>
    <w:rsid w:val="00747E9D"/>
    <w:rsid w:val="00752222"/>
    <w:rsid w:val="0075672D"/>
    <w:rsid w:val="00756CFE"/>
    <w:rsid w:val="00770F45"/>
    <w:rsid w:val="00797923"/>
    <w:rsid w:val="007A2736"/>
    <w:rsid w:val="007A473A"/>
    <w:rsid w:val="007A5357"/>
    <w:rsid w:val="007A5E50"/>
    <w:rsid w:val="007A6DEF"/>
    <w:rsid w:val="007A78A2"/>
    <w:rsid w:val="007B0ED5"/>
    <w:rsid w:val="007B28DD"/>
    <w:rsid w:val="007B4F0F"/>
    <w:rsid w:val="007C2C6D"/>
    <w:rsid w:val="007D02C4"/>
    <w:rsid w:val="007E621A"/>
    <w:rsid w:val="007F249C"/>
    <w:rsid w:val="0080419B"/>
    <w:rsid w:val="00811431"/>
    <w:rsid w:val="008117F6"/>
    <w:rsid w:val="00825CCD"/>
    <w:rsid w:val="00831DB6"/>
    <w:rsid w:val="0083285D"/>
    <w:rsid w:val="008341C7"/>
    <w:rsid w:val="008443D8"/>
    <w:rsid w:val="00851499"/>
    <w:rsid w:val="00873102"/>
    <w:rsid w:val="008824B4"/>
    <w:rsid w:val="008928E3"/>
    <w:rsid w:val="008A3D9B"/>
    <w:rsid w:val="008B473D"/>
    <w:rsid w:val="008B477C"/>
    <w:rsid w:val="008C7C60"/>
    <w:rsid w:val="008D0D56"/>
    <w:rsid w:val="008D1B45"/>
    <w:rsid w:val="008F4106"/>
    <w:rsid w:val="008F5FD8"/>
    <w:rsid w:val="00900E50"/>
    <w:rsid w:val="00915CBE"/>
    <w:rsid w:val="00925762"/>
    <w:rsid w:val="009261A5"/>
    <w:rsid w:val="00932CFA"/>
    <w:rsid w:val="00933F48"/>
    <w:rsid w:val="0093648A"/>
    <w:rsid w:val="00940AC9"/>
    <w:rsid w:val="009448A8"/>
    <w:rsid w:val="009467F7"/>
    <w:rsid w:val="00946D1B"/>
    <w:rsid w:val="00953E99"/>
    <w:rsid w:val="0096449C"/>
    <w:rsid w:val="00964988"/>
    <w:rsid w:val="00976D9A"/>
    <w:rsid w:val="0097730F"/>
    <w:rsid w:val="0098370E"/>
    <w:rsid w:val="00985074"/>
    <w:rsid w:val="009871C9"/>
    <w:rsid w:val="00990FD1"/>
    <w:rsid w:val="009A259B"/>
    <w:rsid w:val="009B1D82"/>
    <w:rsid w:val="009C2BBA"/>
    <w:rsid w:val="009C7F16"/>
    <w:rsid w:val="009F1FE5"/>
    <w:rsid w:val="009F5B7E"/>
    <w:rsid w:val="00A03DC1"/>
    <w:rsid w:val="00A2352C"/>
    <w:rsid w:val="00A46C58"/>
    <w:rsid w:val="00A4708D"/>
    <w:rsid w:val="00A51673"/>
    <w:rsid w:val="00A5681B"/>
    <w:rsid w:val="00A57032"/>
    <w:rsid w:val="00A62D2D"/>
    <w:rsid w:val="00A72D91"/>
    <w:rsid w:val="00A74D4C"/>
    <w:rsid w:val="00A847C7"/>
    <w:rsid w:val="00A87FD4"/>
    <w:rsid w:val="00A926E7"/>
    <w:rsid w:val="00A94EF3"/>
    <w:rsid w:val="00A95830"/>
    <w:rsid w:val="00AA3085"/>
    <w:rsid w:val="00AA4CAC"/>
    <w:rsid w:val="00AC52B1"/>
    <w:rsid w:val="00AE6B3F"/>
    <w:rsid w:val="00AF0815"/>
    <w:rsid w:val="00B1582B"/>
    <w:rsid w:val="00B20211"/>
    <w:rsid w:val="00B2213D"/>
    <w:rsid w:val="00B30D9A"/>
    <w:rsid w:val="00B51D4D"/>
    <w:rsid w:val="00B612B9"/>
    <w:rsid w:val="00B61F97"/>
    <w:rsid w:val="00B6582C"/>
    <w:rsid w:val="00B65F33"/>
    <w:rsid w:val="00B67479"/>
    <w:rsid w:val="00B81599"/>
    <w:rsid w:val="00B92E9E"/>
    <w:rsid w:val="00B966BD"/>
    <w:rsid w:val="00BB07BD"/>
    <w:rsid w:val="00BC7307"/>
    <w:rsid w:val="00BD4CA7"/>
    <w:rsid w:val="00BE2991"/>
    <w:rsid w:val="00BF2186"/>
    <w:rsid w:val="00BF41B0"/>
    <w:rsid w:val="00C201B4"/>
    <w:rsid w:val="00C25FAB"/>
    <w:rsid w:val="00C35BFE"/>
    <w:rsid w:val="00C40FFC"/>
    <w:rsid w:val="00C41519"/>
    <w:rsid w:val="00C66D79"/>
    <w:rsid w:val="00C72322"/>
    <w:rsid w:val="00C74109"/>
    <w:rsid w:val="00C767D5"/>
    <w:rsid w:val="00C864CE"/>
    <w:rsid w:val="00C935B2"/>
    <w:rsid w:val="00CB0BBA"/>
    <w:rsid w:val="00CB4ABF"/>
    <w:rsid w:val="00CC1969"/>
    <w:rsid w:val="00CC307E"/>
    <w:rsid w:val="00CD6D11"/>
    <w:rsid w:val="00CE1DF4"/>
    <w:rsid w:val="00CE29BD"/>
    <w:rsid w:val="00CF6424"/>
    <w:rsid w:val="00D0461C"/>
    <w:rsid w:val="00D0495E"/>
    <w:rsid w:val="00D1109B"/>
    <w:rsid w:val="00D1119F"/>
    <w:rsid w:val="00D1755A"/>
    <w:rsid w:val="00D3588F"/>
    <w:rsid w:val="00D430D5"/>
    <w:rsid w:val="00D4479E"/>
    <w:rsid w:val="00D50E89"/>
    <w:rsid w:val="00D51FE0"/>
    <w:rsid w:val="00D633DF"/>
    <w:rsid w:val="00D65F8C"/>
    <w:rsid w:val="00D7049D"/>
    <w:rsid w:val="00D77522"/>
    <w:rsid w:val="00DB3CA9"/>
    <w:rsid w:val="00DC3D53"/>
    <w:rsid w:val="00DC47EC"/>
    <w:rsid w:val="00DC5848"/>
    <w:rsid w:val="00DD18B9"/>
    <w:rsid w:val="00DE1A8A"/>
    <w:rsid w:val="00DE2A7B"/>
    <w:rsid w:val="00E00559"/>
    <w:rsid w:val="00E041B3"/>
    <w:rsid w:val="00E100C8"/>
    <w:rsid w:val="00E15952"/>
    <w:rsid w:val="00E23C32"/>
    <w:rsid w:val="00E46409"/>
    <w:rsid w:val="00E51549"/>
    <w:rsid w:val="00E641C5"/>
    <w:rsid w:val="00E807AE"/>
    <w:rsid w:val="00E917A0"/>
    <w:rsid w:val="00E942E1"/>
    <w:rsid w:val="00E95B09"/>
    <w:rsid w:val="00E97B4D"/>
    <w:rsid w:val="00EA4A72"/>
    <w:rsid w:val="00EA618D"/>
    <w:rsid w:val="00EA7087"/>
    <w:rsid w:val="00EB24AA"/>
    <w:rsid w:val="00EB40AD"/>
    <w:rsid w:val="00EC4DC3"/>
    <w:rsid w:val="00ED2E2A"/>
    <w:rsid w:val="00EE114E"/>
    <w:rsid w:val="00F11759"/>
    <w:rsid w:val="00F170C1"/>
    <w:rsid w:val="00F2140B"/>
    <w:rsid w:val="00F366C9"/>
    <w:rsid w:val="00F423D6"/>
    <w:rsid w:val="00F44A61"/>
    <w:rsid w:val="00F511ED"/>
    <w:rsid w:val="00F5374E"/>
    <w:rsid w:val="00F55E32"/>
    <w:rsid w:val="00F5783B"/>
    <w:rsid w:val="00F60E71"/>
    <w:rsid w:val="00F618E1"/>
    <w:rsid w:val="00F710B8"/>
    <w:rsid w:val="00F80208"/>
    <w:rsid w:val="00F83E84"/>
    <w:rsid w:val="00FB4769"/>
    <w:rsid w:val="00FC20B1"/>
    <w:rsid w:val="00FD2752"/>
    <w:rsid w:val="00FF47B7"/>
    <w:rsid w:val="1972218D"/>
    <w:rsid w:val="257B66D4"/>
    <w:rsid w:val="507B06EC"/>
    <w:rsid w:val="57905DA0"/>
    <w:rsid w:val="773846F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0ACA9"/>
  <w15:chartTrackingRefBased/>
  <w15:docId w15:val="{4E358A0B-BDEB-4AE9-98BB-0F6C5E48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B1"/>
    <w:pPr>
      <w:spacing w:after="200" w:line="276" w:lineRule="auto"/>
    </w:pPr>
    <w:rPr>
      <w:rFonts w:ascii="Calibri" w:eastAsia="Calibri" w:hAnsi="Calibri" w:cs="Times New Roman"/>
    </w:rPr>
  </w:style>
  <w:style w:type="paragraph" w:styleId="Heading3">
    <w:name w:val="heading 3"/>
    <w:basedOn w:val="Normal"/>
    <w:link w:val="Heading3Char"/>
    <w:uiPriority w:val="9"/>
    <w:semiHidden/>
    <w:unhideWhenUsed/>
    <w:qFormat/>
    <w:rsid w:val="00873102"/>
    <w:pPr>
      <w:spacing w:before="100" w:beforeAutospacing="1" w:after="100" w:afterAutospacing="1" w:line="240" w:lineRule="auto"/>
      <w:outlineLvl w:val="2"/>
    </w:pPr>
    <w:rPr>
      <w:rFonts w:ascii="Times New Roman" w:eastAsiaTheme="minorHAnsi" w:hAnsi="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 Points,CV text,Colorful List - Accent 11,Dot pt,F5 List Paragraph,Indicator Text,L,List Paragraph Char Char Char,List Paragraph1,List Paragraph11,List Paragraph12,MAIN CONTENT,No Spacing1,Numbered Para 1,Recommendation,列"/>
    <w:basedOn w:val="Normal"/>
    <w:link w:val="ListParagraphChar"/>
    <w:uiPriority w:val="34"/>
    <w:qFormat/>
    <w:rsid w:val="000E60B1"/>
    <w:pPr>
      <w:ind w:left="720"/>
      <w:contextualSpacing/>
    </w:pPr>
  </w:style>
  <w:style w:type="paragraph" w:styleId="FootnoteText">
    <w:name w:val="footnote text"/>
    <w:basedOn w:val="Normal"/>
    <w:link w:val="FootnoteTextChar"/>
    <w:uiPriority w:val="99"/>
    <w:semiHidden/>
    <w:unhideWhenUsed/>
    <w:rsid w:val="000E60B1"/>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E60B1"/>
    <w:rPr>
      <w:sz w:val="20"/>
      <w:szCs w:val="20"/>
    </w:rPr>
  </w:style>
  <w:style w:type="character" w:styleId="FootnoteReference">
    <w:name w:val="footnote reference"/>
    <w:basedOn w:val="DefaultParagraphFont"/>
    <w:uiPriority w:val="99"/>
    <w:semiHidden/>
    <w:unhideWhenUsed/>
    <w:rsid w:val="000E60B1"/>
    <w:rPr>
      <w:vertAlign w:val="superscript"/>
    </w:rPr>
  </w:style>
  <w:style w:type="character" w:styleId="CommentReference">
    <w:name w:val="annotation reference"/>
    <w:semiHidden/>
    <w:unhideWhenUsed/>
    <w:rsid w:val="000E60B1"/>
    <w:rPr>
      <w:sz w:val="16"/>
      <w:szCs w:val="16"/>
    </w:rPr>
  </w:style>
  <w:style w:type="paragraph" w:styleId="CommentText">
    <w:name w:val="annotation text"/>
    <w:basedOn w:val="Normal"/>
    <w:link w:val="CommentTextChar"/>
    <w:uiPriority w:val="99"/>
    <w:unhideWhenUsed/>
    <w:rsid w:val="000E60B1"/>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0E60B1"/>
    <w:rPr>
      <w:sz w:val="20"/>
      <w:szCs w:val="20"/>
    </w:rPr>
  </w:style>
  <w:style w:type="paragraph" w:styleId="Header">
    <w:name w:val="header"/>
    <w:basedOn w:val="Normal"/>
    <w:link w:val="HeaderChar"/>
    <w:uiPriority w:val="99"/>
    <w:unhideWhenUsed/>
    <w:rsid w:val="000E60B1"/>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0E60B1"/>
  </w:style>
  <w:style w:type="paragraph" w:styleId="Footer">
    <w:name w:val="footer"/>
    <w:basedOn w:val="Normal"/>
    <w:link w:val="FooterChar"/>
    <w:uiPriority w:val="99"/>
    <w:unhideWhenUsed/>
    <w:rsid w:val="000E60B1"/>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0E60B1"/>
  </w:style>
  <w:style w:type="table" w:styleId="TableGrid">
    <w:name w:val="Table Grid"/>
    <w:basedOn w:val="TableNormal"/>
    <w:uiPriority w:val="59"/>
    <w:rsid w:val="000E6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rtT">
    <w:name w:val="ShortT"/>
    <w:basedOn w:val="Normal"/>
    <w:next w:val="Normal"/>
    <w:qFormat/>
    <w:rsid w:val="000E60B1"/>
    <w:pPr>
      <w:spacing w:after="0" w:line="240" w:lineRule="auto"/>
    </w:pPr>
    <w:rPr>
      <w:rFonts w:ascii="Times New Roman" w:eastAsia="Times New Roman" w:hAnsi="Times New Roman"/>
      <w:b/>
      <w:sz w:val="40"/>
      <w:szCs w:val="20"/>
      <w:lang w:eastAsia="en-AU"/>
    </w:rPr>
  </w:style>
  <w:style w:type="paragraph" w:customStyle="1" w:styleId="Tabletext">
    <w:name w:val="Tabletext"/>
    <w:aliases w:val="tt"/>
    <w:basedOn w:val="Normal"/>
    <w:rsid w:val="000E60B1"/>
    <w:pPr>
      <w:spacing w:before="60" w:after="0" w:line="240" w:lineRule="atLeast"/>
    </w:pPr>
    <w:rPr>
      <w:rFonts w:ascii="Times New Roman" w:eastAsia="Times New Roman" w:hAnsi="Times New Roman"/>
      <w:sz w:val="20"/>
      <w:szCs w:val="20"/>
      <w:lang w:eastAsia="en-AU"/>
    </w:rPr>
  </w:style>
  <w:style w:type="paragraph" w:customStyle="1" w:styleId="TableHeading">
    <w:name w:val="TableHeading"/>
    <w:aliases w:val="th"/>
    <w:basedOn w:val="Normal"/>
    <w:next w:val="Tabletext"/>
    <w:rsid w:val="000E60B1"/>
    <w:pPr>
      <w:keepNext/>
      <w:spacing w:before="60" w:after="0" w:line="240" w:lineRule="atLeast"/>
    </w:pPr>
    <w:rPr>
      <w:rFonts w:ascii="Times New Roman" w:eastAsia="Times New Roman" w:hAnsi="Times New Roman"/>
      <w:b/>
      <w:sz w:val="20"/>
      <w:szCs w:val="20"/>
      <w:lang w:eastAsia="en-AU"/>
    </w:rPr>
  </w:style>
  <w:style w:type="character" w:customStyle="1" w:styleId="charamschno">
    <w:name w:val="charamschno"/>
    <w:basedOn w:val="DefaultParagraphFont"/>
    <w:rsid w:val="000E60B1"/>
  </w:style>
  <w:style w:type="character" w:customStyle="1" w:styleId="charamschtext">
    <w:name w:val="charamschtext"/>
    <w:basedOn w:val="DefaultParagraphFont"/>
    <w:rsid w:val="000E60B1"/>
  </w:style>
  <w:style w:type="paragraph" w:styleId="BalloonText">
    <w:name w:val="Balloon Text"/>
    <w:basedOn w:val="Normal"/>
    <w:link w:val="BalloonTextChar"/>
    <w:uiPriority w:val="99"/>
    <w:semiHidden/>
    <w:unhideWhenUsed/>
    <w:rsid w:val="000E60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0B1"/>
    <w:rPr>
      <w:rFonts w:ascii="Segoe UI" w:eastAsia="Calibri" w:hAnsi="Segoe UI" w:cs="Segoe UI"/>
      <w:sz w:val="18"/>
      <w:szCs w:val="18"/>
    </w:rPr>
  </w:style>
  <w:style w:type="paragraph" w:customStyle="1" w:styleId="Definition">
    <w:name w:val="Definition"/>
    <w:aliases w:val="dd"/>
    <w:basedOn w:val="Normal"/>
    <w:rsid w:val="000E60B1"/>
    <w:pPr>
      <w:spacing w:before="180" w:after="0" w:line="240" w:lineRule="auto"/>
      <w:ind w:left="1134"/>
    </w:pPr>
    <w:rPr>
      <w:rFonts w:ascii="Times New Roman" w:eastAsia="Times New Roman" w:hAnsi="Times New Roman"/>
      <w:szCs w:val="20"/>
      <w:lang w:eastAsia="en-AU"/>
    </w:rPr>
  </w:style>
  <w:style w:type="paragraph" w:customStyle="1" w:styleId="subsection">
    <w:name w:val="subsection"/>
    <w:aliases w:val="ss"/>
    <w:basedOn w:val="Normal"/>
    <w:link w:val="subsectionChar"/>
    <w:rsid w:val="000E60B1"/>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
    <w:name w:val="paragraph"/>
    <w:aliases w:val="a"/>
    <w:basedOn w:val="Normal"/>
    <w:link w:val="paragraphChar"/>
    <w:rsid w:val="000E60B1"/>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ubsection2">
    <w:name w:val="subsection2"/>
    <w:aliases w:val="ss2"/>
    <w:basedOn w:val="Normal"/>
    <w:rsid w:val="000E60B1"/>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subsectionChar">
    <w:name w:val="subsection Char"/>
    <w:aliases w:val="ss Char"/>
    <w:link w:val="subsection"/>
    <w:rsid w:val="000E60B1"/>
    <w:rPr>
      <w:rFonts w:ascii="Times New Roman" w:eastAsia="Times New Roman" w:hAnsi="Times New Roman" w:cs="Times New Roman"/>
      <w:sz w:val="24"/>
      <w:szCs w:val="24"/>
      <w:lang w:eastAsia="en-AU"/>
    </w:rPr>
  </w:style>
  <w:style w:type="character" w:customStyle="1" w:styleId="paragraphChar">
    <w:name w:val="paragraph Char"/>
    <w:aliases w:val="a Char"/>
    <w:link w:val="paragraph"/>
    <w:rsid w:val="000E60B1"/>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0E60B1"/>
    <w:rPr>
      <w:b/>
      <w:bCs/>
    </w:rPr>
  </w:style>
  <w:style w:type="character" w:customStyle="1" w:styleId="CommentSubjectChar">
    <w:name w:val="Comment Subject Char"/>
    <w:basedOn w:val="CommentTextChar"/>
    <w:link w:val="CommentSubject"/>
    <w:uiPriority w:val="99"/>
    <w:semiHidden/>
    <w:rsid w:val="000E60B1"/>
    <w:rPr>
      <w:b/>
      <w:bCs/>
      <w:sz w:val="20"/>
      <w:szCs w:val="20"/>
    </w:rPr>
  </w:style>
  <w:style w:type="paragraph" w:styleId="Revision">
    <w:name w:val="Revision"/>
    <w:hidden/>
    <w:uiPriority w:val="99"/>
    <w:semiHidden/>
    <w:rsid w:val="000E60B1"/>
    <w:pPr>
      <w:spacing w:after="0" w:line="240" w:lineRule="auto"/>
    </w:pPr>
  </w:style>
  <w:style w:type="character" w:styleId="Hyperlink">
    <w:name w:val="Hyperlink"/>
    <w:basedOn w:val="DefaultParagraphFont"/>
    <w:uiPriority w:val="99"/>
    <w:unhideWhenUsed/>
    <w:rsid w:val="000E60B1"/>
    <w:rPr>
      <w:color w:val="0563C1" w:themeColor="hyperlink"/>
      <w:u w:val="single"/>
    </w:rPr>
  </w:style>
  <w:style w:type="paragraph" w:customStyle="1" w:styleId="Default">
    <w:name w:val="Default"/>
    <w:rsid w:val="000E60B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61">
    <w:name w:val="Pa16++1"/>
    <w:basedOn w:val="Default"/>
    <w:next w:val="Default"/>
    <w:uiPriority w:val="99"/>
    <w:rsid w:val="000E60B1"/>
    <w:pPr>
      <w:spacing w:line="201" w:lineRule="atLeast"/>
    </w:pPr>
    <w:rPr>
      <w:rFonts w:ascii="Gotham Light" w:hAnsi="Gotham Light" w:cstheme="minorBidi"/>
      <w:color w:val="auto"/>
    </w:rPr>
  </w:style>
  <w:style w:type="character" w:customStyle="1" w:styleId="ListParagraphChar">
    <w:name w:val="List Paragraph Char"/>
    <w:aliases w:val="Bullet 1 Char,Bullet Points Char,CV text Char,Colorful List - Accent 11 Char,Dot pt Char,F5 List Paragraph Char,Indicator Text Char,L Char,List Paragraph Char Char Char Char,List Paragraph1 Char,List Paragraph11 Char,No Spacing1 Char"/>
    <w:basedOn w:val="DefaultParagraphFont"/>
    <w:link w:val="ListParagraph"/>
    <w:uiPriority w:val="34"/>
    <w:qFormat/>
    <w:locked/>
    <w:rsid w:val="000E60B1"/>
    <w:rPr>
      <w:rFonts w:ascii="Calibri" w:eastAsia="Calibri" w:hAnsi="Calibri" w:cs="Times New Roman"/>
    </w:rPr>
  </w:style>
  <w:style w:type="character" w:styleId="FollowedHyperlink">
    <w:name w:val="FollowedHyperlink"/>
    <w:basedOn w:val="DefaultParagraphFont"/>
    <w:uiPriority w:val="99"/>
    <w:semiHidden/>
    <w:unhideWhenUsed/>
    <w:rsid w:val="000E60B1"/>
    <w:rPr>
      <w:color w:val="954F72" w:themeColor="followedHyperlink"/>
      <w:u w:val="single"/>
    </w:rPr>
  </w:style>
  <w:style w:type="character" w:customStyle="1" w:styleId="apple-converted-space">
    <w:name w:val="apple-converted-space"/>
    <w:basedOn w:val="DefaultParagraphFont"/>
    <w:rsid w:val="000E60B1"/>
  </w:style>
  <w:style w:type="paragraph" w:customStyle="1" w:styleId="paragraphsub">
    <w:name w:val="paragraph(sub)"/>
    <w:aliases w:val="aa"/>
    <w:basedOn w:val="Normal"/>
    <w:rsid w:val="000E60B1"/>
    <w:pPr>
      <w:tabs>
        <w:tab w:val="right" w:pos="1985"/>
      </w:tabs>
      <w:spacing w:before="40" w:after="0" w:line="240" w:lineRule="auto"/>
      <w:ind w:left="2098" w:hanging="2098"/>
    </w:pPr>
    <w:rPr>
      <w:rFonts w:ascii="Times New Roman" w:eastAsia="Times New Roman" w:hAnsi="Times New Roman"/>
      <w:szCs w:val="20"/>
      <w:lang w:eastAsia="en-AU"/>
    </w:rPr>
  </w:style>
  <w:style w:type="paragraph" w:customStyle="1" w:styleId="ActHead6">
    <w:name w:val="ActHead 6"/>
    <w:aliases w:val="as"/>
    <w:basedOn w:val="Normal"/>
    <w:next w:val="Normal"/>
    <w:qFormat/>
    <w:rsid w:val="000E60B1"/>
    <w:pPr>
      <w:keepNext/>
      <w:keepLines/>
      <w:spacing w:after="0" w:line="240" w:lineRule="auto"/>
      <w:ind w:left="1134" w:hanging="1134"/>
      <w:outlineLvl w:val="5"/>
    </w:pPr>
    <w:rPr>
      <w:rFonts w:ascii="Arial" w:eastAsia="Times New Roman" w:hAnsi="Arial"/>
      <w:b/>
      <w:kern w:val="28"/>
      <w:sz w:val="32"/>
      <w:szCs w:val="20"/>
      <w:lang w:eastAsia="en-AU"/>
    </w:rPr>
  </w:style>
  <w:style w:type="paragraph" w:customStyle="1" w:styleId="tabletext0">
    <w:name w:val="tabletext"/>
    <w:basedOn w:val="Normal"/>
    <w:rsid w:val="000E60B1"/>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tabletext1">
    <w:name w:val="tabletext1"/>
    <w:basedOn w:val="Normal"/>
    <w:rsid w:val="000E60B1"/>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BodyNum">
    <w:name w:val="BodyNum"/>
    <w:aliases w:val="b1"/>
    <w:basedOn w:val="Normal"/>
    <w:rsid w:val="000E60B1"/>
    <w:pPr>
      <w:numPr>
        <w:numId w:val="1"/>
      </w:numPr>
      <w:spacing w:before="240" w:after="0" w:line="240" w:lineRule="auto"/>
    </w:pPr>
    <w:rPr>
      <w:rFonts w:ascii="Times New Roman" w:eastAsia="Times New Roman" w:hAnsi="Times New Roman"/>
      <w:sz w:val="24"/>
      <w:szCs w:val="20"/>
      <w:lang w:eastAsia="en-AU"/>
    </w:rPr>
  </w:style>
  <w:style w:type="paragraph" w:customStyle="1" w:styleId="BodyPara">
    <w:name w:val="BodyPara"/>
    <w:aliases w:val="ba"/>
    <w:basedOn w:val="Normal"/>
    <w:rsid w:val="000E60B1"/>
    <w:pPr>
      <w:numPr>
        <w:ilvl w:val="1"/>
        <w:numId w:val="1"/>
      </w:numPr>
      <w:spacing w:before="240" w:after="0" w:line="240" w:lineRule="auto"/>
    </w:pPr>
    <w:rPr>
      <w:rFonts w:ascii="Times New Roman" w:eastAsia="Times New Roman" w:hAnsi="Times New Roman"/>
      <w:sz w:val="24"/>
      <w:szCs w:val="20"/>
      <w:lang w:eastAsia="en-AU"/>
    </w:rPr>
  </w:style>
  <w:style w:type="numbering" w:customStyle="1" w:styleId="OPCBodyList">
    <w:name w:val="OPCBodyList"/>
    <w:uiPriority w:val="99"/>
    <w:rsid w:val="000E60B1"/>
    <w:pPr>
      <w:numPr>
        <w:numId w:val="1"/>
      </w:numPr>
    </w:pPr>
  </w:style>
  <w:style w:type="character" w:customStyle="1" w:styleId="legsubtitle1">
    <w:name w:val="legsubtitle1"/>
    <w:basedOn w:val="DefaultParagraphFont"/>
    <w:rsid w:val="000E60B1"/>
    <w:rPr>
      <w:b/>
      <w:bCs/>
    </w:rPr>
  </w:style>
  <w:style w:type="paragraph" w:customStyle="1" w:styleId="ActHead9">
    <w:name w:val="ActHead 9"/>
    <w:aliases w:val="aat"/>
    <w:basedOn w:val="Normal"/>
    <w:next w:val="Normal"/>
    <w:qFormat/>
    <w:rsid w:val="000E60B1"/>
    <w:pPr>
      <w:keepNext/>
      <w:keepLines/>
      <w:spacing w:before="280" w:after="0" w:line="240" w:lineRule="auto"/>
      <w:ind w:left="1134" w:hanging="1134"/>
      <w:outlineLvl w:val="8"/>
    </w:pPr>
    <w:rPr>
      <w:rFonts w:ascii="Times New Roman" w:eastAsia="Times New Roman" w:hAnsi="Times New Roman"/>
      <w:b/>
      <w:i/>
      <w:kern w:val="28"/>
      <w:sz w:val="28"/>
      <w:szCs w:val="20"/>
      <w:lang w:eastAsia="en-AU"/>
    </w:rPr>
  </w:style>
  <w:style w:type="paragraph" w:customStyle="1" w:styleId="item">
    <w:name w:val="item"/>
    <w:basedOn w:val="Normal"/>
    <w:rsid w:val="000E60B1"/>
    <w:pPr>
      <w:spacing w:before="100" w:beforeAutospacing="1" w:after="100" w:afterAutospacing="1" w:line="240" w:lineRule="auto"/>
    </w:pPr>
    <w:rPr>
      <w:rFonts w:ascii="Times New Roman" w:eastAsia="Times New Roman" w:hAnsi="Times New Roman"/>
      <w:sz w:val="24"/>
      <w:szCs w:val="24"/>
      <w:lang w:eastAsia="en-AU"/>
    </w:rPr>
  </w:style>
  <w:style w:type="paragraph" w:styleId="NormalWeb">
    <w:name w:val="Normal (Web)"/>
    <w:basedOn w:val="Normal"/>
    <w:uiPriority w:val="99"/>
    <w:semiHidden/>
    <w:unhideWhenUsed/>
    <w:rsid w:val="000E60B1"/>
    <w:pPr>
      <w:spacing w:before="100" w:beforeAutospacing="1" w:after="100" w:afterAutospacing="1" w:line="240" w:lineRule="auto"/>
    </w:pPr>
    <w:rPr>
      <w:rFonts w:ascii="Times New Roman" w:eastAsiaTheme="minorEastAsia" w:hAnsi="Times New Roman"/>
      <w:sz w:val="24"/>
      <w:szCs w:val="24"/>
      <w:lang w:eastAsia="en-AU"/>
    </w:rPr>
  </w:style>
  <w:style w:type="character" w:customStyle="1" w:styleId="Heading3Char">
    <w:name w:val="Heading 3 Char"/>
    <w:basedOn w:val="DefaultParagraphFont"/>
    <w:link w:val="Heading3"/>
    <w:uiPriority w:val="9"/>
    <w:semiHidden/>
    <w:rsid w:val="00873102"/>
    <w:rPr>
      <w:rFonts w:ascii="Times New Roman" w:hAnsi="Times New Roman" w:cs="Times New Roman"/>
      <w:b/>
      <w:bCs/>
      <w:sz w:val="27"/>
      <w:szCs w:val="27"/>
      <w:lang w:eastAsia="en-AU"/>
    </w:rPr>
  </w:style>
  <w:style w:type="character" w:customStyle="1" w:styleId="ui-provider">
    <w:name w:val="ui-provider"/>
    <w:basedOn w:val="DefaultParagraphFont"/>
    <w:rsid w:val="008B4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3913">
      <w:bodyDiv w:val="1"/>
      <w:marLeft w:val="0"/>
      <w:marRight w:val="0"/>
      <w:marTop w:val="0"/>
      <w:marBottom w:val="0"/>
      <w:divBdr>
        <w:top w:val="none" w:sz="0" w:space="0" w:color="auto"/>
        <w:left w:val="none" w:sz="0" w:space="0" w:color="auto"/>
        <w:bottom w:val="none" w:sz="0" w:space="0" w:color="auto"/>
        <w:right w:val="none" w:sz="0" w:space="0" w:color="auto"/>
      </w:divBdr>
    </w:div>
    <w:div w:id="342124330">
      <w:bodyDiv w:val="1"/>
      <w:marLeft w:val="0"/>
      <w:marRight w:val="0"/>
      <w:marTop w:val="0"/>
      <w:marBottom w:val="0"/>
      <w:divBdr>
        <w:top w:val="none" w:sz="0" w:space="0" w:color="auto"/>
        <w:left w:val="none" w:sz="0" w:space="0" w:color="auto"/>
        <w:bottom w:val="none" w:sz="0" w:space="0" w:color="auto"/>
        <w:right w:val="none" w:sz="0" w:space="0" w:color="auto"/>
      </w:divBdr>
    </w:div>
    <w:div w:id="350030975">
      <w:bodyDiv w:val="1"/>
      <w:marLeft w:val="0"/>
      <w:marRight w:val="0"/>
      <w:marTop w:val="0"/>
      <w:marBottom w:val="0"/>
      <w:divBdr>
        <w:top w:val="none" w:sz="0" w:space="0" w:color="auto"/>
        <w:left w:val="none" w:sz="0" w:space="0" w:color="auto"/>
        <w:bottom w:val="none" w:sz="0" w:space="0" w:color="auto"/>
        <w:right w:val="none" w:sz="0" w:space="0" w:color="auto"/>
      </w:divBdr>
    </w:div>
    <w:div w:id="1988313644">
      <w:bodyDiv w:val="1"/>
      <w:marLeft w:val="0"/>
      <w:marRight w:val="0"/>
      <w:marTop w:val="0"/>
      <w:marBottom w:val="0"/>
      <w:divBdr>
        <w:top w:val="none" w:sz="0" w:space="0" w:color="auto"/>
        <w:left w:val="none" w:sz="0" w:space="0" w:color="auto"/>
        <w:bottom w:val="none" w:sz="0" w:space="0" w:color="auto"/>
        <w:right w:val="none" w:sz="0" w:space="0" w:color="auto"/>
      </w:divBdr>
    </w:div>
    <w:div w:id="214245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EA53BE6BCDC5A4F827916C47E974C90" ma:contentTypeVersion="" ma:contentTypeDescription="PDMS Document Site Content Type" ma:contentTypeScope="" ma:versionID="ab19bd1132f35d69f01402eb44b51061">
  <xsd:schema xmlns:xsd="http://www.w3.org/2001/XMLSchema" xmlns:xs="http://www.w3.org/2001/XMLSchema" xmlns:p="http://schemas.microsoft.com/office/2006/metadata/properties" xmlns:ns2="FD917E5E-F9F3-4950-8646-138CCB46402E" targetNamespace="http://schemas.microsoft.com/office/2006/metadata/properties" ma:root="true" ma:fieldsID="d5e67fedd4f2b4c75af6a9789809da55" ns2:_="">
    <xsd:import namespace="FD917E5E-F9F3-4950-8646-138CCB46402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17E5E-F9F3-4950-8646-138CCB46402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FD917E5E-F9F3-4950-8646-138CCB46402E" xsi:nil="true"/>
  </documentManagement>
</p:properties>
</file>

<file path=customXml/itemProps1.xml><?xml version="1.0" encoding="utf-8"?>
<ds:datastoreItem xmlns:ds="http://schemas.openxmlformats.org/officeDocument/2006/customXml" ds:itemID="{2D947F23-9893-493D-98D0-DFC1A057A9B9}">
  <ds:schemaRefs>
    <ds:schemaRef ds:uri="http://schemas.microsoft.com/sharepoint/v3/contenttype/forms"/>
  </ds:schemaRefs>
</ds:datastoreItem>
</file>

<file path=customXml/itemProps2.xml><?xml version="1.0" encoding="utf-8"?>
<ds:datastoreItem xmlns:ds="http://schemas.openxmlformats.org/officeDocument/2006/customXml" ds:itemID="{4B851E5D-11DB-4F5A-9E06-DFCBDE5AF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17E5E-F9F3-4950-8646-138CCB464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A78037-F8E6-4CE2-8ECD-2EC8A394D72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FD917E5E-F9F3-4950-8646-138CCB46402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2124</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Jenny</dc:creator>
  <cp:keywords/>
  <dc:description/>
  <cp:lastModifiedBy>JURD,Michael</cp:lastModifiedBy>
  <cp:revision>2</cp:revision>
  <dcterms:created xsi:type="dcterms:W3CDTF">2023-12-15T01:04:00Z</dcterms:created>
  <dcterms:modified xsi:type="dcterms:W3CDTF">2023-12-15T01:04:00Z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0x010100266966F133664895A6EE3632470D45F500EEA53BE6BCDC5A4F827916C47E974C90</vt:lpwstr>
  </property>
  <property fmtid="{D5CDD505-2E9C-101B-9397-08002B2CF9AE}" pid="3" name="MSIP_Label_79d889eb-932f-4752-8739-64d25806ef64_Enabled">
    <vt:lpwstr>true</vt:lpwstr>
  </property>
  <property fmtid="{D5CDD505-2E9C-101B-9397-08002B2CF9AE}" pid="4" name="MSIP_Label_79d889eb-932f-4752-8739-64d25806ef64_SetDate">
    <vt:lpwstr>2022-09-13T23:39:49Z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3738bc5b-cc3c-4b14-9e7b-835c8769a176</vt:lpwstr>
  </property>
  <property fmtid="{D5CDD505-2E9C-101B-9397-08002B2CF9AE}" pid="9" name="MSIP_Label_79d889eb-932f-4752-8739-64d25806ef64_ContentBits">
    <vt:lpwstr>0</vt:lpwstr>
  </property>
  <property fmtid="{D5CDD505-2E9C-101B-9397-08002B2CF9AE}" pid="10" name="MediaServiceImageTags">
    <vt:lpwstr/>
  </property>
</Properties>
</file>