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9FD2" w14:textId="77777777" w:rsidR="005E317F" w:rsidRPr="00B134DC" w:rsidRDefault="005E317F" w:rsidP="005E317F">
      <w:pPr>
        <w:rPr>
          <w:sz w:val="28"/>
        </w:rPr>
      </w:pPr>
      <w:r w:rsidRPr="00B134DC">
        <w:rPr>
          <w:noProof/>
          <w:lang w:eastAsia="en-AU"/>
        </w:rPr>
        <w:drawing>
          <wp:inline distT="0" distB="0" distL="0" distR="0" wp14:anchorId="55B5DDC3" wp14:editId="3D0971D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22FB47" w14:textId="77777777" w:rsidR="005E317F" w:rsidRPr="00B134DC" w:rsidRDefault="005E317F" w:rsidP="005E317F">
      <w:pPr>
        <w:rPr>
          <w:sz w:val="19"/>
        </w:rPr>
      </w:pPr>
    </w:p>
    <w:p w14:paraId="0C0EB148" w14:textId="72121CE6" w:rsidR="005E317F" w:rsidRPr="00B134DC" w:rsidRDefault="0067195D" w:rsidP="005E317F">
      <w:pPr>
        <w:pStyle w:val="ShortT"/>
      </w:pPr>
      <w:r w:rsidRPr="00B134DC">
        <w:t xml:space="preserve">Therapeutic Goods (Medicines—Authorised Supply) </w:t>
      </w:r>
      <w:r w:rsidR="005E317F" w:rsidRPr="00B134DC">
        <w:t>Amendment (</w:t>
      </w:r>
      <w:r w:rsidRPr="00B134DC">
        <w:t>Vaping</w:t>
      </w:r>
      <w:r w:rsidR="005E317F" w:rsidRPr="00B134DC">
        <w:t xml:space="preserve">) </w:t>
      </w:r>
      <w:r w:rsidRPr="00B134DC">
        <w:t>Rules 2023</w:t>
      </w:r>
    </w:p>
    <w:p w14:paraId="2AB3CC82" w14:textId="4FD2257A" w:rsidR="005E317F" w:rsidRPr="00B134DC" w:rsidRDefault="005E317F" w:rsidP="005E317F">
      <w:pPr>
        <w:pStyle w:val="SignCoverPageStart"/>
        <w:spacing w:before="240"/>
        <w:ind w:right="91"/>
        <w:rPr>
          <w:szCs w:val="22"/>
        </w:rPr>
      </w:pPr>
      <w:r w:rsidRPr="00B134DC">
        <w:rPr>
          <w:szCs w:val="22"/>
        </w:rPr>
        <w:t xml:space="preserve">I, </w:t>
      </w:r>
      <w:r w:rsidR="0067195D" w:rsidRPr="00B134DC">
        <w:rPr>
          <w:szCs w:val="22"/>
        </w:rPr>
        <w:t>Anthony Lawler</w:t>
      </w:r>
      <w:r w:rsidRPr="00B134DC">
        <w:rPr>
          <w:szCs w:val="22"/>
        </w:rPr>
        <w:t xml:space="preserve">, </w:t>
      </w:r>
      <w:r w:rsidR="0067195D" w:rsidRPr="00B134DC">
        <w:rPr>
          <w:szCs w:val="22"/>
        </w:rPr>
        <w:t>as delegate of the Minister for Health and Aged Care</w:t>
      </w:r>
      <w:r w:rsidRPr="00B134DC">
        <w:rPr>
          <w:szCs w:val="22"/>
        </w:rPr>
        <w:t xml:space="preserve">, make the following </w:t>
      </w:r>
      <w:r w:rsidR="0067195D" w:rsidRPr="00B134DC">
        <w:rPr>
          <w:szCs w:val="22"/>
        </w:rPr>
        <w:t>rules</w:t>
      </w:r>
      <w:r w:rsidRPr="00B134DC">
        <w:rPr>
          <w:szCs w:val="22"/>
        </w:rPr>
        <w:t>.</w:t>
      </w:r>
    </w:p>
    <w:p w14:paraId="4EB9574A" w14:textId="1AF2420E" w:rsidR="005E317F" w:rsidRPr="00B134DC" w:rsidRDefault="005E317F" w:rsidP="005E317F">
      <w:pPr>
        <w:keepNext/>
        <w:spacing w:before="300" w:line="240" w:lineRule="atLeast"/>
        <w:ind w:right="397"/>
        <w:jc w:val="both"/>
        <w:rPr>
          <w:szCs w:val="22"/>
        </w:rPr>
      </w:pPr>
      <w:r w:rsidRPr="00B134DC">
        <w:rPr>
          <w:szCs w:val="22"/>
        </w:rPr>
        <w:t>Dated</w:t>
      </w:r>
      <w:r w:rsidR="0067195D" w:rsidRPr="00B134DC">
        <w:rPr>
          <w:szCs w:val="22"/>
        </w:rPr>
        <w:t xml:space="preserve"> </w:t>
      </w:r>
      <w:r w:rsidR="00F53FB7" w:rsidRPr="00B134DC">
        <w:rPr>
          <w:szCs w:val="22"/>
        </w:rPr>
        <w:t xml:space="preserve">15 </w:t>
      </w:r>
      <w:r w:rsidR="0067195D" w:rsidRPr="00B134DC">
        <w:rPr>
          <w:szCs w:val="22"/>
        </w:rPr>
        <w:t>December 2023</w:t>
      </w:r>
    </w:p>
    <w:p w14:paraId="37569756" w14:textId="203A728A" w:rsidR="005E317F" w:rsidRPr="00B134DC" w:rsidRDefault="0067195D" w:rsidP="005E317F">
      <w:pPr>
        <w:keepNext/>
        <w:tabs>
          <w:tab w:val="left" w:pos="3402"/>
        </w:tabs>
        <w:spacing w:before="1440" w:line="300" w:lineRule="atLeast"/>
        <w:ind w:right="397"/>
        <w:rPr>
          <w:b/>
          <w:szCs w:val="22"/>
        </w:rPr>
      </w:pPr>
      <w:r w:rsidRPr="00B134DC">
        <w:rPr>
          <w:szCs w:val="22"/>
        </w:rPr>
        <w:t>Professor Anthony Lawler</w:t>
      </w:r>
    </w:p>
    <w:p w14:paraId="0FF895D6" w14:textId="07D446DC" w:rsidR="005E317F" w:rsidRPr="00B134DC" w:rsidRDefault="0067195D" w:rsidP="005E317F">
      <w:pPr>
        <w:pStyle w:val="SignCoverPageEnd"/>
        <w:ind w:right="91"/>
        <w:rPr>
          <w:sz w:val="22"/>
        </w:rPr>
      </w:pPr>
      <w:r w:rsidRPr="00B134DC">
        <w:rPr>
          <w:sz w:val="22"/>
        </w:rPr>
        <w:t>Deputy Secretary</w:t>
      </w:r>
      <w:r w:rsidRPr="00B134DC">
        <w:rPr>
          <w:sz w:val="22"/>
        </w:rPr>
        <w:br/>
        <w:t>Health Products Regulation Group</w:t>
      </w:r>
      <w:r w:rsidRPr="00B134DC">
        <w:rPr>
          <w:sz w:val="22"/>
        </w:rPr>
        <w:br/>
        <w:t>Department of Health and Aged Care</w:t>
      </w:r>
    </w:p>
    <w:p w14:paraId="4E98F32E" w14:textId="77777777" w:rsidR="00B20990" w:rsidRPr="00B134DC" w:rsidRDefault="00B20990" w:rsidP="00B20990"/>
    <w:p w14:paraId="5CB60DA4" w14:textId="77777777" w:rsidR="00B20990" w:rsidRPr="00B134DC" w:rsidRDefault="00B20990" w:rsidP="00B20990">
      <w:pPr>
        <w:sectPr w:rsidR="00B20990" w:rsidRPr="00B134DC"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4F3635ED" w14:textId="77777777" w:rsidR="00B20990" w:rsidRPr="00B134DC" w:rsidRDefault="00B20990" w:rsidP="00B20990">
      <w:pPr>
        <w:outlineLvl w:val="0"/>
        <w:rPr>
          <w:sz w:val="36"/>
        </w:rPr>
      </w:pPr>
      <w:r w:rsidRPr="00B134DC">
        <w:rPr>
          <w:sz w:val="36"/>
        </w:rPr>
        <w:lastRenderedPageBreak/>
        <w:t>Contents</w:t>
      </w:r>
    </w:p>
    <w:bookmarkStart w:id="0" w:name="BKCheck15B_2"/>
    <w:bookmarkEnd w:id="0"/>
    <w:p w14:paraId="65C096A8" w14:textId="01BA45C4" w:rsidR="008E66C4" w:rsidRDefault="00B20990">
      <w:pPr>
        <w:pStyle w:val="TOC5"/>
        <w:rPr>
          <w:rFonts w:asciiTheme="minorHAnsi" w:eastAsiaTheme="minorEastAsia" w:hAnsiTheme="minorHAnsi" w:cstheme="minorBidi"/>
          <w:noProof/>
          <w:kern w:val="0"/>
          <w:sz w:val="22"/>
          <w:szCs w:val="22"/>
        </w:rPr>
      </w:pPr>
      <w:r w:rsidRPr="00B134DC">
        <w:fldChar w:fldCharType="begin"/>
      </w:r>
      <w:r w:rsidRPr="00B134DC">
        <w:instrText xml:space="preserve"> TOC \o "1-9" </w:instrText>
      </w:r>
      <w:r w:rsidRPr="00B134DC">
        <w:fldChar w:fldCharType="separate"/>
      </w:r>
      <w:r w:rsidR="008E66C4">
        <w:rPr>
          <w:noProof/>
        </w:rPr>
        <w:t>1  Name</w:t>
      </w:r>
      <w:r w:rsidR="008E66C4">
        <w:rPr>
          <w:noProof/>
        </w:rPr>
        <w:tab/>
      </w:r>
      <w:r w:rsidR="008E66C4">
        <w:rPr>
          <w:noProof/>
        </w:rPr>
        <w:fldChar w:fldCharType="begin"/>
      </w:r>
      <w:r w:rsidR="008E66C4">
        <w:rPr>
          <w:noProof/>
        </w:rPr>
        <w:instrText xml:space="preserve"> PAGEREF _Toc153435390 \h </w:instrText>
      </w:r>
      <w:r w:rsidR="008E66C4">
        <w:rPr>
          <w:noProof/>
        </w:rPr>
      </w:r>
      <w:r w:rsidR="008E66C4">
        <w:rPr>
          <w:noProof/>
        </w:rPr>
        <w:fldChar w:fldCharType="separate"/>
      </w:r>
      <w:r w:rsidR="008E66C4">
        <w:rPr>
          <w:noProof/>
        </w:rPr>
        <w:t>1</w:t>
      </w:r>
      <w:r w:rsidR="008E66C4">
        <w:rPr>
          <w:noProof/>
        </w:rPr>
        <w:fldChar w:fldCharType="end"/>
      </w:r>
    </w:p>
    <w:p w14:paraId="28609A00" w14:textId="24A3692A" w:rsidR="008E66C4" w:rsidRDefault="008E66C4">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_Toc153435391 \h </w:instrText>
      </w:r>
      <w:r>
        <w:rPr>
          <w:noProof/>
        </w:rPr>
      </w:r>
      <w:r>
        <w:rPr>
          <w:noProof/>
        </w:rPr>
        <w:fldChar w:fldCharType="separate"/>
      </w:r>
      <w:r>
        <w:rPr>
          <w:noProof/>
        </w:rPr>
        <w:t>1</w:t>
      </w:r>
      <w:r>
        <w:rPr>
          <w:noProof/>
        </w:rPr>
        <w:fldChar w:fldCharType="end"/>
      </w:r>
    </w:p>
    <w:p w14:paraId="1D00CC37" w14:textId="40214809" w:rsidR="008E66C4" w:rsidRDefault="008E66C4">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_Toc153435392 \h </w:instrText>
      </w:r>
      <w:r>
        <w:rPr>
          <w:noProof/>
        </w:rPr>
      </w:r>
      <w:r>
        <w:rPr>
          <w:noProof/>
        </w:rPr>
        <w:fldChar w:fldCharType="separate"/>
      </w:r>
      <w:r>
        <w:rPr>
          <w:noProof/>
        </w:rPr>
        <w:t>1</w:t>
      </w:r>
      <w:r>
        <w:rPr>
          <w:noProof/>
        </w:rPr>
        <w:fldChar w:fldCharType="end"/>
      </w:r>
    </w:p>
    <w:p w14:paraId="42A72821" w14:textId="70333F8B" w:rsidR="008E66C4" w:rsidRDefault="008E66C4">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_Toc153435393 \h </w:instrText>
      </w:r>
      <w:r>
        <w:rPr>
          <w:noProof/>
        </w:rPr>
      </w:r>
      <w:r>
        <w:rPr>
          <w:noProof/>
        </w:rPr>
        <w:fldChar w:fldCharType="separate"/>
      </w:r>
      <w:r>
        <w:rPr>
          <w:noProof/>
        </w:rPr>
        <w:t>1</w:t>
      </w:r>
      <w:r>
        <w:rPr>
          <w:noProof/>
        </w:rPr>
        <w:fldChar w:fldCharType="end"/>
      </w:r>
    </w:p>
    <w:p w14:paraId="21BB6523" w14:textId="310C46DE" w:rsidR="008E66C4" w:rsidRDefault="008E66C4">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_Toc153435394 \h </w:instrText>
      </w:r>
      <w:r>
        <w:rPr>
          <w:noProof/>
        </w:rPr>
      </w:r>
      <w:r>
        <w:rPr>
          <w:noProof/>
        </w:rPr>
        <w:fldChar w:fldCharType="separate"/>
      </w:r>
      <w:r>
        <w:rPr>
          <w:noProof/>
        </w:rPr>
        <w:t>2</w:t>
      </w:r>
      <w:r>
        <w:rPr>
          <w:noProof/>
        </w:rPr>
        <w:fldChar w:fldCharType="end"/>
      </w:r>
    </w:p>
    <w:p w14:paraId="2D23BFD1" w14:textId="514253C0" w:rsidR="008E66C4" w:rsidRDefault="008E66C4">
      <w:pPr>
        <w:pStyle w:val="TOC9"/>
        <w:rPr>
          <w:rFonts w:asciiTheme="minorHAnsi" w:eastAsiaTheme="minorEastAsia" w:hAnsiTheme="minorHAnsi" w:cstheme="minorBidi"/>
          <w:i w:val="0"/>
          <w:noProof/>
          <w:kern w:val="0"/>
          <w:sz w:val="22"/>
          <w:szCs w:val="22"/>
        </w:rPr>
      </w:pPr>
      <w:r>
        <w:rPr>
          <w:noProof/>
        </w:rPr>
        <w:t>Therapeutic Goods (Medicines—Authorised Supply) Rules 2022</w:t>
      </w:r>
      <w:r>
        <w:rPr>
          <w:noProof/>
        </w:rPr>
        <w:tab/>
      </w:r>
      <w:r>
        <w:rPr>
          <w:noProof/>
        </w:rPr>
        <w:fldChar w:fldCharType="begin"/>
      </w:r>
      <w:r>
        <w:rPr>
          <w:noProof/>
        </w:rPr>
        <w:instrText xml:space="preserve"> PAGEREF _Toc153435395 \h </w:instrText>
      </w:r>
      <w:r>
        <w:rPr>
          <w:noProof/>
        </w:rPr>
      </w:r>
      <w:r>
        <w:rPr>
          <w:noProof/>
        </w:rPr>
        <w:fldChar w:fldCharType="separate"/>
      </w:r>
      <w:r>
        <w:rPr>
          <w:noProof/>
        </w:rPr>
        <w:t>2</w:t>
      </w:r>
      <w:r>
        <w:rPr>
          <w:noProof/>
        </w:rPr>
        <w:fldChar w:fldCharType="end"/>
      </w:r>
    </w:p>
    <w:p w14:paraId="4F826F12" w14:textId="50ED8E34" w:rsidR="008E66C4" w:rsidRDefault="008E66C4">
      <w:pPr>
        <w:pStyle w:val="TOC9"/>
        <w:rPr>
          <w:rFonts w:asciiTheme="minorHAnsi" w:eastAsiaTheme="minorEastAsia" w:hAnsiTheme="minorHAnsi" w:cstheme="minorBidi"/>
          <w:i w:val="0"/>
          <w:noProof/>
          <w:kern w:val="0"/>
          <w:sz w:val="22"/>
          <w:szCs w:val="22"/>
        </w:rPr>
      </w:pPr>
      <w:r>
        <w:rPr>
          <w:noProof/>
        </w:rPr>
        <w:t>Therapeutic Goods (Biologicals—Authorised Supply) Rules 2022</w:t>
      </w:r>
      <w:r>
        <w:rPr>
          <w:noProof/>
        </w:rPr>
        <w:tab/>
      </w:r>
      <w:r>
        <w:rPr>
          <w:noProof/>
        </w:rPr>
        <w:fldChar w:fldCharType="begin"/>
      </w:r>
      <w:r>
        <w:rPr>
          <w:noProof/>
        </w:rPr>
        <w:instrText xml:space="preserve"> PAGEREF _Toc153435396 \h </w:instrText>
      </w:r>
      <w:r>
        <w:rPr>
          <w:noProof/>
        </w:rPr>
      </w:r>
      <w:r>
        <w:rPr>
          <w:noProof/>
        </w:rPr>
        <w:fldChar w:fldCharType="separate"/>
      </w:r>
      <w:r>
        <w:rPr>
          <w:noProof/>
        </w:rPr>
        <w:t>6</w:t>
      </w:r>
      <w:r>
        <w:rPr>
          <w:noProof/>
        </w:rPr>
        <w:fldChar w:fldCharType="end"/>
      </w:r>
    </w:p>
    <w:p w14:paraId="59EBDD94" w14:textId="7915536F" w:rsidR="008E66C4" w:rsidRDefault="008E66C4">
      <w:pPr>
        <w:pStyle w:val="TOC9"/>
        <w:rPr>
          <w:rFonts w:asciiTheme="minorHAnsi" w:eastAsiaTheme="minorEastAsia" w:hAnsiTheme="minorHAnsi" w:cstheme="minorBidi"/>
          <w:i w:val="0"/>
          <w:noProof/>
          <w:kern w:val="0"/>
          <w:sz w:val="22"/>
          <w:szCs w:val="22"/>
        </w:rPr>
      </w:pPr>
      <w:r>
        <w:rPr>
          <w:noProof/>
        </w:rPr>
        <w:t>Therapeutic Goods (Medical Devices—Authorised Supply) Rules 2022</w:t>
      </w:r>
      <w:r>
        <w:rPr>
          <w:noProof/>
        </w:rPr>
        <w:tab/>
      </w:r>
      <w:r>
        <w:rPr>
          <w:noProof/>
        </w:rPr>
        <w:fldChar w:fldCharType="begin"/>
      </w:r>
      <w:r>
        <w:rPr>
          <w:noProof/>
        </w:rPr>
        <w:instrText xml:space="preserve"> PAGEREF _Toc153435397 \h </w:instrText>
      </w:r>
      <w:r>
        <w:rPr>
          <w:noProof/>
        </w:rPr>
      </w:r>
      <w:r>
        <w:rPr>
          <w:noProof/>
        </w:rPr>
        <w:fldChar w:fldCharType="separate"/>
      </w:r>
      <w:r>
        <w:rPr>
          <w:noProof/>
        </w:rPr>
        <w:t>6</w:t>
      </w:r>
      <w:r>
        <w:rPr>
          <w:noProof/>
        </w:rPr>
        <w:fldChar w:fldCharType="end"/>
      </w:r>
    </w:p>
    <w:p w14:paraId="47B404E3" w14:textId="48A06104" w:rsidR="00B20990" w:rsidRPr="00B134DC" w:rsidRDefault="00B20990" w:rsidP="005E317F">
      <w:r w:rsidRPr="00B134DC">
        <w:rPr>
          <w:rFonts w:cs="Times New Roman"/>
          <w:sz w:val="20"/>
        </w:rPr>
        <w:fldChar w:fldCharType="end"/>
      </w:r>
    </w:p>
    <w:p w14:paraId="602C5539" w14:textId="77777777" w:rsidR="00B20990" w:rsidRPr="00B134DC" w:rsidRDefault="00B20990" w:rsidP="00B20990"/>
    <w:p w14:paraId="1FCE66F7" w14:textId="77777777" w:rsidR="00B20990" w:rsidRPr="00B134DC" w:rsidRDefault="00B20990" w:rsidP="00B20990">
      <w:pPr>
        <w:sectPr w:rsidR="00B20990" w:rsidRPr="00B134DC"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4C50E3DA" w14:textId="77777777" w:rsidR="005E317F" w:rsidRPr="00B134DC" w:rsidRDefault="005E317F" w:rsidP="005E317F">
      <w:pPr>
        <w:pStyle w:val="ActHead5"/>
      </w:pPr>
      <w:bookmarkStart w:id="1" w:name="_Toc153435390"/>
      <w:r w:rsidRPr="00B134DC">
        <w:rPr>
          <w:rStyle w:val="CharSectno"/>
        </w:rPr>
        <w:lastRenderedPageBreak/>
        <w:t>1</w:t>
      </w:r>
      <w:r w:rsidRPr="00B134DC">
        <w:t xml:space="preserve">  Name</w:t>
      </w:r>
      <w:bookmarkEnd w:id="1"/>
    </w:p>
    <w:p w14:paraId="5641FF08" w14:textId="46341CC0" w:rsidR="005E317F" w:rsidRPr="00B134DC" w:rsidRDefault="005E317F" w:rsidP="005E317F">
      <w:pPr>
        <w:pStyle w:val="subsection"/>
      </w:pPr>
      <w:r w:rsidRPr="00B134DC">
        <w:tab/>
      </w:r>
      <w:r w:rsidRPr="00B134DC">
        <w:tab/>
        <w:t xml:space="preserve">This instrument is the </w:t>
      </w:r>
      <w:bookmarkStart w:id="2" w:name="BKCheck15B_3"/>
      <w:bookmarkEnd w:id="2"/>
      <w:r w:rsidR="0067195D" w:rsidRPr="00B134DC">
        <w:rPr>
          <w:i/>
        </w:rPr>
        <w:t>Therapeutic Goods (Medicines—Authorised Supply) Amendment (Vaping) Rules 2023</w:t>
      </w:r>
      <w:r w:rsidRPr="00B134DC">
        <w:t>.</w:t>
      </w:r>
    </w:p>
    <w:p w14:paraId="3CE1B1C5" w14:textId="77777777" w:rsidR="005E317F" w:rsidRPr="00B134DC" w:rsidRDefault="005E317F" w:rsidP="005E317F">
      <w:pPr>
        <w:pStyle w:val="ActHead5"/>
      </w:pPr>
      <w:bookmarkStart w:id="3" w:name="_Toc153435391"/>
      <w:r w:rsidRPr="00B134DC">
        <w:rPr>
          <w:rStyle w:val="CharSectno"/>
        </w:rPr>
        <w:t>2</w:t>
      </w:r>
      <w:r w:rsidRPr="00B134DC">
        <w:t xml:space="preserve">  Commencement</w:t>
      </w:r>
      <w:bookmarkEnd w:id="3"/>
    </w:p>
    <w:p w14:paraId="18E7FCFD" w14:textId="77777777" w:rsidR="0067195D" w:rsidRPr="00B134DC" w:rsidRDefault="0067195D" w:rsidP="0067195D">
      <w:pPr>
        <w:pStyle w:val="subsection"/>
        <w:shd w:val="clear" w:color="auto" w:fill="FFFFFF"/>
        <w:rPr>
          <w:color w:val="000000"/>
          <w:szCs w:val="22"/>
        </w:rPr>
      </w:pPr>
      <w:r w:rsidRPr="00B134DC">
        <w:tab/>
      </w:r>
      <w:r w:rsidRPr="00B134DC">
        <w:rPr>
          <w:color w:val="000000"/>
          <w:szCs w:val="22"/>
        </w:rPr>
        <w:t>(1)</w:t>
      </w:r>
      <w:r w:rsidRPr="00B134DC">
        <w:tab/>
      </w:r>
      <w:r w:rsidRPr="00B134DC">
        <w:rPr>
          <w:color w:val="000000"/>
          <w:szCs w:val="22"/>
        </w:rPr>
        <w:t>Each provision of this instrument specified in column 1 of the table commences, or is taken to have commenced, in accordance with column 2 of the table. Any other statement in column 2 has effect according to its terms.</w:t>
      </w:r>
    </w:p>
    <w:p w14:paraId="16E1359A" w14:textId="77777777" w:rsidR="0067195D" w:rsidRPr="00B134DC" w:rsidRDefault="0067195D" w:rsidP="0067195D">
      <w:pPr>
        <w:pStyle w:val="Tabletext"/>
      </w:pPr>
      <w:bookmarkStart w:id="4" w:name="_Hlk136445983"/>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67195D" w:rsidRPr="00B134DC" w14:paraId="0EDE8EC9" w14:textId="77777777" w:rsidTr="000A2F76">
        <w:trPr>
          <w:tblHeader/>
        </w:trPr>
        <w:tc>
          <w:tcPr>
            <w:tcW w:w="8364" w:type="dxa"/>
            <w:gridSpan w:val="3"/>
            <w:tcBorders>
              <w:top w:val="single" w:sz="12" w:space="0" w:color="auto"/>
              <w:bottom w:val="single" w:sz="6" w:space="0" w:color="auto"/>
            </w:tcBorders>
            <w:shd w:val="clear" w:color="auto" w:fill="auto"/>
            <w:hideMark/>
          </w:tcPr>
          <w:p w14:paraId="58D2178E" w14:textId="77777777" w:rsidR="0067195D" w:rsidRPr="00B134DC" w:rsidRDefault="0067195D" w:rsidP="000A2F76">
            <w:pPr>
              <w:pStyle w:val="TableHeading"/>
            </w:pPr>
            <w:r w:rsidRPr="00B134DC">
              <w:t>Commencement information</w:t>
            </w:r>
          </w:p>
        </w:tc>
      </w:tr>
      <w:tr w:rsidR="0067195D" w:rsidRPr="00B134DC" w14:paraId="1C15DC18" w14:textId="77777777" w:rsidTr="000A2F76">
        <w:trPr>
          <w:tblHeader/>
        </w:trPr>
        <w:tc>
          <w:tcPr>
            <w:tcW w:w="2127" w:type="dxa"/>
            <w:tcBorders>
              <w:top w:val="single" w:sz="6" w:space="0" w:color="auto"/>
              <w:bottom w:val="single" w:sz="6" w:space="0" w:color="auto"/>
            </w:tcBorders>
            <w:shd w:val="clear" w:color="auto" w:fill="auto"/>
            <w:hideMark/>
          </w:tcPr>
          <w:p w14:paraId="0B187397" w14:textId="77777777" w:rsidR="0067195D" w:rsidRPr="00B134DC" w:rsidRDefault="0067195D" w:rsidP="000A2F76">
            <w:pPr>
              <w:pStyle w:val="TableHeading"/>
            </w:pPr>
            <w:r w:rsidRPr="00B134DC">
              <w:t>Column 1</w:t>
            </w:r>
          </w:p>
        </w:tc>
        <w:tc>
          <w:tcPr>
            <w:tcW w:w="4394" w:type="dxa"/>
            <w:tcBorders>
              <w:top w:val="single" w:sz="6" w:space="0" w:color="auto"/>
              <w:bottom w:val="single" w:sz="6" w:space="0" w:color="auto"/>
            </w:tcBorders>
            <w:shd w:val="clear" w:color="auto" w:fill="auto"/>
            <w:hideMark/>
          </w:tcPr>
          <w:p w14:paraId="44170EAB" w14:textId="77777777" w:rsidR="0067195D" w:rsidRPr="00B134DC" w:rsidRDefault="0067195D" w:rsidP="000A2F76">
            <w:pPr>
              <w:pStyle w:val="TableHeading"/>
            </w:pPr>
            <w:r w:rsidRPr="00B134DC">
              <w:t>Column 2</w:t>
            </w:r>
          </w:p>
        </w:tc>
        <w:tc>
          <w:tcPr>
            <w:tcW w:w="1843" w:type="dxa"/>
            <w:tcBorders>
              <w:top w:val="single" w:sz="6" w:space="0" w:color="auto"/>
              <w:bottom w:val="single" w:sz="6" w:space="0" w:color="auto"/>
            </w:tcBorders>
            <w:shd w:val="clear" w:color="auto" w:fill="auto"/>
            <w:hideMark/>
          </w:tcPr>
          <w:p w14:paraId="439A9368" w14:textId="77777777" w:rsidR="0067195D" w:rsidRPr="00B134DC" w:rsidRDefault="0067195D" w:rsidP="000A2F76">
            <w:pPr>
              <w:pStyle w:val="TableHeading"/>
            </w:pPr>
            <w:r w:rsidRPr="00B134DC">
              <w:t>Column 3</w:t>
            </w:r>
          </w:p>
        </w:tc>
      </w:tr>
      <w:tr w:rsidR="0067195D" w:rsidRPr="00B134DC" w14:paraId="46BFE971" w14:textId="77777777" w:rsidTr="000A2F76">
        <w:trPr>
          <w:tblHeader/>
        </w:trPr>
        <w:tc>
          <w:tcPr>
            <w:tcW w:w="2127" w:type="dxa"/>
            <w:tcBorders>
              <w:top w:val="single" w:sz="6" w:space="0" w:color="auto"/>
              <w:bottom w:val="single" w:sz="12" w:space="0" w:color="auto"/>
            </w:tcBorders>
            <w:shd w:val="clear" w:color="auto" w:fill="auto"/>
            <w:hideMark/>
          </w:tcPr>
          <w:p w14:paraId="0DA939FF" w14:textId="77777777" w:rsidR="0067195D" w:rsidRPr="00B134DC" w:rsidRDefault="0067195D" w:rsidP="000A2F76">
            <w:pPr>
              <w:pStyle w:val="TableHeading"/>
            </w:pPr>
            <w:r w:rsidRPr="00B134DC">
              <w:t>Provisions</w:t>
            </w:r>
          </w:p>
        </w:tc>
        <w:tc>
          <w:tcPr>
            <w:tcW w:w="4394" w:type="dxa"/>
            <w:tcBorders>
              <w:top w:val="single" w:sz="6" w:space="0" w:color="auto"/>
              <w:bottom w:val="single" w:sz="12" w:space="0" w:color="auto"/>
            </w:tcBorders>
            <w:shd w:val="clear" w:color="auto" w:fill="auto"/>
            <w:hideMark/>
          </w:tcPr>
          <w:p w14:paraId="3022A4BC" w14:textId="77777777" w:rsidR="0067195D" w:rsidRPr="00B134DC" w:rsidRDefault="0067195D" w:rsidP="000A2F76">
            <w:pPr>
              <w:pStyle w:val="TableHeading"/>
            </w:pPr>
            <w:r w:rsidRPr="00B134DC">
              <w:t>Commencement</w:t>
            </w:r>
          </w:p>
        </w:tc>
        <w:tc>
          <w:tcPr>
            <w:tcW w:w="1843" w:type="dxa"/>
            <w:tcBorders>
              <w:top w:val="single" w:sz="6" w:space="0" w:color="auto"/>
              <w:bottom w:val="single" w:sz="12" w:space="0" w:color="auto"/>
            </w:tcBorders>
            <w:shd w:val="clear" w:color="auto" w:fill="auto"/>
            <w:hideMark/>
          </w:tcPr>
          <w:p w14:paraId="3C168382" w14:textId="77777777" w:rsidR="0067195D" w:rsidRPr="00B134DC" w:rsidRDefault="0067195D" w:rsidP="000A2F76">
            <w:pPr>
              <w:pStyle w:val="TableHeading"/>
            </w:pPr>
            <w:r w:rsidRPr="00B134DC">
              <w:t>Date/Details</w:t>
            </w:r>
          </w:p>
        </w:tc>
      </w:tr>
      <w:tr w:rsidR="00852233" w:rsidRPr="00B134DC" w14:paraId="77BAB8C8" w14:textId="77777777" w:rsidTr="000A2F76">
        <w:tc>
          <w:tcPr>
            <w:tcW w:w="2127" w:type="dxa"/>
            <w:tcBorders>
              <w:top w:val="single" w:sz="12" w:space="0" w:color="auto"/>
              <w:bottom w:val="single" w:sz="12" w:space="0" w:color="auto"/>
            </w:tcBorders>
            <w:shd w:val="clear" w:color="auto" w:fill="auto"/>
          </w:tcPr>
          <w:p w14:paraId="4F815D37" w14:textId="18DFD258" w:rsidR="00852233" w:rsidRPr="00B134DC" w:rsidRDefault="00852233" w:rsidP="00852233">
            <w:pPr>
              <w:pStyle w:val="Tabletext"/>
            </w:pPr>
            <w:r w:rsidRPr="00B134DC">
              <w:t>1.  The whole of this instrument</w:t>
            </w:r>
          </w:p>
        </w:tc>
        <w:tc>
          <w:tcPr>
            <w:tcW w:w="4394" w:type="dxa"/>
            <w:tcBorders>
              <w:top w:val="single" w:sz="12" w:space="0" w:color="auto"/>
              <w:bottom w:val="single" w:sz="12" w:space="0" w:color="auto"/>
            </w:tcBorders>
            <w:shd w:val="clear" w:color="auto" w:fill="auto"/>
          </w:tcPr>
          <w:p w14:paraId="451CE44D" w14:textId="4D31F602" w:rsidR="006D7770" w:rsidRPr="00B134DC" w:rsidRDefault="00E60C76" w:rsidP="006D7770">
            <w:pPr>
              <w:pStyle w:val="Tabletext"/>
            </w:pPr>
            <w:r w:rsidRPr="00B134DC">
              <w:t>At the same time as</w:t>
            </w:r>
            <w:r w:rsidR="006D7770" w:rsidRPr="00B134DC">
              <w:t xml:space="preserve"> the commencement of the </w:t>
            </w:r>
            <w:r w:rsidR="006D7770" w:rsidRPr="00B134DC">
              <w:rPr>
                <w:i/>
                <w:iCs/>
              </w:rPr>
              <w:t xml:space="preserve">Therapeutic Goods </w:t>
            </w:r>
            <w:r w:rsidR="00353DFF" w:rsidRPr="00B134DC">
              <w:rPr>
                <w:i/>
                <w:iCs/>
              </w:rPr>
              <w:t xml:space="preserve">Legislation </w:t>
            </w:r>
            <w:r w:rsidR="006D7770" w:rsidRPr="00B134DC">
              <w:rPr>
                <w:i/>
                <w:iCs/>
              </w:rPr>
              <w:t>Amendment (Vaping) Regulations 2023</w:t>
            </w:r>
            <w:r w:rsidR="006D7770" w:rsidRPr="00B134DC">
              <w:t>.</w:t>
            </w:r>
          </w:p>
          <w:p w14:paraId="30E1F4AD" w14:textId="7048D627" w:rsidR="00852233" w:rsidRPr="00B134DC" w:rsidRDefault="006D7770" w:rsidP="006D7770">
            <w:pPr>
              <w:pStyle w:val="Tabletext"/>
            </w:pPr>
            <w:r w:rsidRPr="00B134DC">
              <w:t xml:space="preserve">However, this instrument does not commence at all if the </w:t>
            </w:r>
            <w:r w:rsidRPr="00B134DC">
              <w:rPr>
                <w:i/>
                <w:iCs/>
              </w:rPr>
              <w:t xml:space="preserve">Therapeutic Goods </w:t>
            </w:r>
            <w:r w:rsidR="00353DFF" w:rsidRPr="00B134DC">
              <w:rPr>
                <w:i/>
                <w:iCs/>
              </w:rPr>
              <w:t xml:space="preserve">Legislation </w:t>
            </w:r>
            <w:r w:rsidRPr="00B134DC">
              <w:rPr>
                <w:i/>
                <w:iCs/>
              </w:rPr>
              <w:t>Amendment (Vaping) Regulations 2023</w:t>
            </w:r>
            <w:r w:rsidR="0073653F" w:rsidRPr="00B134DC">
              <w:rPr>
                <w:i/>
                <w:iCs/>
              </w:rPr>
              <w:t xml:space="preserve"> </w:t>
            </w:r>
            <w:r w:rsidRPr="00B134DC">
              <w:t>does not commence.</w:t>
            </w:r>
          </w:p>
        </w:tc>
        <w:tc>
          <w:tcPr>
            <w:tcW w:w="1843" w:type="dxa"/>
            <w:tcBorders>
              <w:top w:val="single" w:sz="12" w:space="0" w:color="auto"/>
              <w:bottom w:val="single" w:sz="12" w:space="0" w:color="auto"/>
            </w:tcBorders>
            <w:shd w:val="clear" w:color="auto" w:fill="auto"/>
          </w:tcPr>
          <w:p w14:paraId="677467B0" w14:textId="2AEDC63E" w:rsidR="00852233" w:rsidRPr="00B134DC" w:rsidRDefault="00852233" w:rsidP="000A2F76">
            <w:pPr>
              <w:pStyle w:val="Tabletext"/>
              <w:rPr>
                <w:iCs/>
              </w:rPr>
            </w:pPr>
          </w:p>
        </w:tc>
      </w:tr>
    </w:tbl>
    <w:p w14:paraId="2EC2FF90" w14:textId="77777777" w:rsidR="0067195D" w:rsidRPr="00B134DC" w:rsidRDefault="0067195D" w:rsidP="0067195D">
      <w:pPr>
        <w:pStyle w:val="notetext"/>
      </w:pPr>
      <w:r w:rsidRPr="00B134DC">
        <w:rPr>
          <w:snapToGrid w:val="0"/>
          <w:lang w:eastAsia="en-US"/>
        </w:rPr>
        <w:t>Note:</w:t>
      </w:r>
      <w:r w:rsidRPr="00B134DC">
        <w:rPr>
          <w:snapToGrid w:val="0"/>
          <w:lang w:eastAsia="en-US"/>
        </w:rPr>
        <w:tab/>
        <w:t>This table relates only to the provisions of this instrument</w:t>
      </w:r>
      <w:r w:rsidRPr="00B134DC">
        <w:t xml:space="preserve"> </w:t>
      </w:r>
      <w:r w:rsidRPr="00B134DC">
        <w:rPr>
          <w:snapToGrid w:val="0"/>
          <w:lang w:eastAsia="en-US"/>
        </w:rPr>
        <w:t>as originally made. It will not be amended to deal with any later amendments of this instrument.</w:t>
      </w:r>
    </w:p>
    <w:bookmarkEnd w:id="4"/>
    <w:p w14:paraId="09D2FF3F" w14:textId="77777777" w:rsidR="0067195D" w:rsidRPr="00B134DC" w:rsidRDefault="0067195D" w:rsidP="0067195D">
      <w:pPr>
        <w:pStyle w:val="subsection"/>
        <w:shd w:val="clear" w:color="auto" w:fill="FFFFFF"/>
        <w:rPr>
          <w:color w:val="000000"/>
          <w:szCs w:val="22"/>
        </w:rPr>
      </w:pPr>
      <w:r w:rsidRPr="00B134DC">
        <w:rPr>
          <w:color w:val="000000"/>
          <w:szCs w:val="22"/>
        </w:rPr>
        <w:tab/>
      </w:r>
      <w:bookmarkStart w:id="5" w:name="_Hlk136596892"/>
      <w:r w:rsidRPr="00B134DC">
        <w:rPr>
          <w:color w:val="000000"/>
          <w:szCs w:val="22"/>
        </w:rPr>
        <w:t>(2)</w:t>
      </w:r>
      <w:bookmarkEnd w:id="5"/>
      <w:r w:rsidRPr="00B134DC">
        <w:rPr>
          <w:color w:val="000000"/>
          <w:szCs w:val="22"/>
        </w:rPr>
        <w:tab/>
        <w:t>Any information in column 3 of the table is not part of this instrument. Information may be inserted in this column, or information in it may be edited, in any published version of this instrument.</w:t>
      </w:r>
    </w:p>
    <w:p w14:paraId="3DB5B7E3" w14:textId="77777777" w:rsidR="005E317F" w:rsidRPr="00B134DC" w:rsidRDefault="005E317F" w:rsidP="005E317F">
      <w:pPr>
        <w:pStyle w:val="ActHead5"/>
      </w:pPr>
      <w:bookmarkStart w:id="6" w:name="_Toc153435392"/>
      <w:r w:rsidRPr="00B134DC">
        <w:rPr>
          <w:rStyle w:val="CharSectno"/>
        </w:rPr>
        <w:t>3</w:t>
      </w:r>
      <w:r w:rsidRPr="00B134DC">
        <w:t xml:space="preserve">  Authority</w:t>
      </w:r>
      <w:bookmarkEnd w:id="6"/>
    </w:p>
    <w:p w14:paraId="7F5C57CD" w14:textId="2A4CFC2A" w:rsidR="005E317F" w:rsidRPr="00B134DC" w:rsidRDefault="005E317F" w:rsidP="005E317F">
      <w:pPr>
        <w:pStyle w:val="subsection"/>
      </w:pPr>
      <w:r w:rsidRPr="00B134DC">
        <w:tab/>
      </w:r>
      <w:r w:rsidRPr="00B134DC">
        <w:tab/>
        <w:t xml:space="preserve">This instrument is made under </w:t>
      </w:r>
      <w:r w:rsidR="0067195D" w:rsidRPr="00B134DC">
        <w:t>subsection</w:t>
      </w:r>
      <w:r w:rsidR="00192D54" w:rsidRPr="00B134DC">
        <w:t>s</w:t>
      </w:r>
      <w:r w:rsidR="0067195D" w:rsidRPr="00B134DC">
        <w:t xml:space="preserve"> 19(7A)</w:t>
      </w:r>
      <w:r w:rsidR="00192D54" w:rsidRPr="00B134DC">
        <w:t>, 32CM(7A) and 41HC(6)</w:t>
      </w:r>
      <w:r w:rsidR="0067195D" w:rsidRPr="00B134DC">
        <w:t xml:space="preserve"> of the </w:t>
      </w:r>
      <w:r w:rsidR="0067195D" w:rsidRPr="00B134DC">
        <w:rPr>
          <w:i/>
          <w:iCs/>
        </w:rPr>
        <w:t>Therapeutic Goods Act 1989</w:t>
      </w:r>
      <w:r w:rsidRPr="00B134DC">
        <w:t>.</w:t>
      </w:r>
    </w:p>
    <w:p w14:paraId="14A15999" w14:textId="77777777" w:rsidR="005E317F" w:rsidRPr="00B134DC" w:rsidRDefault="005E317F" w:rsidP="005E317F">
      <w:pPr>
        <w:pStyle w:val="ActHead5"/>
      </w:pPr>
      <w:bookmarkStart w:id="7" w:name="_Toc153435393"/>
      <w:r w:rsidRPr="00B134DC">
        <w:t>4  Schedules</w:t>
      </w:r>
      <w:bookmarkEnd w:id="7"/>
    </w:p>
    <w:p w14:paraId="0CF6FB75" w14:textId="77777777" w:rsidR="005E317F" w:rsidRPr="00B134DC" w:rsidRDefault="005E317F" w:rsidP="005E317F">
      <w:pPr>
        <w:pStyle w:val="subsection"/>
      </w:pPr>
      <w:r w:rsidRPr="00B134DC">
        <w:tab/>
      </w:r>
      <w:r w:rsidRPr="00B134DC">
        <w:tab/>
        <w:t>Each instrument that is specified in a Schedule to this instrument is amended or repealed as set out in the applicable items in the Schedule concerned, and any other item in a Schedule to this instrument has effect according to its terms.</w:t>
      </w:r>
    </w:p>
    <w:p w14:paraId="7A1965CE" w14:textId="77777777" w:rsidR="005E317F" w:rsidRPr="00B134DC" w:rsidRDefault="005E317F" w:rsidP="005E317F">
      <w:pPr>
        <w:pStyle w:val="ActHead6"/>
        <w:pageBreakBefore/>
      </w:pPr>
      <w:bookmarkStart w:id="8" w:name="_Toc153435394"/>
      <w:r w:rsidRPr="00B134DC">
        <w:rPr>
          <w:rStyle w:val="CharAmSchNo"/>
        </w:rPr>
        <w:lastRenderedPageBreak/>
        <w:t>Schedule 1</w:t>
      </w:r>
      <w:r w:rsidRPr="00B134DC">
        <w:t>—</w:t>
      </w:r>
      <w:r w:rsidRPr="00B134DC">
        <w:rPr>
          <w:rStyle w:val="CharAmSchText"/>
        </w:rPr>
        <w:t>Amendments</w:t>
      </w:r>
      <w:bookmarkEnd w:id="8"/>
    </w:p>
    <w:p w14:paraId="3B6399C8" w14:textId="5DB55CD8" w:rsidR="005E317F" w:rsidRPr="00B134DC" w:rsidRDefault="0067195D" w:rsidP="005E317F">
      <w:pPr>
        <w:pStyle w:val="ActHead9"/>
      </w:pPr>
      <w:bookmarkStart w:id="9" w:name="_Toc153435395"/>
      <w:r w:rsidRPr="00B134DC">
        <w:t>Therapeutic Goods (Medicines—Authorised Supply) Rules 2022</w:t>
      </w:r>
      <w:bookmarkEnd w:id="9"/>
    </w:p>
    <w:p w14:paraId="14103586" w14:textId="57B8BF52" w:rsidR="0067195D" w:rsidRPr="00B134DC" w:rsidRDefault="0067195D" w:rsidP="0067195D">
      <w:pPr>
        <w:pStyle w:val="ItemHead"/>
      </w:pPr>
      <w:r w:rsidRPr="00B134DC">
        <w:t>1  Section 1</w:t>
      </w:r>
    </w:p>
    <w:p w14:paraId="4CE2112C" w14:textId="36ADA5C7" w:rsidR="0067195D" w:rsidRPr="00B134DC" w:rsidRDefault="0067195D" w:rsidP="0067195D">
      <w:pPr>
        <w:pStyle w:val="Item"/>
        <w:keepNext/>
      </w:pPr>
      <w:r w:rsidRPr="00B134DC">
        <w:t>After “</w:t>
      </w:r>
      <w:r w:rsidRPr="00B134DC">
        <w:rPr>
          <w:i/>
          <w:iCs/>
        </w:rPr>
        <w:t>Medicines</w:t>
      </w:r>
      <w:r w:rsidRPr="00B134DC">
        <w:t>”, insert “</w:t>
      </w:r>
      <w:r w:rsidRPr="00B134DC">
        <w:rPr>
          <w:i/>
          <w:iCs/>
        </w:rPr>
        <w:t>and OTG</w:t>
      </w:r>
      <w:r w:rsidRPr="00B134DC">
        <w:t>”.</w:t>
      </w:r>
    </w:p>
    <w:p w14:paraId="3F2C9469" w14:textId="4839FAF1" w:rsidR="0067195D" w:rsidRPr="00B134DC" w:rsidRDefault="0067195D" w:rsidP="005E317F">
      <w:pPr>
        <w:pStyle w:val="ItemHead"/>
      </w:pPr>
      <w:r w:rsidRPr="00B134DC">
        <w:t>2  Section 4</w:t>
      </w:r>
      <w:r w:rsidR="004E6DC3" w:rsidRPr="00B134DC">
        <w:t xml:space="preserve"> </w:t>
      </w:r>
      <w:r w:rsidRPr="00B134DC">
        <w:t>(at the end of the note)</w:t>
      </w:r>
    </w:p>
    <w:p w14:paraId="5B9CFB7B" w14:textId="3F9B6EF7" w:rsidR="0067195D" w:rsidRPr="00B134DC" w:rsidRDefault="0067195D" w:rsidP="0067195D">
      <w:pPr>
        <w:pStyle w:val="Item"/>
      </w:pPr>
      <w:r w:rsidRPr="00B134DC">
        <w:t>Add:</w:t>
      </w:r>
    </w:p>
    <w:p w14:paraId="4A998442" w14:textId="3C1EC8E2" w:rsidR="0067195D" w:rsidRPr="00B134DC" w:rsidRDefault="0067195D" w:rsidP="0067195D">
      <w:pPr>
        <w:pStyle w:val="notepara0"/>
        <w:shd w:val="clear" w:color="auto" w:fill="FFFFFF"/>
        <w:spacing w:before="40" w:beforeAutospacing="0" w:after="0" w:afterAutospacing="0" w:line="198" w:lineRule="atLeast"/>
        <w:ind w:left="2354" w:hanging="369"/>
        <w:rPr>
          <w:color w:val="000000"/>
          <w:sz w:val="18"/>
          <w:szCs w:val="18"/>
        </w:rPr>
      </w:pPr>
      <w:r w:rsidRPr="00B134DC">
        <w:rPr>
          <w:color w:val="000000"/>
          <w:sz w:val="18"/>
          <w:szCs w:val="18"/>
        </w:rPr>
        <w:t>; (</w:t>
      </w:r>
      <w:r w:rsidR="00BB2BE1" w:rsidRPr="00B134DC">
        <w:rPr>
          <w:color w:val="000000"/>
          <w:sz w:val="18"/>
          <w:szCs w:val="18"/>
        </w:rPr>
        <w:t>h</w:t>
      </w:r>
      <w:r w:rsidRPr="00B134DC">
        <w:rPr>
          <w:color w:val="000000"/>
          <w:sz w:val="18"/>
          <w:szCs w:val="18"/>
        </w:rPr>
        <w:t>)</w:t>
      </w:r>
      <w:r w:rsidRPr="00B134DC">
        <w:rPr>
          <w:color w:val="000000"/>
          <w:sz w:val="18"/>
          <w:szCs w:val="18"/>
        </w:rPr>
        <w:tab/>
        <w:t>therapeutic goods.</w:t>
      </w:r>
    </w:p>
    <w:p w14:paraId="48FCDB5D" w14:textId="5F6BBF57" w:rsidR="0067195D" w:rsidRPr="00B134DC" w:rsidRDefault="00BB2BE1" w:rsidP="0067195D">
      <w:pPr>
        <w:pStyle w:val="ItemHead"/>
      </w:pPr>
      <w:r w:rsidRPr="00B134DC">
        <w:t>3  Section 4</w:t>
      </w:r>
    </w:p>
    <w:p w14:paraId="472312B5" w14:textId="3B5AAEFC" w:rsidR="00B73A20" w:rsidRPr="00B134DC" w:rsidRDefault="008E0349" w:rsidP="002F5AA7">
      <w:pPr>
        <w:pStyle w:val="Item"/>
      </w:pPr>
      <w:r w:rsidRPr="00B134DC">
        <w:t>Insert</w:t>
      </w:r>
      <w:r w:rsidR="00046F65" w:rsidRPr="00B134DC">
        <w:t>:</w:t>
      </w:r>
    </w:p>
    <w:p w14:paraId="461EAADC" w14:textId="77777777" w:rsidR="00B73A20" w:rsidRPr="00B134DC" w:rsidRDefault="00B73A20" w:rsidP="00B73A20">
      <w:pPr>
        <w:pStyle w:val="Definition"/>
      </w:pPr>
      <w:r w:rsidRPr="00B134DC">
        <w:rPr>
          <w:b/>
          <w:i/>
        </w:rPr>
        <w:t>active ingredient</w:t>
      </w:r>
      <w:r w:rsidRPr="00B134DC">
        <w:t xml:space="preserve"> has the same meaning as in the Regulations.</w:t>
      </w:r>
    </w:p>
    <w:p w14:paraId="66FC4E4D" w14:textId="77777777" w:rsidR="00E24465" w:rsidRPr="00B134DC" w:rsidRDefault="00E24465" w:rsidP="00E24465">
      <w:pPr>
        <w:pStyle w:val="Definition"/>
      </w:pPr>
      <w:r w:rsidRPr="00B134DC">
        <w:rPr>
          <w:b/>
          <w:i/>
        </w:rPr>
        <w:t>nurse practitioner</w:t>
      </w:r>
      <w:r w:rsidRPr="00B134DC">
        <w:t xml:space="preserve"> means a person who is:</w:t>
      </w:r>
    </w:p>
    <w:p w14:paraId="7854D0D0" w14:textId="77777777" w:rsidR="00E24465" w:rsidRPr="00B134DC" w:rsidRDefault="00E24465" w:rsidP="00E24465">
      <w:pPr>
        <w:pStyle w:val="paragraph"/>
      </w:pPr>
      <w:r w:rsidRPr="00B134DC">
        <w:tab/>
        <w:t>(a)</w:t>
      </w:r>
      <w:r w:rsidRPr="00B134DC">
        <w:tab/>
        <w:t>registered under a law of a state or internal territory as a registered nurse; and</w:t>
      </w:r>
    </w:p>
    <w:p w14:paraId="68DBAA87" w14:textId="77777777" w:rsidR="00E24465" w:rsidRPr="00B134DC" w:rsidRDefault="00E24465" w:rsidP="00E24465">
      <w:pPr>
        <w:pStyle w:val="paragraph"/>
      </w:pPr>
      <w:r w:rsidRPr="00B134DC">
        <w:tab/>
        <w:t>(b)</w:t>
      </w:r>
      <w:r w:rsidRPr="00B134DC">
        <w:tab/>
        <w:t>endorsed as a nurse practitioner by the Nursing and Midwifery Board of Australia.</w:t>
      </w:r>
    </w:p>
    <w:p w14:paraId="4E29FDB2" w14:textId="77777777" w:rsidR="00E24465" w:rsidRPr="00B134DC" w:rsidRDefault="00E24465" w:rsidP="00E24465">
      <w:pPr>
        <w:pStyle w:val="notetext"/>
      </w:pPr>
      <w:r w:rsidRPr="00B134DC">
        <w:t>Note:</w:t>
      </w:r>
      <w:r w:rsidRPr="00B134DC">
        <w:tab/>
        <w:t>The Nursing and Midwifery Board of Australia works in partnership with the Australian Health Practitioner Regulation Agency.</w:t>
      </w:r>
    </w:p>
    <w:p w14:paraId="28BD48B8" w14:textId="051DA89B" w:rsidR="00B73A20" w:rsidRPr="00B134DC" w:rsidRDefault="00B73A20" w:rsidP="00B73A20">
      <w:pPr>
        <w:pStyle w:val="Definition"/>
      </w:pPr>
      <w:r w:rsidRPr="00B134DC">
        <w:rPr>
          <w:b/>
          <w:i/>
        </w:rPr>
        <w:t>Regulations</w:t>
      </w:r>
      <w:r w:rsidRPr="00B134DC">
        <w:t xml:space="preserve"> means the </w:t>
      </w:r>
      <w:r w:rsidRPr="00B134DC">
        <w:rPr>
          <w:i/>
        </w:rPr>
        <w:t>Therapeutic Goods Regulations 1990</w:t>
      </w:r>
      <w:r w:rsidRPr="00B134DC">
        <w:t>.</w:t>
      </w:r>
    </w:p>
    <w:p w14:paraId="163A8C4D" w14:textId="4EA58CB9" w:rsidR="008E0349" w:rsidRPr="00B134DC" w:rsidRDefault="008E0349" w:rsidP="008E0349">
      <w:pPr>
        <w:pStyle w:val="ItemHead"/>
      </w:pPr>
      <w:r w:rsidRPr="00B134DC">
        <w:t xml:space="preserve">4  Section 4 (definition of </w:t>
      </w:r>
      <w:r w:rsidRPr="00B134DC">
        <w:rPr>
          <w:i/>
          <w:iCs/>
        </w:rPr>
        <w:t>SAS guidance</w:t>
      </w:r>
      <w:r w:rsidRPr="00B134DC">
        <w:t>)</w:t>
      </w:r>
    </w:p>
    <w:p w14:paraId="5DD9EA3E" w14:textId="0A93705C" w:rsidR="008E0349" w:rsidRPr="00B134DC" w:rsidRDefault="008E0349" w:rsidP="008E0349">
      <w:pPr>
        <w:pStyle w:val="Item"/>
      </w:pPr>
      <w:r w:rsidRPr="00B134DC">
        <w:t>Repeal the definition, substitute:</w:t>
      </w:r>
    </w:p>
    <w:p w14:paraId="50B588F5" w14:textId="44868ED0" w:rsidR="00217CA9" w:rsidRPr="00B134DC" w:rsidRDefault="00217CA9" w:rsidP="00217CA9">
      <w:pPr>
        <w:pStyle w:val="definition0"/>
        <w:shd w:val="clear" w:color="auto" w:fill="FFFFFF"/>
        <w:spacing w:before="180" w:beforeAutospacing="0" w:after="0" w:afterAutospacing="0"/>
        <w:ind w:left="1134"/>
        <w:rPr>
          <w:color w:val="000000"/>
          <w:sz w:val="22"/>
          <w:szCs w:val="22"/>
        </w:rPr>
      </w:pPr>
      <w:r w:rsidRPr="00B134DC">
        <w:rPr>
          <w:b/>
          <w:bCs/>
          <w:i/>
          <w:iCs/>
          <w:color w:val="000000"/>
          <w:sz w:val="22"/>
          <w:szCs w:val="22"/>
        </w:rPr>
        <w:t xml:space="preserve">SAS Guidance </w:t>
      </w:r>
      <w:r w:rsidRPr="00B134DC">
        <w:rPr>
          <w:color w:val="000000"/>
          <w:sz w:val="22"/>
          <w:szCs w:val="22"/>
        </w:rPr>
        <w:t xml:space="preserve">means the document titled </w:t>
      </w:r>
      <w:r w:rsidRPr="00B134DC">
        <w:rPr>
          <w:i/>
          <w:iCs/>
          <w:color w:val="000000"/>
          <w:sz w:val="22"/>
          <w:szCs w:val="22"/>
        </w:rPr>
        <w:t xml:space="preserve">Special Access Scheme (SAS): Guidance for health practitioners accessing unapproved therapeutic goods </w:t>
      </w:r>
      <w:r w:rsidRPr="00B134DC">
        <w:rPr>
          <w:color w:val="000000"/>
          <w:sz w:val="22"/>
          <w:szCs w:val="22"/>
        </w:rPr>
        <w:t>(Version 1.0, January 2023) published by the Therapeutic Goods Administration, as in force or existing at 1 January 2024.</w:t>
      </w:r>
    </w:p>
    <w:p w14:paraId="5F540880" w14:textId="77777777" w:rsidR="00217CA9" w:rsidRPr="00B134DC" w:rsidRDefault="00217CA9" w:rsidP="00217CA9">
      <w:pPr>
        <w:pStyle w:val="notetext0"/>
        <w:shd w:val="clear" w:color="auto" w:fill="FFFFFF"/>
        <w:spacing w:before="122" w:beforeAutospacing="0" w:after="0" w:afterAutospacing="0" w:line="198" w:lineRule="atLeast"/>
        <w:ind w:left="1985" w:hanging="851"/>
        <w:rPr>
          <w:color w:val="000000"/>
          <w:sz w:val="18"/>
          <w:szCs w:val="18"/>
        </w:rPr>
      </w:pPr>
      <w:r w:rsidRPr="00B134DC">
        <w:rPr>
          <w:color w:val="000000"/>
          <w:sz w:val="18"/>
          <w:szCs w:val="18"/>
        </w:rPr>
        <w:t>Note:</w:t>
      </w:r>
      <w:r w:rsidRPr="00B134DC">
        <w:tab/>
      </w:r>
      <w:r w:rsidRPr="00B134DC">
        <w:rPr>
          <w:color w:val="000000"/>
          <w:sz w:val="18"/>
          <w:szCs w:val="18"/>
        </w:rPr>
        <w:t>The SAS Guidance is published at www.tga.gov.au.</w:t>
      </w:r>
    </w:p>
    <w:p w14:paraId="3FA2F585" w14:textId="299446D9" w:rsidR="008E0349" w:rsidRPr="00B134DC" w:rsidRDefault="008E0349" w:rsidP="008E0349">
      <w:pPr>
        <w:pStyle w:val="ItemHead"/>
      </w:pPr>
      <w:r w:rsidRPr="00B134DC">
        <w:t>5  Section 4</w:t>
      </w:r>
    </w:p>
    <w:p w14:paraId="51C9909C" w14:textId="00880A7C" w:rsidR="008E0349" w:rsidRPr="00B134DC" w:rsidRDefault="008E0349" w:rsidP="00192D54">
      <w:pPr>
        <w:pStyle w:val="Item"/>
      </w:pPr>
      <w:r w:rsidRPr="00B134DC">
        <w:t>Insert:</w:t>
      </w:r>
    </w:p>
    <w:p w14:paraId="512DA53F" w14:textId="19C85856" w:rsidR="00B73A20" w:rsidRPr="00B134DC" w:rsidRDefault="00B73A20" w:rsidP="00B73A20">
      <w:pPr>
        <w:pStyle w:val="Definition"/>
        <w:rPr>
          <w:b/>
          <w:i/>
        </w:rPr>
      </w:pPr>
      <w:r w:rsidRPr="00B134DC">
        <w:rPr>
          <w:b/>
          <w:i/>
        </w:rPr>
        <w:t>therapeutic vaping kit</w:t>
      </w:r>
      <w:r w:rsidRPr="00B134DC">
        <w:t xml:space="preserve"> has the same meaning as in </w:t>
      </w:r>
      <w:r w:rsidR="007F472C" w:rsidRPr="00B134DC">
        <w:t>the Regulations</w:t>
      </w:r>
      <w:r w:rsidRPr="00B134DC">
        <w:t>.</w:t>
      </w:r>
    </w:p>
    <w:p w14:paraId="5F2949E3" w14:textId="40E095BF" w:rsidR="00B73A20" w:rsidRPr="00B134DC" w:rsidRDefault="00B73A20" w:rsidP="00B73A20">
      <w:pPr>
        <w:pStyle w:val="Definition"/>
      </w:pPr>
      <w:r w:rsidRPr="00B134DC">
        <w:rPr>
          <w:b/>
          <w:i/>
        </w:rPr>
        <w:t>therapeutic vaping pack</w:t>
      </w:r>
      <w:r w:rsidRPr="00B134DC">
        <w:t xml:space="preserve"> has the same meaning as in </w:t>
      </w:r>
      <w:r w:rsidR="007F472C" w:rsidRPr="00B134DC">
        <w:t>Regulations</w:t>
      </w:r>
      <w:r w:rsidRPr="00B134DC">
        <w:t>.</w:t>
      </w:r>
    </w:p>
    <w:p w14:paraId="2CA52F72" w14:textId="219E406C" w:rsidR="00792108" w:rsidRPr="00B134DC" w:rsidRDefault="00792108" w:rsidP="00B73A20">
      <w:pPr>
        <w:pStyle w:val="Definition"/>
        <w:rPr>
          <w:b/>
          <w:i/>
        </w:rPr>
      </w:pPr>
      <w:r w:rsidRPr="00B134DC">
        <w:rPr>
          <w:b/>
          <w:i/>
        </w:rPr>
        <w:t xml:space="preserve">therapeutic vaping substance </w:t>
      </w:r>
      <w:r w:rsidRPr="00B134DC">
        <w:rPr>
          <w:bCs/>
          <w:iCs/>
        </w:rPr>
        <w:t>has the same meaning as in the Regulations</w:t>
      </w:r>
      <w:r w:rsidRPr="00B134DC">
        <w:rPr>
          <w:b/>
          <w:i/>
        </w:rPr>
        <w:t>.</w:t>
      </w:r>
    </w:p>
    <w:p w14:paraId="1002F726" w14:textId="2F820886" w:rsidR="00046F65" w:rsidRPr="00B134DC" w:rsidRDefault="008E0349" w:rsidP="00E52B72">
      <w:pPr>
        <w:pStyle w:val="ItemHead"/>
      </w:pPr>
      <w:r w:rsidRPr="00B134DC">
        <w:lastRenderedPageBreak/>
        <w:t>6</w:t>
      </w:r>
      <w:r w:rsidR="00046F65" w:rsidRPr="00B134DC">
        <w:t xml:space="preserve"> After section 5 </w:t>
      </w:r>
    </w:p>
    <w:p w14:paraId="28289B04" w14:textId="77777777" w:rsidR="00046F65" w:rsidRPr="00B134DC" w:rsidRDefault="00046F65" w:rsidP="00AA754E">
      <w:pPr>
        <w:pStyle w:val="Item"/>
        <w:keepNext/>
      </w:pPr>
      <w:r w:rsidRPr="00B134DC">
        <w:t>Insert:</w:t>
      </w:r>
    </w:p>
    <w:p w14:paraId="6BA2C88A" w14:textId="28023A22" w:rsidR="00046F65" w:rsidRPr="00B134DC" w:rsidRDefault="00046F65" w:rsidP="00AA754E">
      <w:pPr>
        <w:keepNext/>
        <w:keepLines/>
        <w:spacing w:before="280"/>
        <w:ind w:left="1134" w:hanging="1134"/>
        <w:rPr>
          <w:b/>
          <w:bCs/>
          <w:sz w:val="24"/>
          <w:szCs w:val="24"/>
        </w:rPr>
      </w:pPr>
      <w:r w:rsidRPr="00B134DC">
        <w:rPr>
          <w:b/>
          <w:bCs/>
          <w:sz w:val="24"/>
          <w:szCs w:val="24"/>
        </w:rPr>
        <w:t>5A  Authorisation—</w:t>
      </w:r>
      <w:r w:rsidR="00874318" w:rsidRPr="00B134DC">
        <w:rPr>
          <w:b/>
          <w:bCs/>
          <w:sz w:val="24"/>
          <w:szCs w:val="24"/>
        </w:rPr>
        <w:t xml:space="preserve">therapeutic vaping </w:t>
      </w:r>
      <w:r w:rsidR="00E24465" w:rsidRPr="00B134DC">
        <w:rPr>
          <w:b/>
          <w:bCs/>
          <w:sz w:val="24"/>
          <w:szCs w:val="24"/>
        </w:rPr>
        <w:t>goods</w:t>
      </w:r>
    </w:p>
    <w:p w14:paraId="5EEB506C" w14:textId="77777777" w:rsidR="00874318" w:rsidRPr="00B134DC" w:rsidRDefault="00874318" w:rsidP="00874318">
      <w:pPr>
        <w:pStyle w:val="SubsectionHead"/>
        <w:rPr>
          <w:iCs/>
        </w:rPr>
      </w:pPr>
      <w:r w:rsidRPr="00B134DC">
        <w:rPr>
          <w:iCs/>
          <w:color w:val="000000"/>
          <w:szCs w:val="22"/>
        </w:rPr>
        <w:t>Supply by a medical practitioner or nurse practitioner</w:t>
      </w:r>
    </w:p>
    <w:p w14:paraId="04791807" w14:textId="60FF3278" w:rsidR="00874318" w:rsidRPr="00B134DC" w:rsidRDefault="00874318" w:rsidP="00874318">
      <w:pPr>
        <w:pStyle w:val="subsection"/>
      </w:pPr>
      <w:r w:rsidRPr="00B134DC">
        <w:tab/>
        <w:t>(</w:t>
      </w:r>
      <w:r w:rsidR="001000CF" w:rsidRPr="00B134DC">
        <w:t>1</w:t>
      </w:r>
      <w:r w:rsidRPr="00B134DC">
        <w:t>)</w:t>
      </w:r>
      <w:r w:rsidRPr="00B134DC">
        <w:tab/>
        <w:t xml:space="preserve">A health practitioner who is a medical practitioner or </w:t>
      </w:r>
      <w:r w:rsidR="007C6A80" w:rsidRPr="00B134DC">
        <w:t xml:space="preserve">a </w:t>
      </w:r>
      <w:r w:rsidRPr="00B134DC">
        <w:t>nurse practitioner is authorised to supply a therapeutic good to a patient of that practitioner where:</w:t>
      </w:r>
    </w:p>
    <w:p w14:paraId="349B8163" w14:textId="2F4ABAFB" w:rsidR="00874318" w:rsidRPr="00B134DC" w:rsidRDefault="00874318" w:rsidP="00874318">
      <w:pPr>
        <w:pStyle w:val="paragraph"/>
      </w:pPr>
      <w:r w:rsidRPr="00B134DC">
        <w:tab/>
        <w:t>(a)</w:t>
      </w:r>
      <w:r w:rsidRPr="00B134DC">
        <w:tab/>
        <w:t>the therapeutic good is within the class of therapeutic goods specified in column 2 of an item in the table in Schedule 1A; and</w:t>
      </w:r>
    </w:p>
    <w:p w14:paraId="689E2E21" w14:textId="03DC8956" w:rsidR="00874318" w:rsidRPr="00B134DC" w:rsidRDefault="00874318" w:rsidP="00874318">
      <w:pPr>
        <w:pStyle w:val="paragraph"/>
      </w:pPr>
      <w:r w:rsidRPr="00B134DC">
        <w:tab/>
        <w:t>(b)</w:t>
      </w:r>
      <w:r w:rsidRPr="00B134DC">
        <w:tab/>
        <w:t>the therapeutic good is in the dosage form specified in column 3 of that item; and</w:t>
      </w:r>
    </w:p>
    <w:p w14:paraId="175CA50C" w14:textId="29A5C732" w:rsidR="00874318" w:rsidRPr="00B134DC" w:rsidRDefault="00874318" w:rsidP="00874318">
      <w:pPr>
        <w:pStyle w:val="paragraph"/>
      </w:pPr>
      <w:r w:rsidRPr="00B134DC">
        <w:tab/>
        <w:t>(c)</w:t>
      </w:r>
      <w:r w:rsidRPr="00B134DC">
        <w:tab/>
        <w:t>the therapeutic good is to be administered by the route specified in column</w:t>
      </w:r>
      <w:r w:rsidR="00852233" w:rsidRPr="00B134DC">
        <w:t> </w:t>
      </w:r>
      <w:r w:rsidRPr="00B134DC">
        <w:t>4 of that item; and</w:t>
      </w:r>
    </w:p>
    <w:p w14:paraId="583476E7" w14:textId="11A92BC8" w:rsidR="00874318" w:rsidRPr="00B134DC" w:rsidRDefault="00874318" w:rsidP="00874318">
      <w:pPr>
        <w:pStyle w:val="paragraph"/>
      </w:pPr>
      <w:r w:rsidRPr="00B134DC">
        <w:tab/>
        <w:t>(d)</w:t>
      </w:r>
      <w:r w:rsidRPr="00B134DC">
        <w:tab/>
        <w:t>the supply is for the indication specified in column 5 of that item; and</w:t>
      </w:r>
    </w:p>
    <w:p w14:paraId="2201478A" w14:textId="30543E79" w:rsidR="00FB775F" w:rsidRPr="00B134DC" w:rsidRDefault="00FB775F" w:rsidP="00874318">
      <w:pPr>
        <w:pStyle w:val="paragraph"/>
      </w:pPr>
      <w:r w:rsidRPr="00B134DC">
        <w:tab/>
        <w:t>(e)</w:t>
      </w:r>
      <w:r w:rsidRPr="00B134DC">
        <w:tab/>
        <w:t>the supply is to a patient who is 16 years of age or over; and</w:t>
      </w:r>
    </w:p>
    <w:p w14:paraId="1040A40B" w14:textId="5F0A2AA2" w:rsidR="00874318" w:rsidRPr="00B134DC" w:rsidRDefault="00874318" w:rsidP="00874318">
      <w:pPr>
        <w:pStyle w:val="paragraph"/>
      </w:pPr>
      <w:r w:rsidRPr="00B134DC">
        <w:tab/>
        <w:t>(</w:t>
      </w:r>
      <w:r w:rsidR="00FB775F" w:rsidRPr="00B134DC">
        <w:t>f</w:t>
      </w:r>
      <w:r w:rsidRPr="00B134DC">
        <w:t>)</w:t>
      </w:r>
      <w:r w:rsidRPr="00B134DC">
        <w:tab/>
        <w:t>the conditions specified in subsection (</w:t>
      </w:r>
      <w:r w:rsidR="001000CF" w:rsidRPr="00B134DC">
        <w:t>2</w:t>
      </w:r>
      <w:r w:rsidRPr="00B134DC">
        <w:t>) are satisfied.</w:t>
      </w:r>
    </w:p>
    <w:p w14:paraId="1AE2005B" w14:textId="2ED1B8B6" w:rsidR="00874318" w:rsidRPr="00B134DC" w:rsidRDefault="00874318" w:rsidP="00874318">
      <w:pPr>
        <w:pStyle w:val="subsection"/>
      </w:pPr>
      <w:r w:rsidRPr="00B134DC">
        <w:tab/>
        <w:t>(</w:t>
      </w:r>
      <w:r w:rsidR="001000CF" w:rsidRPr="00B134DC">
        <w:t>2</w:t>
      </w:r>
      <w:r w:rsidRPr="00B134DC">
        <w:t>)</w:t>
      </w:r>
      <w:r w:rsidRPr="00B134DC">
        <w:tab/>
        <w:t xml:space="preserve">The medical practitioner </w:t>
      </w:r>
      <w:r w:rsidR="00FF57C2" w:rsidRPr="00B134DC">
        <w:t>or nurse practitioner</w:t>
      </w:r>
      <w:r w:rsidR="00BB016F" w:rsidRPr="00B134DC">
        <w:t xml:space="preserve"> </w:t>
      </w:r>
      <w:r w:rsidRPr="00B134DC">
        <w:t>must:</w:t>
      </w:r>
    </w:p>
    <w:p w14:paraId="6B346C09" w14:textId="25B7A54A" w:rsidR="00874318" w:rsidRPr="00B134DC" w:rsidRDefault="00874318" w:rsidP="00874318">
      <w:pPr>
        <w:pStyle w:val="paragraph"/>
      </w:pPr>
      <w:r w:rsidRPr="00B134DC">
        <w:tab/>
        <w:t>(a)</w:t>
      </w:r>
      <w:r w:rsidRPr="00B134DC">
        <w:tab/>
        <w:t xml:space="preserve">inform the patient, or a parent or </w:t>
      </w:r>
      <w:r w:rsidR="007C6A80" w:rsidRPr="00B134DC">
        <w:t xml:space="preserve">a </w:t>
      </w:r>
      <w:r w:rsidRPr="00B134DC">
        <w:t>guardian of the patient, that the therapeutic good is not a listed good or registered good; and</w:t>
      </w:r>
    </w:p>
    <w:p w14:paraId="55219253" w14:textId="7983E2BA" w:rsidR="00874318" w:rsidRPr="00B134DC" w:rsidRDefault="00874318" w:rsidP="00874318">
      <w:pPr>
        <w:pStyle w:val="paragraph"/>
      </w:pPr>
      <w:r w:rsidRPr="00B134DC">
        <w:tab/>
        <w:t>(b)</w:t>
      </w:r>
      <w:r w:rsidRPr="00B134DC">
        <w:tab/>
        <w:t xml:space="preserve">obtain informed consent from the patient, or a parent or </w:t>
      </w:r>
      <w:r w:rsidR="007C6A80" w:rsidRPr="00B134DC">
        <w:t xml:space="preserve">a </w:t>
      </w:r>
      <w:r w:rsidRPr="00B134DC">
        <w:t>guardian of the patient, in relation to, and before, the supply of the therapeutic good; and</w:t>
      </w:r>
    </w:p>
    <w:p w14:paraId="03F75A24" w14:textId="36060A7F" w:rsidR="00874318" w:rsidRPr="00B134DC" w:rsidRDefault="00874318" w:rsidP="00874318">
      <w:pPr>
        <w:pStyle w:val="paragraph"/>
      </w:pPr>
      <w:r w:rsidRPr="00B134DC">
        <w:tab/>
      </w:r>
      <w:r w:rsidR="00593982" w:rsidRPr="00B134DC">
        <w:t>(c)</w:t>
      </w:r>
      <w:r w:rsidRPr="00B134DC">
        <w:tab/>
        <w:t>supply the therapeutic good in accordance with good medical practice; and</w:t>
      </w:r>
    </w:p>
    <w:p w14:paraId="5122663E" w14:textId="073BA046" w:rsidR="00593982" w:rsidRPr="00B134DC" w:rsidRDefault="00874318" w:rsidP="00874318">
      <w:pPr>
        <w:pStyle w:val="paragraph"/>
      </w:pPr>
      <w:r w:rsidRPr="00B134DC">
        <w:tab/>
        <w:t>(d)</w:t>
      </w:r>
      <w:r w:rsidRPr="00B134DC">
        <w:tab/>
        <w:t>if the medical practitioner becomes aware that the patient has suffered an adverse event in relation to the therapeutic good—notify the Therapeutic Goods Administration and the sponsor of the therapeutic good about the adverse event in accordance with the reporting guidelines set out in the SAS Guidance; an</w:t>
      </w:r>
      <w:r w:rsidR="00593982" w:rsidRPr="00B134DC">
        <w:t>d</w:t>
      </w:r>
    </w:p>
    <w:p w14:paraId="7F17F056" w14:textId="74903E43" w:rsidR="00874318" w:rsidRPr="00B134DC" w:rsidRDefault="00593982" w:rsidP="00874318">
      <w:pPr>
        <w:pStyle w:val="paragraph"/>
      </w:pPr>
      <w:r w:rsidRPr="00B134DC">
        <w:tab/>
      </w:r>
      <w:r w:rsidR="00874318" w:rsidRPr="00B134DC">
        <w:t>(e)</w:t>
      </w:r>
      <w:r w:rsidR="00874318" w:rsidRPr="00B134DC">
        <w:tab/>
        <w:t>if the medical practitioner becomes aware of a defect in the therapeutic good—notify the Therapeutic Goods Administration and the sponsor of the therapeutic good in accordance with the reporting guidelines set out in the SAS Guidance.</w:t>
      </w:r>
    </w:p>
    <w:p w14:paraId="546C0030" w14:textId="3B399B8F" w:rsidR="00874318" w:rsidRPr="00B134DC" w:rsidRDefault="00874318" w:rsidP="00874318">
      <w:pPr>
        <w:pStyle w:val="SubsectionHead"/>
        <w:rPr>
          <w:iCs/>
        </w:rPr>
      </w:pPr>
      <w:r w:rsidRPr="00B134DC">
        <w:rPr>
          <w:iCs/>
        </w:rPr>
        <w:t>Supply to a patient of a medical practitioner or nurse practitioner</w:t>
      </w:r>
    </w:p>
    <w:p w14:paraId="4E500F79" w14:textId="7FD80D57" w:rsidR="00874318" w:rsidRPr="00B134DC" w:rsidRDefault="00874318" w:rsidP="00874318">
      <w:pPr>
        <w:pStyle w:val="subsection"/>
      </w:pPr>
      <w:r w:rsidRPr="00B134DC">
        <w:tab/>
        <w:t>(</w:t>
      </w:r>
      <w:r w:rsidR="001000CF" w:rsidRPr="00B134DC">
        <w:t>3</w:t>
      </w:r>
      <w:r w:rsidRPr="00B134DC">
        <w:t>)</w:t>
      </w:r>
      <w:r w:rsidRPr="00B134DC">
        <w:tab/>
        <w:t xml:space="preserve">A health practitioner is authorised to supply a therapeutic good to a patient of a medical practitioner or </w:t>
      </w:r>
      <w:r w:rsidR="007C6A80" w:rsidRPr="00B134DC">
        <w:t xml:space="preserve">a </w:t>
      </w:r>
      <w:r w:rsidRPr="00B134DC">
        <w:t>nurse practitioner</w:t>
      </w:r>
      <w:r w:rsidR="001C6456" w:rsidRPr="00B134DC" w:rsidDel="001C6456">
        <w:t xml:space="preserve"> </w:t>
      </w:r>
      <w:r w:rsidRPr="00B134DC">
        <w:t xml:space="preserve">(the </w:t>
      </w:r>
      <w:r w:rsidRPr="00B134DC">
        <w:rPr>
          <w:b/>
          <w:bCs/>
          <w:i/>
          <w:iCs/>
        </w:rPr>
        <w:t>treating practitioner</w:t>
      </w:r>
      <w:r w:rsidRPr="00B134DC">
        <w:t>) where:</w:t>
      </w:r>
    </w:p>
    <w:p w14:paraId="706E6D38" w14:textId="40652450" w:rsidR="00874318" w:rsidRPr="00B134DC" w:rsidRDefault="00874318" w:rsidP="00874318">
      <w:pPr>
        <w:pStyle w:val="paragraph"/>
      </w:pPr>
      <w:r w:rsidRPr="00B134DC">
        <w:tab/>
        <w:t>(a)</w:t>
      </w:r>
      <w:r w:rsidRPr="00B134DC">
        <w:tab/>
        <w:t>the therapeutic good is within the class of therapeutic goods specified in column 2 of an item in the table in Schedule 1A; and</w:t>
      </w:r>
    </w:p>
    <w:p w14:paraId="3EC3776B" w14:textId="3DB9DD4B" w:rsidR="00874318" w:rsidRPr="00B134DC" w:rsidRDefault="00874318" w:rsidP="00874318">
      <w:pPr>
        <w:pStyle w:val="paragraph"/>
      </w:pPr>
      <w:r w:rsidRPr="00B134DC">
        <w:tab/>
        <w:t>(b)</w:t>
      </w:r>
      <w:r w:rsidRPr="00B134DC">
        <w:tab/>
        <w:t>the supply is requested by the treating practitioner;</w:t>
      </w:r>
      <w:r w:rsidR="00593982" w:rsidRPr="00B134DC">
        <w:t xml:space="preserve"> and</w:t>
      </w:r>
    </w:p>
    <w:p w14:paraId="6BC91132" w14:textId="6A9FFFBA" w:rsidR="00874318" w:rsidRPr="00B134DC" w:rsidRDefault="00874318" w:rsidP="00874318">
      <w:pPr>
        <w:pStyle w:val="paragraph"/>
      </w:pPr>
      <w:r w:rsidRPr="00B134DC">
        <w:tab/>
        <w:t>(c)</w:t>
      </w:r>
      <w:r w:rsidRPr="00B134DC">
        <w:tab/>
        <w:t>the therapeutic good is in the dosage form specified in column 3 of that item; and</w:t>
      </w:r>
    </w:p>
    <w:p w14:paraId="1BA59664" w14:textId="53EE39DC" w:rsidR="00874318" w:rsidRPr="00B134DC" w:rsidRDefault="00874318" w:rsidP="00874318">
      <w:pPr>
        <w:pStyle w:val="paragraph"/>
      </w:pPr>
      <w:r w:rsidRPr="00B134DC">
        <w:tab/>
        <w:t>(d)</w:t>
      </w:r>
      <w:r w:rsidRPr="00B134DC">
        <w:tab/>
        <w:t xml:space="preserve">the therapeutic good is to be administered by the route specified in column 4 of that </w:t>
      </w:r>
      <w:r w:rsidR="00593982" w:rsidRPr="00B134DC">
        <w:t>item;</w:t>
      </w:r>
      <w:r w:rsidRPr="00B134DC">
        <w:t xml:space="preserve"> and</w:t>
      </w:r>
    </w:p>
    <w:p w14:paraId="3A872B1B" w14:textId="51C49D82" w:rsidR="00874318" w:rsidRPr="00B134DC" w:rsidRDefault="00874318" w:rsidP="00874318">
      <w:pPr>
        <w:pStyle w:val="paragraph"/>
      </w:pPr>
      <w:r w:rsidRPr="00B134DC">
        <w:tab/>
        <w:t>(e)</w:t>
      </w:r>
      <w:r w:rsidRPr="00B134DC">
        <w:tab/>
        <w:t>the supply is for the indication specified in column 5 of that item; and</w:t>
      </w:r>
    </w:p>
    <w:p w14:paraId="7EDB65C8" w14:textId="13869877" w:rsidR="00FB775F" w:rsidRPr="00B134DC" w:rsidRDefault="00FB775F" w:rsidP="00FB775F">
      <w:pPr>
        <w:pStyle w:val="paragraph"/>
      </w:pPr>
      <w:r w:rsidRPr="00B134DC">
        <w:lastRenderedPageBreak/>
        <w:tab/>
        <w:t>(f)</w:t>
      </w:r>
      <w:r w:rsidRPr="00B134DC">
        <w:tab/>
        <w:t>the supply is to a patient who is 16 years of age or over; and</w:t>
      </w:r>
    </w:p>
    <w:p w14:paraId="4793B58D" w14:textId="2DAFE612" w:rsidR="00874318" w:rsidRPr="00B134DC" w:rsidRDefault="00874318" w:rsidP="00874318">
      <w:pPr>
        <w:pStyle w:val="paragraph"/>
      </w:pPr>
      <w:r w:rsidRPr="00B134DC">
        <w:tab/>
        <w:t>(</w:t>
      </w:r>
      <w:r w:rsidR="00FB775F" w:rsidRPr="00B134DC">
        <w:t>g</w:t>
      </w:r>
      <w:r w:rsidRPr="00B134DC">
        <w:t>)</w:t>
      </w:r>
      <w:r w:rsidRPr="00B134DC">
        <w:tab/>
        <w:t>the conditions specified in subsection (</w:t>
      </w:r>
      <w:r w:rsidR="001000CF" w:rsidRPr="00B134DC">
        <w:t>4</w:t>
      </w:r>
      <w:r w:rsidRPr="00B134DC">
        <w:t>) are satisfied.</w:t>
      </w:r>
    </w:p>
    <w:p w14:paraId="08A8C967" w14:textId="6A1A594C" w:rsidR="00874318" w:rsidRPr="00B134DC" w:rsidRDefault="00874318" w:rsidP="00874318">
      <w:pPr>
        <w:pStyle w:val="subsection"/>
      </w:pPr>
      <w:r w:rsidRPr="00B134DC">
        <w:tab/>
        <w:t>(</w:t>
      </w:r>
      <w:r w:rsidR="001000CF" w:rsidRPr="00B134DC">
        <w:t>4</w:t>
      </w:r>
      <w:r w:rsidRPr="00B134DC">
        <w:t>)</w:t>
      </w:r>
      <w:r w:rsidRPr="00B134DC">
        <w:tab/>
        <w:t>The health practitioner supplying the therapeutic good must:</w:t>
      </w:r>
    </w:p>
    <w:p w14:paraId="4E432C77" w14:textId="68944719" w:rsidR="00874318" w:rsidRPr="00B134DC" w:rsidRDefault="00874318" w:rsidP="00874318">
      <w:pPr>
        <w:pStyle w:val="paragraph"/>
      </w:pPr>
      <w:r w:rsidRPr="00B134DC">
        <w:tab/>
        <w:t>(a)</w:t>
      </w:r>
      <w:r w:rsidRPr="00B134DC">
        <w:tab/>
        <w:t>if the health practitioner becomes aware that the patient has suffered an adverse event in relation to the therapeutic good—notify the Therapeutic Goods Administration and the sponsor of the therapeutic good about the adverse event in accordance with the reporting guidelines set out in the SAS Guidance; and</w:t>
      </w:r>
    </w:p>
    <w:p w14:paraId="020DA5FA" w14:textId="098B5EF2" w:rsidR="00874318" w:rsidRPr="00B134DC" w:rsidRDefault="00874318" w:rsidP="00874318">
      <w:pPr>
        <w:pStyle w:val="paragraph"/>
      </w:pPr>
      <w:r w:rsidRPr="00B134DC">
        <w:tab/>
        <w:t>(b)</w:t>
      </w:r>
      <w:r w:rsidRPr="00B134DC">
        <w:tab/>
        <w:t>if the health practitioner becomes aware of a defect in the therapeutic good—notify the Therapeutic Goods Administration and the sponsor of the therapeutic good in accordance with the reporting guidelines set out in the SAS Guidance.</w:t>
      </w:r>
    </w:p>
    <w:p w14:paraId="251A01BF" w14:textId="371AE92D" w:rsidR="00046F65" w:rsidRPr="00B134DC" w:rsidRDefault="008E0349" w:rsidP="00046F65">
      <w:pPr>
        <w:pStyle w:val="ItemHead"/>
      </w:pPr>
      <w:r w:rsidRPr="00B134DC">
        <w:t>7</w:t>
      </w:r>
      <w:r w:rsidR="00874318" w:rsidRPr="00B134DC">
        <w:t xml:space="preserve">  After Schedule 1</w:t>
      </w:r>
    </w:p>
    <w:p w14:paraId="61848662" w14:textId="050C6EE0" w:rsidR="00A21750" w:rsidRPr="00B134DC" w:rsidRDefault="00874318" w:rsidP="00A21750">
      <w:pPr>
        <w:pStyle w:val="Item"/>
      </w:pPr>
      <w:r w:rsidRPr="00B134DC">
        <w:t>Insert:</w:t>
      </w:r>
    </w:p>
    <w:p w14:paraId="5C1035E0" w14:textId="4BCF8F88" w:rsidR="00874318" w:rsidRPr="00B134DC" w:rsidRDefault="00874318" w:rsidP="00A21750">
      <w:pPr>
        <w:pStyle w:val="notemargin"/>
        <w:keepNext/>
        <w:spacing w:before="0" w:line="240" w:lineRule="auto"/>
        <w:ind w:left="0" w:firstLine="0"/>
        <w:rPr>
          <w:b/>
          <w:bCs/>
          <w:sz w:val="36"/>
          <w:szCs w:val="36"/>
        </w:rPr>
      </w:pPr>
      <w:bookmarkStart w:id="10" w:name="_Toc118979594"/>
      <w:bookmarkStart w:id="11" w:name="_Toc148019168"/>
      <w:r w:rsidRPr="00B134DC">
        <w:rPr>
          <w:b/>
          <w:bCs/>
          <w:sz w:val="36"/>
          <w:szCs w:val="36"/>
        </w:rPr>
        <w:t>Schedule 1A—</w:t>
      </w:r>
      <w:bookmarkStart w:id="12" w:name="_Toc1117868"/>
      <w:bookmarkEnd w:id="10"/>
      <w:bookmarkEnd w:id="11"/>
      <w:r w:rsidRPr="00B134DC">
        <w:rPr>
          <w:b/>
          <w:bCs/>
          <w:sz w:val="36"/>
          <w:szCs w:val="36"/>
        </w:rPr>
        <w:t xml:space="preserve">Therapeutic vaping </w:t>
      </w:r>
      <w:r w:rsidR="00E24465" w:rsidRPr="00B134DC">
        <w:rPr>
          <w:b/>
          <w:bCs/>
          <w:sz w:val="36"/>
          <w:szCs w:val="36"/>
        </w:rPr>
        <w:t>goods</w:t>
      </w:r>
    </w:p>
    <w:p w14:paraId="74EFB49A" w14:textId="19BA5EE5" w:rsidR="00874318" w:rsidRPr="00B134DC" w:rsidRDefault="00874318" w:rsidP="00874318">
      <w:pPr>
        <w:pStyle w:val="notemargin"/>
        <w:spacing w:after="240"/>
        <w:ind w:left="0" w:firstLine="0"/>
      </w:pPr>
      <w:r w:rsidRPr="00B134DC">
        <w:t>Note:</w:t>
      </w:r>
      <w:r w:rsidRPr="00B134DC">
        <w:tab/>
        <w:t>See section 5A.</w:t>
      </w:r>
    </w:p>
    <w:tbl>
      <w:tblPr>
        <w:tblW w:w="5051" w:type="pct"/>
        <w:tblBorders>
          <w:top w:val="single" w:sz="4" w:space="0" w:color="auto"/>
          <w:bottom w:val="single" w:sz="2" w:space="0" w:color="auto"/>
          <w:insideH w:val="single" w:sz="2" w:space="0" w:color="auto"/>
        </w:tblBorders>
        <w:tblLook w:val="04A0" w:firstRow="1" w:lastRow="0" w:firstColumn="1" w:lastColumn="0" w:noHBand="0" w:noVBand="1"/>
      </w:tblPr>
      <w:tblGrid>
        <w:gridCol w:w="1074"/>
        <w:gridCol w:w="2370"/>
        <w:gridCol w:w="1038"/>
        <w:gridCol w:w="1483"/>
        <w:gridCol w:w="2099"/>
      </w:tblGrid>
      <w:tr w:rsidR="00874318" w:rsidRPr="00B134DC" w14:paraId="66FEB2F6" w14:textId="77777777" w:rsidTr="00F70051">
        <w:trPr>
          <w:trHeight w:val="57"/>
          <w:tblHeader/>
        </w:trPr>
        <w:tc>
          <w:tcPr>
            <w:tcW w:w="5000" w:type="pct"/>
            <w:gridSpan w:val="5"/>
            <w:tcBorders>
              <w:top w:val="single" w:sz="12" w:space="0" w:color="auto"/>
              <w:left w:val="nil"/>
              <w:bottom w:val="single" w:sz="4" w:space="0" w:color="auto"/>
              <w:right w:val="nil"/>
            </w:tcBorders>
            <w:hideMark/>
          </w:tcPr>
          <w:bookmarkEnd w:id="12"/>
          <w:p w14:paraId="2AF07D2B" w14:textId="77777777" w:rsidR="00874318" w:rsidRPr="00B134DC" w:rsidRDefault="00874318" w:rsidP="000A2F76">
            <w:pPr>
              <w:pStyle w:val="TableHeading"/>
              <w:rPr>
                <w:lang w:eastAsia="en-US"/>
              </w:rPr>
            </w:pPr>
            <w:r w:rsidRPr="00B134DC">
              <w:rPr>
                <w:lang w:eastAsia="en-US"/>
              </w:rPr>
              <w:t>Specified therapeutic goods</w:t>
            </w:r>
          </w:p>
        </w:tc>
      </w:tr>
      <w:tr w:rsidR="00874318" w:rsidRPr="00B134DC" w14:paraId="590184AE" w14:textId="77777777" w:rsidTr="00F70051">
        <w:trPr>
          <w:trHeight w:val="57"/>
          <w:tblHeader/>
        </w:trPr>
        <w:tc>
          <w:tcPr>
            <w:tcW w:w="675" w:type="pct"/>
            <w:tcBorders>
              <w:top w:val="single" w:sz="4" w:space="0" w:color="auto"/>
              <w:left w:val="nil"/>
              <w:bottom w:val="single" w:sz="2" w:space="0" w:color="auto"/>
              <w:right w:val="nil"/>
            </w:tcBorders>
            <w:hideMark/>
          </w:tcPr>
          <w:p w14:paraId="54246720" w14:textId="77777777" w:rsidR="00874318" w:rsidRPr="00B134DC" w:rsidRDefault="00874318" w:rsidP="000A2F76">
            <w:pPr>
              <w:pStyle w:val="TableHeading"/>
              <w:rPr>
                <w:lang w:eastAsia="en-US"/>
              </w:rPr>
            </w:pPr>
            <w:r w:rsidRPr="00B134DC">
              <w:rPr>
                <w:lang w:eastAsia="en-US"/>
              </w:rPr>
              <w:t>Column 1</w:t>
            </w:r>
          </w:p>
        </w:tc>
        <w:tc>
          <w:tcPr>
            <w:tcW w:w="1479" w:type="pct"/>
            <w:tcBorders>
              <w:top w:val="single" w:sz="4" w:space="0" w:color="auto"/>
              <w:left w:val="nil"/>
              <w:bottom w:val="single" w:sz="2" w:space="0" w:color="auto"/>
              <w:right w:val="nil"/>
            </w:tcBorders>
            <w:hideMark/>
          </w:tcPr>
          <w:p w14:paraId="139515B6" w14:textId="77777777" w:rsidR="00874318" w:rsidRPr="00B134DC" w:rsidRDefault="00874318" w:rsidP="000A2F76">
            <w:pPr>
              <w:pStyle w:val="TableHeading"/>
              <w:rPr>
                <w:lang w:eastAsia="en-US"/>
              </w:rPr>
            </w:pPr>
            <w:r w:rsidRPr="00B134DC">
              <w:rPr>
                <w:lang w:eastAsia="en-US"/>
              </w:rPr>
              <w:t>Column 2</w:t>
            </w:r>
          </w:p>
        </w:tc>
        <w:tc>
          <w:tcPr>
            <w:tcW w:w="653" w:type="pct"/>
            <w:tcBorders>
              <w:top w:val="single" w:sz="4" w:space="0" w:color="auto"/>
              <w:left w:val="nil"/>
              <w:bottom w:val="single" w:sz="2" w:space="0" w:color="auto"/>
              <w:right w:val="nil"/>
            </w:tcBorders>
            <w:hideMark/>
          </w:tcPr>
          <w:p w14:paraId="596EADD9" w14:textId="77777777" w:rsidR="00874318" w:rsidRPr="00B134DC" w:rsidRDefault="00874318" w:rsidP="000A2F76">
            <w:pPr>
              <w:pStyle w:val="TableHeading"/>
              <w:rPr>
                <w:lang w:eastAsia="en-US"/>
              </w:rPr>
            </w:pPr>
            <w:r w:rsidRPr="00B134DC">
              <w:rPr>
                <w:lang w:eastAsia="en-US"/>
              </w:rPr>
              <w:t>Column 3</w:t>
            </w:r>
          </w:p>
        </w:tc>
        <w:tc>
          <w:tcPr>
            <w:tcW w:w="883" w:type="pct"/>
            <w:tcBorders>
              <w:top w:val="single" w:sz="4" w:space="0" w:color="auto"/>
              <w:left w:val="nil"/>
              <w:bottom w:val="single" w:sz="2" w:space="0" w:color="auto"/>
              <w:right w:val="nil"/>
            </w:tcBorders>
            <w:hideMark/>
          </w:tcPr>
          <w:p w14:paraId="061049A8" w14:textId="77777777" w:rsidR="00874318" w:rsidRPr="00B134DC" w:rsidRDefault="00874318" w:rsidP="000A2F76">
            <w:pPr>
              <w:pStyle w:val="TableHeading"/>
              <w:rPr>
                <w:lang w:eastAsia="en-US"/>
              </w:rPr>
            </w:pPr>
            <w:r w:rsidRPr="00B134DC">
              <w:rPr>
                <w:lang w:eastAsia="en-US"/>
              </w:rPr>
              <w:t>Column 4</w:t>
            </w:r>
          </w:p>
        </w:tc>
        <w:tc>
          <w:tcPr>
            <w:tcW w:w="1308" w:type="pct"/>
            <w:tcBorders>
              <w:top w:val="single" w:sz="4" w:space="0" w:color="auto"/>
              <w:left w:val="nil"/>
              <w:bottom w:val="single" w:sz="2" w:space="0" w:color="auto"/>
              <w:right w:val="nil"/>
            </w:tcBorders>
            <w:hideMark/>
          </w:tcPr>
          <w:p w14:paraId="39E6741E" w14:textId="77777777" w:rsidR="00874318" w:rsidRPr="00B134DC" w:rsidRDefault="00874318" w:rsidP="000A2F76">
            <w:pPr>
              <w:pStyle w:val="TableHeading"/>
              <w:rPr>
                <w:lang w:eastAsia="en-US"/>
              </w:rPr>
            </w:pPr>
            <w:r w:rsidRPr="00B134DC">
              <w:rPr>
                <w:lang w:eastAsia="en-US"/>
              </w:rPr>
              <w:t>Column 5</w:t>
            </w:r>
          </w:p>
        </w:tc>
      </w:tr>
      <w:tr w:rsidR="00874318" w:rsidRPr="00B134DC" w14:paraId="731A5712" w14:textId="77777777" w:rsidTr="00F70051">
        <w:trPr>
          <w:trHeight w:val="57"/>
          <w:tblHeader/>
        </w:trPr>
        <w:tc>
          <w:tcPr>
            <w:tcW w:w="675" w:type="pct"/>
            <w:tcBorders>
              <w:top w:val="single" w:sz="2" w:space="0" w:color="auto"/>
              <w:left w:val="nil"/>
              <w:bottom w:val="single" w:sz="12" w:space="0" w:color="auto"/>
              <w:right w:val="nil"/>
            </w:tcBorders>
            <w:hideMark/>
          </w:tcPr>
          <w:p w14:paraId="2A4BE2A0" w14:textId="77777777" w:rsidR="00874318" w:rsidRPr="00B134DC" w:rsidRDefault="00874318" w:rsidP="000A2F76">
            <w:pPr>
              <w:pStyle w:val="TableHeading"/>
              <w:rPr>
                <w:lang w:eastAsia="en-US"/>
              </w:rPr>
            </w:pPr>
            <w:r w:rsidRPr="00B134DC">
              <w:rPr>
                <w:lang w:eastAsia="en-US"/>
              </w:rPr>
              <w:t>Item</w:t>
            </w:r>
          </w:p>
        </w:tc>
        <w:tc>
          <w:tcPr>
            <w:tcW w:w="1479" w:type="pct"/>
            <w:tcBorders>
              <w:top w:val="single" w:sz="2" w:space="0" w:color="auto"/>
              <w:left w:val="nil"/>
              <w:bottom w:val="single" w:sz="12" w:space="0" w:color="auto"/>
              <w:right w:val="nil"/>
            </w:tcBorders>
            <w:hideMark/>
          </w:tcPr>
          <w:p w14:paraId="3C41DEAE" w14:textId="77777777" w:rsidR="00874318" w:rsidRPr="00B134DC" w:rsidRDefault="00874318" w:rsidP="000A2F76">
            <w:pPr>
              <w:pStyle w:val="TableHeading"/>
              <w:rPr>
                <w:lang w:eastAsia="en-US"/>
              </w:rPr>
            </w:pPr>
            <w:r w:rsidRPr="00B134DC">
              <w:rPr>
                <w:lang w:eastAsia="en-US"/>
              </w:rPr>
              <w:t>Class of therapeutic goods</w:t>
            </w:r>
          </w:p>
        </w:tc>
        <w:tc>
          <w:tcPr>
            <w:tcW w:w="653" w:type="pct"/>
            <w:tcBorders>
              <w:top w:val="single" w:sz="2" w:space="0" w:color="auto"/>
              <w:left w:val="nil"/>
              <w:bottom w:val="single" w:sz="12" w:space="0" w:color="auto"/>
              <w:right w:val="nil"/>
            </w:tcBorders>
            <w:hideMark/>
          </w:tcPr>
          <w:p w14:paraId="460888C9" w14:textId="77777777" w:rsidR="00874318" w:rsidRPr="00B134DC" w:rsidRDefault="00874318" w:rsidP="000A2F76">
            <w:pPr>
              <w:pStyle w:val="TableHeading"/>
              <w:rPr>
                <w:lang w:eastAsia="en-US"/>
              </w:rPr>
            </w:pPr>
            <w:r w:rsidRPr="00B134DC">
              <w:rPr>
                <w:lang w:eastAsia="en-US"/>
              </w:rPr>
              <w:t>Dosage form</w:t>
            </w:r>
          </w:p>
        </w:tc>
        <w:tc>
          <w:tcPr>
            <w:tcW w:w="883" w:type="pct"/>
            <w:tcBorders>
              <w:top w:val="single" w:sz="2" w:space="0" w:color="auto"/>
              <w:left w:val="nil"/>
              <w:bottom w:val="single" w:sz="12" w:space="0" w:color="auto"/>
              <w:right w:val="nil"/>
            </w:tcBorders>
            <w:hideMark/>
          </w:tcPr>
          <w:p w14:paraId="50745D1D" w14:textId="77777777" w:rsidR="00874318" w:rsidRPr="00B134DC" w:rsidRDefault="00874318" w:rsidP="000A2F76">
            <w:pPr>
              <w:pStyle w:val="TableHeading"/>
              <w:rPr>
                <w:lang w:eastAsia="en-US"/>
              </w:rPr>
            </w:pPr>
            <w:r w:rsidRPr="00B134DC">
              <w:rPr>
                <w:lang w:eastAsia="en-US"/>
              </w:rPr>
              <w:t>Route of administration</w:t>
            </w:r>
          </w:p>
        </w:tc>
        <w:tc>
          <w:tcPr>
            <w:tcW w:w="1308" w:type="pct"/>
            <w:tcBorders>
              <w:top w:val="single" w:sz="2" w:space="0" w:color="auto"/>
              <w:left w:val="nil"/>
              <w:bottom w:val="single" w:sz="12" w:space="0" w:color="auto"/>
              <w:right w:val="nil"/>
            </w:tcBorders>
            <w:hideMark/>
          </w:tcPr>
          <w:p w14:paraId="1B24F010" w14:textId="77777777" w:rsidR="00874318" w:rsidRPr="00B134DC" w:rsidRDefault="00874318" w:rsidP="000A2F76">
            <w:pPr>
              <w:pStyle w:val="TableHeading"/>
              <w:rPr>
                <w:lang w:eastAsia="en-US"/>
              </w:rPr>
            </w:pPr>
            <w:r w:rsidRPr="00B134DC">
              <w:rPr>
                <w:lang w:eastAsia="en-US"/>
              </w:rPr>
              <w:t>Indication</w:t>
            </w:r>
          </w:p>
        </w:tc>
      </w:tr>
      <w:tr w:rsidR="00874318" w:rsidRPr="00B134DC" w14:paraId="624E1E01" w14:textId="77777777" w:rsidTr="00F70051">
        <w:trPr>
          <w:trHeight w:val="20"/>
        </w:trPr>
        <w:tc>
          <w:tcPr>
            <w:tcW w:w="675" w:type="pct"/>
            <w:tcBorders>
              <w:top w:val="single" w:sz="2" w:space="0" w:color="auto"/>
              <w:left w:val="nil"/>
              <w:bottom w:val="single" w:sz="2" w:space="0" w:color="auto"/>
              <w:right w:val="nil"/>
            </w:tcBorders>
            <w:hideMark/>
          </w:tcPr>
          <w:p w14:paraId="548B55C2" w14:textId="77777777" w:rsidR="00874318" w:rsidRPr="00B134DC" w:rsidRDefault="00874318" w:rsidP="000A2F76">
            <w:pPr>
              <w:pStyle w:val="Tabletext"/>
              <w:rPr>
                <w:lang w:eastAsia="en-US"/>
              </w:rPr>
            </w:pPr>
            <w:r w:rsidRPr="00B134DC">
              <w:rPr>
                <w:lang w:eastAsia="en-US"/>
              </w:rPr>
              <w:t>1</w:t>
            </w:r>
          </w:p>
        </w:tc>
        <w:tc>
          <w:tcPr>
            <w:tcW w:w="1479" w:type="pct"/>
            <w:tcBorders>
              <w:top w:val="single" w:sz="2" w:space="0" w:color="auto"/>
              <w:left w:val="nil"/>
              <w:bottom w:val="single" w:sz="2" w:space="0" w:color="auto"/>
              <w:right w:val="nil"/>
            </w:tcBorders>
            <w:hideMark/>
          </w:tcPr>
          <w:p w14:paraId="3B1C9D4C" w14:textId="1F715919" w:rsidR="00874318" w:rsidRPr="00B134DC" w:rsidRDefault="00AD2CE3" w:rsidP="000A2F76">
            <w:pPr>
              <w:pStyle w:val="Tabletext"/>
              <w:rPr>
                <w:lang w:eastAsia="en-US"/>
              </w:rPr>
            </w:pPr>
            <w:r w:rsidRPr="00B134DC">
              <w:rPr>
                <w:lang w:eastAsia="en-US"/>
              </w:rPr>
              <w:t xml:space="preserve">therapeutic </w:t>
            </w:r>
            <w:r w:rsidR="00BB016F" w:rsidRPr="00B134DC">
              <w:rPr>
                <w:lang w:eastAsia="en-US"/>
              </w:rPr>
              <w:t xml:space="preserve">vaping substances </w:t>
            </w:r>
            <w:r w:rsidR="00952C64" w:rsidRPr="00B134DC">
              <w:rPr>
                <w:lang w:eastAsia="en-US"/>
              </w:rPr>
              <w:t xml:space="preserve">or therapeutic vaping substance accessories </w:t>
            </w:r>
            <w:r w:rsidR="0081004D" w:rsidRPr="00B134DC">
              <w:rPr>
                <w:lang w:eastAsia="en-US"/>
              </w:rPr>
              <w:t>that:</w:t>
            </w:r>
          </w:p>
          <w:p w14:paraId="087B223B" w14:textId="1382594E" w:rsidR="00792108" w:rsidRPr="00B134DC" w:rsidRDefault="00792108" w:rsidP="0081004D">
            <w:pPr>
              <w:pStyle w:val="Tabletext"/>
              <w:ind w:left="405" w:hanging="405"/>
              <w:rPr>
                <w:lang w:eastAsia="en-US"/>
              </w:rPr>
            </w:pPr>
            <w:r w:rsidRPr="00B134DC">
              <w:rPr>
                <w:lang w:eastAsia="en-US"/>
              </w:rPr>
              <w:t>(a)</w:t>
            </w:r>
            <w:r w:rsidRPr="00B134DC">
              <w:rPr>
                <w:lang w:eastAsia="en-US"/>
              </w:rPr>
              <w:tab/>
              <w:t>contain nicotine as the only active ingredient;</w:t>
            </w:r>
          </w:p>
          <w:p w14:paraId="13096267" w14:textId="10375959" w:rsidR="0081004D" w:rsidRPr="00B134DC" w:rsidRDefault="0081004D" w:rsidP="0081004D">
            <w:pPr>
              <w:pStyle w:val="Tabletext"/>
              <w:ind w:left="405" w:hanging="405"/>
              <w:rPr>
                <w:lang w:eastAsia="en-US"/>
              </w:rPr>
            </w:pPr>
            <w:r w:rsidRPr="00B134DC">
              <w:rPr>
                <w:lang w:eastAsia="en-US"/>
              </w:rPr>
              <w:t>(</w:t>
            </w:r>
            <w:r w:rsidR="00792108" w:rsidRPr="00B134DC">
              <w:rPr>
                <w:lang w:eastAsia="en-US"/>
              </w:rPr>
              <w:t>b</w:t>
            </w:r>
            <w:r w:rsidRPr="00B134DC">
              <w:rPr>
                <w:lang w:eastAsia="en-US"/>
              </w:rPr>
              <w:t>)</w:t>
            </w:r>
            <w:r w:rsidRPr="00B134DC">
              <w:rPr>
                <w:lang w:eastAsia="en-US"/>
              </w:rPr>
              <w:tab/>
            </w:r>
            <w:r w:rsidR="00792108" w:rsidRPr="00B134DC">
              <w:rPr>
                <w:lang w:eastAsia="en-US"/>
              </w:rPr>
              <w:t xml:space="preserve">are </w:t>
            </w:r>
            <w:r w:rsidRPr="00B134DC">
              <w:rPr>
                <w:lang w:eastAsia="en-US"/>
              </w:rPr>
              <w:t>the subject of a</w:t>
            </w:r>
            <w:r w:rsidR="00816558" w:rsidRPr="00B134DC">
              <w:rPr>
                <w:lang w:eastAsia="en-US"/>
              </w:rPr>
              <w:t xml:space="preserve"> notification</w:t>
            </w:r>
            <w:r w:rsidRPr="00B134DC">
              <w:rPr>
                <w:lang w:eastAsia="en-US"/>
              </w:rPr>
              <w:t xml:space="preserve"> </w:t>
            </w:r>
            <w:r w:rsidR="00816558" w:rsidRPr="00B134DC">
              <w:t>under item 15 in Schedule 5A to the Regulations</w:t>
            </w:r>
            <w:r w:rsidRPr="00B134DC">
              <w:rPr>
                <w:lang w:eastAsia="en-US"/>
              </w:rPr>
              <w:t>; and</w:t>
            </w:r>
          </w:p>
          <w:p w14:paraId="0065D603" w14:textId="28201533" w:rsidR="0081004D" w:rsidRPr="00B134DC" w:rsidRDefault="0081004D" w:rsidP="0081004D">
            <w:pPr>
              <w:pStyle w:val="Tabletext"/>
              <w:ind w:left="405" w:hanging="405"/>
              <w:rPr>
                <w:lang w:eastAsia="en-US"/>
              </w:rPr>
            </w:pPr>
            <w:r w:rsidRPr="00B134DC">
              <w:rPr>
                <w:lang w:eastAsia="en-US"/>
              </w:rPr>
              <w:t>(</w:t>
            </w:r>
            <w:r w:rsidR="00792108" w:rsidRPr="00B134DC">
              <w:rPr>
                <w:lang w:eastAsia="en-US"/>
              </w:rPr>
              <w:t>c</w:t>
            </w:r>
            <w:r w:rsidRPr="00B134DC">
              <w:rPr>
                <w:lang w:eastAsia="en-US"/>
              </w:rPr>
              <w:t>)</w:t>
            </w:r>
            <w:r w:rsidRPr="00B134DC">
              <w:rPr>
                <w:lang w:eastAsia="en-US"/>
              </w:rPr>
              <w:tab/>
            </w:r>
            <w:r w:rsidR="00792108" w:rsidRPr="00B134DC">
              <w:rPr>
                <w:lang w:eastAsia="en-US"/>
              </w:rPr>
              <w:t xml:space="preserve">are </w:t>
            </w:r>
            <w:r w:rsidRPr="00B134DC">
              <w:rPr>
                <w:lang w:eastAsia="en-US"/>
              </w:rPr>
              <w:t xml:space="preserve">not the subject of a determination </w:t>
            </w:r>
            <w:r w:rsidR="00816558" w:rsidRPr="00B134DC">
              <w:t>by the Secretary under item 15 in Schedule 5A to the Regulations</w:t>
            </w:r>
          </w:p>
        </w:tc>
        <w:tc>
          <w:tcPr>
            <w:tcW w:w="653" w:type="pct"/>
            <w:tcBorders>
              <w:top w:val="single" w:sz="2" w:space="0" w:color="auto"/>
              <w:left w:val="nil"/>
              <w:bottom w:val="single" w:sz="2" w:space="0" w:color="auto"/>
              <w:right w:val="nil"/>
            </w:tcBorders>
            <w:hideMark/>
          </w:tcPr>
          <w:p w14:paraId="5DCFDF18" w14:textId="6D22C020" w:rsidR="00874318" w:rsidRPr="00B134DC" w:rsidRDefault="008E0349" w:rsidP="000A2F76">
            <w:pPr>
              <w:pStyle w:val="Tabletext"/>
              <w:rPr>
                <w:lang w:eastAsia="en-US"/>
              </w:rPr>
            </w:pPr>
            <w:r w:rsidRPr="00B134DC">
              <w:rPr>
                <w:lang w:eastAsia="en-US"/>
              </w:rPr>
              <w:t>l</w:t>
            </w:r>
            <w:r w:rsidR="00874318" w:rsidRPr="00B134DC">
              <w:rPr>
                <w:lang w:eastAsia="en-US"/>
              </w:rPr>
              <w:t>iquid</w:t>
            </w:r>
            <w:r w:rsidRPr="00B134DC">
              <w:rPr>
                <w:lang w:eastAsia="en-US"/>
              </w:rPr>
              <w:t xml:space="preserve"> or solid</w:t>
            </w:r>
          </w:p>
        </w:tc>
        <w:tc>
          <w:tcPr>
            <w:tcW w:w="883" w:type="pct"/>
            <w:tcBorders>
              <w:top w:val="single" w:sz="2" w:space="0" w:color="auto"/>
              <w:left w:val="nil"/>
              <w:bottom w:val="single" w:sz="2" w:space="0" w:color="auto"/>
              <w:right w:val="nil"/>
            </w:tcBorders>
            <w:hideMark/>
          </w:tcPr>
          <w:p w14:paraId="0AAE89CB" w14:textId="77777777" w:rsidR="00874318" w:rsidRPr="00B134DC" w:rsidRDefault="00874318" w:rsidP="000A2F76">
            <w:pPr>
              <w:pStyle w:val="Tabletext"/>
              <w:rPr>
                <w:lang w:eastAsia="en-US"/>
              </w:rPr>
            </w:pPr>
            <w:r w:rsidRPr="00B134DC">
              <w:rPr>
                <w:lang w:eastAsia="en-US"/>
              </w:rPr>
              <w:t>inhalation</w:t>
            </w:r>
          </w:p>
        </w:tc>
        <w:tc>
          <w:tcPr>
            <w:tcW w:w="1308" w:type="pct"/>
            <w:tcBorders>
              <w:top w:val="single" w:sz="2" w:space="0" w:color="auto"/>
              <w:left w:val="nil"/>
              <w:bottom w:val="single" w:sz="2" w:space="0" w:color="auto"/>
              <w:right w:val="nil"/>
            </w:tcBorders>
            <w:hideMark/>
          </w:tcPr>
          <w:p w14:paraId="64E8EC16" w14:textId="77777777" w:rsidR="00874318" w:rsidRPr="00B134DC" w:rsidRDefault="00874318" w:rsidP="000A2F76">
            <w:pPr>
              <w:pStyle w:val="Tabletext"/>
              <w:rPr>
                <w:lang w:eastAsia="en-US"/>
              </w:rPr>
            </w:pPr>
            <w:r w:rsidRPr="00B134DC">
              <w:rPr>
                <w:lang w:eastAsia="en-US"/>
              </w:rPr>
              <w:t>any one or more of the following:</w:t>
            </w:r>
          </w:p>
          <w:p w14:paraId="56B602CC" w14:textId="291FCF14" w:rsidR="00874318" w:rsidRPr="00B134DC" w:rsidRDefault="00874318" w:rsidP="000A2F76">
            <w:pPr>
              <w:pStyle w:val="Tabletext"/>
              <w:ind w:left="465" w:hanging="465"/>
              <w:rPr>
                <w:lang w:eastAsia="en-US"/>
              </w:rPr>
            </w:pPr>
            <w:r w:rsidRPr="00B134DC">
              <w:rPr>
                <w:lang w:eastAsia="en-US"/>
              </w:rPr>
              <w:t>(a)</w:t>
            </w:r>
            <w:r w:rsidRPr="00B134DC">
              <w:rPr>
                <w:lang w:eastAsia="en-US"/>
              </w:rPr>
              <w:tab/>
            </w:r>
            <w:r w:rsidR="00BB016F" w:rsidRPr="00B134DC">
              <w:rPr>
                <w:lang w:eastAsia="en-US"/>
              </w:rPr>
              <w:t xml:space="preserve">use </w:t>
            </w:r>
            <w:r w:rsidR="0018592D" w:rsidRPr="00B134DC">
              <w:rPr>
                <w:lang w:eastAsia="en-US"/>
              </w:rPr>
              <w:t>for</w:t>
            </w:r>
            <w:r w:rsidR="00BB016F" w:rsidRPr="00B134DC">
              <w:rPr>
                <w:lang w:eastAsia="en-US"/>
              </w:rPr>
              <w:t xml:space="preserve"> </w:t>
            </w:r>
            <w:r w:rsidR="0018592D" w:rsidRPr="00B134DC">
              <w:rPr>
                <w:lang w:eastAsia="en-US"/>
              </w:rPr>
              <w:t xml:space="preserve">smoking </w:t>
            </w:r>
            <w:r w:rsidR="00BB016F" w:rsidRPr="00B134DC">
              <w:rPr>
                <w:lang w:eastAsia="en-US"/>
              </w:rPr>
              <w:t>cessation</w:t>
            </w:r>
            <w:r w:rsidRPr="00B134DC">
              <w:rPr>
                <w:lang w:eastAsia="en-US"/>
              </w:rPr>
              <w:t>;</w:t>
            </w:r>
          </w:p>
          <w:p w14:paraId="1F964126" w14:textId="4D20098A" w:rsidR="00874318" w:rsidRPr="00B134DC" w:rsidRDefault="00874318" w:rsidP="000A2F76">
            <w:pPr>
              <w:pStyle w:val="Tabletext"/>
              <w:ind w:left="465" w:hanging="465"/>
              <w:rPr>
                <w:lang w:eastAsia="en-US"/>
              </w:rPr>
            </w:pPr>
            <w:r w:rsidRPr="00B134DC">
              <w:rPr>
                <w:lang w:eastAsia="en-US"/>
              </w:rPr>
              <w:t>(b)</w:t>
            </w:r>
            <w:r w:rsidRPr="00B134DC">
              <w:rPr>
                <w:lang w:eastAsia="en-US"/>
              </w:rPr>
              <w:tab/>
            </w:r>
            <w:r w:rsidR="00BB016F" w:rsidRPr="00B134DC">
              <w:rPr>
                <w:lang w:eastAsia="en-US"/>
              </w:rPr>
              <w:t xml:space="preserve">management </w:t>
            </w:r>
            <w:r w:rsidRPr="00B134DC">
              <w:rPr>
                <w:lang w:eastAsia="en-US"/>
              </w:rPr>
              <w:t>of nicotine dependence</w:t>
            </w:r>
          </w:p>
        </w:tc>
      </w:tr>
      <w:tr w:rsidR="00816558" w:rsidRPr="00B134DC" w14:paraId="421C34CE" w14:textId="77777777" w:rsidTr="00F70051">
        <w:trPr>
          <w:trHeight w:val="20"/>
        </w:trPr>
        <w:tc>
          <w:tcPr>
            <w:tcW w:w="675" w:type="pct"/>
            <w:tcBorders>
              <w:top w:val="single" w:sz="2" w:space="0" w:color="auto"/>
              <w:left w:val="nil"/>
              <w:bottom w:val="single" w:sz="2" w:space="0" w:color="auto"/>
              <w:right w:val="nil"/>
            </w:tcBorders>
          </w:tcPr>
          <w:p w14:paraId="284CA0C6" w14:textId="4ADF7EB8" w:rsidR="00816558" w:rsidRPr="00B134DC" w:rsidRDefault="00B71C88" w:rsidP="000A2F76">
            <w:pPr>
              <w:pStyle w:val="Tabletext"/>
              <w:rPr>
                <w:lang w:eastAsia="en-US"/>
              </w:rPr>
            </w:pPr>
            <w:r w:rsidRPr="00B134DC">
              <w:rPr>
                <w:lang w:eastAsia="en-US"/>
              </w:rPr>
              <w:t>2</w:t>
            </w:r>
          </w:p>
        </w:tc>
        <w:tc>
          <w:tcPr>
            <w:tcW w:w="1479" w:type="pct"/>
            <w:tcBorders>
              <w:top w:val="single" w:sz="2" w:space="0" w:color="auto"/>
              <w:left w:val="nil"/>
              <w:bottom w:val="single" w:sz="2" w:space="0" w:color="auto"/>
              <w:right w:val="nil"/>
            </w:tcBorders>
          </w:tcPr>
          <w:p w14:paraId="41C3E8AE" w14:textId="4457E9DD" w:rsidR="00816558" w:rsidRPr="00B134DC" w:rsidRDefault="00AD2CE3" w:rsidP="00816558">
            <w:pPr>
              <w:pStyle w:val="Tabletext"/>
              <w:rPr>
                <w:lang w:eastAsia="en-US"/>
              </w:rPr>
            </w:pPr>
            <w:r w:rsidRPr="00B134DC">
              <w:rPr>
                <w:lang w:eastAsia="en-US"/>
              </w:rPr>
              <w:t xml:space="preserve">therapeutic </w:t>
            </w:r>
            <w:r w:rsidR="00816558" w:rsidRPr="00B134DC">
              <w:rPr>
                <w:lang w:eastAsia="en-US"/>
              </w:rPr>
              <w:t xml:space="preserve">vaping substances </w:t>
            </w:r>
            <w:r w:rsidR="00952C64" w:rsidRPr="00B134DC">
              <w:rPr>
                <w:lang w:eastAsia="en-US"/>
              </w:rPr>
              <w:t xml:space="preserve">or therapeutic vaping substance accessories </w:t>
            </w:r>
            <w:r w:rsidR="00816558" w:rsidRPr="00B134DC">
              <w:rPr>
                <w:lang w:eastAsia="en-US"/>
              </w:rPr>
              <w:t>that:</w:t>
            </w:r>
          </w:p>
          <w:p w14:paraId="404EADEA" w14:textId="456CA35B" w:rsidR="00792108" w:rsidRPr="00B134DC" w:rsidRDefault="00792108" w:rsidP="00F70051">
            <w:pPr>
              <w:pStyle w:val="Tabletext"/>
              <w:ind w:left="405" w:hanging="405"/>
              <w:rPr>
                <w:lang w:eastAsia="en-US"/>
              </w:rPr>
            </w:pPr>
            <w:r w:rsidRPr="00B134DC">
              <w:rPr>
                <w:lang w:eastAsia="en-US"/>
              </w:rPr>
              <w:t>(a)</w:t>
            </w:r>
            <w:r w:rsidRPr="00B134DC">
              <w:rPr>
                <w:lang w:eastAsia="en-US"/>
              </w:rPr>
              <w:tab/>
              <w:t>do not contain any active ingredients;</w:t>
            </w:r>
          </w:p>
          <w:p w14:paraId="44E72263" w14:textId="0097F91A" w:rsidR="00816558" w:rsidRPr="00B134DC" w:rsidRDefault="00816558" w:rsidP="002F5AA7">
            <w:pPr>
              <w:pStyle w:val="Tabletext"/>
              <w:widowControl w:val="0"/>
              <w:ind w:left="403" w:hanging="403"/>
              <w:rPr>
                <w:lang w:eastAsia="en-US"/>
              </w:rPr>
            </w:pPr>
            <w:r w:rsidRPr="00B134DC">
              <w:rPr>
                <w:lang w:eastAsia="en-US"/>
              </w:rPr>
              <w:t>(</w:t>
            </w:r>
            <w:r w:rsidR="00792108" w:rsidRPr="00B134DC">
              <w:rPr>
                <w:lang w:eastAsia="en-US"/>
              </w:rPr>
              <w:t>b</w:t>
            </w:r>
            <w:r w:rsidRPr="00B134DC">
              <w:rPr>
                <w:lang w:eastAsia="en-US"/>
              </w:rPr>
              <w:t>)</w:t>
            </w:r>
            <w:r w:rsidRPr="00B134DC">
              <w:rPr>
                <w:lang w:eastAsia="en-US"/>
              </w:rPr>
              <w:tab/>
            </w:r>
            <w:r w:rsidR="00792108" w:rsidRPr="00B134DC">
              <w:rPr>
                <w:lang w:eastAsia="en-US"/>
              </w:rPr>
              <w:t xml:space="preserve">are </w:t>
            </w:r>
            <w:r w:rsidRPr="00B134DC">
              <w:rPr>
                <w:lang w:eastAsia="en-US"/>
              </w:rPr>
              <w:t xml:space="preserve">the subject of a notification </w:t>
            </w:r>
            <w:r w:rsidRPr="00B134DC">
              <w:t xml:space="preserve">under </w:t>
            </w:r>
            <w:r w:rsidRPr="00B134DC">
              <w:lastRenderedPageBreak/>
              <w:t>item 15 in Schedule 5A to the Regulations</w:t>
            </w:r>
            <w:r w:rsidRPr="00B134DC">
              <w:rPr>
                <w:lang w:eastAsia="en-US"/>
              </w:rPr>
              <w:t>; and</w:t>
            </w:r>
          </w:p>
          <w:p w14:paraId="1EC0A70B" w14:textId="5920912F" w:rsidR="00816558" w:rsidRPr="00B134DC" w:rsidDel="00BB016F" w:rsidRDefault="00816558" w:rsidP="00B71C88">
            <w:pPr>
              <w:pStyle w:val="Tabletext"/>
              <w:ind w:left="405" w:hanging="405"/>
              <w:rPr>
                <w:lang w:eastAsia="en-US"/>
              </w:rPr>
            </w:pPr>
            <w:r w:rsidRPr="00B134DC">
              <w:rPr>
                <w:lang w:eastAsia="en-US"/>
              </w:rPr>
              <w:t>(</w:t>
            </w:r>
            <w:r w:rsidR="00792108" w:rsidRPr="00B134DC">
              <w:rPr>
                <w:lang w:eastAsia="en-US"/>
              </w:rPr>
              <w:t>c</w:t>
            </w:r>
            <w:r w:rsidRPr="00B134DC">
              <w:rPr>
                <w:lang w:eastAsia="en-US"/>
              </w:rPr>
              <w:t>)</w:t>
            </w:r>
            <w:r w:rsidRPr="00B134DC">
              <w:rPr>
                <w:lang w:eastAsia="en-US"/>
              </w:rPr>
              <w:tab/>
            </w:r>
            <w:r w:rsidR="00792108" w:rsidRPr="00B134DC">
              <w:rPr>
                <w:lang w:eastAsia="en-US"/>
              </w:rPr>
              <w:t xml:space="preserve">are </w:t>
            </w:r>
            <w:r w:rsidRPr="00B134DC">
              <w:rPr>
                <w:lang w:eastAsia="en-US"/>
              </w:rPr>
              <w:t>not the subject of a determination by the Secretary under item 15 in Schedule 5A to the Regulations</w:t>
            </w:r>
          </w:p>
        </w:tc>
        <w:tc>
          <w:tcPr>
            <w:tcW w:w="653" w:type="pct"/>
            <w:tcBorders>
              <w:top w:val="single" w:sz="2" w:space="0" w:color="auto"/>
              <w:left w:val="nil"/>
              <w:bottom w:val="single" w:sz="2" w:space="0" w:color="auto"/>
              <w:right w:val="nil"/>
            </w:tcBorders>
          </w:tcPr>
          <w:p w14:paraId="5FD5260A" w14:textId="203521EE" w:rsidR="00816558" w:rsidRPr="00B134DC" w:rsidRDefault="008E0349" w:rsidP="000A2F76">
            <w:pPr>
              <w:pStyle w:val="Tabletext"/>
              <w:rPr>
                <w:lang w:eastAsia="en-US"/>
              </w:rPr>
            </w:pPr>
            <w:r w:rsidRPr="00B134DC">
              <w:rPr>
                <w:lang w:eastAsia="en-US"/>
              </w:rPr>
              <w:lastRenderedPageBreak/>
              <w:t>l</w:t>
            </w:r>
            <w:r w:rsidR="00816558" w:rsidRPr="00B134DC">
              <w:rPr>
                <w:lang w:eastAsia="en-US"/>
              </w:rPr>
              <w:t>iquid</w:t>
            </w:r>
            <w:r w:rsidRPr="00B134DC">
              <w:rPr>
                <w:lang w:eastAsia="en-US"/>
              </w:rPr>
              <w:t xml:space="preserve"> or solid</w:t>
            </w:r>
          </w:p>
        </w:tc>
        <w:tc>
          <w:tcPr>
            <w:tcW w:w="883" w:type="pct"/>
            <w:tcBorders>
              <w:top w:val="single" w:sz="2" w:space="0" w:color="auto"/>
              <w:left w:val="nil"/>
              <w:bottom w:val="single" w:sz="2" w:space="0" w:color="auto"/>
              <w:right w:val="nil"/>
            </w:tcBorders>
          </w:tcPr>
          <w:p w14:paraId="0F212DB2" w14:textId="50CEE7CB" w:rsidR="00816558" w:rsidRPr="00B134DC" w:rsidRDefault="00816558" w:rsidP="000A2F76">
            <w:pPr>
              <w:pStyle w:val="Tabletext"/>
              <w:rPr>
                <w:lang w:eastAsia="en-US"/>
              </w:rPr>
            </w:pPr>
            <w:r w:rsidRPr="00B134DC">
              <w:rPr>
                <w:lang w:eastAsia="en-US"/>
              </w:rPr>
              <w:t>inhalation</w:t>
            </w:r>
          </w:p>
        </w:tc>
        <w:tc>
          <w:tcPr>
            <w:tcW w:w="1308" w:type="pct"/>
            <w:tcBorders>
              <w:top w:val="single" w:sz="2" w:space="0" w:color="auto"/>
              <w:left w:val="nil"/>
              <w:bottom w:val="single" w:sz="2" w:space="0" w:color="auto"/>
              <w:right w:val="nil"/>
            </w:tcBorders>
          </w:tcPr>
          <w:p w14:paraId="060BD2E1" w14:textId="77777777" w:rsidR="00816558" w:rsidRPr="00B134DC" w:rsidRDefault="00816558" w:rsidP="00816558">
            <w:pPr>
              <w:pStyle w:val="Tabletext"/>
              <w:rPr>
                <w:lang w:eastAsia="en-US"/>
              </w:rPr>
            </w:pPr>
            <w:r w:rsidRPr="00B134DC">
              <w:rPr>
                <w:lang w:eastAsia="en-US"/>
              </w:rPr>
              <w:t>any one or more of the following:</w:t>
            </w:r>
          </w:p>
          <w:p w14:paraId="0EA5C4BA" w14:textId="50606376" w:rsidR="00816558" w:rsidRPr="00B134DC" w:rsidRDefault="00816558" w:rsidP="00816558">
            <w:pPr>
              <w:pStyle w:val="Tabletext"/>
              <w:ind w:left="465" w:hanging="465"/>
              <w:rPr>
                <w:lang w:eastAsia="en-US"/>
              </w:rPr>
            </w:pPr>
            <w:r w:rsidRPr="00B134DC">
              <w:rPr>
                <w:lang w:eastAsia="en-US"/>
              </w:rPr>
              <w:t>(a)</w:t>
            </w:r>
            <w:r w:rsidRPr="00B134DC">
              <w:rPr>
                <w:lang w:eastAsia="en-US"/>
              </w:rPr>
              <w:tab/>
              <w:t xml:space="preserve">use </w:t>
            </w:r>
            <w:r w:rsidR="0018592D" w:rsidRPr="00B134DC">
              <w:rPr>
                <w:lang w:eastAsia="en-US"/>
              </w:rPr>
              <w:t>for smoking</w:t>
            </w:r>
            <w:r w:rsidRPr="00B134DC">
              <w:rPr>
                <w:lang w:eastAsia="en-US"/>
              </w:rPr>
              <w:t xml:space="preserve"> cessation;</w:t>
            </w:r>
          </w:p>
          <w:p w14:paraId="06E2B3E6" w14:textId="0878D5E3" w:rsidR="00816558" w:rsidRPr="00B134DC" w:rsidRDefault="00816558" w:rsidP="00B71C88">
            <w:pPr>
              <w:pStyle w:val="Tabletext"/>
              <w:ind w:left="465" w:hanging="465"/>
              <w:rPr>
                <w:lang w:eastAsia="en-US"/>
              </w:rPr>
            </w:pPr>
            <w:r w:rsidRPr="00B134DC">
              <w:rPr>
                <w:lang w:eastAsia="en-US"/>
              </w:rPr>
              <w:t>(b)</w:t>
            </w:r>
            <w:r w:rsidRPr="00B134DC">
              <w:rPr>
                <w:lang w:eastAsia="en-US"/>
              </w:rPr>
              <w:tab/>
              <w:t>management of nicotine dependence</w:t>
            </w:r>
          </w:p>
        </w:tc>
      </w:tr>
      <w:tr w:rsidR="00816558" w:rsidRPr="00B134DC" w14:paraId="03A7CDC0" w14:textId="77777777" w:rsidTr="00F70051">
        <w:trPr>
          <w:trHeight w:val="20"/>
        </w:trPr>
        <w:tc>
          <w:tcPr>
            <w:tcW w:w="675" w:type="pct"/>
            <w:tcBorders>
              <w:top w:val="single" w:sz="2" w:space="0" w:color="auto"/>
              <w:left w:val="nil"/>
              <w:bottom w:val="single" w:sz="2" w:space="0" w:color="auto"/>
              <w:right w:val="nil"/>
            </w:tcBorders>
          </w:tcPr>
          <w:p w14:paraId="1380724A" w14:textId="0C9E5268" w:rsidR="00816558" w:rsidRPr="00B134DC" w:rsidRDefault="00B71C88" w:rsidP="000A2F76">
            <w:pPr>
              <w:pStyle w:val="Tabletext"/>
              <w:rPr>
                <w:lang w:eastAsia="en-US"/>
              </w:rPr>
            </w:pPr>
            <w:r w:rsidRPr="00B134DC">
              <w:rPr>
                <w:lang w:eastAsia="en-US"/>
              </w:rPr>
              <w:t>3</w:t>
            </w:r>
          </w:p>
        </w:tc>
        <w:tc>
          <w:tcPr>
            <w:tcW w:w="1479" w:type="pct"/>
            <w:tcBorders>
              <w:top w:val="single" w:sz="2" w:space="0" w:color="auto"/>
              <w:left w:val="nil"/>
              <w:bottom w:val="single" w:sz="2" w:space="0" w:color="auto"/>
              <w:right w:val="nil"/>
            </w:tcBorders>
          </w:tcPr>
          <w:p w14:paraId="6D01476E" w14:textId="0E8653F7" w:rsidR="00F55E95" w:rsidRPr="00B134DC" w:rsidRDefault="00B71C88" w:rsidP="009D3C18">
            <w:pPr>
              <w:pStyle w:val="Tabletext"/>
              <w:rPr>
                <w:lang w:eastAsia="en-US"/>
              </w:rPr>
            </w:pPr>
            <w:r w:rsidRPr="00B134DC">
              <w:rPr>
                <w:lang w:eastAsia="en-US"/>
              </w:rPr>
              <w:t>therapeutic vaping kits</w:t>
            </w:r>
            <w:r w:rsidR="003F4400" w:rsidRPr="00B134DC">
              <w:rPr>
                <w:lang w:eastAsia="en-US"/>
              </w:rPr>
              <w:t xml:space="preserve"> that</w:t>
            </w:r>
            <w:r w:rsidR="002B740E" w:rsidRPr="00B134DC">
              <w:rPr>
                <w:lang w:eastAsia="en-US"/>
              </w:rPr>
              <w:t>:</w:t>
            </w:r>
          </w:p>
          <w:p w14:paraId="026B5A0B" w14:textId="545542C3" w:rsidR="002B740E" w:rsidRPr="00B134DC" w:rsidRDefault="00F55E95" w:rsidP="00F70051">
            <w:pPr>
              <w:pStyle w:val="Tabletext"/>
              <w:ind w:left="405" w:hanging="405"/>
              <w:rPr>
                <w:lang w:eastAsia="en-US"/>
              </w:rPr>
            </w:pPr>
            <w:r w:rsidRPr="00B134DC">
              <w:rPr>
                <w:lang w:eastAsia="en-US"/>
              </w:rPr>
              <w:t>(a)</w:t>
            </w:r>
            <w:r w:rsidR="00C36AC9" w:rsidRPr="00B134DC">
              <w:rPr>
                <w:lang w:eastAsia="en-US"/>
              </w:rPr>
              <w:tab/>
            </w:r>
            <w:r w:rsidRPr="00B134DC">
              <w:rPr>
                <w:lang w:eastAsia="en-US"/>
              </w:rPr>
              <w:t xml:space="preserve">contain </w:t>
            </w:r>
            <w:r w:rsidR="00C36AC9" w:rsidRPr="00B134DC">
              <w:rPr>
                <w:lang w:eastAsia="en-US"/>
              </w:rPr>
              <w:t xml:space="preserve">one or more </w:t>
            </w:r>
            <w:r w:rsidRPr="00B134DC">
              <w:rPr>
                <w:lang w:eastAsia="en-US"/>
              </w:rPr>
              <w:t>therapeutic vaping substance</w:t>
            </w:r>
            <w:r w:rsidR="00C36AC9" w:rsidRPr="00B134DC">
              <w:rPr>
                <w:lang w:eastAsia="en-US"/>
              </w:rPr>
              <w:t>s</w:t>
            </w:r>
            <w:r w:rsidR="00952C64" w:rsidRPr="00B134DC">
              <w:rPr>
                <w:lang w:eastAsia="en-US"/>
              </w:rPr>
              <w:t xml:space="preserve"> or therapeutic vaping substance accessories</w:t>
            </w:r>
            <w:r w:rsidR="002B740E" w:rsidRPr="00B134DC">
              <w:rPr>
                <w:lang w:eastAsia="en-US"/>
              </w:rPr>
              <w:t>; and</w:t>
            </w:r>
          </w:p>
          <w:p w14:paraId="365F6DA4" w14:textId="2CE34EAC" w:rsidR="003F4400" w:rsidRPr="00B134DC" w:rsidRDefault="002B740E" w:rsidP="003F4400">
            <w:pPr>
              <w:pStyle w:val="Tabletext"/>
              <w:ind w:left="405" w:hanging="405"/>
              <w:rPr>
                <w:lang w:eastAsia="en-US"/>
              </w:rPr>
            </w:pPr>
            <w:r w:rsidRPr="00B134DC">
              <w:rPr>
                <w:lang w:eastAsia="en-US"/>
              </w:rPr>
              <w:t>(b)</w:t>
            </w:r>
            <w:r w:rsidR="00C36AC9" w:rsidRPr="00B134DC">
              <w:rPr>
                <w:lang w:eastAsia="en-US"/>
              </w:rPr>
              <w:tab/>
            </w:r>
            <w:r w:rsidRPr="00B134DC">
              <w:rPr>
                <w:lang w:eastAsia="en-US"/>
              </w:rPr>
              <w:t xml:space="preserve">are </w:t>
            </w:r>
            <w:r w:rsidR="003F4400" w:rsidRPr="00B134DC">
              <w:rPr>
                <w:lang w:eastAsia="en-US"/>
              </w:rPr>
              <w:t xml:space="preserve">the subject of a notification </w:t>
            </w:r>
            <w:r w:rsidR="003F4400" w:rsidRPr="00B134DC">
              <w:t>under item 15 in Schedule 5A to the Regulations</w:t>
            </w:r>
            <w:r w:rsidR="003F4400" w:rsidRPr="00B134DC">
              <w:rPr>
                <w:lang w:eastAsia="en-US"/>
              </w:rPr>
              <w:t>; and</w:t>
            </w:r>
          </w:p>
          <w:p w14:paraId="41AD47D7" w14:textId="3490FAF4" w:rsidR="00CC23AA" w:rsidRPr="00B134DC" w:rsidDel="00BB016F" w:rsidRDefault="003F4400" w:rsidP="003F4400">
            <w:pPr>
              <w:pStyle w:val="Tabletext"/>
              <w:ind w:left="405" w:hanging="405"/>
              <w:rPr>
                <w:lang w:eastAsia="en-US"/>
              </w:rPr>
            </w:pPr>
            <w:r w:rsidRPr="00B134DC">
              <w:rPr>
                <w:lang w:eastAsia="en-US"/>
              </w:rPr>
              <w:t>(</w:t>
            </w:r>
            <w:r w:rsidR="00C36AC9" w:rsidRPr="00B134DC">
              <w:rPr>
                <w:lang w:eastAsia="en-US"/>
              </w:rPr>
              <w:t>d</w:t>
            </w:r>
            <w:r w:rsidRPr="00B134DC">
              <w:rPr>
                <w:lang w:eastAsia="en-US"/>
              </w:rPr>
              <w:t>)</w:t>
            </w:r>
            <w:r w:rsidRPr="00B134DC">
              <w:rPr>
                <w:lang w:eastAsia="en-US"/>
              </w:rPr>
              <w:tab/>
            </w:r>
            <w:r w:rsidR="002B740E" w:rsidRPr="00B134DC">
              <w:rPr>
                <w:lang w:eastAsia="en-US"/>
              </w:rPr>
              <w:t xml:space="preserve">are </w:t>
            </w:r>
            <w:r w:rsidRPr="00B134DC">
              <w:rPr>
                <w:lang w:eastAsia="en-US"/>
              </w:rPr>
              <w:t>not the subject of a determination by the Secretary under item 15 in Schedule 5A to the Regulations</w:t>
            </w:r>
          </w:p>
        </w:tc>
        <w:tc>
          <w:tcPr>
            <w:tcW w:w="653" w:type="pct"/>
            <w:tcBorders>
              <w:top w:val="single" w:sz="2" w:space="0" w:color="auto"/>
              <w:left w:val="nil"/>
              <w:bottom w:val="single" w:sz="2" w:space="0" w:color="auto"/>
              <w:right w:val="nil"/>
            </w:tcBorders>
          </w:tcPr>
          <w:p w14:paraId="2FA9DD78" w14:textId="0A48CACB" w:rsidR="00816558" w:rsidRPr="00B134DC" w:rsidRDefault="008E0349" w:rsidP="000A2F76">
            <w:pPr>
              <w:pStyle w:val="Tabletext"/>
              <w:rPr>
                <w:lang w:eastAsia="en-US"/>
              </w:rPr>
            </w:pPr>
            <w:r w:rsidRPr="00B134DC">
              <w:rPr>
                <w:lang w:eastAsia="en-US"/>
              </w:rPr>
              <w:t>l</w:t>
            </w:r>
            <w:r w:rsidR="00B71C88" w:rsidRPr="00B134DC">
              <w:rPr>
                <w:lang w:eastAsia="en-US"/>
              </w:rPr>
              <w:t>iquid</w:t>
            </w:r>
            <w:r w:rsidRPr="00B134DC">
              <w:rPr>
                <w:lang w:eastAsia="en-US"/>
              </w:rPr>
              <w:t xml:space="preserve"> or solid</w:t>
            </w:r>
          </w:p>
        </w:tc>
        <w:tc>
          <w:tcPr>
            <w:tcW w:w="883" w:type="pct"/>
            <w:tcBorders>
              <w:top w:val="single" w:sz="2" w:space="0" w:color="auto"/>
              <w:left w:val="nil"/>
              <w:bottom w:val="single" w:sz="2" w:space="0" w:color="auto"/>
              <w:right w:val="nil"/>
            </w:tcBorders>
          </w:tcPr>
          <w:p w14:paraId="22A220AF" w14:textId="44B2ACEC" w:rsidR="00816558" w:rsidRPr="00B134DC" w:rsidRDefault="00B71C88" w:rsidP="000A2F76">
            <w:pPr>
              <w:pStyle w:val="Tabletext"/>
              <w:rPr>
                <w:lang w:eastAsia="en-US"/>
              </w:rPr>
            </w:pPr>
            <w:r w:rsidRPr="00B134DC">
              <w:rPr>
                <w:lang w:eastAsia="en-US"/>
              </w:rPr>
              <w:t>inhalation</w:t>
            </w:r>
          </w:p>
        </w:tc>
        <w:tc>
          <w:tcPr>
            <w:tcW w:w="1308" w:type="pct"/>
            <w:tcBorders>
              <w:top w:val="single" w:sz="2" w:space="0" w:color="auto"/>
              <w:left w:val="nil"/>
              <w:bottom w:val="single" w:sz="2" w:space="0" w:color="auto"/>
              <w:right w:val="nil"/>
            </w:tcBorders>
          </w:tcPr>
          <w:p w14:paraId="6A7FB1D2" w14:textId="77777777" w:rsidR="00B71C88" w:rsidRPr="00B134DC" w:rsidRDefault="00B71C88" w:rsidP="00B71C88">
            <w:pPr>
              <w:pStyle w:val="Tabletext"/>
              <w:rPr>
                <w:lang w:eastAsia="en-US"/>
              </w:rPr>
            </w:pPr>
            <w:r w:rsidRPr="00B134DC">
              <w:rPr>
                <w:lang w:eastAsia="en-US"/>
              </w:rPr>
              <w:t>any one or more of the following:</w:t>
            </w:r>
          </w:p>
          <w:p w14:paraId="3FD5AFEA" w14:textId="708032E8" w:rsidR="00B71C88" w:rsidRPr="00B134DC" w:rsidRDefault="00B71C88" w:rsidP="00B71C88">
            <w:pPr>
              <w:pStyle w:val="Tabletext"/>
              <w:ind w:left="465" w:hanging="465"/>
              <w:rPr>
                <w:lang w:eastAsia="en-US"/>
              </w:rPr>
            </w:pPr>
            <w:r w:rsidRPr="00B134DC">
              <w:rPr>
                <w:lang w:eastAsia="en-US"/>
              </w:rPr>
              <w:t>(a)</w:t>
            </w:r>
            <w:r w:rsidRPr="00B134DC">
              <w:rPr>
                <w:lang w:eastAsia="en-US"/>
              </w:rPr>
              <w:tab/>
              <w:t xml:space="preserve">use </w:t>
            </w:r>
            <w:r w:rsidR="0018592D" w:rsidRPr="00B134DC">
              <w:rPr>
                <w:lang w:eastAsia="en-US"/>
              </w:rPr>
              <w:t xml:space="preserve">for smoking </w:t>
            </w:r>
            <w:r w:rsidRPr="00B134DC">
              <w:rPr>
                <w:lang w:eastAsia="en-US"/>
              </w:rPr>
              <w:t>cessation;</w:t>
            </w:r>
          </w:p>
          <w:p w14:paraId="40CC961E" w14:textId="03CA69B2" w:rsidR="00816558" w:rsidRPr="00B134DC" w:rsidRDefault="00B71C88" w:rsidP="00B71C88">
            <w:pPr>
              <w:pStyle w:val="Tabletext"/>
              <w:ind w:left="465" w:hanging="465"/>
              <w:rPr>
                <w:lang w:eastAsia="en-US"/>
              </w:rPr>
            </w:pPr>
            <w:r w:rsidRPr="00B134DC">
              <w:rPr>
                <w:lang w:eastAsia="en-US"/>
              </w:rPr>
              <w:t>(b)</w:t>
            </w:r>
            <w:r w:rsidRPr="00B134DC">
              <w:rPr>
                <w:lang w:eastAsia="en-US"/>
              </w:rPr>
              <w:tab/>
              <w:t>management of nicotine dependence</w:t>
            </w:r>
          </w:p>
        </w:tc>
      </w:tr>
      <w:tr w:rsidR="00874318" w:rsidRPr="00B134DC" w14:paraId="0E1DA192" w14:textId="77777777" w:rsidTr="00F70051">
        <w:trPr>
          <w:trHeight w:val="20"/>
        </w:trPr>
        <w:tc>
          <w:tcPr>
            <w:tcW w:w="675" w:type="pct"/>
            <w:tcBorders>
              <w:top w:val="single" w:sz="2" w:space="0" w:color="auto"/>
              <w:left w:val="nil"/>
              <w:bottom w:val="single" w:sz="2" w:space="0" w:color="auto"/>
              <w:right w:val="nil"/>
            </w:tcBorders>
          </w:tcPr>
          <w:p w14:paraId="2A55B9BC" w14:textId="79FAE6F5" w:rsidR="00874318" w:rsidRPr="00B134DC" w:rsidRDefault="00B71C88" w:rsidP="000A2F76">
            <w:pPr>
              <w:pStyle w:val="Tabletext"/>
              <w:rPr>
                <w:lang w:eastAsia="en-US"/>
              </w:rPr>
            </w:pPr>
            <w:r w:rsidRPr="00B134DC">
              <w:rPr>
                <w:lang w:eastAsia="en-US"/>
              </w:rPr>
              <w:t>4</w:t>
            </w:r>
          </w:p>
        </w:tc>
        <w:tc>
          <w:tcPr>
            <w:tcW w:w="1479" w:type="pct"/>
            <w:tcBorders>
              <w:top w:val="single" w:sz="2" w:space="0" w:color="auto"/>
              <w:left w:val="nil"/>
              <w:bottom w:val="single" w:sz="2" w:space="0" w:color="auto"/>
              <w:right w:val="nil"/>
            </w:tcBorders>
          </w:tcPr>
          <w:p w14:paraId="058530E0" w14:textId="012DD83C" w:rsidR="0081004D" w:rsidRPr="00B134DC" w:rsidRDefault="00816558" w:rsidP="00C36AC9">
            <w:pPr>
              <w:pStyle w:val="Tabletext"/>
              <w:rPr>
                <w:lang w:eastAsia="en-US"/>
              </w:rPr>
            </w:pPr>
            <w:r w:rsidRPr="00B134DC">
              <w:rPr>
                <w:lang w:eastAsia="en-US"/>
              </w:rPr>
              <w:t>goods in a therapeutic vaping pack</w:t>
            </w:r>
            <w:r w:rsidR="00A8138A" w:rsidRPr="00B134DC">
              <w:rPr>
                <w:lang w:eastAsia="en-US"/>
              </w:rPr>
              <w:t xml:space="preserve"> that</w:t>
            </w:r>
            <w:r w:rsidR="003F4400" w:rsidRPr="00B134DC">
              <w:rPr>
                <w:lang w:eastAsia="en-US"/>
              </w:rPr>
              <w:t>:</w:t>
            </w:r>
          </w:p>
          <w:p w14:paraId="16335C4B" w14:textId="10679B2F" w:rsidR="00C36AC9" w:rsidRPr="00B134DC" w:rsidRDefault="00B71C88" w:rsidP="00B71C88">
            <w:pPr>
              <w:pStyle w:val="Tabletext"/>
              <w:ind w:left="405" w:hanging="405"/>
              <w:rPr>
                <w:lang w:eastAsia="en-US"/>
              </w:rPr>
            </w:pPr>
            <w:r w:rsidRPr="00B134DC">
              <w:rPr>
                <w:lang w:eastAsia="en-US"/>
              </w:rPr>
              <w:t>(a)</w:t>
            </w:r>
            <w:r w:rsidRPr="00B134DC">
              <w:rPr>
                <w:lang w:eastAsia="en-US"/>
              </w:rPr>
              <w:tab/>
            </w:r>
            <w:r w:rsidR="00A8138A" w:rsidRPr="00B134DC">
              <w:rPr>
                <w:lang w:eastAsia="en-US"/>
              </w:rPr>
              <w:t xml:space="preserve">are or contain one or more therapeutic </w:t>
            </w:r>
            <w:r w:rsidR="00C36AC9" w:rsidRPr="00B134DC">
              <w:rPr>
                <w:lang w:eastAsia="en-US"/>
              </w:rPr>
              <w:t>vaping substance</w:t>
            </w:r>
            <w:r w:rsidR="00A8138A" w:rsidRPr="00B134DC">
              <w:rPr>
                <w:lang w:eastAsia="en-US"/>
              </w:rPr>
              <w:t>s</w:t>
            </w:r>
            <w:r w:rsidR="00952C64" w:rsidRPr="00B134DC">
              <w:rPr>
                <w:lang w:eastAsia="en-US"/>
              </w:rPr>
              <w:t xml:space="preserve"> or therapeutic vaping substance accessories</w:t>
            </w:r>
            <w:r w:rsidR="00C36AC9" w:rsidRPr="00B134DC">
              <w:rPr>
                <w:lang w:eastAsia="en-US"/>
              </w:rPr>
              <w:t>;</w:t>
            </w:r>
            <w:r w:rsidR="00792108" w:rsidRPr="00B134DC">
              <w:rPr>
                <w:lang w:eastAsia="en-US"/>
              </w:rPr>
              <w:t xml:space="preserve"> and</w:t>
            </w:r>
          </w:p>
          <w:p w14:paraId="624A071C" w14:textId="71B91CFC" w:rsidR="00B71C88" w:rsidRPr="00B134DC" w:rsidRDefault="00605E3A" w:rsidP="00B71C88">
            <w:pPr>
              <w:pStyle w:val="Tabletext"/>
              <w:ind w:left="405" w:hanging="405"/>
              <w:rPr>
                <w:lang w:eastAsia="en-US"/>
              </w:rPr>
            </w:pPr>
            <w:r w:rsidRPr="00B134DC">
              <w:rPr>
                <w:lang w:eastAsia="en-US"/>
              </w:rPr>
              <w:t>(</w:t>
            </w:r>
            <w:r w:rsidR="00792108" w:rsidRPr="00B134DC">
              <w:rPr>
                <w:lang w:eastAsia="en-US"/>
              </w:rPr>
              <w:t>b</w:t>
            </w:r>
            <w:r w:rsidRPr="00B134DC">
              <w:rPr>
                <w:lang w:eastAsia="en-US"/>
              </w:rPr>
              <w:t>)</w:t>
            </w:r>
            <w:r w:rsidRPr="00B134DC">
              <w:rPr>
                <w:lang w:eastAsia="en-US"/>
              </w:rPr>
              <w:tab/>
            </w:r>
            <w:r w:rsidR="00A8138A" w:rsidRPr="00B134DC">
              <w:rPr>
                <w:lang w:eastAsia="en-US"/>
              </w:rPr>
              <w:t>a</w:t>
            </w:r>
            <w:r w:rsidR="00792108" w:rsidRPr="00B134DC">
              <w:rPr>
                <w:lang w:eastAsia="en-US"/>
              </w:rPr>
              <w:t xml:space="preserve">re </w:t>
            </w:r>
            <w:r w:rsidR="00B71C88" w:rsidRPr="00B134DC">
              <w:rPr>
                <w:lang w:eastAsia="en-US"/>
              </w:rPr>
              <w:t xml:space="preserve">the subject of a notification </w:t>
            </w:r>
            <w:r w:rsidR="00B71C88" w:rsidRPr="00B134DC">
              <w:t>under item 15 in Schedule 5A to the Regulations</w:t>
            </w:r>
            <w:r w:rsidR="00B71C88" w:rsidRPr="00B134DC">
              <w:rPr>
                <w:lang w:eastAsia="en-US"/>
              </w:rPr>
              <w:t>; and</w:t>
            </w:r>
          </w:p>
          <w:p w14:paraId="246300EB" w14:textId="6599D140" w:rsidR="0081004D" w:rsidRPr="00B134DC" w:rsidRDefault="00B71C88" w:rsidP="0081004D">
            <w:pPr>
              <w:pStyle w:val="Tabletext"/>
              <w:ind w:left="405" w:hanging="405"/>
              <w:rPr>
                <w:lang w:eastAsia="en-US"/>
              </w:rPr>
            </w:pPr>
            <w:r w:rsidRPr="00B134DC">
              <w:rPr>
                <w:lang w:eastAsia="en-US"/>
              </w:rPr>
              <w:t>(</w:t>
            </w:r>
            <w:r w:rsidR="00F70051" w:rsidRPr="00B134DC">
              <w:rPr>
                <w:lang w:eastAsia="en-US"/>
              </w:rPr>
              <w:t>c</w:t>
            </w:r>
            <w:r w:rsidRPr="00B134DC">
              <w:rPr>
                <w:lang w:eastAsia="en-US"/>
              </w:rPr>
              <w:t>)</w:t>
            </w:r>
            <w:r w:rsidRPr="00B134DC">
              <w:rPr>
                <w:lang w:eastAsia="en-US"/>
              </w:rPr>
              <w:tab/>
            </w:r>
            <w:r w:rsidR="00792108" w:rsidRPr="00B134DC">
              <w:rPr>
                <w:lang w:eastAsia="en-US"/>
              </w:rPr>
              <w:t xml:space="preserve">are </w:t>
            </w:r>
            <w:r w:rsidRPr="00B134DC">
              <w:rPr>
                <w:lang w:eastAsia="en-US"/>
              </w:rPr>
              <w:t>not the subject of a determination by the Secretary under item 15 in Schedule 5A to the Regulations</w:t>
            </w:r>
          </w:p>
        </w:tc>
        <w:tc>
          <w:tcPr>
            <w:tcW w:w="653" w:type="pct"/>
            <w:tcBorders>
              <w:top w:val="single" w:sz="2" w:space="0" w:color="auto"/>
              <w:left w:val="nil"/>
              <w:bottom w:val="single" w:sz="2" w:space="0" w:color="auto"/>
              <w:right w:val="nil"/>
            </w:tcBorders>
          </w:tcPr>
          <w:p w14:paraId="0526EF1F" w14:textId="36F31102" w:rsidR="00874318" w:rsidRPr="00B134DC" w:rsidRDefault="008E0349" w:rsidP="000A2F76">
            <w:pPr>
              <w:pStyle w:val="Tabletext"/>
              <w:rPr>
                <w:lang w:eastAsia="en-US"/>
              </w:rPr>
            </w:pPr>
            <w:r w:rsidRPr="00B134DC">
              <w:rPr>
                <w:lang w:eastAsia="en-US"/>
              </w:rPr>
              <w:t>l</w:t>
            </w:r>
            <w:r w:rsidR="00874318" w:rsidRPr="00B134DC">
              <w:rPr>
                <w:lang w:eastAsia="en-US"/>
              </w:rPr>
              <w:t>iquid</w:t>
            </w:r>
            <w:r w:rsidRPr="00B134DC">
              <w:rPr>
                <w:lang w:eastAsia="en-US"/>
              </w:rPr>
              <w:t xml:space="preserve"> or solid</w:t>
            </w:r>
          </w:p>
        </w:tc>
        <w:tc>
          <w:tcPr>
            <w:tcW w:w="883" w:type="pct"/>
            <w:tcBorders>
              <w:top w:val="single" w:sz="2" w:space="0" w:color="auto"/>
              <w:left w:val="nil"/>
              <w:bottom w:val="single" w:sz="2" w:space="0" w:color="auto"/>
              <w:right w:val="nil"/>
            </w:tcBorders>
          </w:tcPr>
          <w:p w14:paraId="41B03122" w14:textId="77777777" w:rsidR="00874318" w:rsidRPr="00B134DC" w:rsidRDefault="00874318" w:rsidP="000A2F76">
            <w:pPr>
              <w:pStyle w:val="Tabletext"/>
              <w:rPr>
                <w:lang w:eastAsia="en-US"/>
              </w:rPr>
            </w:pPr>
            <w:r w:rsidRPr="00B134DC">
              <w:rPr>
                <w:lang w:eastAsia="en-US"/>
              </w:rPr>
              <w:t>inhalation</w:t>
            </w:r>
          </w:p>
        </w:tc>
        <w:tc>
          <w:tcPr>
            <w:tcW w:w="1308" w:type="pct"/>
            <w:tcBorders>
              <w:top w:val="single" w:sz="2" w:space="0" w:color="auto"/>
              <w:left w:val="nil"/>
              <w:bottom w:val="single" w:sz="2" w:space="0" w:color="auto"/>
              <w:right w:val="nil"/>
            </w:tcBorders>
          </w:tcPr>
          <w:p w14:paraId="50871F8D" w14:textId="77777777" w:rsidR="00B71C88" w:rsidRPr="00B134DC" w:rsidRDefault="00B71C88" w:rsidP="00B71C88">
            <w:pPr>
              <w:pStyle w:val="Tabletext"/>
              <w:rPr>
                <w:lang w:eastAsia="en-US"/>
              </w:rPr>
            </w:pPr>
            <w:r w:rsidRPr="00B134DC">
              <w:rPr>
                <w:lang w:eastAsia="en-US"/>
              </w:rPr>
              <w:t>any one or more of the following:</w:t>
            </w:r>
          </w:p>
          <w:p w14:paraId="6AD24973" w14:textId="10003121" w:rsidR="00B71C88" w:rsidRPr="00B134DC" w:rsidRDefault="00B71C88" w:rsidP="00B71C88">
            <w:pPr>
              <w:pStyle w:val="Tabletext"/>
              <w:ind w:left="465" w:hanging="465"/>
              <w:rPr>
                <w:lang w:eastAsia="en-US"/>
              </w:rPr>
            </w:pPr>
            <w:r w:rsidRPr="00B134DC">
              <w:rPr>
                <w:lang w:eastAsia="en-US"/>
              </w:rPr>
              <w:t>(a)</w:t>
            </w:r>
            <w:r w:rsidRPr="00B134DC">
              <w:rPr>
                <w:lang w:eastAsia="en-US"/>
              </w:rPr>
              <w:tab/>
              <w:t xml:space="preserve">use </w:t>
            </w:r>
            <w:r w:rsidR="0018592D" w:rsidRPr="00B134DC">
              <w:rPr>
                <w:lang w:eastAsia="en-US"/>
              </w:rPr>
              <w:t xml:space="preserve">for smoking </w:t>
            </w:r>
            <w:r w:rsidRPr="00B134DC">
              <w:rPr>
                <w:lang w:eastAsia="en-US"/>
              </w:rPr>
              <w:t>cessation;</w:t>
            </w:r>
          </w:p>
          <w:p w14:paraId="17074CE5" w14:textId="7948E8CC" w:rsidR="00874318" w:rsidRPr="00B134DC" w:rsidRDefault="00B71C88" w:rsidP="000A2F76">
            <w:pPr>
              <w:pStyle w:val="Tabletext"/>
              <w:ind w:left="465" w:hanging="465"/>
              <w:rPr>
                <w:lang w:eastAsia="en-US"/>
              </w:rPr>
            </w:pPr>
            <w:r w:rsidRPr="00B134DC">
              <w:rPr>
                <w:lang w:eastAsia="en-US"/>
              </w:rPr>
              <w:t>(b)</w:t>
            </w:r>
            <w:r w:rsidRPr="00B134DC">
              <w:rPr>
                <w:lang w:eastAsia="en-US"/>
              </w:rPr>
              <w:tab/>
              <w:t>management of nicotine dependence</w:t>
            </w:r>
          </w:p>
        </w:tc>
      </w:tr>
    </w:tbl>
    <w:p w14:paraId="5BB02146" w14:textId="5047BC28" w:rsidR="008E0349" w:rsidRPr="00B134DC" w:rsidRDefault="008E0349" w:rsidP="008E0349">
      <w:pPr>
        <w:pStyle w:val="ActHead9"/>
      </w:pPr>
      <w:bookmarkStart w:id="13" w:name="_Toc153435396"/>
      <w:r w:rsidRPr="00B134DC">
        <w:lastRenderedPageBreak/>
        <w:t>Therapeutic Goods (Biologicals—Authorised Supply) Rules 2022</w:t>
      </w:r>
      <w:bookmarkEnd w:id="13"/>
    </w:p>
    <w:p w14:paraId="07B6F36C" w14:textId="43AD00E3" w:rsidR="008E0349" w:rsidRPr="00B134DC" w:rsidRDefault="008E0349" w:rsidP="008E0349">
      <w:pPr>
        <w:pStyle w:val="ItemHead"/>
      </w:pPr>
      <w:r w:rsidRPr="00B134DC">
        <w:t xml:space="preserve">8  Section 4 (definition of </w:t>
      </w:r>
      <w:r w:rsidRPr="00B134DC">
        <w:rPr>
          <w:i/>
          <w:iCs/>
        </w:rPr>
        <w:t>SAS guidance</w:t>
      </w:r>
      <w:r w:rsidRPr="00B134DC">
        <w:t>)</w:t>
      </w:r>
    </w:p>
    <w:p w14:paraId="10A538C6" w14:textId="77777777" w:rsidR="008E0349" w:rsidRPr="00B134DC" w:rsidRDefault="008E0349" w:rsidP="008E0349">
      <w:pPr>
        <w:pStyle w:val="Item"/>
      </w:pPr>
      <w:r w:rsidRPr="00B134DC">
        <w:t>Repeal the definition, substitute:</w:t>
      </w:r>
    </w:p>
    <w:p w14:paraId="2CDA7176" w14:textId="70D61583" w:rsidR="00217CA9" w:rsidRPr="00B134DC" w:rsidRDefault="00217CA9" w:rsidP="00217CA9">
      <w:pPr>
        <w:pStyle w:val="definition0"/>
        <w:shd w:val="clear" w:color="auto" w:fill="FFFFFF"/>
        <w:spacing w:before="180" w:beforeAutospacing="0" w:after="0" w:afterAutospacing="0"/>
        <w:ind w:left="1134"/>
        <w:rPr>
          <w:color w:val="000000"/>
          <w:sz w:val="22"/>
          <w:szCs w:val="22"/>
        </w:rPr>
      </w:pPr>
      <w:r w:rsidRPr="00B134DC">
        <w:rPr>
          <w:b/>
          <w:bCs/>
          <w:i/>
          <w:iCs/>
          <w:color w:val="000000"/>
          <w:sz w:val="22"/>
          <w:szCs w:val="22"/>
        </w:rPr>
        <w:t xml:space="preserve">SAS Guidance </w:t>
      </w:r>
      <w:r w:rsidRPr="00B134DC">
        <w:rPr>
          <w:color w:val="000000"/>
          <w:sz w:val="22"/>
          <w:szCs w:val="22"/>
        </w:rPr>
        <w:t xml:space="preserve">means the document titled </w:t>
      </w:r>
      <w:r w:rsidRPr="00B134DC">
        <w:rPr>
          <w:i/>
          <w:iCs/>
          <w:color w:val="000000"/>
          <w:sz w:val="22"/>
          <w:szCs w:val="22"/>
        </w:rPr>
        <w:t xml:space="preserve">Special Access Scheme (SAS): Guidance for health practitioners accessing unapproved therapeutic goods </w:t>
      </w:r>
      <w:r w:rsidRPr="00B134DC">
        <w:rPr>
          <w:color w:val="000000"/>
          <w:sz w:val="22"/>
          <w:szCs w:val="22"/>
        </w:rPr>
        <w:t>(Version 1.0, January 2023) published by the Therapeutic Goods Administration, as in force or existing at 1 January 2024.</w:t>
      </w:r>
    </w:p>
    <w:p w14:paraId="533F8D2A" w14:textId="77777777" w:rsidR="00217CA9" w:rsidRPr="00B134DC" w:rsidRDefault="00217CA9" w:rsidP="00217CA9">
      <w:pPr>
        <w:pStyle w:val="notetext0"/>
        <w:shd w:val="clear" w:color="auto" w:fill="FFFFFF"/>
        <w:spacing w:before="122" w:beforeAutospacing="0" w:after="0" w:afterAutospacing="0" w:line="198" w:lineRule="atLeast"/>
        <w:ind w:left="1985" w:hanging="851"/>
        <w:rPr>
          <w:color w:val="000000"/>
          <w:sz w:val="18"/>
          <w:szCs w:val="18"/>
        </w:rPr>
      </w:pPr>
      <w:r w:rsidRPr="00B134DC">
        <w:rPr>
          <w:color w:val="000000"/>
          <w:sz w:val="18"/>
          <w:szCs w:val="18"/>
        </w:rPr>
        <w:t>Note:</w:t>
      </w:r>
      <w:r w:rsidRPr="00B134DC">
        <w:tab/>
      </w:r>
      <w:r w:rsidRPr="00B134DC">
        <w:rPr>
          <w:color w:val="000000"/>
          <w:sz w:val="18"/>
          <w:szCs w:val="18"/>
        </w:rPr>
        <w:t>The SAS Guidance is published at www.tga.gov.au.</w:t>
      </w:r>
    </w:p>
    <w:p w14:paraId="0378E218" w14:textId="586ECA86" w:rsidR="008E0349" w:rsidRPr="00B134DC" w:rsidRDefault="008E0349" w:rsidP="008E0349">
      <w:pPr>
        <w:pStyle w:val="ActHead9"/>
      </w:pPr>
      <w:bookmarkStart w:id="14" w:name="_Toc153435397"/>
      <w:r w:rsidRPr="00B134DC">
        <w:t>Therapeutic Goods (Medical Devices—Authorised Supply) Rules 2022</w:t>
      </w:r>
      <w:bookmarkEnd w:id="14"/>
    </w:p>
    <w:p w14:paraId="52C3C37E" w14:textId="4A424567" w:rsidR="008E0349" w:rsidRPr="00B134DC" w:rsidRDefault="008E0349" w:rsidP="008E0349">
      <w:pPr>
        <w:pStyle w:val="ItemHead"/>
      </w:pPr>
      <w:r w:rsidRPr="00B134DC">
        <w:t xml:space="preserve">9  Section 4 (definition of </w:t>
      </w:r>
      <w:r w:rsidRPr="00B134DC">
        <w:rPr>
          <w:i/>
          <w:iCs/>
        </w:rPr>
        <w:t>SAS guidance</w:t>
      </w:r>
      <w:r w:rsidRPr="00B134DC">
        <w:t>)</w:t>
      </w:r>
    </w:p>
    <w:p w14:paraId="3B2F8919" w14:textId="77777777" w:rsidR="008E0349" w:rsidRPr="00B134DC" w:rsidRDefault="008E0349" w:rsidP="008E0349">
      <w:pPr>
        <w:pStyle w:val="Item"/>
      </w:pPr>
      <w:r w:rsidRPr="00B134DC">
        <w:t>Repeal the definition, substitute:</w:t>
      </w:r>
    </w:p>
    <w:p w14:paraId="2A77DE0A" w14:textId="1F9896FA" w:rsidR="00217CA9" w:rsidRPr="00B134DC" w:rsidRDefault="00217CA9" w:rsidP="00217CA9">
      <w:pPr>
        <w:pStyle w:val="definition0"/>
        <w:shd w:val="clear" w:color="auto" w:fill="FFFFFF"/>
        <w:spacing w:before="180" w:beforeAutospacing="0" w:after="0" w:afterAutospacing="0"/>
        <w:ind w:left="1134"/>
        <w:rPr>
          <w:color w:val="000000"/>
          <w:sz w:val="22"/>
          <w:szCs w:val="22"/>
        </w:rPr>
      </w:pPr>
      <w:r w:rsidRPr="00B134DC">
        <w:rPr>
          <w:b/>
          <w:bCs/>
          <w:i/>
          <w:iCs/>
          <w:color w:val="000000"/>
          <w:sz w:val="22"/>
          <w:szCs w:val="22"/>
        </w:rPr>
        <w:t xml:space="preserve">SAS Guidance </w:t>
      </w:r>
      <w:r w:rsidRPr="00B134DC">
        <w:rPr>
          <w:color w:val="000000"/>
          <w:sz w:val="22"/>
          <w:szCs w:val="22"/>
        </w:rPr>
        <w:t xml:space="preserve">means the document titled </w:t>
      </w:r>
      <w:r w:rsidRPr="00B134DC">
        <w:rPr>
          <w:i/>
          <w:iCs/>
          <w:color w:val="000000"/>
          <w:sz w:val="22"/>
          <w:szCs w:val="22"/>
        </w:rPr>
        <w:t xml:space="preserve">Special Access Scheme (SAS): Guidance for health practitioners accessing unapproved therapeutic goods </w:t>
      </w:r>
      <w:r w:rsidRPr="00B134DC">
        <w:rPr>
          <w:color w:val="000000"/>
          <w:sz w:val="22"/>
          <w:szCs w:val="22"/>
        </w:rPr>
        <w:t>(Version 1.0, January 2023) published by the Therapeutic Goods Administration, as in force or existing at 1 January 2024.</w:t>
      </w:r>
    </w:p>
    <w:p w14:paraId="7E8C92A5" w14:textId="153D6A75" w:rsidR="00874318" w:rsidRPr="00192D54" w:rsidRDefault="00217CA9" w:rsidP="006B1814">
      <w:pPr>
        <w:pStyle w:val="notetext0"/>
        <w:shd w:val="clear" w:color="auto" w:fill="FFFFFF"/>
        <w:spacing w:before="122" w:beforeAutospacing="0" w:after="0" w:afterAutospacing="0" w:line="198" w:lineRule="atLeast"/>
        <w:ind w:left="1985" w:hanging="851"/>
        <w:rPr>
          <w:color w:val="000000"/>
          <w:sz w:val="18"/>
          <w:szCs w:val="18"/>
        </w:rPr>
      </w:pPr>
      <w:r w:rsidRPr="00B134DC">
        <w:rPr>
          <w:color w:val="000000"/>
          <w:sz w:val="18"/>
          <w:szCs w:val="18"/>
        </w:rPr>
        <w:t>Note:</w:t>
      </w:r>
      <w:r w:rsidRPr="00B134DC">
        <w:tab/>
      </w:r>
      <w:r w:rsidRPr="00B134DC">
        <w:rPr>
          <w:color w:val="000000"/>
          <w:sz w:val="18"/>
          <w:szCs w:val="18"/>
        </w:rPr>
        <w:t>The SAS Guidance is published at www.tga.gov.au.</w:t>
      </w:r>
    </w:p>
    <w:sectPr w:rsidR="00874318" w:rsidRPr="00192D54" w:rsidSect="00F70051">
      <w:headerReference w:type="even" r:id="rId20"/>
      <w:headerReference w:type="default" r:id="rId21"/>
      <w:footerReference w:type="even" r:id="rId22"/>
      <w:footerReference w:type="default" r:id="rId23"/>
      <w:footerReference w:type="first" r:id="rId24"/>
      <w:pgSz w:w="11907" w:h="16839"/>
      <w:pgMar w:top="1673" w:right="1797" w:bottom="1440" w:left="212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F0027" w14:textId="77777777" w:rsidR="003A3813" w:rsidRDefault="003A3813" w:rsidP="0048364F">
      <w:pPr>
        <w:spacing w:line="240" w:lineRule="auto"/>
      </w:pPr>
      <w:r>
        <w:separator/>
      </w:r>
    </w:p>
  </w:endnote>
  <w:endnote w:type="continuationSeparator" w:id="0">
    <w:p w14:paraId="56B17BB2" w14:textId="77777777" w:rsidR="003A3813" w:rsidRDefault="003A381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9278C1" w14:paraId="642B498C" w14:textId="77777777" w:rsidTr="0001176A">
      <w:tc>
        <w:tcPr>
          <w:tcW w:w="5000" w:type="pct"/>
        </w:tcPr>
        <w:p w14:paraId="7CBC7040" w14:textId="77777777" w:rsidR="009278C1" w:rsidRDefault="009278C1" w:rsidP="0001176A">
          <w:pPr>
            <w:rPr>
              <w:sz w:val="18"/>
            </w:rPr>
          </w:pPr>
        </w:p>
      </w:tc>
    </w:tr>
  </w:tbl>
  <w:p w14:paraId="6BB17B44"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16D2EEAE" w14:textId="77777777" w:rsidTr="00C160A1">
      <w:tc>
        <w:tcPr>
          <w:tcW w:w="5000" w:type="pct"/>
        </w:tcPr>
        <w:p w14:paraId="3A137096" w14:textId="77777777" w:rsidR="00B20990" w:rsidRDefault="00B20990" w:rsidP="007946FE">
          <w:pPr>
            <w:rPr>
              <w:sz w:val="18"/>
            </w:rPr>
          </w:pPr>
        </w:p>
      </w:tc>
    </w:tr>
  </w:tbl>
  <w:p w14:paraId="351B47ED"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CBBAE"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53F646B2" w14:textId="77777777" w:rsidTr="00C160A1">
      <w:tc>
        <w:tcPr>
          <w:tcW w:w="5000" w:type="pct"/>
        </w:tcPr>
        <w:p w14:paraId="51F8E1AB" w14:textId="77777777" w:rsidR="00B20990" w:rsidRDefault="00B20990" w:rsidP="00465764">
          <w:pPr>
            <w:rPr>
              <w:sz w:val="18"/>
            </w:rPr>
          </w:pPr>
        </w:p>
      </w:tc>
    </w:tr>
  </w:tbl>
  <w:p w14:paraId="2A02F1E2"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47370"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B20990" w14:paraId="741B7BEF" w14:textId="77777777" w:rsidTr="00C160A1">
      <w:tc>
        <w:tcPr>
          <w:tcW w:w="365" w:type="pct"/>
          <w:tcBorders>
            <w:top w:val="nil"/>
            <w:left w:val="nil"/>
            <w:bottom w:val="nil"/>
            <w:right w:val="nil"/>
          </w:tcBorders>
        </w:tcPr>
        <w:p w14:paraId="5BFD66D4"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35EB65F"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7195D">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03872ECF" w14:textId="77777777" w:rsidR="00B20990" w:rsidRDefault="00B20990" w:rsidP="00E33C1C">
          <w:pPr>
            <w:spacing w:line="0" w:lineRule="atLeast"/>
            <w:jc w:val="right"/>
            <w:rPr>
              <w:sz w:val="18"/>
            </w:rPr>
          </w:pPr>
        </w:p>
      </w:tc>
    </w:tr>
    <w:tr w:rsidR="00B20990" w14:paraId="72D6626D"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5D6E7DA1" w14:textId="77777777" w:rsidR="00B20990" w:rsidRDefault="00B20990" w:rsidP="007946FE">
          <w:pPr>
            <w:jc w:val="right"/>
            <w:rPr>
              <w:sz w:val="18"/>
            </w:rPr>
          </w:pPr>
        </w:p>
      </w:tc>
    </w:tr>
  </w:tbl>
  <w:p w14:paraId="258AE0BE"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4C98D"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851"/>
      <w:gridCol w:w="6853"/>
      <w:gridCol w:w="609"/>
    </w:tblGrid>
    <w:tr w:rsidR="00B20990" w14:paraId="183DAA09" w14:textId="77777777" w:rsidTr="006B1814">
      <w:tc>
        <w:tcPr>
          <w:tcW w:w="512" w:type="pct"/>
          <w:tcBorders>
            <w:top w:val="nil"/>
            <w:left w:val="nil"/>
            <w:bottom w:val="nil"/>
            <w:right w:val="nil"/>
          </w:tcBorders>
        </w:tcPr>
        <w:p w14:paraId="24D4EDA2" w14:textId="77777777" w:rsidR="00B20990" w:rsidRDefault="00B20990" w:rsidP="00E33C1C">
          <w:pPr>
            <w:spacing w:line="0" w:lineRule="atLeast"/>
            <w:rPr>
              <w:sz w:val="18"/>
            </w:rPr>
          </w:pPr>
        </w:p>
      </w:tc>
      <w:tc>
        <w:tcPr>
          <w:tcW w:w="4122" w:type="pct"/>
          <w:tcBorders>
            <w:top w:val="nil"/>
            <w:left w:val="nil"/>
            <w:bottom w:val="nil"/>
            <w:right w:val="nil"/>
          </w:tcBorders>
        </w:tcPr>
        <w:p w14:paraId="17AD174D" w14:textId="3268F2C3"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806F8">
            <w:rPr>
              <w:i/>
              <w:noProof/>
              <w:sz w:val="18"/>
            </w:rPr>
            <w:t>Therapeutic Goods (Medicines—Authorised Supply) Amendment (Vaping) Rules 2023</w:t>
          </w:r>
          <w:r w:rsidRPr="00B20990">
            <w:rPr>
              <w:i/>
              <w:sz w:val="18"/>
            </w:rPr>
            <w:fldChar w:fldCharType="end"/>
          </w:r>
        </w:p>
      </w:tc>
      <w:tc>
        <w:tcPr>
          <w:tcW w:w="366" w:type="pct"/>
          <w:tcBorders>
            <w:top w:val="nil"/>
            <w:left w:val="nil"/>
            <w:bottom w:val="nil"/>
            <w:right w:val="nil"/>
          </w:tcBorders>
        </w:tcPr>
        <w:p w14:paraId="6663A855"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i</w:t>
          </w:r>
          <w:r w:rsidRPr="00ED79B6">
            <w:rPr>
              <w:i/>
              <w:sz w:val="18"/>
            </w:rPr>
            <w:fldChar w:fldCharType="end"/>
          </w:r>
        </w:p>
      </w:tc>
    </w:tr>
    <w:tr w:rsidR="00B20990" w14:paraId="6B3478D5"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10B0D6FE" w14:textId="77777777" w:rsidR="00B20990" w:rsidRDefault="00B20990" w:rsidP="007946FE">
          <w:pPr>
            <w:rPr>
              <w:sz w:val="18"/>
            </w:rPr>
          </w:pPr>
        </w:p>
      </w:tc>
    </w:tr>
  </w:tbl>
  <w:p w14:paraId="570C63CF"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6A98" w14:textId="77777777" w:rsidR="00EE57E8" w:rsidRPr="00E33C1C" w:rsidRDefault="00EE57E8" w:rsidP="009C5989">
    <w:pPr>
      <w:pBdr>
        <w:top w:val="single" w:sz="6" w:space="1" w:color="auto"/>
      </w:pBdr>
      <w:spacing w:before="120" w:line="0" w:lineRule="atLeast"/>
      <w:rPr>
        <w:sz w:val="16"/>
        <w:szCs w:val="16"/>
      </w:rPr>
    </w:pPr>
  </w:p>
  <w:tbl>
    <w:tblPr>
      <w:tblStyle w:val="TableGrid"/>
      <w:tblW w:w="8614" w:type="dxa"/>
      <w:tblLayout w:type="fixed"/>
      <w:tblLook w:val="04A0" w:firstRow="1" w:lastRow="0" w:firstColumn="1" w:lastColumn="0" w:noHBand="0" w:noVBand="1"/>
    </w:tblPr>
    <w:tblGrid>
      <w:gridCol w:w="851"/>
      <w:gridCol w:w="6521"/>
      <w:gridCol w:w="1242"/>
    </w:tblGrid>
    <w:tr w:rsidR="00EE57E8" w14:paraId="218C2D46" w14:textId="77777777" w:rsidTr="00F70051">
      <w:tc>
        <w:tcPr>
          <w:tcW w:w="851" w:type="dxa"/>
          <w:tcBorders>
            <w:top w:val="nil"/>
            <w:left w:val="nil"/>
            <w:bottom w:val="nil"/>
            <w:right w:val="nil"/>
          </w:tcBorders>
        </w:tcPr>
        <w:p w14:paraId="50CFF1AE" w14:textId="77777777" w:rsidR="00EE57E8" w:rsidRDefault="00EE57E8" w:rsidP="00724A65">
          <w:pPr>
            <w:spacing w:line="0" w:lineRule="atLeast"/>
            <w:ind w:left="-130" w:firstLine="130"/>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6</w:t>
          </w:r>
          <w:r w:rsidRPr="00ED79B6">
            <w:rPr>
              <w:i/>
              <w:sz w:val="18"/>
            </w:rPr>
            <w:fldChar w:fldCharType="end"/>
          </w:r>
        </w:p>
      </w:tc>
      <w:tc>
        <w:tcPr>
          <w:tcW w:w="6521" w:type="dxa"/>
          <w:tcBorders>
            <w:top w:val="nil"/>
            <w:left w:val="nil"/>
            <w:bottom w:val="nil"/>
            <w:right w:val="nil"/>
          </w:tcBorders>
        </w:tcPr>
        <w:p w14:paraId="54777D59" w14:textId="30FEFC04"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806F8">
            <w:rPr>
              <w:i/>
              <w:noProof/>
              <w:sz w:val="18"/>
            </w:rPr>
            <w:t>Therapeutic Goods (Medicines—Authorised Supply) Amendment (Vaping) Rules 2023</w:t>
          </w:r>
          <w:r w:rsidRPr="00B20990">
            <w:rPr>
              <w:i/>
              <w:sz w:val="18"/>
            </w:rPr>
            <w:fldChar w:fldCharType="end"/>
          </w:r>
        </w:p>
      </w:tc>
      <w:tc>
        <w:tcPr>
          <w:tcW w:w="1242" w:type="dxa"/>
          <w:tcBorders>
            <w:top w:val="nil"/>
            <w:left w:val="nil"/>
            <w:bottom w:val="nil"/>
            <w:right w:val="nil"/>
          </w:tcBorders>
        </w:tcPr>
        <w:p w14:paraId="071090B5" w14:textId="77777777" w:rsidR="00EE57E8" w:rsidRDefault="00EE57E8" w:rsidP="00EE57E8">
          <w:pPr>
            <w:spacing w:line="0" w:lineRule="atLeast"/>
            <w:jc w:val="right"/>
            <w:rPr>
              <w:sz w:val="18"/>
            </w:rPr>
          </w:pPr>
        </w:p>
      </w:tc>
    </w:tr>
    <w:tr w:rsidR="00EE57E8" w14:paraId="4BBF328C" w14:textId="77777777" w:rsidTr="00F70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3" w:type="dxa"/>
          <w:gridSpan w:val="3"/>
        </w:tcPr>
        <w:p w14:paraId="19B18EC7" w14:textId="77777777" w:rsidR="00EE57E8" w:rsidRDefault="00EE57E8" w:rsidP="00EE57E8">
          <w:pPr>
            <w:jc w:val="right"/>
            <w:rPr>
              <w:sz w:val="18"/>
            </w:rPr>
          </w:pPr>
        </w:p>
      </w:tc>
    </w:tr>
  </w:tbl>
  <w:p w14:paraId="0102FEED"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EC17" w14:textId="77777777" w:rsidR="00EE57E8" w:rsidRPr="00E33C1C" w:rsidRDefault="00EE57E8" w:rsidP="009C5989">
    <w:pPr>
      <w:pBdr>
        <w:top w:val="single" w:sz="6" w:space="1" w:color="auto"/>
      </w:pBdr>
      <w:spacing w:before="120" w:line="0" w:lineRule="atLeast"/>
      <w:rPr>
        <w:sz w:val="16"/>
        <w:szCs w:val="16"/>
      </w:rPr>
    </w:pPr>
  </w:p>
  <w:tbl>
    <w:tblPr>
      <w:tblStyle w:val="TableGrid"/>
      <w:tblW w:w="7941" w:type="dxa"/>
      <w:tblLayout w:type="fixed"/>
      <w:tblLook w:val="04A0" w:firstRow="1" w:lastRow="0" w:firstColumn="1" w:lastColumn="0" w:noHBand="0" w:noVBand="1"/>
    </w:tblPr>
    <w:tblGrid>
      <w:gridCol w:w="851"/>
      <w:gridCol w:w="6520"/>
      <w:gridCol w:w="570"/>
    </w:tblGrid>
    <w:tr w:rsidR="00EE57E8" w14:paraId="1834D76B" w14:textId="77777777" w:rsidTr="00F70051">
      <w:tc>
        <w:tcPr>
          <w:tcW w:w="851" w:type="dxa"/>
          <w:tcBorders>
            <w:top w:val="nil"/>
            <w:left w:val="nil"/>
            <w:bottom w:val="nil"/>
            <w:right w:val="nil"/>
          </w:tcBorders>
        </w:tcPr>
        <w:p w14:paraId="0DA6093F" w14:textId="77777777" w:rsidR="00EE57E8" w:rsidRDefault="00EE57E8" w:rsidP="00EE57E8">
          <w:pPr>
            <w:spacing w:line="0" w:lineRule="atLeast"/>
            <w:rPr>
              <w:sz w:val="18"/>
            </w:rPr>
          </w:pPr>
        </w:p>
      </w:tc>
      <w:tc>
        <w:tcPr>
          <w:tcW w:w="6520" w:type="dxa"/>
          <w:tcBorders>
            <w:top w:val="nil"/>
            <w:left w:val="nil"/>
            <w:bottom w:val="nil"/>
            <w:right w:val="nil"/>
          </w:tcBorders>
        </w:tcPr>
        <w:p w14:paraId="35BD7607" w14:textId="7E39A42D"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806F8">
            <w:rPr>
              <w:i/>
              <w:noProof/>
              <w:sz w:val="18"/>
            </w:rPr>
            <w:t>Therapeutic Goods (Medicines—Authorised Supply) Amendment (Vaping) Rules 2023</w:t>
          </w:r>
          <w:r w:rsidRPr="00B20990">
            <w:rPr>
              <w:i/>
              <w:sz w:val="18"/>
            </w:rPr>
            <w:fldChar w:fldCharType="end"/>
          </w:r>
        </w:p>
      </w:tc>
      <w:tc>
        <w:tcPr>
          <w:tcW w:w="567" w:type="dxa"/>
          <w:tcBorders>
            <w:top w:val="nil"/>
            <w:left w:val="nil"/>
            <w:bottom w:val="nil"/>
            <w:right w:val="nil"/>
          </w:tcBorders>
        </w:tcPr>
        <w:p w14:paraId="4065B09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945DC">
            <w:rPr>
              <w:i/>
              <w:noProof/>
              <w:sz w:val="18"/>
            </w:rPr>
            <w:t>7</w:t>
          </w:r>
          <w:r w:rsidRPr="00ED79B6">
            <w:rPr>
              <w:i/>
              <w:sz w:val="18"/>
            </w:rPr>
            <w:fldChar w:fldCharType="end"/>
          </w:r>
        </w:p>
      </w:tc>
    </w:tr>
    <w:tr w:rsidR="00EE57E8" w14:paraId="27A9EBFC" w14:textId="77777777" w:rsidTr="00F700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41" w:type="dxa"/>
          <w:gridSpan w:val="3"/>
        </w:tcPr>
        <w:p w14:paraId="3E38E4AF" w14:textId="77777777" w:rsidR="00EE57E8" w:rsidRDefault="00EE57E8" w:rsidP="00EE57E8">
          <w:pPr>
            <w:rPr>
              <w:sz w:val="18"/>
            </w:rPr>
          </w:pPr>
        </w:p>
      </w:tc>
    </w:tr>
  </w:tbl>
  <w:p w14:paraId="3CCEF74B"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AD0A"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E52639E" w14:textId="77777777" w:rsidTr="007A6863">
      <w:tc>
        <w:tcPr>
          <w:tcW w:w="1384" w:type="dxa"/>
          <w:tcBorders>
            <w:top w:val="nil"/>
            <w:left w:val="nil"/>
            <w:bottom w:val="nil"/>
            <w:right w:val="nil"/>
          </w:tcBorders>
        </w:tcPr>
        <w:p w14:paraId="04B933D3" w14:textId="77777777" w:rsidR="00EE57E8" w:rsidRDefault="00EE57E8" w:rsidP="00EE57E8">
          <w:pPr>
            <w:spacing w:line="0" w:lineRule="atLeast"/>
            <w:rPr>
              <w:sz w:val="18"/>
            </w:rPr>
          </w:pPr>
        </w:p>
      </w:tc>
      <w:tc>
        <w:tcPr>
          <w:tcW w:w="6379" w:type="dxa"/>
          <w:tcBorders>
            <w:top w:val="nil"/>
            <w:left w:val="nil"/>
            <w:bottom w:val="nil"/>
            <w:right w:val="nil"/>
          </w:tcBorders>
        </w:tcPr>
        <w:p w14:paraId="5005DB4D"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7195D">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BBAF4EA"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5C4F3F57"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9C45720" w14:textId="5B43BC10"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7195D">
            <w:rPr>
              <w:i/>
              <w:noProof/>
              <w:sz w:val="18"/>
            </w:rPr>
            <w:t>Document1</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1806F8">
            <w:rPr>
              <w:i/>
              <w:noProof/>
              <w:sz w:val="18"/>
            </w:rPr>
            <w:t>14/12/2023 8:41 AM</w:t>
          </w:r>
          <w:r w:rsidRPr="00ED79B6">
            <w:rPr>
              <w:i/>
              <w:sz w:val="18"/>
            </w:rPr>
            <w:fldChar w:fldCharType="end"/>
          </w:r>
        </w:p>
      </w:tc>
    </w:tr>
  </w:tbl>
  <w:p w14:paraId="673DC8D7"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A7C88" w14:textId="77777777" w:rsidR="003A3813" w:rsidRDefault="003A3813" w:rsidP="0048364F">
      <w:pPr>
        <w:spacing w:line="240" w:lineRule="auto"/>
      </w:pPr>
      <w:r>
        <w:separator/>
      </w:r>
    </w:p>
  </w:footnote>
  <w:footnote w:type="continuationSeparator" w:id="0">
    <w:p w14:paraId="0E02C1C1" w14:textId="77777777" w:rsidR="003A3813" w:rsidRDefault="003A3813"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23B74"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045F"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2EA8"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848FC"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0611A"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5C17"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4A16" w14:textId="77777777" w:rsidR="00EE57E8" w:rsidRPr="00A961C4" w:rsidRDefault="00EE57E8" w:rsidP="0048364F">
    <w:pPr>
      <w:rPr>
        <w:b/>
        <w:sz w:val="20"/>
      </w:rPr>
    </w:pPr>
  </w:p>
  <w:p w14:paraId="061B38FD" w14:textId="77777777" w:rsidR="00EE57E8" w:rsidRPr="00A961C4" w:rsidRDefault="00EE57E8" w:rsidP="0048364F">
    <w:pPr>
      <w:rPr>
        <w:b/>
        <w:sz w:val="20"/>
      </w:rPr>
    </w:pPr>
  </w:p>
  <w:p w14:paraId="5D65F349"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B9AA" w14:textId="77777777" w:rsidR="00EE57E8" w:rsidRPr="00A961C4" w:rsidRDefault="00EE57E8" w:rsidP="0048364F">
    <w:pPr>
      <w:jc w:val="right"/>
      <w:rPr>
        <w:sz w:val="20"/>
      </w:rPr>
    </w:pPr>
  </w:p>
  <w:p w14:paraId="592098DB" w14:textId="77777777" w:rsidR="00EE57E8" w:rsidRPr="00A961C4" w:rsidRDefault="00EE57E8" w:rsidP="0048364F">
    <w:pPr>
      <w:jc w:val="right"/>
      <w:rPr>
        <w:b/>
        <w:sz w:val="20"/>
      </w:rPr>
    </w:pPr>
  </w:p>
  <w:p w14:paraId="5294EB30"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4F7A70"/>
    <w:multiLevelType w:val="hybridMultilevel"/>
    <w:tmpl w:val="D1DA3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E90A66"/>
    <w:multiLevelType w:val="hybridMultilevel"/>
    <w:tmpl w:val="EEB2BD40"/>
    <w:lvl w:ilvl="0" w:tplc="2B0856EC">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14" w15:restartNumberingAfterBreak="0">
    <w:nsid w:val="36D07DFD"/>
    <w:multiLevelType w:val="hybridMultilevel"/>
    <w:tmpl w:val="6988F91C"/>
    <w:lvl w:ilvl="0" w:tplc="9F52733C">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23F1EF4"/>
    <w:multiLevelType w:val="hybridMultilevel"/>
    <w:tmpl w:val="C1F6A922"/>
    <w:lvl w:ilvl="0" w:tplc="EE86538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8E0EBA"/>
    <w:multiLevelType w:val="hybridMultilevel"/>
    <w:tmpl w:val="4B0C5C5A"/>
    <w:lvl w:ilvl="0" w:tplc="C42A1B58">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num w:numId="1" w16cid:durableId="1812867539">
    <w:abstractNumId w:val="9"/>
  </w:num>
  <w:num w:numId="2" w16cid:durableId="1102066051">
    <w:abstractNumId w:val="7"/>
  </w:num>
  <w:num w:numId="3" w16cid:durableId="121508923">
    <w:abstractNumId w:val="6"/>
  </w:num>
  <w:num w:numId="4" w16cid:durableId="482504979">
    <w:abstractNumId w:val="5"/>
  </w:num>
  <w:num w:numId="5" w16cid:durableId="168058608">
    <w:abstractNumId w:val="4"/>
  </w:num>
  <w:num w:numId="6" w16cid:durableId="797601489">
    <w:abstractNumId w:val="8"/>
  </w:num>
  <w:num w:numId="7" w16cid:durableId="1184128741">
    <w:abstractNumId w:val="3"/>
  </w:num>
  <w:num w:numId="8" w16cid:durableId="648678047">
    <w:abstractNumId w:val="2"/>
  </w:num>
  <w:num w:numId="9" w16cid:durableId="1738824632">
    <w:abstractNumId w:val="1"/>
  </w:num>
  <w:num w:numId="10" w16cid:durableId="354379735">
    <w:abstractNumId w:val="0"/>
  </w:num>
  <w:num w:numId="11" w16cid:durableId="373622090">
    <w:abstractNumId w:val="15"/>
  </w:num>
  <w:num w:numId="12" w16cid:durableId="227151201">
    <w:abstractNumId w:val="10"/>
  </w:num>
  <w:num w:numId="13" w16cid:durableId="911698038">
    <w:abstractNumId w:val="12"/>
  </w:num>
  <w:num w:numId="14" w16cid:durableId="909004046">
    <w:abstractNumId w:val="11"/>
  </w:num>
  <w:num w:numId="15" w16cid:durableId="818807770">
    <w:abstractNumId w:val="17"/>
  </w:num>
  <w:num w:numId="16" w16cid:durableId="1805270280">
    <w:abstractNumId w:val="13"/>
  </w:num>
  <w:num w:numId="17" w16cid:durableId="859313849">
    <w:abstractNumId w:val="16"/>
  </w:num>
  <w:num w:numId="18" w16cid:durableId="20383099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95D"/>
    <w:rsid w:val="00000263"/>
    <w:rsid w:val="000113BC"/>
    <w:rsid w:val="000136AF"/>
    <w:rsid w:val="00025A9E"/>
    <w:rsid w:val="00026A6B"/>
    <w:rsid w:val="0004044E"/>
    <w:rsid w:val="00046F65"/>
    <w:rsid w:val="0005120E"/>
    <w:rsid w:val="00054577"/>
    <w:rsid w:val="000614BF"/>
    <w:rsid w:val="0007169C"/>
    <w:rsid w:val="00077593"/>
    <w:rsid w:val="00083F48"/>
    <w:rsid w:val="000A479A"/>
    <w:rsid w:val="000A7DF9"/>
    <w:rsid w:val="000B5B5E"/>
    <w:rsid w:val="000D05EF"/>
    <w:rsid w:val="000D3FB9"/>
    <w:rsid w:val="000D5485"/>
    <w:rsid w:val="000E598E"/>
    <w:rsid w:val="000E5A3D"/>
    <w:rsid w:val="000F0ADA"/>
    <w:rsid w:val="000F21C1"/>
    <w:rsid w:val="001000CF"/>
    <w:rsid w:val="0010745C"/>
    <w:rsid w:val="001114DC"/>
    <w:rsid w:val="001122FF"/>
    <w:rsid w:val="001220D3"/>
    <w:rsid w:val="00140169"/>
    <w:rsid w:val="0014632F"/>
    <w:rsid w:val="00160BD7"/>
    <w:rsid w:val="001643C9"/>
    <w:rsid w:val="00165568"/>
    <w:rsid w:val="00166082"/>
    <w:rsid w:val="00166C2F"/>
    <w:rsid w:val="001716C9"/>
    <w:rsid w:val="001806F8"/>
    <w:rsid w:val="00184261"/>
    <w:rsid w:val="0018592D"/>
    <w:rsid w:val="00192D54"/>
    <w:rsid w:val="00193461"/>
    <w:rsid w:val="001939E1"/>
    <w:rsid w:val="0019452E"/>
    <w:rsid w:val="00195382"/>
    <w:rsid w:val="001A2E71"/>
    <w:rsid w:val="001A3B9F"/>
    <w:rsid w:val="001A5520"/>
    <w:rsid w:val="001A65C0"/>
    <w:rsid w:val="001B7A5D"/>
    <w:rsid w:val="001C6456"/>
    <w:rsid w:val="001C69C4"/>
    <w:rsid w:val="001E0A8D"/>
    <w:rsid w:val="001E3590"/>
    <w:rsid w:val="001E7407"/>
    <w:rsid w:val="001E7A5A"/>
    <w:rsid w:val="001F1A46"/>
    <w:rsid w:val="00201D27"/>
    <w:rsid w:val="00210090"/>
    <w:rsid w:val="0021153A"/>
    <w:rsid w:val="00217CA9"/>
    <w:rsid w:val="002245A6"/>
    <w:rsid w:val="002302EA"/>
    <w:rsid w:val="00237614"/>
    <w:rsid w:val="00240749"/>
    <w:rsid w:val="002468D7"/>
    <w:rsid w:val="00247E97"/>
    <w:rsid w:val="00256C81"/>
    <w:rsid w:val="00270E04"/>
    <w:rsid w:val="00275580"/>
    <w:rsid w:val="00285CDD"/>
    <w:rsid w:val="00291167"/>
    <w:rsid w:val="0029489E"/>
    <w:rsid w:val="00297ECB"/>
    <w:rsid w:val="002B740E"/>
    <w:rsid w:val="002C152A"/>
    <w:rsid w:val="002D043A"/>
    <w:rsid w:val="002D1FF5"/>
    <w:rsid w:val="002D2A90"/>
    <w:rsid w:val="002F394D"/>
    <w:rsid w:val="002F5AA7"/>
    <w:rsid w:val="0031713F"/>
    <w:rsid w:val="003222D1"/>
    <w:rsid w:val="00325EC2"/>
    <w:rsid w:val="0032750F"/>
    <w:rsid w:val="003415D3"/>
    <w:rsid w:val="003442F6"/>
    <w:rsid w:val="00346335"/>
    <w:rsid w:val="00352B0F"/>
    <w:rsid w:val="00353DFF"/>
    <w:rsid w:val="003561B0"/>
    <w:rsid w:val="0036351B"/>
    <w:rsid w:val="00397893"/>
    <w:rsid w:val="003A15AC"/>
    <w:rsid w:val="003A3813"/>
    <w:rsid w:val="003B0627"/>
    <w:rsid w:val="003C5F2B"/>
    <w:rsid w:val="003C7D35"/>
    <w:rsid w:val="003D0BFE"/>
    <w:rsid w:val="003D5700"/>
    <w:rsid w:val="003F4400"/>
    <w:rsid w:val="003F447F"/>
    <w:rsid w:val="003F6F52"/>
    <w:rsid w:val="004022CA"/>
    <w:rsid w:val="004116CD"/>
    <w:rsid w:val="00414ADE"/>
    <w:rsid w:val="0042035F"/>
    <w:rsid w:val="00423DF0"/>
    <w:rsid w:val="00424CA9"/>
    <w:rsid w:val="004257BB"/>
    <w:rsid w:val="0044291A"/>
    <w:rsid w:val="004600B0"/>
    <w:rsid w:val="00460499"/>
    <w:rsid w:val="00460FBA"/>
    <w:rsid w:val="004657B2"/>
    <w:rsid w:val="00471289"/>
    <w:rsid w:val="00474835"/>
    <w:rsid w:val="004819C7"/>
    <w:rsid w:val="0048364F"/>
    <w:rsid w:val="004877FC"/>
    <w:rsid w:val="00490F2E"/>
    <w:rsid w:val="00496F97"/>
    <w:rsid w:val="004A53EA"/>
    <w:rsid w:val="004B35E7"/>
    <w:rsid w:val="004B6881"/>
    <w:rsid w:val="004D112D"/>
    <w:rsid w:val="004D569C"/>
    <w:rsid w:val="004E6DC3"/>
    <w:rsid w:val="004F1FAC"/>
    <w:rsid w:val="004F676E"/>
    <w:rsid w:val="004F71C0"/>
    <w:rsid w:val="00516B8D"/>
    <w:rsid w:val="0052756C"/>
    <w:rsid w:val="00530230"/>
    <w:rsid w:val="00530CC9"/>
    <w:rsid w:val="00531B46"/>
    <w:rsid w:val="00537FBC"/>
    <w:rsid w:val="00541D73"/>
    <w:rsid w:val="00543469"/>
    <w:rsid w:val="00546FA3"/>
    <w:rsid w:val="00557C7A"/>
    <w:rsid w:val="00562A58"/>
    <w:rsid w:val="0056541A"/>
    <w:rsid w:val="00581211"/>
    <w:rsid w:val="00583BA2"/>
    <w:rsid w:val="00584811"/>
    <w:rsid w:val="00586C66"/>
    <w:rsid w:val="00593982"/>
    <w:rsid w:val="00593AA6"/>
    <w:rsid w:val="00594161"/>
    <w:rsid w:val="00594749"/>
    <w:rsid w:val="00594912"/>
    <w:rsid w:val="00594956"/>
    <w:rsid w:val="00597E82"/>
    <w:rsid w:val="005B1555"/>
    <w:rsid w:val="005B3254"/>
    <w:rsid w:val="005B4067"/>
    <w:rsid w:val="005C3F41"/>
    <w:rsid w:val="005C4EF0"/>
    <w:rsid w:val="005D5EA1"/>
    <w:rsid w:val="005E098C"/>
    <w:rsid w:val="005E1B68"/>
    <w:rsid w:val="005E1F8D"/>
    <w:rsid w:val="005E317F"/>
    <w:rsid w:val="005E61D3"/>
    <w:rsid w:val="00600219"/>
    <w:rsid w:val="00605E3A"/>
    <w:rsid w:val="006065DA"/>
    <w:rsid w:val="00606AA4"/>
    <w:rsid w:val="00640402"/>
    <w:rsid w:val="00640F78"/>
    <w:rsid w:val="00655D6A"/>
    <w:rsid w:val="00656DE9"/>
    <w:rsid w:val="0067195D"/>
    <w:rsid w:val="00672876"/>
    <w:rsid w:val="00677CC2"/>
    <w:rsid w:val="00685F42"/>
    <w:rsid w:val="0069207B"/>
    <w:rsid w:val="006A304E"/>
    <w:rsid w:val="006B1814"/>
    <w:rsid w:val="006B7006"/>
    <w:rsid w:val="006C7F8C"/>
    <w:rsid w:val="006D7770"/>
    <w:rsid w:val="006D7AB9"/>
    <w:rsid w:val="00700B2C"/>
    <w:rsid w:val="00704AA7"/>
    <w:rsid w:val="00713084"/>
    <w:rsid w:val="00717463"/>
    <w:rsid w:val="0072069B"/>
    <w:rsid w:val="00720FC2"/>
    <w:rsid w:val="00722E89"/>
    <w:rsid w:val="00724A65"/>
    <w:rsid w:val="00731E00"/>
    <w:rsid w:val="007339C7"/>
    <w:rsid w:val="0073653F"/>
    <w:rsid w:val="007435BF"/>
    <w:rsid w:val="007440B7"/>
    <w:rsid w:val="00747993"/>
    <w:rsid w:val="007634AD"/>
    <w:rsid w:val="007715C9"/>
    <w:rsid w:val="00774EDD"/>
    <w:rsid w:val="007757EC"/>
    <w:rsid w:val="00792108"/>
    <w:rsid w:val="007A6863"/>
    <w:rsid w:val="007C6A80"/>
    <w:rsid w:val="007C78B4"/>
    <w:rsid w:val="007E32B6"/>
    <w:rsid w:val="007E486B"/>
    <w:rsid w:val="007E7D4A"/>
    <w:rsid w:val="007F472C"/>
    <w:rsid w:val="007F48ED"/>
    <w:rsid w:val="007F5E3F"/>
    <w:rsid w:val="0081004D"/>
    <w:rsid w:val="00812F45"/>
    <w:rsid w:val="00816558"/>
    <w:rsid w:val="00836FE9"/>
    <w:rsid w:val="0084172C"/>
    <w:rsid w:val="0085175E"/>
    <w:rsid w:val="00852233"/>
    <w:rsid w:val="00856A31"/>
    <w:rsid w:val="00874318"/>
    <w:rsid w:val="008754D0"/>
    <w:rsid w:val="00877C69"/>
    <w:rsid w:val="00877D48"/>
    <w:rsid w:val="0088345B"/>
    <w:rsid w:val="008A16A5"/>
    <w:rsid w:val="008A5C57"/>
    <w:rsid w:val="008C0629"/>
    <w:rsid w:val="008D0EE0"/>
    <w:rsid w:val="008D7A27"/>
    <w:rsid w:val="008E0349"/>
    <w:rsid w:val="008E4702"/>
    <w:rsid w:val="008E665E"/>
    <w:rsid w:val="008E66C4"/>
    <w:rsid w:val="008E69AA"/>
    <w:rsid w:val="008F4F1C"/>
    <w:rsid w:val="00901B7E"/>
    <w:rsid w:val="009069AD"/>
    <w:rsid w:val="00910E64"/>
    <w:rsid w:val="00922764"/>
    <w:rsid w:val="009278C1"/>
    <w:rsid w:val="00932377"/>
    <w:rsid w:val="009346E3"/>
    <w:rsid w:val="009414B3"/>
    <w:rsid w:val="0094523D"/>
    <w:rsid w:val="00952C64"/>
    <w:rsid w:val="00976A63"/>
    <w:rsid w:val="00986F7A"/>
    <w:rsid w:val="009A2FFF"/>
    <w:rsid w:val="009B2490"/>
    <w:rsid w:val="009B50E5"/>
    <w:rsid w:val="009C3431"/>
    <w:rsid w:val="009C5989"/>
    <w:rsid w:val="009C6A32"/>
    <w:rsid w:val="009D08DA"/>
    <w:rsid w:val="009D3C18"/>
    <w:rsid w:val="009E282A"/>
    <w:rsid w:val="009E417A"/>
    <w:rsid w:val="009F7A00"/>
    <w:rsid w:val="00A06860"/>
    <w:rsid w:val="00A136F5"/>
    <w:rsid w:val="00A21750"/>
    <w:rsid w:val="00A231E2"/>
    <w:rsid w:val="00A2550D"/>
    <w:rsid w:val="00A379BB"/>
    <w:rsid w:val="00A4169B"/>
    <w:rsid w:val="00A50D55"/>
    <w:rsid w:val="00A52FDA"/>
    <w:rsid w:val="00A64912"/>
    <w:rsid w:val="00A70A74"/>
    <w:rsid w:val="00A7563C"/>
    <w:rsid w:val="00A8138A"/>
    <w:rsid w:val="00A9231A"/>
    <w:rsid w:val="00A95BC7"/>
    <w:rsid w:val="00AA0343"/>
    <w:rsid w:val="00AA754E"/>
    <w:rsid w:val="00AA78CE"/>
    <w:rsid w:val="00AA7B26"/>
    <w:rsid w:val="00AC767C"/>
    <w:rsid w:val="00AD2CE3"/>
    <w:rsid w:val="00AD3467"/>
    <w:rsid w:val="00AD5641"/>
    <w:rsid w:val="00AE0258"/>
    <w:rsid w:val="00AF33DB"/>
    <w:rsid w:val="00B032D8"/>
    <w:rsid w:val="00B05D72"/>
    <w:rsid w:val="00B134DC"/>
    <w:rsid w:val="00B20990"/>
    <w:rsid w:val="00B23FAF"/>
    <w:rsid w:val="00B33B3C"/>
    <w:rsid w:val="00B40D74"/>
    <w:rsid w:val="00B42649"/>
    <w:rsid w:val="00B44C23"/>
    <w:rsid w:val="00B46467"/>
    <w:rsid w:val="00B52663"/>
    <w:rsid w:val="00B56DCB"/>
    <w:rsid w:val="00B61728"/>
    <w:rsid w:val="00B71C88"/>
    <w:rsid w:val="00B73A20"/>
    <w:rsid w:val="00B770D2"/>
    <w:rsid w:val="00B93516"/>
    <w:rsid w:val="00B96776"/>
    <w:rsid w:val="00B973E5"/>
    <w:rsid w:val="00BA1352"/>
    <w:rsid w:val="00BA4578"/>
    <w:rsid w:val="00BA47A3"/>
    <w:rsid w:val="00BA5026"/>
    <w:rsid w:val="00BA7B5B"/>
    <w:rsid w:val="00BB016F"/>
    <w:rsid w:val="00BB2BE1"/>
    <w:rsid w:val="00BB5453"/>
    <w:rsid w:val="00BB5460"/>
    <w:rsid w:val="00BB6E79"/>
    <w:rsid w:val="00BD3BC0"/>
    <w:rsid w:val="00BE42C5"/>
    <w:rsid w:val="00BE65C2"/>
    <w:rsid w:val="00BE719A"/>
    <w:rsid w:val="00BE720A"/>
    <w:rsid w:val="00BF0723"/>
    <w:rsid w:val="00BF6650"/>
    <w:rsid w:val="00C067E5"/>
    <w:rsid w:val="00C164CA"/>
    <w:rsid w:val="00C168A9"/>
    <w:rsid w:val="00C26051"/>
    <w:rsid w:val="00C36AC9"/>
    <w:rsid w:val="00C401E1"/>
    <w:rsid w:val="00C42BF8"/>
    <w:rsid w:val="00C460AE"/>
    <w:rsid w:val="00C50043"/>
    <w:rsid w:val="00C5015F"/>
    <w:rsid w:val="00C5073C"/>
    <w:rsid w:val="00C50A0F"/>
    <w:rsid w:val="00C50F4A"/>
    <w:rsid w:val="00C72D10"/>
    <w:rsid w:val="00C7573B"/>
    <w:rsid w:val="00C76CF3"/>
    <w:rsid w:val="00C93205"/>
    <w:rsid w:val="00C945DC"/>
    <w:rsid w:val="00C96215"/>
    <w:rsid w:val="00CA7844"/>
    <w:rsid w:val="00CB58EF"/>
    <w:rsid w:val="00CC23AA"/>
    <w:rsid w:val="00CD427B"/>
    <w:rsid w:val="00CE0A93"/>
    <w:rsid w:val="00CF0BB2"/>
    <w:rsid w:val="00D12B0D"/>
    <w:rsid w:val="00D13441"/>
    <w:rsid w:val="00D243A3"/>
    <w:rsid w:val="00D33440"/>
    <w:rsid w:val="00D52EFE"/>
    <w:rsid w:val="00D56A0D"/>
    <w:rsid w:val="00D572B6"/>
    <w:rsid w:val="00D63EF6"/>
    <w:rsid w:val="00D66518"/>
    <w:rsid w:val="00D70DFB"/>
    <w:rsid w:val="00D71EEA"/>
    <w:rsid w:val="00D735CD"/>
    <w:rsid w:val="00D74045"/>
    <w:rsid w:val="00D766DF"/>
    <w:rsid w:val="00D90841"/>
    <w:rsid w:val="00DA2439"/>
    <w:rsid w:val="00DA6F05"/>
    <w:rsid w:val="00DB64FC"/>
    <w:rsid w:val="00DE149E"/>
    <w:rsid w:val="00DE7B07"/>
    <w:rsid w:val="00E034DB"/>
    <w:rsid w:val="00E05704"/>
    <w:rsid w:val="00E12F1A"/>
    <w:rsid w:val="00E1304B"/>
    <w:rsid w:val="00E22935"/>
    <w:rsid w:val="00E24465"/>
    <w:rsid w:val="00E35CAB"/>
    <w:rsid w:val="00E47E86"/>
    <w:rsid w:val="00E52B72"/>
    <w:rsid w:val="00E54292"/>
    <w:rsid w:val="00E60191"/>
    <w:rsid w:val="00E60C76"/>
    <w:rsid w:val="00E734B8"/>
    <w:rsid w:val="00E74DC7"/>
    <w:rsid w:val="00E87699"/>
    <w:rsid w:val="00E92E27"/>
    <w:rsid w:val="00E9586B"/>
    <w:rsid w:val="00E97334"/>
    <w:rsid w:val="00EB3A99"/>
    <w:rsid w:val="00EB5507"/>
    <w:rsid w:val="00EB65F8"/>
    <w:rsid w:val="00ED4928"/>
    <w:rsid w:val="00EE3FFE"/>
    <w:rsid w:val="00EE57E8"/>
    <w:rsid w:val="00EE6190"/>
    <w:rsid w:val="00EF2E3A"/>
    <w:rsid w:val="00EF6402"/>
    <w:rsid w:val="00F0272F"/>
    <w:rsid w:val="00F047E2"/>
    <w:rsid w:val="00F04D57"/>
    <w:rsid w:val="00F078DC"/>
    <w:rsid w:val="00F13E86"/>
    <w:rsid w:val="00F20B52"/>
    <w:rsid w:val="00F24B72"/>
    <w:rsid w:val="00F32FCB"/>
    <w:rsid w:val="00F33523"/>
    <w:rsid w:val="00F4639A"/>
    <w:rsid w:val="00F53FB7"/>
    <w:rsid w:val="00F55E95"/>
    <w:rsid w:val="00F677A9"/>
    <w:rsid w:val="00F70051"/>
    <w:rsid w:val="00F8121C"/>
    <w:rsid w:val="00F84CF5"/>
    <w:rsid w:val="00F8612E"/>
    <w:rsid w:val="00F94583"/>
    <w:rsid w:val="00F948DB"/>
    <w:rsid w:val="00FA0EDB"/>
    <w:rsid w:val="00FA420B"/>
    <w:rsid w:val="00FB6AEE"/>
    <w:rsid w:val="00FB775F"/>
    <w:rsid w:val="00FC3EAC"/>
    <w:rsid w:val="00FD6A4E"/>
    <w:rsid w:val="00FF39DE"/>
    <w:rsid w:val="00FF57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61B93"/>
  <w15:docId w15:val="{0A2BFB25-9D83-4BD7-8938-7D719ED2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67195D"/>
    <w:rPr>
      <w:rFonts w:eastAsia="Times New Roman" w:cs="Times New Roman"/>
      <w:sz w:val="18"/>
      <w:lang w:eastAsia="en-AU"/>
    </w:rPr>
  </w:style>
  <w:style w:type="character" w:styleId="CommentReference">
    <w:name w:val="annotation reference"/>
    <w:basedOn w:val="DefaultParagraphFont"/>
    <w:uiPriority w:val="99"/>
    <w:semiHidden/>
    <w:unhideWhenUsed/>
    <w:rsid w:val="0067195D"/>
    <w:rPr>
      <w:sz w:val="16"/>
      <w:szCs w:val="16"/>
    </w:rPr>
  </w:style>
  <w:style w:type="paragraph" w:styleId="CommentText">
    <w:name w:val="annotation text"/>
    <w:basedOn w:val="Normal"/>
    <w:link w:val="CommentTextChar"/>
    <w:uiPriority w:val="99"/>
    <w:unhideWhenUsed/>
    <w:rsid w:val="0067195D"/>
    <w:pPr>
      <w:spacing w:line="240" w:lineRule="auto"/>
    </w:pPr>
    <w:rPr>
      <w:sz w:val="20"/>
    </w:rPr>
  </w:style>
  <w:style w:type="character" w:customStyle="1" w:styleId="CommentTextChar">
    <w:name w:val="Comment Text Char"/>
    <w:basedOn w:val="DefaultParagraphFont"/>
    <w:link w:val="CommentText"/>
    <w:uiPriority w:val="99"/>
    <w:rsid w:val="0067195D"/>
  </w:style>
  <w:style w:type="paragraph" w:customStyle="1" w:styleId="notepara0">
    <w:name w:val="notepara"/>
    <w:basedOn w:val="Normal"/>
    <w:rsid w:val="0067195D"/>
    <w:pPr>
      <w:spacing w:before="100" w:beforeAutospacing="1" w:after="100" w:afterAutospacing="1" w:line="240" w:lineRule="auto"/>
    </w:pPr>
    <w:rPr>
      <w:rFonts w:eastAsia="Times New Roman" w:cs="Times New Roman"/>
      <w:sz w:val="24"/>
      <w:szCs w:val="24"/>
      <w:lang w:eastAsia="en-AU"/>
    </w:rPr>
  </w:style>
  <w:style w:type="character" w:customStyle="1" w:styleId="paragraphChar">
    <w:name w:val="paragraph Char"/>
    <w:aliases w:val="a Char"/>
    <w:basedOn w:val="DefaultParagraphFont"/>
    <w:link w:val="paragraph"/>
    <w:rsid w:val="00046F65"/>
    <w:rPr>
      <w:rFonts w:eastAsia="Times New Roman" w:cs="Times New Roman"/>
      <w:sz w:val="22"/>
      <w:lang w:eastAsia="en-AU"/>
    </w:rPr>
  </w:style>
  <w:style w:type="paragraph" w:styleId="CommentSubject">
    <w:name w:val="annotation subject"/>
    <w:basedOn w:val="CommentText"/>
    <w:next w:val="CommentText"/>
    <w:link w:val="CommentSubjectChar"/>
    <w:uiPriority w:val="99"/>
    <w:semiHidden/>
    <w:unhideWhenUsed/>
    <w:rsid w:val="00852233"/>
    <w:rPr>
      <w:b/>
      <w:bCs/>
    </w:rPr>
  </w:style>
  <w:style w:type="character" w:customStyle="1" w:styleId="CommentSubjectChar">
    <w:name w:val="Comment Subject Char"/>
    <w:basedOn w:val="CommentTextChar"/>
    <w:link w:val="CommentSubject"/>
    <w:uiPriority w:val="99"/>
    <w:semiHidden/>
    <w:rsid w:val="00852233"/>
    <w:rPr>
      <w:b/>
      <w:bCs/>
    </w:rPr>
  </w:style>
  <w:style w:type="paragraph" w:styleId="Revision">
    <w:name w:val="Revision"/>
    <w:hidden/>
    <w:uiPriority w:val="99"/>
    <w:semiHidden/>
    <w:rsid w:val="00852233"/>
    <w:rPr>
      <w:sz w:val="22"/>
    </w:rPr>
  </w:style>
  <w:style w:type="character" w:styleId="Hyperlink">
    <w:name w:val="Hyperlink"/>
    <w:basedOn w:val="DefaultParagraphFont"/>
    <w:uiPriority w:val="99"/>
    <w:unhideWhenUsed/>
    <w:rsid w:val="00210090"/>
    <w:rPr>
      <w:color w:val="0000FF" w:themeColor="hyperlink"/>
      <w:u w:val="single"/>
    </w:rPr>
  </w:style>
  <w:style w:type="character" w:styleId="UnresolvedMention">
    <w:name w:val="Unresolved Mention"/>
    <w:basedOn w:val="DefaultParagraphFont"/>
    <w:uiPriority w:val="99"/>
    <w:semiHidden/>
    <w:unhideWhenUsed/>
    <w:rsid w:val="00210090"/>
    <w:rPr>
      <w:color w:val="605E5C"/>
      <w:shd w:val="clear" w:color="auto" w:fill="E1DFDD"/>
    </w:rPr>
  </w:style>
  <w:style w:type="paragraph" w:customStyle="1" w:styleId="definition0">
    <w:name w:val="definition"/>
    <w:basedOn w:val="Normal"/>
    <w:rsid w:val="008E0349"/>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8E0349"/>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arn\Downloads\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DC8E-E511-42D0-AE8E-9F5E38E04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TotalTime>
  <Pages>10</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KULAR, Navreen</dc:creator>
  <cp:lastModifiedBy>MCDONALD, Jess</cp:lastModifiedBy>
  <cp:revision>2</cp:revision>
  <dcterms:created xsi:type="dcterms:W3CDTF">2023-12-13T21:42:00Z</dcterms:created>
  <dcterms:modified xsi:type="dcterms:W3CDTF">2023-12-13T21:42:00Z</dcterms:modified>
</cp:coreProperties>
</file>