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57364" w14:textId="77777777" w:rsidR="00FB640B" w:rsidRPr="008B24C8" w:rsidRDefault="0057002B" w:rsidP="00BB0CF2">
      <w:pPr>
        <w:pStyle w:val="ESTitleHeader"/>
      </w:pPr>
      <w:bookmarkStart w:id="0" w:name="_GoBack"/>
      <w:bookmarkEnd w:id="0"/>
      <w:r w:rsidRPr="008B24C8">
        <w:t>EXPLANATORY STATEMENT</w:t>
      </w:r>
    </w:p>
    <w:p w14:paraId="6358729B" w14:textId="77777777" w:rsidR="0057002B" w:rsidRPr="008B24C8" w:rsidRDefault="0057002B" w:rsidP="00BB0CF2">
      <w:pPr>
        <w:pStyle w:val="ESTitleDecisionMaker"/>
      </w:pPr>
      <w:r w:rsidRPr="008B24C8">
        <w:t xml:space="preserve">Issued by authority of the </w:t>
      </w:r>
      <w:r w:rsidR="003B1B03">
        <w:t>Minister of Immigration, Citizenship and Multicultural Affairs</w:t>
      </w:r>
    </w:p>
    <w:p w14:paraId="533195C0" w14:textId="77777777" w:rsidR="0057002B" w:rsidRPr="008B24C8" w:rsidRDefault="003B1B03" w:rsidP="00BB0CF2">
      <w:pPr>
        <w:pStyle w:val="ESTitleEnablingLegislation"/>
      </w:pPr>
      <w:r>
        <w:t>Migration Regulations 1994</w:t>
      </w:r>
    </w:p>
    <w:p w14:paraId="304ACC34" w14:textId="52EC8976" w:rsidR="003B1B03" w:rsidRPr="003B1B03" w:rsidRDefault="003B1B03" w:rsidP="003B1B03">
      <w:pPr>
        <w:pStyle w:val="ESParagraph"/>
        <w:rPr>
          <w:b/>
          <w:i/>
        </w:rPr>
      </w:pPr>
      <w:r w:rsidRPr="003B1B03">
        <w:rPr>
          <w:b/>
          <w:i/>
        </w:rPr>
        <w:t xml:space="preserve">Migration (Class of persons for Visitor (Class FA) visa nil VAC) Repeal </w:t>
      </w:r>
      <w:r w:rsidR="00D610F1" w:rsidRPr="003B1B03">
        <w:rPr>
          <w:b/>
          <w:i/>
        </w:rPr>
        <w:t xml:space="preserve">(LIN 23/069) </w:t>
      </w:r>
      <w:r w:rsidRPr="003B1B03">
        <w:rPr>
          <w:b/>
          <w:i/>
        </w:rPr>
        <w:t>Instrument 2023</w:t>
      </w:r>
    </w:p>
    <w:p w14:paraId="4088BE7B" w14:textId="7535186F" w:rsidR="0057002B" w:rsidRPr="008B24C8" w:rsidRDefault="0057002B" w:rsidP="00051EBC">
      <w:pPr>
        <w:pStyle w:val="ESPara"/>
      </w:pPr>
      <w:r w:rsidRPr="008B24C8">
        <w:t>The instrume</w:t>
      </w:r>
      <w:r w:rsidR="003B1B03">
        <w:t xml:space="preserve">nt, </w:t>
      </w:r>
      <w:r w:rsidR="005640F4">
        <w:t>d</w:t>
      </w:r>
      <w:r w:rsidR="003B1B03">
        <w:t>epartmental reference LIN 23/069</w:t>
      </w:r>
      <w:r w:rsidRPr="008B24C8">
        <w:t xml:space="preserve">, is made under </w:t>
      </w:r>
      <w:r w:rsidR="003B1B03">
        <w:t>subparagraph 1236(2</w:t>
      </w:r>
      <w:proofErr w:type="gramStart"/>
      <w:r w:rsidR="003B1B03">
        <w:t>)(</w:t>
      </w:r>
      <w:proofErr w:type="gramEnd"/>
      <w:r w:rsidR="003B1B03">
        <w:t xml:space="preserve">a)(iv) of Schedule 1 to the </w:t>
      </w:r>
      <w:r w:rsidR="003B1B03" w:rsidRPr="003B1B03">
        <w:rPr>
          <w:i/>
        </w:rPr>
        <w:t>Migration Regulations 1994</w:t>
      </w:r>
      <w:r w:rsidR="003B1B03">
        <w:t xml:space="preserve"> (the Migration Regulations).</w:t>
      </w:r>
    </w:p>
    <w:p w14:paraId="59005B7C" w14:textId="77777777" w:rsidR="00EA12C9" w:rsidRPr="008B24C8" w:rsidRDefault="00EA12C9" w:rsidP="00051EBC">
      <w:pPr>
        <w:pStyle w:val="ESPara"/>
      </w:pPr>
      <w:r w:rsidRPr="008B24C8">
        <w:t xml:space="preserve">The instrument </w:t>
      </w:r>
      <w:r w:rsidR="003B1B03">
        <w:t xml:space="preserve">repeals </w:t>
      </w:r>
      <w:r w:rsidR="003B1B03" w:rsidRPr="00E17221">
        <w:rPr>
          <w:i/>
        </w:rPr>
        <w:t>Migration (Class of persons for Visitor (Class FA) visa nil VAC</w:t>
      </w:r>
      <w:r w:rsidR="002D62C5" w:rsidRPr="00E17221">
        <w:rPr>
          <w:i/>
        </w:rPr>
        <w:t>) Instrument (LIN 21/021) 2021</w:t>
      </w:r>
      <w:r w:rsidR="00B75478">
        <w:t xml:space="preserve"> </w:t>
      </w:r>
      <w:r w:rsidR="004741FC">
        <w:t xml:space="preserve">(LIN 21/021) </w:t>
      </w:r>
      <w:r w:rsidRPr="008B24C8">
        <w:t xml:space="preserve">in accordance with subsection 33(3) of the </w:t>
      </w:r>
      <w:r w:rsidRPr="008B24C8">
        <w:rPr>
          <w:i/>
        </w:rPr>
        <w:t>Acts Interpretation Act 1901</w:t>
      </w:r>
      <w:r w:rsidR="00BD598E" w:rsidRPr="008B24C8">
        <w:rPr>
          <w:i/>
        </w:rPr>
        <w:t xml:space="preserve"> </w:t>
      </w:r>
      <w:r w:rsidR="00BD598E" w:rsidRPr="008B24C8">
        <w:t>(the Acts Interpretation Act)</w:t>
      </w:r>
      <w:r w:rsidR="00690F05">
        <w:t xml:space="preserve">. </w:t>
      </w:r>
      <w:r w:rsidRPr="008B24C8">
        <w:t xml:space="preserve">That subsection provides that </w:t>
      </w:r>
      <w:r w:rsidR="00100DFC">
        <w:t>a power to make a legislative instrument includes a power to amend or repeal that instrument in the same manner, and subject to the same conditions, as the power to make the instrument</w:t>
      </w:r>
      <w:r w:rsidR="00690F05">
        <w:t>.</w:t>
      </w:r>
    </w:p>
    <w:p w14:paraId="7DC285FA" w14:textId="681B9BA8" w:rsidR="00BD598E" w:rsidRPr="00FC383B" w:rsidRDefault="00AA4557" w:rsidP="00051EBC">
      <w:pPr>
        <w:pStyle w:val="ESPara"/>
      </w:pPr>
      <w:r w:rsidRPr="00FC383B">
        <w:t xml:space="preserve">The instrument commences </w:t>
      </w:r>
      <w:r w:rsidR="00672052" w:rsidRPr="00FC383B">
        <w:t>on the day after registration on the Federal Register of Legislation</w:t>
      </w:r>
      <w:r w:rsidRPr="00FC383B">
        <w:t xml:space="preserve"> </w:t>
      </w:r>
      <w:r w:rsidR="008D14B9">
        <w:t>(FRL)</w:t>
      </w:r>
      <w:r w:rsidR="005640F4">
        <w:t xml:space="preserve">. The instrument </w:t>
      </w:r>
      <w:r w:rsidRPr="00FC383B">
        <w:t>i</w:t>
      </w:r>
      <w:r w:rsidR="00BD598E" w:rsidRPr="00FC383B">
        <w:t xml:space="preserve">s a </w:t>
      </w:r>
      <w:r w:rsidRPr="00FC383B">
        <w:t>legislative</w:t>
      </w:r>
      <w:r w:rsidR="00BD598E" w:rsidRPr="00FC383B">
        <w:t xml:space="preserve"> instrument for </w:t>
      </w:r>
      <w:r w:rsidR="00B75478" w:rsidRPr="00FC383B">
        <w:t>the</w:t>
      </w:r>
      <w:r w:rsidR="005640F4">
        <w:t xml:space="preserve"> purposes of the</w:t>
      </w:r>
      <w:r w:rsidR="00B75478" w:rsidRPr="00FC383B">
        <w:t xml:space="preserve"> </w:t>
      </w:r>
      <w:r w:rsidR="00100DFC" w:rsidRPr="00FC383B">
        <w:rPr>
          <w:i/>
        </w:rPr>
        <w:t>Legislation Act 2003</w:t>
      </w:r>
      <w:r w:rsidR="00100DFC" w:rsidRPr="00FC383B">
        <w:t xml:space="preserve"> (the Legislation Act)</w:t>
      </w:r>
      <w:r w:rsidR="00672052" w:rsidRPr="00FC383B">
        <w:t>.</w:t>
      </w:r>
    </w:p>
    <w:p w14:paraId="2A9AB12C" w14:textId="77777777" w:rsidR="00EA12C9" w:rsidRPr="006E59E9" w:rsidRDefault="00BD598E" w:rsidP="00100DFC">
      <w:pPr>
        <w:pStyle w:val="ESHeading"/>
      </w:pPr>
      <w:r w:rsidRPr="008B24C8">
        <w:t>Purpose</w:t>
      </w:r>
    </w:p>
    <w:p w14:paraId="0B8BA773" w14:textId="4A2EA706" w:rsidR="00833AD2" w:rsidRDefault="00773837" w:rsidP="00833AD2">
      <w:pPr>
        <w:pStyle w:val="ESPara"/>
      </w:pPr>
      <w:r>
        <w:t xml:space="preserve">Subitem 1236(2) of Schedule 1 to the Migration Regulations sets out the amount of the visa application charge (VAC) payable by an applicant for a </w:t>
      </w:r>
      <w:r w:rsidR="00E310F9">
        <w:t>Visitor (</w:t>
      </w:r>
      <w:r>
        <w:t xml:space="preserve">Class FA) visa. </w:t>
      </w:r>
      <w:r w:rsidR="00694E1D">
        <w:t xml:space="preserve">Under subparagraph 1236(2)(a)(iv) of Schedule 1 to the Migration Regulations, </w:t>
      </w:r>
      <w:r>
        <w:t xml:space="preserve">in relation to an application for a Subclass 600 (Visitor) visa that is not in the Frequent Traveller stream, </w:t>
      </w:r>
      <w:r w:rsidR="00694E1D">
        <w:t xml:space="preserve">the Minister may, in an instrument in writing, specify a class of persons </w:t>
      </w:r>
      <w:r>
        <w:t xml:space="preserve">for whom the first instalment of the </w:t>
      </w:r>
      <w:r w:rsidR="00694E1D">
        <w:t>VAC</w:t>
      </w:r>
      <w:r>
        <w:t xml:space="preserve"> is nil</w:t>
      </w:r>
      <w:r w:rsidR="001B33C8">
        <w:t>.</w:t>
      </w:r>
      <w:r w:rsidR="00E310F9">
        <w:t xml:space="preserve"> There is no second instalment for an application for a Visitor (Class FA) visa.</w:t>
      </w:r>
    </w:p>
    <w:p w14:paraId="2B0B19A8" w14:textId="16E905CE" w:rsidR="00833AD2" w:rsidRDefault="00E31EB9" w:rsidP="004F3EA0">
      <w:pPr>
        <w:pStyle w:val="ESPara"/>
      </w:pPr>
      <w:r>
        <w:t xml:space="preserve">LIN 21/021 </w:t>
      </w:r>
      <w:r w:rsidR="00833AD2">
        <w:t>specifies</w:t>
      </w:r>
      <w:r w:rsidR="00E67C7B">
        <w:t xml:space="preserve"> that certain former</w:t>
      </w:r>
      <w:r>
        <w:t xml:space="preserve"> Subclass 600</w:t>
      </w:r>
      <w:r w:rsidR="00E67C7B">
        <w:t xml:space="preserve"> (Visitor)</w:t>
      </w:r>
      <w:r>
        <w:t xml:space="preserve"> visa </w:t>
      </w:r>
      <w:r w:rsidR="00E67C7B">
        <w:t xml:space="preserve">holders </w:t>
      </w:r>
      <w:r w:rsidR="00CA0273">
        <w:t>could</w:t>
      </w:r>
      <w:r w:rsidR="00E67C7B">
        <w:t xml:space="preserve"> apply for a new Subclass 600 visa with </w:t>
      </w:r>
      <w:r w:rsidR="00833AD2">
        <w:t xml:space="preserve">a nil VAC, where their travel to Australia </w:t>
      </w:r>
      <w:r w:rsidR="00CA0273">
        <w:t>was</w:t>
      </w:r>
      <w:r w:rsidR="00833AD2">
        <w:t xml:space="preserve"> affected by the </w:t>
      </w:r>
      <w:r w:rsidR="0061671D">
        <w:br/>
      </w:r>
      <w:r w:rsidR="005640F4">
        <w:t>COVID-19 P</w:t>
      </w:r>
      <w:r w:rsidR="00833AD2">
        <w:t>andemic</w:t>
      </w:r>
      <w:r w:rsidR="002B1599">
        <w:t>.</w:t>
      </w:r>
      <w:r w:rsidR="00E67C7B">
        <w:t xml:space="preserve"> </w:t>
      </w:r>
      <w:r w:rsidR="00833AD2">
        <w:t>The specified period within which Subclass 600</w:t>
      </w:r>
      <w:r w:rsidR="005E0E83">
        <w:t xml:space="preserve"> (Visitor)</w:t>
      </w:r>
      <w:r w:rsidR="00833AD2">
        <w:t xml:space="preserve"> visa applicants could </w:t>
      </w:r>
      <w:r w:rsidR="00A438BD">
        <w:t xml:space="preserve">make a valid application </w:t>
      </w:r>
      <w:r w:rsidR="00E67C7B">
        <w:t>without paying a VAC</w:t>
      </w:r>
      <w:r w:rsidR="00833AD2">
        <w:t xml:space="preserve"> </w:t>
      </w:r>
      <w:r w:rsidR="005640F4">
        <w:t>ended</w:t>
      </w:r>
      <w:r w:rsidR="00833AD2">
        <w:t xml:space="preserve"> on 31 December 2022.</w:t>
      </w:r>
    </w:p>
    <w:p w14:paraId="3F0B82D5" w14:textId="131EAEB5" w:rsidR="002B1599" w:rsidRDefault="00E31EB9" w:rsidP="00E310F9">
      <w:pPr>
        <w:pStyle w:val="ESPara"/>
      </w:pPr>
      <w:r>
        <w:t xml:space="preserve">The purpose of </w:t>
      </w:r>
      <w:r w:rsidR="001B33C8">
        <w:t>LIN </w:t>
      </w:r>
      <w:r w:rsidR="00363E0E" w:rsidRPr="00363E0E">
        <w:t>23/069</w:t>
      </w:r>
      <w:r w:rsidR="00363E0E">
        <w:t xml:space="preserve"> </w:t>
      </w:r>
      <w:r>
        <w:t>is to r</w:t>
      </w:r>
      <w:r w:rsidR="001B33C8">
        <w:t>epeal LIN 21/021</w:t>
      </w:r>
      <w:r w:rsidR="005640F4">
        <w:t>,</w:t>
      </w:r>
      <w:r w:rsidR="001B33C8">
        <w:t xml:space="preserve"> as the </w:t>
      </w:r>
      <w:r w:rsidR="002B1599">
        <w:t>instrument is spent</w:t>
      </w:r>
      <w:r w:rsidR="005640F4">
        <w:t>, and no longer required</w:t>
      </w:r>
      <w:r w:rsidR="002B1599">
        <w:t>.</w:t>
      </w:r>
    </w:p>
    <w:p w14:paraId="1DD8EAAA" w14:textId="1AF8FF32" w:rsidR="008B24C8" w:rsidRDefault="008B24C8" w:rsidP="00100DFC">
      <w:pPr>
        <w:pStyle w:val="ESHeading"/>
      </w:pPr>
      <w:r w:rsidRPr="008B24C8">
        <w:t>Consultation</w:t>
      </w:r>
    </w:p>
    <w:p w14:paraId="4D12BE33" w14:textId="0693EF9C" w:rsidR="008B24C8" w:rsidRDefault="00E31EB9" w:rsidP="00807778">
      <w:pPr>
        <w:pStyle w:val="ESPara"/>
      </w:pPr>
      <w:r w:rsidRPr="00E31EB9">
        <w:t>Th</w:t>
      </w:r>
      <w:r>
        <w:t>e Office of Impact Analysis (OIA)</w:t>
      </w:r>
      <w:r w:rsidRPr="00E31EB9">
        <w:t xml:space="preserve"> was consulted and </w:t>
      </w:r>
      <w:r w:rsidR="00411286">
        <w:t xml:space="preserve">considered that </w:t>
      </w:r>
      <w:r>
        <w:t>the measures in this instrument are unlikely to have more than</w:t>
      </w:r>
      <w:r w:rsidR="00CB54BD">
        <w:t xml:space="preserve"> a minor i</w:t>
      </w:r>
      <w:r>
        <w:t>mpact</w:t>
      </w:r>
      <w:r w:rsidR="00CB54BD">
        <w:t>, as LIN 21/021 is spent</w:t>
      </w:r>
      <w:r w:rsidR="00807778">
        <w:t>. T</w:t>
      </w:r>
      <w:r>
        <w:t>herefore an Impact Analysis is not required</w:t>
      </w:r>
      <w:r w:rsidR="005640F4">
        <w:t>. The OIA reference number is OIA23-05310.</w:t>
      </w:r>
    </w:p>
    <w:p w14:paraId="1ACA5E77" w14:textId="3AE2D5BC" w:rsidR="00AA4557" w:rsidRPr="00AA4557" w:rsidRDefault="005640F4" w:rsidP="00100DFC">
      <w:pPr>
        <w:pStyle w:val="ESHeading"/>
      </w:pPr>
      <w:r>
        <w:t>Parliamentary scrutiny etc.</w:t>
      </w:r>
    </w:p>
    <w:p w14:paraId="6096C5DB" w14:textId="745E57EB" w:rsidR="00E03DCC" w:rsidRDefault="00E03DCC" w:rsidP="006E59E9">
      <w:pPr>
        <w:pStyle w:val="ESPara"/>
      </w:pPr>
      <w:r>
        <w:t>The instrument is exempt from disallowance under sect</w:t>
      </w:r>
      <w:r w:rsidR="006E59E9">
        <w:t xml:space="preserve">ion 42 of the Legislation Act. </w:t>
      </w:r>
      <w:r>
        <w:t xml:space="preserve">This is because </w:t>
      </w:r>
      <w:r w:rsidR="00B22D14">
        <w:t xml:space="preserve">it is an instrument made under </w:t>
      </w:r>
      <w:r w:rsidR="006E59E9" w:rsidRPr="006E59E9">
        <w:t>subparagraph 1236(2</w:t>
      </w:r>
      <w:proofErr w:type="gramStart"/>
      <w:r w:rsidR="006E59E9" w:rsidRPr="006E59E9">
        <w:t>)(</w:t>
      </w:r>
      <w:proofErr w:type="gramEnd"/>
      <w:r w:rsidR="006E59E9" w:rsidRPr="006E59E9">
        <w:t>a)(iv) of Schedule 1 to the Migration Regulations</w:t>
      </w:r>
      <w:r w:rsidR="00CA0273">
        <w:t>. An instrument made under Schedule 1 to the Migration Regulations</w:t>
      </w:r>
      <w:r w:rsidR="00B22D14">
        <w:t xml:space="preserve"> is </w:t>
      </w:r>
      <w:r w:rsidR="00051EBC">
        <w:t>exempt</w:t>
      </w:r>
      <w:r w:rsidR="00B22D14">
        <w:t xml:space="preserve"> from disallowance under subitem 20(b) of the table in</w:t>
      </w:r>
      <w:r w:rsidR="006E59E9">
        <w:t xml:space="preserve"> section 10 of the </w:t>
      </w:r>
      <w:r w:rsidR="006E59E9" w:rsidRPr="006E59E9">
        <w:rPr>
          <w:i/>
        </w:rPr>
        <w:t>Legislation (Exemptions</w:t>
      </w:r>
      <w:r w:rsidR="00B22D14" w:rsidRPr="006E59E9">
        <w:rPr>
          <w:i/>
        </w:rPr>
        <w:t xml:space="preserve"> and </w:t>
      </w:r>
      <w:r w:rsidR="00CA0273">
        <w:rPr>
          <w:i/>
        </w:rPr>
        <w:t>O</w:t>
      </w:r>
      <w:r w:rsidR="00B22D14" w:rsidRPr="006E59E9">
        <w:rPr>
          <w:i/>
        </w:rPr>
        <w:t>ther Matters) Regulation 2015</w:t>
      </w:r>
      <w:r w:rsidR="00B22D14">
        <w:t>.</w:t>
      </w:r>
    </w:p>
    <w:p w14:paraId="13315F78" w14:textId="2B2E6C02" w:rsidR="00B22D14" w:rsidRDefault="00B22D14" w:rsidP="002D167E">
      <w:pPr>
        <w:pStyle w:val="ESPara"/>
      </w:pPr>
      <w:r>
        <w:lastRenderedPageBreak/>
        <w:t>As the instrument is exempt from disallowance, a Statement of Compatibility with Human Rights is not required.</w:t>
      </w:r>
    </w:p>
    <w:p w14:paraId="2EF252FB" w14:textId="79E51DC0" w:rsidR="005640F4" w:rsidRDefault="005640F4" w:rsidP="005640F4">
      <w:pPr>
        <w:pStyle w:val="ESPara"/>
      </w:pPr>
      <w:r>
        <w:t>Section 48A of the Legislation Act relevantly provides for the automatic repeal of amending and repealing instruments</w:t>
      </w:r>
      <w:r w:rsidR="00D924BD">
        <w:t xml:space="preserve"> in certain circumstances</w:t>
      </w:r>
      <w:r>
        <w:t xml:space="preserve">. The only legal effect of LIN 23/069 is to repeal the legislative instrument LIN 21/021, and </w:t>
      </w:r>
      <w:r w:rsidRPr="005640F4">
        <w:t>without making any application, saving or transitional provisions rela</w:t>
      </w:r>
      <w:r>
        <w:t xml:space="preserve">ting to the repeal of LIN 21/021. </w:t>
      </w:r>
      <w:r w:rsidR="00D924BD">
        <w:t xml:space="preserve">Subsection </w:t>
      </w:r>
      <w:proofErr w:type="gramStart"/>
      <w:r w:rsidR="00D924BD">
        <w:t>48A(</w:t>
      </w:r>
      <w:proofErr w:type="gramEnd"/>
      <w:r w:rsidR="00D924BD">
        <w:t>1) of the Legislation Act therefore operates to repeal LIN 23/069, with subsections 48A(2) and (3) of the Legislation Act providing for the time and effect of this repeal.</w:t>
      </w:r>
    </w:p>
    <w:p w14:paraId="67E7DBCA" w14:textId="2C56B368" w:rsidR="006E59E9" w:rsidRDefault="00B22D14" w:rsidP="0026602D">
      <w:pPr>
        <w:pStyle w:val="ESPara"/>
      </w:pPr>
      <w:r>
        <w:t xml:space="preserve">The instrument was made by a delegate of the Minister, in accordance with </w:t>
      </w:r>
      <w:r w:rsidR="006E59E9" w:rsidRPr="006E59E9">
        <w:t>subparagraph 1236(2</w:t>
      </w:r>
      <w:proofErr w:type="gramStart"/>
      <w:r w:rsidR="006E59E9" w:rsidRPr="006E59E9">
        <w:t>)(</w:t>
      </w:r>
      <w:proofErr w:type="gramEnd"/>
      <w:r w:rsidR="006E59E9" w:rsidRPr="006E59E9">
        <w:t>a)(iv) of Schedule 1 to the Migration Regulations</w:t>
      </w:r>
      <w:r w:rsidR="006E59E9">
        <w:t>.</w:t>
      </w:r>
    </w:p>
    <w:sectPr w:rsidR="006E59E9" w:rsidSect="004F5C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46FFF" w14:textId="77777777" w:rsidR="00826EC6" w:rsidRDefault="00826EC6" w:rsidP="00826EC6">
      <w:pPr>
        <w:spacing w:after="0" w:line="240" w:lineRule="auto"/>
      </w:pPr>
      <w:r>
        <w:separator/>
      </w:r>
    </w:p>
  </w:endnote>
  <w:endnote w:type="continuationSeparator" w:id="0">
    <w:p w14:paraId="09541B58" w14:textId="77777777" w:rsidR="00826EC6" w:rsidRDefault="00826EC6" w:rsidP="0082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1F2A4" w14:textId="77777777" w:rsidR="00826EC6" w:rsidRDefault="00826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8DB1A" w14:textId="77777777" w:rsidR="00826EC6" w:rsidRDefault="00826E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70DDD" w14:textId="77777777" w:rsidR="00826EC6" w:rsidRDefault="00826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899B2" w14:textId="77777777" w:rsidR="00826EC6" w:rsidRDefault="00826EC6" w:rsidP="00826EC6">
      <w:pPr>
        <w:spacing w:after="0" w:line="240" w:lineRule="auto"/>
      </w:pPr>
      <w:r>
        <w:separator/>
      </w:r>
    </w:p>
  </w:footnote>
  <w:footnote w:type="continuationSeparator" w:id="0">
    <w:p w14:paraId="48135F4A" w14:textId="77777777" w:rsidR="00826EC6" w:rsidRDefault="00826EC6" w:rsidP="00826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86CC3" w14:textId="77777777" w:rsidR="00826EC6" w:rsidRDefault="00826E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1BC6E" w14:textId="77777777" w:rsidR="00826EC6" w:rsidRDefault="00826E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8101F" w14:textId="77777777" w:rsidR="00826EC6" w:rsidRDefault="00826E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0065D"/>
    <w:multiLevelType w:val="hybridMultilevel"/>
    <w:tmpl w:val="A9A22D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532A9"/>
    <w:multiLevelType w:val="hybridMultilevel"/>
    <w:tmpl w:val="16DE8FA2"/>
    <w:lvl w:ilvl="0" w:tplc="C80632DA">
      <w:start w:val="1"/>
      <w:numFmt w:val="decimal"/>
      <w:pStyle w:val="ESSubparaHeader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ABC2DF26">
      <w:start w:val="1"/>
      <w:numFmt w:val="bullet"/>
      <w:pStyle w:val="ESSubparaLis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C29E0"/>
    <w:multiLevelType w:val="hybridMultilevel"/>
    <w:tmpl w:val="6E2AB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B22CF"/>
    <w:multiLevelType w:val="hybridMultilevel"/>
    <w:tmpl w:val="2DCEB73C"/>
    <w:lvl w:ilvl="0" w:tplc="2A36B062">
      <w:start w:val="2"/>
      <w:numFmt w:val="bullet"/>
      <w:pStyle w:val="ESAttLis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trackedChanges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5E"/>
    <w:rsid w:val="00051EBC"/>
    <w:rsid w:val="000D014F"/>
    <w:rsid w:val="000E4DAD"/>
    <w:rsid w:val="00100DFC"/>
    <w:rsid w:val="0019164E"/>
    <w:rsid w:val="001B33C8"/>
    <w:rsid w:val="00214D5B"/>
    <w:rsid w:val="0021713F"/>
    <w:rsid w:val="00236A60"/>
    <w:rsid w:val="002402E0"/>
    <w:rsid w:val="0025000D"/>
    <w:rsid w:val="00257012"/>
    <w:rsid w:val="0026602D"/>
    <w:rsid w:val="002B1599"/>
    <w:rsid w:val="002D167E"/>
    <w:rsid w:val="002D62C5"/>
    <w:rsid w:val="002F0380"/>
    <w:rsid w:val="0033005B"/>
    <w:rsid w:val="00341C66"/>
    <w:rsid w:val="0034225B"/>
    <w:rsid w:val="00363E0E"/>
    <w:rsid w:val="003B1B03"/>
    <w:rsid w:val="003B771C"/>
    <w:rsid w:val="003B7AAA"/>
    <w:rsid w:val="003C6BB6"/>
    <w:rsid w:val="003F107C"/>
    <w:rsid w:val="00411286"/>
    <w:rsid w:val="0045749C"/>
    <w:rsid w:val="00457D4A"/>
    <w:rsid w:val="00464080"/>
    <w:rsid w:val="004741FC"/>
    <w:rsid w:val="004B2902"/>
    <w:rsid w:val="004F5CE4"/>
    <w:rsid w:val="0051296E"/>
    <w:rsid w:val="00535990"/>
    <w:rsid w:val="00560B24"/>
    <w:rsid w:val="005640F4"/>
    <w:rsid w:val="0057002B"/>
    <w:rsid w:val="005A3733"/>
    <w:rsid w:val="005B2EC1"/>
    <w:rsid w:val="005C5158"/>
    <w:rsid w:val="005E0E83"/>
    <w:rsid w:val="005E632C"/>
    <w:rsid w:val="00604E06"/>
    <w:rsid w:val="0061671D"/>
    <w:rsid w:val="0065247E"/>
    <w:rsid w:val="00655A96"/>
    <w:rsid w:val="00672052"/>
    <w:rsid w:val="00690F05"/>
    <w:rsid w:val="00692DDD"/>
    <w:rsid w:val="00694E1D"/>
    <w:rsid w:val="006E59E9"/>
    <w:rsid w:val="00773837"/>
    <w:rsid w:val="007B76CC"/>
    <w:rsid w:val="007E4691"/>
    <w:rsid w:val="00807778"/>
    <w:rsid w:val="00826EC6"/>
    <w:rsid w:val="00833AD2"/>
    <w:rsid w:val="008344D0"/>
    <w:rsid w:val="0088407D"/>
    <w:rsid w:val="008B24C8"/>
    <w:rsid w:val="008D14B9"/>
    <w:rsid w:val="008E2AD7"/>
    <w:rsid w:val="008E2C44"/>
    <w:rsid w:val="00915032"/>
    <w:rsid w:val="00A438BD"/>
    <w:rsid w:val="00A5330F"/>
    <w:rsid w:val="00AA4557"/>
    <w:rsid w:val="00AA4F77"/>
    <w:rsid w:val="00AB2FE1"/>
    <w:rsid w:val="00AF38C9"/>
    <w:rsid w:val="00B05D83"/>
    <w:rsid w:val="00B22D14"/>
    <w:rsid w:val="00B445D9"/>
    <w:rsid w:val="00B57671"/>
    <w:rsid w:val="00B65A06"/>
    <w:rsid w:val="00B75478"/>
    <w:rsid w:val="00BB0CF2"/>
    <w:rsid w:val="00BD598E"/>
    <w:rsid w:val="00BE3E7F"/>
    <w:rsid w:val="00BF1F54"/>
    <w:rsid w:val="00C221E5"/>
    <w:rsid w:val="00C81A5E"/>
    <w:rsid w:val="00C930F2"/>
    <w:rsid w:val="00CA0273"/>
    <w:rsid w:val="00CB54BD"/>
    <w:rsid w:val="00CD58BE"/>
    <w:rsid w:val="00CD6E9F"/>
    <w:rsid w:val="00CE14F1"/>
    <w:rsid w:val="00CE21E4"/>
    <w:rsid w:val="00D20321"/>
    <w:rsid w:val="00D40E1E"/>
    <w:rsid w:val="00D610F1"/>
    <w:rsid w:val="00D67112"/>
    <w:rsid w:val="00D924BD"/>
    <w:rsid w:val="00DA6FD1"/>
    <w:rsid w:val="00DD064B"/>
    <w:rsid w:val="00E03DCC"/>
    <w:rsid w:val="00E17221"/>
    <w:rsid w:val="00E310F9"/>
    <w:rsid w:val="00E31EB9"/>
    <w:rsid w:val="00E33807"/>
    <w:rsid w:val="00E45FE2"/>
    <w:rsid w:val="00E46F17"/>
    <w:rsid w:val="00E47FBF"/>
    <w:rsid w:val="00E67C7B"/>
    <w:rsid w:val="00EA12C9"/>
    <w:rsid w:val="00F27D17"/>
    <w:rsid w:val="00F357AC"/>
    <w:rsid w:val="00FC383B"/>
    <w:rsid w:val="00FE0FEE"/>
    <w:rsid w:val="00FE354E"/>
    <w:rsid w:val="00FE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39419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002B"/>
    <w:pPr>
      <w:ind w:left="720"/>
      <w:contextualSpacing/>
    </w:pPr>
  </w:style>
  <w:style w:type="paragraph" w:customStyle="1" w:styleId="ESParagraph">
    <w:name w:val="ES_Paragraph"/>
    <w:basedOn w:val="ListParagraph"/>
    <w:link w:val="ESParagraphChar"/>
    <w:rsid w:val="00100DFC"/>
    <w:p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paragraph" w:customStyle="1" w:styleId="ESHeading">
    <w:name w:val="ES_Heading"/>
    <w:basedOn w:val="ListParagraph"/>
    <w:link w:val="ESHeadingChar"/>
    <w:qFormat/>
    <w:rsid w:val="00100DFC"/>
    <w:pPr>
      <w:keepNext/>
      <w:spacing w:before="240" w:after="240" w:line="276" w:lineRule="auto"/>
      <w:ind w:left="0"/>
      <w:contextualSpacing w:val="0"/>
    </w:pPr>
    <w:rPr>
      <w:rFonts w:ascii="Times New Roman" w:hAnsi="Times New Roman" w:cs="Times New Roman"/>
      <w:b/>
      <w:i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00DFC"/>
  </w:style>
  <w:style w:type="character" w:customStyle="1" w:styleId="ESParagraphChar">
    <w:name w:val="ES_Paragraph Char"/>
    <w:basedOn w:val="ListParagraphChar"/>
    <w:link w:val="ESParagraph"/>
    <w:rsid w:val="00100DFC"/>
    <w:rPr>
      <w:rFonts w:ascii="Times New Roman" w:hAnsi="Times New Roman" w:cs="Times New Roman"/>
    </w:rPr>
  </w:style>
  <w:style w:type="paragraph" w:customStyle="1" w:styleId="ESAttAttName">
    <w:name w:val="ESAtt_AttName"/>
    <w:basedOn w:val="Normal"/>
    <w:link w:val="ESAttAttNameChar"/>
    <w:qFormat/>
    <w:rsid w:val="00100DFC"/>
    <w:pPr>
      <w:spacing w:before="240" w:after="240" w:line="276" w:lineRule="auto"/>
      <w:jc w:val="right"/>
    </w:pPr>
    <w:rPr>
      <w:rFonts w:ascii="Times New Roman" w:hAnsi="Times New Roman" w:cs="Times New Roman"/>
      <w:b/>
      <w:u w:val="single"/>
    </w:rPr>
  </w:style>
  <w:style w:type="character" w:customStyle="1" w:styleId="ESHeadingChar">
    <w:name w:val="ES_Heading Char"/>
    <w:basedOn w:val="ListParagraphChar"/>
    <w:link w:val="ESHeading"/>
    <w:rsid w:val="00100DFC"/>
    <w:rPr>
      <w:rFonts w:ascii="Times New Roman" w:hAnsi="Times New Roman" w:cs="Times New Roman"/>
      <w:b/>
      <w:i/>
    </w:rPr>
  </w:style>
  <w:style w:type="paragraph" w:customStyle="1" w:styleId="ESAttHeading">
    <w:name w:val="ESAtt_Heading"/>
    <w:basedOn w:val="Normal"/>
    <w:link w:val="ESAttHeading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  <w:b/>
    </w:rPr>
  </w:style>
  <w:style w:type="character" w:customStyle="1" w:styleId="ESAttAttNameChar">
    <w:name w:val="ESAtt_AttName Char"/>
    <w:basedOn w:val="DefaultParagraphFont"/>
    <w:link w:val="ESAttAttName"/>
    <w:rsid w:val="00100DFC"/>
    <w:rPr>
      <w:rFonts w:ascii="Times New Roman" w:hAnsi="Times New Roman" w:cs="Times New Roman"/>
      <w:b/>
      <w:u w:val="single"/>
    </w:rPr>
  </w:style>
  <w:style w:type="paragraph" w:customStyle="1" w:styleId="ESAttNormal">
    <w:name w:val="ESAtt_Normal"/>
    <w:basedOn w:val="Normal"/>
    <w:link w:val="ESAttNormalChar"/>
    <w:qFormat/>
    <w:rsid w:val="00100DFC"/>
    <w:pPr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HeadingChar">
    <w:name w:val="ESAtt_Heading Char"/>
    <w:basedOn w:val="DefaultParagraphFont"/>
    <w:link w:val="ESAttHeading"/>
    <w:rsid w:val="00100DFC"/>
    <w:rPr>
      <w:rFonts w:ascii="Times New Roman" w:hAnsi="Times New Roman" w:cs="Times New Roman"/>
      <w:b/>
    </w:rPr>
  </w:style>
  <w:style w:type="paragraph" w:customStyle="1" w:styleId="ESAttListHeader">
    <w:name w:val="ESAtt_ListHeader"/>
    <w:basedOn w:val="Normal"/>
    <w:link w:val="ESAttListHeader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NormalChar">
    <w:name w:val="ESAtt_Normal Char"/>
    <w:basedOn w:val="DefaultParagraphFont"/>
    <w:link w:val="ESAttNormal"/>
    <w:rsid w:val="00100DFC"/>
    <w:rPr>
      <w:rFonts w:ascii="Times New Roman" w:hAnsi="Times New Roman" w:cs="Times New Roman"/>
    </w:rPr>
  </w:style>
  <w:style w:type="paragraph" w:customStyle="1" w:styleId="ESAttList">
    <w:name w:val="ESAtt_List"/>
    <w:basedOn w:val="ListParagraph"/>
    <w:link w:val="ESAttListChar"/>
    <w:qFormat/>
    <w:rsid w:val="00100DFC"/>
    <w:pPr>
      <w:numPr>
        <w:numId w:val="2"/>
      </w:numPr>
      <w:spacing w:before="240" w:after="240" w:line="276" w:lineRule="auto"/>
      <w:contextualSpacing w:val="0"/>
    </w:pPr>
    <w:rPr>
      <w:rFonts w:ascii="Times New Roman" w:hAnsi="Times New Roman" w:cs="Times New Roman"/>
    </w:rPr>
  </w:style>
  <w:style w:type="character" w:customStyle="1" w:styleId="ESAttListHeaderChar">
    <w:name w:val="ESAtt_ListHeader Char"/>
    <w:basedOn w:val="DefaultParagraphFont"/>
    <w:link w:val="ESAttListHeader"/>
    <w:rsid w:val="00100DFC"/>
    <w:rPr>
      <w:rFonts w:ascii="Times New Roman" w:hAnsi="Times New Roman" w:cs="Times New Roman"/>
    </w:rPr>
  </w:style>
  <w:style w:type="paragraph" w:customStyle="1" w:styleId="ESSubHeading">
    <w:name w:val="ES_SubHeading"/>
    <w:basedOn w:val="ESHeading"/>
    <w:link w:val="ESSubHeadingChar"/>
    <w:qFormat/>
    <w:rsid w:val="00BB0CF2"/>
    <w:rPr>
      <w:b w:val="0"/>
    </w:rPr>
  </w:style>
  <w:style w:type="character" w:customStyle="1" w:styleId="ESAttListChar">
    <w:name w:val="ESAtt_List Char"/>
    <w:basedOn w:val="ListParagraphChar"/>
    <w:link w:val="ESAttList"/>
    <w:rsid w:val="00100DFC"/>
    <w:rPr>
      <w:rFonts w:ascii="Times New Roman" w:hAnsi="Times New Roman" w:cs="Times New Roman"/>
    </w:rPr>
  </w:style>
  <w:style w:type="paragraph" w:customStyle="1" w:styleId="ESTitleInstrumentName">
    <w:name w:val="ESTitle_InstrumentName"/>
    <w:basedOn w:val="Normal"/>
    <w:link w:val="ESTitleInstrumentNameChar"/>
    <w:qFormat/>
    <w:rsid w:val="00BB0CF2"/>
    <w:pPr>
      <w:spacing w:before="360" w:after="600" w:line="276" w:lineRule="auto"/>
      <w:jc w:val="center"/>
    </w:pPr>
    <w:rPr>
      <w:rFonts w:ascii="Times New Roman" w:hAnsi="Times New Roman" w:cs="Times New Roman"/>
      <w:b/>
      <w:i/>
    </w:rPr>
  </w:style>
  <w:style w:type="character" w:customStyle="1" w:styleId="ESSubHeadingChar">
    <w:name w:val="ES_SubHeading Char"/>
    <w:basedOn w:val="ESHeadingChar"/>
    <w:link w:val="ESSubHeading"/>
    <w:rsid w:val="00BB0CF2"/>
    <w:rPr>
      <w:rFonts w:ascii="Times New Roman" w:hAnsi="Times New Roman" w:cs="Times New Roman"/>
      <w:b w:val="0"/>
      <w:i/>
    </w:rPr>
  </w:style>
  <w:style w:type="paragraph" w:customStyle="1" w:styleId="ESTitleEnablingLegislation">
    <w:name w:val="ESTitle_EnablingLegislation"/>
    <w:basedOn w:val="Normal"/>
    <w:link w:val="ESTitleEnablingLegislationChar"/>
    <w:qFormat/>
    <w:rsid w:val="00BB0CF2"/>
    <w:pPr>
      <w:spacing w:line="276" w:lineRule="auto"/>
      <w:jc w:val="center"/>
    </w:pPr>
    <w:rPr>
      <w:rFonts w:ascii="Times New Roman" w:hAnsi="Times New Roman" w:cs="Times New Roman"/>
      <w:i/>
    </w:rPr>
  </w:style>
  <w:style w:type="character" w:customStyle="1" w:styleId="ESTitleInstrumentNameChar">
    <w:name w:val="ESTitle_InstrumentName Char"/>
    <w:basedOn w:val="DefaultParagraphFont"/>
    <w:link w:val="ESTitleInstrumentName"/>
    <w:rsid w:val="00BB0CF2"/>
    <w:rPr>
      <w:rFonts w:ascii="Times New Roman" w:hAnsi="Times New Roman" w:cs="Times New Roman"/>
      <w:b/>
      <w:i/>
    </w:rPr>
  </w:style>
  <w:style w:type="paragraph" w:customStyle="1" w:styleId="ESTitleDecisionMaker">
    <w:name w:val="ESTitle_DecisionMaker"/>
    <w:basedOn w:val="Normal"/>
    <w:link w:val="ESTitleDecisionMakerChar"/>
    <w:qFormat/>
    <w:rsid w:val="00BB0CF2"/>
    <w:pPr>
      <w:spacing w:line="276" w:lineRule="auto"/>
      <w:jc w:val="center"/>
    </w:pPr>
    <w:rPr>
      <w:rFonts w:ascii="Times New Roman" w:hAnsi="Times New Roman" w:cs="Times New Roman"/>
    </w:rPr>
  </w:style>
  <w:style w:type="character" w:customStyle="1" w:styleId="ESTitleEnablingLegislationChar">
    <w:name w:val="ESTitle_EnablingLegislation Char"/>
    <w:basedOn w:val="DefaultParagraphFont"/>
    <w:link w:val="ESTitleEnablingLegislation"/>
    <w:rsid w:val="00BB0CF2"/>
    <w:rPr>
      <w:rFonts w:ascii="Times New Roman" w:hAnsi="Times New Roman" w:cs="Times New Roman"/>
      <w:i/>
    </w:rPr>
  </w:style>
  <w:style w:type="paragraph" w:customStyle="1" w:styleId="ESTitleHeader">
    <w:name w:val="ESTitle_Header"/>
    <w:basedOn w:val="Normal"/>
    <w:link w:val="ESTitleHeaderChar"/>
    <w:qFormat/>
    <w:rsid w:val="00BB0CF2"/>
    <w:pPr>
      <w:spacing w:line="276" w:lineRule="auto"/>
      <w:jc w:val="center"/>
    </w:pPr>
    <w:rPr>
      <w:rFonts w:ascii="Times New Roman" w:hAnsi="Times New Roman" w:cs="Times New Roman"/>
      <w:u w:val="single"/>
    </w:rPr>
  </w:style>
  <w:style w:type="character" w:customStyle="1" w:styleId="ESTitleDecisionMakerChar">
    <w:name w:val="ESTitle_DecisionMaker Char"/>
    <w:basedOn w:val="DefaultParagraphFont"/>
    <w:link w:val="ESTitleDecisionMaker"/>
    <w:rsid w:val="00BB0CF2"/>
    <w:rPr>
      <w:rFonts w:ascii="Times New Roman" w:hAnsi="Times New Roman" w:cs="Times New Roman"/>
    </w:rPr>
  </w:style>
  <w:style w:type="paragraph" w:customStyle="1" w:styleId="ESSubparaHeader">
    <w:name w:val="ES_SubparaHeader"/>
    <w:basedOn w:val="ListParagraph"/>
    <w:next w:val="ESSubparaList"/>
    <w:link w:val="ESSubparaHeaderChar"/>
    <w:qFormat/>
    <w:rsid w:val="00BB0CF2"/>
    <w:pPr>
      <w:keepNext/>
      <w:numPr>
        <w:numId w:val="1"/>
      </w:num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character" w:customStyle="1" w:styleId="ESTitleHeaderChar">
    <w:name w:val="ESTitle_Header Char"/>
    <w:basedOn w:val="DefaultParagraphFont"/>
    <w:link w:val="ESTitleHeader"/>
    <w:rsid w:val="00BB0CF2"/>
    <w:rPr>
      <w:rFonts w:ascii="Times New Roman" w:hAnsi="Times New Roman" w:cs="Times New Roman"/>
      <w:u w:val="single"/>
    </w:rPr>
  </w:style>
  <w:style w:type="paragraph" w:customStyle="1" w:styleId="ESSubparaList">
    <w:name w:val="ES_SubparaList"/>
    <w:basedOn w:val="ListParagraph"/>
    <w:link w:val="ESSubparaListChar"/>
    <w:qFormat/>
    <w:rsid w:val="00BB0CF2"/>
    <w:pPr>
      <w:numPr>
        <w:ilvl w:val="1"/>
        <w:numId w:val="1"/>
      </w:numPr>
      <w:spacing w:before="240" w:after="240" w:line="276" w:lineRule="auto"/>
      <w:ind w:left="1276" w:hanging="425"/>
      <w:contextualSpacing w:val="0"/>
    </w:pPr>
    <w:rPr>
      <w:rFonts w:ascii="Times New Roman" w:hAnsi="Times New Roman" w:cs="Times New Roman"/>
    </w:rPr>
  </w:style>
  <w:style w:type="character" w:customStyle="1" w:styleId="ESSubparaHeaderChar">
    <w:name w:val="ES_SubparaHeader Char"/>
    <w:basedOn w:val="ListParagraphChar"/>
    <w:link w:val="ESSubparaHeader"/>
    <w:rsid w:val="00BB0CF2"/>
    <w:rPr>
      <w:rFonts w:ascii="Times New Roman" w:hAnsi="Times New Roman" w:cs="Times New Roman"/>
    </w:rPr>
  </w:style>
  <w:style w:type="character" w:customStyle="1" w:styleId="ESSubparaListChar">
    <w:name w:val="ES_SubparaList Char"/>
    <w:basedOn w:val="ListParagraphChar"/>
    <w:link w:val="ESSubparaList"/>
    <w:rsid w:val="00BB0CF2"/>
    <w:rPr>
      <w:rFonts w:ascii="Times New Roman" w:hAnsi="Times New Roman" w:cs="Times New Roman"/>
    </w:rPr>
  </w:style>
  <w:style w:type="paragraph" w:customStyle="1" w:styleId="ESPara">
    <w:name w:val="ES_Para"/>
    <w:basedOn w:val="ESSubparaHeader"/>
    <w:link w:val="ESParaChar"/>
    <w:qFormat/>
    <w:rsid w:val="002D167E"/>
    <w:pPr>
      <w:keepNext w:val="0"/>
    </w:pPr>
  </w:style>
  <w:style w:type="character" w:customStyle="1" w:styleId="ESParaChar">
    <w:name w:val="ES_Para Char"/>
    <w:basedOn w:val="ESSubparaHeaderChar"/>
    <w:link w:val="ESPara"/>
    <w:rsid w:val="002D167E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26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EC6"/>
  </w:style>
  <w:style w:type="paragraph" w:styleId="Footer">
    <w:name w:val="footer"/>
    <w:basedOn w:val="Normal"/>
    <w:link w:val="FooterChar"/>
    <w:uiPriority w:val="99"/>
    <w:unhideWhenUsed/>
    <w:rsid w:val="00826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EC6"/>
  </w:style>
  <w:style w:type="character" w:styleId="CommentReference">
    <w:name w:val="annotation reference"/>
    <w:basedOn w:val="DefaultParagraphFont"/>
    <w:uiPriority w:val="99"/>
    <w:semiHidden/>
    <w:unhideWhenUsed/>
    <w:rsid w:val="003B7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A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A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A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AA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576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2336B3CBB0F704C920AB414CF241D83" ma:contentTypeVersion="" ma:contentTypeDescription="PDMS Document Site Content Type" ma:contentTypeScope="" ma:versionID="0effecd79774341a86fd90f941f0ed94">
  <xsd:schema xmlns:xsd="http://www.w3.org/2001/XMLSchema" xmlns:xs="http://www.w3.org/2001/XMLSchema" xmlns:p="http://schemas.microsoft.com/office/2006/metadata/properties" xmlns:ns2="3B410AA6-4A8A-48BA-A14E-B744594CDA71" targetNamespace="http://schemas.microsoft.com/office/2006/metadata/properties" ma:root="true" ma:fieldsID="0e79551c76e059e92d5a991f7f889966" ns2:_="">
    <xsd:import namespace="3B410AA6-4A8A-48BA-A14E-B744594CDA7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10AA6-4A8A-48BA-A14E-B744594CDA7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B410AA6-4A8A-48BA-A14E-B744594CDA71" xsi:nil="true"/>
  </documentManagement>
</p:properties>
</file>

<file path=customXml/itemProps1.xml><?xml version="1.0" encoding="utf-8"?>
<ds:datastoreItem xmlns:ds="http://schemas.openxmlformats.org/officeDocument/2006/customXml" ds:itemID="{9E927957-FBE6-4BE8-B694-DFE824B6A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E4D79D-E044-48D9-BF1D-EFBACB4D5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10AA6-4A8A-48BA-A14E-B744594CD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E2277-8130-46F5-8122-7B82A034F3D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B410AA6-4A8A-48BA-A14E-B744594CDA7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3033</Characters>
  <Application>Microsoft Office Word</Application>
  <DocSecurity>0</DocSecurity>
  <Lines>68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2023-11-06T05:46:00Z</dcterms:created>
  <dcterms:modified xsi:type="dcterms:W3CDTF">2023-11-09T22:13:00Z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0x010100266966F133664895A6EE3632470D45F500B2336B3CBB0F704C920AB414CF241D83</vt:lpwstr>
  </property>
</Properties>
</file>