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E90D" w14:textId="77777777" w:rsidR="00DD0611" w:rsidRPr="00582D0F" w:rsidRDefault="00DD0611" w:rsidP="00DD0611">
      <w:pPr>
        <w:jc w:val="center"/>
        <w:rPr>
          <w:rFonts w:asciiTheme="minorHAnsi" w:hAnsiTheme="minorHAnsi" w:cstheme="minorHAnsi"/>
          <w:b/>
          <w:szCs w:val="24"/>
          <w:u w:val="single"/>
        </w:rPr>
      </w:pPr>
      <w:r w:rsidRPr="00582D0F">
        <w:rPr>
          <w:rFonts w:asciiTheme="minorHAnsi" w:hAnsiTheme="minorHAnsi" w:cstheme="minorHAnsi"/>
          <w:b/>
          <w:szCs w:val="24"/>
          <w:u w:val="single"/>
        </w:rPr>
        <w:t>EXPLANATORY STATEMENT</w:t>
      </w:r>
    </w:p>
    <w:p w14:paraId="745D9081" w14:textId="77777777" w:rsidR="00DD0611" w:rsidRPr="00582D0F" w:rsidRDefault="00DD0611" w:rsidP="00DD0611">
      <w:pPr>
        <w:jc w:val="center"/>
        <w:rPr>
          <w:rFonts w:asciiTheme="minorHAnsi" w:hAnsiTheme="minorHAnsi" w:cstheme="minorHAnsi"/>
          <w:szCs w:val="24"/>
          <w:u w:val="single"/>
        </w:rPr>
      </w:pPr>
      <w:r w:rsidRPr="00582D0F">
        <w:rPr>
          <w:rFonts w:asciiTheme="minorHAnsi" w:hAnsiTheme="minorHAnsi" w:cstheme="minorHAnsi"/>
          <w:szCs w:val="24"/>
          <w:u w:val="single"/>
        </w:rPr>
        <w:t>Issued by the authority of the Minister for Education</w:t>
      </w:r>
    </w:p>
    <w:p w14:paraId="447D9D93" w14:textId="77777777" w:rsidR="00DD0611" w:rsidRPr="00582D0F" w:rsidRDefault="00DD0611" w:rsidP="00DD0611">
      <w:pPr>
        <w:jc w:val="center"/>
        <w:rPr>
          <w:rFonts w:asciiTheme="minorHAnsi" w:hAnsiTheme="minorHAnsi" w:cstheme="minorHAnsi"/>
          <w:b/>
          <w:i/>
          <w:szCs w:val="24"/>
        </w:rPr>
      </w:pPr>
      <w:r w:rsidRPr="00582D0F">
        <w:rPr>
          <w:rFonts w:asciiTheme="minorHAnsi" w:hAnsiTheme="minorHAnsi" w:cstheme="minorHAnsi"/>
          <w:b/>
          <w:i/>
          <w:szCs w:val="24"/>
        </w:rPr>
        <w:t>Higher Education Support Act 2003</w:t>
      </w:r>
    </w:p>
    <w:p w14:paraId="2212DBDB" w14:textId="02166403" w:rsidR="00DD0611" w:rsidRPr="00582D0F" w:rsidRDefault="00706D89" w:rsidP="00DD0611">
      <w:pPr>
        <w:jc w:val="center"/>
        <w:rPr>
          <w:rFonts w:asciiTheme="minorHAnsi" w:hAnsiTheme="minorHAnsi" w:cstheme="minorHAnsi"/>
          <w:b/>
          <w:i/>
          <w:szCs w:val="24"/>
        </w:rPr>
      </w:pPr>
      <w:bookmarkStart w:id="0" w:name="_Hlk151450709"/>
      <w:bookmarkStart w:id="1" w:name="_Hlk151450333"/>
      <w:r w:rsidRPr="00582D0F">
        <w:rPr>
          <w:rFonts w:asciiTheme="minorHAnsi" w:hAnsiTheme="minorHAnsi" w:cstheme="minorHAnsi"/>
          <w:b/>
          <w:i/>
          <w:szCs w:val="24"/>
        </w:rPr>
        <w:t xml:space="preserve">Commonwealth Grant Scheme Amendment (Maximum Basic Grant Amount) Guidelines </w:t>
      </w:r>
      <w:bookmarkEnd w:id="0"/>
      <w:r w:rsidRPr="00582D0F">
        <w:rPr>
          <w:rFonts w:asciiTheme="minorHAnsi" w:hAnsiTheme="minorHAnsi" w:cstheme="minorHAnsi"/>
          <w:b/>
          <w:i/>
          <w:szCs w:val="24"/>
        </w:rPr>
        <w:t>2023</w:t>
      </w:r>
      <w:bookmarkEnd w:id="1"/>
    </w:p>
    <w:p w14:paraId="48893707" w14:textId="77777777" w:rsidR="00DD0611" w:rsidRPr="00582D0F" w:rsidRDefault="00DD0611" w:rsidP="00DD0611">
      <w:pPr>
        <w:pStyle w:val="Heading2"/>
        <w:rPr>
          <w:rFonts w:asciiTheme="minorHAnsi" w:hAnsiTheme="minorHAnsi" w:cstheme="minorHAnsi"/>
          <w:color w:val="auto"/>
        </w:rPr>
      </w:pPr>
      <w:bookmarkStart w:id="2" w:name="_Toc23942238"/>
      <w:bookmarkStart w:id="3" w:name="_Toc34293358"/>
      <w:r w:rsidRPr="00582D0F">
        <w:rPr>
          <w:rFonts w:asciiTheme="minorHAnsi" w:hAnsiTheme="minorHAnsi" w:cstheme="minorHAnsi"/>
          <w:color w:val="auto"/>
        </w:rPr>
        <w:t>AUTHORITY</w:t>
      </w:r>
    </w:p>
    <w:p w14:paraId="5310D28C" w14:textId="3A437CB8" w:rsidR="00DD0611" w:rsidRPr="00582D0F" w:rsidRDefault="00706D89" w:rsidP="00DD0611">
      <w:pPr>
        <w:pStyle w:val="Heading2"/>
        <w:spacing w:after="240"/>
        <w:rPr>
          <w:rFonts w:asciiTheme="minorHAnsi" w:hAnsiTheme="minorHAnsi" w:cstheme="minorHAnsi"/>
          <w:b w:val="0"/>
          <w:iCs/>
          <w:color w:val="auto"/>
        </w:rPr>
      </w:pPr>
      <w:r w:rsidRPr="00582D0F">
        <w:rPr>
          <w:rFonts w:asciiTheme="minorHAnsi" w:hAnsiTheme="minorHAnsi" w:cstheme="minorHAnsi"/>
          <w:b w:val="0"/>
          <w:iCs/>
          <w:color w:val="auto"/>
        </w:rPr>
        <w:t xml:space="preserve">Section 238-10 of the </w:t>
      </w:r>
      <w:r w:rsidRPr="00582D0F">
        <w:rPr>
          <w:rFonts w:asciiTheme="minorHAnsi" w:hAnsiTheme="minorHAnsi" w:cstheme="minorHAnsi"/>
          <w:b w:val="0"/>
          <w:i/>
          <w:color w:val="auto"/>
        </w:rPr>
        <w:t>Higher Education Support Act 2003</w:t>
      </w:r>
      <w:r w:rsidRPr="00582D0F">
        <w:rPr>
          <w:rFonts w:asciiTheme="minorHAnsi" w:hAnsiTheme="minorHAnsi" w:cstheme="minorHAnsi"/>
          <w:b w:val="0"/>
          <w:iCs/>
          <w:color w:val="auto"/>
        </w:rPr>
        <w:t xml:space="preserve"> (the Act) provides that the Minister may make guidelines for the purposes of the Act. In particular, item 2 of the table at section 238-10 specifies that the Minister may make the Commonwealth Grant Scheme Guidelines in order to carry out, or give effect to, the matters set out in Part 2-2 of the Act.</w:t>
      </w:r>
    </w:p>
    <w:p w14:paraId="476A17E1" w14:textId="30841F8A" w:rsidR="00DD0611" w:rsidRPr="00582D0F" w:rsidRDefault="00706D89" w:rsidP="00DD0611">
      <w:pPr>
        <w:rPr>
          <w:rFonts w:asciiTheme="minorHAnsi" w:eastAsiaTheme="majorEastAsia" w:hAnsiTheme="minorHAnsi" w:cstheme="minorHAnsi"/>
          <w:iCs/>
          <w:szCs w:val="26"/>
        </w:rPr>
      </w:pPr>
      <w:r w:rsidRPr="00582D0F">
        <w:rPr>
          <w:rFonts w:asciiTheme="minorHAnsi" w:eastAsiaTheme="majorEastAsia" w:hAnsiTheme="minorHAnsi" w:cstheme="minorHAnsi"/>
          <w:iCs/>
          <w:szCs w:val="26"/>
        </w:rPr>
        <w:t xml:space="preserve">Under subsection 33(3) of the </w:t>
      </w:r>
      <w:r w:rsidRPr="00582D0F">
        <w:rPr>
          <w:rFonts w:asciiTheme="minorHAnsi" w:eastAsiaTheme="majorEastAsia" w:hAnsiTheme="minorHAnsi" w:cstheme="minorHAnsi"/>
          <w:i/>
          <w:szCs w:val="26"/>
        </w:rPr>
        <w:t>Acts Interpretation Act 1901</w:t>
      </w:r>
      <w:r w:rsidRPr="00582D0F">
        <w:rPr>
          <w:rFonts w:asciiTheme="minorHAnsi" w:eastAsiaTheme="majorEastAsia" w:hAnsiTheme="minorHAnsi" w:cstheme="minorHAnsi"/>
          <w:iCs/>
          <w:szCs w:val="26"/>
        </w:rPr>
        <w:t>, where an Act confers a power to make, grant or issue any instrument of a legislative or administrative character (including rules, regulations or by</w:t>
      </w:r>
      <w:r w:rsidRPr="00582D0F">
        <w:rPr>
          <w:rFonts w:ascii="Cambria Math" w:eastAsiaTheme="majorEastAsia" w:hAnsi="Cambria Math" w:cs="Cambria Math"/>
          <w:iCs/>
          <w:szCs w:val="26"/>
        </w:rPr>
        <w:t>‑</w:t>
      </w:r>
      <w:r w:rsidRPr="00582D0F">
        <w:rPr>
          <w:rFonts w:asciiTheme="minorHAnsi" w:eastAsiaTheme="majorEastAsia" w:hAnsiTheme="minorHAnsi" w:cstheme="minorHAnsi"/>
          <w:iCs/>
          <w:szCs w:val="26"/>
        </w:rPr>
        <w:t xml:space="preserve">laws), the power shall be construed as including a power exercisable in the like manner and subject to the like conditions (if any) to repeal, rescind, revoke, amend, or vary any such instrument. The amendments to the </w:t>
      </w:r>
      <w:r w:rsidRPr="00582D0F">
        <w:rPr>
          <w:rFonts w:asciiTheme="minorHAnsi" w:eastAsiaTheme="majorEastAsia" w:hAnsiTheme="minorHAnsi" w:cstheme="minorHAnsi"/>
          <w:i/>
          <w:szCs w:val="26"/>
        </w:rPr>
        <w:t xml:space="preserve">Commonwealth Grant Scheme Guidelines 2020 </w:t>
      </w:r>
      <w:r w:rsidRPr="00582D0F">
        <w:rPr>
          <w:rFonts w:asciiTheme="minorHAnsi" w:eastAsiaTheme="majorEastAsia" w:hAnsiTheme="minorHAnsi" w:cstheme="minorHAnsi"/>
          <w:iCs/>
          <w:szCs w:val="26"/>
        </w:rPr>
        <w:t xml:space="preserve">(the Principal Instrument) made by the </w:t>
      </w:r>
      <w:r w:rsidRPr="00582D0F">
        <w:rPr>
          <w:rFonts w:asciiTheme="minorHAnsi" w:eastAsiaTheme="majorEastAsia" w:hAnsiTheme="minorHAnsi" w:cstheme="minorHAnsi"/>
          <w:i/>
          <w:szCs w:val="26"/>
        </w:rPr>
        <w:t>Commonwealth Grant Scheme Amendment (Maximum Basic Grant Amount) Guidelines 2023</w:t>
      </w:r>
      <w:r w:rsidRPr="00582D0F">
        <w:rPr>
          <w:rFonts w:asciiTheme="minorHAnsi" w:eastAsiaTheme="majorEastAsia" w:hAnsiTheme="minorHAnsi" w:cstheme="minorHAnsi"/>
          <w:iCs/>
          <w:szCs w:val="26"/>
        </w:rPr>
        <w:t xml:space="preserve"> (the Amendment Instrument) rely on this provision.</w:t>
      </w:r>
      <w:r w:rsidR="00DD0611" w:rsidRPr="00582D0F">
        <w:rPr>
          <w:rFonts w:asciiTheme="minorHAnsi" w:eastAsiaTheme="majorEastAsia" w:hAnsiTheme="minorHAnsi" w:cstheme="minorHAnsi"/>
          <w:iCs/>
          <w:szCs w:val="26"/>
        </w:rPr>
        <w:t xml:space="preserve"> </w:t>
      </w:r>
    </w:p>
    <w:bookmarkEnd w:id="2"/>
    <w:bookmarkEnd w:id="3"/>
    <w:p w14:paraId="4C22F678" w14:textId="77777777" w:rsidR="00DD0611" w:rsidRPr="00582D0F" w:rsidRDefault="00DD0611" w:rsidP="00DD0611">
      <w:pPr>
        <w:pStyle w:val="Heading2"/>
        <w:rPr>
          <w:rFonts w:asciiTheme="minorHAnsi" w:hAnsiTheme="minorHAnsi" w:cstheme="minorHAnsi"/>
          <w:color w:val="auto"/>
        </w:rPr>
      </w:pPr>
      <w:r w:rsidRPr="00582D0F">
        <w:rPr>
          <w:rFonts w:asciiTheme="minorHAnsi" w:hAnsiTheme="minorHAnsi" w:cstheme="minorHAnsi"/>
          <w:color w:val="auto"/>
        </w:rPr>
        <w:t>PURPOSE AND OPERATION</w:t>
      </w:r>
    </w:p>
    <w:p w14:paraId="434BAE66" w14:textId="5BE99E87" w:rsidR="00706D89" w:rsidRPr="00582D0F" w:rsidRDefault="00706D89" w:rsidP="00DD0611">
      <w:pPr>
        <w:spacing w:before="120" w:after="120"/>
        <w:rPr>
          <w:rFonts w:asciiTheme="minorHAnsi" w:hAnsiTheme="minorHAnsi" w:cstheme="minorHAnsi"/>
          <w:iCs/>
          <w:szCs w:val="24"/>
        </w:rPr>
      </w:pPr>
      <w:r w:rsidRPr="00582D0F">
        <w:rPr>
          <w:rFonts w:asciiTheme="minorHAnsi" w:hAnsiTheme="minorHAnsi" w:cstheme="minorHAnsi"/>
          <w:iCs/>
          <w:szCs w:val="24"/>
        </w:rPr>
        <w:t xml:space="preserve">Section 30-25 of the Act provides that the Minister may, on behalf of the Commonwealth, enter into a funding agreement with a higher education provider relating to grants made under Part 2-2 of the Act. </w:t>
      </w:r>
      <w:r w:rsidR="00A5394E" w:rsidRPr="00582D0F">
        <w:rPr>
          <w:rFonts w:asciiTheme="minorHAnsi" w:hAnsiTheme="minorHAnsi" w:cstheme="minorHAnsi"/>
          <w:iCs/>
          <w:szCs w:val="24"/>
        </w:rPr>
        <w:t>Paragraph 30-27(1)(a) provides that a funding agreement for a higher education provider that is a Table A provider must specify an amount as the “</w:t>
      </w:r>
      <w:r w:rsidR="00A5394E" w:rsidRPr="00582D0F">
        <w:rPr>
          <w:rFonts w:asciiTheme="minorHAnsi" w:hAnsiTheme="minorHAnsi" w:cstheme="minorHAnsi"/>
          <w:szCs w:val="24"/>
        </w:rPr>
        <w:t>maximum basic grant amount</w:t>
      </w:r>
      <w:r w:rsidR="00A5394E" w:rsidRPr="00582D0F">
        <w:rPr>
          <w:rFonts w:asciiTheme="minorHAnsi" w:hAnsiTheme="minorHAnsi" w:cstheme="minorHAnsi"/>
          <w:iCs/>
          <w:szCs w:val="24"/>
        </w:rPr>
        <w:t xml:space="preserve">” (MBGA) payable to the provider for a grant year for higher education courses. A provider’s MBGA is the maximum amount the provider can receive in funding for higher education courses under the Act. </w:t>
      </w:r>
      <w:r w:rsidRPr="00582D0F">
        <w:rPr>
          <w:rFonts w:asciiTheme="minorHAnsi" w:hAnsiTheme="minorHAnsi" w:cstheme="minorHAnsi"/>
          <w:iCs/>
          <w:szCs w:val="24"/>
        </w:rPr>
        <w:t xml:space="preserve">Paragraph 30-27(3)(a) of the Act provides that a funding agreement made in respect of a 2024 grant year, must not have </w:t>
      </w:r>
      <w:r w:rsidR="00A5394E" w:rsidRPr="00582D0F">
        <w:rPr>
          <w:rFonts w:asciiTheme="minorHAnsi" w:hAnsiTheme="minorHAnsi" w:cstheme="minorHAnsi"/>
          <w:iCs/>
          <w:szCs w:val="24"/>
        </w:rPr>
        <w:t>an MBGA</w:t>
      </w:r>
      <w:r w:rsidRPr="00582D0F">
        <w:rPr>
          <w:rFonts w:asciiTheme="minorHAnsi" w:hAnsiTheme="minorHAnsi" w:cstheme="minorHAnsi"/>
          <w:iCs/>
          <w:szCs w:val="24"/>
        </w:rPr>
        <w:t xml:space="preserve"> for a Table A provider</w:t>
      </w:r>
      <w:r w:rsidR="008708DA" w:rsidRPr="00582D0F">
        <w:rPr>
          <w:rFonts w:asciiTheme="minorHAnsi" w:hAnsiTheme="minorHAnsi" w:cstheme="minorHAnsi"/>
          <w:iCs/>
          <w:szCs w:val="24"/>
        </w:rPr>
        <w:t xml:space="preserve"> for higher education courses</w:t>
      </w:r>
      <w:r w:rsidRPr="00582D0F">
        <w:rPr>
          <w:rFonts w:asciiTheme="minorHAnsi" w:hAnsiTheme="minorHAnsi" w:cstheme="minorHAnsi"/>
          <w:iCs/>
          <w:szCs w:val="24"/>
        </w:rPr>
        <w:t xml:space="preserve"> that is less than the amount specified in the Principal </w:t>
      </w:r>
      <w:r w:rsidR="00B07B91" w:rsidRPr="00582D0F">
        <w:rPr>
          <w:rFonts w:asciiTheme="minorHAnsi" w:hAnsiTheme="minorHAnsi" w:cstheme="minorHAnsi"/>
          <w:iCs/>
          <w:szCs w:val="24"/>
        </w:rPr>
        <w:t xml:space="preserve">Instrument. </w:t>
      </w:r>
    </w:p>
    <w:p w14:paraId="03E0B70C" w14:textId="47A0A044" w:rsidR="00B07B91" w:rsidRPr="00582D0F" w:rsidRDefault="00B07B91" w:rsidP="00B07B91">
      <w:pPr>
        <w:spacing w:before="120" w:after="120"/>
        <w:rPr>
          <w:rFonts w:asciiTheme="minorHAnsi" w:hAnsiTheme="minorHAnsi" w:cstheme="minorHAnsi"/>
          <w:iCs/>
          <w:szCs w:val="24"/>
        </w:rPr>
      </w:pPr>
      <w:r w:rsidRPr="00582D0F">
        <w:rPr>
          <w:rFonts w:asciiTheme="minorHAnsi" w:hAnsiTheme="minorHAnsi" w:cstheme="minorHAnsi"/>
          <w:iCs/>
          <w:szCs w:val="24"/>
        </w:rPr>
        <w:t xml:space="preserve">The Principal Instrument does not currently specify </w:t>
      </w:r>
      <w:r w:rsidR="006F0715" w:rsidRPr="00582D0F">
        <w:rPr>
          <w:rFonts w:asciiTheme="minorHAnsi" w:hAnsiTheme="minorHAnsi" w:cstheme="minorHAnsi"/>
          <w:iCs/>
          <w:szCs w:val="24"/>
        </w:rPr>
        <w:t>the</w:t>
      </w:r>
      <w:r w:rsidRPr="00582D0F">
        <w:rPr>
          <w:rFonts w:asciiTheme="minorHAnsi" w:hAnsiTheme="minorHAnsi" w:cstheme="minorHAnsi"/>
          <w:iCs/>
          <w:szCs w:val="24"/>
        </w:rPr>
        <w:t xml:space="preserve"> amount</w:t>
      </w:r>
      <w:r w:rsidR="006F0715" w:rsidRPr="00582D0F">
        <w:rPr>
          <w:rFonts w:asciiTheme="minorHAnsi" w:hAnsiTheme="minorHAnsi" w:cstheme="minorHAnsi"/>
          <w:iCs/>
          <w:szCs w:val="24"/>
        </w:rPr>
        <w:t>s</w:t>
      </w:r>
      <w:r w:rsidRPr="00582D0F">
        <w:rPr>
          <w:rFonts w:asciiTheme="minorHAnsi" w:hAnsiTheme="minorHAnsi" w:cstheme="minorHAnsi"/>
          <w:iCs/>
          <w:szCs w:val="24"/>
        </w:rPr>
        <w:t xml:space="preserve"> that Table A providers’ </w:t>
      </w:r>
      <w:r w:rsidR="00A5394E" w:rsidRPr="00582D0F">
        <w:rPr>
          <w:rFonts w:asciiTheme="minorHAnsi" w:hAnsiTheme="minorHAnsi" w:cstheme="minorHAnsi"/>
          <w:iCs/>
          <w:szCs w:val="24"/>
        </w:rPr>
        <w:t>MBGA</w:t>
      </w:r>
      <w:r w:rsidR="00150936" w:rsidRPr="00582D0F">
        <w:rPr>
          <w:rFonts w:asciiTheme="minorHAnsi" w:hAnsiTheme="minorHAnsi" w:cstheme="minorHAnsi"/>
          <w:iCs/>
          <w:szCs w:val="24"/>
        </w:rPr>
        <w:t>s</w:t>
      </w:r>
      <w:r w:rsidRPr="00582D0F">
        <w:rPr>
          <w:rFonts w:asciiTheme="minorHAnsi" w:hAnsiTheme="minorHAnsi" w:cstheme="minorHAnsi"/>
          <w:iCs/>
          <w:szCs w:val="24"/>
        </w:rPr>
        <w:t xml:space="preserve"> </w:t>
      </w:r>
      <w:r w:rsidR="000370D4" w:rsidRPr="00582D0F">
        <w:rPr>
          <w:rFonts w:asciiTheme="minorHAnsi" w:hAnsiTheme="minorHAnsi" w:cstheme="minorHAnsi"/>
          <w:iCs/>
          <w:szCs w:val="24"/>
        </w:rPr>
        <w:t xml:space="preserve">for higher education courses </w:t>
      </w:r>
      <w:r w:rsidRPr="00582D0F">
        <w:rPr>
          <w:rFonts w:asciiTheme="minorHAnsi" w:hAnsiTheme="minorHAnsi" w:cstheme="minorHAnsi"/>
          <w:iCs/>
          <w:szCs w:val="24"/>
        </w:rPr>
        <w:t>must not fall below for the 2024 grant year. The Amendment Instrument amends the Principal Instrument to specify that amount for Table A providers for the 2024 grant year.</w:t>
      </w:r>
      <w:r w:rsidR="00A5394E" w:rsidRPr="00582D0F">
        <w:rPr>
          <w:color w:val="000000"/>
          <w:shd w:val="clear" w:color="auto" w:fill="FFFFFF"/>
        </w:rPr>
        <w:t xml:space="preserve"> </w:t>
      </w:r>
      <w:r w:rsidR="00A5394E" w:rsidRPr="00582D0F">
        <w:rPr>
          <w:rFonts w:asciiTheme="minorHAnsi" w:hAnsiTheme="minorHAnsi" w:cstheme="minorHAnsi"/>
          <w:iCs/>
          <w:szCs w:val="24"/>
        </w:rPr>
        <w:t>The amounts specified for each provider for 2024 represent the MBGA ‘floor’ for higher education courses for each provider (i.e. a guaranteed baseline for MBGAs for those courses)</w:t>
      </w:r>
      <w:r w:rsidR="00B13681" w:rsidRPr="00582D0F">
        <w:rPr>
          <w:rFonts w:asciiTheme="minorHAnsi" w:hAnsiTheme="minorHAnsi" w:cstheme="minorHAnsi"/>
          <w:iCs/>
          <w:szCs w:val="24"/>
        </w:rPr>
        <w:t>, subject to their delivery of higher education courses</w:t>
      </w:r>
      <w:r w:rsidR="00A5394E" w:rsidRPr="00582D0F">
        <w:rPr>
          <w:rFonts w:asciiTheme="minorHAnsi" w:hAnsiTheme="minorHAnsi" w:cstheme="minorHAnsi"/>
          <w:iCs/>
          <w:szCs w:val="24"/>
        </w:rPr>
        <w:t xml:space="preserve">. This means that the MBGA for a provider for higher education courses for 2024, which will </w:t>
      </w:r>
      <w:r w:rsidR="00A5394E" w:rsidRPr="00582D0F">
        <w:rPr>
          <w:rFonts w:asciiTheme="minorHAnsi" w:hAnsiTheme="minorHAnsi" w:cstheme="minorHAnsi"/>
          <w:iCs/>
          <w:szCs w:val="24"/>
        </w:rPr>
        <w:lastRenderedPageBreak/>
        <w:t xml:space="preserve">be specified in the provider’s funding agreement, must not be less than the amount specified in the Principal Instrument. </w:t>
      </w:r>
    </w:p>
    <w:p w14:paraId="3D04D555" w14:textId="77777777" w:rsidR="00DD0611" w:rsidRPr="00582D0F" w:rsidRDefault="00DD0611" w:rsidP="00DD0611">
      <w:pPr>
        <w:pStyle w:val="Heading2"/>
        <w:rPr>
          <w:rFonts w:asciiTheme="minorHAnsi" w:hAnsiTheme="minorHAnsi" w:cstheme="minorHAnsi"/>
          <w:color w:val="auto"/>
        </w:rPr>
      </w:pPr>
      <w:r w:rsidRPr="00582D0F">
        <w:rPr>
          <w:rFonts w:asciiTheme="minorHAnsi" w:hAnsiTheme="minorHAnsi" w:cstheme="minorHAnsi"/>
          <w:color w:val="auto"/>
        </w:rPr>
        <w:t>REGULATORY IMPACT</w:t>
      </w:r>
    </w:p>
    <w:p w14:paraId="09E79F81" w14:textId="3A6BEAD9" w:rsidR="006C397F" w:rsidRPr="00582D0F" w:rsidRDefault="00706D89" w:rsidP="00421786">
      <w:pPr>
        <w:spacing w:before="120" w:after="120"/>
        <w:rPr>
          <w:rFonts w:asciiTheme="minorHAnsi" w:hAnsiTheme="minorHAnsi"/>
        </w:rPr>
      </w:pPr>
      <w:r w:rsidRPr="00582D0F">
        <w:rPr>
          <w:rFonts w:asciiTheme="minorHAnsi" w:hAnsiTheme="minorHAnsi" w:cstheme="minorHAnsi"/>
          <w:iCs/>
          <w:szCs w:val="24"/>
        </w:rPr>
        <w:t xml:space="preserve">The Office of Impact Analysis (OIA) has advised </w:t>
      </w:r>
      <w:r w:rsidR="006C397F" w:rsidRPr="00582D0F">
        <w:rPr>
          <w:rFonts w:asciiTheme="minorHAnsi" w:hAnsiTheme="minorHAnsi" w:cstheme="minorHAnsi"/>
          <w:iCs/>
          <w:szCs w:val="24"/>
        </w:rPr>
        <w:t xml:space="preserve">that the </w:t>
      </w:r>
      <w:r w:rsidR="00421786" w:rsidRPr="00582D0F">
        <w:rPr>
          <w:rFonts w:asciiTheme="minorHAnsi" w:hAnsiTheme="minorHAnsi" w:cstheme="minorHAnsi"/>
          <w:iCs/>
          <w:szCs w:val="24"/>
        </w:rPr>
        <w:t>Amendment Instrument</w:t>
      </w:r>
      <w:r w:rsidR="006C397F" w:rsidRPr="00582D0F">
        <w:rPr>
          <w:rFonts w:asciiTheme="minorHAnsi" w:hAnsiTheme="minorHAnsi" w:cstheme="minorHAnsi"/>
          <w:i/>
          <w:szCs w:val="24"/>
        </w:rPr>
        <w:t xml:space="preserve"> </w:t>
      </w:r>
      <w:r w:rsidR="006C397F" w:rsidRPr="00582D0F">
        <w:rPr>
          <w:rFonts w:asciiTheme="minorHAnsi" w:hAnsiTheme="minorHAnsi" w:cstheme="minorHAnsi"/>
          <w:iCs/>
          <w:szCs w:val="24"/>
        </w:rPr>
        <w:t>is unlikely to have a more than minor regulatory impact. As such, it advised the preparation of an Impact Analysis is not required</w:t>
      </w:r>
      <w:r w:rsidR="006C397F" w:rsidRPr="00582D0F">
        <w:rPr>
          <w:rFonts w:asciiTheme="minorHAnsi" w:hAnsiTheme="minorHAnsi"/>
        </w:rPr>
        <w:t xml:space="preserve"> </w:t>
      </w:r>
      <w:r w:rsidR="00421786" w:rsidRPr="00582D0F">
        <w:rPr>
          <w:rFonts w:asciiTheme="minorHAnsi" w:hAnsiTheme="minorHAnsi"/>
        </w:rPr>
        <w:t>(</w:t>
      </w:r>
      <w:r w:rsidR="006C397F" w:rsidRPr="00582D0F">
        <w:rPr>
          <w:rFonts w:asciiTheme="minorHAnsi" w:hAnsiTheme="minorHAnsi"/>
        </w:rPr>
        <w:t>OIA23-06054</w:t>
      </w:r>
      <w:r w:rsidR="00421786" w:rsidRPr="00582D0F">
        <w:rPr>
          <w:rFonts w:asciiTheme="minorHAnsi" w:hAnsiTheme="minorHAnsi"/>
        </w:rPr>
        <w:t>)</w:t>
      </w:r>
      <w:r w:rsidR="006C397F" w:rsidRPr="00582D0F">
        <w:rPr>
          <w:rFonts w:asciiTheme="minorHAnsi" w:hAnsiTheme="minorHAnsi"/>
        </w:rPr>
        <w:t>.</w:t>
      </w:r>
    </w:p>
    <w:p w14:paraId="23069390" w14:textId="77777777" w:rsidR="00DD0611" w:rsidRPr="00582D0F" w:rsidRDefault="00DD0611" w:rsidP="00DD0611">
      <w:pPr>
        <w:pStyle w:val="Heading2"/>
        <w:rPr>
          <w:rFonts w:asciiTheme="minorHAnsi" w:hAnsiTheme="minorHAnsi" w:cstheme="minorHAnsi"/>
          <w:color w:val="auto"/>
        </w:rPr>
      </w:pPr>
      <w:r w:rsidRPr="00582D0F">
        <w:rPr>
          <w:rFonts w:asciiTheme="minorHAnsi" w:hAnsiTheme="minorHAnsi" w:cstheme="minorHAnsi"/>
          <w:color w:val="auto"/>
        </w:rPr>
        <w:t>COMMENCEMENT</w:t>
      </w:r>
    </w:p>
    <w:p w14:paraId="4E57C75D" w14:textId="77777777" w:rsidR="00DD0611" w:rsidRPr="00582D0F" w:rsidRDefault="00DD0611" w:rsidP="00DD0611">
      <w:pPr>
        <w:spacing w:before="120" w:after="120"/>
        <w:rPr>
          <w:rFonts w:asciiTheme="minorHAnsi" w:hAnsiTheme="minorHAnsi" w:cstheme="minorHAnsi"/>
          <w:iCs/>
          <w:szCs w:val="24"/>
        </w:rPr>
      </w:pPr>
      <w:r w:rsidRPr="00582D0F">
        <w:rPr>
          <w:rFonts w:asciiTheme="minorHAnsi" w:hAnsiTheme="minorHAnsi" w:cstheme="minorHAnsi"/>
          <w:iCs/>
          <w:szCs w:val="24"/>
        </w:rPr>
        <w:t xml:space="preserve">The Amendment Instrument commences on the day after it is registered on the Federal Register of Legislation. </w:t>
      </w:r>
    </w:p>
    <w:p w14:paraId="188822A3" w14:textId="77777777" w:rsidR="00DD0611" w:rsidRPr="00582D0F" w:rsidRDefault="00DD0611" w:rsidP="00DD0611">
      <w:pPr>
        <w:pStyle w:val="Heading2"/>
        <w:rPr>
          <w:rFonts w:asciiTheme="minorHAnsi" w:hAnsiTheme="minorHAnsi" w:cstheme="minorHAnsi"/>
          <w:color w:val="auto"/>
        </w:rPr>
      </w:pPr>
      <w:bookmarkStart w:id="4" w:name="_Toc34293360"/>
      <w:r w:rsidRPr="00582D0F">
        <w:rPr>
          <w:rFonts w:asciiTheme="minorHAnsi" w:hAnsiTheme="minorHAnsi" w:cstheme="minorHAnsi"/>
          <w:color w:val="auto"/>
        </w:rPr>
        <w:t>CONSULTATION</w:t>
      </w:r>
      <w:bookmarkEnd w:id="4"/>
    </w:p>
    <w:p w14:paraId="3EA1E3B8" w14:textId="4DE4E699" w:rsidR="006C397F" w:rsidRPr="00582D0F" w:rsidRDefault="00D55877" w:rsidP="00B07B91">
      <w:pPr>
        <w:spacing w:before="120" w:after="120"/>
        <w:rPr>
          <w:rFonts w:asciiTheme="minorHAnsi" w:hAnsiTheme="minorHAnsi" w:cstheme="minorHAnsi"/>
          <w:iCs/>
        </w:rPr>
      </w:pPr>
      <w:r w:rsidRPr="00582D0F">
        <w:rPr>
          <w:rFonts w:asciiTheme="minorHAnsi" w:hAnsiTheme="minorHAnsi" w:cstheme="minorHAnsi"/>
          <w:iCs/>
        </w:rPr>
        <w:t xml:space="preserve">The amendments </w:t>
      </w:r>
      <w:r w:rsidR="00421786" w:rsidRPr="00582D0F">
        <w:rPr>
          <w:rFonts w:asciiTheme="minorHAnsi" w:hAnsiTheme="minorHAnsi" w:cstheme="minorHAnsi"/>
          <w:iCs/>
        </w:rPr>
        <w:t xml:space="preserve">made by the Amendment Instrument to the Principal Instrument </w:t>
      </w:r>
      <w:r w:rsidR="00150936" w:rsidRPr="00582D0F">
        <w:rPr>
          <w:rFonts w:asciiTheme="minorHAnsi" w:hAnsiTheme="minorHAnsi" w:cstheme="minorHAnsi"/>
          <w:iCs/>
        </w:rPr>
        <w:t>are</w:t>
      </w:r>
      <w:r w:rsidRPr="00582D0F">
        <w:rPr>
          <w:rFonts w:asciiTheme="minorHAnsi" w:hAnsiTheme="minorHAnsi" w:cstheme="minorHAnsi"/>
          <w:iCs/>
        </w:rPr>
        <w:t xml:space="preserve"> routine and technical </w:t>
      </w:r>
      <w:r w:rsidR="00421786" w:rsidRPr="00582D0F">
        <w:rPr>
          <w:rFonts w:asciiTheme="minorHAnsi" w:hAnsiTheme="minorHAnsi" w:cstheme="minorHAnsi"/>
          <w:iCs/>
        </w:rPr>
        <w:t>amendment</w:t>
      </w:r>
      <w:r w:rsidR="00150936" w:rsidRPr="00582D0F">
        <w:rPr>
          <w:rFonts w:asciiTheme="minorHAnsi" w:hAnsiTheme="minorHAnsi" w:cstheme="minorHAnsi"/>
          <w:iCs/>
        </w:rPr>
        <w:t>s</w:t>
      </w:r>
      <w:r w:rsidR="00421786" w:rsidRPr="00582D0F">
        <w:rPr>
          <w:rFonts w:asciiTheme="minorHAnsi" w:hAnsiTheme="minorHAnsi" w:cstheme="minorHAnsi"/>
          <w:iCs/>
        </w:rPr>
        <w:t xml:space="preserve"> to specify the amounts that Table A providers’ MBGA</w:t>
      </w:r>
      <w:r w:rsidR="00150936" w:rsidRPr="00582D0F">
        <w:rPr>
          <w:rFonts w:asciiTheme="minorHAnsi" w:hAnsiTheme="minorHAnsi" w:cstheme="minorHAnsi"/>
          <w:iCs/>
        </w:rPr>
        <w:t>s</w:t>
      </w:r>
      <w:r w:rsidR="00421786" w:rsidRPr="00582D0F">
        <w:rPr>
          <w:rFonts w:asciiTheme="minorHAnsi" w:hAnsiTheme="minorHAnsi" w:cstheme="minorHAnsi"/>
          <w:iCs/>
        </w:rPr>
        <w:t xml:space="preserve"> for higher education courses must not fall below for the 2024 grant year. The specification of th</w:t>
      </w:r>
      <w:r w:rsidR="00150936" w:rsidRPr="00582D0F">
        <w:rPr>
          <w:rFonts w:asciiTheme="minorHAnsi" w:hAnsiTheme="minorHAnsi" w:cstheme="minorHAnsi"/>
          <w:iCs/>
        </w:rPr>
        <w:t>ese</w:t>
      </w:r>
      <w:r w:rsidR="00421786" w:rsidRPr="00582D0F">
        <w:rPr>
          <w:rFonts w:asciiTheme="minorHAnsi" w:hAnsiTheme="minorHAnsi" w:cstheme="minorHAnsi"/>
          <w:iCs/>
        </w:rPr>
        <w:t xml:space="preserve"> amount</w:t>
      </w:r>
      <w:r w:rsidR="00150936" w:rsidRPr="00582D0F">
        <w:rPr>
          <w:rFonts w:asciiTheme="minorHAnsi" w:hAnsiTheme="minorHAnsi" w:cstheme="minorHAnsi"/>
          <w:iCs/>
        </w:rPr>
        <w:t>s</w:t>
      </w:r>
      <w:r w:rsidR="00421786" w:rsidRPr="00582D0F">
        <w:rPr>
          <w:rFonts w:asciiTheme="minorHAnsi" w:hAnsiTheme="minorHAnsi" w:cstheme="minorHAnsi"/>
          <w:iCs/>
        </w:rPr>
        <w:t xml:space="preserve"> will</w:t>
      </w:r>
      <w:r w:rsidRPr="00582D0F">
        <w:rPr>
          <w:rFonts w:asciiTheme="minorHAnsi" w:hAnsiTheme="minorHAnsi" w:cstheme="minorHAnsi"/>
          <w:iCs/>
        </w:rPr>
        <w:t xml:space="preserve"> </w:t>
      </w:r>
      <w:r w:rsidR="00421786" w:rsidRPr="00582D0F">
        <w:rPr>
          <w:rFonts w:asciiTheme="minorHAnsi" w:hAnsiTheme="minorHAnsi" w:cstheme="minorHAnsi"/>
          <w:iCs/>
        </w:rPr>
        <w:t>facilitate</w:t>
      </w:r>
      <w:r w:rsidRPr="00582D0F">
        <w:rPr>
          <w:rFonts w:asciiTheme="minorHAnsi" w:hAnsiTheme="minorHAnsi" w:cstheme="minorHAnsi"/>
          <w:iCs/>
        </w:rPr>
        <w:t xml:space="preserve"> funding agreements be</w:t>
      </w:r>
      <w:r w:rsidR="00150936" w:rsidRPr="00582D0F">
        <w:rPr>
          <w:rFonts w:asciiTheme="minorHAnsi" w:hAnsiTheme="minorHAnsi" w:cstheme="minorHAnsi"/>
          <w:iCs/>
        </w:rPr>
        <w:t>ing</w:t>
      </w:r>
      <w:r w:rsidRPr="00582D0F">
        <w:rPr>
          <w:rFonts w:asciiTheme="minorHAnsi" w:hAnsiTheme="minorHAnsi" w:cstheme="minorHAnsi"/>
          <w:iCs/>
        </w:rPr>
        <w:t xml:space="preserve"> made with Table A providers in respect of the 2024 grant year. </w:t>
      </w:r>
      <w:r w:rsidR="006C397F" w:rsidRPr="00582D0F">
        <w:rPr>
          <w:rFonts w:asciiTheme="minorHAnsi" w:hAnsiTheme="minorHAnsi" w:cstheme="minorHAnsi"/>
          <w:iCs/>
        </w:rPr>
        <w:t xml:space="preserve">Universities Australia was </w:t>
      </w:r>
      <w:r w:rsidR="00BB16E3" w:rsidRPr="00582D0F">
        <w:rPr>
          <w:rFonts w:asciiTheme="minorHAnsi" w:hAnsiTheme="minorHAnsi" w:cstheme="minorHAnsi"/>
          <w:iCs/>
        </w:rPr>
        <w:t xml:space="preserve">notified </w:t>
      </w:r>
      <w:r w:rsidR="006C397F" w:rsidRPr="00582D0F">
        <w:rPr>
          <w:rFonts w:asciiTheme="minorHAnsi" w:hAnsiTheme="minorHAnsi" w:cstheme="minorHAnsi"/>
          <w:iCs/>
        </w:rPr>
        <w:t>of the propos</w:t>
      </w:r>
      <w:r w:rsidR="00BB16E3" w:rsidRPr="00582D0F">
        <w:rPr>
          <w:rFonts w:asciiTheme="minorHAnsi" w:hAnsiTheme="minorHAnsi" w:cstheme="minorHAnsi"/>
          <w:iCs/>
        </w:rPr>
        <w:t>ed</w:t>
      </w:r>
      <w:r w:rsidR="006C397F" w:rsidRPr="00582D0F">
        <w:rPr>
          <w:rFonts w:asciiTheme="minorHAnsi" w:hAnsiTheme="minorHAnsi" w:cstheme="minorHAnsi"/>
          <w:iCs/>
        </w:rPr>
        <w:t xml:space="preserve"> amendments to the </w:t>
      </w:r>
      <w:r w:rsidR="00421786" w:rsidRPr="00582D0F">
        <w:rPr>
          <w:rFonts w:asciiTheme="minorHAnsi" w:hAnsiTheme="minorHAnsi" w:cstheme="minorHAnsi"/>
          <w:iCs/>
          <w:szCs w:val="24"/>
        </w:rPr>
        <w:t>Principal Instrument</w:t>
      </w:r>
      <w:r w:rsidRPr="00582D0F">
        <w:rPr>
          <w:rFonts w:asciiTheme="minorHAnsi" w:hAnsiTheme="minorHAnsi" w:cstheme="minorHAnsi"/>
          <w:iCs/>
          <w:szCs w:val="24"/>
        </w:rPr>
        <w:t xml:space="preserve"> and did not raise concerns.</w:t>
      </w:r>
    </w:p>
    <w:p w14:paraId="20B6380E" w14:textId="77777777" w:rsidR="00DD0611" w:rsidRPr="00582D0F" w:rsidRDefault="00DD0611" w:rsidP="00DD0611">
      <w:pPr>
        <w:spacing w:before="120" w:after="120"/>
        <w:rPr>
          <w:rFonts w:asciiTheme="minorHAnsi" w:hAnsiTheme="minorHAnsi" w:cstheme="minorHAnsi"/>
        </w:rPr>
      </w:pPr>
      <w:r w:rsidRPr="00582D0F">
        <w:rPr>
          <w:rFonts w:asciiTheme="minorHAnsi" w:hAnsiTheme="minorHAnsi" w:cstheme="minorHAnsi"/>
        </w:rPr>
        <w:br w:type="page"/>
      </w:r>
    </w:p>
    <w:p w14:paraId="099138A5" w14:textId="77777777" w:rsidR="00DD0611" w:rsidRPr="00582D0F" w:rsidRDefault="00DD0611" w:rsidP="00DD0611">
      <w:pPr>
        <w:pStyle w:val="Heading2"/>
        <w:jc w:val="center"/>
        <w:rPr>
          <w:rFonts w:asciiTheme="minorHAnsi" w:hAnsiTheme="minorHAnsi" w:cstheme="minorHAnsi"/>
          <w:color w:val="auto"/>
        </w:rPr>
      </w:pPr>
      <w:bookmarkStart w:id="5" w:name="_Toc23942241"/>
      <w:bookmarkStart w:id="6" w:name="_Toc34293362"/>
      <w:r w:rsidRPr="00582D0F">
        <w:rPr>
          <w:rFonts w:asciiTheme="minorHAnsi" w:hAnsiTheme="minorHAnsi" w:cstheme="minorHAnsi"/>
          <w:color w:val="auto"/>
        </w:rPr>
        <w:lastRenderedPageBreak/>
        <w:t>STATEMENT OF COMPATIBILITY WITH HUMAN RIGHTS</w:t>
      </w:r>
      <w:bookmarkEnd w:id="5"/>
      <w:bookmarkEnd w:id="6"/>
    </w:p>
    <w:p w14:paraId="2336D754" w14:textId="77777777" w:rsidR="00DD0611" w:rsidRPr="00582D0F" w:rsidRDefault="00DD0611" w:rsidP="00DD0611">
      <w:pPr>
        <w:spacing w:before="120" w:after="120"/>
        <w:jc w:val="center"/>
        <w:rPr>
          <w:rFonts w:asciiTheme="minorHAnsi" w:hAnsiTheme="minorHAnsi" w:cstheme="minorHAnsi"/>
          <w:szCs w:val="24"/>
        </w:rPr>
      </w:pPr>
      <w:r w:rsidRPr="00582D0F">
        <w:rPr>
          <w:rFonts w:asciiTheme="minorHAnsi" w:hAnsiTheme="minorHAnsi" w:cstheme="minorHAnsi"/>
          <w:i/>
          <w:szCs w:val="24"/>
        </w:rPr>
        <w:t>Prepared in accordance with Part 3 of the Human Rights (Parliamentary Scrutiny) Act 2011</w:t>
      </w:r>
    </w:p>
    <w:p w14:paraId="09EF6CA3" w14:textId="68A8750F" w:rsidR="00DD0611" w:rsidRPr="00582D0F" w:rsidRDefault="00B07B91" w:rsidP="00DD0611">
      <w:pPr>
        <w:spacing w:before="120" w:after="120"/>
        <w:jc w:val="center"/>
        <w:rPr>
          <w:rFonts w:asciiTheme="minorHAnsi" w:hAnsiTheme="minorHAnsi" w:cstheme="minorHAnsi"/>
          <w:szCs w:val="24"/>
        </w:rPr>
      </w:pPr>
      <w:r w:rsidRPr="00582D0F">
        <w:rPr>
          <w:rFonts w:asciiTheme="minorHAnsi" w:hAnsiTheme="minorHAnsi" w:cstheme="minorHAnsi"/>
          <w:szCs w:val="24"/>
          <w:u w:val="single"/>
        </w:rPr>
        <w:t xml:space="preserve">Commonwealth Grant Scheme Amendment (Maximum Basic Grant Amount) Guidelines </w:t>
      </w:r>
      <w:r w:rsidR="00DD0611" w:rsidRPr="00582D0F">
        <w:rPr>
          <w:rFonts w:asciiTheme="minorHAnsi" w:hAnsiTheme="minorHAnsi" w:cstheme="minorHAnsi"/>
          <w:szCs w:val="24"/>
          <w:u w:val="single"/>
        </w:rPr>
        <w:t>202</w:t>
      </w:r>
      <w:r w:rsidR="00B96D43" w:rsidRPr="00582D0F">
        <w:rPr>
          <w:rFonts w:asciiTheme="minorHAnsi" w:hAnsiTheme="minorHAnsi" w:cstheme="minorHAnsi"/>
          <w:szCs w:val="24"/>
          <w:u w:val="single"/>
        </w:rPr>
        <w:t>3</w:t>
      </w:r>
    </w:p>
    <w:p w14:paraId="412768C1" w14:textId="58964DCA" w:rsidR="00DD0611" w:rsidRPr="00582D0F" w:rsidRDefault="00DD0611" w:rsidP="00DD0611">
      <w:pPr>
        <w:spacing w:before="120" w:after="120"/>
        <w:rPr>
          <w:rFonts w:asciiTheme="minorHAnsi" w:hAnsiTheme="minorHAnsi" w:cstheme="minorHAnsi"/>
          <w:szCs w:val="24"/>
        </w:rPr>
      </w:pPr>
      <w:r w:rsidRPr="00582D0F">
        <w:rPr>
          <w:rFonts w:asciiTheme="minorHAnsi" w:hAnsiTheme="minorHAnsi" w:cstheme="minorHAnsi"/>
          <w:szCs w:val="24"/>
        </w:rPr>
        <w:t xml:space="preserve">The </w:t>
      </w:r>
      <w:r w:rsidR="00B07B91" w:rsidRPr="00582D0F">
        <w:rPr>
          <w:rFonts w:asciiTheme="minorHAnsi" w:hAnsiTheme="minorHAnsi" w:cstheme="minorHAnsi"/>
          <w:i/>
          <w:iCs/>
          <w:szCs w:val="24"/>
        </w:rPr>
        <w:t xml:space="preserve">Commonwealth Grant Scheme Amendment (Maximum Basic Grant Amount) Guidelines 2023 </w:t>
      </w:r>
      <w:r w:rsidRPr="00582D0F">
        <w:rPr>
          <w:rFonts w:asciiTheme="minorHAnsi" w:hAnsiTheme="minorHAnsi" w:cstheme="minorHAnsi"/>
          <w:szCs w:val="24"/>
        </w:rPr>
        <w:t xml:space="preserve">(the Amendment Instrument) is compatible with the human rights and freedoms recognised or declared in the international instruments listed in section 3 of the </w:t>
      </w:r>
      <w:r w:rsidRPr="00582D0F">
        <w:rPr>
          <w:rFonts w:asciiTheme="minorHAnsi" w:hAnsiTheme="minorHAnsi" w:cstheme="minorHAnsi"/>
          <w:i/>
          <w:szCs w:val="24"/>
        </w:rPr>
        <w:t>Human Rights (Parliamentary Scrutiny) Act 2011</w:t>
      </w:r>
      <w:r w:rsidRPr="00582D0F">
        <w:rPr>
          <w:rFonts w:asciiTheme="minorHAnsi" w:hAnsiTheme="minorHAnsi" w:cstheme="minorHAnsi"/>
          <w:szCs w:val="24"/>
        </w:rPr>
        <w:t>.</w:t>
      </w:r>
    </w:p>
    <w:p w14:paraId="1FEA8F27" w14:textId="77777777" w:rsidR="00DD0611" w:rsidRPr="00582D0F" w:rsidRDefault="00DD0611" w:rsidP="00DD0611">
      <w:pPr>
        <w:spacing w:before="120" w:after="120"/>
        <w:rPr>
          <w:rFonts w:asciiTheme="minorHAnsi" w:hAnsiTheme="minorHAnsi" w:cstheme="minorHAnsi"/>
          <w:szCs w:val="24"/>
        </w:rPr>
      </w:pPr>
      <w:r w:rsidRPr="00582D0F">
        <w:rPr>
          <w:rFonts w:asciiTheme="minorHAnsi" w:hAnsiTheme="minorHAnsi" w:cstheme="minorHAnsi"/>
          <w:b/>
          <w:szCs w:val="24"/>
        </w:rPr>
        <w:t>Overview of the Legislative Instrument</w:t>
      </w:r>
    </w:p>
    <w:p w14:paraId="77AF348C" w14:textId="7AA6C85D" w:rsidR="00905952" w:rsidRPr="00582D0F" w:rsidRDefault="00905952" w:rsidP="00905952">
      <w:pPr>
        <w:spacing w:before="120" w:after="120"/>
        <w:rPr>
          <w:rFonts w:asciiTheme="minorHAnsi" w:hAnsiTheme="minorHAnsi" w:cstheme="minorHAnsi"/>
          <w:iCs/>
          <w:szCs w:val="24"/>
        </w:rPr>
      </w:pPr>
      <w:r w:rsidRPr="00582D0F">
        <w:rPr>
          <w:rFonts w:asciiTheme="minorHAnsi" w:hAnsiTheme="minorHAnsi" w:cstheme="minorHAnsi"/>
          <w:iCs/>
          <w:szCs w:val="24"/>
        </w:rPr>
        <w:t xml:space="preserve">Section 30-25 of the </w:t>
      </w:r>
      <w:r w:rsidRPr="00582D0F">
        <w:rPr>
          <w:rFonts w:asciiTheme="minorHAnsi" w:hAnsiTheme="minorHAnsi" w:cstheme="minorHAnsi"/>
          <w:i/>
          <w:szCs w:val="24"/>
        </w:rPr>
        <w:t xml:space="preserve">Higher Education Support Act 2003 </w:t>
      </w:r>
      <w:r w:rsidRPr="00582D0F">
        <w:rPr>
          <w:rFonts w:asciiTheme="minorHAnsi" w:hAnsiTheme="minorHAnsi" w:cstheme="minorHAnsi"/>
          <w:iCs/>
          <w:szCs w:val="24"/>
        </w:rPr>
        <w:t>(the Act) provides that the Minister may, on behalf of the Commonwealth, enter into a funding agreement with a higher education provider relating to grants made under Part 2-2 of the Act. Paragraph 30-27(1)(a) provides that a funding agreement for a higher education provider that is a Table A provider must specify an amount as the “</w:t>
      </w:r>
      <w:r w:rsidRPr="00582D0F">
        <w:rPr>
          <w:rFonts w:asciiTheme="minorHAnsi" w:hAnsiTheme="minorHAnsi" w:cstheme="minorHAnsi"/>
          <w:szCs w:val="24"/>
        </w:rPr>
        <w:t>maximum basic grant amount</w:t>
      </w:r>
      <w:r w:rsidRPr="00582D0F">
        <w:rPr>
          <w:rFonts w:asciiTheme="minorHAnsi" w:hAnsiTheme="minorHAnsi" w:cstheme="minorHAnsi"/>
          <w:iCs/>
          <w:szCs w:val="24"/>
        </w:rPr>
        <w:t xml:space="preserve">” (MBGA) payable to the provider for a grant year for higher education courses. A provider’s MBGA is the maximum amount the provider can receive in funding for higher education courses under the Act. Paragraph 30-27(3)(a) of the Act provides that a funding agreement made in respect of a 2024 grant year, must not have an MBGA for a Table A provider for higher education courses that is less than the amount specified in the </w:t>
      </w:r>
      <w:r w:rsidRPr="00582D0F">
        <w:rPr>
          <w:rFonts w:asciiTheme="minorHAnsi" w:hAnsiTheme="minorHAnsi" w:cstheme="minorHAnsi"/>
          <w:i/>
          <w:szCs w:val="24"/>
        </w:rPr>
        <w:t xml:space="preserve">Commonwealth Grant Scheme Guidelines 2020 </w:t>
      </w:r>
      <w:r w:rsidRPr="00582D0F">
        <w:rPr>
          <w:rFonts w:asciiTheme="minorHAnsi" w:hAnsiTheme="minorHAnsi" w:cstheme="minorHAnsi"/>
          <w:iCs/>
          <w:szCs w:val="24"/>
        </w:rPr>
        <w:t xml:space="preserve">(the Principal Instrument). </w:t>
      </w:r>
    </w:p>
    <w:p w14:paraId="177FCEBB" w14:textId="103C035A" w:rsidR="00905952" w:rsidRPr="00582D0F" w:rsidRDefault="00905952" w:rsidP="00905952">
      <w:pPr>
        <w:spacing w:before="120" w:after="120"/>
        <w:rPr>
          <w:rFonts w:asciiTheme="minorHAnsi" w:hAnsiTheme="minorHAnsi" w:cstheme="minorHAnsi"/>
          <w:iCs/>
          <w:szCs w:val="24"/>
        </w:rPr>
      </w:pPr>
      <w:r w:rsidRPr="00582D0F">
        <w:rPr>
          <w:rFonts w:asciiTheme="minorHAnsi" w:hAnsiTheme="minorHAnsi" w:cstheme="minorHAnsi"/>
          <w:iCs/>
          <w:szCs w:val="24"/>
        </w:rPr>
        <w:t>The Principal Instrument does not currently specify the amounts that Table A providers’ MBGA for higher education courses must not fall below for the 2024 grant year. The Amendment Instrument amends the Principal Instrument to specify that amount for Table A providers for the 2024 grant year.</w:t>
      </w:r>
      <w:r w:rsidRPr="00582D0F">
        <w:rPr>
          <w:color w:val="000000"/>
          <w:shd w:val="clear" w:color="auto" w:fill="FFFFFF"/>
        </w:rPr>
        <w:t xml:space="preserve"> </w:t>
      </w:r>
      <w:r w:rsidRPr="00582D0F">
        <w:rPr>
          <w:rFonts w:asciiTheme="minorHAnsi" w:hAnsiTheme="minorHAnsi" w:cstheme="minorHAnsi"/>
          <w:iCs/>
          <w:szCs w:val="24"/>
        </w:rPr>
        <w:t>The amounts specified for each provider for 2024 represent the MBGA ‘floor’ for higher education courses for each provider (i.e. a guaranteed baseline for MBGAs for those courses)</w:t>
      </w:r>
      <w:r w:rsidR="00B13681" w:rsidRPr="00582D0F">
        <w:rPr>
          <w:rFonts w:asciiTheme="minorHAnsi" w:hAnsiTheme="minorHAnsi" w:cstheme="minorHAnsi"/>
          <w:iCs/>
          <w:szCs w:val="24"/>
        </w:rPr>
        <w:t>, subject to their delivery of actual Commonwealth supported places</w:t>
      </w:r>
      <w:r w:rsidRPr="00582D0F">
        <w:rPr>
          <w:rFonts w:asciiTheme="minorHAnsi" w:hAnsiTheme="minorHAnsi" w:cstheme="minorHAnsi"/>
          <w:iCs/>
          <w:szCs w:val="24"/>
        </w:rPr>
        <w:t xml:space="preserve">. This means that the MBGA for a provider for higher education courses for 2024, which will be specified in the provider’s funding agreement, must not be less than the amount specified in the Principal Instrument. </w:t>
      </w:r>
    </w:p>
    <w:p w14:paraId="5989A49C" w14:textId="77777777" w:rsidR="00DD0611" w:rsidRPr="00582D0F" w:rsidRDefault="00DD0611" w:rsidP="00DD0611">
      <w:pPr>
        <w:spacing w:before="120" w:after="120"/>
        <w:rPr>
          <w:rFonts w:asciiTheme="minorHAnsi" w:hAnsiTheme="minorHAnsi" w:cstheme="minorHAnsi"/>
          <w:b/>
          <w:szCs w:val="24"/>
        </w:rPr>
      </w:pPr>
      <w:r w:rsidRPr="00582D0F">
        <w:rPr>
          <w:rFonts w:asciiTheme="minorHAnsi" w:hAnsiTheme="minorHAnsi" w:cstheme="minorHAnsi"/>
          <w:b/>
          <w:szCs w:val="24"/>
        </w:rPr>
        <w:t>Human rights implications</w:t>
      </w:r>
    </w:p>
    <w:p w14:paraId="107CD4CF" w14:textId="77777777" w:rsidR="00DD0611" w:rsidRPr="00582D0F" w:rsidRDefault="00DD0611" w:rsidP="00DD0611">
      <w:pPr>
        <w:spacing w:before="120" w:after="120"/>
        <w:rPr>
          <w:rFonts w:asciiTheme="minorHAnsi" w:hAnsiTheme="minorHAnsi" w:cstheme="minorHAnsi"/>
          <w:bCs/>
          <w:szCs w:val="24"/>
        </w:rPr>
      </w:pPr>
      <w:r w:rsidRPr="00582D0F">
        <w:rPr>
          <w:rFonts w:asciiTheme="minorHAnsi" w:hAnsiTheme="minorHAnsi" w:cstheme="minorHAnsi"/>
          <w:bCs/>
          <w:szCs w:val="24"/>
        </w:rPr>
        <w:t xml:space="preserve">The Amendment Instrument engages the right to education in Article 13 of the International Covenant on Economic, Social and Cultural Rights (ICESCR). </w:t>
      </w:r>
    </w:p>
    <w:p w14:paraId="1FFCBE67" w14:textId="77777777" w:rsidR="00DD0611" w:rsidRPr="00582D0F" w:rsidRDefault="00DD0611" w:rsidP="00DD0611">
      <w:pPr>
        <w:spacing w:before="120" w:after="120"/>
        <w:rPr>
          <w:rFonts w:asciiTheme="minorHAnsi" w:hAnsiTheme="minorHAnsi" w:cstheme="minorHAnsi"/>
          <w:szCs w:val="24"/>
          <w:u w:val="single"/>
        </w:rPr>
      </w:pPr>
      <w:r w:rsidRPr="00582D0F">
        <w:rPr>
          <w:rFonts w:asciiTheme="minorHAnsi" w:hAnsiTheme="minorHAnsi" w:cstheme="minorHAnsi"/>
          <w:szCs w:val="24"/>
          <w:u w:val="single"/>
        </w:rPr>
        <w:t>Right to education</w:t>
      </w:r>
    </w:p>
    <w:p w14:paraId="3E21278C" w14:textId="77777777" w:rsidR="00DD0611" w:rsidRPr="00582D0F" w:rsidRDefault="00DD0611" w:rsidP="00DD0611">
      <w:pPr>
        <w:spacing w:before="120" w:after="120"/>
        <w:rPr>
          <w:rFonts w:asciiTheme="minorHAnsi" w:hAnsiTheme="minorHAnsi" w:cstheme="minorHAnsi"/>
          <w:iCs/>
          <w:szCs w:val="24"/>
        </w:rPr>
      </w:pPr>
      <w:r w:rsidRPr="00582D0F">
        <w:rPr>
          <w:rFonts w:asciiTheme="minorHAnsi" w:hAnsiTheme="minorHAnsi" w:cstheme="minorHAnsi"/>
          <w:iCs/>
          <w:szCs w:val="24"/>
        </w:rPr>
        <w:t xml:space="preserve">Article 13(2) of the ICESCR provides that “higher education shall be made equally accessible to all, on the basis of capacity, by every appropriate means, and in particular by the progressive introduction of free education”. </w:t>
      </w:r>
    </w:p>
    <w:p w14:paraId="45ADCA21" w14:textId="616F6B4C" w:rsidR="006F0715" w:rsidRPr="00582D0F" w:rsidRDefault="00DD0611" w:rsidP="00DD0611">
      <w:pPr>
        <w:spacing w:before="120" w:after="120"/>
        <w:rPr>
          <w:rFonts w:asciiTheme="minorHAnsi" w:hAnsiTheme="minorHAnsi" w:cstheme="minorHAnsi"/>
          <w:iCs/>
          <w:szCs w:val="24"/>
        </w:rPr>
      </w:pPr>
      <w:r w:rsidRPr="00582D0F">
        <w:rPr>
          <w:rFonts w:asciiTheme="minorHAnsi" w:hAnsiTheme="minorHAnsi" w:cstheme="minorHAnsi"/>
          <w:iCs/>
          <w:szCs w:val="24"/>
        </w:rPr>
        <w:lastRenderedPageBreak/>
        <w:t xml:space="preserve">The Amendment Instrument </w:t>
      </w:r>
      <w:r w:rsidR="00B07B91" w:rsidRPr="00582D0F">
        <w:rPr>
          <w:rFonts w:asciiTheme="minorHAnsi" w:hAnsiTheme="minorHAnsi" w:cstheme="minorHAnsi"/>
          <w:iCs/>
          <w:szCs w:val="24"/>
        </w:rPr>
        <w:t xml:space="preserve">amends the Principal Instrument to specify amounts for Table A providers, that their </w:t>
      </w:r>
      <w:r w:rsidR="00287940" w:rsidRPr="00582D0F">
        <w:rPr>
          <w:rFonts w:asciiTheme="minorHAnsi" w:hAnsiTheme="minorHAnsi" w:cstheme="minorHAnsi"/>
          <w:iCs/>
          <w:szCs w:val="24"/>
        </w:rPr>
        <w:t>MBGA</w:t>
      </w:r>
      <w:r w:rsidR="00B07B91" w:rsidRPr="00582D0F">
        <w:rPr>
          <w:rFonts w:asciiTheme="minorHAnsi" w:hAnsiTheme="minorHAnsi" w:cstheme="minorHAnsi"/>
          <w:iCs/>
          <w:szCs w:val="24"/>
        </w:rPr>
        <w:t xml:space="preserve"> </w:t>
      </w:r>
      <w:r w:rsidR="00A832B5" w:rsidRPr="00582D0F">
        <w:rPr>
          <w:rFonts w:asciiTheme="minorHAnsi" w:hAnsiTheme="minorHAnsi" w:cstheme="minorHAnsi"/>
          <w:iCs/>
          <w:szCs w:val="24"/>
        </w:rPr>
        <w:t xml:space="preserve">for higher education courses </w:t>
      </w:r>
      <w:r w:rsidR="00B07B91" w:rsidRPr="00582D0F">
        <w:rPr>
          <w:rFonts w:asciiTheme="minorHAnsi" w:hAnsiTheme="minorHAnsi" w:cstheme="minorHAnsi"/>
          <w:iCs/>
          <w:szCs w:val="24"/>
        </w:rPr>
        <w:t>must not fall below for the 2024 grant year. This provides a guarantee to Table A providers that the</w:t>
      </w:r>
      <w:r w:rsidR="00B13681" w:rsidRPr="00582D0F">
        <w:rPr>
          <w:rFonts w:asciiTheme="minorHAnsi" w:hAnsiTheme="minorHAnsi" w:cstheme="minorHAnsi"/>
          <w:iCs/>
          <w:szCs w:val="24"/>
        </w:rPr>
        <w:t xml:space="preserve"> </w:t>
      </w:r>
      <w:r w:rsidR="00762A64" w:rsidRPr="00582D0F">
        <w:rPr>
          <w:rFonts w:asciiTheme="minorHAnsi" w:hAnsiTheme="minorHAnsi" w:cstheme="minorHAnsi"/>
          <w:iCs/>
          <w:szCs w:val="24"/>
        </w:rPr>
        <w:t>MBGA</w:t>
      </w:r>
      <w:r w:rsidR="00B13681" w:rsidRPr="00582D0F">
        <w:rPr>
          <w:rFonts w:asciiTheme="minorHAnsi" w:hAnsiTheme="minorHAnsi" w:cstheme="minorHAnsi"/>
          <w:iCs/>
          <w:szCs w:val="24"/>
        </w:rPr>
        <w:t xml:space="preserve"> specified in their funding agreement</w:t>
      </w:r>
      <w:r w:rsidR="00762A64" w:rsidRPr="00582D0F">
        <w:rPr>
          <w:rFonts w:asciiTheme="minorHAnsi" w:hAnsiTheme="minorHAnsi" w:cstheme="minorHAnsi"/>
          <w:iCs/>
          <w:szCs w:val="24"/>
        </w:rPr>
        <w:t>,</w:t>
      </w:r>
      <w:r w:rsidR="00B07B91" w:rsidRPr="00582D0F">
        <w:rPr>
          <w:rFonts w:asciiTheme="minorHAnsi" w:hAnsiTheme="minorHAnsi" w:cstheme="minorHAnsi"/>
          <w:iCs/>
          <w:szCs w:val="24"/>
        </w:rPr>
        <w:t xml:space="preserve"> </w:t>
      </w:r>
      <w:r w:rsidR="006F0715" w:rsidRPr="00582D0F">
        <w:rPr>
          <w:rFonts w:asciiTheme="minorHAnsi" w:hAnsiTheme="minorHAnsi" w:cstheme="minorHAnsi"/>
          <w:iCs/>
          <w:szCs w:val="24"/>
        </w:rPr>
        <w:t>in respect of Part 2-2 funding</w:t>
      </w:r>
      <w:r w:rsidR="00762A64" w:rsidRPr="00582D0F">
        <w:rPr>
          <w:rFonts w:asciiTheme="minorHAnsi" w:hAnsiTheme="minorHAnsi" w:cstheme="minorHAnsi"/>
          <w:iCs/>
          <w:szCs w:val="24"/>
        </w:rPr>
        <w:t xml:space="preserve"> for higher education courses</w:t>
      </w:r>
      <w:r w:rsidR="006F0715" w:rsidRPr="00582D0F">
        <w:rPr>
          <w:rFonts w:asciiTheme="minorHAnsi" w:hAnsiTheme="minorHAnsi" w:cstheme="minorHAnsi"/>
          <w:iCs/>
          <w:szCs w:val="24"/>
        </w:rPr>
        <w:t xml:space="preserve">, will not fall below the amounts specified in the Principal Instrument. This, in effect, guarantees that Table A providers are able to receive a certain amount of Part 2-2 funding </w:t>
      </w:r>
      <w:r w:rsidR="00762A64" w:rsidRPr="00582D0F">
        <w:rPr>
          <w:rFonts w:asciiTheme="minorHAnsi" w:hAnsiTheme="minorHAnsi" w:cstheme="minorHAnsi"/>
          <w:iCs/>
          <w:szCs w:val="24"/>
        </w:rPr>
        <w:t xml:space="preserve">for higher education courses </w:t>
      </w:r>
      <w:r w:rsidR="006F0715" w:rsidRPr="00582D0F">
        <w:rPr>
          <w:rFonts w:asciiTheme="minorHAnsi" w:hAnsiTheme="minorHAnsi" w:cstheme="minorHAnsi"/>
          <w:iCs/>
          <w:szCs w:val="24"/>
        </w:rPr>
        <w:t xml:space="preserve">(subject to their actual delivery of Commonwealth supported places), which supports their delivery of Commonwealth supported places under that Part. </w:t>
      </w:r>
    </w:p>
    <w:p w14:paraId="18F6ED32" w14:textId="06F7C3B8" w:rsidR="00DD0611" w:rsidRPr="00582D0F" w:rsidRDefault="006F0715" w:rsidP="00DD0611">
      <w:pPr>
        <w:spacing w:before="120" w:after="120"/>
        <w:rPr>
          <w:rFonts w:asciiTheme="minorHAnsi" w:hAnsiTheme="minorHAnsi" w:cstheme="minorHAnsi"/>
          <w:iCs/>
          <w:szCs w:val="24"/>
        </w:rPr>
      </w:pPr>
      <w:r w:rsidRPr="00582D0F">
        <w:rPr>
          <w:rFonts w:asciiTheme="minorHAnsi" w:hAnsiTheme="minorHAnsi" w:cstheme="minorHAnsi"/>
          <w:iCs/>
          <w:szCs w:val="24"/>
        </w:rPr>
        <w:t>As such</w:t>
      </w:r>
      <w:r w:rsidR="00DD0611" w:rsidRPr="00582D0F">
        <w:rPr>
          <w:rFonts w:asciiTheme="minorHAnsi" w:hAnsiTheme="minorHAnsi" w:cstheme="minorHAnsi"/>
          <w:iCs/>
          <w:szCs w:val="24"/>
        </w:rPr>
        <w:t xml:space="preserve">, the </w:t>
      </w:r>
      <w:r w:rsidRPr="00582D0F">
        <w:rPr>
          <w:rFonts w:asciiTheme="minorHAnsi" w:hAnsiTheme="minorHAnsi" w:cstheme="minorHAnsi"/>
          <w:iCs/>
          <w:szCs w:val="24"/>
        </w:rPr>
        <w:t xml:space="preserve">specification of amounts that Table A providers’ </w:t>
      </w:r>
      <w:r w:rsidR="00033173" w:rsidRPr="00582D0F">
        <w:rPr>
          <w:rFonts w:asciiTheme="minorHAnsi" w:hAnsiTheme="minorHAnsi" w:cstheme="minorHAnsi"/>
          <w:iCs/>
          <w:szCs w:val="24"/>
        </w:rPr>
        <w:t>MBGAs</w:t>
      </w:r>
      <w:r w:rsidRPr="00582D0F">
        <w:rPr>
          <w:rFonts w:asciiTheme="minorHAnsi" w:hAnsiTheme="minorHAnsi" w:cstheme="minorHAnsi"/>
          <w:iCs/>
          <w:szCs w:val="24"/>
        </w:rPr>
        <w:t xml:space="preserve"> </w:t>
      </w:r>
      <w:r w:rsidR="006B205A" w:rsidRPr="00582D0F">
        <w:rPr>
          <w:rFonts w:asciiTheme="minorHAnsi" w:hAnsiTheme="minorHAnsi" w:cstheme="minorHAnsi"/>
          <w:iCs/>
          <w:szCs w:val="24"/>
        </w:rPr>
        <w:t xml:space="preserve">for higher education courses </w:t>
      </w:r>
      <w:r w:rsidRPr="00582D0F">
        <w:rPr>
          <w:rFonts w:asciiTheme="minorHAnsi" w:hAnsiTheme="minorHAnsi" w:cstheme="minorHAnsi"/>
          <w:iCs/>
          <w:szCs w:val="24"/>
        </w:rPr>
        <w:t>must not fall below for the 2024 grant year,</w:t>
      </w:r>
      <w:r w:rsidR="00DD0611" w:rsidRPr="00582D0F">
        <w:rPr>
          <w:rFonts w:asciiTheme="minorHAnsi" w:hAnsiTheme="minorHAnsi" w:cstheme="minorHAnsi"/>
          <w:iCs/>
          <w:szCs w:val="24"/>
        </w:rPr>
        <w:t xml:space="preserve"> support</w:t>
      </w:r>
      <w:r w:rsidRPr="00582D0F">
        <w:rPr>
          <w:rFonts w:asciiTheme="minorHAnsi" w:hAnsiTheme="minorHAnsi" w:cstheme="minorHAnsi"/>
          <w:iCs/>
          <w:szCs w:val="24"/>
        </w:rPr>
        <w:t>s</w:t>
      </w:r>
      <w:r w:rsidR="00DD0611" w:rsidRPr="00582D0F">
        <w:rPr>
          <w:rFonts w:asciiTheme="minorHAnsi" w:hAnsiTheme="minorHAnsi" w:cstheme="minorHAnsi"/>
          <w:iCs/>
          <w:szCs w:val="24"/>
        </w:rPr>
        <w:t xml:space="preserve"> the </w:t>
      </w:r>
      <w:r w:rsidRPr="00582D0F">
        <w:rPr>
          <w:rFonts w:asciiTheme="minorHAnsi" w:hAnsiTheme="minorHAnsi" w:cstheme="minorHAnsi"/>
          <w:iCs/>
          <w:szCs w:val="24"/>
        </w:rPr>
        <w:t>provision of Commonwealth supported places under Part 2-2 of the Act</w:t>
      </w:r>
      <w:r w:rsidR="00DD0611" w:rsidRPr="00582D0F">
        <w:rPr>
          <w:rFonts w:asciiTheme="minorHAnsi" w:hAnsiTheme="minorHAnsi" w:cstheme="minorHAnsi"/>
          <w:iCs/>
          <w:szCs w:val="24"/>
        </w:rPr>
        <w:t xml:space="preserve">, and supports the provision of higher education. </w:t>
      </w:r>
    </w:p>
    <w:p w14:paraId="53F647A4" w14:textId="77777777" w:rsidR="00DD0611" w:rsidRPr="00582D0F" w:rsidRDefault="00DD0611" w:rsidP="00DD0611">
      <w:pPr>
        <w:spacing w:before="120" w:after="120"/>
        <w:rPr>
          <w:rFonts w:asciiTheme="minorHAnsi" w:hAnsiTheme="minorHAnsi" w:cstheme="minorHAnsi"/>
          <w:szCs w:val="24"/>
        </w:rPr>
      </w:pPr>
      <w:r w:rsidRPr="00582D0F">
        <w:rPr>
          <w:rFonts w:asciiTheme="minorHAnsi" w:hAnsiTheme="minorHAnsi" w:cstheme="minorHAnsi"/>
          <w:b/>
          <w:szCs w:val="24"/>
        </w:rPr>
        <w:t>Conclusion</w:t>
      </w:r>
    </w:p>
    <w:p w14:paraId="2A274C6D" w14:textId="02FAD72B" w:rsidR="00DD0611" w:rsidRPr="00582D0F" w:rsidRDefault="00DD0611" w:rsidP="00DD0611">
      <w:pPr>
        <w:spacing w:before="120" w:after="120"/>
        <w:rPr>
          <w:rFonts w:asciiTheme="minorHAnsi" w:hAnsiTheme="minorHAnsi" w:cstheme="minorHAnsi"/>
          <w:szCs w:val="24"/>
        </w:rPr>
      </w:pPr>
      <w:r w:rsidRPr="00582D0F">
        <w:rPr>
          <w:rFonts w:asciiTheme="minorHAnsi" w:hAnsiTheme="minorHAnsi" w:cstheme="minorHAnsi"/>
          <w:szCs w:val="24"/>
        </w:rPr>
        <w:t xml:space="preserve">The </w:t>
      </w:r>
      <w:r w:rsidR="00435352" w:rsidRPr="00582D0F">
        <w:rPr>
          <w:rFonts w:asciiTheme="minorHAnsi" w:hAnsiTheme="minorHAnsi" w:cstheme="minorHAnsi"/>
          <w:szCs w:val="24"/>
        </w:rPr>
        <w:t xml:space="preserve">Amendment </w:t>
      </w:r>
      <w:r w:rsidRPr="00582D0F">
        <w:rPr>
          <w:rFonts w:asciiTheme="minorHAnsi" w:hAnsiTheme="minorHAnsi" w:cstheme="minorHAnsi"/>
          <w:szCs w:val="24"/>
        </w:rPr>
        <w:t xml:space="preserve">Instrument is compatible with human rights because it supports the right to education. </w:t>
      </w:r>
    </w:p>
    <w:p w14:paraId="40ABB003" w14:textId="77777777" w:rsidR="00DD0611" w:rsidRPr="00582D0F" w:rsidRDefault="00DD0611" w:rsidP="00DD0611">
      <w:pPr>
        <w:spacing w:before="120" w:after="120"/>
        <w:rPr>
          <w:rFonts w:asciiTheme="minorHAnsi" w:hAnsiTheme="minorHAnsi" w:cstheme="minorHAnsi"/>
          <w:b/>
          <w:szCs w:val="24"/>
        </w:rPr>
      </w:pPr>
    </w:p>
    <w:p w14:paraId="158C48B2" w14:textId="77777777" w:rsidR="00DD0611" w:rsidRPr="00582D0F" w:rsidRDefault="00DD0611" w:rsidP="00DD0611">
      <w:pPr>
        <w:spacing w:before="120" w:after="120"/>
        <w:jc w:val="center"/>
        <w:rPr>
          <w:rFonts w:asciiTheme="minorHAnsi" w:hAnsiTheme="minorHAnsi" w:cstheme="minorHAnsi"/>
          <w:szCs w:val="24"/>
        </w:rPr>
      </w:pPr>
      <w:r w:rsidRPr="00582D0F">
        <w:rPr>
          <w:rFonts w:asciiTheme="minorHAnsi" w:hAnsiTheme="minorHAnsi" w:cstheme="minorHAnsi"/>
          <w:b/>
          <w:szCs w:val="24"/>
        </w:rPr>
        <w:t>Minister for Education, the Hon Jason Clare MP</w:t>
      </w:r>
    </w:p>
    <w:p w14:paraId="41CD93D4" w14:textId="77777777" w:rsidR="00DD0611" w:rsidRPr="00582D0F" w:rsidRDefault="00DD0611" w:rsidP="00DD0611">
      <w:pPr>
        <w:spacing w:before="240" w:after="240"/>
        <w:rPr>
          <w:rFonts w:asciiTheme="minorHAnsi" w:hAnsiTheme="minorHAnsi" w:cstheme="minorHAnsi"/>
          <w:szCs w:val="24"/>
        </w:rPr>
        <w:sectPr w:rsidR="00DD0611" w:rsidRPr="00582D0F"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06AD0A94" w14:textId="0AA85647" w:rsidR="00DD0611" w:rsidRPr="00582D0F" w:rsidRDefault="006F0715" w:rsidP="00DD0611">
      <w:pPr>
        <w:jc w:val="center"/>
        <w:rPr>
          <w:rFonts w:asciiTheme="minorHAnsi" w:hAnsiTheme="minorHAnsi" w:cstheme="minorHAnsi"/>
          <w:b/>
          <w:szCs w:val="24"/>
        </w:rPr>
      </w:pPr>
      <w:r w:rsidRPr="00582D0F">
        <w:rPr>
          <w:rFonts w:asciiTheme="minorHAnsi" w:hAnsiTheme="minorHAnsi" w:cstheme="minorHAnsi"/>
          <w:b/>
          <w:szCs w:val="24"/>
        </w:rPr>
        <w:lastRenderedPageBreak/>
        <w:t>COMMONWEALTH GRANT SCHEME AMENDMENT (MAXIMUM BASIC GRANT AMOUNT) GUIDELINES 2023</w:t>
      </w:r>
    </w:p>
    <w:p w14:paraId="377B8C15" w14:textId="77777777" w:rsidR="00DD0611" w:rsidRPr="00582D0F" w:rsidRDefault="00DD0611" w:rsidP="00DD0611">
      <w:pPr>
        <w:pStyle w:val="Heading2"/>
        <w:jc w:val="center"/>
        <w:rPr>
          <w:rFonts w:asciiTheme="minorHAnsi" w:hAnsiTheme="minorHAnsi" w:cstheme="minorHAnsi"/>
          <w:color w:val="auto"/>
        </w:rPr>
      </w:pPr>
      <w:r w:rsidRPr="00582D0F">
        <w:rPr>
          <w:rFonts w:asciiTheme="minorHAnsi" w:hAnsiTheme="minorHAnsi" w:cstheme="minorHAnsi"/>
          <w:color w:val="auto"/>
        </w:rPr>
        <w:t>EXPLANATION OF PROVISIONS</w:t>
      </w:r>
    </w:p>
    <w:p w14:paraId="19B9E3F0" w14:textId="77777777" w:rsidR="00DD0611" w:rsidRPr="00582D0F" w:rsidRDefault="00DD0611" w:rsidP="00DD0611">
      <w:pPr>
        <w:keepNext/>
        <w:rPr>
          <w:rFonts w:asciiTheme="minorHAnsi" w:hAnsiTheme="minorHAnsi" w:cstheme="minorHAnsi"/>
          <w:b/>
          <w:u w:val="single"/>
        </w:rPr>
      </w:pPr>
      <w:r w:rsidRPr="00582D0F">
        <w:rPr>
          <w:rFonts w:asciiTheme="minorHAnsi" w:hAnsiTheme="minorHAnsi" w:cstheme="minorHAnsi"/>
          <w:b/>
          <w:u w:val="single"/>
        </w:rPr>
        <w:t>Section 1: Name</w:t>
      </w:r>
    </w:p>
    <w:p w14:paraId="0B6A2DA8" w14:textId="6F7C863B" w:rsidR="00DD0611" w:rsidRPr="00582D0F" w:rsidRDefault="00DD0611" w:rsidP="00DD0611">
      <w:pPr>
        <w:pStyle w:val="ListParagraph"/>
        <w:numPr>
          <w:ilvl w:val="0"/>
          <w:numId w:val="1"/>
        </w:numPr>
        <w:spacing w:before="360" w:after="120"/>
        <w:rPr>
          <w:rFonts w:asciiTheme="minorHAnsi" w:hAnsiTheme="minorHAnsi" w:cstheme="minorHAnsi"/>
          <w:szCs w:val="24"/>
        </w:rPr>
      </w:pPr>
      <w:r w:rsidRPr="00582D0F">
        <w:rPr>
          <w:rFonts w:asciiTheme="minorHAnsi" w:hAnsiTheme="minorHAnsi" w:cstheme="minorHAnsi"/>
          <w:szCs w:val="24"/>
        </w:rPr>
        <w:t xml:space="preserve">This section provides that the name of the instrument is </w:t>
      </w:r>
      <w:r w:rsidR="006F0715" w:rsidRPr="00582D0F">
        <w:rPr>
          <w:rFonts w:asciiTheme="minorHAnsi" w:hAnsiTheme="minorHAnsi" w:cstheme="minorHAnsi"/>
          <w:i/>
          <w:iCs/>
          <w:szCs w:val="24"/>
        </w:rPr>
        <w:t xml:space="preserve">Commonwealth Grant Scheme Amendment (Maximum Basic Grant Amount) Guidelines 2023 </w:t>
      </w:r>
      <w:r w:rsidRPr="00582D0F">
        <w:rPr>
          <w:rFonts w:asciiTheme="minorHAnsi" w:hAnsiTheme="minorHAnsi" w:cstheme="minorHAnsi"/>
          <w:szCs w:val="24"/>
        </w:rPr>
        <w:t xml:space="preserve">(the Amendment Instrument). </w:t>
      </w:r>
    </w:p>
    <w:p w14:paraId="036633BE" w14:textId="77777777" w:rsidR="00DD0611" w:rsidRPr="00582D0F" w:rsidRDefault="00DD0611" w:rsidP="00DD0611">
      <w:pPr>
        <w:keepNext/>
        <w:rPr>
          <w:rFonts w:asciiTheme="minorHAnsi" w:hAnsiTheme="minorHAnsi" w:cstheme="minorHAnsi"/>
          <w:b/>
          <w:u w:val="single"/>
        </w:rPr>
      </w:pPr>
      <w:r w:rsidRPr="00582D0F">
        <w:rPr>
          <w:rFonts w:asciiTheme="minorHAnsi" w:hAnsiTheme="minorHAnsi" w:cstheme="minorHAnsi"/>
          <w:b/>
          <w:u w:val="single"/>
        </w:rPr>
        <w:t>Section 2: Commencement</w:t>
      </w:r>
    </w:p>
    <w:p w14:paraId="02DBABDC" w14:textId="77777777" w:rsidR="00DD0611" w:rsidRPr="00582D0F" w:rsidRDefault="00DD0611" w:rsidP="00DD0611">
      <w:pPr>
        <w:pStyle w:val="ListParagraph"/>
        <w:keepNext/>
        <w:numPr>
          <w:ilvl w:val="0"/>
          <w:numId w:val="1"/>
        </w:numPr>
        <w:spacing w:before="360" w:after="120"/>
        <w:rPr>
          <w:rFonts w:asciiTheme="minorHAnsi" w:hAnsiTheme="minorHAnsi" w:cstheme="minorHAnsi"/>
          <w:iCs/>
        </w:rPr>
      </w:pPr>
      <w:r w:rsidRPr="00582D0F">
        <w:rPr>
          <w:rFonts w:asciiTheme="minorHAnsi" w:hAnsiTheme="minorHAnsi" w:cstheme="minorHAnsi"/>
          <w:iCs/>
        </w:rPr>
        <w:t>This section provides that the Amendment Instrument commences on the day after registration on the Federal Register of Legislation.</w:t>
      </w:r>
    </w:p>
    <w:p w14:paraId="405CD45D" w14:textId="77777777" w:rsidR="00DD0611" w:rsidRPr="00582D0F" w:rsidRDefault="00DD0611" w:rsidP="00DD0611">
      <w:pPr>
        <w:keepNext/>
        <w:spacing w:before="360" w:after="120"/>
        <w:rPr>
          <w:rFonts w:asciiTheme="minorHAnsi" w:hAnsiTheme="minorHAnsi" w:cstheme="minorHAnsi"/>
          <w:b/>
          <w:u w:val="single"/>
        </w:rPr>
      </w:pPr>
      <w:r w:rsidRPr="00582D0F">
        <w:rPr>
          <w:rFonts w:asciiTheme="minorHAnsi" w:hAnsiTheme="minorHAnsi" w:cstheme="minorHAnsi"/>
          <w:b/>
          <w:u w:val="single"/>
        </w:rPr>
        <w:t>Section 3: Authority</w:t>
      </w:r>
    </w:p>
    <w:p w14:paraId="444BCB87" w14:textId="755EAC42" w:rsidR="00DD0611" w:rsidRPr="00582D0F" w:rsidRDefault="00DD0611" w:rsidP="00DD0611">
      <w:pPr>
        <w:pStyle w:val="ListParagraph"/>
        <w:keepNext/>
        <w:numPr>
          <w:ilvl w:val="0"/>
          <w:numId w:val="1"/>
        </w:numPr>
        <w:spacing w:before="360" w:after="120"/>
        <w:rPr>
          <w:rFonts w:asciiTheme="minorHAnsi" w:hAnsiTheme="minorHAnsi" w:cstheme="minorHAnsi"/>
          <w:iCs/>
        </w:rPr>
      </w:pPr>
      <w:r w:rsidRPr="00582D0F">
        <w:rPr>
          <w:rFonts w:asciiTheme="minorHAnsi" w:hAnsiTheme="minorHAnsi" w:cstheme="minorHAnsi"/>
          <w:iCs/>
        </w:rPr>
        <w:t xml:space="preserve">This section provides that the Amendment Instrument is made by the Minister under section </w:t>
      </w:r>
      <w:r w:rsidR="006F0715" w:rsidRPr="00582D0F">
        <w:rPr>
          <w:rFonts w:asciiTheme="minorHAnsi" w:hAnsiTheme="minorHAnsi" w:cstheme="minorHAnsi"/>
          <w:iCs/>
        </w:rPr>
        <w:t>238-10</w:t>
      </w:r>
      <w:r w:rsidRPr="00582D0F">
        <w:rPr>
          <w:rFonts w:asciiTheme="minorHAnsi" w:hAnsiTheme="minorHAnsi" w:cstheme="minorHAnsi"/>
          <w:iCs/>
        </w:rPr>
        <w:t xml:space="preserve"> of the </w:t>
      </w:r>
      <w:r w:rsidRPr="00582D0F">
        <w:rPr>
          <w:rFonts w:asciiTheme="minorHAnsi" w:hAnsiTheme="minorHAnsi" w:cstheme="minorHAnsi"/>
          <w:i/>
        </w:rPr>
        <w:t>Higher Education Support Act 2003</w:t>
      </w:r>
      <w:r w:rsidRPr="00582D0F">
        <w:rPr>
          <w:rFonts w:asciiTheme="minorHAnsi" w:hAnsiTheme="minorHAnsi" w:cstheme="minorHAnsi"/>
          <w:iCs/>
        </w:rPr>
        <w:t xml:space="preserve"> (the Act). </w:t>
      </w:r>
    </w:p>
    <w:p w14:paraId="2ACBDF6C" w14:textId="77777777" w:rsidR="00DD0611" w:rsidRPr="00582D0F" w:rsidRDefault="00DD0611" w:rsidP="00DD0611">
      <w:pPr>
        <w:keepNext/>
        <w:spacing w:before="360" w:after="120"/>
        <w:rPr>
          <w:rFonts w:asciiTheme="minorHAnsi" w:hAnsiTheme="minorHAnsi" w:cstheme="minorHAnsi"/>
          <w:b/>
          <w:u w:val="single"/>
        </w:rPr>
      </w:pPr>
      <w:r w:rsidRPr="00582D0F">
        <w:rPr>
          <w:rFonts w:asciiTheme="minorHAnsi" w:hAnsiTheme="minorHAnsi" w:cstheme="minorHAnsi"/>
          <w:b/>
          <w:u w:val="single"/>
        </w:rPr>
        <w:t>Section 4: Schedules</w:t>
      </w:r>
    </w:p>
    <w:p w14:paraId="6A4702DB" w14:textId="59244F77" w:rsidR="00DD0611" w:rsidRPr="00582D0F" w:rsidRDefault="006F0715" w:rsidP="00DD0611">
      <w:pPr>
        <w:pStyle w:val="ListParagraph"/>
        <w:keepNext/>
        <w:numPr>
          <w:ilvl w:val="0"/>
          <w:numId w:val="1"/>
        </w:numPr>
        <w:spacing w:before="360" w:after="120"/>
        <w:rPr>
          <w:rFonts w:asciiTheme="minorHAnsi" w:hAnsiTheme="minorHAnsi" w:cstheme="minorHAnsi"/>
          <w:iCs/>
        </w:rPr>
      </w:pPr>
      <w:r w:rsidRPr="00582D0F">
        <w:rPr>
          <w:rFonts w:ascii="Calibri" w:hAnsi="Calibri" w:cs="Calibri"/>
          <w:color w:val="000000"/>
          <w:shd w:val="clear" w:color="auto" w:fill="FFFFFF"/>
        </w:rPr>
        <w:t>This is a technical provision that explains that each instrument that is specified in a Schedule to the Instrument is amended or repealed as set out in the applicable items in the Schedule concerned.</w:t>
      </w:r>
    </w:p>
    <w:p w14:paraId="4145767B" w14:textId="77777777" w:rsidR="00DD0611" w:rsidRPr="00582D0F" w:rsidRDefault="00DD0611" w:rsidP="00DD0611">
      <w:pPr>
        <w:keepNext/>
        <w:spacing w:before="360" w:after="120"/>
        <w:rPr>
          <w:rFonts w:asciiTheme="minorHAnsi" w:hAnsiTheme="minorHAnsi" w:cstheme="minorHAnsi"/>
          <w:b/>
        </w:rPr>
      </w:pPr>
      <w:r w:rsidRPr="00582D0F">
        <w:rPr>
          <w:rFonts w:asciiTheme="minorHAnsi" w:hAnsiTheme="minorHAnsi" w:cstheme="minorHAnsi"/>
          <w:b/>
        </w:rPr>
        <w:t xml:space="preserve">SCHEDULE 1 – AMENDMENTS </w:t>
      </w:r>
    </w:p>
    <w:p w14:paraId="20DF2E3E" w14:textId="5D34D1D2" w:rsidR="00DD0611" w:rsidRPr="00582D0F" w:rsidRDefault="006F0715" w:rsidP="00DD0611">
      <w:pPr>
        <w:keepNext/>
        <w:spacing w:before="360" w:after="120"/>
        <w:rPr>
          <w:rFonts w:asciiTheme="minorHAnsi" w:hAnsiTheme="minorHAnsi" w:cstheme="minorHAnsi"/>
          <w:b/>
          <w:i/>
          <w:iCs/>
        </w:rPr>
      </w:pPr>
      <w:r w:rsidRPr="00582D0F">
        <w:rPr>
          <w:rFonts w:asciiTheme="minorHAnsi" w:hAnsiTheme="minorHAnsi" w:cstheme="minorHAnsi"/>
          <w:b/>
          <w:i/>
          <w:iCs/>
        </w:rPr>
        <w:t>Commonwealth Grant Scheme Guidelines 2020</w:t>
      </w:r>
    </w:p>
    <w:p w14:paraId="2CFDC708" w14:textId="7C2C5268" w:rsidR="00DD0611" w:rsidRPr="00582D0F" w:rsidRDefault="00DD0611" w:rsidP="00DD0611">
      <w:pPr>
        <w:keepNext/>
        <w:spacing w:before="360" w:after="120"/>
        <w:rPr>
          <w:rFonts w:asciiTheme="minorHAnsi" w:hAnsiTheme="minorHAnsi" w:cstheme="minorHAnsi"/>
        </w:rPr>
      </w:pPr>
      <w:r w:rsidRPr="00582D0F">
        <w:rPr>
          <w:rFonts w:asciiTheme="minorHAnsi" w:hAnsiTheme="minorHAnsi" w:cstheme="minorHAnsi"/>
          <w:b/>
          <w:u w:val="single"/>
        </w:rPr>
        <w:t xml:space="preserve">Item 1: </w:t>
      </w:r>
      <w:r w:rsidR="006F0715" w:rsidRPr="00582D0F">
        <w:rPr>
          <w:rFonts w:asciiTheme="minorHAnsi" w:hAnsiTheme="minorHAnsi" w:cstheme="minorHAnsi"/>
          <w:b/>
          <w:u w:val="single"/>
        </w:rPr>
        <w:t>Section 21</w:t>
      </w:r>
    </w:p>
    <w:p w14:paraId="15EF9068" w14:textId="053DC762" w:rsidR="006F0715" w:rsidRPr="00582D0F" w:rsidRDefault="006F0715" w:rsidP="0051021F">
      <w:pPr>
        <w:pStyle w:val="ListParagraph"/>
        <w:numPr>
          <w:ilvl w:val="0"/>
          <w:numId w:val="1"/>
        </w:numPr>
        <w:spacing w:before="360" w:after="120"/>
        <w:rPr>
          <w:rFonts w:asciiTheme="minorHAnsi" w:hAnsiTheme="minorHAnsi" w:cstheme="minorHAnsi"/>
          <w:iCs/>
          <w:szCs w:val="24"/>
        </w:rPr>
      </w:pPr>
      <w:r w:rsidRPr="00582D0F">
        <w:rPr>
          <w:rFonts w:asciiTheme="minorHAnsi" w:hAnsiTheme="minorHAnsi" w:cstheme="minorHAnsi"/>
          <w:iCs/>
          <w:szCs w:val="24"/>
        </w:rPr>
        <w:t xml:space="preserve">This item repeals old section 21 and substitutes a new section 21. </w:t>
      </w:r>
    </w:p>
    <w:p w14:paraId="34AB8343" w14:textId="458DA829" w:rsidR="006F0715" w:rsidRPr="00582D0F" w:rsidRDefault="006F0715" w:rsidP="0051021F">
      <w:pPr>
        <w:pStyle w:val="ListParagraph"/>
        <w:numPr>
          <w:ilvl w:val="0"/>
          <w:numId w:val="1"/>
        </w:numPr>
        <w:spacing w:before="360" w:after="120"/>
        <w:rPr>
          <w:rFonts w:asciiTheme="minorHAnsi" w:hAnsiTheme="minorHAnsi" w:cstheme="minorHAnsi"/>
          <w:iCs/>
          <w:szCs w:val="24"/>
        </w:rPr>
      </w:pPr>
      <w:r w:rsidRPr="00582D0F">
        <w:rPr>
          <w:rFonts w:asciiTheme="minorHAnsi" w:hAnsiTheme="minorHAnsi" w:cstheme="minorHAnsi"/>
          <w:iCs/>
          <w:szCs w:val="24"/>
        </w:rPr>
        <w:t xml:space="preserve">Old section 21 specified the amounts for Table A providers that their maximum basic grant amount </w:t>
      </w:r>
      <w:r w:rsidR="006B205A" w:rsidRPr="00582D0F">
        <w:rPr>
          <w:rFonts w:asciiTheme="minorHAnsi" w:hAnsiTheme="minorHAnsi" w:cstheme="minorHAnsi"/>
          <w:iCs/>
          <w:szCs w:val="24"/>
        </w:rPr>
        <w:t xml:space="preserve">for higher education courses </w:t>
      </w:r>
      <w:r w:rsidRPr="00582D0F">
        <w:rPr>
          <w:rFonts w:asciiTheme="minorHAnsi" w:hAnsiTheme="minorHAnsi" w:cstheme="minorHAnsi"/>
          <w:iCs/>
          <w:szCs w:val="24"/>
        </w:rPr>
        <w:t>must not fall below for the 2021, 2022 and 2023 grant years.</w:t>
      </w:r>
    </w:p>
    <w:p w14:paraId="75E6DB22" w14:textId="4A039545" w:rsidR="006F0715" w:rsidRPr="00582D0F" w:rsidRDefault="006F0715" w:rsidP="0051021F">
      <w:pPr>
        <w:pStyle w:val="ListParagraph"/>
        <w:numPr>
          <w:ilvl w:val="0"/>
          <w:numId w:val="1"/>
        </w:numPr>
        <w:spacing w:before="360" w:after="120"/>
        <w:rPr>
          <w:rFonts w:asciiTheme="minorHAnsi" w:hAnsiTheme="minorHAnsi" w:cstheme="minorHAnsi"/>
          <w:iCs/>
          <w:szCs w:val="24"/>
        </w:rPr>
      </w:pPr>
      <w:r w:rsidRPr="00582D0F">
        <w:rPr>
          <w:rFonts w:asciiTheme="minorHAnsi" w:hAnsiTheme="minorHAnsi" w:cstheme="minorHAnsi"/>
          <w:iCs/>
          <w:szCs w:val="24"/>
        </w:rPr>
        <w:t xml:space="preserve">New section 21 is largely unchanged from old section 21, with the only changes to amend the table to provide that the amounts specified also apply to the 2024 grant year, and to specify an amount for the University of Notre Dame Australia. </w:t>
      </w:r>
    </w:p>
    <w:p w14:paraId="34644146" w14:textId="77777777" w:rsidR="00A00C3A" w:rsidRPr="00DD0611" w:rsidRDefault="00A00C3A" w:rsidP="00DD0611"/>
    <w:sectPr w:rsidR="00A00C3A" w:rsidRPr="00DD061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3365" w14:textId="77777777" w:rsidR="004A5FB9" w:rsidRDefault="004A5FB9" w:rsidP="00783FAB">
      <w:pPr>
        <w:spacing w:after="0" w:line="240" w:lineRule="auto"/>
      </w:pPr>
      <w:r>
        <w:separator/>
      </w:r>
    </w:p>
  </w:endnote>
  <w:endnote w:type="continuationSeparator" w:id="0">
    <w:p w14:paraId="77A58ACB" w14:textId="77777777" w:rsidR="004A5FB9" w:rsidRDefault="004A5FB9" w:rsidP="00783FAB">
      <w:pPr>
        <w:spacing w:after="0" w:line="240" w:lineRule="auto"/>
      </w:pPr>
      <w:r>
        <w:continuationSeparator/>
      </w:r>
    </w:p>
  </w:endnote>
  <w:endnote w:type="continuationNotice" w:id="1">
    <w:p w14:paraId="0AA8C9F6" w14:textId="77777777" w:rsidR="004A5FB9" w:rsidRDefault="004A5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4B4C" w14:textId="77777777" w:rsidR="00DD0611" w:rsidRDefault="00DD0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85678"/>
      <w:docPartObj>
        <w:docPartGallery w:val="Page Numbers (Bottom of Page)"/>
        <w:docPartUnique/>
      </w:docPartObj>
    </w:sdtPr>
    <w:sdtEndPr>
      <w:rPr>
        <w:noProof/>
      </w:rPr>
    </w:sdtEndPr>
    <w:sdtContent>
      <w:p w14:paraId="5173DD54" w14:textId="77777777" w:rsidR="00DD0611" w:rsidRDefault="00DD06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4FEC172" w14:textId="77777777" w:rsidR="00DD0611" w:rsidRDefault="00DD0611"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1AD8" w14:textId="77777777" w:rsidR="00DD0611" w:rsidRDefault="00DD06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4529" w14:textId="77777777" w:rsidR="000A0622" w:rsidRDefault="000A06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1CE4" w14:textId="77777777" w:rsidR="000A0622" w:rsidRDefault="000A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DA97" w14:textId="77777777" w:rsidR="004A5FB9" w:rsidRDefault="004A5FB9" w:rsidP="00783FAB">
      <w:pPr>
        <w:spacing w:after="0" w:line="240" w:lineRule="auto"/>
      </w:pPr>
      <w:r>
        <w:separator/>
      </w:r>
    </w:p>
  </w:footnote>
  <w:footnote w:type="continuationSeparator" w:id="0">
    <w:p w14:paraId="0440A74A" w14:textId="77777777" w:rsidR="004A5FB9" w:rsidRDefault="004A5FB9" w:rsidP="00783FAB">
      <w:pPr>
        <w:spacing w:after="0" w:line="240" w:lineRule="auto"/>
      </w:pPr>
      <w:r>
        <w:continuationSeparator/>
      </w:r>
    </w:p>
  </w:footnote>
  <w:footnote w:type="continuationNotice" w:id="1">
    <w:p w14:paraId="2764299A" w14:textId="77777777" w:rsidR="004A5FB9" w:rsidRDefault="004A5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435E" w14:textId="77777777" w:rsidR="00DD0611" w:rsidRDefault="00DD0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A3C7" w14:textId="77777777" w:rsidR="00DD0611" w:rsidRDefault="00DD0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F084" w14:textId="77777777" w:rsidR="00DD0611" w:rsidRDefault="00DD06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94D0" w14:textId="77777777" w:rsidR="000A0622" w:rsidRDefault="000A06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58B7" w14:textId="77777777" w:rsidR="000A0622" w:rsidRDefault="000A06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CAFC" w14:textId="77777777" w:rsidR="000A0622" w:rsidRDefault="000A0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DC8"/>
    <w:multiLevelType w:val="hybridMultilevel"/>
    <w:tmpl w:val="5C7EB9B0"/>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91214B4"/>
    <w:multiLevelType w:val="hybridMultilevel"/>
    <w:tmpl w:val="2E48E560"/>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7497083">
    <w:abstractNumId w:val="0"/>
  </w:num>
  <w:num w:numId="2" w16cid:durableId="1793085624">
    <w:abstractNumId w:val="4"/>
  </w:num>
  <w:num w:numId="3" w16cid:durableId="494684201">
    <w:abstractNumId w:val="1"/>
  </w:num>
  <w:num w:numId="4" w16cid:durableId="2008484620">
    <w:abstractNumId w:val="3"/>
  </w:num>
  <w:num w:numId="5" w16cid:durableId="18683240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3173"/>
    <w:rsid w:val="00036FAE"/>
    <w:rsid w:val="000370D4"/>
    <w:rsid w:val="00040E4C"/>
    <w:rsid w:val="00044508"/>
    <w:rsid w:val="00047668"/>
    <w:rsid w:val="00047A2A"/>
    <w:rsid w:val="0005020B"/>
    <w:rsid w:val="00050ADC"/>
    <w:rsid w:val="00057815"/>
    <w:rsid w:val="00057A1E"/>
    <w:rsid w:val="000614A1"/>
    <w:rsid w:val="00062794"/>
    <w:rsid w:val="0006484E"/>
    <w:rsid w:val="000668B0"/>
    <w:rsid w:val="00076E76"/>
    <w:rsid w:val="00083F41"/>
    <w:rsid w:val="000846B7"/>
    <w:rsid w:val="00091D8F"/>
    <w:rsid w:val="000A0622"/>
    <w:rsid w:val="000A2A28"/>
    <w:rsid w:val="000A2D3A"/>
    <w:rsid w:val="000A3124"/>
    <w:rsid w:val="000A35D6"/>
    <w:rsid w:val="000B1BE1"/>
    <w:rsid w:val="000B3914"/>
    <w:rsid w:val="000B6430"/>
    <w:rsid w:val="000C224C"/>
    <w:rsid w:val="000C34FD"/>
    <w:rsid w:val="000C4D6B"/>
    <w:rsid w:val="000D1472"/>
    <w:rsid w:val="000D5E6D"/>
    <w:rsid w:val="000E3516"/>
    <w:rsid w:val="000E57DB"/>
    <w:rsid w:val="000E6FD6"/>
    <w:rsid w:val="000F1811"/>
    <w:rsid w:val="000F7A8C"/>
    <w:rsid w:val="000F7D8C"/>
    <w:rsid w:val="00103015"/>
    <w:rsid w:val="00103253"/>
    <w:rsid w:val="001042BA"/>
    <w:rsid w:val="00120A34"/>
    <w:rsid w:val="00124260"/>
    <w:rsid w:val="00125A8E"/>
    <w:rsid w:val="00127CD8"/>
    <w:rsid w:val="001301AD"/>
    <w:rsid w:val="001334D9"/>
    <w:rsid w:val="001354D2"/>
    <w:rsid w:val="001377D9"/>
    <w:rsid w:val="00137ACD"/>
    <w:rsid w:val="00140DAD"/>
    <w:rsid w:val="00140E3D"/>
    <w:rsid w:val="001421FE"/>
    <w:rsid w:val="001437EA"/>
    <w:rsid w:val="00144950"/>
    <w:rsid w:val="00145BE1"/>
    <w:rsid w:val="00150936"/>
    <w:rsid w:val="0015276C"/>
    <w:rsid w:val="00152947"/>
    <w:rsid w:val="0015508C"/>
    <w:rsid w:val="00160153"/>
    <w:rsid w:val="00161A1F"/>
    <w:rsid w:val="0017006A"/>
    <w:rsid w:val="00173A64"/>
    <w:rsid w:val="00173E0C"/>
    <w:rsid w:val="00185491"/>
    <w:rsid w:val="00195030"/>
    <w:rsid w:val="00197C3F"/>
    <w:rsid w:val="001A2FE9"/>
    <w:rsid w:val="001A4389"/>
    <w:rsid w:val="001B3C7A"/>
    <w:rsid w:val="001D00E3"/>
    <w:rsid w:val="001D0AF3"/>
    <w:rsid w:val="001D1D8A"/>
    <w:rsid w:val="001D36EE"/>
    <w:rsid w:val="001E07CE"/>
    <w:rsid w:val="001E52EB"/>
    <w:rsid w:val="001E5A0B"/>
    <w:rsid w:val="001F127D"/>
    <w:rsid w:val="001F3626"/>
    <w:rsid w:val="001F7336"/>
    <w:rsid w:val="00200358"/>
    <w:rsid w:val="002005CD"/>
    <w:rsid w:val="00201F75"/>
    <w:rsid w:val="00202EC1"/>
    <w:rsid w:val="00204283"/>
    <w:rsid w:val="0020488D"/>
    <w:rsid w:val="00204EEF"/>
    <w:rsid w:val="00205DBD"/>
    <w:rsid w:val="00207297"/>
    <w:rsid w:val="0021337D"/>
    <w:rsid w:val="00216A1C"/>
    <w:rsid w:val="00223F82"/>
    <w:rsid w:val="00224C52"/>
    <w:rsid w:val="00232304"/>
    <w:rsid w:val="002378EE"/>
    <w:rsid w:val="002445E3"/>
    <w:rsid w:val="00247EBF"/>
    <w:rsid w:val="00261499"/>
    <w:rsid w:val="002672A4"/>
    <w:rsid w:val="002747E8"/>
    <w:rsid w:val="00274EEA"/>
    <w:rsid w:val="0027686D"/>
    <w:rsid w:val="002808A9"/>
    <w:rsid w:val="00284C9D"/>
    <w:rsid w:val="00287940"/>
    <w:rsid w:val="00292863"/>
    <w:rsid w:val="00294430"/>
    <w:rsid w:val="00296CA7"/>
    <w:rsid w:val="00296FAF"/>
    <w:rsid w:val="00297EAB"/>
    <w:rsid w:val="002A15F1"/>
    <w:rsid w:val="002A4961"/>
    <w:rsid w:val="002A6881"/>
    <w:rsid w:val="002B313C"/>
    <w:rsid w:val="002B5C28"/>
    <w:rsid w:val="002C1F84"/>
    <w:rsid w:val="002C40FB"/>
    <w:rsid w:val="002D1504"/>
    <w:rsid w:val="002D3400"/>
    <w:rsid w:val="002D564A"/>
    <w:rsid w:val="002E12E6"/>
    <w:rsid w:val="002F725C"/>
    <w:rsid w:val="002F76C6"/>
    <w:rsid w:val="00304A88"/>
    <w:rsid w:val="00304E64"/>
    <w:rsid w:val="00305D92"/>
    <w:rsid w:val="00307358"/>
    <w:rsid w:val="0031070C"/>
    <w:rsid w:val="00313612"/>
    <w:rsid w:val="00316053"/>
    <w:rsid w:val="003170AC"/>
    <w:rsid w:val="00317A84"/>
    <w:rsid w:val="00326C24"/>
    <w:rsid w:val="0033070E"/>
    <w:rsid w:val="00330854"/>
    <w:rsid w:val="003354D8"/>
    <w:rsid w:val="003440C7"/>
    <w:rsid w:val="00350779"/>
    <w:rsid w:val="00353D81"/>
    <w:rsid w:val="00354743"/>
    <w:rsid w:val="00355DAC"/>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97904"/>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11F5"/>
    <w:rsid w:val="003D47C4"/>
    <w:rsid w:val="003D7CE2"/>
    <w:rsid w:val="003E4413"/>
    <w:rsid w:val="003E5B26"/>
    <w:rsid w:val="003F09F7"/>
    <w:rsid w:val="003F1AA1"/>
    <w:rsid w:val="003F24BC"/>
    <w:rsid w:val="003F5D1B"/>
    <w:rsid w:val="003F72A1"/>
    <w:rsid w:val="00402CC7"/>
    <w:rsid w:val="00402D70"/>
    <w:rsid w:val="00403CE4"/>
    <w:rsid w:val="004075A3"/>
    <w:rsid w:val="00410A3F"/>
    <w:rsid w:val="0041144F"/>
    <w:rsid w:val="004143B1"/>
    <w:rsid w:val="00415A55"/>
    <w:rsid w:val="00421786"/>
    <w:rsid w:val="00425A1E"/>
    <w:rsid w:val="00425FCB"/>
    <w:rsid w:val="00430F1B"/>
    <w:rsid w:val="004327E1"/>
    <w:rsid w:val="00434240"/>
    <w:rsid w:val="00434641"/>
    <w:rsid w:val="00434CDD"/>
    <w:rsid w:val="00435352"/>
    <w:rsid w:val="004355D0"/>
    <w:rsid w:val="004355E8"/>
    <w:rsid w:val="00436435"/>
    <w:rsid w:val="00445460"/>
    <w:rsid w:val="00446B03"/>
    <w:rsid w:val="0044797F"/>
    <w:rsid w:val="00453281"/>
    <w:rsid w:val="00455C2A"/>
    <w:rsid w:val="00472F61"/>
    <w:rsid w:val="00481DE1"/>
    <w:rsid w:val="00484DBC"/>
    <w:rsid w:val="00490BA0"/>
    <w:rsid w:val="00494834"/>
    <w:rsid w:val="0049486C"/>
    <w:rsid w:val="004A2F70"/>
    <w:rsid w:val="004A409F"/>
    <w:rsid w:val="004A48D9"/>
    <w:rsid w:val="004A5FB9"/>
    <w:rsid w:val="004A6B2D"/>
    <w:rsid w:val="004B2C3F"/>
    <w:rsid w:val="004D5695"/>
    <w:rsid w:val="004D665B"/>
    <w:rsid w:val="004D7B86"/>
    <w:rsid w:val="004F53E6"/>
    <w:rsid w:val="004F54FF"/>
    <w:rsid w:val="00503218"/>
    <w:rsid w:val="00505873"/>
    <w:rsid w:val="00506F28"/>
    <w:rsid w:val="0051021F"/>
    <w:rsid w:val="005146EC"/>
    <w:rsid w:val="00515BBE"/>
    <w:rsid w:val="005169CB"/>
    <w:rsid w:val="00517337"/>
    <w:rsid w:val="005173FC"/>
    <w:rsid w:val="005221B7"/>
    <w:rsid w:val="00524226"/>
    <w:rsid w:val="00527330"/>
    <w:rsid w:val="005344CB"/>
    <w:rsid w:val="00536596"/>
    <w:rsid w:val="005366FF"/>
    <w:rsid w:val="00537A32"/>
    <w:rsid w:val="0054602B"/>
    <w:rsid w:val="00546375"/>
    <w:rsid w:val="00546BAF"/>
    <w:rsid w:val="005620CA"/>
    <w:rsid w:val="00572401"/>
    <w:rsid w:val="005732E6"/>
    <w:rsid w:val="00577C30"/>
    <w:rsid w:val="005812FF"/>
    <w:rsid w:val="005819C8"/>
    <w:rsid w:val="00582D0F"/>
    <w:rsid w:val="0058422E"/>
    <w:rsid w:val="00584B84"/>
    <w:rsid w:val="005905A0"/>
    <w:rsid w:val="00591EC0"/>
    <w:rsid w:val="00597535"/>
    <w:rsid w:val="005A54B4"/>
    <w:rsid w:val="005A7050"/>
    <w:rsid w:val="005B3CBC"/>
    <w:rsid w:val="005B510A"/>
    <w:rsid w:val="005C0740"/>
    <w:rsid w:val="005C18D0"/>
    <w:rsid w:val="005C3ADC"/>
    <w:rsid w:val="005E2026"/>
    <w:rsid w:val="005E20F7"/>
    <w:rsid w:val="005F4914"/>
    <w:rsid w:val="005F5DF6"/>
    <w:rsid w:val="005F5FA1"/>
    <w:rsid w:val="005F7D42"/>
    <w:rsid w:val="0060088C"/>
    <w:rsid w:val="00604F05"/>
    <w:rsid w:val="00611D31"/>
    <w:rsid w:val="00614C86"/>
    <w:rsid w:val="006202A1"/>
    <w:rsid w:val="0062319E"/>
    <w:rsid w:val="00625432"/>
    <w:rsid w:val="00626E42"/>
    <w:rsid w:val="00627EDA"/>
    <w:rsid w:val="00636200"/>
    <w:rsid w:val="00645DC7"/>
    <w:rsid w:val="0064724F"/>
    <w:rsid w:val="006507CB"/>
    <w:rsid w:val="00651D68"/>
    <w:rsid w:val="00652D30"/>
    <w:rsid w:val="00656314"/>
    <w:rsid w:val="00661BE8"/>
    <w:rsid w:val="00666C4C"/>
    <w:rsid w:val="00667B6F"/>
    <w:rsid w:val="00667F82"/>
    <w:rsid w:val="006700AA"/>
    <w:rsid w:val="00677248"/>
    <w:rsid w:val="00677A0D"/>
    <w:rsid w:val="00683087"/>
    <w:rsid w:val="00685653"/>
    <w:rsid w:val="00685DDA"/>
    <w:rsid w:val="006930D1"/>
    <w:rsid w:val="006931AD"/>
    <w:rsid w:val="006940BB"/>
    <w:rsid w:val="00696CF0"/>
    <w:rsid w:val="00697001"/>
    <w:rsid w:val="006A1788"/>
    <w:rsid w:val="006A666D"/>
    <w:rsid w:val="006B205A"/>
    <w:rsid w:val="006B2D99"/>
    <w:rsid w:val="006B6E38"/>
    <w:rsid w:val="006C397F"/>
    <w:rsid w:val="006D58E2"/>
    <w:rsid w:val="006D7B6B"/>
    <w:rsid w:val="006E3838"/>
    <w:rsid w:val="006E3C40"/>
    <w:rsid w:val="006E7699"/>
    <w:rsid w:val="006F0715"/>
    <w:rsid w:val="006F27AC"/>
    <w:rsid w:val="006F3E5C"/>
    <w:rsid w:val="006F627D"/>
    <w:rsid w:val="006F7E1F"/>
    <w:rsid w:val="00701CB8"/>
    <w:rsid w:val="00701E47"/>
    <w:rsid w:val="00706D89"/>
    <w:rsid w:val="00707E57"/>
    <w:rsid w:val="00707F49"/>
    <w:rsid w:val="007103B5"/>
    <w:rsid w:val="007205F2"/>
    <w:rsid w:val="007213BB"/>
    <w:rsid w:val="0072758F"/>
    <w:rsid w:val="007314EF"/>
    <w:rsid w:val="007333C6"/>
    <w:rsid w:val="0073763E"/>
    <w:rsid w:val="007452A0"/>
    <w:rsid w:val="00745FCA"/>
    <w:rsid w:val="00747943"/>
    <w:rsid w:val="00752BD5"/>
    <w:rsid w:val="00753090"/>
    <w:rsid w:val="0075573F"/>
    <w:rsid w:val="00756861"/>
    <w:rsid w:val="00756D99"/>
    <w:rsid w:val="00756F20"/>
    <w:rsid w:val="00760772"/>
    <w:rsid w:val="00760DDE"/>
    <w:rsid w:val="007620AE"/>
    <w:rsid w:val="00762A64"/>
    <w:rsid w:val="00772715"/>
    <w:rsid w:val="0077536C"/>
    <w:rsid w:val="00782538"/>
    <w:rsid w:val="007828DD"/>
    <w:rsid w:val="00783FAB"/>
    <w:rsid w:val="00785B13"/>
    <w:rsid w:val="00791AAC"/>
    <w:rsid w:val="00795969"/>
    <w:rsid w:val="007A1CBE"/>
    <w:rsid w:val="007A6AF0"/>
    <w:rsid w:val="007B44CD"/>
    <w:rsid w:val="007B4836"/>
    <w:rsid w:val="007B5831"/>
    <w:rsid w:val="007C5020"/>
    <w:rsid w:val="007D12B2"/>
    <w:rsid w:val="007D1F16"/>
    <w:rsid w:val="007D4E08"/>
    <w:rsid w:val="007E00A8"/>
    <w:rsid w:val="007E16D6"/>
    <w:rsid w:val="007E2197"/>
    <w:rsid w:val="007E3446"/>
    <w:rsid w:val="007E3447"/>
    <w:rsid w:val="007E36E5"/>
    <w:rsid w:val="007E6EC6"/>
    <w:rsid w:val="007F563E"/>
    <w:rsid w:val="00803447"/>
    <w:rsid w:val="008035CF"/>
    <w:rsid w:val="0080584E"/>
    <w:rsid w:val="00805FEB"/>
    <w:rsid w:val="00811E34"/>
    <w:rsid w:val="00812C37"/>
    <w:rsid w:val="008134D5"/>
    <w:rsid w:val="00813A38"/>
    <w:rsid w:val="00816812"/>
    <w:rsid w:val="00823B66"/>
    <w:rsid w:val="00824A98"/>
    <w:rsid w:val="008310AA"/>
    <w:rsid w:val="00834114"/>
    <w:rsid w:val="00844D23"/>
    <w:rsid w:val="008517D8"/>
    <w:rsid w:val="00852CDC"/>
    <w:rsid w:val="00855239"/>
    <w:rsid w:val="00856BC4"/>
    <w:rsid w:val="008620F8"/>
    <w:rsid w:val="00867101"/>
    <w:rsid w:val="008708DA"/>
    <w:rsid w:val="008755D8"/>
    <w:rsid w:val="0088497A"/>
    <w:rsid w:val="008A1F97"/>
    <w:rsid w:val="008A6224"/>
    <w:rsid w:val="008A7126"/>
    <w:rsid w:val="008B478B"/>
    <w:rsid w:val="008B61B7"/>
    <w:rsid w:val="008B7C90"/>
    <w:rsid w:val="008C48EF"/>
    <w:rsid w:val="008C497B"/>
    <w:rsid w:val="008C76FD"/>
    <w:rsid w:val="008D72EA"/>
    <w:rsid w:val="008D7625"/>
    <w:rsid w:val="008E30D6"/>
    <w:rsid w:val="008E30D9"/>
    <w:rsid w:val="008E3CC5"/>
    <w:rsid w:val="008E68D3"/>
    <w:rsid w:val="008E79DF"/>
    <w:rsid w:val="008F002D"/>
    <w:rsid w:val="008F43E8"/>
    <w:rsid w:val="00902A26"/>
    <w:rsid w:val="00903257"/>
    <w:rsid w:val="009048A2"/>
    <w:rsid w:val="00905952"/>
    <w:rsid w:val="00905C61"/>
    <w:rsid w:val="00907D61"/>
    <w:rsid w:val="00910064"/>
    <w:rsid w:val="009114DC"/>
    <w:rsid w:val="00911D92"/>
    <w:rsid w:val="009121D3"/>
    <w:rsid w:val="009176F5"/>
    <w:rsid w:val="00923927"/>
    <w:rsid w:val="00927343"/>
    <w:rsid w:val="00933AD6"/>
    <w:rsid w:val="009421AA"/>
    <w:rsid w:val="0094476A"/>
    <w:rsid w:val="0094774B"/>
    <w:rsid w:val="0095496F"/>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C0F35"/>
    <w:rsid w:val="009C10C1"/>
    <w:rsid w:val="009C198D"/>
    <w:rsid w:val="009C4F55"/>
    <w:rsid w:val="009C5E5D"/>
    <w:rsid w:val="009D23FB"/>
    <w:rsid w:val="009D7562"/>
    <w:rsid w:val="009E0803"/>
    <w:rsid w:val="009E7C1C"/>
    <w:rsid w:val="009F13BF"/>
    <w:rsid w:val="009F1D34"/>
    <w:rsid w:val="009F4C47"/>
    <w:rsid w:val="009F528F"/>
    <w:rsid w:val="009F6AC9"/>
    <w:rsid w:val="00A00C3A"/>
    <w:rsid w:val="00A05907"/>
    <w:rsid w:val="00A105DA"/>
    <w:rsid w:val="00A20031"/>
    <w:rsid w:val="00A202D5"/>
    <w:rsid w:val="00A23CDC"/>
    <w:rsid w:val="00A24596"/>
    <w:rsid w:val="00A24B24"/>
    <w:rsid w:val="00A25E6C"/>
    <w:rsid w:val="00A40E3D"/>
    <w:rsid w:val="00A40EA6"/>
    <w:rsid w:val="00A42CAD"/>
    <w:rsid w:val="00A47C4E"/>
    <w:rsid w:val="00A52753"/>
    <w:rsid w:val="00A5394E"/>
    <w:rsid w:val="00A550E8"/>
    <w:rsid w:val="00A556D1"/>
    <w:rsid w:val="00A56E8B"/>
    <w:rsid w:val="00A65DEA"/>
    <w:rsid w:val="00A71133"/>
    <w:rsid w:val="00A7209C"/>
    <w:rsid w:val="00A761C7"/>
    <w:rsid w:val="00A77D42"/>
    <w:rsid w:val="00A8073D"/>
    <w:rsid w:val="00A82E17"/>
    <w:rsid w:val="00A832B5"/>
    <w:rsid w:val="00A842D8"/>
    <w:rsid w:val="00A85075"/>
    <w:rsid w:val="00A90245"/>
    <w:rsid w:val="00A93F1F"/>
    <w:rsid w:val="00AA12F7"/>
    <w:rsid w:val="00AA3173"/>
    <w:rsid w:val="00AA3A3E"/>
    <w:rsid w:val="00AB19B6"/>
    <w:rsid w:val="00AB3480"/>
    <w:rsid w:val="00AC6ABA"/>
    <w:rsid w:val="00AD1C80"/>
    <w:rsid w:val="00AD2E24"/>
    <w:rsid w:val="00AD5627"/>
    <w:rsid w:val="00AD65C9"/>
    <w:rsid w:val="00AD6639"/>
    <w:rsid w:val="00AE4A25"/>
    <w:rsid w:val="00AE5CCB"/>
    <w:rsid w:val="00AE7179"/>
    <w:rsid w:val="00AF58D0"/>
    <w:rsid w:val="00AF6215"/>
    <w:rsid w:val="00AF66FC"/>
    <w:rsid w:val="00AF6F6E"/>
    <w:rsid w:val="00B00A18"/>
    <w:rsid w:val="00B07B91"/>
    <w:rsid w:val="00B11323"/>
    <w:rsid w:val="00B13681"/>
    <w:rsid w:val="00B13A2F"/>
    <w:rsid w:val="00B145D2"/>
    <w:rsid w:val="00B178D3"/>
    <w:rsid w:val="00B22F73"/>
    <w:rsid w:val="00B30400"/>
    <w:rsid w:val="00B339F8"/>
    <w:rsid w:val="00B4065C"/>
    <w:rsid w:val="00B43512"/>
    <w:rsid w:val="00B50EB4"/>
    <w:rsid w:val="00B52CD8"/>
    <w:rsid w:val="00B604EB"/>
    <w:rsid w:val="00B6108C"/>
    <w:rsid w:val="00B67F7B"/>
    <w:rsid w:val="00B739E2"/>
    <w:rsid w:val="00B8151D"/>
    <w:rsid w:val="00B819AA"/>
    <w:rsid w:val="00B86170"/>
    <w:rsid w:val="00B96D43"/>
    <w:rsid w:val="00BA54AA"/>
    <w:rsid w:val="00BB16E3"/>
    <w:rsid w:val="00BB18F9"/>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2416A"/>
    <w:rsid w:val="00C30E45"/>
    <w:rsid w:val="00C325A5"/>
    <w:rsid w:val="00C36A15"/>
    <w:rsid w:val="00C3701B"/>
    <w:rsid w:val="00C37043"/>
    <w:rsid w:val="00C4300F"/>
    <w:rsid w:val="00C45661"/>
    <w:rsid w:val="00C5010C"/>
    <w:rsid w:val="00C62BC1"/>
    <w:rsid w:val="00C64879"/>
    <w:rsid w:val="00C66953"/>
    <w:rsid w:val="00C73133"/>
    <w:rsid w:val="00C731FA"/>
    <w:rsid w:val="00C7617C"/>
    <w:rsid w:val="00C82C91"/>
    <w:rsid w:val="00C846A2"/>
    <w:rsid w:val="00C90EFC"/>
    <w:rsid w:val="00C90FC4"/>
    <w:rsid w:val="00C92A09"/>
    <w:rsid w:val="00C954B7"/>
    <w:rsid w:val="00C9591A"/>
    <w:rsid w:val="00CA46AC"/>
    <w:rsid w:val="00CA4F71"/>
    <w:rsid w:val="00CB337B"/>
    <w:rsid w:val="00CB45D5"/>
    <w:rsid w:val="00CB7A83"/>
    <w:rsid w:val="00CC3AE0"/>
    <w:rsid w:val="00CC3C0B"/>
    <w:rsid w:val="00CC3CD3"/>
    <w:rsid w:val="00CC4C6D"/>
    <w:rsid w:val="00CD20F8"/>
    <w:rsid w:val="00CD3705"/>
    <w:rsid w:val="00CD6E72"/>
    <w:rsid w:val="00CE3EA5"/>
    <w:rsid w:val="00CF1C96"/>
    <w:rsid w:val="00CF5A8C"/>
    <w:rsid w:val="00D010D3"/>
    <w:rsid w:val="00D05A8C"/>
    <w:rsid w:val="00D119DD"/>
    <w:rsid w:val="00D13E53"/>
    <w:rsid w:val="00D14A9D"/>
    <w:rsid w:val="00D17A67"/>
    <w:rsid w:val="00D17FC6"/>
    <w:rsid w:val="00D217D1"/>
    <w:rsid w:val="00D2517F"/>
    <w:rsid w:val="00D34752"/>
    <w:rsid w:val="00D3758C"/>
    <w:rsid w:val="00D41220"/>
    <w:rsid w:val="00D436F2"/>
    <w:rsid w:val="00D46134"/>
    <w:rsid w:val="00D468A9"/>
    <w:rsid w:val="00D50946"/>
    <w:rsid w:val="00D5387E"/>
    <w:rsid w:val="00D55877"/>
    <w:rsid w:val="00D56A3B"/>
    <w:rsid w:val="00D61A73"/>
    <w:rsid w:val="00D63270"/>
    <w:rsid w:val="00D63CDD"/>
    <w:rsid w:val="00D66B65"/>
    <w:rsid w:val="00D70EAE"/>
    <w:rsid w:val="00D73415"/>
    <w:rsid w:val="00D74B9B"/>
    <w:rsid w:val="00D773CB"/>
    <w:rsid w:val="00D8103E"/>
    <w:rsid w:val="00D818BA"/>
    <w:rsid w:val="00D842A2"/>
    <w:rsid w:val="00D84946"/>
    <w:rsid w:val="00D93741"/>
    <w:rsid w:val="00DA552F"/>
    <w:rsid w:val="00DB1C9E"/>
    <w:rsid w:val="00DB2434"/>
    <w:rsid w:val="00DB461B"/>
    <w:rsid w:val="00DB4D35"/>
    <w:rsid w:val="00DB6247"/>
    <w:rsid w:val="00DC17EC"/>
    <w:rsid w:val="00DC3E8C"/>
    <w:rsid w:val="00DC4B5E"/>
    <w:rsid w:val="00DD0611"/>
    <w:rsid w:val="00DD1234"/>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1223B"/>
    <w:rsid w:val="00E1257E"/>
    <w:rsid w:val="00E24E50"/>
    <w:rsid w:val="00E251EE"/>
    <w:rsid w:val="00E302D5"/>
    <w:rsid w:val="00E33927"/>
    <w:rsid w:val="00E33FED"/>
    <w:rsid w:val="00E43542"/>
    <w:rsid w:val="00E515F0"/>
    <w:rsid w:val="00E5541C"/>
    <w:rsid w:val="00E55D04"/>
    <w:rsid w:val="00E60A2A"/>
    <w:rsid w:val="00E62C51"/>
    <w:rsid w:val="00E631F9"/>
    <w:rsid w:val="00E662FD"/>
    <w:rsid w:val="00E72FD0"/>
    <w:rsid w:val="00E73B62"/>
    <w:rsid w:val="00E757D0"/>
    <w:rsid w:val="00E767BE"/>
    <w:rsid w:val="00E8671C"/>
    <w:rsid w:val="00E90298"/>
    <w:rsid w:val="00E916A2"/>
    <w:rsid w:val="00E91930"/>
    <w:rsid w:val="00EA0458"/>
    <w:rsid w:val="00EA35D2"/>
    <w:rsid w:val="00EA6D4F"/>
    <w:rsid w:val="00EA716A"/>
    <w:rsid w:val="00EA7EA8"/>
    <w:rsid w:val="00EC0A15"/>
    <w:rsid w:val="00EE412B"/>
    <w:rsid w:val="00EF3BA7"/>
    <w:rsid w:val="00EF4ACB"/>
    <w:rsid w:val="00F00674"/>
    <w:rsid w:val="00F03635"/>
    <w:rsid w:val="00F0455E"/>
    <w:rsid w:val="00F0609A"/>
    <w:rsid w:val="00F1230D"/>
    <w:rsid w:val="00F14BCE"/>
    <w:rsid w:val="00F16EA6"/>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2DC0"/>
    <w:rsid w:val="00F6460E"/>
    <w:rsid w:val="00F64CB4"/>
    <w:rsid w:val="00F65889"/>
    <w:rsid w:val="00F72398"/>
    <w:rsid w:val="00F74CC9"/>
    <w:rsid w:val="00F77106"/>
    <w:rsid w:val="00F85017"/>
    <w:rsid w:val="00F85B48"/>
    <w:rsid w:val="00F861AE"/>
    <w:rsid w:val="00F871D7"/>
    <w:rsid w:val="00F87FB6"/>
    <w:rsid w:val="00F90098"/>
    <w:rsid w:val="00F9205E"/>
    <w:rsid w:val="00F92FA5"/>
    <w:rsid w:val="00F935BD"/>
    <w:rsid w:val="00F96889"/>
    <w:rsid w:val="00FA6309"/>
    <w:rsid w:val="00FA6319"/>
    <w:rsid w:val="00FA6DED"/>
    <w:rsid w:val="00FB14CA"/>
    <w:rsid w:val="00FB46DD"/>
    <w:rsid w:val="00FB60EB"/>
    <w:rsid w:val="00FB656A"/>
    <w:rsid w:val="00FB7019"/>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2A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0032">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365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8835A06-A579-4DC6-8085-774ADBC213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55BB74E0E682E45AFF5B8A324DE45B8" ma:contentTypeVersion="" ma:contentTypeDescription="PDMS Document Site Content Type" ma:contentTypeScope="" ma:versionID="aefbe5f7eaaa40b9c1c04b86293445bf">
  <xsd:schema xmlns:xsd="http://www.w3.org/2001/XMLSchema" xmlns:xs="http://www.w3.org/2001/XMLSchema" xmlns:p="http://schemas.microsoft.com/office/2006/metadata/properties" xmlns:ns2="C8835A06-A579-4DC6-8085-774ADBC21361" targetNamespace="http://schemas.microsoft.com/office/2006/metadata/properties" ma:root="true" ma:fieldsID="b71910723621cbff5691682b7775c488" ns2:_="">
    <xsd:import namespace="C8835A06-A579-4DC6-8085-774ADBC213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35A06-A579-4DC6-8085-774ADBC213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C8835A06-A579-4DC6-8085-774ADBC21361"/>
  </ds:schemaRefs>
</ds:datastoreItem>
</file>

<file path=customXml/itemProps2.xml><?xml version="1.0" encoding="utf-8"?>
<ds:datastoreItem xmlns:ds="http://schemas.openxmlformats.org/officeDocument/2006/customXml" ds:itemID="{B7CA6378-F5D1-40CC-B79C-0187FDCE6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35A06-A579-4DC6-8085-774ADBC21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James McLaren</cp:lastModifiedBy>
  <cp:revision>3</cp:revision>
  <cp:lastPrinted>2019-11-17T23:12:00Z</cp:lastPrinted>
  <dcterms:created xsi:type="dcterms:W3CDTF">2023-12-12T04:56:00Z</dcterms:created>
  <dcterms:modified xsi:type="dcterms:W3CDTF">2023-12-13T00:35:00Z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0x010100266966F133664895A6EE3632470D45F500455BB74E0E682E45AFF5B8A324DE45B8</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ies>
</file>