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E60907" w14:textId="77777777" w:rsidR="00715914" w:rsidRPr="00FE7612" w:rsidRDefault="00DA186E" w:rsidP="00715914">
      <w:pPr>
        <w:rPr>
          <w:sz w:val="28"/>
        </w:rPr>
      </w:pPr>
      <w:r w:rsidRPr="00FE7612">
        <w:rPr>
          <w:noProof/>
          <w:lang w:eastAsia="en-AU"/>
        </w:rPr>
        <w:drawing>
          <wp:inline distT="0" distB="0" distL="0" distR="0" wp14:anchorId="208FA133" wp14:editId="7EAD397D">
            <wp:extent cx="1503328" cy="1105200"/>
            <wp:effectExtent l="0" t="0" r="1905" b="0"/>
            <wp:docPr id="1" name="Picture 1" descr="Commonwealth Coat of Arms of Austral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ommonwealth Coat of Arms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3328" cy="1105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5F54A7A" w14:textId="77777777" w:rsidR="00715914" w:rsidRPr="00FE7612" w:rsidRDefault="00715914" w:rsidP="00715914">
      <w:pPr>
        <w:rPr>
          <w:sz w:val="19"/>
        </w:rPr>
      </w:pPr>
    </w:p>
    <w:p w14:paraId="0E370AC2" w14:textId="23751578" w:rsidR="00554826" w:rsidRPr="00FE7612" w:rsidRDefault="0078268E" w:rsidP="00554826">
      <w:pPr>
        <w:pStyle w:val="ShortT"/>
      </w:pPr>
      <w:r w:rsidRPr="00FE7612">
        <w:t>Taxation Administration (</w:t>
      </w:r>
      <w:r w:rsidR="004E23EB" w:rsidRPr="00FE7612">
        <w:t xml:space="preserve">Reporting </w:t>
      </w:r>
      <w:r w:rsidRPr="00FE7612">
        <w:t>Exemptions for Electronic Distribution Platform Operators – Relevant Accommodation and Taxi Travel) Determination 2023</w:t>
      </w:r>
    </w:p>
    <w:p w14:paraId="70A45F2F" w14:textId="40D84197" w:rsidR="00554826" w:rsidRPr="00FE7612" w:rsidRDefault="00554826" w:rsidP="00554826">
      <w:pPr>
        <w:pStyle w:val="SignCoverPageStart"/>
        <w:spacing w:before="240"/>
        <w:ind w:right="91"/>
        <w:rPr>
          <w:szCs w:val="22"/>
        </w:rPr>
      </w:pPr>
      <w:r w:rsidRPr="00FE7612">
        <w:rPr>
          <w:szCs w:val="22"/>
        </w:rPr>
        <w:t xml:space="preserve">I, </w:t>
      </w:r>
      <w:r w:rsidR="0078268E" w:rsidRPr="00FE7612">
        <w:rPr>
          <w:szCs w:val="22"/>
        </w:rPr>
        <w:t>Ben Kelly</w:t>
      </w:r>
      <w:r w:rsidRPr="00FE7612">
        <w:rPr>
          <w:szCs w:val="22"/>
        </w:rPr>
        <w:t xml:space="preserve">, </w:t>
      </w:r>
      <w:r w:rsidR="0078268E" w:rsidRPr="00FE7612">
        <w:rPr>
          <w:szCs w:val="22"/>
        </w:rPr>
        <w:t>Deputy Commissioner of Taxation</w:t>
      </w:r>
      <w:r w:rsidRPr="00FE7612">
        <w:rPr>
          <w:szCs w:val="22"/>
        </w:rPr>
        <w:t xml:space="preserve">, make the following </w:t>
      </w:r>
      <w:r w:rsidR="0078268E" w:rsidRPr="00FE7612">
        <w:rPr>
          <w:szCs w:val="22"/>
        </w:rPr>
        <w:t>determination</w:t>
      </w:r>
      <w:r w:rsidRPr="00FE7612">
        <w:rPr>
          <w:szCs w:val="22"/>
        </w:rPr>
        <w:t>.</w:t>
      </w:r>
    </w:p>
    <w:p w14:paraId="6CE47C71" w14:textId="0C9FB141" w:rsidR="00554826" w:rsidRPr="00FE7612" w:rsidRDefault="00554826" w:rsidP="00554826">
      <w:pPr>
        <w:keepNext/>
        <w:spacing w:before="300" w:line="240" w:lineRule="atLeast"/>
        <w:ind w:right="397"/>
        <w:jc w:val="both"/>
        <w:rPr>
          <w:szCs w:val="22"/>
        </w:rPr>
      </w:pPr>
      <w:r w:rsidRPr="00FE7612">
        <w:rPr>
          <w:szCs w:val="22"/>
        </w:rPr>
        <w:t>Dated</w:t>
      </w:r>
      <w:r w:rsidRPr="00FE7612">
        <w:rPr>
          <w:szCs w:val="22"/>
        </w:rPr>
        <w:tab/>
      </w:r>
      <w:r w:rsidRPr="00FE7612">
        <w:rPr>
          <w:szCs w:val="22"/>
        </w:rPr>
        <w:tab/>
      </w:r>
      <w:r w:rsidR="00AA43BE" w:rsidRPr="00FE7612">
        <w:rPr>
          <w:szCs w:val="22"/>
        </w:rPr>
        <w:t>21 November 2023</w:t>
      </w:r>
    </w:p>
    <w:p w14:paraId="1486EA53" w14:textId="655FB219" w:rsidR="00554826" w:rsidRPr="00FE7612" w:rsidRDefault="0078268E" w:rsidP="00554826">
      <w:pPr>
        <w:keepNext/>
        <w:tabs>
          <w:tab w:val="left" w:pos="3402"/>
        </w:tabs>
        <w:spacing w:before="1440" w:line="300" w:lineRule="atLeast"/>
        <w:ind w:right="397"/>
        <w:rPr>
          <w:b/>
          <w:szCs w:val="22"/>
        </w:rPr>
      </w:pPr>
      <w:r w:rsidRPr="00FE7612">
        <w:rPr>
          <w:szCs w:val="22"/>
        </w:rPr>
        <w:t>Ben Kelly</w:t>
      </w:r>
    </w:p>
    <w:p w14:paraId="16D81B97" w14:textId="675BC3B3" w:rsidR="00554826" w:rsidRPr="00FE7612" w:rsidRDefault="0078268E" w:rsidP="00554826">
      <w:pPr>
        <w:pStyle w:val="SignCoverPageEnd"/>
        <w:ind w:right="91"/>
        <w:rPr>
          <w:sz w:val="22"/>
        </w:rPr>
      </w:pPr>
      <w:r w:rsidRPr="00FE7612">
        <w:rPr>
          <w:sz w:val="22"/>
        </w:rPr>
        <w:t>Deputy Commissioner of Taxation</w:t>
      </w:r>
    </w:p>
    <w:p w14:paraId="7BA7347D" w14:textId="77777777" w:rsidR="00554826" w:rsidRPr="00FE7612" w:rsidRDefault="00554826" w:rsidP="00554826"/>
    <w:p w14:paraId="589587EF" w14:textId="77777777" w:rsidR="00554826" w:rsidRPr="00FE7612" w:rsidRDefault="00554826" w:rsidP="00554826"/>
    <w:p w14:paraId="7B8CC4A5" w14:textId="77777777" w:rsidR="00F6696E" w:rsidRPr="00FE7612" w:rsidRDefault="00F6696E" w:rsidP="00F6696E"/>
    <w:p w14:paraId="6260F290" w14:textId="77777777" w:rsidR="00F6696E" w:rsidRPr="00FE7612" w:rsidRDefault="00F6696E" w:rsidP="00F6696E">
      <w:pPr>
        <w:sectPr w:rsidR="00F6696E" w:rsidRPr="00FE7612" w:rsidSect="00F6696E">
          <w:headerReference w:type="even" r:id="rId9"/>
          <w:headerReference w:type="default" r:id="rId10"/>
          <w:footerReference w:type="even" r:id="rId11"/>
          <w:footerReference w:type="default" r:id="rId12"/>
          <w:footerReference w:type="first" r:id="rId13"/>
          <w:type w:val="continuous"/>
          <w:pgSz w:w="11907" w:h="16839" w:code="9"/>
          <w:pgMar w:top="2234" w:right="1797" w:bottom="1440" w:left="1797" w:header="720" w:footer="989" w:gutter="0"/>
          <w:pgNumType w:start="1"/>
          <w:cols w:space="708"/>
          <w:titlePg/>
          <w:docGrid w:linePitch="360"/>
        </w:sectPr>
      </w:pPr>
    </w:p>
    <w:p w14:paraId="3C466BA2" w14:textId="77777777" w:rsidR="007500C8" w:rsidRPr="00FE7612" w:rsidRDefault="00715914" w:rsidP="00715914">
      <w:pPr>
        <w:outlineLvl w:val="0"/>
        <w:rPr>
          <w:sz w:val="36"/>
        </w:rPr>
      </w:pPr>
      <w:r w:rsidRPr="00FE7612">
        <w:rPr>
          <w:sz w:val="36"/>
        </w:rPr>
        <w:lastRenderedPageBreak/>
        <w:t>Contents</w:t>
      </w:r>
    </w:p>
    <w:p w14:paraId="1503EA85" w14:textId="469612ED" w:rsidR="00FE7612" w:rsidRDefault="00B418CB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FE7612">
        <w:fldChar w:fldCharType="begin"/>
      </w:r>
      <w:r w:rsidRPr="00FE7612">
        <w:instrText xml:space="preserve"> TOC \o "1-9" </w:instrText>
      </w:r>
      <w:r w:rsidRPr="00FE7612">
        <w:fldChar w:fldCharType="separate"/>
      </w:r>
      <w:r w:rsidR="00FE7612">
        <w:rPr>
          <w:noProof/>
        </w:rPr>
        <w:t>1  Name</w:t>
      </w:r>
      <w:r w:rsidR="00FE7612">
        <w:rPr>
          <w:noProof/>
        </w:rPr>
        <w:tab/>
      </w:r>
      <w:r w:rsidR="00FE7612">
        <w:rPr>
          <w:noProof/>
        </w:rPr>
        <w:fldChar w:fldCharType="begin"/>
      </w:r>
      <w:r w:rsidR="00FE7612">
        <w:rPr>
          <w:noProof/>
        </w:rPr>
        <w:instrText xml:space="preserve"> PAGEREF _Toc151625111 \h </w:instrText>
      </w:r>
      <w:r w:rsidR="00FE7612">
        <w:rPr>
          <w:noProof/>
        </w:rPr>
      </w:r>
      <w:r w:rsidR="00FE7612">
        <w:rPr>
          <w:noProof/>
        </w:rPr>
        <w:fldChar w:fldCharType="separate"/>
      </w:r>
      <w:r w:rsidR="00FE7612">
        <w:rPr>
          <w:noProof/>
        </w:rPr>
        <w:t>1</w:t>
      </w:r>
      <w:r w:rsidR="00FE7612">
        <w:rPr>
          <w:noProof/>
        </w:rPr>
        <w:fldChar w:fldCharType="end"/>
      </w:r>
    </w:p>
    <w:p w14:paraId="5248B8D9" w14:textId="428AE76C" w:rsidR="00FE7612" w:rsidRDefault="00FE7612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2  Commencement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_Toc151625112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1</w:t>
      </w:r>
      <w:r>
        <w:rPr>
          <w:noProof/>
        </w:rPr>
        <w:fldChar w:fldCharType="end"/>
      </w:r>
    </w:p>
    <w:p w14:paraId="4AE83014" w14:textId="55B1654C" w:rsidR="00FE7612" w:rsidRDefault="00FE7612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3  Authority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_Toc151625113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1</w:t>
      </w:r>
      <w:r>
        <w:rPr>
          <w:noProof/>
        </w:rPr>
        <w:fldChar w:fldCharType="end"/>
      </w:r>
    </w:p>
    <w:p w14:paraId="48894189" w14:textId="65FBAF9F" w:rsidR="00FE7612" w:rsidRDefault="00FE7612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4  Definitions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_Toc151625114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1</w:t>
      </w:r>
      <w:r>
        <w:rPr>
          <w:noProof/>
        </w:rPr>
        <w:fldChar w:fldCharType="end"/>
      </w:r>
    </w:p>
    <w:p w14:paraId="54A40F8B" w14:textId="4D9AEC07" w:rsidR="00FE7612" w:rsidRDefault="00FE7612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5  Exemption for certain operators of electronic distribution platforms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_Toc151625115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2</w:t>
      </w:r>
      <w:r>
        <w:rPr>
          <w:noProof/>
        </w:rPr>
        <w:fldChar w:fldCharType="end"/>
      </w:r>
    </w:p>
    <w:p w14:paraId="34F51B1E" w14:textId="20F725DD" w:rsidR="00FE7612" w:rsidRDefault="00FE7612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6  Exemption for certain transactions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_Toc151625116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3</w:t>
      </w:r>
      <w:r>
        <w:rPr>
          <w:noProof/>
        </w:rPr>
        <w:fldChar w:fldCharType="end"/>
      </w:r>
    </w:p>
    <w:p w14:paraId="15F7C34C" w14:textId="3A1E1CA6" w:rsidR="00F6696E" w:rsidRPr="00FE7612" w:rsidRDefault="00B418CB" w:rsidP="00F6696E">
      <w:pPr>
        <w:outlineLvl w:val="0"/>
      </w:pPr>
      <w:r w:rsidRPr="00FE7612">
        <w:fldChar w:fldCharType="end"/>
      </w:r>
    </w:p>
    <w:p w14:paraId="5D0BF37A" w14:textId="77777777" w:rsidR="00F6696E" w:rsidRPr="00FE7612" w:rsidRDefault="00F6696E" w:rsidP="00F6696E">
      <w:pPr>
        <w:outlineLvl w:val="0"/>
        <w:rPr>
          <w:sz w:val="20"/>
        </w:rPr>
      </w:pPr>
    </w:p>
    <w:p w14:paraId="2E888A5B" w14:textId="77777777" w:rsidR="00F6696E" w:rsidRPr="00FE7612" w:rsidRDefault="00F6696E" w:rsidP="00F6696E">
      <w:pPr>
        <w:sectPr w:rsidR="00F6696E" w:rsidRPr="00FE7612" w:rsidSect="00B03F09">
          <w:headerReference w:type="even" r:id="rId14"/>
          <w:headerReference w:type="default" r:id="rId15"/>
          <w:footerReference w:type="even" r:id="rId16"/>
          <w:footerReference w:type="default" r:id="rId17"/>
          <w:headerReference w:type="first" r:id="rId18"/>
          <w:pgSz w:w="11907" w:h="16839"/>
          <w:pgMar w:top="2099" w:right="1797" w:bottom="1440" w:left="1797" w:header="720" w:footer="709" w:gutter="0"/>
          <w:pgNumType w:fmt="lowerRoman" w:start="1"/>
          <w:cols w:space="708"/>
          <w:docGrid w:linePitch="360"/>
        </w:sectPr>
      </w:pPr>
    </w:p>
    <w:p w14:paraId="47308246" w14:textId="596DD3DD" w:rsidR="00554826" w:rsidRPr="00FE7612" w:rsidRDefault="00554826" w:rsidP="00554826">
      <w:pPr>
        <w:pStyle w:val="ActHead5"/>
      </w:pPr>
      <w:bookmarkStart w:id="0" w:name="_Toc151625111"/>
      <w:r w:rsidRPr="00FE7612">
        <w:lastRenderedPageBreak/>
        <w:t>1  Name</w:t>
      </w:r>
      <w:bookmarkEnd w:id="0"/>
    </w:p>
    <w:p w14:paraId="2B02A0A1" w14:textId="1132A090" w:rsidR="00554826" w:rsidRPr="00FE7612" w:rsidRDefault="00554826" w:rsidP="00554826">
      <w:pPr>
        <w:pStyle w:val="subsection"/>
      </w:pPr>
      <w:r w:rsidRPr="00FE7612">
        <w:tab/>
      </w:r>
      <w:r w:rsidRPr="00FE7612">
        <w:tab/>
      </w:r>
      <w:r w:rsidR="005A51A9" w:rsidRPr="00FE7612">
        <w:t xml:space="preserve">This instrument is the </w:t>
      </w:r>
      <w:r w:rsidR="005A51A9" w:rsidRPr="00FE7612">
        <w:rPr>
          <w:i/>
        </w:rPr>
        <w:t xml:space="preserve">Taxation Administration (Reporting Exemptions for Electronic Distribution Platform Operators </w:t>
      </w:r>
      <w:r w:rsidR="005A51A9" w:rsidRPr="00FE7612">
        <w:t xml:space="preserve">– </w:t>
      </w:r>
      <w:r w:rsidR="005A51A9" w:rsidRPr="00FE7612">
        <w:rPr>
          <w:i/>
          <w:iCs/>
        </w:rPr>
        <w:t>Relevant Accommodation and Taxi Travel</w:t>
      </w:r>
      <w:r w:rsidR="005A51A9" w:rsidRPr="00FE7612">
        <w:rPr>
          <w:i/>
        </w:rPr>
        <w:t>) Determination 2023</w:t>
      </w:r>
      <w:r w:rsidR="005A51A9" w:rsidRPr="00FE7612">
        <w:t>.</w:t>
      </w:r>
      <w:bookmarkStart w:id="1" w:name="BKCheck15B_3"/>
      <w:bookmarkEnd w:id="1"/>
    </w:p>
    <w:p w14:paraId="1ED91B3B" w14:textId="239F4D2A" w:rsidR="00554826" w:rsidRPr="00FE7612" w:rsidRDefault="00554826" w:rsidP="00554826">
      <w:pPr>
        <w:pStyle w:val="ActHead5"/>
      </w:pPr>
      <w:bookmarkStart w:id="2" w:name="_Toc151625112"/>
      <w:r w:rsidRPr="00FE7612">
        <w:t>2  Commencement</w:t>
      </w:r>
      <w:bookmarkEnd w:id="2"/>
    </w:p>
    <w:p w14:paraId="09F658A4" w14:textId="77777777" w:rsidR="003767E2" w:rsidRPr="00FE7612" w:rsidRDefault="003767E2" w:rsidP="003767E2">
      <w:pPr>
        <w:pStyle w:val="subsection"/>
      </w:pPr>
      <w:r w:rsidRPr="00FE7612">
        <w:tab/>
        <w:t>(1)</w:t>
      </w:r>
      <w:r w:rsidRPr="00FE7612">
        <w:tab/>
        <w:t>Each provision of this instrument specified in column 1 of the table commences, or is taken to have commenced, in accordance with column 2 of the table. Any other statement in column 2 has effect according to its terms.</w:t>
      </w:r>
    </w:p>
    <w:p w14:paraId="4AB33384" w14:textId="77777777" w:rsidR="003767E2" w:rsidRPr="00FE7612" w:rsidRDefault="003767E2" w:rsidP="003767E2">
      <w:pPr>
        <w:pStyle w:val="Tabletext"/>
      </w:pPr>
    </w:p>
    <w:tbl>
      <w:tblPr>
        <w:tblW w:w="0" w:type="auto"/>
        <w:tblInd w:w="107" w:type="dxa"/>
        <w:tblBorders>
          <w:top w:val="single" w:sz="4" w:space="0" w:color="auto"/>
          <w:bottom w:val="single" w:sz="2" w:space="0" w:color="auto"/>
          <w:insideH w:val="single" w:sz="2" w:space="0" w:color="auto"/>
        </w:tblBorders>
        <w:tblLayout w:type="fixed"/>
        <w:tblCellMar>
          <w:left w:w="107" w:type="dxa"/>
          <w:right w:w="107" w:type="dxa"/>
        </w:tblCellMar>
        <w:tblLook w:val="04A0" w:firstRow="1" w:lastRow="0" w:firstColumn="1" w:lastColumn="0" w:noHBand="0" w:noVBand="1"/>
      </w:tblPr>
      <w:tblGrid>
        <w:gridCol w:w="2127"/>
        <w:gridCol w:w="4394"/>
        <w:gridCol w:w="1843"/>
      </w:tblGrid>
      <w:tr w:rsidR="003767E2" w:rsidRPr="00FE7612" w14:paraId="4D34B1B4" w14:textId="77777777" w:rsidTr="00B03F09">
        <w:trPr>
          <w:tblHeader/>
        </w:trPr>
        <w:tc>
          <w:tcPr>
            <w:tcW w:w="8364" w:type="dxa"/>
            <w:gridSpan w:val="3"/>
            <w:tcBorders>
              <w:top w:val="single" w:sz="12" w:space="0" w:color="auto"/>
              <w:bottom w:val="single" w:sz="6" w:space="0" w:color="auto"/>
            </w:tcBorders>
            <w:shd w:val="clear" w:color="auto" w:fill="auto"/>
            <w:hideMark/>
          </w:tcPr>
          <w:p w14:paraId="57CC21AC" w14:textId="77777777" w:rsidR="003767E2" w:rsidRPr="00FE7612" w:rsidRDefault="003767E2" w:rsidP="00B03F09">
            <w:pPr>
              <w:pStyle w:val="TableHeading"/>
            </w:pPr>
            <w:r w:rsidRPr="00FE7612">
              <w:t>Commencement information</w:t>
            </w:r>
          </w:p>
        </w:tc>
      </w:tr>
      <w:tr w:rsidR="003767E2" w:rsidRPr="00FE7612" w14:paraId="7A5CD8C5" w14:textId="77777777" w:rsidTr="00B03F09">
        <w:trPr>
          <w:tblHeader/>
        </w:trPr>
        <w:tc>
          <w:tcPr>
            <w:tcW w:w="212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hideMark/>
          </w:tcPr>
          <w:p w14:paraId="799227A5" w14:textId="77777777" w:rsidR="003767E2" w:rsidRPr="00FE7612" w:rsidRDefault="003767E2" w:rsidP="00B03F09">
            <w:pPr>
              <w:pStyle w:val="TableHeading"/>
            </w:pPr>
            <w:r w:rsidRPr="00FE7612">
              <w:t>Column 1</w:t>
            </w:r>
          </w:p>
        </w:tc>
        <w:tc>
          <w:tcPr>
            <w:tcW w:w="4394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hideMark/>
          </w:tcPr>
          <w:p w14:paraId="7707DC4D" w14:textId="77777777" w:rsidR="003767E2" w:rsidRPr="00FE7612" w:rsidRDefault="003767E2" w:rsidP="00B03F09">
            <w:pPr>
              <w:pStyle w:val="TableHeading"/>
            </w:pPr>
            <w:r w:rsidRPr="00FE7612">
              <w:t>Column 2</w:t>
            </w:r>
          </w:p>
        </w:tc>
        <w:tc>
          <w:tcPr>
            <w:tcW w:w="184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hideMark/>
          </w:tcPr>
          <w:p w14:paraId="039B5D74" w14:textId="77777777" w:rsidR="003767E2" w:rsidRPr="00FE7612" w:rsidRDefault="003767E2" w:rsidP="00B03F09">
            <w:pPr>
              <w:pStyle w:val="TableHeading"/>
            </w:pPr>
            <w:r w:rsidRPr="00FE7612">
              <w:t>Column 3</w:t>
            </w:r>
          </w:p>
        </w:tc>
      </w:tr>
      <w:tr w:rsidR="003767E2" w:rsidRPr="00FE7612" w14:paraId="517600E8" w14:textId="77777777" w:rsidTr="00B03F09">
        <w:trPr>
          <w:tblHeader/>
        </w:trPr>
        <w:tc>
          <w:tcPr>
            <w:tcW w:w="2127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  <w:hideMark/>
          </w:tcPr>
          <w:p w14:paraId="56F4EF28" w14:textId="77777777" w:rsidR="003767E2" w:rsidRPr="00FE7612" w:rsidRDefault="003767E2" w:rsidP="00B03F09">
            <w:pPr>
              <w:pStyle w:val="TableHeading"/>
            </w:pPr>
            <w:r w:rsidRPr="00FE7612">
              <w:t>Provisions</w:t>
            </w:r>
          </w:p>
        </w:tc>
        <w:tc>
          <w:tcPr>
            <w:tcW w:w="4394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  <w:hideMark/>
          </w:tcPr>
          <w:p w14:paraId="0D87B976" w14:textId="77777777" w:rsidR="003767E2" w:rsidRPr="00FE7612" w:rsidRDefault="003767E2" w:rsidP="00B03F09">
            <w:pPr>
              <w:pStyle w:val="TableHeading"/>
            </w:pPr>
            <w:r w:rsidRPr="00FE7612">
              <w:t>Commencement</w:t>
            </w:r>
          </w:p>
        </w:tc>
        <w:tc>
          <w:tcPr>
            <w:tcW w:w="1843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  <w:hideMark/>
          </w:tcPr>
          <w:p w14:paraId="2AE294DF" w14:textId="77777777" w:rsidR="003767E2" w:rsidRPr="00FE7612" w:rsidRDefault="003767E2" w:rsidP="00B03F09">
            <w:pPr>
              <w:pStyle w:val="TableHeading"/>
            </w:pPr>
            <w:r w:rsidRPr="00FE7612">
              <w:t>Date/Details</w:t>
            </w:r>
          </w:p>
        </w:tc>
      </w:tr>
      <w:tr w:rsidR="003767E2" w:rsidRPr="00FE7612" w14:paraId="58E8118F" w14:textId="77777777" w:rsidTr="00B03F09">
        <w:tc>
          <w:tcPr>
            <w:tcW w:w="2127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hideMark/>
          </w:tcPr>
          <w:p w14:paraId="370DB294" w14:textId="77413122" w:rsidR="003767E2" w:rsidRPr="00FE7612" w:rsidRDefault="003767E2" w:rsidP="00B03F09">
            <w:pPr>
              <w:pStyle w:val="Tabletext"/>
              <w:rPr>
                <w:i/>
              </w:rPr>
            </w:pPr>
            <w:r w:rsidRPr="00FE7612">
              <w:t xml:space="preserve">1.  </w:t>
            </w:r>
            <w:r w:rsidR="0078268E" w:rsidRPr="00FE7612">
              <w:rPr>
                <w:iCs/>
              </w:rPr>
              <w:t>The whole of this instrument</w:t>
            </w:r>
          </w:p>
        </w:tc>
        <w:tc>
          <w:tcPr>
            <w:tcW w:w="4394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hideMark/>
          </w:tcPr>
          <w:p w14:paraId="238899A1" w14:textId="3966117E" w:rsidR="003767E2" w:rsidRPr="00FE7612" w:rsidRDefault="0078268E" w:rsidP="00B03F09">
            <w:pPr>
              <w:pStyle w:val="Tabletext"/>
              <w:rPr>
                <w:iCs/>
              </w:rPr>
            </w:pPr>
            <w:r w:rsidRPr="00FE7612">
              <w:rPr>
                <w:iCs/>
              </w:rPr>
              <w:t>1 July 2023</w:t>
            </w:r>
          </w:p>
        </w:tc>
        <w:tc>
          <w:tcPr>
            <w:tcW w:w="1843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14:paraId="4A7A825D" w14:textId="1BB9DDAD" w:rsidR="003767E2" w:rsidRPr="00FE7612" w:rsidRDefault="0078268E" w:rsidP="00B03F09">
            <w:pPr>
              <w:pStyle w:val="Tabletext"/>
              <w:rPr>
                <w:iCs/>
              </w:rPr>
            </w:pPr>
            <w:r w:rsidRPr="00FE7612">
              <w:rPr>
                <w:iCs/>
              </w:rPr>
              <w:t>1 July 2023</w:t>
            </w:r>
          </w:p>
        </w:tc>
      </w:tr>
    </w:tbl>
    <w:p w14:paraId="59F68ABE" w14:textId="77777777" w:rsidR="003767E2" w:rsidRPr="00FE7612" w:rsidRDefault="003767E2" w:rsidP="003767E2">
      <w:pPr>
        <w:pStyle w:val="notetext"/>
      </w:pPr>
      <w:r w:rsidRPr="00FE7612">
        <w:rPr>
          <w:snapToGrid w:val="0"/>
          <w:lang w:eastAsia="en-US"/>
        </w:rPr>
        <w:t>Note:</w:t>
      </w:r>
      <w:r w:rsidRPr="00FE7612">
        <w:rPr>
          <w:snapToGrid w:val="0"/>
          <w:lang w:eastAsia="en-US"/>
        </w:rPr>
        <w:tab/>
        <w:t>This table relates only to the provisions of this instrument</w:t>
      </w:r>
      <w:r w:rsidRPr="00FE7612">
        <w:t xml:space="preserve"> </w:t>
      </w:r>
      <w:r w:rsidRPr="00FE7612">
        <w:rPr>
          <w:snapToGrid w:val="0"/>
          <w:lang w:eastAsia="en-US"/>
        </w:rPr>
        <w:t>as originally made. It will not be amended to deal with any later amendments of this instrument.</w:t>
      </w:r>
    </w:p>
    <w:p w14:paraId="62357529" w14:textId="77777777" w:rsidR="003767E2" w:rsidRPr="00FE7612" w:rsidRDefault="003767E2" w:rsidP="003767E2">
      <w:pPr>
        <w:pStyle w:val="subsection"/>
      </w:pPr>
      <w:r w:rsidRPr="00FE7612">
        <w:tab/>
        <w:t>(2)</w:t>
      </w:r>
      <w:r w:rsidRPr="00FE7612">
        <w:tab/>
        <w:t>Any information in column 3 of the table is not part of this instrument. Information may be inserted in this column, or information in it may be edited, in any published version of this instrument.</w:t>
      </w:r>
    </w:p>
    <w:p w14:paraId="37DC9371" w14:textId="2F11A995" w:rsidR="00554826" w:rsidRPr="00FE7612" w:rsidRDefault="00554826" w:rsidP="00554826">
      <w:pPr>
        <w:pStyle w:val="ActHead5"/>
      </w:pPr>
      <w:bookmarkStart w:id="3" w:name="_Toc151625113"/>
      <w:r w:rsidRPr="00FE7612">
        <w:t>3  Authority</w:t>
      </w:r>
      <w:bookmarkEnd w:id="3"/>
    </w:p>
    <w:p w14:paraId="24111EF5" w14:textId="779C4E78" w:rsidR="00554826" w:rsidRPr="00FE7612" w:rsidRDefault="00554826" w:rsidP="00554826">
      <w:pPr>
        <w:pStyle w:val="subsection"/>
      </w:pPr>
      <w:r w:rsidRPr="00FE7612">
        <w:tab/>
      </w:r>
      <w:r w:rsidRPr="00FE7612">
        <w:tab/>
      </w:r>
      <w:r w:rsidR="005A51A9" w:rsidRPr="00FE7612">
        <w:t>This instrument is made under subsection 396-70(4) in Schedule 1 to the Act.</w:t>
      </w:r>
    </w:p>
    <w:p w14:paraId="3FDD6CBA" w14:textId="771156FA" w:rsidR="00554826" w:rsidRPr="00FE7612" w:rsidRDefault="00554826" w:rsidP="00554826">
      <w:pPr>
        <w:pStyle w:val="ActHead5"/>
      </w:pPr>
      <w:bookmarkStart w:id="4" w:name="_Toc151625114"/>
      <w:r w:rsidRPr="00FE7612">
        <w:t>4  Definitions</w:t>
      </w:r>
      <w:bookmarkEnd w:id="4"/>
    </w:p>
    <w:p w14:paraId="45432E6C" w14:textId="77777777" w:rsidR="005A51A9" w:rsidRPr="00FE7612" w:rsidRDefault="0078268E" w:rsidP="005A51A9">
      <w:pPr>
        <w:pStyle w:val="subsection"/>
      </w:pPr>
      <w:bookmarkStart w:id="5" w:name="_Toc454781205"/>
      <w:r w:rsidRPr="00FE7612">
        <w:tab/>
      </w:r>
      <w:r w:rsidRPr="00FE7612">
        <w:tab/>
      </w:r>
      <w:bookmarkEnd w:id="5"/>
      <w:r w:rsidR="005A51A9" w:rsidRPr="00FE7612">
        <w:t>In this instrument:</w:t>
      </w:r>
    </w:p>
    <w:p w14:paraId="3D58B2A3" w14:textId="77777777" w:rsidR="005A51A9" w:rsidRPr="00FE7612" w:rsidRDefault="005A51A9" w:rsidP="005A51A9">
      <w:pPr>
        <w:pStyle w:val="Definition"/>
        <w:tabs>
          <w:tab w:val="left" w:pos="6630"/>
        </w:tabs>
        <w:rPr>
          <w:iCs/>
        </w:rPr>
      </w:pPr>
      <w:r w:rsidRPr="00FE7612">
        <w:rPr>
          <w:b/>
          <w:i/>
        </w:rPr>
        <w:t>Act</w:t>
      </w:r>
      <w:r w:rsidRPr="00FE7612">
        <w:t xml:space="preserve"> means the </w:t>
      </w:r>
      <w:r w:rsidRPr="00FE7612">
        <w:rPr>
          <w:i/>
        </w:rPr>
        <w:t>Taxation Administration Act 1953</w:t>
      </w:r>
      <w:r w:rsidRPr="00FE7612">
        <w:rPr>
          <w:iCs/>
        </w:rPr>
        <w:t>.</w:t>
      </w:r>
    </w:p>
    <w:p w14:paraId="0EC9E30C" w14:textId="77777777" w:rsidR="005A51A9" w:rsidRPr="00FE7612" w:rsidRDefault="005A51A9" w:rsidP="005A51A9">
      <w:pPr>
        <w:pStyle w:val="Definition"/>
      </w:pPr>
      <w:r w:rsidRPr="00FE7612">
        <w:rPr>
          <w:b/>
          <w:bCs/>
          <w:i/>
          <w:iCs/>
        </w:rPr>
        <w:t>electronic distribution platform</w:t>
      </w:r>
      <w:r w:rsidRPr="00FE7612">
        <w:t xml:space="preserve"> has the same meaning as in section 84-70 of</w:t>
      </w:r>
      <w:r w:rsidRPr="00FE7612">
        <w:rPr>
          <w:i/>
          <w:iCs/>
        </w:rPr>
        <w:t xml:space="preserve"> </w:t>
      </w:r>
      <w:r w:rsidRPr="00FE7612">
        <w:t>the</w:t>
      </w:r>
      <w:r w:rsidRPr="00FE7612">
        <w:rPr>
          <w:i/>
          <w:iCs/>
        </w:rPr>
        <w:t xml:space="preserve"> </w:t>
      </w:r>
      <w:r w:rsidRPr="00FE7612">
        <w:t>GST Act, but disregarding paragraph 84-70(1)(c).</w:t>
      </w:r>
    </w:p>
    <w:p w14:paraId="7217EFF0" w14:textId="77777777" w:rsidR="005A51A9" w:rsidRPr="00FE7612" w:rsidRDefault="005A51A9" w:rsidP="005A51A9">
      <w:pPr>
        <w:pStyle w:val="Definition"/>
        <w:rPr>
          <w:i/>
          <w:iCs/>
        </w:rPr>
      </w:pPr>
      <w:r w:rsidRPr="00FE7612">
        <w:rPr>
          <w:b/>
          <w:bCs/>
          <w:i/>
          <w:iCs/>
        </w:rPr>
        <w:t>GST Act</w:t>
      </w:r>
      <w:r w:rsidRPr="00FE7612">
        <w:t xml:space="preserve"> means the </w:t>
      </w:r>
      <w:r w:rsidRPr="00FE7612">
        <w:rPr>
          <w:i/>
          <w:iCs/>
        </w:rPr>
        <w:t>A New Tax System (Goods and Services Tax Act) 1999.</w:t>
      </w:r>
    </w:p>
    <w:p w14:paraId="1B5CCD51" w14:textId="77777777" w:rsidR="005A51A9" w:rsidRPr="00FE7612" w:rsidRDefault="005A51A9" w:rsidP="005A51A9">
      <w:pPr>
        <w:pStyle w:val="Definition"/>
        <w:rPr>
          <w:bCs/>
          <w:iCs/>
        </w:rPr>
      </w:pPr>
      <w:r w:rsidRPr="00FE7612">
        <w:rPr>
          <w:b/>
          <w:bCs/>
          <w:i/>
          <w:iCs/>
        </w:rPr>
        <w:t>indirect tax zone</w:t>
      </w:r>
      <w:r w:rsidRPr="00FE7612">
        <w:rPr>
          <w:b/>
          <w:bCs/>
        </w:rPr>
        <w:t xml:space="preserve"> </w:t>
      </w:r>
      <w:r w:rsidRPr="00FE7612">
        <w:t>has the</w:t>
      </w:r>
      <w:r w:rsidRPr="00FE7612">
        <w:rPr>
          <w:b/>
          <w:bCs/>
        </w:rPr>
        <w:t xml:space="preserve"> </w:t>
      </w:r>
      <w:r w:rsidRPr="00FE7612">
        <w:t xml:space="preserve">same meaning as in the </w:t>
      </w:r>
      <w:r w:rsidRPr="00FE7612">
        <w:rPr>
          <w:bCs/>
          <w:iCs/>
        </w:rPr>
        <w:t>GST Act, but as if that definition included the external Territories.</w:t>
      </w:r>
    </w:p>
    <w:p w14:paraId="523D4B1B" w14:textId="77777777" w:rsidR="005A51A9" w:rsidRPr="00FE7612" w:rsidRDefault="005A51A9" w:rsidP="005A51A9">
      <w:pPr>
        <w:pStyle w:val="Definition"/>
        <w:rPr>
          <w:bCs/>
          <w:iCs/>
        </w:rPr>
      </w:pPr>
      <w:r w:rsidRPr="00FE7612">
        <w:rPr>
          <w:b/>
          <w:i/>
        </w:rPr>
        <w:t>listed entity</w:t>
      </w:r>
      <w:r w:rsidRPr="00FE7612">
        <w:rPr>
          <w:bCs/>
          <w:i/>
        </w:rPr>
        <w:t xml:space="preserve"> </w:t>
      </w:r>
      <w:r w:rsidRPr="00FE7612">
        <w:rPr>
          <w:bCs/>
          <w:iCs/>
        </w:rPr>
        <w:t>means an entity whose membership interests are publicly traded on an approved stock exchange within the meaning of</w:t>
      </w:r>
      <w:r w:rsidRPr="00FE7612">
        <w:rPr>
          <w:bCs/>
          <w:i/>
        </w:rPr>
        <w:t xml:space="preserve"> </w:t>
      </w:r>
      <w:r w:rsidRPr="00FE7612">
        <w:rPr>
          <w:bCs/>
          <w:iCs/>
        </w:rPr>
        <w:t>section 995-1 of the</w:t>
      </w:r>
      <w:r w:rsidRPr="00FE7612">
        <w:rPr>
          <w:bCs/>
          <w:i/>
        </w:rPr>
        <w:t xml:space="preserve"> Income Tax Assessment Act 1997</w:t>
      </w:r>
      <w:r w:rsidRPr="00FE7612">
        <w:rPr>
          <w:bCs/>
          <w:iCs/>
        </w:rPr>
        <w:t>.</w:t>
      </w:r>
    </w:p>
    <w:p w14:paraId="14772ADF" w14:textId="77777777" w:rsidR="005A51A9" w:rsidRPr="00FE7612" w:rsidRDefault="005A51A9" w:rsidP="005A51A9">
      <w:pPr>
        <w:pStyle w:val="Definition"/>
      </w:pPr>
      <w:r w:rsidRPr="00FE7612">
        <w:rPr>
          <w:b/>
          <w:bCs/>
          <w:i/>
          <w:iCs/>
        </w:rPr>
        <w:t>prorated amount</w:t>
      </w:r>
      <w:r w:rsidRPr="00FE7612">
        <w:t xml:space="preserve"> means the amount worked out using the following formula:</w:t>
      </w:r>
    </w:p>
    <w:p w14:paraId="3AB45B3E" w14:textId="5D2265EA" w:rsidR="005A51A9" w:rsidRPr="00FE7612" w:rsidRDefault="005A51A9" w:rsidP="005A51A9">
      <w:pPr>
        <w:pStyle w:val="paragraph"/>
      </w:pPr>
      <w:r w:rsidRPr="00FE7612">
        <w:lastRenderedPageBreak/>
        <w:tab/>
        <w:t>(a)</w:t>
      </w:r>
      <w:r w:rsidRPr="00FE7612">
        <w:tab/>
        <w:t xml:space="preserve">step 1: divide the number of days the supplier </w:t>
      </w:r>
      <w:r w:rsidR="006C79E6" w:rsidRPr="00FE7612">
        <w:t>had the property listed on the electronic distribution</w:t>
      </w:r>
      <w:r w:rsidRPr="00FE7612">
        <w:t xml:space="preserve"> platform</w:t>
      </w:r>
      <w:r w:rsidR="006C79E6" w:rsidRPr="00FE7612">
        <w:t xml:space="preserve"> in the 12 month</w:t>
      </w:r>
      <w:r w:rsidR="001B4BFF" w:rsidRPr="00FE7612">
        <w:t xml:space="preserve"> period</w:t>
      </w:r>
      <w:r w:rsidR="006C79E6" w:rsidRPr="00FE7612">
        <w:t xml:space="preserve"> ending on the last day of the reporting period</w:t>
      </w:r>
      <w:r w:rsidRPr="00FE7612">
        <w:t xml:space="preserve"> by 365; and</w:t>
      </w:r>
    </w:p>
    <w:p w14:paraId="341D3623" w14:textId="0D8991DD" w:rsidR="005A51A9" w:rsidRPr="00FE7612" w:rsidRDefault="005A51A9" w:rsidP="005A51A9">
      <w:pPr>
        <w:pStyle w:val="paragraph"/>
      </w:pPr>
      <w:r w:rsidRPr="00FE7612">
        <w:tab/>
        <w:t>(b)</w:t>
      </w:r>
      <w:r w:rsidRPr="00FE7612">
        <w:tab/>
        <w:t xml:space="preserve">step 2: multiply the result of step 1 by </w:t>
      </w:r>
      <w:r w:rsidR="006C79E6" w:rsidRPr="00FE7612">
        <w:t>2</w:t>
      </w:r>
      <w:r w:rsidRPr="00FE7612">
        <w:rPr>
          <w:bCs/>
          <w:iCs/>
        </w:rPr>
        <w:t>,000</w:t>
      </w:r>
      <w:r w:rsidRPr="00FE7612">
        <w:t>.</w:t>
      </w:r>
    </w:p>
    <w:p w14:paraId="5FB2A3AC" w14:textId="77777777" w:rsidR="005A51A9" w:rsidRPr="00FE7612" w:rsidRDefault="005A51A9" w:rsidP="005A51A9">
      <w:pPr>
        <w:pStyle w:val="Definition"/>
      </w:pPr>
      <w:r w:rsidRPr="00FE7612">
        <w:rPr>
          <w:b/>
          <w:bCs/>
          <w:i/>
          <w:iCs/>
        </w:rPr>
        <w:t xml:space="preserve">relevant accommodation </w:t>
      </w:r>
      <w:r w:rsidRPr="00FE7612">
        <w:t>means accommodation booked for 90 consecutive days or less.</w:t>
      </w:r>
    </w:p>
    <w:p w14:paraId="633DD7D9" w14:textId="77777777" w:rsidR="005A51A9" w:rsidRPr="00FE7612" w:rsidRDefault="005A51A9" w:rsidP="005A51A9">
      <w:pPr>
        <w:pStyle w:val="Definition"/>
        <w:rPr>
          <w:bCs/>
          <w:i/>
        </w:rPr>
      </w:pPr>
      <w:r w:rsidRPr="00FE7612">
        <w:rPr>
          <w:b/>
          <w:i/>
        </w:rPr>
        <w:t xml:space="preserve">reportable transaction </w:t>
      </w:r>
      <w:r w:rsidRPr="00FE7612">
        <w:rPr>
          <w:bCs/>
          <w:iCs/>
        </w:rPr>
        <w:t>means a transaction described in column 2 of table item 15 in section 396-55 in Schedule 1</w:t>
      </w:r>
      <w:r w:rsidRPr="00FE7612">
        <w:rPr>
          <w:bCs/>
          <w:i/>
        </w:rPr>
        <w:t xml:space="preserve"> </w:t>
      </w:r>
      <w:r w:rsidRPr="00FE7612">
        <w:rPr>
          <w:bCs/>
          <w:iCs/>
        </w:rPr>
        <w:t>to the Act</w:t>
      </w:r>
      <w:r w:rsidRPr="00FE7612">
        <w:rPr>
          <w:bCs/>
          <w:i/>
        </w:rPr>
        <w:t>.</w:t>
      </w:r>
      <w:bookmarkStart w:id="6" w:name="_Hlk148435202"/>
    </w:p>
    <w:bookmarkEnd w:id="6"/>
    <w:p w14:paraId="568E7BEB" w14:textId="3A342A39" w:rsidR="005A51A9" w:rsidRPr="00FE7612" w:rsidRDefault="005A51A9" w:rsidP="005A51A9">
      <w:pPr>
        <w:pStyle w:val="Definition"/>
        <w:rPr>
          <w:bCs/>
          <w:iCs/>
        </w:rPr>
      </w:pPr>
      <w:r w:rsidRPr="00FE7612">
        <w:rPr>
          <w:b/>
          <w:i/>
        </w:rPr>
        <w:t xml:space="preserve">reporting period </w:t>
      </w:r>
      <w:r w:rsidRPr="00FE7612">
        <w:rPr>
          <w:bCs/>
          <w:iCs/>
        </w:rPr>
        <w:t>means the period set out in paragraph 396-55(a) in Schedule</w:t>
      </w:r>
      <w:r w:rsidR="00AA43BE" w:rsidRPr="00FE7612">
        <w:rPr>
          <w:bCs/>
          <w:iCs/>
        </w:rPr>
        <w:t> </w:t>
      </w:r>
      <w:r w:rsidRPr="00FE7612">
        <w:rPr>
          <w:bCs/>
          <w:iCs/>
        </w:rPr>
        <w:t>1 to the Act.</w:t>
      </w:r>
    </w:p>
    <w:p w14:paraId="3334C947" w14:textId="77777777" w:rsidR="005A51A9" w:rsidRPr="00FE7612" w:rsidRDefault="005A51A9" w:rsidP="005A51A9">
      <w:pPr>
        <w:pStyle w:val="Definition"/>
      </w:pPr>
      <w:r w:rsidRPr="00FE7612">
        <w:rPr>
          <w:b/>
          <w:bCs/>
          <w:i/>
          <w:iCs/>
        </w:rPr>
        <w:t>substantial property</w:t>
      </w:r>
      <w:r w:rsidRPr="00FE7612">
        <w:rPr>
          <w:i/>
          <w:iCs/>
        </w:rPr>
        <w:t xml:space="preserve"> </w:t>
      </w:r>
      <w:r w:rsidRPr="00FE7612">
        <w:t>means a property where, for a reporting period, at least the following number of transactions were made through the electronic distribution platform for that property:</w:t>
      </w:r>
    </w:p>
    <w:p w14:paraId="0B1A79A5" w14:textId="6969828C" w:rsidR="005A51A9" w:rsidRPr="00FE7612" w:rsidRDefault="005A51A9" w:rsidP="005A51A9">
      <w:pPr>
        <w:pStyle w:val="paragraph"/>
      </w:pPr>
      <w:r w:rsidRPr="00FE7612">
        <w:tab/>
        <w:t>(a)</w:t>
      </w:r>
      <w:r w:rsidRPr="00FE7612">
        <w:tab/>
      </w:r>
      <w:r w:rsidR="006C79E6" w:rsidRPr="00FE7612">
        <w:t>2,0</w:t>
      </w:r>
      <w:r w:rsidRPr="00FE7612">
        <w:t>00 transactions in the 12 month</w:t>
      </w:r>
      <w:r w:rsidR="001B4BFF" w:rsidRPr="00FE7612">
        <w:t xml:space="preserve"> period</w:t>
      </w:r>
      <w:r w:rsidRPr="00FE7612">
        <w:t xml:space="preserve"> ending on the last day of the reporting period</w:t>
      </w:r>
      <w:r w:rsidR="008E116F" w:rsidRPr="00FE7612">
        <w:t>, where the property was listed on the platform for that entire period</w:t>
      </w:r>
      <w:r w:rsidRPr="00FE7612">
        <w:t>; or</w:t>
      </w:r>
    </w:p>
    <w:p w14:paraId="11B9620C" w14:textId="79E34E7B" w:rsidR="005A51A9" w:rsidRPr="00FE7612" w:rsidRDefault="005A51A9" w:rsidP="005A51A9">
      <w:pPr>
        <w:pStyle w:val="paragraph"/>
      </w:pPr>
      <w:r w:rsidRPr="00FE7612">
        <w:tab/>
        <w:t>(b)</w:t>
      </w:r>
      <w:r w:rsidRPr="00FE7612">
        <w:tab/>
      </w:r>
      <w:r w:rsidRPr="00FE7612">
        <w:rPr>
          <w:color w:val="000000" w:themeColor="text1"/>
        </w:rPr>
        <w:t xml:space="preserve">the prorated amount of transactions, </w:t>
      </w:r>
      <w:r w:rsidRPr="00FE7612">
        <w:rPr>
          <w:bCs/>
          <w:iCs/>
        </w:rPr>
        <w:t>where the property was first listed on the platform in the 12 month</w:t>
      </w:r>
      <w:r w:rsidR="001B4BFF" w:rsidRPr="00FE7612">
        <w:rPr>
          <w:bCs/>
          <w:iCs/>
        </w:rPr>
        <w:t xml:space="preserve"> period</w:t>
      </w:r>
      <w:r w:rsidRPr="00FE7612">
        <w:rPr>
          <w:bCs/>
          <w:iCs/>
        </w:rPr>
        <w:t xml:space="preserve"> ending on the last day of the reporting period</w:t>
      </w:r>
      <w:r w:rsidRPr="00FE7612">
        <w:t>.</w:t>
      </w:r>
    </w:p>
    <w:p w14:paraId="4830C7F7" w14:textId="1620BE73" w:rsidR="00554826" w:rsidRPr="00FE7612" w:rsidRDefault="005A51A9" w:rsidP="00126733">
      <w:pPr>
        <w:pStyle w:val="Definition"/>
        <w:rPr>
          <w:bCs/>
          <w:iCs/>
        </w:rPr>
      </w:pPr>
      <w:r w:rsidRPr="00FE7612">
        <w:rPr>
          <w:b/>
          <w:bCs/>
          <w:i/>
          <w:iCs/>
        </w:rPr>
        <w:t>taxi travel</w:t>
      </w:r>
      <w:r w:rsidRPr="00FE7612">
        <w:rPr>
          <w:bCs/>
          <w:iCs/>
        </w:rPr>
        <w:t xml:space="preserve"> has the same meaning as in the GST Act.</w:t>
      </w:r>
    </w:p>
    <w:p w14:paraId="0F161710" w14:textId="00000251" w:rsidR="005A51A9" w:rsidRPr="00FE7612" w:rsidRDefault="00D54083" w:rsidP="005A51A9">
      <w:pPr>
        <w:pStyle w:val="ActHead5"/>
      </w:pPr>
      <w:bookmarkStart w:id="7" w:name="_Toc151625115"/>
      <w:r w:rsidRPr="00FE7612">
        <w:t xml:space="preserve">5 </w:t>
      </w:r>
      <w:r w:rsidR="008E4278" w:rsidRPr="00FE7612">
        <w:t xml:space="preserve"> </w:t>
      </w:r>
      <w:r w:rsidR="005A51A9" w:rsidRPr="00FE7612">
        <w:t>Exemption for certain operators of electronic distribution platforms</w:t>
      </w:r>
      <w:bookmarkEnd w:id="7"/>
    </w:p>
    <w:p w14:paraId="5D7F7808" w14:textId="77777777" w:rsidR="005A51A9" w:rsidRPr="00FE7612" w:rsidRDefault="005A51A9" w:rsidP="00BC009C">
      <w:pPr>
        <w:pStyle w:val="subsection"/>
      </w:pPr>
      <w:r w:rsidRPr="00FE7612">
        <w:tab/>
      </w:r>
      <w:r w:rsidRPr="00FE7612">
        <w:tab/>
        <w:t>The operator of an electronic distribution platform (the first platform) is not required to prepare and give a report about a reportable transaction involving a supply of relevant accommodation or taxi travel if:</w:t>
      </w:r>
    </w:p>
    <w:p w14:paraId="7E2CC616" w14:textId="77777777" w:rsidR="005A51A9" w:rsidRPr="00FE7612" w:rsidRDefault="005A51A9" w:rsidP="005A51A9">
      <w:pPr>
        <w:pStyle w:val="paragraph"/>
      </w:pPr>
      <w:r w:rsidRPr="00FE7612">
        <w:tab/>
        <w:t>(a)</w:t>
      </w:r>
      <w:r w:rsidRPr="00FE7612">
        <w:tab/>
        <w:t>the supply was made through the first platform and at least one other electronic distribution platform;</w:t>
      </w:r>
    </w:p>
    <w:p w14:paraId="16B82B83" w14:textId="77777777" w:rsidR="005A51A9" w:rsidRPr="00FE7612" w:rsidRDefault="005A51A9" w:rsidP="005A51A9">
      <w:pPr>
        <w:pStyle w:val="paragraph"/>
      </w:pPr>
      <w:r w:rsidRPr="00FE7612">
        <w:tab/>
        <w:t>(b)</w:t>
      </w:r>
      <w:r w:rsidRPr="00FE7612">
        <w:tab/>
        <w:t>the operator of the first platform did not itself provide any consideration for the supply directly to the supplier;</w:t>
      </w:r>
    </w:p>
    <w:p w14:paraId="3269FB43" w14:textId="77777777" w:rsidR="005A51A9" w:rsidRPr="00FE7612" w:rsidRDefault="005A51A9" w:rsidP="005A51A9">
      <w:pPr>
        <w:pStyle w:val="paragraph"/>
      </w:pPr>
      <w:r w:rsidRPr="00FE7612">
        <w:tab/>
        <w:t>(c)</w:t>
      </w:r>
      <w:r w:rsidRPr="00FE7612">
        <w:tab/>
        <w:t>the operator of another electronic distribution platform provided all or part of the consideration for the supply to the supplier and has a reporting obligation under table item 15 in section 396-55 in Schedule 1 to the Act in relation to the reportable transaction; and</w:t>
      </w:r>
    </w:p>
    <w:p w14:paraId="3098E7A5" w14:textId="3B7E8E8A" w:rsidR="00DB5940" w:rsidRPr="00FE7612" w:rsidRDefault="005A51A9" w:rsidP="005A51A9">
      <w:pPr>
        <w:pStyle w:val="paragraph"/>
      </w:pPr>
      <w:r w:rsidRPr="00FE7612">
        <w:tab/>
        <w:t>(d)</w:t>
      </w:r>
      <w:r w:rsidRPr="00FE7612">
        <w:tab/>
        <w:t>the operator of the first platform has notified the Commissioner</w:t>
      </w:r>
      <w:r w:rsidR="00126733" w:rsidRPr="00FE7612">
        <w:t xml:space="preserve"> in writing</w:t>
      </w:r>
      <w:r w:rsidRPr="00FE7612">
        <w:t xml:space="preserve"> that they would be applying this exemption </w:t>
      </w:r>
      <w:r w:rsidR="00126733" w:rsidRPr="00FE7612">
        <w:t xml:space="preserve">on or </w:t>
      </w:r>
      <w:r w:rsidRPr="00FE7612">
        <w:t>before the</w:t>
      </w:r>
      <w:r w:rsidR="00DB5940" w:rsidRPr="00FE7612">
        <w:t xml:space="preserve"> later of</w:t>
      </w:r>
    </w:p>
    <w:p w14:paraId="29D91E1E" w14:textId="77777777" w:rsidR="00B4027A" w:rsidRDefault="00F72396" w:rsidP="00F72396">
      <w:pPr>
        <w:pStyle w:val="paragraphsub"/>
      </w:pPr>
      <w:r w:rsidRPr="00FE7612">
        <w:tab/>
        <w:t>(i)</w:t>
      </w:r>
      <w:r w:rsidRPr="00FE7612">
        <w:tab/>
        <w:t>the day they would otherwise be required to give a report under paragraph 396-55(b) in Schedule 1 to the Act; or</w:t>
      </w:r>
    </w:p>
    <w:p w14:paraId="1E9EA8EA" w14:textId="147D66B0" w:rsidR="00F72396" w:rsidRPr="00FE7612" w:rsidRDefault="00F72396" w:rsidP="00F72396">
      <w:pPr>
        <w:pStyle w:val="paragraphsub"/>
      </w:pPr>
      <w:r w:rsidRPr="00FE7612">
        <w:tab/>
        <w:t>(ii)</w:t>
      </w:r>
      <w:r w:rsidRPr="00FE7612">
        <w:tab/>
        <w:t>where the operator asks the Commissioner for an extension of time and the Commissioner agrees, a day notified by the Commissioner in writing.</w:t>
      </w:r>
    </w:p>
    <w:p w14:paraId="6C4C70B9" w14:textId="5827E0C2" w:rsidR="005A51A9" w:rsidRPr="00FE7612" w:rsidRDefault="005A51A9" w:rsidP="005A51A9">
      <w:pPr>
        <w:pStyle w:val="ActHead5"/>
      </w:pPr>
      <w:bookmarkStart w:id="8" w:name="_Toc141434450"/>
      <w:bookmarkStart w:id="9" w:name="_Toc151625116"/>
      <w:r w:rsidRPr="00FE7612">
        <w:lastRenderedPageBreak/>
        <w:t>6  Exemption for certain transactions</w:t>
      </w:r>
      <w:bookmarkEnd w:id="8"/>
      <w:bookmarkEnd w:id="9"/>
    </w:p>
    <w:p w14:paraId="4B8D5B66" w14:textId="77777777" w:rsidR="005A51A9" w:rsidRPr="00FE7612" w:rsidRDefault="005A51A9" w:rsidP="005A51A9">
      <w:pPr>
        <w:pStyle w:val="subsection"/>
      </w:pPr>
      <w:r w:rsidRPr="00FE7612">
        <w:tab/>
      </w:r>
      <w:r w:rsidRPr="00FE7612">
        <w:tab/>
        <w:t>The operator of an electronic distribution platform is not required to prepare and give a report about a reportable transaction involving a supply of relevant accommodation or taxi travel if:</w:t>
      </w:r>
    </w:p>
    <w:p w14:paraId="08F82B01" w14:textId="77777777" w:rsidR="005A51A9" w:rsidRPr="00FE7612" w:rsidRDefault="005A51A9" w:rsidP="005A51A9">
      <w:pPr>
        <w:pStyle w:val="paragraph"/>
      </w:pPr>
      <w:r w:rsidRPr="00FE7612">
        <w:tab/>
        <w:t>(a)</w:t>
      </w:r>
      <w:r w:rsidRPr="00FE7612">
        <w:tab/>
        <w:t>the supplier was:</w:t>
      </w:r>
    </w:p>
    <w:p w14:paraId="33967BC3" w14:textId="77777777" w:rsidR="005A51A9" w:rsidRPr="00FE7612" w:rsidRDefault="005A51A9" w:rsidP="005A51A9">
      <w:pPr>
        <w:pStyle w:val="paragraphsub"/>
      </w:pPr>
      <w:r w:rsidRPr="00FE7612">
        <w:tab/>
        <w:t>(i)</w:t>
      </w:r>
      <w:r w:rsidRPr="00FE7612">
        <w:tab/>
        <w:t>a listed entity; or</w:t>
      </w:r>
    </w:p>
    <w:p w14:paraId="2F16BCBC" w14:textId="77777777" w:rsidR="005A51A9" w:rsidRPr="00FE7612" w:rsidRDefault="005A51A9" w:rsidP="005A51A9">
      <w:pPr>
        <w:pStyle w:val="paragraphsub"/>
      </w:pPr>
      <w:r w:rsidRPr="00FE7612">
        <w:tab/>
        <w:t>(ii)</w:t>
      </w:r>
      <w:r w:rsidRPr="00FE7612">
        <w:tab/>
        <w:t xml:space="preserve">a </w:t>
      </w:r>
      <w:proofErr w:type="gramStart"/>
      <w:r w:rsidRPr="00FE7612">
        <w:t>wholly-owned</w:t>
      </w:r>
      <w:proofErr w:type="gramEnd"/>
      <w:r w:rsidRPr="00FE7612">
        <w:t xml:space="preserve"> subsidiary of a listed entity;</w:t>
      </w:r>
    </w:p>
    <w:p w14:paraId="16534A6C" w14:textId="77777777" w:rsidR="005A51A9" w:rsidRPr="00FE7612" w:rsidRDefault="005A51A9" w:rsidP="005A51A9">
      <w:pPr>
        <w:pStyle w:val="paragraph"/>
      </w:pPr>
      <w:r w:rsidRPr="00FE7612">
        <w:tab/>
        <w:t>(b)</w:t>
      </w:r>
      <w:r w:rsidRPr="00FE7612">
        <w:tab/>
        <w:t>the transaction involved the provision of consideration relating to a substantial property; or</w:t>
      </w:r>
    </w:p>
    <w:p w14:paraId="145AC7B6" w14:textId="77777777" w:rsidR="005A51A9" w:rsidRPr="00FE7612" w:rsidRDefault="005A51A9" w:rsidP="005A51A9">
      <w:pPr>
        <w:pStyle w:val="paragraph"/>
      </w:pPr>
      <w:r w:rsidRPr="00FE7612">
        <w:tab/>
      </w:r>
      <w:bookmarkStart w:id="10" w:name="_Hlk141352227"/>
      <w:r w:rsidRPr="00FE7612">
        <w:t>(c)</w:t>
      </w:r>
      <w:r w:rsidRPr="00FE7612">
        <w:tab/>
        <w:t>the following conditions are met:</w:t>
      </w:r>
    </w:p>
    <w:p w14:paraId="79AC469D" w14:textId="77777777" w:rsidR="005A51A9" w:rsidRPr="00FE7612" w:rsidRDefault="005A51A9" w:rsidP="005A51A9">
      <w:pPr>
        <w:pStyle w:val="paragraphsub"/>
      </w:pPr>
      <w:bookmarkStart w:id="11" w:name="_Hlk141351325"/>
      <w:bookmarkStart w:id="12" w:name="_Hlk141341683"/>
      <w:r w:rsidRPr="00FE7612">
        <w:tab/>
        <w:t>(i)</w:t>
      </w:r>
      <w:r w:rsidRPr="00FE7612">
        <w:tab/>
        <w:t>the supplier has provided the operator with one or more addresses, and none of those addresses are within the indirect tax zone;</w:t>
      </w:r>
    </w:p>
    <w:p w14:paraId="611DE966" w14:textId="77777777" w:rsidR="005A51A9" w:rsidRPr="00FE7612" w:rsidRDefault="005A51A9" w:rsidP="005A51A9">
      <w:pPr>
        <w:pStyle w:val="paragraphsub"/>
      </w:pPr>
      <w:r w:rsidRPr="00FE7612">
        <w:tab/>
        <w:t>(ii)</w:t>
      </w:r>
      <w:r w:rsidRPr="00FE7612">
        <w:tab/>
        <w:t>for a reportable transaction involving a supply of taxi travel, the taxi travel did not occur within the indirect tax zone;</w:t>
      </w:r>
    </w:p>
    <w:p w14:paraId="538FCB57" w14:textId="77777777" w:rsidR="005A51A9" w:rsidRPr="00FE7612" w:rsidRDefault="005A51A9" w:rsidP="005A51A9">
      <w:pPr>
        <w:pStyle w:val="paragraphsub"/>
      </w:pPr>
      <w:r w:rsidRPr="00FE7612">
        <w:tab/>
        <w:t>(iii)</w:t>
      </w:r>
      <w:r w:rsidRPr="00FE7612">
        <w:tab/>
        <w:t>the consideration provided to the supplier was not paid to an account held with a financial institution in the indirect tax zone; and</w:t>
      </w:r>
    </w:p>
    <w:bookmarkEnd w:id="11"/>
    <w:p w14:paraId="4E78A7EA" w14:textId="77777777" w:rsidR="005A51A9" w:rsidRDefault="005A51A9" w:rsidP="005A51A9">
      <w:pPr>
        <w:pStyle w:val="paragraphsub"/>
      </w:pPr>
      <w:r w:rsidRPr="00FE7612">
        <w:tab/>
        <w:t>(iv)</w:t>
      </w:r>
      <w:r w:rsidRPr="00FE7612">
        <w:tab/>
        <w:t>there is no other information available to the operator that indicates that the supplier is a resident of Australia.</w:t>
      </w:r>
      <w:bookmarkEnd w:id="10"/>
      <w:bookmarkEnd w:id="12"/>
    </w:p>
    <w:sectPr w:rsidR="005A51A9" w:rsidSect="008C2EAC">
      <w:headerReference w:type="even" r:id="rId19"/>
      <w:headerReference w:type="default" r:id="rId20"/>
      <w:footerReference w:type="even" r:id="rId21"/>
      <w:footerReference w:type="default" r:id="rId22"/>
      <w:pgSz w:w="11907" w:h="16839" w:code="9"/>
      <w:pgMar w:top="2234" w:right="1797" w:bottom="1440" w:left="1797" w:header="720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9C7A77" w14:textId="77777777" w:rsidR="003A0C9C" w:rsidRDefault="003A0C9C" w:rsidP="00715914">
      <w:pPr>
        <w:spacing w:line="240" w:lineRule="auto"/>
      </w:pPr>
      <w:r>
        <w:separator/>
      </w:r>
    </w:p>
  </w:endnote>
  <w:endnote w:type="continuationSeparator" w:id="0">
    <w:p w14:paraId="299BB28B" w14:textId="77777777" w:rsidR="003A0C9C" w:rsidRDefault="003A0C9C" w:rsidP="0071591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A1857F" w14:textId="77777777" w:rsidR="00B03F09" w:rsidRPr="00E33C1C" w:rsidRDefault="00B03F09" w:rsidP="00D6537E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709"/>
      <w:gridCol w:w="6379"/>
      <w:gridCol w:w="1384"/>
    </w:tblGrid>
    <w:tr w:rsidR="00B03F09" w14:paraId="5C207A56" w14:textId="77777777" w:rsidTr="00B33709"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14:paraId="198B44A9" w14:textId="77777777" w:rsidR="00B03F09" w:rsidRDefault="00B03F09" w:rsidP="00A369E3">
          <w:pPr>
            <w:spacing w:line="0" w:lineRule="atLeas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>
            <w:rPr>
              <w:i/>
              <w:noProof/>
              <w:sz w:val="18"/>
            </w:rPr>
            <w:t>i</w:t>
          </w:r>
          <w:r w:rsidRPr="00ED79B6">
            <w:rPr>
              <w:i/>
              <w:sz w:val="18"/>
            </w:rPr>
            <w:fldChar w:fldCharType="end"/>
          </w: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0ED5D3F9" w14:textId="77777777" w:rsidR="00B03F09" w:rsidRPr="004E1307" w:rsidRDefault="00B03F09" w:rsidP="00A369E3">
          <w:pPr>
            <w:spacing w:line="0" w:lineRule="atLeast"/>
            <w:jc w:val="center"/>
            <w:rPr>
              <w:i/>
              <w:sz w:val="18"/>
            </w:rPr>
          </w:pPr>
          <w:r w:rsidRPr="004E1307">
            <w:rPr>
              <w:i/>
              <w:sz w:val="18"/>
            </w:rPr>
            <w:fldChar w:fldCharType="begin"/>
          </w:r>
          <w:r w:rsidRPr="004E1307">
            <w:rPr>
              <w:i/>
              <w:sz w:val="18"/>
            </w:rPr>
            <w:instrText xml:space="preserve"> STYLEREF  ShortT </w:instrText>
          </w:r>
          <w:r w:rsidRPr="004E1307">
            <w:rPr>
              <w:i/>
              <w:sz w:val="18"/>
            </w:rPr>
            <w:fldChar w:fldCharType="separate"/>
          </w:r>
          <w:r>
            <w:rPr>
              <w:i/>
              <w:noProof/>
              <w:sz w:val="18"/>
            </w:rPr>
            <w:t>Act Name (Subject Matter) Kind of Instrument Year</w:t>
          </w:r>
          <w:r w:rsidRPr="004E1307">
            <w:rPr>
              <w:i/>
              <w:sz w:val="18"/>
            </w:rPr>
            <w:fldChar w:fldCharType="end"/>
          </w:r>
        </w:p>
      </w:tc>
      <w:tc>
        <w:tcPr>
          <w:tcW w:w="1383" w:type="dxa"/>
          <w:tcBorders>
            <w:top w:val="nil"/>
            <w:left w:val="nil"/>
            <w:bottom w:val="nil"/>
            <w:right w:val="nil"/>
          </w:tcBorders>
        </w:tcPr>
        <w:p w14:paraId="3C31C35C" w14:textId="77777777" w:rsidR="00B03F09" w:rsidRDefault="00B03F09" w:rsidP="00A369E3">
          <w:pPr>
            <w:spacing w:line="0" w:lineRule="atLeast"/>
            <w:jc w:val="right"/>
            <w:rPr>
              <w:sz w:val="18"/>
            </w:rPr>
          </w:pPr>
        </w:p>
      </w:tc>
    </w:tr>
    <w:tr w:rsidR="00B03F09" w14:paraId="1ADB6C5F" w14:textId="77777777" w:rsidTr="00B33709">
      <w:tblPrEx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Ex>
      <w:tc>
        <w:tcPr>
          <w:tcW w:w="8472" w:type="dxa"/>
          <w:gridSpan w:val="3"/>
        </w:tcPr>
        <w:p w14:paraId="65020DE1" w14:textId="77777777" w:rsidR="00B03F09" w:rsidRDefault="00B03F09" w:rsidP="00A369E3">
          <w:pPr>
            <w:jc w:val="right"/>
            <w:rPr>
              <w:sz w:val="18"/>
            </w:rPr>
          </w:pPr>
        </w:p>
      </w:tc>
    </w:tr>
  </w:tbl>
  <w:p w14:paraId="6ED9471C" w14:textId="77777777" w:rsidR="00B03F09" w:rsidRPr="00ED79B6" w:rsidRDefault="00B03F09" w:rsidP="007500C8">
    <w:pPr>
      <w:rPr>
        <w:i/>
        <w:sz w:val="1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269BF0" w14:textId="77777777" w:rsidR="00B03F09" w:rsidRPr="00E33C1C" w:rsidRDefault="00B03F09" w:rsidP="00D6537E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ook w:val="04A0" w:firstRow="1" w:lastRow="0" w:firstColumn="1" w:lastColumn="0" w:noHBand="0" w:noVBand="1"/>
    </w:tblPr>
    <w:tblGrid>
      <w:gridCol w:w="1357"/>
      <w:gridCol w:w="6256"/>
      <w:gridCol w:w="700"/>
    </w:tblGrid>
    <w:tr w:rsidR="00B03F09" w14:paraId="74917BBC" w14:textId="77777777" w:rsidTr="00A369E3"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14:paraId="723928F1" w14:textId="77777777" w:rsidR="00B03F09" w:rsidRDefault="00B03F09" w:rsidP="00A369E3">
          <w:pPr>
            <w:spacing w:line="0" w:lineRule="atLeast"/>
            <w:rPr>
              <w:sz w:val="18"/>
            </w:rPr>
          </w:pP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15E48ED4" w14:textId="77777777" w:rsidR="00B03F09" w:rsidRDefault="00B03F09" w:rsidP="00A369E3">
          <w:pPr>
            <w:spacing w:line="0" w:lineRule="atLeast"/>
            <w:jc w:val="center"/>
            <w:rPr>
              <w:sz w:val="18"/>
            </w:rPr>
          </w:pPr>
          <w:r w:rsidRPr="004E1307">
            <w:rPr>
              <w:i/>
              <w:sz w:val="18"/>
            </w:rPr>
            <w:fldChar w:fldCharType="begin"/>
          </w:r>
          <w:r w:rsidRPr="004E1307">
            <w:rPr>
              <w:i/>
              <w:sz w:val="18"/>
            </w:rPr>
            <w:instrText xml:space="preserve"> STYLEREF  ShortT </w:instrText>
          </w:r>
          <w:r w:rsidRPr="004E1307">
            <w:rPr>
              <w:i/>
              <w:sz w:val="18"/>
            </w:rPr>
            <w:fldChar w:fldCharType="separate"/>
          </w:r>
          <w:r>
            <w:rPr>
              <w:i/>
              <w:noProof/>
              <w:sz w:val="18"/>
            </w:rPr>
            <w:t>Act Name (Subject Matter) Kind of Instrument Year</w:t>
          </w:r>
          <w:r w:rsidRPr="004E1307">
            <w:rPr>
              <w:i/>
              <w:sz w:val="18"/>
            </w:rPr>
            <w:fldChar w:fldCharType="end"/>
          </w:r>
        </w:p>
      </w:tc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14:paraId="7C48166E" w14:textId="77777777" w:rsidR="00B03F09" w:rsidRDefault="00B03F09" w:rsidP="00A369E3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>
            <w:rPr>
              <w:i/>
              <w:noProof/>
              <w:sz w:val="18"/>
            </w:rPr>
            <w:t>1</w:t>
          </w:r>
          <w:r w:rsidRPr="00ED79B6">
            <w:rPr>
              <w:i/>
              <w:sz w:val="18"/>
            </w:rPr>
            <w:fldChar w:fldCharType="end"/>
          </w:r>
        </w:p>
      </w:tc>
    </w:tr>
    <w:tr w:rsidR="00B03F09" w14:paraId="465B29A1" w14:textId="77777777" w:rsidTr="00A369E3">
      <w:tblPrEx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Ex>
      <w:tc>
        <w:tcPr>
          <w:tcW w:w="8472" w:type="dxa"/>
          <w:gridSpan w:val="3"/>
        </w:tcPr>
        <w:p w14:paraId="0C44CC38" w14:textId="77777777" w:rsidR="00B03F09" w:rsidRDefault="00B03F09" w:rsidP="00A369E3">
          <w:pPr>
            <w:rPr>
              <w:sz w:val="18"/>
            </w:rPr>
          </w:pPr>
        </w:p>
      </w:tc>
    </w:tr>
  </w:tbl>
  <w:p w14:paraId="3258E28D" w14:textId="77777777" w:rsidR="00B03F09" w:rsidRPr="00ED79B6" w:rsidRDefault="00B03F09" w:rsidP="00472DBE">
    <w:pPr>
      <w:rPr>
        <w:i/>
        <w:sz w:val="18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FCB320" w14:textId="77777777" w:rsidR="00B03F09" w:rsidRPr="00E33C1C" w:rsidRDefault="00B03F09" w:rsidP="00F6696E">
    <w:pPr>
      <w:spacing w:line="0" w:lineRule="atLeast"/>
      <w:rPr>
        <w:sz w:val="16"/>
        <w:szCs w:val="16"/>
      </w:rPr>
    </w:pPr>
  </w:p>
  <w:tbl>
    <w:tblPr>
      <w:tblStyle w:val="TableGrid"/>
      <w:tblW w:w="0" w:type="auto"/>
      <w:tblLook w:val="04A0" w:firstRow="1" w:lastRow="0" w:firstColumn="1" w:lastColumn="0" w:noHBand="0" w:noVBand="1"/>
    </w:tblPr>
    <w:tblGrid>
      <w:gridCol w:w="1360"/>
      <w:gridCol w:w="6254"/>
      <w:gridCol w:w="699"/>
    </w:tblGrid>
    <w:tr w:rsidR="00B03F09" w14:paraId="6F155E16" w14:textId="77777777" w:rsidTr="00B33709"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14:paraId="5070B0F6" w14:textId="77777777" w:rsidR="00B03F09" w:rsidRDefault="00B03F09" w:rsidP="00A369E3">
          <w:pPr>
            <w:spacing w:line="0" w:lineRule="atLeast"/>
            <w:rPr>
              <w:sz w:val="18"/>
            </w:rPr>
          </w:pP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0E419B25" w14:textId="77777777" w:rsidR="00B03F09" w:rsidRDefault="00B03F09" w:rsidP="00A369E3">
          <w:pPr>
            <w:spacing w:line="0" w:lineRule="atLeast"/>
            <w:jc w:val="center"/>
            <w:rPr>
              <w:sz w:val="18"/>
            </w:rPr>
          </w:pPr>
        </w:p>
      </w:tc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14:paraId="05E9A2C0" w14:textId="77777777" w:rsidR="00B03F09" w:rsidRDefault="00B03F09" w:rsidP="00A369E3">
          <w:pPr>
            <w:spacing w:line="0" w:lineRule="atLeast"/>
            <w:jc w:val="right"/>
            <w:rPr>
              <w:sz w:val="18"/>
            </w:rPr>
          </w:pPr>
        </w:p>
      </w:tc>
    </w:tr>
  </w:tbl>
  <w:p w14:paraId="21C776FE" w14:textId="77777777" w:rsidR="00B03F09" w:rsidRPr="00ED79B6" w:rsidRDefault="00B03F09" w:rsidP="007500C8">
    <w:pPr>
      <w:rPr>
        <w:i/>
        <w:sz w:val="18"/>
      </w:rPr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3EBC53" w14:textId="77777777" w:rsidR="00B03F09" w:rsidRPr="002B0EA5" w:rsidRDefault="00B03F09" w:rsidP="00B03F09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607"/>
      <w:gridCol w:w="6132"/>
      <w:gridCol w:w="1574"/>
    </w:tblGrid>
    <w:tr w:rsidR="00B03F09" w14:paraId="1B57FE10" w14:textId="77777777" w:rsidTr="00B03F09">
      <w:tc>
        <w:tcPr>
          <w:tcW w:w="365" w:type="pct"/>
        </w:tcPr>
        <w:p w14:paraId="12CBA37B" w14:textId="77777777" w:rsidR="00B03F09" w:rsidRDefault="00B03F09" w:rsidP="00B03F09">
          <w:pPr>
            <w:spacing w:line="0" w:lineRule="atLeas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>
            <w:rPr>
              <w:i/>
              <w:noProof/>
              <w:sz w:val="18"/>
            </w:rPr>
            <w:t>2</w:t>
          </w:r>
          <w:r w:rsidRPr="00ED79B6">
            <w:rPr>
              <w:i/>
              <w:sz w:val="18"/>
            </w:rPr>
            <w:fldChar w:fldCharType="end"/>
          </w:r>
        </w:p>
      </w:tc>
      <w:tc>
        <w:tcPr>
          <w:tcW w:w="3688" w:type="pct"/>
        </w:tcPr>
        <w:p w14:paraId="294B6BAB" w14:textId="77777777" w:rsidR="00B03F09" w:rsidRDefault="00B03F09" w:rsidP="00B03F09">
          <w:pPr>
            <w:spacing w:line="0" w:lineRule="atLeast"/>
            <w:jc w:val="center"/>
            <w:rPr>
              <w:sz w:val="18"/>
            </w:rPr>
          </w:pPr>
          <w:r w:rsidRPr="004E1307">
            <w:rPr>
              <w:i/>
              <w:sz w:val="18"/>
            </w:rPr>
            <w:fldChar w:fldCharType="begin"/>
          </w:r>
          <w:r w:rsidRPr="004E1307">
            <w:rPr>
              <w:i/>
              <w:sz w:val="18"/>
            </w:rPr>
            <w:instrText xml:space="preserve"> STYLEREF  ShortT </w:instrText>
          </w:r>
          <w:r w:rsidRPr="004E1307">
            <w:rPr>
              <w:i/>
              <w:sz w:val="18"/>
            </w:rPr>
            <w:fldChar w:fldCharType="separate"/>
          </w:r>
          <w:r>
            <w:rPr>
              <w:i/>
              <w:noProof/>
              <w:sz w:val="18"/>
            </w:rPr>
            <w:t>Act Name (Subject Matter) Kind of Instrument Year</w:t>
          </w:r>
          <w:r w:rsidRPr="004E1307">
            <w:rPr>
              <w:i/>
              <w:sz w:val="18"/>
            </w:rPr>
            <w:fldChar w:fldCharType="end"/>
          </w:r>
        </w:p>
      </w:tc>
      <w:tc>
        <w:tcPr>
          <w:tcW w:w="947" w:type="pct"/>
        </w:tcPr>
        <w:p w14:paraId="4D6E4B9F" w14:textId="77777777" w:rsidR="00B03F09" w:rsidRDefault="00B03F09" w:rsidP="00B03F09">
          <w:pPr>
            <w:spacing w:line="0" w:lineRule="atLeast"/>
            <w:jc w:val="right"/>
            <w:rPr>
              <w:sz w:val="18"/>
            </w:rPr>
          </w:pPr>
        </w:p>
      </w:tc>
    </w:tr>
    <w:tr w:rsidR="00B03F09" w14:paraId="1E876451" w14:textId="77777777" w:rsidTr="00B03F09">
      <w:tc>
        <w:tcPr>
          <w:tcW w:w="5000" w:type="pct"/>
          <w:gridSpan w:val="3"/>
        </w:tcPr>
        <w:p w14:paraId="19BA637D" w14:textId="77777777" w:rsidR="00B03F09" w:rsidRDefault="00B03F09" w:rsidP="00B03F09">
          <w:pPr>
            <w:jc w:val="right"/>
            <w:rPr>
              <w:sz w:val="18"/>
            </w:rPr>
          </w:pPr>
        </w:p>
      </w:tc>
    </w:tr>
  </w:tbl>
  <w:p w14:paraId="4B2029DA" w14:textId="77777777" w:rsidR="00B03F09" w:rsidRPr="00ED79B6" w:rsidRDefault="00B03F09" w:rsidP="00B03F09">
    <w:pPr>
      <w:rPr>
        <w:i/>
        <w:sz w:val="18"/>
      </w:rPr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41FCC7" w14:textId="77777777" w:rsidR="00B03F09" w:rsidRPr="002B0EA5" w:rsidRDefault="00B03F09" w:rsidP="00B03F09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574"/>
      <w:gridCol w:w="6132"/>
      <w:gridCol w:w="607"/>
    </w:tblGrid>
    <w:tr w:rsidR="00B03F09" w14:paraId="47B64684" w14:textId="77777777" w:rsidTr="00B03F09">
      <w:tc>
        <w:tcPr>
          <w:tcW w:w="947" w:type="pct"/>
        </w:tcPr>
        <w:p w14:paraId="718B2745" w14:textId="77777777" w:rsidR="00B03F09" w:rsidRDefault="00B03F09" w:rsidP="00B03F09">
          <w:pPr>
            <w:spacing w:line="0" w:lineRule="atLeast"/>
            <w:rPr>
              <w:sz w:val="18"/>
            </w:rPr>
          </w:pPr>
        </w:p>
      </w:tc>
      <w:tc>
        <w:tcPr>
          <w:tcW w:w="3688" w:type="pct"/>
        </w:tcPr>
        <w:p w14:paraId="026E7F20" w14:textId="12931DC4" w:rsidR="00B03F09" w:rsidRDefault="00B03F09" w:rsidP="00B03F09">
          <w:pPr>
            <w:spacing w:line="0" w:lineRule="atLeast"/>
            <w:jc w:val="center"/>
            <w:rPr>
              <w:sz w:val="18"/>
            </w:rPr>
          </w:pPr>
          <w:r w:rsidRPr="004E1307">
            <w:rPr>
              <w:i/>
              <w:sz w:val="18"/>
            </w:rPr>
            <w:fldChar w:fldCharType="begin"/>
          </w:r>
          <w:r w:rsidRPr="004E1307">
            <w:rPr>
              <w:i/>
              <w:sz w:val="18"/>
            </w:rPr>
            <w:instrText xml:space="preserve"> STYLEREF  ShortT </w:instrText>
          </w:r>
          <w:r w:rsidRPr="004E1307">
            <w:rPr>
              <w:i/>
              <w:sz w:val="18"/>
            </w:rPr>
            <w:fldChar w:fldCharType="separate"/>
          </w:r>
          <w:r w:rsidR="00315ED9">
            <w:rPr>
              <w:i/>
              <w:noProof/>
              <w:sz w:val="18"/>
            </w:rPr>
            <w:t>Taxation Administration (Reporting Exemptions for Electronic Distribution Platform Operators – Relevant Accommodation and Taxi Travel) Determination 2023</w:t>
          </w:r>
          <w:r w:rsidRPr="004E1307">
            <w:rPr>
              <w:i/>
              <w:sz w:val="18"/>
            </w:rPr>
            <w:fldChar w:fldCharType="end"/>
          </w:r>
        </w:p>
      </w:tc>
      <w:tc>
        <w:tcPr>
          <w:tcW w:w="365" w:type="pct"/>
        </w:tcPr>
        <w:p w14:paraId="640FA83E" w14:textId="77777777" w:rsidR="00B03F09" w:rsidRDefault="00B03F09" w:rsidP="00B03F09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>
            <w:rPr>
              <w:i/>
              <w:noProof/>
              <w:sz w:val="18"/>
            </w:rPr>
            <w:t>i</w:t>
          </w:r>
          <w:r w:rsidRPr="00ED79B6">
            <w:rPr>
              <w:i/>
              <w:sz w:val="18"/>
            </w:rPr>
            <w:fldChar w:fldCharType="end"/>
          </w:r>
        </w:p>
      </w:tc>
    </w:tr>
    <w:tr w:rsidR="00B03F09" w14:paraId="6671DF08" w14:textId="77777777" w:rsidTr="00B03F09">
      <w:tc>
        <w:tcPr>
          <w:tcW w:w="5000" w:type="pct"/>
          <w:gridSpan w:val="3"/>
        </w:tcPr>
        <w:p w14:paraId="36BC0753" w14:textId="77777777" w:rsidR="00B03F09" w:rsidRDefault="00B03F09" w:rsidP="00B03F09">
          <w:pPr>
            <w:rPr>
              <w:sz w:val="18"/>
            </w:rPr>
          </w:pPr>
        </w:p>
      </w:tc>
    </w:tr>
  </w:tbl>
  <w:p w14:paraId="3986149E" w14:textId="77777777" w:rsidR="00B03F09" w:rsidRPr="00ED79B6" w:rsidRDefault="00B03F09" w:rsidP="00B03F09">
    <w:pPr>
      <w:rPr>
        <w:i/>
        <w:sz w:val="18"/>
      </w:rPr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D4026D" w14:textId="77777777" w:rsidR="00B03F09" w:rsidRPr="002B0EA5" w:rsidRDefault="00B03F09" w:rsidP="00B03F09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607"/>
      <w:gridCol w:w="6132"/>
      <w:gridCol w:w="1574"/>
    </w:tblGrid>
    <w:tr w:rsidR="00B03F09" w14:paraId="3DDC5547" w14:textId="77777777" w:rsidTr="00B03F09">
      <w:tc>
        <w:tcPr>
          <w:tcW w:w="365" w:type="pct"/>
        </w:tcPr>
        <w:p w14:paraId="5A6DDB93" w14:textId="77777777" w:rsidR="00B03F09" w:rsidRDefault="00B03F09" w:rsidP="00B03F09">
          <w:pPr>
            <w:spacing w:line="0" w:lineRule="atLeas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>
            <w:rPr>
              <w:i/>
              <w:noProof/>
              <w:sz w:val="18"/>
            </w:rPr>
            <w:t>6</w:t>
          </w:r>
          <w:r w:rsidRPr="00ED79B6">
            <w:rPr>
              <w:i/>
              <w:sz w:val="18"/>
            </w:rPr>
            <w:fldChar w:fldCharType="end"/>
          </w:r>
        </w:p>
      </w:tc>
      <w:tc>
        <w:tcPr>
          <w:tcW w:w="3688" w:type="pct"/>
        </w:tcPr>
        <w:p w14:paraId="438D7749" w14:textId="69C7B791" w:rsidR="00B03F09" w:rsidRDefault="00B03F09" w:rsidP="00B03F09">
          <w:pPr>
            <w:spacing w:line="0" w:lineRule="atLeast"/>
            <w:jc w:val="center"/>
            <w:rPr>
              <w:sz w:val="18"/>
            </w:rPr>
          </w:pPr>
          <w:r w:rsidRPr="004E1307">
            <w:rPr>
              <w:i/>
              <w:sz w:val="18"/>
            </w:rPr>
            <w:fldChar w:fldCharType="begin"/>
          </w:r>
          <w:r w:rsidRPr="004E1307">
            <w:rPr>
              <w:i/>
              <w:sz w:val="18"/>
            </w:rPr>
            <w:instrText xml:space="preserve"> STYLEREF  ShortT </w:instrText>
          </w:r>
          <w:r w:rsidRPr="004E1307">
            <w:rPr>
              <w:i/>
              <w:sz w:val="18"/>
            </w:rPr>
            <w:fldChar w:fldCharType="separate"/>
          </w:r>
          <w:r w:rsidR="00315ED9">
            <w:rPr>
              <w:i/>
              <w:noProof/>
              <w:sz w:val="18"/>
            </w:rPr>
            <w:t>Taxation Administration (Reporting Exemptions for Electronic Distribution Platform Operators – Relevant Accommodation and Taxi Travel) Determination 2023</w:t>
          </w:r>
          <w:r w:rsidRPr="004E1307">
            <w:rPr>
              <w:i/>
              <w:sz w:val="18"/>
            </w:rPr>
            <w:fldChar w:fldCharType="end"/>
          </w:r>
        </w:p>
      </w:tc>
      <w:tc>
        <w:tcPr>
          <w:tcW w:w="947" w:type="pct"/>
        </w:tcPr>
        <w:p w14:paraId="2526000A" w14:textId="77777777" w:rsidR="00B03F09" w:rsidRDefault="00B03F09" w:rsidP="00B03F09">
          <w:pPr>
            <w:spacing w:line="0" w:lineRule="atLeast"/>
            <w:jc w:val="right"/>
            <w:rPr>
              <w:sz w:val="18"/>
            </w:rPr>
          </w:pPr>
        </w:p>
      </w:tc>
    </w:tr>
    <w:tr w:rsidR="00B03F09" w14:paraId="14C4F801" w14:textId="77777777" w:rsidTr="00B03F09">
      <w:tc>
        <w:tcPr>
          <w:tcW w:w="5000" w:type="pct"/>
          <w:gridSpan w:val="3"/>
        </w:tcPr>
        <w:p w14:paraId="48C04FDF" w14:textId="77777777" w:rsidR="00B03F09" w:rsidRDefault="00B03F09" w:rsidP="00B03F09">
          <w:pPr>
            <w:jc w:val="right"/>
            <w:rPr>
              <w:sz w:val="18"/>
            </w:rPr>
          </w:pPr>
        </w:p>
      </w:tc>
    </w:tr>
  </w:tbl>
  <w:p w14:paraId="636AF79B" w14:textId="77777777" w:rsidR="00B03F09" w:rsidRPr="00ED79B6" w:rsidRDefault="00B03F09" w:rsidP="00B03F09">
    <w:pPr>
      <w:rPr>
        <w:i/>
        <w:sz w:val="18"/>
      </w:rPr>
    </w:pP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EF0344" w14:textId="77777777" w:rsidR="00B03F09" w:rsidRPr="002B0EA5" w:rsidRDefault="00B03F09" w:rsidP="00B03F09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574"/>
      <w:gridCol w:w="6132"/>
      <w:gridCol w:w="607"/>
    </w:tblGrid>
    <w:tr w:rsidR="00B03F09" w14:paraId="43B42223" w14:textId="77777777" w:rsidTr="00B03F09">
      <w:tc>
        <w:tcPr>
          <w:tcW w:w="947" w:type="pct"/>
        </w:tcPr>
        <w:p w14:paraId="3A5D0C6A" w14:textId="77777777" w:rsidR="00B03F09" w:rsidRDefault="00B03F09" w:rsidP="00B03F09">
          <w:pPr>
            <w:spacing w:line="0" w:lineRule="atLeast"/>
            <w:rPr>
              <w:sz w:val="18"/>
            </w:rPr>
          </w:pPr>
        </w:p>
      </w:tc>
      <w:tc>
        <w:tcPr>
          <w:tcW w:w="3688" w:type="pct"/>
        </w:tcPr>
        <w:p w14:paraId="1EB207A4" w14:textId="45543BDA" w:rsidR="00B03F09" w:rsidRDefault="00B03F09" w:rsidP="00B03F09">
          <w:pPr>
            <w:spacing w:line="0" w:lineRule="atLeast"/>
            <w:jc w:val="center"/>
            <w:rPr>
              <w:sz w:val="18"/>
            </w:rPr>
          </w:pPr>
          <w:r w:rsidRPr="004E1307">
            <w:rPr>
              <w:i/>
              <w:sz w:val="18"/>
            </w:rPr>
            <w:fldChar w:fldCharType="begin"/>
          </w:r>
          <w:r w:rsidRPr="004E1307">
            <w:rPr>
              <w:i/>
              <w:sz w:val="18"/>
            </w:rPr>
            <w:instrText xml:space="preserve"> STYLEREF  ShortT </w:instrText>
          </w:r>
          <w:r w:rsidRPr="004E1307">
            <w:rPr>
              <w:i/>
              <w:sz w:val="18"/>
            </w:rPr>
            <w:fldChar w:fldCharType="separate"/>
          </w:r>
          <w:r w:rsidR="00315ED9">
            <w:rPr>
              <w:i/>
              <w:noProof/>
              <w:sz w:val="18"/>
            </w:rPr>
            <w:t>Taxation Administration (Reporting Exemptions for Electronic Distribution Platform Operators – Relevant Accommodation and Taxi Travel) Determination 2023</w:t>
          </w:r>
          <w:r w:rsidRPr="004E1307">
            <w:rPr>
              <w:i/>
              <w:sz w:val="18"/>
            </w:rPr>
            <w:fldChar w:fldCharType="end"/>
          </w:r>
        </w:p>
      </w:tc>
      <w:tc>
        <w:tcPr>
          <w:tcW w:w="365" w:type="pct"/>
        </w:tcPr>
        <w:p w14:paraId="2EDBDCD8" w14:textId="77777777" w:rsidR="00B03F09" w:rsidRDefault="00B03F09" w:rsidP="00B03F09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>
            <w:rPr>
              <w:i/>
              <w:noProof/>
              <w:sz w:val="18"/>
            </w:rPr>
            <w:t>5</w:t>
          </w:r>
          <w:r w:rsidRPr="00ED79B6">
            <w:rPr>
              <w:i/>
              <w:sz w:val="18"/>
            </w:rPr>
            <w:fldChar w:fldCharType="end"/>
          </w:r>
        </w:p>
      </w:tc>
    </w:tr>
    <w:tr w:rsidR="00B03F09" w14:paraId="210A6313" w14:textId="77777777" w:rsidTr="00B03F09">
      <w:tc>
        <w:tcPr>
          <w:tcW w:w="5000" w:type="pct"/>
          <w:gridSpan w:val="3"/>
        </w:tcPr>
        <w:p w14:paraId="708E601E" w14:textId="77777777" w:rsidR="00B03F09" w:rsidRDefault="00B03F09" w:rsidP="00B03F09">
          <w:pPr>
            <w:rPr>
              <w:sz w:val="18"/>
            </w:rPr>
          </w:pPr>
        </w:p>
      </w:tc>
    </w:tr>
  </w:tbl>
  <w:p w14:paraId="26879344" w14:textId="77777777" w:rsidR="00B03F09" w:rsidRPr="00ED79B6" w:rsidRDefault="00B03F09" w:rsidP="00B03F09">
    <w:pPr>
      <w:rPr>
        <w:i/>
        <w:sz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F33A42" w14:textId="77777777" w:rsidR="003A0C9C" w:rsidRDefault="003A0C9C" w:rsidP="00715914">
      <w:pPr>
        <w:spacing w:line="240" w:lineRule="auto"/>
      </w:pPr>
      <w:r>
        <w:separator/>
      </w:r>
    </w:p>
  </w:footnote>
  <w:footnote w:type="continuationSeparator" w:id="0">
    <w:p w14:paraId="0340E8D2" w14:textId="77777777" w:rsidR="003A0C9C" w:rsidRDefault="003A0C9C" w:rsidP="00715914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D63FFE" w14:textId="77777777" w:rsidR="00B03F09" w:rsidRPr="005F1388" w:rsidRDefault="00B03F09" w:rsidP="00715914">
    <w:pPr>
      <w:pStyle w:val="Header"/>
      <w:tabs>
        <w:tab w:val="clear" w:pos="4150"/>
        <w:tab w:val="clear" w:pos="8307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800BD0" w14:textId="77777777" w:rsidR="00B03F09" w:rsidRPr="005F1388" w:rsidRDefault="00B03F09" w:rsidP="00715914">
    <w:pPr>
      <w:pStyle w:val="Header"/>
      <w:tabs>
        <w:tab w:val="clear" w:pos="4150"/>
        <w:tab w:val="clear" w:pos="8307"/>
      </w:tabs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A77901" w14:textId="77777777" w:rsidR="00B03F09" w:rsidRPr="00ED79B6" w:rsidRDefault="00B03F09" w:rsidP="00B03F09">
    <w:pPr>
      <w:pBdr>
        <w:bottom w:val="single" w:sz="6" w:space="1" w:color="auto"/>
      </w:pBdr>
      <w:spacing w:before="1000" w:line="240" w:lineRule="auto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E28F14" w14:textId="77777777" w:rsidR="00B03F09" w:rsidRPr="00ED79B6" w:rsidRDefault="00B03F09" w:rsidP="00B03F09">
    <w:pPr>
      <w:pBdr>
        <w:bottom w:val="single" w:sz="6" w:space="1" w:color="auto"/>
      </w:pBdr>
      <w:spacing w:before="1000" w:line="240" w:lineRule="auto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18CFBB" w14:textId="77777777" w:rsidR="00B03F09" w:rsidRPr="00ED79B6" w:rsidRDefault="00B03F09" w:rsidP="00715914">
    <w:pPr>
      <w:pStyle w:val="Header"/>
      <w:tabs>
        <w:tab w:val="clear" w:pos="4150"/>
        <w:tab w:val="clear" w:pos="8307"/>
      </w:tabs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53B1B0" w14:textId="77777777" w:rsidR="00B03F09" w:rsidRDefault="00B03F09" w:rsidP="00715914">
    <w:pPr>
      <w:rPr>
        <w:sz w:val="20"/>
      </w:rPr>
    </w:pPr>
  </w:p>
  <w:p w14:paraId="26D4A9B2" w14:textId="77777777" w:rsidR="00B03F09" w:rsidRDefault="00B03F09" w:rsidP="00715914">
    <w:pPr>
      <w:rPr>
        <w:sz w:val="20"/>
      </w:rPr>
    </w:pPr>
  </w:p>
  <w:p w14:paraId="477ED5C6" w14:textId="77777777" w:rsidR="00B03F09" w:rsidRPr="007A1328" w:rsidRDefault="00B03F09" w:rsidP="00715914">
    <w:pPr>
      <w:rPr>
        <w:sz w:val="20"/>
      </w:rPr>
    </w:pPr>
  </w:p>
  <w:p w14:paraId="67DBEB0A" w14:textId="77777777" w:rsidR="00B03F09" w:rsidRPr="007A1328" w:rsidRDefault="00B03F09" w:rsidP="00715914">
    <w:pPr>
      <w:rPr>
        <w:b/>
        <w:sz w:val="24"/>
      </w:rPr>
    </w:pPr>
  </w:p>
  <w:p w14:paraId="7AD4BDDD" w14:textId="77777777" w:rsidR="00B03F09" w:rsidRPr="007A1328" w:rsidRDefault="00B03F09" w:rsidP="00D6537E">
    <w:pPr>
      <w:pBdr>
        <w:bottom w:val="single" w:sz="6" w:space="1" w:color="auto"/>
      </w:pBdr>
      <w:spacing w:after="120"/>
      <w:rPr>
        <w:sz w:val="24"/>
      </w:rPr>
    </w:pP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1F8128" w14:textId="77777777" w:rsidR="00B03F09" w:rsidRPr="007A1328" w:rsidRDefault="00B03F09" w:rsidP="00715914">
    <w:pPr>
      <w:jc w:val="right"/>
      <w:rPr>
        <w:sz w:val="20"/>
      </w:rPr>
    </w:pPr>
  </w:p>
  <w:p w14:paraId="11AAAC4F" w14:textId="77777777" w:rsidR="00B03F09" w:rsidRPr="007A1328" w:rsidRDefault="00B03F09" w:rsidP="00715914">
    <w:pPr>
      <w:jc w:val="right"/>
      <w:rPr>
        <w:sz w:val="20"/>
      </w:rPr>
    </w:pPr>
  </w:p>
  <w:p w14:paraId="5BA0FED5" w14:textId="77777777" w:rsidR="00B03F09" w:rsidRPr="007A1328" w:rsidRDefault="00B03F09" w:rsidP="00715914">
    <w:pPr>
      <w:jc w:val="right"/>
      <w:rPr>
        <w:sz w:val="20"/>
      </w:rPr>
    </w:pPr>
  </w:p>
  <w:p w14:paraId="4A5D0AB1" w14:textId="77777777" w:rsidR="00B03F09" w:rsidRPr="007A1328" w:rsidRDefault="00B03F09" w:rsidP="00715914">
    <w:pPr>
      <w:jc w:val="right"/>
      <w:rPr>
        <w:b/>
        <w:sz w:val="24"/>
      </w:rPr>
    </w:pPr>
  </w:p>
  <w:p w14:paraId="6E7015EB" w14:textId="77777777" w:rsidR="00B03F09" w:rsidRPr="007A1328" w:rsidRDefault="00B03F09" w:rsidP="00D6537E">
    <w:pPr>
      <w:pBdr>
        <w:bottom w:val="single" w:sz="6" w:space="1" w:color="auto"/>
      </w:pBdr>
      <w:spacing w:after="120"/>
      <w:jc w:val="right"/>
      <w:rPr>
        <w:sz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EE14F53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9D72A7C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48D204F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6AE5B8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D82A80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8DE603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E96627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36C0ECF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7778BA4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3F6C98E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156572"/>
    <w:multiLevelType w:val="hybridMultilevel"/>
    <w:tmpl w:val="05BA2F2C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B03710E"/>
    <w:multiLevelType w:val="multilevel"/>
    <w:tmpl w:val="6F7076BC"/>
    <w:styleLink w:val="OPCBodyList"/>
    <w:lvl w:ilvl="0">
      <w:start w:val="1"/>
      <w:numFmt w:val="decimal"/>
      <w:pStyle w:val="BodyNum"/>
      <w:lvlText w:val="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lowerLetter"/>
      <w:pStyle w:val="BodyPara"/>
      <w:lvlText w:val="(%2)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720"/>
      </w:pPr>
      <w:rPr>
        <w:rFonts w:ascii="Symbol" w:hAnsi="Symbol" w:hint="default"/>
      </w:rPr>
    </w:lvl>
    <w:lvl w:ilvl="3">
      <w:start w:val="1"/>
      <w:numFmt w:val="lowerRoman"/>
      <w:lvlText w:val="(%4)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2" w15:restartNumberingAfterBreak="0">
    <w:nsid w:val="3ACA13B0"/>
    <w:multiLevelType w:val="hybridMultilevel"/>
    <w:tmpl w:val="9C807164"/>
    <w:lvl w:ilvl="0" w:tplc="61B61804">
      <w:start w:val="1"/>
      <w:numFmt w:val="bullet"/>
      <w:pStyle w:val="TLPNotebullet"/>
      <w:lvlText w:val=""/>
      <w:lvlJc w:val="left"/>
      <w:pPr>
        <w:tabs>
          <w:tab w:val="num" w:pos="2517"/>
        </w:tabs>
        <w:ind w:left="2517" w:hanging="357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730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802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8748" w:hanging="360"/>
      </w:pPr>
      <w:rPr>
        <w:rFonts w:ascii="Wingdings" w:hAnsi="Wingdings" w:hint="default"/>
      </w:rPr>
    </w:lvl>
  </w:abstractNum>
  <w:abstractNum w:abstractNumId="13" w15:restartNumberingAfterBreak="0">
    <w:nsid w:val="449C5F96"/>
    <w:multiLevelType w:val="hybridMultilevel"/>
    <w:tmpl w:val="A8066736"/>
    <w:lvl w:ilvl="0" w:tplc="87B48646">
      <w:start w:val="2"/>
      <w:numFmt w:val="bullet"/>
      <w:lvlText w:val="-"/>
      <w:lvlJc w:val="left"/>
      <w:pPr>
        <w:ind w:left="405" w:hanging="360"/>
      </w:pPr>
      <w:rPr>
        <w:rFonts w:ascii="Times New Roman" w:eastAsiaTheme="minorHAnsi" w:hAnsi="Times New Roman" w:cs="Times New Roman" w:hint="default"/>
      </w:rPr>
    </w:lvl>
    <w:lvl w:ilvl="1" w:tplc="0C09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num w:numId="1" w16cid:durableId="605429970">
    <w:abstractNumId w:val="9"/>
  </w:num>
  <w:num w:numId="2" w16cid:durableId="494497287">
    <w:abstractNumId w:val="7"/>
  </w:num>
  <w:num w:numId="3" w16cid:durableId="2017804874">
    <w:abstractNumId w:val="6"/>
  </w:num>
  <w:num w:numId="4" w16cid:durableId="1776051787">
    <w:abstractNumId w:val="5"/>
  </w:num>
  <w:num w:numId="5" w16cid:durableId="758793077">
    <w:abstractNumId w:val="4"/>
  </w:num>
  <w:num w:numId="6" w16cid:durableId="1471365416">
    <w:abstractNumId w:val="8"/>
  </w:num>
  <w:num w:numId="7" w16cid:durableId="125317129">
    <w:abstractNumId w:val="3"/>
  </w:num>
  <w:num w:numId="8" w16cid:durableId="576940692">
    <w:abstractNumId w:val="2"/>
  </w:num>
  <w:num w:numId="9" w16cid:durableId="2138064378">
    <w:abstractNumId w:val="1"/>
  </w:num>
  <w:num w:numId="10" w16cid:durableId="1347561080">
    <w:abstractNumId w:val="0"/>
  </w:num>
  <w:num w:numId="11" w16cid:durableId="1227571274">
    <w:abstractNumId w:val="12"/>
  </w:num>
  <w:num w:numId="12" w16cid:durableId="1267301289">
    <w:abstractNumId w:val="10"/>
  </w:num>
  <w:num w:numId="13" w16cid:durableId="528370758">
    <w:abstractNumId w:val="11"/>
  </w:num>
  <w:num w:numId="14" w16cid:durableId="1448621587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embedTrueTypeFonts/>
  <w:saveSubsetFonts/>
  <w:proofState w:spelling="clean" w:grammar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20"/>
  <w:evenAndOddHeaders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3B9F"/>
    <w:rsid w:val="00001D85"/>
    <w:rsid w:val="00004174"/>
    <w:rsid w:val="00004470"/>
    <w:rsid w:val="000136AF"/>
    <w:rsid w:val="000258B1"/>
    <w:rsid w:val="00040A89"/>
    <w:rsid w:val="000437C1"/>
    <w:rsid w:val="0004455A"/>
    <w:rsid w:val="0005365D"/>
    <w:rsid w:val="00056567"/>
    <w:rsid w:val="000614BF"/>
    <w:rsid w:val="00063F2F"/>
    <w:rsid w:val="0006709C"/>
    <w:rsid w:val="00074376"/>
    <w:rsid w:val="000978F5"/>
    <w:rsid w:val="00097939"/>
    <w:rsid w:val="000A6268"/>
    <w:rsid w:val="000B15CD"/>
    <w:rsid w:val="000B35EB"/>
    <w:rsid w:val="000C2277"/>
    <w:rsid w:val="000D05EF"/>
    <w:rsid w:val="000E2261"/>
    <w:rsid w:val="000E3AF3"/>
    <w:rsid w:val="000E544B"/>
    <w:rsid w:val="000E78B7"/>
    <w:rsid w:val="000F21C1"/>
    <w:rsid w:val="0010745C"/>
    <w:rsid w:val="00112DEF"/>
    <w:rsid w:val="00117AA9"/>
    <w:rsid w:val="00126733"/>
    <w:rsid w:val="00132CEB"/>
    <w:rsid w:val="001339B0"/>
    <w:rsid w:val="00142B62"/>
    <w:rsid w:val="001441B7"/>
    <w:rsid w:val="00145A4C"/>
    <w:rsid w:val="001516CB"/>
    <w:rsid w:val="00152336"/>
    <w:rsid w:val="00157B8B"/>
    <w:rsid w:val="00163892"/>
    <w:rsid w:val="00166C2F"/>
    <w:rsid w:val="00177D8C"/>
    <w:rsid w:val="001809D7"/>
    <w:rsid w:val="001850B7"/>
    <w:rsid w:val="001939E1"/>
    <w:rsid w:val="00194C3E"/>
    <w:rsid w:val="00195382"/>
    <w:rsid w:val="001B2CB6"/>
    <w:rsid w:val="001B4BFF"/>
    <w:rsid w:val="001B4C63"/>
    <w:rsid w:val="001C61C5"/>
    <w:rsid w:val="001C69C4"/>
    <w:rsid w:val="001D37EF"/>
    <w:rsid w:val="001D65CB"/>
    <w:rsid w:val="001E3590"/>
    <w:rsid w:val="001E7407"/>
    <w:rsid w:val="001F5D5E"/>
    <w:rsid w:val="001F6219"/>
    <w:rsid w:val="001F6CD4"/>
    <w:rsid w:val="00206C4D"/>
    <w:rsid w:val="00215AF1"/>
    <w:rsid w:val="002321E8"/>
    <w:rsid w:val="00232984"/>
    <w:rsid w:val="0024010F"/>
    <w:rsid w:val="00240749"/>
    <w:rsid w:val="00243018"/>
    <w:rsid w:val="002521C1"/>
    <w:rsid w:val="002564A4"/>
    <w:rsid w:val="0026736C"/>
    <w:rsid w:val="00275CEF"/>
    <w:rsid w:val="00281308"/>
    <w:rsid w:val="00284719"/>
    <w:rsid w:val="00297ECB"/>
    <w:rsid w:val="002A1C40"/>
    <w:rsid w:val="002A55DB"/>
    <w:rsid w:val="002A5987"/>
    <w:rsid w:val="002A7BCF"/>
    <w:rsid w:val="002C3FD1"/>
    <w:rsid w:val="002C63AF"/>
    <w:rsid w:val="002D043A"/>
    <w:rsid w:val="002D266B"/>
    <w:rsid w:val="002D6224"/>
    <w:rsid w:val="002E08DE"/>
    <w:rsid w:val="0030399E"/>
    <w:rsid w:val="00304F8B"/>
    <w:rsid w:val="00305A7B"/>
    <w:rsid w:val="00315ED9"/>
    <w:rsid w:val="00335BC6"/>
    <w:rsid w:val="003415D3"/>
    <w:rsid w:val="00344338"/>
    <w:rsid w:val="00344701"/>
    <w:rsid w:val="00352B0F"/>
    <w:rsid w:val="003546B8"/>
    <w:rsid w:val="00360459"/>
    <w:rsid w:val="003767E2"/>
    <w:rsid w:val="0038049F"/>
    <w:rsid w:val="00390AEB"/>
    <w:rsid w:val="00394087"/>
    <w:rsid w:val="0039558A"/>
    <w:rsid w:val="003A0C9C"/>
    <w:rsid w:val="003C6231"/>
    <w:rsid w:val="003D0BFE"/>
    <w:rsid w:val="003D5700"/>
    <w:rsid w:val="003E341B"/>
    <w:rsid w:val="003E4D00"/>
    <w:rsid w:val="003F0DBB"/>
    <w:rsid w:val="003F75BE"/>
    <w:rsid w:val="004116CD"/>
    <w:rsid w:val="00417EB9"/>
    <w:rsid w:val="00420E3B"/>
    <w:rsid w:val="00424CA9"/>
    <w:rsid w:val="004276DF"/>
    <w:rsid w:val="00431E9B"/>
    <w:rsid w:val="004379E3"/>
    <w:rsid w:val="0044015E"/>
    <w:rsid w:val="0044291A"/>
    <w:rsid w:val="00456237"/>
    <w:rsid w:val="00467661"/>
    <w:rsid w:val="00472227"/>
    <w:rsid w:val="00472DBE"/>
    <w:rsid w:val="00474A19"/>
    <w:rsid w:val="00477830"/>
    <w:rsid w:val="00487764"/>
    <w:rsid w:val="004912A7"/>
    <w:rsid w:val="00494171"/>
    <w:rsid w:val="00496F97"/>
    <w:rsid w:val="004B4F14"/>
    <w:rsid w:val="004B6C48"/>
    <w:rsid w:val="004C34D9"/>
    <w:rsid w:val="004C4E59"/>
    <w:rsid w:val="004C6809"/>
    <w:rsid w:val="004E063A"/>
    <w:rsid w:val="004E1307"/>
    <w:rsid w:val="004E23EB"/>
    <w:rsid w:val="004E7BEC"/>
    <w:rsid w:val="004F006B"/>
    <w:rsid w:val="005008DD"/>
    <w:rsid w:val="00505D3D"/>
    <w:rsid w:val="00506AF6"/>
    <w:rsid w:val="00516B8D"/>
    <w:rsid w:val="005303C8"/>
    <w:rsid w:val="0053176D"/>
    <w:rsid w:val="00537FBC"/>
    <w:rsid w:val="00553B9F"/>
    <w:rsid w:val="00554826"/>
    <w:rsid w:val="00562877"/>
    <w:rsid w:val="00575AAD"/>
    <w:rsid w:val="00584811"/>
    <w:rsid w:val="00585315"/>
    <w:rsid w:val="00585784"/>
    <w:rsid w:val="00592496"/>
    <w:rsid w:val="00593AA6"/>
    <w:rsid w:val="00594161"/>
    <w:rsid w:val="00594749"/>
    <w:rsid w:val="005A51A9"/>
    <w:rsid w:val="005A65D5"/>
    <w:rsid w:val="005B4067"/>
    <w:rsid w:val="005C3F41"/>
    <w:rsid w:val="005D1D92"/>
    <w:rsid w:val="005D2D09"/>
    <w:rsid w:val="00600219"/>
    <w:rsid w:val="00604F2A"/>
    <w:rsid w:val="00620076"/>
    <w:rsid w:val="00627E0A"/>
    <w:rsid w:val="00630B95"/>
    <w:rsid w:val="00646D36"/>
    <w:rsid w:val="006532DD"/>
    <w:rsid w:val="0065488B"/>
    <w:rsid w:val="0066148E"/>
    <w:rsid w:val="00670EA1"/>
    <w:rsid w:val="00677CC2"/>
    <w:rsid w:val="0068562C"/>
    <w:rsid w:val="0068744B"/>
    <w:rsid w:val="006905DE"/>
    <w:rsid w:val="0069207B"/>
    <w:rsid w:val="006A154F"/>
    <w:rsid w:val="006A23A3"/>
    <w:rsid w:val="006A437B"/>
    <w:rsid w:val="006B5789"/>
    <w:rsid w:val="006C0F5D"/>
    <w:rsid w:val="006C30C5"/>
    <w:rsid w:val="006C79E6"/>
    <w:rsid w:val="006C7F8C"/>
    <w:rsid w:val="006E2E1C"/>
    <w:rsid w:val="006E6246"/>
    <w:rsid w:val="006E69C2"/>
    <w:rsid w:val="006E6DCC"/>
    <w:rsid w:val="006F2CBA"/>
    <w:rsid w:val="006F318F"/>
    <w:rsid w:val="006F436A"/>
    <w:rsid w:val="0070017E"/>
    <w:rsid w:val="00700B2C"/>
    <w:rsid w:val="00703D8D"/>
    <w:rsid w:val="007050A2"/>
    <w:rsid w:val="00713084"/>
    <w:rsid w:val="00714F20"/>
    <w:rsid w:val="0071590F"/>
    <w:rsid w:val="00715914"/>
    <w:rsid w:val="0072147A"/>
    <w:rsid w:val="0072226E"/>
    <w:rsid w:val="00723791"/>
    <w:rsid w:val="00731E00"/>
    <w:rsid w:val="00733497"/>
    <w:rsid w:val="007440B7"/>
    <w:rsid w:val="007500C8"/>
    <w:rsid w:val="00756272"/>
    <w:rsid w:val="00762D38"/>
    <w:rsid w:val="007633D5"/>
    <w:rsid w:val="007715C9"/>
    <w:rsid w:val="00771613"/>
    <w:rsid w:val="00774EDD"/>
    <w:rsid w:val="007757EC"/>
    <w:rsid w:val="0078268E"/>
    <w:rsid w:val="00783E89"/>
    <w:rsid w:val="00793915"/>
    <w:rsid w:val="007A4669"/>
    <w:rsid w:val="007C2253"/>
    <w:rsid w:val="007C42F4"/>
    <w:rsid w:val="007D7911"/>
    <w:rsid w:val="007E163D"/>
    <w:rsid w:val="007E64AD"/>
    <w:rsid w:val="007E667A"/>
    <w:rsid w:val="007F28C9"/>
    <w:rsid w:val="007F328E"/>
    <w:rsid w:val="007F51B2"/>
    <w:rsid w:val="00803A2B"/>
    <w:rsid w:val="008040DD"/>
    <w:rsid w:val="008117E9"/>
    <w:rsid w:val="00824498"/>
    <w:rsid w:val="00826BD1"/>
    <w:rsid w:val="00826FDC"/>
    <w:rsid w:val="008276E4"/>
    <w:rsid w:val="00854D0B"/>
    <w:rsid w:val="00856A31"/>
    <w:rsid w:val="00860B4E"/>
    <w:rsid w:val="00867B37"/>
    <w:rsid w:val="008740E1"/>
    <w:rsid w:val="0087480C"/>
    <w:rsid w:val="008754D0"/>
    <w:rsid w:val="00875D13"/>
    <w:rsid w:val="008855C9"/>
    <w:rsid w:val="00886456"/>
    <w:rsid w:val="008932C7"/>
    <w:rsid w:val="00896176"/>
    <w:rsid w:val="008A46E1"/>
    <w:rsid w:val="008A4F43"/>
    <w:rsid w:val="008B2706"/>
    <w:rsid w:val="008B4391"/>
    <w:rsid w:val="008C2EAC"/>
    <w:rsid w:val="008C3F79"/>
    <w:rsid w:val="008C494B"/>
    <w:rsid w:val="008D0EE0"/>
    <w:rsid w:val="008E0027"/>
    <w:rsid w:val="008E116F"/>
    <w:rsid w:val="008E4278"/>
    <w:rsid w:val="008E6067"/>
    <w:rsid w:val="008F3B2A"/>
    <w:rsid w:val="008F54E7"/>
    <w:rsid w:val="00903422"/>
    <w:rsid w:val="009254C3"/>
    <w:rsid w:val="00932377"/>
    <w:rsid w:val="00941236"/>
    <w:rsid w:val="00943FD5"/>
    <w:rsid w:val="00947D5A"/>
    <w:rsid w:val="009532A5"/>
    <w:rsid w:val="009545BD"/>
    <w:rsid w:val="0096334A"/>
    <w:rsid w:val="00964CF0"/>
    <w:rsid w:val="00971165"/>
    <w:rsid w:val="00975685"/>
    <w:rsid w:val="00977806"/>
    <w:rsid w:val="00982242"/>
    <w:rsid w:val="009868E9"/>
    <w:rsid w:val="009900A3"/>
    <w:rsid w:val="009C3413"/>
    <w:rsid w:val="009D03BF"/>
    <w:rsid w:val="00A02454"/>
    <w:rsid w:val="00A0441E"/>
    <w:rsid w:val="00A12128"/>
    <w:rsid w:val="00A14963"/>
    <w:rsid w:val="00A22C98"/>
    <w:rsid w:val="00A231E2"/>
    <w:rsid w:val="00A35A47"/>
    <w:rsid w:val="00A369E3"/>
    <w:rsid w:val="00A57600"/>
    <w:rsid w:val="00A64912"/>
    <w:rsid w:val="00A652A3"/>
    <w:rsid w:val="00A70A74"/>
    <w:rsid w:val="00A75FE9"/>
    <w:rsid w:val="00AA0993"/>
    <w:rsid w:val="00AA43BE"/>
    <w:rsid w:val="00AA4704"/>
    <w:rsid w:val="00AC48C7"/>
    <w:rsid w:val="00AD53CC"/>
    <w:rsid w:val="00AD5641"/>
    <w:rsid w:val="00AF06CF"/>
    <w:rsid w:val="00AF58DB"/>
    <w:rsid w:val="00B03F09"/>
    <w:rsid w:val="00B07CDB"/>
    <w:rsid w:val="00B16A31"/>
    <w:rsid w:val="00B17DFD"/>
    <w:rsid w:val="00B25306"/>
    <w:rsid w:val="00B27831"/>
    <w:rsid w:val="00B308FE"/>
    <w:rsid w:val="00B33709"/>
    <w:rsid w:val="00B33B3C"/>
    <w:rsid w:val="00B36392"/>
    <w:rsid w:val="00B4027A"/>
    <w:rsid w:val="00B418CB"/>
    <w:rsid w:val="00B47444"/>
    <w:rsid w:val="00B50ADC"/>
    <w:rsid w:val="00B566B1"/>
    <w:rsid w:val="00B63834"/>
    <w:rsid w:val="00B80199"/>
    <w:rsid w:val="00B8248E"/>
    <w:rsid w:val="00B83204"/>
    <w:rsid w:val="00B856E7"/>
    <w:rsid w:val="00B919B4"/>
    <w:rsid w:val="00BA220B"/>
    <w:rsid w:val="00BA3A57"/>
    <w:rsid w:val="00BB1533"/>
    <w:rsid w:val="00BB4E1A"/>
    <w:rsid w:val="00BC009C"/>
    <w:rsid w:val="00BC015E"/>
    <w:rsid w:val="00BC0D0C"/>
    <w:rsid w:val="00BC5D2E"/>
    <w:rsid w:val="00BC76AC"/>
    <w:rsid w:val="00BD0ECB"/>
    <w:rsid w:val="00BD24A9"/>
    <w:rsid w:val="00BE2155"/>
    <w:rsid w:val="00BE719A"/>
    <w:rsid w:val="00BE720A"/>
    <w:rsid w:val="00BF0D73"/>
    <w:rsid w:val="00BF2465"/>
    <w:rsid w:val="00C14457"/>
    <w:rsid w:val="00C16619"/>
    <w:rsid w:val="00C25E7F"/>
    <w:rsid w:val="00C2746F"/>
    <w:rsid w:val="00C323D6"/>
    <w:rsid w:val="00C324A0"/>
    <w:rsid w:val="00C42BF8"/>
    <w:rsid w:val="00C50043"/>
    <w:rsid w:val="00C519A6"/>
    <w:rsid w:val="00C7573B"/>
    <w:rsid w:val="00C83BC5"/>
    <w:rsid w:val="00C9494E"/>
    <w:rsid w:val="00C9661E"/>
    <w:rsid w:val="00C97A54"/>
    <w:rsid w:val="00CA3FD6"/>
    <w:rsid w:val="00CA5B23"/>
    <w:rsid w:val="00CB602E"/>
    <w:rsid w:val="00CB7E90"/>
    <w:rsid w:val="00CE051D"/>
    <w:rsid w:val="00CE1335"/>
    <w:rsid w:val="00CE493D"/>
    <w:rsid w:val="00CF07FA"/>
    <w:rsid w:val="00CF0BB2"/>
    <w:rsid w:val="00CF3EE8"/>
    <w:rsid w:val="00D1160F"/>
    <w:rsid w:val="00D11A28"/>
    <w:rsid w:val="00D13441"/>
    <w:rsid w:val="00D13B73"/>
    <w:rsid w:val="00D150E7"/>
    <w:rsid w:val="00D26807"/>
    <w:rsid w:val="00D52DC2"/>
    <w:rsid w:val="00D53BCC"/>
    <w:rsid w:val="00D54083"/>
    <w:rsid w:val="00D54C9E"/>
    <w:rsid w:val="00D567C3"/>
    <w:rsid w:val="00D6537E"/>
    <w:rsid w:val="00D653B9"/>
    <w:rsid w:val="00D70B23"/>
    <w:rsid w:val="00D70DFB"/>
    <w:rsid w:val="00D766DF"/>
    <w:rsid w:val="00D8206C"/>
    <w:rsid w:val="00D91F10"/>
    <w:rsid w:val="00D956ED"/>
    <w:rsid w:val="00DA186E"/>
    <w:rsid w:val="00DA4116"/>
    <w:rsid w:val="00DB0E62"/>
    <w:rsid w:val="00DB251C"/>
    <w:rsid w:val="00DB4630"/>
    <w:rsid w:val="00DB5940"/>
    <w:rsid w:val="00DC4F88"/>
    <w:rsid w:val="00DE107C"/>
    <w:rsid w:val="00DF1C73"/>
    <w:rsid w:val="00DF2388"/>
    <w:rsid w:val="00DF2468"/>
    <w:rsid w:val="00DF27D8"/>
    <w:rsid w:val="00E05704"/>
    <w:rsid w:val="00E1428C"/>
    <w:rsid w:val="00E30202"/>
    <w:rsid w:val="00E338EF"/>
    <w:rsid w:val="00E544BB"/>
    <w:rsid w:val="00E74DC7"/>
    <w:rsid w:val="00E8075A"/>
    <w:rsid w:val="00E852F5"/>
    <w:rsid w:val="00E90746"/>
    <w:rsid w:val="00E940D8"/>
    <w:rsid w:val="00E94D5E"/>
    <w:rsid w:val="00EA50FC"/>
    <w:rsid w:val="00EA7100"/>
    <w:rsid w:val="00EA7F9F"/>
    <w:rsid w:val="00EB1274"/>
    <w:rsid w:val="00ED2BB6"/>
    <w:rsid w:val="00ED34E1"/>
    <w:rsid w:val="00ED3B8D"/>
    <w:rsid w:val="00ED4163"/>
    <w:rsid w:val="00EE5E36"/>
    <w:rsid w:val="00EE6132"/>
    <w:rsid w:val="00EF2E3A"/>
    <w:rsid w:val="00F02C7C"/>
    <w:rsid w:val="00F072A7"/>
    <w:rsid w:val="00F078DC"/>
    <w:rsid w:val="00F32BA8"/>
    <w:rsid w:val="00F32EE0"/>
    <w:rsid w:val="00F349F1"/>
    <w:rsid w:val="00F358EA"/>
    <w:rsid w:val="00F4350D"/>
    <w:rsid w:val="00F479C4"/>
    <w:rsid w:val="00F567F7"/>
    <w:rsid w:val="00F61AC7"/>
    <w:rsid w:val="00F6696E"/>
    <w:rsid w:val="00F72396"/>
    <w:rsid w:val="00F73BD6"/>
    <w:rsid w:val="00F83989"/>
    <w:rsid w:val="00F85099"/>
    <w:rsid w:val="00F91FBD"/>
    <w:rsid w:val="00F9379C"/>
    <w:rsid w:val="00F9632C"/>
    <w:rsid w:val="00FA1E52"/>
    <w:rsid w:val="00FB5A08"/>
    <w:rsid w:val="00FC0682"/>
    <w:rsid w:val="00FC6A80"/>
    <w:rsid w:val="00FE0E1B"/>
    <w:rsid w:val="00FE4688"/>
    <w:rsid w:val="00FE7612"/>
    <w:rsid w:val="00FF57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CA4F21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lang w:val="en-A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8E6067"/>
    <w:pPr>
      <w:spacing w:line="260" w:lineRule="atLeast"/>
    </w:pPr>
    <w:rPr>
      <w:sz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152336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nhideWhenUsed/>
    <w:qFormat/>
    <w:rsid w:val="00152336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52336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52336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52336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qFormat/>
    <w:rsid w:val="00152336"/>
    <w:pPr>
      <w:keepNext/>
      <w:keepLines/>
      <w:spacing w:line="240" w:lineRule="auto"/>
      <w:ind w:left="1134" w:hanging="1134"/>
      <w:outlineLvl w:val="5"/>
    </w:pPr>
    <w:rPr>
      <w:rFonts w:ascii="Arial" w:eastAsia="Times New Roman" w:hAnsi="Arial" w:cs="Times New Roman"/>
      <w:b/>
      <w:kern w:val="28"/>
      <w:sz w:val="32"/>
      <w:lang w:eastAsia="en-AU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52336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52336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52336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OPCCharBase">
    <w:name w:val="OPCCharBase"/>
    <w:uiPriority w:val="1"/>
    <w:qFormat/>
    <w:rsid w:val="00A231E2"/>
  </w:style>
  <w:style w:type="paragraph" w:customStyle="1" w:styleId="OPCParaBase">
    <w:name w:val="OPCParaBase"/>
    <w:qFormat/>
    <w:rsid w:val="00A231E2"/>
    <w:pPr>
      <w:spacing w:line="260" w:lineRule="atLeast"/>
    </w:pPr>
    <w:rPr>
      <w:rFonts w:eastAsia="Times New Roman" w:cs="Times New Roman"/>
      <w:sz w:val="22"/>
      <w:lang w:eastAsia="en-AU"/>
    </w:rPr>
  </w:style>
  <w:style w:type="paragraph" w:customStyle="1" w:styleId="ShortT">
    <w:name w:val="ShortT"/>
    <w:basedOn w:val="OPCParaBase"/>
    <w:next w:val="Normal"/>
    <w:qFormat/>
    <w:rsid w:val="00A231E2"/>
    <w:pPr>
      <w:spacing w:line="240" w:lineRule="auto"/>
    </w:pPr>
    <w:rPr>
      <w:b/>
      <w:sz w:val="40"/>
    </w:rPr>
  </w:style>
  <w:style w:type="paragraph" w:customStyle="1" w:styleId="ActHead1">
    <w:name w:val="ActHead 1"/>
    <w:aliases w:val="c"/>
    <w:basedOn w:val="OPCParaBase"/>
    <w:next w:val="Normal"/>
    <w:qFormat/>
    <w:rsid w:val="00A231E2"/>
    <w:pPr>
      <w:keepNext/>
      <w:keepLines/>
      <w:spacing w:line="240" w:lineRule="auto"/>
      <w:ind w:left="1134" w:hanging="1134"/>
      <w:outlineLvl w:val="0"/>
    </w:pPr>
    <w:rPr>
      <w:b/>
      <w:kern w:val="28"/>
      <w:sz w:val="36"/>
    </w:rPr>
  </w:style>
  <w:style w:type="paragraph" w:customStyle="1" w:styleId="ActHead2">
    <w:name w:val="ActHead 2"/>
    <w:aliases w:val="p"/>
    <w:basedOn w:val="OPCParaBase"/>
    <w:next w:val="ActHead3"/>
    <w:qFormat/>
    <w:rsid w:val="006C7F8C"/>
    <w:pPr>
      <w:keepNext/>
      <w:keepLines/>
      <w:spacing w:before="280" w:line="240" w:lineRule="auto"/>
      <w:ind w:left="1134" w:hanging="1134"/>
      <w:outlineLvl w:val="1"/>
    </w:pPr>
    <w:rPr>
      <w:b/>
      <w:kern w:val="28"/>
      <w:sz w:val="32"/>
    </w:rPr>
  </w:style>
  <w:style w:type="paragraph" w:customStyle="1" w:styleId="ActHead3">
    <w:name w:val="ActHead 3"/>
    <w:aliases w:val="d"/>
    <w:basedOn w:val="OPCParaBase"/>
    <w:next w:val="ActHead4"/>
    <w:qFormat/>
    <w:rsid w:val="006C7F8C"/>
    <w:pPr>
      <w:keepNext/>
      <w:keepLines/>
      <w:spacing w:before="240" w:line="240" w:lineRule="auto"/>
      <w:ind w:left="1134" w:hanging="1134"/>
      <w:outlineLvl w:val="2"/>
    </w:pPr>
    <w:rPr>
      <w:b/>
      <w:kern w:val="28"/>
      <w:sz w:val="28"/>
    </w:rPr>
  </w:style>
  <w:style w:type="paragraph" w:customStyle="1" w:styleId="ActHead4">
    <w:name w:val="ActHead 4"/>
    <w:aliases w:val="sd"/>
    <w:basedOn w:val="OPCParaBase"/>
    <w:next w:val="ActHead5"/>
    <w:qFormat/>
    <w:rsid w:val="006C7F8C"/>
    <w:pPr>
      <w:keepNext/>
      <w:keepLines/>
      <w:spacing w:before="220" w:line="240" w:lineRule="auto"/>
      <w:ind w:left="1134" w:hanging="1134"/>
      <w:outlineLvl w:val="3"/>
    </w:pPr>
    <w:rPr>
      <w:b/>
      <w:kern w:val="28"/>
      <w:sz w:val="26"/>
    </w:rPr>
  </w:style>
  <w:style w:type="paragraph" w:customStyle="1" w:styleId="ActHead5">
    <w:name w:val="ActHead 5"/>
    <w:aliases w:val="s"/>
    <w:basedOn w:val="OPCParaBase"/>
    <w:next w:val="subsection"/>
    <w:qFormat/>
    <w:rsid w:val="001E7407"/>
    <w:pPr>
      <w:keepNext/>
      <w:keepLines/>
      <w:spacing w:before="280" w:line="240" w:lineRule="auto"/>
      <w:ind w:left="1134" w:hanging="1134"/>
      <w:outlineLvl w:val="4"/>
    </w:pPr>
    <w:rPr>
      <w:b/>
      <w:kern w:val="28"/>
      <w:sz w:val="24"/>
    </w:rPr>
  </w:style>
  <w:style w:type="paragraph" w:customStyle="1" w:styleId="ActHead6">
    <w:name w:val="ActHead 6"/>
    <w:aliases w:val="as"/>
    <w:basedOn w:val="OPCParaBase"/>
    <w:next w:val="ActHead7"/>
    <w:qFormat/>
    <w:rsid w:val="001E7407"/>
    <w:pPr>
      <w:keepNext/>
      <w:keepLines/>
      <w:spacing w:line="240" w:lineRule="auto"/>
      <w:ind w:left="1134" w:hanging="1134"/>
      <w:outlineLvl w:val="5"/>
    </w:pPr>
    <w:rPr>
      <w:rFonts w:ascii="Arial" w:hAnsi="Arial"/>
      <w:b/>
      <w:kern w:val="28"/>
      <w:sz w:val="32"/>
    </w:rPr>
  </w:style>
  <w:style w:type="paragraph" w:customStyle="1" w:styleId="ActHead7">
    <w:name w:val="ActHead 7"/>
    <w:aliases w:val="ap"/>
    <w:basedOn w:val="OPCParaBase"/>
    <w:next w:val="ItemHead"/>
    <w:qFormat/>
    <w:rsid w:val="00774EDD"/>
    <w:pPr>
      <w:keepNext/>
      <w:keepLines/>
      <w:spacing w:before="280" w:line="240" w:lineRule="auto"/>
      <w:ind w:left="1134" w:hanging="1134"/>
      <w:outlineLvl w:val="6"/>
    </w:pPr>
    <w:rPr>
      <w:rFonts w:ascii="Arial" w:hAnsi="Arial"/>
      <w:b/>
      <w:kern w:val="28"/>
      <w:sz w:val="28"/>
    </w:rPr>
  </w:style>
  <w:style w:type="paragraph" w:customStyle="1" w:styleId="ActHead8">
    <w:name w:val="ActHead 8"/>
    <w:aliases w:val="ad"/>
    <w:basedOn w:val="OPCParaBase"/>
    <w:next w:val="ItemHead"/>
    <w:qFormat/>
    <w:rsid w:val="00774EDD"/>
    <w:pPr>
      <w:keepNext/>
      <w:keepLines/>
      <w:spacing w:before="240" w:line="240" w:lineRule="auto"/>
      <w:ind w:left="1134" w:hanging="1134"/>
      <w:outlineLvl w:val="7"/>
    </w:pPr>
    <w:rPr>
      <w:rFonts w:ascii="Arial" w:hAnsi="Arial"/>
      <w:b/>
      <w:kern w:val="28"/>
      <w:sz w:val="26"/>
    </w:rPr>
  </w:style>
  <w:style w:type="paragraph" w:customStyle="1" w:styleId="ActHead9">
    <w:name w:val="ActHead 9"/>
    <w:aliases w:val="aat"/>
    <w:basedOn w:val="OPCParaBase"/>
    <w:next w:val="ItemHead"/>
    <w:qFormat/>
    <w:rsid w:val="00774EDD"/>
    <w:pPr>
      <w:keepNext/>
      <w:keepLines/>
      <w:spacing w:before="280" w:line="240" w:lineRule="auto"/>
      <w:ind w:left="1134" w:hanging="1134"/>
      <w:outlineLvl w:val="8"/>
    </w:pPr>
    <w:rPr>
      <w:b/>
      <w:i/>
      <w:kern w:val="28"/>
      <w:sz w:val="28"/>
    </w:rPr>
  </w:style>
  <w:style w:type="paragraph" w:customStyle="1" w:styleId="Actno">
    <w:name w:val="Actno"/>
    <w:basedOn w:val="ShortT"/>
    <w:next w:val="Normal"/>
    <w:qFormat/>
    <w:rsid w:val="00A231E2"/>
  </w:style>
  <w:style w:type="paragraph" w:customStyle="1" w:styleId="Blocks">
    <w:name w:val="Blocks"/>
    <w:aliases w:val="bb"/>
    <w:basedOn w:val="OPCParaBase"/>
    <w:qFormat/>
    <w:rsid w:val="00A231E2"/>
    <w:pPr>
      <w:spacing w:line="240" w:lineRule="auto"/>
    </w:pPr>
    <w:rPr>
      <w:sz w:val="24"/>
    </w:rPr>
  </w:style>
  <w:style w:type="paragraph" w:customStyle="1" w:styleId="BoxText">
    <w:name w:val="BoxText"/>
    <w:aliases w:val="bt"/>
    <w:basedOn w:val="OPCParaBase"/>
    <w:qFormat/>
    <w:rsid w:val="00240749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uto"/>
      <w:ind w:left="1134"/>
    </w:pPr>
  </w:style>
  <w:style w:type="paragraph" w:customStyle="1" w:styleId="BoxHeadBold">
    <w:name w:val="BoxHeadBold"/>
    <w:aliases w:val="bhb"/>
    <w:basedOn w:val="BoxText"/>
    <w:next w:val="BoxText"/>
    <w:qFormat/>
    <w:rsid w:val="00A231E2"/>
    <w:rPr>
      <w:b/>
    </w:rPr>
  </w:style>
  <w:style w:type="paragraph" w:customStyle="1" w:styleId="BoxHeadItalic">
    <w:name w:val="BoxHeadItalic"/>
    <w:aliases w:val="bhi"/>
    <w:basedOn w:val="BoxText"/>
    <w:next w:val="BoxStep"/>
    <w:qFormat/>
    <w:rsid w:val="00A231E2"/>
    <w:rPr>
      <w:i/>
    </w:rPr>
  </w:style>
  <w:style w:type="paragraph" w:customStyle="1" w:styleId="BoxList">
    <w:name w:val="BoxList"/>
    <w:aliases w:val="bl"/>
    <w:basedOn w:val="BoxText"/>
    <w:qFormat/>
    <w:rsid w:val="00A231E2"/>
    <w:pPr>
      <w:ind w:left="1559" w:hanging="425"/>
    </w:pPr>
  </w:style>
  <w:style w:type="paragraph" w:customStyle="1" w:styleId="BoxNote">
    <w:name w:val="BoxNote"/>
    <w:aliases w:val="bn"/>
    <w:basedOn w:val="BoxText"/>
    <w:qFormat/>
    <w:rsid w:val="00A231E2"/>
    <w:pPr>
      <w:tabs>
        <w:tab w:val="left" w:pos="1985"/>
      </w:tabs>
      <w:spacing w:before="122" w:line="198" w:lineRule="exact"/>
      <w:ind w:left="2948" w:hanging="1814"/>
    </w:pPr>
    <w:rPr>
      <w:sz w:val="18"/>
    </w:rPr>
  </w:style>
  <w:style w:type="paragraph" w:customStyle="1" w:styleId="BoxPara">
    <w:name w:val="BoxPara"/>
    <w:aliases w:val="bp"/>
    <w:basedOn w:val="BoxText"/>
    <w:qFormat/>
    <w:rsid w:val="00A231E2"/>
    <w:pPr>
      <w:tabs>
        <w:tab w:val="right" w:pos="2268"/>
      </w:tabs>
      <w:ind w:left="2552" w:hanging="1418"/>
    </w:pPr>
  </w:style>
  <w:style w:type="paragraph" w:customStyle="1" w:styleId="BoxStep">
    <w:name w:val="BoxStep"/>
    <w:aliases w:val="bs"/>
    <w:basedOn w:val="BoxText"/>
    <w:qFormat/>
    <w:rsid w:val="00A231E2"/>
    <w:pPr>
      <w:ind w:left="1985" w:hanging="851"/>
    </w:pPr>
  </w:style>
  <w:style w:type="character" w:customStyle="1" w:styleId="CharAmPartNo">
    <w:name w:val="CharAmPartNo"/>
    <w:basedOn w:val="OPCCharBase"/>
    <w:uiPriority w:val="1"/>
    <w:qFormat/>
    <w:rsid w:val="00A231E2"/>
  </w:style>
  <w:style w:type="character" w:customStyle="1" w:styleId="CharAmPartText">
    <w:name w:val="CharAmPartText"/>
    <w:basedOn w:val="OPCCharBase"/>
    <w:uiPriority w:val="1"/>
    <w:qFormat/>
    <w:rsid w:val="00A231E2"/>
  </w:style>
  <w:style w:type="character" w:customStyle="1" w:styleId="CharAmSchNo">
    <w:name w:val="CharAmSchNo"/>
    <w:basedOn w:val="OPCCharBase"/>
    <w:uiPriority w:val="1"/>
    <w:qFormat/>
    <w:rsid w:val="00A231E2"/>
  </w:style>
  <w:style w:type="character" w:customStyle="1" w:styleId="CharAmSchText">
    <w:name w:val="CharAmSchText"/>
    <w:basedOn w:val="OPCCharBase"/>
    <w:uiPriority w:val="1"/>
    <w:qFormat/>
    <w:rsid w:val="00A231E2"/>
  </w:style>
  <w:style w:type="character" w:customStyle="1" w:styleId="CharBoldItalic">
    <w:name w:val="CharBoldItalic"/>
    <w:basedOn w:val="OPCCharBase"/>
    <w:uiPriority w:val="1"/>
    <w:qFormat/>
    <w:rsid w:val="00A231E2"/>
    <w:rPr>
      <w:b/>
      <w:i/>
    </w:rPr>
  </w:style>
  <w:style w:type="character" w:customStyle="1" w:styleId="CharChapNo">
    <w:name w:val="CharChapNo"/>
    <w:basedOn w:val="OPCCharBase"/>
    <w:qFormat/>
    <w:rsid w:val="00A231E2"/>
  </w:style>
  <w:style w:type="character" w:customStyle="1" w:styleId="CharChapText">
    <w:name w:val="CharChapText"/>
    <w:basedOn w:val="OPCCharBase"/>
    <w:qFormat/>
    <w:rsid w:val="00A231E2"/>
  </w:style>
  <w:style w:type="character" w:customStyle="1" w:styleId="CharDivNo">
    <w:name w:val="CharDivNo"/>
    <w:basedOn w:val="OPCCharBase"/>
    <w:qFormat/>
    <w:rsid w:val="00A231E2"/>
  </w:style>
  <w:style w:type="character" w:customStyle="1" w:styleId="CharDivText">
    <w:name w:val="CharDivText"/>
    <w:basedOn w:val="OPCCharBase"/>
    <w:qFormat/>
    <w:rsid w:val="00A231E2"/>
  </w:style>
  <w:style w:type="character" w:customStyle="1" w:styleId="CharItalic">
    <w:name w:val="CharItalic"/>
    <w:basedOn w:val="OPCCharBase"/>
    <w:uiPriority w:val="1"/>
    <w:qFormat/>
    <w:rsid w:val="00A231E2"/>
    <w:rPr>
      <w:i/>
    </w:rPr>
  </w:style>
  <w:style w:type="character" w:customStyle="1" w:styleId="CharPartNo">
    <w:name w:val="CharPartNo"/>
    <w:basedOn w:val="OPCCharBase"/>
    <w:qFormat/>
    <w:rsid w:val="00A231E2"/>
  </w:style>
  <w:style w:type="character" w:customStyle="1" w:styleId="CharPartText">
    <w:name w:val="CharPartText"/>
    <w:basedOn w:val="OPCCharBase"/>
    <w:qFormat/>
    <w:rsid w:val="00A231E2"/>
  </w:style>
  <w:style w:type="character" w:customStyle="1" w:styleId="CharSectno">
    <w:name w:val="CharSectno"/>
    <w:basedOn w:val="OPCCharBase"/>
    <w:qFormat/>
    <w:rsid w:val="00A231E2"/>
  </w:style>
  <w:style w:type="character" w:customStyle="1" w:styleId="CharSubdNo">
    <w:name w:val="CharSubdNo"/>
    <w:basedOn w:val="OPCCharBase"/>
    <w:uiPriority w:val="1"/>
    <w:qFormat/>
    <w:rsid w:val="00A231E2"/>
  </w:style>
  <w:style w:type="character" w:customStyle="1" w:styleId="CharSubdText">
    <w:name w:val="CharSubdText"/>
    <w:basedOn w:val="OPCCharBase"/>
    <w:uiPriority w:val="1"/>
    <w:qFormat/>
    <w:rsid w:val="00A231E2"/>
  </w:style>
  <w:style w:type="paragraph" w:customStyle="1" w:styleId="CTA--">
    <w:name w:val="CTA --"/>
    <w:basedOn w:val="OPCParaBase"/>
    <w:next w:val="Normal"/>
    <w:rsid w:val="00166C2F"/>
    <w:pPr>
      <w:spacing w:before="60" w:line="240" w:lineRule="atLeast"/>
      <w:ind w:left="142" w:hanging="142"/>
    </w:pPr>
    <w:rPr>
      <w:sz w:val="20"/>
    </w:rPr>
  </w:style>
  <w:style w:type="paragraph" w:customStyle="1" w:styleId="CTA-">
    <w:name w:val="CTA -"/>
    <w:basedOn w:val="OPCParaBase"/>
    <w:rsid w:val="00677CC2"/>
    <w:pPr>
      <w:spacing w:before="60" w:line="240" w:lineRule="atLeast"/>
      <w:ind w:left="85" w:hanging="85"/>
    </w:pPr>
    <w:rPr>
      <w:sz w:val="20"/>
    </w:rPr>
  </w:style>
  <w:style w:type="paragraph" w:customStyle="1" w:styleId="CTA---">
    <w:name w:val="CTA ---"/>
    <w:basedOn w:val="OPCParaBase"/>
    <w:next w:val="Normal"/>
    <w:rsid w:val="00677CC2"/>
    <w:pPr>
      <w:spacing w:before="60" w:line="240" w:lineRule="atLeast"/>
      <w:ind w:left="198" w:hanging="198"/>
    </w:pPr>
    <w:rPr>
      <w:sz w:val="20"/>
    </w:rPr>
  </w:style>
  <w:style w:type="paragraph" w:customStyle="1" w:styleId="CTA----">
    <w:name w:val="CTA ----"/>
    <w:basedOn w:val="OPCParaBase"/>
    <w:next w:val="Normal"/>
    <w:rsid w:val="00677CC2"/>
    <w:pPr>
      <w:spacing w:before="60" w:line="240" w:lineRule="atLeast"/>
      <w:ind w:left="255" w:hanging="255"/>
    </w:pPr>
    <w:rPr>
      <w:sz w:val="20"/>
    </w:rPr>
  </w:style>
  <w:style w:type="paragraph" w:customStyle="1" w:styleId="CTA1a">
    <w:name w:val="CTA 1(a)"/>
    <w:basedOn w:val="OPCParaBase"/>
    <w:rsid w:val="00A70A74"/>
    <w:pPr>
      <w:tabs>
        <w:tab w:val="right" w:pos="414"/>
      </w:tabs>
      <w:spacing w:before="40" w:line="240" w:lineRule="atLeast"/>
      <w:ind w:left="675" w:hanging="675"/>
    </w:pPr>
    <w:rPr>
      <w:sz w:val="20"/>
    </w:rPr>
  </w:style>
  <w:style w:type="paragraph" w:customStyle="1" w:styleId="CTA1ai">
    <w:name w:val="CTA 1(a)(i)"/>
    <w:basedOn w:val="OPCParaBase"/>
    <w:rsid w:val="00A70A74"/>
    <w:pPr>
      <w:tabs>
        <w:tab w:val="right" w:pos="1004"/>
      </w:tabs>
      <w:spacing w:before="40" w:line="240" w:lineRule="atLeast"/>
      <w:ind w:left="1253" w:hanging="1253"/>
    </w:pPr>
    <w:rPr>
      <w:sz w:val="20"/>
    </w:rPr>
  </w:style>
  <w:style w:type="paragraph" w:customStyle="1" w:styleId="CTA2a">
    <w:name w:val="CTA 2(a)"/>
    <w:basedOn w:val="OPCParaBase"/>
    <w:rsid w:val="00297ECB"/>
    <w:pPr>
      <w:tabs>
        <w:tab w:val="right" w:pos="482"/>
      </w:tabs>
      <w:spacing w:before="40" w:line="240" w:lineRule="atLeast"/>
      <w:ind w:left="748" w:hanging="748"/>
    </w:pPr>
    <w:rPr>
      <w:sz w:val="20"/>
    </w:rPr>
  </w:style>
  <w:style w:type="paragraph" w:customStyle="1" w:styleId="CTA2ai">
    <w:name w:val="CTA 2(a)(i)"/>
    <w:basedOn w:val="OPCParaBase"/>
    <w:rsid w:val="00297ECB"/>
    <w:pPr>
      <w:tabs>
        <w:tab w:val="right" w:pos="1089"/>
      </w:tabs>
      <w:spacing w:before="40" w:line="240" w:lineRule="atLeast"/>
      <w:ind w:left="1327" w:hanging="1327"/>
    </w:pPr>
    <w:rPr>
      <w:sz w:val="20"/>
    </w:rPr>
  </w:style>
  <w:style w:type="paragraph" w:customStyle="1" w:styleId="CTA3a">
    <w:name w:val="CTA 3(a)"/>
    <w:basedOn w:val="OPCParaBase"/>
    <w:rsid w:val="00297ECB"/>
    <w:pPr>
      <w:tabs>
        <w:tab w:val="right" w:pos="556"/>
      </w:tabs>
      <w:spacing w:before="40" w:line="240" w:lineRule="atLeast"/>
      <w:ind w:left="805" w:hanging="805"/>
    </w:pPr>
    <w:rPr>
      <w:sz w:val="20"/>
    </w:rPr>
  </w:style>
  <w:style w:type="paragraph" w:customStyle="1" w:styleId="CTA3ai">
    <w:name w:val="CTA 3(a)(i)"/>
    <w:basedOn w:val="OPCParaBase"/>
    <w:rsid w:val="00297ECB"/>
    <w:pPr>
      <w:tabs>
        <w:tab w:val="right" w:pos="1140"/>
      </w:tabs>
      <w:spacing w:before="40" w:line="240" w:lineRule="atLeast"/>
      <w:ind w:left="1361" w:hanging="1361"/>
    </w:pPr>
    <w:rPr>
      <w:sz w:val="20"/>
    </w:rPr>
  </w:style>
  <w:style w:type="paragraph" w:customStyle="1" w:styleId="CTA4a">
    <w:name w:val="CTA 4(a)"/>
    <w:basedOn w:val="OPCParaBase"/>
    <w:rsid w:val="00297ECB"/>
    <w:pPr>
      <w:tabs>
        <w:tab w:val="right" w:pos="624"/>
      </w:tabs>
      <w:spacing w:before="40" w:line="240" w:lineRule="atLeast"/>
      <w:ind w:left="873" w:hanging="873"/>
    </w:pPr>
    <w:rPr>
      <w:sz w:val="20"/>
    </w:rPr>
  </w:style>
  <w:style w:type="paragraph" w:customStyle="1" w:styleId="CTA4ai">
    <w:name w:val="CTA 4(a)(i)"/>
    <w:basedOn w:val="OPCParaBase"/>
    <w:rsid w:val="00297ECB"/>
    <w:pPr>
      <w:tabs>
        <w:tab w:val="right" w:pos="1213"/>
      </w:tabs>
      <w:spacing w:before="40" w:line="240" w:lineRule="atLeast"/>
      <w:ind w:left="1452" w:hanging="1452"/>
    </w:pPr>
    <w:rPr>
      <w:sz w:val="20"/>
    </w:rPr>
  </w:style>
  <w:style w:type="paragraph" w:customStyle="1" w:styleId="CTACAPS">
    <w:name w:val="CTA CAPS"/>
    <w:basedOn w:val="OPCParaBase"/>
    <w:rsid w:val="00B33B3C"/>
    <w:pPr>
      <w:spacing w:before="60" w:line="240" w:lineRule="atLeast"/>
    </w:pPr>
    <w:rPr>
      <w:sz w:val="20"/>
    </w:rPr>
  </w:style>
  <w:style w:type="paragraph" w:customStyle="1" w:styleId="CTAright">
    <w:name w:val="CTA right"/>
    <w:basedOn w:val="OPCParaBase"/>
    <w:rsid w:val="003415D3"/>
    <w:pPr>
      <w:spacing w:before="60" w:line="240" w:lineRule="auto"/>
      <w:jc w:val="right"/>
    </w:pPr>
    <w:rPr>
      <w:sz w:val="20"/>
    </w:rPr>
  </w:style>
  <w:style w:type="paragraph" w:customStyle="1" w:styleId="subsection">
    <w:name w:val="subsection"/>
    <w:aliases w:val="ss,Subsection"/>
    <w:basedOn w:val="OPCParaBase"/>
    <w:link w:val="subsectionChar"/>
    <w:rsid w:val="00600219"/>
    <w:pPr>
      <w:tabs>
        <w:tab w:val="right" w:pos="1021"/>
      </w:tabs>
      <w:spacing w:before="180" w:line="240" w:lineRule="auto"/>
      <w:ind w:left="1134" w:hanging="1134"/>
    </w:pPr>
  </w:style>
  <w:style w:type="paragraph" w:customStyle="1" w:styleId="Definition">
    <w:name w:val="Definition"/>
    <w:aliases w:val="dd"/>
    <w:basedOn w:val="OPCParaBase"/>
    <w:rsid w:val="00600219"/>
    <w:pPr>
      <w:spacing w:before="180" w:line="240" w:lineRule="auto"/>
      <w:ind w:left="1134"/>
    </w:pPr>
  </w:style>
  <w:style w:type="paragraph" w:customStyle="1" w:styleId="EndNotespara">
    <w:name w:val="EndNotes(para)"/>
    <w:aliases w:val="eta"/>
    <w:basedOn w:val="OPCParaBase"/>
    <w:next w:val="EndNotessubpara"/>
    <w:rsid w:val="00F32BA8"/>
    <w:pPr>
      <w:tabs>
        <w:tab w:val="right" w:pos="1985"/>
      </w:tabs>
      <w:spacing w:before="40" w:line="240" w:lineRule="auto"/>
      <w:ind w:left="828" w:hanging="828"/>
    </w:pPr>
    <w:rPr>
      <w:sz w:val="20"/>
    </w:rPr>
  </w:style>
  <w:style w:type="paragraph" w:customStyle="1" w:styleId="EndNotessubitem">
    <w:name w:val="EndNotes(subitem)"/>
    <w:aliases w:val="ens"/>
    <w:basedOn w:val="OPCParaBase"/>
    <w:rsid w:val="00F32BA8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ndNotessubpara">
    <w:name w:val="EndNotes(subpara)"/>
    <w:aliases w:val="Enaa"/>
    <w:basedOn w:val="OPCParaBase"/>
    <w:next w:val="EndNotessubsubpara"/>
    <w:rsid w:val="00F32BA8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ndNotessubsubpara">
    <w:name w:val="EndNotes(subsubpara)"/>
    <w:aliases w:val="Enaaa"/>
    <w:basedOn w:val="OPCParaBase"/>
    <w:rsid w:val="00F32BA8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Formula">
    <w:name w:val="Formula"/>
    <w:basedOn w:val="OPCParaBase"/>
    <w:rsid w:val="00BE720A"/>
    <w:pPr>
      <w:spacing w:line="240" w:lineRule="auto"/>
      <w:ind w:left="1134"/>
    </w:pPr>
    <w:rPr>
      <w:sz w:val="20"/>
    </w:rPr>
  </w:style>
  <w:style w:type="paragraph" w:styleId="Header">
    <w:name w:val="header"/>
    <w:basedOn w:val="OPCParaBase"/>
    <w:link w:val="HeaderChar"/>
    <w:unhideWhenUsed/>
    <w:rsid w:val="001C69C4"/>
    <w:pPr>
      <w:keepNext/>
      <w:keepLines/>
      <w:tabs>
        <w:tab w:val="center" w:pos="4150"/>
        <w:tab w:val="right" w:pos="8307"/>
      </w:tabs>
      <w:spacing w:line="160" w:lineRule="exact"/>
    </w:pPr>
    <w:rPr>
      <w:sz w:val="16"/>
    </w:rPr>
  </w:style>
  <w:style w:type="character" w:customStyle="1" w:styleId="HeaderChar">
    <w:name w:val="Header Char"/>
    <w:basedOn w:val="DefaultParagraphFont"/>
    <w:link w:val="Header"/>
    <w:rsid w:val="001C69C4"/>
    <w:rPr>
      <w:rFonts w:eastAsia="Times New Roman" w:cs="Times New Roman"/>
      <w:sz w:val="16"/>
      <w:lang w:eastAsia="en-AU"/>
    </w:rPr>
  </w:style>
  <w:style w:type="paragraph" w:customStyle="1" w:styleId="House">
    <w:name w:val="House"/>
    <w:basedOn w:val="OPCParaBase"/>
    <w:rsid w:val="001C69C4"/>
    <w:pPr>
      <w:spacing w:line="240" w:lineRule="auto"/>
    </w:pPr>
    <w:rPr>
      <w:sz w:val="28"/>
    </w:rPr>
  </w:style>
  <w:style w:type="paragraph" w:customStyle="1" w:styleId="Item">
    <w:name w:val="Item"/>
    <w:aliases w:val="i"/>
    <w:basedOn w:val="OPCParaBase"/>
    <w:next w:val="ItemHead"/>
    <w:rsid w:val="00C42BF8"/>
    <w:pPr>
      <w:keepLines/>
      <w:spacing w:before="80" w:line="240" w:lineRule="auto"/>
      <w:ind w:left="709"/>
    </w:pPr>
  </w:style>
  <w:style w:type="paragraph" w:customStyle="1" w:styleId="ItemHead">
    <w:name w:val="ItemHead"/>
    <w:aliases w:val="ih"/>
    <w:basedOn w:val="OPCParaBase"/>
    <w:next w:val="Item"/>
    <w:rsid w:val="00824498"/>
    <w:pPr>
      <w:keepNext/>
      <w:keepLines/>
      <w:spacing w:before="220" w:line="240" w:lineRule="auto"/>
      <w:ind w:left="709" w:hanging="709"/>
    </w:pPr>
    <w:rPr>
      <w:rFonts w:ascii="Arial" w:hAnsi="Arial"/>
      <w:b/>
      <w:kern w:val="28"/>
      <w:sz w:val="24"/>
    </w:rPr>
  </w:style>
  <w:style w:type="paragraph" w:customStyle="1" w:styleId="LongT">
    <w:name w:val="LongT"/>
    <w:basedOn w:val="OPCParaBase"/>
    <w:rsid w:val="000D05EF"/>
    <w:pPr>
      <w:spacing w:line="240" w:lineRule="auto"/>
    </w:pPr>
    <w:rPr>
      <w:b/>
      <w:sz w:val="32"/>
    </w:rPr>
  </w:style>
  <w:style w:type="paragraph" w:customStyle="1" w:styleId="notedraft">
    <w:name w:val="note(draft)"/>
    <w:aliases w:val="nd"/>
    <w:basedOn w:val="OPCParaBase"/>
    <w:rsid w:val="000D05EF"/>
    <w:pPr>
      <w:spacing w:before="240" w:line="240" w:lineRule="auto"/>
      <w:ind w:left="284" w:hanging="284"/>
    </w:pPr>
    <w:rPr>
      <w:i/>
      <w:sz w:val="24"/>
    </w:rPr>
  </w:style>
  <w:style w:type="paragraph" w:customStyle="1" w:styleId="notemargin">
    <w:name w:val="note(margin)"/>
    <w:aliases w:val="nm"/>
    <w:basedOn w:val="OPCParaBase"/>
    <w:rsid w:val="000D05EF"/>
    <w:pPr>
      <w:tabs>
        <w:tab w:val="left" w:pos="709"/>
      </w:tabs>
      <w:spacing w:before="122" w:line="198" w:lineRule="exact"/>
      <w:ind w:left="709" w:hanging="709"/>
    </w:pPr>
    <w:rPr>
      <w:sz w:val="18"/>
    </w:rPr>
  </w:style>
  <w:style w:type="paragraph" w:customStyle="1" w:styleId="noteToPara">
    <w:name w:val="noteToPara"/>
    <w:aliases w:val="ntp"/>
    <w:basedOn w:val="OPCParaBase"/>
    <w:rsid w:val="00594749"/>
    <w:pPr>
      <w:spacing w:before="122" w:line="198" w:lineRule="exact"/>
      <w:ind w:left="2353" w:hanging="709"/>
    </w:pPr>
    <w:rPr>
      <w:sz w:val="18"/>
    </w:rPr>
  </w:style>
  <w:style w:type="paragraph" w:customStyle="1" w:styleId="noteParlAmend">
    <w:name w:val="note(ParlAmend)"/>
    <w:aliases w:val="npp"/>
    <w:basedOn w:val="OPCParaBase"/>
    <w:next w:val="ParlAmend"/>
    <w:rsid w:val="00594749"/>
    <w:pPr>
      <w:spacing w:line="240" w:lineRule="auto"/>
      <w:jc w:val="right"/>
    </w:pPr>
    <w:rPr>
      <w:rFonts w:ascii="Arial" w:hAnsi="Arial"/>
      <w:b/>
      <w:i/>
    </w:rPr>
  </w:style>
  <w:style w:type="paragraph" w:customStyle="1" w:styleId="notetext">
    <w:name w:val="note(text)"/>
    <w:aliases w:val="n"/>
    <w:basedOn w:val="OPCParaBase"/>
    <w:link w:val="notetextChar"/>
    <w:rsid w:val="00594749"/>
    <w:pPr>
      <w:spacing w:before="122" w:line="198" w:lineRule="exact"/>
      <w:ind w:left="1985" w:hanging="851"/>
    </w:pPr>
    <w:rPr>
      <w:sz w:val="18"/>
    </w:rPr>
  </w:style>
  <w:style w:type="paragraph" w:customStyle="1" w:styleId="Page1">
    <w:name w:val="Page1"/>
    <w:basedOn w:val="OPCParaBase"/>
    <w:rsid w:val="00195382"/>
    <w:pPr>
      <w:spacing w:before="5600" w:line="240" w:lineRule="auto"/>
    </w:pPr>
    <w:rPr>
      <w:b/>
      <w:sz w:val="32"/>
    </w:rPr>
  </w:style>
  <w:style w:type="paragraph" w:customStyle="1" w:styleId="PageBreak">
    <w:name w:val="PageBreak"/>
    <w:aliases w:val="pb"/>
    <w:basedOn w:val="OPCParaBase"/>
    <w:rsid w:val="00CF3EE8"/>
    <w:pPr>
      <w:spacing w:line="240" w:lineRule="auto"/>
    </w:pPr>
    <w:rPr>
      <w:sz w:val="20"/>
    </w:rPr>
  </w:style>
  <w:style w:type="paragraph" w:customStyle="1" w:styleId="paragraphsub">
    <w:name w:val="paragraph(sub)"/>
    <w:aliases w:val="aa"/>
    <w:basedOn w:val="OPCParaBase"/>
    <w:rsid w:val="00A64912"/>
    <w:pPr>
      <w:tabs>
        <w:tab w:val="right" w:pos="1985"/>
      </w:tabs>
      <w:spacing w:before="40" w:line="240" w:lineRule="auto"/>
      <w:ind w:left="2098" w:hanging="2098"/>
    </w:pPr>
  </w:style>
  <w:style w:type="paragraph" w:customStyle="1" w:styleId="paragraphsub-sub">
    <w:name w:val="paragraph(sub-sub)"/>
    <w:aliases w:val="aaa"/>
    <w:basedOn w:val="OPCParaBase"/>
    <w:rsid w:val="00AD5641"/>
    <w:pPr>
      <w:tabs>
        <w:tab w:val="right" w:pos="2722"/>
      </w:tabs>
      <w:spacing w:before="40" w:line="240" w:lineRule="auto"/>
      <w:ind w:left="2835" w:hanging="2835"/>
    </w:pPr>
  </w:style>
  <w:style w:type="paragraph" w:customStyle="1" w:styleId="paragraph">
    <w:name w:val="paragraph"/>
    <w:aliases w:val="a"/>
    <w:basedOn w:val="OPCParaBase"/>
    <w:rsid w:val="00AD5641"/>
    <w:pPr>
      <w:tabs>
        <w:tab w:val="right" w:pos="1531"/>
      </w:tabs>
      <w:spacing w:before="40" w:line="240" w:lineRule="auto"/>
      <w:ind w:left="1644" w:hanging="1644"/>
    </w:pPr>
  </w:style>
  <w:style w:type="paragraph" w:customStyle="1" w:styleId="ParlAmend">
    <w:name w:val="ParlAmend"/>
    <w:aliases w:val="pp"/>
    <w:basedOn w:val="OPCParaBase"/>
    <w:rsid w:val="00AD5641"/>
    <w:pPr>
      <w:spacing w:before="240" w:line="240" w:lineRule="atLeast"/>
      <w:ind w:hanging="567"/>
    </w:pPr>
    <w:rPr>
      <w:sz w:val="24"/>
    </w:rPr>
  </w:style>
  <w:style w:type="paragraph" w:customStyle="1" w:styleId="Penalty">
    <w:name w:val="Penalty"/>
    <w:basedOn w:val="OPCParaBase"/>
    <w:rsid w:val="00496F97"/>
    <w:pPr>
      <w:tabs>
        <w:tab w:val="left" w:pos="2977"/>
      </w:tabs>
      <w:spacing w:before="180" w:line="240" w:lineRule="auto"/>
      <w:ind w:left="1985" w:hanging="851"/>
    </w:pPr>
  </w:style>
  <w:style w:type="paragraph" w:customStyle="1" w:styleId="Portfolio">
    <w:name w:val="Portfolio"/>
    <w:basedOn w:val="OPCParaBase"/>
    <w:rsid w:val="00352B0F"/>
    <w:pPr>
      <w:spacing w:line="240" w:lineRule="auto"/>
    </w:pPr>
    <w:rPr>
      <w:i/>
      <w:sz w:val="20"/>
    </w:rPr>
  </w:style>
  <w:style w:type="paragraph" w:customStyle="1" w:styleId="Preamble">
    <w:name w:val="Preamble"/>
    <w:basedOn w:val="OPCParaBase"/>
    <w:next w:val="Normal"/>
    <w:rsid w:val="00352B0F"/>
    <w:pPr>
      <w:keepNext/>
      <w:keepLines/>
      <w:tabs>
        <w:tab w:val="center" w:pos="4513"/>
      </w:tabs>
      <w:spacing w:before="280" w:line="240" w:lineRule="auto"/>
      <w:ind w:left="1134" w:hanging="1134"/>
    </w:pPr>
    <w:rPr>
      <w:b/>
      <w:kern w:val="28"/>
      <w:sz w:val="28"/>
    </w:rPr>
  </w:style>
  <w:style w:type="paragraph" w:customStyle="1" w:styleId="Reading">
    <w:name w:val="Reading"/>
    <w:basedOn w:val="OPCParaBase"/>
    <w:rsid w:val="00352B0F"/>
    <w:pPr>
      <w:spacing w:line="240" w:lineRule="auto"/>
    </w:pPr>
    <w:rPr>
      <w:i/>
      <w:sz w:val="20"/>
    </w:rPr>
  </w:style>
  <w:style w:type="paragraph" w:customStyle="1" w:styleId="Session">
    <w:name w:val="Session"/>
    <w:basedOn w:val="OPCParaBase"/>
    <w:rsid w:val="000136AF"/>
    <w:pPr>
      <w:spacing w:line="240" w:lineRule="auto"/>
    </w:pPr>
    <w:rPr>
      <w:sz w:val="28"/>
    </w:rPr>
  </w:style>
  <w:style w:type="paragraph" w:customStyle="1" w:styleId="Sponsor">
    <w:name w:val="Sponsor"/>
    <w:basedOn w:val="OPCParaBase"/>
    <w:rsid w:val="000136AF"/>
    <w:pPr>
      <w:spacing w:line="240" w:lineRule="auto"/>
    </w:pPr>
    <w:rPr>
      <w:i/>
    </w:rPr>
  </w:style>
  <w:style w:type="paragraph" w:customStyle="1" w:styleId="Subitem">
    <w:name w:val="Subitem"/>
    <w:aliases w:val="iss"/>
    <w:basedOn w:val="OPCParaBase"/>
    <w:rsid w:val="000136AF"/>
    <w:pPr>
      <w:spacing w:before="180" w:line="240" w:lineRule="auto"/>
      <w:ind w:left="709" w:hanging="709"/>
    </w:pPr>
  </w:style>
  <w:style w:type="paragraph" w:customStyle="1" w:styleId="SubitemHead">
    <w:name w:val="SubitemHead"/>
    <w:aliases w:val="issh"/>
    <w:basedOn w:val="OPCParaBase"/>
    <w:rsid w:val="000136AF"/>
    <w:pPr>
      <w:keepNext/>
      <w:keepLines/>
      <w:spacing w:before="220" w:line="240" w:lineRule="auto"/>
      <w:ind w:left="709"/>
    </w:pPr>
    <w:rPr>
      <w:rFonts w:ascii="Arial" w:hAnsi="Arial"/>
      <w:i/>
      <w:kern w:val="28"/>
    </w:rPr>
  </w:style>
  <w:style w:type="paragraph" w:customStyle="1" w:styleId="subsection2">
    <w:name w:val="subsection2"/>
    <w:aliases w:val="ss2"/>
    <w:basedOn w:val="OPCParaBase"/>
    <w:next w:val="subsection"/>
    <w:rsid w:val="00C7573B"/>
    <w:pPr>
      <w:spacing w:before="40" w:line="240" w:lineRule="auto"/>
      <w:ind w:left="1134"/>
    </w:pPr>
  </w:style>
  <w:style w:type="paragraph" w:customStyle="1" w:styleId="SubsectionHead">
    <w:name w:val="SubsectionHead"/>
    <w:aliases w:val="ssh"/>
    <w:basedOn w:val="OPCParaBase"/>
    <w:next w:val="subsection"/>
    <w:rsid w:val="00C7573B"/>
    <w:pPr>
      <w:keepNext/>
      <w:keepLines/>
      <w:spacing w:before="240" w:line="240" w:lineRule="auto"/>
      <w:ind w:left="1134"/>
    </w:pPr>
    <w:rPr>
      <w:i/>
    </w:rPr>
  </w:style>
  <w:style w:type="paragraph" w:customStyle="1" w:styleId="Tablea">
    <w:name w:val="Table(a)"/>
    <w:aliases w:val="ta"/>
    <w:basedOn w:val="OPCParaBase"/>
    <w:rsid w:val="00537FBC"/>
    <w:pPr>
      <w:spacing w:before="60" w:line="240" w:lineRule="auto"/>
      <w:ind w:left="284" w:hanging="284"/>
    </w:pPr>
    <w:rPr>
      <w:sz w:val="20"/>
    </w:rPr>
  </w:style>
  <w:style w:type="paragraph" w:customStyle="1" w:styleId="TableAA">
    <w:name w:val="Table(AA)"/>
    <w:aliases w:val="taaa"/>
    <w:basedOn w:val="OPCParaBase"/>
    <w:rsid w:val="00BE719A"/>
    <w:pPr>
      <w:tabs>
        <w:tab w:val="left" w:pos="-6543"/>
        <w:tab w:val="left" w:pos="-6260"/>
      </w:tabs>
      <w:spacing w:line="240" w:lineRule="exact"/>
      <w:ind w:left="1055" w:hanging="284"/>
    </w:pPr>
    <w:rPr>
      <w:sz w:val="20"/>
    </w:rPr>
  </w:style>
  <w:style w:type="paragraph" w:customStyle="1" w:styleId="Tablei">
    <w:name w:val="Table(i)"/>
    <w:aliases w:val="taa"/>
    <w:basedOn w:val="OPCParaBase"/>
    <w:rsid w:val="00BE719A"/>
    <w:pPr>
      <w:tabs>
        <w:tab w:val="left" w:pos="-6543"/>
        <w:tab w:val="left" w:pos="-6260"/>
        <w:tab w:val="right" w:pos="970"/>
      </w:tabs>
      <w:spacing w:line="240" w:lineRule="exact"/>
      <w:ind w:left="828" w:hanging="284"/>
    </w:pPr>
    <w:rPr>
      <w:sz w:val="20"/>
    </w:rPr>
  </w:style>
  <w:style w:type="paragraph" w:customStyle="1" w:styleId="Tabletext">
    <w:name w:val="Tabletext"/>
    <w:aliases w:val="tt"/>
    <w:basedOn w:val="OPCParaBase"/>
    <w:rsid w:val="00BE719A"/>
    <w:pPr>
      <w:spacing w:before="60" w:line="240" w:lineRule="atLeast"/>
    </w:pPr>
    <w:rPr>
      <w:sz w:val="20"/>
    </w:rPr>
  </w:style>
  <w:style w:type="paragraph" w:customStyle="1" w:styleId="TLPBoxTextnote">
    <w:name w:val="TLPBoxText(note"/>
    <w:aliases w:val="right)"/>
    <w:basedOn w:val="OPCParaBase"/>
    <w:rsid w:val="00731E00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tLeast"/>
      <w:ind w:left="1134"/>
      <w:jc w:val="right"/>
    </w:pPr>
    <w:rPr>
      <w:sz w:val="18"/>
    </w:rPr>
  </w:style>
  <w:style w:type="paragraph" w:customStyle="1" w:styleId="TLPNotebullet">
    <w:name w:val="TLPNote(bullet)"/>
    <w:basedOn w:val="OPCParaBase"/>
    <w:rsid w:val="008D0EE0"/>
    <w:pPr>
      <w:numPr>
        <w:numId w:val="11"/>
      </w:numPr>
      <w:tabs>
        <w:tab w:val="clear" w:pos="2517"/>
        <w:tab w:val="left" w:pos="357"/>
      </w:tabs>
      <w:spacing w:before="60" w:line="198" w:lineRule="exact"/>
      <w:ind w:left="0" w:firstLine="0"/>
    </w:pPr>
    <w:rPr>
      <w:sz w:val="18"/>
    </w:rPr>
  </w:style>
  <w:style w:type="paragraph" w:customStyle="1" w:styleId="TLPnoteright">
    <w:name w:val="TLPnote(right)"/>
    <w:aliases w:val="nr"/>
    <w:basedOn w:val="OPCParaBase"/>
    <w:rsid w:val="00594161"/>
    <w:pPr>
      <w:spacing w:before="122" w:line="198" w:lineRule="exact"/>
      <w:ind w:left="1985" w:hanging="851"/>
      <w:jc w:val="right"/>
    </w:pPr>
    <w:rPr>
      <w:sz w:val="18"/>
    </w:rPr>
  </w:style>
  <w:style w:type="paragraph" w:customStyle="1" w:styleId="TLPTableBullet">
    <w:name w:val="TLPTableBullet"/>
    <w:aliases w:val="ttb"/>
    <w:basedOn w:val="OPCParaBase"/>
    <w:rsid w:val="0044291A"/>
    <w:pPr>
      <w:spacing w:line="240" w:lineRule="exact"/>
      <w:ind w:left="284" w:hanging="284"/>
    </w:pPr>
    <w:rPr>
      <w:sz w:val="20"/>
    </w:rPr>
  </w:style>
  <w:style w:type="paragraph" w:styleId="TOC1">
    <w:name w:val="toc 1"/>
    <w:basedOn w:val="OPCParaBase"/>
    <w:next w:val="Normal"/>
    <w:uiPriority w:val="39"/>
    <w:unhideWhenUsed/>
    <w:rsid w:val="006B5789"/>
    <w:pPr>
      <w:keepNext/>
      <w:keepLines/>
      <w:tabs>
        <w:tab w:val="right" w:pos="8278"/>
      </w:tabs>
      <w:spacing w:before="120" w:line="240" w:lineRule="auto"/>
      <w:ind w:left="1474" w:right="567" w:hanging="1474"/>
    </w:pPr>
    <w:rPr>
      <w:b/>
      <w:kern w:val="28"/>
      <w:sz w:val="28"/>
    </w:rPr>
  </w:style>
  <w:style w:type="paragraph" w:styleId="TOC2">
    <w:name w:val="toc 2"/>
    <w:basedOn w:val="OPCParaBase"/>
    <w:next w:val="Normal"/>
    <w:uiPriority w:val="39"/>
    <w:unhideWhenUsed/>
    <w:rsid w:val="006B5789"/>
    <w:pPr>
      <w:keepNext/>
      <w:keepLines/>
      <w:tabs>
        <w:tab w:val="right" w:pos="8278"/>
      </w:tabs>
      <w:spacing w:before="120" w:line="240" w:lineRule="auto"/>
      <w:ind w:left="879" w:right="567" w:hanging="879"/>
    </w:pPr>
    <w:rPr>
      <w:b/>
      <w:kern w:val="28"/>
      <w:sz w:val="24"/>
    </w:rPr>
  </w:style>
  <w:style w:type="paragraph" w:styleId="TOC3">
    <w:name w:val="toc 3"/>
    <w:basedOn w:val="OPCParaBase"/>
    <w:next w:val="Normal"/>
    <w:uiPriority w:val="39"/>
    <w:unhideWhenUsed/>
    <w:rsid w:val="006B5789"/>
    <w:pPr>
      <w:keepNext/>
      <w:keepLines/>
      <w:tabs>
        <w:tab w:val="right" w:pos="8278"/>
      </w:tabs>
      <w:spacing w:before="80" w:line="240" w:lineRule="auto"/>
      <w:ind w:left="1604" w:right="567" w:hanging="1179"/>
    </w:pPr>
    <w:rPr>
      <w:b/>
      <w:kern w:val="28"/>
    </w:rPr>
  </w:style>
  <w:style w:type="paragraph" w:styleId="TOC4">
    <w:name w:val="toc 4"/>
    <w:basedOn w:val="OPCParaBase"/>
    <w:next w:val="Normal"/>
    <w:uiPriority w:val="39"/>
    <w:semiHidden/>
    <w:unhideWhenUsed/>
    <w:rsid w:val="006B5789"/>
    <w:pPr>
      <w:keepLines/>
      <w:tabs>
        <w:tab w:val="right" w:pos="8278"/>
      </w:tabs>
      <w:spacing w:before="80" w:line="240" w:lineRule="auto"/>
      <w:ind w:left="2183" w:right="567" w:hanging="1332"/>
    </w:pPr>
    <w:rPr>
      <w:b/>
      <w:kern w:val="28"/>
      <w:sz w:val="20"/>
    </w:rPr>
  </w:style>
  <w:style w:type="paragraph" w:styleId="TOC5">
    <w:name w:val="toc 5"/>
    <w:basedOn w:val="OPCParaBase"/>
    <w:next w:val="Normal"/>
    <w:uiPriority w:val="39"/>
    <w:unhideWhenUsed/>
    <w:rsid w:val="004E1307"/>
    <w:pPr>
      <w:keepLines/>
      <w:tabs>
        <w:tab w:val="right" w:leader="dot" w:pos="8278"/>
      </w:tabs>
      <w:spacing w:before="40" w:line="240" w:lineRule="auto"/>
      <w:ind w:left="1985" w:right="567" w:hanging="567"/>
    </w:pPr>
    <w:rPr>
      <w:kern w:val="28"/>
      <w:sz w:val="18"/>
    </w:rPr>
  </w:style>
  <w:style w:type="paragraph" w:styleId="TOC6">
    <w:name w:val="toc 6"/>
    <w:basedOn w:val="OPCParaBase"/>
    <w:next w:val="Normal"/>
    <w:uiPriority w:val="39"/>
    <w:unhideWhenUsed/>
    <w:rsid w:val="006B5789"/>
    <w:pPr>
      <w:keepLines/>
      <w:tabs>
        <w:tab w:val="right" w:pos="8278"/>
      </w:tabs>
      <w:spacing w:before="120" w:line="240" w:lineRule="auto"/>
      <w:ind w:left="1344" w:right="567" w:hanging="1344"/>
    </w:pPr>
    <w:rPr>
      <w:b/>
      <w:kern w:val="28"/>
      <w:sz w:val="24"/>
    </w:rPr>
  </w:style>
  <w:style w:type="paragraph" w:styleId="TOC7">
    <w:name w:val="toc 7"/>
    <w:basedOn w:val="OPCParaBase"/>
    <w:next w:val="Normal"/>
    <w:uiPriority w:val="39"/>
    <w:semiHidden/>
    <w:unhideWhenUsed/>
    <w:rsid w:val="006B5789"/>
    <w:pPr>
      <w:keepLines/>
      <w:tabs>
        <w:tab w:val="right" w:pos="8278"/>
      </w:tabs>
      <w:spacing w:before="120" w:line="240" w:lineRule="auto"/>
      <w:ind w:left="1253" w:right="567" w:hanging="828"/>
    </w:pPr>
    <w:rPr>
      <w:kern w:val="28"/>
      <w:sz w:val="24"/>
    </w:rPr>
  </w:style>
  <w:style w:type="paragraph" w:styleId="TOC8">
    <w:name w:val="toc 8"/>
    <w:basedOn w:val="OPCParaBase"/>
    <w:next w:val="Normal"/>
    <w:uiPriority w:val="39"/>
    <w:semiHidden/>
    <w:unhideWhenUsed/>
    <w:rsid w:val="006B5789"/>
    <w:pPr>
      <w:keepLines/>
      <w:tabs>
        <w:tab w:val="right" w:pos="8278"/>
      </w:tabs>
      <w:spacing w:before="80" w:line="240" w:lineRule="auto"/>
      <w:ind w:left="1900" w:right="567" w:hanging="1049"/>
    </w:pPr>
    <w:rPr>
      <w:kern w:val="28"/>
      <w:sz w:val="20"/>
    </w:rPr>
  </w:style>
  <w:style w:type="paragraph" w:styleId="TOC9">
    <w:name w:val="toc 9"/>
    <w:basedOn w:val="OPCParaBase"/>
    <w:next w:val="Normal"/>
    <w:uiPriority w:val="39"/>
    <w:unhideWhenUsed/>
    <w:rsid w:val="006B5789"/>
    <w:pPr>
      <w:keepLines/>
      <w:tabs>
        <w:tab w:val="right" w:pos="8278"/>
      </w:tabs>
      <w:spacing w:before="80" w:line="240" w:lineRule="auto"/>
      <w:ind w:left="851" w:right="567"/>
    </w:pPr>
    <w:rPr>
      <w:i/>
      <w:kern w:val="28"/>
      <w:sz w:val="20"/>
    </w:rPr>
  </w:style>
  <w:style w:type="paragraph" w:customStyle="1" w:styleId="TofSectsGroupHeading">
    <w:name w:val="TofSects(GroupHeading)"/>
    <w:basedOn w:val="OPCParaBase"/>
    <w:next w:val="TofSectsSection"/>
    <w:rsid w:val="00516B8D"/>
    <w:pPr>
      <w:keepLines/>
      <w:spacing w:before="240" w:after="120" w:line="240" w:lineRule="auto"/>
      <w:ind w:left="794"/>
    </w:pPr>
    <w:rPr>
      <w:b/>
      <w:kern w:val="28"/>
      <w:sz w:val="20"/>
    </w:rPr>
  </w:style>
  <w:style w:type="paragraph" w:customStyle="1" w:styleId="TofSectsHeading">
    <w:name w:val="TofSects(Heading)"/>
    <w:basedOn w:val="OPCParaBase"/>
    <w:rsid w:val="00856A31"/>
    <w:pPr>
      <w:spacing w:before="240" w:after="120" w:line="240" w:lineRule="auto"/>
    </w:pPr>
    <w:rPr>
      <w:b/>
      <w:sz w:val="24"/>
    </w:rPr>
  </w:style>
  <w:style w:type="paragraph" w:customStyle="1" w:styleId="TofSectsSection">
    <w:name w:val="TofSects(Section)"/>
    <w:basedOn w:val="OPCParaBase"/>
    <w:rsid w:val="00856A31"/>
    <w:pPr>
      <w:keepLines/>
      <w:spacing w:before="40" w:line="240" w:lineRule="auto"/>
      <w:ind w:left="1588" w:hanging="794"/>
    </w:pPr>
    <w:rPr>
      <w:kern w:val="28"/>
      <w:sz w:val="18"/>
    </w:rPr>
  </w:style>
  <w:style w:type="paragraph" w:customStyle="1" w:styleId="TofSectsSubdiv">
    <w:name w:val="TofSects(Subdiv)"/>
    <w:basedOn w:val="OPCParaBase"/>
    <w:rsid w:val="00856A31"/>
    <w:pPr>
      <w:keepLines/>
      <w:spacing w:before="80" w:line="240" w:lineRule="auto"/>
      <w:ind w:left="1588" w:hanging="794"/>
    </w:pPr>
    <w:rPr>
      <w:kern w:val="28"/>
    </w:rPr>
  </w:style>
  <w:style w:type="paragraph" w:customStyle="1" w:styleId="WRStyle">
    <w:name w:val="WR Style"/>
    <w:aliases w:val="WR"/>
    <w:basedOn w:val="OPCParaBase"/>
    <w:rsid w:val="00856A31"/>
    <w:pPr>
      <w:spacing w:before="240" w:line="240" w:lineRule="auto"/>
      <w:ind w:left="284" w:hanging="284"/>
    </w:pPr>
    <w:rPr>
      <w:b/>
      <w:i/>
      <w:kern w:val="28"/>
      <w:sz w:val="24"/>
    </w:rPr>
  </w:style>
  <w:style w:type="paragraph" w:customStyle="1" w:styleId="notepara">
    <w:name w:val="note(para)"/>
    <w:aliases w:val="na"/>
    <w:basedOn w:val="OPCParaBase"/>
    <w:rsid w:val="005C3F41"/>
    <w:pPr>
      <w:spacing w:before="40" w:line="198" w:lineRule="exact"/>
      <w:ind w:left="2354" w:hanging="369"/>
    </w:pPr>
    <w:rPr>
      <w:sz w:val="18"/>
    </w:rPr>
  </w:style>
  <w:style w:type="paragraph" w:styleId="Footer">
    <w:name w:val="footer"/>
    <w:link w:val="FooterChar"/>
    <w:rsid w:val="00715914"/>
    <w:pPr>
      <w:tabs>
        <w:tab w:val="center" w:pos="4153"/>
        <w:tab w:val="right" w:pos="8306"/>
      </w:tabs>
    </w:pPr>
    <w:rPr>
      <w:rFonts w:eastAsia="Times New Roman" w:cs="Times New Roman"/>
      <w:sz w:val="22"/>
      <w:szCs w:val="24"/>
      <w:lang w:eastAsia="en-AU"/>
    </w:rPr>
  </w:style>
  <w:style w:type="character" w:customStyle="1" w:styleId="FooterChar">
    <w:name w:val="Footer Char"/>
    <w:basedOn w:val="DefaultParagraphFont"/>
    <w:link w:val="Footer"/>
    <w:rsid w:val="00715914"/>
    <w:rPr>
      <w:rFonts w:eastAsia="Times New Roman" w:cs="Times New Roman"/>
      <w:sz w:val="22"/>
      <w:szCs w:val="24"/>
      <w:lang w:eastAsia="en-AU"/>
    </w:rPr>
  </w:style>
  <w:style w:type="character" w:styleId="LineNumber">
    <w:name w:val="line number"/>
    <w:basedOn w:val="OPCCharBase"/>
    <w:uiPriority w:val="99"/>
    <w:semiHidden/>
    <w:unhideWhenUsed/>
    <w:rsid w:val="002564A4"/>
    <w:rPr>
      <w:sz w:val="16"/>
    </w:rPr>
  </w:style>
  <w:style w:type="table" w:customStyle="1" w:styleId="CFlag">
    <w:name w:val="CFlag"/>
    <w:basedOn w:val="TableNormal"/>
    <w:uiPriority w:val="99"/>
    <w:rsid w:val="000E2261"/>
    <w:rPr>
      <w:rFonts w:eastAsia="Times New Roman" w:cs="Times New Roman"/>
      <w:lang w:eastAsia="en-AU"/>
    </w:rPr>
    <w:tblPr/>
  </w:style>
  <w:style w:type="paragraph" w:styleId="BalloonText">
    <w:name w:val="Balloon Text"/>
    <w:basedOn w:val="Normal"/>
    <w:link w:val="BalloonTextChar"/>
    <w:uiPriority w:val="99"/>
    <w:semiHidden/>
    <w:unhideWhenUsed/>
    <w:rsid w:val="00DA186E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A186E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7500C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InstNo">
    <w:name w:val="InstNo"/>
    <w:basedOn w:val="OPCParaBase"/>
    <w:next w:val="Normal"/>
    <w:rsid w:val="00A12128"/>
    <w:rPr>
      <w:b/>
      <w:sz w:val="28"/>
      <w:szCs w:val="32"/>
    </w:rPr>
  </w:style>
  <w:style w:type="paragraph" w:customStyle="1" w:styleId="LegislationMadeUnder">
    <w:name w:val="LegislationMadeUnder"/>
    <w:basedOn w:val="OPCParaBase"/>
    <w:next w:val="Normal"/>
    <w:rsid w:val="00D150E7"/>
    <w:rPr>
      <w:i/>
      <w:sz w:val="32"/>
      <w:szCs w:val="32"/>
    </w:rPr>
  </w:style>
  <w:style w:type="paragraph" w:customStyle="1" w:styleId="SignCoverPageEnd">
    <w:name w:val="SignCoverPageEnd"/>
    <w:basedOn w:val="OPCParaBase"/>
    <w:next w:val="Normal"/>
    <w:rsid w:val="0070017E"/>
    <w:pPr>
      <w:keepNext/>
      <w:pBdr>
        <w:bottom w:val="single" w:sz="4" w:space="12" w:color="auto"/>
      </w:pBdr>
      <w:tabs>
        <w:tab w:val="left" w:pos="3402"/>
      </w:tabs>
      <w:spacing w:line="300" w:lineRule="atLeast"/>
      <w:ind w:right="397"/>
    </w:pPr>
    <w:rPr>
      <w:sz w:val="24"/>
    </w:rPr>
  </w:style>
  <w:style w:type="paragraph" w:customStyle="1" w:styleId="SignCoverPageStart">
    <w:name w:val="SignCoverPageStart"/>
    <w:basedOn w:val="OPCParaBase"/>
    <w:next w:val="Normal"/>
    <w:rsid w:val="00B16A31"/>
    <w:pPr>
      <w:pBdr>
        <w:top w:val="single" w:sz="4" w:space="1" w:color="auto"/>
      </w:pBdr>
      <w:spacing w:before="360"/>
      <w:ind w:right="397"/>
      <w:jc w:val="both"/>
    </w:pPr>
  </w:style>
  <w:style w:type="paragraph" w:customStyle="1" w:styleId="NotesHeading1">
    <w:name w:val="NotesHeading 1"/>
    <w:basedOn w:val="OPCParaBase"/>
    <w:next w:val="Normal"/>
    <w:rsid w:val="008A46E1"/>
    <w:pPr>
      <w:outlineLvl w:val="0"/>
    </w:pPr>
    <w:rPr>
      <w:b/>
      <w:sz w:val="28"/>
      <w:szCs w:val="28"/>
    </w:rPr>
  </w:style>
  <w:style w:type="paragraph" w:customStyle="1" w:styleId="NotesHeading2">
    <w:name w:val="NotesHeading 2"/>
    <w:basedOn w:val="OPCParaBase"/>
    <w:next w:val="Normal"/>
    <w:rsid w:val="00B16A31"/>
    <w:rPr>
      <w:b/>
      <w:sz w:val="28"/>
      <w:szCs w:val="28"/>
    </w:rPr>
  </w:style>
  <w:style w:type="paragraph" w:customStyle="1" w:styleId="CompiledActNo">
    <w:name w:val="CompiledActNo"/>
    <w:basedOn w:val="OPCParaBase"/>
    <w:next w:val="Normal"/>
    <w:rsid w:val="00F349F1"/>
    <w:rPr>
      <w:b/>
      <w:sz w:val="24"/>
      <w:szCs w:val="24"/>
    </w:rPr>
  </w:style>
  <w:style w:type="paragraph" w:customStyle="1" w:styleId="ENotesText">
    <w:name w:val="ENotesText"/>
    <w:aliases w:val="Ent"/>
    <w:basedOn w:val="OPCParaBase"/>
    <w:next w:val="Normal"/>
    <w:rsid w:val="0026736C"/>
    <w:pPr>
      <w:spacing w:before="120"/>
    </w:pPr>
  </w:style>
  <w:style w:type="paragraph" w:customStyle="1" w:styleId="CompiledMadeUnder">
    <w:name w:val="CompiledMadeUnder"/>
    <w:basedOn w:val="OPCParaBase"/>
    <w:next w:val="Normal"/>
    <w:rsid w:val="00F349F1"/>
    <w:rPr>
      <w:i/>
      <w:sz w:val="24"/>
      <w:szCs w:val="24"/>
    </w:rPr>
  </w:style>
  <w:style w:type="paragraph" w:customStyle="1" w:styleId="Paragraphsub-sub-sub">
    <w:name w:val="Paragraph(sub-sub-sub)"/>
    <w:aliases w:val="aaaa"/>
    <w:basedOn w:val="OPCParaBase"/>
    <w:rsid w:val="00B308FE"/>
    <w:pPr>
      <w:tabs>
        <w:tab w:val="right" w:pos="3402"/>
      </w:tabs>
      <w:spacing w:before="40" w:line="240" w:lineRule="auto"/>
      <w:ind w:left="3402" w:hanging="3402"/>
    </w:pPr>
  </w:style>
  <w:style w:type="paragraph" w:customStyle="1" w:styleId="TableTextEndNotes">
    <w:name w:val="TableTextEndNotes"/>
    <w:aliases w:val="Tten"/>
    <w:basedOn w:val="Normal"/>
    <w:rsid w:val="0026736C"/>
    <w:pPr>
      <w:spacing w:before="60" w:line="240" w:lineRule="auto"/>
    </w:pPr>
    <w:rPr>
      <w:rFonts w:cs="Arial"/>
      <w:sz w:val="20"/>
      <w:szCs w:val="22"/>
    </w:rPr>
  </w:style>
  <w:style w:type="paragraph" w:customStyle="1" w:styleId="NoteToSubpara">
    <w:name w:val="NoteToSubpara"/>
    <w:aliases w:val="nts"/>
    <w:basedOn w:val="OPCParaBase"/>
    <w:rsid w:val="007F28C9"/>
    <w:pPr>
      <w:spacing w:before="40" w:line="198" w:lineRule="exact"/>
      <w:ind w:left="2835" w:hanging="709"/>
    </w:pPr>
    <w:rPr>
      <w:sz w:val="18"/>
    </w:rPr>
  </w:style>
  <w:style w:type="paragraph" w:customStyle="1" w:styleId="ENoteTableHeading">
    <w:name w:val="ENoteTableHeading"/>
    <w:aliases w:val="enth"/>
    <w:basedOn w:val="OPCParaBase"/>
    <w:rsid w:val="00215AF1"/>
    <w:pPr>
      <w:keepNext/>
      <w:spacing w:before="60" w:line="240" w:lineRule="atLeast"/>
    </w:pPr>
    <w:rPr>
      <w:rFonts w:ascii="Arial" w:hAnsi="Arial"/>
      <w:b/>
      <w:sz w:val="16"/>
    </w:rPr>
  </w:style>
  <w:style w:type="paragraph" w:customStyle="1" w:styleId="ENoteTTi">
    <w:name w:val="ENoteTTi"/>
    <w:aliases w:val="entti"/>
    <w:basedOn w:val="OPCParaBase"/>
    <w:rsid w:val="00215AF1"/>
    <w:pPr>
      <w:keepNext/>
      <w:spacing w:before="60" w:line="240" w:lineRule="atLeast"/>
      <w:ind w:left="170"/>
    </w:pPr>
    <w:rPr>
      <w:sz w:val="16"/>
    </w:rPr>
  </w:style>
  <w:style w:type="paragraph" w:customStyle="1" w:styleId="ENotesHeading1">
    <w:name w:val="ENotesHeading 1"/>
    <w:aliases w:val="Enh1"/>
    <w:basedOn w:val="OPCParaBase"/>
    <w:next w:val="Normal"/>
    <w:rsid w:val="00FE4688"/>
    <w:pPr>
      <w:spacing w:before="120"/>
      <w:outlineLvl w:val="1"/>
    </w:pPr>
    <w:rPr>
      <w:b/>
      <w:sz w:val="28"/>
      <w:szCs w:val="28"/>
    </w:rPr>
  </w:style>
  <w:style w:type="paragraph" w:customStyle="1" w:styleId="ENotesHeading2">
    <w:name w:val="ENotesHeading 2"/>
    <w:aliases w:val="Enh2"/>
    <w:basedOn w:val="OPCParaBase"/>
    <w:next w:val="Normal"/>
    <w:rsid w:val="00004470"/>
    <w:pPr>
      <w:spacing w:before="120" w:after="120"/>
      <w:outlineLvl w:val="2"/>
    </w:pPr>
    <w:rPr>
      <w:b/>
      <w:sz w:val="24"/>
      <w:szCs w:val="28"/>
    </w:rPr>
  </w:style>
  <w:style w:type="paragraph" w:customStyle="1" w:styleId="ENoteTTIndentHeading">
    <w:name w:val="ENoteTTIndentHeading"/>
    <w:aliases w:val="enTTHi"/>
    <w:basedOn w:val="OPCParaBase"/>
    <w:rsid w:val="00783E89"/>
    <w:pPr>
      <w:keepNext/>
      <w:spacing w:before="60" w:line="240" w:lineRule="atLeast"/>
      <w:ind w:left="170"/>
    </w:pPr>
    <w:rPr>
      <w:rFonts w:cs="Arial"/>
      <w:b/>
      <w:sz w:val="16"/>
      <w:szCs w:val="16"/>
    </w:rPr>
  </w:style>
  <w:style w:type="paragraph" w:customStyle="1" w:styleId="ENoteTableText">
    <w:name w:val="ENoteTableText"/>
    <w:aliases w:val="entt"/>
    <w:basedOn w:val="OPCParaBase"/>
    <w:rsid w:val="008855C9"/>
    <w:pPr>
      <w:spacing w:before="60" w:line="240" w:lineRule="atLeast"/>
    </w:pPr>
    <w:rPr>
      <w:sz w:val="16"/>
    </w:rPr>
  </w:style>
  <w:style w:type="paragraph" w:customStyle="1" w:styleId="MadeunderText">
    <w:name w:val="MadeunderText"/>
    <w:basedOn w:val="OPCParaBase"/>
    <w:next w:val="CompiledMadeUnder"/>
    <w:rsid w:val="00132CEB"/>
    <w:pPr>
      <w:spacing w:before="240"/>
    </w:pPr>
    <w:rPr>
      <w:sz w:val="24"/>
      <w:szCs w:val="24"/>
    </w:rPr>
  </w:style>
  <w:style w:type="paragraph" w:customStyle="1" w:styleId="ENotesHeading3">
    <w:name w:val="ENotesHeading 3"/>
    <w:aliases w:val="Enh3"/>
    <w:basedOn w:val="OPCParaBase"/>
    <w:next w:val="Normal"/>
    <w:rsid w:val="00771613"/>
    <w:pPr>
      <w:keepNext/>
      <w:spacing w:before="120" w:line="240" w:lineRule="auto"/>
      <w:outlineLvl w:val="4"/>
    </w:pPr>
    <w:rPr>
      <w:b/>
      <w:szCs w:val="24"/>
    </w:rPr>
  </w:style>
  <w:style w:type="paragraph" w:customStyle="1" w:styleId="SubPartCASA">
    <w:name w:val="SubPart(CASA)"/>
    <w:aliases w:val="csp"/>
    <w:basedOn w:val="OPCParaBase"/>
    <w:next w:val="ActHead3"/>
    <w:rsid w:val="00344701"/>
    <w:pPr>
      <w:keepNext/>
      <w:keepLines/>
      <w:spacing w:before="280"/>
      <w:outlineLvl w:val="1"/>
    </w:pPr>
    <w:rPr>
      <w:b/>
      <w:kern w:val="28"/>
      <w:sz w:val="32"/>
    </w:rPr>
  </w:style>
  <w:style w:type="character" w:customStyle="1" w:styleId="CharSubPartTextCASA">
    <w:name w:val="CharSubPartText(CASA)"/>
    <w:basedOn w:val="OPCCharBase"/>
    <w:uiPriority w:val="1"/>
    <w:rsid w:val="00474A19"/>
  </w:style>
  <w:style w:type="character" w:customStyle="1" w:styleId="CharSubPartNoCASA">
    <w:name w:val="CharSubPartNo(CASA)"/>
    <w:basedOn w:val="OPCCharBase"/>
    <w:uiPriority w:val="1"/>
    <w:rsid w:val="00DB4630"/>
  </w:style>
  <w:style w:type="paragraph" w:customStyle="1" w:styleId="ENoteTTIndentHeadingSub">
    <w:name w:val="ENoteTTIndentHeadingSub"/>
    <w:aliases w:val="enTTHis"/>
    <w:basedOn w:val="OPCParaBase"/>
    <w:rsid w:val="00BD0ECB"/>
    <w:pPr>
      <w:keepNext/>
      <w:spacing w:before="60" w:line="240" w:lineRule="atLeast"/>
      <w:ind w:left="340"/>
    </w:pPr>
    <w:rPr>
      <w:b/>
      <w:sz w:val="16"/>
    </w:rPr>
  </w:style>
  <w:style w:type="paragraph" w:customStyle="1" w:styleId="ENoteTTiSub">
    <w:name w:val="ENoteTTiSub"/>
    <w:aliases w:val="enttis"/>
    <w:basedOn w:val="OPCParaBase"/>
    <w:rsid w:val="002321E8"/>
    <w:pPr>
      <w:keepNext/>
      <w:spacing w:before="60" w:line="240" w:lineRule="atLeast"/>
      <w:ind w:left="340"/>
    </w:pPr>
    <w:rPr>
      <w:sz w:val="16"/>
    </w:rPr>
  </w:style>
  <w:style w:type="paragraph" w:customStyle="1" w:styleId="SubDivisionMigration">
    <w:name w:val="SubDivisionMigration"/>
    <w:aliases w:val="sdm"/>
    <w:basedOn w:val="OPCParaBase"/>
    <w:rsid w:val="00CF07FA"/>
    <w:pPr>
      <w:keepNext/>
      <w:keepLines/>
      <w:spacing w:before="220" w:line="240" w:lineRule="auto"/>
      <w:ind w:left="1134" w:hanging="1134"/>
    </w:pPr>
    <w:rPr>
      <w:b/>
      <w:sz w:val="26"/>
    </w:rPr>
  </w:style>
  <w:style w:type="paragraph" w:customStyle="1" w:styleId="DivisionMigration">
    <w:name w:val="DivisionMigration"/>
    <w:aliases w:val="dm"/>
    <w:basedOn w:val="OPCParaBase"/>
    <w:next w:val="SubDivisionMigration"/>
    <w:rsid w:val="00B83204"/>
    <w:pPr>
      <w:keepNext/>
      <w:keepLines/>
      <w:spacing w:before="240" w:line="240" w:lineRule="auto"/>
      <w:ind w:left="1134" w:hanging="1134"/>
    </w:pPr>
    <w:rPr>
      <w:b/>
      <w:sz w:val="28"/>
    </w:rPr>
  </w:style>
  <w:style w:type="paragraph" w:customStyle="1" w:styleId="FreeForm">
    <w:name w:val="FreeForm"/>
    <w:rsid w:val="005D1D92"/>
    <w:rPr>
      <w:rFonts w:ascii="Arial" w:hAnsi="Arial"/>
      <w:sz w:val="22"/>
    </w:rPr>
  </w:style>
  <w:style w:type="paragraph" w:customStyle="1" w:styleId="SOText">
    <w:name w:val="SO Text"/>
    <w:aliases w:val="sot"/>
    <w:link w:val="SOTextChar"/>
    <w:rsid w:val="00004174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/>
      <w:ind w:left="1134"/>
    </w:pPr>
    <w:rPr>
      <w:sz w:val="22"/>
    </w:rPr>
  </w:style>
  <w:style w:type="character" w:customStyle="1" w:styleId="SOTextChar">
    <w:name w:val="SO Text Char"/>
    <w:aliases w:val="sot Char"/>
    <w:basedOn w:val="DefaultParagraphFont"/>
    <w:link w:val="SOText"/>
    <w:rsid w:val="00004174"/>
    <w:rPr>
      <w:sz w:val="22"/>
    </w:rPr>
  </w:style>
  <w:style w:type="paragraph" w:customStyle="1" w:styleId="SOTextNote">
    <w:name w:val="SO TextNote"/>
    <w:aliases w:val="sont"/>
    <w:basedOn w:val="SOText"/>
    <w:qFormat/>
    <w:rsid w:val="00AD53CC"/>
    <w:pPr>
      <w:spacing w:before="122" w:line="198" w:lineRule="exact"/>
      <w:ind w:left="1843" w:hanging="709"/>
    </w:pPr>
    <w:rPr>
      <w:sz w:val="18"/>
    </w:rPr>
  </w:style>
  <w:style w:type="paragraph" w:customStyle="1" w:styleId="SOPara">
    <w:name w:val="SO Para"/>
    <w:aliases w:val="soa"/>
    <w:basedOn w:val="SOText"/>
    <w:link w:val="SOParaChar"/>
    <w:qFormat/>
    <w:rsid w:val="000E78B7"/>
    <w:pPr>
      <w:tabs>
        <w:tab w:val="right" w:pos="1786"/>
      </w:tabs>
      <w:spacing w:before="40"/>
      <w:ind w:left="2070" w:hanging="936"/>
    </w:pPr>
  </w:style>
  <w:style w:type="character" w:customStyle="1" w:styleId="SOParaChar">
    <w:name w:val="SO Para Char"/>
    <w:aliases w:val="soa Char"/>
    <w:basedOn w:val="DefaultParagraphFont"/>
    <w:link w:val="SOPara"/>
    <w:rsid w:val="000E78B7"/>
    <w:rPr>
      <w:sz w:val="22"/>
    </w:rPr>
  </w:style>
  <w:style w:type="paragraph" w:customStyle="1" w:styleId="FileName">
    <w:name w:val="FileName"/>
    <w:basedOn w:val="Normal"/>
    <w:rsid w:val="000258B1"/>
  </w:style>
  <w:style w:type="paragraph" w:customStyle="1" w:styleId="TableHeading">
    <w:name w:val="TableHeading"/>
    <w:aliases w:val="th"/>
    <w:basedOn w:val="OPCParaBase"/>
    <w:next w:val="Tabletext"/>
    <w:rsid w:val="00896176"/>
    <w:pPr>
      <w:keepNext/>
      <w:spacing w:before="60" w:line="240" w:lineRule="atLeast"/>
    </w:pPr>
    <w:rPr>
      <w:b/>
      <w:sz w:val="20"/>
    </w:rPr>
  </w:style>
  <w:style w:type="paragraph" w:customStyle="1" w:styleId="SOHeadBold">
    <w:name w:val="SO HeadBold"/>
    <w:aliases w:val="sohb"/>
    <w:basedOn w:val="SOText"/>
    <w:next w:val="SOText"/>
    <w:link w:val="SOHeadBoldChar"/>
    <w:qFormat/>
    <w:rsid w:val="009C3413"/>
    <w:rPr>
      <w:b/>
    </w:rPr>
  </w:style>
  <w:style w:type="character" w:customStyle="1" w:styleId="SOHeadBoldChar">
    <w:name w:val="SO HeadBold Char"/>
    <w:aliases w:val="sohb Char"/>
    <w:basedOn w:val="DefaultParagraphFont"/>
    <w:link w:val="SOHeadBold"/>
    <w:rsid w:val="009C3413"/>
    <w:rPr>
      <w:b/>
      <w:sz w:val="22"/>
    </w:rPr>
  </w:style>
  <w:style w:type="paragraph" w:customStyle="1" w:styleId="SOHeadItalic">
    <w:name w:val="SO HeadItalic"/>
    <w:aliases w:val="sohi"/>
    <w:basedOn w:val="SOText"/>
    <w:next w:val="SOText"/>
    <w:link w:val="SOHeadItalicChar"/>
    <w:qFormat/>
    <w:rsid w:val="00477830"/>
    <w:rPr>
      <w:i/>
    </w:rPr>
  </w:style>
  <w:style w:type="character" w:customStyle="1" w:styleId="SOHeadItalicChar">
    <w:name w:val="SO HeadItalic Char"/>
    <w:aliases w:val="sohi Char"/>
    <w:basedOn w:val="DefaultParagraphFont"/>
    <w:link w:val="SOHeadItalic"/>
    <w:rsid w:val="00477830"/>
    <w:rPr>
      <w:i/>
      <w:sz w:val="22"/>
    </w:rPr>
  </w:style>
  <w:style w:type="paragraph" w:customStyle="1" w:styleId="SOBullet">
    <w:name w:val="SO Bullet"/>
    <w:aliases w:val="sotb"/>
    <w:basedOn w:val="SOText"/>
    <w:link w:val="SOBulletChar"/>
    <w:qFormat/>
    <w:rsid w:val="006E2E1C"/>
    <w:pPr>
      <w:ind w:left="1559" w:hanging="425"/>
    </w:pPr>
  </w:style>
  <w:style w:type="character" w:customStyle="1" w:styleId="SOBulletChar">
    <w:name w:val="SO Bullet Char"/>
    <w:aliases w:val="sotb Char"/>
    <w:basedOn w:val="DefaultParagraphFont"/>
    <w:link w:val="SOBullet"/>
    <w:rsid w:val="006E2E1C"/>
    <w:rPr>
      <w:sz w:val="22"/>
    </w:rPr>
  </w:style>
  <w:style w:type="paragraph" w:customStyle="1" w:styleId="SOBulletNote">
    <w:name w:val="SO BulletNote"/>
    <w:aliases w:val="sonb"/>
    <w:basedOn w:val="SOTextNote"/>
    <w:link w:val="SOBulletNoteChar"/>
    <w:qFormat/>
    <w:rsid w:val="000978F5"/>
    <w:pPr>
      <w:tabs>
        <w:tab w:val="left" w:pos="1560"/>
      </w:tabs>
      <w:ind w:left="2268" w:hanging="1134"/>
    </w:pPr>
  </w:style>
  <w:style w:type="character" w:customStyle="1" w:styleId="SOBulletNoteChar">
    <w:name w:val="SO BulletNote Char"/>
    <w:aliases w:val="sonb Char"/>
    <w:basedOn w:val="DefaultParagraphFont"/>
    <w:link w:val="SOBulletNote"/>
    <w:rsid w:val="000978F5"/>
    <w:rPr>
      <w:sz w:val="18"/>
    </w:rPr>
  </w:style>
  <w:style w:type="character" w:customStyle="1" w:styleId="subsectionChar">
    <w:name w:val="subsection Char"/>
    <w:aliases w:val="ss Char"/>
    <w:basedOn w:val="DefaultParagraphFont"/>
    <w:link w:val="subsection"/>
    <w:locked/>
    <w:rsid w:val="00A75FE9"/>
    <w:rPr>
      <w:rFonts w:eastAsia="Times New Roman" w:cs="Times New Roman"/>
      <w:sz w:val="22"/>
      <w:lang w:eastAsia="en-AU"/>
    </w:rPr>
  </w:style>
  <w:style w:type="character" w:customStyle="1" w:styleId="notetextChar">
    <w:name w:val="note(text) Char"/>
    <w:aliases w:val="n Char"/>
    <w:basedOn w:val="DefaultParagraphFont"/>
    <w:link w:val="notetext"/>
    <w:rsid w:val="00A75FE9"/>
    <w:rPr>
      <w:rFonts w:eastAsia="Times New Roman" w:cs="Times New Roman"/>
      <w:sz w:val="18"/>
      <w:lang w:eastAsia="en-AU"/>
    </w:rPr>
  </w:style>
  <w:style w:type="paragraph" w:customStyle="1" w:styleId="BodyNum">
    <w:name w:val="BodyNum"/>
    <w:aliases w:val="b1"/>
    <w:basedOn w:val="OPCParaBase"/>
    <w:rsid w:val="00CA5B23"/>
    <w:pPr>
      <w:numPr>
        <w:numId w:val="13"/>
      </w:numPr>
      <w:spacing w:before="240" w:line="240" w:lineRule="auto"/>
    </w:pPr>
    <w:rPr>
      <w:sz w:val="24"/>
    </w:rPr>
  </w:style>
  <w:style w:type="paragraph" w:customStyle="1" w:styleId="BodyPara">
    <w:name w:val="BodyPara"/>
    <w:aliases w:val="ba"/>
    <w:basedOn w:val="OPCParaBase"/>
    <w:rsid w:val="00CA5B23"/>
    <w:pPr>
      <w:numPr>
        <w:ilvl w:val="1"/>
        <w:numId w:val="13"/>
      </w:numPr>
      <w:spacing w:before="240" w:line="240" w:lineRule="auto"/>
    </w:pPr>
    <w:rPr>
      <w:sz w:val="24"/>
    </w:rPr>
  </w:style>
  <w:style w:type="numbering" w:customStyle="1" w:styleId="OPCBodyList">
    <w:name w:val="OPCBodyList"/>
    <w:uiPriority w:val="99"/>
    <w:rsid w:val="00CA5B23"/>
    <w:pPr>
      <w:numPr>
        <w:numId w:val="13"/>
      </w:numPr>
    </w:pPr>
  </w:style>
  <w:style w:type="paragraph" w:customStyle="1" w:styleId="Head1">
    <w:name w:val="Head 1"/>
    <w:aliases w:val="1"/>
    <w:basedOn w:val="OPCParaBase"/>
    <w:next w:val="BodyNum"/>
    <w:rsid w:val="00CA5B23"/>
    <w:pPr>
      <w:keepNext/>
      <w:spacing w:before="240" w:after="60" w:line="240" w:lineRule="auto"/>
      <w:outlineLvl w:val="0"/>
    </w:pPr>
    <w:rPr>
      <w:rFonts w:ascii="Arial" w:hAnsi="Arial"/>
      <w:b/>
      <w:kern w:val="28"/>
      <w:sz w:val="36"/>
    </w:rPr>
  </w:style>
  <w:style w:type="paragraph" w:customStyle="1" w:styleId="Head2">
    <w:name w:val="Head 2"/>
    <w:aliases w:val="2"/>
    <w:basedOn w:val="OPCParaBase"/>
    <w:next w:val="BodyNum"/>
    <w:rsid w:val="00CA5B23"/>
    <w:pPr>
      <w:keepNext/>
      <w:spacing w:before="240" w:after="60" w:line="240" w:lineRule="auto"/>
      <w:outlineLvl w:val="1"/>
    </w:pPr>
    <w:rPr>
      <w:rFonts w:ascii="Arial" w:hAnsi="Arial"/>
      <w:b/>
      <w:kern w:val="28"/>
      <w:sz w:val="28"/>
    </w:rPr>
  </w:style>
  <w:style w:type="paragraph" w:customStyle="1" w:styleId="Head3">
    <w:name w:val="Head 3"/>
    <w:aliases w:val="3"/>
    <w:basedOn w:val="OPCParaBase"/>
    <w:next w:val="BodyNum"/>
    <w:rsid w:val="00CA5B23"/>
    <w:pPr>
      <w:keepNext/>
      <w:spacing w:before="240" w:after="60" w:line="240" w:lineRule="auto"/>
      <w:outlineLvl w:val="2"/>
    </w:pPr>
    <w:rPr>
      <w:rFonts w:ascii="Arial" w:hAnsi="Arial"/>
      <w:b/>
      <w:i/>
      <w:kern w:val="28"/>
      <w:sz w:val="26"/>
    </w:rPr>
  </w:style>
  <w:style w:type="character" w:customStyle="1" w:styleId="Heading6Char">
    <w:name w:val="Heading 6 Char"/>
    <w:basedOn w:val="DefaultParagraphFont"/>
    <w:link w:val="Heading6"/>
    <w:rsid w:val="00152336"/>
    <w:rPr>
      <w:rFonts w:ascii="Arial" w:eastAsia="Times New Roman" w:hAnsi="Arial" w:cs="Times New Roman"/>
      <w:b/>
      <w:kern w:val="28"/>
      <w:sz w:val="32"/>
      <w:lang w:eastAsia="en-AU"/>
    </w:rPr>
  </w:style>
  <w:style w:type="character" w:customStyle="1" w:styleId="Heading1Char">
    <w:name w:val="Heading 1 Char"/>
    <w:basedOn w:val="DefaultParagraphFont"/>
    <w:link w:val="Heading1"/>
    <w:uiPriority w:val="9"/>
    <w:rsid w:val="0015233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rsid w:val="0015233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52336"/>
    <w:rPr>
      <w:rFonts w:asciiTheme="majorHAnsi" w:eastAsiaTheme="majorEastAsia" w:hAnsiTheme="majorHAnsi" w:cstheme="majorBidi"/>
      <w:b/>
      <w:bCs/>
      <w:color w:val="4F81BD" w:themeColor="accent1"/>
      <w:sz w:val="22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52336"/>
    <w:rPr>
      <w:rFonts w:asciiTheme="majorHAnsi" w:eastAsiaTheme="majorEastAsia" w:hAnsiTheme="majorHAnsi" w:cstheme="majorBidi"/>
      <w:b/>
      <w:bCs/>
      <w:i/>
      <w:iCs/>
      <w:color w:val="4F81BD" w:themeColor="accent1"/>
      <w:sz w:val="22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52336"/>
    <w:rPr>
      <w:rFonts w:asciiTheme="majorHAnsi" w:eastAsiaTheme="majorEastAsia" w:hAnsiTheme="majorHAnsi" w:cstheme="majorBidi"/>
      <w:color w:val="243F60" w:themeColor="accent1" w:themeShade="7F"/>
      <w:sz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52336"/>
    <w:rPr>
      <w:rFonts w:asciiTheme="majorHAnsi" w:eastAsiaTheme="majorEastAsia" w:hAnsiTheme="majorHAnsi" w:cstheme="majorBidi"/>
      <w:i/>
      <w:iCs/>
      <w:color w:val="404040" w:themeColor="text1" w:themeTint="BF"/>
      <w:sz w:val="22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52336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52336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styleId="CommentReference">
    <w:name w:val="annotation reference"/>
    <w:basedOn w:val="DefaultParagraphFont"/>
    <w:uiPriority w:val="99"/>
    <w:semiHidden/>
    <w:unhideWhenUsed/>
    <w:rsid w:val="007E64A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E64AD"/>
    <w:pPr>
      <w:spacing w:line="240" w:lineRule="auto"/>
    </w:pPr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E64AD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E64A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E64AD"/>
    <w:rPr>
      <w:b/>
      <w:bCs/>
    </w:rPr>
  </w:style>
  <w:style w:type="character" w:styleId="Hyperlink">
    <w:name w:val="Hyperlink"/>
    <w:basedOn w:val="DefaultParagraphFont"/>
    <w:uiPriority w:val="99"/>
    <w:unhideWhenUsed/>
    <w:rsid w:val="00163892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63892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177D8C"/>
    <w:rPr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1432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2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footer" Target="footer3.xml"/><Relationship Id="rId18" Type="http://schemas.openxmlformats.org/officeDocument/2006/relationships/header" Target="header5.xml"/><Relationship Id="rId3" Type="http://schemas.openxmlformats.org/officeDocument/2006/relationships/styles" Target="styles.xml"/><Relationship Id="rId21" Type="http://schemas.openxmlformats.org/officeDocument/2006/relationships/footer" Target="footer6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footer" Target="footer5.xml"/><Relationship Id="rId2" Type="http://schemas.openxmlformats.org/officeDocument/2006/relationships/numbering" Target="numbering.xml"/><Relationship Id="rId16" Type="http://schemas.openxmlformats.org/officeDocument/2006/relationships/footer" Target="footer4.xml"/><Relationship Id="rId20" Type="http://schemas.openxmlformats.org/officeDocument/2006/relationships/header" Target="header7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eader" Target="header4.xml"/><Relationship Id="rId23" Type="http://schemas.openxmlformats.org/officeDocument/2006/relationships/fontTable" Target="fontTable.xml"/><Relationship Id="rId10" Type="http://schemas.openxmlformats.org/officeDocument/2006/relationships/header" Target="header2.xml"/><Relationship Id="rId19" Type="http://schemas.openxmlformats.org/officeDocument/2006/relationships/header" Target="header6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header" Target="header3.xml"/><Relationship Id="rId22" Type="http://schemas.openxmlformats.org/officeDocument/2006/relationships/footer" Target="footer7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E75A569-9F84-4416-92C9-E3FD6C16F7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854</Words>
  <Characters>4869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5712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2023-12-04T23:11:00Z</dcterms:created>
  <dcterms:modified xsi:type="dcterms:W3CDTF">2023-12-04T23:11:00Z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0x010100C95DF525056C794DA1C8F0847EABA15F</vt:lpwstr>
  </property>
  <property fmtid="{D5CDD505-2E9C-101B-9397-08002B2CF9AE}" pid="3" name="_dlc_DocIdItemGuid">
    <vt:lpwstr>1ca832cb-7658-417e-a867-415fe6032966</vt:lpwstr>
  </property>
  <property fmtid="{D5CDD505-2E9C-101B-9397-08002B2CF9AE}" pid="4" name="Security Classification">
    <vt:lpwstr>1;#OFFICIAL|5d128361-bbb7-4b9a-ac60-b26612a0ec1b</vt:lpwstr>
  </property>
</Properties>
</file>