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77777777" w:rsidR="001F2A16" w:rsidRPr="00185C20" w:rsidRDefault="001F2A16" w:rsidP="00185C20">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185C20">
        <w:rPr>
          <w:rFonts w:ascii="Arial" w:hAnsi="Arial" w:cs="Arial"/>
          <w:sz w:val="34"/>
          <w:szCs w:val="34"/>
        </w:rPr>
        <w:t>Explanatory Statement</w:t>
      </w:r>
    </w:p>
    <w:p w14:paraId="1B30CEF1" w14:textId="77777777" w:rsidR="001831B5" w:rsidRPr="00185C20" w:rsidRDefault="001831B5" w:rsidP="00185C20">
      <w:pPr>
        <w:pStyle w:val="Header"/>
        <w:pBdr>
          <w:top w:val="single" w:sz="4" w:space="1" w:color="auto"/>
          <w:bottom w:val="single" w:sz="4" w:space="1" w:color="auto"/>
        </w:pBdr>
        <w:tabs>
          <w:tab w:val="clear" w:pos="4153"/>
          <w:tab w:val="clear" w:pos="8306"/>
        </w:tabs>
        <w:jc w:val="center"/>
        <w:rPr>
          <w:rFonts w:ascii="Arial" w:hAnsi="Arial" w:cs="Arial"/>
          <w:sz w:val="34"/>
          <w:szCs w:val="34"/>
        </w:rPr>
      </w:pPr>
      <w:r w:rsidRPr="00185C20">
        <w:rPr>
          <w:rFonts w:ascii="Arial" w:hAnsi="Arial" w:cs="Arial"/>
          <w:sz w:val="34"/>
          <w:szCs w:val="34"/>
        </w:rPr>
        <w:t>Taxation Administration (Transitional Exemptions for Reporting by Electronic Distribution Platform Operators – Relevant Accommodation and Taxi Travel) Determination 2023</w:t>
      </w:r>
    </w:p>
    <w:p w14:paraId="15AC1B52" w14:textId="5B65CDA8" w:rsidR="0099555F" w:rsidRPr="00185C20" w:rsidRDefault="0099555F" w:rsidP="00185C20">
      <w:pPr>
        <w:pStyle w:val="Header"/>
        <w:tabs>
          <w:tab w:val="clear" w:pos="4153"/>
          <w:tab w:val="clear" w:pos="8306"/>
        </w:tabs>
        <w:jc w:val="center"/>
        <w:rPr>
          <w:rFonts w:ascii="Arial" w:hAnsi="Arial" w:cs="Arial"/>
          <w:sz w:val="22"/>
          <w:szCs w:val="22"/>
        </w:rPr>
      </w:pPr>
    </w:p>
    <w:p w14:paraId="15AC1B53" w14:textId="77777777" w:rsidR="001F2A16" w:rsidRPr="00185C20" w:rsidRDefault="001F2A16" w:rsidP="00185C20">
      <w:pPr>
        <w:pStyle w:val="Header"/>
        <w:tabs>
          <w:tab w:val="clear" w:pos="4153"/>
          <w:tab w:val="clear" w:pos="8306"/>
        </w:tabs>
        <w:jc w:val="center"/>
        <w:rPr>
          <w:rFonts w:ascii="Arial" w:hAnsi="Arial" w:cs="Arial"/>
          <w:sz w:val="22"/>
          <w:szCs w:val="22"/>
        </w:rPr>
      </w:pPr>
    </w:p>
    <w:p w14:paraId="15AC1B54" w14:textId="72E1D7FF" w:rsidR="00486653" w:rsidRPr="00185C20" w:rsidRDefault="00486653" w:rsidP="00185C20">
      <w:pPr>
        <w:pStyle w:val="Heading2"/>
      </w:pPr>
      <w:r w:rsidRPr="00185C20">
        <w:t xml:space="preserve">General </w:t>
      </w:r>
      <w:r w:rsidR="00C620E9" w:rsidRPr="00185C20">
        <w:t>o</w:t>
      </w:r>
      <w:r w:rsidRPr="00185C20">
        <w:t xml:space="preserve">utline of </w:t>
      </w:r>
      <w:r w:rsidR="00C620E9" w:rsidRPr="00185C20">
        <w:t>i</w:t>
      </w:r>
      <w:r w:rsidRPr="00185C20">
        <w:t>nstrument</w:t>
      </w:r>
    </w:p>
    <w:p w14:paraId="30E745FF"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bookmarkStart w:id="0" w:name="_Hlk141349149"/>
      <w:r w:rsidRPr="00185C20">
        <w:rPr>
          <w:rFonts w:ascii="Arial" w:hAnsi="Arial" w:cs="Arial"/>
          <w:sz w:val="22"/>
          <w:szCs w:val="22"/>
        </w:rPr>
        <w:t xml:space="preserve">This instrument is made under subparagraph 396-55(b)(ii) and subsection 396-70(4) in Schedule 1 to the </w:t>
      </w:r>
      <w:r w:rsidRPr="00185C20">
        <w:rPr>
          <w:rFonts w:ascii="Arial" w:hAnsi="Arial" w:cs="Arial"/>
          <w:i/>
          <w:iCs/>
          <w:sz w:val="22"/>
          <w:szCs w:val="22"/>
        </w:rPr>
        <w:t xml:space="preserve">Taxation Administration Act 1953 </w:t>
      </w:r>
      <w:r w:rsidRPr="00185C20">
        <w:rPr>
          <w:rFonts w:ascii="Arial" w:hAnsi="Arial" w:cs="Arial"/>
          <w:sz w:val="22"/>
          <w:szCs w:val="22"/>
        </w:rPr>
        <w:t>(the Act).</w:t>
      </w:r>
    </w:p>
    <w:p w14:paraId="3375156A" w14:textId="1DED2DD8"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 xml:space="preserve">Under the </w:t>
      </w:r>
      <w:r w:rsidR="00676E70" w:rsidRPr="00185C20">
        <w:rPr>
          <w:rFonts w:ascii="Arial" w:hAnsi="Arial" w:cs="Arial"/>
          <w:sz w:val="22"/>
          <w:szCs w:val="22"/>
        </w:rPr>
        <w:t>S</w:t>
      </w:r>
      <w:r w:rsidRPr="00185C20">
        <w:rPr>
          <w:rFonts w:ascii="Arial" w:hAnsi="Arial" w:cs="Arial"/>
          <w:sz w:val="22"/>
          <w:szCs w:val="22"/>
        </w:rPr>
        <w:t xml:space="preserve">haring </w:t>
      </w:r>
      <w:r w:rsidR="00676E70" w:rsidRPr="00185C20">
        <w:rPr>
          <w:rFonts w:ascii="Arial" w:hAnsi="Arial" w:cs="Arial"/>
          <w:sz w:val="22"/>
          <w:szCs w:val="22"/>
        </w:rPr>
        <w:t>E</w:t>
      </w:r>
      <w:r w:rsidRPr="00185C20">
        <w:rPr>
          <w:rFonts w:ascii="Arial" w:hAnsi="Arial" w:cs="Arial"/>
          <w:sz w:val="22"/>
          <w:szCs w:val="22"/>
        </w:rPr>
        <w:t xml:space="preserve">conomy </w:t>
      </w:r>
      <w:r w:rsidR="00676E70" w:rsidRPr="00185C20">
        <w:rPr>
          <w:rFonts w:ascii="Arial" w:hAnsi="Arial" w:cs="Arial"/>
          <w:sz w:val="22"/>
          <w:szCs w:val="22"/>
        </w:rPr>
        <w:t>R</w:t>
      </w:r>
      <w:r w:rsidRPr="00185C20">
        <w:rPr>
          <w:rFonts w:ascii="Arial" w:hAnsi="Arial" w:cs="Arial"/>
          <w:sz w:val="22"/>
          <w:szCs w:val="22"/>
        </w:rPr>
        <w:t xml:space="preserve">eporting </w:t>
      </w:r>
      <w:r w:rsidR="00676E70" w:rsidRPr="00185C20">
        <w:rPr>
          <w:rFonts w:ascii="Arial" w:hAnsi="Arial" w:cs="Arial"/>
          <w:sz w:val="22"/>
          <w:szCs w:val="22"/>
        </w:rPr>
        <w:t>R</w:t>
      </w:r>
      <w:r w:rsidRPr="00185C20">
        <w:rPr>
          <w:rFonts w:ascii="Arial" w:hAnsi="Arial" w:cs="Arial"/>
          <w:sz w:val="22"/>
          <w:szCs w:val="22"/>
        </w:rPr>
        <w:t>egime</w:t>
      </w:r>
      <w:r w:rsidR="00676E70" w:rsidRPr="00185C20">
        <w:rPr>
          <w:rFonts w:ascii="Arial" w:hAnsi="Arial" w:cs="Arial"/>
          <w:sz w:val="22"/>
          <w:szCs w:val="22"/>
        </w:rPr>
        <w:t xml:space="preserve"> (SERR) </w:t>
      </w:r>
      <w:r w:rsidRPr="00185C20">
        <w:rPr>
          <w:rFonts w:ascii="Arial" w:hAnsi="Arial" w:cs="Arial"/>
          <w:sz w:val="22"/>
          <w:szCs w:val="22"/>
        </w:rPr>
        <w:t>that is given effect by table item 15 in section 396-55 in Schedule 1 to the Act, operators of electronic distribution platforms (EDPs) are required to report information about certain supplies made through their platforms to the Commissioner of Taxation.</w:t>
      </w:r>
    </w:p>
    <w:bookmarkEnd w:id="0"/>
    <w:p w14:paraId="2DC34BD1"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This instrument provides transitional support to operators of EDPs preparing to comply with reporting obligations under this regime in its first year of operation. It provides relevant operators with a choice of either a reporting exemption, or a deferral of the time by which their reports must be lodged, based on their relative circumstances.</w:t>
      </w:r>
    </w:p>
    <w:p w14:paraId="38404F44"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 xml:space="preserve">The instrument is a legislative instrument for the purposes of the </w:t>
      </w:r>
      <w:r w:rsidRPr="00185C20">
        <w:rPr>
          <w:rFonts w:ascii="Arial" w:hAnsi="Arial" w:cs="Arial"/>
          <w:i/>
          <w:sz w:val="22"/>
          <w:szCs w:val="22"/>
        </w:rPr>
        <w:t>Legislation Act 2003</w:t>
      </w:r>
      <w:r w:rsidRPr="00185C20">
        <w:rPr>
          <w:rFonts w:ascii="Arial" w:hAnsi="Arial" w:cs="Arial"/>
          <w:sz w:val="22"/>
          <w:szCs w:val="22"/>
        </w:rPr>
        <w:t>.</w:t>
      </w:r>
    </w:p>
    <w:p w14:paraId="162DC257"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 xml:space="preserve">Under subsection 33(3) of the </w:t>
      </w:r>
      <w:r w:rsidRPr="00185C20">
        <w:rPr>
          <w:rFonts w:ascii="Arial" w:hAnsi="Arial" w:cs="Arial"/>
          <w:i/>
          <w:sz w:val="22"/>
          <w:szCs w:val="22"/>
        </w:rPr>
        <w:t>Acts Interpretation Act 1901</w:t>
      </w:r>
      <w:r w:rsidRPr="00185C20">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864779B" w14:textId="77777777" w:rsidR="00640CC2" w:rsidRPr="00185C20" w:rsidRDefault="00640CC2" w:rsidP="00185C20">
      <w:pPr>
        <w:spacing w:after="120"/>
        <w:rPr>
          <w:rFonts w:ascii="Arial" w:hAnsi="Arial" w:cs="Arial"/>
          <w:sz w:val="22"/>
          <w:szCs w:val="22"/>
        </w:rPr>
      </w:pPr>
    </w:p>
    <w:p w14:paraId="15AC1B63" w14:textId="77777777" w:rsidR="001D02E6" w:rsidRPr="00185C20" w:rsidRDefault="001D02E6" w:rsidP="00185C20">
      <w:pPr>
        <w:pStyle w:val="Heading2"/>
      </w:pPr>
      <w:r w:rsidRPr="00185C20">
        <w:t>Date of effect</w:t>
      </w:r>
    </w:p>
    <w:p w14:paraId="5FBFD2C3" w14:textId="47C5B29A" w:rsidR="001831B5" w:rsidRPr="00185C20" w:rsidRDefault="001831B5" w:rsidP="00185C20">
      <w:pPr>
        <w:numPr>
          <w:ilvl w:val="0"/>
          <w:numId w:val="16"/>
        </w:numPr>
        <w:tabs>
          <w:tab w:val="clear" w:pos="360"/>
        </w:tabs>
        <w:spacing w:after="120"/>
        <w:ind w:left="0" w:firstLine="0"/>
        <w:rPr>
          <w:rFonts w:ascii="Arial" w:hAnsi="Arial" w:cs="Arial"/>
          <w:i/>
          <w:sz w:val="22"/>
          <w:szCs w:val="22"/>
        </w:rPr>
      </w:pPr>
      <w:r w:rsidRPr="00185C20">
        <w:rPr>
          <w:rFonts w:ascii="Arial" w:hAnsi="Arial" w:cs="Arial"/>
          <w:sz w:val="22"/>
          <w:szCs w:val="22"/>
        </w:rPr>
        <w:t xml:space="preserve">This instrument commences on 1 July 2023. It has a retrospective commencement date to provide support to operators of EDPs while they transition to the </w:t>
      </w:r>
      <w:r w:rsidR="00676E70" w:rsidRPr="00185C20">
        <w:rPr>
          <w:rFonts w:ascii="Arial" w:hAnsi="Arial" w:cs="Arial"/>
          <w:sz w:val="22"/>
          <w:szCs w:val="22"/>
        </w:rPr>
        <w:t>SERR</w:t>
      </w:r>
      <w:r w:rsidRPr="00185C20">
        <w:rPr>
          <w:rFonts w:ascii="Arial" w:hAnsi="Arial" w:cs="Arial"/>
          <w:sz w:val="22"/>
          <w:szCs w:val="22"/>
        </w:rPr>
        <w:t xml:space="preserve"> that commenced </w:t>
      </w:r>
      <w:r w:rsidR="00676E70" w:rsidRPr="00185C20">
        <w:rPr>
          <w:rFonts w:ascii="Arial" w:hAnsi="Arial" w:cs="Arial"/>
          <w:sz w:val="22"/>
          <w:szCs w:val="22"/>
        </w:rPr>
        <w:t xml:space="preserve">from </w:t>
      </w:r>
      <w:r w:rsidRPr="00185C20">
        <w:rPr>
          <w:rFonts w:ascii="Arial" w:hAnsi="Arial" w:cs="Arial"/>
          <w:sz w:val="22"/>
          <w:szCs w:val="22"/>
        </w:rPr>
        <w:t>1 July 2023. It will provide operators with reporting exemptions or extensions</w:t>
      </w:r>
      <w:r w:rsidR="00D74822" w:rsidRPr="00185C20">
        <w:rPr>
          <w:rFonts w:ascii="Arial" w:hAnsi="Arial" w:cs="Arial"/>
          <w:sz w:val="22"/>
          <w:szCs w:val="22"/>
        </w:rPr>
        <w:t>. C</w:t>
      </w:r>
      <w:r w:rsidRPr="00185C20">
        <w:rPr>
          <w:rFonts w:ascii="Arial" w:hAnsi="Arial" w:cs="Arial"/>
          <w:sz w:val="22"/>
          <w:szCs w:val="22"/>
        </w:rPr>
        <w:t xml:space="preserve">onsistent with section 12(2) of the </w:t>
      </w:r>
      <w:r w:rsidRPr="00185C20">
        <w:rPr>
          <w:rFonts w:ascii="Arial" w:hAnsi="Arial" w:cs="Arial"/>
          <w:i/>
          <w:sz w:val="22"/>
          <w:szCs w:val="22"/>
        </w:rPr>
        <w:t>Legislation Act 2003</w:t>
      </w:r>
      <w:r w:rsidRPr="00185C20">
        <w:rPr>
          <w:rFonts w:ascii="Arial" w:hAnsi="Arial" w:cs="Arial"/>
          <w:iCs/>
          <w:sz w:val="22"/>
          <w:szCs w:val="22"/>
        </w:rPr>
        <w:t>,</w:t>
      </w:r>
      <w:r w:rsidRPr="00185C20">
        <w:rPr>
          <w:rFonts w:ascii="Arial" w:hAnsi="Arial" w:cs="Arial"/>
          <w:sz w:val="22"/>
          <w:szCs w:val="22"/>
        </w:rPr>
        <w:t xml:space="preserve"> </w:t>
      </w:r>
      <w:r w:rsidR="00F84CC0" w:rsidRPr="00185C20">
        <w:rPr>
          <w:rFonts w:ascii="Arial" w:hAnsi="Arial" w:cs="Arial"/>
          <w:sz w:val="22"/>
          <w:szCs w:val="22"/>
        </w:rPr>
        <w:t xml:space="preserve">it </w:t>
      </w:r>
      <w:r w:rsidRPr="00185C20">
        <w:rPr>
          <w:rFonts w:ascii="Arial" w:hAnsi="Arial" w:cs="Arial"/>
          <w:sz w:val="22"/>
          <w:szCs w:val="22"/>
        </w:rPr>
        <w:t>will not adversely affect the rights or liabilities of any person other than the Commonwealth.</w:t>
      </w:r>
    </w:p>
    <w:p w14:paraId="15AC1B6B" w14:textId="77777777" w:rsidR="00486653" w:rsidRPr="00185C20" w:rsidRDefault="00486653" w:rsidP="00185C20">
      <w:pPr>
        <w:spacing w:after="120"/>
        <w:rPr>
          <w:rFonts w:ascii="Arial" w:hAnsi="Arial" w:cs="Arial"/>
          <w:sz w:val="22"/>
          <w:szCs w:val="22"/>
        </w:rPr>
      </w:pPr>
    </w:p>
    <w:p w14:paraId="15AC1B6C" w14:textId="6388FD20" w:rsidR="00486653" w:rsidRPr="00185C20" w:rsidRDefault="003B547B" w:rsidP="00185C20">
      <w:pPr>
        <w:pStyle w:val="Heading2"/>
      </w:pPr>
      <w:r w:rsidRPr="00185C20">
        <w:t>E</w:t>
      </w:r>
      <w:r w:rsidR="00486653" w:rsidRPr="00185C20">
        <w:t>ffect of this instrument</w:t>
      </w:r>
    </w:p>
    <w:p w14:paraId="14B88E00" w14:textId="512F9AA2"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 xml:space="preserve">Table item 15 in section 396-55 in Schedule 1 to the Act requires an operator of an </w:t>
      </w:r>
      <w:r w:rsidR="00676E70" w:rsidRPr="00185C20">
        <w:rPr>
          <w:rFonts w:ascii="Arial" w:hAnsi="Arial" w:cs="Arial"/>
          <w:sz w:val="22"/>
          <w:szCs w:val="22"/>
        </w:rPr>
        <w:t>EDP</w:t>
      </w:r>
      <w:r w:rsidRPr="00185C20">
        <w:rPr>
          <w:rFonts w:ascii="Arial" w:hAnsi="Arial" w:cs="Arial"/>
          <w:sz w:val="22"/>
          <w:szCs w:val="22"/>
        </w:rPr>
        <w:t xml:space="preserve"> – within the meaning of the </w:t>
      </w:r>
      <w:r w:rsidRPr="00185C20">
        <w:rPr>
          <w:rFonts w:ascii="Arial" w:hAnsi="Arial" w:cs="Arial"/>
          <w:i/>
          <w:iCs/>
          <w:sz w:val="22"/>
          <w:szCs w:val="22"/>
        </w:rPr>
        <w:t>A New Tax System (Goods and Services Tax) Act 1999</w:t>
      </w:r>
      <w:r w:rsidRPr="00185C20">
        <w:rPr>
          <w:rFonts w:ascii="Arial" w:hAnsi="Arial" w:cs="Arial"/>
          <w:sz w:val="22"/>
          <w:szCs w:val="22"/>
        </w:rPr>
        <w:t xml:space="preserve"> (GST Act) (but disregarding paragraph 84-70(1)(c) of that Act) – to prepare a report about specified transactions made through that EDP.</w:t>
      </w:r>
    </w:p>
    <w:p w14:paraId="072C55B1"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That report must generally (unless there is a legislative instrument specifying a later due date) be given to the Commissioner on or before the 31</w:t>
      </w:r>
      <w:r w:rsidRPr="00185C20">
        <w:rPr>
          <w:rFonts w:ascii="Arial" w:hAnsi="Arial" w:cs="Arial"/>
          <w:sz w:val="22"/>
          <w:szCs w:val="22"/>
          <w:vertAlign w:val="superscript"/>
        </w:rPr>
        <w:t>st</w:t>
      </w:r>
      <w:r w:rsidRPr="00185C20">
        <w:rPr>
          <w:rFonts w:ascii="Arial" w:hAnsi="Arial" w:cs="Arial"/>
          <w:sz w:val="22"/>
          <w:szCs w:val="22"/>
        </w:rPr>
        <w:t xml:space="preserve"> day after the end of the period in relation to which it is prepared.</w:t>
      </w:r>
    </w:p>
    <w:p w14:paraId="4AE029E9" w14:textId="77777777" w:rsidR="001831B5" w:rsidRPr="00185C20" w:rsidRDefault="001831B5" w:rsidP="00185C20">
      <w:pPr>
        <w:spacing w:after="120"/>
        <w:rPr>
          <w:rFonts w:ascii="Arial" w:hAnsi="Arial" w:cs="Arial"/>
          <w:sz w:val="22"/>
          <w:szCs w:val="22"/>
        </w:rPr>
      </w:pPr>
    </w:p>
    <w:p w14:paraId="14B4BBD8" w14:textId="77777777" w:rsidR="001831B5" w:rsidRPr="00185C20" w:rsidRDefault="001831B5" w:rsidP="00185C20">
      <w:pPr>
        <w:pStyle w:val="Heading3"/>
        <w:spacing w:before="0" w:after="120"/>
        <w:rPr>
          <w:i/>
          <w:iCs/>
          <w:sz w:val="22"/>
          <w:szCs w:val="22"/>
        </w:rPr>
      </w:pPr>
      <w:r w:rsidRPr="00185C20">
        <w:rPr>
          <w:i/>
          <w:iCs/>
          <w:sz w:val="22"/>
          <w:szCs w:val="22"/>
        </w:rPr>
        <w:lastRenderedPageBreak/>
        <w:t>The reporting exemption provided by section 5</w:t>
      </w:r>
    </w:p>
    <w:p w14:paraId="74970C08"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Subsection 396-70(4) in Schedule 1 to the Act allows the Commissioner, by legislative instrument, to determine that specified classes of entities are not required to prepare and give reports under section 396-55, or are not required to do so for specified classes of transactions.</w:t>
      </w:r>
    </w:p>
    <w:p w14:paraId="61B58272"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Section 5 of this instrument exempts the operator of an EDP from having to prepare and give a report about reportable transactions for a reporting period ending on or before 30 June 2024 where:</w:t>
      </w:r>
    </w:p>
    <w:p w14:paraId="0B5A2CDA" w14:textId="25DCE11A" w:rsidR="001831B5" w:rsidRPr="00185C20" w:rsidRDefault="001831B5" w:rsidP="00185C20">
      <w:pPr>
        <w:numPr>
          <w:ilvl w:val="1"/>
          <w:numId w:val="48"/>
        </w:numPr>
        <w:tabs>
          <w:tab w:val="clear" w:pos="1440"/>
        </w:tabs>
        <w:spacing w:after="120"/>
        <w:ind w:left="1418" w:hanging="709"/>
        <w:rPr>
          <w:rFonts w:ascii="Arial" w:hAnsi="Arial" w:cs="Arial"/>
          <w:sz w:val="22"/>
          <w:szCs w:val="22"/>
        </w:rPr>
      </w:pPr>
      <w:r w:rsidRPr="00185C20">
        <w:rPr>
          <w:rFonts w:ascii="Arial" w:hAnsi="Arial" w:cs="Arial"/>
          <w:sz w:val="22"/>
          <w:szCs w:val="22"/>
        </w:rPr>
        <w:t>the transactions involved a supply of relevant accommodation or taxi travel</w:t>
      </w:r>
      <w:r w:rsidR="00393E98" w:rsidRPr="00185C20">
        <w:rPr>
          <w:rFonts w:ascii="Arial" w:hAnsi="Arial" w:cs="Arial"/>
          <w:sz w:val="22"/>
          <w:szCs w:val="22"/>
        </w:rPr>
        <w:t>,</w:t>
      </w:r>
    </w:p>
    <w:p w14:paraId="1D776E14" w14:textId="77777777" w:rsidR="001831B5" w:rsidRPr="00185C20" w:rsidRDefault="001831B5" w:rsidP="00185C20">
      <w:pPr>
        <w:numPr>
          <w:ilvl w:val="1"/>
          <w:numId w:val="48"/>
        </w:numPr>
        <w:tabs>
          <w:tab w:val="clear" w:pos="1440"/>
        </w:tabs>
        <w:spacing w:after="120"/>
        <w:ind w:left="1418" w:hanging="709"/>
        <w:rPr>
          <w:rFonts w:ascii="Arial" w:hAnsi="Arial" w:cs="Arial"/>
          <w:sz w:val="22"/>
          <w:szCs w:val="22"/>
        </w:rPr>
      </w:pPr>
      <w:r w:rsidRPr="00185C20">
        <w:rPr>
          <w:rFonts w:ascii="Arial" w:hAnsi="Arial" w:cs="Arial"/>
          <w:sz w:val="22"/>
          <w:szCs w:val="22"/>
        </w:rPr>
        <w:t>the operator either was operating the platform on or before 30 June 2023, or had completed building the systems required to operate the platform on or before 30 June 2023 and commenced operating the platform on or before 31 December 2023, and</w:t>
      </w:r>
    </w:p>
    <w:p w14:paraId="09C6C8AA" w14:textId="4825F6A2" w:rsidR="001831B5" w:rsidRPr="00185C20" w:rsidRDefault="001831B5" w:rsidP="00185C20">
      <w:pPr>
        <w:numPr>
          <w:ilvl w:val="1"/>
          <w:numId w:val="48"/>
        </w:numPr>
        <w:tabs>
          <w:tab w:val="clear" w:pos="1440"/>
        </w:tabs>
        <w:spacing w:after="120"/>
        <w:ind w:left="1418" w:hanging="709"/>
        <w:rPr>
          <w:rFonts w:ascii="Arial" w:hAnsi="Arial" w:cs="Arial"/>
          <w:sz w:val="22"/>
          <w:szCs w:val="22"/>
        </w:rPr>
      </w:pPr>
      <w:r w:rsidRPr="00185C20">
        <w:rPr>
          <w:rFonts w:ascii="Arial" w:hAnsi="Arial" w:cs="Arial"/>
          <w:sz w:val="22"/>
          <w:szCs w:val="22"/>
        </w:rPr>
        <w:t xml:space="preserve">the operator had reportable transactions </w:t>
      </w:r>
      <w:r w:rsidR="00C661CC" w:rsidRPr="00185C20">
        <w:rPr>
          <w:rFonts w:ascii="Arial" w:hAnsi="Arial" w:cs="Arial"/>
          <w:sz w:val="22"/>
          <w:szCs w:val="22"/>
        </w:rPr>
        <w:t xml:space="preserve">with a total </w:t>
      </w:r>
      <w:r w:rsidR="00122BE3" w:rsidRPr="00185C20">
        <w:rPr>
          <w:rFonts w:ascii="Arial" w:hAnsi="Arial" w:cs="Arial"/>
          <w:sz w:val="22"/>
          <w:szCs w:val="22"/>
        </w:rPr>
        <w:t xml:space="preserve">value </w:t>
      </w:r>
      <w:r w:rsidR="00393E98" w:rsidRPr="00185C20">
        <w:rPr>
          <w:rFonts w:ascii="Arial" w:hAnsi="Arial" w:cs="Arial"/>
          <w:sz w:val="22"/>
          <w:szCs w:val="22"/>
        </w:rPr>
        <w:t xml:space="preserve">(including GST where applicable) </w:t>
      </w:r>
      <w:r w:rsidR="00C661CC" w:rsidRPr="00185C20">
        <w:rPr>
          <w:rFonts w:ascii="Arial" w:hAnsi="Arial" w:cs="Arial"/>
          <w:sz w:val="22"/>
          <w:szCs w:val="22"/>
        </w:rPr>
        <w:t>of</w:t>
      </w:r>
      <w:r w:rsidRPr="00185C20">
        <w:rPr>
          <w:rFonts w:ascii="Arial" w:hAnsi="Arial" w:cs="Arial"/>
          <w:sz w:val="22"/>
          <w:szCs w:val="22"/>
        </w:rPr>
        <w:t xml:space="preserve"> less than either </w:t>
      </w:r>
      <w:bookmarkStart w:id="1" w:name="_Hlk141902656"/>
      <w:r w:rsidRPr="00185C20">
        <w:rPr>
          <w:rFonts w:ascii="Arial" w:hAnsi="Arial" w:cs="Arial"/>
          <w:sz w:val="22"/>
          <w:szCs w:val="22"/>
        </w:rPr>
        <w:t>$1,000,000</w:t>
      </w:r>
      <w:r w:rsidR="00031391" w:rsidRPr="00185C20">
        <w:rPr>
          <w:rFonts w:ascii="Arial" w:hAnsi="Arial" w:cs="Arial"/>
          <w:sz w:val="22"/>
          <w:szCs w:val="22"/>
        </w:rPr>
        <w:t xml:space="preserve"> </w:t>
      </w:r>
      <w:bookmarkEnd w:id="1"/>
      <w:r w:rsidRPr="00185C20">
        <w:rPr>
          <w:rFonts w:ascii="Arial" w:hAnsi="Arial" w:cs="Arial"/>
          <w:sz w:val="22"/>
          <w:szCs w:val="22"/>
        </w:rPr>
        <w:t xml:space="preserve">in the 12 </w:t>
      </w:r>
      <w:r w:rsidR="00A62C48" w:rsidRPr="00185C20">
        <w:rPr>
          <w:rFonts w:ascii="Arial" w:hAnsi="Arial" w:cs="Arial"/>
          <w:sz w:val="22"/>
          <w:szCs w:val="22"/>
        </w:rPr>
        <w:t xml:space="preserve">month period </w:t>
      </w:r>
      <w:r w:rsidRPr="00185C20">
        <w:rPr>
          <w:rFonts w:ascii="Arial" w:hAnsi="Arial" w:cs="Arial"/>
          <w:sz w:val="22"/>
          <w:szCs w:val="22"/>
        </w:rPr>
        <w:t>ending on the last day of the reporting period, or a lesser ‘prorated amount’ if they did not operate the platform for the full 12 months.</w:t>
      </w:r>
    </w:p>
    <w:p w14:paraId="2A0CDB9B"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The prorated amount is calculated by dividing the number of days the operator was operating the platform by 365, and multiplying the result of that calculation by $1,000,000.</w:t>
      </w:r>
    </w:p>
    <w:p w14:paraId="0AC0CFF0" w14:textId="77777777" w:rsid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 xml:space="preserve">In addition, under paragraph 5(d) the operator of an EDP that intends to apply this exemption must notify the Commissioner </w:t>
      </w:r>
      <w:r w:rsidR="006706EF" w:rsidRPr="00185C20">
        <w:rPr>
          <w:rFonts w:ascii="Arial" w:hAnsi="Arial" w:cs="Arial"/>
          <w:sz w:val="22"/>
          <w:szCs w:val="22"/>
        </w:rPr>
        <w:t xml:space="preserve">in writing </w:t>
      </w:r>
      <w:r w:rsidRPr="00185C20">
        <w:rPr>
          <w:rFonts w:ascii="Arial" w:hAnsi="Arial" w:cs="Arial"/>
          <w:sz w:val="22"/>
          <w:szCs w:val="22"/>
        </w:rPr>
        <w:t>that they will be doing so</w:t>
      </w:r>
      <w:r w:rsidR="00FA1C92" w:rsidRPr="00185C20">
        <w:rPr>
          <w:rFonts w:ascii="Arial" w:hAnsi="Arial" w:cs="Arial"/>
          <w:sz w:val="22"/>
          <w:szCs w:val="22"/>
        </w:rPr>
        <w:t>. They must notify the Commissioner</w:t>
      </w:r>
      <w:r w:rsidR="0016467C" w:rsidRPr="00185C20">
        <w:rPr>
          <w:rFonts w:ascii="Arial" w:hAnsi="Arial" w:cs="Arial"/>
          <w:sz w:val="22"/>
          <w:szCs w:val="22"/>
        </w:rPr>
        <w:t xml:space="preserve"> either</w:t>
      </w:r>
      <w:r w:rsidR="00791646" w:rsidRPr="00185C20">
        <w:rPr>
          <w:rFonts w:ascii="Arial" w:hAnsi="Arial" w:cs="Arial"/>
          <w:sz w:val="22"/>
          <w:szCs w:val="22"/>
        </w:rPr>
        <w:t xml:space="preserve"> on or</w:t>
      </w:r>
      <w:r w:rsidRPr="00185C20">
        <w:rPr>
          <w:rFonts w:ascii="Arial" w:hAnsi="Arial" w:cs="Arial"/>
          <w:sz w:val="22"/>
          <w:szCs w:val="22"/>
        </w:rPr>
        <w:t xml:space="preserve"> before the day that they would otherwise be required to give a report under paragraph 396-55(b) in Schedule 1 to the Act</w:t>
      </w:r>
      <w:r w:rsidR="00C83E6A" w:rsidRPr="00185C20">
        <w:rPr>
          <w:rFonts w:ascii="Arial" w:hAnsi="Arial" w:cs="Arial"/>
          <w:sz w:val="22"/>
          <w:szCs w:val="22"/>
        </w:rPr>
        <w:t>, or (</w:t>
      </w:r>
      <w:r w:rsidR="0016467C" w:rsidRPr="00185C20">
        <w:rPr>
          <w:rFonts w:ascii="Arial" w:hAnsi="Arial" w:cs="Arial"/>
          <w:sz w:val="22"/>
          <w:szCs w:val="22"/>
        </w:rPr>
        <w:t>if the</w:t>
      </w:r>
      <w:r w:rsidR="00C83E6A" w:rsidRPr="00185C20">
        <w:rPr>
          <w:rFonts w:ascii="Arial" w:hAnsi="Arial" w:cs="Arial"/>
          <w:sz w:val="22"/>
          <w:szCs w:val="22"/>
        </w:rPr>
        <w:t>y ask the Commissioner for an extension of time and the Commissioner agrees)</w:t>
      </w:r>
      <w:r w:rsidR="0016467C" w:rsidRPr="00185C20">
        <w:rPr>
          <w:rFonts w:ascii="Arial" w:hAnsi="Arial" w:cs="Arial"/>
          <w:sz w:val="22"/>
          <w:szCs w:val="22"/>
        </w:rPr>
        <w:t xml:space="preserve"> a day notified by the Commissioner in writing</w:t>
      </w:r>
      <w:r w:rsidR="006706EF" w:rsidRPr="00185C20">
        <w:rPr>
          <w:rFonts w:ascii="Arial" w:hAnsi="Arial" w:cs="Arial"/>
          <w:sz w:val="22"/>
          <w:szCs w:val="22"/>
        </w:rPr>
        <w:t>.</w:t>
      </w:r>
    </w:p>
    <w:p w14:paraId="347A6DB1" w14:textId="7E43D149"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This exemption will provide operators of smaller EDPs with additional time to implement the necessary infrastructure and processes required to enable reporting.</w:t>
      </w:r>
    </w:p>
    <w:p w14:paraId="57CEE702" w14:textId="167D0C11" w:rsidR="001831B5" w:rsidRPr="00185C20" w:rsidRDefault="001831B5" w:rsidP="00185C20">
      <w:pPr>
        <w:spacing w:after="120"/>
        <w:rPr>
          <w:rFonts w:ascii="Arial" w:hAnsi="Arial" w:cs="Arial"/>
          <w:sz w:val="22"/>
          <w:szCs w:val="22"/>
        </w:rPr>
      </w:pPr>
    </w:p>
    <w:p w14:paraId="37810B0C" w14:textId="77777777" w:rsidR="001831B5" w:rsidRPr="00185C20" w:rsidRDefault="001831B5" w:rsidP="00185C20">
      <w:pPr>
        <w:pStyle w:val="Heading3"/>
        <w:spacing w:before="0" w:after="120"/>
        <w:rPr>
          <w:i/>
          <w:iCs/>
          <w:sz w:val="22"/>
          <w:szCs w:val="22"/>
        </w:rPr>
      </w:pPr>
      <w:r w:rsidRPr="00185C20">
        <w:rPr>
          <w:i/>
          <w:iCs/>
          <w:sz w:val="22"/>
          <w:szCs w:val="22"/>
        </w:rPr>
        <w:t>The reporting extension provided by section 6</w:t>
      </w:r>
    </w:p>
    <w:p w14:paraId="6C91A499" w14:textId="0661AC3E"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 xml:space="preserve">As noted above, the operator of an EDP must generally give the Commissioner a report to comply with their obligations under the </w:t>
      </w:r>
      <w:r w:rsidR="000E53E8" w:rsidRPr="00185C20">
        <w:rPr>
          <w:rFonts w:ascii="Arial" w:hAnsi="Arial" w:cs="Arial"/>
          <w:sz w:val="22"/>
          <w:szCs w:val="22"/>
        </w:rPr>
        <w:t>SERR</w:t>
      </w:r>
      <w:r w:rsidRPr="00185C20">
        <w:rPr>
          <w:rFonts w:ascii="Arial" w:hAnsi="Arial" w:cs="Arial"/>
          <w:sz w:val="22"/>
          <w:szCs w:val="22"/>
        </w:rPr>
        <w:t xml:space="preserve"> on or before the 31</w:t>
      </w:r>
      <w:r w:rsidRPr="00185C20">
        <w:rPr>
          <w:rFonts w:ascii="Arial" w:hAnsi="Arial" w:cs="Arial"/>
          <w:sz w:val="22"/>
          <w:szCs w:val="22"/>
          <w:vertAlign w:val="superscript"/>
        </w:rPr>
        <w:t>st</w:t>
      </w:r>
      <w:r w:rsidRPr="00185C20">
        <w:rPr>
          <w:rFonts w:ascii="Arial" w:hAnsi="Arial" w:cs="Arial"/>
          <w:sz w:val="22"/>
          <w:szCs w:val="22"/>
        </w:rPr>
        <w:t xml:space="preserve"> day after the end of the relevant reporting period. However, subparagraph 396-55(b)(ii) in Schedule 1 to the Act allows the Commissioner, by legislative instrument, to specify a later due date for a report.</w:t>
      </w:r>
    </w:p>
    <w:p w14:paraId="2A64683C"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Section 6 of this instrument extends the due date for a report for the reporting periods ending on 31 December 2013 and 30 June 2024. The extension applies where the operator of an EDP could, but chooses not to, rely on the exemption in section 5 of the instrument. That is, it applies where the conditions in paragraphs 5(a), 5(b) and 5(c) of the instrument are met. The extension is as follows:</w:t>
      </w:r>
    </w:p>
    <w:p w14:paraId="68FF99F0" w14:textId="77777777" w:rsidR="001831B5" w:rsidRPr="00185C20" w:rsidRDefault="001831B5" w:rsidP="00185C20">
      <w:pPr>
        <w:numPr>
          <w:ilvl w:val="0"/>
          <w:numId w:val="49"/>
        </w:numPr>
        <w:spacing w:after="120"/>
        <w:ind w:left="1418" w:hanging="709"/>
        <w:rPr>
          <w:rFonts w:ascii="Arial" w:hAnsi="Arial" w:cs="Arial"/>
          <w:sz w:val="22"/>
          <w:szCs w:val="22"/>
        </w:rPr>
      </w:pPr>
      <w:r w:rsidRPr="00185C20">
        <w:rPr>
          <w:rFonts w:ascii="Arial" w:hAnsi="Arial" w:cs="Arial"/>
          <w:sz w:val="22"/>
          <w:szCs w:val="22"/>
        </w:rPr>
        <w:t>for the reporting period ending on 31 December 2023, the report must be given to the Commissioner on or before 29 February 2024, and</w:t>
      </w:r>
    </w:p>
    <w:p w14:paraId="30C18BB7" w14:textId="77777777" w:rsidR="001831B5" w:rsidRPr="00185C20" w:rsidRDefault="001831B5" w:rsidP="00185C20">
      <w:pPr>
        <w:numPr>
          <w:ilvl w:val="0"/>
          <w:numId w:val="49"/>
        </w:numPr>
        <w:spacing w:after="120"/>
        <w:ind w:left="1418" w:hanging="709"/>
        <w:rPr>
          <w:rFonts w:ascii="Arial" w:hAnsi="Arial" w:cs="Arial"/>
          <w:sz w:val="22"/>
          <w:szCs w:val="22"/>
        </w:rPr>
      </w:pPr>
      <w:r w:rsidRPr="00185C20">
        <w:rPr>
          <w:rFonts w:ascii="Arial" w:hAnsi="Arial" w:cs="Arial"/>
          <w:sz w:val="22"/>
          <w:szCs w:val="22"/>
        </w:rPr>
        <w:t>for the reporting period ending on 30 June 2024, the report must be given to the Commissioner on or before 2 September 2024.</w:t>
      </w:r>
    </w:p>
    <w:p w14:paraId="0C19CB2B"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Additional time to lodge required reports has been provided to support EDP operators that are transitioning into the regime and preparing to meet their reporting obligations, but that may not require a complete exemption for the initial reporting periods.</w:t>
      </w:r>
    </w:p>
    <w:p w14:paraId="5493E25F" w14:textId="77777777" w:rsidR="001831B5" w:rsidRPr="00185C20" w:rsidRDefault="001831B5" w:rsidP="00185C20">
      <w:pPr>
        <w:spacing w:after="120"/>
        <w:rPr>
          <w:rFonts w:ascii="Arial" w:hAnsi="Arial" w:cs="Arial"/>
          <w:sz w:val="22"/>
          <w:szCs w:val="22"/>
        </w:rPr>
      </w:pPr>
    </w:p>
    <w:p w14:paraId="486047BA" w14:textId="77777777" w:rsidR="001831B5" w:rsidRPr="00185C20" w:rsidRDefault="001831B5" w:rsidP="00185C20">
      <w:pPr>
        <w:pStyle w:val="Heading3"/>
        <w:spacing w:before="0" w:after="120"/>
        <w:rPr>
          <w:i/>
          <w:iCs/>
          <w:sz w:val="22"/>
          <w:szCs w:val="22"/>
        </w:rPr>
      </w:pPr>
      <w:r w:rsidRPr="00185C20">
        <w:rPr>
          <w:i/>
          <w:iCs/>
          <w:sz w:val="22"/>
          <w:szCs w:val="22"/>
        </w:rPr>
        <w:t>Other information</w:t>
      </w:r>
    </w:p>
    <w:p w14:paraId="30AC9605" w14:textId="77777777" w:rsidR="001831B5"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This instrument does not affect any other reporting requirements that reporting entities may have under section 396-55 in Schedule 1 to the Act.</w:t>
      </w:r>
    </w:p>
    <w:p w14:paraId="7D043C9E" w14:textId="77777777" w:rsidR="001831B5" w:rsidRPr="00185C20" w:rsidRDefault="001831B5" w:rsidP="00185C20">
      <w:pPr>
        <w:pStyle w:val="Heading2"/>
      </w:pPr>
    </w:p>
    <w:p w14:paraId="528AF1A9" w14:textId="6804036C" w:rsidR="00C620E9" w:rsidRPr="00185C20" w:rsidRDefault="00640CC2" w:rsidP="00185C20">
      <w:pPr>
        <w:pStyle w:val="Heading2"/>
      </w:pPr>
      <w:r w:rsidRPr="00185C20">
        <w:t>Compliance cost assessment</w:t>
      </w:r>
    </w:p>
    <w:p w14:paraId="15AC1B72" w14:textId="0B12A93F" w:rsidR="00493CA7"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Compliance cost impact: Minor – There will be no additional regulatory impacts as the instrument is minor and machinery in nature (OIA23</w:t>
      </w:r>
      <w:r w:rsidRPr="00185C20">
        <w:rPr>
          <w:rFonts w:ascii="Cambria Math" w:hAnsi="Cambria Math" w:cs="Cambria Math"/>
          <w:sz w:val="22"/>
          <w:szCs w:val="22"/>
        </w:rPr>
        <w:t>‐</w:t>
      </w:r>
      <w:r w:rsidRPr="00185C20">
        <w:rPr>
          <w:rFonts w:ascii="Arial" w:hAnsi="Arial" w:cs="Arial"/>
          <w:sz w:val="22"/>
          <w:szCs w:val="22"/>
        </w:rPr>
        <w:t>05448).</w:t>
      </w:r>
    </w:p>
    <w:p w14:paraId="78A7E339" w14:textId="77777777" w:rsidR="00FD0AF2" w:rsidRPr="00185C20" w:rsidRDefault="00FD0AF2" w:rsidP="00185C20">
      <w:pPr>
        <w:spacing w:after="120"/>
        <w:rPr>
          <w:rFonts w:ascii="Arial" w:hAnsi="Arial" w:cs="Arial"/>
          <w:sz w:val="22"/>
          <w:szCs w:val="22"/>
        </w:rPr>
      </w:pPr>
    </w:p>
    <w:p w14:paraId="15AC1B73" w14:textId="77777777" w:rsidR="00486653" w:rsidRPr="00185C20" w:rsidRDefault="00486653" w:rsidP="00185C20">
      <w:pPr>
        <w:pStyle w:val="Heading2"/>
      </w:pPr>
      <w:bookmarkStart w:id="2" w:name="_Hlk150258646"/>
      <w:r w:rsidRPr="00185C20">
        <w:t>Background</w:t>
      </w:r>
    </w:p>
    <w:p w14:paraId="792114D6" w14:textId="2C2E85AD" w:rsidR="001831B5" w:rsidRPr="00185C20" w:rsidRDefault="001831B5" w:rsidP="00185C20">
      <w:pPr>
        <w:numPr>
          <w:ilvl w:val="0"/>
          <w:numId w:val="16"/>
        </w:numPr>
        <w:tabs>
          <w:tab w:val="clear" w:pos="360"/>
        </w:tabs>
        <w:spacing w:after="120"/>
        <w:ind w:left="0" w:firstLine="0"/>
        <w:rPr>
          <w:rFonts w:ascii="Arial" w:eastAsia="Calibri" w:hAnsi="Arial" w:cs="Arial"/>
          <w:sz w:val="22"/>
          <w:szCs w:val="22"/>
          <w:lang w:eastAsia="en-US"/>
        </w:rPr>
      </w:pPr>
      <w:r w:rsidRPr="00185C20">
        <w:rPr>
          <w:rFonts w:ascii="Arial" w:eastAsia="Calibri" w:hAnsi="Arial" w:cs="Arial"/>
          <w:sz w:val="22"/>
          <w:szCs w:val="22"/>
          <w:lang w:eastAsia="en-US"/>
        </w:rPr>
        <w:t xml:space="preserve">The </w:t>
      </w:r>
      <w:r w:rsidRPr="00185C20">
        <w:rPr>
          <w:rFonts w:ascii="Arial" w:eastAsia="Calibri" w:hAnsi="Arial" w:cs="Arial"/>
          <w:i/>
          <w:iCs/>
          <w:sz w:val="22"/>
          <w:szCs w:val="22"/>
          <w:lang w:eastAsia="en-US"/>
        </w:rPr>
        <w:t>Taxation Administration (Reporting by Electronic Distribution Platform Operators) Legislative Instrument 2023</w:t>
      </w:r>
      <w:r w:rsidRPr="00185C20">
        <w:rPr>
          <w:rFonts w:ascii="Arial" w:eastAsia="Calibri" w:hAnsi="Arial" w:cs="Arial"/>
          <w:sz w:val="22"/>
          <w:szCs w:val="22"/>
          <w:lang w:eastAsia="en-US"/>
        </w:rPr>
        <w:t xml:space="preserve"> was made on 8 June 2023, to substitute the default annual reporting period for the </w:t>
      </w:r>
      <w:r w:rsidR="002202D7" w:rsidRPr="00185C20">
        <w:rPr>
          <w:rFonts w:ascii="Arial" w:eastAsia="Calibri" w:hAnsi="Arial" w:cs="Arial"/>
          <w:sz w:val="22"/>
          <w:szCs w:val="22"/>
          <w:lang w:eastAsia="en-US"/>
        </w:rPr>
        <w:t>SERR</w:t>
      </w:r>
      <w:r w:rsidRPr="00185C20">
        <w:rPr>
          <w:rFonts w:ascii="Arial" w:eastAsia="Calibri" w:hAnsi="Arial" w:cs="Arial"/>
          <w:sz w:val="22"/>
          <w:szCs w:val="22"/>
          <w:lang w:eastAsia="en-US"/>
        </w:rPr>
        <w:t xml:space="preserve"> with an alternate six-monthly reporting period. The new reporting periods are from 1 January to 30 June, and 1 July to 31 December, each year.</w:t>
      </w:r>
    </w:p>
    <w:p w14:paraId="191C613E" w14:textId="523C244B" w:rsidR="005A48ED" w:rsidRPr="00185C20" w:rsidRDefault="001831B5"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 xml:space="preserve">Consequently, and in acknowledgment of the additional compliance costs imposed by more frequent reporting periods, this instrument </w:t>
      </w:r>
      <w:r w:rsidR="00555197" w:rsidRPr="00185C20">
        <w:rPr>
          <w:rFonts w:ascii="Arial" w:hAnsi="Arial" w:cs="Arial"/>
          <w:sz w:val="22"/>
          <w:szCs w:val="22"/>
        </w:rPr>
        <w:t>w</w:t>
      </w:r>
      <w:r w:rsidRPr="00185C20">
        <w:rPr>
          <w:rFonts w:ascii="Arial" w:hAnsi="Arial" w:cs="Arial"/>
          <w:sz w:val="22"/>
          <w:szCs w:val="22"/>
        </w:rPr>
        <w:t xml:space="preserve">as developed to give operators of certain small </w:t>
      </w:r>
      <w:r w:rsidR="00CA7D42" w:rsidRPr="00185C20">
        <w:rPr>
          <w:rFonts w:ascii="Arial" w:hAnsi="Arial" w:cs="Arial"/>
          <w:sz w:val="22"/>
          <w:szCs w:val="22"/>
        </w:rPr>
        <w:t>EDP</w:t>
      </w:r>
      <w:r w:rsidRPr="00185C20">
        <w:rPr>
          <w:rFonts w:ascii="Arial" w:hAnsi="Arial" w:cs="Arial"/>
          <w:sz w:val="22"/>
          <w:szCs w:val="22"/>
        </w:rPr>
        <w:t>s transitional support as they prepare to meet their reporting obligations.</w:t>
      </w:r>
    </w:p>
    <w:p w14:paraId="082DFD6C" w14:textId="3FB6C208" w:rsidR="009371D0" w:rsidRPr="00185C20" w:rsidRDefault="001831B5" w:rsidP="00185C20">
      <w:pPr>
        <w:numPr>
          <w:ilvl w:val="0"/>
          <w:numId w:val="16"/>
        </w:numPr>
        <w:tabs>
          <w:tab w:val="clear" w:pos="360"/>
        </w:tabs>
        <w:spacing w:after="120"/>
        <w:ind w:left="0" w:firstLine="0"/>
        <w:rPr>
          <w:rFonts w:ascii="Arial" w:eastAsia="Calibri" w:hAnsi="Arial" w:cs="Arial"/>
          <w:sz w:val="22"/>
          <w:szCs w:val="22"/>
          <w:lang w:eastAsia="en-US"/>
        </w:rPr>
      </w:pPr>
      <w:r w:rsidRPr="00185C20">
        <w:rPr>
          <w:rFonts w:ascii="Arial" w:hAnsi="Arial" w:cs="Arial"/>
          <w:sz w:val="22"/>
          <w:szCs w:val="22"/>
        </w:rPr>
        <w:t xml:space="preserve">The ATO will continue to work with the operators of EDPs that have reporting obligations under the </w:t>
      </w:r>
      <w:r w:rsidR="002202D7" w:rsidRPr="00185C20">
        <w:rPr>
          <w:rFonts w:ascii="Arial" w:hAnsi="Arial" w:cs="Arial"/>
          <w:sz w:val="22"/>
          <w:szCs w:val="22"/>
        </w:rPr>
        <w:t>SERR</w:t>
      </w:r>
      <w:r w:rsidRPr="00185C20">
        <w:rPr>
          <w:rFonts w:ascii="Arial" w:hAnsi="Arial" w:cs="Arial"/>
          <w:sz w:val="22"/>
          <w:szCs w:val="22"/>
        </w:rPr>
        <w:t xml:space="preserve"> to help them understand and manage their reporting obligations.</w:t>
      </w:r>
    </w:p>
    <w:bookmarkEnd w:id="2"/>
    <w:p w14:paraId="15AC1B76" w14:textId="28CE2A00" w:rsidR="00486653" w:rsidRPr="00185C20" w:rsidRDefault="00486653" w:rsidP="00185C20">
      <w:pPr>
        <w:spacing w:after="120"/>
        <w:rPr>
          <w:rFonts w:ascii="Arial" w:hAnsi="Arial" w:cs="Arial"/>
          <w:sz w:val="22"/>
          <w:szCs w:val="22"/>
        </w:rPr>
      </w:pPr>
    </w:p>
    <w:p w14:paraId="15AC1B77" w14:textId="77777777" w:rsidR="00486653" w:rsidRPr="00185C20" w:rsidRDefault="00E10B37" w:rsidP="00185C20">
      <w:pPr>
        <w:pStyle w:val="Heading2"/>
      </w:pPr>
      <w:r w:rsidRPr="00185C20">
        <w:t>Consultation</w:t>
      </w:r>
    </w:p>
    <w:p w14:paraId="39065F89" w14:textId="7EF08964" w:rsidR="00555197" w:rsidRPr="00185C20" w:rsidRDefault="00555197"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For this instrument, broad public consultation was undertaken for a period of 4 weeks</w:t>
      </w:r>
      <w:r w:rsidR="007663E1" w:rsidRPr="00185C20">
        <w:rPr>
          <w:rFonts w:ascii="Arial" w:hAnsi="Arial" w:cs="Arial"/>
          <w:sz w:val="22"/>
          <w:szCs w:val="22"/>
        </w:rPr>
        <w:t xml:space="preserve"> to 12</w:t>
      </w:r>
      <w:r w:rsidR="00185C20">
        <w:rPr>
          <w:rFonts w:ascii="Arial" w:hAnsi="Arial" w:cs="Arial"/>
          <w:sz w:val="22"/>
          <w:szCs w:val="22"/>
        </w:rPr>
        <w:t> </w:t>
      </w:r>
      <w:r w:rsidR="007663E1" w:rsidRPr="00185C20">
        <w:rPr>
          <w:rFonts w:ascii="Arial" w:hAnsi="Arial" w:cs="Arial"/>
          <w:sz w:val="22"/>
          <w:szCs w:val="22"/>
        </w:rPr>
        <w:t>September 2023</w:t>
      </w:r>
      <w:r w:rsidRPr="00185C20">
        <w:rPr>
          <w:rFonts w:ascii="Arial" w:hAnsi="Arial" w:cs="Arial"/>
          <w:sz w:val="22"/>
          <w:szCs w:val="22"/>
        </w:rPr>
        <w:t>.</w:t>
      </w:r>
    </w:p>
    <w:p w14:paraId="448BE2E3" w14:textId="28B80EDD" w:rsidR="00555197" w:rsidRPr="00185C20" w:rsidRDefault="00555197" w:rsidP="00185C20">
      <w:pPr>
        <w:numPr>
          <w:ilvl w:val="0"/>
          <w:numId w:val="16"/>
        </w:numPr>
        <w:tabs>
          <w:tab w:val="clear" w:pos="360"/>
        </w:tabs>
        <w:spacing w:after="120"/>
        <w:ind w:left="0" w:firstLine="0"/>
        <w:rPr>
          <w:rFonts w:ascii="Arial" w:hAnsi="Arial" w:cs="Arial"/>
          <w:sz w:val="22"/>
          <w:szCs w:val="22"/>
        </w:rPr>
      </w:pPr>
      <w:r w:rsidRPr="00185C20">
        <w:rPr>
          <w:rFonts w:ascii="Arial" w:hAnsi="Arial" w:cs="Arial"/>
          <w:sz w:val="22"/>
          <w:szCs w:val="22"/>
        </w:rPr>
        <w:t xml:space="preserve">Targeted </w:t>
      </w:r>
      <w:r w:rsidR="00A62C48" w:rsidRPr="00185C20">
        <w:rPr>
          <w:rFonts w:ascii="Arial" w:hAnsi="Arial" w:cs="Arial"/>
          <w:sz w:val="22"/>
          <w:szCs w:val="22"/>
        </w:rPr>
        <w:t>consultation was</w:t>
      </w:r>
      <w:r w:rsidRPr="00185C20">
        <w:rPr>
          <w:rFonts w:ascii="Arial" w:hAnsi="Arial" w:cs="Arial"/>
          <w:sz w:val="22"/>
          <w:szCs w:val="22"/>
        </w:rPr>
        <w:t xml:space="preserve"> also undertaken during this period. Copies of the draft legislative instrument and explanatory statement were sent to</w:t>
      </w:r>
      <w:r w:rsidR="005D19B0" w:rsidRPr="00185C20">
        <w:rPr>
          <w:rFonts w:ascii="Arial" w:hAnsi="Arial" w:cs="Arial"/>
          <w:sz w:val="22"/>
          <w:szCs w:val="22"/>
        </w:rPr>
        <w:t xml:space="preserve"> </w:t>
      </w:r>
      <w:r w:rsidRPr="00185C20">
        <w:rPr>
          <w:rFonts w:ascii="Arial" w:hAnsi="Arial" w:cs="Arial"/>
          <w:sz w:val="22"/>
          <w:szCs w:val="22"/>
        </w:rPr>
        <w:t xml:space="preserve">known operators of </w:t>
      </w:r>
      <w:r w:rsidR="005D19B0" w:rsidRPr="00185C20">
        <w:rPr>
          <w:rFonts w:ascii="Arial" w:hAnsi="Arial" w:cs="Arial"/>
          <w:sz w:val="22"/>
          <w:szCs w:val="22"/>
        </w:rPr>
        <w:t>EDPs</w:t>
      </w:r>
      <w:r w:rsidR="0073446A" w:rsidRPr="00185C20">
        <w:rPr>
          <w:rFonts w:ascii="Arial" w:hAnsi="Arial" w:cs="Arial"/>
          <w:sz w:val="22"/>
          <w:szCs w:val="22"/>
        </w:rPr>
        <w:t>, professional</w:t>
      </w:r>
      <w:r w:rsidRPr="00185C20">
        <w:rPr>
          <w:rFonts w:ascii="Arial" w:hAnsi="Arial" w:cs="Arial"/>
          <w:sz w:val="22"/>
          <w:szCs w:val="22"/>
        </w:rPr>
        <w:t xml:space="preserve"> and industry bodies for comment and feedback</w:t>
      </w:r>
      <w:r w:rsidR="00122BE3" w:rsidRPr="00185C20">
        <w:rPr>
          <w:rFonts w:ascii="Arial" w:hAnsi="Arial" w:cs="Arial"/>
          <w:sz w:val="22"/>
          <w:szCs w:val="22"/>
        </w:rPr>
        <w:t xml:space="preserve">. </w:t>
      </w:r>
      <w:r w:rsidR="005D19B0" w:rsidRPr="00185C20">
        <w:rPr>
          <w:rFonts w:ascii="Arial" w:hAnsi="Arial" w:cs="Arial"/>
          <w:sz w:val="22"/>
          <w:szCs w:val="22"/>
        </w:rPr>
        <w:t>One on one consultations were also held with known operators of EDPs.</w:t>
      </w:r>
    </w:p>
    <w:p w14:paraId="7261FC1D" w14:textId="77777777" w:rsidR="00185C20" w:rsidRDefault="00A62C48" w:rsidP="00185C20">
      <w:pPr>
        <w:numPr>
          <w:ilvl w:val="0"/>
          <w:numId w:val="16"/>
        </w:numPr>
        <w:tabs>
          <w:tab w:val="clear" w:pos="360"/>
        </w:tabs>
        <w:spacing w:after="120"/>
        <w:ind w:left="0" w:firstLine="0"/>
        <w:rPr>
          <w:rFonts w:ascii="Arial" w:hAnsi="Arial" w:cs="Arial"/>
          <w:sz w:val="22"/>
          <w:szCs w:val="22"/>
        </w:rPr>
      </w:pPr>
      <w:bookmarkStart w:id="3" w:name="_Hlk148450194"/>
      <w:r w:rsidRPr="00185C20">
        <w:rPr>
          <w:rFonts w:ascii="Arial" w:hAnsi="Arial" w:cs="Arial"/>
          <w:sz w:val="22"/>
          <w:szCs w:val="22"/>
        </w:rPr>
        <w:t>As part of the consultation process, t</w:t>
      </w:r>
      <w:bookmarkEnd w:id="3"/>
      <w:r w:rsidR="00555197" w:rsidRPr="00185C20">
        <w:rPr>
          <w:rFonts w:ascii="Arial" w:hAnsi="Arial" w:cs="Arial"/>
          <w:sz w:val="22"/>
          <w:szCs w:val="22"/>
        </w:rPr>
        <w:t xml:space="preserve">he draft instrument and draft explanatory statement </w:t>
      </w:r>
      <w:r w:rsidR="005D19B0" w:rsidRPr="00185C20">
        <w:rPr>
          <w:rFonts w:ascii="Arial" w:hAnsi="Arial" w:cs="Arial"/>
          <w:sz w:val="22"/>
          <w:szCs w:val="22"/>
        </w:rPr>
        <w:t xml:space="preserve">were </w:t>
      </w:r>
      <w:r w:rsidR="00555197" w:rsidRPr="00185C20">
        <w:rPr>
          <w:rFonts w:ascii="Arial" w:hAnsi="Arial" w:cs="Arial"/>
          <w:sz w:val="22"/>
          <w:szCs w:val="22"/>
        </w:rPr>
        <w:t>published to the ATO Legal database</w:t>
      </w:r>
      <w:r w:rsidR="001302CE" w:rsidRPr="00185C20">
        <w:rPr>
          <w:rFonts w:ascii="Arial" w:hAnsi="Arial" w:cs="Arial"/>
          <w:sz w:val="22"/>
          <w:szCs w:val="22"/>
        </w:rPr>
        <w:t xml:space="preserve"> on the ‘What’s new’ page</w:t>
      </w:r>
      <w:r w:rsidR="00761DB9" w:rsidRPr="00185C20">
        <w:rPr>
          <w:rFonts w:ascii="Arial" w:hAnsi="Arial" w:cs="Arial"/>
          <w:sz w:val="22"/>
          <w:szCs w:val="22"/>
        </w:rPr>
        <w:t xml:space="preserve">. </w:t>
      </w:r>
      <w:r w:rsidR="005D19B0" w:rsidRPr="00185C20">
        <w:rPr>
          <w:rFonts w:ascii="Arial" w:hAnsi="Arial" w:cs="Arial"/>
          <w:sz w:val="22"/>
          <w:szCs w:val="22"/>
        </w:rPr>
        <w:t xml:space="preserve">They were </w:t>
      </w:r>
      <w:r w:rsidR="00761DB9" w:rsidRPr="00185C20">
        <w:rPr>
          <w:rFonts w:ascii="Arial" w:hAnsi="Arial" w:cs="Arial"/>
          <w:sz w:val="22"/>
          <w:szCs w:val="22"/>
        </w:rPr>
        <w:t xml:space="preserve">also </w:t>
      </w:r>
      <w:r w:rsidR="00555197" w:rsidRPr="00185C20">
        <w:rPr>
          <w:rFonts w:ascii="Arial" w:hAnsi="Arial" w:cs="Arial"/>
          <w:sz w:val="22"/>
          <w:szCs w:val="22"/>
        </w:rPr>
        <w:t>advertised</w:t>
      </w:r>
      <w:r w:rsidR="001302CE" w:rsidRPr="00185C20">
        <w:rPr>
          <w:rFonts w:ascii="Arial" w:hAnsi="Arial" w:cs="Arial"/>
          <w:sz w:val="22"/>
          <w:szCs w:val="22"/>
        </w:rPr>
        <w:t xml:space="preserve"> on the ato.gov.au</w:t>
      </w:r>
      <w:r w:rsidR="00555197" w:rsidRPr="00185C20">
        <w:rPr>
          <w:rFonts w:ascii="Arial" w:hAnsi="Arial" w:cs="Arial"/>
          <w:sz w:val="22"/>
          <w:szCs w:val="22"/>
        </w:rPr>
        <w:t xml:space="preserve"> </w:t>
      </w:r>
      <w:r w:rsidR="00122BE3" w:rsidRPr="00185C20">
        <w:rPr>
          <w:rFonts w:ascii="Arial" w:hAnsi="Arial" w:cs="Arial"/>
          <w:sz w:val="22"/>
          <w:szCs w:val="22"/>
        </w:rPr>
        <w:t xml:space="preserve">website </w:t>
      </w:r>
      <w:r w:rsidR="001302CE" w:rsidRPr="00185C20">
        <w:rPr>
          <w:rFonts w:ascii="Arial" w:hAnsi="Arial" w:cs="Arial"/>
          <w:sz w:val="22"/>
          <w:szCs w:val="22"/>
        </w:rPr>
        <w:t>on</w:t>
      </w:r>
      <w:r w:rsidR="00555197" w:rsidRPr="00185C20">
        <w:rPr>
          <w:rFonts w:ascii="Arial" w:hAnsi="Arial" w:cs="Arial"/>
          <w:sz w:val="22"/>
          <w:szCs w:val="22"/>
        </w:rPr>
        <w:t xml:space="preserve"> the ‘Open Consultation’ page </w:t>
      </w:r>
      <w:r w:rsidR="001302CE" w:rsidRPr="00185C20">
        <w:rPr>
          <w:rFonts w:ascii="Arial" w:hAnsi="Arial" w:cs="Arial"/>
          <w:sz w:val="22"/>
          <w:szCs w:val="22"/>
        </w:rPr>
        <w:t>and</w:t>
      </w:r>
      <w:r w:rsidR="00064E61" w:rsidRPr="00185C20">
        <w:rPr>
          <w:rFonts w:ascii="Arial" w:hAnsi="Arial" w:cs="Arial"/>
          <w:sz w:val="22"/>
          <w:szCs w:val="22"/>
        </w:rPr>
        <w:t xml:space="preserve"> on </w:t>
      </w:r>
      <w:r w:rsidR="00761DB9" w:rsidRPr="00185C20">
        <w:rPr>
          <w:rFonts w:ascii="Arial" w:hAnsi="Arial" w:cs="Arial"/>
          <w:sz w:val="22"/>
          <w:szCs w:val="22"/>
        </w:rPr>
        <w:t xml:space="preserve">the ATO </w:t>
      </w:r>
      <w:r w:rsidR="00555197" w:rsidRPr="00185C20">
        <w:rPr>
          <w:rFonts w:ascii="Arial" w:hAnsi="Arial" w:cs="Arial"/>
          <w:sz w:val="22"/>
          <w:szCs w:val="22"/>
        </w:rPr>
        <w:t>web</w:t>
      </w:r>
      <w:r w:rsidR="00761DB9" w:rsidRPr="00185C20">
        <w:rPr>
          <w:rFonts w:ascii="Arial" w:hAnsi="Arial" w:cs="Arial"/>
          <w:sz w:val="22"/>
          <w:szCs w:val="22"/>
        </w:rPr>
        <w:t>page</w:t>
      </w:r>
      <w:r w:rsidR="00555197" w:rsidRPr="00185C20">
        <w:rPr>
          <w:rFonts w:ascii="Arial" w:hAnsi="Arial" w:cs="Arial"/>
          <w:sz w:val="22"/>
          <w:szCs w:val="22"/>
        </w:rPr>
        <w:t xml:space="preserve"> that provides general guidance on the </w:t>
      </w:r>
      <w:r w:rsidR="00CA7D42" w:rsidRPr="00185C20">
        <w:rPr>
          <w:rFonts w:ascii="Arial" w:hAnsi="Arial" w:cs="Arial"/>
          <w:sz w:val="22"/>
          <w:szCs w:val="22"/>
        </w:rPr>
        <w:t>SERR</w:t>
      </w:r>
      <w:r w:rsidR="00555197" w:rsidRPr="00185C20">
        <w:rPr>
          <w:rFonts w:ascii="Arial" w:hAnsi="Arial" w:cs="Arial"/>
          <w:sz w:val="22"/>
          <w:szCs w:val="22"/>
        </w:rPr>
        <w:t>.</w:t>
      </w:r>
    </w:p>
    <w:p w14:paraId="458BE951" w14:textId="21F5EBC0" w:rsidR="00555197" w:rsidRPr="00185C20" w:rsidRDefault="00122BE3" w:rsidP="00185C20">
      <w:pPr>
        <w:numPr>
          <w:ilvl w:val="0"/>
          <w:numId w:val="16"/>
        </w:numPr>
        <w:tabs>
          <w:tab w:val="clear" w:pos="360"/>
        </w:tabs>
        <w:spacing w:after="120"/>
        <w:ind w:left="0" w:firstLine="0"/>
        <w:rPr>
          <w:rFonts w:ascii="Arial" w:hAnsi="Arial" w:cs="Arial"/>
          <w:color w:val="000000" w:themeColor="text1"/>
          <w:sz w:val="22"/>
          <w:szCs w:val="22"/>
        </w:rPr>
      </w:pPr>
      <w:r w:rsidRPr="00185C20">
        <w:rPr>
          <w:rFonts w:ascii="Arial" w:hAnsi="Arial" w:cs="Arial"/>
          <w:sz w:val="22"/>
          <w:szCs w:val="22"/>
        </w:rPr>
        <w:t>Major tax and superannuation publishers and associations monitor these pages and include the details in the daily and weekly alerts and newsletters to their subscribers and members.</w:t>
      </w:r>
    </w:p>
    <w:p w14:paraId="5F02820B" w14:textId="77777777" w:rsidR="00185C20" w:rsidRPr="00185C20" w:rsidRDefault="00185C20" w:rsidP="00185C20">
      <w:pPr>
        <w:spacing w:after="120"/>
        <w:rPr>
          <w:rFonts w:ascii="Arial" w:hAnsi="Arial" w:cs="Arial"/>
          <w:color w:val="000000" w:themeColor="text1"/>
          <w:sz w:val="22"/>
          <w:szCs w:val="22"/>
        </w:rPr>
      </w:pPr>
    </w:p>
    <w:p w14:paraId="2382B3E0" w14:textId="655DEDDE" w:rsidR="00555197" w:rsidRPr="00185C20" w:rsidRDefault="00555197" w:rsidP="00185C20">
      <w:pPr>
        <w:spacing w:after="120"/>
        <w:rPr>
          <w:rFonts w:ascii="Arial" w:hAnsi="Arial" w:cs="Arial"/>
          <w:b/>
          <w:bCs/>
          <w:color w:val="000000" w:themeColor="text1"/>
          <w:sz w:val="22"/>
          <w:szCs w:val="22"/>
        </w:rPr>
      </w:pPr>
      <w:r w:rsidRPr="00185C20">
        <w:rPr>
          <w:rFonts w:ascii="Arial" w:hAnsi="Arial" w:cs="Arial"/>
          <w:b/>
          <w:bCs/>
          <w:i/>
          <w:color w:val="000000" w:themeColor="text1"/>
          <w:sz w:val="22"/>
          <w:szCs w:val="22"/>
        </w:rPr>
        <w:t>Outcome of consultation</w:t>
      </w:r>
    </w:p>
    <w:p w14:paraId="2C50461E" w14:textId="77777777" w:rsidR="00185C20" w:rsidRDefault="00C37A7C" w:rsidP="00185C20">
      <w:pPr>
        <w:numPr>
          <w:ilvl w:val="0"/>
          <w:numId w:val="16"/>
        </w:numPr>
        <w:tabs>
          <w:tab w:val="clear" w:pos="360"/>
        </w:tabs>
        <w:spacing w:after="120"/>
        <w:ind w:left="0" w:firstLine="0"/>
        <w:rPr>
          <w:rFonts w:ascii="Arial" w:hAnsi="Arial" w:cs="Arial"/>
          <w:sz w:val="22"/>
          <w:szCs w:val="22"/>
        </w:rPr>
      </w:pPr>
      <w:bookmarkStart w:id="4" w:name="_Hlk148450293"/>
      <w:r w:rsidRPr="00185C20">
        <w:rPr>
          <w:rFonts w:ascii="Arial" w:hAnsi="Arial" w:cs="Arial"/>
          <w:sz w:val="22"/>
          <w:szCs w:val="22"/>
        </w:rPr>
        <w:t>Changes were made to the draft instrument following consultation, including a</w:t>
      </w:r>
      <w:r w:rsidR="00555197" w:rsidRPr="00185C20">
        <w:rPr>
          <w:rFonts w:ascii="Arial" w:hAnsi="Arial" w:cs="Arial"/>
          <w:sz w:val="22"/>
          <w:szCs w:val="22"/>
        </w:rPr>
        <w:t xml:space="preserve">s a result of feedback received </w:t>
      </w:r>
      <w:r w:rsidR="004A2486" w:rsidRPr="00185C20">
        <w:rPr>
          <w:rFonts w:ascii="Arial" w:hAnsi="Arial" w:cs="Arial"/>
          <w:sz w:val="22"/>
          <w:szCs w:val="22"/>
        </w:rPr>
        <w:t xml:space="preserve">on </w:t>
      </w:r>
      <w:r w:rsidR="00555197" w:rsidRPr="00185C20">
        <w:rPr>
          <w:rFonts w:ascii="Arial" w:hAnsi="Arial" w:cs="Arial"/>
          <w:sz w:val="22"/>
          <w:szCs w:val="22"/>
        </w:rPr>
        <w:t>the legislative instrument and the explanatory statement</w:t>
      </w:r>
      <w:r w:rsidR="009A5724" w:rsidRPr="00185C20">
        <w:rPr>
          <w:rFonts w:ascii="Arial" w:hAnsi="Arial" w:cs="Arial"/>
          <w:sz w:val="22"/>
          <w:szCs w:val="22"/>
        </w:rPr>
        <w:t xml:space="preserve">. </w:t>
      </w:r>
      <w:r w:rsidRPr="00185C20">
        <w:rPr>
          <w:rFonts w:ascii="Arial" w:hAnsi="Arial" w:cs="Arial"/>
          <w:sz w:val="22"/>
          <w:szCs w:val="22"/>
        </w:rPr>
        <w:t>The c</w:t>
      </w:r>
      <w:r w:rsidR="00A62C48" w:rsidRPr="00185C20">
        <w:rPr>
          <w:rFonts w:ascii="Arial" w:hAnsi="Arial" w:cs="Arial"/>
          <w:sz w:val="22"/>
          <w:szCs w:val="22"/>
        </w:rPr>
        <w:t>hanges</w:t>
      </w:r>
      <w:r w:rsidRPr="00185C20">
        <w:rPr>
          <w:rFonts w:ascii="Arial" w:hAnsi="Arial" w:cs="Arial"/>
          <w:sz w:val="22"/>
          <w:szCs w:val="22"/>
        </w:rPr>
        <w:t xml:space="preserve"> </w:t>
      </w:r>
      <w:r w:rsidR="00C23F4A" w:rsidRPr="00185C20">
        <w:rPr>
          <w:rFonts w:ascii="Arial" w:hAnsi="Arial" w:cs="Arial"/>
          <w:sz w:val="22"/>
          <w:szCs w:val="22"/>
        </w:rPr>
        <w:t xml:space="preserve">were </w:t>
      </w:r>
      <w:r w:rsidRPr="00185C20">
        <w:rPr>
          <w:rFonts w:ascii="Arial" w:hAnsi="Arial" w:cs="Arial"/>
          <w:sz w:val="22"/>
          <w:szCs w:val="22"/>
        </w:rPr>
        <w:t>intended to</w:t>
      </w:r>
      <w:r w:rsidR="009A5724" w:rsidRPr="00185C20">
        <w:rPr>
          <w:rFonts w:ascii="Arial" w:hAnsi="Arial" w:cs="Arial"/>
          <w:sz w:val="22"/>
          <w:szCs w:val="22"/>
        </w:rPr>
        <w:t xml:space="preserve"> improve </w:t>
      </w:r>
      <w:r w:rsidRPr="00185C20">
        <w:rPr>
          <w:rFonts w:ascii="Arial" w:hAnsi="Arial" w:cs="Arial"/>
          <w:sz w:val="22"/>
          <w:szCs w:val="22"/>
        </w:rPr>
        <w:t xml:space="preserve">the </w:t>
      </w:r>
      <w:r w:rsidR="009A5724" w:rsidRPr="00185C20">
        <w:rPr>
          <w:rFonts w:ascii="Arial" w:hAnsi="Arial" w:cs="Arial"/>
          <w:sz w:val="22"/>
          <w:szCs w:val="22"/>
        </w:rPr>
        <w:t>language and clarity</w:t>
      </w:r>
      <w:r w:rsidRPr="00185C20">
        <w:rPr>
          <w:rFonts w:ascii="Arial" w:hAnsi="Arial" w:cs="Arial"/>
          <w:sz w:val="22"/>
          <w:szCs w:val="22"/>
        </w:rPr>
        <w:t xml:space="preserve"> of the instrument and explanatory statement</w:t>
      </w:r>
      <w:r w:rsidR="00555197" w:rsidRPr="00185C20">
        <w:rPr>
          <w:rFonts w:ascii="Arial" w:hAnsi="Arial" w:cs="Arial"/>
          <w:sz w:val="22"/>
          <w:szCs w:val="22"/>
        </w:rPr>
        <w:t>.</w:t>
      </w:r>
    </w:p>
    <w:bookmarkEnd w:id="4"/>
    <w:p w14:paraId="20265FB8" w14:textId="3411DCCC" w:rsidR="00910595" w:rsidRPr="00185C20" w:rsidRDefault="00910595" w:rsidP="00185C20">
      <w:pPr>
        <w:spacing w:after="120"/>
        <w:rPr>
          <w:rFonts w:ascii="Arial" w:hAnsi="Arial" w:cs="Arial"/>
          <w:sz w:val="22"/>
          <w:szCs w:val="22"/>
        </w:rPr>
      </w:pPr>
    </w:p>
    <w:p w14:paraId="69FE8C27" w14:textId="77777777" w:rsidR="009371D0" w:rsidRPr="00185C20" w:rsidRDefault="007E0A01" w:rsidP="00185C20">
      <w:pPr>
        <w:pStyle w:val="Heading3"/>
        <w:spacing w:before="0"/>
        <w:rPr>
          <w:i/>
          <w:sz w:val="20"/>
          <w:szCs w:val="20"/>
        </w:rPr>
      </w:pPr>
      <w:r w:rsidRPr="00185C20">
        <w:rPr>
          <w:i/>
          <w:sz w:val="20"/>
          <w:szCs w:val="20"/>
        </w:rPr>
        <w:t>Legislative references</w:t>
      </w:r>
    </w:p>
    <w:p w14:paraId="5D07B8B2" w14:textId="77777777" w:rsidR="00555197" w:rsidRPr="00185C20" w:rsidRDefault="00555197" w:rsidP="00185C20">
      <w:pPr>
        <w:rPr>
          <w:rFonts w:ascii="Arial" w:hAnsi="Arial" w:cs="Arial"/>
          <w:i/>
          <w:iCs/>
          <w:sz w:val="20"/>
        </w:rPr>
      </w:pPr>
      <w:r w:rsidRPr="00185C20">
        <w:rPr>
          <w:rFonts w:ascii="Arial" w:hAnsi="Arial" w:cs="Arial"/>
          <w:i/>
          <w:iCs/>
          <w:sz w:val="20"/>
        </w:rPr>
        <w:t>A New Tax System (Goods and Services Tax) Act 1999</w:t>
      </w:r>
    </w:p>
    <w:p w14:paraId="0C4574AF" w14:textId="77777777" w:rsidR="00555197" w:rsidRPr="00185C20" w:rsidRDefault="00555197" w:rsidP="00185C20">
      <w:pPr>
        <w:rPr>
          <w:rFonts w:ascii="Arial" w:hAnsi="Arial" w:cs="Arial"/>
          <w:i/>
          <w:iCs/>
          <w:sz w:val="20"/>
        </w:rPr>
      </w:pPr>
      <w:r w:rsidRPr="00185C20">
        <w:rPr>
          <w:rFonts w:ascii="Arial" w:hAnsi="Arial" w:cs="Arial"/>
          <w:i/>
          <w:iCs/>
          <w:sz w:val="20"/>
        </w:rPr>
        <w:t>Acts Interpretation Act 1901</w:t>
      </w:r>
    </w:p>
    <w:p w14:paraId="5F9A2641" w14:textId="77777777" w:rsidR="00555197" w:rsidRPr="00185C20" w:rsidRDefault="00555197" w:rsidP="00185C20">
      <w:pPr>
        <w:rPr>
          <w:rFonts w:ascii="Arial" w:hAnsi="Arial" w:cs="Arial"/>
          <w:i/>
          <w:iCs/>
          <w:sz w:val="20"/>
        </w:rPr>
      </w:pPr>
      <w:r w:rsidRPr="00185C20">
        <w:rPr>
          <w:rFonts w:ascii="Arial" w:hAnsi="Arial" w:cs="Arial"/>
          <w:i/>
          <w:iCs/>
          <w:sz w:val="20"/>
        </w:rPr>
        <w:t>Human Rights (Parliamentary Scrutiny) Act 2011</w:t>
      </w:r>
    </w:p>
    <w:p w14:paraId="37BA6CCC" w14:textId="77777777" w:rsidR="00555197" w:rsidRPr="00185C20" w:rsidRDefault="00555197" w:rsidP="00185C20">
      <w:pPr>
        <w:rPr>
          <w:rFonts w:ascii="Arial" w:hAnsi="Arial" w:cs="Arial"/>
          <w:i/>
          <w:iCs/>
          <w:sz w:val="20"/>
        </w:rPr>
      </w:pPr>
      <w:r w:rsidRPr="00185C20">
        <w:rPr>
          <w:rFonts w:ascii="Arial" w:hAnsi="Arial" w:cs="Arial"/>
          <w:i/>
          <w:iCs/>
          <w:sz w:val="20"/>
        </w:rPr>
        <w:t>Legislation Act 2003</w:t>
      </w:r>
    </w:p>
    <w:p w14:paraId="05EC9824" w14:textId="77777777" w:rsidR="00555197" w:rsidRPr="00185C20" w:rsidRDefault="00555197" w:rsidP="00185C20">
      <w:pPr>
        <w:rPr>
          <w:rFonts w:ascii="Arial" w:hAnsi="Arial" w:cs="Arial"/>
          <w:i/>
          <w:iCs/>
          <w:sz w:val="20"/>
        </w:rPr>
      </w:pPr>
      <w:r w:rsidRPr="00185C20">
        <w:rPr>
          <w:rFonts w:ascii="Arial" w:hAnsi="Arial" w:cs="Arial"/>
          <w:i/>
          <w:iCs/>
          <w:sz w:val="20"/>
        </w:rPr>
        <w:t>Taxation Administration Act 1953</w:t>
      </w:r>
    </w:p>
    <w:p w14:paraId="15AC1BA6" w14:textId="48734D94" w:rsidR="00101CD5" w:rsidRPr="00185C20" w:rsidRDefault="00101CD5" w:rsidP="00185C20">
      <w:pPr>
        <w:spacing w:after="120"/>
        <w:rPr>
          <w:rFonts w:ascii="Arial" w:hAnsi="Arial" w:cs="Arial"/>
          <w:sz w:val="22"/>
          <w:szCs w:val="22"/>
        </w:rPr>
      </w:pPr>
    </w:p>
    <w:p w14:paraId="15AC1BAB" w14:textId="6D782607" w:rsidR="00215C74" w:rsidRPr="00185C20" w:rsidRDefault="00215C74" w:rsidP="00185C20">
      <w:pPr>
        <w:spacing w:after="120"/>
        <w:rPr>
          <w:rFonts w:ascii="Arial" w:hAnsi="Arial" w:cs="Arial"/>
          <w:sz w:val="22"/>
          <w:szCs w:val="22"/>
        </w:rPr>
      </w:pPr>
      <w:r w:rsidRPr="00185C20">
        <w:rPr>
          <w:rFonts w:ascii="Arial" w:hAnsi="Arial" w:cs="Arial"/>
          <w:sz w:val="22"/>
          <w:szCs w:val="22"/>
        </w:rPr>
        <w:br w:type="page"/>
      </w:r>
    </w:p>
    <w:p w14:paraId="15AC1BAC" w14:textId="6B4B8273" w:rsidR="00333567" w:rsidRPr="00185C20" w:rsidRDefault="00E53399" w:rsidP="00185C20">
      <w:pPr>
        <w:pStyle w:val="Heading3"/>
        <w:spacing w:before="0" w:after="120"/>
        <w:jc w:val="center"/>
        <w:rPr>
          <w:sz w:val="22"/>
          <w:szCs w:val="22"/>
        </w:rPr>
      </w:pPr>
      <w:r w:rsidRPr="00185C20">
        <w:rPr>
          <w:sz w:val="22"/>
          <w:szCs w:val="22"/>
        </w:rPr>
        <w:lastRenderedPageBreak/>
        <w:t xml:space="preserve">Statement of compatibility </w:t>
      </w:r>
      <w:r w:rsidR="00C11D03" w:rsidRPr="00185C20">
        <w:rPr>
          <w:sz w:val="22"/>
          <w:szCs w:val="22"/>
        </w:rPr>
        <w:t>with Human Rights</w:t>
      </w:r>
    </w:p>
    <w:p w14:paraId="15AC1BAD" w14:textId="4AD858FB" w:rsidR="00E53399" w:rsidRPr="00185C20" w:rsidRDefault="004F5EB1" w:rsidP="00185C20">
      <w:pPr>
        <w:spacing w:after="120"/>
        <w:rPr>
          <w:rFonts w:ascii="Arial" w:hAnsi="Arial" w:cs="Arial"/>
          <w:sz w:val="22"/>
          <w:szCs w:val="22"/>
        </w:rPr>
      </w:pPr>
      <w:r w:rsidRPr="00185C20">
        <w:rPr>
          <w:rFonts w:ascii="Arial" w:hAnsi="Arial" w:cs="Arial"/>
          <w:sz w:val="22"/>
          <w:szCs w:val="22"/>
        </w:rPr>
        <w:t>P</w:t>
      </w:r>
      <w:r w:rsidR="00E53399" w:rsidRPr="00185C20">
        <w:rPr>
          <w:rFonts w:ascii="Arial" w:hAnsi="Arial" w:cs="Arial"/>
          <w:sz w:val="22"/>
          <w:szCs w:val="22"/>
        </w:rPr>
        <w:t xml:space="preserve">repared in accordance with Part 3 of the </w:t>
      </w:r>
      <w:r w:rsidR="00E53399" w:rsidRPr="00185C20">
        <w:rPr>
          <w:rFonts w:ascii="Arial" w:hAnsi="Arial" w:cs="Arial"/>
          <w:i/>
          <w:iCs/>
          <w:sz w:val="22"/>
          <w:szCs w:val="22"/>
        </w:rPr>
        <w:t>Human Rights (Parliamentary Scrutiny) Act 2011</w:t>
      </w:r>
    </w:p>
    <w:p w14:paraId="15AC1BB2" w14:textId="6553A54F" w:rsidR="00075B58" w:rsidRPr="00185C20" w:rsidRDefault="00075B58" w:rsidP="00185C20">
      <w:pPr>
        <w:spacing w:after="120"/>
        <w:rPr>
          <w:rFonts w:ascii="Arial" w:hAnsi="Arial" w:cs="Arial"/>
          <w:sz w:val="22"/>
          <w:szCs w:val="22"/>
        </w:rPr>
      </w:pPr>
    </w:p>
    <w:p w14:paraId="0AE00522" w14:textId="1CFC231A" w:rsidR="006A18CF" w:rsidRPr="00185C20" w:rsidRDefault="005D19B0" w:rsidP="00185C20">
      <w:pPr>
        <w:pStyle w:val="Heading2"/>
        <w:jc w:val="center"/>
      </w:pPr>
      <w:r w:rsidRPr="00185C20">
        <w:t>Taxation Administration (Transitional Exemptions for Reporting by Electronic Distribution Platform Operators – Relevant Accommodation and Taxi Travel) Determination 2023</w:t>
      </w:r>
    </w:p>
    <w:p w14:paraId="15AC1BB3" w14:textId="385E6FEC" w:rsidR="00075B58" w:rsidRPr="00185C20" w:rsidRDefault="00075B58" w:rsidP="00185C20">
      <w:pPr>
        <w:pStyle w:val="Heading2"/>
      </w:pPr>
      <w:r w:rsidRPr="00185C20">
        <w:t xml:space="preserve">Overview of </w:t>
      </w:r>
      <w:r w:rsidR="007E0A01" w:rsidRPr="00185C20">
        <w:t xml:space="preserve">the </w:t>
      </w:r>
      <w:r w:rsidR="003B547B" w:rsidRPr="00185C20">
        <w:t>l</w:t>
      </w:r>
      <w:r w:rsidRPr="00185C20">
        <w:t xml:space="preserve">egislative </w:t>
      </w:r>
      <w:r w:rsidR="003B547B" w:rsidRPr="00185C20">
        <w:t>i</w:t>
      </w:r>
      <w:r w:rsidRPr="00185C20">
        <w:t>nstrument</w:t>
      </w:r>
    </w:p>
    <w:p w14:paraId="525D3EBF" w14:textId="77777777" w:rsidR="00D765BE" w:rsidRPr="00185C20" w:rsidRDefault="00D765BE" w:rsidP="00185C20">
      <w:pPr>
        <w:spacing w:after="120"/>
        <w:rPr>
          <w:rFonts w:ascii="Arial" w:hAnsi="Arial" w:cs="Arial"/>
          <w:color w:val="000000" w:themeColor="text1"/>
          <w:sz w:val="22"/>
          <w:szCs w:val="22"/>
        </w:rPr>
      </w:pPr>
      <w:r w:rsidRPr="00185C20">
        <w:rPr>
          <w:rFonts w:ascii="Arial" w:hAnsi="Arial" w:cs="Arial"/>
          <w:color w:val="000000" w:themeColor="text1"/>
          <w:sz w:val="22"/>
          <w:szCs w:val="22"/>
        </w:rPr>
        <w:t>This legislative instrument provides transitional support to certain operators of electronic distribution platforms. It provides them with either an exemption from having to prepare and give a report to the Commissioner of Taxation under the sharing economy reporting regime in the </w:t>
      </w:r>
      <w:r w:rsidRPr="00185C20">
        <w:rPr>
          <w:rFonts w:ascii="Arial" w:hAnsi="Arial" w:cs="Arial"/>
          <w:i/>
          <w:iCs/>
          <w:color w:val="000000" w:themeColor="text1"/>
          <w:sz w:val="22"/>
          <w:szCs w:val="22"/>
        </w:rPr>
        <w:t>Taxation Administration Act 1953</w:t>
      </w:r>
      <w:r w:rsidRPr="00185C20">
        <w:rPr>
          <w:rFonts w:ascii="Arial" w:hAnsi="Arial" w:cs="Arial"/>
          <w:color w:val="000000" w:themeColor="text1"/>
          <w:sz w:val="22"/>
          <w:szCs w:val="22"/>
        </w:rPr>
        <w:t> or, if they choose not to rely on that exemption, gives them an extension of time to lodge a report.</w:t>
      </w:r>
    </w:p>
    <w:p w14:paraId="15AC1BB5" w14:textId="77777777" w:rsidR="00075B58" w:rsidRPr="00185C20" w:rsidRDefault="00075B58" w:rsidP="00185C20">
      <w:pPr>
        <w:spacing w:after="120"/>
        <w:rPr>
          <w:rFonts w:ascii="Arial" w:hAnsi="Arial" w:cs="Arial"/>
          <w:sz w:val="22"/>
          <w:szCs w:val="22"/>
        </w:rPr>
      </w:pPr>
    </w:p>
    <w:p w14:paraId="15AC1BB6" w14:textId="77777777" w:rsidR="00075B58" w:rsidRPr="00185C20" w:rsidRDefault="00075B58" w:rsidP="00185C20">
      <w:pPr>
        <w:pStyle w:val="Heading2"/>
      </w:pPr>
      <w:r w:rsidRPr="00185C20">
        <w:t>Human rights implications</w:t>
      </w:r>
    </w:p>
    <w:p w14:paraId="4D02179F" w14:textId="7033E50D" w:rsidR="00D765BE" w:rsidRPr="00185C20" w:rsidRDefault="00D765BE" w:rsidP="00185C20">
      <w:pPr>
        <w:spacing w:after="120"/>
        <w:rPr>
          <w:rFonts w:ascii="Arial" w:hAnsi="Arial" w:cs="Arial"/>
          <w:color w:val="000000" w:themeColor="text1"/>
          <w:sz w:val="22"/>
          <w:szCs w:val="22"/>
        </w:rPr>
      </w:pPr>
      <w:r w:rsidRPr="00185C20">
        <w:rPr>
          <w:rFonts w:ascii="Arial" w:hAnsi="Arial" w:cs="Arial"/>
          <w:color w:val="000000" w:themeColor="text1"/>
          <w:sz w:val="22"/>
          <w:szCs w:val="22"/>
        </w:rPr>
        <w:t>This legislative instrument does not engage any of the applicable rights or freedoms. It merely provides either relief from reporting requirements, or additional time to report.</w:t>
      </w:r>
    </w:p>
    <w:p w14:paraId="11E71DC9" w14:textId="77777777" w:rsidR="006A18CF" w:rsidRPr="00185C20" w:rsidRDefault="006A18CF" w:rsidP="00185C20">
      <w:pPr>
        <w:spacing w:after="120"/>
        <w:rPr>
          <w:rFonts w:ascii="Arial" w:hAnsi="Arial" w:cs="Arial"/>
          <w:color w:val="000000" w:themeColor="text1"/>
          <w:sz w:val="22"/>
          <w:szCs w:val="22"/>
        </w:rPr>
      </w:pPr>
    </w:p>
    <w:p w14:paraId="15AC1BB9" w14:textId="77777777" w:rsidR="00075B58" w:rsidRPr="00185C20" w:rsidRDefault="00075B58" w:rsidP="00185C20">
      <w:pPr>
        <w:pStyle w:val="Heading2"/>
      </w:pPr>
      <w:r w:rsidRPr="00185C20">
        <w:t>Conclusion</w:t>
      </w:r>
    </w:p>
    <w:p w14:paraId="15AC1BC3" w14:textId="2833118D" w:rsidR="0076271C" w:rsidRPr="00185C20" w:rsidRDefault="00075B58" w:rsidP="00185C20">
      <w:pPr>
        <w:spacing w:after="120"/>
        <w:rPr>
          <w:rFonts w:ascii="Arial" w:hAnsi="Arial" w:cs="Arial"/>
          <w:bCs/>
          <w:sz w:val="22"/>
          <w:szCs w:val="22"/>
        </w:rPr>
      </w:pPr>
      <w:r w:rsidRPr="00185C20">
        <w:rPr>
          <w:rFonts w:ascii="Arial" w:hAnsi="Arial" w:cs="Arial"/>
          <w:color w:val="000000" w:themeColor="text1"/>
          <w:sz w:val="22"/>
          <w:szCs w:val="22"/>
        </w:rPr>
        <w:t xml:space="preserve">This </w:t>
      </w:r>
      <w:r w:rsidR="003B547B" w:rsidRPr="00185C20">
        <w:rPr>
          <w:rFonts w:ascii="Arial" w:hAnsi="Arial" w:cs="Arial"/>
          <w:color w:val="000000" w:themeColor="text1"/>
          <w:sz w:val="22"/>
          <w:szCs w:val="22"/>
        </w:rPr>
        <w:t>l</w:t>
      </w:r>
      <w:r w:rsidRPr="00185C20">
        <w:rPr>
          <w:rFonts w:ascii="Arial" w:hAnsi="Arial" w:cs="Arial"/>
          <w:color w:val="000000" w:themeColor="text1"/>
          <w:sz w:val="22"/>
          <w:szCs w:val="22"/>
        </w:rPr>
        <w:t xml:space="preserve">egislative </w:t>
      </w:r>
      <w:r w:rsidR="003B547B" w:rsidRPr="00185C20">
        <w:rPr>
          <w:rFonts w:ascii="Arial" w:hAnsi="Arial" w:cs="Arial"/>
          <w:color w:val="000000" w:themeColor="text1"/>
          <w:sz w:val="22"/>
          <w:szCs w:val="22"/>
        </w:rPr>
        <w:t>i</w:t>
      </w:r>
      <w:r w:rsidRPr="00185C20">
        <w:rPr>
          <w:rFonts w:ascii="Arial" w:hAnsi="Arial" w:cs="Arial"/>
          <w:color w:val="000000" w:themeColor="text1"/>
          <w:sz w:val="22"/>
          <w:szCs w:val="22"/>
        </w:rPr>
        <w:t>nstrument is compatible with human rights as it does not raise any human rights issues.</w:t>
      </w:r>
    </w:p>
    <w:sectPr w:rsidR="0076271C" w:rsidRPr="00185C20" w:rsidSect="00081520">
      <w:headerReference w:type="default" r:id="rId12"/>
      <w:headerReference w:type="first" r:id="rId13"/>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DA76" w14:textId="77777777" w:rsidR="00C047EF" w:rsidRDefault="00C047EF">
      <w:r>
        <w:separator/>
      </w:r>
    </w:p>
  </w:endnote>
  <w:endnote w:type="continuationSeparator" w:id="0">
    <w:p w14:paraId="41544442" w14:textId="77777777" w:rsidR="00C047EF" w:rsidRDefault="00C0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5402" w14:textId="77777777" w:rsidR="00C047EF" w:rsidRDefault="00C047EF">
      <w:r>
        <w:separator/>
      </w:r>
    </w:p>
  </w:footnote>
  <w:footnote w:type="continuationSeparator" w:id="0">
    <w:p w14:paraId="43D4C6CB" w14:textId="77777777" w:rsidR="00C047EF" w:rsidRDefault="00C0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77777777" w:rsidR="00587C50" w:rsidRDefault="00587C50" w:rsidP="001828A4">
    <w:pPr>
      <w:pStyle w:val="Header"/>
      <w:tabs>
        <w:tab w:val="clear" w:pos="4153"/>
        <w:tab w:val="clear" w:pos="8306"/>
        <w:tab w:val="center" w:pos="1418"/>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7E403F57">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2A33E2"/>
    <w:multiLevelType w:val="hybridMultilevel"/>
    <w:tmpl w:val="643E0896"/>
    <w:lvl w:ilvl="0" w:tplc="4A38B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7"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1"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2"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4"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C251EB9"/>
    <w:multiLevelType w:val="hybridMultilevel"/>
    <w:tmpl w:val="8E2211D6"/>
    <w:lvl w:ilvl="0" w:tplc="FFFFFFFF">
      <w:start w:val="1"/>
      <w:numFmt w:val="decimal"/>
      <w:lvlText w:val="%1."/>
      <w:lvlJc w:val="left"/>
      <w:pPr>
        <w:tabs>
          <w:tab w:val="num" w:pos="360"/>
        </w:tabs>
        <w:ind w:left="360" w:hanging="360"/>
      </w:pPr>
      <w:rPr>
        <w:rFonts w:hint="default"/>
        <w:i w:val="0"/>
        <w:iCs w:val="0"/>
        <w:color w:val="auto"/>
        <w:sz w:val="22"/>
        <w:szCs w:val="22"/>
      </w:rPr>
    </w:lvl>
    <w:lvl w:ilvl="1" w:tplc="4A38B6A0">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FCC3903"/>
    <w:multiLevelType w:val="hybridMultilevel"/>
    <w:tmpl w:val="078CE93A"/>
    <w:lvl w:ilvl="0" w:tplc="AFEEC97A">
      <w:start w:val="1"/>
      <w:numFmt w:val="decimal"/>
      <w:lvlText w:val="%1."/>
      <w:lvlJc w:val="left"/>
      <w:pPr>
        <w:tabs>
          <w:tab w:val="num" w:pos="360"/>
        </w:tabs>
        <w:ind w:left="360" w:hanging="360"/>
      </w:pPr>
      <w:rPr>
        <w:rFonts w:hint="default"/>
        <w:i w:val="0"/>
        <w:iCs w:val="0"/>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0" w15:restartNumberingAfterBreak="0">
    <w:nsid w:val="44053AD6"/>
    <w:multiLevelType w:val="hybridMultilevel"/>
    <w:tmpl w:val="A7DE7AC8"/>
    <w:lvl w:ilvl="0" w:tplc="4A38B6A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A8C12B7"/>
    <w:multiLevelType w:val="hybridMultilevel"/>
    <w:tmpl w:val="6DCC899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9"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5466DD"/>
    <w:multiLevelType w:val="hybridMultilevel"/>
    <w:tmpl w:val="A7DE7AC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317933"/>
    <w:multiLevelType w:val="hybridMultilevel"/>
    <w:tmpl w:val="CAEC4828"/>
    <w:lvl w:ilvl="0" w:tplc="4A38B6A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49"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0359927">
    <w:abstractNumId w:val="4"/>
  </w:num>
  <w:num w:numId="2" w16cid:durableId="1953170346">
    <w:abstractNumId w:val="17"/>
  </w:num>
  <w:num w:numId="3" w16cid:durableId="332680988">
    <w:abstractNumId w:val="28"/>
  </w:num>
  <w:num w:numId="4" w16cid:durableId="591552807">
    <w:abstractNumId w:val="47"/>
  </w:num>
  <w:num w:numId="5" w16cid:durableId="1370377281">
    <w:abstractNumId w:val="6"/>
  </w:num>
  <w:num w:numId="6" w16cid:durableId="431820706">
    <w:abstractNumId w:val="15"/>
  </w:num>
  <w:num w:numId="7" w16cid:durableId="1022560526">
    <w:abstractNumId w:val="41"/>
  </w:num>
  <w:num w:numId="8" w16cid:durableId="1867208740">
    <w:abstractNumId w:val="40"/>
  </w:num>
  <w:num w:numId="9" w16cid:durableId="1059943568">
    <w:abstractNumId w:val="31"/>
  </w:num>
  <w:num w:numId="10" w16cid:durableId="287977878">
    <w:abstractNumId w:val="24"/>
  </w:num>
  <w:num w:numId="11" w16cid:durableId="67534506">
    <w:abstractNumId w:val="49"/>
  </w:num>
  <w:num w:numId="12" w16cid:durableId="837698045">
    <w:abstractNumId w:val="42"/>
  </w:num>
  <w:num w:numId="13" w16cid:durableId="2019385374">
    <w:abstractNumId w:val="46"/>
  </w:num>
  <w:num w:numId="14" w16cid:durableId="1079643273">
    <w:abstractNumId w:val="44"/>
  </w:num>
  <w:num w:numId="15" w16cid:durableId="71397838">
    <w:abstractNumId w:val="22"/>
  </w:num>
  <w:num w:numId="16" w16cid:durableId="1854832161">
    <w:abstractNumId w:val="27"/>
  </w:num>
  <w:num w:numId="17" w16cid:durableId="670372653">
    <w:abstractNumId w:val="11"/>
  </w:num>
  <w:num w:numId="18" w16cid:durableId="1626429610">
    <w:abstractNumId w:val="18"/>
  </w:num>
  <w:num w:numId="19" w16cid:durableId="886448451">
    <w:abstractNumId w:val="3"/>
  </w:num>
  <w:num w:numId="20" w16cid:durableId="1352996579">
    <w:abstractNumId w:val="1"/>
  </w:num>
  <w:num w:numId="21" w16cid:durableId="906377069">
    <w:abstractNumId w:val="14"/>
  </w:num>
  <w:num w:numId="22" w16cid:durableId="253782528">
    <w:abstractNumId w:val="38"/>
  </w:num>
  <w:num w:numId="23" w16cid:durableId="1581334813">
    <w:abstractNumId w:val="10"/>
  </w:num>
  <w:num w:numId="24" w16cid:durableId="252785419">
    <w:abstractNumId w:val="21"/>
  </w:num>
  <w:num w:numId="25" w16cid:durableId="666133463">
    <w:abstractNumId w:val="36"/>
  </w:num>
  <w:num w:numId="26" w16cid:durableId="2042122451">
    <w:abstractNumId w:val="35"/>
  </w:num>
  <w:num w:numId="27" w16cid:durableId="824200998">
    <w:abstractNumId w:val="9"/>
  </w:num>
  <w:num w:numId="28" w16cid:durableId="805314866">
    <w:abstractNumId w:val="39"/>
  </w:num>
  <w:num w:numId="29" w16cid:durableId="1333490430">
    <w:abstractNumId w:val="20"/>
  </w:num>
  <w:num w:numId="30" w16cid:durableId="1197962126">
    <w:abstractNumId w:val="16"/>
  </w:num>
  <w:num w:numId="31" w16cid:durableId="242224937">
    <w:abstractNumId w:val="7"/>
  </w:num>
  <w:num w:numId="32" w16cid:durableId="955911666">
    <w:abstractNumId w:val="0"/>
  </w:num>
  <w:num w:numId="33" w16cid:durableId="351539580">
    <w:abstractNumId w:val="8"/>
  </w:num>
  <w:num w:numId="34" w16cid:durableId="292636697">
    <w:abstractNumId w:val="29"/>
  </w:num>
  <w:num w:numId="35" w16cid:durableId="1304239973">
    <w:abstractNumId w:val="43"/>
  </w:num>
  <w:num w:numId="36" w16cid:durableId="1950745144">
    <w:abstractNumId w:val="19"/>
  </w:num>
  <w:num w:numId="37" w16cid:durableId="91707510">
    <w:abstractNumId w:val="13"/>
  </w:num>
  <w:num w:numId="38" w16cid:durableId="1643609320">
    <w:abstractNumId w:val="23"/>
  </w:num>
  <w:num w:numId="39" w16cid:durableId="1441726601">
    <w:abstractNumId w:val="23"/>
  </w:num>
  <w:num w:numId="40" w16cid:durableId="10742046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4374062">
    <w:abstractNumId w:val="25"/>
  </w:num>
  <w:num w:numId="42" w16cid:durableId="1981416087">
    <w:abstractNumId w:val="34"/>
  </w:num>
  <w:num w:numId="43" w16cid:durableId="582252843">
    <w:abstractNumId w:val="2"/>
  </w:num>
  <w:num w:numId="44" w16cid:durableId="1594778830">
    <w:abstractNumId w:val="5"/>
  </w:num>
  <w:num w:numId="45" w16cid:durableId="1691100042">
    <w:abstractNumId w:val="37"/>
  </w:num>
  <w:num w:numId="46" w16cid:durableId="1718235810">
    <w:abstractNumId w:val="33"/>
  </w:num>
  <w:num w:numId="47" w16cid:durableId="1766880268">
    <w:abstractNumId w:val="12"/>
  </w:num>
  <w:num w:numId="48" w16cid:durableId="248196826">
    <w:abstractNumId w:val="26"/>
  </w:num>
  <w:num w:numId="49" w16cid:durableId="1996183620">
    <w:abstractNumId w:val="30"/>
  </w:num>
  <w:num w:numId="50" w16cid:durableId="1617788707">
    <w:abstractNumId w:val="32"/>
  </w:num>
  <w:num w:numId="51" w16cid:durableId="1516575111">
    <w:abstractNumId w:val="48"/>
  </w:num>
  <w:num w:numId="52" w16cid:durableId="187495133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1DD7"/>
    <w:rsid w:val="0002568B"/>
    <w:rsid w:val="00031391"/>
    <w:rsid w:val="000407B7"/>
    <w:rsid w:val="00043FA7"/>
    <w:rsid w:val="00044383"/>
    <w:rsid w:val="000552E8"/>
    <w:rsid w:val="00056585"/>
    <w:rsid w:val="0005674F"/>
    <w:rsid w:val="00056C6A"/>
    <w:rsid w:val="00064E61"/>
    <w:rsid w:val="00065C6E"/>
    <w:rsid w:val="00072E6E"/>
    <w:rsid w:val="00073F1B"/>
    <w:rsid w:val="00075B58"/>
    <w:rsid w:val="00081520"/>
    <w:rsid w:val="000A3480"/>
    <w:rsid w:val="000B11DD"/>
    <w:rsid w:val="000B1785"/>
    <w:rsid w:val="000C390A"/>
    <w:rsid w:val="000C77DD"/>
    <w:rsid w:val="000E295B"/>
    <w:rsid w:val="000E45A0"/>
    <w:rsid w:val="000E53E8"/>
    <w:rsid w:val="000F32ED"/>
    <w:rsid w:val="00101CD5"/>
    <w:rsid w:val="00107460"/>
    <w:rsid w:val="00112415"/>
    <w:rsid w:val="00121A65"/>
    <w:rsid w:val="00122BE3"/>
    <w:rsid w:val="001302CE"/>
    <w:rsid w:val="0013678D"/>
    <w:rsid w:val="00140A34"/>
    <w:rsid w:val="00145A3D"/>
    <w:rsid w:val="00146ED8"/>
    <w:rsid w:val="00154241"/>
    <w:rsid w:val="0016467C"/>
    <w:rsid w:val="00167202"/>
    <w:rsid w:val="001828A4"/>
    <w:rsid w:val="001831B5"/>
    <w:rsid w:val="00185C20"/>
    <w:rsid w:val="001A3BE2"/>
    <w:rsid w:val="001C35E7"/>
    <w:rsid w:val="001C4578"/>
    <w:rsid w:val="001C69F4"/>
    <w:rsid w:val="001D02E6"/>
    <w:rsid w:val="001F0184"/>
    <w:rsid w:val="001F28A6"/>
    <w:rsid w:val="001F2A16"/>
    <w:rsid w:val="001F6921"/>
    <w:rsid w:val="001F7C3E"/>
    <w:rsid w:val="00201969"/>
    <w:rsid w:val="0021222C"/>
    <w:rsid w:val="00213FA5"/>
    <w:rsid w:val="0021496E"/>
    <w:rsid w:val="00215C74"/>
    <w:rsid w:val="002202D7"/>
    <w:rsid w:val="00222AFB"/>
    <w:rsid w:val="0023733A"/>
    <w:rsid w:val="0024044F"/>
    <w:rsid w:val="00240CFB"/>
    <w:rsid w:val="00245D00"/>
    <w:rsid w:val="00257F2D"/>
    <w:rsid w:val="00262F9F"/>
    <w:rsid w:val="00266D2D"/>
    <w:rsid w:val="0027331F"/>
    <w:rsid w:val="00285E76"/>
    <w:rsid w:val="002949C3"/>
    <w:rsid w:val="002A10A4"/>
    <w:rsid w:val="002A26FE"/>
    <w:rsid w:val="002B1423"/>
    <w:rsid w:val="002F1257"/>
    <w:rsid w:val="00310C61"/>
    <w:rsid w:val="003171B3"/>
    <w:rsid w:val="0032559D"/>
    <w:rsid w:val="00331616"/>
    <w:rsid w:val="00333567"/>
    <w:rsid w:val="00335BF2"/>
    <w:rsid w:val="003368CB"/>
    <w:rsid w:val="00344575"/>
    <w:rsid w:val="00344F18"/>
    <w:rsid w:val="0035113C"/>
    <w:rsid w:val="00353E91"/>
    <w:rsid w:val="00354525"/>
    <w:rsid w:val="003562F8"/>
    <w:rsid w:val="00374385"/>
    <w:rsid w:val="00380CC4"/>
    <w:rsid w:val="00393E98"/>
    <w:rsid w:val="003A4A95"/>
    <w:rsid w:val="003B547B"/>
    <w:rsid w:val="003B5522"/>
    <w:rsid w:val="003C0686"/>
    <w:rsid w:val="003D08CF"/>
    <w:rsid w:val="003D0CBA"/>
    <w:rsid w:val="003D0F6A"/>
    <w:rsid w:val="003D4BA8"/>
    <w:rsid w:val="003E5269"/>
    <w:rsid w:val="00405394"/>
    <w:rsid w:val="004066E4"/>
    <w:rsid w:val="0040680B"/>
    <w:rsid w:val="00407361"/>
    <w:rsid w:val="00417C55"/>
    <w:rsid w:val="00424A7B"/>
    <w:rsid w:val="004447C1"/>
    <w:rsid w:val="00446AA8"/>
    <w:rsid w:val="0045590D"/>
    <w:rsid w:val="0046211F"/>
    <w:rsid w:val="0046787B"/>
    <w:rsid w:val="00486653"/>
    <w:rsid w:val="00493CA7"/>
    <w:rsid w:val="00497E62"/>
    <w:rsid w:val="004A2486"/>
    <w:rsid w:val="004A5FDA"/>
    <w:rsid w:val="004B0AFD"/>
    <w:rsid w:val="004B64D6"/>
    <w:rsid w:val="004D098C"/>
    <w:rsid w:val="004D24A9"/>
    <w:rsid w:val="004D41FE"/>
    <w:rsid w:val="004D6FE1"/>
    <w:rsid w:val="004E5357"/>
    <w:rsid w:val="004F4A07"/>
    <w:rsid w:val="004F5EB1"/>
    <w:rsid w:val="004F6887"/>
    <w:rsid w:val="005030AD"/>
    <w:rsid w:val="0051249C"/>
    <w:rsid w:val="005176E7"/>
    <w:rsid w:val="00520330"/>
    <w:rsid w:val="00524B6B"/>
    <w:rsid w:val="00526403"/>
    <w:rsid w:val="00534FB5"/>
    <w:rsid w:val="005362C0"/>
    <w:rsid w:val="005413EE"/>
    <w:rsid w:val="00555197"/>
    <w:rsid w:val="00587443"/>
    <w:rsid w:val="00587C50"/>
    <w:rsid w:val="005917F3"/>
    <w:rsid w:val="00594D65"/>
    <w:rsid w:val="005A31A0"/>
    <w:rsid w:val="005A48ED"/>
    <w:rsid w:val="005B0ACD"/>
    <w:rsid w:val="005B10B1"/>
    <w:rsid w:val="005B50A2"/>
    <w:rsid w:val="005C3408"/>
    <w:rsid w:val="005D103F"/>
    <w:rsid w:val="005D19B0"/>
    <w:rsid w:val="005D1EE0"/>
    <w:rsid w:val="005D611B"/>
    <w:rsid w:val="005F1ACE"/>
    <w:rsid w:val="005F256D"/>
    <w:rsid w:val="0060183A"/>
    <w:rsid w:val="00603110"/>
    <w:rsid w:val="00611C8E"/>
    <w:rsid w:val="00624954"/>
    <w:rsid w:val="006302F7"/>
    <w:rsid w:val="00631F30"/>
    <w:rsid w:val="00640CC2"/>
    <w:rsid w:val="00642420"/>
    <w:rsid w:val="00646158"/>
    <w:rsid w:val="006513F4"/>
    <w:rsid w:val="0066622C"/>
    <w:rsid w:val="00666487"/>
    <w:rsid w:val="00666F76"/>
    <w:rsid w:val="006706EF"/>
    <w:rsid w:val="00673A69"/>
    <w:rsid w:val="00673B37"/>
    <w:rsid w:val="00673CA5"/>
    <w:rsid w:val="00676E70"/>
    <w:rsid w:val="006945EA"/>
    <w:rsid w:val="006A18CF"/>
    <w:rsid w:val="006A7589"/>
    <w:rsid w:val="006B5470"/>
    <w:rsid w:val="006D0138"/>
    <w:rsid w:val="006D6F52"/>
    <w:rsid w:val="006D7861"/>
    <w:rsid w:val="006E5FF6"/>
    <w:rsid w:val="00701718"/>
    <w:rsid w:val="00710359"/>
    <w:rsid w:val="00712FFF"/>
    <w:rsid w:val="00722DBF"/>
    <w:rsid w:val="00727E1E"/>
    <w:rsid w:val="00731C49"/>
    <w:rsid w:val="0073446A"/>
    <w:rsid w:val="00735157"/>
    <w:rsid w:val="007611C4"/>
    <w:rsid w:val="00761DB9"/>
    <w:rsid w:val="0076271C"/>
    <w:rsid w:val="007663E1"/>
    <w:rsid w:val="00767CE8"/>
    <w:rsid w:val="00775490"/>
    <w:rsid w:val="0079149F"/>
    <w:rsid w:val="00791646"/>
    <w:rsid w:val="00795D0C"/>
    <w:rsid w:val="00797F42"/>
    <w:rsid w:val="007A55BA"/>
    <w:rsid w:val="007B237A"/>
    <w:rsid w:val="007C1FBD"/>
    <w:rsid w:val="007C2FA7"/>
    <w:rsid w:val="007C54B3"/>
    <w:rsid w:val="007C5C8E"/>
    <w:rsid w:val="007E0A01"/>
    <w:rsid w:val="007E22F5"/>
    <w:rsid w:val="007F25F3"/>
    <w:rsid w:val="007F4901"/>
    <w:rsid w:val="00826DEB"/>
    <w:rsid w:val="00832A78"/>
    <w:rsid w:val="00836B02"/>
    <w:rsid w:val="00842F12"/>
    <w:rsid w:val="008467D4"/>
    <w:rsid w:val="00850FB0"/>
    <w:rsid w:val="0085238E"/>
    <w:rsid w:val="00853428"/>
    <w:rsid w:val="008540EA"/>
    <w:rsid w:val="0085576C"/>
    <w:rsid w:val="00866A00"/>
    <w:rsid w:val="008702A6"/>
    <w:rsid w:val="00872575"/>
    <w:rsid w:val="00873997"/>
    <w:rsid w:val="008757CE"/>
    <w:rsid w:val="0088392C"/>
    <w:rsid w:val="00897C0E"/>
    <w:rsid w:val="00897E31"/>
    <w:rsid w:val="008A046F"/>
    <w:rsid w:val="008A405A"/>
    <w:rsid w:val="008A6A6A"/>
    <w:rsid w:val="008A6D1C"/>
    <w:rsid w:val="008B650A"/>
    <w:rsid w:val="008B787C"/>
    <w:rsid w:val="008C3898"/>
    <w:rsid w:val="008C66CC"/>
    <w:rsid w:val="008F483C"/>
    <w:rsid w:val="00910595"/>
    <w:rsid w:val="00910756"/>
    <w:rsid w:val="00912D61"/>
    <w:rsid w:val="009322D7"/>
    <w:rsid w:val="00932BDE"/>
    <w:rsid w:val="009371D0"/>
    <w:rsid w:val="00950199"/>
    <w:rsid w:val="00956ADF"/>
    <w:rsid w:val="00967725"/>
    <w:rsid w:val="0098195F"/>
    <w:rsid w:val="009902F8"/>
    <w:rsid w:val="009903B8"/>
    <w:rsid w:val="00993BB8"/>
    <w:rsid w:val="0099555F"/>
    <w:rsid w:val="009A22A1"/>
    <w:rsid w:val="009A5724"/>
    <w:rsid w:val="009B3A1B"/>
    <w:rsid w:val="009B6332"/>
    <w:rsid w:val="009C0912"/>
    <w:rsid w:val="009C483E"/>
    <w:rsid w:val="009C7443"/>
    <w:rsid w:val="009D6694"/>
    <w:rsid w:val="009F0300"/>
    <w:rsid w:val="009F0E76"/>
    <w:rsid w:val="00A167A8"/>
    <w:rsid w:val="00A21F0A"/>
    <w:rsid w:val="00A26011"/>
    <w:rsid w:val="00A506C2"/>
    <w:rsid w:val="00A62886"/>
    <w:rsid w:val="00A62C48"/>
    <w:rsid w:val="00A74C38"/>
    <w:rsid w:val="00A77D24"/>
    <w:rsid w:val="00A8572F"/>
    <w:rsid w:val="00A93E07"/>
    <w:rsid w:val="00A979CF"/>
    <w:rsid w:val="00AA4DF8"/>
    <w:rsid w:val="00AB780C"/>
    <w:rsid w:val="00AC2448"/>
    <w:rsid w:val="00AD0B0B"/>
    <w:rsid w:val="00AD2A26"/>
    <w:rsid w:val="00AD5ADE"/>
    <w:rsid w:val="00AE7138"/>
    <w:rsid w:val="00AF4CAF"/>
    <w:rsid w:val="00B117BA"/>
    <w:rsid w:val="00B15F23"/>
    <w:rsid w:val="00B16508"/>
    <w:rsid w:val="00B20D87"/>
    <w:rsid w:val="00B21BCC"/>
    <w:rsid w:val="00B24053"/>
    <w:rsid w:val="00B31550"/>
    <w:rsid w:val="00B578AC"/>
    <w:rsid w:val="00B62F06"/>
    <w:rsid w:val="00B6433F"/>
    <w:rsid w:val="00B64CF5"/>
    <w:rsid w:val="00B76C9B"/>
    <w:rsid w:val="00B823A1"/>
    <w:rsid w:val="00B8428B"/>
    <w:rsid w:val="00B91DAE"/>
    <w:rsid w:val="00BA41F5"/>
    <w:rsid w:val="00BB3C9C"/>
    <w:rsid w:val="00BE10E3"/>
    <w:rsid w:val="00BF4822"/>
    <w:rsid w:val="00C01D22"/>
    <w:rsid w:val="00C034C3"/>
    <w:rsid w:val="00C047EF"/>
    <w:rsid w:val="00C0799B"/>
    <w:rsid w:val="00C104B6"/>
    <w:rsid w:val="00C10F02"/>
    <w:rsid w:val="00C114F4"/>
    <w:rsid w:val="00C11D03"/>
    <w:rsid w:val="00C23F4A"/>
    <w:rsid w:val="00C31967"/>
    <w:rsid w:val="00C34C96"/>
    <w:rsid w:val="00C371DE"/>
    <w:rsid w:val="00C37A7C"/>
    <w:rsid w:val="00C409AE"/>
    <w:rsid w:val="00C4143E"/>
    <w:rsid w:val="00C42D50"/>
    <w:rsid w:val="00C54DF8"/>
    <w:rsid w:val="00C60B49"/>
    <w:rsid w:val="00C620E9"/>
    <w:rsid w:val="00C661CC"/>
    <w:rsid w:val="00C7440A"/>
    <w:rsid w:val="00C83E6A"/>
    <w:rsid w:val="00C865ED"/>
    <w:rsid w:val="00C8775A"/>
    <w:rsid w:val="00CA0877"/>
    <w:rsid w:val="00CA6B59"/>
    <w:rsid w:val="00CA7D42"/>
    <w:rsid w:val="00CB3B6C"/>
    <w:rsid w:val="00CB54FF"/>
    <w:rsid w:val="00CB75F1"/>
    <w:rsid w:val="00CC1833"/>
    <w:rsid w:val="00CC189F"/>
    <w:rsid w:val="00CC3368"/>
    <w:rsid w:val="00CF19C4"/>
    <w:rsid w:val="00CF2B0A"/>
    <w:rsid w:val="00D13C04"/>
    <w:rsid w:val="00D20A78"/>
    <w:rsid w:val="00D278BA"/>
    <w:rsid w:val="00D40454"/>
    <w:rsid w:val="00D4059C"/>
    <w:rsid w:val="00D53D8F"/>
    <w:rsid w:val="00D61C76"/>
    <w:rsid w:val="00D64FF6"/>
    <w:rsid w:val="00D74822"/>
    <w:rsid w:val="00D765BE"/>
    <w:rsid w:val="00D77015"/>
    <w:rsid w:val="00D92B48"/>
    <w:rsid w:val="00DB1693"/>
    <w:rsid w:val="00DC26B2"/>
    <w:rsid w:val="00DD5B07"/>
    <w:rsid w:val="00DE5580"/>
    <w:rsid w:val="00DE624E"/>
    <w:rsid w:val="00DE6821"/>
    <w:rsid w:val="00DF2022"/>
    <w:rsid w:val="00DF34BE"/>
    <w:rsid w:val="00DF5D59"/>
    <w:rsid w:val="00E0529B"/>
    <w:rsid w:val="00E10B37"/>
    <w:rsid w:val="00E1572C"/>
    <w:rsid w:val="00E239E4"/>
    <w:rsid w:val="00E26402"/>
    <w:rsid w:val="00E33A70"/>
    <w:rsid w:val="00E35A05"/>
    <w:rsid w:val="00E36A38"/>
    <w:rsid w:val="00E4433C"/>
    <w:rsid w:val="00E53399"/>
    <w:rsid w:val="00E77995"/>
    <w:rsid w:val="00E87099"/>
    <w:rsid w:val="00EA28E6"/>
    <w:rsid w:val="00EE7B7C"/>
    <w:rsid w:val="00EF78C4"/>
    <w:rsid w:val="00F04CD7"/>
    <w:rsid w:val="00F05CF8"/>
    <w:rsid w:val="00F12004"/>
    <w:rsid w:val="00F23E15"/>
    <w:rsid w:val="00F244A2"/>
    <w:rsid w:val="00F31832"/>
    <w:rsid w:val="00F35064"/>
    <w:rsid w:val="00F374D8"/>
    <w:rsid w:val="00F44C3E"/>
    <w:rsid w:val="00F539FB"/>
    <w:rsid w:val="00F5684D"/>
    <w:rsid w:val="00F57AB6"/>
    <w:rsid w:val="00F6480F"/>
    <w:rsid w:val="00F64868"/>
    <w:rsid w:val="00F70C2E"/>
    <w:rsid w:val="00F71BE1"/>
    <w:rsid w:val="00F84CC0"/>
    <w:rsid w:val="00F84DF2"/>
    <w:rsid w:val="00F86713"/>
    <w:rsid w:val="00F932E0"/>
    <w:rsid w:val="00FA1C92"/>
    <w:rsid w:val="00FB3FC6"/>
    <w:rsid w:val="00FB7701"/>
    <w:rsid w:val="00FC40F0"/>
    <w:rsid w:val="00FC6D3B"/>
    <w:rsid w:val="00FD0129"/>
    <w:rsid w:val="00FD0AF2"/>
    <w:rsid w:val="00FD510E"/>
    <w:rsid w:val="00FE0F2E"/>
    <w:rsid w:val="00FE17ED"/>
    <w:rsid w:val="00FE754A"/>
    <w:rsid w:val="00FE7EB8"/>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1B4F"/>
  <w15:docId w15:val="{83812DFC-8918-4353-901E-881E8E51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customStyle="1" w:styleId="indentlevel0">
    <w:name w:val="indentlevel0"/>
    <w:basedOn w:val="Normal"/>
    <w:rsid w:val="00D765BE"/>
    <w:pPr>
      <w:spacing w:before="100" w:beforeAutospacing="1" w:after="100" w:afterAutospacing="1"/>
    </w:pPr>
    <w:rPr>
      <w:szCs w:val="24"/>
    </w:rPr>
  </w:style>
  <w:style w:type="character" w:styleId="Emphasis">
    <w:name w:val="Emphasis"/>
    <w:basedOn w:val="DefaultParagraphFont"/>
    <w:uiPriority w:val="20"/>
    <w:qFormat/>
    <w:rsid w:val="00D765BE"/>
    <w:rPr>
      <w:i/>
      <w:iCs/>
    </w:rPr>
  </w:style>
  <w:style w:type="paragraph" w:styleId="Revision">
    <w:name w:val="Revision"/>
    <w:hidden/>
    <w:uiPriority w:val="99"/>
    <w:semiHidden/>
    <w:rsid w:val="000313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65096">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95DF525056C794DA1C8F0847EABA15F" ma:contentTypeVersion="4" ma:contentTypeDescription="Create a new document." ma:contentTypeScope="" ma:versionID="24fad3227e6fb507a30ab2bc130191d2">
  <xsd:schema xmlns:xsd="http://www.w3.org/2001/XMLSchema" xmlns:xs="http://www.w3.org/2001/XMLSchema" xmlns:p="http://schemas.microsoft.com/office/2006/metadata/properties" xmlns:ns2="2fd82487-3f98-4ccc-a382-797efced1b3b" xmlns:ns3="db11d979-5cf3-4a8b-be32-18532050076d" targetNamespace="http://schemas.microsoft.com/office/2006/metadata/properties" ma:root="true" ma:fieldsID="a3d4be63b43fc0cc08c20b4e8f968d4e" ns2:_="" ns3:_="">
    <xsd:import namespace="2fd82487-3f98-4ccc-a382-797efced1b3b"/>
    <xsd:import namespace="db11d979-5cf3-4a8b-be32-18532050076d"/>
    <xsd:element name="properties">
      <xsd:complexType>
        <xsd:sequence>
          <xsd:element name="documentManagement">
            <xsd:complexType>
              <xsd:all>
                <xsd:element ref="ns2:_dlc_DocId" minOccurs="0"/>
                <xsd:element ref="ns2:_dlc_DocIdUrl" minOccurs="0"/>
                <xsd:element ref="ns2:_dlc_DocIdPersistId" minOccurs="0"/>
                <xsd:element ref="ns2:mea9fe69863048c79e1e89bf2afbe296" minOccurs="0"/>
                <xsd:element ref="ns2:TaxCatchAll" minOccurs="0"/>
                <xsd:element ref="ns2:TaxCatchAllLabel" minOccurs="0"/>
                <xsd:element ref="ns3:Work_x0020_Type" minOccurs="0"/>
                <xsd:element ref="ns3:Work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82487-3f98-4ccc-a382-797efced1b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a9fe69863048c79e1e89bf2afbe296" ma:index="11" ma:taxonomy="true" ma:internalName="mea9fe69863048c79e1e89bf2afbe296" ma:taxonomyFieldName="Security_x0020_Classification" ma:displayName="Security Classification" ma:readOnly="false" ma:default="1;#OFFICIAL|5d128361-bbb7-4b9a-ac60-b26612a0ec1b" ma:fieldId="{6ea9fe69-8630-48c7-9e1e-89bf2afbe296}"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f5a8609-0f5a-44e3-8ff2-355674ac90e1}" ma:internalName="TaxCatchAll" ma:showField="CatchAllData" ma:web="2fd82487-3f98-4ccc-a382-797efced1b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f5a8609-0f5a-44e3-8ff2-355674ac90e1}" ma:internalName="TaxCatchAllLabel" ma:readOnly="true" ma:showField="CatchAllDataLabel" ma:web="2fd82487-3f98-4ccc-a382-797efced1b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11d979-5cf3-4a8b-be32-18532050076d" elementFormDefault="qualified">
    <xsd:import namespace="http://schemas.microsoft.com/office/2006/documentManagement/types"/>
    <xsd:import namespace="http://schemas.microsoft.com/office/infopath/2007/PartnerControls"/>
    <xsd:element name="Work_x0020_Type" ma:index="15" nillable="true" ma:displayName="Work Type" ma:default="Advocacy" ma:format="Dropdown" ma:internalName="Work_x0020_Type">
      <xsd:simpleType>
        <xsd:restriction base="dms:Choice">
          <xsd:enumeration value="Advocacy"/>
          <xsd:enumeration value="CRP"/>
          <xsd:enumeration value="Law Design"/>
          <xsd:enumeration value="Legislative Governance"/>
          <xsd:enumeration value="MTA"/>
          <xsd:enumeration value="Revenue Analysis"/>
          <xsd:enumeration value="Secondments"/>
        </xsd:restriction>
      </xsd:simpleType>
    </xsd:element>
    <xsd:element name="WorkType" ma:index="16" nillable="true" ma:displayName="WorkType" ma:default="Advocacy" ma:internalName="WorkType" ma:requiredMultiChoice="true">
      <xsd:complexType>
        <xsd:complexContent>
          <xsd:extension base="dms:MultiChoice">
            <xsd:sequence>
              <xsd:element name="Value" maxOccurs="unbounded" minOccurs="0" nillable="true">
                <xsd:simpleType>
                  <xsd:restriction base="dms:Choice">
                    <xsd:enumeration value="Advocacy"/>
                    <xsd:enumeration value="CRP"/>
                    <xsd:enumeration value="Law Design"/>
                    <xsd:enumeration value="Legislative Governance"/>
                    <xsd:enumeration value="MTA"/>
                    <xsd:enumeration value="Revenue Analysis"/>
                    <xsd:enumeration value="Secondm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fd82487-3f98-4ccc-a382-797efced1b3b">
      <Value>1</Value>
    </TaxCatchAll>
    <WorkType xmlns="db11d979-5cf3-4a8b-be32-18532050076d">
      <Value>Legislative Governance</Value>
    </WorkType>
    <Work_x0020_Type xmlns="db11d979-5cf3-4a8b-be32-18532050076d">Legislative Governance</Work_x0020_Type>
    <mea9fe69863048c79e1e89bf2afbe296 xmlns="2fd82487-3f98-4ccc-a382-797efced1b3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mea9fe69863048c79e1e89bf2afbe296>
    <_dlc_DocId xmlns="2fd82487-3f98-4ccc-a382-797efced1b3b">YH2SW7WDVSJ7-392801535-43</_dlc_DocId>
    <_dlc_DocIdUrl xmlns="2fd82487-3f98-4ccc-a382-797efced1b3b">
      <Url>http://sharepoint/GA3Sites/0001/_layouts/15/DocIdRedir.aspx?ID=YH2SW7WDVSJ7-392801535-43</Url>
      <Description>YH2SW7WDVSJ7-392801535-43</Description>
    </_dlc_DocIdUrl>
  </documentManagement>
</p:properties>
</file>

<file path=customXml/itemProps1.xml><?xml version="1.0" encoding="utf-8"?>
<ds:datastoreItem xmlns:ds="http://schemas.openxmlformats.org/officeDocument/2006/customXml" ds:itemID="{15C87879-F5DA-4849-BF9C-1ABE525043C6}">
  <ds:schemaRefs>
    <ds:schemaRef ds:uri="http://schemas.microsoft.com/sharepoint/v3/contenttype/forms"/>
  </ds:schemaRefs>
</ds:datastoreItem>
</file>

<file path=customXml/itemProps2.xml><?xml version="1.0" encoding="utf-8"?>
<ds:datastoreItem xmlns:ds="http://schemas.openxmlformats.org/officeDocument/2006/customXml" ds:itemID="{7A854540-4688-4A8B-A2F6-C5AAB72559F0}">
  <ds:schemaRefs>
    <ds:schemaRef ds:uri="http://schemas.openxmlformats.org/officeDocument/2006/bibliography"/>
  </ds:schemaRefs>
</ds:datastoreItem>
</file>

<file path=customXml/itemProps3.xml><?xml version="1.0" encoding="utf-8"?>
<ds:datastoreItem xmlns:ds="http://schemas.openxmlformats.org/officeDocument/2006/customXml" ds:itemID="{1449A803-F1AD-4BC6-9719-DA14A8677358}">
  <ds:schemaRefs>
    <ds:schemaRef ds:uri="http://schemas.microsoft.com/sharepoint/events"/>
  </ds:schemaRefs>
</ds:datastoreItem>
</file>

<file path=customXml/itemProps4.xml><?xml version="1.0" encoding="utf-8"?>
<ds:datastoreItem xmlns:ds="http://schemas.openxmlformats.org/officeDocument/2006/customXml" ds:itemID="{CB44AF38-3DC2-402D-A95F-3A42DD806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82487-3f98-4ccc-a382-797efced1b3b"/>
    <ds:schemaRef ds:uri="db11d979-5cf3-4a8b-be32-18532050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FD70B-A392-436A-8D14-91D84F359BC0}">
  <ds:schemaRefs>
    <ds:schemaRef ds:uri="http://schemas.microsoft.com/office/2006/metadata/properties"/>
    <ds:schemaRef ds:uri="http://schemas.microsoft.com/office/infopath/2007/PartnerControls"/>
    <ds:schemaRef ds:uri="2fd82487-3f98-4ccc-a382-797efced1b3b"/>
    <ds:schemaRef ds:uri="db11d979-5cf3-4a8b-be32-18532050076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
  <LinksUpToDate>false</LinksUpToDate>
  <CharactersWithSpaces>9350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Andrew Harnisch</dc:creator>
  <cp:lastModifiedBy>Rebecca Legh</cp:lastModifiedBy>
  <cp:revision>2</cp:revision>
  <dcterms:created xsi:type="dcterms:W3CDTF">2023-12-04T23:06:00Z</dcterms:created>
  <dcterms:modified xsi:type="dcterms:W3CDTF">2023-12-04T23:06:00Z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0x010100C95DF525056C794DA1C8F0847EABA15F</vt:lpwstr>
  </property>
  <property fmtid="{D5CDD505-2E9C-101B-9397-08002B2CF9AE}" pid="3" name="_dlc_DocIdItemGuid">
    <vt:lpwstr>9cd1559b-6d1c-43fc-967d-14a76c932bf1</vt:lpwstr>
  </property>
  <property fmtid="{D5CDD505-2E9C-101B-9397-08002B2CF9AE}" pid="4" name="Security Classification">
    <vt:lpwstr>1;#OFFICIAL|5d128361-bbb7-4b9a-ac60-b26612a0ec1b</vt:lpwstr>
  </property>
</Properties>
</file>