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EB49" w14:textId="77777777" w:rsidR="006E4B91" w:rsidRPr="006E4B91" w:rsidRDefault="006E4B91" w:rsidP="006E4B91">
      <w:pPr>
        <w:spacing w:after="0"/>
        <w:jc w:val="both"/>
        <w:textAlignment w:val="baseline"/>
        <w:rPr>
          <w:rFonts w:ascii="Segoe UI" w:eastAsia="Times New Roman" w:hAnsi="Segoe UI" w:cs="Segoe UI"/>
          <w:color w:val="000000"/>
          <w:sz w:val="18"/>
          <w:szCs w:val="18"/>
        </w:rPr>
      </w:pPr>
      <w:r w:rsidRPr="006E4B91">
        <w:rPr>
          <w:rFonts w:ascii="Arial" w:eastAsia="Arial" w:hAnsi="Arial" w:cs="Cordia New"/>
          <w:noProof/>
          <w:color w:val="000000"/>
          <w:sz w:val="22"/>
          <w:szCs w:val="22"/>
          <w:lang w:eastAsia="en-US"/>
        </w:rPr>
        <w:drawing>
          <wp:inline distT="0" distB="0" distL="0" distR="0" wp14:anchorId="7841E889" wp14:editId="42907C62">
            <wp:extent cx="1428750" cy="1104900"/>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104900"/>
                    </a:xfrm>
                    <a:prstGeom prst="rect">
                      <a:avLst/>
                    </a:prstGeom>
                    <a:noFill/>
                    <a:ln>
                      <a:noFill/>
                    </a:ln>
                  </pic:spPr>
                </pic:pic>
              </a:graphicData>
            </a:graphic>
          </wp:inline>
        </w:drawing>
      </w:r>
      <w:r w:rsidRPr="006E4B91">
        <w:rPr>
          <w:rFonts w:ascii="Arial" w:eastAsia="Times New Roman" w:hAnsi="Arial" w:cs="Arial"/>
          <w:sz w:val="32"/>
          <w:szCs w:val="32"/>
        </w:rPr>
        <w:t> </w:t>
      </w:r>
    </w:p>
    <w:p w14:paraId="18E13294" w14:textId="77777777" w:rsidR="006E4B91" w:rsidRPr="006E4B91" w:rsidRDefault="006E4B91" w:rsidP="006E4B91">
      <w:pPr>
        <w:spacing w:before="120" w:after="0"/>
        <w:jc w:val="both"/>
        <w:textAlignment w:val="baseline"/>
        <w:rPr>
          <w:rFonts w:ascii="Arial" w:eastAsia="Times New Roman" w:hAnsi="Arial" w:cs="Arial"/>
          <w:b/>
          <w:bCs/>
          <w:sz w:val="32"/>
          <w:szCs w:val="32"/>
        </w:rPr>
      </w:pPr>
      <w:r w:rsidRPr="006E4B91">
        <w:rPr>
          <w:rFonts w:ascii="Arial" w:eastAsia="Times New Roman" w:hAnsi="Arial" w:cs="Arial"/>
          <w:b/>
          <w:bCs/>
          <w:sz w:val="32"/>
          <w:szCs w:val="32"/>
        </w:rPr>
        <w:t xml:space="preserve">Life Insurance (prudential standard) determination </w:t>
      </w:r>
    </w:p>
    <w:p w14:paraId="125E1031" w14:textId="77777777" w:rsidR="006E4B91" w:rsidRPr="006E4B91" w:rsidRDefault="006E4B91" w:rsidP="006E4B91">
      <w:pPr>
        <w:spacing w:before="120" w:after="0"/>
        <w:jc w:val="both"/>
        <w:textAlignment w:val="baseline"/>
        <w:rPr>
          <w:rFonts w:ascii="Arial" w:eastAsia="Times New Roman" w:hAnsi="Arial" w:cs="Arial"/>
          <w:b/>
          <w:bCs/>
          <w:sz w:val="32"/>
          <w:szCs w:val="32"/>
          <w:shd w:val="clear" w:color="auto" w:fill="FFFF00"/>
        </w:rPr>
      </w:pPr>
      <w:r w:rsidRPr="006E4B91">
        <w:rPr>
          <w:rFonts w:ascii="Arial" w:eastAsia="Times New Roman" w:hAnsi="Arial" w:cs="Arial"/>
          <w:b/>
          <w:bCs/>
          <w:sz w:val="32"/>
          <w:szCs w:val="32"/>
        </w:rPr>
        <w:t xml:space="preserve">No. 14 of 2023 </w:t>
      </w:r>
    </w:p>
    <w:p w14:paraId="3D9FD2A9" w14:textId="77777777" w:rsidR="006E4B91" w:rsidRPr="006E4B91" w:rsidRDefault="006E4B91" w:rsidP="006E4B91">
      <w:pPr>
        <w:spacing w:after="0"/>
        <w:jc w:val="both"/>
        <w:textAlignment w:val="baseline"/>
        <w:rPr>
          <w:rFonts w:ascii="Segoe UI" w:eastAsia="Times New Roman" w:hAnsi="Segoe UI" w:cs="Segoe UI"/>
          <w:color w:val="000000"/>
          <w:sz w:val="18"/>
          <w:szCs w:val="18"/>
        </w:rPr>
      </w:pPr>
    </w:p>
    <w:p w14:paraId="37617357" w14:textId="77777777" w:rsidR="006E4B91" w:rsidRPr="006E4B91" w:rsidRDefault="006E4B91" w:rsidP="006E4B91">
      <w:pPr>
        <w:spacing w:after="0"/>
        <w:jc w:val="both"/>
        <w:textAlignment w:val="baseline"/>
        <w:rPr>
          <w:rFonts w:ascii="Arial" w:eastAsia="Times New Roman" w:hAnsi="Arial" w:cs="Arial"/>
          <w:b/>
          <w:bCs/>
          <w:sz w:val="28"/>
          <w:szCs w:val="28"/>
        </w:rPr>
      </w:pPr>
      <w:r w:rsidRPr="006E4B91">
        <w:rPr>
          <w:rFonts w:ascii="Arial" w:eastAsia="Times New Roman" w:hAnsi="Arial" w:cs="Arial"/>
          <w:b/>
          <w:bCs/>
          <w:sz w:val="28"/>
          <w:szCs w:val="28"/>
        </w:rPr>
        <w:t>Prudential Standard LPS 310 Audit and Related Matters</w:t>
      </w:r>
    </w:p>
    <w:p w14:paraId="30929132" w14:textId="77777777" w:rsidR="006E4B91" w:rsidRPr="006E4B91" w:rsidRDefault="006E4B91" w:rsidP="006E4B91">
      <w:pPr>
        <w:spacing w:after="0"/>
        <w:jc w:val="both"/>
        <w:textAlignment w:val="baseline"/>
        <w:rPr>
          <w:rFonts w:ascii="Arial" w:eastAsia="Times New Roman" w:hAnsi="Arial" w:cs="Arial"/>
          <w:i/>
          <w:iCs/>
          <w:sz w:val="28"/>
          <w:szCs w:val="28"/>
        </w:rPr>
      </w:pPr>
    </w:p>
    <w:p w14:paraId="01D8F4AC" w14:textId="77777777" w:rsidR="006E4B91" w:rsidRPr="006E4B91" w:rsidRDefault="006E4B91" w:rsidP="006E4B91">
      <w:pPr>
        <w:pBdr>
          <w:bottom w:val="single" w:sz="6" w:space="1" w:color="auto"/>
        </w:pBdr>
        <w:spacing w:after="0"/>
        <w:jc w:val="both"/>
        <w:textAlignment w:val="baseline"/>
        <w:rPr>
          <w:rFonts w:ascii="Segoe UI" w:eastAsia="Times New Roman" w:hAnsi="Segoe UI" w:cs="Segoe UI"/>
          <w:color w:val="000000"/>
          <w:sz w:val="18"/>
          <w:szCs w:val="18"/>
        </w:rPr>
      </w:pPr>
      <w:r w:rsidRPr="006E4B91">
        <w:rPr>
          <w:rFonts w:ascii="Arial" w:eastAsia="Times New Roman" w:hAnsi="Arial" w:cs="Arial"/>
          <w:i/>
          <w:iCs/>
          <w:sz w:val="28"/>
          <w:szCs w:val="28"/>
        </w:rPr>
        <w:t>Life Insurance Act 1995</w:t>
      </w:r>
    </w:p>
    <w:p w14:paraId="5AB40B7F" w14:textId="77777777" w:rsidR="006E4B91" w:rsidRPr="006E4B91" w:rsidRDefault="006E4B91" w:rsidP="006E4B91">
      <w:pPr>
        <w:spacing w:after="0"/>
        <w:jc w:val="both"/>
        <w:textAlignment w:val="baseline"/>
        <w:rPr>
          <w:rFonts w:ascii="Segoe UI" w:eastAsia="Times New Roman" w:hAnsi="Segoe UI" w:cs="Segoe UI"/>
          <w:color w:val="000000"/>
          <w:sz w:val="18"/>
          <w:szCs w:val="18"/>
        </w:rPr>
      </w:pPr>
    </w:p>
    <w:p w14:paraId="4829E76B" w14:textId="77777777" w:rsidR="006E4B91" w:rsidRPr="006E4B91" w:rsidRDefault="006E4B91" w:rsidP="006E4B91">
      <w:pPr>
        <w:shd w:val="clear" w:color="auto" w:fill="FFFFFF"/>
        <w:spacing w:after="0"/>
        <w:jc w:val="both"/>
        <w:textAlignment w:val="baseline"/>
        <w:rPr>
          <w:rFonts w:ascii="Segoe UI" w:eastAsia="Times New Roman" w:hAnsi="Segoe UI" w:cs="Segoe UI"/>
          <w:color w:val="000000"/>
          <w:sz w:val="22"/>
          <w:szCs w:val="22"/>
        </w:rPr>
      </w:pPr>
      <w:r w:rsidRPr="006E4B91">
        <w:rPr>
          <w:rFonts w:ascii="Arial" w:eastAsia="Times New Roman" w:hAnsi="Arial" w:cs="Arial"/>
          <w:color w:val="000000"/>
          <w:sz w:val="22"/>
          <w:szCs w:val="22"/>
        </w:rPr>
        <w:t>I, Clare Gibney, delegate of APRA:</w:t>
      </w:r>
    </w:p>
    <w:p w14:paraId="0A9FDD60" w14:textId="77777777" w:rsidR="006E4B91" w:rsidRPr="006E4B91" w:rsidRDefault="006E4B91" w:rsidP="006E4B91">
      <w:pPr>
        <w:shd w:val="clear" w:color="auto" w:fill="FFFFFF"/>
        <w:spacing w:after="0"/>
        <w:jc w:val="both"/>
        <w:textAlignment w:val="baseline"/>
        <w:rPr>
          <w:rFonts w:ascii="Segoe UI" w:eastAsia="Times New Roman" w:hAnsi="Segoe UI" w:cs="Segoe UI"/>
          <w:color w:val="000000"/>
          <w:sz w:val="22"/>
          <w:szCs w:val="22"/>
        </w:rPr>
      </w:pPr>
    </w:p>
    <w:p w14:paraId="31FC55C3" w14:textId="77777777" w:rsidR="006E4B91" w:rsidRPr="006E4B91" w:rsidRDefault="006E4B91" w:rsidP="006E4B91">
      <w:pPr>
        <w:numPr>
          <w:ilvl w:val="0"/>
          <w:numId w:val="24"/>
        </w:numPr>
        <w:shd w:val="clear" w:color="auto" w:fill="FFFFFF"/>
        <w:spacing w:after="0"/>
        <w:ind w:left="567" w:hanging="567"/>
        <w:jc w:val="both"/>
        <w:textAlignment w:val="baseline"/>
        <w:rPr>
          <w:rFonts w:ascii="Arial" w:eastAsia="Times New Roman" w:hAnsi="Arial" w:cs="Arial"/>
          <w:color w:val="000000"/>
          <w:sz w:val="22"/>
          <w:szCs w:val="22"/>
        </w:rPr>
      </w:pPr>
      <w:r w:rsidRPr="006E4B91">
        <w:rPr>
          <w:rFonts w:ascii="Arial" w:eastAsia="Times New Roman" w:hAnsi="Arial" w:cs="Arial"/>
          <w:color w:val="000000"/>
          <w:sz w:val="22"/>
          <w:szCs w:val="22"/>
        </w:rPr>
        <w:t>under subsection 230</w:t>
      </w:r>
      <w:proofErr w:type="gramStart"/>
      <w:r w:rsidRPr="006E4B91">
        <w:rPr>
          <w:rFonts w:ascii="Arial" w:eastAsia="Times New Roman" w:hAnsi="Arial" w:cs="Arial"/>
          <w:color w:val="000000"/>
          <w:sz w:val="22"/>
          <w:szCs w:val="22"/>
        </w:rPr>
        <w:t>A(</w:t>
      </w:r>
      <w:proofErr w:type="gramEnd"/>
      <w:r w:rsidRPr="006E4B91">
        <w:rPr>
          <w:rFonts w:ascii="Arial" w:eastAsia="Times New Roman" w:hAnsi="Arial" w:cs="Arial"/>
          <w:color w:val="000000"/>
          <w:sz w:val="22"/>
          <w:szCs w:val="22"/>
        </w:rPr>
        <w:t>5) of the </w:t>
      </w:r>
      <w:r w:rsidRPr="006E4B91">
        <w:rPr>
          <w:rFonts w:ascii="Arial" w:eastAsia="Times New Roman" w:hAnsi="Arial" w:cs="Arial"/>
          <w:i/>
          <w:iCs/>
          <w:color w:val="000000"/>
          <w:sz w:val="22"/>
          <w:szCs w:val="22"/>
        </w:rPr>
        <w:t xml:space="preserve">Life Insurance Act 1995 </w:t>
      </w:r>
      <w:r w:rsidRPr="006E4B91">
        <w:rPr>
          <w:rFonts w:ascii="Arial" w:eastAsia="Times New Roman" w:hAnsi="Arial" w:cs="Arial"/>
          <w:iCs/>
          <w:color w:val="000000"/>
          <w:sz w:val="22"/>
          <w:szCs w:val="22"/>
        </w:rPr>
        <w:t>(the Act)</w:t>
      </w:r>
      <w:r w:rsidRPr="006E4B91">
        <w:rPr>
          <w:rFonts w:ascii="Arial" w:eastAsia="Times New Roman" w:hAnsi="Arial" w:cs="Arial"/>
          <w:i/>
          <w:iCs/>
          <w:color w:val="000000"/>
          <w:sz w:val="22"/>
          <w:szCs w:val="22"/>
        </w:rPr>
        <w:t xml:space="preserve"> </w:t>
      </w:r>
      <w:r w:rsidRPr="006E4B91">
        <w:rPr>
          <w:rFonts w:ascii="Arial" w:eastAsia="Times New Roman" w:hAnsi="Arial" w:cs="Arial"/>
          <w:color w:val="000000"/>
          <w:sz w:val="22"/>
          <w:szCs w:val="22"/>
        </w:rPr>
        <w:t xml:space="preserve"> revoke Life Insurance (prudential standard) No. 11 of 2023, including </w:t>
      </w:r>
      <w:r w:rsidRPr="006E4B91">
        <w:rPr>
          <w:rFonts w:ascii="Arial" w:eastAsia="Times New Roman" w:hAnsi="Arial" w:cs="Arial"/>
          <w:i/>
          <w:color w:val="000000"/>
          <w:sz w:val="22"/>
          <w:szCs w:val="22"/>
        </w:rPr>
        <w:t xml:space="preserve">Prudential Standard LPS 310 Audit and Related Matters </w:t>
      </w:r>
      <w:r w:rsidRPr="006E4B91">
        <w:rPr>
          <w:rFonts w:ascii="Arial" w:eastAsia="Times New Roman" w:hAnsi="Arial" w:cs="Arial"/>
          <w:color w:val="000000"/>
          <w:sz w:val="22"/>
          <w:szCs w:val="22"/>
        </w:rPr>
        <w:t xml:space="preserve">made under that Determination; and </w:t>
      </w:r>
    </w:p>
    <w:p w14:paraId="3872E1EC" w14:textId="77777777" w:rsidR="006E4B91" w:rsidRPr="006E4B91" w:rsidRDefault="006E4B91" w:rsidP="006E4B91">
      <w:pPr>
        <w:shd w:val="clear" w:color="auto" w:fill="FFFFFF"/>
        <w:spacing w:after="0"/>
        <w:ind w:left="567"/>
        <w:jc w:val="both"/>
        <w:textAlignment w:val="baseline"/>
        <w:rPr>
          <w:rFonts w:ascii="Arial" w:eastAsia="Times New Roman" w:hAnsi="Arial" w:cs="Arial"/>
          <w:color w:val="000000"/>
          <w:sz w:val="22"/>
          <w:szCs w:val="22"/>
        </w:rPr>
      </w:pPr>
    </w:p>
    <w:p w14:paraId="2A51EA89" w14:textId="5BACF18F" w:rsidR="006E4B91" w:rsidRPr="006E4B91" w:rsidRDefault="006E4B91" w:rsidP="006E4B91">
      <w:pPr>
        <w:numPr>
          <w:ilvl w:val="0"/>
          <w:numId w:val="24"/>
        </w:numPr>
        <w:shd w:val="clear" w:color="auto" w:fill="FFFFFF"/>
        <w:spacing w:after="0"/>
        <w:ind w:left="567" w:hanging="567"/>
        <w:jc w:val="both"/>
        <w:textAlignment w:val="baseline"/>
        <w:rPr>
          <w:rFonts w:ascii="Arial" w:eastAsia="Times New Roman" w:hAnsi="Arial" w:cs="Arial"/>
          <w:color w:val="000000"/>
          <w:sz w:val="22"/>
          <w:szCs w:val="22"/>
        </w:rPr>
      </w:pPr>
      <w:r w:rsidRPr="006E4B91">
        <w:rPr>
          <w:rFonts w:ascii="Arial" w:eastAsia="Times New Roman" w:hAnsi="Arial" w:cs="Arial"/>
          <w:color w:val="000000"/>
          <w:sz w:val="22"/>
          <w:szCs w:val="22"/>
        </w:rPr>
        <w:t>under subsection 230</w:t>
      </w:r>
      <w:proofErr w:type="gramStart"/>
      <w:r w:rsidRPr="006E4B91">
        <w:rPr>
          <w:rFonts w:ascii="Arial" w:eastAsia="Times New Roman" w:hAnsi="Arial" w:cs="Arial"/>
          <w:color w:val="000000"/>
          <w:sz w:val="22"/>
          <w:szCs w:val="22"/>
        </w:rPr>
        <w:t>A(</w:t>
      </w:r>
      <w:proofErr w:type="gramEnd"/>
      <w:r w:rsidRPr="006E4B91">
        <w:rPr>
          <w:rFonts w:ascii="Arial" w:eastAsia="Times New Roman" w:hAnsi="Arial" w:cs="Arial"/>
          <w:color w:val="000000"/>
          <w:sz w:val="22"/>
          <w:szCs w:val="22"/>
        </w:rPr>
        <w:t>1) of the </w:t>
      </w:r>
      <w:r w:rsidRPr="006E4B91">
        <w:rPr>
          <w:rFonts w:ascii="Arial" w:eastAsia="Times New Roman" w:hAnsi="Arial" w:cs="Arial"/>
          <w:i/>
          <w:iCs/>
          <w:color w:val="000000"/>
          <w:sz w:val="22"/>
          <w:szCs w:val="22"/>
        </w:rPr>
        <w:t>Life Insurance Act 1995</w:t>
      </w:r>
      <w:r w:rsidRPr="006E4B91">
        <w:rPr>
          <w:rFonts w:ascii="Arial" w:eastAsia="Times New Roman" w:hAnsi="Arial" w:cs="Arial"/>
          <w:color w:val="000000"/>
          <w:sz w:val="22"/>
          <w:szCs w:val="22"/>
        </w:rPr>
        <w:t xml:space="preserve"> determine </w:t>
      </w:r>
      <w:r w:rsidRPr="006E4B91">
        <w:rPr>
          <w:rFonts w:ascii="Arial" w:eastAsia="Times New Roman" w:hAnsi="Arial" w:cs="Arial"/>
          <w:i/>
          <w:iCs/>
          <w:color w:val="000000"/>
          <w:sz w:val="22"/>
          <w:szCs w:val="22"/>
        </w:rPr>
        <w:t xml:space="preserve">Prudential Standard </w:t>
      </w:r>
      <w:r w:rsidR="0016698C" w:rsidRPr="006E4B91">
        <w:rPr>
          <w:rFonts w:ascii="Arial" w:eastAsia="Times New Roman" w:hAnsi="Arial" w:cs="Arial"/>
          <w:i/>
          <w:color w:val="000000"/>
          <w:sz w:val="22"/>
          <w:szCs w:val="22"/>
        </w:rPr>
        <w:t>LPS 310 Audit</w:t>
      </w:r>
      <w:r w:rsidRPr="006E4B91">
        <w:rPr>
          <w:rFonts w:ascii="Arial" w:eastAsia="Times New Roman" w:hAnsi="Arial" w:cs="Arial"/>
          <w:i/>
          <w:iCs/>
          <w:color w:val="000000"/>
          <w:sz w:val="22"/>
          <w:szCs w:val="22"/>
        </w:rPr>
        <w:t xml:space="preserve"> and Related </w:t>
      </w:r>
      <w:r w:rsidR="0016698C" w:rsidRPr="006E4B91">
        <w:rPr>
          <w:rFonts w:ascii="Arial" w:eastAsia="Times New Roman" w:hAnsi="Arial" w:cs="Arial"/>
          <w:i/>
          <w:color w:val="000000"/>
          <w:sz w:val="22"/>
          <w:szCs w:val="22"/>
        </w:rPr>
        <w:t>Matters</w:t>
      </w:r>
      <w:r w:rsidR="0016698C" w:rsidRPr="006E4B91">
        <w:rPr>
          <w:rFonts w:ascii="Arial" w:eastAsia="Times New Roman" w:hAnsi="Arial" w:cs="Arial"/>
          <w:color w:val="000000"/>
          <w:sz w:val="22"/>
          <w:szCs w:val="22"/>
        </w:rPr>
        <w:t xml:space="preserve"> </w:t>
      </w:r>
      <w:r w:rsidRPr="006E4B91">
        <w:rPr>
          <w:rFonts w:ascii="Arial" w:eastAsia="Times New Roman" w:hAnsi="Arial" w:cs="Arial"/>
          <w:color w:val="000000"/>
          <w:sz w:val="22"/>
          <w:szCs w:val="22"/>
        </w:rPr>
        <w:t> in the form set out in the Schedule, which applies to all life companies, including friendly societies.</w:t>
      </w:r>
    </w:p>
    <w:p w14:paraId="239F4E68" w14:textId="77777777" w:rsidR="006E4B91" w:rsidRPr="006E4B91" w:rsidRDefault="006E4B91" w:rsidP="006E4B91">
      <w:pPr>
        <w:shd w:val="clear" w:color="auto" w:fill="FFFFFF"/>
        <w:spacing w:after="0"/>
        <w:jc w:val="both"/>
        <w:textAlignment w:val="baseline"/>
        <w:rPr>
          <w:rFonts w:ascii="Arial" w:eastAsia="Times New Roman" w:hAnsi="Arial" w:cs="Arial"/>
          <w:color w:val="000000"/>
          <w:sz w:val="22"/>
          <w:szCs w:val="22"/>
        </w:rPr>
      </w:pPr>
    </w:p>
    <w:p w14:paraId="318FADF2" w14:textId="31F10388" w:rsidR="006E4B91" w:rsidRPr="006E4B91" w:rsidRDefault="006E4B91" w:rsidP="006E4B91">
      <w:pPr>
        <w:shd w:val="clear" w:color="auto" w:fill="FFFFFF"/>
        <w:spacing w:after="0"/>
        <w:jc w:val="both"/>
        <w:textAlignment w:val="baseline"/>
        <w:rPr>
          <w:rFonts w:ascii="Segoe UI" w:eastAsia="Times New Roman" w:hAnsi="Segoe UI" w:cs="Segoe UI"/>
          <w:color w:val="000000"/>
          <w:sz w:val="22"/>
          <w:szCs w:val="22"/>
        </w:rPr>
      </w:pPr>
      <w:r w:rsidRPr="006E4B91">
        <w:rPr>
          <w:rFonts w:ascii="Arial" w:eastAsia="Times New Roman" w:hAnsi="Arial" w:cs="Arial"/>
          <w:color w:val="000000"/>
          <w:sz w:val="22"/>
          <w:szCs w:val="22"/>
        </w:rPr>
        <w:t>This instrument commences on 18 December 2023.</w:t>
      </w:r>
    </w:p>
    <w:p w14:paraId="7010DF4C" w14:textId="77777777" w:rsidR="006E4B91" w:rsidRPr="006E4B91" w:rsidRDefault="006E4B91" w:rsidP="006E4B91">
      <w:pPr>
        <w:shd w:val="clear" w:color="auto" w:fill="FFFFFF"/>
        <w:spacing w:after="0"/>
        <w:jc w:val="both"/>
        <w:textAlignment w:val="baseline"/>
        <w:rPr>
          <w:rFonts w:ascii="Arial" w:eastAsia="Times New Roman" w:hAnsi="Arial" w:cs="Arial"/>
          <w:color w:val="000000"/>
          <w:sz w:val="22"/>
          <w:szCs w:val="22"/>
        </w:rPr>
      </w:pPr>
    </w:p>
    <w:p w14:paraId="52536443" w14:textId="11BA343E" w:rsidR="006E4B91" w:rsidRPr="00B6450F" w:rsidRDefault="006E4B91" w:rsidP="006E4B91">
      <w:pPr>
        <w:shd w:val="clear" w:color="auto" w:fill="FFFFFF"/>
        <w:spacing w:after="0"/>
        <w:jc w:val="both"/>
        <w:textAlignment w:val="baseline"/>
        <w:rPr>
          <w:rFonts w:ascii="Arial" w:eastAsia="Times New Roman" w:hAnsi="Arial" w:cs="Arial"/>
          <w:color w:val="000000"/>
          <w:sz w:val="22"/>
          <w:szCs w:val="22"/>
        </w:rPr>
      </w:pPr>
      <w:r w:rsidRPr="006E4B91">
        <w:rPr>
          <w:rFonts w:ascii="Arial" w:eastAsia="Times New Roman" w:hAnsi="Arial" w:cs="Arial"/>
          <w:color w:val="000000"/>
          <w:sz w:val="22"/>
          <w:szCs w:val="22"/>
        </w:rPr>
        <w:t xml:space="preserve">Dated: </w:t>
      </w:r>
      <w:r w:rsidR="00B6450F" w:rsidRPr="00B6450F">
        <w:rPr>
          <w:rFonts w:ascii="Arial" w:eastAsia="Times New Roman" w:hAnsi="Arial" w:cs="Arial"/>
          <w:color w:val="000000"/>
          <w:sz w:val="22"/>
          <w:szCs w:val="22"/>
        </w:rPr>
        <w:t>21 November 2023</w:t>
      </w:r>
    </w:p>
    <w:p w14:paraId="643A4FB4" w14:textId="77777777" w:rsidR="006E4B91" w:rsidRPr="00B6450F" w:rsidRDefault="006E4B91" w:rsidP="006E4B91">
      <w:pPr>
        <w:shd w:val="clear" w:color="auto" w:fill="FFFFFF"/>
        <w:spacing w:after="0"/>
        <w:jc w:val="both"/>
        <w:textAlignment w:val="baseline"/>
        <w:rPr>
          <w:rFonts w:ascii="Segoe UI" w:eastAsia="Times New Roman" w:hAnsi="Segoe UI" w:cs="Segoe UI"/>
          <w:color w:val="000000"/>
          <w:sz w:val="22"/>
          <w:szCs w:val="22"/>
        </w:rPr>
      </w:pPr>
    </w:p>
    <w:p w14:paraId="15B480AA" w14:textId="77777777" w:rsidR="006E4B91" w:rsidRPr="006E4B91" w:rsidRDefault="006E4B91" w:rsidP="006E4B91">
      <w:pPr>
        <w:shd w:val="clear" w:color="auto" w:fill="FFFFFF"/>
        <w:spacing w:after="0"/>
        <w:jc w:val="both"/>
        <w:textAlignment w:val="baseline"/>
        <w:rPr>
          <w:rFonts w:ascii="Segoe UI" w:eastAsia="Times New Roman" w:hAnsi="Segoe UI" w:cs="Segoe UI"/>
          <w:color w:val="000000"/>
          <w:sz w:val="18"/>
          <w:szCs w:val="18"/>
        </w:rPr>
      </w:pPr>
    </w:p>
    <w:p w14:paraId="48B8A42B" w14:textId="77777777" w:rsidR="006E4B91" w:rsidRPr="006E4B91" w:rsidRDefault="006E4B91" w:rsidP="006E4B91">
      <w:pPr>
        <w:shd w:val="clear" w:color="auto" w:fill="FFFFFF"/>
        <w:spacing w:after="0"/>
        <w:jc w:val="both"/>
        <w:textAlignment w:val="baseline"/>
        <w:rPr>
          <w:rFonts w:ascii="Arial" w:eastAsia="Times New Roman" w:hAnsi="Arial" w:cs="Arial"/>
          <w:color w:val="000000"/>
          <w:sz w:val="22"/>
          <w:szCs w:val="22"/>
        </w:rPr>
      </w:pPr>
      <w:r w:rsidRPr="006E4B91">
        <w:rPr>
          <w:rFonts w:ascii="Arial" w:eastAsia="Times New Roman" w:hAnsi="Arial" w:cs="Arial"/>
          <w:color w:val="000000"/>
          <w:sz w:val="22"/>
          <w:szCs w:val="22"/>
        </w:rPr>
        <w:t xml:space="preserve">Clare Gibney </w:t>
      </w:r>
    </w:p>
    <w:p w14:paraId="6E7ED81D" w14:textId="77777777" w:rsidR="006E4B91" w:rsidRPr="006E4B91" w:rsidRDefault="006E4B91" w:rsidP="006E4B91">
      <w:pPr>
        <w:shd w:val="clear" w:color="auto" w:fill="FFFFFF"/>
        <w:spacing w:after="0"/>
        <w:jc w:val="both"/>
        <w:textAlignment w:val="baseline"/>
        <w:rPr>
          <w:rFonts w:ascii="Arial" w:eastAsia="Times New Roman" w:hAnsi="Arial" w:cs="Arial"/>
          <w:color w:val="000000"/>
          <w:sz w:val="22"/>
          <w:szCs w:val="22"/>
        </w:rPr>
      </w:pPr>
      <w:r w:rsidRPr="006E4B91">
        <w:rPr>
          <w:rFonts w:ascii="Arial" w:eastAsia="Times New Roman" w:hAnsi="Arial" w:cs="Arial"/>
          <w:color w:val="000000"/>
          <w:sz w:val="22"/>
          <w:szCs w:val="22"/>
        </w:rPr>
        <w:t>Executive Director</w:t>
      </w:r>
    </w:p>
    <w:p w14:paraId="1335D037" w14:textId="77777777" w:rsidR="006E4B91" w:rsidRPr="006E4B91" w:rsidRDefault="006E4B91" w:rsidP="006E4B91">
      <w:pPr>
        <w:shd w:val="clear" w:color="auto" w:fill="FFFFFF"/>
        <w:spacing w:after="0"/>
        <w:jc w:val="both"/>
        <w:textAlignment w:val="baseline"/>
        <w:rPr>
          <w:rFonts w:ascii="Arial" w:eastAsia="Times New Roman" w:hAnsi="Arial" w:cs="Arial"/>
          <w:color w:val="000000"/>
          <w:sz w:val="22"/>
          <w:szCs w:val="22"/>
        </w:rPr>
      </w:pPr>
      <w:r w:rsidRPr="006E4B91">
        <w:rPr>
          <w:rFonts w:ascii="Arial" w:eastAsia="Times New Roman" w:hAnsi="Arial" w:cs="Arial"/>
          <w:color w:val="000000"/>
          <w:sz w:val="22"/>
          <w:szCs w:val="22"/>
        </w:rPr>
        <w:t xml:space="preserve">Policy &amp; Advice </w:t>
      </w:r>
    </w:p>
    <w:p w14:paraId="1281953E" w14:textId="77777777" w:rsidR="006E4B91" w:rsidRPr="006E4B91" w:rsidRDefault="006E4B91" w:rsidP="006E4B91">
      <w:pPr>
        <w:shd w:val="clear" w:color="auto" w:fill="FFFFFF"/>
        <w:spacing w:after="0"/>
        <w:jc w:val="both"/>
        <w:textAlignment w:val="baseline"/>
        <w:rPr>
          <w:rFonts w:ascii="Segoe UI" w:eastAsia="Times New Roman" w:hAnsi="Segoe UI" w:cs="Segoe UI"/>
          <w:color w:val="000000"/>
          <w:sz w:val="18"/>
          <w:szCs w:val="18"/>
        </w:rPr>
      </w:pPr>
      <w:r w:rsidRPr="006E4B91">
        <w:rPr>
          <w:rFonts w:ascii="Arial" w:eastAsia="Times New Roman" w:hAnsi="Arial" w:cs="Arial"/>
          <w:sz w:val="22"/>
          <w:szCs w:val="22"/>
        </w:rPr>
        <w:t> </w:t>
      </w:r>
    </w:p>
    <w:p w14:paraId="10471509" w14:textId="77777777" w:rsidR="006E4B91" w:rsidRPr="006E4B91" w:rsidRDefault="006E4B91" w:rsidP="006E4B91">
      <w:pPr>
        <w:shd w:val="clear" w:color="auto" w:fill="FFFFFF"/>
        <w:spacing w:after="0"/>
        <w:jc w:val="both"/>
        <w:textAlignment w:val="baseline"/>
        <w:rPr>
          <w:rFonts w:ascii="Segoe UI" w:eastAsia="Times New Roman" w:hAnsi="Segoe UI" w:cs="Segoe UI"/>
          <w:color w:val="000000"/>
          <w:sz w:val="18"/>
          <w:szCs w:val="18"/>
        </w:rPr>
      </w:pPr>
      <w:r w:rsidRPr="006E4B91">
        <w:rPr>
          <w:rFonts w:ascii="Arial" w:eastAsia="Times New Roman" w:hAnsi="Arial" w:cs="Arial"/>
          <w:b/>
          <w:bCs/>
          <w:color w:val="000000"/>
          <w:sz w:val="22"/>
          <w:szCs w:val="22"/>
        </w:rPr>
        <w:t> </w:t>
      </w:r>
      <w:r w:rsidRPr="006E4B91">
        <w:rPr>
          <w:rFonts w:ascii="Arial" w:eastAsia="Times New Roman" w:hAnsi="Arial" w:cs="Arial"/>
          <w:color w:val="000000"/>
          <w:sz w:val="22"/>
          <w:szCs w:val="22"/>
        </w:rPr>
        <w:t> </w:t>
      </w:r>
    </w:p>
    <w:p w14:paraId="11FEC5E0" w14:textId="77777777" w:rsidR="006E4B91" w:rsidRPr="006E4B91" w:rsidRDefault="006E4B91" w:rsidP="006E4B91">
      <w:pPr>
        <w:shd w:val="clear" w:color="auto" w:fill="FFFFFF"/>
        <w:spacing w:after="0"/>
        <w:jc w:val="both"/>
        <w:textAlignment w:val="baseline"/>
        <w:rPr>
          <w:rFonts w:ascii="Arial" w:eastAsia="Times New Roman" w:hAnsi="Arial" w:cs="Arial"/>
          <w:color w:val="000000"/>
          <w:sz w:val="22"/>
          <w:szCs w:val="22"/>
        </w:rPr>
      </w:pPr>
      <w:r w:rsidRPr="006E4B91">
        <w:rPr>
          <w:rFonts w:ascii="Arial" w:eastAsia="Times New Roman" w:hAnsi="Arial" w:cs="Arial"/>
          <w:b/>
          <w:bCs/>
          <w:color w:val="000000"/>
          <w:sz w:val="22"/>
          <w:szCs w:val="22"/>
        </w:rPr>
        <w:t>Interpretation</w:t>
      </w:r>
    </w:p>
    <w:p w14:paraId="75F9E06A" w14:textId="77777777" w:rsidR="006E4B91" w:rsidRPr="006E4B91" w:rsidRDefault="006E4B91" w:rsidP="006E4B91">
      <w:pPr>
        <w:shd w:val="clear" w:color="auto" w:fill="FFFFFF"/>
        <w:spacing w:after="0"/>
        <w:jc w:val="both"/>
        <w:textAlignment w:val="baseline"/>
        <w:rPr>
          <w:rFonts w:ascii="Segoe UI" w:eastAsia="Times New Roman" w:hAnsi="Segoe UI" w:cs="Segoe UI"/>
          <w:color w:val="000000"/>
          <w:sz w:val="18"/>
          <w:szCs w:val="18"/>
        </w:rPr>
      </w:pPr>
    </w:p>
    <w:p w14:paraId="0E232BA3" w14:textId="77777777" w:rsidR="006E4B91" w:rsidRPr="006E4B91" w:rsidRDefault="006E4B91" w:rsidP="006E4B91">
      <w:pPr>
        <w:shd w:val="clear" w:color="auto" w:fill="FFFFFF"/>
        <w:spacing w:after="0"/>
        <w:ind w:left="960" w:hanging="960"/>
        <w:jc w:val="both"/>
        <w:textAlignment w:val="baseline"/>
        <w:rPr>
          <w:rFonts w:ascii="Arial" w:eastAsia="Times New Roman" w:hAnsi="Arial" w:cs="Arial"/>
          <w:color w:val="000000"/>
          <w:sz w:val="22"/>
          <w:szCs w:val="22"/>
        </w:rPr>
      </w:pPr>
      <w:r w:rsidRPr="006E4B91">
        <w:rPr>
          <w:rFonts w:ascii="Arial" w:eastAsia="Times New Roman" w:hAnsi="Arial" w:cs="Arial"/>
          <w:color w:val="000000"/>
          <w:sz w:val="22"/>
          <w:szCs w:val="22"/>
        </w:rPr>
        <w:t>In this instrument:</w:t>
      </w:r>
    </w:p>
    <w:p w14:paraId="764DB9B1" w14:textId="77777777" w:rsidR="006E4B91" w:rsidRPr="006E4B91" w:rsidRDefault="006E4B91" w:rsidP="006E4B91">
      <w:pPr>
        <w:shd w:val="clear" w:color="auto" w:fill="FFFFFF"/>
        <w:spacing w:after="0"/>
        <w:ind w:left="960" w:hanging="960"/>
        <w:jc w:val="both"/>
        <w:textAlignment w:val="baseline"/>
        <w:rPr>
          <w:rFonts w:ascii="Segoe UI" w:eastAsia="Times New Roman" w:hAnsi="Segoe UI" w:cs="Segoe UI"/>
          <w:color w:val="000000"/>
          <w:sz w:val="18"/>
          <w:szCs w:val="18"/>
        </w:rPr>
      </w:pPr>
    </w:p>
    <w:p w14:paraId="1ED9C552" w14:textId="77777777" w:rsidR="006E4B91" w:rsidRPr="006E4B91" w:rsidRDefault="006E4B91" w:rsidP="006E4B91">
      <w:pPr>
        <w:shd w:val="clear" w:color="auto" w:fill="FFFFFF"/>
        <w:spacing w:after="0"/>
        <w:jc w:val="both"/>
        <w:textAlignment w:val="baseline"/>
        <w:rPr>
          <w:rFonts w:ascii="Arial" w:eastAsia="Times New Roman" w:hAnsi="Arial" w:cs="Arial"/>
          <w:color w:val="000000"/>
          <w:sz w:val="22"/>
          <w:szCs w:val="22"/>
        </w:rPr>
      </w:pPr>
      <w:r w:rsidRPr="006E4B91">
        <w:rPr>
          <w:rFonts w:ascii="Arial" w:eastAsia="Times New Roman" w:hAnsi="Arial" w:cs="Arial"/>
          <w:b/>
          <w:bCs/>
          <w:i/>
          <w:iCs/>
          <w:color w:val="000000"/>
          <w:sz w:val="22"/>
          <w:szCs w:val="22"/>
        </w:rPr>
        <w:t>APRA</w:t>
      </w:r>
      <w:r w:rsidRPr="006E4B91">
        <w:rPr>
          <w:rFonts w:ascii="Arial" w:eastAsia="Times New Roman" w:hAnsi="Arial" w:cs="Arial"/>
          <w:color w:val="000000"/>
          <w:sz w:val="22"/>
          <w:szCs w:val="22"/>
        </w:rPr>
        <w:t> means the Australian Prudential Regulation Authority.</w:t>
      </w:r>
    </w:p>
    <w:p w14:paraId="2373A4BF" w14:textId="77777777" w:rsidR="006E4B91" w:rsidRPr="006E4B91" w:rsidRDefault="006E4B91" w:rsidP="006E4B91">
      <w:pPr>
        <w:shd w:val="clear" w:color="auto" w:fill="FFFFFF"/>
        <w:spacing w:after="0"/>
        <w:jc w:val="both"/>
        <w:textAlignment w:val="baseline"/>
        <w:rPr>
          <w:rFonts w:ascii="Arial" w:eastAsia="Times New Roman" w:hAnsi="Arial" w:cs="Arial"/>
          <w:color w:val="000000"/>
          <w:sz w:val="22"/>
          <w:szCs w:val="22"/>
        </w:rPr>
      </w:pPr>
      <w:r w:rsidRPr="006E4B91">
        <w:rPr>
          <w:rFonts w:ascii="Arial" w:eastAsia="Times New Roman" w:hAnsi="Arial" w:cs="Arial"/>
          <w:b/>
          <w:bCs/>
          <w:i/>
          <w:iCs/>
          <w:color w:val="000000"/>
          <w:sz w:val="22"/>
          <w:szCs w:val="22"/>
        </w:rPr>
        <w:t>friendly society</w:t>
      </w:r>
      <w:r w:rsidRPr="006E4B91">
        <w:rPr>
          <w:rFonts w:ascii="Arial" w:eastAsia="Times New Roman" w:hAnsi="Arial" w:cs="Arial"/>
          <w:color w:val="000000"/>
          <w:sz w:val="22"/>
          <w:szCs w:val="22"/>
        </w:rPr>
        <w:t xml:space="preserve"> has the meaning given in section 16C of the Act.</w:t>
      </w:r>
    </w:p>
    <w:p w14:paraId="2683F194" w14:textId="77777777" w:rsidR="006E4B91" w:rsidRPr="006E4B91" w:rsidRDefault="006E4B91" w:rsidP="006E4B91">
      <w:pPr>
        <w:shd w:val="clear" w:color="auto" w:fill="FFFFFF"/>
        <w:spacing w:after="0"/>
        <w:jc w:val="both"/>
        <w:textAlignment w:val="baseline"/>
        <w:rPr>
          <w:rFonts w:ascii="Segoe UI" w:eastAsia="Times New Roman" w:hAnsi="Segoe UI" w:cs="Segoe UI"/>
          <w:color w:val="000000"/>
          <w:sz w:val="18"/>
          <w:szCs w:val="18"/>
        </w:rPr>
      </w:pPr>
      <w:r w:rsidRPr="006E4B91">
        <w:rPr>
          <w:rFonts w:ascii="Arial" w:eastAsia="Times New Roman" w:hAnsi="Arial" w:cs="Arial"/>
          <w:b/>
          <w:bCs/>
          <w:i/>
          <w:iCs/>
          <w:color w:val="000000"/>
          <w:sz w:val="22"/>
          <w:szCs w:val="22"/>
        </w:rPr>
        <w:t xml:space="preserve">life company </w:t>
      </w:r>
      <w:r w:rsidRPr="006E4B91">
        <w:rPr>
          <w:rFonts w:ascii="Arial" w:eastAsia="Times New Roman" w:hAnsi="Arial" w:cs="Arial"/>
          <w:color w:val="000000"/>
          <w:sz w:val="22"/>
          <w:szCs w:val="22"/>
        </w:rPr>
        <w:t>has the meaning given in the Dictionary to the </w:t>
      </w:r>
      <w:r w:rsidRPr="006E4B91">
        <w:rPr>
          <w:rFonts w:ascii="Arial" w:eastAsia="Times New Roman" w:hAnsi="Arial" w:cs="Arial"/>
          <w:i/>
          <w:iCs/>
          <w:color w:val="000000"/>
          <w:sz w:val="22"/>
          <w:szCs w:val="22"/>
        </w:rPr>
        <w:t>Life Insurance Act 1995</w:t>
      </w:r>
      <w:r w:rsidRPr="006E4B91">
        <w:rPr>
          <w:rFonts w:ascii="Arial" w:eastAsia="Times New Roman" w:hAnsi="Arial" w:cs="Arial"/>
          <w:color w:val="000000"/>
          <w:sz w:val="22"/>
          <w:szCs w:val="22"/>
        </w:rPr>
        <w:t>.</w:t>
      </w:r>
    </w:p>
    <w:p w14:paraId="2ED78B77" w14:textId="77777777" w:rsidR="006E4B91" w:rsidRPr="006E4B91" w:rsidRDefault="006E4B91" w:rsidP="006E4B91">
      <w:pPr>
        <w:spacing w:after="0"/>
        <w:jc w:val="both"/>
        <w:textAlignment w:val="baseline"/>
        <w:rPr>
          <w:rFonts w:ascii="Arial" w:eastAsia="Times New Roman" w:hAnsi="Arial" w:cs="Arial"/>
          <w:color w:val="000000"/>
          <w:sz w:val="22"/>
          <w:szCs w:val="22"/>
        </w:rPr>
      </w:pPr>
    </w:p>
    <w:p w14:paraId="1E0E1FC3" w14:textId="77777777" w:rsidR="006E4B91" w:rsidRPr="006E4B91" w:rsidRDefault="006E4B91" w:rsidP="006E4B91">
      <w:pPr>
        <w:spacing w:after="0"/>
        <w:jc w:val="both"/>
        <w:textAlignment w:val="baseline"/>
        <w:rPr>
          <w:rFonts w:ascii="Arial" w:eastAsia="Times New Roman" w:hAnsi="Arial" w:cs="Arial"/>
          <w:color w:val="000000"/>
          <w:sz w:val="22"/>
          <w:szCs w:val="22"/>
        </w:rPr>
      </w:pPr>
    </w:p>
    <w:p w14:paraId="1EE532EA" w14:textId="77777777" w:rsidR="006E4B91" w:rsidRPr="006E4B91" w:rsidRDefault="006E4B91" w:rsidP="006E4B91">
      <w:pPr>
        <w:spacing w:after="0"/>
        <w:jc w:val="both"/>
        <w:textAlignment w:val="baseline"/>
        <w:rPr>
          <w:rFonts w:ascii="Arial" w:eastAsia="Times New Roman" w:hAnsi="Arial" w:cs="Arial"/>
          <w:color w:val="000000"/>
          <w:sz w:val="22"/>
          <w:szCs w:val="22"/>
        </w:rPr>
        <w:sectPr w:rsidR="006E4B91" w:rsidRPr="006E4B91" w:rsidSect="00417A6F">
          <w:pgSz w:w="11906" w:h="16838" w:code="9"/>
          <w:pgMar w:top="1135" w:right="1440" w:bottom="1440" w:left="1440" w:header="567" w:footer="567" w:gutter="0"/>
          <w:pgNumType w:start="1"/>
          <w:cols w:space="708"/>
          <w:docGrid w:linePitch="360"/>
        </w:sectPr>
      </w:pPr>
    </w:p>
    <w:p w14:paraId="59DF01E4" w14:textId="77777777" w:rsidR="006E4B91" w:rsidRPr="006E4B91" w:rsidRDefault="006E4B91" w:rsidP="006E4B91">
      <w:pPr>
        <w:spacing w:after="0"/>
        <w:jc w:val="both"/>
        <w:textAlignment w:val="baseline"/>
        <w:rPr>
          <w:rFonts w:ascii="Segoe UI" w:eastAsia="Times New Roman" w:hAnsi="Segoe UI" w:cs="Segoe UI"/>
          <w:color w:val="000000"/>
          <w:sz w:val="18"/>
          <w:szCs w:val="18"/>
        </w:rPr>
      </w:pPr>
      <w:r w:rsidRPr="006E4B91">
        <w:rPr>
          <w:rFonts w:ascii="Arial" w:eastAsia="Times New Roman" w:hAnsi="Arial" w:cs="Arial"/>
          <w:b/>
          <w:bCs/>
          <w:sz w:val="32"/>
          <w:szCs w:val="32"/>
        </w:rPr>
        <w:lastRenderedPageBreak/>
        <w:t>Schedule</w:t>
      </w:r>
    </w:p>
    <w:p w14:paraId="5B585B39" w14:textId="77777777" w:rsidR="006E4B91" w:rsidRPr="006E4B91" w:rsidRDefault="006E4B91" w:rsidP="006E4B91">
      <w:pPr>
        <w:spacing w:after="0"/>
        <w:jc w:val="both"/>
        <w:textAlignment w:val="baseline"/>
        <w:rPr>
          <w:rFonts w:ascii="Arial" w:eastAsia="Times New Roman" w:hAnsi="Arial" w:cs="Arial"/>
          <w:i/>
          <w:iCs/>
          <w:sz w:val="22"/>
          <w:szCs w:val="22"/>
        </w:rPr>
      </w:pPr>
    </w:p>
    <w:p w14:paraId="67B079EA" w14:textId="77777777" w:rsidR="006E4B91" w:rsidRPr="006E4B91" w:rsidRDefault="006E4B91" w:rsidP="006E4B91">
      <w:pPr>
        <w:spacing w:after="0"/>
        <w:jc w:val="both"/>
        <w:textAlignment w:val="baseline"/>
        <w:rPr>
          <w:rFonts w:eastAsia="Times New Roman"/>
        </w:rPr>
      </w:pPr>
      <w:r w:rsidRPr="006E4B91">
        <w:rPr>
          <w:rFonts w:ascii="Arial" w:eastAsia="Times New Roman" w:hAnsi="Arial" w:cs="Arial"/>
          <w:i/>
          <w:iCs/>
          <w:sz w:val="22"/>
          <w:szCs w:val="22"/>
        </w:rPr>
        <w:t xml:space="preserve">Prudential Standard LPS 310 Audit and Related Matters </w:t>
      </w:r>
      <w:r w:rsidRPr="006E4B91">
        <w:rPr>
          <w:rFonts w:ascii="Arial" w:eastAsia="Times New Roman" w:hAnsi="Arial" w:cs="Arial"/>
          <w:sz w:val="22"/>
          <w:szCs w:val="22"/>
        </w:rPr>
        <w:t>comprises the document commencing on the following page.</w:t>
      </w:r>
    </w:p>
    <w:p w14:paraId="6A290987" w14:textId="77777777" w:rsidR="00007AD2" w:rsidRDefault="00007AD2" w:rsidP="003B52EB">
      <w:pPr>
        <w:spacing w:after="0"/>
        <w:sectPr w:rsidR="00007AD2" w:rsidSect="00625A2B">
          <w:headerReference w:type="default" r:id="rId12"/>
          <w:pgSz w:w="11906" w:h="16838" w:code="9"/>
          <w:pgMar w:top="1440" w:right="1797" w:bottom="1440" w:left="1797" w:header="709" w:footer="709" w:gutter="0"/>
          <w:pgNumType w:start="1"/>
          <w:cols w:space="708"/>
          <w:docGrid w:linePitch="360"/>
        </w:sectPr>
      </w:pPr>
    </w:p>
    <w:p w14:paraId="6D2823BB" w14:textId="6D205CE5" w:rsidR="003B52EB" w:rsidRDefault="00506079" w:rsidP="003B52EB">
      <w:pPr>
        <w:spacing w:after="0"/>
      </w:pPr>
      <w:r>
        <w:rPr>
          <w:noProof/>
          <w:lang w:val="en-US" w:eastAsia="en-US"/>
        </w:rPr>
        <w:lastRenderedPageBreak/>
        <w:drawing>
          <wp:inline distT="0" distB="0" distL="0" distR="0" wp14:anchorId="598C4DA6" wp14:editId="49E35CB8">
            <wp:extent cx="1485900" cy="1095375"/>
            <wp:effectExtent l="0" t="0" r="0" b="9525"/>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7EF9D5E" w14:textId="4E6CAE1D" w:rsidR="00DA3651" w:rsidRPr="009B6212" w:rsidRDefault="006A6A52" w:rsidP="001F6B8D">
      <w:pPr>
        <w:pStyle w:val="Title"/>
      </w:pPr>
      <w:bookmarkStart w:id="0" w:name="_Toc326937696"/>
      <w:r w:rsidRPr="001F6B8D">
        <w:t>Prudential</w:t>
      </w:r>
      <w:r w:rsidRPr="009B6212">
        <w:t xml:space="preserve"> Standard</w:t>
      </w:r>
      <w:r w:rsidRPr="00E07F40">
        <w:rPr>
          <w:rStyle w:val="PSNofieldtext"/>
        </w:rPr>
        <w:t xml:space="preserve"> </w:t>
      </w:r>
      <w:r w:rsidR="005A7660">
        <w:rPr>
          <w:rStyle w:val="PSNofieldtext"/>
        </w:rPr>
        <w:fldChar w:fldCharType="begin">
          <w:ffData>
            <w:name w:val="Text1"/>
            <w:enabled/>
            <w:calcOnExit w:val="0"/>
            <w:textInput>
              <w:default w:val="LPS 310"/>
            </w:textInput>
          </w:ffData>
        </w:fldChar>
      </w:r>
      <w:bookmarkStart w:id="1" w:name="Text1"/>
      <w:r w:rsidR="005A7660">
        <w:rPr>
          <w:rStyle w:val="PSNofieldtext"/>
        </w:rPr>
        <w:instrText xml:space="preserve"> FORMTEXT </w:instrText>
      </w:r>
      <w:r w:rsidR="005A7660">
        <w:rPr>
          <w:rStyle w:val="PSNofieldtext"/>
        </w:rPr>
      </w:r>
      <w:r w:rsidR="005A7660">
        <w:rPr>
          <w:rStyle w:val="PSNofieldtext"/>
        </w:rPr>
        <w:fldChar w:fldCharType="separate"/>
      </w:r>
      <w:r w:rsidR="005A7660">
        <w:rPr>
          <w:rStyle w:val="PSNofieldtext"/>
          <w:noProof/>
        </w:rPr>
        <w:t>LPS 310</w:t>
      </w:r>
      <w:r w:rsidR="005A7660">
        <w:rPr>
          <w:rStyle w:val="PSNofieldtext"/>
        </w:rPr>
        <w:fldChar w:fldCharType="end"/>
      </w:r>
      <w:bookmarkEnd w:id="1"/>
      <w:r w:rsidR="005A7660" w:rsidRPr="009B6212">
        <w:t xml:space="preserve">  </w:t>
      </w:r>
    </w:p>
    <w:bookmarkEnd w:id="0"/>
    <w:p w14:paraId="69E2C5B9" w14:textId="4BE7D15F" w:rsidR="005A7660" w:rsidRPr="005A7660" w:rsidRDefault="005A7660" w:rsidP="005A7660">
      <w:pPr>
        <w:pStyle w:val="Title"/>
      </w:pPr>
      <w:r>
        <w:rPr>
          <w:rStyle w:val="PSNamefieldtext"/>
        </w:rPr>
        <w:fldChar w:fldCharType="begin">
          <w:ffData>
            <w:name w:val="Text2"/>
            <w:enabled/>
            <w:calcOnExit w:val="0"/>
            <w:textInput>
              <w:default w:val="Audit and Related Matters"/>
            </w:textInput>
          </w:ffData>
        </w:fldChar>
      </w:r>
      <w:bookmarkStart w:id="2" w:name="Text2"/>
      <w:r>
        <w:rPr>
          <w:rStyle w:val="PSNamefieldtext"/>
        </w:rPr>
        <w:instrText xml:space="preserve"> FORMTEXT </w:instrText>
      </w:r>
      <w:r>
        <w:rPr>
          <w:rStyle w:val="PSNamefieldtext"/>
        </w:rPr>
      </w:r>
      <w:r>
        <w:rPr>
          <w:rStyle w:val="PSNamefieldtext"/>
        </w:rPr>
        <w:fldChar w:fldCharType="separate"/>
      </w:r>
      <w:r>
        <w:rPr>
          <w:rStyle w:val="PSNamefieldtext"/>
          <w:noProof/>
        </w:rPr>
        <w:t>Audit and Related Matters</w:t>
      </w:r>
      <w:r>
        <w:rPr>
          <w:rStyle w:val="PSNamefieldtext"/>
        </w:rPr>
        <w:fldChar w:fldCharType="end"/>
      </w:r>
      <w:bookmarkEnd w:id="2"/>
      <w:r w:rsidRPr="00110917">
        <w:t xml:space="preserve"> </w:t>
      </w:r>
      <w:r>
        <w:t xml:space="preserve"> </w:t>
      </w:r>
    </w:p>
    <w:tbl>
      <w:tblPr>
        <w:tblStyle w:val="TableGrid"/>
        <w:tblW w:w="0" w:type="auto"/>
        <w:shd w:val="clear" w:color="auto" w:fill="DDDDDD"/>
        <w:tblLook w:val="04A0" w:firstRow="1" w:lastRow="0" w:firstColumn="1" w:lastColumn="0" w:noHBand="0" w:noVBand="1"/>
      </w:tblPr>
      <w:tblGrid>
        <w:gridCol w:w="8302"/>
      </w:tblGrid>
      <w:tr w:rsidR="0048511B" w14:paraId="4ED885C6" w14:textId="77777777" w:rsidTr="00DF539C">
        <w:tc>
          <w:tcPr>
            <w:tcW w:w="8528" w:type="dxa"/>
            <w:shd w:val="clear" w:color="auto" w:fill="DDDDDD"/>
          </w:tcPr>
          <w:p w14:paraId="67336295" w14:textId="77777777" w:rsidR="003C46D7" w:rsidRPr="00B37C03" w:rsidRDefault="003C46D7" w:rsidP="00656D42">
            <w:pPr>
              <w:pStyle w:val="BoxHeading"/>
            </w:pPr>
            <w:r w:rsidRPr="00B37C03">
              <w:t xml:space="preserve">Objectives and key requirements of this Prudential </w:t>
            </w:r>
            <w:r w:rsidRPr="00173A04">
              <w:t>Standard</w:t>
            </w:r>
          </w:p>
          <w:p w14:paraId="495F0050" w14:textId="77777777" w:rsidR="00641A14" w:rsidRDefault="0048511B" w:rsidP="0048511B">
            <w:r>
              <w:t xml:space="preserve">This Prudential Standard </w:t>
            </w:r>
            <w:r w:rsidR="00811D65" w:rsidRPr="0046699E">
              <w:t xml:space="preserve">sets out the roles and responsibilities of a life company’s Auditor. It also sets out the obligations of a life company to </w:t>
            </w:r>
            <w:proofErr w:type="gramStart"/>
            <w:r w:rsidR="00811D65" w:rsidRPr="0046699E">
              <w:t>make arrangements</w:t>
            </w:r>
            <w:proofErr w:type="gramEnd"/>
            <w:r w:rsidR="00811D65" w:rsidRPr="0046699E">
              <w:t xml:space="preserve"> to enable its Auditor to fulfil his or her responsibilities.</w:t>
            </w:r>
            <w:r w:rsidR="00641A14">
              <w:t xml:space="preserve"> </w:t>
            </w:r>
          </w:p>
          <w:p w14:paraId="59DDF73F" w14:textId="3083BFBA" w:rsidR="00641A14" w:rsidRDefault="00641A14" w:rsidP="0048511B">
            <w:r w:rsidRPr="0046699E">
              <w:t>The ultimate responsibility for providing impartial advice in relation to the operations, financial condition and internal control of a life company rests with the Auditor. This advice is designed to assist the</w:t>
            </w:r>
            <w:r>
              <w:t xml:space="preserve"> </w:t>
            </w:r>
            <w:r w:rsidRPr="0046699E">
              <w:t>Board and senior management in carrying out their responsibility for the sound and prudent management of the life company.</w:t>
            </w:r>
          </w:p>
          <w:p w14:paraId="46F428C3" w14:textId="77777777" w:rsidR="0048511B" w:rsidRDefault="0048511B" w:rsidP="0048511B">
            <w:r>
              <w:t>The key requirements of this Prudential Standard include:</w:t>
            </w:r>
          </w:p>
          <w:p w14:paraId="1FCC9D3B" w14:textId="0F6D78D8" w:rsidR="00173A04" w:rsidRPr="00641A14" w:rsidRDefault="00641A14" w:rsidP="00001D43">
            <w:pPr>
              <w:pStyle w:val="BoxBullet"/>
            </w:pPr>
            <w:r w:rsidRPr="0046699E">
              <w:rPr>
                <w:szCs w:val="24"/>
              </w:rPr>
              <w:t>the life company must make arrangements to enable the Auditor to undertake his or her role and</w:t>
            </w:r>
            <w:r>
              <w:rPr>
                <w:szCs w:val="24"/>
              </w:rPr>
              <w:t xml:space="preserve"> </w:t>
            </w:r>
            <w:proofErr w:type="gramStart"/>
            <w:r w:rsidRPr="0046699E">
              <w:rPr>
                <w:szCs w:val="24"/>
              </w:rPr>
              <w:t>responsibilities;</w:t>
            </w:r>
            <w:proofErr w:type="gramEnd"/>
          </w:p>
          <w:p w14:paraId="75C1AF90" w14:textId="4B2AECF3" w:rsidR="00641A14" w:rsidRPr="00641A14" w:rsidRDefault="00641A14" w:rsidP="00001D43">
            <w:pPr>
              <w:pStyle w:val="BoxBullet"/>
            </w:pPr>
            <w:r w:rsidRPr="0046699E">
              <w:rPr>
                <w:szCs w:val="24"/>
              </w:rPr>
              <w:t>the Auditor must prepare the reports required in accordance with the requirements of and timeframes specified in this Prudential</w:t>
            </w:r>
            <w:r>
              <w:rPr>
                <w:szCs w:val="24"/>
              </w:rPr>
              <w:t xml:space="preserve"> </w:t>
            </w:r>
            <w:proofErr w:type="gramStart"/>
            <w:r w:rsidRPr="0046699E">
              <w:rPr>
                <w:szCs w:val="24"/>
              </w:rPr>
              <w:t>Standard;</w:t>
            </w:r>
            <w:proofErr w:type="gramEnd"/>
          </w:p>
          <w:p w14:paraId="48D104FD" w14:textId="5456BA26" w:rsidR="00641A14" w:rsidRPr="00641A14" w:rsidRDefault="00641A14" w:rsidP="00001D43">
            <w:pPr>
              <w:pStyle w:val="BoxBullet"/>
            </w:pPr>
            <w:r w:rsidRPr="0046699E">
              <w:rPr>
                <w:szCs w:val="24"/>
              </w:rPr>
              <w:t>the life company must submit to APRA all reports to be prepared by the</w:t>
            </w:r>
            <w:r>
              <w:rPr>
                <w:szCs w:val="24"/>
              </w:rPr>
              <w:t xml:space="preserve"> </w:t>
            </w:r>
            <w:proofErr w:type="gramStart"/>
            <w:r w:rsidRPr="0046699E">
              <w:rPr>
                <w:szCs w:val="24"/>
              </w:rPr>
              <w:t>Auditor;</w:t>
            </w:r>
            <w:proofErr w:type="gramEnd"/>
          </w:p>
          <w:p w14:paraId="1E3017E0" w14:textId="1ECEE2EA" w:rsidR="00641A14" w:rsidRPr="00641A14" w:rsidRDefault="00641A14" w:rsidP="00001D43">
            <w:pPr>
              <w:pStyle w:val="BoxBullet"/>
            </w:pPr>
            <w:r w:rsidRPr="0046699E">
              <w:rPr>
                <w:szCs w:val="24"/>
              </w:rPr>
              <w:t xml:space="preserve">the Auditor must audit </w:t>
            </w:r>
            <w:bookmarkStart w:id="3" w:name="OLE_LINK1"/>
            <w:r w:rsidRPr="0046699E">
              <w:rPr>
                <w:szCs w:val="24"/>
              </w:rPr>
              <w:t xml:space="preserve">certain </w:t>
            </w:r>
            <w:bookmarkEnd w:id="3"/>
            <w:r w:rsidRPr="0046699E">
              <w:rPr>
                <w:szCs w:val="24"/>
              </w:rPr>
              <w:t>returns of the life company to APRA and provide a report to the Board of the life company;</w:t>
            </w:r>
            <w:r>
              <w:rPr>
                <w:szCs w:val="24"/>
              </w:rPr>
              <w:t xml:space="preserve"> and</w:t>
            </w:r>
          </w:p>
          <w:p w14:paraId="07B8927D" w14:textId="2A1C41BF" w:rsidR="00173A04" w:rsidRDefault="00641A14" w:rsidP="00641A14">
            <w:pPr>
              <w:pStyle w:val="BoxBullet"/>
            </w:pPr>
            <w:r w:rsidRPr="0046699E">
              <w:rPr>
                <w:szCs w:val="24"/>
              </w:rPr>
              <w:t>the Auditor must review other aspects of the life company’s operations on an annual basis and provide a report to the Board of the life company.</w:t>
            </w:r>
          </w:p>
        </w:tc>
      </w:tr>
    </w:tbl>
    <w:p w14:paraId="6390D7E4" w14:textId="77777777" w:rsidR="00BC2D08" w:rsidRDefault="00BC2D08" w:rsidP="00BC2D08">
      <w:pPr>
        <w:spacing w:after="0"/>
      </w:pPr>
    </w:p>
    <w:p w14:paraId="46B7334C" w14:textId="77777777" w:rsidR="00C67A76" w:rsidRDefault="00C67A76" w:rsidP="00C67A76"/>
    <w:p w14:paraId="7D37D2E8" w14:textId="19B296B3" w:rsidR="00C67A76" w:rsidRDefault="00C67A76" w:rsidP="00C67A76">
      <w:pPr>
        <w:sectPr w:rsidR="00C67A76" w:rsidSect="00625A2B">
          <w:headerReference w:type="default" r:id="rId14"/>
          <w:footerReference w:type="default" r:id="rId15"/>
          <w:pgSz w:w="11906" w:h="16838" w:code="9"/>
          <w:pgMar w:top="1440" w:right="1797" w:bottom="1440" w:left="1797" w:header="709" w:footer="709" w:gutter="0"/>
          <w:pgNumType w:start="1"/>
          <w:cols w:space="708"/>
          <w:docGrid w:linePitch="360"/>
        </w:sectPr>
      </w:pPr>
    </w:p>
    <w:p w14:paraId="61A3087D" w14:textId="77777777" w:rsidR="00C6788C" w:rsidRDefault="009D467A" w:rsidP="001F6B8D">
      <w:pPr>
        <w:pStyle w:val="TOCHeading"/>
      </w:pPr>
      <w:bookmarkStart w:id="4" w:name="_Toc326676936"/>
      <w:bookmarkStart w:id="5" w:name="_Toc326756341"/>
      <w:bookmarkStart w:id="6" w:name="_Toc256519850"/>
      <w:r>
        <w:lastRenderedPageBreak/>
        <w:t>Table of Contents</w:t>
      </w:r>
    </w:p>
    <w:p w14:paraId="3AC6C55F" w14:textId="7AEE6466" w:rsidR="00F97BAD"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09653080" w:history="1">
        <w:r w:rsidR="00F97BAD" w:rsidRPr="00387E66">
          <w:rPr>
            <w:rStyle w:val="Hyperlink"/>
          </w:rPr>
          <w:t>Authority</w:t>
        </w:r>
        <w:r w:rsidR="00F97BAD">
          <w:rPr>
            <w:webHidden/>
          </w:rPr>
          <w:tab/>
        </w:r>
        <w:r w:rsidR="00F97BAD">
          <w:rPr>
            <w:webHidden/>
          </w:rPr>
          <w:fldChar w:fldCharType="begin"/>
        </w:r>
        <w:r w:rsidR="00F97BAD">
          <w:rPr>
            <w:webHidden/>
          </w:rPr>
          <w:instrText xml:space="preserve"> PAGEREF _Toc109653080 \h </w:instrText>
        </w:r>
        <w:r w:rsidR="00F97BAD">
          <w:rPr>
            <w:webHidden/>
          </w:rPr>
        </w:r>
        <w:r w:rsidR="00F97BAD">
          <w:rPr>
            <w:webHidden/>
          </w:rPr>
          <w:fldChar w:fldCharType="separate"/>
        </w:r>
        <w:r w:rsidR="00F97BAD">
          <w:rPr>
            <w:webHidden/>
          </w:rPr>
          <w:t>3</w:t>
        </w:r>
        <w:r w:rsidR="00F97BAD">
          <w:rPr>
            <w:webHidden/>
          </w:rPr>
          <w:fldChar w:fldCharType="end"/>
        </w:r>
      </w:hyperlink>
    </w:p>
    <w:p w14:paraId="768E9B96" w14:textId="50E5998F" w:rsidR="00F97BAD" w:rsidRDefault="00586A55">
      <w:pPr>
        <w:pStyle w:val="TOC1"/>
        <w:rPr>
          <w:rFonts w:asciiTheme="minorHAnsi" w:eastAsiaTheme="minorEastAsia" w:hAnsiTheme="minorHAnsi" w:cstheme="minorBidi"/>
          <w:sz w:val="22"/>
          <w:szCs w:val="22"/>
        </w:rPr>
      </w:pPr>
      <w:hyperlink w:anchor="_Toc109653081" w:history="1">
        <w:r w:rsidR="00F97BAD" w:rsidRPr="00387E66">
          <w:rPr>
            <w:rStyle w:val="Hyperlink"/>
          </w:rPr>
          <w:t>Application and commencement</w:t>
        </w:r>
        <w:r w:rsidR="00F97BAD">
          <w:rPr>
            <w:webHidden/>
          </w:rPr>
          <w:tab/>
        </w:r>
        <w:r w:rsidR="00F97BAD">
          <w:rPr>
            <w:webHidden/>
          </w:rPr>
          <w:fldChar w:fldCharType="begin"/>
        </w:r>
        <w:r w:rsidR="00F97BAD">
          <w:rPr>
            <w:webHidden/>
          </w:rPr>
          <w:instrText xml:space="preserve"> PAGEREF _Toc109653081 \h </w:instrText>
        </w:r>
        <w:r w:rsidR="00F97BAD">
          <w:rPr>
            <w:webHidden/>
          </w:rPr>
        </w:r>
        <w:r w:rsidR="00F97BAD">
          <w:rPr>
            <w:webHidden/>
          </w:rPr>
          <w:fldChar w:fldCharType="separate"/>
        </w:r>
        <w:r w:rsidR="00F97BAD">
          <w:rPr>
            <w:webHidden/>
          </w:rPr>
          <w:t>3</w:t>
        </w:r>
        <w:r w:rsidR="00F97BAD">
          <w:rPr>
            <w:webHidden/>
          </w:rPr>
          <w:fldChar w:fldCharType="end"/>
        </w:r>
      </w:hyperlink>
    </w:p>
    <w:p w14:paraId="57F3ADAC" w14:textId="736450BC" w:rsidR="00F97BAD" w:rsidRDefault="00586A55">
      <w:pPr>
        <w:pStyle w:val="TOC1"/>
        <w:rPr>
          <w:rFonts w:asciiTheme="minorHAnsi" w:eastAsiaTheme="minorEastAsia" w:hAnsiTheme="minorHAnsi" w:cstheme="minorBidi"/>
          <w:sz w:val="22"/>
          <w:szCs w:val="22"/>
        </w:rPr>
      </w:pPr>
      <w:hyperlink w:anchor="_Toc109653082" w:history="1">
        <w:r w:rsidR="00F97BAD" w:rsidRPr="00387E66">
          <w:rPr>
            <w:rStyle w:val="Hyperlink"/>
          </w:rPr>
          <w:t>Interpretation</w:t>
        </w:r>
        <w:r w:rsidR="00F97BAD">
          <w:rPr>
            <w:webHidden/>
          </w:rPr>
          <w:tab/>
        </w:r>
        <w:r w:rsidR="00F97BAD">
          <w:rPr>
            <w:webHidden/>
          </w:rPr>
          <w:fldChar w:fldCharType="begin"/>
        </w:r>
        <w:r w:rsidR="00F97BAD">
          <w:rPr>
            <w:webHidden/>
          </w:rPr>
          <w:instrText xml:space="preserve"> PAGEREF _Toc109653082 \h </w:instrText>
        </w:r>
        <w:r w:rsidR="00F97BAD">
          <w:rPr>
            <w:webHidden/>
          </w:rPr>
        </w:r>
        <w:r w:rsidR="00F97BAD">
          <w:rPr>
            <w:webHidden/>
          </w:rPr>
          <w:fldChar w:fldCharType="separate"/>
        </w:r>
        <w:r w:rsidR="00F97BAD">
          <w:rPr>
            <w:webHidden/>
          </w:rPr>
          <w:t>3</w:t>
        </w:r>
        <w:r w:rsidR="00F97BAD">
          <w:rPr>
            <w:webHidden/>
          </w:rPr>
          <w:fldChar w:fldCharType="end"/>
        </w:r>
      </w:hyperlink>
    </w:p>
    <w:p w14:paraId="3A5A73C8" w14:textId="608FA7C8" w:rsidR="00F97BAD" w:rsidRDefault="00586A55">
      <w:pPr>
        <w:pStyle w:val="TOC1"/>
        <w:rPr>
          <w:rFonts w:asciiTheme="minorHAnsi" w:eastAsiaTheme="minorEastAsia" w:hAnsiTheme="minorHAnsi" w:cstheme="minorBidi"/>
          <w:sz w:val="22"/>
          <w:szCs w:val="22"/>
        </w:rPr>
      </w:pPr>
      <w:hyperlink w:anchor="_Toc109653083" w:history="1">
        <w:r w:rsidR="00F97BAD" w:rsidRPr="00387E66">
          <w:rPr>
            <w:rStyle w:val="Hyperlink"/>
          </w:rPr>
          <w:t>Obligations of a life company</w:t>
        </w:r>
        <w:r w:rsidR="00F97BAD">
          <w:rPr>
            <w:webHidden/>
          </w:rPr>
          <w:tab/>
        </w:r>
        <w:r w:rsidR="00F97BAD">
          <w:rPr>
            <w:webHidden/>
          </w:rPr>
          <w:fldChar w:fldCharType="begin"/>
        </w:r>
        <w:r w:rsidR="00F97BAD">
          <w:rPr>
            <w:webHidden/>
          </w:rPr>
          <w:instrText xml:space="preserve"> PAGEREF _Toc109653083 \h </w:instrText>
        </w:r>
        <w:r w:rsidR="00F97BAD">
          <w:rPr>
            <w:webHidden/>
          </w:rPr>
        </w:r>
        <w:r w:rsidR="00F97BAD">
          <w:rPr>
            <w:webHidden/>
          </w:rPr>
          <w:fldChar w:fldCharType="separate"/>
        </w:r>
        <w:r w:rsidR="00F97BAD">
          <w:rPr>
            <w:webHidden/>
          </w:rPr>
          <w:t>3</w:t>
        </w:r>
        <w:r w:rsidR="00F97BAD">
          <w:rPr>
            <w:webHidden/>
          </w:rPr>
          <w:fldChar w:fldCharType="end"/>
        </w:r>
      </w:hyperlink>
    </w:p>
    <w:p w14:paraId="3B188065" w14:textId="3B2D661E" w:rsidR="00F97BAD" w:rsidRDefault="00586A55">
      <w:pPr>
        <w:pStyle w:val="TOC1"/>
        <w:rPr>
          <w:rFonts w:asciiTheme="minorHAnsi" w:eastAsiaTheme="minorEastAsia" w:hAnsiTheme="minorHAnsi" w:cstheme="minorBidi"/>
          <w:sz w:val="22"/>
          <w:szCs w:val="22"/>
        </w:rPr>
      </w:pPr>
      <w:hyperlink w:anchor="_Toc109653084" w:history="1">
        <w:r w:rsidR="00F97BAD" w:rsidRPr="00387E66">
          <w:rPr>
            <w:rStyle w:val="Hyperlink"/>
          </w:rPr>
          <w:t>General requirements</w:t>
        </w:r>
        <w:r w:rsidR="00F97BAD">
          <w:rPr>
            <w:webHidden/>
          </w:rPr>
          <w:tab/>
        </w:r>
        <w:r w:rsidR="00F97BAD">
          <w:rPr>
            <w:webHidden/>
          </w:rPr>
          <w:fldChar w:fldCharType="begin"/>
        </w:r>
        <w:r w:rsidR="00F97BAD">
          <w:rPr>
            <w:webHidden/>
          </w:rPr>
          <w:instrText xml:space="preserve"> PAGEREF _Toc109653084 \h </w:instrText>
        </w:r>
        <w:r w:rsidR="00F97BAD">
          <w:rPr>
            <w:webHidden/>
          </w:rPr>
        </w:r>
        <w:r w:rsidR="00F97BAD">
          <w:rPr>
            <w:webHidden/>
          </w:rPr>
          <w:fldChar w:fldCharType="separate"/>
        </w:r>
        <w:r w:rsidR="00F97BAD">
          <w:rPr>
            <w:webHidden/>
          </w:rPr>
          <w:t>4</w:t>
        </w:r>
        <w:r w:rsidR="00F97BAD">
          <w:rPr>
            <w:webHidden/>
          </w:rPr>
          <w:fldChar w:fldCharType="end"/>
        </w:r>
      </w:hyperlink>
    </w:p>
    <w:p w14:paraId="36027A22" w14:textId="1655AAAF" w:rsidR="00F97BAD" w:rsidRDefault="00586A55">
      <w:pPr>
        <w:pStyle w:val="TOC1"/>
        <w:rPr>
          <w:rFonts w:asciiTheme="minorHAnsi" w:eastAsiaTheme="minorEastAsia" w:hAnsiTheme="minorHAnsi" w:cstheme="minorBidi"/>
          <w:sz w:val="22"/>
          <w:szCs w:val="22"/>
        </w:rPr>
      </w:pPr>
      <w:hyperlink w:anchor="_Toc109653085" w:history="1">
        <w:r w:rsidR="00F97BAD" w:rsidRPr="00387E66">
          <w:rPr>
            <w:rStyle w:val="Hyperlink"/>
          </w:rPr>
          <w:t>Annual returns to APRA</w:t>
        </w:r>
        <w:r w:rsidR="00F97BAD">
          <w:rPr>
            <w:webHidden/>
          </w:rPr>
          <w:tab/>
        </w:r>
        <w:r w:rsidR="00F97BAD">
          <w:rPr>
            <w:webHidden/>
          </w:rPr>
          <w:fldChar w:fldCharType="begin"/>
        </w:r>
        <w:r w:rsidR="00F97BAD">
          <w:rPr>
            <w:webHidden/>
          </w:rPr>
          <w:instrText xml:space="preserve"> PAGEREF _Toc109653085 \h </w:instrText>
        </w:r>
        <w:r w:rsidR="00F97BAD">
          <w:rPr>
            <w:webHidden/>
          </w:rPr>
        </w:r>
        <w:r w:rsidR="00F97BAD">
          <w:rPr>
            <w:webHidden/>
          </w:rPr>
          <w:fldChar w:fldCharType="separate"/>
        </w:r>
        <w:r w:rsidR="00F97BAD">
          <w:rPr>
            <w:webHidden/>
          </w:rPr>
          <w:t>5</w:t>
        </w:r>
        <w:r w:rsidR="00F97BAD">
          <w:rPr>
            <w:webHidden/>
          </w:rPr>
          <w:fldChar w:fldCharType="end"/>
        </w:r>
      </w:hyperlink>
    </w:p>
    <w:p w14:paraId="18144338" w14:textId="48757BBD" w:rsidR="00F97BAD" w:rsidRDefault="00586A55">
      <w:pPr>
        <w:pStyle w:val="TOC1"/>
        <w:rPr>
          <w:rFonts w:asciiTheme="minorHAnsi" w:eastAsiaTheme="minorEastAsia" w:hAnsiTheme="minorHAnsi" w:cstheme="minorBidi"/>
          <w:sz w:val="22"/>
          <w:szCs w:val="22"/>
        </w:rPr>
      </w:pPr>
      <w:hyperlink w:anchor="_Toc109653086" w:history="1">
        <w:r w:rsidR="00F97BAD" w:rsidRPr="00387E66">
          <w:rPr>
            <w:rStyle w:val="Hyperlink"/>
          </w:rPr>
          <w:t>Review of systems, processes and internal controls</w:t>
        </w:r>
        <w:r w:rsidR="00F97BAD">
          <w:rPr>
            <w:webHidden/>
          </w:rPr>
          <w:tab/>
        </w:r>
        <w:r w:rsidR="00F97BAD">
          <w:rPr>
            <w:webHidden/>
          </w:rPr>
          <w:fldChar w:fldCharType="begin"/>
        </w:r>
        <w:r w:rsidR="00F97BAD">
          <w:rPr>
            <w:webHidden/>
          </w:rPr>
          <w:instrText xml:space="preserve"> PAGEREF _Toc109653086 \h </w:instrText>
        </w:r>
        <w:r w:rsidR="00F97BAD">
          <w:rPr>
            <w:webHidden/>
          </w:rPr>
        </w:r>
        <w:r w:rsidR="00F97BAD">
          <w:rPr>
            <w:webHidden/>
          </w:rPr>
          <w:fldChar w:fldCharType="separate"/>
        </w:r>
        <w:r w:rsidR="00F97BAD">
          <w:rPr>
            <w:webHidden/>
          </w:rPr>
          <w:t>5</w:t>
        </w:r>
        <w:r w:rsidR="00F97BAD">
          <w:rPr>
            <w:webHidden/>
          </w:rPr>
          <w:fldChar w:fldCharType="end"/>
        </w:r>
      </w:hyperlink>
    </w:p>
    <w:p w14:paraId="5C637F27" w14:textId="39A02E14" w:rsidR="00F97BAD" w:rsidRDefault="00586A55">
      <w:pPr>
        <w:pStyle w:val="TOC1"/>
        <w:rPr>
          <w:rFonts w:asciiTheme="minorHAnsi" w:eastAsiaTheme="minorEastAsia" w:hAnsiTheme="minorHAnsi" w:cstheme="minorBidi"/>
          <w:sz w:val="22"/>
          <w:szCs w:val="22"/>
        </w:rPr>
      </w:pPr>
      <w:hyperlink w:anchor="_Toc109653087" w:history="1">
        <w:r w:rsidR="00F97BAD" w:rsidRPr="00387E66">
          <w:rPr>
            <w:rStyle w:val="Hyperlink"/>
          </w:rPr>
          <w:t>Special purpose engagements</w:t>
        </w:r>
        <w:r w:rsidR="00F97BAD">
          <w:rPr>
            <w:webHidden/>
          </w:rPr>
          <w:tab/>
        </w:r>
        <w:r w:rsidR="00F97BAD">
          <w:rPr>
            <w:webHidden/>
          </w:rPr>
          <w:fldChar w:fldCharType="begin"/>
        </w:r>
        <w:r w:rsidR="00F97BAD">
          <w:rPr>
            <w:webHidden/>
          </w:rPr>
          <w:instrText xml:space="preserve"> PAGEREF _Toc109653087 \h </w:instrText>
        </w:r>
        <w:r w:rsidR="00F97BAD">
          <w:rPr>
            <w:webHidden/>
          </w:rPr>
        </w:r>
        <w:r w:rsidR="00F97BAD">
          <w:rPr>
            <w:webHidden/>
          </w:rPr>
          <w:fldChar w:fldCharType="separate"/>
        </w:r>
        <w:r w:rsidR="00F97BAD">
          <w:rPr>
            <w:webHidden/>
          </w:rPr>
          <w:t>6</w:t>
        </w:r>
        <w:r w:rsidR="00F97BAD">
          <w:rPr>
            <w:webHidden/>
          </w:rPr>
          <w:fldChar w:fldCharType="end"/>
        </w:r>
      </w:hyperlink>
    </w:p>
    <w:p w14:paraId="7011E3C4" w14:textId="2AA392D1" w:rsidR="00F97BAD" w:rsidRDefault="00586A55">
      <w:pPr>
        <w:pStyle w:val="TOC1"/>
        <w:rPr>
          <w:rFonts w:asciiTheme="minorHAnsi" w:eastAsiaTheme="minorEastAsia" w:hAnsiTheme="minorHAnsi" w:cstheme="minorBidi"/>
          <w:sz w:val="22"/>
          <w:szCs w:val="22"/>
        </w:rPr>
      </w:pPr>
      <w:hyperlink w:anchor="_Toc109653088" w:history="1">
        <w:r w:rsidR="00F97BAD" w:rsidRPr="00387E66">
          <w:rPr>
            <w:rStyle w:val="Hyperlink"/>
          </w:rPr>
          <w:t>Obligation to report to APRA under the Act</w:t>
        </w:r>
        <w:r w:rsidR="00F97BAD">
          <w:rPr>
            <w:webHidden/>
          </w:rPr>
          <w:tab/>
        </w:r>
        <w:r w:rsidR="00F97BAD">
          <w:rPr>
            <w:webHidden/>
          </w:rPr>
          <w:fldChar w:fldCharType="begin"/>
        </w:r>
        <w:r w:rsidR="00F97BAD">
          <w:rPr>
            <w:webHidden/>
          </w:rPr>
          <w:instrText xml:space="preserve"> PAGEREF _Toc109653088 \h </w:instrText>
        </w:r>
        <w:r w:rsidR="00F97BAD">
          <w:rPr>
            <w:webHidden/>
          </w:rPr>
        </w:r>
        <w:r w:rsidR="00F97BAD">
          <w:rPr>
            <w:webHidden/>
          </w:rPr>
          <w:fldChar w:fldCharType="separate"/>
        </w:r>
        <w:r w:rsidR="00F97BAD">
          <w:rPr>
            <w:webHidden/>
          </w:rPr>
          <w:t>6</w:t>
        </w:r>
        <w:r w:rsidR="00F97BAD">
          <w:rPr>
            <w:webHidden/>
          </w:rPr>
          <w:fldChar w:fldCharType="end"/>
        </w:r>
      </w:hyperlink>
    </w:p>
    <w:p w14:paraId="795BC5EB" w14:textId="58916742" w:rsidR="00F97BAD" w:rsidRDefault="00586A55">
      <w:pPr>
        <w:pStyle w:val="TOC1"/>
        <w:rPr>
          <w:rFonts w:asciiTheme="minorHAnsi" w:eastAsiaTheme="minorEastAsia" w:hAnsiTheme="minorHAnsi" w:cstheme="minorBidi"/>
          <w:sz w:val="22"/>
          <w:szCs w:val="22"/>
        </w:rPr>
      </w:pPr>
      <w:hyperlink w:anchor="_Toc109653089" w:history="1">
        <w:r w:rsidR="00F97BAD" w:rsidRPr="00387E66">
          <w:rPr>
            <w:rStyle w:val="Hyperlink"/>
          </w:rPr>
          <w:t>Ascertainment of income and outgoings of statutory funds</w:t>
        </w:r>
        <w:r w:rsidR="00F97BAD">
          <w:rPr>
            <w:webHidden/>
          </w:rPr>
          <w:tab/>
        </w:r>
        <w:r w:rsidR="00F97BAD">
          <w:rPr>
            <w:webHidden/>
          </w:rPr>
          <w:fldChar w:fldCharType="begin"/>
        </w:r>
        <w:r w:rsidR="00F97BAD">
          <w:rPr>
            <w:webHidden/>
          </w:rPr>
          <w:instrText xml:space="preserve"> PAGEREF _Toc109653089 \h </w:instrText>
        </w:r>
        <w:r w:rsidR="00F97BAD">
          <w:rPr>
            <w:webHidden/>
          </w:rPr>
        </w:r>
        <w:r w:rsidR="00F97BAD">
          <w:rPr>
            <w:webHidden/>
          </w:rPr>
          <w:fldChar w:fldCharType="separate"/>
        </w:r>
        <w:r w:rsidR="00F97BAD">
          <w:rPr>
            <w:webHidden/>
          </w:rPr>
          <w:t>7</w:t>
        </w:r>
        <w:r w:rsidR="00F97BAD">
          <w:rPr>
            <w:webHidden/>
          </w:rPr>
          <w:fldChar w:fldCharType="end"/>
        </w:r>
      </w:hyperlink>
    </w:p>
    <w:p w14:paraId="50C4C1FB" w14:textId="54E16ACE" w:rsidR="00F97BAD" w:rsidRDefault="00586A55">
      <w:pPr>
        <w:pStyle w:val="TOC1"/>
        <w:rPr>
          <w:rFonts w:asciiTheme="minorHAnsi" w:eastAsiaTheme="minorEastAsia" w:hAnsiTheme="minorHAnsi" w:cstheme="minorBidi"/>
          <w:sz w:val="22"/>
          <w:szCs w:val="22"/>
        </w:rPr>
      </w:pPr>
      <w:hyperlink w:anchor="_Toc109653090" w:history="1">
        <w:r w:rsidR="00F97BAD" w:rsidRPr="00387E66">
          <w:rPr>
            <w:rStyle w:val="Hyperlink"/>
          </w:rPr>
          <w:t>Adjustments and exclusions</w:t>
        </w:r>
        <w:r w:rsidR="00F97BAD">
          <w:rPr>
            <w:webHidden/>
          </w:rPr>
          <w:tab/>
        </w:r>
        <w:r w:rsidR="00F97BAD">
          <w:rPr>
            <w:webHidden/>
          </w:rPr>
          <w:fldChar w:fldCharType="begin"/>
        </w:r>
        <w:r w:rsidR="00F97BAD">
          <w:rPr>
            <w:webHidden/>
          </w:rPr>
          <w:instrText xml:space="preserve"> PAGEREF _Toc109653090 \h </w:instrText>
        </w:r>
        <w:r w:rsidR="00F97BAD">
          <w:rPr>
            <w:webHidden/>
          </w:rPr>
        </w:r>
        <w:r w:rsidR="00F97BAD">
          <w:rPr>
            <w:webHidden/>
          </w:rPr>
          <w:fldChar w:fldCharType="separate"/>
        </w:r>
        <w:r w:rsidR="00F97BAD">
          <w:rPr>
            <w:webHidden/>
          </w:rPr>
          <w:t>7</w:t>
        </w:r>
        <w:r w:rsidR="00F97BAD">
          <w:rPr>
            <w:webHidden/>
          </w:rPr>
          <w:fldChar w:fldCharType="end"/>
        </w:r>
      </w:hyperlink>
    </w:p>
    <w:p w14:paraId="27528C88" w14:textId="426074B2" w:rsidR="00F97BAD" w:rsidRDefault="00586A55">
      <w:pPr>
        <w:pStyle w:val="TOC1"/>
        <w:rPr>
          <w:rFonts w:asciiTheme="minorHAnsi" w:eastAsiaTheme="minorEastAsia" w:hAnsiTheme="minorHAnsi" w:cstheme="minorBidi"/>
          <w:sz w:val="22"/>
          <w:szCs w:val="22"/>
        </w:rPr>
      </w:pPr>
      <w:hyperlink w:anchor="_Toc109653091" w:history="1">
        <w:r w:rsidR="00F97BAD" w:rsidRPr="00387E66">
          <w:rPr>
            <w:rStyle w:val="Hyperlink"/>
          </w:rPr>
          <w:t>Previous exercise of discretion</w:t>
        </w:r>
        <w:r w:rsidR="00F97BAD">
          <w:rPr>
            <w:webHidden/>
          </w:rPr>
          <w:tab/>
        </w:r>
        <w:r w:rsidR="00F97BAD">
          <w:rPr>
            <w:webHidden/>
          </w:rPr>
          <w:fldChar w:fldCharType="begin"/>
        </w:r>
        <w:r w:rsidR="00F97BAD">
          <w:rPr>
            <w:webHidden/>
          </w:rPr>
          <w:instrText xml:space="preserve"> PAGEREF _Toc109653091 \h </w:instrText>
        </w:r>
        <w:r w:rsidR="00F97BAD">
          <w:rPr>
            <w:webHidden/>
          </w:rPr>
        </w:r>
        <w:r w:rsidR="00F97BAD">
          <w:rPr>
            <w:webHidden/>
          </w:rPr>
          <w:fldChar w:fldCharType="separate"/>
        </w:r>
        <w:r w:rsidR="00F97BAD">
          <w:rPr>
            <w:webHidden/>
          </w:rPr>
          <w:t>7</w:t>
        </w:r>
        <w:r w:rsidR="00F97BAD">
          <w:rPr>
            <w:webHidden/>
          </w:rPr>
          <w:fldChar w:fldCharType="end"/>
        </w:r>
      </w:hyperlink>
    </w:p>
    <w:p w14:paraId="24E608C9" w14:textId="26651B01" w:rsidR="00F97BAD" w:rsidRDefault="00586A55">
      <w:pPr>
        <w:pStyle w:val="TOC2"/>
        <w:rPr>
          <w:rFonts w:asciiTheme="minorHAnsi" w:eastAsiaTheme="minorEastAsia" w:hAnsiTheme="minorHAnsi" w:cstheme="minorBidi"/>
          <w:sz w:val="22"/>
          <w:szCs w:val="22"/>
        </w:rPr>
      </w:pPr>
      <w:hyperlink w:anchor="_Toc109653092" w:history="1">
        <w:r w:rsidR="00F97BAD" w:rsidRPr="00387E66">
          <w:rPr>
            <w:rStyle w:val="Hyperlink"/>
          </w:rPr>
          <w:t>Attachment A – Auditable annual returns</w:t>
        </w:r>
        <w:r w:rsidR="00F97BAD">
          <w:rPr>
            <w:webHidden/>
          </w:rPr>
          <w:tab/>
        </w:r>
        <w:r w:rsidR="00F97BAD">
          <w:rPr>
            <w:webHidden/>
          </w:rPr>
          <w:fldChar w:fldCharType="begin"/>
        </w:r>
        <w:r w:rsidR="00F97BAD">
          <w:rPr>
            <w:webHidden/>
          </w:rPr>
          <w:instrText xml:space="preserve"> PAGEREF _Toc109653092 \h </w:instrText>
        </w:r>
        <w:r w:rsidR="00F97BAD">
          <w:rPr>
            <w:webHidden/>
          </w:rPr>
        </w:r>
        <w:r w:rsidR="00F97BAD">
          <w:rPr>
            <w:webHidden/>
          </w:rPr>
          <w:fldChar w:fldCharType="separate"/>
        </w:r>
        <w:r w:rsidR="00F97BAD">
          <w:rPr>
            <w:webHidden/>
          </w:rPr>
          <w:t>8</w:t>
        </w:r>
        <w:r w:rsidR="00F97BAD">
          <w:rPr>
            <w:webHidden/>
          </w:rPr>
          <w:fldChar w:fldCharType="end"/>
        </w:r>
      </w:hyperlink>
    </w:p>
    <w:p w14:paraId="24F35D82" w14:textId="467DF7BF" w:rsidR="00E96B6D" w:rsidRDefault="009B0A33" w:rsidP="005A6505">
      <w:pPr>
        <w:pStyle w:val="NoSpacing"/>
        <w:sectPr w:rsidR="00E96B6D" w:rsidSect="000D63A8">
          <w:pgSz w:w="11906" w:h="16838" w:code="9"/>
          <w:pgMar w:top="1440" w:right="1797" w:bottom="1440" w:left="1797" w:header="709" w:footer="709" w:gutter="0"/>
          <w:cols w:space="708"/>
          <w:docGrid w:linePitch="360"/>
        </w:sectPr>
      </w:pPr>
      <w:r>
        <w:fldChar w:fldCharType="end"/>
      </w:r>
      <w:bookmarkStart w:id="7" w:name="_Toc314733116"/>
      <w:bookmarkStart w:id="8" w:name="_Toc341686774"/>
      <w:bookmarkEnd w:id="4"/>
      <w:bookmarkEnd w:id="5"/>
      <w:bookmarkEnd w:id="6"/>
    </w:p>
    <w:p w14:paraId="275706FD" w14:textId="77777777" w:rsidR="00E07F40" w:rsidRPr="001F6B8D" w:rsidRDefault="00E07F40" w:rsidP="001F6B8D">
      <w:pPr>
        <w:pStyle w:val="Heading1"/>
      </w:pPr>
      <w:bookmarkStart w:id="9" w:name="_Toc99381064"/>
      <w:bookmarkStart w:id="10" w:name="_Toc109653080"/>
      <w:r w:rsidRPr="00B37C03">
        <w:lastRenderedPageBreak/>
        <w:t>Authority</w:t>
      </w:r>
      <w:bookmarkEnd w:id="7"/>
      <w:bookmarkEnd w:id="8"/>
      <w:bookmarkEnd w:id="9"/>
      <w:bookmarkEnd w:id="10"/>
    </w:p>
    <w:p w14:paraId="50B3EBAE" w14:textId="298FD5B8" w:rsidR="00E07F40" w:rsidRDefault="004E451D" w:rsidP="001C755C">
      <w:pPr>
        <w:pStyle w:val="BodyText1"/>
      </w:pPr>
      <w:r w:rsidRPr="0046699E">
        <w:t xml:space="preserve">This Prudential Standard is made under paragraph 230A(1)(a) of the </w:t>
      </w:r>
      <w:r w:rsidRPr="0046699E">
        <w:rPr>
          <w:i/>
        </w:rPr>
        <w:t>Life Insurance Act 1995</w:t>
      </w:r>
      <w:r w:rsidRPr="0046699E">
        <w:t xml:space="preserve"> (the Act)</w:t>
      </w:r>
      <w:r w:rsidR="00E07F40" w:rsidRPr="00B37C03">
        <w:t>.</w:t>
      </w:r>
      <w:r w:rsidR="00E96B6D">
        <w:t xml:space="preserve"> </w:t>
      </w:r>
    </w:p>
    <w:p w14:paraId="21654EE6" w14:textId="5389969D" w:rsidR="00E07F40" w:rsidRPr="007644D8" w:rsidRDefault="00E07F40" w:rsidP="001F6B8D">
      <w:pPr>
        <w:pStyle w:val="Heading1"/>
      </w:pPr>
      <w:bookmarkStart w:id="11" w:name="_Toc314733118"/>
      <w:bookmarkStart w:id="12" w:name="_Toc341686775"/>
      <w:bookmarkStart w:id="13" w:name="_Toc99381065"/>
      <w:bookmarkStart w:id="14" w:name="_Toc109653081"/>
      <w:r w:rsidRPr="00B37C03">
        <w:t>Application</w:t>
      </w:r>
      <w:bookmarkEnd w:id="11"/>
      <w:bookmarkEnd w:id="12"/>
      <w:bookmarkEnd w:id="13"/>
      <w:r w:rsidR="007644D8">
        <w:t xml:space="preserve"> and commencement</w:t>
      </w:r>
      <w:bookmarkEnd w:id="14"/>
    </w:p>
    <w:p w14:paraId="46909B7B" w14:textId="72845ACC" w:rsidR="00DF539C" w:rsidRDefault="004E451D" w:rsidP="00DF539C">
      <w:pPr>
        <w:pStyle w:val="BodyText1"/>
      </w:pPr>
      <w:bookmarkStart w:id="15" w:name="_Ref214184075"/>
      <w:r w:rsidRPr="0046699E">
        <w:t xml:space="preserve">This Prudential Standard applies to all life companies including friendly societies (together referred to as </w:t>
      </w:r>
      <w:r w:rsidRPr="004C0F85">
        <w:rPr>
          <w:b/>
        </w:rPr>
        <w:t>life companies</w:t>
      </w:r>
      <w:r w:rsidRPr="0046699E">
        <w:t>) registered under the Act.</w:t>
      </w:r>
      <w:r w:rsidRPr="0046699E">
        <w:rPr>
          <w:rStyle w:val="FootnoteReference"/>
        </w:rPr>
        <w:footnoteReference w:id="2"/>
      </w:r>
      <w:bookmarkEnd w:id="15"/>
    </w:p>
    <w:p w14:paraId="5A9C401D" w14:textId="56BFA93D" w:rsidR="004E451D" w:rsidRDefault="004E451D" w:rsidP="00DF539C">
      <w:pPr>
        <w:pStyle w:val="BodyText1"/>
      </w:pPr>
      <w:r w:rsidRPr="0046699E">
        <w:t>This Prudential Standard includes requirements that apply to all auditors appointed under the Act. These requirements are functions of an auditor for the purposes of subsection 83(2) of the Act.</w:t>
      </w:r>
    </w:p>
    <w:p w14:paraId="5246D4C8" w14:textId="62BC64C1" w:rsidR="004E451D" w:rsidRDefault="004E451D" w:rsidP="004E451D">
      <w:pPr>
        <w:pStyle w:val="BodyText1"/>
      </w:pPr>
      <w:r w:rsidRPr="0046699E">
        <w:t>This Prudential Standard applies to life companies from 1</w:t>
      </w:r>
      <w:r w:rsidR="00A234F9">
        <w:t>8</w:t>
      </w:r>
      <w:r w:rsidRPr="0046699E">
        <w:t xml:space="preserve"> </w:t>
      </w:r>
      <w:r w:rsidR="00A234F9">
        <w:t>December</w:t>
      </w:r>
      <w:r w:rsidR="00A234F9" w:rsidRPr="0046699E">
        <w:t xml:space="preserve"> </w:t>
      </w:r>
      <w:r w:rsidRPr="0046699E">
        <w:t>2023</w:t>
      </w:r>
      <w:r>
        <w:t>.</w:t>
      </w:r>
    </w:p>
    <w:p w14:paraId="458591FC" w14:textId="7B673F91" w:rsidR="004E451D" w:rsidRPr="00DF539C" w:rsidRDefault="004E451D" w:rsidP="004E451D">
      <w:pPr>
        <w:pStyle w:val="Heading1"/>
      </w:pPr>
      <w:bookmarkStart w:id="16" w:name="_Toc99381066"/>
      <w:bookmarkStart w:id="17" w:name="_Toc109653082"/>
      <w:r>
        <w:t>Interpretation</w:t>
      </w:r>
      <w:bookmarkEnd w:id="16"/>
      <w:bookmarkEnd w:id="17"/>
    </w:p>
    <w:p w14:paraId="6900D77B" w14:textId="5AEF9BE9" w:rsidR="001C755C" w:rsidRDefault="004E451D" w:rsidP="004E451D">
      <w:pPr>
        <w:pStyle w:val="BodyText1"/>
      </w:pPr>
      <w:bookmarkStart w:id="18" w:name="_Ref454389904"/>
      <w:r w:rsidRPr="0046699E">
        <w:t xml:space="preserve">Terms that are defined in </w:t>
      </w:r>
      <w:r w:rsidRPr="0046699E">
        <w:rPr>
          <w:i/>
          <w:iCs/>
        </w:rPr>
        <w:t xml:space="preserve">Prudential Standard LPS 001 Definitions </w:t>
      </w:r>
      <w:r w:rsidRPr="0046699E">
        <w:t>appear in bold the first time they are used in this Prudential Standard</w:t>
      </w:r>
      <w:r w:rsidR="00E07F40" w:rsidRPr="00B37C03">
        <w:t>.</w:t>
      </w:r>
      <w:bookmarkEnd w:id="18"/>
    </w:p>
    <w:p w14:paraId="353D2013" w14:textId="6779FCE0" w:rsidR="004E451D" w:rsidRDefault="004E451D" w:rsidP="004E451D">
      <w:pPr>
        <w:pStyle w:val="Heading1"/>
      </w:pPr>
      <w:bookmarkStart w:id="19" w:name="_Toc99381067"/>
      <w:bookmarkStart w:id="20" w:name="_Toc109653083"/>
      <w:r>
        <w:t>Obligations of a life company</w:t>
      </w:r>
      <w:bookmarkEnd w:id="19"/>
      <w:bookmarkEnd w:id="20"/>
      <w:r>
        <w:t xml:space="preserve"> </w:t>
      </w:r>
    </w:p>
    <w:p w14:paraId="60578B62" w14:textId="5D02B61F" w:rsidR="00E07F40" w:rsidRDefault="00E53B1B" w:rsidP="00E07F40">
      <w:pPr>
        <w:pStyle w:val="BodyText1"/>
      </w:pPr>
      <w:bookmarkStart w:id="21" w:name="_Ref219884222"/>
      <w:r w:rsidRPr="0046699E">
        <w:t>Under the Act, a life company must appoint an auditor (Auditor).</w:t>
      </w:r>
      <w:r w:rsidRPr="0046699E">
        <w:rPr>
          <w:rStyle w:val="FootnoteReference"/>
        </w:rPr>
        <w:footnoteReference w:id="3"/>
      </w:r>
      <w:bookmarkEnd w:id="21"/>
    </w:p>
    <w:p w14:paraId="4C11AC89" w14:textId="3EAFD292" w:rsidR="00E53B1B" w:rsidRDefault="00E53B1B" w:rsidP="00E07F40">
      <w:pPr>
        <w:pStyle w:val="BodyText1"/>
      </w:pPr>
      <w:bookmarkStart w:id="22" w:name="_Ref219888642"/>
      <w:r w:rsidRPr="0046699E">
        <w:t>A life company must ensure that its Auditor:</w:t>
      </w:r>
      <w:bookmarkEnd w:id="22"/>
    </w:p>
    <w:p w14:paraId="7A2E1270" w14:textId="2E46241F" w:rsidR="00E53B1B" w:rsidRDefault="00E53B1B" w:rsidP="00E53B1B">
      <w:pPr>
        <w:pStyle w:val="BodyText2"/>
      </w:pPr>
      <w:r w:rsidRPr="0046699E">
        <w:t xml:space="preserve">satisfies the eligibility criteria in </w:t>
      </w:r>
      <w:r w:rsidRPr="0046699E">
        <w:rPr>
          <w:i/>
        </w:rPr>
        <w:t xml:space="preserve">Prudential Standard CPS 520 Fit and Proper </w:t>
      </w:r>
      <w:r w:rsidRPr="0046699E">
        <w:t>(CPS 520) applicable to an</w:t>
      </w:r>
      <w:r>
        <w:t xml:space="preserve"> </w:t>
      </w:r>
      <w:proofErr w:type="gramStart"/>
      <w:r w:rsidRPr="0046699E">
        <w:t>Auditor;</w:t>
      </w:r>
      <w:proofErr w:type="gramEnd"/>
    </w:p>
    <w:p w14:paraId="198B188E" w14:textId="1907232E" w:rsidR="00E07F40" w:rsidRDefault="00E53B1B" w:rsidP="00E05BC3">
      <w:pPr>
        <w:pStyle w:val="BodyText2"/>
      </w:pPr>
      <w:r w:rsidRPr="0046699E">
        <w:t>is a fit and proper person in accordance with the life company’s fit and proper policy as required by CPS 520, including those requirements that apply specifically to the Auditor; and</w:t>
      </w:r>
    </w:p>
    <w:p w14:paraId="41DD557B" w14:textId="16C23974" w:rsidR="00E53B1B" w:rsidRDefault="00E53B1B" w:rsidP="00E05BC3">
      <w:pPr>
        <w:pStyle w:val="BodyText2"/>
      </w:pPr>
      <w:r w:rsidRPr="0046699E">
        <w:t xml:space="preserve">satisfies the auditor independence requirements in </w:t>
      </w:r>
      <w:r w:rsidRPr="0046699E">
        <w:rPr>
          <w:i/>
        </w:rPr>
        <w:t>Prudential Standard CPS 510 Governance</w:t>
      </w:r>
      <w:r w:rsidRPr="0046699E">
        <w:t>.</w:t>
      </w:r>
    </w:p>
    <w:p w14:paraId="3422E6B7" w14:textId="0F3A0F01" w:rsidR="004C0F85" w:rsidRDefault="004C0F85" w:rsidP="004C0F85">
      <w:pPr>
        <w:pStyle w:val="BodyText1"/>
      </w:pPr>
      <w:r w:rsidRPr="0046699E">
        <w:t>A life company must ensure that its Auditor has access to all relevant data, information, reports and staff of the life company (and must take all reasonable steps to ensure access to contractors of the life company) that its Auditor reasonably believes are necessary to fulfil his or her responsibilities.</w:t>
      </w:r>
      <w:r w:rsidRPr="0046699E">
        <w:rPr>
          <w:rStyle w:val="FootnoteReference"/>
        </w:rPr>
        <w:footnoteReference w:id="4"/>
      </w:r>
      <w:r w:rsidRPr="0046699E">
        <w:t xml:space="preserve"> This will include access to the life company’s </w:t>
      </w:r>
      <w:r w:rsidRPr="004C0F85">
        <w:rPr>
          <w:b/>
        </w:rPr>
        <w:t>Board</w:t>
      </w:r>
      <w:r w:rsidRPr="0046699E">
        <w:rPr>
          <w:rStyle w:val="FootnoteReference"/>
        </w:rPr>
        <w:footnoteReference w:id="5"/>
      </w:r>
      <w:r w:rsidRPr="0046699E">
        <w:t>, Board Audit Committee and internal auditors as required.</w:t>
      </w:r>
    </w:p>
    <w:p w14:paraId="415E4499" w14:textId="77777777" w:rsidR="001A76BD" w:rsidRDefault="001A76BD" w:rsidP="001A76BD">
      <w:pPr>
        <w:pStyle w:val="BodyText1"/>
        <w:numPr>
          <w:ilvl w:val="0"/>
          <w:numId w:val="0"/>
        </w:numPr>
      </w:pPr>
    </w:p>
    <w:p w14:paraId="167DEC30" w14:textId="40322397" w:rsidR="001A76BD" w:rsidRDefault="001A76BD" w:rsidP="001A76BD">
      <w:pPr>
        <w:pStyle w:val="BodyText1"/>
      </w:pPr>
      <w:r w:rsidRPr="0046699E">
        <w:lastRenderedPageBreak/>
        <w:t xml:space="preserve">A life company must ensure that its Auditor is fully informed of all </w:t>
      </w:r>
      <w:r w:rsidRPr="001A76BD">
        <w:rPr>
          <w:b/>
        </w:rPr>
        <w:t>prudential requirements</w:t>
      </w:r>
      <w:r w:rsidRPr="0046699E">
        <w:t xml:space="preserve"> applicable to the life company. In addition, the life company must ensure that the Auditor is provided with any other information APRA has provided to the life company that may assist the Auditor in fulfilling his or her role and responsibilities under this Prudential Standard.</w:t>
      </w:r>
    </w:p>
    <w:p w14:paraId="230A585B" w14:textId="472BE9F1" w:rsidR="001A76BD" w:rsidRDefault="00E20D20" w:rsidP="004C0F85">
      <w:pPr>
        <w:pStyle w:val="BodyText1"/>
      </w:pPr>
      <w:r w:rsidRPr="0046699E">
        <w:t>A life company must ensure that the following are provided to its Board or Board Audit Committee (if not already sighted by the Board or Board Audit Committee):</w:t>
      </w:r>
    </w:p>
    <w:p w14:paraId="7ABA9B43" w14:textId="52F4EA74" w:rsidR="00E20D20" w:rsidRDefault="00E20D20" w:rsidP="00E20D20">
      <w:pPr>
        <w:pStyle w:val="BodyText2"/>
      </w:pPr>
      <w:r w:rsidRPr="0046699E">
        <w:t xml:space="preserve">reports, provided by the Auditor in accordance with this Prudential Standard, and any associated assessments and other material prepared in connection with fulfilling the requirements of this Prudential </w:t>
      </w:r>
      <w:proofErr w:type="gramStart"/>
      <w:r w:rsidRPr="0046699E">
        <w:t>Standard;</w:t>
      </w:r>
      <w:proofErr w:type="gramEnd"/>
    </w:p>
    <w:p w14:paraId="18D34E04" w14:textId="182695C5" w:rsidR="00E20D20" w:rsidRDefault="00E20D20" w:rsidP="00E20D20">
      <w:pPr>
        <w:pStyle w:val="BodyText2"/>
      </w:pPr>
      <w:r w:rsidRPr="0046699E">
        <w:t>commentary or responses provided by APRA to the life company on reports provided by the Auditor, and any associated assessments and other material; and</w:t>
      </w:r>
    </w:p>
    <w:p w14:paraId="1B4C625D" w14:textId="72F20FF2" w:rsidR="00E20D20" w:rsidRDefault="00E20D20" w:rsidP="00E20D20">
      <w:pPr>
        <w:pStyle w:val="BodyText2"/>
      </w:pPr>
      <w:r w:rsidRPr="0046699E">
        <w:t>any commentary or response on the reports, associated assessments and other material provided by the Auditor that are given by the life company to APRA</w:t>
      </w:r>
      <w:r>
        <w:t>.</w:t>
      </w:r>
    </w:p>
    <w:p w14:paraId="4B5AACDA" w14:textId="65BE0484" w:rsidR="00E20D20" w:rsidRDefault="00E20D20" w:rsidP="00E20D20">
      <w:pPr>
        <w:pStyle w:val="BodyText1"/>
      </w:pPr>
      <w:r w:rsidRPr="0046699E">
        <w:t xml:space="preserve">A life company, if requested by APRA, must within a reasonable time provide APRA with the terms of engagement, other </w:t>
      </w:r>
      <w:proofErr w:type="gramStart"/>
      <w:r w:rsidRPr="0046699E">
        <w:t>instructions</w:t>
      </w:r>
      <w:proofErr w:type="gramEnd"/>
      <w:r w:rsidRPr="0046699E">
        <w:t xml:space="preserve"> or correspondence, including management letters, that may have a bearing on:</w:t>
      </w:r>
    </w:p>
    <w:p w14:paraId="45C0265A" w14:textId="31CF7F24" w:rsidR="00E20D20" w:rsidRDefault="00E20D20" w:rsidP="00E20D20">
      <w:pPr>
        <w:pStyle w:val="BodyText2"/>
      </w:pPr>
      <w:r w:rsidRPr="0046699E">
        <w:t>the scope or conduct of the work undertaken by the Auditor in accordance with this Prudential Standard;</w:t>
      </w:r>
      <w:r>
        <w:t xml:space="preserve"> and</w:t>
      </w:r>
    </w:p>
    <w:p w14:paraId="004D4560" w14:textId="4809BA92" w:rsidR="00A33418" w:rsidRDefault="00A33418" w:rsidP="00E20D20">
      <w:pPr>
        <w:pStyle w:val="BodyText2"/>
      </w:pPr>
      <w:r w:rsidRPr="0046699E">
        <w:t>the form, content (including findings made or opinions expressed by the Auditor</w:t>
      </w:r>
      <w:proofErr w:type="gramStart"/>
      <w:r w:rsidRPr="0046699E">
        <w:t>)</w:t>
      </w:r>
      <w:proofErr w:type="gramEnd"/>
      <w:r w:rsidRPr="0046699E">
        <w:t xml:space="preserve"> or coverage of the reports provided in accordance with this Prudential Standard.</w:t>
      </w:r>
    </w:p>
    <w:p w14:paraId="3847526C" w14:textId="4FC03D67" w:rsidR="00A33418" w:rsidRDefault="00A33418" w:rsidP="00A33418">
      <w:pPr>
        <w:pStyle w:val="BodyText1"/>
      </w:pPr>
      <w:bookmarkStart w:id="23" w:name="_Ref214188720"/>
      <w:bookmarkStart w:id="24" w:name="_Ref219881912"/>
      <w:r w:rsidRPr="0046699E">
        <w:t xml:space="preserve">A life company must submit to APRA the reports referred to in paragraphs </w:t>
      </w:r>
      <w:r w:rsidRPr="0046699E">
        <w:rPr>
          <w:b/>
        </w:rPr>
        <w:fldChar w:fldCharType="begin"/>
      </w:r>
      <w:r w:rsidRPr="0046699E">
        <w:instrText xml:space="preserve"> REF _Ref336002422 \r \h </w:instrText>
      </w:r>
      <w:r>
        <w:instrText xml:space="preserve"> \* MERGEFORMAT </w:instrText>
      </w:r>
      <w:r w:rsidRPr="0046699E">
        <w:rPr>
          <w:b/>
        </w:rPr>
      </w:r>
      <w:r w:rsidRPr="0046699E">
        <w:rPr>
          <w:b/>
        </w:rPr>
        <w:fldChar w:fldCharType="separate"/>
      </w:r>
      <w:r w:rsidR="00F97BAD">
        <w:t>19</w:t>
      </w:r>
      <w:r w:rsidRPr="0046699E">
        <w:rPr>
          <w:b/>
        </w:rPr>
        <w:fldChar w:fldCharType="end"/>
      </w:r>
      <w:r w:rsidRPr="0046699E">
        <w:t xml:space="preserve"> and </w:t>
      </w:r>
      <w:r w:rsidRPr="0046699E">
        <w:rPr>
          <w:b/>
        </w:rPr>
        <w:fldChar w:fldCharType="begin"/>
      </w:r>
      <w:r w:rsidRPr="0046699E">
        <w:instrText xml:space="preserve"> REF _Ref222544183 \r \h </w:instrText>
      </w:r>
      <w:r>
        <w:instrText xml:space="preserve"> \* MERGEFORMAT </w:instrText>
      </w:r>
      <w:r w:rsidRPr="0046699E">
        <w:rPr>
          <w:b/>
        </w:rPr>
      </w:r>
      <w:r w:rsidRPr="0046699E">
        <w:rPr>
          <w:b/>
        </w:rPr>
        <w:fldChar w:fldCharType="separate"/>
      </w:r>
      <w:r w:rsidR="00F97BAD">
        <w:t>23</w:t>
      </w:r>
      <w:r w:rsidRPr="0046699E">
        <w:rPr>
          <w:b/>
        </w:rPr>
        <w:fldChar w:fldCharType="end"/>
      </w:r>
      <w:r w:rsidRPr="0046699E">
        <w:t xml:space="preserve">. They must be submitted on or before the day that the life company’s auditable annual returns are required to be given to APRA in accordance with reporting standards made under the </w:t>
      </w:r>
      <w:r w:rsidRPr="0046699E">
        <w:rPr>
          <w:bCs/>
          <w:i/>
        </w:rPr>
        <w:t>Financial Sector (Collection of Data) Act 2001</w:t>
      </w:r>
      <w:r w:rsidRPr="0046699E">
        <w:rPr>
          <w:bCs/>
        </w:rPr>
        <w:t xml:space="preserve"> (</w:t>
      </w:r>
      <w:r>
        <w:t>Collection of Data Act</w:t>
      </w:r>
      <w:r w:rsidRPr="0046699E">
        <w:t>).</w:t>
      </w:r>
      <w:bookmarkEnd w:id="23"/>
      <w:bookmarkEnd w:id="24"/>
    </w:p>
    <w:p w14:paraId="4AE824F7" w14:textId="273CD191" w:rsidR="00A33418" w:rsidRDefault="00A33418" w:rsidP="00A33418">
      <w:pPr>
        <w:pStyle w:val="Heading1"/>
      </w:pPr>
      <w:bookmarkStart w:id="25" w:name="_Toc99381068"/>
      <w:bookmarkStart w:id="26" w:name="_Toc109653084"/>
      <w:r>
        <w:t>General requirements</w:t>
      </w:r>
      <w:bookmarkEnd w:id="25"/>
      <w:bookmarkEnd w:id="26"/>
    </w:p>
    <w:p w14:paraId="634066EA" w14:textId="052D0D32" w:rsidR="00A33418" w:rsidRDefault="00A33418" w:rsidP="00A33418">
      <w:pPr>
        <w:pStyle w:val="BodyText1"/>
      </w:pPr>
      <w:r w:rsidRPr="0046699E">
        <w:t>In preparing a report referred to in this Prudential Standard the Auditor must have regard to relevant AUASB Standards and Guidance Statements issued by the Auditing and Assurance Standards Board (AUASB), to the extent that they are not inconsistent with the requirements of this Prudential Standard and other prudential requirements.</w:t>
      </w:r>
    </w:p>
    <w:p w14:paraId="2C5FEE3D" w14:textId="6981BBE5" w:rsidR="00A33418" w:rsidRDefault="00A33418" w:rsidP="00A33418">
      <w:pPr>
        <w:pStyle w:val="BodyText1"/>
      </w:pPr>
      <w:r w:rsidRPr="0046699E">
        <w:t xml:space="preserve">For the purposes of this Prudential Standard, ‘reasonable assurance’ and ‘limited assurance’ are defined in accordance with the </w:t>
      </w:r>
      <w:r w:rsidRPr="0046699E">
        <w:rPr>
          <w:i/>
        </w:rPr>
        <w:t>Framework for Assurance Engagements</w:t>
      </w:r>
      <w:r w:rsidRPr="0046699E">
        <w:t xml:space="preserve"> issued by the AUASB.</w:t>
      </w:r>
    </w:p>
    <w:p w14:paraId="31123724" w14:textId="63AC2341" w:rsidR="00A33418" w:rsidRDefault="00A33418" w:rsidP="00A33418">
      <w:pPr>
        <w:pStyle w:val="BodyText1"/>
      </w:pPr>
      <w:r w:rsidRPr="0046699E">
        <w:lastRenderedPageBreak/>
        <w:t xml:space="preserve">APRA liaison with an Auditor will normally be conducted under tripartite arrangements involving APRA, the life </w:t>
      </w:r>
      <w:proofErr w:type="gramStart"/>
      <w:r w:rsidRPr="0046699E">
        <w:t>company</w:t>
      </w:r>
      <w:proofErr w:type="gramEnd"/>
      <w:r w:rsidRPr="0046699E">
        <w:t xml:space="preserve"> and the Auditor. Notwithstanding the tripartite relationship, APRA and an Auditor may meet, at any time, on a bilateral basis at the request of either party.</w:t>
      </w:r>
    </w:p>
    <w:p w14:paraId="5DD15532" w14:textId="5505D7F2" w:rsidR="00A33418" w:rsidRDefault="00A33418" w:rsidP="00A33418">
      <w:pPr>
        <w:pStyle w:val="BodyText1"/>
      </w:pPr>
      <w:r w:rsidRPr="0046699E">
        <w:t>The Auditor, in preparing a report, must not place sole reliance on the work performed by APRA.</w:t>
      </w:r>
    </w:p>
    <w:p w14:paraId="5C3A4ACF" w14:textId="54AD0B11" w:rsidR="00A33418" w:rsidRDefault="00A33418" w:rsidP="00A33418">
      <w:pPr>
        <w:pStyle w:val="BodyText1"/>
      </w:pPr>
      <w:r w:rsidRPr="0046699E">
        <w:t xml:space="preserve">The Auditor, or an auditor appointed under paragraph </w:t>
      </w:r>
      <w:r w:rsidRPr="0046699E">
        <w:rPr>
          <w:b/>
        </w:rPr>
        <w:fldChar w:fldCharType="begin"/>
      </w:r>
      <w:r w:rsidRPr="0046699E">
        <w:instrText xml:space="preserve"> REF _Ref336002944 \r \h </w:instrText>
      </w:r>
      <w:r>
        <w:instrText xml:space="preserve"> \* MERGEFORMAT </w:instrText>
      </w:r>
      <w:r w:rsidRPr="0046699E">
        <w:rPr>
          <w:b/>
        </w:rPr>
      </w:r>
      <w:r w:rsidRPr="0046699E">
        <w:rPr>
          <w:b/>
        </w:rPr>
        <w:fldChar w:fldCharType="separate"/>
      </w:r>
      <w:r w:rsidR="00F97BAD">
        <w:t>27</w:t>
      </w:r>
      <w:r w:rsidRPr="0046699E">
        <w:rPr>
          <w:b/>
        </w:rPr>
        <w:fldChar w:fldCharType="end"/>
      </w:r>
      <w:r w:rsidRPr="0046699E">
        <w:t>, must retain all working papers and other documentation in relation to the prudential requirements of the life company for a period of seven years from the date of the report to which the working papers or documentation relate. Where requested to do so in writing by APRA, the Auditor must provide the working papers and other documentation to APRA.</w:t>
      </w:r>
    </w:p>
    <w:p w14:paraId="611E7574" w14:textId="15C44B6D" w:rsidR="00A33418" w:rsidRDefault="00A33418" w:rsidP="0050718F">
      <w:pPr>
        <w:pStyle w:val="BodyText1"/>
      </w:pPr>
      <w:r w:rsidRPr="0046699E">
        <w:t>Persons involved in the provision of information</w:t>
      </w:r>
      <w:r w:rsidRPr="0046699E" w:rsidDel="00BC7A01">
        <w:t xml:space="preserve"> </w:t>
      </w:r>
      <w:r w:rsidRPr="0046699E">
        <w:t xml:space="preserve">should note that it is a serious offence under subsection 137.1 and 137.2 of the </w:t>
      </w:r>
      <w:r w:rsidRPr="0046699E">
        <w:rPr>
          <w:i/>
        </w:rPr>
        <w:t>Criminal Code 1995</w:t>
      </w:r>
      <w:r w:rsidRPr="0046699E">
        <w:t xml:space="preserve"> to provide, whether directly or indirectly, </w:t>
      </w:r>
      <w:proofErr w:type="gramStart"/>
      <w:r w:rsidRPr="0046699E">
        <w:t>false</w:t>
      </w:r>
      <w:proofErr w:type="gramEnd"/>
      <w:r w:rsidRPr="0046699E">
        <w:t xml:space="preserve"> or misleading documents or information to a Commonwealth entity such as APRA.</w:t>
      </w:r>
    </w:p>
    <w:p w14:paraId="268E5DE1" w14:textId="433DDCAB" w:rsidR="0050718F" w:rsidRDefault="0050718F" w:rsidP="0050718F">
      <w:pPr>
        <w:pStyle w:val="Heading1"/>
      </w:pPr>
      <w:bookmarkStart w:id="27" w:name="_Toc99381069"/>
      <w:bookmarkStart w:id="28" w:name="_Toc109653085"/>
      <w:r>
        <w:t>Annual returns to APRA</w:t>
      </w:r>
      <w:bookmarkEnd w:id="27"/>
      <w:bookmarkEnd w:id="28"/>
    </w:p>
    <w:p w14:paraId="37475FD1" w14:textId="38B8A0C1" w:rsidR="0050718F" w:rsidRDefault="0050718F" w:rsidP="0050718F">
      <w:pPr>
        <w:pStyle w:val="BodyText1"/>
      </w:pPr>
      <w:bookmarkStart w:id="29" w:name="_Ref219881646"/>
      <w:bookmarkStart w:id="30" w:name="_Ref336002422"/>
      <w:r w:rsidRPr="0046699E">
        <w:t>The Auditor must prepare a report that provides</w:t>
      </w:r>
      <w:bookmarkEnd w:id="29"/>
      <w:r w:rsidRPr="0046699E">
        <w:t xml:space="preserve"> reasonable assurance on the life company’s annual returns to APRA, as specified in Attachment A.</w:t>
      </w:r>
      <w:bookmarkEnd w:id="30"/>
    </w:p>
    <w:p w14:paraId="1DFBE80D" w14:textId="281737A3" w:rsidR="0050718F" w:rsidRDefault="0050718F" w:rsidP="0050718F">
      <w:pPr>
        <w:pStyle w:val="BodyText1"/>
      </w:pPr>
      <w:r w:rsidRPr="0046699E">
        <w:t>In particular, the report must specify whether, in the Auditor’s opinion, the annual returns are reliable and in accordance with the relevant prudential requirements.</w:t>
      </w:r>
    </w:p>
    <w:p w14:paraId="1DBE1F4A" w14:textId="5577A7BF" w:rsidR="0050718F" w:rsidRDefault="0050718F" w:rsidP="0050718F">
      <w:pPr>
        <w:pStyle w:val="BodyText1"/>
      </w:pPr>
      <w:r w:rsidRPr="0046699E">
        <w:t>The report must also specify whether,</w:t>
      </w:r>
      <w:r w:rsidRPr="0046699E">
        <w:rPr>
          <w:bCs/>
        </w:rPr>
        <w:t xml:space="preserve"> in the Auditor's opinion</w:t>
      </w:r>
      <w:r w:rsidRPr="0046699E">
        <w:t xml:space="preserve">, the prudential requirements </w:t>
      </w:r>
      <w:r w:rsidRPr="0046699E">
        <w:rPr>
          <w:bCs/>
        </w:rPr>
        <w:t>in relation to</w:t>
      </w:r>
      <w:r w:rsidRPr="0046699E">
        <w:t xml:space="preserve"> the accounting for statutory funds have been met.</w:t>
      </w:r>
    </w:p>
    <w:p w14:paraId="6A6B36BB" w14:textId="07AAE1B3" w:rsidR="0050718F" w:rsidRDefault="0050718F" w:rsidP="0050718F">
      <w:pPr>
        <w:pStyle w:val="BodyText1"/>
      </w:pPr>
      <w:r w:rsidRPr="0046699E">
        <w:t xml:space="preserve">The Auditor must provide the </w:t>
      </w:r>
      <w:bookmarkStart w:id="31" w:name="_Ref221424338"/>
      <w:r w:rsidRPr="0046699E">
        <w:t xml:space="preserve">report to the life company and </w:t>
      </w:r>
      <w:bookmarkEnd w:id="31"/>
      <w:r w:rsidRPr="0046699E">
        <w:t>address it to the Board of the life company.</w:t>
      </w:r>
    </w:p>
    <w:p w14:paraId="41A140A8" w14:textId="4ED111FC" w:rsidR="00DB6A66" w:rsidRDefault="00DB6A66" w:rsidP="00DB6A66">
      <w:pPr>
        <w:pStyle w:val="Heading1"/>
      </w:pPr>
      <w:bookmarkStart w:id="32" w:name="_Toc99381070"/>
      <w:bookmarkStart w:id="33" w:name="_Toc109653086"/>
      <w:r>
        <w:t xml:space="preserve">Review of systems, </w:t>
      </w:r>
      <w:proofErr w:type="gramStart"/>
      <w:r>
        <w:t>processes</w:t>
      </w:r>
      <w:proofErr w:type="gramEnd"/>
      <w:r>
        <w:t xml:space="preserve"> and internal controls</w:t>
      </w:r>
      <w:bookmarkEnd w:id="32"/>
      <w:bookmarkEnd w:id="33"/>
    </w:p>
    <w:p w14:paraId="45ABC0B8" w14:textId="27F10ACC" w:rsidR="00DB6A66" w:rsidRDefault="00DB6A66" w:rsidP="00DB6A66">
      <w:pPr>
        <w:pStyle w:val="BodyText1"/>
      </w:pPr>
      <w:bookmarkStart w:id="34" w:name="_Ref222544183"/>
      <w:r w:rsidRPr="0046699E">
        <w:t>The Auditor must prepare a report that provides limited assurance that the life company has systems, procedures and internal controls that are designed to ensure that the life company:</w:t>
      </w:r>
      <w:bookmarkEnd w:id="34"/>
    </w:p>
    <w:p w14:paraId="6537F3CC" w14:textId="2D6879F4" w:rsidR="00DB6A66" w:rsidRDefault="00DB6A66" w:rsidP="00DB6A66">
      <w:pPr>
        <w:pStyle w:val="BodyText2"/>
      </w:pPr>
      <w:r w:rsidRPr="0046699E">
        <w:t>has complied with all applicable prudential requirements; and</w:t>
      </w:r>
    </w:p>
    <w:p w14:paraId="1C1B5943" w14:textId="34342E09" w:rsidR="00DB6A66" w:rsidRDefault="00DB6A66" w:rsidP="00DB6A66">
      <w:pPr>
        <w:pStyle w:val="BodyText2"/>
      </w:pPr>
      <w:r w:rsidRPr="0046699E">
        <w:t xml:space="preserve">has provided reliable data to APRA in the reporting forms prepared under </w:t>
      </w:r>
      <w:r>
        <w:t>Collection of Data Act</w:t>
      </w:r>
      <w:r w:rsidRPr="0046699E">
        <w:t xml:space="preserve"> (including those provided quarterly).</w:t>
      </w:r>
    </w:p>
    <w:p w14:paraId="50D6EF67" w14:textId="7D11E2A3" w:rsidR="00DB6A66" w:rsidRDefault="00DB6A66" w:rsidP="00DB6A66">
      <w:pPr>
        <w:pStyle w:val="BodyText2"/>
        <w:numPr>
          <w:ilvl w:val="0"/>
          <w:numId w:val="0"/>
        </w:numPr>
        <w:ind w:left="567"/>
      </w:pPr>
      <w:r w:rsidRPr="0046699E">
        <w:t>In relation to (a) and (b), the report must also provide limited assurance that these internal controls have operated effectively throughout the financial year of the life company.</w:t>
      </w:r>
    </w:p>
    <w:p w14:paraId="32307CC7" w14:textId="30A50B62" w:rsidR="00A03B88" w:rsidRDefault="00BD2B81" w:rsidP="00A03B88">
      <w:pPr>
        <w:pStyle w:val="BodyText1"/>
      </w:pPr>
      <w:r w:rsidRPr="0046699E">
        <w:t xml:space="preserve">The report must also provide limited assurance that the life company’s systems, </w:t>
      </w:r>
      <w:proofErr w:type="gramStart"/>
      <w:r w:rsidRPr="0046699E">
        <w:t>procedures</w:t>
      </w:r>
      <w:proofErr w:type="gramEnd"/>
      <w:r w:rsidRPr="0046699E">
        <w:t xml:space="preserve"> and internal controls relating to actuarial data integrity and financial</w:t>
      </w:r>
      <w:r>
        <w:t xml:space="preserve"> </w:t>
      </w:r>
      <w:r w:rsidRPr="0046699E">
        <w:lastRenderedPageBreak/>
        <w:t xml:space="preserve">reporting risks (the risks that incorrect source data will be used in completing the reporting forms under </w:t>
      </w:r>
      <w:r>
        <w:t>Collection of Data Act</w:t>
      </w:r>
      <w:r w:rsidRPr="0046699E">
        <w:t>) are adequate and effective.</w:t>
      </w:r>
    </w:p>
    <w:p w14:paraId="46B28EF6" w14:textId="46525C5A" w:rsidR="00BD2B81" w:rsidRDefault="00BD2B81" w:rsidP="00A03B88">
      <w:pPr>
        <w:pStyle w:val="BodyText1"/>
      </w:pPr>
      <w:r w:rsidRPr="0046699E">
        <w:t>The Auditor must provide the report to the life company and address it to the Board of the life company.</w:t>
      </w:r>
    </w:p>
    <w:p w14:paraId="60ADAFF4" w14:textId="18930297" w:rsidR="00BD2B81" w:rsidRDefault="00BD2B81" w:rsidP="00BD2B81">
      <w:pPr>
        <w:pStyle w:val="Heading1"/>
      </w:pPr>
      <w:bookmarkStart w:id="35" w:name="_Toc99381071"/>
      <w:bookmarkStart w:id="36" w:name="_Toc109653087"/>
      <w:r>
        <w:t>Special purpose engagements</w:t>
      </w:r>
      <w:bookmarkEnd w:id="35"/>
      <w:bookmarkEnd w:id="36"/>
    </w:p>
    <w:p w14:paraId="5AD7257C" w14:textId="6D27EEBC" w:rsidR="00BD2B81" w:rsidRDefault="00BD2B81" w:rsidP="00BD2B81">
      <w:pPr>
        <w:pStyle w:val="BodyText1"/>
      </w:pPr>
      <w:bookmarkStart w:id="37" w:name="_Ref214184463"/>
      <w:r w:rsidRPr="0046699E">
        <w:t>When requested to do so in writing by APRA, a life company must arrange for its Auditor to:</w:t>
      </w:r>
      <w:bookmarkEnd w:id="37"/>
    </w:p>
    <w:p w14:paraId="2FFE9889" w14:textId="1E0E073F" w:rsidR="00BD2B81" w:rsidRDefault="00BD2B81" w:rsidP="00BD2B81">
      <w:pPr>
        <w:pStyle w:val="BodyText2"/>
      </w:pPr>
      <w:r w:rsidRPr="0046699E">
        <w:t>undertake a special purpose engagement relating to matters set out in writing by APRA relating to the life company’s operations, risk management or financial affairs; and</w:t>
      </w:r>
    </w:p>
    <w:p w14:paraId="1B38B7E8" w14:textId="574429C6" w:rsidR="00BD2B81" w:rsidRDefault="00BD2B81" w:rsidP="00BD2B81">
      <w:pPr>
        <w:pStyle w:val="BodyText2"/>
      </w:pPr>
      <w:r w:rsidRPr="0046699E">
        <w:t>prepare a report in respect of that engagement.</w:t>
      </w:r>
    </w:p>
    <w:p w14:paraId="6D036E96" w14:textId="0A05FED2" w:rsidR="00BD2B81" w:rsidRDefault="00BD2B81" w:rsidP="00BD2B81">
      <w:pPr>
        <w:pStyle w:val="BodyText1"/>
      </w:pPr>
      <w:bookmarkStart w:id="38" w:name="_Ref336002944"/>
      <w:r w:rsidRPr="0046699E">
        <w:t xml:space="preserve">A special purpose engagement may be conducted by an auditor other than the Auditor appointed under paragraph </w:t>
      </w:r>
      <w:r w:rsidRPr="0046699E">
        <w:rPr>
          <w:b/>
        </w:rPr>
        <w:fldChar w:fldCharType="begin"/>
      </w:r>
      <w:r w:rsidRPr="0046699E">
        <w:instrText xml:space="preserve"> REF _Ref219884222 \r \h </w:instrText>
      </w:r>
      <w:r>
        <w:instrText xml:space="preserve"> \* MERGEFORMAT </w:instrText>
      </w:r>
      <w:r w:rsidRPr="0046699E">
        <w:rPr>
          <w:b/>
        </w:rPr>
      </w:r>
      <w:r w:rsidRPr="0046699E">
        <w:rPr>
          <w:b/>
        </w:rPr>
        <w:fldChar w:fldCharType="separate"/>
      </w:r>
      <w:r w:rsidR="00F97BAD">
        <w:t>6</w:t>
      </w:r>
      <w:r w:rsidRPr="0046699E">
        <w:rPr>
          <w:b/>
        </w:rPr>
        <w:fldChar w:fldCharType="end"/>
      </w:r>
      <w:r w:rsidRPr="0046699E">
        <w:t xml:space="preserve"> but only where this is agreed to by APRA and the auditor satisfies the criteria set out in paragraph </w:t>
      </w:r>
      <w:r w:rsidRPr="0046699E">
        <w:rPr>
          <w:b/>
        </w:rPr>
        <w:fldChar w:fldCharType="begin"/>
      </w:r>
      <w:r w:rsidRPr="0046699E">
        <w:instrText xml:space="preserve"> REF _Ref219888642 \r \h </w:instrText>
      </w:r>
      <w:r>
        <w:instrText xml:space="preserve"> \* MERGEFORMAT </w:instrText>
      </w:r>
      <w:r w:rsidRPr="0046699E">
        <w:rPr>
          <w:b/>
        </w:rPr>
      </w:r>
      <w:r w:rsidRPr="0046699E">
        <w:rPr>
          <w:b/>
        </w:rPr>
        <w:fldChar w:fldCharType="separate"/>
      </w:r>
      <w:r w:rsidR="00F97BAD">
        <w:t>7</w:t>
      </w:r>
      <w:r w:rsidRPr="0046699E">
        <w:rPr>
          <w:b/>
        </w:rPr>
        <w:fldChar w:fldCharType="end"/>
      </w:r>
      <w:r w:rsidRPr="0046699E">
        <w:t>.</w:t>
      </w:r>
      <w:bookmarkEnd w:id="38"/>
    </w:p>
    <w:p w14:paraId="624FF501" w14:textId="38242CA1" w:rsidR="00A63CA3" w:rsidRDefault="00A63CA3" w:rsidP="00BD2B81">
      <w:pPr>
        <w:pStyle w:val="BodyText1"/>
      </w:pPr>
      <w:r w:rsidRPr="0046699E">
        <w:t>The engagement must be completed in accordance with any relevant AUASB Standards and Guidance Statements (as appropriate to the nature of the special purpose review), to the extent that they are not inconsistent with the requirements of this Prudential Standard. Where APRA considers, having regard to the nature of the life company’s operations and the purpose of the special purpose engagement, that the engagement should not be completed in accordance with those AUASB Standards and Guidance Statements, APRA may advise the life company in writing that an alternative standard must be used (which is not inconsistent with the requirements of this Prudential Standard and the Act).</w:t>
      </w:r>
    </w:p>
    <w:p w14:paraId="5ED0E6BE" w14:textId="1B88DCF2" w:rsidR="00A63CA3" w:rsidRDefault="00A63CA3" w:rsidP="00BD2B81">
      <w:pPr>
        <w:pStyle w:val="BodyText1"/>
      </w:pPr>
      <w:r w:rsidRPr="0046699E">
        <w:t>The cost of a special purpose engagement will be borne by the life company.</w:t>
      </w:r>
    </w:p>
    <w:p w14:paraId="6C90E99B" w14:textId="3A6F22DC" w:rsidR="00A63CA3" w:rsidRDefault="00A63CA3" w:rsidP="00BD2B81">
      <w:pPr>
        <w:pStyle w:val="BodyText1"/>
      </w:pPr>
      <w:r w:rsidRPr="0046699E">
        <w:t>The auditor must submit the final report to APRA and the Board (or Board Audit Committee) of the life company simultaneously within three months of the engagement being commissioned, unless APRA grants an extension of time in writing.</w:t>
      </w:r>
    </w:p>
    <w:p w14:paraId="5499185B" w14:textId="6F993E8B" w:rsidR="00A63CA3" w:rsidRDefault="00A63CA3" w:rsidP="00A63CA3">
      <w:pPr>
        <w:pStyle w:val="Heading1"/>
      </w:pPr>
      <w:bookmarkStart w:id="39" w:name="_Toc99381072"/>
      <w:bookmarkStart w:id="40" w:name="_Toc109653088"/>
      <w:r>
        <w:t>Obligation to report to APRA under the Act</w:t>
      </w:r>
      <w:bookmarkEnd w:id="39"/>
      <w:bookmarkEnd w:id="40"/>
    </w:p>
    <w:p w14:paraId="65015873" w14:textId="7E8A459E" w:rsidR="00A63CA3" w:rsidRDefault="00A63CA3" w:rsidP="00A63CA3">
      <w:pPr>
        <w:pStyle w:val="BodyText1"/>
      </w:pPr>
      <w:r w:rsidRPr="0046699E">
        <w:t xml:space="preserve">The Act specifies certain circumstances where Auditors are required to report to APRA where a life company or its directors may have contravened the </w:t>
      </w:r>
      <w:proofErr w:type="gramStart"/>
      <w:r w:rsidRPr="0046699E">
        <w:t>Act</w:t>
      </w:r>
      <w:proofErr w:type="gramEnd"/>
      <w:r w:rsidRPr="0046699E">
        <w:t xml:space="preserve"> or any other law and the contravention may significantly prejudice the interests of the owners of policies issued by the life company.</w:t>
      </w:r>
      <w:r w:rsidRPr="0046699E">
        <w:rPr>
          <w:rStyle w:val="FootnoteReference"/>
        </w:rPr>
        <w:footnoteReference w:id="6"/>
      </w:r>
    </w:p>
    <w:p w14:paraId="199DB53D" w14:textId="503CDC41" w:rsidR="00A63CA3" w:rsidRDefault="00A63CA3" w:rsidP="00A63CA3">
      <w:pPr>
        <w:pStyle w:val="BodyText1"/>
      </w:pPr>
      <w:bookmarkStart w:id="41" w:name="_Ref214275825"/>
      <w:r w:rsidRPr="0046699E">
        <w:t>Where a report is made to APRA, the Auditor should not disclose this to the life company if the Auditor:</w:t>
      </w:r>
      <w:bookmarkEnd w:id="41"/>
    </w:p>
    <w:p w14:paraId="49DA8C12" w14:textId="058A96F8" w:rsidR="00A63CA3" w:rsidRDefault="00A63CA3" w:rsidP="00A63CA3">
      <w:pPr>
        <w:pStyle w:val="BodyText2"/>
      </w:pPr>
      <w:r w:rsidRPr="0046699E">
        <w:lastRenderedPageBreak/>
        <w:t>considers that by doing so the interests of policy owners may be jeopardised; or</w:t>
      </w:r>
    </w:p>
    <w:p w14:paraId="30CE5A86" w14:textId="401FE2E0" w:rsidR="00A63CA3" w:rsidRDefault="00A63CA3" w:rsidP="00A63CA3">
      <w:pPr>
        <w:pStyle w:val="BodyText2"/>
      </w:pPr>
      <w:r w:rsidRPr="0046699E">
        <w:t>has lost confidence in or mistrusts the Board or senior management of the life company.</w:t>
      </w:r>
    </w:p>
    <w:p w14:paraId="224F78A1" w14:textId="0502CFC4" w:rsidR="00A63CA3" w:rsidRDefault="00A63CA3" w:rsidP="00A63CA3">
      <w:pPr>
        <w:pStyle w:val="Heading1"/>
      </w:pPr>
      <w:bookmarkStart w:id="42" w:name="_Toc99381073"/>
      <w:bookmarkStart w:id="43" w:name="_Toc109653089"/>
      <w:r>
        <w:t>Ascertainment of income and outgoings of statutory funds</w:t>
      </w:r>
      <w:bookmarkEnd w:id="42"/>
      <w:bookmarkEnd w:id="43"/>
      <w:r>
        <w:t xml:space="preserve"> </w:t>
      </w:r>
    </w:p>
    <w:p w14:paraId="57E93D5C" w14:textId="5495CCEB" w:rsidR="00A63CA3" w:rsidRDefault="00A63CA3" w:rsidP="00A63CA3">
      <w:pPr>
        <w:pStyle w:val="BodyText1"/>
      </w:pPr>
      <w:r w:rsidRPr="0046699E">
        <w:t xml:space="preserve">For the purposes of subsection 47(1) of the Act, income and outgoings of a statutory fund are, respectively, the amounts pertaining to that statutory fund that have the character of income and outgoings in accordance with the provisions of the reporting standards made under </w:t>
      </w:r>
      <w:r>
        <w:t>Collection of Data Act</w:t>
      </w:r>
      <w:r w:rsidRPr="0046699E">
        <w:t>, as in force from time to time, that provide for accountability for profit and loss.</w:t>
      </w:r>
    </w:p>
    <w:p w14:paraId="11E32772" w14:textId="6FB6EA73" w:rsidR="00D44FBA" w:rsidRDefault="00D44FBA" w:rsidP="00D44FBA">
      <w:pPr>
        <w:pStyle w:val="Heading1"/>
      </w:pPr>
      <w:bookmarkStart w:id="44" w:name="_Toc99381074"/>
      <w:bookmarkStart w:id="45" w:name="_Toc109653090"/>
      <w:r>
        <w:t>Adjustments and exclusions</w:t>
      </w:r>
      <w:bookmarkEnd w:id="44"/>
      <w:bookmarkEnd w:id="45"/>
      <w:r>
        <w:t xml:space="preserve"> </w:t>
      </w:r>
    </w:p>
    <w:p w14:paraId="574D3BF5" w14:textId="4D2B1DFA" w:rsidR="00D44FBA" w:rsidRDefault="00D44FBA" w:rsidP="00D44FBA">
      <w:pPr>
        <w:pStyle w:val="BodyText1"/>
      </w:pPr>
      <w:bookmarkStart w:id="46" w:name="_Ref214343768"/>
      <w:r w:rsidRPr="0046699E">
        <w:t>APRA may, by notice in writing to a life company, adjust or exclude a specific requirement in this Prudential Standard in relation to that company.</w:t>
      </w:r>
      <w:bookmarkEnd w:id="46"/>
    </w:p>
    <w:p w14:paraId="0A29EF2B" w14:textId="55293FB0" w:rsidR="00D44FBA" w:rsidRDefault="00081ED1" w:rsidP="00D44FBA">
      <w:pPr>
        <w:pStyle w:val="Heading1"/>
      </w:pPr>
      <w:bookmarkStart w:id="47" w:name="_Toc109653091"/>
      <w:r>
        <w:t>Previous exercise of discretion</w:t>
      </w:r>
      <w:bookmarkEnd w:id="47"/>
    </w:p>
    <w:p w14:paraId="6AF8CA2E" w14:textId="7BFEAC9D" w:rsidR="00341E9F" w:rsidRDefault="00081AE5" w:rsidP="00691307">
      <w:pPr>
        <w:pStyle w:val="BodyText1"/>
        <w:sectPr w:rsidR="00341E9F" w:rsidSect="000D63A8">
          <w:pgSz w:w="11906" w:h="16838" w:code="9"/>
          <w:pgMar w:top="1440" w:right="1797" w:bottom="1440" w:left="1797" w:header="709" w:footer="709" w:gutter="0"/>
          <w:cols w:space="708"/>
          <w:docGrid w:linePitch="360"/>
        </w:sectPr>
      </w:pPr>
      <w:r>
        <w:t>An exercise of APRA’s discretion (such as an approval</w:t>
      </w:r>
      <w:r w:rsidR="005F056C">
        <w:t>,</w:t>
      </w:r>
      <w:r>
        <w:t xml:space="preserve"> </w:t>
      </w:r>
      <w:proofErr w:type="gramStart"/>
      <w:r>
        <w:t>waiver</w:t>
      </w:r>
      <w:proofErr w:type="gramEnd"/>
      <w:r>
        <w:t xml:space="preserve"> or direction) under a previous version of this Prudential Standard continues to have effect as though exercised pursuant to a corresponding power (if any) exercisable by APRA under this Prudential Standard. </w:t>
      </w:r>
    </w:p>
    <w:p w14:paraId="7F904312" w14:textId="77777777" w:rsidR="005A7660" w:rsidRDefault="005A7660" w:rsidP="005A7660">
      <w:pPr>
        <w:pStyle w:val="Heading2"/>
      </w:pPr>
      <w:bookmarkStart w:id="48" w:name="_Toc109653092"/>
      <w:bookmarkStart w:id="49" w:name="_Toc214330534"/>
      <w:bookmarkStart w:id="50" w:name="_Toc214333736"/>
      <w:bookmarkStart w:id="51" w:name="_Toc254614313"/>
      <w:bookmarkStart w:id="52" w:name="_Toc99381076"/>
      <w:r w:rsidRPr="00341E9F">
        <w:lastRenderedPageBreak/>
        <w:t xml:space="preserve">Attachment </w:t>
      </w:r>
      <w:r w:rsidRPr="00341E9F">
        <w:rPr>
          <w:rStyle w:val="Attachmentfieldtext"/>
        </w:rPr>
        <w:t>A</w:t>
      </w:r>
      <w:r w:rsidRPr="00341E9F">
        <w:t xml:space="preserve"> –</w:t>
      </w:r>
      <w:r>
        <w:t xml:space="preserve"> Auditable annual returns</w:t>
      </w:r>
      <w:bookmarkEnd w:id="48"/>
      <w:r>
        <w:t xml:space="preserve"> </w:t>
      </w:r>
    </w:p>
    <w:p w14:paraId="229AD556" w14:textId="390B18C5" w:rsidR="00A80F30" w:rsidRPr="00A80F30" w:rsidRDefault="00A80F30" w:rsidP="00FC737D">
      <w:bookmarkStart w:id="53" w:name="_Hlk99366662"/>
      <w:bookmarkStart w:id="54" w:name="_Hlk99366644"/>
      <w:bookmarkEnd w:id="49"/>
      <w:bookmarkEnd w:id="50"/>
      <w:bookmarkEnd w:id="51"/>
      <w:bookmarkEnd w:id="52"/>
      <w:r w:rsidRPr="0046699E">
        <w:t>The Auditor must provide</w:t>
      </w:r>
      <w:r w:rsidRPr="0046699E">
        <w:rPr>
          <w:b/>
        </w:rPr>
        <w:t xml:space="preserve"> </w:t>
      </w:r>
      <w:r w:rsidRPr="0046699E">
        <w:t>assurance on the annual data provided to APRA in the forms as listed below.</w:t>
      </w:r>
      <w:r w:rsidRPr="0046699E">
        <w:rPr>
          <w:szCs w:val="22"/>
        </w:rPr>
        <w:t xml:space="preserve"> </w:t>
      </w:r>
      <w:bookmarkEnd w:id="53"/>
      <w:r w:rsidRPr="0046699E">
        <w:rPr>
          <w:szCs w:val="22"/>
        </w:rPr>
        <w:t xml:space="preserve">APRA determined these forms in reporting standards made under </w:t>
      </w:r>
      <w:r>
        <w:rPr>
          <w:szCs w:val="22"/>
        </w:rPr>
        <w:t>Collection of Data Act</w:t>
      </w:r>
      <w:r w:rsidRPr="0046699E">
        <w:rPr>
          <w:szCs w:val="22"/>
        </w:rPr>
        <w:t>.</w:t>
      </w:r>
      <w:bookmarkEnd w:id="54"/>
    </w:p>
    <w:tbl>
      <w:tblPr>
        <w:tblStyle w:val="TableGrid"/>
        <w:tblW w:w="0" w:type="auto"/>
        <w:tblLook w:val="04A0" w:firstRow="1" w:lastRow="0" w:firstColumn="1" w:lastColumn="0" w:noHBand="0" w:noVBand="1"/>
      </w:tblPr>
      <w:tblGrid>
        <w:gridCol w:w="562"/>
        <w:gridCol w:w="4111"/>
        <w:gridCol w:w="1418"/>
        <w:gridCol w:w="1701"/>
      </w:tblGrid>
      <w:tr w:rsidR="00FC737D" w14:paraId="394290C7" w14:textId="77777777" w:rsidTr="00A067AB">
        <w:tc>
          <w:tcPr>
            <w:tcW w:w="562" w:type="dxa"/>
          </w:tcPr>
          <w:p w14:paraId="73C9B562" w14:textId="77777777" w:rsidR="00FC737D" w:rsidRDefault="00FC737D" w:rsidP="00A80F30">
            <w:pPr>
              <w:rPr>
                <w:szCs w:val="22"/>
              </w:rPr>
            </w:pPr>
          </w:p>
        </w:tc>
        <w:tc>
          <w:tcPr>
            <w:tcW w:w="4111" w:type="dxa"/>
          </w:tcPr>
          <w:p w14:paraId="1C4067AA" w14:textId="0C7907AE" w:rsidR="00FC737D" w:rsidRPr="00FC737D" w:rsidRDefault="00FC737D" w:rsidP="00A80F30">
            <w:pPr>
              <w:rPr>
                <w:b/>
                <w:szCs w:val="22"/>
              </w:rPr>
            </w:pPr>
            <w:r w:rsidRPr="00FC737D">
              <w:rPr>
                <w:b/>
                <w:szCs w:val="22"/>
              </w:rPr>
              <w:t>Reporting Standard Name</w:t>
            </w:r>
          </w:p>
        </w:tc>
        <w:tc>
          <w:tcPr>
            <w:tcW w:w="1418" w:type="dxa"/>
          </w:tcPr>
          <w:p w14:paraId="6DD5B05C" w14:textId="1D88FF3A" w:rsidR="00FC737D" w:rsidRDefault="00FC737D" w:rsidP="00A80F30">
            <w:pPr>
              <w:rPr>
                <w:szCs w:val="22"/>
              </w:rPr>
            </w:pPr>
            <w:r w:rsidRPr="0046699E">
              <w:rPr>
                <w:rFonts w:cs="Arial"/>
                <w:b/>
                <w:bCs/>
                <w:szCs w:val="22"/>
              </w:rPr>
              <w:t xml:space="preserve">Reporting Standard </w:t>
            </w:r>
            <w:r w:rsidRPr="00341E9F">
              <w:rPr>
                <w:rFonts w:cs="Arial"/>
                <w:b/>
                <w:bCs/>
                <w:szCs w:val="22"/>
              </w:rPr>
              <w:t>Number</w:t>
            </w:r>
          </w:p>
        </w:tc>
        <w:tc>
          <w:tcPr>
            <w:tcW w:w="1701" w:type="dxa"/>
          </w:tcPr>
          <w:p w14:paraId="39DB9DD4" w14:textId="6118163F" w:rsidR="00FC737D" w:rsidRDefault="00FC737D" w:rsidP="00A80F30">
            <w:r w:rsidRPr="26D18E43">
              <w:rPr>
                <w:rFonts w:cs="Arial"/>
                <w:b/>
                <w:bCs/>
              </w:rPr>
              <w:t>Level of Assurance</w:t>
            </w:r>
            <w:r w:rsidRPr="26D18E43">
              <w:rPr>
                <w:rStyle w:val="FootnoteReference"/>
                <w:rFonts w:cs="Arial"/>
              </w:rPr>
              <w:footnoteReference w:id="7"/>
            </w:r>
          </w:p>
        </w:tc>
      </w:tr>
      <w:tr w:rsidR="00FC737D" w14:paraId="6A27AF91" w14:textId="77777777" w:rsidTr="00A067AB">
        <w:tc>
          <w:tcPr>
            <w:tcW w:w="562" w:type="dxa"/>
          </w:tcPr>
          <w:p w14:paraId="49B8F610" w14:textId="76E4015F" w:rsidR="00FC737D" w:rsidRDefault="00FC737D" w:rsidP="00A80F30">
            <w:pPr>
              <w:rPr>
                <w:szCs w:val="22"/>
              </w:rPr>
            </w:pPr>
            <w:r>
              <w:rPr>
                <w:szCs w:val="22"/>
              </w:rPr>
              <w:t>1</w:t>
            </w:r>
          </w:p>
        </w:tc>
        <w:tc>
          <w:tcPr>
            <w:tcW w:w="4111" w:type="dxa"/>
          </w:tcPr>
          <w:p w14:paraId="57C4A07F" w14:textId="47948CAB" w:rsidR="00FC737D" w:rsidRDefault="00650726" w:rsidP="00A80F30">
            <w:pPr>
              <w:rPr>
                <w:szCs w:val="22"/>
              </w:rPr>
            </w:pPr>
            <w:r>
              <w:rPr>
                <w:szCs w:val="22"/>
              </w:rPr>
              <w:t xml:space="preserve">Prescribed Capital Amount </w:t>
            </w:r>
          </w:p>
        </w:tc>
        <w:tc>
          <w:tcPr>
            <w:tcW w:w="1418" w:type="dxa"/>
          </w:tcPr>
          <w:p w14:paraId="2D4E1C6D" w14:textId="7E020394" w:rsidR="00FC737D" w:rsidRDefault="00650726" w:rsidP="00A80F30">
            <w:pPr>
              <w:rPr>
                <w:szCs w:val="22"/>
              </w:rPr>
            </w:pPr>
            <w:r>
              <w:rPr>
                <w:szCs w:val="22"/>
              </w:rPr>
              <w:t>LRS 110.</w:t>
            </w:r>
            <w:r w:rsidR="005C2EFE">
              <w:rPr>
                <w:szCs w:val="22"/>
              </w:rPr>
              <w:t>0</w:t>
            </w:r>
          </w:p>
        </w:tc>
        <w:tc>
          <w:tcPr>
            <w:tcW w:w="1701" w:type="dxa"/>
          </w:tcPr>
          <w:p w14:paraId="28A557D8" w14:textId="4802E5E2" w:rsidR="00FC737D" w:rsidRDefault="00650726" w:rsidP="00A80F30">
            <w:pPr>
              <w:rPr>
                <w:szCs w:val="22"/>
              </w:rPr>
            </w:pPr>
            <w:r>
              <w:rPr>
                <w:szCs w:val="22"/>
              </w:rPr>
              <w:t>Reasonable</w:t>
            </w:r>
          </w:p>
        </w:tc>
      </w:tr>
      <w:tr w:rsidR="00FC737D" w14:paraId="2B8FEEC5" w14:textId="77777777" w:rsidTr="00A067AB">
        <w:tc>
          <w:tcPr>
            <w:tcW w:w="562" w:type="dxa"/>
          </w:tcPr>
          <w:p w14:paraId="0F872D10" w14:textId="4F06C3EC" w:rsidR="00FC737D" w:rsidRDefault="00FC737D" w:rsidP="00A80F30">
            <w:pPr>
              <w:rPr>
                <w:szCs w:val="22"/>
              </w:rPr>
            </w:pPr>
            <w:r>
              <w:rPr>
                <w:szCs w:val="22"/>
              </w:rPr>
              <w:t>2</w:t>
            </w:r>
          </w:p>
        </w:tc>
        <w:tc>
          <w:tcPr>
            <w:tcW w:w="4111" w:type="dxa"/>
          </w:tcPr>
          <w:p w14:paraId="4FD87B0E" w14:textId="04647E59" w:rsidR="00FC737D" w:rsidRDefault="00650726" w:rsidP="00650726">
            <w:pPr>
              <w:rPr>
                <w:szCs w:val="22"/>
              </w:rPr>
            </w:pPr>
            <w:r>
              <w:t>Adjustments and Exclusions</w:t>
            </w:r>
          </w:p>
        </w:tc>
        <w:tc>
          <w:tcPr>
            <w:tcW w:w="1418" w:type="dxa"/>
          </w:tcPr>
          <w:p w14:paraId="3EF5A36D" w14:textId="105EBC70" w:rsidR="00FC737D" w:rsidRDefault="00650726" w:rsidP="00650726">
            <w:pPr>
              <w:rPr>
                <w:szCs w:val="22"/>
              </w:rPr>
            </w:pPr>
            <w:r>
              <w:t>LRS 111.0</w:t>
            </w:r>
          </w:p>
        </w:tc>
        <w:tc>
          <w:tcPr>
            <w:tcW w:w="1701" w:type="dxa"/>
          </w:tcPr>
          <w:p w14:paraId="708B502E" w14:textId="09362260" w:rsidR="00FC737D" w:rsidRDefault="00650726" w:rsidP="00650726">
            <w:r>
              <w:t>Reasonable</w:t>
            </w:r>
          </w:p>
        </w:tc>
      </w:tr>
      <w:tr w:rsidR="00650726" w14:paraId="2068F2AE" w14:textId="77777777" w:rsidTr="00A067AB">
        <w:tc>
          <w:tcPr>
            <w:tcW w:w="562" w:type="dxa"/>
          </w:tcPr>
          <w:p w14:paraId="4BC7D15C" w14:textId="368F1E20" w:rsidR="00650726" w:rsidRDefault="00650726" w:rsidP="00650726">
            <w:pPr>
              <w:rPr>
                <w:szCs w:val="22"/>
              </w:rPr>
            </w:pPr>
            <w:r>
              <w:rPr>
                <w:szCs w:val="22"/>
              </w:rPr>
              <w:t>3</w:t>
            </w:r>
          </w:p>
        </w:tc>
        <w:tc>
          <w:tcPr>
            <w:tcW w:w="4111" w:type="dxa"/>
          </w:tcPr>
          <w:p w14:paraId="4BB78F70" w14:textId="70B7BF9D" w:rsidR="00650726" w:rsidRDefault="00650726" w:rsidP="00650726">
            <w:pPr>
              <w:rPr>
                <w:szCs w:val="22"/>
              </w:rPr>
            </w:pPr>
            <w:r w:rsidRPr="0046699E">
              <w:t>Determination of Capital Base</w:t>
            </w:r>
          </w:p>
        </w:tc>
        <w:tc>
          <w:tcPr>
            <w:tcW w:w="1418" w:type="dxa"/>
          </w:tcPr>
          <w:p w14:paraId="5C068D6F" w14:textId="29191D77" w:rsidR="00650726" w:rsidRDefault="00650726" w:rsidP="00650726">
            <w:pPr>
              <w:rPr>
                <w:szCs w:val="22"/>
              </w:rPr>
            </w:pPr>
            <w:r w:rsidRPr="0046699E">
              <w:t>LRS 112.0</w:t>
            </w:r>
          </w:p>
        </w:tc>
        <w:tc>
          <w:tcPr>
            <w:tcW w:w="1701" w:type="dxa"/>
          </w:tcPr>
          <w:p w14:paraId="026CBBB0" w14:textId="28018F32" w:rsidR="00650726" w:rsidRDefault="00650726" w:rsidP="00650726">
            <w:pPr>
              <w:rPr>
                <w:szCs w:val="22"/>
              </w:rPr>
            </w:pPr>
            <w:r>
              <w:t>Reasonable</w:t>
            </w:r>
          </w:p>
        </w:tc>
      </w:tr>
      <w:tr w:rsidR="00650726" w14:paraId="779328D0" w14:textId="77777777" w:rsidTr="00A067AB">
        <w:tc>
          <w:tcPr>
            <w:tcW w:w="562" w:type="dxa"/>
          </w:tcPr>
          <w:p w14:paraId="7532C956" w14:textId="05DCB7C1" w:rsidR="00650726" w:rsidRDefault="00650726" w:rsidP="00650726">
            <w:pPr>
              <w:rPr>
                <w:szCs w:val="22"/>
              </w:rPr>
            </w:pPr>
            <w:r>
              <w:rPr>
                <w:szCs w:val="22"/>
              </w:rPr>
              <w:t>4</w:t>
            </w:r>
          </w:p>
        </w:tc>
        <w:tc>
          <w:tcPr>
            <w:tcW w:w="4111" w:type="dxa"/>
          </w:tcPr>
          <w:p w14:paraId="3862EE11" w14:textId="62276102" w:rsidR="00650726" w:rsidRDefault="00650726" w:rsidP="00650726">
            <w:pPr>
              <w:rPr>
                <w:szCs w:val="22"/>
              </w:rPr>
            </w:pPr>
            <w:r w:rsidRPr="0046699E">
              <w:t>Related Party Exposures</w:t>
            </w:r>
          </w:p>
        </w:tc>
        <w:tc>
          <w:tcPr>
            <w:tcW w:w="1418" w:type="dxa"/>
          </w:tcPr>
          <w:p w14:paraId="4653C589" w14:textId="305ADC1F" w:rsidR="00650726" w:rsidRDefault="00650726" w:rsidP="00650726">
            <w:pPr>
              <w:rPr>
                <w:szCs w:val="22"/>
              </w:rPr>
            </w:pPr>
            <w:r w:rsidRPr="0046699E">
              <w:t>LRS 112.3</w:t>
            </w:r>
          </w:p>
        </w:tc>
        <w:tc>
          <w:tcPr>
            <w:tcW w:w="1701" w:type="dxa"/>
          </w:tcPr>
          <w:p w14:paraId="16CDFDED" w14:textId="6FB1C5DC" w:rsidR="00650726" w:rsidRDefault="00650726" w:rsidP="00650726">
            <w:pPr>
              <w:rPr>
                <w:szCs w:val="22"/>
              </w:rPr>
            </w:pPr>
            <w:r>
              <w:t>Reasonable</w:t>
            </w:r>
          </w:p>
        </w:tc>
      </w:tr>
      <w:tr w:rsidR="00650726" w14:paraId="2F57D0CE" w14:textId="77777777" w:rsidTr="00A067AB">
        <w:tc>
          <w:tcPr>
            <w:tcW w:w="562" w:type="dxa"/>
          </w:tcPr>
          <w:p w14:paraId="6391AAD9" w14:textId="03D9E0C0" w:rsidR="00650726" w:rsidRDefault="00650726" w:rsidP="00650726">
            <w:pPr>
              <w:rPr>
                <w:szCs w:val="22"/>
              </w:rPr>
            </w:pPr>
            <w:r>
              <w:rPr>
                <w:szCs w:val="22"/>
              </w:rPr>
              <w:t>5</w:t>
            </w:r>
          </w:p>
        </w:tc>
        <w:tc>
          <w:tcPr>
            <w:tcW w:w="4111" w:type="dxa"/>
          </w:tcPr>
          <w:p w14:paraId="66542743" w14:textId="2E8720B7" w:rsidR="00650726" w:rsidRDefault="00650726" w:rsidP="00650726">
            <w:pPr>
              <w:rPr>
                <w:szCs w:val="22"/>
              </w:rPr>
            </w:pPr>
            <w:r w:rsidRPr="0046699E">
              <w:t>Asset Risk Charge</w:t>
            </w:r>
          </w:p>
        </w:tc>
        <w:tc>
          <w:tcPr>
            <w:tcW w:w="1418" w:type="dxa"/>
          </w:tcPr>
          <w:p w14:paraId="45732CC7" w14:textId="23C3BE27" w:rsidR="00650726" w:rsidRDefault="00650726" w:rsidP="00650726">
            <w:pPr>
              <w:rPr>
                <w:szCs w:val="22"/>
              </w:rPr>
            </w:pPr>
            <w:r w:rsidRPr="0046699E">
              <w:t>LRS 114.0</w:t>
            </w:r>
          </w:p>
        </w:tc>
        <w:tc>
          <w:tcPr>
            <w:tcW w:w="1701" w:type="dxa"/>
          </w:tcPr>
          <w:p w14:paraId="6E89964C" w14:textId="1505D307" w:rsidR="00650726" w:rsidRDefault="00650726" w:rsidP="00650726">
            <w:pPr>
              <w:rPr>
                <w:szCs w:val="22"/>
              </w:rPr>
            </w:pPr>
            <w:r>
              <w:t>Reasonable</w:t>
            </w:r>
          </w:p>
        </w:tc>
      </w:tr>
      <w:tr w:rsidR="00650726" w14:paraId="543F6ECE" w14:textId="77777777" w:rsidTr="00A067AB">
        <w:tc>
          <w:tcPr>
            <w:tcW w:w="562" w:type="dxa"/>
          </w:tcPr>
          <w:p w14:paraId="56F23797" w14:textId="545DADF6" w:rsidR="00650726" w:rsidRDefault="00650726" w:rsidP="00650726">
            <w:pPr>
              <w:rPr>
                <w:szCs w:val="22"/>
              </w:rPr>
            </w:pPr>
            <w:r>
              <w:rPr>
                <w:szCs w:val="22"/>
              </w:rPr>
              <w:t>6</w:t>
            </w:r>
          </w:p>
        </w:tc>
        <w:tc>
          <w:tcPr>
            <w:tcW w:w="4111" w:type="dxa"/>
          </w:tcPr>
          <w:p w14:paraId="254B8402" w14:textId="08713945" w:rsidR="00650726" w:rsidRDefault="00650726" w:rsidP="00650726">
            <w:pPr>
              <w:rPr>
                <w:szCs w:val="22"/>
              </w:rPr>
            </w:pPr>
            <w:r w:rsidRPr="0046699E">
              <w:t>Derivatives Activity</w:t>
            </w:r>
          </w:p>
        </w:tc>
        <w:tc>
          <w:tcPr>
            <w:tcW w:w="1418" w:type="dxa"/>
          </w:tcPr>
          <w:p w14:paraId="5D1406A2" w14:textId="2E9C9545" w:rsidR="00650726" w:rsidRDefault="00042E7D" w:rsidP="00042E7D">
            <w:pPr>
              <w:rPr>
                <w:szCs w:val="22"/>
              </w:rPr>
            </w:pPr>
            <w:r w:rsidRPr="0046699E">
              <w:t>LRS 114.2</w:t>
            </w:r>
          </w:p>
        </w:tc>
        <w:tc>
          <w:tcPr>
            <w:tcW w:w="1701" w:type="dxa"/>
          </w:tcPr>
          <w:p w14:paraId="644F60BF" w14:textId="3D222342" w:rsidR="00650726" w:rsidRDefault="00650726" w:rsidP="00650726">
            <w:pPr>
              <w:rPr>
                <w:szCs w:val="22"/>
              </w:rPr>
            </w:pPr>
            <w:r>
              <w:t>Reasonable</w:t>
            </w:r>
          </w:p>
        </w:tc>
      </w:tr>
      <w:tr w:rsidR="00650726" w14:paraId="33FF6CD5" w14:textId="77777777" w:rsidTr="00A067AB">
        <w:tc>
          <w:tcPr>
            <w:tcW w:w="562" w:type="dxa"/>
          </w:tcPr>
          <w:p w14:paraId="208AB280" w14:textId="335EC8CE" w:rsidR="00650726" w:rsidRDefault="00650726" w:rsidP="00650726">
            <w:pPr>
              <w:rPr>
                <w:szCs w:val="22"/>
              </w:rPr>
            </w:pPr>
            <w:r>
              <w:rPr>
                <w:szCs w:val="22"/>
              </w:rPr>
              <w:t>7</w:t>
            </w:r>
          </w:p>
        </w:tc>
        <w:tc>
          <w:tcPr>
            <w:tcW w:w="4111" w:type="dxa"/>
          </w:tcPr>
          <w:p w14:paraId="03EE8DEE" w14:textId="1E1517F2" w:rsidR="00650726" w:rsidRDefault="00042E7D" w:rsidP="00042E7D">
            <w:pPr>
              <w:rPr>
                <w:szCs w:val="22"/>
              </w:rPr>
            </w:pPr>
            <w:r w:rsidRPr="0046699E">
              <w:t>Off-balance Sheet Business</w:t>
            </w:r>
          </w:p>
        </w:tc>
        <w:tc>
          <w:tcPr>
            <w:tcW w:w="1418" w:type="dxa"/>
          </w:tcPr>
          <w:p w14:paraId="71C78421" w14:textId="3D4BDC4D" w:rsidR="00650726" w:rsidRDefault="00042E7D" w:rsidP="00042E7D">
            <w:pPr>
              <w:rPr>
                <w:szCs w:val="22"/>
              </w:rPr>
            </w:pPr>
            <w:r w:rsidRPr="0046699E">
              <w:t>LRS 114.3</w:t>
            </w:r>
          </w:p>
        </w:tc>
        <w:tc>
          <w:tcPr>
            <w:tcW w:w="1701" w:type="dxa"/>
          </w:tcPr>
          <w:p w14:paraId="0E24C753" w14:textId="3B4B9AB7" w:rsidR="00650726" w:rsidRDefault="00650726" w:rsidP="00650726">
            <w:pPr>
              <w:rPr>
                <w:szCs w:val="22"/>
              </w:rPr>
            </w:pPr>
            <w:r>
              <w:t>Reasonable</w:t>
            </w:r>
          </w:p>
        </w:tc>
      </w:tr>
      <w:tr w:rsidR="00650726" w14:paraId="5CD63F12" w14:textId="77777777" w:rsidTr="00A067AB">
        <w:trPr>
          <w:trHeight w:val="60"/>
        </w:trPr>
        <w:tc>
          <w:tcPr>
            <w:tcW w:w="562" w:type="dxa"/>
          </w:tcPr>
          <w:p w14:paraId="6545D4E5" w14:textId="42CCAA8D" w:rsidR="00650726" w:rsidRDefault="00042E7D" w:rsidP="00650726">
            <w:pPr>
              <w:rPr>
                <w:szCs w:val="22"/>
              </w:rPr>
            </w:pPr>
            <w:r>
              <w:rPr>
                <w:szCs w:val="22"/>
              </w:rPr>
              <w:t>8</w:t>
            </w:r>
          </w:p>
        </w:tc>
        <w:tc>
          <w:tcPr>
            <w:tcW w:w="4111" w:type="dxa"/>
          </w:tcPr>
          <w:p w14:paraId="4305321A" w14:textId="0DAADD5A" w:rsidR="00650726" w:rsidRDefault="006357E7" w:rsidP="006357E7">
            <w:pPr>
              <w:rPr>
                <w:szCs w:val="22"/>
              </w:rPr>
            </w:pPr>
            <w:r w:rsidRPr="0046699E">
              <w:t>Friendly Society Related Items</w:t>
            </w:r>
          </w:p>
        </w:tc>
        <w:tc>
          <w:tcPr>
            <w:tcW w:w="1418" w:type="dxa"/>
          </w:tcPr>
          <w:p w14:paraId="395FF247" w14:textId="6B13AA71" w:rsidR="00650726" w:rsidRDefault="006357E7" w:rsidP="006357E7">
            <w:pPr>
              <w:rPr>
                <w:szCs w:val="22"/>
              </w:rPr>
            </w:pPr>
            <w:r w:rsidRPr="0046699E">
              <w:t>LRS 114.5</w:t>
            </w:r>
          </w:p>
        </w:tc>
        <w:tc>
          <w:tcPr>
            <w:tcW w:w="1701" w:type="dxa"/>
          </w:tcPr>
          <w:p w14:paraId="30DE57AC" w14:textId="6949FB59" w:rsidR="00650726" w:rsidRDefault="00650726" w:rsidP="00650726">
            <w:pPr>
              <w:rPr>
                <w:szCs w:val="22"/>
              </w:rPr>
            </w:pPr>
            <w:r>
              <w:rPr>
                <w:szCs w:val="22"/>
              </w:rPr>
              <w:t>None</w:t>
            </w:r>
          </w:p>
        </w:tc>
      </w:tr>
      <w:tr w:rsidR="00042E7D" w14:paraId="52FF91D3" w14:textId="77777777" w:rsidTr="00A067AB">
        <w:trPr>
          <w:trHeight w:val="60"/>
        </w:trPr>
        <w:tc>
          <w:tcPr>
            <w:tcW w:w="562" w:type="dxa"/>
          </w:tcPr>
          <w:p w14:paraId="2ECB248A" w14:textId="35DD8A74" w:rsidR="00042E7D" w:rsidRDefault="00042E7D" w:rsidP="00650726">
            <w:pPr>
              <w:rPr>
                <w:szCs w:val="22"/>
              </w:rPr>
            </w:pPr>
            <w:r>
              <w:rPr>
                <w:szCs w:val="22"/>
              </w:rPr>
              <w:t>9</w:t>
            </w:r>
          </w:p>
        </w:tc>
        <w:tc>
          <w:tcPr>
            <w:tcW w:w="4111" w:type="dxa"/>
          </w:tcPr>
          <w:p w14:paraId="42458532" w14:textId="4EAC9677" w:rsidR="00042E7D" w:rsidRPr="006357E7" w:rsidRDefault="006357E7" w:rsidP="006357E7">
            <w:r w:rsidRPr="0046699E">
              <w:t xml:space="preserve">Insurance Risk Charge </w:t>
            </w:r>
          </w:p>
        </w:tc>
        <w:tc>
          <w:tcPr>
            <w:tcW w:w="1418" w:type="dxa"/>
          </w:tcPr>
          <w:p w14:paraId="00139873" w14:textId="5700A2F5" w:rsidR="00042E7D" w:rsidRDefault="006357E7" w:rsidP="006357E7">
            <w:pPr>
              <w:rPr>
                <w:szCs w:val="22"/>
              </w:rPr>
            </w:pPr>
            <w:r w:rsidRPr="0046699E">
              <w:t>LRS 115.0</w:t>
            </w:r>
          </w:p>
        </w:tc>
        <w:tc>
          <w:tcPr>
            <w:tcW w:w="1701" w:type="dxa"/>
          </w:tcPr>
          <w:p w14:paraId="0ACC199F" w14:textId="46E8A6C2" w:rsidR="00042E7D" w:rsidRDefault="006357E7" w:rsidP="00650726">
            <w:pPr>
              <w:rPr>
                <w:szCs w:val="22"/>
              </w:rPr>
            </w:pPr>
            <w:r>
              <w:t>Reasonable</w:t>
            </w:r>
          </w:p>
        </w:tc>
      </w:tr>
      <w:tr w:rsidR="00042E7D" w14:paraId="5EDFFF46" w14:textId="77777777" w:rsidTr="00A067AB">
        <w:trPr>
          <w:trHeight w:val="60"/>
        </w:trPr>
        <w:tc>
          <w:tcPr>
            <w:tcW w:w="562" w:type="dxa"/>
          </w:tcPr>
          <w:p w14:paraId="1B5A3E48" w14:textId="4BDD41BC" w:rsidR="00042E7D" w:rsidRDefault="00042E7D" w:rsidP="00650726">
            <w:pPr>
              <w:rPr>
                <w:szCs w:val="22"/>
              </w:rPr>
            </w:pPr>
            <w:r>
              <w:rPr>
                <w:szCs w:val="22"/>
              </w:rPr>
              <w:t>10</w:t>
            </w:r>
          </w:p>
        </w:tc>
        <w:tc>
          <w:tcPr>
            <w:tcW w:w="4111" w:type="dxa"/>
          </w:tcPr>
          <w:p w14:paraId="70140A26" w14:textId="1BEC79A5" w:rsidR="00042E7D" w:rsidRDefault="006357E7" w:rsidP="006357E7">
            <w:pPr>
              <w:rPr>
                <w:szCs w:val="22"/>
              </w:rPr>
            </w:pPr>
            <w:r w:rsidRPr="0046699E">
              <w:t>Asset Concentration Risk Charge</w:t>
            </w:r>
          </w:p>
        </w:tc>
        <w:tc>
          <w:tcPr>
            <w:tcW w:w="1418" w:type="dxa"/>
          </w:tcPr>
          <w:p w14:paraId="4BD64446" w14:textId="1BBE2222" w:rsidR="00042E7D" w:rsidRDefault="006357E7" w:rsidP="006357E7">
            <w:pPr>
              <w:rPr>
                <w:szCs w:val="22"/>
              </w:rPr>
            </w:pPr>
            <w:r w:rsidRPr="0046699E">
              <w:t>LRS 117.0</w:t>
            </w:r>
          </w:p>
        </w:tc>
        <w:tc>
          <w:tcPr>
            <w:tcW w:w="1701" w:type="dxa"/>
          </w:tcPr>
          <w:p w14:paraId="7605FDA1" w14:textId="6EB249AE" w:rsidR="00042E7D" w:rsidRDefault="006357E7" w:rsidP="00650726">
            <w:pPr>
              <w:rPr>
                <w:szCs w:val="22"/>
              </w:rPr>
            </w:pPr>
            <w:r>
              <w:t>Reasonable</w:t>
            </w:r>
          </w:p>
        </w:tc>
      </w:tr>
      <w:tr w:rsidR="00042E7D" w14:paraId="0FE5C89B" w14:textId="77777777" w:rsidTr="00A067AB">
        <w:trPr>
          <w:trHeight w:val="60"/>
        </w:trPr>
        <w:tc>
          <w:tcPr>
            <w:tcW w:w="562" w:type="dxa"/>
          </w:tcPr>
          <w:p w14:paraId="4A37DF72" w14:textId="18D19896" w:rsidR="00042E7D" w:rsidRDefault="00042E7D" w:rsidP="00650726">
            <w:pPr>
              <w:rPr>
                <w:szCs w:val="22"/>
              </w:rPr>
            </w:pPr>
            <w:r>
              <w:rPr>
                <w:szCs w:val="22"/>
              </w:rPr>
              <w:t>11</w:t>
            </w:r>
          </w:p>
        </w:tc>
        <w:tc>
          <w:tcPr>
            <w:tcW w:w="4111" w:type="dxa"/>
          </w:tcPr>
          <w:p w14:paraId="5C83F5D9" w14:textId="4BB3CFC5" w:rsidR="00042E7D" w:rsidRDefault="006357E7" w:rsidP="006357E7">
            <w:pPr>
              <w:rPr>
                <w:szCs w:val="22"/>
              </w:rPr>
            </w:pPr>
            <w:r w:rsidRPr="0046699E">
              <w:t>Operational Risk Charge</w:t>
            </w:r>
          </w:p>
        </w:tc>
        <w:tc>
          <w:tcPr>
            <w:tcW w:w="1418" w:type="dxa"/>
          </w:tcPr>
          <w:p w14:paraId="4D7B7314" w14:textId="38C4F177" w:rsidR="00042E7D" w:rsidRDefault="006357E7" w:rsidP="006357E7">
            <w:pPr>
              <w:rPr>
                <w:szCs w:val="22"/>
              </w:rPr>
            </w:pPr>
            <w:r w:rsidRPr="0046699E">
              <w:t>LRS 118.0</w:t>
            </w:r>
          </w:p>
        </w:tc>
        <w:tc>
          <w:tcPr>
            <w:tcW w:w="1701" w:type="dxa"/>
          </w:tcPr>
          <w:p w14:paraId="13FA99AA" w14:textId="11BE934F" w:rsidR="00042E7D" w:rsidRDefault="006357E7" w:rsidP="00650726">
            <w:pPr>
              <w:rPr>
                <w:szCs w:val="22"/>
              </w:rPr>
            </w:pPr>
            <w:r>
              <w:t>Reasonable</w:t>
            </w:r>
          </w:p>
        </w:tc>
      </w:tr>
      <w:tr w:rsidR="00042E7D" w14:paraId="7845683B" w14:textId="77777777" w:rsidTr="00A067AB">
        <w:trPr>
          <w:trHeight w:val="60"/>
        </w:trPr>
        <w:tc>
          <w:tcPr>
            <w:tcW w:w="562" w:type="dxa"/>
          </w:tcPr>
          <w:p w14:paraId="083D6E46" w14:textId="1EB6F433" w:rsidR="00042E7D" w:rsidRDefault="00042E7D" w:rsidP="00650726">
            <w:pPr>
              <w:rPr>
                <w:szCs w:val="22"/>
              </w:rPr>
            </w:pPr>
            <w:r>
              <w:rPr>
                <w:szCs w:val="22"/>
              </w:rPr>
              <w:t>12</w:t>
            </w:r>
          </w:p>
        </w:tc>
        <w:tc>
          <w:tcPr>
            <w:tcW w:w="4111" w:type="dxa"/>
          </w:tcPr>
          <w:p w14:paraId="37BC1ED0" w14:textId="042A04B2" w:rsidR="00042E7D" w:rsidRDefault="006357E7" w:rsidP="006357E7">
            <w:pPr>
              <w:rPr>
                <w:szCs w:val="22"/>
              </w:rPr>
            </w:pPr>
            <w:r w:rsidRPr="0046699E">
              <w:t>Capital Adequacy Supplementary Information</w:t>
            </w:r>
          </w:p>
        </w:tc>
        <w:tc>
          <w:tcPr>
            <w:tcW w:w="1418" w:type="dxa"/>
          </w:tcPr>
          <w:p w14:paraId="46F6F1EC" w14:textId="6CB87853" w:rsidR="00042E7D" w:rsidRDefault="006357E7" w:rsidP="006357E7">
            <w:pPr>
              <w:rPr>
                <w:szCs w:val="22"/>
              </w:rPr>
            </w:pPr>
            <w:r w:rsidRPr="0046699E">
              <w:t>LRS 200.0</w:t>
            </w:r>
          </w:p>
        </w:tc>
        <w:tc>
          <w:tcPr>
            <w:tcW w:w="1701" w:type="dxa"/>
          </w:tcPr>
          <w:p w14:paraId="0AABB4D8" w14:textId="610C245B" w:rsidR="00042E7D" w:rsidRDefault="006357E7" w:rsidP="006357E7">
            <w:r w:rsidRPr="0046699E">
              <w:t>Limited</w:t>
            </w:r>
          </w:p>
        </w:tc>
      </w:tr>
      <w:tr w:rsidR="00042E7D" w14:paraId="37095C64" w14:textId="77777777" w:rsidTr="00A067AB">
        <w:trPr>
          <w:trHeight w:val="60"/>
        </w:trPr>
        <w:tc>
          <w:tcPr>
            <w:tcW w:w="562" w:type="dxa"/>
          </w:tcPr>
          <w:p w14:paraId="12493957" w14:textId="57B4328F" w:rsidR="00042E7D" w:rsidRDefault="00042E7D" w:rsidP="00650726">
            <w:pPr>
              <w:rPr>
                <w:szCs w:val="22"/>
              </w:rPr>
            </w:pPr>
            <w:r>
              <w:rPr>
                <w:szCs w:val="22"/>
              </w:rPr>
              <w:t>13</w:t>
            </w:r>
          </w:p>
        </w:tc>
        <w:tc>
          <w:tcPr>
            <w:tcW w:w="4111" w:type="dxa"/>
          </w:tcPr>
          <w:p w14:paraId="1E29717C" w14:textId="3F343BDF" w:rsidR="00042E7D" w:rsidRDefault="006357E7" w:rsidP="006357E7">
            <w:pPr>
              <w:rPr>
                <w:szCs w:val="22"/>
              </w:rPr>
            </w:pPr>
            <w:r w:rsidRPr="0046699E">
              <w:t>Statement of Financial Position</w:t>
            </w:r>
          </w:p>
        </w:tc>
        <w:tc>
          <w:tcPr>
            <w:tcW w:w="1418" w:type="dxa"/>
          </w:tcPr>
          <w:p w14:paraId="36F36256" w14:textId="690B369D" w:rsidR="00042E7D" w:rsidRDefault="006357E7" w:rsidP="006357E7">
            <w:pPr>
              <w:rPr>
                <w:szCs w:val="22"/>
              </w:rPr>
            </w:pPr>
            <w:r w:rsidRPr="0046699E">
              <w:t>LRS 300.0</w:t>
            </w:r>
          </w:p>
        </w:tc>
        <w:tc>
          <w:tcPr>
            <w:tcW w:w="1701" w:type="dxa"/>
          </w:tcPr>
          <w:p w14:paraId="3210513D" w14:textId="24B2BA3E" w:rsidR="00042E7D" w:rsidRDefault="006357E7" w:rsidP="00650726">
            <w:pPr>
              <w:rPr>
                <w:szCs w:val="22"/>
              </w:rPr>
            </w:pPr>
            <w:r>
              <w:t>Reasonable</w:t>
            </w:r>
          </w:p>
        </w:tc>
      </w:tr>
      <w:tr w:rsidR="00042E7D" w14:paraId="7CE74922" w14:textId="77777777" w:rsidTr="00A067AB">
        <w:trPr>
          <w:trHeight w:val="60"/>
        </w:trPr>
        <w:tc>
          <w:tcPr>
            <w:tcW w:w="562" w:type="dxa"/>
          </w:tcPr>
          <w:p w14:paraId="6288E162" w14:textId="5E9416B1" w:rsidR="00042E7D" w:rsidRDefault="00042E7D" w:rsidP="00650726">
            <w:pPr>
              <w:rPr>
                <w:szCs w:val="22"/>
              </w:rPr>
            </w:pPr>
            <w:r>
              <w:rPr>
                <w:szCs w:val="22"/>
              </w:rPr>
              <w:t>14</w:t>
            </w:r>
          </w:p>
        </w:tc>
        <w:tc>
          <w:tcPr>
            <w:tcW w:w="4111" w:type="dxa"/>
          </w:tcPr>
          <w:p w14:paraId="383B5A26" w14:textId="54DD7984" w:rsidR="00042E7D" w:rsidRDefault="006357E7" w:rsidP="006357E7">
            <w:pPr>
              <w:rPr>
                <w:szCs w:val="22"/>
              </w:rPr>
            </w:pPr>
            <w:r w:rsidRPr="0046699E">
              <w:t>Statement of Profit and Loss and Other Comprehensive Income</w:t>
            </w:r>
          </w:p>
        </w:tc>
        <w:tc>
          <w:tcPr>
            <w:tcW w:w="1418" w:type="dxa"/>
          </w:tcPr>
          <w:p w14:paraId="57FE2CB5" w14:textId="3CF0EF85" w:rsidR="00042E7D" w:rsidRDefault="006357E7" w:rsidP="006357E7">
            <w:pPr>
              <w:rPr>
                <w:szCs w:val="22"/>
              </w:rPr>
            </w:pPr>
            <w:r w:rsidRPr="0046699E">
              <w:t>LRS 310.0</w:t>
            </w:r>
          </w:p>
        </w:tc>
        <w:tc>
          <w:tcPr>
            <w:tcW w:w="1701" w:type="dxa"/>
          </w:tcPr>
          <w:p w14:paraId="4D0611D7" w14:textId="6B174262" w:rsidR="00042E7D" w:rsidRPr="006357E7" w:rsidRDefault="006357E7" w:rsidP="00650726">
            <w:pPr>
              <w:rPr>
                <w:b/>
                <w:szCs w:val="22"/>
              </w:rPr>
            </w:pPr>
            <w:r>
              <w:t>Reasonable</w:t>
            </w:r>
          </w:p>
        </w:tc>
      </w:tr>
      <w:tr w:rsidR="00042E7D" w14:paraId="3EE4C637" w14:textId="77777777" w:rsidTr="00A067AB">
        <w:trPr>
          <w:trHeight w:val="60"/>
        </w:trPr>
        <w:tc>
          <w:tcPr>
            <w:tcW w:w="562" w:type="dxa"/>
          </w:tcPr>
          <w:p w14:paraId="610FEFB0" w14:textId="6AB84BCD" w:rsidR="00042E7D" w:rsidRDefault="00042E7D" w:rsidP="00650726">
            <w:pPr>
              <w:rPr>
                <w:szCs w:val="22"/>
              </w:rPr>
            </w:pPr>
            <w:r>
              <w:rPr>
                <w:szCs w:val="22"/>
              </w:rPr>
              <w:t>15</w:t>
            </w:r>
          </w:p>
        </w:tc>
        <w:tc>
          <w:tcPr>
            <w:tcW w:w="4111" w:type="dxa"/>
          </w:tcPr>
          <w:p w14:paraId="3B6B2B59" w14:textId="02E67A60" w:rsidR="00042E7D" w:rsidRDefault="006357E7" w:rsidP="006357E7">
            <w:pPr>
              <w:rPr>
                <w:szCs w:val="22"/>
              </w:rPr>
            </w:pPr>
            <w:r w:rsidRPr="00623B77">
              <w:t>Statement of Profit or Loss and Other Comprehensive Income by Product Group</w:t>
            </w:r>
          </w:p>
        </w:tc>
        <w:tc>
          <w:tcPr>
            <w:tcW w:w="1418" w:type="dxa"/>
          </w:tcPr>
          <w:p w14:paraId="196ACB34" w14:textId="5C2E9798" w:rsidR="00042E7D" w:rsidRDefault="00A067AB" w:rsidP="00A067AB">
            <w:pPr>
              <w:rPr>
                <w:szCs w:val="22"/>
              </w:rPr>
            </w:pPr>
            <w:r w:rsidRPr="0046699E">
              <w:t>LRS 3</w:t>
            </w:r>
            <w:r>
              <w:t>11</w:t>
            </w:r>
            <w:r w:rsidRPr="0046699E">
              <w:t>.0</w:t>
            </w:r>
          </w:p>
        </w:tc>
        <w:tc>
          <w:tcPr>
            <w:tcW w:w="1701" w:type="dxa"/>
          </w:tcPr>
          <w:p w14:paraId="31024383" w14:textId="6B846CFA" w:rsidR="00042E7D" w:rsidRDefault="006357E7" w:rsidP="00650726">
            <w:pPr>
              <w:rPr>
                <w:szCs w:val="22"/>
              </w:rPr>
            </w:pPr>
            <w:r>
              <w:t>Reasonable</w:t>
            </w:r>
          </w:p>
        </w:tc>
      </w:tr>
      <w:tr w:rsidR="00042E7D" w14:paraId="552321FC" w14:textId="77777777" w:rsidTr="00A067AB">
        <w:trPr>
          <w:trHeight w:val="60"/>
        </w:trPr>
        <w:tc>
          <w:tcPr>
            <w:tcW w:w="562" w:type="dxa"/>
          </w:tcPr>
          <w:p w14:paraId="68DB84A0" w14:textId="2AF736E4" w:rsidR="00042E7D" w:rsidRDefault="00042E7D" w:rsidP="00650726">
            <w:pPr>
              <w:rPr>
                <w:szCs w:val="22"/>
              </w:rPr>
            </w:pPr>
            <w:r>
              <w:rPr>
                <w:szCs w:val="22"/>
              </w:rPr>
              <w:t>16</w:t>
            </w:r>
          </w:p>
        </w:tc>
        <w:tc>
          <w:tcPr>
            <w:tcW w:w="4111" w:type="dxa"/>
          </w:tcPr>
          <w:p w14:paraId="487BE20A" w14:textId="215AB7A9" w:rsidR="00042E7D" w:rsidRDefault="006357E7" w:rsidP="006357E7">
            <w:pPr>
              <w:rPr>
                <w:szCs w:val="22"/>
              </w:rPr>
            </w:pPr>
            <w:r w:rsidRPr="0046699E">
              <w:t>Liability Roll Forwards</w:t>
            </w:r>
          </w:p>
        </w:tc>
        <w:tc>
          <w:tcPr>
            <w:tcW w:w="1418" w:type="dxa"/>
          </w:tcPr>
          <w:p w14:paraId="539B7365" w14:textId="7DA6D3F9" w:rsidR="00042E7D" w:rsidRDefault="00A067AB" w:rsidP="00A067AB">
            <w:pPr>
              <w:rPr>
                <w:szCs w:val="22"/>
              </w:rPr>
            </w:pPr>
            <w:r w:rsidRPr="0046699E">
              <w:t xml:space="preserve">LRS </w:t>
            </w:r>
            <w:r>
              <w:t>320.0</w:t>
            </w:r>
          </w:p>
        </w:tc>
        <w:tc>
          <w:tcPr>
            <w:tcW w:w="1701" w:type="dxa"/>
          </w:tcPr>
          <w:p w14:paraId="0DA6DAC3" w14:textId="35598AC9" w:rsidR="00042E7D" w:rsidRDefault="006357E7" w:rsidP="00650726">
            <w:pPr>
              <w:rPr>
                <w:szCs w:val="22"/>
              </w:rPr>
            </w:pPr>
            <w:r>
              <w:t>Reasonable</w:t>
            </w:r>
          </w:p>
        </w:tc>
      </w:tr>
      <w:tr w:rsidR="00240EB7" w14:paraId="12EBCA55" w14:textId="77777777" w:rsidTr="00A067AB">
        <w:trPr>
          <w:trHeight w:val="60"/>
        </w:trPr>
        <w:tc>
          <w:tcPr>
            <w:tcW w:w="562" w:type="dxa"/>
          </w:tcPr>
          <w:p w14:paraId="3F4BB739" w14:textId="4F8B3A73" w:rsidR="00240EB7" w:rsidRDefault="00240EB7" w:rsidP="00650726">
            <w:pPr>
              <w:rPr>
                <w:szCs w:val="22"/>
              </w:rPr>
            </w:pPr>
            <w:r>
              <w:rPr>
                <w:szCs w:val="22"/>
              </w:rPr>
              <w:t>17</w:t>
            </w:r>
          </w:p>
        </w:tc>
        <w:tc>
          <w:tcPr>
            <w:tcW w:w="4111" w:type="dxa"/>
          </w:tcPr>
          <w:p w14:paraId="56C0DA00" w14:textId="57EC5FAD" w:rsidR="00240EB7" w:rsidRPr="0046699E" w:rsidRDefault="00240EB7" w:rsidP="00240EB7">
            <w:r w:rsidRPr="0046699E">
              <w:t xml:space="preserve">Retained Profits and </w:t>
            </w:r>
            <w:r w:rsidR="00403951">
              <w:t xml:space="preserve">Policy Liabilities for </w:t>
            </w:r>
            <w:r w:rsidRPr="0046699E">
              <w:t>Participating Business</w:t>
            </w:r>
          </w:p>
        </w:tc>
        <w:tc>
          <w:tcPr>
            <w:tcW w:w="1418" w:type="dxa"/>
          </w:tcPr>
          <w:p w14:paraId="3F78191A" w14:textId="2E503396" w:rsidR="00240EB7" w:rsidRPr="0046699E" w:rsidRDefault="00240EB7" w:rsidP="00240EB7">
            <w:r>
              <w:t>LRS 340.</w:t>
            </w:r>
            <w:r w:rsidR="00403951">
              <w:t>0</w:t>
            </w:r>
          </w:p>
        </w:tc>
        <w:tc>
          <w:tcPr>
            <w:tcW w:w="1701" w:type="dxa"/>
          </w:tcPr>
          <w:p w14:paraId="7D67D1E2" w14:textId="70DC52D4" w:rsidR="00240EB7" w:rsidRDefault="00240EB7" w:rsidP="00240EB7">
            <w:r>
              <w:t>Reasonable</w:t>
            </w:r>
          </w:p>
        </w:tc>
      </w:tr>
      <w:tr w:rsidR="00240EB7" w14:paraId="687BE392" w14:textId="77777777" w:rsidTr="00A067AB">
        <w:trPr>
          <w:trHeight w:val="60"/>
        </w:trPr>
        <w:tc>
          <w:tcPr>
            <w:tcW w:w="562" w:type="dxa"/>
          </w:tcPr>
          <w:p w14:paraId="6A008312" w14:textId="487C1FF4" w:rsidR="00240EB7" w:rsidRDefault="00240EB7" w:rsidP="00650726">
            <w:pPr>
              <w:rPr>
                <w:szCs w:val="22"/>
              </w:rPr>
            </w:pPr>
            <w:r>
              <w:rPr>
                <w:szCs w:val="22"/>
              </w:rPr>
              <w:lastRenderedPageBreak/>
              <w:t>18</w:t>
            </w:r>
          </w:p>
        </w:tc>
        <w:tc>
          <w:tcPr>
            <w:tcW w:w="4111" w:type="dxa"/>
          </w:tcPr>
          <w:p w14:paraId="30B1409A" w14:textId="3039991E" w:rsidR="00240EB7" w:rsidRPr="0046699E" w:rsidRDefault="00240EB7" w:rsidP="00240EB7">
            <w:r w:rsidRPr="0046699E">
              <w:t xml:space="preserve">Retained Profits and </w:t>
            </w:r>
            <w:r>
              <w:t>Share Capital</w:t>
            </w:r>
          </w:p>
        </w:tc>
        <w:tc>
          <w:tcPr>
            <w:tcW w:w="1418" w:type="dxa"/>
          </w:tcPr>
          <w:p w14:paraId="1B081F7A" w14:textId="55D7CDD8" w:rsidR="00240EB7" w:rsidRPr="0046699E" w:rsidRDefault="00240EB7" w:rsidP="00240EB7">
            <w:r w:rsidRPr="0046699E">
              <w:t>LRS 340.</w:t>
            </w:r>
            <w:r w:rsidR="00403951">
              <w:t>1</w:t>
            </w:r>
          </w:p>
        </w:tc>
        <w:tc>
          <w:tcPr>
            <w:tcW w:w="1701" w:type="dxa"/>
          </w:tcPr>
          <w:p w14:paraId="21AC4265" w14:textId="21AA19C2" w:rsidR="00240EB7" w:rsidRDefault="00240EB7" w:rsidP="00650726">
            <w:r>
              <w:t>Reasonable</w:t>
            </w:r>
          </w:p>
        </w:tc>
      </w:tr>
      <w:tr w:rsidR="00240EB7" w14:paraId="74D7DEC3" w14:textId="77777777" w:rsidTr="00A067AB">
        <w:trPr>
          <w:trHeight w:val="60"/>
        </w:trPr>
        <w:tc>
          <w:tcPr>
            <w:tcW w:w="562" w:type="dxa"/>
          </w:tcPr>
          <w:p w14:paraId="6B65F835" w14:textId="5DE46FCB" w:rsidR="00240EB7" w:rsidRDefault="00240EB7" w:rsidP="00650726">
            <w:pPr>
              <w:rPr>
                <w:szCs w:val="22"/>
              </w:rPr>
            </w:pPr>
            <w:r>
              <w:rPr>
                <w:szCs w:val="22"/>
              </w:rPr>
              <w:t>19</w:t>
            </w:r>
          </w:p>
        </w:tc>
        <w:tc>
          <w:tcPr>
            <w:tcW w:w="4111" w:type="dxa"/>
          </w:tcPr>
          <w:p w14:paraId="41EFFE5E" w14:textId="6026F963" w:rsidR="00240EB7" w:rsidRPr="0046699E" w:rsidRDefault="00240EB7" w:rsidP="00240EB7">
            <w:r w:rsidRPr="0046699E">
              <w:t>Statement of Policy Liabilities</w:t>
            </w:r>
          </w:p>
        </w:tc>
        <w:tc>
          <w:tcPr>
            <w:tcW w:w="1418" w:type="dxa"/>
          </w:tcPr>
          <w:p w14:paraId="2EFE3264" w14:textId="03CFF3BD" w:rsidR="00240EB7" w:rsidRPr="0046699E" w:rsidRDefault="00240EB7" w:rsidP="00240EB7">
            <w:r w:rsidRPr="0046699E">
              <w:t>LRS 400.0</w:t>
            </w:r>
          </w:p>
        </w:tc>
        <w:tc>
          <w:tcPr>
            <w:tcW w:w="1701" w:type="dxa"/>
          </w:tcPr>
          <w:p w14:paraId="68E002CA" w14:textId="7430F6A6" w:rsidR="00240EB7" w:rsidRDefault="002260DD" w:rsidP="00650726">
            <w:r>
              <w:t>None</w:t>
            </w:r>
          </w:p>
        </w:tc>
      </w:tr>
      <w:tr w:rsidR="00240EB7" w14:paraId="428BB1AF" w14:textId="77777777" w:rsidTr="00A067AB">
        <w:trPr>
          <w:trHeight w:val="60"/>
        </w:trPr>
        <w:tc>
          <w:tcPr>
            <w:tcW w:w="562" w:type="dxa"/>
          </w:tcPr>
          <w:p w14:paraId="1538AE87" w14:textId="3F3A21C7" w:rsidR="00240EB7" w:rsidRDefault="00240EB7" w:rsidP="00650726">
            <w:pPr>
              <w:rPr>
                <w:szCs w:val="22"/>
              </w:rPr>
            </w:pPr>
            <w:r>
              <w:rPr>
                <w:szCs w:val="22"/>
              </w:rPr>
              <w:t>20</w:t>
            </w:r>
          </w:p>
        </w:tc>
        <w:tc>
          <w:tcPr>
            <w:tcW w:w="4111" w:type="dxa"/>
          </w:tcPr>
          <w:p w14:paraId="3A8C215F" w14:textId="6D5FBDD4" w:rsidR="00240EB7" w:rsidRPr="0046699E" w:rsidRDefault="00240EB7" w:rsidP="00240EB7">
            <w:r w:rsidRPr="0046699E">
              <w:t>Assets Backing Policy Liabilities</w:t>
            </w:r>
          </w:p>
        </w:tc>
        <w:tc>
          <w:tcPr>
            <w:tcW w:w="1418" w:type="dxa"/>
          </w:tcPr>
          <w:p w14:paraId="2CE9196C" w14:textId="46D57C65" w:rsidR="00240EB7" w:rsidRPr="0046699E" w:rsidRDefault="00240EB7" w:rsidP="00240EB7">
            <w:r w:rsidRPr="0046699E">
              <w:t>LRS 420.0</w:t>
            </w:r>
          </w:p>
        </w:tc>
        <w:tc>
          <w:tcPr>
            <w:tcW w:w="1701" w:type="dxa"/>
          </w:tcPr>
          <w:p w14:paraId="05810AE5" w14:textId="157322A3" w:rsidR="00240EB7" w:rsidRDefault="002260DD" w:rsidP="00650726">
            <w:r>
              <w:t>None</w:t>
            </w:r>
          </w:p>
        </w:tc>
      </w:tr>
      <w:tr w:rsidR="00403951" w14:paraId="1D0B3D6C" w14:textId="77777777" w:rsidTr="00A067AB">
        <w:trPr>
          <w:trHeight w:val="60"/>
        </w:trPr>
        <w:tc>
          <w:tcPr>
            <w:tcW w:w="562" w:type="dxa"/>
          </w:tcPr>
          <w:p w14:paraId="43E9E7F6" w14:textId="56642B4A" w:rsidR="00403951" w:rsidRDefault="00403951" w:rsidP="00650726">
            <w:pPr>
              <w:rPr>
                <w:szCs w:val="22"/>
              </w:rPr>
            </w:pPr>
            <w:r>
              <w:rPr>
                <w:szCs w:val="22"/>
              </w:rPr>
              <w:t>21</w:t>
            </w:r>
          </w:p>
        </w:tc>
        <w:tc>
          <w:tcPr>
            <w:tcW w:w="4111" w:type="dxa"/>
          </w:tcPr>
          <w:p w14:paraId="7F74B396" w14:textId="15671A85" w:rsidR="00403951" w:rsidRPr="0046699E" w:rsidRDefault="00403951" w:rsidP="00240EB7">
            <w:r>
              <w:t>Claims and Disputes</w:t>
            </w:r>
          </w:p>
        </w:tc>
        <w:tc>
          <w:tcPr>
            <w:tcW w:w="1418" w:type="dxa"/>
          </w:tcPr>
          <w:p w14:paraId="3B1A7EEC" w14:textId="1BE41C22" w:rsidR="00403951" w:rsidRPr="0046699E" w:rsidRDefault="00403951" w:rsidP="00240EB7">
            <w:r>
              <w:t>LRS 750.0</w:t>
            </w:r>
          </w:p>
        </w:tc>
        <w:tc>
          <w:tcPr>
            <w:tcW w:w="1701" w:type="dxa"/>
          </w:tcPr>
          <w:p w14:paraId="02840046" w14:textId="768434EC" w:rsidR="00403951" w:rsidRDefault="00403951" w:rsidP="00650726">
            <w:r>
              <w:t>None</w:t>
            </w:r>
          </w:p>
        </w:tc>
      </w:tr>
    </w:tbl>
    <w:p w14:paraId="2612055C" w14:textId="30FC8E1F" w:rsidR="001F6B8D" w:rsidRPr="007D2D7F" w:rsidRDefault="001F6B8D" w:rsidP="001F6B8D"/>
    <w:sectPr w:rsidR="001F6B8D" w:rsidRPr="007D2D7F" w:rsidSect="000D63A8">
      <w:footerReference w:type="defaul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8397B" w14:textId="77777777" w:rsidR="00843CB6" w:rsidRDefault="00843CB6" w:rsidP="006A6A52">
      <w:pPr>
        <w:spacing w:after="0"/>
      </w:pPr>
      <w:r>
        <w:separator/>
      </w:r>
    </w:p>
  </w:endnote>
  <w:endnote w:type="continuationSeparator" w:id="0">
    <w:p w14:paraId="0864731B" w14:textId="77777777" w:rsidR="00843CB6" w:rsidRDefault="00843CB6" w:rsidP="006A6A52">
      <w:pPr>
        <w:spacing w:after="0"/>
      </w:pPr>
      <w:r>
        <w:continuationSeparator/>
      </w:r>
    </w:p>
  </w:endnote>
  <w:endnote w:type="continuationNotice" w:id="1">
    <w:p w14:paraId="79E7A934" w14:textId="77777777" w:rsidR="00843CB6" w:rsidRDefault="00843C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8798" w14:textId="61A2FA5F" w:rsidR="005C2957" w:rsidRPr="00842FBD" w:rsidRDefault="00021C88" w:rsidP="00842FBD">
    <w:pPr>
      <w:pStyle w:val="Footer"/>
    </w:pPr>
    <w:fldSimple w:instr="STYLEREF  &quot;PS No. field text&quot;  \* MERGEFORMAT">
      <w:r w:rsidR="00586A55">
        <w:rPr>
          <w:noProof/>
        </w:rPr>
        <w:t>LPS 310</w:t>
      </w:r>
    </w:fldSimple>
    <w:r w:rsidR="005C2957">
      <w:t xml:space="preserve"> - </w:t>
    </w:r>
    <w:r w:rsidR="005C2957" w:rsidRPr="00842FBD">
      <w:fldChar w:fldCharType="begin"/>
    </w:r>
    <w:r w:rsidR="005C2957" w:rsidRPr="00842FBD">
      <w:instrText xml:space="preserve"> PAGE </w:instrText>
    </w:r>
    <w:r w:rsidR="005C2957" w:rsidRPr="00842FBD">
      <w:fldChar w:fldCharType="separate"/>
    </w:r>
    <w:r w:rsidR="005C2957">
      <w:rPr>
        <w:noProof/>
      </w:rPr>
      <w:t>2</w:t>
    </w:r>
    <w:r w:rsidR="005C2957"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8253" w14:textId="32779E1F" w:rsidR="00341E9F" w:rsidRPr="00341E9F" w:rsidRDefault="00021C88" w:rsidP="00842FBD">
    <w:pPr>
      <w:pStyle w:val="Footer"/>
    </w:pPr>
    <w:fldSimple w:instr="STYLEREF  &quot;PS No. field text&quot;  \* MERGEFORMAT">
      <w:r w:rsidR="00586A55">
        <w:rPr>
          <w:noProof/>
        </w:rPr>
        <w:t>LPS 310</w:t>
      </w:r>
    </w:fldSimple>
    <w:r w:rsidR="00341E9F" w:rsidRPr="00341E9F">
      <w:t xml:space="preserve"> </w:t>
    </w:r>
    <w:r w:rsidR="00341E9F">
      <w:t>– Attachment A</w:t>
    </w:r>
    <w:r w:rsidR="00341E9F" w:rsidRPr="00341E9F">
      <w:t xml:space="preserve">- </w:t>
    </w:r>
    <w:r w:rsidR="00341E9F" w:rsidRPr="00341E9F">
      <w:fldChar w:fldCharType="begin"/>
    </w:r>
    <w:r w:rsidR="00341E9F" w:rsidRPr="00341E9F">
      <w:instrText xml:space="preserve"> PAGE </w:instrText>
    </w:r>
    <w:r w:rsidR="00341E9F" w:rsidRPr="00341E9F">
      <w:fldChar w:fldCharType="separate"/>
    </w:r>
    <w:r w:rsidR="00341E9F" w:rsidRPr="00341E9F">
      <w:rPr>
        <w:noProof/>
      </w:rPr>
      <w:t>2</w:t>
    </w:r>
    <w:r w:rsidR="00341E9F" w:rsidRPr="00341E9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7C38" w14:textId="77777777" w:rsidR="00843CB6" w:rsidRDefault="00843CB6" w:rsidP="006A6A52">
      <w:pPr>
        <w:spacing w:after="0"/>
      </w:pPr>
      <w:r>
        <w:separator/>
      </w:r>
    </w:p>
  </w:footnote>
  <w:footnote w:type="continuationSeparator" w:id="0">
    <w:p w14:paraId="6D5A0850" w14:textId="77777777" w:rsidR="00843CB6" w:rsidRDefault="00843CB6" w:rsidP="006A6A52">
      <w:pPr>
        <w:spacing w:after="0"/>
      </w:pPr>
      <w:r>
        <w:continuationSeparator/>
      </w:r>
    </w:p>
  </w:footnote>
  <w:footnote w:type="continuationNotice" w:id="1">
    <w:p w14:paraId="73F53796" w14:textId="77777777" w:rsidR="00843CB6" w:rsidRDefault="00843CB6">
      <w:pPr>
        <w:spacing w:after="0"/>
      </w:pPr>
    </w:p>
  </w:footnote>
  <w:footnote w:id="2">
    <w:p w14:paraId="2271B992" w14:textId="77777777" w:rsidR="006357E7" w:rsidRPr="0091562A" w:rsidRDefault="006357E7" w:rsidP="004E451D">
      <w:pPr>
        <w:pStyle w:val="FootnoteText"/>
        <w:ind w:left="540" w:hanging="540"/>
      </w:pPr>
      <w:r w:rsidRPr="007014A2">
        <w:rPr>
          <w:rStyle w:val="FootnoteReference"/>
        </w:rPr>
        <w:footnoteRef/>
      </w:r>
      <w:r w:rsidRPr="007014A2">
        <w:t xml:space="preserve"> </w:t>
      </w:r>
      <w:r w:rsidRPr="007014A2">
        <w:tab/>
        <w:t xml:space="preserve">Refer </w:t>
      </w:r>
      <w:r>
        <w:t>to sub</w:t>
      </w:r>
      <w:r w:rsidRPr="007014A2">
        <w:t>section</w:t>
      </w:r>
      <w:r>
        <w:t xml:space="preserve"> 21(1) </w:t>
      </w:r>
      <w:r w:rsidRPr="007014A2">
        <w:t>of the Act.</w:t>
      </w:r>
    </w:p>
  </w:footnote>
  <w:footnote w:id="3">
    <w:p w14:paraId="7F0E5476" w14:textId="77777777" w:rsidR="006357E7" w:rsidRPr="007014A2" w:rsidRDefault="006357E7" w:rsidP="00E53B1B">
      <w:pPr>
        <w:pStyle w:val="FootnoteText"/>
        <w:ind w:left="540" w:hanging="540"/>
      </w:pPr>
      <w:r w:rsidRPr="007014A2">
        <w:rPr>
          <w:rStyle w:val="FootnoteReference"/>
        </w:rPr>
        <w:footnoteRef/>
      </w:r>
      <w:r w:rsidRPr="007014A2">
        <w:t xml:space="preserve"> </w:t>
      </w:r>
      <w:r w:rsidRPr="007014A2">
        <w:tab/>
        <w:t>Refer</w:t>
      </w:r>
      <w:r>
        <w:t xml:space="preserve"> to</w:t>
      </w:r>
      <w:r w:rsidRPr="007014A2">
        <w:t xml:space="preserve"> </w:t>
      </w:r>
      <w:r>
        <w:t>sub</w:t>
      </w:r>
      <w:r w:rsidRPr="007014A2">
        <w:t xml:space="preserve">section </w:t>
      </w:r>
      <w:r>
        <w:t>83(1)</w:t>
      </w:r>
      <w:r w:rsidRPr="007014A2">
        <w:t xml:space="preserve"> of the Act.</w:t>
      </w:r>
    </w:p>
  </w:footnote>
  <w:footnote w:id="4">
    <w:p w14:paraId="7A1D9A3A" w14:textId="3F4DB331" w:rsidR="006357E7" w:rsidRPr="007014A2" w:rsidRDefault="006357E7" w:rsidP="004C0F85">
      <w:pPr>
        <w:pStyle w:val="FootnoteText"/>
        <w:tabs>
          <w:tab w:val="left" w:pos="540"/>
        </w:tabs>
      </w:pPr>
      <w:r w:rsidRPr="007014A2">
        <w:rPr>
          <w:rStyle w:val="FootnoteReference"/>
        </w:rPr>
        <w:footnoteRef/>
      </w:r>
      <w:r w:rsidRPr="007014A2">
        <w:t xml:space="preserve"> </w:t>
      </w:r>
      <w:r w:rsidRPr="007014A2">
        <w:tab/>
      </w:r>
      <w:r>
        <w:t>Note that under subsection</w:t>
      </w:r>
      <w:r w:rsidRPr="007014A2">
        <w:t xml:space="preserve"> </w:t>
      </w:r>
      <w:r>
        <w:t xml:space="preserve">83(3) </w:t>
      </w:r>
      <w:r w:rsidRPr="007014A2">
        <w:t>of the Act</w:t>
      </w:r>
      <w:r>
        <w:t xml:space="preserve"> a life company must make any arrangements necessary to enable the auditor to perform these functions.</w:t>
      </w:r>
    </w:p>
  </w:footnote>
  <w:footnote w:id="5">
    <w:p w14:paraId="5CB2A8D1" w14:textId="77777777" w:rsidR="006357E7" w:rsidRPr="007014A2" w:rsidRDefault="006357E7" w:rsidP="004C0F85">
      <w:pPr>
        <w:pStyle w:val="FootnoteText"/>
      </w:pPr>
      <w:r w:rsidRPr="007014A2">
        <w:rPr>
          <w:rStyle w:val="FootnoteReference"/>
        </w:rPr>
        <w:footnoteRef/>
      </w:r>
      <w:r w:rsidRPr="007014A2">
        <w:t xml:space="preserve"> </w:t>
      </w:r>
      <w:r w:rsidRPr="007014A2">
        <w:tab/>
      </w:r>
      <w:r>
        <w:t>Or, i</w:t>
      </w:r>
      <w:r w:rsidRPr="007014A2">
        <w:t xml:space="preserve">n the case of </w:t>
      </w:r>
      <w:r>
        <w:t xml:space="preserve">an </w:t>
      </w:r>
      <w:r w:rsidRPr="00DE4F8D">
        <w:rPr>
          <w:b/>
        </w:rPr>
        <w:t>Eligible Foreign Life Insurance Company</w:t>
      </w:r>
      <w:r w:rsidRPr="007014A2">
        <w:t xml:space="preserve">, </w:t>
      </w:r>
      <w:r>
        <w:t>the Compliance Committee</w:t>
      </w:r>
      <w:r w:rsidRPr="007014A2">
        <w:rPr>
          <w:i/>
        </w:rPr>
        <w:t>.</w:t>
      </w:r>
      <w:r w:rsidRPr="007014A2">
        <w:t xml:space="preserve"> </w:t>
      </w:r>
    </w:p>
  </w:footnote>
  <w:footnote w:id="6">
    <w:p w14:paraId="20FE2B48" w14:textId="77777777" w:rsidR="006357E7" w:rsidRDefault="006357E7" w:rsidP="00A63CA3">
      <w:pPr>
        <w:pStyle w:val="FootnoteText"/>
      </w:pPr>
      <w:r w:rsidRPr="002A6EDD">
        <w:rPr>
          <w:rStyle w:val="FootnoteReference"/>
        </w:rPr>
        <w:footnoteRef/>
      </w:r>
      <w:r w:rsidRPr="002A6EDD">
        <w:rPr>
          <w:rStyle w:val="FootnoteReference"/>
        </w:rPr>
        <w:t xml:space="preserve"> </w:t>
      </w:r>
      <w:r>
        <w:tab/>
        <w:t>Refer to subsection 88 (2) of the Act.</w:t>
      </w:r>
    </w:p>
  </w:footnote>
  <w:footnote w:id="7">
    <w:p w14:paraId="741A4A39" w14:textId="77777777" w:rsidR="006357E7" w:rsidRDefault="006357E7" w:rsidP="00FC737D">
      <w:pPr>
        <w:pStyle w:val="FootnoteText"/>
        <w:ind w:left="720" w:hanging="720"/>
      </w:pPr>
      <w:r>
        <w:rPr>
          <w:rStyle w:val="FootnoteReference"/>
        </w:rPr>
        <w:footnoteRef/>
      </w:r>
      <w:r>
        <w:t xml:space="preserve"> </w:t>
      </w:r>
      <w:r>
        <w:tab/>
        <w:t xml:space="preserve">Reasonable Assurance and Limited Assurance are defined in the </w:t>
      </w:r>
      <w:r w:rsidRPr="00464D2D">
        <w:rPr>
          <w:i/>
        </w:rPr>
        <w:t>Framework for Assurance Engagements</w:t>
      </w:r>
      <w:r>
        <w:t xml:space="preserve"> issued by the AUASB.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625A2B" w14:paraId="27D82636" w14:textId="77777777" w:rsidTr="000D63A8">
      <w:tc>
        <w:tcPr>
          <w:tcW w:w="4264" w:type="dxa"/>
          <w:tcBorders>
            <w:top w:val="nil"/>
            <w:left w:val="nil"/>
            <w:bottom w:val="nil"/>
            <w:right w:val="nil"/>
          </w:tcBorders>
        </w:tcPr>
        <w:p w14:paraId="0CBD0024" w14:textId="77777777" w:rsidR="00625A2B" w:rsidRDefault="00625A2B" w:rsidP="00FF513E">
          <w:pPr>
            <w:pStyle w:val="Header"/>
          </w:pPr>
        </w:p>
      </w:tc>
      <w:tc>
        <w:tcPr>
          <w:tcW w:w="4264" w:type="dxa"/>
          <w:tcBorders>
            <w:top w:val="nil"/>
            <w:left w:val="nil"/>
            <w:bottom w:val="nil"/>
            <w:right w:val="nil"/>
          </w:tcBorders>
        </w:tcPr>
        <w:p w14:paraId="49BB0C6A" w14:textId="72F0B36F" w:rsidR="00625A2B" w:rsidRDefault="00625A2B" w:rsidP="000D63A8">
          <w:pPr>
            <w:pStyle w:val="Header"/>
          </w:pPr>
        </w:p>
      </w:tc>
    </w:tr>
  </w:tbl>
  <w:p w14:paraId="2A3EA815" w14:textId="77777777" w:rsidR="00625A2B" w:rsidRDefault="00625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0"/>
      <w:gridCol w:w="4172"/>
    </w:tblGrid>
    <w:tr w:rsidR="00B109C8" w14:paraId="68AF1112" w14:textId="77777777" w:rsidTr="000D63A8">
      <w:tc>
        <w:tcPr>
          <w:tcW w:w="4264" w:type="dxa"/>
          <w:tcBorders>
            <w:top w:val="nil"/>
            <w:left w:val="nil"/>
            <w:bottom w:val="nil"/>
            <w:right w:val="nil"/>
          </w:tcBorders>
        </w:tcPr>
        <w:p w14:paraId="362AF318" w14:textId="77777777" w:rsidR="00B109C8" w:rsidRDefault="00B109C8" w:rsidP="00FF513E">
          <w:pPr>
            <w:pStyle w:val="Header"/>
          </w:pPr>
        </w:p>
      </w:tc>
      <w:tc>
        <w:tcPr>
          <w:tcW w:w="4264" w:type="dxa"/>
          <w:tcBorders>
            <w:top w:val="nil"/>
            <w:left w:val="nil"/>
            <w:bottom w:val="nil"/>
            <w:right w:val="nil"/>
          </w:tcBorders>
        </w:tcPr>
        <w:p w14:paraId="28BCA913" w14:textId="02B0BC58" w:rsidR="00B109C8" w:rsidRPr="005D5B38" w:rsidRDefault="005D5B38" w:rsidP="000D63A8">
          <w:pPr>
            <w:pStyle w:val="Header"/>
          </w:pPr>
          <w:r>
            <w:t>December 2023</w:t>
          </w:r>
        </w:p>
      </w:tc>
    </w:tr>
  </w:tbl>
  <w:p w14:paraId="1F2ED135" w14:textId="77777777" w:rsidR="00B109C8" w:rsidRDefault="00B10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26A22A9"/>
    <w:multiLevelType w:val="hybridMultilevel"/>
    <w:tmpl w:val="A5F08272"/>
    <w:lvl w:ilvl="0" w:tplc="2E062AB8">
      <w:start w:val="1"/>
      <w:numFmt w:val="decimal"/>
      <w:lvlText w:val="%1."/>
      <w:lvlJc w:val="left"/>
      <w:pPr>
        <w:ind w:left="1353" w:hanging="360"/>
      </w:pPr>
      <w:rPr>
        <w:rFonts w:ascii="Times New Roman" w:hAnsi="Times New Roman" w:cs="Times New Roman" w:hint="default"/>
        <w:b w:val="0"/>
      </w:rPr>
    </w:lvl>
    <w:lvl w:ilvl="1" w:tplc="67F6A29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2"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5D2F11A1"/>
    <w:multiLevelType w:val="hybridMultilevel"/>
    <w:tmpl w:val="19C0561A"/>
    <w:lvl w:ilvl="0" w:tplc="CD2A7C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706C3BAD"/>
    <w:multiLevelType w:val="hybridMultilevel"/>
    <w:tmpl w:val="2036FC94"/>
    <w:lvl w:ilvl="0" w:tplc="B81223B4">
      <w:start w:val="1"/>
      <w:numFmt w:val="lowerLetter"/>
      <w:lvlText w:val="(%1)"/>
      <w:lvlJc w:val="left"/>
      <w:pPr>
        <w:ind w:left="360" w:hanging="360"/>
      </w:pPr>
      <w:rPr>
        <w:rFonts w:eastAsiaTheme="majorEastAsia"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13394302">
    <w:abstractNumId w:val="10"/>
  </w:num>
  <w:num w:numId="2" w16cid:durableId="1035077779">
    <w:abstractNumId w:val="13"/>
  </w:num>
  <w:num w:numId="3" w16cid:durableId="1426148105">
    <w:abstractNumId w:val="4"/>
  </w:num>
  <w:num w:numId="4" w16cid:durableId="1318609455">
    <w:abstractNumId w:val="9"/>
  </w:num>
  <w:num w:numId="5" w16cid:durableId="1816750395">
    <w:abstractNumId w:val="21"/>
  </w:num>
  <w:num w:numId="6" w16cid:durableId="602492841">
    <w:abstractNumId w:val="8"/>
  </w:num>
  <w:num w:numId="7" w16cid:durableId="724371431">
    <w:abstractNumId w:val="20"/>
  </w:num>
  <w:num w:numId="8" w16cid:durableId="1958294561">
    <w:abstractNumId w:val="16"/>
  </w:num>
  <w:num w:numId="9" w16cid:durableId="1788305630">
    <w:abstractNumId w:val="18"/>
  </w:num>
  <w:num w:numId="10" w16cid:durableId="1737236527">
    <w:abstractNumId w:val="15"/>
  </w:num>
  <w:num w:numId="11" w16cid:durableId="1354962180">
    <w:abstractNumId w:val="3"/>
  </w:num>
  <w:num w:numId="12" w16cid:durableId="944651938">
    <w:abstractNumId w:val="0"/>
  </w:num>
  <w:num w:numId="13" w16cid:durableId="1782652180">
    <w:abstractNumId w:val="2"/>
  </w:num>
  <w:num w:numId="14" w16cid:durableId="1114712020">
    <w:abstractNumId w:val="1"/>
  </w:num>
  <w:num w:numId="15" w16cid:durableId="589239236">
    <w:abstractNumId w:val="14"/>
  </w:num>
  <w:num w:numId="16" w16cid:durableId="1473988081">
    <w:abstractNumId w:val="6"/>
  </w:num>
  <w:num w:numId="17" w16cid:durableId="2022659720">
    <w:abstractNumId w:val="12"/>
  </w:num>
  <w:num w:numId="18" w16cid:durableId="840462910">
    <w:abstractNumId w:val="11"/>
  </w:num>
  <w:num w:numId="19" w16cid:durableId="966617917">
    <w:abstractNumId w:val="7"/>
  </w:num>
  <w:num w:numId="20" w16cid:durableId="16332504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99117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6121457">
    <w:abstractNumId w:val="5"/>
  </w:num>
  <w:num w:numId="23" w16cid:durableId="1757941569">
    <w:abstractNumId w:val="17"/>
  </w:num>
  <w:num w:numId="24" w16cid:durableId="13592395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67"/>
    <w:rsid w:val="0000183A"/>
    <w:rsid w:val="00001D43"/>
    <w:rsid w:val="00007AD2"/>
    <w:rsid w:val="00021C88"/>
    <w:rsid w:val="00036C76"/>
    <w:rsid w:val="00042E7D"/>
    <w:rsid w:val="000518B9"/>
    <w:rsid w:val="0006337F"/>
    <w:rsid w:val="00074E0F"/>
    <w:rsid w:val="00081AE5"/>
    <w:rsid w:val="00081ED1"/>
    <w:rsid w:val="0008491B"/>
    <w:rsid w:val="00087D3E"/>
    <w:rsid w:val="000A3978"/>
    <w:rsid w:val="000C7CE3"/>
    <w:rsid w:val="000D33F4"/>
    <w:rsid w:val="000D63A8"/>
    <w:rsid w:val="000D7A9C"/>
    <w:rsid w:val="00110917"/>
    <w:rsid w:val="00110A0F"/>
    <w:rsid w:val="0013237B"/>
    <w:rsid w:val="00141CA6"/>
    <w:rsid w:val="0016698C"/>
    <w:rsid w:val="00173A04"/>
    <w:rsid w:val="00182FA1"/>
    <w:rsid w:val="00190900"/>
    <w:rsid w:val="001A76BD"/>
    <w:rsid w:val="001B5067"/>
    <w:rsid w:val="001C297B"/>
    <w:rsid w:val="001C755C"/>
    <w:rsid w:val="001E7EA9"/>
    <w:rsid w:val="001F6B8D"/>
    <w:rsid w:val="0020527C"/>
    <w:rsid w:val="002260DD"/>
    <w:rsid w:val="00240EB7"/>
    <w:rsid w:val="002500F9"/>
    <w:rsid w:val="0029455F"/>
    <w:rsid w:val="0029591A"/>
    <w:rsid w:val="002A07F8"/>
    <w:rsid w:val="002B61A1"/>
    <w:rsid w:val="002D441F"/>
    <w:rsid w:val="002D6263"/>
    <w:rsid w:val="0030201A"/>
    <w:rsid w:val="00322A93"/>
    <w:rsid w:val="00324E0A"/>
    <w:rsid w:val="00335076"/>
    <w:rsid w:val="00341E9F"/>
    <w:rsid w:val="0037343B"/>
    <w:rsid w:val="0038413F"/>
    <w:rsid w:val="00391AD7"/>
    <w:rsid w:val="003936EA"/>
    <w:rsid w:val="003A16B4"/>
    <w:rsid w:val="003B52EB"/>
    <w:rsid w:val="003C46D7"/>
    <w:rsid w:val="003D5032"/>
    <w:rsid w:val="003E6715"/>
    <w:rsid w:val="00403951"/>
    <w:rsid w:val="004323FD"/>
    <w:rsid w:val="00453E3A"/>
    <w:rsid w:val="004560E3"/>
    <w:rsid w:val="004776D4"/>
    <w:rsid w:val="0048511B"/>
    <w:rsid w:val="004A593E"/>
    <w:rsid w:val="004C0F85"/>
    <w:rsid w:val="004C3D07"/>
    <w:rsid w:val="004E0236"/>
    <w:rsid w:val="004E451D"/>
    <w:rsid w:val="004E7F09"/>
    <w:rsid w:val="004F2AC1"/>
    <w:rsid w:val="005050E8"/>
    <w:rsid w:val="00506079"/>
    <w:rsid w:val="0050718F"/>
    <w:rsid w:val="00512059"/>
    <w:rsid w:val="00521673"/>
    <w:rsid w:val="00525F18"/>
    <w:rsid w:val="00534FFE"/>
    <w:rsid w:val="00544072"/>
    <w:rsid w:val="00551C22"/>
    <w:rsid w:val="00554A5B"/>
    <w:rsid w:val="00576882"/>
    <w:rsid w:val="00577939"/>
    <w:rsid w:val="00586A55"/>
    <w:rsid w:val="005A6505"/>
    <w:rsid w:val="005A663C"/>
    <w:rsid w:val="005A75C6"/>
    <w:rsid w:val="005A7660"/>
    <w:rsid w:val="005B4906"/>
    <w:rsid w:val="005B6DC2"/>
    <w:rsid w:val="005C2957"/>
    <w:rsid w:val="005C2EFE"/>
    <w:rsid w:val="005C469D"/>
    <w:rsid w:val="005D5804"/>
    <w:rsid w:val="005D5B38"/>
    <w:rsid w:val="005E1E75"/>
    <w:rsid w:val="005E5663"/>
    <w:rsid w:val="005E5910"/>
    <w:rsid w:val="005F056C"/>
    <w:rsid w:val="005F6F74"/>
    <w:rsid w:val="006025FF"/>
    <w:rsid w:val="00622480"/>
    <w:rsid w:val="00625A2B"/>
    <w:rsid w:val="006357E7"/>
    <w:rsid w:val="00641A14"/>
    <w:rsid w:val="00647D58"/>
    <w:rsid w:val="00650726"/>
    <w:rsid w:val="00656D42"/>
    <w:rsid w:val="00684F73"/>
    <w:rsid w:val="006863E5"/>
    <w:rsid w:val="00691307"/>
    <w:rsid w:val="00692BD0"/>
    <w:rsid w:val="00695F41"/>
    <w:rsid w:val="00696985"/>
    <w:rsid w:val="00696E43"/>
    <w:rsid w:val="006A6A52"/>
    <w:rsid w:val="006B4C94"/>
    <w:rsid w:val="006C06E6"/>
    <w:rsid w:val="006E4B91"/>
    <w:rsid w:val="006E5DD8"/>
    <w:rsid w:val="007031F4"/>
    <w:rsid w:val="00707688"/>
    <w:rsid w:val="00717BF6"/>
    <w:rsid w:val="00725AA6"/>
    <w:rsid w:val="00745B81"/>
    <w:rsid w:val="007634C7"/>
    <w:rsid w:val="007644D8"/>
    <w:rsid w:val="00774263"/>
    <w:rsid w:val="00774AE3"/>
    <w:rsid w:val="00776D66"/>
    <w:rsid w:val="00777ACD"/>
    <w:rsid w:val="00777DAA"/>
    <w:rsid w:val="00781D38"/>
    <w:rsid w:val="00787FA9"/>
    <w:rsid w:val="00794EBF"/>
    <w:rsid w:val="007A2B5C"/>
    <w:rsid w:val="007A33E6"/>
    <w:rsid w:val="007A53AC"/>
    <w:rsid w:val="007A572E"/>
    <w:rsid w:val="007B3720"/>
    <w:rsid w:val="007D2D7F"/>
    <w:rsid w:val="007D3788"/>
    <w:rsid w:val="00811D65"/>
    <w:rsid w:val="00831FE8"/>
    <w:rsid w:val="00842FBD"/>
    <w:rsid w:val="00843CB6"/>
    <w:rsid w:val="0086194F"/>
    <w:rsid w:val="00867092"/>
    <w:rsid w:val="00881AB6"/>
    <w:rsid w:val="00887222"/>
    <w:rsid w:val="008C225C"/>
    <w:rsid w:val="008C3D9F"/>
    <w:rsid w:val="008D76C5"/>
    <w:rsid w:val="009101E1"/>
    <w:rsid w:val="00916795"/>
    <w:rsid w:val="00941A70"/>
    <w:rsid w:val="00964EE5"/>
    <w:rsid w:val="00971180"/>
    <w:rsid w:val="009727F9"/>
    <w:rsid w:val="00972807"/>
    <w:rsid w:val="00980DB3"/>
    <w:rsid w:val="009871FB"/>
    <w:rsid w:val="00995560"/>
    <w:rsid w:val="00996C67"/>
    <w:rsid w:val="009B0A33"/>
    <w:rsid w:val="009B28A5"/>
    <w:rsid w:val="009B6212"/>
    <w:rsid w:val="009C0CC5"/>
    <w:rsid w:val="009C5368"/>
    <w:rsid w:val="009C62A9"/>
    <w:rsid w:val="009C77A0"/>
    <w:rsid w:val="009D467A"/>
    <w:rsid w:val="009E76B1"/>
    <w:rsid w:val="009F3892"/>
    <w:rsid w:val="009F7699"/>
    <w:rsid w:val="00A022B1"/>
    <w:rsid w:val="00A03B88"/>
    <w:rsid w:val="00A067AB"/>
    <w:rsid w:val="00A234F9"/>
    <w:rsid w:val="00A27222"/>
    <w:rsid w:val="00A33418"/>
    <w:rsid w:val="00A50372"/>
    <w:rsid w:val="00A5159D"/>
    <w:rsid w:val="00A5270F"/>
    <w:rsid w:val="00A63A2B"/>
    <w:rsid w:val="00A63CA3"/>
    <w:rsid w:val="00A80F30"/>
    <w:rsid w:val="00A97802"/>
    <w:rsid w:val="00AB7B48"/>
    <w:rsid w:val="00AC2517"/>
    <w:rsid w:val="00AC3B8E"/>
    <w:rsid w:val="00AD5B8C"/>
    <w:rsid w:val="00AE1650"/>
    <w:rsid w:val="00B04B20"/>
    <w:rsid w:val="00B109C8"/>
    <w:rsid w:val="00B1210A"/>
    <w:rsid w:val="00B47BD7"/>
    <w:rsid w:val="00B54DEC"/>
    <w:rsid w:val="00B6068B"/>
    <w:rsid w:val="00B6450F"/>
    <w:rsid w:val="00B766FA"/>
    <w:rsid w:val="00B872F5"/>
    <w:rsid w:val="00B90E0D"/>
    <w:rsid w:val="00B97BD6"/>
    <w:rsid w:val="00BA4160"/>
    <w:rsid w:val="00BA4C45"/>
    <w:rsid w:val="00BA6D10"/>
    <w:rsid w:val="00BC2D08"/>
    <w:rsid w:val="00BD2B81"/>
    <w:rsid w:val="00BE59F9"/>
    <w:rsid w:val="00BF6CDF"/>
    <w:rsid w:val="00C0120F"/>
    <w:rsid w:val="00C04E42"/>
    <w:rsid w:val="00C14367"/>
    <w:rsid w:val="00C21A2A"/>
    <w:rsid w:val="00C302FA"/>
    <w:rsid w:val="00C36954"/>
    <w:rsid w:val="00C5686C"/>
    <w:rsid w:val="00C6788C"/>
    <w:rsid w:val="00C67A76"/>
    <w:rsid w:val="00C735FB"/>
    <w:rsid w:val="00C74819"/>
    <w:rsid w:val="00C8665C"/>
    <w:rsid w:val="00C86748"/>
    <w:rsid w:val="00C9142B"/>
    <w:rsid w:val="00C97461"/>
    <w:rsid w:val="00CA6032"/>
    <w:rsid w:val="00CA6CB3"/>
    <w:rsid w:val="00CB4DF4"/>
    <w:rsid w:val="00CB7762"/>
    <w:rsid w:val="00CC4A1F"/>
    <w:rsid w:val="00CF2198"/>
    <w:rsid w:val="00D01427"/>
    <w:rsid w:val="00D124EA"/>
    <w:rsid w:val="00D22147"/>
    <w:rsid w:val="00D3278A"/>
    <w:rsid w:val="00D44FBA"/>
    <w:rsid w:val="00D47051"/>
    <w:rsid w:val="00D473B2"/>
    <w:rsid w:val="00D62EFA"/>
    <w:rsid w:val="00D64906"/>
    <w:rsid w:val="00D857C7"/>
    <w:rsid w:val="00D9022A"/>
    <w:rsid w:val="00DA3651"/>
    <w:rsid w:val="00DB4EB0"/>
    <w:rsid w:val="00DB6A66"/>
    <w:rsid w:val="00DC52E3"/>
    <w:rsid w:val="00DD1BB1"/>
    <w:rsid w:val="00DE3174"/>
    <w:rsid w:val="00DF539C"/>
    <w:rsid w:val="00E05BC3"/>
    <w:rsid w:val="00E07F40"/>
    <w:rsid w:val="00E15497"/>
    <w:rsid w:val="00E16DD9"/>
    <w:rsid w:val="00E201A8"/>
    <w:rsid w:val="00E20D20"/>
    <w:rsid w:val="00E342D7"/>
    <w:rsid w:val="00E53B1B"/>
    <w:rsid w:val="00E550C7"/>
    <w:rsid w:val="00E83A76"/>
    <w:rsid w:val="00E90C89"/>
    <w:rsid w:val="00E92A90"/>
    <w:rsid w:val="00E96B6D"/>
    <w:rsid w:val="00EC19F8"/>
    <w:rsid w:val="00EC5653"/>
    <w:rsid w:val="00ED0492"/>
    <w:rsid w:val="00F13CB7"/>
    <w:rsid w:val="00F16D46"/>
    <w:rsid w:val="00F411C7"/>
    <w:rsid w:val="00F6431E"/>
    <w:rsid w:val="00F7706D"/>
    <w:rsid w:val="00F81DDA"/>
    <w:rsid w:val="00F86281"/>
    <w:rsid w:val="00F97BAD"/>
    <w:rsid w:val="00FA5345"/>
    <w:rsid w:val="00FB3240"/>
    <w:rsid w:val="00FC32CF"/>
    <w:rsid w:val="00FC4A96"/>
    <w:rsid w:val="00FC737D"/>
    <w:rsid w:val="00FD44BE"/>
    <w:rsid w:val="00FF0F1C"/>
    <w:rsid w:val="00FF449B"/>
    <w:rsid w:val="00FF513E"/>
    <w:rsid w:val="10A2337D"/>
    <w:rsid w:val="26D18E43"/>
    <w:rsid w:val="709B2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341E9F"/>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BodyText">
    <w:name w:val="Body Text"/>
    <w:basedOn w:val="Normal"/>
    <w:link w:val="BodyTextChar"/>
    <w:uiPriority w:val="49"/>
    <w:semiHidden/>
    <w:unhideWhenUsed/>
    <w:rsid w:val="00E53B1B"/>
    <w:pPr>
      <w:spacing w:after="120"/>
    </w:pPr>
  </w:style>
  <w:style w:type="character" w:customStyle="1" w:styleId="BodyTextChar">
    <w:name w:val="Body Text Char"/>
    <w:basedOn w:val="DefaultParagraphFont"/>
    <w:link w:val="BodyText"/>
    <w:uiPriority w:val="49"/>
    <w:semiHidden/>
    <w:rsid w:val="00E53B1B"/>
  </w:style>
  <w:style w:type="paragraph" w:styleId="ListParagraph">
    <w:name w:val="List Paragraph"/>
    <w:basedOn w:val="Normal"/>
    <w:link w:val="ListParagraphChar"/>
    <w:uiPriority w:val="34"/>
    <w:qFormat/>
    <w:rsid w:val="001A76BD"/>
    <w:pPr>
      <w:ind w:left="720"/>
      <w:contextualSpacing/>
    </w:pPr>
  </w:style>
  <w:style w:type="paragraph" w:customStyle="1" w:styleId="Default">
    <w:name w:val="Default"/>
    <w:rsid w:val="00A80F30"/>
    <w:pPr>
      <w:autoSpaceDE w:val="0"/>
      <w:autoSpaceDN w:val="0"/>
      <w:adjustRightInd w:val="0"/>
      <w:spacing w:after="0"/>
    </w:pPr>
    <w:rPr>
      <w:rFonts w:eastAsia="Times New Roman"/>
      <w:color w:val="000000"/>
    </w:rPr>
  </w:style>
  <w:style w:type="character" w:customStyle="1" w:styleId="ListParagraphChar">
    <w:name w:val="List Paragraph Char"/>
    <w:link w:val="ListParagraph"/>
    <w:uiPriority w:val="34"/>
    <w:rsid w:val="00CC4A1F"/>
  </w:style>
  <w:style w:type="paragraph" w:customStyle="1" w:styleId="ActTitle">
    <w:name w:val="Act Title"/>
    <w:basedOn w:val="Normal"/>
    <w:next w:val="Normal"/>
    <w:rsid w:val="00CC4A1F"/>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CC4A1F"/>
    <w:pPr>
      <w:spacing w:after="0"/>
      <w:ind w:left="720" w:hanging="720"/>
    </w:pPr>
    <w:rPr>
      <w:rFonts w:eastAsia="Times New Roman"/>
      <w:szCs w:val="20"/>
      <w:lang w:eastAsia="en-US"/>
    </w:rPr>
  </w:style>
  <w:style w:type="paragraph" w:styleId="Revision">
    <w:name w:val="Revision"/>
    <w:hidden/>
    <w:uiPriority w:val="99"/>
    <w:semiHidden/>
    <w:rsid w:val="002260DD"/>
    <w:pPr>
      <w:spacing w:after="0"/>
    </w:pPr>
  </w:style>
  <w:style w:type="character" w:styleId="CommentReference">
    <w:name w:val="annotation reference"/>
    <w:basedOn w:val="DefaultParagraphFont"/>
    <w:uiPriority w:val="49"/>
    <w:semiHidden/>
    <w:unhideWhenUsed/>
    <w:rsid w:val="00A5270F"/>
    <w:rPr>
      <w:sz w:val="16"/>
      <w:szCs w:val="16"/>
    </w:rPr>
  </w:style>
  <w:style w:type="paragraph" w:styleId="CommentText">
    <w:name w:val="annotation text"/>
    <w:basedOn w:val="Normal"/>
    <w:link w:val="CommentTextChar"/>
    <w:uiPriority w:val="49"/>
    <w:unhideWhenUsed/>
    <w:rsid w:val="00A5270F"/>
    <w:rPr>
      <w:sz w:val="20"/>
      <w:szCs w:val="20"/>
    </w:rPr>
  </w:style>
  <w:style w:type="character" w:customStyle="1" w:styleId="CommentTextChar">
    <w:name w:val="Comment Text Char"/>
    <w:basedOn w:val="DefaultParagraphFont"/>
    <w:link w:val="CommentText"/>
    <w:uiPriority w:val="49"/>
    <w:rsid w:val="00A5270F"/>
    <w:rPr>
      <w:sz w:val="20"/>
      <w:szCs w:val="20"/>
    </w:rPr>
  </w:style>
  <w:style w:type="paragraph" w:styleId="CommentSubject">
    <w:name w:val="annotation subject"/>
    <w:basedOn w:val="CommentText"/>
    <w:next w:val="CommentText"/>
    <w:link w:val="CommentSubjectChar"/>
    <w:uiPriority w:val="49"/>
    <w:semiHidden/>
    <w:unhideWhenUsed/>
    <w:rsid w:val="00A5270F"/>
    <w:rPr>
      <w:b/>
      <w:bCs/>
    </w:rPr>
  </w:style>
  <w:style w:type="character" w:customStyle="1" w:styleId="CommentSubjectChar">
    <w:name w:val="Comment Subject Char"/>
    <w:basedOn w:val="CommentTextChar"/>
    <w:link w:val="CommentSubject"/>
    <w:uiPriority w:val="49"/>
    <w:semiHidden/>
    <w:rsid w:val="00A527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7" ma:contentTypeDescription="Create a new document." ma:contentTypeScope="" ma:versionID="2331766db4130645ec45f560b66a01a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c7b84690dd511863869f0c959d2cd8df"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a8a7e8-49a1-4017-acf0-0edc7cce208b" xsi:nil="true"/>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j163382b748246d3b6e7caae71dbeeb0>
    <b37d8d7e823543f58f89056343a9035c xmlns="92a8a7e8-49a1-4017-acf0-0edc7cce208b">
      <Terms xmlns="http://schemas.microsoft.com/office/infopath/2007/PartnerControls"/>
    </b37d8d7e823543f58f89056343a9035c>
    <SharedWithUsers xmlns="92a8a7e8-49a1-4017-acf0-0edc7cce208b">
      <UserInfo>
        <DisplayName>Toni Michalis</DisplayName>
        <AccountId>310</AccountId>
        <AccountType/>
      </UserInfo>
      <UserInfo>
        <DisplayName>Gideon Holland</DisplayName>
        <AccountId>45</AccountId>
        <AccountType/>
      </UserInfo>
      <UserInfo>
        <DisplayName>Vasili Pirozek</DisplayName>
        <AccountId>338</AccountId>
        <AccountType/>
      </UserInfo>
      <UserInfo>
        <DisplayName>Kara Hooper</DisplayName>
        <AccountId>23</AccountId>
        <AccountType/>
      </UserInfo>
    </SharedWithUsers>
  </documentManagement>
</p:properties>
</file>

<file path=customXml/itemProps1.xml><?xml version="1.0" encoding="utf-8"?>
<ds:datastoreItem xmlns:ds="http://schemas.openxmlformats.org/officeDocument/2006/customXml" ds:itemID="{3960970B-6F3B-4333-B9D4-5D3361CDDA76}">
  <ds:schemaRefs>
    <ds:schemaRef ds:uri="http://schemas.openxmlformats.org/officeDocument/2006/bibliography"/>
  </ds:schemaRefs>
</ds:datastoreItem>
</file>

<file path=customXml/itemProps2.xml><?xml version="1.0" encoding="utf-8"?>
<ds:datastoreItem xmlns:ds="http://schemas.openxmlformats.org/officeDocument/2006/customXml" ds:itemID="{9D1F5F06-4A91-461D-AA1C-6ED0F1910D86}">
  <ds:schemaRefs>
    <ds:schemaRef ds:uri="http://schemas.microsoft.com/sharepoint/v3/contenttype/forms"/>
  </ds:schemaRefs>
</ds:datastoreItem>
</file>

<file path=customXml/itemProps3.xml><?xml version="1.0" encoding="utf-8"?>
<ds:datastoreItem xmlns:ds="http://schemas.openxmlformats.org/officeDocument/2006/customXml" ds:itemID="{6C95F89C-5FB7-405D-8DF3-788D6D46B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a7e8-49a1-4017-acf0-0edc7cce208b"/>
    <ds:schemaRef ds:uri="f4148c6b-f494-43bd-afec-4c4bbfd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4C6AF-37F6-4537-8F6A-B92C0A4AB569}">
  <ds:schemaRefs>
    <ds:schemaRef ds:uri="http://schemas.microsoft.com/office/2006/metadata/properties"/>
    <ds:schemaRef ds:uri="http://schemas.microsoft.com/office/infopath/2007/PartnerControls"/>
    <ds:schemaRef ds:uri="5664482d-1961-4d38-bfc2-b109b3418834"/>
    <ds:schemaRef ds:uri="79530295-9eea-494d-b82a-9ff74409eafc"/>
    <ds:schemaRef ds:uri="92a8a7e8-49a1-4017-acf0-0edc7cce208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2281</Words>
  <Characters>12130</Characters>
  <Application>Microsoft Office Word</Application>
  <DocSecurity>0</DocSecurity>
  <Lines>345</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cp:lastModifiedBy/>
  <cp:revision>1</cp:revision>
  <dcterms:created xsi:type="dcterms:W3CDTF">2023-11-28T05:48:00Z</dcterms:created>
  <dcterms:modified xsi:type="dcterms:W3CDTF">2023-11-30T06:47:00Z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ValueSecClassificationWithQualifier">
    <vt:lpwstr>Personal</vt:lpwstr>
  </property>
  <property fmtid="{D5CDD505-2E9C-101B-9397-08002B2CF9AE}" pid="3" name="PM_SecurityClassification">
    <vt:lpwstr>UNOFFICIAL</vt:lpwstr>
  </property>
  <property fmtid="{D5CDD505-2E9C-101B-9397-08002B2CF9AE}" pid="4" name="PM_Qualifier">
    <vt:lpwstr/>
  </property>
  <property fmtid="{D5CDD505-2E9C-101B-9397-08002B2CF9AE}" pid="5" name="PM_InsertionValue">
    <vt:lpwstr>Personal</vt:lpwstr>
  </property>
  <property fmtid="{D5CDD505-2E9C-101B-9397-08002B2CF9AE}" pid="6" name="MSIP_Label_bfd5df59-fc4a-42eb-ac4e-d9fda266b5d9_SetDate">
    <vt:lpwstr>2022-09-12T22:52:51Z</vt:lpwstr>
  </property>
  <property fmtid="{D5CDD505-2E9C-101B-9397-08002B2CF9AE}" pid="7" name="PM_Originator_Hash_SHA1">
    <vt:lpwstr>C3AD57350F36D8E1BD75F8F67CB06D435C9C43CA</vt:lpwstr>
  </property>
  <property fmtid="{D5CDD505-2E9C-101B-9397-08002B2CF9AE}" pid="8" name="PM_Hash_Version">
    <vt:lpwstr>2022.1</vt:lpwstr>
  </property>
  <property fmtid="{D5CDD505-2E9C-101B-9397-08002B2CF9AE}" pid="9" name="PM_SecurityClassification_Prev">
    <vt:lpwstr>UNOFFICIAL</vt:lpwstr>
  </property>
  <property fmtid="{D5CDD505-2E9C-101B-9397-08002B2CF9AE}" pid="10" name="PM_Qualifier_Prev">
    <vt:lpwstr/>
  </property>
  <property fmtid="{D5CDD505-2E9C-101B-9397-08002B2CF9AE}" pid="11" name="PM_ProtectiveMarkingImage_Header">
    <vt:lpwstr>C:\Program Files\Common Files\janusNET Shared\janusSEAL\Images\DocumentSlashBlue.png</vt:lpwstr>
  </property>
  <property fmtid="{D5CDD505-2E9C-101B-9397-08002B2CF9AE}" pid="12" name="PM_OriginationTimeStamp">
    <vt:lpwstr>2022-09-12T22:52:51Z</vt:lpwstr>
  </property>
  <property fmtid="{D5CDD505-2E9C-101B-9397-08002B2CF9AE}" pid="13" name="PM_ProtectiveMarkingValue_Header">
    <vt:lpwstr>Personal</vt:lpwstr>
  </property>
  <property fmtid="{D5CDD505-2E9C-101B-9397-08002B2CF9AE}" pid="14" name="PM_Originating_FileId">
    <vt:lpwstr>9CDD4A8A38FF4D3681F9F9DB8CFE362E</vt:lpwstr>
  </property>
  <property fmtid="{D5CDD505-2E9C-101B-9397-08002B2CF9AE}" pid="15" name="PM_ProtectiveMarkingValue_Footer">
    <vt:lpwstr>Personal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2018.3</vt:lpwstr>
  </property>
  <property fmtid="{D5CDD505-2E9C-101B-9397-08002B2CF9AE}" pid="19" name="PM_Note">
    <vt:lpwstr/>
  </property>
  <property fmtid="{D5CDD505-2E9C-101B-9397-08002B2CF9AE}" pid="20" name="PM_Markers">
    <vt:lpwstr/>
  </property>
  <property fmtid="{D5CDD505-2E9C-101B-9397-08002B2CF9AE}" pid="21" name="PM_Display">
    <vt:lpwstr>Personal</vt:lpwstr>
  </property>
  <property fmtid="{D5CDD505-2E9C-101B-9397-08002B2CF9AE}" pid="22" name="PMUuid">
    <vt:lpwstr>v=2022.2;d=gov.au;g=65417EFE-F3B9-5E66-BD91-1E689FEC2EA6</vt:lpwstr>
  </property>
  <property fmtid="{D5CDD505-2E9C-101B-9397-08002B2CF9AE}" pid="23" name="PM_OriginatorUserAccountName_SHA256">
    <vt:lpwstr>6E3018F28A186D2E5FF5207C041E7A82E907C3008E071057026A53705873B72E</vt:lpwstr>
  </property>
  <property fmtid="{D5CDD505-2E9C-101B-9397-08002B2CF9AE}" pid="24" name="PM_OriginatorDomainName_SHA256">
    <vt:lpwstr>ECBDE2B44A971754412B3FB70606937A119CC0D4B6C1B658A40FBD41C30BE3EC</vt:lpwstr>
  </property>
  <property fmtid="{D5CDD505-2E9C-101B-9397-08002B2CF9AE}" pid="25" name="MSIP_Label_bfd5df59-fc4a-42eb-ac4e-d9fda266b5d9_ContentBits">
    <vt:lpwstr>0</vt:lpwstr>
  </property>
  <property fmtid="{D5CDD505-2E9C-101B-9397-08002B2CF9AE}" pid="26" name="MSIP_Label_bfd5df59-fc4a-42eb-ac4e-d9fda266b5d9_Enabled">
    <vt:lpwstr>true</vt:lpwstr>
  </property>
  <property fmtid="{D5CDD505-2E9C-101B-9397-08002B2CF9AE}" pid="27" name="MSIP_Label_bfd5df59-fc4a-42eb-ac4e-d9fda266b5d9_Name">
    <vt:lpwstr>UNOFFICIAL</vt:lpwstr>
  </property>
  <property fmtid="{D5CDD505-2E9C-101B-9397-08002B2CF9AE}" pid="28" name="MSIP_Label_bfd5df59-fc4a-42eb-ac4e-d9fda266b5d9_SiteId">
    <vt:lpwstr>c05e3ffd-b491-4431-9809-e61d4dc78816</vt:lpwstr>
  </property>
  <property fmtid="{D5CDD505-2E9C-101B-9397-08002B2CF9AE}" pid="29" name="MSIP_Label_bfd5df59-fc4a-42eb-ac4e-d9fda266b5d9_Method">
    <vt:lpwstr>Privileged</vt:lpwstr>
  </property>
  <property fmtid="{D5CDD505-2E9C-101B-9397-08002B2CF9AE}" pid="30" name="PM_Caveats_Count">
    <vt:lpwstr>0</vt:lpwstr>
  </property>
  <property fmtid="{D5CDD505-2E9C-101B-9397-08002B2CF9AE}" pid="31" name="ContentTypeId">
    <vt:lpwstr>0x01010080D163DB4DEE504FAB457909715FEC45</vt:lpwstr>
  </property>
  <property fmtid="{D5CDD505-2E9C-101B-9397-08002B2CF9AE}" pid="32" name="MediaServiceImageTags">
    <vt:lpwstr/>
  </property>
  <property fmtid="{D5CDD505-2E9C-101B-9397-08002B2CF9AE}" pid="33" name="MSIP_Label_bfd5df59-fc4a-42eb-ac4e-d9fda266b5d9_ActionId">
    <vt:lpwstr>af4bee28b18d4d629918eb2edb9a5b52</vt:lpwstr>
  </property>
  <property fmtid="{D5CDD505-2E9C-101B-9397-08002B2CF9AE}" pid="34" name="PMHMAC">
    <vt:lpwstr>v=2022.1;a=SHA256;h=D5084EE22B02AE4B254F3C7824F2905EAE2044F55A6B36645630B9E427381D00</vt:lpwstr>
  </property>
  <property fmtid="{D5CDD505-2E9C-101B-9397-08002B2CF9AE}" pid="35" name="PM_Hash_Salt">
    <vt:lpwstr>4DF32CF34F7D70CCEEAACB2E0A649939</vt:lpwstr>
  </property>
  <property fmtid="{D5CDD505-2E9C-101B-9397-08002B2CF9AE}" pid="36" name="PM_Hash_SHA1">
    <vt:lpwstr>A27EC6F79474D04021560625E233D38C9B89FB86</vt:lpwstr>
  </property>
  <property fmtid="{D5CDD505-2E9C-101B-9397-08002B2CF9AE}" pid="37" name="PM_Hash_Salt_Prev">
    <vt:lpwstr>AF524D73C5F20DE299AED8040D2C8870</vt:lpwstr>
  </property>
  <property fmtid="{D5CDD505-2E9C-101B-9397-08002B2CF9AE}" pid="38" name="APRADocumentType">
    <vt:lpwstr/>
  </property>
  <property fmtid="{D5CDD505-2E9C-101B-9397-08002B2CF9AE}" pid="39" name="APRAActivity">
    <vt:lpwstr/>
  </property>
  <property fmtid="{D5CDD505-2E9C-101B-9397-08002B2CF9AE}" pid="40" name="APRALegislation">
    <vt:lpwstr/>
  </property>
  <property fmtid="{D5CDD505-2E9C-101B-9397-08002B2CF9AE}" pid="41" name="APRAStatus">
    <vt:lpwstr/>
  </property>
  <property fmtid="{D5CDD505-2E9C-101B-9397-08002B2CF9AE}" pid="42" name="APRAEntityAdviceSupport">
    <vt:lpwstr/>
  </property>
  <property fmtid="{D5CDD505-2E9C-101B-9397-08002B2CF9AE}" pid="43" name="APRAIndustry">
    <vt:lpwstr/>
  </property>
</Properties>
</file>