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FBC8" w14:textId="77777777" w:rsidR="003A6026" w:rsidRPr="006D2D5B" w:rsidRDefault="003A6026" w:rsidP="003A6026">
      <w:pPr>
        <w:jc w:val="center"/>
        <w:rPr>
          <w:b/>
        </w:rPr>
      </w:pPr>
      <w:r w:rsidRPr="006D2D5B">
        <w:rPr>
          <w:b/>
        </w:rPr>
        <w:t>EXPLANATORY STATEMENT</w:t>
      </w:r>
    </w:p>
    <w:p w14:paraId="4A7CF115" w14:textId="77777777" w:rsidR="00202381" w:rsidRPr="006D2D5B" w:rsidRDefault="00202381" w:rsidP="003A6026">
      <w:pPr>
        <w:rPr>
          <w:u w:val="single"/>
        </w:rPr>
      </w:pPr>
    </w:p>
    <w:p w14:paraId="36398525" w14:textId="77777777" w:rsidR="003A6026" w:rsidRPr="006D2D5B" w:rsidRDefault="00873ADE" w:rsidP="00AB1D6C">
      <w:pPr>
        <w:jc w:val="center"/>
        <w:rPr>
          <w:b/>
          <w:i/>
        </w:rPr>
      </w:pPr>
      <w:r w:rsidRPr="006D2D5B">
        <w:rPr>
          <w:b/>
          <w:i/>
        </w:rPr>
        <w:t>National Health Act 1953</w:t>
      </w:r>
    </w:p>
    <w:p w14:paraId="57B5ADE3" w14:textId="75EE2E85" w:rsidR="000A2975" w:rsidRPr="006D2D5B" w:rsidRDefault="000A2975" w:rsidP="000A2975">
      <w:pPr>
        <w:spacing w:before="240"/>
        <w:jc w:val="center"/>
        <w:rPr>
          <w:b/>
          <w:i/>
          <w:sz w:val="22"/>
          <w:szCs w:val="22"/>
        </w:rPr>
      </w:pPr>
      <w:r w:rsidRPr="006D2D5B">
        <w:rPr>
          <w:b/>
          <w:i/>
          <w:sz w:val="22"/>
          <w:szCs w:val="22"/>
        </w:rPr>
        <w:t>NATIONAL HEALTH (</w:t>
      </w:r>
      <w:r w:rsidR="00FF0036" w:rsidRPr="006D2D5B">
        <w:rPr>
          <w:b/>
          <w:i/>
          <w:sz w:val="22"/>
          <w:szCs w:val="22"/>
        </w:rPr>
        <w:t>CONTINUED DISPENSING</w:t>
      </w:r>
      <w:r w:rsidRPr="006D2D5B">
        <w:rPr>
          <w:b/>
          <w:i/>
          <w:sz w:val="22"/>
          <w:szCs w:val="22"/>
        </w:rPr>
        <w:t xml:space="preserve">) </w:t>
      </w:r>
      <w:r w:rsidR="00FF0036" w:rsidRPr="006D2D5B">
        <w:rPr>
          <w:b/>
          <w:i/>
          <w:sz w:val="22"/>
          <w:szCs w:val="22"/>
        </w:rPr>
        <w:br/>
      </w:r>
      <w:r w:rsidRPr="006D2D5B">
        <w:rPr>
          <w:b/>
          <w:i/>
          <w:sz w:val="22"/>
          <w:szCs w:val="22"/>
        </w:rPr>
        <w:t>AMENDMENT DETERMINATION 202</w:t>
      </w:r>
      <w:r w:rsidR="00FE5878" w:rsidRPr="006D2D5B">
        <w:rPr>
          <w:b/>
          <w:i/>
          <w:sz w:val="22"/>
          <w:szCs w:val="22"/>
        </w:rPr>
        <w:t>3</w:t>
      </w:r>
      <w:r w:rsidRPr="006D2D5B">
        <w:rPr>
          <w:b/>
          <w:i/>
          <w:sz w:val="22"/>
          <w:szCs w:val="22"/>
        </w:rPr>
        <w:t xml:space="preserve"> </w:t>
      </w:r>
      <w:r w:rsidR="00FF0036" w:rsidRPr="006D2D5B">
        <w:rPr>
          <w:b/>
          <w:i/>
          <w:sz w:val="22"/>
          <w:szCs w:val="22"/>
        </w:rPr>
        <w:t xml:space="preserve">(No. </w:t>
      </w:r>
      <w:r w:rsidR="00F13DD1" w:rsidRPr="006D2D5B">
        <w:rPr>
          <w:b/>
          <w:i/>
          <w:sz w:val="22"/>
          <w:szCs w:val="22"/>
        </w:rPr>
        <w:t>3</w:t>
      </w:r>
      <w:r w:rsidR="00FF0036" w:rsidRPr="006D2D5B">
        <w:rPr>
          <w:b/>
          <w:i/>
          <w:sz w:val="22"/>
          <w:szCs w:val="22"/>
        </w:rPr>
        <w:t>)</w:t>
      </w:r>
    </w:p>
    <w:p w14:paraId="6FDCC84F" w14:textId="44854EE5" w:rsidR="003C45A4" w:rsidRPr="006D2D5B" w:rsidRDefault="00FE5878" w:rsidP="00D40A2C">
      <w:pPr>
        <w:spacing w:before="240"/>
        <w:jc w:val="center"/>
        <w:rPr>
          <w:b/>
          <w:i/>
          <w:sz w:val="22"/>
          <w:szCs w:val="22"/>
        </w:rPr>
      </w:pPr>
      <w:r w:rsidRPr="006D2D5B">
        <w:rPr>
          <w:b/>
        </w:rPr>
        <w:t xml:space="preserve">PB </w:t>
      </w:r>
      <w:r w:rsidR="00F13DD1" w:rsidRPr="006D2D5B">
        <w:rPr>
          <w:b/>
        </w:rPr>
        <w:t>115</w:t>
      </w:r>
      <w:r w:rsidR="00876EF5" w:rsidRPr="006D2D5B">
        <w:rPr>
          <w:b/>
        </w:rPr>
        <w:t xml:space="preserve"> </w:t>
      </w:r>
      <w:r w:rsidR="003C45A4" w:rsidRPr="006D2D5B">
        <w:rPr>
          <w:b/>
        </w:rPr>
        <w:t>of 202</w:t>
      </w:r>
      <w:r w:rsidRPr="006D2D5B">
        <w:rPr>
          <w:b/>
        </w:rPr>
        <w:t>3</w:t>
      </w:r>
    </w:p>
    <w:p w14:paraId="03FD7FA8" w14:textId="77777777" w:rsidR="00F1637F" w:rsidRPr="006D2D5B" w:rsidRDefault="00F1637F" w:rsidP="00F1637F">
      <w:pPr>
        <w:spacing w:before="120"/>
        <w:rPr>
          <w:sz w:val="22"/>
          <w:szCs w:val="22"/>
        </w:rPr>
      </w:pPr>
    </w:p>
    <w:p w14:paraId="2F16F45F" w14:textId="77777777" w:rsidR="00F1637F" w:rsidRPr="006D2D5B" w:rsidRDefault="00F1637F" w:rsidP="00213BD0">
      <w:pPr>
        <w:spacing w:before="240"/>
        <w:rPr>
          <w:b/>
          <w:sz w:val="22"/>
          <w:szCs w:val="22"/>
        </w:rPr>
      </w:pPr>
      <w:r w:rsidRPr="006D2D5B">
        <w:rPr>
          <w:b/>
          <w:sz w:val="22"/>
          <w:szCs w:val="22"/>
        </w:rPr>
        <w:t>Purpose</w:t>
      </w:r>
    </w:p>
    <w:p w14:paraId="1EA9BE06" w14:textId="007417E3" w:rsidR="00896193" w:rsidRPr="006D2D5B" w:rsidRDefault="00896193" w:rsidP="0077721F">
      <w:pPr>
        <w:spacing w:before="120"/>
        <w:jc w:val="both"/>
        <w:rPr>
          <w:sz w:val="22"/>
          <w:szCs w:val="22"/>
        </w:rPr>
      </w:pPr>
      <w:r w:rsidRPr="006D2D5B">
        <w:rPr>
          <w:sz w:val="22"/>
          <w:szCs w:val="22"/>
        </w:rPr>
        <w:t xml:space="preserve">The purpose of this legislative instrument, made under subsection </w:t>
      </w:r>
      <w:r w:rsidRPr="006D2D5B">
        <w:rPr>
          <w:color w:val="000000"/>
          <w:sz w:val="22"/>
          <w:szCs w:val="22"/>
        </w:rPr>
        <w:t xml:space="preserve">89A(3) of the </w:t>
      </w:r>
      <w:r w:rsidRPr="006D2D5B">
        <w:rPr>
          <w:i/>
          <w:sz w:val="22"/>
          <w:szCs w:val="22"/>
        </w:rPr>
        <w:t>National Health Act 1953</w:t>
      </w:r>
      <w:r w:rsidRPr="006D2D5B">
        <w:rPr>
          <w:sz w:val="22"/>
          <w:szCs w:val="22"/>
        </w:rPr>
        <w:t xml:space="preserve"> (the Act), is to amend the </w:t>
      </w:r>
      <w:r w:rsidRPr="006D2D5B">
        <w:rPr>
          <w:i/>
          <w:sz w:val="22"/>
          <w:szCs w:val="22"/>
        </w:rPr>
        <w:t>National Health (</w:t>
      </w:r>
      <w:r w:rsidR="00FF0036" w:rsidRPr="006D2D5B">
        <w:rPr>
          <w:i/>
          <w:sz w:val="22"/>
          <w:szCs w:val="22"/>
        </w:rPr>
        <w:t>Continued Dispensing</w:t>
      </w:r>
      <w:r w:rsidRPr="006D2D5B">
        <w:rPr>
          <w:i/>
          <w:sz w:val="22"/>
          <w:szCs w:val="22"/>
        </w:rPr>
        <w:t>) Determination 202</w:t>
      </w:r>
      <w:r w:rsidR="00FF0036" w:rsidRPr="006D2D5B">
        <w:rPr>
          <w:i/>
          <w:sz w:val="22"/>
          <w:szCs w:val="22"/>
        </w:rPr>
        <w:t>2</w:t>
      </w:r>
      <w:r w:rsidRPr="006D2D5B">
        <w:rPr>
          <w:i/>
          <w:sz w:val="22"/>
          <w:szCs w:val="22"/>
        </w:rPr>
        <w:t xml:space="preserve"> </w:t>
      </w:r>
      <w:r w:rsidRPr="006D2D5B">
        <w:rPr>
          <w:sz w:val="22"/>
          <w:szCs w:val="22"/>
        </w:rPr>
        <w:t xml:space="preserve">to make changes to the </w:t>
      </w:r>
      <w:r w:rsidRPr="006D2D5B">
        <w:rPr>
          <w:color w:val="000000"/>
          <w:sz w:val="22"/>
          <w:szCs w:val="22"/>
          <w:shd w:val="clear" w:color="auto" w:fill="FFFFFF"/>
        </w:rPr>
        <w:t>pharmaceutical benefits eligible to be provided as a Continued Dispensing supply</w:t>
      </w:r>
      <w:r w:rsidRPr="006D2D5B">
        <w:rPr>
          <w:sz w:val="22"/>
          <w:szCs w:val="22"/>
        </w:rPr>
        <w:t>.</w:t>
      </w:r>
    </w:p>
    <w:p w14:paraId="70EBBA07" w14:textId="6493D7F9" w:rsidR="00896193" w:rsidRPr="006D2D5B" w:rsidRDefault="00896193" w:rsidP="0077721F">
      <w:pPr>
        <w:shd w:val="clear" w:color="auto" w:fill="FFFFFF"/>
        <w:spacing w:before="120"/>
        <w:jc w:val="both"/>
        <w:rPr>
          <w:sz w:val="22"/>
          <w:szCs w:val="22"/>
        </w:rPr>
      </w:pPr>
      <w:r w:rsidRPr="006D2D5B">
        <w:rPr>
          <w:color w:val="000000"/>
          <w:sz w:val="22"/>
          <w:szCs w:val="22"/>
        </w:rPr>
        <w:t xml:space="preserve">The </w:t>
      </w:r>
      <w:r w:rsidRPr="006D2D5B">
        <w:rPr>
          <w:i/>
          <w:sz w:val="22"/>
          <w:szCs w:val="22"/>
        </w:rPr>
        <w:t>National Health (</w:t>
      </w:r>
      <w:r w:rsidR="00FF0036" w:rsidRPr="006D2D5B">
        <w:rPr>
          <w:i/>
          <w:sz w:val="22"/>
          <w:szCs w:val="22"/>
        </w:rPr>
        <w:t>Continued Dispensing</w:t>
      </w:r>
      <w:r w:rsidRPr="006D2D5B">
        <w:rPr>
          <w:i/>
          <w:sz w:val="22"/>
          <w:szCs w:val="22"/>
        </w:rPr>
        <w:t>) Determination 202</w:t>
      </w:r>
      <w:r w:rsidR="00FF0036" w:rsidRPr="006D2D5B">
        <w:rPr>
          <w:i/>
          <w:sz w:val="22"/>
          <w:szCs w:val="22"/>
        </w:rPr>
        <w:t>2</w:t>
      </w:r>
      <w:r w:rsidRPr="006D2D5B">
        <w:rPr>
          <w:color w:val="000000"/>
          <w:sz w:val="22"/>
          <w:szCs w:val="22"/>
        </w:rPr>
        <w:t xml:space="preserve"> (the Principal Instrument) </w:t>
      </w:r>
      <w:r w:rsidRPr="006D2D5B">
        <w:rPr>
          <w:sz w:val="22"/>
          <w:szCs w:val="22"/>
        </w:rPr>
        <w:t>list</w:t>
      </w:r>
      <w:r w:rsidR="00712130" w:rsidRPr="006D2D5B">
        <w:rPr>
          <w:sz w:val="22"/>
          <w:szCs w:val="22"/>
        </w:rPr>
        <w:t>s the</w:t>
      </w:r>
      <w:r w:rsidRPr="006D2D5B">
        <w:rPr>
          <w:sz w:val="22"/>
          <w:szCs w:val="22"/>
        </w:rPr>
        <w:t xml:space="preserve"> pharmaceutical benefits that can be supplied by an approved pharmacist under Part VII of the Act</w:t>
      </w:r>
      <w:r w:rsidRPr="006D2D5B">
        <w:rPr>
          <w:i/>
          <w:sz w:val="22"/>
          <w:szCs w:val="22"/>
        </w:rPr>
        <w:t xml:space="preserve"> </w:t>
      </w:r>
      <w:r w:rsidRPr="006D2D5B">
        <w:rPr>
          <w:sz w:val="22"/>
          <w:szCs w:val="22"/>
        </w:rPr>
        <w:t xml:space="preserve">without a </w:t>
      </w:r>
      <w:proofErr w:type="gramStart"/>
      <w:r w:rsidRPr="006D2D5B">
        <w:rPr>
          <w:sz w:val="22"/>
          <w:szCs w:val="22"/>
        </w:rPr>
        <w:t>prescription</w:t>
      </w:r>
      <w:r w:rsidR="00623B33" w:rsidRPr="006D2D5B">
        <w:rPr>
          <w:sz w:val="22"/>
          <w:szCs w:val="22"/>
        </w:rPr>
        <w:t>,</w:t>
      </w:r>
      <w:r w:rsidRPr="006D2D5B">
        <w:rPr>
          <w:sz w:val="22"/>
          <w:szCs w:val="22"/>
        </w:rPr>
        <w:t xml:space="preserve"> and</w:t>
      </w:r>
      <w:proofErr w:type="gramEnd"/>
      <w:r w:rsidRPr="006D2D5B">
        <w:rPr>
          <w:sz w:val="22"/>
          <w:szCs w:val="22"/>
        </w:rPr>
        <w:t xml:space="preserve"> provides the conditions for such a supply (a ‘Continued Dispensing’ supply).</w:t>
      </w:r>
    </w:p>
    <w:p w14:paraId="6B624BCA" w14:textId="524424FE" w:rsidR="008A691B" w:rsidRPr="006D2D5B" w:rsidRDefault="008A691B" w:rsidP="008A691B">
      <w:pPr>
        <w:spacing w:before="120"/>
        <w:jc w:val="both"/>
        <w:rPr>
          <w:sz w:val="22"/>
          <w:szCs w:val="22"/>
        </w:rPr>
      </w:pPr>
      <w:r w:rsidRPr="006D2D5B">
        <w:rPr>
          <w:sz w:val="22"/>
          <w:szCs w:val="22"/>
        </w:rPr>
        <w:t>The amendments made by this instrument clarify the conditions under which a patient can be dispensed, under Continued Dispensing arrangements, a quantity of pharmaceutical benefits equivalent to 60 days' supply.</w:t>
      </w:r>
    </w:p>
    <w:p w14:paraId="7ADD8971" w14:textId="57E0EFF4" w:rsidR="003754B8" w:rsidRPr="006D2D5B" w:rsidRDefault="00856FFF" w:rsidP="001C1361">
      <w:pPr>
        <w:spacing w:before="120"/>
        <w:rPr>
          <w:color w:val="000000"/>
          <w:sz w:val="22"/>
          <w:szCs w:val="22"/>
        </w:rPr>
      </w:pPr>
      <w:r w:rsidRPr="006D2D5B">
        <w:rPr>
          <w:b/>
          <w:sz w:val="22"/>
          <w:szCs w:val="22"/>
        </w:rPr>
        <w:t>Authority</w:t>
      </w:r>
    </w:p>
    <w:p w14:paraId="1FEEA100" w14:textId="77777777" w:rsidR="00E84D1E" w:rsidRPr="006D2D5B" w:rsidRDefault="00E84D1E" w:rsidP="0077721F">
      <w:pPr>
        <w:spacing w:before="120"/>
        <w:jc w:val="both"/>
        <w:rPr>
          <w:sz w:val="22"/>
          <w:szCs w:val="22"/>
        </w:rPr>
      </w:pPr>
      <w:r w:rsidRPr="006D2D5B">
        <w:rPr>
          <w:sz w:val="22"/>
          <w:szCs w:val="22"/>
        </w:rPr>
        <w:t xml:space="preserve">Subsection 89A(3) of the </w:t>
      </w:r>
      <w:r w:rsidRPr="006D2D5B">
        <w:rPr>
          <w:i/>
          <w:iCs/>
          <w:sz w:val="22"/>
          <w:szCs w:val="22"/>
        </w:rPr>
        <w:t>National Health Act 1953</w:t>
      </w:r>
      <w:r w:rsidRPr="006D2D5B">
        <w:rPr>
          <w:sz w:val="22"/>
          <w:szCs w:val="22"/>
        </w:rPr>
        <w:t xml:space="preserve"> (the Act) provides that the Minister may determine the pharmaceutical benefits that can be supplied by an approved pharmacist under Part VII of the Act without a prescription, and the conditions for such a supply (‘Continued Dispensing’). </w:t>
      </w:r>
    </w:p>
    <w:p w14:paraId="20A334AD" w14:textId="2E7D21DB" w:rsidR="00CB578A" w:rsidRPr="006D2D5B" w:rsidRDefault="00004A3C" w:rsidP="0077721F">
      <w:pPr>
        <w:spacing w:before="120"/>
        <w:jc w:val="both"/>
        <w:rPr>
          <w:color w:val="000000"/>
          <w:sz w:val="22"/>
          <w:szCs w:val="22"/>
        </w:rPr>
      </w:pPr>
      <w:r w:rsidRPr="006D2D5B">
        <w:rPr>
          <w:color w:val="000000"/>
          <w:sz w:val="22"/>
          <w:szCs w:val="22"/>
        </w:rPr>
        <w:t xml:space="preserve">This instrument does not override </w:t>
      </w:r>
      <w:r w:rsidR="0090114E" w:rsidRPr="006D2D5B">
        <w:rPr>
          <w:color w:val="000000"/>
          <w:sz w:val="22"/>
          <w:szCs w:val="22"/>
        </w:rPr>
        <w:t>s</w:t>
      </w:r>
      <w:r w:rsidRPr="006D2D5B">
        <w:rPr>
          <w:color w:val="000000"/>
          <w:sz w:val="22"/>
          <w:szCs w:val="22"/>
        </w:rPr>
        <w:t xml:space="preserve">tate and </w:t>
      </w:r>
      <w:r w:rsidR="0090114E" w:rsidRPr="006D2D5B">
        <w:rPr>
          <w:color w:val="000000"/>
          <w:sz w:val="22"/>
          <w:szCs w:val="22"/>
        </w:rPr>
        <w:t>t</w:t>
      </w:r>
      <w:r w:rsidRPr="006D2D5B">
        <w:rPr>
          <w:color w:val="000000"/>
          <w:sz w:val="22"/>
          <w:szCs w:val="22"/>
        </w:rPr>
        <w:t xml:space="preserve">erritory legislation and does not apply in the external </w:t>
      </w:r>
      <w:r w:rsidR="0090114E" w:rsidRPr="006D2D5B">
        <w:rPr>
          <w:color w:val="000000"/>
          <w:sz w:val="22"/>
          <w:szCs w:val="22"/>
        </w:rPr>
        <w:t>t</w:t>
      </w:r>
      <w:r w:rsidRPr="006D2D5B">
        <w:rPr>
          <w:color w:val="000000"/>
          <w:sz w:val="22"/>
          <w:szCs w:val="22"/>
        </w:rPr>
        <w:t>erritories.</w:t>
      </w:r>
      <w:r w:rsidR="00F1637F" w:rsidRPr="006D2D5B">
        <w:rPr>
          <w:color w:val="000000"/>
          <w:sz w:val="22"/>
          <w:szCs w:val="22"/>
          <w:lang w:val="en-US"/>
        </w:rPr>
        <w:t xml:space="preserve"> States and territories have been informed of the intended Commonwealth changes and asked to consider amendments that may be required to their law to allow access to the eligible medicines.</w:t>
      </w:r>
    </w:p>
    <w:p w14:paraId="302882C0" w14:textId="77777777" w:rsidR="00CB10F5" w:rsidRPr="006D2D5B" w:rsidRDefault="003E4020" w:rsidP="001C1361">
      <w:pPr>
        <w:spacing w:before="120"/>
        <w:rPr>
          <w:b/>
          <w:sz w:val="22"/>
          <w:szCs w:val="22"/>
        </w:rPr>
      </w:pPr>
      <w:bookmarkStart w:id="0" w:name="_Hlk79737915"/>
      <w:r w:rsidRPr="006D2D5B">
        <w:rPr>
          <w:b/>
          <w:sz w:val="22"/>
          <w:szCs w:val="22"/>
        </w:rPr>
        <w:t>Amendment</w:t>
      </w:r>
      <w:r w:rsidR="00CB10F5" w:rsidRPr="006D2D5B">
        <w:rPr>
          <w:b/>
          <w:sz w:val="22"/>
          <w:szCs w:val="22"/>
        </w:rPr>
        <w:t xml:space="preserve">s made </w:t>
      </w:r>
      <w:r w:rsidRPr="006D2D5B">
        <w:rPr>
          <w:b/>
          <w:sz w:val="22"/>
          <w:szCs w:val="22"/>
        </w:rPr>
        <w:t>by</w:t>
      </w:r>
      <w:r w:rsidR="00CB10F5" w:rsidRPr="006D2D5B">
        <w:rPr>
          <w:b/>
          <w:sz w:val="22"/>
          <w:szCs w:val="22"/>
        </w:rPr>
        <w:t xml:space="preserve"> this Instrument</w:t>
      </w:r>
    </w:p>
    <w:bookmarkEnd w:id="0"/>
    <w:p w14:paraId="66ECD245" w14:textId="32532CB9" w:rsidR="008A691B" w:rsidRPr="006D2D5B" w:rsidRDefault="008A691B" w:rsidP="004202EA">
      <w:pPr>
        <w:pStyle w:val="NormalWeb"/>
        <w:spacing w:before="120" w:beforeAutospacing="0" w:after="0" w:afterAutospacing="0"/>
        <w:jc w:val="both"/>
        <w:rPr>
          <w:sz w:val="22"/>
          <w:szCs w:val="22"/>
        </w:rPr>
      </w:pPr>
      <w:r w:rsidRPr="006D2D5B">
        <w:rPr>
          <w:sz w:val="22"/>
          <w:szCs w:val="22"/>
        </w:rPr>
        <w:t xml:space="preserve">Continued Dispensing arrangements enable approved pharmacists to supply pharmaceutical benefits without the presentation of a prescription. The Principal Instrument specifies the pharmaceutical benefits that can be supplied under Continued </w:t>
      </w:r>
      <w:r w:rsidR="005C32DE" w:rsidRPr="006D2D5B">
        <w:rPr>
          <w:sz w:val="22"/>
          <w:szCs w:val="22"/>
        </w:rPr>
        <w:t>Dispensing a</w:t>
      </w:r>
      <w:r w:rsidRPr="006D2D5B">
        <w:rPr>
          <w:sz w:val="22"/>
          <w:szCs w:val="22"/>
        </w:rPr>
        <w:t>rrangements and the conditions that must be met before an approved pharmacist can ma</w:t>
      </w:r>
      <w:r w:rsidR="00D0583E" w:rsidRPr="006D2D5B">
        <w:rPr>
          <w:sz w:val="22"/>
          <w:szCs w:val="22"/>
        </w:rPr>
        <w:t>ke</w:t>
      </w:r>
      <w:r w:rsidRPr="006D2D5B">
        <w:rPr>
          <w:sz w:val="22"/>
          <w:szCs w:val="22"/>
        </w:rPr>
        <w:t xml:space="preserve"> a Continued Dispensing supply, which include that there is an immediate need for the supply and the PBS prescriber cannot be contacted or cannot provide a prescription for the patient electronically. Where an approved pharmacist makes a Continued Dispensing supply, they are required to dispense a maximum quantity of the pharmaceutical benefit.</w:t>
      </w:r>
    </w:p>
    <w:p w14:paraId="0594BCD8" w14:textId="77777777" w:rsidR="00972D29" w:rsidRPr="006D2D5B" w:rsidRDefault="00972D29" w:rsidP="00972D29">
      <w:pPr>
        <w:pStyle w:val="NormalWeb"/>
        <w:spacing w:before="120" w:beforeAutospacing="0" w:after="0" w:afterAutospacing="0"/>
        <w:jc w:val="both"/>
        <w:rPr>
          <w:iCs/>
          <w:color w:val="000000" w:themeColor="text1"/>
          <w:sz w:val="22"/>
          <w:szCs w:val="22"/>
        </w:rPr>
      </w:pPr>
      <w:r w:rsidRPr="006D2D5B">
        <w:rPr>
          <w:sz w:val="22"/>
          <w:szCs w:val="22"/>
        </w:rPr>
        <w:t xml:space="preserve">Schedule 1 to this instrument clarifies the conditions under which a patient may be dispensed, under Continued Dispensing arrangements, a maximum quantity of a pharmaceutical benefit equivalent to 60 days’ supply. These amendments are required </w:t>
      </w:r>
      <w:proofErr w:type="gramStart"/>
      <w:r w:rsidRPr="006D2D5B">
        <w:rPr>
          <w:sz w:val="22"/>
          <w:szCs w:val="22"/>
        </w:rPr>
        <w:t>as a result of</w:t>
      </w:r>
      <w:proofErr w:type="gramEnd"/>
      <w:r w:rsidRPr="006D2D5B">
        <w:rPr>
          <w:sz w:val="22"/>
          <w:szCs w:val="22"/>
        </w:rPr>
        <w:t xml:space="preserve"> a provision, from 1 September 2023, that PBS prescriptions may be written for 60 days’ supply of certain pharmaceutical benefits in certain circumstances. The amendments also involve the addition of new definitions of ‘</w:t>
      </w:r>
      <w:r w:rsidRPr="006D2D5B">
        <w:rPr>
          <w:rFonts w:cstheme="minorBidi"/>
          <w:iCs/>
          <w:color w:val="000000" w:themeColor="text1"/>
          <w:sz w:val="22"/>
          <w:szCs w:val="22"/>
        </w:rPr>
        <w:t>increased maximum quantity’, ‘purposes code’ and ‘</w:t>
      </w:r>
      <w:r w:rsidRPr="006D2D5B">
        <w:rPr>
          <w:iCs/>
          <w:color w:val="000000" w:themeColor="text1"/>
          <w:sz w:val="22"/>
          <w:szCs w:val="22"/>
        </w:rPr>
        <w:t>relevant purpose’.</w:t>
      </w:r>
    </w:p>
    <w:p w14:paraId="1D2CD88B" w14:textId="6D2E025E" w:rsidR="00896193" w:rsidRPr="006D2D5B" w:rsidRDefault="00896193" w:rsidP="004202EA">
      <w:pPr>
        <w:pStyle w:val="NormalWeb"/>
        <w:spacing w:before="120" w:beforeAutospacing="0" w:after="0" w:afterAutospacing="0"/>
        <w:jc w:val="both"/>
        <w:rPr>
          <w:sz w:val="22"/>
          <w:szCs w:val="22"/>
        </w:rPr>
      </w:pPr>
      <w:r w:rsidRPr="006D2D5B">
        <w:rPr>
          <w:sz w:val="22"/>
          <w:szCs w:val="22"/>
        </w:rPr>
        <w:t>Th</w:t>
      </w:r>
      <w:r w:rsidR="004202EA" w:rsidRPr="006D2D5B">
        <w:rPr>
          <w:sz w:val="22"/>
          <w:szCs w:val="22"/>
        </w:rPr>
        <w:t xml:space="preserve">ese </w:t>
      </w:r>
      <w:r w:rsidRPr="006D2D5B">
        <w:rPr>
          <w:sz w:val="22"/>
          <w:szCs w:val="22"/>
        </w:rPr>
        <w:t>change</w:t>
      </w:r>
      <w:r w:rsidR="004202EA" w:rsidRPr="006D2D5B">
        <w:rPr>
          <w:sz w:val="22"/>
          <w:szCs w:val="22"/>
        </w:rPr>
        <w:t xml:space="preserve">s are </w:t>
      </w:r>
      <w:r w:rsidRPr="006D2D5B">
        <w:rPr>
          <w:sz w:val="22"/>
          <w:szCs w:val="22"/>
        </w:rPr>
        <w:t>summarised, by subject matter, in the Attachment.</w:t>
      </w:r>
    </w:p>
    <w:p w14:paraId="5C7C0956" w14:textId="77777777" w:rsidR="00DD023C" w:rsidRPr="006D2D5B" w:rsidRDefault="00691F6A" w:rsidP="001C1361">
      <w:pPr>
        <w:spacing w:before="120"/>
        <w:rPr>
          <w:b/>
          <w:sz w:val="22"/>
          <w:szCs w:val="22"/>
        </w:rPr>
      </w:pPr>
      <w:r w:rsidRPr="006D2D5B">
        <w:rPr>
          <w:b/>
          <w:sz w:val="22"/>
          <w:szCs w:val="22"/>
        </w:rPr>
        <w:t>C</w:t>
      </w:r>
      <w:r w:rsidR="00DD023C" w:rsidRPr="006D2D5B">
        <w:rPr>
          <w:b/>
          <w:sz w:val="22"/>
          <w:szCs w:val="22"/>
        </w:rPr>
        <w:t>onsultation</w:t>
      </w:r>
    </w:p>
    <w:p w14:paraId="473E4A33" w14:textId="1CC63B50" w:rsidR="00972D29" w:rsidRPr="006D2D5B" w:rsidRDefault="00972D29" w:rsidP="00972D29">
      <w:pPr>
        <w:spacing w:before="120"/>
        <w:jc w:val="both"/>
        <w:rPr>
          <w:sz w:val="22"/>
          <w:szCs w:val="22"/>
          <w:lang w:val="en-US"/>
        </w:rPr>
      </w:pPr>
      <w:bookmarkStart w:id="1" w:name="_Hlk79737994"/>
      <w:r w:rsidRPr="006D2D5B">
        <w:rPr>
          <w:sz w:val="22"/>
          <w:szCs w:val="22"/>
          <w:lang w:val="en-US"/>
        </w:rPr>
        <w:t xml:space="preserve">This instrument affects approved pharmacists, at or from premises in respect of which the pharmacist is for the time being approved, supplying a pharmaceutical benefit. Prior to commencement of the Principal Instrument, consultation was undertaken with relevant peak bodies including the </w:t>
      </w:r>
      <w:r w:rsidRPr="006D2D5B">
        <w:rPr>
          <w:color w:val="000000"/>
          <w:sz w:val="22"/>
          <w:szCs w:val="22"/>
        </w:rPr>
        <w:t>Pharmaceutical Society of Australia, Australian Medical Association, Royal Australian College of General Practitioners, Consumers Health Forum, the Australian Federation of AIDS Organisations, and the Pharmacy Guild of Australia.</w:t>
      </w:r>
      <w:r w:rsidRPr="006D2D5B">
        <w:rPr>
          <w:sz w:val="22"/>
          <w:szCs w:val="22"/>
          <w:lang w:val="en-US"/>
        </w:rPr>
        <w:t xml:space="preserve"> The Department has also undertaken direct consultation with </w:t>
      </w:r>
      <w:proofErr w:type="gramStart"/>
      <w:r w:rsidRPr="006D2D5B">
        <w:rPr>
          <w:sz w:val="22"/>
          <w:szCs w:val="22"/>
          <w:lang w:val="en-US"/>
        </w:rPr>
        <w:t>Services Australia, and</w:t>
      </w:r>
      <w:proofErr w:type="gramEnd"/>
      <w:r w:rsidRPr="006D2D5B">
        <w:rPr>
          <w:sz w:val="22"/>
          <w:szCs w:val="22"/>
          <w:lang w:val="en-US"/>
        </w:rPr>
        <w:t xml:space="preserve"> has consulted with state and territory Departments of Health about implementation.</w:t>
      </w:r>
    </w:p>
    <w:p w14:paraId="4711ECCF" w14:textId="77777777" w:rsidR="00CB578A" w:rsidRPr="006D2D5B" w:rsidRDefault="00CB578A" w:rsidP="001C1361">
      <w:pPr>
        <w:spacing w:before="120"/>
        <w:rPr>
          <w:b/>
          <w:sz w:val="22"/>
          <w:szCs w:val="22"/>
        </w:rPr>
      </w:pPr>
      <w:r w:rsidRPr="006D2D5B">
        <w:rPr>
          <w:b/>
          <w:sz w:val="22"/>
          <w:szCs w:val="22"/>
        </w:rPr>
        <w:lastRenderedPageBreak/>
        <w:t>General</w:t>
      </w:r>
    </w:p>
    <w:p w14:paraId="15B6A11C" w14:textId="77777777" w:rsidR="00EA7CAB" w:rsidRPr="006D2D5B" w:rsidRDefault="00EA7CAB" w:rsidP="00CB578A">
      <w:pPr>
        <w:spacing w:before="120"/>
        <w:rPr>
          <w:sz w:val="22"/>
          <w:szCs w:val="22"/>
        </w:rPr>
      </w:pPr>
      <w:bookmarkStart w:id="2" w:name="_Hlk79737982"/>
      <w:bookmarkEnd w:id="1"/>
      <w:r w:rsidRPr="006D2D5B">
        <w:rPr>
          <w:sz w:val="22"/>
          <w:szCs w:val="22"/>
        </w:rPr>
        <w:t>A provision-b</w:t>
      </w:r>
      <w:r w:rsidR="00853092" w:rsidRPr="006D2D5B">
        <w:rPr>
          <w:sz w:val="22"/>
          <w:szCs w:val="22"/>
        </w:rPr>
        <w:t>y-provision description of this i</w:t>
      </w:r>
      <w:r w:rsidRPr="006D2D5B">
        <w:rPr>
          <w:sz w:val="22"/>
          <w:szCs w:val="22"/>
        </w:rPr>
        <w:t>nstrument is contained in the Attachment.</w:t>
      </w:r>
    </w:p>
    <w:p w14:paraId="1A4F75D5" w14:textId="52137900" w:rsidR="00CB578A" w:rsidRPr="006D2D5B" w:rsidRDefault="00CB578A" w:rsidP="00CB578A">
      <w:pPr>
        <w:spacing w:before="120"/>
        <w:rPr>
          <w:sz w:val="22"/>
          <w:szCs w:val="22"/>
        </w:rPr>
      </w:pPr>
      <w:r w:rsidRPr="006D2D5B">
        <w:rPr>
          <w:sz w:val="22"/>
          <w:szCs w:val="22"/>
        </w:rPr>
        <w:t xml:space="preserve">This </w:t>
      </w:r>
      <w:r w:rsidR="00853092" w:rsidRPr="006D2D5B">
        <w:rPr>
          <w:sz w:val="22"/>
          <w:szCs w:val="22"/>
        </w:rPr>
        <w:t>i</w:t>
      </w:r>
      <w:r w:rsidRPr="006D2D5B">
        <w:rPr>
          <w:sz w:val="22"/>
          <w:szCs w:val="22"/>
        </w:rPr>
        <w:t xml:space="preserve">nstrument commences on </w:t>
      </w:r>
      <w:r w:rsidR="00FF0036" w:rsidRPr="006D2D5B">
        <w:rPr>
          <w:sz w:val="22"/>
          <w:szCs w:val="22"/>
        </w:rPr>
        <w:t xml:space="preserve">1 </w:t>
      </w:r>
      <w:r w:rsidR="00F13DD1" w:rsidRPr="006D2D5B">
        <w:rPr>
          <w:sz w:val="22"/>
          <w:szCs w:val="22"/>
        </w:rPr>
        <w:t xml:space="preserve">December </w:t>
      </w:r>
      <w:r w:rsidR="00FF0036" w:rsidRPr="006D2D5B">
        <w:rPr>
          <w:sz w:val="22"/>
          <w:szCs w:val="22"/>
        </w:rPr>
        <w:t>202</w:t>
      </w:r>
      <w:r w:rsidR="00FE5878" w:rsidRPr="006D2D5B">
        <w:rPr>
          <w:sz w:val="22"/>
          <w:szCs w:val="22"/>
        </w:rPr>
        <w:t>3</w:t>
      </w:r>
      <w:r w:rsidRPr="006D2D5B">
        <w:rPr>
          <w:sz w:val="22"/>
          <w:szCs w:val="22"/>
        </w:rPr>
        <w:t>.</w:t>
      </w:r>
    </w:p>
    <w:bookmarkEnd w:id="2"/>
    <w:p w14:paraId="75682ADE" w14:textId="77777777" w:rsidR="00DE7EF7" w:rsidRPr="006D2D5B" w:rsidRDefault="00853092" w:rsidP="00EA7CAB">
      <w:pPr>
        <w:spacing w:before="120"/>
        <w:rPr>
          <w:sz w:val="22"/>
          <w:szCs w:val="22"/>
          <w:lang w:val="en-US"/>
        </w:rPr>
      </w:pPr>
      <w:r w:rsidRPr="006D2D5B">
        <w:rPr>
          <w:sz w:val="22"/>
          <w:szCs w:val="22"/>
          <w:lang w:val="en-US"/>
        </w:rPr>
        <w:t>This i</w:t>
      </w:r>
      <w:r w:rsidR="00DE7EF7" w:rsidRPr="006D2D5B">
        <w:rPr>
          <w:sz w:val="22"/>
          <w:szCs w:val="22"/>
          <w:lang w:val="en-US"/>
        </w:rPr>
        <w:t xml:space="preserve">nstrument is a legislative instrument for the purposes of the </w:t>
      </w:r>
      <w:r w:rsidR="00DE7EF7" w:rsidRPr="006D2D5B">
        <w:rPr>
          <w:i/>
          <w:sz w:val="22"/>
          <w:szCs w:val="22"/>
          <w:lang w:val="en-US"/>
        </w:rPr>
        <w:t>Legislat</w:t>
      </w:r>
      <w:r w:rsidR="00EA7CAB" w:rsidRPr="006D2D5B">
        <w:rPr>
          <w:i/>
          <w:sz w:val="22"/>
          <w:szCs w:val="22"/>
          <w:lang w:val="en-US"/>
        </w:rPr>
        <w:t>ion</w:t>
      </w:r>
      <w:r w:rsidR="00DE7EF7" w:rsidRPr="006D2D5B">
        <w:rPr>
          <w:i/>
          <w:sz w:val="22"/>
          <w:szCs w:val="22"/>
          <w:lang w:val="en-US"/>
        </w:rPr>
        <w:t xml:space="preserve"> Act 2003</w:t>
      </w:r>
      <w:r w:rsidR="00DE7EF7" w:rsidRPr="006D2D5B">
        <w:rPr>
          <w:sz w:val="22"/>
          <w:szCs w:val="22"/>
          <w:lang w:val="en-US"/>
        </w:rPr>
        <w:t>.</w:t>
      </w:r>
    </w:p>
    <w:p w14:paraId="38417338" w14:textId="77777777" w:rsidR="00DD023C" w:rsidRPr="006D2D5B" w:rsidRDefault="00DD023C" w:rsidP="00FA70F4">
      <w:pPr>
        <w:spacing w:before="120" w:after="120"/>
        <w:jc w:val="right"/>
        <w:rPr>
          <w:b/>
        </w:rPr>
      </w:pPr>
      <w:r w:rsidRPr="006D2D5B">
        <w:rPr>
          <w:sz w:val="23"/>
          <w:szCs w:val="23"/>
          <w:lang w:val="en-US"/>
        </w:rPr>
        <w:br w:type="page"/>
      </w:r>
      <w:r w:rsidRPr="006D2D5B">
        <w:rPr>
          <w:b/>
        </w:rPr>
        <w:lastRenderedPageBreak/>
        <w:t>ATTACHMENT</w:t>
      </w:r>
    </w:p>
    <w:p w14:paraId="646EE08E" w14:textId="62878383" w:rsidR="00693682" w:rsidRPr="006D2D5B" w:rsidRDefault="006A61DB" w:rsidP="00FA70F4">
      <w:pPr>
        <w:spacing w:before="360"/>
        <w:jc w:val="both"/>
        <w:rPr>
          <w:b/>
          <w:sz w:val="22"/>
          <w:szCs w:val="22"/>
        </w:rPr>
      </w:pPr>
      <w:r w:rsidRPr="006D2D5B">
        <w:rPr>
          <w:b/>
          <w:sz w:val="22"/>
          <w:szCs w:val="22"/>
        </w:rPr>
        <w:t xml:space="preserve">PROVISION-BY-PROVISION DESCRIPTION OF </w:t>
      </w:r>
      <w:r w:rsidR="000A3BE6" w:rsidRPr="006D2D5B">
        <w:rPr>
          <w:b/>
          <w:i/>
          <w:caps/>
          <w:sz w:val="22"/>
          <w:szCs w:val="22"/>
        </w:rPr>
        <w:t>National Health (</w:t>
      </w:r>
      <w:r w:rsidR="00FF0036" w:rsidRPr="006D2D5B">
        <w:rPr>
          <w:b/>
          <w:i/>
          <w:caps/>
          <w:sz w:val="22"/>
          <w:szCs w:val="22"/>
        </w:rPr>
        <w:t>CONTINUED DISPENSING</w:t>
      </w:r>
      <w:r w:rsidR="000A3BE6" w:rsidRPr="006D2D5B">
        <w:rPr>
          <w:b/>
          <w:i/>
          <w:caps/>
          <w:sz w:val="22"/>
          <w:szCs w:val="22"/>
        </w:rPr>
        <w:t xml:space="preserve">) </w:t>
      </w:r>
      <w:r w:rsidR="00CB578A" w:rsidRPr="006D2D5B">
        <w:rPr>
          <w:b/>
          <w:i/>
          <w:sz w:val="22"/>
          <w:szCs w:val="22"/>
        </w:rPr>
        <w:t xml:space="preserve">AMENDMENT </w:t>
      </w:r>
      <w:r w:rsidR="000A3BE6" w:rsidRPr="006D2D5B">
        <w:rPr>
          <w:b/>
          <w:i/>
          <w:caps/>
          <w:sz w:val="22"/>
          <w:szCs w:val="22"/>
        </w:rPr>
        <w:t xml:space="preserve">Determination </w:t>
      </w:r>
      <w:r w:rsidR="00FE5878" w:rsidRPr="006D2D5B">
        <w:rPr>
          <w:b/>
          <w:i/>
          <w:caps/>
          <w:sz w:val="22"/>
          <w:szCs w:val="22"/>
        </w:rPr>
        <w:t>2023</w:t>
      </w:r>
      <w:r w:rsidR="002764B4" w:rsidRPr="006D2D5B">
        <w:rPr>
          <w:b/>
          <w:i/>
          <w:caps/>
          <w:sz w:val="22"/>
          <w:szCs w:val="22"/>
        </w:rPr>
        <w:t xml:space="preserve"> </w:t>
      </w:r>
      <w:r w:rsidR="00FF0036" w:rsidRPr="006D2D5B">
        <w:rPr>
          <w:b/>
          <w:i/>
          <w:sz w:val="22"/>
          <w:szCs w:val="22"/>
        </w:rPr>
        <w:t xml:space="preserve">(No. </w:t>
      </w:r>
      <w:r w:rsidR="00F13DD1" w:rsidRPr="006D2D5B">
        <w:rPr>
          <w:b/>
          <w:i/>
          <w:sz w:val="22"/>
          <w:szCs w:val="22"/>
        </w:rPr>
        <w:t>3</w:t>
      </w:r>
      <w:r w:rsidR="00FF0036" w:rsidRPr="006D2D5B">
        <w:rPr>
          <w:b/>
          <w:i/>
          <w:sz w:val="22"/>
          <w:szCs w:val="22"/>
        </w:rPr>
        <w:t>)</w:t>
      </w:r>
    </w:p>
    <w:p w14:paraId="5E050233" w14:textId="541818C3" w:rsidR="009A64EA" w:rsidRPr="006D2D5B" w:rsidRDefault="00E21A40" w:rsidP="00F90167">
      <w:pPr>
        <w:tabs>
          <w:tab w:val="left" w:pos="1418"/>
        </w:tabs>
        <w:spacing w:before="240"/>
        <w:rPr>
          <w:b/>
        </w:rPr>
      </w:pPr>
      <w:r w:rsidRPr="006D2D5B">
        <w:rPr>
          <w:b/>
        </w:rPr>
        <w:t xml:space="preserve">Section </w:t>
      </w:r>
      <w:r w:rsidR="003C2D54" w:rsidRPr="006D2D5B">
        <w:rPr>
          <w:b/>
        </w:rPr>
        <w:t>1</w:t>
      </w:r>
      <w:r w:rsidR="003C2D54" w:rsidRPr="006D2D5B">
        <w:rPr>
          <w:b/>
        </w:rPr>
        <w:tab/>
        <w:t>Name</w:t>
      </w:r>
    </w:p>
    <w:p w14:paraId="0035EDFA" w14:textId="5CE2643B" w:rsidR="003C2D54" w:rsidRPr="006D2D5B" w:rsidRDefault="00657053" w:rsidP="008A691B">
      <w:pPr>
        <w:spacing w:before="120"/>
        <w:jc w:val="both"/>
        <w:rPr>
          <w:sz w:val="22"/>
          <w:szCs w:val="22"/>
        </w:rPr>
      </w:pPr>
      <w:r w:rsidRPr="006D2D5B">
        <w:rPr>
          <w:sz w:val="22"/>
          <w:szCs w:val="22"/>
        </w:rPr>
        <w:t>This section</w:t>
      </w:r>
      <w:r w:rsidR="00DF198B" w:rsidRPr="006D2D5B">
        <w:rPr>
          <w:sz w:val="22"/>
          <w:szCs w:val="22"/>
        </w:rPr>
        <w:t xml:space="preserve"> </w:t>
      </w:r>
      <w:r w:rsidR="006A61DB" w:rsidRPr="006D2D5B">
        <w:rPr>
          <w:sz w:val="22"/>
          <w:szCs w:val="22"/>
        </w:rPr>
        <w:t>provides that the</w:t>
      </w:r>
      <w:r w:rsidR="0092794E" w:rsidRPr="006D2D5B">
        <w:rPr>
          <w:sz w:val="22"/>
          <w:szCs w:val="22"/>
        </w:rPr>
        <w:t xml:space="preserve"> </w:t>
      </w:r>
      <w:r w:rsidR="00DF198B" w:rsidRPr="006D2D5B">
        <w:rPr>
          <w:sz w:val="22"/>
          <w:szCs w:val="22"/>
        </w:rPr>
        <w:t>I</w:t>
      </w:r>
      <w:r w:rsidR="00DD023C" w:rsidRPr="006D2D5B">
        <w:rPr>
          <w:sz w:val="22"/>
          <w:szCs w:val="22"/>
        </w:rPr>
        <w:t xml:space="preserve">nstrument is the </w:t>
      </w:r>
      <w:r w:rsidR="000A3BE6" w:rsidRPr="006D2D5B">
        <w:rPr>
          <w:i/>
          <w:sz w:val="22"/>
          <w:szCs w:val="22"/>
        </w:rPr>
        <w:t>National Health (</w:t>
      </w:r>
      <w:r w:rsidR="00004A3C" w:rsidRPr="006D2D5B">
        <w:rPr>
          <w:i/>
          <w:sz w:val="22"/>
          <w:szCs w:val="22"/>
        </w:rPr>
        <w:t>Continued Dispensing</w:t>
      </w:r>
      <w:r w:rsidR="000A3BE6" w:rsidRPr="006D2D5B">
        <w:rPr>
          <w:i/>
          <w:sz w:val="22"/>
          <w:szCs w:val="22"/>
        </w:rPr>
        <w:t xml:space="preserve">) </w:t>
      </w:r>
      <w:r w:rsidR="002764B4" w:rsidRPr="006D2D5B">
        <w:rPr>
          <w:i/>
          <w:sz w:val="22"/>
          <w:szCs w:val="22"/>
        </w:rPr>
        <w:t xml:space="preserve">Amendment </w:t>
      </w:r>
      <w:r w:rsidR="000A3BE6" w:rsidRPr="006D2D5B">
        <w:rPr>
          <w:i/>
          <w:sz w:val="22"/>
          <w:szCs w:val="22"/>
        </w:rPr>
        <w:t>Determination 202</w:t>
      </w:r>
      <w:r w:rsidR="00FE5878" w:rsidRPr="006D2D5B">
        <w:rPr>
          <w:i/>
          <w:sz w:val="22"/>
          <w:szCs w:val="22"/>
        </w:rPr>
        <w:t>3</w:t>
      </w:r>
      <w:r w:rsidR="002764B4" w:rsidRPr="006D2D5B">
        <w:rPr>
          <w:i/>
          <w:sz w:val="22"/>
          <w:szCs w:val="22"/>
        </w:rPr>
        <w:t xml:space="preserve"> </w:t>
      </w:r>
      <w:r w:rsidR="00FF0036" w:rsidRPr="006D2D5B">
        <w:rPr>
          <w:i/>
          <w:sz w:val="22"/>
          <w:szCs w:val="22"/>
        </w:rPr>
        <w:t xml:space="preserve">(No. </w:t>
      </w:r>
      <w:r w:rsidR="00F13DD1" w:rsidRPr="006D2D5B">
        <w:rPr>
          <w:i/>
          <w:sz w:val="22"/>
          <w:szCs w:val="22"/>
        </w:rPr>
        <w:t>3</w:t>
      </w:r>
      <w:r w:rsidR="00FF0036" w:rsidRPr="006D2D5B">
        <w:rPr>
          <w:i/>
          <w:sz w:val="22"/>
          <w:szCs w:val="22"/>
        </w:rPr>
        <w:t>)</w:t>
      </w:r>
      <w:r w:rsidR="002764B4" w:rsidRPr="006D2D5B">
        <w:rPr>
          <w:i/>
          <w:sz w:val="22"/>
          <w:szCs w:val="22"/>
        </w:rPr>
        <w:t xml:space="preserve"> </w:t>
      </w:r>
      <w:r w:rsidR="00DF198B" w:rsidRPr="006D2D5B">
        <w:t>(</w:t>
      </w:r>
      <w:r w:rsidR="00DF198B" w:rsidRPr="006D2D5B">
        <w:rPr>
          <w:sz w:val="22"/>
          <w:szCs w:val="22"/>
        </w:rPr>
        <w:t>Determination</w:t>
      </w:r>
      <w:r w:rsidR="00DF198B" w:rsidRPr="006D2D5B">
        <w:t xml:space="preserve">) </w:t>
      </w:r>
      <w:r w:rsidR="003C45A4" w:rsidRPr="006D2D5B">
        <w:rPr>
          <w:sz w:val="22"/>
          <w:szCs w:val="22"/>
        </w:rPr>
        <w:t xml:space="preserve">and may also be cited as </w:t>
      </w:r>
      <w:r w:rsidR="00FE5878" w:rsidRPr="006D2D5B">
        <w:rPr>
          <w:sz w:val="22"/>
          <w:szCs w:val="22"/>
        </w:rPr>
        <w:t xml:space="preserve">PB </w:t>
      </w:r>
      <w:r w:rsidR="00F13DD1" w:rsidRPr="006D2D5B">
        <w:rPr>
          <w:sz w:val="22"/>
          <w:szCs w:val="22"/>
        </w:rPr>
        <w:t>115</w:t>
      </w:r>
      <w:r w:rsidR="00A56285" w:rsidRPr="006D2D5B">
        <w:rPr>
          <w:sz w:val="22"/>
          <w:szCs w:val="22"/>
        </w:rPr>
        <w:t xml:space="preserve"> </w:t>
      </w:r>
      <w:r w:rsidR="002764B4" w:rsidRPr="006D2D5B">
        <w:rPr>
          <w:sz w:val="22"/>
          <w:szCs w:val="22"/>
        </w:rPr>
        <w:t>of 202</w:t>
      </w:r>
      <w:r w:rsidR="00FE5878" w:rsidRPr="006D2D5B">
        <w:rPr>
          <w:sz w:val="22"/>
          <w:szCs w:val="22"/>
        </w:rPr>
        <w:t>3</w:t>
      </w:r>
      <w:r w:rsidR="000A3BE6" w:rsidRPr="006D2D5B">
        <w:rPr>
          <w:sz w:val="22"/>
          <w:szCs w:val="22"/>
        </w:rPr>
        <w:t>.</w:t>
      </w:r>
    </w:p>
    <w:p w14:paraId="2FF74998" w14:textId="6AD77A84" w:rsidR="003C2D54" w:rsidRPr="006D2D5B" w:rsidRDefault="00E21A40" w:rsidP="00F63AFE">
      <w:pPr>
        <w:tabs>
          <w:tab w:val="left" w:pos="1418"/>
        </w:tabs>
        <w:spacing w:before="120"/>
        <w:rPr>
          <w:b/>
        </w:rPr>
      </w:pPr>
      <w:r w:rsidRPr="006D2D5B">
        <w:rPr>
          <w:b/>
        </w:rPr>
        <w:t xml:space="preserve">Section </w:t>
      </w:r>
      <w:r w:rsidR="003C2D54" w:rsidRPr="006D2D5B">
        <w:rPr>
          <w:b/>
        </w:rPr>
        <w:t>2</w:t>
      </w:r>
      <w:r w:rsidR="003C2D54" w:rsidRPr="006D2D5B">
        <w:rPr>
          <w:b/>
        </w:rPr>
        <w:tab/>
        <w:t>Commencement</w:t>
      </w:r>
    </w:p>
    <w:p w14:paraId="6E2F6664" w14:textId="3784DF6C" w:rsidR="003C2D54" w:rsidRPr="006D2D5B" w:rsidRDefault="0001124D" w:rsidP="00FA70F4">
      <w:pPr>
        <w:shd w:val="clear" w:color="auto" w:fill="FFFFFF"/>
        <w:spacing w:before="120"/>
        <w:rPr>
          <w:color w:val="000000"/>
          <w:sz w:val="22"/>
          <w:szCs w:val="22"/>
        </w:rPr>
      </w:pPr>
      <w:r w:rsidRPr="006D2D5B">
        <w:rPr>
          <w:color w:val="000000"/>
          <w:sz w:val="22"/>
          <w:szCs w:val="22"/>
        </w:rPr>
        <w:t xml:space="preserve">This section </w:t>
      </w:r>
      <w:r w:rsidR="006A61DB" w:rsidRPr="006D2D5B">
        <w:rPr>
          <w:color w:val="000000"/>
          <w:sz w:val="22"/>
          <w:szCs w:val="22"/>
        </w:rPr>
        <w:t>provides that the</w:t>
      </w:r>
      <w:r w:rsidRPr="006D2D5B">
        <w:rPr>
          <w:color w:val="000000"/>
          <w:sz w:val="22"/>
          <w:szCs w:val="22"/>
        </w:rPr>
        <w:t xml:space="preserve"> </w:t>
      </w:r>
      <w:r w:rsidR="004202EA" w:rsidRPr="006D2D5B">
        <w:rPr>
          <w:color w:val="000000"/>
          <w:sz w:val="22"/>
          <w:szCs w:val="22"/>
        </w:rPr>
        <w:t>Determination</w:t>
      </w:r>
      <w:r w:rsidRPr="006D2D5B">
        <w:rPr>
          <w:color w:val="000000"/>
          <w:sz w:val="22"/>
          <w:szCs w:val="22"/>
        </w:rPr>
        <w:t xml:space="preserve"> commences on </w:t>
      </w:r>
      <w:r w:rsidR="00FF0036" w:rsidRPr="006D2D5B">
        <w:rPr>
          <w:color w:val="000000"/>
          <w:sz w:val="22"/>
          <w:szCs w:val="22"/>
        </w:rPr>
        <w:t xml:space="preserve">1 </w:t>
      </w:r>
      <w:r w:rsidR="00F13DD1" w:rsidRPr="006D2D5B">
        <w:rPr>
          <w:color w:val="000000"/>
          <w:sz w:val="22"/>
          <w:szCs w:val="22"/>
        </w:rPr>
        <w:t>December</w:t>
      </w:r>
      <w:r w:rsidR="00DB6BCC" w:rsidRPr="006D2D5B">
        <w:rPr>
          <w:color w:val="000000"/>
          <w:sz w:val="22"/>
          <w:szCs w:val="22"/>
        </w:rPr>
        <w:t xml:space="preserve"> </w:t>
      </w:r>
      <w:r w:rsidR="00FF0036" w:rsidRPr="006D2D5B">
        <w:rPr>
          <w:color w:val="000000"/>
          <w:sz w:val="22"/>
          <w:szCs w:val="22"/>
        </w:rPr>
        <w:t>202</w:t>
      </w:r>
      <w:r w:rsidR="00FE5878" w:rsidRPr="006D2D5B">
        <w:rPr>
          <w:color w:val="000000"/>
          <w:sz w:val="22"/>
          <w:szCs w:val="22"/>
        </w:rPr>
        <w:t>3</w:t>
      </w:r>
      <w:r w:rsidRPr="006D2D5B">
        <w:rPr>
          <w:color w:val="000000"/>
          <w:sz w:val="22"/>
          <w:szCs w:val="22"/>
        </w:rPr>
        <w:t>.</w:t>
      </w:r>
    </w:p>
    <w:p w14:paraId="50856F83" w14:textId="7716B482" w:rsidR="00FA70F4" w:rsidRPr="006D2D5B" w:rsidRDefault="00E21A40" w:rsidP="00F63AFE">
      <w:pPr>
        <w:tabs>
          <w:tab w:val="left" w:pos="1418"/>
        </w:tabs>
        <w:spacing w:before="120"/>
        <w:rPr>
          <w:b/>
        </w:rPr>
      </w:pPr>
      <w:r w:rsidRPr="006D2D5B">
        <w:rPr>
          <w:b/>
        </w:rPr>
        <w:t xml:space="preserve">Section </w:t>
      </w:r>
      <w:r w:rsidR="003C2D54" w:rsidRPr="006D2D5B">
        <w:rPr>
          <w:b/>
        </w:rPr>
        <w:t>3</w:t>
      </w:r>
      <w:r w:rsidR="003C2D54" w:rsidRPr="006D2D5B">
        <w:rPr>
          <w:b/>
        </w:rPr>
        <w:tab/>
      </w:r>
      <w:bookmarkStart w:id="3" w:name="_Hlk79566847"/>
      <w:r w:rsidR="003C2D54" w:rsidRPr="006D2D5B">
        <w:rPr>
          <w:b/>
        </w:rPr>
        <w:t>Authority</w:t>
      </w:r>
      <w:bookmarkEnd w:id="3"/>
    </w:p>
    <w:p w14:paraId="69D0EB12" w14:textId="695C3E17" w:rsidR="003C2D54" w:rsidRPr="006D2D5B" w:rsidRDefault="009A64EA" w:rsidP="00046E88">
      <w:pPr>
        <w:spacing w:before="120"/>
        <w:rPr>
          <w:b/>
          <w:sz w:val="22"/>
          <w:szCs w:val="22"/>
        </w:rPr>
      </w:pPr>
      <w:bookmarkStart w:id="4" w:name="_Hlk79738140"/>
      <w:bookmarkStart w:id="5" w:name="_Hlk79566839"/>
      <w:r w:rsidRPr="006D2D5B">
        <w:rPr>
          <w:color w:val="000000"/>
          <w:sz w:val="22"/>
          <w:szCs w:val="22"/>
        </w:rPr>
        <w:t xml:space="preserve">This section states that </w:t>
      </w:r>
      <w:bookmarkStart w:id="6" w:name="_Hlk79761026"/>
      <w:r w:rsidRPr="006D2D5B">
        <w:rPr>
          <w:color w:val="000000"/>
          <w:sz w:val="22"/>
          <w:szCs w:val="22"/>
        </w:rPr>
        <w:t xml:space="preserve">this </w:t>
      </w:r>
      <w:r w:rsidR="004202EA" w:rsidRPr="006D2D5B">
        <w:rPr>
          <w:color w:val="000000"/>
          <w:sz w:val="22"/>
          <w:szCs w:val="22"/>
        </w:rPr>
        <w:t xml:space="preserve">Determination </w:t>
      </w:r>
      <w:r w:rsidRPr="006D2D5B">
        <w:rPr>
          <w:color w:val="000000"/>
          <w:sz w:val="22"/>
          <w:szCs w:val="22"/>
        </w:rPr>
        <w:t>is made under</w:t>
      </w:r>
      <w:bookmarkEnd w:id="4"/>
      <w:r w:rsidRPr="006D2D5B">
        <w:rPr>
          <w:color w:val="000000"/>
          <w:sz w:val="22"/>
          <w:szCs w:val="22"/>
        </w:rPr>
        <w:t xml:space="preserve"> </w:t>
      </w:r>
      <w:bookmarkStart w:id="7" w:name="_Hlk79761155"/>
      <w:bookmarkEnd w:id="6"/>
      <w:r w:rsidR="00C15828" w:rsidRPr="006D2D5B">
        <w:rPr>
          <w:sz w:val="22"/>
          <w:szCs w:val="22"/>
        </w:rPr>
        <w:t>subsection 89</w:t>
      </w:r>
      <w:proofErr w:type="gramStart"/>
      <w:r w:rsidR="00C15828" w:rsidRPr="006D2D5B">
        <w:rPr>
          <w:sz w:val="22"/>
          <w:szCs w:val="22"/>
        </w:rPr>
        <w:t>A(</w:t>
      </w:r>
      <w:proofErr w:type="gramEnd"/>
      <w:r w:rsidR="00C15828" w:rsidRPr="006D2D5B">
        <w:rPr>
          <w:sz w:val="22"/>
          <w:szCs w:val="22"/>
        </w:rPr>
        <w:t xml:space="preserve">3) of the </w:t>
      </w:r>
      <w:r w:rsidR="000E25BC" w:rsidRPr="006D2D5B">
        <w:rPr>
          <w:sz w:val="22"/>
          <w:szCs w:val="22"/>
        </w:rPr>
        <w:t xml:space="preserve">of the </w:t>
      </w:r>
      <w:r w:rsidR="000E25BC" w:rsidRPr="006D2D5B">
        <w:rPr>
          <w:i/>
          <w:sz w:val="22"/>
          <w:szCs w:val="22"/>
        </w:rPr>
        <w:t>National Health Act 1953</w:t>
      </w:r>
      <w:bookmarkEnd w:id="7"/>
      <w:r w:rsidRPr="006D2D5B">
        <w:rPr>
          <w:color w:val="000000"/>
          <w:sz w:val="22"/>
          <w:szCs w:val="22"/>
        </w:rPr>
        <w:t>.</w:t>
      </w:r>
    </w:p>
    <w:p w14:paraId="2519270F" w14:textId="10903248" w:rsidR="00D07889" w:rsidRPr="006D2D5B" w:rsidRDefault="00E21A40" w:rsidP="00F63AFE">
      <w:pPr>
        <w:tabs>
          <w:tab w:val="left" w:pos="1418"/>
        </w:tabs>
        <w:spacing w:before="120"/>
        <w:ind w:left="720" w:hanging="720"/>
        <w:rPr>
          <w:b/>
          <w:bCs/>
        </w:rPr>
      </w:pPr>
      <w:bookmarkStart w:id="8" w:name="_Hlk79738444"/>
      <w:bookmarkEnd w:id="5"/>
      <w:r w:rsidRPr="006D2D5B">
        <w:rPr>
          <w:b/>
        </w:rPr>
        <w:t>Section</w:t>
      </w:r>
      <w:r w:rsidR="00693682" w:rsidRPr="006D2D5B">
        <w:rPr>
          <w:b/>
        </w:rPr>
        <w:t xml:space="preserve"> </w:t>
      </w:r>
      <w:r w:rsidRPr="006D2D5B">
        <w:rPr>
          <w:b/>
        </w:rPr>
        <w:t>4</w:t>
      </w:r>
      <w:r w:rsidR="00693682" w:rsidRPr="006D2D5B">
        <w:rPr>
          <w:b/>
        </w:rPr>
        <w:tab/>
      </w:r>
      <w:r w:rsidR="00D07889" w:rsidRPr="006D2D5B">
        <w:rPr>
          <w:b/>
          <w:bCs/>
        </w:rPr>
        <w:t>Schedules</w:t>
      </w:r>
    </w:p>
    <w:p w14:paraId="74F016AE" w14:textId="182AA674" w:rsidR="00D07889" w:rsidRPr="006D2D5B" w:rsidRDefault="00657053" w:rsidP="008A691B">
      <w:pPr>
        <w:spacing w:before="120"/>
        <w:jc w:val="both"/>
        <w:rPr>
          <w:sz w:val="22"/>
          <w:szCs w:val="22"/>
        </w:rPr>
      </w:pPr>
      <w:r w:rsidRPr="006D2D5B">
        <w:rPr>
          <w:sz w:val="22"/>
          <w:szCs w:val="22"/>
        </w:rPr>
        <w:t xml:space="preserve">This section </w:t>
      </w:r>
      <w:r w:rsidR="00D07889" w:rsidRPr="006D2D5B">
        <w:rPr>
          <w:sz w:val="22"/>
          <w:szCs w:val="22"/>
        </w:rPr>
        <w:t>provides that each instrument that is specified in a Schedule to the Instrument is amended or repealed as set out in the applicable items in the Schedule</w:t>
      </w:r>
      <w:r w:rsidR="004202EA" w:rsidRPr="006D2D5B">
        <w:rPr>
          <w:sz w:val="22"/>
          <w:szCs w:val="22"/>
        </w:rPr>
        <w:t xml:space="preserve">, </w:t>
      </w:r>
      <w:r w:rsidR="00D07889" w:rsidRPr="006D2D5B">
        <w:rPr>
          <w:sz w:val="22"/>
          <w:szCs w:val="22"/>
        </w:rPr>
        <w:t>and any other item in a Schedule to the Instrument has effect according to its terms.</w:t>
      </w:r>
    </w:p>
    <w:bookmarkEnd w:id="8"/>
    <w:p w14:paraId="6CC8F4B4" w14:textId="4F332C6F" w:rsidR="004202EA" w:rsidRPr="006D2D5B" w:rsidRDefault="004202EA" w:rsidP="00F63AFE">
      <w:pPr>
        <w:tabs>
          <w:tab w:val="left" w:pos="1418"/>
        </w:tabs>
        <w:spacing w:before="120"/>
        <w:jc w:val="both"/>
        <w:rPr>
          <w:b/>
          <w:sz w:val="22"/>
          <w:szCs w:val="22"/>
        </w:rPr>
      </w:pPr>
      <w:r w:rsidRPr="006D2D5B">
        <w:rPr>
          <w:bCs/>
          <w:sz w:val="22"/>
          <w:szCs w:val="22"/>
        </w:rPr>
        <w:t xml:space="preserve">Schedule 1 amends the </w:t>
      </w:r>
      <w:bookmarkStart w:id="9" w:name="_Toc478567692"/>
      <w:r w:rsidRPr="006D2D5B">
        <w:rPr>
          <w:i/>
          <w:iCs/>
          <w:sz w:val="22"/>
          <w:szCs w:val="22"/>
        </w:rPr>
        <w:t xml:space="preserve">National Health (Continued Dispensing) </w:t>
      </w:r>
      <w:bookmarkEnd w:id="9"/>
      <w:r w:rsidRPr="006D2D5B">
        <w:rPr>
          <w:i/>
          <w:iCs/>
          <w:sz w:val="22"/>
          <w:szCs w:val="22"/>
        </w:rPr>
        <w:t xml:space="preserve">Determination 2022 </w:t>
      </w:r>
      <w:r w:rsidRPr="006D2D5B">
        <w:rPr>
          <w:sz w:val="22"/>
          <w:szCs w:val="22"/>
        </w:rPr>
        <w:t>(Principal Determination)</w:t>
      </w:r>
      <w:r w:rsidR="008A691B" w:rsidRPr="006D2D5B">
        <w:rPr>
          <w:sz w:val="22"/>
          <w:szCs w:val="22"/>
        </w:rPr>
        <w:t>.</w:t>
      </w:r>
    </w:p>
    <w:p w14:paraId="565654B6" w14:textId="7183C036" w:rsidR="00D07889" w:rsidRPr="006D2D5B" w:rsidRDefault="00D07889" w:rsidP="00D07889">
      <w:pPr>
        <w:tabs>
          <w:tab w:val="left" w:pos="1418"/>
        </w:tabs>
        <w:spacing w:before="240"/>
        <w:rPr>
          <w:b/>
        </w:rPr>
      </w:pPr>
      <w:r w:rsidRPr="006D2D5B">
        <w:rPr>
          <w:b/>
        </w:rPr>
        <w:t>Schedule 1</w:t>
      </w:r>
      <w:r w:rsidR="00894412" w:rsidRPr="006D2D5B">
        <w:rPr>
          <w:b/>
        </w:rPr>
        <w:t xml:space="preserve"> </w:t>
      </w:r>
      <w:r w:rsidR="004202EA" w:rsidRPr="006D2D5B">
        <w:rPr>
          <w:b/>
        </w:rPr>
        <w:t xml:space="preserve">- </w:t>
      </w:r>
      <w:r w:rsidRPr="006D2D5B">
        <w:rPr>
          <w:b/>
        </w:rPr>
        <w:t>Amendments</w:t>
      </w:r>
    </w:p>
    <w:p w14:paraId="69413070" w14:textId="77777777" w:rsidR="004202EA" w:rsidRPr="006D2D5B" w:rsidRDefault="004202EA" w:rsidP="004202EA">
      <w:pPr>
        <w:rPr>
          <w:b/>
          <w:bCs/>
          <w:i/>
          <w:iCs/>
        </w:rPr>
      </w:pPr>
    </w:p>
    <w:p w14:paraId="47B04EF8" w14:textId="1DAF4D9D" w:rsidR="004202EA" w:rsidRPr="006D2D5B" w:rsidRDefault="004202EA" w:rsidP="004202EA">
      <w:pPr>
        <w:rPr>
          <w:b/>
          <w:bCs/>
          <w:i/>
          <w:iCs/>
        </w:rPr>
      </w:pPr>
      <w:r w:rsidRPr="006D2D5B">
        <w:rPr>
          <w:b/>
          <w:bCs/>
          <w:i/>
          <w:iCs/>
        </w:rPr>
        <w:t>National Health (Continued Dispensing) Determination 2022</w:t>
      </w:r>
    </w:p>
    <w:p w14:paraId="51D269D1" w14:textId="77777777" w:rsidR="004202EA" w:rsidRPr="006D2D5B" w:rsidRDefault="004202EA" w:rsidP="004202EA">
      <w:pPr>
        <w:rPr>
          <w:b/>
        </w:rPr>
      </w:pPr>
    </w:p>
    <w:p w14:paraId="10325C15" w14:textId="77777777" w:rsidR="004202EA" w:rsidRPr="006D2D5B" w:rsidRDefault="004202EA" w:rsidP="004202EA">
      <w:pPr>
        <w:rPr>
          <w:b/>
        </w:rPr>
      </w:pPr>
      <w:r w:rsidRPr="006D2D5B">
        <w:rPr>
          <w:b/>
        </w:rPr>
        <w:t xml:space="preserve">Item 1 – Subsection 1.05(1) </w:t>
      </w:r>
    </w:p>
    <w:p w14:paraId="54BB2041" w14:textId="77777777" w:rsidR="004202EA" w:rsidRPr="006D2D5B" w:rsidRDefault="004202EA" w:rsidP="00F970C8">
      <w:pPr>
        <w:pStyle w:val="ListParagraph"/>
        <w:spacing w:before="120"/>
        <w:ind w:left="0"/>
        <w:contextualSpacing w:val="0"/>
        <w:rPr>
          <w:sz w:val="22"/>
          <w:szCs w:val="22"/>
        </w:rPr>
      </w:pPr>
      <w:r w:rsidRPr="006D2D5B">
        <w:rPr>
          <w:sz w:val="22"/>
          <w:szCs w:val="22"/>
        </w:rPr>
        <w:t>Section 1.05 defines certain terms used in the Principal Determination.</w:t>
      </w:r>
    </w:p>
    <w:p w14:paraId="5B46236E" w14:textId="77777777" w:rsidR="004202EA" w:rsidRPr="006D2D5B" w:rsidRDefault="004202EA" w:rsidP="00F970C8">
      <w:pPr>
        <w:pStyle w:val="ListParagraph"/>
        <w:spacing w:before="120"/>
        <w:ind w:left="0"/>
        <w:contextualSpacing w:val="0"/>
        <w:rPr>
          <w:sz w:val="22"/>
          <w:szCs w:val="22"/>
        </w:rPr>
      </w:pPr>
      <w:r w:rsidRPr="006D2D5B">
        <w:rPr>
          <w:sz w:val="22"/>
          <w:szCs w:val="22"/>
        </w:rPr>
        <w:t>Item 1 amends subsection 1.05(1) of the Principal Determination to insert the following definitions:</w:t>
      </w:r>
    </w:p>
    <w:p w14:paraId="2CCA2155" w14:textId="77777777" w:rsidR="004202EA" w:rsidRPr="006D2D5B" w:rsidRDefault="004202EA" w:rsidP="004202EA">
      <w:pPr>
        <w:pStyle w:val="ListParagraph"/>
        <w:numPr>
          <w:ilvl w:val="0"/>
          <w:numId w:val="12"/>
        </w:numPr>
        <w:spacing w:before="120"/>
        <w:ind w:left="714" w:hanging="357"/>
        <w:contextualSpacing w:val="0"/>
        <w:rPr>
          <w:sz w:val="22"/>
          <w:szCs w:val="22"/>
        </w:rPr>
      </w:pPr>
      <w:r w:rsidRPr="006D2D5B">
        <w:rPr>
          <w:sz w:val="22"/>
          <w:szCs w:val="22"/>
        </w:rPr>
        <w:t xml:space="preserve">increased maximum </w:t>
      </w:r>
      <w:proofErr w:type="gramStart"/>
      <w:r w:rsidRPr="006D2D5B">
        <w:rPr>
          <w:sz w:val="22"/>
          <w:szCs w:val="22"/>
        </w:rPr>
        <w:t>quantity;</w:t>
      </w:r>
      <w:proofErr w:type="gramEnd"/>
    </w:p>
    <w:p w14:paraId="616D82B5" w14:textId="77777777" w:rsidR="004202EA" w:rsidRPr="006D2D5B" w:rsidRDefault="004202EA" w:rsidP="004202EA">
      <w:pPr>
        <w:pStyle w:val="ListParagraph"/>
        <w:numPr>
          <w:ilvl w:val="0"/>
          <w:numId w:val="12"/>
        </w:numPr>
        <w:spacing w:before="120"/>
        <w:ind w:left="714" w:hanging="357"/>
        <w:contextualSpacing w:val="0"/>
        <w:rPr>
          <w:sz w:val="22"/>
          <w:szCs w:val="22"/>
        </w:rPr>
      </w:pPr>
      <w:r w:rsidRPr="006D2D5B">
        <w:rPr>
          <w:sz w:val="22"/>
          <w:szCs w:val="22"/>
        </w:rPr>
        <w:t xml:space="preserve">purposes </w:t>
      </w:r>
      <w:proofErr w:type="gramStart"/>
      <w:r w:rsidRPr="006D2D5B">
        <w:rPr>
          <w:sz w:val="22"/>
          <w:szCs w:val="22"/>
        </w:rPr>
        <w:t>code;</w:t>
      </w:r>
      <w:proofErr w:type="gramEnd"/>
    </w:p>
    <w:p w14:paraId="413C48DF" w14:textId="77777777" w:rsidR="004202EA" w:rsidRPr="006D2D5B" w:rsidRDefault="004202EA" w:rsidP="004202EA">
      <w:pPr>
        <w:pStyle w:val="ListParagraph"/>
        <w:numPr>
          <w:ilvl w:val="0"/>
          <w:numId w:val="12"/>
        </w:numPr>
        <w:spacing w:before="120"/>
        <w:ind w:left="714" w:hanging="357"/>
        <w:contextualSpacing w:val="0"/>
        <w:rPr>
          <w:sz w:val="22"/>
          <w:szCs w:val="22"/>
        </w:rPr>
      </w:pPr>
      <w:r w:rsidRPr="006D2D5B">
        <w:rPr>
          <w:sz w:val="22"/>
          <w:szCs w:val="22"/>
        </w:rPr>
        <w:t>relevant purpose.</w:t>
      </w:r>
    </w:p>
    <w:p w14:paraId="40C47B2A" w14:textId="77777777" w:rsidR="004202EA" w:rsidRPr="006D2D5B" w:rsidRDefault="004202EA" w:rsidP="004202EA">
      <w:pPr>
        <w:rPr>
          <w:sz w:val="22"/>
          <w:szCs w:val="22"/>
        </w:rPr>
      </w:pPr>
    </w:p>
    <w:p w14:paraId="4CB5C02A" w14:textId="7EC4AB8E" w:rsidR="004202EA" w:rsidRPr="006D2D5B" w:rsidRDefault="004202EA" w:rsidP="00F970C8">
      <w:pPr>
        <w:pStyle w:val="NoSpacing"/>
        <w:jc w:val="both"/>
        <w:rPr>
          <w:b/>
          <w:sz w:val="22"/>
          <w:szCs w:val="22"/>
        </w:rPr>
      </w:pPr>
      <w:r w:rsidRPr="006D2D5B">
        <w:rPr>
          <w:iCs/>
          <w:sz w:val="22"/>
          <w:szCs w:val="22"/>
        </w:rPr>
        <w:t>An increased maximum quantity,</w:t>
      </w:r>
      <w:r w:rsidRPr="006D2D5B">
        <w:rPr>
          <w:sz w:val="22"/>
          <w:szCs w:val="22"/>
        </w:rPr>
        <w:t xml:space="preserve"> for a pharmaceutical item, means a quantity or number of units that has been determined under paragraph 85A(2)(a) of the Act as the maximum quantity or number of units of the pharmaceutical item in the pharmaceutical benefit that may, for a relevant purpose, be directed in a prescription to be supplied on any one occasion. Increased maximum quantities are quantities equivalent to 60</w:t>
      </w:r>
      <w:r w:rsidR="00C02359" w:rsidRPr="006D2D5B">
        <w:rPr>
          <w:sz w:val="22"/>
          <w:szCs w:val="22"/>
        </w:rPr>
        <w:t>-</w:t>
      </w:r>
      <w:proofErr w:type="spellStart"/>
      <w:r w:rsidRPr="006D2D5B">
        <w:rPr>
          <w:sz w:val="22"/>
          <w:szCs w:val="22"/>
        </w:rPr>
        <w:t>days</w:t>
      </w:r>
      <w:proofErr w:type="spellEnd"/>
      <w:r w:rsidRPr="006D2D5B">
        <w:rPr>
          <w:sz w:val="22"/>
          <w:szCs w:val="22"/>
        </w:rPr>
        <w:t xml:space="preserve"> supply.</w:t>
      </w:r>
    </w:p>
    <w:p w14:paraId="74AB8295" w14:textId="7993DC2C" w:rsidR="004202EA" w:rsidRPr="006D2D5B" w:rsidRDefault="004202EA" w:rsidP="00F63AFE">
      <w:pPr>
        <w:pStyle w:val="ListParagraph"/>
        <w:spacing w:before="120"/>
        <w:ind w:left="0"/>
        <w:contextualSpacing w:val="0"/>
        <w:jc w:val="both"/>
        <w:rPr>
          <w:sz w:val="22"/>
          <w:szCs w:val="22"/>
        </w:rPr>
      </w:pPr>
      <w:r w:rsidRPr="006D2D5B">
        <w:rPr>
          <w:sz w:val="22"/>
          <w:szCs w:val="22"/>
        </w:rPr>
        <w:t xml:space="preserve">A purposes code is defined to have the same meaning as in the </w:t>
      </w:r>
      <w:r w:rsidRPr="006D2D5B">
        <w:rPr>
          <w:i/>
          <w:iCs/>
          <w:sz w:val="22"/>
          <w:szCs w:val="22"/>
        </w:rPr>
        <w:t>National Health (Listing of Pharmaceutical Benefits) Instrument 2012</w:t>
      </w:r>
      <w:r w:rsidRPr="006D2D5B">
        <w:rPr>
          <w:sz w:val="22"/>
          <w:szCs w:val="22"/>
        </w:rPr>
        <w:t xml:space="preserve"> (</w:t>
      </w:r>
      <w:r w:rsidR="008B6008" w:rsidRPr="006D2D5B">
        <w:rPr>
          <w:sz w:val="22"/>
          <w:szCs w:val="22"/>
        </w:rPr>
        <w:t xml:space="preserve">the </w:t>
      </w:r>
      <w:r w:rsidRPr="006D2D5B">
        <w:rPr>
          <w:sz w:val="22"/>
          <w:szCs w:val="22"/>
        </w:rPr>
        <w:t xml:space="preserve">Listing Instrument). Purposes codes are used in the Listing Instrument to indicate the purposes for which a maximum quantity or number of units of a pharmaceutical item may be prescribed for PBS supply.  </w:t>
      </w:r>
    </w:p>
    <w:p w14:paraId="6D9F9DE6" w14:textId="38728A42" w:rsidR="004202EA" w:rsidRPr="006D2D5B" w:rsidRDefault="004202EA" w:rsidP="00F63AFE">
      <w:pPr>
        <w:pStyle w:val="ListParagraph"/>
        <w:spacing w:before="120"/>
        <w:ind w:left="0"/>
        <w:contextualSpacing w:val="0"/>
        <w:jc w:val="both"/>
        <w:rPr>
          <w:sz w:val="22"/>
          <w:szCs w:val="22"/>
        </w:rPr>
      </w:pPr>
      <w:r w:rsidRPr="006D2D5B">
        <w:rPr>
          <w:sz w:val="22"/>
          <w:szCs w:val="22"/>
        </w:rPr>
        <w:t>A relevant purpose, for a pharmaceutical benefit, means a purpose mentioned in Schedule 4 of the Listing Instrument for a purposes code specified in Schedule 1 of that instrument for the pharmaceutical benefit, and which includes the phrase “The condition must be stable for the prescriber to consider the listed maximum quantity of this medicine suitable for this patient”. This phrase is included in all purposes that enable the prescribing of a maximum quantity or number of units equivalent to</w:t>
      </w:r>
      <w:r w:rsidR="00C02359" w:rsidRPr="006D2D5B">
        <w:rPr>
          <w:sz w:val="22"/>
          <w:szCs w:val="22"/>
        </w:rPr>
        <w:t xml:space="preserve"> 60-</w:t>
      </w:r>
      <w:proofErr w:type="spellStart"/>
      <w:r w:rsidR="00C02359" w:rsidRPr="006D2D5B">
        <w:rPr>
          <w:sz w:val="22"/>
          <w:szCs w:val="22"/>
        </w:rPr>
        <w:t>days</w:t>
      </w:r>
      <w:proofErr w:type="spellEnd"/>
      <w:r w:rsidRPr="006D2D5B">
        <w:rPr>
          <w:sz w:val="22"/>
          <w:szCs w:val="22"/>
        </w:rPr>
        <w:t xml:space="preserve"> supply.  </w:t>
      </w:r>
    </w:p>
    <w:p w14:paraId="10EBFFA5" w14:textId="601C92A9" w:rsidR="004202EA" w:rsidRPr="006D2D5B" w:rsidRDefault="004202EA" w:rsidP="00F970C8">
      <w:pPr>
        <w:spacing w:before="120"/>
        <w:jc w:val="both"/>
        <w:rPr>
          <w:sz w:val="22"/>
          <w:szCs w:val="22"/>
        </w:rPr>
      </w:pPr>
      <w:r w:rsidRPr="006D2D5B">
        <w:rPr>
          <w:sz w:val="22"/>
          <w:szCs w:val="22"/>
        </w:rPr>
        <w:lastRenderedPageBreak/>
        <w:t xml:space="preserve">The Listing Instrument is incorporated by reference as in force from time to </w:t>
      </w:r>
      <w:proofErr w:type="gramStart"/>
      <w:r w:rsidRPr="006D2D5B">
        <w:rPr>
          <w:sz w:val="22"/>
          <w:szCs w:val="22"/>
        </w:rPr>
        <w:t>time, and</w:t>
      </w:r>
      <w:proofErr w:type="gramEnd"/>
      <w:r w:rsidRPr="006D2D5B">
        <w:rPr>
          <w:sz w:val="22"/>
          <w:szCs w:val="22"/>
        </w:rPr>
        <w:t xml:space="preserve"> can be accessed free of charge on the Federal Register of Legislation at </w:t>
      </w:r>
      <w:hyperlink r:id="rId8" w:history="1">
        <w:r w:rsidRPr="006D2D5B">
          <w:rPr>
            <w:rStyle w:val="Hyperlink"/>
            <w:sz w:val="22"/>
            <w:szCs w:val="22"/>
          </w:rPr>
          <w:t>www.legislation.gov.au</w:t>
        </w:r>
      </w:hyperlink>
      <w:r w:rsidRPr="006D2D5B">
        <w:rPr>
          <w:sz w:val="22"/>
          <w:szCs w:val="22"/>
        </w:rPr>
        <w:t>.</w:t>
      </w:r>
    </w:p>
    <w:p w14:paraId="4B1E4E4B" w14:textId="77777777" w:rsidR="004202EA" w:rsidRPr="006D2D5B" w:rsidRDefault="004202EA" w:rsidP="005C32DE">
      <w:pPr>
        <w:spacing w:before="240"/>
        <w:rPr>
          <w:b/>
        </w:rPr>
      </w:pPr>
      <w:r w:rsidRPr="006D2D5B">
        <w:rPr>
          <w:b/>
        </w:rPr>
        <w:t>Item 2 – Section 3.09</w:t>
      </w:r>
    </w:p>
    <w:p w14:paraId="13340FD0" w14:textId="77777777" w:rsidR="004202EA" w:rsidRPr="006D2D5B" w:rsidRDefault="004202EA" w:rsidP="00657053">
      <w:pPr>
        <w:keepNext/>
        <w:spacing w:before="120"/>
        <w:rPr>
          <w:bCs/>
          <w:sz w:val="22"/>
          <w:szCs w:val="22"/>
        </w:rPr>
      </w:pPr>
      <w:r w:rsidRPr="006D2D5B">
        <w:rPr>
          <w:bCs/>
          <w:sz w:val="22"/>
          <w:szCs w:val="22"/>
        </w:rPr>
        <w:t>Item 2 repeals and replaces section 3.09 of the Principal Determination, which specifies conditions relating to the maximum quantity or number of units of a pharmaceutical benefit to be dispensed in a continued dispensing supply.</w:t>
      </w:r>
    </w:p>
    <w:p w14:paraId="5B7C08ED" w14:textId="77777777" w:rsidR="001719CE" w:rsidRPr="006D2D5B" w:rsidRDefault="004202EA" w:rsidP="001719CE">
      <w:pPr>
        <w:spacing w:before="120"/>
        <w:rPr>
          <w:color w:val="000000"/>
          <w:sz w:val="22"/>
          <w:szCs w:val="22"/>
          <w:shd w:val="clear" w:color="auto" w:fill="FFFFFF"/>
        </w:rPr>
      </w:pPr>
      <w:r w:rsidRPr="006D2D5B">
        <w:rPr>
          <w:color w:val="000000"/>
          <w:sz w:val="22"/>
          <w:szCs w:val="22"/>
          <w:shd w:val="clear" w:color="auto" w:fill="FFFFFF"/>
        </w:rPr>
        <w:t>Subsection 3.09(1) retains the previous condition that when making a continued dispensing supply, an approved pharmacist must supply a maximum quantity or number of units of the pharmaceutical benefit.</w:t>
      </w:r>
    </w:p>
    <w:p w14:paraId="6387BCBB" w14:textId="0E2FD145" w:rsidR="004202EA" w:rsidRPr="006D2D5B" w:rsidRDefault="004202EA" w:rsidP="001719CE">
      <w:pPr>
        <w:spacing w:before="120"/>
        <w:rPr>
          <w:color w:val="000000"/>
          <w:sz w:val="22"/>
          <w:szCs w:val="22"/>
          <w:shd w:val="clear" w:color="auto" w:fill="FFFFFF"/>
        </w:rPr>
      </w:pPr>
      <w:r w:rsidRPr="006D2D5B">
        <w:rPr>
          <w:bCs/>
          <w:sz w:val="22"/>
          <w:szCs w:val="22"/>
        </w:rPr>
        <w:t xml:space="preserve">New subsection 3.09(2) is relevant where </w:t>
      </w:r>
      <w:r w:rsidRPr="006D2D5B">
        <w:rPr>
          <w:color w:val="000000" w:themeColor="text1"/>
          <w:sz w:val="22"/>
          <w:szCs w:val="22"/>
        </w:rPr>
        <w:t xml:space="preserve">an increased maximum quantity has been determined for the pharmaceutical item in the pharmaceutical benefit. The approved pharmacist may only supply that larger increased maximum quantity as a continued dispensing supply if the last supply </w:t>
      </w:r>
      <w:r w:rsidRPr="006D2D5B">
        <w:rPr>
          <w:color w:val="000000" w:themeColor="text1"/>
          <w:sz w:val="22"/>
          <w:szCs w:val="20"/>
        </w:rPr>
        <w:t xml:space="preserve">to the patient of the pharmaceutical benefit, or a pharmaceutical benefit that is Schedule equivalent, was </w:t>
      </w:r>
      <w:proofErr w:type="gramStart"/>
      <w:r w:rsidRPr="006D2D5B">
        <w:rPr>
          <w:color w:val="000000" w:themeColor="text1"/>
          <w:sz w:val="22"/>
          <w:szCs w:val="20"/>
        </w:rPr>
        <w:t>on the basis of</w:t>
      </w:r>
      <w:proofErr w:type="gramEnd"/>
      <w:r w:rsidRPr="006D2D5B">
        <w:rPr>
          <w:color w:val="000000" w:themeColor="text1"/>
          <w:sz w:val="22"/>
          <w:szCs w:val="20"/>
        </w:rPr>
        <w:t xml:space="preserve"> a prescription written for a relevant purpose</w:t>
      </w:r>
      <w:r w:rsidRPr="006D2D5B">
        <w:rPr>
          <w:sz w:val="22"/>
          <w:szCs w:val="22"/>
        </w:rPr>
        <w:t>.</w:t>
      </w:r>
    </w:p>
    <w:p w14:paraId="53292515" w14:textId="77777777" w:rsidR="00791E17" w:rsidRPr="006D2D5B" w:rsidRDefault="00791E17">
      <w:pPr>
        <w:rPr>
          <w:b/>
          <w:sz w:val="26"/>
          <w:szCs w:val="26"/>
        </w:rPr>
      </w:pPr>
    </w:p>
    <w:p w14:paraId="15B6038C" w14:textId="634FCD4B" w:rsidR="008A7252" w:rsidRPr="006D2D5B" w:rsidRDefault="008A7252">
      <w:pPr>
        <w:rPr>
          <w:b/>
          <w:sz w:val="26"/>
          <w:szCs w:val="26"/>
        </w:rPr>
      </w:pPr>
      <w:r w:rsidRPr="006D2D5B">
        <w:rPr>
          <w:b/>
          <w:sz w:val="26"/>
          <w:szCs w:val="26"/>
        </w:rPr>
        <w:br w:type="page"/>
      </w:r>
    </w:p>
    <w:p w14:paraId="42856F3E" w14:textId="26E0B615" w:rsidR="00280116" w:rsidRPr="006D2D5B" w:rsidRDefault="00280116" w:rsidP="00280116">
      <w:pPr>
        <w:spacing w:before="240"/>
        <w:jc w:val="center"/>
        <w:rPr>
          <w:b/>
          <w:sz w:val="26"/>
          <w:szCs w:val="26"/>
        </w:rPr>
      </w:pPr>
      <w:r w:rsidRPr="006D2D5B">
        <w:rPr>
          <w:b/>
          <w:sz w:val="26"/>
          <w:szCs w:val="26"/>
        </w:rPr>
        <w:lastRenderedPageBreak/>
        <w:t>Statement of Compatibility with Human Rights</w:t>
      </w:r>
    </w:p>
    <w:p w14:paraId="14098501" w14:textId="77777777" w:rsidR="00280116" w:rsidRPr="006D2D5B" w:rsidRDefault="00280116" w:rsidP="00280116">
      <w:pPr>
        <w:spacing w:before="120"/>
        <w:jc w:val="center"/>
        <w:rPr>
          <w:i/>
          <w:sz w:val="22"/>
          <w:szCs w:val="22"/>
        </w:rPr>
      </w:pPr>
      <w:r w:rsidRPr="006D2D5B">
        <w:rPr>
          <w:i/>
          <w:sz w:val="22"/>
          <w:szCs w:val="22"/>
        </w:rPr>
        <w:t>Prepared in accordance with Part 3 of the Human Rights (Parliamentary Scrutiny) Act 2011</w:t>
      </w:r>
    </w:p>
    <w:p w14:paraId="4C4024EB" w14:textId="0349A95D" w:rsidR="00280116" w:rsidRPr="006D2D5B" w:rsidRDefault="00280116" w:rsidP="00280116">
      <w:pPr>
        <w:spacing w:before="360"/>
        <w:jc w:val="center"/>
        <w:rPr>
          <w:b/>
          <w:i/>
          <w:sz w:val="22"/>
          <w:szCs w:val="22"/>
        </w:rPr>
      </w:pPr>
      <w:r w:rsidRPr="006D2D5B">
        <w:rPr>
          <w:b/>
          <w:i/>
        </w:rPr>
        <w:t>National Health (</w:t>
      </w:r>
      <w:r w:rsidR="00F526E1" w:rsidRPr="006D2D5B">
        <w:rPr>
          <w:b/>
          <w:i/>
        </w:rPr>
        <w:t>Continued Dispensing</w:t>
      </w:r>
      <w:r w:rsidRPr="006D2D5B">
        <w:rPr>
          <w:b/>
          <w:i/>
        </w:rPr>
        <w:t>) Amendment Determination 202</w:t>
      </w:r>
      <w:r w:rsidR="00FE5878" w:rsidRPr="006D2D5B">
        <w:rPr>
          <w:b/>
          <w:i/>
        </w:rPr>
        <w:t>3</w:t>
      </w:r>
      <w:r w:rsidRPr="006D2D5B">
        <w:rPr>
          <w:b/>
          <w:i/>
        </w:rPr>
        <w:t xml:space="preserve"> </w:t>
      </w:r>
      <w:r w:rsidR="00FF0036" w:rsidRPr="006D2D5B">
        <w:rPr>
          <w:b/>
          <w:i/>
        </w:rPr>
        <w:t xml:space="preserve">(No. </w:t>
      </w:r>
      <w:r w:rsidR="00F13DD1" w:rsidRPr="006D2D5B">
        <w:rPr>
          <w:b/>
          <w:i/>
        </w:rPr>
        <w:t>3</w:t>
      </w:r>
      <w:r w:rsidR="00FF0036" w:rsidRPr="006D2D5B">
        <w:rPr>
          <w:b/>
          <w:i/>
        </w:rPr>
        <w:t>)</w:t>
      </w:r>
    </w:p>
    <w:p w14:paraId="53D535FE" w14:textId="41D428C7" w:rsidR="00280116" w:rsidRPr="006D2D5B" w:rsidRDefault="00280116" w:rsidP="00280116">
      <w:pPr>
        <w:spacing w:before="120"/>
        <w:jc w:val="center"/>
        <w:rPr>
          <w:b/>
          <w:sz w:val="22"/>
          <w:szCs w:val="22"/>
        </w:rPr>
      </w:pPr>
      <w:r w:rsidRPr="006D2D5B">
        <w:rPr>
          <w:b/>
          <w:sz w:val="22"/>
          <w:szCs w:val="22"/>
        </w:rPr>
        <w:t>(</w:t>
      </w:r>
      <w:r w:rsidR="00FE5878" w:rsidRPr="006D2D5B">
        <w:rPr>
          <w:b/>
          <w:sz w:val="22"/>
          <w:szCs w:val="22"/>
        </w:rPr>
        <w:t xml:space="preserve">PB </w:t>
      </w:r>
      <w:r w:rsidR="00F13DD1" w:rsidRPr="006D2D5B">
        <w:rPr>
          <w:b/>
          <w:sz w:val="22"/>
          <w:szCs w:val="22"/>
        </w:rPr>
        <w:t>115</w:t>
      </w:r>
      <w:r w:rsidR="000B7B74" w:rsidRPr="006D2D5B">
        <w:rPr>
          <w:b/>
          <w:sz w:val="22"/>
          <w:szCs w:val="22"/>
        </w:rPr>
        <w:t xml:space="preserve"> </w:t>
      </w:r>
      <w:r w:rsidRPr="006D2D5B">
        <w:rPr>
          <w:b/>
          <w:sz w:val="22"/>
          <w:szCs w:val="22"/>
        </w:rPr>
        <w:t>o</w:t>
      </w:r>
      <w:r w:rsidR="003422A8" w:rsidRPr="006D2D5B">
        <w:rPr>
          <w:b/>
          <w:sz w:val="22"/>
          <w:szCs w:val="22"/>
        </w:rPr>
        <w:t>f 202</w:t>
      </w:r>
      <w:r w:rsidR="00FE5878" w:rsidRPr="006D2D5B">
        <w:rPr>
          <w:b/>
          <w:sz w:val="22"/>
          <w:szCs w:val="22"/>
        </w:rPr>
        <w:t>3</w:t>
      </w:r>
      <w:r w:rsidRPr="006D2D5B">
        <w:rPr>
          <w:b/>
          <w:sz w:val="22"/>
          <w:szCs w:val="22"/>
        </w:rPr>
        <w:t>)</w:t>
      </w:r>
    </w:p>
    <w:p w14:paraId="35853D52" w14:textId="77777777" w:rsidR="00280116" w:rsidRPr="006D2D5B" w:rsidRDefault="0092794E" w:rsidP="00280116">
      <w:pPr>
        <w:spacing w:before="360"/>
        <w:jc w:val="both"/>
        <w:rPr>
          <w:sz w:val="22"/>
          <w:szCs w:val="22"/>
        </w:rPr>
      </w:pPr>
      <w:r w:rsidRPr="006D2D5B">
        <w:rPr>
          <w:sz w:val="22"/>
          <w:szCs w:val="22"/>
        </w:rPr>
        <w:t>This legislative i</w:t>
      </w:r>
      <w:r w:rsidR="00280116" w:rsidRPr="006D2D5B">
        <w:rPr>
          <w:sz w:val="22"/>
          <w:szCs w:val="22"/>
        </w:rPr>
        <w:t xml:space="preserve">nstrument is compatible with the human rights and freedoms recognised or declared in the international instruments listed in section 3 of the </w:t>
      </w:r>
      <w:r w:rsidR="00280116" w:rsidRPr="006D2D5B">
        <w:rPr>
          <w:i/>
          <w:sz w:val="22"/>
          <w:szCs w:val="22"/>
        </w:rPr>
        <w:t>Human Rights (Parliamentary Scrutiny) Act 2011.</w:t>
      </w:r>
    </w:p>
    <w:p w14:paraId="538E49C8" w14:textId="77777777" w:rsidR="00280116" w:rsidRPr="006D2D5B" w:rsidRDefault="00280116" w:rsidP="005C32DE">
      <w:pPr>
        <w:spacing w:before="120"/>
        <w:rPr>
          <w:b/>
          <w:sz w:val="22"/>
          <w:szCs w:val="22"/>
        </w:rPr>
      </w:pPr>
      <w:r w:rsidRPr="006D2D5B">
        <w:rPr>
          <w:b/>
          <w:sz w:val="22"/>
          <w:szCs w:val="22"/>
        </w:rPr>
        <w:t>Overview of the Legislative Instrument</w:t>
      </w:r>
    </w:p>
    <w:p w14:paraId="14B15314" w14:textId="6C9FD67A" w:rsidR="00280116" w:rsidRPr="006D2D5B" w:rsidRDefault="00280116" w:rsidP="00280116">
      <w:pPr>
        <w:spacing w:before="120"/>
        <w:ind w:right="-164"/>
        <w:jc w:val="both"/>
        <w:rPr>
          <w:sz w:val="22"/>
          <w:szCs w:val="22"/>
        </w:rPr>
      </w:pPr>
      <w:r w:rsidRPr="006D2D5B">
        <w:rPr>
          <w:sz w:val="22"/>
          <w:szCs w:val="22"/>
        </w:rPr>
        <w:t xml:space="preserve">The </w:t>
      </w:r>
      <w:r w:rsidRPr="006D2D5B">
        <w:rPr>
          <w:i/>
          <w:sz w:val="22"/>
          <w:szCs w:val="22"/>
        </w:rPr>
        <w:t>National Health (</w:t>
      </w:r>
      <w:r w:rsidR="00F526E1" w:rsidRPr="006D2D5B">
        <w:rPr>
          <w:bCs/>
          <w:i/>
          <w:sz w:val="22"/>
          <w:szCs w:val="22"/>
        </w:rPr>
        <w:t>Continued Dispensing</w:t>
      </w:r>
      <w:r w:rsidRPr="006D2D5B">
        <w:rPr>
          <w:i/>
          <w:sz w:val="22"/>
          <w:szCs w:val="22"/>
        </w:rPr>
        <w:t>) Amendment Determination 202</w:t>
      </w:r>
      <w:r w:rsidR="00FE5878" w:rsidRPr="006D2D5B">
        <w:rPr>
          <w:i/>
          <w:sz w:val="22"/>
          <w:szCs w:val="22"/>
        </w:rPr>
        <w:t>3</w:t>
      </w:r>
      <w:r w:rsidR="005B296B" w:rsidRPr="006D2D5B">
        <w:rPr>
          <w:i/>
          <w:sz w:val="22"/>
          <w:szCs w:val="22"/>
        </w:rPr>
        <w:t xml:space="preserve"> </w:t>
      </w:r>
      <w:r w:rsidR="00FF0036" w:rsidRPr="006D2D5B">
        <w:rPr>
          <w:i/>
          <w:sz w:val="22"/>
          <w:szCs w:val="22"/>
        </w:rPr>
        <w:t xml:space="preserve">(No. </w:t>
      </w:r>
      <w:r w:rsidR="00356F2E" w:rsidRPr="006D2D5B">
        <w:rPr>
          <w:i/>
          <w:sz w:val="22"/>
          <w:szCs w:val="22"/>
        </w:rPr>
        <w:t>2</w:t>
      </w:r>
      <w:r w:rsidR="00FF0036" w:rsidRPr="006D2D5B">
        <w:rPr>
          <w:i/>
          <w:sz w:val="22"/>
          <w:szCs w:val="22"/>
        </w:rPr>
        <w:t>)</w:t>
      </w:r>
      <w:r w:rsidRPr="006D2D5B">
        <w:rPr>
          <w:i/>
          <w:sz w:val="22"/>
          <w:szCs w:val="22"/>
        </w:rPr>
        <w:t xml:space="preserve"> </w:t>
      </w:r>
      <w:bookmarkStart w:id="10" w:name="_Hlk93671560"/>
      <w:r w:rsidR="0089035E" w:rsidRPr="006D2D5B">
        <w:rPr>
          <w:sz w:val="22"/>
          <w:szCs w:val="22"/>
        </w:rPr>
        <w:t>(the Instrument)</w:t>
      </w:r>
      <w:bookmarkEnd w:id="10"/>
      <w:r w:rsidR="0089035E" w:rsidRPr="006D2D5B">
        <w:rPr>
          <w:sz w:val="22"/>
          <w:szCs w:val="22"/>
        </w:rPr>
        <w:t xml:space="preserve"> </w:t>
      </w:r>
      <w:r w:rsidRPr="006D2D5B">
        <w:rPr>
          <w:sz w:val="22"/>
          <w:szCs w:val="22"/>
        </w:rPr>
        <w:t xml:space="preserve">amends the </w:t>
      </w:r>
      <w:r w:rsidRPr="006D2D5B">
        <w:rPr>
          <w:i/>
          <w:sz w:val="22"/>
          <w:szCs w:val="22"/>
        </w:rPr>
        <w:t>National Health (</w:t>
      </w:r>
      <w:r w:rsidR="00F526E1" w:rsidRPr="006D2D5B">
        <w:rPr>
          <w:bCs/>
          <w:i/>
          <w:sz w:val="22"/>
          <w:szCs w:val="22"/>
        </w:rPr>
        <w:t>Continued Dispensing</w:t>
      </w:r>
      <w:r w:rsidRPr="006D2D5B">
        <w:rPr>
          <w:i/>
          <w:sz w:val="22"/>
          <w:szCs w:val="22"/>
        </w:rPr>
        <w:t>) Determination 202</w:t>
      </w:r>
      <w:r w:rsidR="00F526E1" w:rsidRPr="006D2D5B">
        <w:rPr>
          <w:i/>
          <w:sz w:val="22"/>
          <w:szCs w:val="22"/>
        </w:rPr>
        <w:t>2</w:t>
      </w:r>
      <w:r w:rsidR="0089035E" w:rsidRPr="006D2D5B">
        <w:rPr>
          <w:i/>
          <w:sz w:val="22"/>
          <w:szCs w:val="22"/>
        </w:rPr>
        <w:t xml:space="preserve"> </w:t>
      </w:r>
      <w:r w:rsidR="0089035E" w:rsidRPr="006D2D5B">
        <w:rPr>
          <w:sz w:val="22"/>
          <w:szCs w:val="22"/>
        </w:rPr>
        <w:t xml:space="preserve">(the Principal Instrument) </w:t>
      </w:r>
      <w:r w:rsidRPr="006D2D5B">
        <w:rPr>
          <w:sz w:val="22"/>
          <w:szCs w:val="22"/>
        </w:rPr>
        <w:t xml:space="preserve">which specifies </w:t>
      </w:r>
      <w:r w:rsidR="007225E0" w:rsidRPr="006D2D5B">
        <w:rPr>
          <w:sz w:val="22"/>
          <w:szCs w:val="22"/>
        </w:rPr>
        <w:t>the</w:t>
      </w:r>
      <w:r w:rsidRPr="006D2D5B">
        <w:rPr>
          <w:sz w:val="22"/>
          <w:szCs w:val="22"/>
        </w:rPr>
        <w:t xml:space="preserve"> pharmaceutical benefits that can be supplied by an approved pharmacist under Part VII of the </w:t>
      </w:r>
      <w:r w:rsidR="007225E0" w:rsidRPr="006D2D5B">
        <w:rPr>
          <w:i/>
          <w:sz w:val="22"/>
          <w:szCs w:val="22"/>
        </w:rPr>
        <w:t xml:space="preserve">National Health Act 1953 </w:t>
      </w:r>
      <w:r w:rsidRPr="006D2D5B">
        <w:rPr>
          <w:sz w:val="22"/>
          <w:szCs w:val="22"/>
        </w:rPr>
        <w:t>without a prescription, and the conditions for such a supply (‘Continued Dispensing’).</w:t>
      </w:r>
    </w:p>
    <w:p w14:paraId="54F0B16B" w14:textId="087BDE5C" w:rsidR="00F970C8" w:rsidRPr="006D2D5B" w:rsidRDefault="00F970C8" w:rsidP="00F970C8">
      <w:pPr>
        <w:pStyle w:val="NormalWeb"/>
        <w:spacing w:before="120" w:beforeAutospacing="0" w:after="0" w:afterAutospacing="0"/>
        <w:jc w:val="both"/>
        <w:rPr>
          <w:sz w:val="22"/>
          <w:szCs w:val="22"/>
        </w:rPr>
      </w:pPr>
      <w:r w:rsidRPr="006D2D5B">
        <w:rPr>
          <w:sz w:val="22"/>
          <w:szCs w:val="22"/>
        </w:rPr>
        <w:t xml:space="preserve">Continued Dispensing arrangements enable approved pharmacists to supply pharmaceutical benefits without the presentation of a prescription. The Principal Instrument specifies the pharmaceutical benefits that can be supplied under Continued </w:t>
      </w:r>
      <w:r w:rsidR="005C32DE" w:rsidRPr="006D2D5B">
        <w:rPr>
          <w:sz w:val="22"/>
          <w:szCs w:val="22"/>
        </w:rPr>
        <w:t>Dispensing a</w:t>
      </w:r>
      <w:r w:rsidRPr="006D2D5B">
        <w:rPr>
          <w:sz w:val="22"/>
          <w:szCs w:val="22"/>
        </w:rPr>
        <w:t>rrangements and the conditions that must be met before an approved pharmacist can ma</w:t>
      </w:r>
      <w:r w:rsidR="00D0583E" w:rsidRPr="006D2D5B">
        <w:rPr>
          <w:sz w:val="22"/>
          <w:szCs w:val="22"/>
        </w:rPr>
        <w:t>ke</w:t>
      </w:r>
      <w:r w:rsidRPr="006D2D5B">
        <w:rPr>
          <w:sz w:val="22"/>
          <w:szCs w:val="22"/>
        </w:rPr>
        <w:t xml:space="preserve"> a Continued Dispensing supply, which include that there is an immediate need for the supply and the PBS prescriber cannot be contacted or cannot provide a prescription for the patient electronically. Where an approved pharmacist makes a Continued Dispensing supply, they are required to dispense a maximum quantity of the pharmaceutical benefit. </w:t>
      </w:r>
    </w:p>
    <w:p w14:paraId="7DA50F03" w14:textId="77777777" w:rsidR="0059234A" w:rsidRPr="006D2D5B" w:rsidRDefault="0059234A" w:rsidP="0059234A">
      <w:pPr>
        <w:spacing w:before="120"/>
        <w:ind w:right="-164"/>
        <w:jc w:val="both"/>
        <w:rPr>
          <w:iCs/>
          <w:color w:val="000000" w:themeColor="text1"/>
          <w:sz w:val="22"/>
          <w:szCs w:val="22"/>
        </w:rPr>
      </w:pPr>
      <w:r w:rsidRPr="006D2D5B">
        <w:rPr>
          <w:sz w:val="22"/>
          <w:szCs w:val="22"/>
        </w:rPr>
        <w:t xml:space="preserve">Schedule 1 to this instrument clarifies the conditions under which a patient may be dispensed, under Continued Dispensing arrangements, a maximum quantity of a pharmaceutical benefit equivalent to 60 days’ supply. These amendments are required </w:t>
      </w:r>
      <w:proofErr w:type="gramStart"/>
      <w:r w:rsidRPr="006D2D5B">
        <w:rPr>
          <w:sz w:val="22"/>
          <w:szCs w:val="22"/>
        </w:rPr>
        <w:t>as a result of</w:t>
      </w:r>
      <w:proofErr w:type="gramEnd"/>
      <w:r w:rsidRPr="006D2D5B">
        <w:rPr>
          <w:sz w:val="22"/>
          <w:szCs w:val="22"/>
        </w:rPr>
        <w:t xml:space="preserve"> a provision, from 1 September 2023, that PBS prescriptions may be written for 60 days’ supply of certain pharmaceutical benefits in certain circumstances. The 60 days’ supply can only be dispensed under Continued Dispensing arrangements where the patient's last prescription </w:t>
      </w:r>
      <w:r w:rsidRPr="006D2D5B">
        <w:rPr>
          <w:iCs/>
          <w:color w:val="000000" w:themeColor="text1"/>
          <w:sz w:val="22"/>
          <w:szCs w:val="22"/>
        </w:rPr>
        <w:t xml:space="preserve">was written for a purpose for which a 60 days’ supply could be prescribed. This relevantly includes that the prescriber considered the patient’s condition was stable and that the 60 days’ quantity was suitable. </w:t>
      </w:r>
    </w:p>
    <w:p w14:paraId="5B319B0A" w14:textId="77777777" w:rsidR="00280116" w:rsidRPr="006D2D5B" w:rsidRDefault="00280116" w:rsidP="005C32DE">
      <w:pPr>
        <w:spacing w:before="120"/>
        <w:rPr>
          <w:b/>
          <w:sz w:val="22"/>
          <w:szCs w:val="22"/>
        </w:rPr>
      </w:pPr>
      <w:r w:rsidRPr="006D2D5B">
        <w:rPr>
          <w:b/>
          <w:sz w:val="22"/>
          <w:szCs w:val="22"/>
        </w:rPr>
        <w:t xml:space="preserve">Human </w:t>
      </w:r>
      <w:r w:rsidR="00865806" w:rsidRPr="006D2D5B">
        <w:rPr>
          <w:b/>
          <w:sz w:val="22"/>
          <w:szCs w:val="22"/>
        </w:rPr>
        <w:t>r</w:t>
      </w:r>
      <w:r w:rsidRPr="006D2D5B">
        <w:rPr>
          <w:b/>
          <w:sz w:val="22"/>
          <w:szCs w:val="22"/>
        </w:rPr>
        <w:t xml:space="preserve">ights </w:t>
      </w:r>
      <w:r w:rsidR="00865806" w:rsidRPr="006D2D5B">
        <w:rPr>
          <w:b/>
          <w:sz w:val="22"/>
          <w:szCs w:val="22"/>
        </w:rPr>
        <w:t>i</w:t>
      </w:r>
      <w:r w:rsidRPr="006D2D5B">
        <w:rPr>
          <w:b/>
          <w:sz w:val="22"/>
          <w:szCs w:val="22"/>
        </w:rPr>
        <w:t>mplications</w:t>
      </w:r>
    </w:p>
    <w:p w14:paraId="7B54C717" w14:textId="77777777" w:rsidR="002F1A6C" w:rsidRPr="006D2D5B" w:rsidRDefault="002F1A6C" w:rsidP="00CA48B8">
      <w:pPr>
        <w:spacing w:before="120"/>
        <w:rPr>
          <w:sz w:val="22"/>
          <w:szCs w:val="22"/>
        </w:rPr>
      </w:pPr>
      <w:bookmarkStart w:id="11" w:name="_Hlk92365708"/>
      <w:r w:rsidRPr="006D2D5B">
        <w:rPr>
          <w:sz w:val="22"/>
          <w:szCs w:val="22"/>
        </w:rPr>
        <w:t>This Instrument engages Articles 9 and 12 of the International Covenant on Economic Social and Cultural Rights (ICESCR), specifically the rights to health and social security.</w:t>
      </w:r>
    </w:p>
    <w:p w14:paraId="7E66BEFA" w14:textId="77777777" w:rsidR="002F1A6C" w:rsidRPr="006D2D5B" w:rsidRDefault="002F1A6C" w:rsidP="00CA48B8">
      <w:pPr>
        <w:spacing w:before="120"/>
        <w:rPr>
          <w:i/>
          <w:iCs/>
          <w:sz w:val="22"/>
          <w:szCs w:val="22"/>
        </w:rPr>
      </w:pPr>
      <w:r w:rsidRPr="006D2D5B">
        <w:rPr>
          <w:i/>
          <w:iCs/>
          <w:sz w:val="22"/>
          <w:szCs w:val="22"/>
        </w:rPr>
        <w:t>The Right to Social Security</w:t>
      </w:r>
    </w:p>
    <w:p w14:paraId="46B98650" w14:textId="77777777" w:rsidR="002F1A6C" w:rsidRPr="006D2D5B" w:rsidRDefault="002F1A6C" w:rsidP="00CA48B8">
      <w:pPr>
        <w:spacing w:before="120"/>
        <w:jc w:val="both"/>
        <w:rPr>
          <w:sz w:val="22"/>
          <w:szCs w:val="22"/>
        </w:rPr>
      </w:pPr>
      <w:r w:rsidRPr="006D2D5B">
        <w:rPr>
          <w:sz w:val="22"/>
          <w:szCs w:val="22"/>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66290E4" w14:textId="77777777" w:rsidR="002F1A6C" w:rsidRPr="006D2D5B" w:rsidRDefault="002F1A6C" w:rsidP="00CA48B8">
      <w:pPr>
        <w:spacing w:before="120"/>
        <w:rPr>
          <w:sz w:val="22"/>
          <w:szCs w:val="22"/>
        </w:rPr>
      </w:pPr>
      <w:r w:rsidRPr="006D2D5B">
        <w:rPr>
          <w:sz w:val="22"/>
          <w:szCs w:val="22"/>
        </w:rPr>
        <w:t>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4E63E633" w14:textId="77777777" w:rsidR="00F970C8" w:rsidRPr="006D2D5B" w:rsidRDefault="00F970C8">
      <w:pPr>
        <w:rPr>
          <w:i/>
          <w:iCs/>
          <w:sz w:val="22"/>
          <w:szCs w:val="22"/>
        </w:rPr>
      </w:pPr>
      <w:r w:rsidRPr="006D2D5B">
        <w:rPr>
          <w:i/>
          <w:iCs/>
          <w:sz w:val="22"/>
          <w:szCs w:val="22"/>
        </w:rPr>
        <w:br w:type="page"/>
      </w:r>
    </w:p>
    <w:p w14:paraId="1E5D4EE6" w14:textId="4F9CD353" w:rsidR="002F1A6C" w:rsidRPr="006D2D5B" w:rsidRDefault="002F1A6C" w:rsidP="00CA48B8">
      <w:pPr>
        <w:spacing w:before="120"/>
        <w:rPr>
          <w:i/>
          <w:iCs/>
          <w:sz w:val="22"/>
          <w:szCs w:val="22"/>
        </w:rPr>
      </w:pPr>
      <w:r w:rsidRPr="006D2D5B">
        <w:rPr>
          <w:i/>
          <w:iCs/>
          <w:sz w:val="22"/>
          <w:szCs w:val="22"/>
        </w:rPr>
        <w:lastRenderedPageBreak/>
        <w:t>The Right to Health</w:t>
      </w:r>
    </w:p>
    <w:p w14:paraId="7CA89FBF" w14:textId="77777777" w:rsidR="002F1A6C" w:rsidRPr="006D2D5B" w:rsidRDefault="002F1A6C" w:rsidP="00CA48B8">
      <w:pPr>
        <w:spacing w:before="120"/>
        <w:rPr>
          <w:sz w:val="22"/>
          <w:szCs w:val="22"/>
        </w:rPr>
      </w:pPr>
      <w:r w:rsidRPr="006D2D5B">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Pr="006D2D5B">
        <w:rPr>
          <w:sz w:val="22"/>
          <w:szCs w:val="22"/>
        </w:rPr>
        <w:t>healthy, but</w:t>
      </w:r>
      <w:proofErr w:type="gramEnd"/>
      <w:r w:rsidRPr="006D2D5B">
        <w:rPr>
          <w:sz w:val="22"/>
          <w:szCs w:val="22"/>
        </w:rPr>
        <w:t xml:space="preserve"> is a right to a system of health protection which provides equality of opportunity for people to enjoy the highest attainable level of health.</w:t>
      </w:r>
    </w:p>
    <w:p w14:paraId="6C056C8D" w14:textId="77777777" w:rsidR="002F1A6C" w:rsidRPr="006D2D5B" w:rsidRDefault="002F1A6C" w:rsidP="00CA48B8">
      <w:pPr>
        <w:spacing w:before="120"/>
        <w:jc w:val="both"/>
        <w:rPr>
          <w:sz w:val="22"/>
          <w:szCs w:val="22"/>
        </w:rPr>
      </w:pPr>
      <w:r w:rsidRPr="006D2D5B">
        <w:rPr>
          <w:sz w:val="22"/>
          <w:szCs w:val="22"/>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6C1673F7" w14:textId="707B339C" w:rsidR="002F1A6C" w:rsidRPr="006D2D5B" w:rsidRDefault="002F1A6C" w:rsidP="005C32DE">
      <w:pPr>
        <w:spacing w:before="120"/>
        <w:jc w:val="both"/>
        <w:rPr>
          <w:b/>
          <w:bCs/>
          <w:sz w:val="22"/>
          <w:szCs w:val="22"/>
        </w:rPr>
      </w:pPr>
      <w:bookmarkStart w:id="12" w:name="_Hlk92365851"/>
      <w:bookmarkEnd w:id="11"/>
      <w:r w:rsidRPr="006D2D5B">
        <w:rPr>
          <w:b/>
          <w:bCs/>
          <w:sz w:val="22"/>
          <w:szCs w:val="22"/>
        </w:rPr>
        <w:t>Analysis</w:t>
      </w:r>
    </w:p>
    <w:p w14:paraId="22B8BBB0" w14:textId="54A16D30" w:rsidR="008B6008" w:rsidRPr="006D2D5B" w:rsidRDefault="00DB6BCC" w:rsidP="00077A9E">
      <w:pPr>
        <w:spacing w:before="120"/>
        <w:jc w:val="both"/>
        <w:rPr>
          <w:sz w:val="22"/>
          <w:szCs w:val="22"/>
        </w:rPr>
      </w:pPr>
      <w:r w:rsidRPr="006D2D5B">
        <w:rPr>
          <w:sz w:val="22"/>
          <w:szCs w:val="22"/>
        </w:rPr>
        <w:t xml:space="preserve">This Instrument advances the right to health and the right to social security by ensuring that amendments to the </w:t>
      </w:r>
      <w:r w:rsidR="008B6008" w:rsidRPr="006D2D5B">
        <w:rPr>
          <w:i/>
          <w:sz w:val="22"/>
          <w:szCs w:val="22"/>
        </w:rPr>
        <w:t>National Health (Pharmaceutical benefits—early supply) Instrument 2015</w:t>
      </w:r>
      <w:r w:rsidRPr="006D2D5B">
        <w:rPr>
          <w:sz w:val="22"/>
          <w:szCs w:val="22"/>
        </w:rPr>
        <w:t>,</w:t>
      </w:r>
      <w:bookmarkStart w:id="13" w:name="_Hlk92366105"/>
      <w:r w:rsidRPr="006D2D5B">
        <w:rPr>
          <w:sz w:val="22"/>
          <w:szCs w:val="22"/>
        </w:rPr>
        <w:t xml:space="preserve"> </w:t>
      </w:r>
      <w:r w:rsidR="002F1A6C" w:rsidRPr="006D2D5B">
        <w:rPr>
          <w:sz w:val="22"/>
          <w:szCs w:val="22"/>
        </w:rPr>
        <w:t xml:space="preserve">that </w:t>
      </w:r>
      <w:bookmarkStart w:id="14" w:name="_Hlk90471943"/>
      <w:r w:rsidR="002F1A6C" w:rsidRPr="006D2D5B">
        <w:rPr>
          <w:sz w:val="22"/>
          <w:szCs w:val="22"/>
        </w:rPr>
        <w:t xml:space="preserve">affect </w:t>
      </w:r>
      <w:bookmarkEnd w:id="13"/>
      <w:r w:rsidR="002F1A6C" w:rsidRPr="006D2D5B">
        <w:rPr>
          <w:sz w:val="22"/>
          <w:szCs w:val="22"/>
        </w:rPr>
        <w:t xml:space="preserve">the pharmaceutical benefits that may be supplied </w:t>
      </w:r>
      <w:bookmarkEnd w:id="14"/>
      <w:r w:rsidR="002F1A6C" w:rsidRPr="006D2D5B">
        <w:rPr>
          <w:sz w:val="22"/>
          <w:szCs w:val="22"/>
        </w:rPr>
        <w:t xml:space="preserve">as a Continued Dispensing supply, are </w:t>
      </w:r>
      <w:r w:rsidR="00DC0075" w:rsidRPr="006D2D5B">
        <w:rPr>
          <w:sz w:val="22"/>
          <w:szCs w:val="22"/>
        </w:rPr>
        <w:t>also made in the Principal Instrument (</w:t>
      </w:r>
      <w:r w:rsidR="00DC0075" w:rsidRPr="006D2D5B">
        <w:rPr>
          <w:i/>
          <w:iCs/>
          <w:sz w:val="22"/>
          <w:szCs w:val="22"/>
        </w:rPr>
        <w:t>National Health (Continued Dispensing) Determination 2022</w:t>
      </w:r>
      <w:r w:rsidR="00DC0075" w:rsidRPr="006D2D5B">
        <w:rPr>
          <w:sz w:val="22"/>
          <w:szCs w:val="22"/>
        </w:rPr>
        <w:t>)</w:t>
      </w:r>
      <w:r w:rsidR="002F1A6C" w:rsidRPr="006D2D5B">
        <w:rPr>
          <w:sz w:val="22"/>
          <w:szCs w:val="22"/>
        </w:rPr>
        <w:t xml:space="preserve">. </w:t>
      </w:r>
      <w:bookmarkStart w:id="15" w:name="_Hlk95462693"/>
      <w:bookmarkStart w:id="16" w:name="_Hlk113429043"/>
      <w:bookmarkStart w:id="17" w:name="_Hlk90472024"/>
    </w:p>
    <w:bookmarkEnd w:id="12"/>
    <w:bookmarkEnd w:id="15"/>
    <w:bookmarkEnd w:id="16"/>
    <w:bookmarkEnd w:id="17"/>
    <w:p w14:paraId="2618A1E2" w14:textId="61C4054F" w:rsidR="00280116" w:rsidRPr="006D2D5B" w:rsidRDefault="00280116" w:rsidP="00374CA9">
      <w:pPr>
        <w:spacing w:before="120"/>
        <w:rPr>
          <w:b/>
          <w:sz w:val="22"/>
          <w:szCs w:val="22"/>
        </w:rPr>
      </w:pPr>
      <w:r w:rsidRPr="006D2D5B">
        <w:rPr>
          <w:b/>
          <w:sz w:val="22"/>
          <w:szCs w:val="22"/>
        </w:rPr>
        <w:t>Conclusion</w:t>
      </w:r>
    </w:p>
    <w:p w14:paraId="1A071B05" w14:textId="77777777" w:rsidR="00280116" w:rsidRPr="006D2D5B" w:rsidRDefault="0092794E" w:rsidP="00280116">
      <w:pPr>
        <w:spacing w:before="120"/>
        <w:jc w:val="both"/>
        <w:rPr>
          <w:sz w:val="22"/>
          <w:szCs w:val="22"/>
        </w:rPr>
      </w:pPr>
      <w:r w:rsidRPr="006D2D5B">
        <w:rPr>
          <w:sz w:val="22"/>
          <w:szCs w:val="22"/>
        </w:rPr>
        <w:t>This legislative i</w:t>
      </w:r>
      <w:r w:rsidR="00280116" w:rsidRPr="006D2D5B">
        <w:rPr>
          <w:sz w:val="22"/>
          <w:szCs w:val="22"/>
        </w:rPr>
        <w:t>nstrument is compatible with human rights because it advances the protection of human rights.</w:t>
      </w:r>
    </w:p>
    <w:p w14:paraId="13808691" w14:textId="7D214501" w:rsidR="00094A2A" w:rsidRPr="006D2D5B" w:rsidRDefault="00917A16" w:rsidP="00213BD0">
      <w:pPr>
        <w:spacing w:before="360"/>
        <w:jc w:val="center"/>
        <w:rPr>
          <w:b/>
          <w:sz w:val="22"/>
          <w:szCs w:val="22"/>
        </w:rPr>
      </w:pPr>
      <w:r w:rsidRPr="006D2D5B">
        <w:rPr>
          <w:b/>
          <w:sz w:val="22"/>
          <w:szCs w:val="22"/>
        </w:rPr>
        <w:t>Nikolai Tsyganov</w:t>
      </w:r>
    </w:p>
    <w:p w14:paraId="44B72E49" w14:textId="586F8EA4" w:rsidR="00A75E83" w:rsidRPr="006D2D5B" w:rsidRDefault="00A75E83" w:rsidP="00A75E83">
      <w:pPr>
        <w:jc w:val="center"/>
        <w:rPr>
          <w:b/>
          <w:sz w:val="22"/>
          <w:szCs w:val="22"/>
        </w:rPr>
      </w:pPr>
      <w:r w:rsidRPr="006D2D5B">
        <w:rPr>
          <w:b/>
          <w:sz w:val="22"/>
          <w:szCs w:val="22"/>
        </w:rPr>
        <w:t>Assistant Secretary</w:t>
      </w:r>
    </w:p>
    <w:p w14:paraId="4277768B" w14:textId="77777777" w:rsidR="00280116" w:rsidRPr="006D2D5B" w:rsidRDefault="00280116" w:rsidP="00280116">
      <w:pPr>
        <w:jc w:val="center"/>
        <w:rPr>
          <w:b/>
          <w:sz w:val="22"/>
          <w:szCs w:val="22"/>
        </w:rPr>
      </w:pPr>
      <w:r w:rsidRPr="006D2D5B">
        <w:rPr>
          <w:b/>
          <w:sz w:val="22"/>
          <w:szCs w:val="22"/>
        </w:rPr>
        <w:t>Pricing and PBS Policy Branch</w:t>
      </w:r>
    </w:p>
    <w:p w14:paraId="7C0B8C08" w14:textId="77777777" w:rsidR="00280116" w:rsidRPr="006D2D5B" w:rsidRDefault="00280116" w:rsidP="00280116">
      <w:pPr>
        <w:jc w:val="center"/>
        <w:rPr>
          <w:b/>
          <w:sz w:val="22"/>
          <w:szCs w:val="22"/>
        </w:rPr>
      </w:pPr>
      <w:r w:rsidRPr="006D2D5B">
        <w:rPr>
          <w:b/>
          <w:sz w:val="22"/>
          <w:szCs w:val="22"/>
        </w:rPr>
        <w:t>Technology Assessment and Access Division</w:t>
      </w:r>
    </w:p>
    <w:p w14:paraId="6208116E" w14:textId="77777777" w:rsidR="00736ABD" w:rsidRPr="00F72B0A" w:rsidRDefault="00280116" w:rsidP="00D03E81">
      <w:pPr>
        <w:jc w:val="center"/>
      </w:pPr>
      <w:r w:rsidRPr="006D2D5B">
        <w:rPr>
          <w:b/>
          <w:sz w:val="22"/>
          <w:szCs w:val="22"/>
        </w:rPr>
        <w:t>Department of Health</w:t>
      </w:r>
    </w:p>
    <w:sectPr w:rsidR="00736ABD" w:rsidRPr="00F72B0A" w:rsidSect="00672450">
      <w:footerReference w:type="even" r:id="rId9"/>
      <w:footerReference w:type="default" r:id="rId1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F62F" w14:textId="77777777" w:rsidR="00493D23" w:rsidRDefault="00493D23">
      <w:r>
        <w:separator/>
      </w:r>
    </w:p>
  </w:endnote>
  <w:endnote w:type="continuationSeparator" w:id="0">
    <w:p w14:paraId="168E2529" w14:textId="77777777" w:rsidR="00493D23" w:rsidRDefault="0049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26A9" w14:textId="1D9FF95E" w:rsidR="007067CE" w:rsidRDefault="007067CE" w:rsidP="00BF79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BD0">
      <w:rPr>
        <w:rStyle w:val="PageNumber"/>
        <w:noProof/>
      </w:rPr>
      <w:t>7</w:t>
    </w:r>
    <w:r>
      <w:rPr>
        <w:rStyle w:val="PageNumber"/>
      </w:rPr>
      <w:fldChar w:fldCharType="end"/>
    </w:r>
  </w:p>
  <w:p w14:paraId="36F0117D" w14:textId="77777777" w:rsidR="007067CE" w:rsidRDefault="007067CE" w:rsidP="007D6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806394"/>
      <w:docPartObj>
        <w:docPartGallery w:val="Page Numbers (Bottom of Page)"/>
        <w:docPartUnique/>
      </w:docPartObj>
    </w:sdtPr>
    <w:sdtEndPr>
      <w:rPr>
        <w:noProof/>
      </w:rPr>
    </w:sdtEndPr>
    <w:sdtContent>
      <w:p w14:paraId="1B210FFF" w14:textId="41F823C4" w:rsidR="007067CE" w:rsidRDefault="00B446BB" w:rsidP="00213BD0">
        <w:pPr>
          <w:pStyle w:val="Footer"/>
          <w:jc w:val="center"/>
        </w:pPr>
        <w:r>
          <w:fldChar w:fldCharType="begin"/>
        </w:r>
        <w:r>
          <w:instrText xml:space="preserve"> PAGE   \* MERGEFORMAT </w:instrText>
        </w:r>
        <w:r>
          <w:fldChar w:fldCharType="separate"/>
        </w:r>
        <w:r w:rsidR="0046078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7670" w14:textId="77777777" w:rsidR="00493D23" w:rsidRDefault="00493D23">
      <w:r>
        <w:separator/>
      </w:r>
    </w:p>
  </w:footnote>
  <w:footnote w:type="continuationSeparator" w:id="0">
    <w:p w14:paraId="78484B5D" w14:textId="77777777" w:rsidR="00493D23" w:rsidRDefault="00493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DF6"/>
    <w:multiLevelType w:val="hybridMultilevel"/>
    <w:tmpl w:val="3F2A96F4"/>
    <w:lvl w:ilvl="0" w:tplc="04090017">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93A72"/>
    <w:multiLevelType w:val="hybridMultilevel"/>
    <w:tmpl w:val="D724F6D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AF28E5"/>
    <w:multiLevelType w:val="hybridMultilevel"/>
    <w:tmpl w:val="111002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459D4FA0"/>
    <w:multiLevelType w:val="hybridMultilevel"/>
    <w:tmpl w:val="2CF04CA2"/>
    <w:lvl w:ilvl="0" w:tplc="695679EE">
      <w:start w:val="1"/>
      <w:numFmt w:val="lowerLetter"/>
      <w:lvlText w:val="(%1)"/>
      <w:lvlJc w:val="left"/>
      <w:pPr>
        <w:ind w:left="1440" w:hanging="360"/>
      </w:pPr>
      <w:rPr>
        <w:rFonts w:ascii="Times New Roman" w:hAnsi="Times New Roman" w:cs="Times New Roman" w:hint="default"/>
        <w:b w:val="0"/>
        <w:i w:val="0"/>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57C8583F"/>
    <w:multiLevelType w:val="hybridMultilevel"/>
    <w:tmpl w:val="3D16C29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5B713EB3"/>
    <w:multiLevelType w:val="multilevel"/>
    <w:tmpl w:val="21E0E422"/>
    <w:lvl w:ilvl="0">
      <w:start w:val="1"/>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B032927"/>
    <w:multiLevelType w:val="multilevel"/>
    <w:tmpl w:val="09AA39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8C37CA"/>
    <w:multiLevelType w:val="hybridMultilevel"/>
    <w:tmpl w:val="830AB982"/>
    <w:lvl w:ilvl="0" w:tplc="5BFEA80C">
      <w:start w:val="1"/>
      <w:numFmt w:val="lowerLetter"/>
      <w:lvlText w:val="%1)"/>
      <w:lvlJc w:val="left"/>
      <w:pPr>
        <w:tabs>
          <w:tab w:val="num" w:pos="425"/>
        </w:tabs>
        <w:ind w:left="425" w:hanging="425"/>
      </w:pPr>
      <w:rPr>
        <w:rFonts w:ascii="Franklin Gothic Book" w:hAnsi="Franklin Gothic Book" w:hint="default"/>
        <w:sz w:val="22"/>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6455860">
    <w:abstractNumId w:val="7"/>
  </w:num>
  <w:num w:numId="2" w16cid:durableId="847673220">
    <w:abstractNumId w:val="8"/>
  </w:num>
  <w:num w:numId="3" w16cid:durableId="197592471">
    <w:abstractNumId w:val="0"/>
  </w:num>
  <w:num w:numId="4" w16cid:durableId="1114985883">
    <w:abstractNumId w:val="1"/>
  </w:num>
  <w:num w:numId="5" w16cid:durableId="739475171">
    <w:abstractNumId w:val="6"/>
  </w:num>
  <w:num w:numId="6" w16cid:durableId="683433216">
    <w:abstractNumId w:val="10"/>
  </w:num>
  <w:num w:numId="7" w16cid:durableId="632832040">
    <w:abstractNumId w:val="2"/>
  </w:num>
  <w:num w:numId="8" w16cid:durableId="1555384154">
    <w:abstractNumId w:val="2"/>
  </w:num>
  <w:num w:numId="9" w16cid:durableId="1575042933">
    <w:abstractNumId w:val="3"/>
  </w:num>
  <w:num w:numId="10" w16cid:durableId="1988708594">
    <w:abstractNumId w:val="5"/>
  </w:num>
  <w:num w:numId="11" w16cid:durableId="956255212">
    <w:abstractNumId w:val="4"/>
  </w:num>
  <w:num w:numId="12" w16cid:durableId="126247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79A"/>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A3C"/>
    <w:rsid w:val="00004B2C"/>
    <w:rsid w:val="00005251"/>
    <w:rsid w:val="000053E5"/>
    <w:rsid w:val="000054FC"/>
    <w:rsid w:val="00005AEF"/>
    <w:rsid w:val="00005C2B"/>
    <w:rsid w:val="000062AE"/>
    <w:rsid w:val="000069B1"/>
    <w:rsid w:val="00006FAF"/>
    <w:rsid w:val="000070B5"/>
    <w:rsid w:val="00007343"/>
    <w:rsid w:val="00007794"/>
    <w:rsid w:val="00007798"/>
    <w:rsid w:val="000077EC"/>
    <w:rsid w:val="0000795B"/>
    <w:rsid w:val="00007F44"/>
    <w:rsid w:val="00007F86"/>
    <w:rsid w:val="00010535"/>
    <w:rsid w:val="000107A5"/>
    <w:rsid w:val="00011068"/>
    <w:rsid w:val="000110D5"/>
    <w:rsid w:val="0001124D"/>
    <w:rsid w:val="000112F0"/>
    <w:rsid w:val="000113BD"/>
    <w:rsid w:val="00011672"/>
    <w:rsid w:val="00012053"/>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285"/>
    <w:rsid w:val="00016838"/>
    <w:rsid w:val="0001693B"/>
    <w:rsid w:val="00016D72"/>
    <w:rsid w:val="00016D73"/>
    <w:rsid w:val="00016D92"/>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524"/>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1F6E"/>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C32"/>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6E88"/>
    <w:rsid w:val="00047FB0"/>
    <w:rsid w:val="000501F7"/>
    <w:rsid w:val="00050A0C"/>
    <w:rsid w:val="00050C99"/>
    <w:rsid w:val="00050F4D"/>
    <w:rsid w:val="000512B0"/>
    <w:rsid w:val="00052294"/>
    <w:rsid w:val="00052345"/>
    <w:rsid w:val="000527A0"/>
    <w:rsid w:val="00052A8F"/>
    <w:rsid w:val="00053464"/>
    <w:rsid w:val="00053590"/>
    <w:rsid w:val="000536B8"/>
    <w:rsid w:val="00053C1E"/>
    <w:rsid w:val="00054C4E"/>
    <w:rsid w:val="00054CD3"/>
    <w:rsid w:val="00055456"/>
    <w:rsid w:val="000555F1"/>
    <w:rsid w:val="00055674"/>
    <w:rsid w:val="000556CA"/>
    <w:rsid w:val="00055719"/>
    <w:rsid w:val="00055742"/>
    <w:rsid w:val="000558B7"/>
    <w:rsid w:val="00055CBF"/>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4D9"/>
    <w:rsid w:val="00065955"/>
    <w:rsid w:val="00065981"/>
    <w:rsid w:val="00065C4B"/>
    <w:rsid w:val="00065DEC"/>
    <w:rsid w:val="00065F71"/>
    <w:rsid w:val="00065FE7"/>
    <w:rsid w:val="00066048"/>
    <w:rsid w:val="00066162"/>
    <w:rsid w:val="00066220"/>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586"/>
    <w:rsid w:val="000775AC"/>
    <w:rsid w:val="00077A99"/>
    <w:rsid w:val="00077A9E"/>
    <w:rsid w:val="00077C6D"/>
    <w:rsid w:val="00077E8B"/>
    <w:rsid w:val="000803A9"/>
    <w:rsid w:val="000805D0"/>
    <w:rsid w:val="00080793"/>
    <w:rsid w:val="00080AC4"/>
    <w:rsid w:val="00080C5F"/>
    <w:rsid w:val="00080D9C"/>
    <w:rsid w:val="00081230"/>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69AA"/>
    <w:rsid w:val="0008716C"/>
    <w:rsid w:val="000871D3"/>
    <w:rsid w:val="00087474"/>
    <w:rsid w:val="000875CD"/>
    <w:rsid w:val="00087666"/>
    <w:rsid w:val="00090444"/>
    <w:rsid w:val="0009079C"/>
    <w:rsid w:val="00090887"/>
    <w:rsid w:val="000909F1"/>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2A"/>
    <w:rsid w:val="00094AAC"/>
    <w:rsid w:val="00094D8B"/>
    <w:rsid w:val="00094E85"/>
    <w:rsid w:val="0009518B"/>
    <w:rsid w:val="00095203"/>
    <w:rsid w:val="00095820"/>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975"/>
    <w:rsid w:val="000A30A1"/>
    <w:rsid w:val="000A3543"/>
    <w:rsid w:val="000A3BE6"/>
    <w:rsid w:val="000A41C5"/>
    <w:rsid w:val="000A45DE"/>
    <w:rsid w:val="000A5021"/>
    <w:rsid w:val="000A5108"/>
    <w:rsid w:val="000A5264"/>
    <w:rsid w:val="000A5451"/>
    <w:rsid w:val="000A55BC"/>
    <w:rsid w:val="000A57D5"/>
    <w:rsid w:val="000A5B6A"/>
    <w:rsid w:val="000A65FC"/>
    <w:rsid w:val="000A6BEA"/>
    <w:rsid w:val="000A6D2C"/>
    <w:rsid w:val="000A6DB5"/>
    <w:rsid w:val="000A6FA3"/>
    <w:rsid w:val="000A7419"/>
    <w:rsid w:val="000A7628"/>
    <w:rsid w:val="000A7B18"/>
    <w:rsid w:val="000A7BD4"/>
    <w:rsid w:val="000A7FF6"/>
    <w:rsid w:val="000B06BC"/>
    <w:rsid w:val="000B06EF"/>
    <w:rsid w:val="000B1615"/>
    <w:rsid w:val="000B179F"/>
    <w:rsid w:val="000B18DD"/>
    <w:rsid w:val="000B1B02"/>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8FF"/>
    <w:rsid w:val="000B4DF7"/>
    <w:rsid w:val="000B5643"/>
    <w:rsid w:val="000B5CDE"/>
    <w:rsid w:val="000B6065"/>
    <w:rsid w:val="000B6124"/>
    <w:rsid w:val="000B687F"/>
    <w:rsid w:val="000B6A38"/>
    <w:rsid w:val="000B7B74"/>
    <w:rsid w:val="000B7E3E"/>
    <w:rsid w:val="000B7E44"/>
    <w:rsid w:val="000B7EDF"/>
    <w:rsid w:val="000C08B0"/>
    <w:rsid w:val="000C0CA7"/>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6C8"/>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5BC"/>
    <w:rsid w:val="000E27D7"/>
    <w:rsid w:val="000E32D7"/>
    <w:rsid w:val="000E38DD"/>
    <w:rsid w:val="000E3F6A"/>
    <w:rsid w:val="000E407B"/>
    <w:rsid w:val="000E475B"/>
    <w:rsid w:val="000E4C37"/>
    <w:rsid w:val="000E4C72"/>
    <w:rsid w:val="000E4DDF"/>
    <w:rsid w:val="000E4E11"/>
    <w:rsid w:val="000E4E14"/>
    <w:rsid w:val="000E50B6"/>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CED"/>
    <w:rsid w:val="001013F8"/>
    <w:rsid w:val="00101715"/>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604"/>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E8D"/>
    <w:rsid w:val="001100B2"/>
    <w:rsid w:val="001100F9"/>
    <w:rsid w:val="00110461"/>
    <w:rsid w:val="00110CF9"/>
    <w:rsid w:val="00110ECD"/>
    <w:rsid w:val="0011108D"/>
    <w:rsid w:val="001111DF"/>
    <w:rsid w:val="001115F7"/>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4C6"/>
    <w:rsid w:val="001178DB"/>
    <w:rsid w:val="0011797D"/>
    <w:rsid w:val="00120154"/>
    <w:rsid w:val="001206D9"/>
    <w:rsid w:val="00120DF9"/>
    <w:rsid w:val="00121388"/>
    <w:rsid w:val="00121425"/>
    <w:rsid w:val="001215A1"/>
    <w:rsid w:val="00122287"/>
    <w:rsid w:val="0012240F"/>
    <w:rsid w:val="00123371"/>
    <w:rsid w:val="00123C70"/>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085"/>
    <w:rsid w:val="0013039E"/>
    <w:rsid w:val="001303E8"/>
    <w:rsid w:val="00130A86"/>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31EE"/>
    <w:rsid w:val="001434F1"/>
    <w:rsid w:val="00143627"/>
    <w:rsid w:val="00143823"/>
    <w:rsid w:val="00143E17"/>
    <w:rsid w:val="001440AB"/>
    <w:rsid w:val="00144633"/>
    <w:rsid w:val="00144865"/>
    <w:rsid w:val="00144E6F"/>
    <w:rsid w:val="001450FF"/>
    <w:rsid w:val="0014529C"/>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0DB"/>
    <w:rsid w:val="001561C3"/>
    <w:rsid w:val="001565D8"/>
    <w:rsid w:val="001565DB"/>
    <w:rsid w:val="00156922"/>
    <w:rsid w:val="001569C7"/>
    <w:rsid w:val="00156D08"/>
    <w:rsid w:val="00157224"/>
    <w:rsid w:val="00157832"/>
    <w:rsid w:val="00157A47"/>
    <w:rsid w:val="00157EBF"/>
    <w:rsid w:val="00157F39"/>
    <w:rsid w:val="0016017F"/>
    <w:rsid w:val="00160353"/>
    <w:rsid w:val="001607FC"/>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082"/>
    <w:rsid w:val="00170250"/>
    <w:rsid w:val="00170FA4"/>
    <w:rsid w:val="001714F4"/>
    <w:rsid w:val="001719CE"/>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C8A"/>
    <w:rsid w:val="00187E91"/>
    <w:rsid w:val="00187FA3"/>
    <w:rsid w:val="001902FD"/>
    <w:rsid w:val="00190327"/>
    <w:rsid w:val="001906FA"/>
    <w:rsid w:val="00190AF9"/>
    <w:rsid w:val="00190E90"/>
    <w:rsid w:val="001918ED"/>
    <w:rsid w:val="00191FCF"/>
    <w:rsid w:val="00192018"/>
    <w:rsid w:val="0019208F"/>
    <w:rsid w:val="0019242B"/>
    <w:rsid w:val="001928F6"/>
    <w:rsid w:val="00192C11"/>
    <w:rsid w:val="00192E52"/>
    <w:rsid w:val="00192E83"/>
    <w:rsid w:val="0019316E"/>
    <w:rsid w:val="001934EC"/>
    <w:rsid w:val="001934EF"/>
    <w:rsid w:val="001937CB"/>
    <w:rsid w:val="001945AE"/>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E3"/>
    <w:rsid w:val="001A3C5F"/>
    <w:rsid w:val="001A3D6D"/>
    <w:rsid w:val="001A4C2B"/>
    <w:rsid w:val="001A4E29"/>
    <w:rsid w:val="001A5161"/>
    <w:rsid w:val="001A5362"/>
    <w:rsid w:val="001A55DE"/>
    <w:rsid w:val="001A5F74"/>
    <w:rsid w:val="001A60CB"/>
    <w:rsid w:val="001A619E"/>
    <w:rsid w:val="001A653E"/>
    <w:rsid w:val="001A6874"/>
    <w:rsid w:val="001A6F13"/>
    <w:rsid w:val="001A7552"/>
    <w:rsid w:val="001A791C"/>
    <w:rsid w:val="001A7FAA"/>
    <w:rsid w:val="001B0875"/>
    <w:rsid w:val="001B0DB7"/>
    <w:rsid w:val="001B0DFE"/>
    <w:rsid w:val="001B140A"/>
    <w:rsid w:val="001B1AD3"/>
    <w:rsid w:val="001B2496"/>
    <w:rsid w:val="001B26F2"/>
    <w:rsid w:val="001B28CD"/>
    <w:rsid w:val="001B3017"/>
    <w:rsid w:val="001B3084"/>
    <w:rsid w:val="001B30FB"/>
    <w:rsid w:val="001B36C4"/>
    <w:rsid w:val="001B3979"/>
    <w:rsid w:val="001B3CE5"/>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361"/>
    <w:rsid w:val="001C1933"/>
    <w:rsid w:val="001C1942"/>
    <w:rsid w:val="001C1D36"/>
    <w:rsid w:val="001C2756"/>
    <w:rsid w:val="001C280E"/>
    <w:rsid w:val="001C2F56"/>
    <w:rsid w:val="001C32C8"/>
    <w:rsid w:val="001C34B8"/>
    <w:rsid w:val="001C38D8"/>
    <w:rsid w:val="001C3999"/>
    <w:rsid w:val="001C3DD0"/>
    <w:rsid w:val="001C45FE"/>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2EF6"/>
    <w:rsid w:val="001D3A86"/>
    <w:rsid w:val="001D3AA3"/>
    <w:rsid w:val="001D471B"/>
    <w:rsid w:val="001D48A6"/>
    <w:rsid w:val="001D514F"/>
    <w:rsid w:val="001D5205"/>
    <w:rsid w:val="001D597C"/>
    <w:rsid w:val="001D5988"/>
    <w:rsid w:val="001D5B51"/>
    <w:rsid w:val="001D5BE4"/>
    <w:rsid w:val="001D5C3A"/>
    <w:rsid w:val="001D5ECC"/>
    <w:rsid w:val="001D6485"/>
    <w:rsid w:val="001D6804"/>
    <w:rsid w:val="001D68B2"/>
    <w:rsid w:val="001D6A7C"/>
    <w:rsid w:val="001D6A93"/>
    <w:rsid w:val="001D7060"/>
    <w:rsid w:val="001D7592"/>
    <w:rsid w:val="001D7834"/>
    <w:rsid w:val="001E000A"/>
    <w:rsid w:val="001E0246"/>
    <w:rsid w:val="001E0405"/>
    <w:rsid w:val="001E0446"/>
    <w:rsid w:val="001E0B2E"/>
    <w:rsid w:val="001E12BC"/>
    <w:rsid w:val="001E1345"/>
    <w:rsid w:val="001E141A"/>
    <w:rsid w:val="001E18B5"/>
    <w:rsid w:val="001E1E1F"/>
    <w:rsid w:val="001E228C"/>
    <w:rsid w:val="001E284C"/>
    <w:rsid w:val="001E2932"/>
    <w:rsid w:val="001E2FCC"/>
    <w:rsid w:val="001E35C2"/>
    <w:rsid w:val="001E3C62"/>
    <w:rsid w:val="001E3EE5"/>
    <w:rsid w:val="001E4367"/>
    <w:rsid w:val="001E4A66"/>
    <w:rsid w:val="001E52D3"/>
    <w:rsid w:val="001E5CC2"/>
    <w:rsid w:val="001E5CCB"/>
    <w:rsid w:val="001E6004"/>
    <w:rsid w:val="001E639D"/>
    <w:rsid w:val="001E690F"/>
    <w:rsid w:val="001E6F4F"/>
    <w:rsid w:val="001E70DD"/>
    <w:rsid w:val="001E76FE"/>
    <w:rsid w:val="001E7896"/>
    <w:rsid w:val="001F0060"/>
    <w:rsid w:val="001F0479"/>
    <w:rsid w:val="001F0721"/>
    <w:rsid w:val="001F0BE1"/>
    <w:rsid w:val="001F0C89"/>
    <w:rsid w:val="001F119A"/>
    <w:rsid w:val="001F13A3"/>
    <w:rsid w:val="001F13AE"/>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C4C"/>
    <w:rsid w:val="00201FA6"/>
    <w:rsid w:val="00202019"/>
    <w:rsid w:val="00202381"/>
    <w:rsid w:val="002023B9"/>
    <w:rsid w:val="002025B6"/>
    <w:rsid w:val="002027DF"/>
    <w:rsid w:val="0020337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187D"/>
    <w:rsid w:val="002121F8"/>
    <w:rsid w:val="00212546"/>
    <w:rsid w:val="00212610"/>
    <w:rsid w:val="00212899"/>
    <w:rsid w:val="002128E0"/>
    <w:rsid w:val="00212AE1"/>
    <w:rsid w:val="00212C97"/>
    <w:rsid w:val="00212C9B"/>
    <w:rsid w:val="00212FFD"/>
    <w:rsid w:val="00213147"/>
    <w:rsid w:val="00213B7E"/>
    <w:rsid w:val="00213BD0"/>
    <w:rsid w:val="00214594"/>
    <w:rsid w:val="00214E69"/>
    <w:rsid w:val="00214F4D"/>
    <w:rsid w:val="0021509E"/>
    <w:rsid w:val="0021531A"/>
    <w:rsid w:val="00215575"/>
    <w:rsid w:val="00215741"/>
    <w:rsid w:val="0021584B"/>
    <w:rsid w:val="00216043"/>
    <w:rsid w:val="0021617B"/>
    <w:rsid w:val="0021627A"/>
    <w:rsid w:val="002166A0"/>
    <w:rsid w:val="0021692A"/>
    <w:rsid w:val="00216D66"/>
    <w:rsid w:val="002170B6"/>
    <w:rsid w:val="0021711C"/>
    <w:rsid w:val="00217965"/>
    <w:rsid w:val="00217AC4"/>
    <w:rsid w:val="00217B97"/>
    <w:rsid w:val="00217CAA"/>
    <w:rsid w:val="00217DBF"/>
    <w:rsid w:val="002206EE"/>
    <w:rsid w:val="00221A8C"/>
    <w:rsid w:val="00222443"/>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D7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79C"/>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93"/>
    <w:rsid w:val="00242AA8"/>
    <w:rsid w:val="0024325B"/>
    <w:rsid w:val="002432E4"/>
    <w:rsid w:val="002435C8"/>
    <w:rsid w:val="00243650"/>
    <w:rsid w:val="002436C8"/>
    <w:rsid w:val="00243B24"/>
    <w:rsid w:val="002444E8"/>
    <w:rsid w:val="0024494B"/>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7A4"/>
    <w:rsid w:val="002529ED"/>
    <w:rsid w:val="00252BFA"/>
    <w:rsid w:val="002533DA"/>
    <w:rsid w:val="0025371D"/>
    <w:rsid w:val="00253872"/>
    <w:rsid w:val="00253A02"/>
    <w:rsid w:val="00253B7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4F54"/>
    <w:rsid w:val="00265009"/>
    <w:rsid w:val="0026509E"/>
    <w:rsid w:val="00265846"/>
    <w:rsid w:val="00265EEA"/>
    <w:rsid w:val="00265FD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D74"/>
    <w:rsid w:val="00276030"/>
    <w:rsid w:val="0027625E"/>
    <w:rsid w:val="0027631F"/>
    <w:rsid w:val="002764B4"/>
    <w:rsid w:val="00276CA6"/>
    <w:rsid w:val="00277120"/>
    <w:rsid w:val="0027719C"/>
    <w:rsid w:val="00277707"/>
    <w:rsid w:val="00277C65"/>
    <w:rsid w:val="00277CAF"/>
    <w:rsid w:val="00280116"/>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29"/>
    <w:rsid w:val="002972F6"/>
    <w:rsid w:val="00297C96"/>
    <w:rsid w:val="00297DF6"/>
    <w:rsid w:val="002A001F"/>
    <w:rsid w:val="002A0089"/>
    <w:rsid w:val="002A0585"/>
    <w:rsid w:val="002A070A"/>
    <w:rsid w:val="002A0BBE"/>
    <w:rsid w:val="002A0BE0"/>
    <w:rsid w:val="002A0CDE"/>
    <w:rsid w:val="002A0D20"/>
    <w:rsid w:val="002A1421"/>
    <w:rsid w:val="002A1487"/>
    <w:rsid w:val="002A1B68"/>
    <w:rsid w:val="002A1BF7"/>
    <w:rsid w:val="002A1F5F"/>
    <w:rsid w:val="002A1FCD"/>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A78"/>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8E4"/>
    <w:rsid w:val="002B5FA3"/>
    <w:rsid w:val="002B6139"/>
    <w:rsid w:val="002B6C59"/>
    <w:rsid w:val="002B6E2E"/>
    <w:rsid w:val="002B74C0"/>
    <w:rsid w:val="002B74D6"/>
    <w:rsid w:val="002B7824"/>
    <w:rsid w:val="002B788B"/>
    <w:rsid w:val="002B78E3"/>
    <w:rsid w:val="002B7AD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5BD6"/>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15E"/>
    <w:rsid w:val="002D3455"/>
    <w:rsid w:val="002D439C"/>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DCF"/>
    <w:rsid w:val="002E7ED9"/>
    <w:rsid w:val="002E7F16"/>
    <w:rsid w:val="002F0232"/>
    <w:rsid w:val="002F0535"/>
    <w:rsid w:val="002F064A"/>
    <w:rsid w:val="002F0919"/>
    <w:rsid w:val="002F0D4B"/>
    <w:rsid w:val="002F1744"/>
    <w:rsid w:val="002F1790"/>
    <w:rsid w:val="002F1A6C"/>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20E"/>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491"/>
    <w:rsid w:val="00315821"/>
    <w:rsid w:val="00316162"/>
    <w:rsid w:val="003163ED"/>
    <w:rsid w:val="00316414"/>
    <w:rsid w:val="00316663"/>
    <w:rsid w:val="00316B9B"/>
    <w:rsid w:val="00316C08"/>
    <w:rsid w:val="0031726F"/>
    <w:rsid w:val="003179F2"/>
    <w:rsid w:val="00317A1A"/>
    <w:rsid w:val="00317A6B"/>
    <w:rsid w:val="003206B0"/>
    <w:rsid w:val="00320B52"/>
    <w:rsid w:val="00320E41"/>
    <w:rsid w:val="003210D7"/>
    <w:rsid w:val="0032125E"/>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3E9B"/>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A2"/>
    <w:rsid w:val="003373A2"/>
    <w:rsid w:val="00337624"/>
    <w:rsid w:val="00337667"/>
    <w:rsid w:val="003376B7"/>
    <w:rsid w:val="00337EFF"/>
    <w:rsid w:val="003406C6"/>
    <w:rsid w:val="00340E3A"/>
    <w:rsid w:val="00341034"/>
    <w:rsid w:val="00341241"/>
    <w:rsid w:val="00341570"/>
    <w:rsid w:val="003418E6"/>
    <w:rsid w:val="003422A8"/>
    <w:rsid w:val="003425A8"/>
    <w:rsid w:val="00342A17"/>
    <w:rsid w:val="00342D10"/>
    <w:rsid w:val="00343053"/>
    <w:rsid w:val="00343113"/>
    <w:rsid w:val="00343490"/>
    <w:rsid w:val="00343C7F"/>
    <w:rsid w:val="00344029"/>
    <w:rsid w:val="00344ACB"/>
    <w:rsid w:val="00344B4D"/>
    <w:rsid w:val="0034552C"/>
    <w:rsid w:val="0034561F"/>
    <w:rsid w:val="0034563B"/>
    <w:rsid w:val="003457D9"/>
    <w:rsid w:val="00345B66"/>
    <w:rsid w:val="00345DEC"/>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070"/>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6F2E"/>
    <w:rsid w:val="00357333"/>
    <w:rsid w:val="003574A7"/>
    <w:rsid w:val="0035763C"/>
    <w:rsid w:val="00357773"/>
    <w:rsid w:val="00357F21"/>
    <w:rsid w:val="00360316"/>
    <w:rsid w:val="00360363"/>
    <w:rsid w:val="00360806"/>
    <w:rsid w:val="00360B71"/>
    <w:rsid w:val="00360FA2"/>
    <w:rsid w:val="0036100B"/>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226"/>
    <w:rsid w:val="00364722"/>
    <w:rsid w:val="00364C2B"/>
    <w:rsid w:val="00365AEC"/>
    <w:rsid w:val="0036602B"/>
    <w:rsid w:val="00366241"/>
    <w:rsid w:val="00366AC9"/>
    <w:rsid w:val="00366C11"/>
    <w:rsid w:val="00366D94"/>
    <w:rsid w:val="00367815"/>
    <w:rsid w:val="00367A5A"/>
    <w:rsid w:val="00367BB6"/>
    <w:rsid w:val="00367D63"/>
    <w:rsid w:val="00367DC8"/>
    <w:rsid w:val="00367E7A"/>
    <w:rsid w:val="003703B3"/>
    <w:rsid w:val="00370A4E"/>
    <w:rsid w:val="00370C0A"/>
    <w:rsid w:val="0037114C"/>
    <w:rsid w:val="003717B5"/>
    <w:rsid w:val="00371A96"/>
    <w:rsid w:val="0037236F"/>
    <w:rsid w:val="003727D4"/>
    <w:rsid w:val="00372850"/>
    <w:rsid w:val="00372CB5"/>
    <w:rsid w:val="00372DF8"/>
    <w:rsid w:val="00372EC6"/>
    <w:rsid w:val="003730F9"/>
    <w:rsid w:val="00373763"/>
    <w:rsid w:val="0037442E"/>
    <w:rsid w:val="0037448C"/>
    <w:rsid w:val="00374C2A"/>
    <w:rsid w:val="00374CA9"/>
    <w:rsid w:val="003754B8"/>
    <w:rsid w:val="003756E4"/>
    <w:rsid w:val="00375CE3"/>
    <w:rsid w:val="0037699F"/>
    <w:rsid w:val="003777E7"/>
    <w:rsid w:val="00377C8B"/>
    <w:rsid w:val="00380123"/>
    <w:rsid w:val="00380544"/>
    <w:rsid w:val="0038056C"/>
    <w:rsid w:val="00381C48"/>
    <w:rsid w:val="00381ECE"/>
    <w:rsid w:val="00382719"/>
    <w:rsid w:val="00382EB2"/>
    <w:rsid w:val="003836EF"/>
    <w:rsid w:val="003839BA"/>
    <w:rsid w:val="00383A13"/>
    <w:rsid w:val="00383C33"/>
    <w:rsid w:val="00383C57"/>
    <w:rsid w:val="00383F28"/>
    <w:rsid w:val="00384281"/>
    <w:rsid w:val="00384345"/>
    <w:rsid w:val="003846BA"/>
    <w:rsid w:val="0038473D"/>
    <w:rsid w:val="00384820"/>
    <w:rsid w:val="00384857"/>
    <w:rsid w:val="00384921"/>
    <w:rsid w:val="00384C2B"/>
    <w:rsid w:val="00384ED1"/>
    <w:rsid w:val="003853D0"/>
    <w:rsid w:val="00385ED5"/>
    <w:rsid w:val="00386417"/>
    <w:rsid w:val="00386664"/>
    <w:rsid w:val="00387023"/>
    <w:rsid w:val="00387067"/>
    <w:rsid w:val="00387B31"/>
    <w:rsid w:val="00387F18"/>
    <w:rsid w:val="00390378"/>
    <w:rsid w:val="00390D75"/>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3EF7"/>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C23"/>
    <w:rsid w:val="003B59AF"/>
    <w:rsid w:val="003B6034"/>
    <w:rsid w:val="003B6935"/>
    <w:rsid w:val="003B6DA8"/>
    <w:rsid w:val="003B6FDF"/>
    <w:rsid w:val="003B6FEC"/>
    <w:rsid w:val="003B74D8"/>
    <w:rsid w:val="003B7626"/>
    <w:rsid w:val="003B7CFD"/>
    <w:rsid w:val="003C02CA"/>
    <w:rsid w:val="003C06A9"/>
    <w:rsid w:val="003C07A5"/>
    <w:rsid w:val="003C0CCA"/>
    <w:rsid w:val="003C0D6F"/>
    <w:rsid w:val="003C0D71"/>
    <w:rsid w:val="003C0D96"/>
    <w:rsid w:val="003C13B8"/>
    <w:rsid w:val="003C179A"/>
    <w:rsid w:val="003C17A7"/>
    <w:rsid w:val="003C1A9A"/>
    <w:rsid w:val="003C1BDC"/>
    <w:rsid w:val="003C1D87"/>
    <w:rsid w:val="003C2117"/>
    <w:rsid w:val="003C21BF"/>
    <w:rsid w:val="003C21E3"/>
    <w:rsid w:val="003C232A"/>
    <w:rsid w:val="003C290F"/>
    <w:rsid w:val="003C298D"/>
    <w:rsid w:val="003C2A9E"/>
    <w:rsid w:val="003C2D54"/>
    <w:rsid w:val="003C2E57"/>
    <w:rsid w:val="003C32E9"/>
    <w:rsid w:val="003C3394"/>
    <w:rsid w:val="003C3AA3"/>
    <w:rsid w:val="003C3B7F"/>
    <w:rsid w:val="003C4084"/>
    <w:rsid w:val="003C45A4"/>
    <w:rsid w:val="003C45A9"/>
    <w:rsid w:val="003C465B"/>
    <w:rsid w:val="003C4BCB"/>
    <w:rsid w:val="003C54CC"/>
    <w:rsid w:val="003C559D"/>
    <w:rsid w:val="003C5A9A"/>
    <w:rsid w:val="003C5BD9"/>
    <w:rsid w:val="003C5E8E"/>
    <w:rsid w:val="003C6A37"/>
    <w:rsid w:val="003C6E56"/>
    <w:rsid w:val="003C720A"/>
    <w:rsid w:val="003C7222"/>
    <w:rsid w:val="003C731F"/>
    <w:rsid w:val="003C7460"/>
    <w:rsid w:val="003C7557"/>
    <w:rsid w:val="003C75CB"/>
    <w:rsid w:val="003C7A1A"/>
    <w:rsid w:val="003C7AB6"/>
    <w:rsid w:val="003C7BD1"/>
    <w:rsid w:val="003C7D0C"/>
    <w:rsid w:val="003D027A"/>
    <w:rsid w:val="003D06E9"/>
    <w:rsid w:val="003D076F"/>
    <w:rsid w:val="003D08D3"/>
    <w:rsid w:val="003D0950"/>
    <w:rsid w:val="003D0C22"/>
    <w:rsid w:val="003D10EF"/>
    <w:rsid w:val="003D1CB0"/>
    <w:rsid w:val="003D255A"/>
    <w:rsid w:val="003D2625"/>
    <w:rsid w:val="003D2BB5"/>
    <w:rsid w:val="003D2DED"/>
    <w:rsid w:val="003D32F9"/>
    <w:rsid w:val="003D3C06"/>
    <w:rsid w:val="003D3EAC"/>
    <w:rsid w:val="003D3EB8"/>
    <w:rsid w:val="003D4031"/>
    <w:rsid w:val="003D40A0"/>
    <w:rsid w:val="003D422F"/>
    <w:rsid w:val="003D45F7"/>
    <w:rsid w:val="003D4D9B"/>
    <w:rsid w:val="003D4E74"/>
    <w:rsid w:val="003D5B61"/>
    <w:rsid w:val="003D5D1A"/>
    <w:rsid w:val="003D61EB"/>
    <w:rsid w:val="003D6C3B"/>
    <w:rsid w:val="003D76BE"/>
    <w:rsid w:val="003D7975"/>
    <w:rsid w:val="003D7C0B"/>
    <w:rsid w:val="003D7E2D"/>
    <w:rsid w:val="003E00BA"/>
    <w:rsid w:val="003E027D"/>
    <w:rsid w:val="003E02B0"/>
    <w:rsid w:val="003E077E"/>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020"/>
    <w:rsid w:val="003E4235"/>
    <w:rsid w:val="003E45CC"/>
    <w:rsid w:val="003E4701"/>
    <w:rsid w:val="003E4E79"/>
    <w:rsid w:val="003E5065"/>
    <w:rsid w:val="003E598C"/>
    <w:rsid w:val="003E59BC"/>
    <w:rsid w:val="003E60DD"/>
    <w:rsid w:val="003E6742"/>
    <w:rsid w:val="003E69C1"/>
    <w:rsid w:val="003E6FA7"/>
    <w:rsid w:val="003E723B"/>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5C"/>
    <w:rsid w:val="00415E8C"/>
    <w:rsid w:val="00416197"/>
    <w:rsid w:val="00416375"/>
    <w:rsid w:val="004163EF"/>
    <w:rsid w:val="004164A2"/>
    <w:rsid w:val="00416E67"/>
    <w:rsid w:val="00417689"/>
    <w:rsid w:val="00417761"/>
    <w:rsid w:val="00417B4B"/>
    <w:rsid w:val="004202EA"/>
    <w:rsid w:val="00420624"/>
    <w:rsid w:val="004206A0"/>
    <w:rsid w:val="00420C8B"/>
    <w:rsid w:val="00420DD9"/>
    <w:rsid w:val="004210A6"/>
    <w:rsid w:val="00421368"/>
    <w:rsid w:val="004216E6"/>
    <w:rsid w:val="004217B5"/>
    <w:rsid w:val="00421AFD"/>
    <w:rsid w:val="00421BBF"/>
    <w:rsid w:val="004223E9"/>
    <w:rsid w:val="0042267B"/>
    <w:rsid w:val="0042275E"/>
    <w:rsid w:val="00422C13"/>
    <w:rsid w:val="00423DDB"/>
    <w:rsid w:val="004246EB"/>
    <w:rsid w:val="00424814"/>
    <w:rsid w:val="00424B31"/>
    <w:rsid w:val="0042567D"/>
    <w:rsid w:val="00425A3C"/>
    <w:rsid w:val="004264E5"/>
    <w:rsid w:val="00426707"/>
    <w:rsid w:val="00426FBE"/>
    <w:rsid w:val="004277B2"/>
    <w:rsid w:val="00427839"/>
    <w:rsid w:val="00427A08"/>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353"/>
    <w:rsid w:val="00436B0A"/>
    <w:rsid w:val="00436B1E"/>
    <w:rsid w:val="00437104"/>
    <w:rsid w:val="004373AC"/>
    <w:rsid w:val="0043751E"/>
    <w:rsid w:val="00437643"/>
    <w:rsid w:val="00437772"/>
    <w:rsid w:val="00437794"/>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4D0"/>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4B02"/>
    <w:rsid w:val="004550AB"/>
    <w:rsid w:val="004552A3"/>
    <w:rsid w:val="0045624C"/>
    <w:rsid w:val="0045640D"/>
    <w:rsid w:val="00456D7C"/>
    <w:rsid w:val="00456DE5"/>
    <w:rsid w:val="004573A1"/>
    <w:rsid w:val="00457ACF"/>
    <w:rsid w:val="00457E75"/>
    <w:rsid w:val="00457F14"/>
    <w:rsid w:val="0046015E"/>
    <w:rsid w:val="0046016D"/>
    <w:rsid w:val="00460789"/>
    <w:rsid w:val="00460AC6"/>
    <w:rsid w:val="0046122C"/>
    <w:rsid w:val="00461562"/>
    <w:rsid w:val="004615DF"/>
    <w:rsid w:val="00462042"/>
    <w:rsid w:val="00462043"/>
    <w:rsid w:val="004629AF"/>
    <w:rsid w:val="00462C5B"/>
    <w:rsid w:val="00462EAE"/>
    <w:rsid w:val="00462FB8"/>
    <w:rsid w:val="00463507"/>
    <w:rsid w:val="0046361E"/>
    <w:rsid w:val="00464174"/>
    <w:rsid w:val="0046426E"/>
    <w:rsid w:val="00464648"/>
    <w:rsid w:val="00465489"/>
    <w:rsid w:val="004656AC"/>
    <w:rsid w:val="00465721"/>
    <w:rsid w:val="004659A4"/>
    <w:rsid w:val="00465A10"/>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0E5F"/>
    <w:rsid w:val="0047110B"/>
    <w:rsid w:val="004711E0"/>
    <w:rsid w:val="00471318"/>
    <w:rsid w:val="004715A0"/>
    <w:rsid w:val="00471AB0"/>
    <w:rsid w:val="00471D4F"/>
    <w:rsid w:val="00471EC7"/>
    <w:rsid w:val="00471FCA"/>
    <w:rsid w:val="004720DF"/>
    <w:rsid w:val="00472338"/>
    <w:rsid w:val="004725FE"/>
    <w:rsid w:val="004727E5"/>
    <w:rsid w:val="00472AE7"/>
    <w:rsid w:val="0047303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C98"/>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5F8"/>
    <w:rsid w:val="00487EEA"/>
    <w:rsid w:val="00490D6A"/>
    <w:rsid w:val="00490F24"/>
    <w:rsid w:val="0049116B"/>
    <w:rsid w:val="004916DD"/>
    <w:rsid w:val="00491728"/>
    <w:rsid w:val="00491899"/>
    <w:rsid w:val="00491D51"/>
    <w:rsid w:val="00492B02"/>
    <w:rsid w:val="00492D9A"/>
    <w:rsid w:val="00493070"/>
    <w:rsid w:val="00493C16"/>
    <w:rsid w:val="00493D23"/>
    <w:rsid w:val="0049480F"/>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67A"/>
    <w:rsid w:val="004A42F8"/>
    <w:rsid w:val="004A4739"/>
    <w:rsid w:val="004A47AF"/>
    <w:rsid w:val="004A482E"/>
    <w:rsid w:val="004A4C64"/>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3BB"/>
    <w:rsid w:val="004B2B25"/>
    <w:rsid w:val="004B2E5E"/>
    <w:rsid w:val="004B30C7"/>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5DFE"/>
    <w:rsid w:val="004B651C"/>
    <w:rsid w:val="004B65C4"/>
    <w:rsid w:val="004B683A"/>
    <w:rsid w:val="004B6A01"/>
    <w:rsid w:val="004B6A88"/>
    <w:rsid w:val="004B6C10"/>
    <w:rsid w:val="004B6D42"/>
    <w:rsid w:val="004B789A"/>
    <w:rsid w:val="004B7906"/>
    <w:rsid w:val="004B7C02"/>
    <w:rsid w:val="004B7C44"/>
    <w:rsid w:val="004B7FD0"/>
    <w:rsid w:val="004B7FE0"/>
    <w:rsid w:val="004C01E7"/>
    <w:rsid w:val="004C0266"/>
    <w:rsid w:val="004C0533"/>
    <w:rsid w:val="004C0768"/>
    <w:rsid w:val="004C0AFC"/>
    <w:rsid w:val="004C160D"/>
    <w:rsid w:val="004C18FA"/>
    <w:rsid w:val="004C1B8F"/>
    <w:rsid w:val="004C1DA6"/>
    <w:rsid w:val="004C1EA7"/>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53C"/>
    <w:rsid w:val="004D28BB"/>
    <w:rsid w:val="004D29D7"/>
    <w:rsid w:val="004D33A4"/>
    <w:rsid w:val="004D3D8E"/>
    <w:rsid w:val="004D4811"/>
    <w:rsid w:val="004D494F"/>
    <w:rsid w:val="004D4D0D"/>
    <w:rsid w:val="004D52A4"/>
    <w:rsid w:val="004D5972"/>
    <w:rsid w:val="004D5A08"/>
    <w:rsid w:val="004D5BFF"/>
    <w:rsid w:val="004D603D"/>
    <w:rsid w:val="004D682B"/>
    <w:rsid w:val="004D6BA5"/>
    <w:rsid w:val="004D6D73"/>
    <w:rsid w:val="004D7063"/>
    <w:rsid w:val="004D73F7"/>
    <w:rsid w:val="004D75BA"/>
    <w:rsid w:val="004D7633"/>
    <w:rsid w:val="004D7FBF"/>
    <w:rsid w:val="004E0732"/>
    <w:rsid w:val="004E1A58"/>
    <w:rsid w:val="004E1CEC"/>
    <w:rsid w:val="004E1FD0"/>
    <w:rsid w:val="004E2073"/>
    <w:rsid w:val="004E251B"/>
    <w:rsid w:val="004E29CC"/>
    <w:rsid w:val="004E2CCD"/>
    <w:rsid w:val="004E2CD0"/>
    <w:rsid w:val="004E30F6"/>
    <w:rsid w:val="004E3141"/>
    <w:rsid w:val="004E31F7"/>
    <w:rsid w:val="004E377F"/>
    <w:rsid w:val="004E3A4F"/>
    <w:rsid w:val="004E3D0D"/>
    <w:rsid w:val="004E4019"/>
    <w:rsid w:val="004E4474"/>
    <w:rsid w:val="004E4533"/>
    <w:rsid w:val="004E4579"/>
    <w:rsid w:val="004E4D10"/>
    <w:rsid w:val="004E4DF8"/>
    <w:rsid w:val="004E518D"/>
    <w:rsid w:val="004E5624"/>
    <w:rsid w:val="004E5A46"/>
    <w:rsid w:val="004E637A"/>
    <w:rsid w:val="004E65C1"/>
    <w:rsid w:val="004E6676"/>
    <w:rsid w:val="004E6C87"/>
    <w:rsid w:val="004E7123"/>
    <w:rsid w:val="004E7FF5"/>
    <w:rsid w:val="004F0143"/>
    <w:rsid w:val="004F05EB"/>
    <w:rsid w:val="004F060E"/>
    <w:rsid w:val="004F0A21"/>
    <w:rsid w:val="004F0BBC"/>
    <w:rsid w:val="004F0C13"/>
    <w:rsid w:val="004F0DF1"/>
    <w:rsid w:val="004F0EA8"/>
    <w:rsid w:val="004F0ED6"/>
    <w:rsid w:val="004F12D0"/>
    <w:rsid w:val="004F176C"/>
    <w:rsid w:val="004F2041"/>
    <w:rsid w:val="004F226B"/>
    <w:rsid w:val="004F2917"/>
    <w:rsid w:val="004F2CF3"/>
    <w:rsid w:val="004F3A9A"/>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3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07E70"/>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D1C"/>
    <w:rsid w:val="00516E8A"/>
    <w:rsid w:val="00516ECB"/>
    <w:rsid w:val="0051766D"/>
    <w:rsid w:val="00517F99"/>
    <w:rsid w:val="00517FAC"/>
    <w:rsid w:val="00520154"/>
    <w:rsid w:val="005204BF"/>
    <w:rsid w:val="0052061C"/>
    <w:rsid w:val="005207D0"/>
    <w:rsid w:val="005209C2"/>
    <w:rsid w:val="00520A20"/>
    <w:rsid w:val="00520B2C"/>
    <w:rsid w:val="00520D2F"/>
    <w:rsid w:val="00521998"/>
    <w:rsid w:val="005219CC"/>
    <w:rsid w:val="00521C3D"/>
    <w:rsid w:val="00521CE3"/>
    <w:rsid w:val="0052227C"/>
    <w:rsid w:val="005228DC"/>
    <w:rsid w:val="00522DFC"/>
    <w:rsid w:val="005231A9"/>
    <w:rsid w:val="00523588"/>
    <w:rsid w:val="0052389A"/>
    <w:rsid w:val="00523AFE"/>
    <w:rsid w:val="00523B12"/>
    <w:rsid w:val="0052476E"/>
    <w:rsid w:val="00524B17"/>
    <w:rsid w:val="0052501F"/>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842"/>
    <w:rsid w:val="00530E0F"/>
    <w:rsid w:val="0053110E"/>
    <w:rsid w:val="005314B5"/>
    <w:rsid w:val="00531F89"/>
    <w:rsid w:val="00532170"/>
    <w:rsid w:val="005321F8"/>
    <w:rsid w:val="00532380"/>
    <w:rsid w:val="005323B9"/>
    <w:rsid w:val="00532805"/>
    <w:rsid w:val="005329CF"/>
    <w:rsid w:val="00532BF8"/>
    <w:rsid w:val="00532EA6"/>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C4"/>
    <w:rsid w:val="00541EDA"/>
    <w:rsid w:val="00541FA1"/>
    <w:rsid w:val="00541FF3"/>
    <w:rsid w:val="005421B0"/>
    <w:rsid w:val="005428A8"/>
    <w:rsid w:val="00542B6C"/>
    <w:rsid w:val="0054362D"/>
    <w:rsid w:val="00543C68"/>
    <w:rsid w:val="005441D9"/>
    <w:rsid w:val="00544848"/>
    <w:rsid w:val="00544D8E"/>
    <w:rsid w:val="005454D5"/>
    <w:rsid w:val="00545681"/>
    <w:rsid w:val="00545865"/>
    <w:rsid w:val="00545997"/>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35D"/>
    <w:rsid w:val="005556F2"/>
    <w:rsid w:val="005556FC"/>
    <w:rsid w:val="00555B45"/>
    <w:rsid w:val="0055602B"/>
    <w:rsid w:val="00556616"/>
    <w:rsid w:val="005567BD"/>
    <w:rsid w:val="00556D03"/>
    <w:rsid w:val="00556E3B"/>
    <w:rsid w:val="00557207"/>
    <w:rsid w:val="005573D8"/>
    <w:rsid w:val="00557471"/>
    <w:rsid w:val="00557E34"/>
    <w:rsid w:val="00560BEE"/>
    <w:rsid w:val="00560C21"/>
    <w:rsid w:val="005612B3"/>
    <w:rsid w:val="00561511"/>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465"/>
    <w:rsid w:val="005776CB"/>
    <w:rsid w:val="00577B96"/>
    <w:rsid w:val="00577D93"/>
    <w:rsid w:val="0058008D"/>
    <w:rsid w:val="0058014B"/>
    <w:rsid w:val="005802A1"/>
    <w:rsid w:val="00580755"/>
    <w:rsid w:val="00580938"/>
    <w:rsid w:val="00580B9B"/>
    <w:rsid w:val="005812E9"/>
    <w:rsid w:val="005813BB"/>
    <w:rsid w:val="00581426"/>
    <w:rsid w:val="00581447"/>
    <w:rsid w:val="005814F1"/>
    <w:rsid w:val="005816FE"/>
    <w:rsid w:val="005845DE"/>
    <w:rsid w:val="00584862"/>
    <w:rsid w:val="00584986"/>
    <w:rsid w:val="00584BD8"/>
    <w:rsid w:val="00584F26"/>
    <w:rsid w:val="00585083"/>
    <w:rsid w:val="005850BE"/>
    <w:rsid w:val="0058510B"/>
    <w:rsid w:val="00585173"/>
    <w:rsid w:val="00585ECF"/>
    <w:rsid w:val="00586260"/>
    <w:rsid w:val="00586BC3"/>
    <w:rsid w:val="00586D40"/>
    <w:rsid w:val="00586DC6"/>
    <w:rsid w:val="00587313"/>
    <w:rsid w:val="00587B41"/>
    <w:rsid w:val="00590041"/>
    <w:rsid w:val="0059032C"/>
    <w:rsid w:val="00590A01"/>
    <w:rsid w:val="00590C30"/>
    <w:rsid w:val="00590C61"/>
    <w:rsid w:val="005919F4"/>
    <w:rsid w:val="00591A13"/>
    <w:rsid w:val="0059234A"/>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549"/>
    <w:rsid w:val="005978D3"/>
    <w:rsid w:val="005A00A5"/>
    <w:rsid w:val="005A01DD"/>
    <w:rsid w:val="005A05A0"/>
    <w:rsid w:val="005A076E"/>
    <w:rsid w:val="005A093B"/>
    <w:rsid w:val="005A124A"/>
    <w:rsid w:val="005A13EA"/>
    <w:rsid w:val="005A1706"/>
    <w:rsid w:val="005A1732"/>
    <w:rsid w:val="005A1997"/>
    <w:rsid w:val="005A1AAC"/>
    <w:rsid w:val="005A208D"/>
    <w:rsid w:val="005A25D1"/>
    <w:rsid w:val="005A2BDD"/>
    <w:rsid w:val="005A3483"/>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2DA"/>
    <w:rsid w:val="005B28DB"/>
    <w:rsid w:val="005B296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2DE"/>
    <w:rsid w:val="005C3ACE"/>
    <w:rsid w:val="005C3F74"/>
    <w:rsid w:val="005C411B"/>
    <w:rsid w:val="005C41BB"/>
    <w:rsid w:val="005C4EB4"/>
    <w:rsid w:val="005C510C"/>
    <w:rsid w:val="005C5151"/>
    <w:rsid w:val="005C5BA4"/>
    <w:rsid w:val="005C5F6E"/>
    <w:rsid w:val="005C600C"/>
    <w:rsid w:val="005C63CD"/>
    <w:rsid w:val="005C65B3"/>
    <w:rsid w:val="005C6814"/>
    <w:rsid w:val="005C6B02"/>
    <w:rsid w:val="005C72C6"/>
    <w:rsid w:val="005C7397"/>
    <w:rsid w:val="005C73AD"/>
    <w:rsid w:val="005C7894"/>
    <w:rsid w:val="005C7CEB"/>
    <w:rsid w:val="005C7D85"/>
    <w:rsid w:val="005D0661"/>
    <w:rsid w:val="005D078A"/>
    <w:rsid w:val="005D0986"/>
    <w:rsid w:val="005D0B78"/>
    <w:rsid w:val="005D0BEE"/>
    <w:rsid w:val="005D0CC1"/>
    <w:rsid w:val="005D0F48"/>
    <w:rsid w:val="005D1FD8"/>
    <w:rsid w:val="005D2191"/>
    <w:rsid w:val="005D25D7"/>
    <w:rsid w:val="005D2648"/>
    <w:rsid w:val="005D273D"/>
    <w:rsid w:val="005D2788"/>
    <w:rsid w:val="005D2C87"/>
    <w:rsid w:val="005D2E89"/>
    <w:rsid w:val="005D31FD"/>
    <w:rsid w:val="005D32FF"/>
    <w:rsid w:val="005D39E1"/>
    <w:rsid w:val="005D3BB5"/>
    <w:rsid w:val="005D3BF7"/>
    <w:rsid w:val="005D3CDE"/>
    <w:rsid w:val="005D3EE2"/>
    <w:rsid w:val="005D3F59"/>
    <w:rsid w:val="005D440E"/>
    <w:rsid w:val="005D48C0"/>
    <w:rsid w:val="005D49DE"/>
    <w:rsid w:val="005D52BF"/>
    <w:rsid w:val="005D54C3"/>
    <w:rsid w:val="005D60F4"/>
    <w:rsid w:val="005D68DC"/>
    <w:rsid w:val="005D695A"/>
    <w:rsid w:val="005D6CE7"/>
    <w:rsid w:val="005D6F41"/>
    <w:rsid w:val="005D76A3"/>
    <w:rsid w:val="005D7BBF"/>
    <w:rsid w:val="005D7D9B"/>
    <w:rsid w:val="005D7DBB"/>
    <w:rsid w:val="005D7F5A"/>
    <w:rsid w:val="005E0424"/>
    <w:rsid w:val="005E0892"/>
    <w:rsid w:val="005E1090"/>
    <w:rsid w:val="005E13FA"/>
    <w:rsid w:val="005E160B"/>
    <w:rsid w:val="005E163F"/>
    <w:rsid w:val="005E1A6E"/>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6C"/>
    <w:rsid w:val="005E5FEF"/>
    <w:rsid w:val="005E6000"/>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215"/>
    <w:rsid w:val="005F144C"/>
    <w:rsid w:val="005F1576"/>
    <w:rsid w:val="005F1FCE"/>
    <w:rsid w:val="005F29CA"/>
    <w:rsid w:val="005F2C54"/>
    <w:rsid w:val="005F2DEC"/>
    <w:rsid w:val="005F32E8"/>
    <w:rsid w:val="005F32F7"/>
    <w:rsid w:val="005F3691"/>
    <w:rsid w:val="005F3843"/>
    <w:rsid w:val="005F39FD"/>
    <w:rsid w:val="005F3A2E"/>
    <w:rsid w:val="005F3C3D"/>
    <w:rsid w:val="005F3EF4"/>
    <w:rsid w:val="005F42A0"/>
    <w:rsid w:val="005F48A6"/>
    <w:rsid w:val="005F4E4A"/>
    <w:rsid w:val="005F5142"/>
    <w:rsid w:val="005F517C"/>
    <w:rsid w:val="005F530B"/>
    <w:rsid w:val="005F5405"/>
    <w:rsid w:val="005F54CC"/>
    <w:rsid w:val="005F5830"/>
    <w:rsid w:val="005F593C"/>
    <w:rsid w:val="005F59C2"/>
    <w:rsid w:val="005F5C0B"/>
    <w:rsid w:val="005F60AB"/>
    <w:rsid w:val="005F7220"/>
    <w:rsid w:val="005F74A3"/>
    <w:rsid w:val="005F7641"/>
    <w:rsid w:val="005F772F"/>
    <w:rsid w:val="005F7B8F"/>
    <w:rsid w:val="005F7E17"/>
    <w:rsid w:val="0060061D"/>
    <w:rsid w:val="006015CF"/>
    <w:rsid w:val="006018DA"/>
    <w:rsid w:val="00601B6E"/>
    <w:rsid w:val="00601D5D"/>
    <w:rsid w:val="00602366"/>
    <w:rsid w:val="006025CD"/>
    <w:rsid w:val="00602C06"/>
    <w:rsid w:val="00602D80"/>
    <w:rsid w:val="00603338"/>
    <w:rsid w:val="00603A2A"/>
    <w:rsid w:val="00603EDE"/>
    <w:rsid w:val="00603FB6"/>
    <w:rsid w:val="00604433"/>
    <w:rsid w:val="00604785"/>
    <w:rsid w:val="00604B8E"/>
    <w:rsid w:val="00605018"/>
    <w:rsid w:val="0060528C"/>
    <w:rsid w:val="00605BCF"/>
    <w:rsid w:val="00606425"/>
    <w:rsid w:val="00606FF1"/>
    <w:rsid w:val="006070EA"/>
    <w:rsid w:val="00607135"/>
    <w:rsid w:val="0060740C"/>
    <w:rsid w:val="006075BB"/>
    <w:rsid w:val="006077A2"/>
    <w:rsid w:val="00607914"/>
    <w:rsid w:val="00607A3F"/>
    <w:rsid w:val="00607AC1"/>
    <w:rsid w:val="00607D3B"/>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840"/>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B3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7D8"/>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358"/>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5989"/>
    <w:rsid w:val="00655A7F"/>
    <w:rsid w:val="00656891"/>
    <w:rsid w:val="00656B7F"/>
    <w:rsid w:val="00656E83"/>
    <w:rsid w:val="00657053"/>
    <w:rsid w:val="00657056"/>
    <w:rsid w:val="00657978"/>
    <w:rsid w:val="006601DE"/>
    <w:rsid w:val="006602CA"/>
    <w:rsid w:val="00660523"/>
    <w:rsid w:val="0066094D"/>
    <w:rsid w:val="006609C0"/>
    <w:rsid w:val="00660A41"/>
    <w:rsid w:val="006612DD"/>
    <w:rsid w:val="0066153A"/>
    <w:rsid w:val="00661AA2"/>
    <w:rsid w:val="00661D4A"/>
    <w:rsid w:val="0066223A"/>
    <w:rsid w:val="00662289"/>
    <w:rsid w:val="00662715"/>
    <w:rsid w:val="00663068"/>
    <w:rsid w:val="006636B1"/>
    <w:rsid w:val="006638E5"/>
    <w:rsid w:val="00663AE4"/>
    <w:rsid w:val="00663E67"/>
    <w:rsid w:val="0066441C"/>
    <w:rsid w:val="006644F3"/>
    <w:rsid w:val="00664579"/>
    <w:rsid w:val="00664589"/>
    <w:rsid w:val="00664FF3"/>
    <w:rsid w:val="00665288"/>
    <w:rsid w:val="0066532F"/>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0DA"/>
    <w:rsid w:val="0067015E"/>
    <w:rsid w:val="006701BD"/>
    <w:rsid w:val="00670A4D"/>
    <w:rsid w:val="006710F2"/>
    <w:rsid w:val="00671270"/>
    <w:rsid w:val="006716C6"/>
    <w:rsid w:val="00671980"/>
    <w:rsid w:val="006720FD"/>
    <w:rsid w:val="00672428"/>
    <w:rsid w:val="00672450"/>
    <w:rsid w:val="00672852"/>
    <w:rsid w:val="00672A0D"/>
    <w:rsid w:val="00672BD5"/>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7FF"/>
    <w:rsid w:val="00682D91"/>
    <w:rsid w:val="00682FF4"/>
    <w:rsid w:val="00683269"/>
    <w:rsid w:val="00683531"/>
    <w:rsid w:val="006836B3"/>
    <w:rsid w:val="0068396F"/>
    <w:rsid w:val="00684792"/>
    <w:rsid w:val="006850CB"/>
    <w:rsid w:val="00685730"/>
    <w:rsid w:val="0068586A"/>
    <w:rsid w:val="00685A27"/>
    <w:rsid w:val="00685B8D"/>
    <w:rsid w:val="00685BDB"/>
    <w:rsid w:val="0068638B"/>
    <w:rsid w:val="0068640F"/>
    <w:rsid w:val="00686A1A"/>
    <w:rsid w:val="00686BDB"/>
    <w:rsid w:val="00686DBB"/>
    <w:rsid w:val="006871AF"/>
    <w:rsid w:val="006872C5"/>
    <w:rsid w:val="00687967"/>
    <w:rsid w:val="00687AD0"/>
    <w:rsid w:val="00690620"/>
    <w:rsid w:val="0069066D"/>
    <w:rsid w:val="00690FE5"/>
    <w:rsid w:val="00691855"/>
    <w:rsid w:val="00691F6A"/>
    <w:rsid w:val="00692668"/>
    <w:rsid w:val="006927AE"/>
    <w:rsid w:val="00692C93"/>
    <w:rsid w:val="00692F96"/>
    <w:rsid w:val="00693141"/>
    <w:rsid w:val="00693682"/>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9F"/>
    <w:rsid w:val="006A03A9"/>
    <w:rsid w:val="006A049A"/>
    <w:rsid w:val="006A07F1"/>
    <w:rsid w:val="006A0A4D"/>
    <w:rsid w:val="006A0DDA"/>
    <w:rsid w:val="006A1496"/>
    <w:rsid w:val="006A17AF"/>
    <w:rsid w:val="006A17E2"/>
    <w:rsid w:val="006A19B0"/>
    <w:rsid w:val="006A19B9"/>
    <w:rsid w:val="006A2391"/>
    <w:rsid w:val="006A23C5"/>
    <w:rsid w:val="006A25FF"/>
    <w:rsid w:val="006A36BD"/>
    <w:rsid w:val="006A3BC9"/>
    <w:rsid w:val="006A43F6"/>
    <w:rsid w:val="006A44D6"/>
    <w:rsid w:val="006A4821"/>
    <w:rsid w:val="006A4D55"/>
    <w:rsid w:val="006A4E9C"/>
    <w:rsid w:val="006A5727"/>
    <w:rsid w:val="006A5A0B"/>
    <w:rsid w:val="006A61DB"/>
    <w:rsid w:val="006A6226"/>
    <w:rsid w:val="006A626D"/>
    <w:rsid w:val="006A69C3"/>
    <w:rsid w:val="006A6C9F"/>
    <w:rsid w:val="006A7793"/>
    <w:rsid w:val="006B0378"/>
    <w:rsid w:val="006B0B7E"/>
    <w:rsid w:val="006B1F65"/>
    <w:rsid w:val="006B25DD"/>
    <w:rsid w:val="006B2954"/>
    <w:rsid w:val="006B2F1A"/>
    <w:rsid w:val="006B3B5D"/>
    <w:rsid w:val="006B3C1E"/>
    <w:rsid w:val="006B4959"/>
    <w:rsid w:val="006B5089"/>
    <w:rsid w:val="006B5147"/>
    <w:rsid w:val="006B51F6"/>
    <w:rsid w:val="006B5926"/>
    <w:rsid w:val="006B5A93"/>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37B"/>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C33"/>
    <w:rsid w:val="006D1E95"/>
    <w:rsid w:val="006D1F59"/>
    <w:rsid w:val="006D1F71"/>
    <w:rsid w:val="006D269D"/>
    <w:rsid w:val="006D27CC"/>
    <w:rsid w:val="006D2A2A"/>
    <w:rsid w:val="006D2ABD"/>
    <w:rsid w:val="006D2D5B"/>
    <w:rsid w:val="006D2E86"/>
    <w:rsid w:val="006D3043"/>
    <w:rsid w:val="006D32F1"/>
    <w:rsid w:val="006D38AC"/>
    <w:rsid w:val="006D4042"/>
    <w:rsid w:val="006D4221"/>
    <w:rsid w:val="006D4408"/>
    <w:rsid w:val="006D4593"/>
    <w:rsid w:val="006D45A9"/>
    <w:rsid w:val="006D47A0"/>
    <w:rsid w:val="006D4858"/>
    <w:rsid w:val="006D4D6E"/>
    <w:rsid w:val="006D526C"/>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14F6"/>
    <w:rsid w:val="006E2106"/>
    <w:rsid w:val="006E2B78"/>
    <w:rsid w:val="006E2D21"/>
    <w:rsid w:val="006E32B2"/>
    <w:rsid w:val="006E3866"/>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4D3"/>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2BAA"/>
    <w:rsid w:val="00702E40"/>
    <w:rsid w:val="0070300D"/>
    <w:rsid w:val="00703D2F"/>
    <w:rsid w:val="007041D0"/>
    <w:rsid w:val="007043AD"/>
    <w:rsid w:val="007045FB"/>
    <w:rsid w:val="0070462C"/>
    <w:rsid w:val="00704933"/>
    <w:rsid w:val="00704C4D"/>
    <w:rsid w:val="00704E15"/>
    <w:rsid w:val="00705105"/>
    <w:rsid w:val="0070516D"/>
    <w:rsid w:val="007051CF"/>
    <w:rsid w:val="00705AAB"/>
    <w:rsid w:val="00705DBD"/>
    <w:rsid w:val="0070623E"/>
    <w:rsid w:val="00706272"/>
    <w:rsid w:val="007067CE"/>
    <w:rsid w:val="00706804"/>
    <w:rsid w:val="00706E3B"/>
    <w:rsid w:val="007071F1"/>
    <w:rsid w:val="007074F6"/>
    <w:rsid w:val="007074F9"/>
    <w:rsid w:val="00707583"/>
    <w:rsid w:val="007078C6"/>
    <w:rsid w:val="00710478"/>
    <w:rsid w:val="00710956"/>
    <w:rsid w:val="00710C64"/>
    <w:rsid w:val="00711145"/>
    <w:rsid w:val="00711A5E"/>
    <w:rsid w:val="00711B6D"/>
    <w:rsid w:val="00712130"/>
    <w:rsid w:val="0071215C"/>
    <w:rsid w:val="0071274D"/>
    <w:rsid w:val="00712B5E"/>
    <w:rsid w:val="00712BC9"/>
    <w:rsid w:val="00712CBA"/>
    <w:rsid w:val="007130A8"/>
    <w:rsid w:val="007136E9"/>
    <w:rsid w:val="00713C26"/>
    <w:rsid w:val="00713CC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CD5"/>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169"/>
    <w:rsid w:val="007217B4"/>
    <w:rsid w:val="0072259A"/>
    <w:rsid w:val="007225E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4F6E"/>
    <w:rsid w:val="0073598E"/>
    <w:rsid w:val="00735F7F"/>
    <w:rsid w:val="00736A76"/>
    <w:rsid w:val="00736ABD"/>
    <w:rsid w:val="00736C7A"/>
    <w:rsid w:val="00736E5C"/>
    <w:rsid w:val="00737299"/>
    <w:rsid w:val="007372DC"/>
    <w:rsid w:val="00737404"/>
    <w:rsid w:val="00737489"/>
    <w:rsid w:val="007375EA"/>
    <w:rsid w:val="00737C45"/>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1F9"/>
    <w:rsid w:val="00747A3D"/>
    <w:rsid w:val="00747FE7"/>
    <w:rsid w:val="00750237"/>
    <w:rsid w:val="00750246"/>
    <w:rsid w:val="007502DA"/>
    <w:rsid w:val="007503AE"/>
    <w:rsid w:val="007505C5"/>
    <w:rsid w:val="007506C5"/>
    <w:rsid w:val="007506E1"/>
    <w:rsid w:val="0075083E"/>
    <w:rsid w:val="007508B7"/>
    <w:rsid w:val="00750916"/>
    <w:rsid w:val="00750DD7"/>
    <w:rsid w:val="00750E07"/>
    <w:rsid w:val="00751153"/>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780"/>
    <w:rsid w:val="00755C95"/>
    <w:rsid w:val="00755ECA"/>
    <w:rsid w:val="007562B6"/>
    <w:rsid w:val="007569F1"/>
    <w:rsid w:val="007571F9"/>
    <w:rsid w:val="00757494"/>
    <w:rsid w:val="007574D7"/>
    <w:rsid w:val="00757801"/>
    <w:rsid w:val="00757A18"/>
    <w:rsid w:val="007600D7"/>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71"/>
    <w:rsid w:val="007646B1"/>
    <w:rsid w:val="00764E20"/>
    <w:rsid w:val="00764FCB"/>
    <w:rsid w:val="0076586A"/>
    <w:rsid w:val="007658BA"/>
    <w:rsid w:val="007659B1"/>
    <w:rsid w:val="00765A52"/>
    <w:rsid w:val="00765A91"/>
    <w:rsid w:val="00765F8D"/>
    <w:rsid w:val="00766414"/>
    <w:rsid w:val="0076658A"/>
    <w:rsid w:val="00766C8E"/>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CB6"/>
    <w:rsid w:val="00773DE2"/>
    <w:rsid w:val="00773F03"/>
    <w:rsid w:val="0077439E"/>
    <w:rsid w:val="007744E9"/>
    <w:rsid w:val="00774576"/>
    <w:rsid w:val="00774619"/>
    <w:rsid w:val="00774C36"/>
    <w:rsid w:val="007750E7"/>
    <w:rsid w:val="007757EA"/>
    <w:rsid w:val="00775880"/>
    <w:rsid w:val="00776132"/>
    <w:rsid w:val="00776295"/>
    <w:rsid w:val="007765C8"/>
    <w:rsid w:val="00776783"/>
    <w:rsid w:val="00776A7A"/>
    <w:rsid w:val="00777140"/>
    <w:rsid w:val="0077721F"/>
    <w:rsid w:val="00777476"/>
    <w:rsid w:val="007775B2"/>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17"/>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562"/>
    <w:rsid w:val="007A2666"/>
    <w:rsid w:val="007A2EBF"/>
    <w:rsid w:val="007A3508"/>
    <w:rsid w:val="007A3843"/>
    <w:rsid w:val="007A3FB8"/>
    <w:rsid w:val="007A4973"/>
    <w:rsid w:val="007A4AFB"/>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372"/>
    <w:rsid w:val="007B55B0"/>
    <w:rsid w:val="007B5611"/>
    <w:rsid w:val="007B5A6B"/>
    <w:rsid w:val="007B5BB9"/>
    <w:rsid w:val="007B5CFE"/>
    <w:rsid w:val="007B5DD0"/>
    <w:rsid w:val="007B5E2B"/>
    <w:rsid w:val="007B6198"/>
    <w:rsid w:val="007B61AB"/>
    <w:rsid w:val="007B6AA2"/>
    <w:rsid w:val="007B6AC7"/>
    <w:rsid w:val="007B6E3D"/>
    <w:rsid w:val="007B7516"/>
    <w:rsid w:val="007B769F"/>
    <w:rsid w:val="007B797B"/>
    <w:rsid w:val="007B7D01"/>
    <w:rsid w:val="007C0154"/>
    <w:rsid w:val="007C020E"/>
    <w:rsid w:val="007C078A"/>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A4A"/>
    <w:rsid w:val="007C6D15"/>
    <w:rsid w:val="007C6D71"/>
    <w:rsid w:val="007C7340"/>
    <w:rsid w:val="007C75EA"/>
    <w:rsid w:val="007C7749"/>
    <w:rsid w:val="007C7C35"/>
    <w:rsid w:val="007C7FD3"/>
    <w:rsid w:val="007D0192"/>
    <w:rsid w:val="007D0625"/>
    <w:rsid w:val="007D0E96"/>
    <w:rsid w:val="007D15D6"/>
    <w:rsid w:val="007D1932"/>
    <w:rsid w:val="007D1C6D"/>
    <w:rsid w:val="007D1DA0"/>
    <w:rsid w:val="007D209E"/>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983"/>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649"/>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AE"/>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56"/>
    <w:rsid w:val="00803EDC"/>
    <w:rsid w:val="008042A6"/>
    <w:rsid w:val="008044ED"/>
    <w:rsid w:val="008045BD"/>
    <w:rsid w:val="00804DD8"/>
    <w:rsid w:val="00804FA0"/>
    <w:rsid w:val="008052E6"/>
    <w:rsid w:val="00806817"/>
    <w:rsid w:val="00806A87"/>
    <w:rsid w:val="00806CEE"/>
    <w:rsid w:val="00806DE4"/>
    <w:rsid w:val="008071E5"/>
    <w:rsid w:val="00807E76"/>
    <w:rsid w:val="008101D5"/>
    <w:rsid w:val="00810266"/>
    <w:rsid w:val="0081070E"/>
    <w:rsid w:val="00810D50"/>
    <w:rsid w:val="00810D6A"/>
    <w:rsid w:val="00810EA9"/>
    <w:rsid w:val="008110B1"/>
    <w:rsid w:val="0081152D"/>
    <w:rsid w:val="008118CC"/>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A42"/>
    <w:rsid w:val="00821BED"/>
    <w:rsid w:val="00821C86"/>
    <w:rsid w:val="00821EA9"/>
    <w:rsid w:val="0082221A"/>
    <w:rsid w:val="008230A3"/>
    <w:rsid w:val="008232B2"/>
    <w:rsid w:val="008235B8"/>
    <w:rsid w:val="008235D9"/>
    <w:rsid w:val="00823A65"/>
    <w:rsid w:val="00823AE2"/>
    <w:rsid w:val="00823CE6"/>
    <w:rsid w:val="008240D2"/>
    <w:rsid w:val="008242F2"/>
    <w:rsid w:val="00824A03"/>
    <w:rsid w:val="00824E7E"/>
    <w:rsid w:val="00824F33"/>
    <w:rsid w:val="00824F35"/>
    <w:rsid w:val="00824FE9"/>
    <w:rsid w:val="00825075"/>
    <w:rsid w:val="0082515E"/>
    <w:rsid w:val="0082544B"/>
    <w:rsid w:val="0082551C"/>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4CE"/>
    <w:rsid w:val="008469A2"/>
    <w:rsid w:val="008475A2"/>
    <w:rsid w:val="00847651"/>
    <w:rsid w:val="00847A75"/>
    <w:rsid w:val="00847E08"/>
    <w:rsid w:val="00847EED"/>
    <w:rsid w:val="00850668"/>
    <w:rsid w:val="00850829"/>
    <w:rsid w:val="008509C9"/>
    <w:rsid w:val="00850BCC"/>
    <w:rsid w:val="008510D2"/>
    <w:rsid w:val="008515B7"/>
    <w:rsid w:val="00851A09"/>
    <w:rsid w:val="00851AD1"/>
    <w:rsid w:val="008523B3"/>
    <w:rsid w:val="00852B1A"/>
    <w:rsid w:val="00852DCE"/>
    <w:rsid w:val="00852E78"/>
    <w:rsid w:val="00853092"/>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6FFF"/>
    <w:rsid w:val="0085759B"/>
    <w:rsid w:val="00857B44"/>
    <w:rsid w:val="00857BAE"/>
    <w:rsid w:val="00857C1D"/>
    <w:rsid w:val="00860293"/>
    <w:rsid w:val="00860449"/>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81E"/>
    <w:rsid w:val="00864D9D"/>
    <w:rsid w:val="0086507C"/>
    <w:rsid w:val="00865127"/>
    <w:rsid w:val="008652D6"/>
    <w:rsid w:val="0086532A"/>
    <w:rsid w:val="008655A2"/>
    <w:rsid w:val="008657E9"/>
    <w:rsid w:val="00865806"/>
    <w:rsid w:val="00866304"/>
    <w:rsid w:val="008665BE"/>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8E5"/>
    <w:rsid w:val="00873964"/>
    <w:rsid w:val="00873ADE"/>
    <w:rsid w:val="00873C02"/>
    <w:rsid w:val="00873F9F"/>
    <w:rsid w:val="00874BF0"/>
    <w:rsid w:val="00874C83"/>
    <w:rsid w:val="00874D3B"/>
    <w:rsid w:val="008755B6"/>
    <w:rsid w:val="0087561D"/>
    <w:rsid w:val="00875CA1"/>
    <w:rsid w:val="0087612D"/>
    <w:rsid w:val="00876D49"/>
    <w:rsid w:val="00876EF5"/>
    <w:rsid w:val="008774B3"/>
    <w:rsid w:val="00877B0C"/>
    <w:rsid w:val="0088037B"/>
    <w:rsid w:val="008806DB"/>
    <w:rsid w:val="0088102C"/>
    <w:rsid w:val="008811C7"/>
    <w:rsid w:val="00881552"/>
    <w:rsid w:val="0088155A"/>
    <w:rsid w:val="00881DF8"/>
    <w:rsid w:val="00881E72"/>
    <w:rsid w:val="00882455"/>
    <w:rsid w:val="00882860"/>
    <w:rsid w:val="00882B97"/>
    <w:rsid w:val="00882EFD"/>
    <w:rsid w:val="00883119"/>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35E"/>
    <w:rsid w:val="008904B5"/>
    <w:rsid w:val="00890F45"/>
    <w:rsid w:val="00891152"/>
    <w:rsid w:val="008917ED"/>
    <w:rsid w:val="00891959"/>
    <w:rsid w:val="00891A0D"/>
    <w:rsid w:val="00891C03"/>
    <w:rsid w:val="008920F8"/>
    <w:rsid w:val="00892456"/>
    <w:rsid w:val="0089365D"/>
    <w:rsid w:val="00893753"/>
    <w:rsid w:val="0089378A"/>
    <w:rsid w:val="00893E27"/>
    <w:rsid w:val="00893F02"/>
    <w:rsid w:val="00894412"/>
    <w:rsid w:val="00894997"/>
    <w:rsid w:val="00895031"/>
    <w:rsid w:val="008954CD"/>
    <w:rsid w:val="008955C5"/>
    <w:rsid w:val="00895764"/>
    <w:rsid w:val="008959EE"/>
    <w:rsid w:val="008960DF"/>
    <w:rsid w:val="00896193"/>
    <w:rsid w:val="008965D4"/>
    <w:rsid w:val="00896D43"/>
    <w:rsid w:val="0089779D"/>
    <w:rsid w:val="008978A8"/>
    <w:rsid w:val="00897FD9"/>
    <w:rsid w:val="008A01CC"/>
    <w:rsid w:val="008A0391"/>
    <w:rsid w:val="008A06A6"/>
    <w:rsid w:val="008A0767"/>
    <w:rsid w:val="008A1268"/>
    <w:rsid w:val="008A1523"/>
    <w:rsid w:val="008A17E3"/>
    <w:rsid w:val="008A18C2"/>
    <w:rsid w:val="008A1D43"/>
    <w:rsid w:val="008A271A"/>
    <w:rsid w:val="008A2E02"/>
    <w:rsid w:val="008A2F98"/>
    <w:rsid w:val="008A310F"/>
    <w:rsid w:val="008A3151"/>
    <w:rsid w:val="008A3A8C"/>
    <w:rsid w:val="008A3CAF"/>
    <w:rsid w:val="008A3DE2"/>
    <w:rsid w:val="008A454F"/>
    <w:rsid w:val="008A47AE"/>
    <w:rsid w:val="008A5305"/>
    <w:rsid w:val="008A5638"/>
    <w:rsid w:val="008A56DC"/>
    <w:rsid w:val="008A5C00"/>
    <w:rsid w:val="008A5DC5"/>
    <w:rsid w:val="008A6195"/>
    <w:rsid w:val="008A6234"/>
    <w:rsid w:val="008A62D6"/>
    <w:rsid w:val="008A639E"/>
    <w:rsid w:val="008A691B"/>
    <w:rsid w:val="008A6F1A"/>
    <w:rsid w:val="008A7005"/>
    <w:rsid w:val="008A71DA"/>
    <w:rsid w:val="008A7213"/>
    <w:rsid w:val="008A7252"/>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4FB6"/>
    <w:rsid w:val="008B52DF"/>
    <w:rsid w:val="008B6008"/>
    <w:rsid w:val="008B6024"/>
    <w:rsid w:val="008B63DF"/>
    <w:rsid w:val="008B66CC"/>
    <w:rsid w:val="008B7852"/>
    <w:rsid w:val="008B7894"/>
    <w:rsid w:val="008B7BB3"/>
    <w:rsid w:val="008B7C3E"/>
    <w:rsid w:val="008C00E4"/>
    <w:rsid w:val="008C00EA"/>
    <w:rsid w:val="008C0636"/>
    <w:rsid w:val="008C06AC"/>
    <w:rsid w:val="008C0C2B"/>
    <w:rsid w:val="008C0CAC"/>
    <w:rsid w:val="008C0ED6"/>
    <w:rsid w:val="008C166E"/>
    <w:rsid w:val="008C2047"/>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B68"/>
    <w:rsid w:val="008C5E44"/>
    <w:rsid w:val="008C5FFE"/>
    <w:rsid w:val="008C62F3"/>
    <w:rsid w:val="008C650B"/>
    <w:rsid w:val="008C6850"/>
    <w:rsid w:val="008C6D48"/>
    <w:rsid w:val="008C722E"/>
    <w:rsid w:val="008C784E"/>
    <w:rsid w:val="008C7CD1"/>
    <w:rsid w:val="008D0A15"/>
    <w:rsid w:val="008D0D4B"/>
    <w:rsid w:val="008D108C"/>
    <w:rsid w:val="008D14FD"/>
    <w:rsid w:val="008D150A"/>
    <w:rsid w:val="008D155E"/>
    <w:rsid w:val="008D1DF5"/>
    <w:rsid w:val="008D1E11"/>
    <w:rsid w:val="008D1FC8"/>
    <w:rsid w:val="008D2179"/>
    <w:rsid w:val="008D2396"/>
    <w:rsid w:val="008D250D"/>
    <w:rsid w:val="008D2516"/>
    <w:rsid w:val="008D2B67"/>
    <w:rsid w:val="008D2C20"/>
    <w:rsid w:val="008D2D62"/>
    <w:rsid w:val="008D2EFE"/>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816"/>
    <w:rsid w:val="008E10F7"/>
    <w:rsid w:val="008E1785"/>
    <w:rsid w:val="008E19D6"/>
    <w:rsid w:val="008E1E2D"/>
    <w:rsid w:val="008E257A"/>
    <w:rsid w:val="008E2C4E"/>
    <w:rsid w:val="008E2CCF"/>
    <w:rsid w:val="008E33DF"/>
    <w:rsid w:val="008E38B1"/>
    <w:rsid w:val="008E3A81"/>
    <w:rsid w:val="008E3D8F"/>
    <w:rsid w:val="008E409F"/>
    <w:rsid w:val="008E4322"/>
    <w:rsid w:val="008E4607"/>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881"/>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6E5C"/>
    <w:rsid w:val="008F7224"/>
    <w:rsid w:val="008F72B1"/>
    <w:rsid w:val="008F7367"/>
    <w:rsid w:val="008F7637"/>
    <w:rsid w:val="008F7AC6"/>
    <w:rsid w:val="008F7C8F"/>
    <w:rsid w:val="008F7E27"/>
    <w:rsid w:val="009005E6"/>
    <w:rsid w:val="00900743"/>
    <w:rsid w:val="00900A9B"/>
    <w:rsid w:val="00900B0B"/>
    <w:rsid w:val="00900C20"/>
    <w:rsid w:val="00900ED4"/>
    <w:rsid w:val="0090114E"/>
    <w:rsid w:val="009012A9"/>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576"/>
    <w:rsid w:val="009048F0"/>
    <w:rsid w:val="00904B1A"/>
    <w:rsid w:val="00904C11"/>
    <w:rsid w:val="00905740"/>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16"/>
    <w:rsid w:val="00917A82"/>
    <w:rsid w:val="00917B9B"/>
    <w:rsid w:val="009206A4"/>
    <w:rsid w:val="00920914"/>
    <w:rsid w:val="009209F5"/>
    <w:rsid w:val="00920B33"/>
    <w:rsid w:val="00920C46"/>
    <w:rsid w:val="00920CE4"/>
    <w:rsid w:val="00920D1D"/>
    <w:rsid w:val="00920ED9"/>
    <w:rsid w:val="00921318"/>
    <w:rsid w:val="00921371"/>
    <w:rsid w:val="0092140A"/>
    <w:rsid w:val="00921677"/>
    <w:rsid w:val="0092167C"/>
    <w:rsid w:val="0092224D"/>
    <w:rsid w:val="009222C3"/>
    <w:rsid w:val="00922534"/>
    <w:rsid w:val="009226AD"/>
    <w:rsid w:val="00922757"/>
    <w:rsid w:val="00922FB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4E"/>
    <w:rsid w:val="00927FF4"/>
    <w:rsid w:val="00930103"/>
    <w:rsid w:val="00930364"/>
    <w:rsid w:val="009306BD"/>
    <w:rsid w:val="00930E17"/>
    <w:rsid w:val="00930FB8"/>
    <w:rsid w:val="009311BF"/>
    <w:rsid w:val="009318DC"/>
    <w:rsid w:val="0093197F"/>
    <w:rsid w:val="00931A6C"/>
    <w:rsid w:val="00932361"/>
    <w:rsid w:val="009328D8"/>
    <w:rsid w:val="00932AF6"/>
    <w:rsid w:val="00932C39"/>
    <w:rsid w:val="00932C90"/>
    <w:rsid w:val="00933000"/>
    <w:rsid w:val="00933576"/>
    <w:rsid w:val="0093398D"/>
    <w:rsid w:val="00933E65"/>
    <w:rsid w:val="009341A0"/>
    <w:rsid w:val="00934672"/>
    <w:rsid w:val="00934896"/>
    <w:rsid w:val="00934E47"/>
    <w:rsid w:val="00934EDD"/>
    <w:rsid w:val="00935418"/>
    <w:rsid w:val="00935AD2"/>
    <w:rsid w:val="00936697"/>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BDB"/>
    <w:rsid w:val="00942DF9"/>
    <w:rsid w:val="0094355D"/>
    <w:rsid w:val="00943D4D"/>
    <w:rsid w:val="00943DBA"/>
    <w:rsid w:val="00944814"/>
    <w:rsid w:val="009453F8"/>
    <w:rsid w:val="009459C8"/>
    <w:rsid w:val="00945FFB"/>
    <w:rsid w:val="00946505"/>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2F22"/>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83F"/>
    <w:rsid w:val="00956930"/>
    <w:rsid w:val="00956A68"/>
    <w:rsid w:val="00956A82"/>
    <w:rsid w:val="00956B67"/>
    <w:rsid w:val="00956B6E"/>
    <w:rsid w:val="00956E4A"/>
    <w:rsid w:val="0095722C"/>
    <w:rsid w:val="0095759D"/>
    <w:rsid w:val="00957F6E"/>
    <w:rsid w:val="009609DC"/>
    <w:rsid w:val="00961097"/>
    <w:rsid w:val="009615AA"/>
    <w:rsid w:val="0096176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67EBF"/>
    <w:rsid w:val="009700EE"/>
    <w:rsid w:val="00970255"/>
    <w:rsid w:val="009705C4"/>
    <w:rsid w:val="00970CD8"/>
    <w:rsid w:val="00971058"/>
    <w:rsid w:val="00971296"/>
    <w:rsid w:val="009718AE"/>
    <w:rsid w:val="00971DB6"/>
    <w:rsid w:val="0097224A"/>
    <w:rsid w:val="0097298F"/>
    <w:rsid w:val="00972990"/>
    <w:rsid w:val="00972D29"/>
    <w:rsid w:val="00972F9D"/>
    <w:rsid w:val="009733C5"/>
    <w:rsid w:val="00973F76"/>
    <w:rsid w:val="009747DE"/>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26"/>
    <w:rsid w:val="00987FA2"/>
    <w:rsid w:val="00990127"/>
    <w:rsid w:val="00990991"/>
    <w:rsid w:val="0099100B"/>
    <w:rsid w:val="009911A8"/>
    <w:rsid w:val="00991379"/>
    <w:rsid w:val="00991435"/>
    <w:rsid w:val="0099147D"/>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1E3"/>
    <w:rsid w:val="009971D4"/>
    <w:rsid w:val="00997213"/>
    <w:rsid w:val="0099727D"/>
    <w:rsid w:val="00997434"/>
    <w:rsid w:val="00997511"/>
    <w:rsid w:val="00997872"/>
    <w:rsid w:val="009978B1"/>
    <w:rsid w:val="00997B1B"/>
    <w:rsid w:val="009A038A"/>
    <w:rsid w:val="009A0C18"/>
    <w:rsid w:val="009A13B3"/>
    <w:rsid w:val="009A1C0C"/>
    <w:rsid w:val="009A1D48"/>
    <w:rsid w:val="009A1F68"/>
    <w:rsid w:val="009A2232"/>
    <w:rsid w:val="009A2505"/>
    <w:rsid w:val="009A2797"/>
    <w:rsid w:val="009A2AF0"/>
    <w:rsid w:val="009A34A2"/>
    <w:rsid w:val="009A36AD"/>
    <w:rsid w:val="009A3E54"/>
    <w:rsid w:val="009A4204"/>
    <w:rsid w:val="009A4374"/>
    <w:rsid w:val="009A443C"/>
    <w:rsid w:val="009A4C2B"/>
    <w:rsid w:val="009A4D33"/>
    <w:rsid w:val="009A4F06"/>
    <w:rsid w:val="009A5A06"/>
    <w:rsid w:val="009A5B1E"/>
    <w:rsid w:val="009A6158"/>
    <w:rsid w:val="009A64EA"/>
    <w:rsid w:val="009A68A7"/>
    <w:rsid w:val="009A68ED"/>
    <w:rsid w:val="009A69D7"/>
    <w:rsid w:val="009A6EF5"/>
    <w:rsid w:val="009A6FAC"/>
    <w:rsid w:val="009A787E"/>
    <w:rsid w:val="009A7AC1"/>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40B9"/>
    <w:rsid w:val="009B4CF8"/>
    <w:rsid w:val="009B53A3"/>
    <w:rsid w:val="009B5537"/>
    <w:rsid w:val="009B5552"/>
    <w:rsid w:val="009B59C8"/>
    <w:rsid w:val="009B5E62"/>
    <w:rsid w:val="009B7310"/>
    <w:rsid w:val="009C0273"/>
    <w:rsid w:val="009C0B24"/>
    <w:rsid w:val="009C0C72"/>
    <w:rsid w:val="009C0FDF"/>
    <w:rsid w:val="009C107C"/>
    <w:rsid w:val="009C14AD"/>
    <w:rsid w:val="009C1975"/>
    <w:rsid w:val="009C19B1"/>
    <w:rsid w:val="009C1ACD"/>
    <w:rsid w:val="009C1BE2"/>
    <w:rsid w:val="009C1DA0"/>
    <w:rsid w:val="009C2105"/>
    <w:rsid w:val="009C23C9"/>
    <w:rsid w:val="009C2BB0"/>
    <w:rsid w:val="009C2D5F"/>
    <w:rsid w:val="009C3624"/>
    <w:rsid w:val="009C38DB"/>
    <w:rsid w:val="009C3940"/>
    <w:rsid w:val="009C3C45"/>
    <w:rsid w:val="009C3DD7"/>
    <w:rsid w:val="009C3F4F"/>
    <w:rsid w:val="009C4152"/>
    <w:rsid w:val="009C420E"/>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476"/>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BE1"/>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103E4"/>
    <w:rsid w:val="00A103F3"/>
    <w:rsid w:val="00A10791"/>
    <w:rsid w:val="00A10B7D"/>
    <w:rsid w:val="00A10DFC"/>
    <w:rsid w:val="00A12003"/>
    <w:rsid w:val="00A12877"/>
    <w:rsid w:val="00A13157"/>
    <w:rsid w:val="00A13B91"/>
    <w:rsid w:val="00A13D58"/>
    <w:rsid w:val="00A13DC6"/>
    <w:rsid w:val="00A13E10"/>
    <w:rsid w:val="00A147D4"/>
    <w:rsid w:val="00A14959"/>
    <w:rsid w:val="00A14DAA"/>
    <w:rsid w:val="00A15053"/>
    <w:rsid w:val="00A1518A"/>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96B"/>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6A"/>
    <w:rsid w:val="00A22FB0"/>
    <w:rsid w:val="00A234BB"/>
    <w:rsid w:val="00A2398D"/>
    <w:rsid w:val="00A24072"/>
    <w:rsid w:val="00A243D2"/>
    <w:rsid w:val="00A24C49"/>
    <w:rsid w:val="00A24D77"/>
    <w:rsid w:val="00A25440"/>
    <w:rsid w:val="00A2551C"/>
    <w:rsid w:val="00A267BA"/>
    <w:rsid w:val="00A2684C"/>
    <w:rsid w:val="00A26BE4"/>
    <w:rsid w:val="00A2703D"/>
    <w:rsid w:val="00A2739D"/>
    <w:rsid w:val="00A27BF1"/>
    <w:rsid w:val="00A27E77"/>
    <w:rsid w:val="00A30263"/>
    <w:rsid w:val="00A30487"/>
    <w:rsid w:val="00A30DFF"/>
    <w:rsid w:val="00A30EB0"/>
    <w:rsid w:val="00A30ED0"/>
    <w:rsid w:val="00A30FA2"/>
    <w:rsid w:val="00A30FFF"/>
    <w:rsid w:val="00A3163E"/>
    <w:rsid w:val="00A31749"/>
    <w:rsid w:val="00A32211"/>
    <w:rsid w:val="00A3264C"/>
    <w:rsid w:val="00A32E33"/>
    <w:rsid w:val="00A32F79"/>
    <w:rsid w:val="00A332A4"/>
    <w:rsid w:val="00A3343A"/>
    <w:rsid w:val="00A34040"/>
    <w:rsid w:val="00A34184"/>
    <w:rsid w:val="00A3439A"/>
    <w:rsid w:val="00A3472F"/>
    <w:rsid w:val="00A34C61"/>
    <w:rsid w:val="00A3521F"/>
    <w:rsid w:val="00A35242"/>
    <w:rsid w:val="00A354BC"/>
    <w:rsid w:val="00A35525"/>
    <w:rsid w:val="00A35FA8"/>
    <w:rsid w:val="00A363C6"/>
    <w:rsid w:val="00A365AD"/>
    <w:rsid w:val="00A3699C"/>
    <w:rsid w:val="00A36AEB"/>
    <w:rsid w:val="00A36B4E"/>
    <w:rsid w:val="00A36CB3"/>
    <w:rsid w:val="00A3726E"/>
    <w:rsid w:val="00A37389"/>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CA4"/>
    <w:rsid w:val="00A561BC"/>
    <w:rsid w:val="00A5628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551"/>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59E"/>
    <w:rsid w:val="00A7362D"/>
    <w:rsid w:val="00A73DCD"/>
    <w:rsid w:val="00A73E04"/>
    <w:rsid w:val="00A740A9"/>
    <w:rsid w:val="00A7413B"/>
    <w:rsid w:val="00A742F3"/>
    <w:rsid w:val="00A74334"/>
    <w:rsid w:val="00A748DF"/>
    <w:rsid w:val="00A74A1C"/>
    <w:rsid w:val="00A75B81"/>
    <w:rsid w:val="00A75D45"/>
    <w:rsid w:val="00A75E83"/>
    <w:rsid w:val="00A75EBB"/>
    <w:rsid w:val="00A762B7"/>
    <w:rsid w:val="00A762E3"/>
    <w:rsid w:val="00A7690C"/>
    <w:rsid w:val="00A77182"/>
    <w:rsid w:val="00A7795F"/>
    <w:rsid w:val="00A80BB8"/>
    <w:rsid w:val="00A816CC"/>
    <w:rsid w:val="00A818E5"/>
    <w:rsid w:val="00A81D93"/>
    <w:rsid w:val="00A81F87"/>
    <w:rsid w:val="00A82128"/>
    <w:rsid w:val="00A825BB"/>
    <w:rsid w:val="00A82AA8"/>
    <w:rsid w:val="00A82C3B"/>
    <w:rsid w:val="00A82CA2"/>
    <w:rsid w:val="00A8303F"/>
    <w:rsid w:val="00A831D6"/>
    <w:rsid w:val="00A8365E"/>
    <w:rsid w:val="00A83821"/>
    <w:rsid w:val="00A83839"/>
    <w:rsid w:val="00A84015"/>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99E"/>
    <w:rsid w:val="00A94D59"/>
    <w:rsid w:val="00A94F76"/>
    <w:rsid w:val="00A95050"/>
    <w:rsid w:val="00A954C1"/>
    <w:rsid w:val="00A956C4"/>
    <w:rsid w:val="00A95DB7"/>
    <w:rsid w:val="00A95E25"/>
    <w:rsid w:val="00A95F71"/>
    <w:rsid w:val="00A960CC"/>
    <w:rsid w:val="00A96162"/>
    <w:rsid w:val="00A97376"/>
    <w:rsid w:val="00A974EF"/>
    <w:rsid w:val="00A97A42"/>
    <w:rsid w:val="00AA0196"/>
    <w:rsid w:val="00AA0435"/>
    <w:rsid w:val="00AA053D"/>
    <w:rsid w:val="00AA0E75"/>
    <w:rsid w:val="00AA119C"/>
    <w:rsid w:val="00AA11E1"/>
    <w:rsid w:val="00AA1525"/>
    <w:rsid w:val="00AA17CB"/>
    <w:rsid w:val="00AA18FB"/>
    <w:rsid w:val="00AA1D8A"/>
    <w:rsid w:val="00AA1E12"/>
    <w:rsid w:val="00AA2033"/>
    <w:rsid w:val="00AA2780"/>
    <w:rsid w:val="00AA2A4A"/>
    <w:rsid w:val="00AA2BA7"/>
    <w:rsid w:val="00AA2DD8"/>
    <w:rsid w:val="00AA3C42"/>
    <w:rsid w:val="00AA478E"/>
    <w:rsid w:val="00AA4B10"/>
    <w:rsid w:val="00AA50FB"/>
    <w:rsid w:val="00AA679E"/>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210"/>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1ED"/>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4F0F"/>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7B5"/>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7F7"/>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2F3C"/>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08D"/>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2BB"/>
    <w:rsid w:val="00B06612"/>
    <w:rsid w:val="00B06B71"/>
    <w:rsid w:val="00B06CFF"/>
    <w:rsid w:val="00B06D5B"/>
    <w:rsid w:val="00B06DE5"/>
    <w:rsid w:val="00B0755E"/>
    <w:rsid w:val="00B07A6A"/>
    <w:rsid w:val="00B07B90"/>
    <w:rsid w:val="00B07C2F"/>
    <w:rsid w:val="00B102F1"/>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B30"/>
    <w:rsid w:val="00B15DB2"/>
    <w:rsid w:val="00B15E87"/>
    <w:rsid w:val="00B167CB"/>
    <w:rsid w:val="00B16C85"/>
    <w:rsid w:val="00B1777B"/>
    <w:rsid w:val="00B1788C"/>
    <w:rsid w:val="00B17D8E"/>
    <w:rsid w:val="00B20262"/>
    <w:rsid w:val="00B20313"/>
    <w:rsid w:val="00B2051A"/>
    <w:rsid w:val="00B209EA"/>
    <w:rsid w:val="00B209EC"/>
    <w:rsid w:val="00B2101A"/>
    <w:rsid w:val="00B21085"/>
    <w:rsid w:val="00B212C8"/>
    <w:rsid w:val="00B2264C"/>
    <w:rsid w:val="00B2337F"/>
    <w:rsid w:val="00B233E9"/>
    <w:rsid w:val="00B23B55"/>
    <w:rsid w:val="00B23F05"/>
    <w:rsid w:val="00B2410E"/>
    <w:rsid w:val="00B243C3"/>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325"/>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4D1"/>
    <w:rsid w:val="00B41AB2"/>
    <w:rsid w:val="00B41E62"/>
    <w:rsid w:val="00B41E67"/>
    <w:rsid w:val="00B426B1"/>
    <w:rsid w:val="00B4295F"/>
    <w:rsid w:val="00B42D42"/>
    <w:rsid w:val="00B43002"/>
    <w:rsid w:val="00B4322A"/>
    <w:rsid w:val="00B43925"/>
    <w:rsid w:val="00B43B7D"/>
    <w:rsid w:val="00B43D44"/>
    <w:rsid w:val="00B444D8"/>
    <w:rsid w:val="00B446BB"/>
    <w:rsid w:val="00B44904"/>
    <w:rsid w:val="00B45079"/>
    <w:rsid w:val="00B4535F"/>
    <w:rsid w:val="00B45545"/>
    <w:rsid w:val="00B4570C"/>
    <w:rsid w:val="00B4588A"/>
    <w:rsid w:val="00B458CD"/>
    <w:rsid w:val="00B45CF3"/>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1B3"/>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B91"/>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6411"/>
    <w:rsid w:val="00B771CB"/>
    <w:rsid w:val="00B773FD"/>
    <w:rsid w:val="00B77D2C"/>
    <w:rsid w:val="00B77D2E"/>
    <w:rsid w:val="00B77E6E"/>
    <w:rsid w:val="00B80003"/>
    <w:rsid w:val="00B80266"/>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709"/>
    <w:rsid w:val="00B8625B"/>
    <w:rsid w:val="00B86635"/>
    <w:rsid w:val="00B86757"/>
    <w:rsid w:val="00B86F5D"/>
    <w:rsid w:val="00B8703F"/>
    <w:rsid w:val="00B871BF"/>
    <w:rsid w:val="00B87683"/>
    <w:rsid w:val="00B9028A"/>
    <w:rsid w:val="00B903C1"/>
    <w:rsid w:val="00B906A9"/>
    <w:rsid w:val="00B90E9C"/>
    <w:rsid w:val="00B91067"/>
    <w:rsid w:val="00B91985"/>
    <w:rsid w:val="00B92853"/>
    <w:rsid w:val="00B930C6"/>
    <w:rsid w:val="00B9314E"/>
    <w:rsid w:val="00B932B0"/>
    <w:rsid w:val="00B93386"/>
    <w:rsid w:val="00B9357D"/>
    <w:rsid w:val="00B9386E"/>
    <w:rsid w:val="00B93A6D"/>
    <w:rsid w:val="00B9579E"/>
    <w:rsid w:val="00B95941"/>
    <w:rsid w:val="00B95A8F"/>
    <w:rsid w:val="00B95C75"/>
    <w:rsid w:val="00B960DC"/>
    <w:rsid w:val="00B9627E"/>
    <w:rsid w:val="00B96589"/>
    <w:rsid w:val="00B9659A"/>
    <w:rsid w:val="00B965AB"/>
    <w:rsid w:val="00B96B44"/>
    <w:rsid w:val="00B97681"/>
    <w:rsid w:val="00B97973"/>
    <w:rsid w:val="00BA0453"/>
    <w:rsid w:val="00BA05B0"/>
    <w:rsid w:val="00BA07E0"/>
    <w:rsid w:val="00BA0A3F"/>
    <w:rsid w:val="00BA0DA5"/>
    <w:rsid w:val="00BA12F5"/>
    <w:rsid w:val="00BA15FC"/>
    <w:rsid w:val="00BA182B"/>
    <w:rsid w:val="00BA1B74"/>
    <w:rsid w:val="00BA1BD0"/>
    <w:rsid w:val="00BA1F77"/>
    <w:rsid w:val="00BA2221"/>
    <w:rsid w:val="00BA230D"/>
    <w:rsid w:val="00BA23F2"/>
    <w:rsid w:val="00BA27F5"/>
    <w:rsid w:val="00BA318A"/>
    <w:rsid w:val="00BA331D"/>
    <w:rsid w:val="00BA3BDC"/>
    <w:rsid w:val="00BA3F3D"/>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1284"/>
    <w:rsid w:val="00BB16BE"/>
    <w:rsid w:val="00BB171B"/>
    <w:rsid w:val="00BB1E58"/>
    <w:rsid w:val="00BB2441"/>
    <w:rsid w:val="00BB261A"/>
    <w:rsid w:val="00BB273F"/>
    <w:rsid w:val="00BB295F"/>
    <w:rsid w:val="00BB2D5C"/>
    <w:rsid w:val="00BB30E5"/>
    <w:rsid w:val="00BB379E"/>
    <w:rsid w:val="00BB3BAF"/>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D7B"/>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B54"/>
    <w:rsid w:val="00BC5D95"/>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56B"/>
    <w:rsid w:val="00BD47EA"/>
    <w:rsid w:val="00BD494A"/>
    <w:rsid w:val="00BD4A9D"/>
    <w:rsid w:val="00BD4ADD"/>
    <w:rsid w:val="00BD53A9"/>
    <w:rsid w:val="00BD562B"/>
    <w:rsid w:val="00BD5EC1"/>
    <w:rsid w:val="00BD61C7"/>
    <w:rsid w:val="00BD6271"/>
    <w:rsid w:val="00BD6B05"/>
    <w:rsid w:val="00BD7012"/>
    <w:rsid w:val="00BD73EE"/>
    <w:rsid w:val="00BD752A"/>
    <w:rsid w:val="00BE02A8"/>
    <w:rsid w:val="00BE02AB"/>
    <w:rsid w:val="00BE09CA"/>
    <w:rsid w:val="00BE1022"/>
    <w:rsid w:val="00BE1301"/>
    <w:rsid w:val="00BE1EAF"/>
    <w:rsid w:val="00BE2091"/>
    <w:rsid w:val="00BE24A2"/>
    <w:rsid w:val="00BE257D"/>
    <w:rsid w:val="00BE2A2A"/>
    <w:rsid w:val="00BE2E2F"/>
    <w:rsid w:val="00BE3550"/>
    <w:rsid w:val="00BE3BB3"/>
    <w:rsid w:val="00BE4A5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8D"/>
    <w:rsid w:val="00BF16BA"/>
    <w:rsid w:val="00BF18F6"/>
    <w:rsid w:val="00BF1D4A"/>
    <w:rsid w:val="00BF1E47"/>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9BF"/>
    <w:rsid w:val="00BF7A10"/>
    <w:rsid w:val="00BF7EE5"/>
    <w:rsid w:val="00C005C8"/>
    <w:rsid w:val="00C006F6"/>
    <w:rsid w:val="00C00F89"/>
    <w:rsid w:val="00C01343"/>
    <w:rsid w:val="00C0188E"/>
    <w:rsid w:val="00C01CC4"/>
    <w:rsid w:val="00C01DF1"/>
    <w:rsid w:val="00C01F6A"/>
    <w:rsid w:val="00C020F5"/>
    <w:rsid w:val="00C0221D"/>
    <w:rsid w:val="00C02359"/>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0FB7"/>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8"/>
    <w:rsid w:val="00C1582B"/>
    <w:rsid w:val="00C15A9B"/>
    <w:rsid w:val="00C1629B"/>
    <w:rsid w:val="00C165A9"/>
    <w:rsid w:val="00C16C60"/>
    <w:rsid w:val="00C17B43"/>
    <w:rsid w:val="00C17BF9"/>
    <w:rsid w:val="00C20159"/>
    <w:rsid w:val="00C20494"/>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4E2C"/>
    <w:rsid w:val="00C251CE"/>
    <w:rsid w:val="00C252D7"/>
    <w:rsid w:val="00C25539"/>
    <w:rsid w:val="00C2585B"/>
    <w:rsid w:val="00C25C8F"/>
    <w:rsid w:val="00C2632A"/>
    <w:rsid w:val="00C267F4"/>
    <w:rsid w:val="00C2774F"/>
    <w:rsid w:val="00C27FC9"/>
    <w:rsid w:val="00C302B3"/>
    <w:rsid w:val="00C30818"/>
    <w:rsid w:val="00C30955"/>
    <w:rsid w:val="00C30F83"/>
    <w:rsid w:val="00C30FB7"/>
    <w:rsid w:val="00C30FFD"/>
    <w:rsid w:val="00C316F7"/>
    <w:rsid w:val="00C318FD"/>
    <w:rsid w:val="00C3198E"/>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A74"/>
    <w:rsid w:val="00C34C1C"/>
    <w:rsid w:val="00C34F55"/>
    <w:rsid w:val="00C35000"/>
    <w:rsid w:val="00C351CB"/>
    <w:rsid w:val="00C35BE1"/>
    <w:rsid w:val="00C35E55"/>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8ED"/>
    <w:rsid w:val="00C45B40"/>
    <w:rsid w:val="00C45F6D"/>
    <w:rsid w:val="00C46237"/>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43C"/>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67F46"/>
    <w:rsid w:val="00C7045B"/>
    <w:rsid w:val="00C706E2"/>
    <w:rsid w:val="00C70DC2"/>
    <w:rsid w:val="00C710B5"/>
    <w:rsid w:val="00C71367"/>
    <w:rsid w:val="00C71805"/>
    <w:rsid w:val="00C71877"/>
    <w:rsid w:val="00C720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71D"/>
    <w:rsid w:val="00C74C42"/>
    <w:rsid w:val="00C74D82"/>
    <w:rsid w:val="00C751CA"/>
    <w:rsid w:val="00C75541"/>
    <w:rsid w:val="00C75635"/>
    <w:rsid w:val="00C75A27"/>
    <w:rsid w:val="00C75C32"/>
    <w:rsid w:val="00C75F73"/>
    <w:rsid w:val="00C76050"/>
    <w:rsid w:val="00C76221"/>
    <w:rsid w:val="00C764AE"/>
    <w:rsid w:val="00C767C4"/>
    <w:rsid w:val="00C77BAE"/>
    <w:rsid w:val="00C807FF"/>
    <w:rsid w:val="00C80877"/>
    <w:rsid w:val="00C80B25"/>
    <w:rsid w:val="00C810D1"/>
    <w:rsid w:val="00C8207A"/>
    <w:rsid w:val="00C82467"/>
    <w:rsid w:val="00C82C6F"/>
    <w:rsid w:val="00C82F48"/>
    <w:rsid w:val="00C833C0"/>
    <w:rsid w:val="00C8340C"/>
    <w:rsid w:val="00C83913"/>
    <w:rsid w:val="00C839D1"/>
    <w:rsid w:val="00C84C55"/>
    <w:rsid w:val="00C84FC3"/>
    <w:rsid w:val="00C86034"/>
    <w:rsid w:val="00C8639C"/>
    <w:rsid w:val="00C86679"/>
    <w:rsid w:val="00C866BB"/>
    <w:rsid w:val="00C869C9"/>
    <w:rsid w:val="00C86BFA"/>
    <w:rsid w:val="00C87403"/>
    <w:rsid w:val="00C87502"/>
    <w:rsid w:val="00C875AD"/>
    <w:rsid w:val="00C87942"/>
    <w:rsid w:val="00C879F6"/>
    <w:rsid w:val="00C87B4E"/>
    <w:rsid w:val="00C87C62"/>
    <w:rsid w:val="00C900F5"/>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59A3"/>
    <w:rsid w:val="00C96155"/>
    <w:rsid w:val="00C9640C"/>
    <w:rsid w:val="00C96865"/>
    <w:rsid w:val="00C971EC"/>
    <w:rsid w:val="00C97D12"/>
    <w:rsid w:val="00CA0420"/>
    <w:rsid w:val="00CA0445"/>
    <w:rsid w:val="00CA0D69"/>
    <w:rsid w:val="00CA0E06"/>
    <w:rsid w:val="00CA114E"/>
    <w:rsid w:val="00CA1378"/>
    <w:rsid w:val="00CA17AF"/>
    <w:rsid w:val="00CA1C7E"/>
    <w:rsid w:val="00CA1F3F"/>
    <w:rsid w:val="00CA211D"/>
    <w:rsid w:val="00CA242A"/>
    <w:rsid w:val="00CA2868"/>
    <w:rsid w:val="00CA2BD9"/>
    <w:rsid w:val="00CA31AE"/>
    <w:rsid w:val="00CA48B8"/>
    <w:rsid w:val="00CA4EE6"/>
    <w:rsid w:val="00CA513B"/>
    <w:rsid w:val="00CA5E5B"/>
    <w:rsid w:val="00CA5EFE"/>
    <w:rsid w:val="00CA6013"/>
    <w:rsid w:val="00CA6256"/>
    <w:rsid w:val="00CA64C7"/>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0F5"/>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37"/>
    <w:rsid w:val="00CB526A"/>
    <w:rsid w:val="00CB578A"/>
    <w:rsid w:val="00CB6BC9"/>
    <w:rsid w:val="00CB6E5E"/>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190"/>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3A5"/>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36D"/>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172"/>
    <w:rsid w:val="00CE7425"/>
    <w:rsid w:val="00CE793A"/>
    <w:rsid w:val="00CE7B10"/>
    <w:rsid w:val="00CF012E"/>
    <w:rsid w:val="00CF072A"/>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E81"/>
    <w:rsid w:val="00D03F97"/>
    <w:rsid w:val="00D043DD"/>
    <w:rsid w:val="00D048B7"/>
    <w:rsid w:val="00D04C61"/>
    <w:rsid w:val="00D04D1D"/>
    <w:rsid w:val="00D0583E"/>
    <w:rsid w:val="00D05F78"/>
    <w:rsid w:val="00D06336"/>
    <w:rsid w:val="00D063C0"/>
    <w:rsid w:val="00D0656B"/>
    <w:rsid w:val="00D06693"/>
    <w:rsid w:val="00D06A65"/>
    <w:rsid w:val="00D06AAE"/>
    <w:rsid w:val="00D06EFB"/>
    <w:rsid w:val="00D0722C"/>
    <w:rsid w:val="00D07581"/>
    <w:rsid w:val="00D077E6"/>
    <w:rsid w:val="00D07889"/>
    <w:rsid w:val="00D07B01"/>
    <w:rsid w:val="00D107C0"/>
    <w:rsid w:val="00D107F1"/>
    <w:rsid w:val="00D109E0"/>
    <w:rsid w:val="00D10C3D"/>
    <w:rsid w:val="00D11431"/>
    <w:rsid w:val="00D114C3"/>
    <w:rsid w:val="00D114FE"/>
    <w:rsid w:val="00D117A7"/>
    <w:rsid w:val="00D11B55"/>
    <w:rsid w:val="00D12728"/>
    <w:rsid w:val="00D12DD2"/>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4E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49E"/>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0F3E"/>
    <w:rsid w:val="00D311A4"/>
    <w:rsid w:val="00D31A36"/>
    <w:rsid w:val="00D31A6E"/>
    <w:rsid w:val="00D31DCA"/>
    <w:rsid w:val="00D31E34"/>
    <w:rsid w:val="00D3266F"/>
    <w:rsid w:val="00D329E0"/>
    <w:rsid w:val="00D32AFA"/>
    <w:rsid w:val="00D32C35"/>
    <w:rsid w:val="00D32F93"/>
    <w:rsid w:val="00D33135"/>
    <w:rsid w:val="00D33A76"/>
    <w:rsid w:val="00D33CAC"/>
    <w:rsid w:val="00D340F1"/>
    <w:rsid w:val="00D345AD"/>
    <w:rsid w:val="00D348C5"/>
    <w:rsid w:val="00D34EBD"/>
    <w:rsid w:val="00D3570F"/>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0A2C"/>
    <w:rsid w:val="00D413E2"/>
    <w:rsid w:val="00D4149F"/>
    <w:rsid w:val="00D419AA"/>
    <w:rsid w:val="00D41B37"/>
    <w:rsid w:val="00D41B6C"/>
    <w:rsid w:val="00D4200F"/>
    <w:rsid w:val="00D42892"/>
    <w:rsid w:val="00D4297B"/>
    <w:rsid w:val="00D429C7"/>
    <w:rsid w:val="00D42BDB"/>
    <w:rsid w:val="00D42E98"/>
    <w:rsid w:val="00D42F27"/>
    <w:rsid w:val="00D431BF"/>
    <w:rsid w:val="00D439DD"/>
    <w:rsid w:val="00D43A2B"/>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0A4E"/>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AD3"/>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D67"/>
    <w:rsid w:val="00D90EA5"/>
    <w:rsid w:val="00D9112A"/>
    <w:rsid w:val="00D916E2"/>
    <w:rsid w:val="00D9179D"/>
    <w:rsid w:val="00D917D1"/>
    <w:rsid w:val="00D91A57"/>
    <w:rsid w:val="00D91DA1"/>
    <w:rsid w:val="00D91F8E"/>
    <w:rsid w:val="00D924F5"/>
    <w:rsid w:val="00D92716"/>
    <w:rsid w:val="00D927B7"/>
    <w:rsid w:val="00D92A4B"/>
    <w:rsid w:val="00D92A76"/>
    <w:rsid w:val="00D92E91"/>
    <w:rsid w:val="00D9393D"/>
    <w:rsid w:val="00D93D00"/>
    <w:rsid w:val="00D9408D"/>
    <w:rsid w:val="00D943F8"/>
    <w:rsid w:val="00D947B2"/>
    <w:rsid w:val="00D94918"/>
    <w:rsid w:val="00D94D5E"/>
    <w:rsid w:val="00D94DBC"/>
    <w:rsid w:val="00D94EA4"/>
    <w:rsid w:val="00D95339"/>
    <w:rsid w:val="00D95980"/>
    <w:rsid w:val="00D95CBD"/>
    <w:rsid w:val="00D95D03"/>
    <w:rsid w:val="00D96A6B"/>
    <w:rsid w:val="00D96DCE"/>
    <w:rsid w:val="00D9737A"/>
    <w:rsid w:val="00D9745D"/>
    <w:rsid w:val="00D977DD"/>
    <w:rsid w:val="00D97AFC"/>
    <w:rsid w:val="00D97DB0"/>
    <w:rsid w:val="00D97EF8"/>
    <w:rsid w:val="00DA064A"/>
    <w:rsid w:val="00DA074B"/>
    <w:rsid w:val="00DA0D07"/>
    <w:rsid w:val="00DA131C"/>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214"/>
    <w:rsid w:val="00DA56DF"/>
    <w:rsid w:val="00DA59F4"/>
    <w:rsid w:val="00DA61EA"/>
    <w:rsid w:val="00DA62A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BCC"/>
    <w:rsid w:val="00DB6F8C"/>
    <w:rsid w:val="00DB70D7"/>
    <w:rsid w:val="00DB746D"/>
    <w:rsid w:val="00DB79AF"/>
    <w:rsid w:val="00DB7F86"/>
    <w:rsid w:val="00DC0075"/>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30A"/>
    <w:rsid w:val="00DC56BF"/>
    <w:rsid w:val="00DC5DB1"/>
    <w:rsid w:val="00DC6261"/>
    <w:rsid w:val="00DC64E4"/>
    <w:rsid w:val="00DC68F4"/>
    <w:rsid w:val="00DC74DA"/>
    <w:rsid w:val="00DC7643"/>
    <w:rsid w:val="00DC772B"/>
    <w:rsid w:val="00DD023C"/>
    <w:rsid w:val="00DD0296"/>
    <w:rsid w:val="00DD0419"/>
    <w:rsid w:val="00DD093C"/>
    <w:rsid w:val="00DD0BCF"/>
    <w:rsid w:val="00DD0C20"/>
    <w:rsid w:val="00DD0CC8"/>
    <w:rsid w:val="00DD0D44"/>
    <w:rsid w:val="00DD0F7A"/>
    <w:rsid w:val="00DD12D5"/>
    <w:rsid w:val="00DD2631"/>
    <w:rsid w:val="00DD264C"/>
    <w:rsid w:val="00DD28A6"/>
    <w:rsid w:val="00DD2941"/>
    <w:rsid w:val="00DD2B06"/>
    <w:rsid w:val="00DD30F8"/>
    <w:rsid w:val="00DD3651"/>
    <w:rsid w:val="00DD398E"/>
    <w:rsid w:val="00DD3C0A"/>
    <w:rsid w:val="00DD4622"/>
    <w:rsid w:val="00DD4BCC"/>
    <w:rsid w:val="00DD4C8F"/>
    <w:rsid w:val="00DD5281"/>
    <w:rsid w:val="00DD59CE"/>
    <w:rsid w:val="00DD5B15"/>
    <w:rsid w:val="00DD5B32"/>
    <w:rsid w:val="00DD5DA9"/>
    <w:rsid w:val="00DD5FCB"/>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EF7"/>
    <w:rsid w:val="00DE7F13"/>
    <w:rsid w:val="00DE7F94"/>
    <w:rsid w:val="00DF0295"/>
    <w:rsid w:val="00DF0548"/>
    <w:rsid w:val="00DF12C5"/>
    <w:rsid w:val="00DF198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E97"/>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09E"/>
    <w:rsid w:val="00E07639"/>
    <w:rsid w:val="00E076E6"/>
    <w:rsid w:val="00E07916"/>
    <w:rsid w:val="00E07D5A"/>
    <w:rsid w:val="00E07E23"/>
    <w:rsid w:val="00E10670"/>
    <w:rsid w:val="00E10697"/>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A40"/>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622"/>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0BD"/>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5E8"/>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02F"/>
    <w:rsid w:val="00E6219A"/>
    <w:rsid w:val="00E6222D"/>
    <w:rsid w:val="00E63311"/>
    <w:rsid w:val="00E636D3"/>
    <w:rsid w:val="00E63E2E"/>
    <w:rsid w:val="00E63EBF"/>
    <w:rsid w:val="00E642A5"/>
    <w:rsid w:val="00E6492C"/>
    <w:rsid w:val="00E65129"/>
    <w:rsid w:val="00E65232"/>
    <w:rsid w:val="00E65370"/>
    <w:rsid w:val="00E657F1"/>
    <w:rsid w:val="00E658E8"/>
    <w:rsid w:val="00E65B91"/>
    <w:rsid w:val="00E660EF"/>
    <w:rsid w:val="00E662E9"/>
    <w:rsid w:val="00E6661A"/>
    <w:rsid w:val="00E66687"/>
    <w:rsid w:val="00E66921"/>
    <w:rsid w:val="00E66AF6"/>
    <w:rsid w:val="00E66D90"/>
    <w:rsid w:val="00E677A0"/>
    <w:rsid w:val="00E6797D"/>
    <w:rsid w:val="00E67B89"/>
    <w:rsid w:val="00E67C69"/>
    <w:rsid w:val="00E67CF0"/>
    <w:rsid w:val="00E67D5F"/>
    <w:rsid w:val="00E67D9A"/>
    <w:rsid w:val="00E7066C"/>
    <w:rsid w:val="00E70AA9"/>
    <w:rsid w:val="00E70E14"/>
    <w:rsid w:val="00E70F3D"/>
    <w:rsid w:val="00E70FF4"/>
    <w:rsid w:val="00E710BB"/>
    <w:rsid w:val="00E7131E"/>
    <w:rsid w:val="00E71781"/>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A1E"/>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4D1E"/>
    <w:rsid w:val="00E850DB"/>
    <w:rsid w:val="00E85109"/>
    <w:rsid w:val="00E851E6"/>
    <w:rsid w:val="00E856EB"/>
    <w:rsid w:val="00E857A8"/>
    <w:rsid w:val="00E8587B"/>
    <w:rsid w:val="00E85918"/>
    <w:rsid w:val="00E86470"/>
    <w:rsid w:val="00E8648D"/>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59B"/>
    <w:rsid w:val="00E95729"/>
    <w:rsid w:val="00E95E93"/>
    <w:rsid w:val="00E96030"/>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CA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9EC"/>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0C6"/>
    <w:rsid w:val="00EC22EA"/>
    <w:rsid w:val="00EC2CBA"/>
    <w:rsid w:val="00EC317B"/>
    <w:rsid w:val="00EC31CC"/>
    <w:rsid w:val="00EC3286"/>
    <w:rsid w:val="00EC3948"/>
    <w:rsid w:val="00EC3F65"/>
    <w:rsid w:val="00EC41B4"/>
    <w:rsid w:val="00EC4321"/>
    <w:rsid w:val="00EC4432"/>
    <w:rsid w:val="00EC4448"/>
    <w:rsid w:val="00EC4740"/>
    <w:rsid w:val="00EC5232"/>
    <w:rsid w:val="00EC5416"/>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5CD"/>
    <w:rsid w:val="00ED2751"/>
    <w:rsid w:val="00ED2822"/>
    <w:rsid w:val="00ED2F85"/>
    <w:rsid w:val="00ED32A8"/>
    <w:rsid w:val="00ED3A66"/>
    <w:rsid w:val="00ED3F71"/>
    <w:rsid w:val="00ED43A4"/>
    <w:rsid w:val="00ED4D22"/>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1C1"/>
    <w:rsid w:val="00EE2282"/>
    <w:rsid w:val="00EE2484"/>
    <w:rsid w:val="00EE24DE"/>
    <w:rsid w:val="00EE2F21"/>
    <w:rsid w:val="00EE3110"/>
    <w:rsid w:val="00EE31E2"/>
    <w:rsid w:val="00EE3425"/>
    <w:rsid w:val="00EE3CB0"/>
    <w:rsid w:val="00EE44D7"/>
    <w:rsid w:val="00EE4C40"/>
    <w:rsid w:val="00EE5202"/>
    <w:rsid w:val="00EE5B6A"/>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488"/>
    <w:rsid w:val="00EF3675"/>
    <w:rsid w:val="00EF3BA9"/>
    <w:rsid w:val="00EF3C96"/>
    <w:rsid w:val="00EF3DA1"/>
    <w:rsid w:val="00EF3E9B"/>
    <w:rsid w:val="00EF4900"/>
    <w:rsid w:val="00EF496D"/>
    <w:rsid w:val="00EF4E3A"/>
    <w:rsid w:val="00EF507B"/>
    <w:rsid w:val="00EF53D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988"/>
    <w:rsid w:val="00EF7B39"/>
    <w:rsid w:val="00EF7D6B"/>
    <w:rsid w:val="00F00551"/>
    <w:rsid w:val="00F009C9"/>
    <w:rsid w:val="00F00C70"/>
    <w:rsid w:val="00F00E26"/>
    <w:rsid w:val="00F01357"/>
    <w:rsid w:val="00F0138F"/>
    <w:rsid w:val="00F01648"/>
    <w:rsid w:val="00F01986"/>
    <w:rsid w:val="00F021E3"/>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BA3"/>
    <w:rsid w:val="00F07FE8"/>
    <w:rsid w:val="00F1024C"/>
    <w:rsid w:val="00F10494"/>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50A"/>
    <w:rsid w:val="00F13B09"/>
    <w:rsid w:val="00F13DD1"/>
    <w:rsid w:val="00F14795"/>
    <w:rsid w:val="00F150F0"/>
    <w:rsid w:val="00F15703"/>
    <w:rsid w:val="00F15A6B"/>
    <w:rsid w:val="00F15ACC"/>
    <w:rsid w:val="00F15AE6"/>
    <w:rsid w:val="00F15B04"/>
    <w:rsid w:val="00F1637F"/>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D2"/>
    <w:rsid w:val="00F22235"/>
    <w:rsid w:val="00F22673"/>
    <w:rsid w:val="00F22EB8"/>
    <w:rsid w:val="00F22F3E"/>
    <w:rsid w:val="00F2312D"/>
    <w:rsid w:val="00F23539"/>
    <w:rsid w:val="00F2398F"/>
    <w:rsid w:val="00F2422C"/>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50"/>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C1B"/>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6E1"/>
    <w:rsid w:val="00F52B7F"/>
    <w:rsid w:val="00F52BFC"/>
    <w:rsid w:val="00F530B1"/>
    <w:rsid w:val="00F53153"/>
    <w:rsid w:val="00F534BC"/>
    <w:rsid w:val="00F539F7"/>
    <w:rsid w:val="00F53FCA"/>
    <w:rsid w:val="00F54574"/>
    <w:rsid w:val="00F5458E"/>
    <w:rsid w:val="00F54969"/>
    <w:rsid w:val="00F54BF6"/>
    <w:rsid w:val="00F550AC"/>
    <w:rsid w:val="00F554E3"/>
    <w:rsid w:val="00F55DA8"/>
    <w:rsid w:val="00F56B62"/>
    <w:rsid w:val="00F56E26"/>
    <w:rsid w:val="00F56E55"/>
    <w:rsid w:val="00F570C5"/>
    <w:rsid w:val="00F57580"/>
    <w:rsid w:val="00F57754"/>
    <w:rsid w:val="00F57EA6"/>
    <w:rsid w:val="00F60132"/>
    <w:rsid w:val="00F60F72"/>
    <w:rsid w:val="00F61012"/>
    <w:rsid w:val="00F61311"/>
    <w:rsid w:val="00F622B3"/>
    <w:rsid w:val="00F6236C"/>
    <w:rsid w:val="00F62BC5"/>
    <w:rsid w:val="00F62DB4"/>
    <w:rsid w:val="00F6308D"/>
    <w:rsid w:val="00F63256"/>
    <w:rsid w:val="00F63716"/>
    <w:rsid w:val="00F637C0"/>
    <w:rsid w:val="00F638C4"/>
    <w:rsid w:val="00F63AFE"/>
    <w:rsid w:val="00F63B8C"/>
    <w:rsid w:val="00F6455F"/>
    <w:rsid w:val="00F64A90"/>
    <w:rsid w:val="00F64B98"/>
    <w:rsid w:val="00F64E94"/>
    <w:rsid w:val="00F65247"/>
    <w:rsid w:val="00F65FE5"/>
    <w:rsid w:val="00F660BC"/>
    <w:rsid w:val="00F664FB"/>
    <w:rsid w:val="00F666D0"/>
    <w:rsid w:val="00F669E4"/>
    <w:rsid w:val="00F670A7"/>
    <w:rsid w:val="00F6739A"/>
    <w:rsid w:val="00F676D2"/>
    <w:rsid w:val="00F67B9C"/>
    <w:rsid w:val="00F67C95"/>
    <w:rsid w:val="00F67CA7"/>
    <w:rsid w:val="00F701CD"/>
    <w:rsid w:val="00F704E7"/>
    <w:rsid w:val="00F708E9"/>
    <w:rsid w:val="00F70AC2"/>
    <w:rsid w:val="00F70F6B"/>
    <w:rsid w:val="00F71037"/>
    <w:rsid w:val="00F710AF"/>
    <w:rsid w:val="00F7184B"/>
    <w:rsid w:val="00F71C94"/>
    <w:rsid w:val="00F71CA8"/>
    <w:rsid w:val="00F71DBA"/>
    <w:rsid w:val="00F71EA7"/>
    <w:rsid w:val="00F71FEC"/>
    <w:rsid w:val="00F721C8"/>
    <w:rsid w:val="00F7273F"/>
    <w:rsid w:val="00F72A42"/>
    <w:rsid w:val="00F72B0A"/>
    <w:rsid w:val="00F72BD5"/>
    <w:rsid w:val="00F72BDC"/>
    <w:rsid w:val="00F72DA0"/>
    <w:rsid w:val="00F72EF5"/>
    <w:rsid w:val="00F7329F"/>
    <w:rsid w:val="00F74246"/>
    <w:rsid w:val="00F742CE"/>
    <w:rsid w:val="00F74685"/>
    <w:rsid w:val="00F746F3"/>
    <w:rsid w:val="00F74C35"/>
    <w:rsid w:val="00F74FD9"/>
    <w:rsid w:val="00F75540"/>
    <w:rsid w:val="00F76005"/>
    <w:rsid w:val="00F76674"/>
    <w:rsid w:val="00F767CD"/>
    <w:rsid w:val="00F76DC9"/>
    <w:rsid w:val="00F76E41"/>
    <w:rsid w:val="00F77997"/>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98D"/>
    <w:rsid w:val="00F85DCD"/>
    <w:rsid w:val="00F86AC8"/>
    <w:rsid w:val="00F86CAE"/>
    <w:rsid w:val="00F87374"/>
    <w:rsid w:val="00F8746A"/>
    <w:rsid w:val="00F87A41"/>
    <w:rsid w:val="00F87F7E"/>
    <w:rsid w:val="00F90167"/>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7D"/>
    <w:rsid w:val="00F970C8"/>
    <w:rsid w:val="00F970CF"/>
    <w:rsid w:val="00F97D9B"/>
    <w:rsid w:val="00F97EE7"/>
    <w:rsid w:val="00FA0A64"/>
    <w:rsid w:val="00FA0CA5"/>
    <w:rsid w:val="00FA0FAD"/>
    <w:rsid w:val="00FA1028"/>
    <w:rsid w:val="00FA123A"/>
    <w:rsid w:val="00FA14B2"/>
    <w:rsid w:val="00FA19DD"/>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A27"/>
    <w:rsid w:val="00FA6C02"/>
    <w:rsid w:val="00FA6C56"/>
    <w:rsid w:val="00FA70F4"/>
    <w:rsid w:val="00FA7432"/>
    <w:rsid w:val="00FA7482"/>
    <w:rsid w:val="00FA748A"/>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2CE"/>
    <w:rsid w:val="00FC1661"/>
    <w:rsid w:val="00FC1897"/>
    <w:rsid w:val="00FC1C23"/>
    <w:rsid w:val="00FC23B7"/>
    <w:rsid w:val="00FC2453"/>
    <w:rsid w:val="00FC26BA"/>
    <w:rsid w:val="00FC27C7"/>
    <w:rsid w:val="00FC294E"/>
    <w:rsid w:val="00FC318D"/>
    <w:rsid w:val="00FC3F6D"/>
    <w:rsid w:val="00FC43B5"/>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76F"/>
    <w:rsid w:val="00FD18BD"/>
    <w:rsid w:val="00FD19B9"/>
    <w:rsid w:val="00FD1A39"/>
    <w:rsid w:val="00FD2306"/>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1E04"/>
    <w:rsid w:val="00FE32A2"/>
    <w:rsid w:val="00FE342A"/>
    <w:rsid w:val="00FE35EE"/>
    <w:rsid w:val="00FE38BC"/>
    <w:rsid w:val="00FE3ED6"/>
    <w:rsid w:val="00FE3F46"/>
    <w:rsid w:val="00FE3FEF"/>
    <w:rsid w:val="00FE5740"/>
    <w:rsid w:val="00FE5878"/>
    <w:rsid w:val="00FE5DAE"/>
    <w:rsid w:val="00FE5E55"/>
    <w:rsid w:val="00FE5FF8"/>
    <w:rsid w:val="00FE64CD"/>
    <w:rsid w:val="00FE66C7"/>
    <w:rsid w:val="00FE67D5"/>
    <w:rsid w:val="00FE6AAE"/>
    <w:rsid w:val="00FE7253"/>
    <w:rsid w:val="00FE7484"/>
    <w:rsid w:val="00FE782E"/>
    <w:rsid w:val="00FE7F5A"/>
    <w:rsid w:val="00FF0036"/>
    <w:rsid w:val="00FF0195"/>
    <w:rsid w:val="00FF01DD"/>
    <w:rsid w:val="00FF0232"/>
    <w:rsid w:val="00FF031A"/>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05D"/>
    <w:rsid w:val="00FF4143"/>
    <w:rsid w:val="00FF42D8"/>
    <w:rsid w:val="00FF4DF7"/>
    <w:rsid w:val="00FF4F9A"/>
    <w:rsid w:val="00FF55B1"/>
    <w:rsid w:val="00FF59A8"/>
    <w:rsid w:val="00FF60BD"/>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6EBA4"/>
  <w15:chartTrackingRefBased/>
  <w15:docId w15:val="{AB5C9C7A-9AA7-4713-9ADA-65DED7CA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C43B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8C5B68"/>
    <w:rPr>
      <w:color w:val="0000FF"/>
      <w:u w:val="single"/>
    </w:rPr>
  </w:style>
  <w:style w:type="paragraph" w:customStyle="1" w:styleId="Default">
    <w:name w:val="Default"/>
    <w:rsid w:val="00264F54"/>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7D6983"/>
    <w:pPr>
      <w:tabs>
        <w:tab w:val="center" w:pos="4153"/>
        <w:tab w:val="right" w:pos="8306"/>
      </w:tabs>
    </w:pPr>
  </w:style>
  <w:style w:type="character" w:styleId="PageNumber">
    <w:name w:val="page number"/>
    <w:basedOn w:val="DefaultParagraphFont"/>
    <w:rsid w:val="007D6983"/>
  </w:style>
  <w:style w:type="paragraph" w:styleId="Header">
    <w:name w:val="header"/>
    <w:basedOn w:val="Normal"/>
    <w:rsid w:val="007D6983"/>
    <w:pPr>
      <w:tabs>
        <w:tab w:val="center" w:pos="4153"/>
        <w:tab w:val="right" w:pos="8306"/>
      </w:tabs>
    </w:pPr>
  </w:style>
  <w:style w:type="character" w:styleId="CommentReference">
    <w:name w:val="annotation reference"/>
    <w:rsid w:val="007A4AFB"/>
    <w:rPr>
      <w:sz w:val="16"/>
      <w:szCs w:val="16"/>
    </w:rPr>
  </w:style>
  <w:style w:type="paragraph" w:styleId="CommentText">
    <w:name w:val="annotation text"/>
    <w:basedOn w:val="Normal"/>
    <w:link w:val="CommentTextChar"/>
    <w:uiPriority w:val="99"/>
    <w:rsid w:val="007A4AFB"/>
    <w:rPr>
      <w:sz w:val="20"/>
      <w:szCs w:val="20"/>
    </w:rPr>
  </w:style>
  <w:style w:type="character" w:customStyle="1" w:styleId="CommentTextChar">
    <w:name w:val="Comment Text Char"/>
    <w:basedOn w:val="DefaultParagraphFont"/>
    <w:link w:val="CommentText"/>
    <w:uiPriority w:val="99"/>
    <w:rsid w:val="007A4AFB"/>
  </w:style>
  <w:style w:type="paragraph" w:styleId="CommentSubject">
    <w:name w:val="annotation subject"/>
    <w:basedOn w:val="CommentText"/>
    <w:next w:val="CommentText"/>
    <w:link w:val="CommentSubjectChar"/>
    <w:rsid w:val="007A4AFB"/>
    <w:rPr>
      <w:b/>
      <w:bCs/>
    </w:rPr>
  </w:style>
  <w:style w:type="character" w:customStyle="1" w:styleId="CommentSubjectChar">
    <w:name w:val="Comment Subject Char"/>
    <w:link w:val="CommentSubject"/>
    <w:rsid w:val="007A4AFB"/>
    <w:rPr>
      <w:b/>
      <w:bCs/>
    </w:rPr>
  </w:style>
  <w:style w:type="character" w:customStyle="1" w:styleId="Heading2Char">
    <w:name w:val="Heading 2 Char"/>
    <w:link w:val="Heading2"/>
    <w:semiHidden/>
    <w:rsid w:val="00FC43B5"/>
    <w:rPr>
      <w:rFonts w:ascii="Calibri Light" w:eastAsia="Times New Roman" w:hAnsi="Calibri Light" w:cs="Times New Roman"/>
      <w:b/>
      <w:bCs/>
      <w:i/>
      <w:iCs/>
      <w:sz w:val="28"/>
      <w:szCs w:val="28"/>
    </w:rPr>
  </w:style>
  <w:style w:type="character" w:styleId="FollowedHyperlink">
    <w:name w:val="FollowedHyperlink"/>
    <w:rsid w:val="000A3BE6"/>
    <w:rPr>
      <w:color w:val="954F72"/>
      <w:u w:val="single"/>
    </w:rPr>
  </w:style>
  <w:style w:type="table" w:styleId="TableGrid">
    <w:name w:val="Table Grid"/>
    <w:basedOn w:val="TableNormal"/>
    <w:rsid w:val="002764B4"/>
    <w:tblPr/>
  </w:style>
  <w:style w:type="paragraph" w:customStyle="1" w:styleId="subsection">
    <w:name w:val="subsection"/>
    <w:aliases w:val="ss"/>
    <w:basedOn w:val="Normal"/>
    <w:link w:val="subsectionChar"/>
    <w:rsid w:val="00C767C4"/>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C767C4"/>
    <w:pPr>
      <w:tabs>
        <w:tab w:val="right" w:pos="1531"/>
      </w:tabs>
      <w:spacing w:before="40"/>
      <w:ind w:left="1644" w:hanging="1644"/>
    </w:pPr>
    <w:rPr>
      <w:sz w:val="22"/>
      <w:szCs w:val="20"/>
    </w:rPr>
  </w:style>
  <w:style w:type="character" w:customStyle="1" w:styleId="paragraphChar">
    <w:name w:val="paragraph Char"/>
    <w:aliases w:val="a Char"/>
    <w:link w:val="paragraph"/>
    <w:rsid w:val="00C767C4"/>
    <w:rPr>
      <w:sz w:val="22"/>
    </w:rPr>
  </w:style>
  <w:style w:type="character" w:customStyle="1" w:styleId="subsectionChar">
    <w:name w:val="subsection Char"/>
    <w:aliases w:val="ss Char"/>
    <w:link w:val="subsection"/>
    <w:rsid w:val="00C767C4"/>
    <w:rPr>
      <w:sz w:val="22"/>
    </w:rPr>
  </w:style>
  <w:style w:type="character" w:customStyle="1" w:styleId="FooterChar">
    <w:name w:val="Footer Char"/>
    <w:basedOn w:val="DefaultParagraphFont"/>
    <w:link w:val="Footer"/>
    <w:uiPriority w:val="99"/>
    <w:rsid w:val="00B446BB"/>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9A64EA"/>
    <w:pPr>
      <w:ind w:left="720"/>
      <w:contextualSpacing/>
    </w:pPr>
  </w:style>
  <w:style w:type="paragraph" w:customStyle="1" w:styleId="Item">
    <w:name w:val="Item"/>
    <w:aliases w:val="i"/>
    <w:basedOn w:val="Normal"/>
    <w:next w:val="ItemHead"/>
    <w:rsid w:val="009A64EA"/>
    <w:pPr>
      <w:keepLines/>
      <w:spacing w:before="80"/>
      <w:ind w:left="709"/>
    </w:pPr>
    <w:rPr>
      <w:sz w:val="22"/>
      <w:szCs w:val="20"/>
    </w:rPr>
  </w:style>
  <w:style w:type="paragraph" w:customStyle="1" w:styleId="ItemHead">
    <w:name w:val="ItemHead"/>
    <w:aliases w:val="ih"/>
    <w:basedOn w:val="Normal"/>
    <w:next w:val="Item"/>
    <w:rsid w:val="009A64EA"/>
    <w:pPr>
      <w:keepNext/>
      <w:keepLines/>
      <w:spacing w:before="220"/>
      <w:ind w:left="709" w:hanging="709"/>
    </w:pPr>
    <w:rPr>
      <w:rFonts w:ascii="Arial" w:hAnsi="Arial"/>
      <w:b/>
      <w:kern w:val="28"/>
      <w:szCs w:val="20"/>
    </w:rPr>
  </w:style>
  <w:style w:type="paragraph" w:styleId="Revision">
    <w:name w:val="Revision"/>
    <w:hidden/>
    <w:uiPriority w:val="99"/>
    <w:semiHidden/>
    <w:rsid w:val="00473031"/>
    <w:rPr>
      <w:sz w:val="24"/>
      <w:szCs w:val="24"/>
    </w:rPr>
  </w:style>
  <w:style w:type="paragraph" w:customStyle="1" w:styleId="Amendment1">
    <w:name w:val="Amendment 1"/>
    <w:basedOn w:val="Normal"/>
    <w:link w:val="Amendment1Char"/>
    <w:qFormat/>
    <w:rsid w:val="00FC12CE"/>
    <w:pPr>
      <w:widowControl w:val="0"/>
      <w:spacing w:before="120"/>
      <w:outlineLvl w:val="1"/>
    </w:pPr>
    <w:rPr>
      <w:rFonts w:ascii="Arial" w:hAnsi="Arial" w:cs="Arial"/>
      <w:b/>
      <w:bCs/>
      <w:sz w:val="20"/>
      <w:szCs w:val="20"/>
    </w:rPr>
  </w:style>
  <w:style w:type="character" w:customStyle="1" w:styleId="Amendment1Char">
    <w:name w:val="Amendment 1 Char"/>
    <w:basedOn w:val="DefaultParagraphFont"/>
    <w:link w:val="Amendment1"/>
    <w:rsid w:val="00FC12CE"/>
    <w:rPr>
      <w:rFonts w:ascii="Arial" w:hAnsi="Arial" w:cs="Arial"/>
      <w:b/>
      <w:bCs/>
    </w:rPr>
  </w:style>
  <w:style w:type="paragraph" w:styleId="NormalWeb">
    <w:name w:val="Normal (Web)"/>
    <w:basedOn w:val="Normal"/>
    <w:uiPriority w:val="99"/>
    <w:unhideWhenUsed/>
    <w:rsid w:val="00FE5878"/>
    <w:pPr>
      <w:spacing w:before="100" w:beforeAutospacing="1" w:after="100" w:afterAutospacing="1"/>
    </w:p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qFormat/>
    <w:locked/>
    <w:rsid w:val="004202EA"/>
    <w:rPr>
      <w:sz w:val="24"/>
      <w:szCs w:val="24"/>
    </w:rPr>
  </w:style>
  <w:style w:type="paragraph" w:styleId="NoSpacing">
    <w:name w:val="No Spacing"/>
    <w:uiPriority w:val="1"/>
    <w:qFormat/>
    <w:rsid w:val="004202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585">
      <w:bodyDiv w:val="1"/>
      <w:marLeft w:val="0"/>
      <w:marRight w:val="0"/>
      <w:marTop w:val="0"/>
      <w:marBottom w:val="0"/>
      <w:divBdr>
        <w:top w:val="none" w:sz="0" w:space="0" w:color="auto"/>
        <w:left w:val="none" w:sz="0" w:space="0" w:color="auto"/>
        <w:bottom w:val="none" w:sz="0" w:space="0" w:color="auto"/>
        <w:right w:val="none" w:sz="0" w:space="0" w:color="auto"/>
      </w:divBdr>
      <w:divsChild>
        <w:div w:id="1497568648">
          <w:marLeft w:val="0"/>
          <w:marRight w:val="0"/>
          <w:marTop w:val="0"/>
          <w:marBottom w:val="0"/>
          <w:divBdr>
            <w:top w:val="none" w:sz="0" w:space="0" w:color="auto"/>
            <w:left w:val="none" w:sz="0" w:space="0" w:color="auto"/>
            <w:bottom w:val="none" w:sz="0" w:space="0" w:color="auto"/>
            <w:right w:val="none" w:sz="0" w:space="0" w:color="auto"/>
          </w:divBdr>
          <w:divsChild>
            <w:div w:id="698358621">
              <w:marLeft w:val="0"/>
              <w:marRight w:val="0"/>
              <w:marTop w:val="0"/>
              <w:marBottom w:val="0"/>
              <w:divBdr>
                <w:top w:val="none" w:sz="0" w:space="0" w:color="auto"/>
                <w:left w:val="none" w:sz="0" w:space="0" w:color="auto"/>
                <w:bottom w:val="none" w:sz="0" w:space="0" w:color="auto"/>
                <w:right w:val="none" w:sz="0" w:space="0" w:color="auto"/>
              </w:divBdr>
              <w:divsChild>
                <w:div w:id="131944775">
                  <w:marLeft w:val="0"/>
                  <w:marRight w:val="0"/>
                  <w:marTop w:val="0"/>
                  <w:marBottom w:val="0"/>
                  <w:divBdr>
                    <w:top w:val="none" w:sz="0" w:space="0" w:color="auto"/>
                    <w:left w:val="none" w:sz="0" w:space="0" w:color="auto"/>
                    <w:bottom w:val="none" w:sz="0" w:space="0" w:color="auto"/>
                    <w:right w:val="none" w:sz="0" w:space="0" w:color="auto"/>
                  </w:divBdr>
                  <w:divsChild>
                    <w:div w:id="697854380">
                      <w:marLeft w:val="0"/>
                      <w:marRight w:val="0"/>
                      <w:marTop w:val="0"/>
                      <w:marBottom w:val="0"/>
                      <w:divBdr>
                        <w:top w:val="none" w:sz="0" w:space="0" w:color="auto"/>
                        <w:left w:val="none" w:sz="0" w:space="0" w:color="auto"/>
                        <w:bottom w:val="none" w:sz="0" w:space="0" w:color="auto"/>
                        <w:right w:val="none" w:sz="0" w:space="0" w:color="auto"/>
                      </w:divBdr>
                      <w:divsChild>
                        <w:div w:id="2034262981">
                          <w:marLeft w:val="0"/>
                          <w:marRight w:val="0"/>
                          <w:marTop w:val="0"/>
                          <w:marBottom w:val="0"/>
                          <w:divBdr>
                            <w:top w:val="none" w:sz="0" w:space="0" w:color="auto"/>
                            <w:left w:val="none" w:sz="0" w:space="0" w:color="auto"/>
                            <w:bottom w:val="none" w:sz="0" w:space="0" w:color="auto"/>
                            <w:right w:val="none" w:sz="0" w:space="0" w:color="auto"/>
                          </w:divBdr>
                          <w:divsChild>
                            <w:div w:id="246236361">
                              <w:marLeft w:val="0"/>
                              <w:marRight w:val="0"/>
                              <w:marTop w:val="0"/>
                              <w:marBottom w:val="0"/>
                              <w:divBdr>
                                <w:top w:val="none" w:sz="0" w:space="0" w:color="auto"/>
                                <w:left w:val="none" w:sz="0" w:space="0" w:color="auto"/>
                                <w:bottom w:val="none" w:sz="0" w:space="0" w:color="auto"/>
                                <w:right w:val="none" w:sz="0" w:space="0" w:color="auto"/>
                              </w:divBdr>
                              <w:divsChild>
                                <w:div w:id="426774603">
                                  <w:marLeft w:val="0"/>
                                  <w:marRight w:val="0"/>
                                  <w:marTop w:val="0"/>
                                  <w:marBottom w:val="0"/>
                                  <w:divBdr>
                                    <w:top w:val="none" w:sz="0" w:space="0" w:color="auto"/>
                                    <w:left w:val="none" w:sz="0" w:space="0" w:color="auto"/>
                                    <w:bottom w:val="none" w:sz="0" w:space="0" w:color="auto"/>
                                    <w:right w:val="none" w:sz="0" w:space="0" w:color="auto"/>
                                  </w:divBdr>
                                  <w:divsChild>
                                    <w:div w:id="929393902">
                                      <w:marLeft w:val="0"/>
                                      <w:marRight w:val="0"/>
                                      <w:marTop w:val="0"/>
                                      <w:marBottom w:val="0"/>
                                      <w:divBdr>
                                        <w:top w:val="none" w:sz="0" w:space="0" w:color="auto"/>
                                        <w:left w:val="none" w:sz="0" w:space="0" w:color="auto"/>
                                        <w:bottom w:val="none" w:sz="0" w:space="0" w:color="auto"/>
                                        <w:right w:val="none" w:sz="0" w:space="0" w:color="auto"/>
                                      </w:divBdr>
                                      <w:divsChild>
                                        <w:div w:id="1728528860">
                                          <w:marLeft w:val="0"/>
                                          <w:marRight w:val="0"/>
                                          <w:marTop w:val="0"/>
                                          <w:marBottom w:val="0"/>
                                          <w:divBdr>
                                            <w:top w:val="none" w:sz="0" w:space="0" w:color="auto"/>
                                            <w:left w:val="none" w:sz="0" w:space="0" w:color="auto"/>
                                            <w:bottom w:val="none" w:sz="0" w:space="0" w:color="auto"/>
                                            <w:right w:val="none" w:sz="0" w:space="0" w:color="auto"/>
                                          </w:divBdr>
                                          <w:divsChild>
                                            <w:div w:id="1927611768">
                                              <w:marLeft w:val="0"/>
                                              <w:marRight w:val="0"/>
                                              <w:marTop w:val="0"/>
                                              <w:marBottom w:val="0"/>
                                              <w:divBdr>
                                                <w:top w:val="none" w:sz="0" w:space="0" w:color="auto"/>
                                                <w:left w:val="none" w:sz="0" w:space="0" w:color="auto"/>
                                                <w:bottom w:val="none" w:sz="0" w:space="0" w:color="auto"/>
                                                <w:right w:val="none" w:sz="0" w:space="0" w:color="auto"/>
                                              </w:divBdr>
                                              <w:divsChild>
                                                <w:div w:id="167915039">
                                                  <w:marLeft w:val="0"/>
                                                  <w:marRight w:val="0"/>
                                                  <w:marTop w:val="0"/>
                                                  <w:marBottom w:val="0"/>
                                                  <w:divBdr>
                                                    <w:top w:val="none" w:sz="0" w:space="0" w:color="auto"/>
                                                    <w:left w:val="none" w:sz="0" w:space="0" w:color="auto"/>
                                                    <w:bottom w:val="none" w:sz="0" w:space="0" w:color="auto"/>
                                                    <w:right w:val="none" w:sz="0" w:space="0" w:color="auto"/>
                                                  </w:divBdr>
                                                  <w:divsChild>
                                                    <w:div w:id="1333603848">
                                                      <w:marLeft w:val="0"/>
                                                      <w:marRight w:val="0"/>
                                                      <w:marTop w:val="0"/>
                                                      <w:marBottom w:val="0"/>
                                                      <w:divBdr>
                                                        <w:top w:val="none" w:sz="0" w:space="0" w:color="auto"/>
                                                        <w:left w:val="none" w:sz="0" w:space="0" w:color="auto"/>
                                                        <w:bottom w:val="none" w:sz="0" w:space="0" w:color="auto"/>
                                                        <w:right w:val="none" w:sz="0" w:space="0" w:color="auto"/>
                                                      </w:divBdr>
                                                      <w:divsChild>
                                                        <w:div w:id="6633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89887">
      <w:bodyDiv w:val="1"/>
      <w:marLeft w:val="0"/>
      <w:marRight w:val="0"/>
      <w:marTop w:val="0"/>
      <w:marBottom w:val="0"/>
      <w:divBdr>
        <w:top w:val="none" w:sz="0" w:space="0" w:color="auto"/>
        <w:left w:val="none" w:sz="0" w:space="0" w:color="auto"/>
        <w:bottom w:val="none" w:sz="0" w:space="0" w:color="auto"/>
        <w:right w:val="none" w:sz="0" w:space="0" w:color="auto"/>
      </w:divBdr>
    </w:div>
    <w:div w:id="298917817">
      <w:bodyDiv w:val="1"/>
      <w:marLeft w:val="0"/>
      <w:marRight w:val="0"/>
      <w:marTop w:val="0"/>
      <w:marBottom w:val="0"/>
      <w:divBdr>
        <w:top w:val="none" w:sz="0" w:space="0" w:color="auto"/>
        <w:left w:val="none" w:sz="0" w:space="0" w:color="auto"/>
        <w:bottom w:val="none" w:sz="0" w:space="0" w:color="auto"/>
        <w:right w:val="none" w:sz="0" w:space="0" w:color="auto"/>
      </w:divBdr>
    </w:div>
    <w:div w:id="497581802">
      <w:bodyDiv w:val="1"/>
      <w:marLeft w:val="0"/>
      <w:marRight w:val="0"/>
      <w:marTop w:val="0"/>
      <w:marBottom w:val="0"/>
      <w:divBdr>
        <w:top w:val="none" w:sz="0" w:space="0" w:color="auto"/>
        <w:left w:val="none" w:sz="0" w:space="0" w:color="auto"/>
        <w:bottom w:val="none" w:sz="0" w:space="0" w:color="auto"/>
        <w:right w:val="none" w:sz="0" w:space="0" w:color="auto"/>
      </w:divBdr>
    </w:div>
    <w:div w:id="521287440">
      <w:bodyDiv w:val="1"/>
      <w:marLeft w:val="0"/>
      <w:marRight w:val="0"/>
      <w:marTop w:val="0"/>
      <w:marBottom w:val="0"/>
      <w:divBdr>
        <w:top w:val="none" w:sz="0" w:space="0" w:color="auto"/>
        <w:left w:val="none" w:sz="0" w:space="0" w:color="auto"/>
        <w:bottom w:val="none" w:sz="0" w:space="0" w:color="auto"/>
        <w:right w:val="none" w:sz="0" w:space="0" w:color="auto"/>
      </w:divBdr>
    </w:div>
    <w:div w:id="616763623">
      <w:bodyDiv w:val="1"/>
      <w:marLeft w:val="0"/>
      <w:marRight w:val="0"/>
      <w:marTop w:val="0"/>
      <w:marBottom w:val="0"/>
      <w:divBdr>
        <w:top w:val="none" w:sz="0" w:space="0" w:color="auto"/>
        <w:left w:val="none" w:sz="0" w:space="0" w:color="auto"/>
        <w:bottom w:val="none" w:sz="0" w:space="0" w:color="auto"/>
        <w:right w:val="none" w:sz="0" w:space="0" w:color="auto"/>
      </w:divBdr>
    </w:div>
    <w:div w:id="766803136">
      <w:bodyDiv w:val="1"/>
      <w:marLeft w:val="0"/>
      <w:marRight w:val="0"/>
      <w:marTop w:val="0"/>
      <w:marBottom w:val="0"/>
      <w:divBdr>
        <w:top w:val="none" w:sz="0" w:space="0" w:color="auto"/>
        <w:left w:val="none" w:sz="0" w:space="0" w:color="auto"/>
        <w:bottom w:val="none" w:sz="0" w:space="0" w:color="auto"/>
        <w:right w:val="none" w:sz="0" w:space="0" w:color="auto"/>
      </w:divBdr>
    </w:div>
    <w:div w:id="860358871">
      <w:bodyDiv w:val="1"/>
      <w:marLeft w:val="0"/>
      <w:marRight w:val="0"/>
      <w:marTop w:val="0"/>
      <w:marBottom w:val="0"/>
      <w:divBdr>
        <w:top w:val="none" w:sz="0" w:space="0" w:color="auto"/>
        <w:left w:val="none" w:sz="0" w:space="0" w:color="auto"/>
        <w:bottom w:val="none" w:sz="0" w:space="0" w:color="auto"/>
        <w:right w:val="none" w:sz="0" w:space="0" w:color="auto"/>
      </w:divBdr>
    </w:div>
    <w:div w:id="872813767">
      <w:bodyDiv w:val="1"/>
      <w:marLeft w:val="0"/>
      <w:marRight w:val="0"/>
      <w:marTop w:val="0"/>
      <w:marBottom w:val="0"/>
      <w:divBdr>
        <w:top w:val="none" w:sz="0" w:space="0" w:color="auto"/>
        <w:left w:val="none" w:sz="0" w:space="0" w:color="auto"/>
        <w:bottom w:val="none" w:sz="0" w:space="0" w:color="auto"/>
        <w:right w:val="none" w:sz="0" w:space="0" w:color="auto"/>
      </w:divBdr>
    </w:div>
    <w:div w:id="877357983">
      <w:bodyDiv w:val="1"/>
      <w:marLeft w:val="0"/>
      <w:marRight w:val="0"/>
      <w:marTop w:val="0"/>
      <w:marBottom w:val="0"/>
      <w:divBdr>
        <w:top w:val="none" w:sz="0" w:space="0" w:color="auto"/>
        <w:left w:val="none" w:sz="0" w:space="0" w:color="auto"/>
        <w:bottom w:val="none" w:sz="0" w:space="0" w:color="auto"/>
        <w:right w:val="none" w:sz="0" w:space="0" w:color="auto"/>
      </w:divBdr>
    </w:div>
    <w:div w:id="1231116757">
      <w:bodyDiv w:val="1"/>
      <w:marLeft w:val="0"/>
      <w:marRight w:val="0"/>
      <w:marTop w:val="0"/>
      <w:marBottom w:val="0"/>
      <w:divBdr>
        <w:top w:val="none" w:sz="0" w:space="0" w:color="auto"/>
        <w:left w:val="none" w:sz="0" w:space="0" w:color="auto"/>
        <w:bottom w:val="none" w:sz="0" w:space="0" w:color="auto"/>
        <w:right w:val="none" w:sz="0" w:space="0" w:color="auto"/>
      </w:divBdr>
    </w:div>
    <w:div w:id="1252156150">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28622590">
      <w:bodyDiv w:val="1"/>
      <w:marLeft w:val="0"/>
      <w:marRight w:val="0"/>
      <w:marTop w:val="0"/>
      <w:marBottom w:val="0"/>
      <w:divBdr>
        <w:top w:val="none" w:sz="0" w:space="0" w:color="auto"/>
        <w:left w:val="none" w:sz="0" w:space="0" w:color="auto"/>
        <w:bottom w:val="none" w:sz="0" w:space="0" w:color="auto"/>
        <w:right w:val="none" w:sz="0" w:space="0" w:color="auto"/>
      </w:divBdr>
    </w:div>
    <w:div w:id="1474251171">
      <w:bodyDiv w:val="1"/>
      <w:marLeft w:val="0"/>
      <w:marRight w:val="0"/>
      <w:marTop w:val="0"/>
      <w:marBottom w:val="0"/>
      <w:divBdr>
        <w:top w:val="none" w:sz="0" w:space="0" w:color="auto"/>
        <w:left w:val="none" w:sz="0" w:space="0" w:color="auto"/>
        <w:bottom w:val="none" w:sz="0" w:space="0" w:color="auto"/>
        <w:right w:val="none" w:sz="0" w:space="0" w:color="auto"/>
      </w:divBdr>
    </w:div>
    <w:div w:id="1526557415">
      <w:bodyDiv w:val="1"/>
      <w:marLeft w:val="0"/>
      <w:marRight w:val="0"/>
      <w:marTop w:val="0"/>
      <w:marBottom w:val="0"/>
      <w:divBdr>
        <w:top w:val="none" w:sz="0" w:space="0" w:color="auto"/>
        <w:left w:val="none" w:sz="0" w:space="0" w:color="auto"/>
        <w:bottom w:val="none" w:sz="0" w:space="0" w:color="auto"/>
        <w:right w:val="none" w:sz="0" w:space="0" w:color="auto"/>
      </w:divBdr>
    </w:div>
    <w:div w:id="1653412589">
      <w:bodyDiv w:val="1"/>
      <w:marLeft w:val="0"/>
      <w:marRight w:val="0"/>
      <w:marTop w:val="0"/>
      <w:marBottom w:val="0"/>
      <w:divBdr>
        <w:top w:val="none" w:sz="0" w:space="0" w:color="auto"/>
        <w:left w:val="none" w:sz="0" w:space="0" w:color="auto"/>
        <w:bottom w:val="none" w:sz="0" w:space="0" w:color="auto"/>
        <w:right w:val="none" w:sz="0" w:space="0" w:color="auto"/>
      </w:divBdr>
    </w:div>
    <w:div w:id="1690519996">
      <w:bodyDiv w:val="1"/>
      <w:marLeft w:val="0"/>
      <w:marRight w:val="0"/>
      <w:marTop w:val="0"/>
      <w:marBottom w:val="0"/>
      <w:divBdr>
        <w:top w:val="none" w:sz="0" w:space="0" w:color="auto"/>
        <w:left w:val="none" w:sz="0" w:space="0" w:color="auto"/>
        <w:bottom w:val="none" w:sz="0" w:space="0" w:color="auto"/>
        <w:right w:val="none" w:sz="0" w:space="0" w:color="auto"/>
      </w:divBdr>
    </w:div>
    <w:div w:id="1698001526">
      <w:bodyDiv w:val="1"/>
      <w:marLeft w:val="0"/>
      <w:marRight w:val="0"/>
      <w:marTop w:val="0"/>
      <w:marBottom w:val="0"/>
      <w:divBdr>
        <w:top w:val="none" w:sz="0" w:space="0" w:color="auto"/>
        <w:left w:val="none" w:sz="0" w:space="0" w:color="auto"/>
        <w:bottom w:val="none" w:sz="0" w:space="0" w:color="auto"/>
        <w:right w:val="none" w:sz="0" w:space="0" w:color="auto"/>
      </w:divBdr>
    </w:div>
    <w:div w:id="1761369633">
      <w:bodyDiv w:val="1"/>
      <w:marLeft w:val="0"/>
      <w:marRight w:val="0"/>
      <w:marTop w:val="0"/>
      <w:marBottom w:val="0"/>
      <w:divBdr>
        <w:top w:val="none" w:sz="0" w:space="0" w:color="auto"/>
        <w:left w:val="none" w:sz="0" w:space="0" w:color="auto"/>
        <w:bottom w:val="none" w:sz="0" w:space="0" w:color="auto"/>
        <w:right w:val="none" w:sz="0" w:space="0" w:color="auto"/>
      </w:divBdr>
    </w:div>
    <w:div w:id="1784377181">
      <w:bodyDiv w:val="1"/>
      <w:marLeft w:val="0"/>
      <w:marRight w:val="0"/>
      <w:marTop w:val="0"/>
      <w:marBottom w:val="0"/>
      <w:divBdr>
        <w:top w:val="none" w:sz="0" w:space="0" w:color="auto"/>
        <w:left w:val="none" w:sz="0" w:space="0" w:color="auto"/>
        <w:bottom w:val="none" w:sz="0" w:space="0" w:color="auto"/>
        <w:right w:val="none" w:sz="0" w:space="0" w:color="auto"/>
      </w:divBdr>
    </w:div>
    <w:div w:id="1821457554">
      <w:bodyDiv w:val="1"/>
      <w:marLeft w:val="0"/>
      <w:marRight w:val="0"/>
      <w:marTop w:val="0"/>
      <w:marBottom w:val="0"/>
      <w:divBdr>
        <w:top w:val="none" w:sz="0" w:space="0" w:color="auto"/>
        <w:left w:val="none" w:sz="0" w:space="0" w:color="auto"/>
        <w:bottom w:val="none" w:sz="0" w:space="0" w:color="auto"/>
        <w:right w:val="none" w:sz="0" w:space="0" w:color="auto"/>
      </w:divBdr>
    </w:div>
    <w:div w:id="1842814644">
      <w:bodyDiv w:val="1"/>
      <w:marLeft w:val="0"/>
      <w:marRight w:val="0"/>
      <w:marTop w:val="0"/>
      <w:marBottom w:val="0"/>
      <w:divBdr>
        <w:top w:val="none" w:sz="0" w:space="0" w:color="auto"/>
        <w:left w:val="none" w:sz="0" w:space="0" w:color="auto"/>
        <w:bottom w:val="none" w:sz="0" w:space="0" w:color="auto"/>
        <w:right w:val="none" w:sz="0" w:space="0" w:color="auto"/>
      </w:divBdr>
    </w:div>
    <w:div w:id="2008511872">
      <w:bodyDiv w:val="1"/>
      <w:marLeft w:val="0"/>
      <w:marRight w:val="0"/>
      <w:marTop w:val="0"/>
      <w:marBottom w:val="0"/>
      <w:divBdr>
        <w:top w:val="none" w:sz="0" w:space="0" w:color="auto"/>
        <w:left w:val="none" w:sz="0" w:space="0" w:color="auto"/>
        <w:bottom w:val="none" w:sz="0" w:space="0" w:color="auto"/>
        <w:right w:val="none" w:sz="0" w:space="0" w:color="auto"/>
      </w:divBdr>
    </w:div>
    <w:div w:id="21357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8039-BBD3-4DBB-91CD-B69F57EF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12767</CharactersWithSpaces>
  <SharedDoc>false</SharedDoc>
  <HLinks>
    <vt:vector size="6" baseType="variant">
      <vt:variant>
        <vt:i4>8126500</vt:i4>
      </vt:variant>
      <vt:variant>
        <vt:i4>0</vt:i4>
      </vt:variant>
      <vt:variant>
        <vt:i4>0</vt:i4>
      </vt:variant>
      <vt:variant>
        <vt:i4>5</vt:i4>
      </vt:variant>
      <vt:variant>
        <vt:lpwstr>http://www.psa.org.au/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VANCUYLENBURG, Chrisanne</cp:lastModifiedBy>
  <cp:revision>4</cp:revision>
  <cp:lastPrinted>2021-05-26T22:51:00Z</cp:lastPrinted>
  <dcterms:created xsi:type="dcterms:W3CDTF">2023-11-27T23:56:00Z</dcterms:created>
  <dcterms:modified xsi:type="dcterms:W3CDTF">2023-11-30T03:19:00Z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