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3ACD" w14:textId="77777777" w:rsidR="00FF6E25" w:rsidRPr="006156C6" w:rsidRDefault="00FF6E25" w:rsidP="000C310A">
      <w:pPr>
        <w:pStyle w:val="Title"/>
      </w:pPr>
      <w:r w:rsidRPr="006156C6">
        <w:t>EXPLANATORY STATEMENT</w:t>
      </w:r>
    </w:p>
    <w:p w14:paraId="145EC655" w14:textId="783D17B5" w:rsidR="0088497A" w:rsidRPr="000C310A" w:rsidRDefault="0088497A" w:rsidP="000C310A">
      <w:pPr>
        <w:pStyle w:val="Subtitle"/>
        <w:rPr>
          <w:rStyle w:val="IntenseEmphasis"/>
          <w:color w:val="auto"/>
          <w:highlight w:val="yellow"/>
        </w:rPr>
      </w:pPr>
      <w:r w:rsidRPr="000C310A">
        <w:rPr>
          <w:rStyle w:val="IntenseEmphasis"/>
          <w:color w:val="auto"/>
        </w:rPr>
        <w:t xml:space="preserve">Issued by the </w:t>
      </w:r>
      <w:r w:rsidRPr="006156C6">
        <w:rPr>
          <w:rStyle w:val="IntenseEmphasis"/>
          <w:color w:val="auto"/>
        </w:rPr>
        <w:t xml:space="preserve">authority of </w:t>
      </w:r>
      <w:r w:rsidR="006156C6" w:rsidRPr="006156C6">
        <w:rPr>
          <w:rStyle w:val="IntenseEmphasis"/>
          <w:color w:val="auto"/>
        </w:rPr>
        <w:t>the Minister for Education</w:t>
      </w:r>
    </w:p>
    <w:p w14:paraId="12EB6806" w14:textId="1D7432D8" w:rsidR="00455C2A" w:rsidRPr="006156C6" w:rsidRDefault="006156C6" w:rsidP="000C310A">
      <w:pPr>
        <w:pStyle w:val="Subtitle"/>
      </w:pPr>
      <w:r w:rsidRPr="006156C6">
        <w:t>Higher Education Support Act 2003</w:t>
      </w:r>
    </w:p>
    <w:p w14:paraId="6C026A0C" w14:textId="2441C018" w:rsidR="00503218" w:rsidRPr="0088497A" w:rsidRDefault="006156C6" w:rsidP="000C310A">
      <w:pPr>
        <w:pStyle w:val="Subtitle"/>
      </w:pPr>
      <w:r>
        <w:t>Higher Education Support (Other Grants) Amendment (Higher Education Continuity Guarantee) Guidelines 2023</w:t>
      </w:r>
    </w:p>
    <w:p w14:paraId="33AB2D38" w14:textId="77777777" w:rsidR="00455C2A" w:rsidRPr="009D0999" w:rsidRDefault="00144950" w:rsidP="000C310A">
      <w:pPr>
        <w:pStyle w:val="Heading1"/>
      </w:pPr>
      <w:bookmarkStart w:id="0" w:name="_Toc23942238"/>
      <w:bookmarkStart w:id="1" w:name="_Toc34293358"/>
      <w:r w:rsidRPr="009D0999">
        <w:t>AUTHORITY</w:t>
      </w:r>
    </w:p>
    <w:p w14:paraId="48F295AF" w14:textId="0E14EFF1" w:rsidR="00DB6247" w:rsidRPr="006156C6" w:rsidRDefault="006156C6" w:rsidP="000C310A">
      <w:pPr>
        <w:spacing w:before="120" w:after="120"/>
      </w:pPr>
      <w:r>
        <w:rPr>
          <w:rFonts w:asciiTheme="minorHAnsi" w:hAnsiTheme="minorHAnsi" w:cstheme="minorHAnsi"/>
          <w:szCs w:val="24"/>
        </w:rPr>
        <w:t xml:space="preserve">Section 238-10 of the </w:t>
      </w:r>
      <w:r>
        <w:rPr>
          <w:rFonts w:asciiTheme="minorHAnsi" w:hAnsiTheme="minorHAnsi" w:cstheme="minorHAnsi"/>
          <w:i/>
          <w:iCs/>
          <w:szCs w:val="24"/>
        </w:rPr>
        <w:t xml:space="preserve">Higher Education Support Act 2003 </w:t>
      </w:r>
      <w:r>
        <w:rPr>
          <w:rFonts w:asciiTheme="minorHAnsi" w:hAnsiTheme="minorHAnsi" w:cstheme="minorHAnsi"/>
          <w:szCs w:val="24"/>
        </w:rPr>
        <w:t xml:space="preserve">(the Act) provides that the Minister may make Other Grants Guidelines to, amongst other things, provide for matters necessary or convenient to be provided in order to carry out, or give effect to, Part 2-3 of the Act in relation to grants payable under that Part. </w:t>
      </w:r>
    </w:p>
    <w:p w14:paraId="4F7BADF6" w14:textId="731CE90C" w:rsidR="00DB6247" w:rsidRPr="002B7CC4" w:rsidRDefault="00DB6247" w:rsidP="006156C6">
      <w:pPr>
        <w:spacing w:before="120" w:after="120"/>
        <w:rPr>
          <w:rFonts w:asciiTheme="minorHAnsi" w:hAnsiTheme="minorHAnsi" w:cstheme="minorHAnsi"/>
          <w:szCs w:val="24"/>
        </w:rPr>
      </w:pPr>
      <w:r w:rsidRPr="006156C6">
        <w:rPr>
          <w:rFonts w:asciiTheme="minorHAnsi" w:hAnsiTheme="minorHAnsi" w:cstheme="minorHAnsi"/>
          <w:szCs w:val="24"/>
        </w:rPr>
        <w:t>Under subsection 33(3) of the </w:t>
      </w:r>
      <w:r w:rsidRPr="006156C6">
        <w:rPr>
          <w:rFonts w:asciiTheme="minorHAnsi" w:hAnsiTheme="minorHAnsi" w:cstheme="minorHAnsi"/>
          <w:i/>
          <w:iCs/>
          <w:szCs w:val="24"/>
        </w:rPr>
        <w:t>Acts Interpretation Act 1901</w:t>
      </w:r>
      <w:r w:rsidRPr="006156C6">
        <w:rPr>
          <w:rFonts w:asciiTheme="minorHAnsi" w:hAnsiTheme="minorHAnsi" w:cstheme="minorHAnsi"/>
          <w:szCs w:val="24"/>
        </w:rPr>
        <w:t>, where an Act confers a power to make, grant or issue any instrument of a legislative or administrative character (including rules, regulations or by</w:t>
      </w:r>
      <w:r w:rsidRPr="006156C6">
        <w:rPr>
          <w:rFonts w:asciiTheme="minorHAnsi" w:hAnsiTheme="minorHAnsi" w:cstheme="minorHAnsi"/>
          <w:szCs w:val="24"/>
        </w:rPr>
        <w:noBreakHyphen/>
        <w:t>laws), the power shall be construed as including a power exercisable in the like manner and subject to the like conditions (if any) to repeal, rescind, revoke, amend, or vary any such instrument.</w:t>
      </w:r>
      <w:r w:rsidR="006156C6">
        <w:rPr>
          <w:rFonts w:asciiTheme="minorHAnsi" w:hAnsiTheme="minorHAnsi" w:cstheme="minorHAnsi"/>
          <w:szCs w:val="24"/>
        </w:rPr>
        <w:t xml:space="preserve"> The amendments to the </w:t>
      </w:r>
      <w:r w:rsidR="006156C6">
        <w:rPr>
          <w:rFonts w:asciiTheme="minorHAnsi" w:hAnsiTheme="minorHAnsi" w:cstheme="minorHAnsi"/>
          <w:i/>
          <w:iCs/>
          <w:szCs w:val="24"/>
        </w:rPr>
        <w:t xml:space="preserve">Higher Education Support (Other Grants) Guidelines 2022 </w:t>
      </w:r>
      <w:r w:rsidR="006156C6">
        <w:rPr>
          <w:rFonts w:asciiTheme="minorHAnsi" w:hAnsiTheme="minorHAnsi" w:cstheme="minorHAnsi"/>
          <w:szCs w:val="24"/>
        </w:rPr>
        <w:t>(the Principal Instrument) made by the</w:t>
      </w:r>
      <w:r w:rsidR="002B7CC4">
        <w:rPr>
          <w:rFonts w:asciiTheme="minorHAnsi" w:hAnsiTheme="minorHAnsi" w:cstheme="minorHAnsi"/>
          <w:szCs w:val="24"/>
        </w:rPr>
        <w:t xml:space="preserve"> </w:t>
      </w:r>
      <w:r w:rsidR="002B7CC4">
        <w:rPr>
          <w:rFonts w:asciiTheme="minorHAnsi" w:hAnsiTheme="minorHAnsi" w:cstheme="minorHAnsi"/>
          <w:i/>
          <w:iCs/>
          <w:szCs w:val="24"/>
        </w:rPr>
        <w:t xml:space="preserve">Higher Education Support (Other Grants) Amendment (Higher Education Continuity Guarantee) Guidelines 2023 </w:t>
      </w:r>
      <w:r w:rsidR="002B7CC4">
        <w:rPr>
          <w:rFonts w:asciiTheme="minorHAnsi" w:hAnsiTheme="minorHAnsi" w:cstheme="minorHAnsi"/>
          <w:szCs w:val="24"/>
        </w:rPr>
        <w:t xml:space="preserve">(the Amendment Instrument) rely on this provision. </w:t>
      </w:r>
    </w:p>
    <w:bookmarkEnd w:id="0"/>
    <w:bookmarkEnd w:id="1"/>
    <w:p w14:paraId="56CDA376" w14:textId="77777777" w:rsidR="00DA552F" w:rsidRPr="008134D5" w:rsidRDefault="00144950" w:rsidP="000C310A">
      <w:pPr>
        <w:pStyle w:val="Heading1"/>
      </w:pPr>
      <w:r>
        <w:t>PURPOSE AND OPERATION</w:t>
      </w:r>
    </w:p>
    <w:p w14:paraId="77BDACBC" w14:textId="7452491C" w:rsidR="0084584D" w:rsidRDefault="002B7CC4" w:rsidP="00DA552F">
      <w:pPr>
        <w:spacing w:before="120" w:after="120"/>
        <w:rPr>
          <w:rFonts w:asciiTheme="minorHAnsi" w:hAnsiTheme="minorHAnsi" w:cstheme="minorHAnsi"/>
          <w:iCs/>
          <w:szCs w:val="24"/>
        </w:rPr>
      </w:pPr>
      <w:r w:rsidRPr="002B7CC4">
        <w:rPr>
          <w:rFonts w:asciiTheme="minorHAnsi" w:hAnsiTheme="minorHAnsi" w:cstheme="minorHAnsi"/>
          <w:iCs/>
          <w:szCs w:val="24"/>
        </w:rPr>
        <w:t>The Ame</w:t>
      </w:r>
      <w:r>
        <w:rPr>
          <w:rFonts w:asciiTheme="minorHAnsi" w:hAnsiTheme="minorHAnsi" w:cstheme="minorHAnsi"/>
          <w:iCs/>
          <w:szCs w:val="24"/>
        </w:rPr>
        <w:t xml:space="preserve">ndment Instrument </w:t>
      </w:r>
      <w:r w:rsidR="00DE16DD">
        <w:rPr>
          <w:rFonts w:asciiTheme="minorHAnsi" w:hAnsiTheme="minorHAnsi" w:cstheme="minorHAnsi"/>
          <w:iCs/>
          <w:szCs w:val="24"/>
        </w:rPr>
        <w:t xml:space="preserve">amends provisions of </w:t>
      </w:r>
      <w:r>
        <w:rPr>
          <w:rFonts w:asciiTheme="minorHAnsi" w:hAnsiTheme="minorHAnsi" w:cstheme="minorHAnsi"/>
          <w:iCs/>
          <w:szCs w:val="24"/>
        </w:rPr>
        <w:t xml:space="preserve">the Principal Instrument </w:t>
      </w:r>
      <w:r w:rsidR="0052516E">
        <w:rPr>
          <w:rFonts w:asciiTheme="minorHAnsi" w:hAnsiTheme="minorHAnsi" w:cstheme="minorHAnsi"/>
          <w:iCs/>
          <w:szCs w:val="24"/>
        </w:rPr>
        <w:t>relating</w:t>
      </w:r>
      <w:r w:rsidR="00DE16DD">
        <w:rPr>
          <w:rFonts w:asciiTheme="minorHAnsi" w:hAnsiTheme="minorHAnsi" w:cstheme="minorHAnsi"/>
          <w:iCs/>
          <w:szCs w:val="24"/>
        </w:rPr>
        <w:t xml:space="preserve"> to the </w:t>
      </w:r>
      <w:r w:rsidR="0084584D">
        <w:rPr>
          <w:rFonts w:asciiTheme="minorHAnsi" w:hAnsiTheme="minorHAnsi" w:cstheme="minorHAnsi"/>
          <w:iCs/>
          <w:szCs w:val="24"/>
        </w:rPr>
        <w:t xml:space="preserve">calculation of </w:t>
      </w:r>
      <w:r w:rsidR="00DE16DD">
        <w:rPr>
          <w:rFonts w:asciiTheme="minorHAnsi" w:hAnsiTheme="minorHAnsi" w:cstheme="minorHAnsi"/>
          <w:iCs/>
          <w:szCs w:val="24"/>
        </w:rPr>
        <w:t>Higher Education Continuity Guarantee (HECG)</w:t>
      </w:r>
      <w:r w:rsidR="0084584D">
        <w:rPr>
          <w:rFonts w:asciiTheme="minorHAnsi" w:hAnsiTheme="minorHAnsi" w:cstheme="minorHAnsi"/>
          <w:iCs/>
          <w:szCs w:val="24"/>
        </w:rPr>
        <w:t xml:space="preserve"> grants for the 2023 grant year</w:t>
      </w:r>
      <w:r w:rsidR="00DE16DD">
        <w:rPr>
          <w:rFonts w:asciiTheme="minorHAnsi" w:hAnsiTheme="minorHAnsi" w:cstheme="minorHAnsi"/>
          <w:iCs/>
          <w:szCs w:val="24"/>
        </w:rPr>
        <w:t>.</w:t>
      </w:r>
      <w:r w:rsidR="0052516E">
        <w:rPr>
          <w:rFonts w:asciiTheme="minorHAnsi" w:hAnsiTheme="minorHAnsi" w:cstheme="minorHAnsi"/>
          <w:iCs/>
          <w:szCs w:val="24"/>
        </w:rPr>
        <w:t xml:space="preserve"> </w:t>
      </w:r>
    </w:p>
    <w:p w14:paraId="41B38014" w14:textId="396FD5E8" w:rsidR="00DC4A82" w:rsidRDefault="0052516E"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amendments </w:t>
      </w:r>
      <w:r w:rsidR="004D07B0">
        <w:rPr>
          <w:rFonts w:asciiTheme="minorHAnsi" w:hAnsiTheme="minorHAnsi" w:cstheme="minorHAnsi"/>
          <w:iCs/>
          <w:szCs w:val="24"/>
        </w:rPr>
        <w:t>change</w:t>
      </w:r>
      <w:r w:rsidR="00142B2D">
        <w:rPr>
          <w:rFonts w:asciiTheme="minorHAnsi" w:hAnsiTheme="minorHAnsi" w:cstheme="minorHAnsi"/>
          <w:iCs/>
          <w:szCs w:val="24"/>
        </w:rPr>
        <w:t xml:space="preserve"> </w:t>
      </w:r>
      <w:r w:rsidR="002F0FD2">
        <w:rPr>
          <w:rFonts w:asciiTheme="minorHAnsi" w:hAnsiTheme="minorHAnsi" w:cstheme="minorHAnsi"/>
          <w:iCs/>
          <w:szCs w:val="24"/>
        </w:rPr>
        <w:t>the formula for</w:t>
      </w:r>
      <w:r w:rsidR="004D07B0">
        <w:rPr>
          <w:rFonts w:asciiTheme="minorHAnsi" w:hAnsiTheme="minorHAnsi" w:cstheme="minorHAnsi"/>
          <w:iCs/>
          <w:szCs w:val="24"/>
        </w:rPr>
        <w:t xml:space="preserve"> calculating</w:t>
      </w:r>
      <w:r w:rsidR="002F0FD2">
        <w:rPr>
          <w:rFonts w:asciiTheme="minorHAnsi" w:hAnsiTheme="minorHAnsi" w:cstheme="minorHAnsi"/>
          <w:iCs/>
          <w:szCs w:val="24"/>
        </w:rPr>
        <w:t xml:space="preserve"> </w:t>
      </w:r>
      <w:r w:rsidR="004D07B0">
        <w:rPr>
          <w:rFonts w:asciiTheme="minorHAnsi" w:hAnsiTheme="minorHAnsi" w:cstheme="minorHAnsi"/>
          <w:iCs/>
          <w:szCs w:val="24"/>
        </w:rPr>
        <w:t xml:space="preserve">HECG grants for </w:t>
      </w:r>
      <w:r w:rsidR="002F0FD2">
        <w:rPr>
          <w:rFonts w:asciiTheme="minorHAnsi" w:hAnsiTheme="minorHAnsi" w:cstheme="minorHAnsi"/>
          <w:iCs/>
          <w:szCs w:val="24"/>
        </w:rPr>
        <w:t xml:space="preserve">the 2023 grant year </w:t>
      </w:r>
      <w:r w:rsidR="00836B85">
        <w:rPr>
          <w:rFonts w:asciiTheme="minorHAnsi" w:hAnsiTheme="minorHAnsi" w:cstheme="minorHAnsi"/>
          <w:iCs/>
          <w:szCs w:val="24"/>
        </w:rPr>
        <w:t>to</w:t>
      </w:r>
      <w:r w:rsidR="00DC4A82">
        <w:rPr>
          <w:rFonts w:asciiTheme="minorHAnsi" w:hAnsiTheme="minorHAnsi" w:cstheme="minorHAnsi"/>
          <w:iCs/>
          <w:szCs w:val="24"/>
        </w:rPr>
        <w:t xml:space="preserve"> </w:t>
      </w:r>
      <w:r w:rsidR="00111226">
        <w:rPr>
          <w:rFonts w:asciiTheme="minorHAnsi" w:hAnsiTheme="minorHAnsi" w:cstheme="minorHAnsi"/>
          <w:iCs/>
          <w:szCs w:val="24"/>
        </w:rPr>
        <w:t xml:space="preserve">clarify the funding that </w:t>
      </w:r>
      <w:r w:rsidR="00BD7CDC">
        <w:rPr>
          <w:rFonts w:asciiTheme="minorHAnsi" w:hAnsiTheme="minorHAnsi" w:cstheme="minorHAnsi"/>
          <w:iCs/>
          <w:szCs w:val="24"/>
        </w:rPr>
        <w:t xml:space="preserve">higher education </w:t>
      </w:r>
      <w:r w:rsidR="00111226">
        <w:rPr>
          <w:rFonts w:asciiTheme="minorHAnsi" w:hAnsiTheme="minorHAnsi" w:cstheme="minorHAnsi"/>
          <w:iCs/>
          <w:szCs w:val="24"/>
        </w:rPr>
        <w:t>providers will receive for 2023</w:t>
      </w:r>
      <w:r w:rsidR="00DC4A82">
        <w:rPr>
          <w:rFonts w:asciiTheme="minorHAnsi" w:hAnsiTheme="minorHAnsi" w:cstheme="minorHAnsi"/>
          <w:iCs/>
          <w:szCs w:val="24"/>
        </w:rPr>
        <w:t>. The amendments</w:t>
      </w:r>
      <w:r w:rsidR="00836B85">
        <w:rPr>
          <w:rFonts w:asciiTheme="minorHAnsi" w:hAnsiTheme="minorHAnsi" w:cstheme="minorHAnsi"/>
          <w:iCs/>
          <w:szCs w:val="24"/>
        </w:rPr>
        <w:t xml:space="preserve"> provide that a higher education provider will not receive a HECG grant payment in relation to higher education courses where </w:t>
      </w:r>
      <w:r w:rsidR="007A0558">
        <w:rPr>
          <w:rFonts w:asciiTheme="minorHAnsi" w:hAnsiTheme="minorHAnsi" w:cstheme="minorHAnsi"/>
          <w:iCs/>
          <w:szCs w:val="24"/>
        </w:rPr>
        <w:t xml:space="preserve">a Table A </w:t>
      </w:r>
      <w:r w:rsidR="00836B85">
        <w:rPr>
          <w:rFonts w:asciiTheme="minorHAnsi" w:hAnsiTheme="minorHAnsi" w:cstheme="minorHAnsi"/>
          <w:iCs/>
          <w:szCs w:val="24"/>
        </w:rPr>
        <w:t>provider has used all of the funding allocated as their Base MBGA</w:t>
      </w:r>
      <w:r w:rsidR="00D97F55">
        <w:rPr>
          <w:rFonts w:asciiTheme="minorHAnsi" w:hAnsiTheme="minorHAnsi" w:cstheme="minorHAnsi"/>
          <w:iCs/>
          <w:szCs w:val="24"/>
        </w:rPr>
        <w:t xml:space="preserve"> </w:t>
      </w:r>
      <w:r w:rsidR="00836B85">
        <w:rPr>
          <w:rFonts w:asciiTheme="minorHAnsi" w:hAnsiTheme="minorHAnsi" w:cstheme="minorHAnsi"/>
          <w:iCs/>
          <w:szCs w:val="24"/>
        </w:rPr>
        <w:t>for higher education courses of study in their funding agreement</w:t>
      </w:r>
      <w:r w:rsidR="007A0558">
        <w:rPr>
          <w:rFonts w:asciiTheme="minorHAnsi" w:hAnsiTheme="minorHAnsi" w:cstheme="minorHAnsi"/>
          <w:iCs/>
          <w:szCs w:val="24"/>
        </w:rPr>
        <w:t xml:space="preserve">, </w:t>
      </w:r>
      <w:r w:rsidR="00836B85">
        <w:rPr>
          <w:rFonts w:asciiTheme="minorHAnsi" w:hAnsiTheme="minorHAnsi" w:cstheme="minorHAnsi"/>
          <w:iCs/>
          <w:szCs w:val="24"/>
        </w:rPr>
        <w:t xml:space="preserve">or where </w:t>
      </w:r>
      <w:r w:rsidR="00F06562">
        <w:rPr>
          <w:rFonts w:asciiTheme="minorHAnsi" w:hAnsiTheme="minorHAnsi" w:cstheme="minorHAnsi"/>
          <w:iCs/>
          <w:szCs w:val="24"/>
        </w:rPr>
        <w:t xml:space="preserve">a non-Table A </w:t>
      </w:r>
      <w:r w:rsidR="00836B85">
        <w:rPr>
          <w:rFonts w:asciiTheme="minorHAnsi" w:hAnsiTheme="minorHAnsi" w:cstheme="minorHAnsi"/>
          <w:iCs/>
          <w:szCs w:val="24"/>
        </w:rPr>
        <w:t xml:space="preserve">provider has used all of their Maximum Basic Grant Amount minus any funding </w:t>
      </w:r>
      <w:r w:rsidR="00F06562">
        <w:rPr>
          <w:rFonts w:asciiTheme="minorHAnsi" w:hAnsiTheme="minorHAnsi" w:cstheme="minorHAnsi"/>
          <w:iCs/>
          <w:szCs w:val="24"/>
        </w:rPr>
        <w:t>the provider was entitled to</w:t>
      </w:r>
      <w:r w:rsidR="00A146DF">
        <w:rPr>
          <w:rFonts w:asciiTheme="minorHAnsi" w:hAnsiTheme="minorHAnsi" w:cstheme="minorHAnsi"/>
          <w:iCs/>
          <w:szCs w:val="24"/>
        </w:rPr>
        <w:t xml:space="preserve"> </w:t>
      </w:r>
      <w:r w:rsidR="000B4558">
        <w:rPr>
          <w:rFonts w:asciiTheme="minorHAnsi" w:hAnsiTheme="minorHAnsi" w:cstheme="minorHAnsi"/>
          <w:iCs/>
          <w:szCs w:val="24"/>
        </w:rPr>
        <w:t>be paid</w:t>
      </w:r>
      <w:r w:rsidR="00836B85">
        <w:rPr>
          <w:rFonts w:asciiTheme="minorHAnsi" w:hAnsiTheme="minorHAnsi" w:cstheme="minorHAnsi"/>
          <w:iCs/>
          <w:szCs w:val="24"/>
        </w:rPr>
        <w:t xml:space="preserve"> for ‘equity places’, ‘national priority places’ and ‘innovative places’ as set out in the provider’s funding agreement</w:t>
      </w:r>
      <w:r w:rsidR="00142B2D">
        <w:rPr>
          <w:rFonts w:asciiTheme="minorHAnsi" w:hAnsiTheme="minorHAnsi" w:cstheme="minorHAnsi"/>
          <w:iCs/>
          <w:szCs w:val="24"/>
        </w:rPr>
        <w:t xml:space="preserve">. </w:t>
      </w:r>
    </w:p>
    <w:p w14:paraId="659C21B0" w14:textId="4222F18A" w:rsidR="0052516E" w:rsidRDefault="009A359E" w:rsidP="00DA552F">
      <w:pPr>
        <w:spacing w:before="120" w:after="120"/>
        <w:rPr>
          <w:rFonts w:asciiTheme="minorHAnsi" w:hAnsiTheme="minorHAnsi" w:cstheme="minorHAnsi"/>
          <w:iCs/>
          <w:szCs w:val="24"/>
        </w:rPr>
      </w:pPr>
      <w:r>
        <w:rPr>
          <w:rFonts w:asciiTheme="minorHAnsi" w:hAnsiTheme="minorHAnsi" w:cstheme="minorHAnsi"/>
          <w:iCs/>
          <w:szCs w:val="24"/>
        </w:rPr>
        <w:t>The changes will</w:t>
      </w:r>
      <w:r w:rsidR="00111226">
        <w:rPr>
          <w:rFonts w:asciiTheme="minorHAnsi" w:hAnsiTheme="minorHAnsi" w:cstheme="minorHAnsi"/>
          <w:iCs/>
          <w:szCs w:val="24"/>
        </w:rPr>
        <w:t xml:space="preserve"> also</w:t>
      </w:r>
      <w:r>
        <w:rPr>
          <w:rFonts w:asciiTheme="minorHAnsi" w:hAnsiTheme="minorHAnsi" w:cstheme="minorHAnsi"/>
          <w:iCs/>
          <w:szCs w:val="24"/>
        </w:rPr>
        <w:t xml:space="preserve"> ensure tha</w:t>
      </w:r>
      <w:r w:rsidR="00DC4A82">
        <w:rPr>
          <w:rFonts w:asciiTheme="minorHAnsi" w:hAnsiTheme="minorHAnsi" w:cstheme="minorHAnsi"/>
          <w:iCs/>
          <w:szCs w:val="24"/>
        </w:rPr>
        <w:t xml:space="preserve">t </w:t>
      </w:r>
      <w:r>
        <w:rPr>
          <w:rFonts w:asciiTheme="minorHAnsi" w:hAnsiTheme="minorHAnsi" w:cstheme="minorHAnsi"/>
          <w:iCs/>
          <w:szCs w:val="24"/>
        </w:rPr>
        <w:t>funding allocated to provider</w:t>
      </w:r>
      <w:r w:rsidR="00DC4A82">
        <w:rPr>
          <w:rFonts w:asciiTheme="minorHAnsi" w:hAnsiTheme="minorHAnsi" w:cstheme="minorHAnsi"/>
          <w:iCs/>
          <w:szCs w:val="24"/>
        </w:rPr>
        <w:t>s</w:t>
      </w:r>
      <w:r>
        <w:rPr>
          <w:rFonts w:asciiTheme="minorHAnsi" w:hAnsiTheme="minorHAnsi" w:cstheme="minorHAnsi"/>
          <w:iCs/>
          <w:szCs w:val="24"/>
        </w:rPr>
        <w:t xml:space="preserve"> for ‘equity places’ </w:t>
      </w:r>
      <w:r w:rsidR="00DC4A82">
        <w:rPr>
          <w:rFonts w:asciiTheme="minorHAnsi" w:hAnsiTheme="minorHAnsi" w:cstheme="minorHAnsi"/>
          <w:iCs/>
          <w:szCs w:val="24"/>
        </w:rPr>
        <w:t>is</w:t>
      </w:r>
      <w:r>
        <w:rPr>
          <w:rFonts w:asciiTheme="minorHAnsi" w:hAnsiTheme="minorHAnsi" w:cstheme="minorHAnsi"/>
          <w:iCs/>
          <w:szCs w:val="24"/>
        </w:rPr>
        <w:t xml:space="preserve"> not</w:t>
      </w:r>
      <w:r w:rsidR="00DC4A82">
        <w:rPr>
          <w:rFonts w:asciiTheme="minorHAnsi" w:hAnsiTheme="minorHAnsi" w:cstheme="minorHAnsi"/>
          <w:iCs/>
          <w:szCs w:val="24"/>
        </w:rPr>
        <w:t xml:space="preserve"> </w:t>
      </w:r>
      <w:r>
        <w:rPr>
          <w:rFonts w:asciiTheme="minorHAnsi" w:hAnsiTheme="minorHAnsi" w:cstheme="minorHAnsi"/>
          <w:iCs/>
          <w:szCs w:val="24"/>
        </w:rPr>
        <w:t>included in the calculation of HECG grants for the 2023 grant year.</w:t>
      </w:r>
      <w:r w:rsidR="00FF3968">
        <w:rPr>
          <w:rFonts w:asciiTheme="minorHAnsi" w:hAnsiTheme="minorHAnsi" w:cstheme="minorHAnsi"/>
          <w:iCs/>
          <w:szCs w:val="24"/>
        </w:rPr>
        <w:t xml:space="preserve"> The previous formula for the calculation of HECG grants for the 2022 and 2023 grant year only excluded the funding allocated for ‘short courses’, ‘national priority places’ and innovative places’.</w:t>
      </w:r>
      <w:r>
        <w:rPr>
          <w:rFonts w:asciiTheme="minorHAnsi" w:hAnsiTheme="minorHAnsi" w:cstheme="minorHAnsi"/>
          <w:iCs/>
          <w:szCs w:val="24"/>
        </w:rPr>
        <w:t xml:space="preserve"> </w:t>
      </w:r>
      <w:r w:rsidR="00DC4A82">
        <w:rPr>
          <w:rFonts w:asciiTheme="minorHAnsi" w:hAnsiTheme="minorHAnsi" w:cstheme="minorHAnsi"/>
          <w:iCs/>
          <w:szCs w:val="24"/>
        </w:rPr>
        <w:t>The change to the formula for calculating HECG grants for the 2023 grant year is required to reflect the introduction of ‘equity places’ in 2023</w:t>
      </w:r>
      <w:r w:rsidR="00FF3968">
        <w:rPr>
          <w:rFonts w:asciiTheme="minorHAnsi" w:hAnsiTheme="minorHAnsi" w:cstheme="minorHAnsi"/>
          <w:iCs/>
          <w:szCs w:val="24"/>
        </w:rPr>
        <w:t xml:space="preserve"> and that no funding has been allocated to providers </w:t>
      </w:r>
      <w:r w:rsidR="00FF3968">
        <w:rPr>
          <w:rFonts w:asciiTheme="minorHAnsi" w:hAnsiTheme="minorHAnsi" w:cstheme="minorHAnsi"/>
          <w:iCs/>
          <w:szCs w:val="24"/>
        </w:rPr>
        <w:lastRenderedPageBreak/>
        <w:t>for ‘short courses’ for 2023. This r</w:t>
      </w:r>
      <w:r w:rsidR="00DC4A82">
        <w:rPr>
          <w:rFonts w:asciiTheme="minorHAnsi" w:hAnsiTheme="minorHAnsi" w:cstheme="minorHAnsi"/>
          <w:iCs/>
          <w:szCs w:val="24"/>
        </w:rPr>
        <w:t>eflect</w:t>
      </w:r>
      <w:r w:rsidR="00FF3968">
        <w:rPr>
          <w:rFonts w:asciiTheme="minorHAnsi" w:hAnsiTheme="minorHAnsi" w:cstheme="minorHAnsi"/>
          <w:iCs/>
          <w:szCs w:val="24"/>
        </w:rPr>
        <w:t>s</w:t>
      </w:r>
      <w:r w:rsidR="00DC4A82">
        <w:rPr>
          <w:rFonts w:asciiTheme="minorHAnsi" w:hAnsiTheme="minorHAnsi" w:cstheme="minorHAnsi"/>
          <w:iCs/>
          <w:szCs w:val="24"/>
        </w:rPr>
        <w:t xml:space="preserve"> the policy intention that funding allocated to providers for ‘equity places’ should not be included in the calculation of HECG grants. </w:t>
      </w:r>
    </w:p>
    <w:p w14:paraId="626F1531" w14:textId="21BCA2BF" w:rsidR="00350779" w:rsidRPr="00350779" w:rsidRDefault="00144950" w:rsidP="000C310A">
      <w:pPr>
        <w:pStyle w:val="Heading1"/>
      </w:pPr>
      <w:r>
        <w:t>IMPACT</w:t>
      </w:r>
      <w:r w:rsidR="00C90E38">
        <w:t xml:space="preserve"> </w:t>
      </w:r>
      <w:r w:rsidR="00C90E38" w:rsidRPr="00C90E38">
        <w:t>ANALYSIS</w:t>
      </w:r>
    </w:p>
    <w:p w14:paraId="0F85CB86" w14:textId="76CBFE0F" w:rsidR="00D90C2E" w:rsidRPr="00836B85" w:rsidRDefault="00BA1A52" w:rsidP="000C310A">
      <w:pPr>
        <w:pStyle w:val="Heading1"/>
        <w:rPr>
          <w:rFonts w:ascii="Times New Roman" w:hAnsi="Times New Roman" w:cstheme="minorBidi"/>
          <w:b w:val="0"/>
          <w:bCs/>
          <w:szCs w:val="22"/>
        </w:rPr>
      </w:pPr>
      <w:r w:rsidRPr="008576C8">
        <w:rPr>
          <w:b w:val="0"/>
          <w:bCs/>
          <w:iCs/>
        </w:rPr>
        <w:t>T</w:t>
      </w:r>
      <w:r w:rsidR="008A1C12" w:rsidRPr="008576C8">
        <w:rPr>
          <w:b w:val="0"/>
          <w:bCs/>
          <w:iCs/>
        </w:rPr>
        <w:t xml:space="preserve">he Office of Impact Analysis has been consulted and advised that the </w:t>
      </w:r>
      <w:r w:rsidR="00836B85">
        <w:rPr>
          <w:b w:val="0"/>
          <w:bCs/>
          <w:iCs/>
        </w:rPr>
        <w:t>Amendment Instrument has</w:t>
      </w:r>
      <w:r w:rsidR="008A1C12" w:rsidRPr="008576C8">
        <w:rPr>
          <w:b w:val="0"/>
          <w:bCs/>
          <w:iCs/>
        </w:rPr>
        <w:t xml:space="preserve"> a minor regulatory impact and that a</w:t>
      </w:r>
      <w:r w:rsidR="00836B85">
        <w:rPr>
          <w:b w:val="0"/>
          <w:bCs/>
          <w:iCs/>
        </w:rPr>
        <w:t>n</w:t>
      </w:r>
      <w:r w:rsidR="008A1C12" w:rsidRPr="008576C8">
        <w:rPr>
          <w:b w:val="0"/>
          <w:bCs/>
          <w:iCs/>
        </w:rPr>
        <w:t xml:space="preserve"> Impact </w:t>
      </w:r>
      <w:r w:rsidR="00836B85">
        <w:rPr>
          <w:b w:val="0"/>
          <w:bCs/>
          <w:iCs/>
        </w:rPr>
        <w:t>Analysis</w:t>
      </w:r>
      <w:r w:rsidR="008A1C12" w:rsidRPr="008576C8">
        <w:rPr>
          <w:b w:val="0"/>
          <w:bCs/>
          <w:iCs/>
        </w:rPr>
        <w:t xml:space="preserve"> is not required (ID: OIA23-04884). </w:t>
      </w:r>
    </w:p>
    <w:p w14:paraId="4818CCF0" w14:textId="77777777" w:rsidR="00696CF0" w:rsidRPr="0088497A" w:rsidRDefault="00144950" w:rsidP="000C310A">
      <w:pPr>
        <w:pStyle w:val="Heading1"/>
      </w:pPr>
      <w:r w:rsidRPr="0088497A">
        <w:t>COMMENC</w:t>
      </w:r>
      <w:r>
        <w:t>E</w:t>
      </w:r>
      <w:r w:rsidRPr="0088497A">
        <w:t>MENT</w:t>
      </w:r>
    </w:p>
    <w:p w14:paraId="7A7AF185" w14:textId="3FCB3F75" w:rsidR="00696CF0" w:rsidRPr="003B7464" w:rsidRDefault="003B7464"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commences on the day after it is registered on the Federal Register of Legislation. </w:t>
      </w:r>
    </w:p>
    <w:p w14:paraId="59906F74" w14:textId="77777777" w:rsidR="00696CF0" w:rsidRPr="008134D5" w:rsidRDefault="00144950" w:rsidP="000C310A">
      <w:pPr>
        <w:pStyle w:val="Heading1"/>
      </w:pPr>
      <w:bookmarkStart w:id="2" w:name="_Toc34293360"/>
      <w:r w:rsidRPr="008134D5">
        <w:t>CONSULTATION</w:t>
      </w:r>
      <w:bookmarkEnd w:id="2"/>
    </w:p>
    <w:p w14:paraId="29854B97" w14:textId="6FA3B1A5" w:rsidR="00B0725F" w:rsidRDefault="0030256D" w:rsidP="00BA30BD">
      <w:pPr>
        <w:spacing w:before="120" w:after="120"/>
        <w:rPr>
          <w:rFonts w:asciiTheme="minorHAnsi" w:hAnsiTheme="minorHAnsi" w:cstheme="minorHAnsi"/>
          <w:iCs/>
        </w:rPr>
      </w:pPr>
      <w:r>
        <w:rPr>
          <w:rFonts w:asciiTheme="minorHAnsi" w:hAnsiTheme="minorHAnsi" w:cstheme="minorHAnsi"/>
          <w:iCs/>
        </w:rPr>
        <w:t>Higher education p</w:t>
      </w:r>
      <w:r w:rsidR="00BA30BD">
        <w:rPr>
          <w:rFonts w:asciiTheme="minorHAnsi" w:hAnsiTheme="minorHAnsi" w:cstheme="minorHAnsi"/>
          <w:iCs/>
        </w:rPr>
        <w:t xml:space="preserve">roviders were notified </w:t>
      </w:r>
      <w:r>
        <w:rPr>
          <w:rFonts w:asciiTheme="minorHAnsi" w:hAnsiTheme="minorHAnsi" w:cstheme="minorHAnsi"/>
          <w:iCs/>
        </w:rPr>
        <w:t xml:space="preserve">that HECG grant amounts for 2023 would </w:t>
      </w:r>
      <w:r w:rsidR="00FF3968">
        <w:rPr>
          <w:rFonts w:asciiTheme="minorHAnsi" w:hAnsiTheme="minorHAnsi" w:cstheme="minorHAnsi"/>
          <w:iCs/>
        </w:rPr>
        <w:t xml:space="preserve">exclude </w:t>
      </w:r>
      <w:r w:rsidR="00FF3968">
        <w:rPr>
          <w:rFonts w:asciiTheme="minorHAnsi" w:hAnsiTheme="minorHAnsi" w:cstheme="minorHAnsi"/>
          <w:iCs/>
          <w:szCs w:val="24"/>
        </w:rPr>
        <w:t xml:space="preserve">funding allocated to the providers for ‘equity places’. </w:t>
      </w:r>
      <w:r w:rsidR="00111226">
        <w:rPr>
          <w:rFonts w:asciiTheme="minorHAnsi" w:hAnsiTheme="minorHAnsi" w:cstheme="minorHAnsi"/>
          <w:iCs/>
        </w:rPr>
        <w:t xml:space="preserve">This notification </w:t>
      </w:r>
      <w:r w:rsidR="00111226" w:rsidRPr="00E97BC9">
        <w:rPr>
          <w:rFonts w:asciiTheme="minorHAnsi" w:hAnsiTheme="minorHAnsi" w:cstheme="minorHAnsi"/>
          <w:iCs/>
        </w:rPr>
        <w:t>was given</w:t>
      </w:r>
      <w:r w:rsidR="00BA30BD" w:rsidRPr="00E97BC9">
        <w:rPr>
          <w:rFonts w:asciiTheme="minorHAnsi" w:hAnsiTheme="minorHAnsi" w:cstheme="minorHAnsi"/>
          <w:iCs/>
        </w:rPr>
        <w:t xml:space="preserve"> in</w:t>
      </w:r>
      <w:r w:rsidR="00701544">
        <w:rPr>
          <w:rFonts w:asciiTheme="minorHAnsi" w:hAnsiTheme="minorHAnsi" w:cstheme="minorHAnsi"/>
          <w:iCs/>
        </w:rPr>
        <w:t xml:space="preserve"> the </w:t>
      </w:r>
      <w:r w:rsidR="00F034F1">
        <w:rPr>
          <w:rFonts w:asciiTheme="minorHAnsi" w:hAnsiTheme="minorHAnsi" w:cstheme="minorHAnsi"/>
          <w:iCs/>
        </w:rPr>
        <w:t xml:space="preserve">‘20,000 additional Commonwealth Supported places </w:t>
      </w:r>
      <w:r w:rsidR="00701544">
        <w:rPr>
          <w:rFonts w:asciiTheme="minorHAnsi" w:hAnsiTheme="minorHAnsi" w:cstheme="minorHAnsi"/>
          <w:iCs/>
        </w:rPr>
        <w:t>Program Guidelines</w:t>
      </w:r>
      <w:r w:rsidR="00F034F1">
        <w:rPr>
          <w:rFonts w:asciiTheme="minorHAnsi" w:hAnsiTheme="minorHAnsi" w:cstheme="minorHAnsi"/>
          <w:iCs/>
        </w:rPr>
        <w:t>’ (the Program Guidelines)</w:t>
      </w:r>
      <w:r w:rsidR="00701544">
        <w:rPr>
          <w:rFonts w:asciiTheme="minorHAnsi" w:hAnsiTheme="minorHAnsi" w:cstheme="minorHAnsi"/>
          <w:iCs/>
        </w:rPr>
        <w:t xml:space="preserve"> </w:t>
      </w:r>
      <w:r w:rsidR="00FF3968" w:rsidRPr="00701544">
        <w:rPr>
          <w:rFonts w:asciiTheme="minorHAnsi" w:hAnsiTheme="minorHAnsi" w:cstheme="minorHAnsi"/>
          <w:iCs/>
        </w:rPr>
        <w:t>in relation to the delivery of the ‘equity places’</w:t>
      </w:r>
      <w:r w:rsidR="00F06562" w:rsidRPr="00701544">
        <w:rPr>
          <w:rFonts w:asciiTheme="minorHAnsi" w:hAnsiTheme="minorHAnsi" w:cstheme="minorHAnsi"/>
          <w:iCs/>
        </w:rPr>
        <w:t xml:space="preserve"> </w:t>
      </w:r>
      <w:r w:rsidR="00BA30BD" w:rsidRPr="00701544">
        <w:rPr>
          <w:rFonts w:asciiTheme="minorHAnsi" w:hAnsiTheme="minorHAnsi" w:cstheme="minorHAnsi"/>
          <w:iCs/>
        </w:rPr>
        <w:t xml:space="preserve">and </w:t>
      </w:r>
      <w:r w:rsidR="00B0725F" w:rsidRPr="00D97F55">
        <w:rPr>
          <w:rFonts w:asciiTheme="minorHAnsi" w:hAnsiTheme="minorHAnsi" w:cstheme="minorHAnsi"/>
          <w:iCs/>
        </w:rPr>
        <w:t>frequently asked question</w:t>
      </w:r>
      <w:r w:rsidR="00BA30BD" w:rsidRPr="00F034F1">
        <w:rPr>
          <w:rFonts w:asciiTheme="minorHAnsi" w:hAnsiTheme="minorHAnsi" w:cstheme="minorHAnsi"/>
          <w:iCs/>
        </w:rPr>
        <w:t xml:space="preserve"> documents</w:t>
      </w:r>
      <w:r w:rsidR="00BA30BD" w:rsidRPr="00701544">
        <w:rPr>
          <w:rFonts w:asciiTheme="minorHAnsi" w:hAnsiTheme="minorHAnsi" w:cstheme="minorHAnsi"/>
          <w:iCs/>
        </w:rPr>
        <w:t xml:space="preserve"> </w:t>
      </w:r>
      <w:r w:rsidR="00142B2D" w:rsidRPr="00701544">
        <w:rPr>
          <w:rFonts w:asciiTheme="minorHAnsi" w:hAnsiTheme="minorHAnsi" w:cstheme="minorHAnsi"/>
          <w:iCs/>
        </w:rPr>
        <w:t>published on</w:t>
      </w:r>
      <w:r w:rsidR="00C72E9B" w:rsidRPr="00701544">
        <w:rPr>
          <w:rFonts w:asciiTheme="minorHAnsi" w:hAnsiTheme="minorHAnsi" w:cstheme="minorHAnsi"/>
          <w:iCs/>
        </w:rPr>
        <w:t xml:space="preserve"> </w:t>
      </w:r>
      <w:r w:rsidR="00142B2D" w:rsidRPr="00701544">
        <w:rPr>
          <w:rFonts w:asciiTheme="minorHAnsi" w:hAnsiTheme="minorHAnsi" w:cstheme="minorHAnsi"/>
          <w:iCs/>
        </w:rPr>
        <w:t>17 August 2022</w:t>
      </w:r>
      <w:r w:rsidR="00F8338A" w:rsidRPr="00701544">
        <w:rPr>
          <w:rFonts w:asciiTheme="minorHAnsi" w:hAnsiTheme="minorHAnsi" w:cstheme="minorHAnsi"/>
          <w:iCs/>
        </w:rPr>
        <w:t xml:space="preserve"> to support the application process</w:t>
      </w:r>
      <w:r w:rsidR="00FF3968" w:rsidRPr="00701544">
        <w:rPr>
          <w:rFonts w:asciiTheme="minorHAnsi" w:hAnsiTheme="minorHAnsi" w:cstheme="minorHAnsi"/>
          <w:iCs/>
        </w:rPr>
        <w:t xml:space="preserve"> for ‘equity places</w:t>
      </w:r>
      <w:r w:rsidR="00F8338A" w:rsidRPr="00701544">
        <w:rPr>
          <w:rFonts w:asciiTheme="minorHAnsi" w:hAnsiTheme="minorHAnsi" w:cstheme="minorHAnsi"/>
          <w:iCs/>
        </w:rPr>
        <w:t>.</w:t>
      </w:r>
      <w:r w:rsidR="00F06562" w:rsidRPr="00701544">
        <w:rPr>
          <w:rFonts w:asciiTheme="minorHAnsi" w:hAnsiTheme="minorHAnsi" w:cstheme="minorHAnsi"/>
          <w:iCs/>
        </w:rPr>
        <w:t xml:space="preserve"> </w:t>
      </w:r>
    </w:p>
    <w:p w14:paraId="0043217D" w14:textId="749B7A2E" w:rsidR="00B0725F" w:rsidRDefault="00F06562" w:rsidP="00BA30BD">
      <w:pPr>
        <w:spacing w:before="120" w:after="120"/>
        <w:rPr>
          <w:rFonts w:asciiTheme="minorHAnsi" w:hAnsiTheme="minorHAnsi" w:cstheme="minorHAnsi"/>
          <w:iCs/>
        </w:rPr>
      </w:pPr>
      <w:r>
        <w:rPr>
          <w:rFonts w:asciiTheme="minorHAnsi" w:hAnsiTheme="minorHAnsi" w:cstheme="minorHAnsi"/>
          <w:iCs/>
        </w:rPr>
        <w:t xml:space="preserve">The </w:t>
      </w:r>
      <w:r w:rsidR="00701544">
        <w:rPr>
          <w:rFonts w:asciiTheme="minorHAnsi" w:hAnsiTheme="minorHAnsi" w:cstheme="minorHAnsi"/>
          <w:iCs/>
        </w:rPr>
        <w:t>P</w:t>
      </w:r>
      <w:r>
        <w:rPr>
          <w:rFonts w:asciiTheme="minorHAnsi" w:hAnsiTheme="minorHAnsi" w:cstheme="minorHAnsi"/>
          <w:iCs/>
        </w:rPr>
        <w:t xml:space="preserve">rogram </w:t>
      </w:r>
      <w:r w:rsidR="00701544">
        <w:rPr>
          <w:rFonts w:asciiTheme="minorHAnsi" w:hAnsiTheme="minorHAnsi" w:cstheme="minorHAnsi"/>
          <w:iCs/>
        </w:rPr>
        <w:t>G</w:t>
      </w:r>
      <w:r>
        <w:rPr>
          <w:rFonts w:asciiTheme="minorHAnsi" w:hAnsiTheme="minorHAnsi" w:cstheme="minorHAnsi"/>
          <w:iCs/>
        </w:rPr>
        <w:t xml:space="preserve">uidelines and frequently asked question documents in relation to the delivery of the ‘equity places’ can be found </w:t>
      </w:r>
      <w:r w:rsidR="00F034F1">
        <w:rPr>
          <w:rFonts w:asciiTheme="minorHAnsi" w:hAnsiTheme="minorHAnsi" w:cstheme="minorHAnsi"/>
          <w:iCs/>
        </w:rPr>
        <w:t>at the following links</w:t>
      </w:r>
      <w:r>
        <w:rPr>
          <w:rFonts w:asciiTheme="minorHAnsi" w:hAnsiTheme="minorHAnsi" w:cstheme="minorHAnsi"/>
          <w:iCs/>
        </w:rPr>
        <w:t xml:space="preserve">: </w:t>
      </w:r>
      <w:hyperlink r:id="rId11" w:history="1">
        <w:r w:rsidR="00B0725F" w:rsidRPr="00D23937">
          <w:rPr>
            <w:rStyle w:val="Hyperlink"/>
            <w:rFonts w:asciiTheme="minorHAnsi" w:hAnsiTheme="minorHAnsi" w:cstheme="minorHAnsi"/>
            <w:iCs/>
          </w:rPr>
          <w:t>https://www.education.gov.au/higher-education-funding/resources/20000-additional-commonwealth-supported-places-program-guidelines</w:t>
        </w:r>
      </w:hyperlink>
      <w:r w:rsidR="00B0725F">
        <w:rPr>
          <w:rFonts w:asciiTheme="minorHAnsi" w:hAnsiTheme="minorHAnsi" w:cstheme="minorHAnsi"/>
          <w:iCs/>
        </w:rPr>
        <w:t xml:space="preserve"> and </w:t>
      </w:r>
      <w:hyperlink r:id="rId12" w:history="1">
        <w:r w:rsidR="00B0725F" w:rsidRPr="00D23937">
          <w:rPr>
            <w:rStyle w:val="Hyperlink"/>
            <w:rFonts w:asciiTheme="minorHAnsi" w:hAnsiTheme="minorHAnsi" w:cstheme="minorHAnsi"/>
            <w:iCs/>
          </w:rPr>
          <w:t>https://www.education.gov.au/higher-education-funding/resources/20000-additional-csps-faqs-providers</w:t>
        </w:r>
      </w:hyperlink>
      <w:r w:rsidR="00B0725F">
        <w:rPr>
          <w:rFonts w:asciiTheme="minorHAnsi" w:hAnsiTheme="minorHAnsi" w:cstheme="minorHAnsi"/>
          <w:iCs/>
        </w:rPr>
        <w:t xml:space="preserve">. </w:t>
      </w:r>
    </w:p>
    <w:p w14:paraId="638CC2BD" w14:textId="40725742" w:rsidR="00C72E9B" w:rsidRDefault="00C72E9B" w:rsidP="00BA30BD">
      <w:pPr>
        <w:spacing w:before="120" w:after="120"/>
        <w:rPr>
          <w:rFonts w:asciiTheme="minorHAnsi" w:hAnsiTheme="minorHAnsi" w:cstheme="minorHAnsi"/>
          <w:iCs/>
        </w:rPr>
      </w:pPr>
      <w:r>
        <w:rPr>
          <w:rFonts w:asciiTheme="minorHAnsi" w:hAnsiTheme="minorHAnsi" w:cstheme="minorHAnsi"/>
          <w:iCs/>
        </w:rPr>
        <w:t>Universities Australia were</w:t>
      </w:r>
      <w:r w:rsidR="00E97BC9">
        <w:rPr>
          <w:rFonts w:asciiTheme="minorHAnsi" w:hAnsiTheme="minorHAnsi" w:cstheme="minorHAnsi"/>
          <w:iCs/>
        </w:rPr>
        <w:t xml:space="preserve"> also</w:t>
      </w:r>
      <w:r>
        <w:rPr>
          <w:rFonts w:asciiTheme="minorHAnsi" w:hAnsiTheme="minorHAnsi" w:cstheme="minorHAnsi"/>
          <w:iCs/>
        </w:rPr>
        <w:t xml:space="preserve"> advised </w:t>
      </w:r>
      <w:r w:rsidR="00E97BC9">
        <w:rPr>
          <w:rFonts w:asciiTheme="minorHAnsi" w:hAnsiTheme="minorHAnsi" w:cstheme="minorHAnsi"/>
          <w:iCs/>
        </w:rPr>
        <w:t>o</w:t>
      </w:r>
      <w:r>
        <w:rPr>
          <w:rFonts w:asciiTheme="minorHAnsi" w:hAnsiTheme="minorHAnsi" w:cstheme="minorHAnsi"/>
          <w:iCs/>
        </w:rPr>
        <w:t>f</w:t>
      </w:r>
      <w:r w:rsidR="00E97BC9">
        <w:rPr>
          <w:rFonts w:asciiTheme="minorHAnsi" w:hAnsiTheme="minorHAnsi" w:cstheme="minorHAnsi"/>
          <w:iCs/>
        </w:rPr>
        <w:t xml:space="preserve"> these</w:t>
      </w:r>
      <w:r>
        <w:rPr>
          <w:rFonts w:asciiTheme="minorHAnsi" w:hAnsiTheme="minorHAnsi" w:cstheme="minorHAnsi"/>
          <w:iCs/>
        </w:rPr>
        <w:t xml:space="preserve"> amendments to the </w:t>
      </w:r>
      <w:r w:rsidR="00E97BC9">
        <w:rPr>
          <w:rFonts w:asciiTheme="minorHAnsi" w:hAnsiTheme="minorHAnsi" w:cstheme="minorHAnsi"/>
          <w:iCs/>
        </w:rPr>
        <w:t xml:space="preserve">Principal Instrument </w:t>
      </w:r>
      <w:r w:rsidR="00047561">
        <w:rPr>
          <w:rFonts w:asciiTheme="minorHAnsi" w:hAnsiTheme="minorHAnsi" w:cstheme="minorHAnsi"/>
          <w:iCs/>
        </w:rPr>
        <w:t>and</w:t>
      </w:r>
      <w:r w:rsidR="004C35AB">
        <w:rPr>
          <w:rFonts w:asciiTheme="minorHAnsi" w:hAnsiTheme="minorHAnsi" w:cstheme="minorHAnsi"/>
          <w:iCs/>
        </w:rPr>
        <w:t xml:space="preserve"> did not raise concerns.</w:t>
      </w:r>
    </w:p>
    <w:p w14:paraId="3A6EE0A5" w14:textId="77777777" w:rsidR="00DA552F" w:rsidRPr="008134D5" w:rsidRDefault="00DA552F" w:rsidP="00B22F73">
      <w:pPr>
        <w:spacing w:before="120" w:after="120"/>
        <w:rPr>
          <w:rFonts w:asciiTheme="minorHAnsi" w:hAnsiTheme="minorHAnsi" w:cstheme="minorHAnsi"/>
        </w:rPr>
      </w:pPr>
      <w:r w:rsidRPr="008134D5">
        <w:rPr>
          <w:rFonts w:asciiTheme="minorHAnsi" w:hAnsiTheme="minorHAnsi" w:cstheme="minorHAnsi"/>
        </w:rPr>
        <w:br w:type="page"/>
      </w:r>
    </w:p>
    <w:p w14:paraId="2023D52E" w14:textId="77777777" w:rsidR="00DA552F" w:rsidRPr="0080510C" w:rsidRDefault="00DA552F" w:rsidP="000C310A">
      <w:pPr>
        <w:pStyle w:val="Title"/>
      </w:pPr>
      <w:bookmarkStart w:id="3" w:name="_Toc23942241"/>
      <w:bookmarkStart w:id="4" w:name="_Toc34293362"/>
      <w:r w:rsidRPr="0080510C">
        <w:rPr>
          <w:u w:val="none"/>
        </w:rPr>
        <w:lastRenderedPageBreak/>
        <w:t>STATEMENT OF COMPATIBILITY WITH HUMAN RIGHTS</w:t>
      </w:r>
      <w:bookmarkEnd w:id="3"/>
      <w:bookmarkEnd w:id="4"/>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7A107F76" w14:textId="61B7CCD9" w:rsidR="00DA552F" w:rsidRPr="000C310A" w:rsidRDefault="002B411E" w:rsidP="000C310A">
      <w:pPr>
        <w:pStyle w:val="Subtitle"/>
        <w:rPr>
          <w:bCs/>
          <w:iCs/>
          <w:u w:val="single"/>
        </w:rPr>
      </w:pPr>
      <w:r>
        <w:rPr>
          <w:b w:val="0"/>
          <w:bCs/>
          <w:i w:val="0"/>
          <w:iCs/>
          <w:u w:val="single"/>
        </w:rPr>
        <w:t>Higher Education Support (Other Grants) Amendment (Higher Education Continuity Guarantee) Guidelines 2023</w:t>
      </w:r>
    </w:p>
    <w:p w14:paraId="65F6CFAB" w14:textId="5D1772CB"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2B411E">
        <w:rPr>
          <w:rFonts w:asciiTheme="minorHAnsi" w:hAnsiTheme="minorHAnsi" w:cstheme="minorHAnsi"/>
          <w:i/>
          <w:iCs/>
          <w:szCs w:val="24"/>
        </w:rPr>
        <w:t>Higher Education Support (Other Grants) Amendment (Higher Education Continuity Guarantee) Guidelines 2023</w:t>
      </w:r>
      <w:r w:rsidR="001E52EB">
        <w:rPr>
          <w:rFonts w:asciiTheme="minorHAnsi" w:hAnsiTheme="minorHAnsi" w:cstheme="minorHAnsi"/>
          <w:szCs w:val="24"/>
        </w:rPr>
        <w:t xml:space="preserve"> (the </w:t>
      </w:r>
      <w:r w:rsidR="002B411E">
        <w:rPr>
          <w:rFonts w:asciiTheme="minorHAnsi" w:hAnsiTheme="minorHAnsi" w:cstheme="minorHAnsi"/>
          <w:szCs w:val="24"/>
        </w:rPr>
        <w:t xml:space="preserve">Amendment </w:t>
      </w:r>
      <w:r w:rsidR="00FF6E25">
        <w:rPr>
          <w:rFonts w:asciiTheme="minorHAnsi" w:hAnsiTheme="minorHAnsi" w:cstheme="minorHAnsi"/>
          <w:szCs w:val="24"/>
        </w:rPr>
        <w:t>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774144" w:rsidRDefault="00F9205E" w:rsidP="000C310A">
      <w:pPr>
        <w:pStyle w:val="Heading2"/>
      </w:pPr>
      <w:r w:rsidRPr="00774144">
        <w:t xml:space="preserve">Overview of the </w:t>
      </w:r>
      <w:r w:rsidR="002C40FB" w:rsidRPr="00774144">
        <w:t>Legislative Instrument</w:t>
      </w:r>
    </w:p>
    <w:p w14:paraId="673AF991" w14:textId="474B3351" w:rsidR="00154C9F" w:rsidRDefault="00154C9F" w:rsidP="00154C9F">
      <w:pPr>
        <w:spacing w:before="120" w:after="120"/>
        <w:rPr>
          <w:rFonts w:asciiTheme="minorHAnsi" w:hAnsiTheme="minorHAnsi" w:cstheme="minorHAnsi"/>
          <w:iCs/>
          <w:szCs w:val="24"/>
        </w:rPr>
      </w:pPr>
      <w:r w:rsidRPr="002B7CC4">
        <w:rPr>
          <w:rFonts w:asciiTheme="minorHAnsi" w:hAnsiTheme="minorHAnsi" w:cstheme="minorHAnsi"/>
          <w:iCs/>
          <w:szCs w:val="24"/>
        </w:rPr>
        <w:t>The Ame</w:t>
      </w:r>
      <w:r>
        <w:rPr>
          <w:rFonts w:asciiTheme="minorHAnsi" w:hAnsiTheme="minorHAnsi" w:cstheme="minorHAnsi"/>
          <w:iCs/>
          <w:szCs w:val="24"/>
        </w:rPr>
        <w:t xml:space="preserve">ndment Instrument amends provisions of the </w:t>
      </w:r>
      <w:r>
        <w:rPr>
          <w:rFonts w:asciiTheme="minorHAnsi" w:hAnsiTheme="minorHAnsi" w:cstheme="minorHAnsi"/>
          <w:i/>
          <w:iCs/>
          <w:szCs w:val="24"/>
        </w:rPr>
        <w:t xml:space="preserve">Higher Education Support (Other Grants) Guidelines 2022 </w:t>
      </w:r>
      <w:r>
        <w:rPr>
          <w:rFonts w:asciiTheme="minorHAnsi" w:hAnsiTheme="minorHAnsi" w:cstheme="minorHAnsi"/>
          <w:szCs w:val="24"/>
        </w:rPr>
        <w:t xml:space="preserve">(the </w:t>
      </w:r>
      <w:r>
        <w:rPr>
          <w:rFonts w:asciiTheme="minorHAnsi" w:hAnsiTheme="minorHAnsi" w:cstheme="minorHAnsi"/>
          <w:iCs/>
          <w:szCs w:val="24"/>
        </w:rPr>
        <w:t xml:space="preserve">Principal Instrument) relating to the calculation of Higher Education Continuity Guarantee (HECG) grants for the 2023 grant year. </w:t>
      </w:r>
    </w:p>
    <w:p w14:paraId="3B288251" w14:textId="77777777" w:rsidR="00D97F55" w:rsidRDefault="00D97F55" w:rsidP="00D97F55">
      <w:pPr>
        <w:spacing w:before="120" w:after="120"/>
        <w:rPr>
          <w:rFonts w:asciiTheme="minorHAnsi" w:hAnsiTheme="minorHAnsi" w:cstheme="minorHAnsi"/>
          <w:iCs/>
          <w:szCs w:val="24"/>
        </w:rPr>
      </w:pPr>
      <w:r>
        <w:rPr>
          <w:rFonts w:asciiTheme="minorHAnsi" w:hAnsiTheme="minorHAnsi" w:cstheme="minorHAnsi"/>
          <w:iCs/>
          <w:szCs w:val="24"/>
        </w:rPr>
        <w:t xml:space="preserve">The amendments change the formula for calculating HECG grants for the 2023 grant year to clarify the funding that higher education providers will receive for 2023. The amendments provide that a higher education provider will not receive a HECG grant payment in relation to higher education courses where a Table A provider has used all of the funding allocated as their Base MBGA for higher education courses of study in their funding agreement , or where a non-Table A provider has used all of their Maximum Basic Grant Amount minus any funding the provider was entitled to be paid for ‘equity places’, ‘national priority places’ and ‘innovative places’ as set out in the provider’s funding agreement. </w:t>
      </w:r>
    </w:p>
    <w:p w14:paraId="1C1C219E" w14:textId="77777777" w:rsidR="00D97F55" w:rsidRDefault="00D97F55" w:rsidP="00D97F55">
      <w:pPr>
        <w:spacing w:before="120" w:after="120"/>
        <w:rPr>
          <w:rFonts w:asciiTheme="minorHAnsi" w:hAnsiTheme="minorHAnsi" w:cstheme="minorHAnsi"/>
          <w:iCs/>
          <w:szCs w:val="24"/>
        </w:rPr>
      </w:pPr>
      <w:r>
        <w:rPr>
          <w:rFonts w:asciiTheme="minorHAnsi" w:hAnsiTheme="minorHAnsi" w:cstheme="minorHAnsi"/>
          <w:iCs/>
          <w:szCs w:val="24"/>
        </w:rPr>
        <w:t xml:space="preserve">The changes will also ensure that funding allocated to providers for ‘equity places’ is not included in the calculation of HECG grants for the 2023 grant year. The previous formula for the calculation of HECG grants for the 2022 and 2023 grant year only excluded the funding allocated for ‘short courses’, ‘national priority places’ and innovative places’. The change to the formula for calculating HECG grants for the 2023 grant year is required to reflect the introduction of ‘equity places’ in 2023 and that no funding has been allocated to providers for ‘short courses’ for 2023. This reflects the policy intention that funding allocated to providers for ‘equity places’ should not be included in the calculation of HECG grants. </w:t>
      </w:r>
    </w:p>
    <w:p w14:paraId="57CC71C9" w14:textId="77777777" w:rsidR="00F9205E" w:rsidRPr="008134D5" w:rsidRDefault="00F9205E" w:rsidP="000C310A">
      <w:pPr>
        <w:pStyle w:val="Heading2"/>
      </w:pPr>
      <w:r w:rsidRPr="008134D5">
        <w:t>Human rights implications</w:t>
      </w:r>
    </w:p>
    <w:p w14:paraId="7EB0E968" w14:textId="0DC3183E" w:rsidR="00C97E14" w:rsidRPr="008576C8" w:rsidRDefault="00FF3968" w:rsidP="004D07B0">
      <w:pPr>
        <w:spacing w:before="120" w:after="120"/>
        <w:rPr>
          <w:rFonts w:asciiTheme="minorHAnsi" w:hAnsiTheme="minorHAnsi" w:cstheme="minorHAnsi"/>
        </w:rPr>
      </w:pPr>
      <w:r>
        <w:rPr>
          <w:rFonts w:asciiTheme="minorHAnsi" w:hAnsiTheme="minorHAnsi" w:cstheme="minorHAnsi"/>
        </w:rPr>
        <w:t xml:space="preserve">The Amendment Instrument </w:t>
      </w:r>
      <w:r w:rsidR="00C97E14">
        <w:rPr>
          <w:rFonts w:asciiTheme="minorHAnsi" w:hAnsiTheme="minorHAnsi" w:cstheme="minorHAnsi"/>
        </w:rPr>
        <w:t xml:space="preserve">does not engage any </w:t>
      </w:r>
      <w:r w:rsidR="00B91A2D">
        <w:rPr>
          <w:rFonts w:asciiTheme="minorHAnsi" w:hAnsiTheme="minorHAnsi" w:cstheme="minorHAnsi"/>
        </w:rPr>
        <w:t xml:space="preserve">of the applicable rights or freedoms. The Amendment Instrument makes some changes to clarify how HECG grants should be calculated for the 2023 year. This is </w:t>
      </w:r>
      <w:r w:rsidR="00F7573F">
        <w:rPr>
          <w:rFonts w:asciiTheme="minorHAnsi" w:hAnsiTheme="minorHAnsi" w:cstheme="minorHAnsi"/>
        </w:rPr>
        <w:t>largely a mechanical change which does not engage any applicable human rights.</w:t>
      </w:r>
      <w:r w:rsidR="00B91A2D">
        <w:rPr>
          <w:rFonts w:asciiTheme="minorHAnsi" w:hAnsiTheme="minorHAnsi" w:cstheme="minorHAnsi"/>
        </w:rPr>
        <w:t xml:space="preserve"> </w:t>
      </w:r>
    </w:p>
    <w:p w14:paraId="0D664062" w14:textId="77777777" w:rsidR="00DA552F" w:rsidRPr="008134D5" w:rsidRDefault="00F9205E" w:rsidP="000C310A">
      <w:pPr>
        <w:pStyle w:val="Heading2"/>
      </w:pPr>
      <w:r w:rsidRPr="008134D5">
        <w:t>Conclusion</w:t>
      </w:r>
    </w:p>
    <w:p w14:paraId="26C0AF71" w14:textId="426C34FE"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DD7496">
        <w:rPr>
          <w:rFonts w:asciiTheme="minorHAnsi" w:hAnsiTheme="minorHAnsi" w:cstheme="minorHAnsi"/>
          <w:szCs w:val="24"/>
        </w:rPr>
        <w:t>Instrument</w:t>
      </w:r>
      <w:r w:rsidR="00DD7496" w:rsidRPr="008134D5">
        <w:rPr>
          <w:rFonts w:asciiTheme="minorHAnsi" w:hAnsiTheme="minorHAnsi" w:cstheme="minorHAnsi"/>
          <w:szCs w:val="24"/>
        </w:rPr>
        <w:t xml:space="preserve"> </w:t>
      </w:r>
      <w:r w:rsidRPr="008134D5">
        <w:rPr>
          <w:rFonts w:asciiTheme="minorHAnsi" w:hAnsiTheme="minorHAnsi" w:cstheme="minorHAnsi"/>
          <w:szCs w:val="24"/>
        </w:rPr>
        <w:t xml:space="preserve">is compatible with human rights because </w:t>
      </w:r>
      <w:r w:rsidR="0019381E">
        <w:rPr>
          <w:rFonts w:asciiTheme="minorHAnsi" w:hAnsiTheme="minorHAnsi" w:cstheme="minorHAnsi"/>
          <w:szCs w:val="24"/>
        </w:rPr>
        <w:t>i</w:t>
      </w:r>
      <w:r w:rsidR="00F7573F">
        <w:rPr>
          <w:rFonts w:asciiTheme="minorHAnsi" w:hAnsiTheme="minorHAnsi" w:cstheme="minorHAnsi"/>
          <w:szCs w:val="24"/>
        </w:rPr>
        <w:t xml:space="preserve">t does not raise any human rights issues. </w:t>
      </w:r>
    </w:p>
    <w:p w14:paraId="49175299" w14:textId="77777777" w:rsidR="00D8103E" w:rsidRPr="008134D5" w:rsidRDefault="00D8103E" w:rsidP="00DA552F">
      <w:pPr>
        <w:spacing w:before="120" w:after="120"/>
        <w:rPr>
          <w:rFonts w:asciiTheme="minorHAnsi" w:hAnsiTheme="minorHAnsi" w:cstheme="minorHAnsi"/>
          <w:b/>
          <w:szCs w:val="24"/>
        </w:rPr>
      </w:pPr>
    </w:p>
    <w:p w14:paraId="1EC89B8A" w14:textId="5B082254" w:rsidR="00DA552F" w:rsidRPr="008134D5" w:rsidRDefault="00D8103E" w:rsidP="00DD7496">
      <w:pPr>
        <w:spacing w:before="120" w:after="120"/>
        <w:jc w:val="center"/>
        <w:rPr>
          <w:rFonts w:asciiTheme="minorHAnsi" w:hAnsiTheme="minorHAnsi" w:cstheme="minorHAnsi"/>
          <w:szCs w:val="24"/>
        </w:rPr>
      </w:pPr>
      <w:r w:rsidRPr="008134D5">
        <w:rPr>
          <w:rFonts w:asciiTheme="minorHAnsi" w:hAnsiTheme="minorHAnsi" w:cstheme="minorHAnsi"/>
          <w:b/>
          <w:szCs w:val="24"/>
        </w:rPr>
        <w:t xml:space="preserve">Minister for </w:t>
      </w:r>
      <w:r w:rsidR="00581A71">
        <w:rPr>
          <w:rFonts w:asciiTheme="minorHAnsi" w:hAnsiTheme="minorHAnsi" w:cstheme="minorHAnsi"/>
          <w:b/>
          <w:szCs w:val="24"/>
        </w:rPr>
        <w:t>Education</w:t>
      </w:r>
      <w:r w:rsidR="00E8671C">
        <w:rPr>
          <w:rFonts w:asciiTheme="minorHAnsi" w:hAnsiTheme="minorHAnsi" w:cstheme="minorHAnsi"/>
          <w:b/>
          <w:szCs w:val="24"/>
        </w:rPr>
        <w:t xml:space="preserve">, </w:t>
      </w:r>
      <w:r w:rsidR="00581A71">
        <w:rPr>
          <w:rFonts w:asciiTheme="minorHAnsi" w:hAnsiTheme="minorHAnsi" w:cstheme="minorHAnsi"/>
          <w:b/>
          <w:szCs w:val="24"/>
        </w:rPr>
        <w:t>the Hon Jason Clare MP</w:t>
      </w: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785B1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docGrid w:linePitch="360"/>
        </w:sectPr>
      </w:pPr>
    </w:p>
    <w:p w14:paraId="192B2E5C" w14:textId="4EAA3EA7" w:rsidR="00DA552F" w:rsidRPr="00581A71" w:rsidRDefault="00581A71" w:rsidP="000C310A">
      <w:pPr>
        <w:pStyle w:val="Title"/>
        <w:rPr>
          <w:b w:val="0"/>
        </w:rPr>
      </w:pPr>
      <w:r w:rsidRPr="00581A71">
        <w:rPr>
          <w:u w:val="none"/>
        </w:rPr>
        <w:lastRenderedPageBreak/>
        <w:t>HIGHER EDUCATION SUPPORT (OTHER GRANTS) AMENDMENT (HIGHER EDUCATION CONTINUITY GUARANTEE) GUIDELINES 2023</w:t>
      </w:r>
    </w:p>
    <w:p w14:paraId="289E50B9" w14:textId="77777777" w:rsidR="00DA552F" w:rsidRPr="008134D5" w:rsidRDefault="00DB6247" w:rsidP="000C310A">
      <w:pPr>
        <w:pStyle w:val="Heading1"/>
      </w:pPr>
      <w:r>
        <w:t>EXPLANATION OF PROVISIONS</w:t>
      </w:r>
    </w:p>
    <w:p w14:paraId="5C8B7FC1"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1: </w:t>
      </w:r>
      <w:r w:rsidR="00E631F9" w:rsidRPr="000C310A">
        <w:rPr>
          <w:b/>
          <w:bCs/>
        </w:rPr>
        <w:t>Name</w:t>
      </w:r>
    </w:p>
    <w:p w14:paraId="6EB0F1F1" w14:textId="4E6E37CF" w:rsidR="00DA552F" w:rsidRPr="00EF4ACB" w:rsidRDefault="00DA552F" w:rsidP="00CB24D6">
      <w:pPr>
        <w:pStyle w:val="ListParagraph"/>
        <w:numPr>
          <w:ilvl w:val="0"/>
          <w:numId w:val="1"/>
        </w:numPr>
        <w:spacing w:before="360" w:after="120"/>
        <w:rPr>
          <w:rFonts w:asciiTheme="minorHAnsi" w:hAnsiTheme="minorHAnsi" w:cstheme="minorHAnsi"/>
          <w:szCs w:val="24"/>
        </w:rPr>
      </w:pPr>
      <w:r w:rsidRPr="00EF4ACB">
        <w:rPr>
          <w:rFonts w:asciiTheme="minorHAnsi" w:hAnsiTheme="minorHAnsi" w:cstheme="minorHAnsi"/>
          <w:szCs w:val="24"/>
        </w:rPr>
        <w:t xml:space="preserve">This is a formal provision specifying the </w:t>
      </w:r>
      <w:r w:rsidR="00E631F9" w:rsidRPr="00EF4ACB">
        <w:rPr>
          <w:rFonts w:asciiTheme="minorHAnsi" w:hAnsiTheme="minorHAnsi" w:cstheme="minorHAnsi"/>
          <w:szCs w:val="24"/>
        </w:rPr>
        <w:t>name of the</w:t>
      </w:r>
      <w:r w:rsidR="00603D52">
        <w:rPr>
          <w:rFonts w:asciiTheme="minorHAnsi" w:hAnsiTheme="minorHAnsi" w:cstheme="minorHAnsi"/>
          <w:szCs w:val="24"/>
        </w:rPr>
        <w:t xml:space="preserve"> </w:t>
      </w:r>
      <w:r w:rsidR="00603D52">
        <w:rPr>
          <w:rFonts w:asciiTheme="minorHAnsi" w:hAnsiTheme="minorHAnsi" w:cstheme="minorHAnsi"/>
          <w:i/>
          <w:iCs/>
          <w:szCs w:val="24"/>
        </w:rPr>
        <w:t xml:space="preserve">Higher Education Support (Other Grants) Amendment (Higher Education Continuity Guarantee) Guidelines 2023 </w:t>
      </w:r>
      <w:r w:rsidR="00603D52">
        <w:rPr>
          <w:rFonts w:asciiTheme="minorHAnsi" w:hAnsiTheme="minorHAnsi" w:cstheme="minorHAnsi"/>
          <w:szCs w:val="24"/>
        </w:rPr>
        <w:t>(the Amendment I</w:t>
      </w:r>
      <w:r w:rsidR="00E631F9" w:rsidRPr="00EF4ACB">
        <w:rPr>
          <w:rFonts w:asciiTheme="minorHAnsi" w:hAnsiTheme="minorHAnsi" w:cstheme="minorHAnsi"/>
          <w:szCs w:val="24"/>
        </w:rPr>
        <w:t>nstrument</w:t>
      </w:r>
      <w:r w:rsidR="00603D52">
        <w:rPr>
          <w:rFonts w:asciiTheme="minorHAnsi" w:hAnsiTheme="minorHAnsi" w:cstheme="minorHAnsi"/>
          <w:szCs w:val="24"/>
        </w:rPr>
        <w:t>)</w:t>
      </w:r>
      <w:r w:rsidR="00E631F9" w:rsidRPr="00EF4ACB">
        <w:rPr>
          <w:rFonts w:asciiTheme="minorHAnsi" w:hAnsiTheme="minorHAnsi" w:cstheme="minorHAnsi"/>
          <w:szCs w:val="24"/>
        </w:rPr>
        <w:t>.</w:t>
      </w:r>
    </w:p>
    <w:p w14:paraId="153E9ACC"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2: Commencement</w:t>
      </w:r>
    </w:p>
    <w:p w14:paraId="1DC53B7C" w14:textId="7A4D9704" w:rsidR="00E631F9" w:rsidRPr="00581A71" w:rsidRDefault="00581A71" w:rsidP="00CB24D6">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 xml:space="preserve">This provision provides that the </w:t>
      </w:r>
      <w:r w:rsidR="00603D52">
        <w:rPr>
          <w:rFonts w:asciiTheme="minorHAnsi" w:hAnsiTheme="minorHAnsi" w:cstheme="minorHAnsi"/>
          <w:iCs/>
        </w:rPr>
        <w:t xml:space="preserve">Amendment </w:t>
      </w:r>
      <w:r w:rsidR="00603D52" w:rsidRPr="00745376">
        <w:rPr>
          <w:rFonts w:asciiTheme="minorHAnsi" w:hAnsiTheme="minorHAnsi" w:cstheme="minorHAnsi"/>
          <w:iCs/>
        </w:rPr>
        <w:t>Instrument</w:t>
      </w:r>
      <w:r>
        <w:rPr>
          <w:rFonts w:asciiTheme="minorHAnsi" w:hAnsiTheme="minorHAnsi" w:cstheme="minorHAnsi"/>
          <w:iCs/>
        </w:rPr>
        <w:t xml:space="preserve"> commences on the day after the Amendment Instrument is registered on the Federal Register of Legislation. </w:t>
      </w:r>
    </w:p>
    <w:p w14:paraId="3287C071" w14:textId="77777777" w:rsidR="00E631F9" w:rsidRPr="000C310A" w:rsidRDefault="00E631F9" w:rsidP="000C310A">
      <w:pPr>
        <w:pStyle w:val="Heading3"/>
        <w:spacing w:before="240"/>
        <w:rPr>
          <w:b/>
          <w:bCs/>
        </w:rPr>
      </w:pPr>
      <w:r w:rsidRPr="000C310A">
        <w:rPr>
          <w:b/>
          <w:bCs/>
        </w:rPr>
        <w:t>Section 3: Authority</w:t>
      </w:r>
    </w:p>
    <w:p w14:paraId="1CEE71F7" w14:textId="08A0FDA4" w:rsidR="00E631F9" w:rsidRPr="00581A71" w:rsidRDefault="00581A71" w:rsidP="00CB24D6">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This provision provides that the Amendment Instrument is made under section 238</w:t>
      </w:r>
      <w:r>
        <w:rPr>
          <w:rFonts w:asciiTheme="minorHAnsi" w:hAnsiTheme="minorHAnsi" w:cstheme="minorHAnsi"/>
          <w:iCs/>
        </w:rPr>
        <w:noBreakHyphen/>
        <w:t xml:space="preserve">10 of the </w:t>
      </w:r>
      <w:r>
        <w:rPr>
          <w:rFonts w:asciiTheme="minorHAnsi" w:hAnsiTheme="minorHAnsi" w:cstheme="minorHAnsi"/>
          <w:i/>
        </w:rPr>
        <w:t xml:space="preserve">Higher Education Support Act 2003 </w:t>
      </w:r>
      <w:r>
        <w:rPr>
          <w:rFonts w:asciiTheme="minorHAnsi" w:hAnsiTheme="minorHAnsi" w:cstheme="minorHAnsi"/>
          <w:iCs/>
        </w:rPr>
        <w:t xml:space="preserve">(the Act). </w:t>
      </w:r>
    </w:p>
    <w:p w14:paraId="0296CC14" w14:textId="4050D0AE" w:rsidR="00DA552F" w:rsidRPr="000C310A" w:rsidRDefault="00E631F9" w:rsidP="000C310A">
      <w:pPr>
        <w:pStyle w:val="Heading3"/>
        <w:spacing w:before="240"/>
        <w:rPr>
          <w:b/>
          <w:bCs/>
        </w:rPr>
      </w:pPr>
      <w:r w:rsidRPr="008C5CE9">
        <w:rPr>
          <w:b/>
          <w:bCs/>
        </w:rPr>
        <w:t xml:space="preserve">Section 4: </w:t>
      </w:r>
      <w:r w:rsidR="00581A71">
        <w:rPr>
          <w:b/>
          <w:bCs/>
        </w:rPr>
        <w:t xml:space="preserve">Schedules </w:t>
      </w:r>
    </w:p>
    <w:p w14:paraId="2AB55D93" w14:textId="15E2FFA5" w:rsidR="00756D99" w:rsidRDefault="00581A71" w:rsidP="00581A71">
      <w:pPr>
        <w:pStyle w:val="ListParagraph"/>
        <w:numPr>
          <w:ilvl w:val="0"/>
          <w:numId w:val="1"/>
        </w:numPr>
        <w:spacing w:after="160" w:line="259" w:lineRule="auto"/>
        <w:rPr>
          <w:rFonts w:asciiTheme="minorHAnsi" w:hAnsiTheme="minorHAnsi" w:cstheme="minorHAnsi"/>
        </w:rPr>
      </w:pPr>
      <w:bookmarkStart w:id="5" w:name="_Toc23942243"/>
      <w:bookmarkEnd w:id="5"/>
      <w:r>
        <w:rPr>
          <w:rFonts w:asciiTheme="minorHAnsi" w:hAnsiTheme="minorHAnsi" w:cstheme="minorHAnsi"/>
        </w:rPr>
        <w:t>This is a technical provision that explains that the instrument that is specified in a Schedule to th</w:t>
      </w:r>
      <w:r w:rsidR="000B1B40">
        <w:rPr>
          <w:rFonts w:asciiTheme="minorHAnsi" w:hAnsiTheme="minorHAnsi" w:cstheme="minorHAnsi"/>
        </w:rPr>
        <w:t>e</w:t>
      </w:r>
      <w:r>
        <w:rPr>
          <w:rFonts w:asciiTheme="minorHAnsi" w:hAnsiTheme="minorHAnsi" w:cstheme="minorHAnsi"/>
        </w:rPr>
        <w:t xml:space="preserve"> </w:t>
      </w:r>
      <w:r w:rsidR="000B1B40">
        <w:rPr>
          <w:rFonts w:asciiTheme="minorHAnsi" w:hAnsiTheme="minorHAnsi" w:cstheme="minorHAnsi"/>
        </w:rPr>
        <w:t>Amendment I</w:t>
      </w:r>
      <w:r>
        <w:rPr>
          <w:rFonts w:asciiTheme="minorHAnsi" w:hAnsiTheme="minorHAnsi" w:cstheme="minorHAnsi"/>
        </w:rPr>
        <w:t xml:space="preserve">nstrument is amended or repealed as set out in the applicable items in the Schedule concerned. </w:t>
      </w:r>
    </w:p>
    <w:p w14:paraId="6BA970E5" w14:textId="33740AC0" w:rsidR="00581A71" w:rsidRDefault="00581A71" w:rsidP="00581A71">
      <w:pPr>
        <w:spacing w:after="160" w:line="259" w:lineRule="auto"/>
        <w:rPr>
          <w:rFonts w:asciiTheme="minorHAnsi" w:hAnsiTheme="minorHAnsi" w:cstheme="minorHAnsi"/>
        </w:rPr>
      </w:pPr>
      <w:r>
        <w:rPr>
          <w:rFonts w:asciiTheme="minorHAnsi" w:hAnsiTheme="minorHAnsi" w:cstheme="minorHAnsi"/>
          <w:b/>
          <w:bCs/>
          <w:u w:val="single"/>
        </w:rPr>
        <w:t xml:space="preserve">Schedule 1 – Amendments </w:t>
      </w:r>
    </w:p>
    <w:p w14:paraId="05CD46D6" w14:textId="104B0008" w:rsidR="00581A71" w:rsidRDefault="00581A71" w:rsidP="00581A71">
      <w:pPr>
        <w:spacing w:after="160" w:line="259" w:lineRule="auto"/>
        <w:rPr>
          <w:rFonts w:asciiTheme="minorHAnsi" w:hAnsiTheme="minorHAnsi" w:cstheme="minorHAnsi"/>
        </w:rPr>
      </w:pPr>
      <w:r>
        <w:rPr>
          <w:rFonts w:asciiTheme="minorHAnsi" w:hAnsiTheme="minorHAnsi" w:cstheme="minorHAnsi"/>
          <w:i/>
          <w:iCs/>
        </w:rPr>
        <w:t xml:space="preserve">Higher Education Support (Other Grants) Guidelines 2022 </w:t>
      </w:r>
    </w:p>
    <w:p w14:paraId="284CF944" w14:textId="2E317C25" w:rsidR="00581A71" w:rsidRDefault="00581A71" w:rsidP="00581A71">
      <w:pPr>
        <w:spacing w:after="160" w:line="259" w:lineRule="auto"/>
        <w:rPr>
          <w:rFonts w:asciiTheme="minorHAnsi" w:hAnsiTheme="minorHAnsi" w:cstheme="minorHAnsi"/>
        </w:rPr>
      </w:pPr>
      <w:r>
        <w:rPr>
          <w:rFonts w:asciiTheme="minorHAnsi" w:hAnsiTheme="minorHAnsi" w:cstheme="minorHAnsi"/>
          <w:u w:val="single"/>
        </w:rPr>
        <w:t>Item 1</w:t>
      </w:r>
    </w:p>
    <w:p w14:paraId="3B74679E" w14:textId="3033F95E" w:rsidR="00581A71" w:rsidRDefault="00186D4B" w:rsidP="00581A7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Item 1 inserts a new Part 1A dealing with application, saving and transitional provisions. </w:t>
      </w:r>
    </w:p>
    <w:p w14:paraId="54F248AA" w14:textId="77ACBE20" w:rsidR="00186D4B" w:rsidRDefault="00186D4B" w:rsidP="00581A7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New section 6A moves the transitional provision previously found in Schedule 2 of the </w:t>
      </w:r>
      <w:r>
        <w:rPr>
          <w:rFonts w:asciiTheme="minorHAnsi" w:hAnsiTheme="minorHAnsi" w:cstheme="minorHAnsi"/>
          <w:i/>
          <w:iCs/>
        </w:rPr>
        <w:t xml:space="preserve">Higher Education Support (Other Grants) Guidelines 2022 </w:t>
      </w:r>
      <w:r>
        <w:rPr>
          <w:rFonts w:asciiTheme="minorHAnsi" w:hAnsiTheme="minorHAnsi" w:cstheme="minorHAnsi"/>
        </w:rPr>
        <w:t xml:space="preserve">(the Principal Instrument) into this new Part 1A. </w:t>
      </w:r>
    </w:p>
    <w:p w14:paraId="3906BCFF" w14:textId="1006C857" w:rsidR="00186D4B" w:rsidRDefault="00186D4B" w:rsidP="00581A7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New section 6B provides that the amendments made by the Amendment Instrument apply in relation to </w:t>
      </w:r>
      <w:r w:rsidR="00AE3A8E">
        <w:rPr>
          <w:rFonts w:asciiTheme="minorHAnsi" w:hAnsiTheme="minorHAnsi" w:cstheme="minorHAnsi"/>
        </w:rPr>
        <w:t>grants made under the Higher Education Continuity Guarantee</w:t>
      </w:r>
      <w:r w:rsidR="00931ED7">
        <w:rPr>
          <w:rFonts w:asciiTheme="minorHAnsi" w:hAnsiTheme="minorHAnsi" w:cstheme="minorHAnsi"/>
        </w:rPr>
        <w:t xml:space="preserve"> (HECG)</w:t>
      </w:r>
      <w:r w:rsidR="00AE3A8E">
        <w:rPr>
          <w:rFonts w:asciiTheme="minorHAnsi" w:hAnsiTheme="minorHAnsi" w:cstheme="minorHAnsi"/>
        </w:rPr>
        <w:t xml:space="preserve"> program for the 2023 grant year. </w:t>
      </w:r>
    </w:p>
    <w:p w14:paraId="42269299" w14:textId="70C08BF2" w:rsidR="00AE3A8E" w:rsidRPr="00AE3A8E" w:rsidRDefault="00AE3A8E" w:rsidP="00AE3A8E">
      <w:pPr>
        <w:spacing w:after="160" w:line="259" w:lineRule="auto"/>
        <w:rPr>
          <w:rFonts w:asciiTheme="minorHAnsi" w:hAnsiTheme="minorHAnsi" w:cstheme="minorHAnsi"/>
          <w:u w:val="single"/>
        </w:rPr>
      </w:pPr>
      <w:r w:rsidRPr="00AE3A8E">
        <w:rPr>
          <w:rFonts w:asciiTheme="minorHAnsi" w:hAnsiTheme="minorHAnsi" w:cstheme="minorHAnsi"/>
          <w:u w:val="single"/>
        </w:rPr>
        <w:t>Items 2 and 3</w:t>
      </w:r>
    </w:p>
    <w:p w14:paraId="25C5ADEA" w14:textId="5D32E966" w:rsidR="00AE3A8E" w:rsidRDefault="00AE3A8E" w:rsidP="00AE3A8E">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Section 63 provides the </w:t>
      </w:r>
      <w:r w:rsidR="00D502B7">
        <w:rPr>
          <w:rFonts w:asciiTheme="minorHAnsi" w:hAnsiTheme="minorHAnsi" w:cstheme="minorHAnsi"/>
        </w:rPr>
        <w:t xml:space="preserve">current </w:t>
      </w:r>
      <w:r>
        <w:rPr>
          <w:rFonts w:asciiTheme="minorHAnsi" w:hAnsiTheme="minorHAnsi" w:cstheme="minorHAnsi"/>
        </w:rPr>
        <w:t xml:space="preserve">method by which the amount of grants under the </w:t>
      </w:r>
      <w:r w:rsidR="00931ED7">
        <w:rPr>
          <w:rFonts w:asciiTheme="minorHAnsi" w:hAnsiTheme="minorHAnsi" w:cstheme="minorHAnsi"/>
        </w:rPr>
        <w:t xml:space="preserve">HECG </w:t>
      </w:r>
      <w:r>
        <w:rPr>
          <w:rFonts w:asciiTheme="minorHAnsi" w:hAnsiTheme="minorHAnsi" w:cstheme="minorHAnsi"/>
        </w:rPr>
        <w:t xml:space="preserve">program are determined for a provider. Items 2 and 3 amend subsections </w:t>
      </w:r>
      <w:r>
        <w:rPr>
          <w:rFonts w:asciiTheme="minorHAnsi" w:hAnsiTheme="minorHAnsi" w:cstheme="minorHAnsi"/>
        </w:rPr>
        <w:lastRenderedPageBreak/>
        <w:t>63(1) and (2) to provide that the formula in those subsections only appl</w:t>
      </w:r>
      <w:r w:rsidR="00D502B7">
        <w:rPr>
          <w:rFonts w:asciiTheme="minorHAnsi" w:hAnsiTheme="minorHAnsi" w:cstheme="minorHAnsi"/>
        </w:rPr>
        <w:t>ies</w:t>
      </w:r>
      <w:r>
        <w:rPr>
          <w:rFonts w:asciiTheme="minorHAnsi" w:hAnsiTheme="minorHAnsi" w:cstheme="minorHAnsi"/>
        </w:rPr>
        <w:t xml:space="preserve"> to grants determined for the 2022 grant year. </w:t>
      </w:r>
    </w:p>
    <w:p w14:paraId="423AA60D" w14:textId="6D84210A" w:rsidR="00AE3A8E" w:rsidRDefault="00AE3A8E" w:rsidP="00AE3A8E">
      <w:pPr>
        <w:spacing w:after="160" w:line="259" w:lineRule="auto"/>
        <w:rPr>
          <w:rFonts w:asciiTheme="minorHAnsi" w:hAnsiTheme="minorHAnsi" w:cstheme="minorHAnsi"/>
        </w:rPr>
      </w:pPr>
      <w:r>
        <w:rPr>
          <w:rFonts w:asciiTheme="minorHAnsi" w:hAnsiTheme="minorHAnsi" w:cstheme="minorHAnsi"/>
          <w:u w:val="single"/>
        </w:rPr>
        <w:t>Item 4</w:t>
      </w:r>
    </w:p>
    <w:p w14:paraId="00F47C3D" w14:textId="0530D6E2" w:rsidR="00AE3A8E" w:rsidRDefault="00AE3A8E" w:rsidP="00AE3A8E">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Item 4 inserts new subsection</w:t>
      </w:r>
      <w:r w:rsidR="00D502B7">
        <w:rPr>
          <w:rFonts w:asciiTheme="minorHAnsi" w:hAnsiTheme="minorHAnsi" w:cstheme="minorHAnsi"/>
        </w:rPr>
        <w:t>s</w:t>
      </w:r>
      <w:r>
        <w:rPr>
          <w:rFonts w:asciiTheme="minorHAnsi" w:hAnsiTheme="minorHAnsi" w:cstheme="minorHAnsi"/>
        </w:rPr>
        <w:t xml:space="preserve"> 63(4) and 63(5). The new subsections provide the method to calculate the amount of grants under the </w:t>
      </w:r>
      <w:r w:rsidR="00A23F8D">
        <w:rPr>
          <w:rFonts w:asciiTheme="minorHAnsi" w:hAnsiTheme="minorHAnsi" w:cstheme="minorHAnsi"/>
        </w:rPr>
        <w:t xml:space="preserve">HECG </w:t>
      </w:r>
      <w:r>
        <w:rPr>
          <w:rFonts w:asciiTheme="minorHAnsi" w:hAnsiTheme="minorHAnsi" w:cstheme="minorHAnsi"/>
        </w:rPr>
        <w:t xml:space="preserve">program for Table A providers and non-Table A providers for the 2023 grant year. </w:t>
      </w:r>
    </w:p>
    <w:p w14:paraId="00F60006" w14:textId="5D88A164" w:rsidR="00AE3A8E" w:rsidRDefault="00AE3A8E" w:rsidP="00AE3A8E">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New subsection 63(4) provides</w:t>
      </w:r>
      <w:r w:rsidR="005910FD">
        <w:rPr>
          <w:rFonts w:asciiTheme="minorHAnsi" w:hAnsiTheme="minorHAnsi" w:cstheme="minorHAnsi"/>
        </w:rPr>
        <w:t xml:space="preserve"> the formula to calculate the amount of grant for a Table A provider under the </w:t>
      </w:r>
      <w:r w:rsidR="00A23F8D">
        <w:rPr>
          <w:rFonts w:asciiTheme="minorHAnsi" w:hAnsiTheme="minorHAnsi" w:cstheme="minorHAnsi"/>
        </w:rPr>
        <w:t xml:space="preserve">HECG </w:t>
      </w:r>
      <w:r w:rsidR="005910FD">
        <w:rPr>
          <w:rFonts w:asciiTheme="minorHAnsi" w:hAnsiTheme="minorHAnsi" w:cstheme="minorHAnsi"/>
        </w:rPr>
        <w:t>program. It provides</w:t>
      </w:r>
      <w:r>
        <w:rPr>
          <w:rFonts w:asciiTheme="minorHAnsi" w:hAnsiTheme="minorHAnsi" w:cstheme="minorHAnsi"/>
        </w:rPr>
        <w:t xml:space="preserve"> that a grant under the program for a Table A provider for 2023 is to be calculated by taking away the amount of ‘CGS Payments’ from the ‘Max’. </w:t>
      </w:r>
    </w:p>
    <w:p w14:paraId="67A7E2FE" w14:textId="3DB05400" w:rsidR="00AE3A8E" w:rsidRDefault="00AE3A8E" w:rsidP="00AE3A8E">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The ‘Max’ for</w:t>
      </w:r>
      <w:r w:rsidR="0000037B">
        <w:rPr>
          <w:rFonts w:asciiTheme="minorHAnsi" w:hAnsiTheme="minorHAnsi" w:cstheme="minorHAnsi"/>
        </w:rPr>
        <w:t xml:space="preserve"> a Table A provider for</w:t>
      </w:r>
      <w:r>
        <w:rPr>
          <w:rFonts w:asciiTheme="minorHAnsi" w:hAnsiTheme="minorHAnsi" w:cstheme="minorHAnsi"/>
        </w:rPr>
        <w:t xml:space="preserve"> 2023 is defined</w:t>
      </w:r>
      <w:r w:rsidR="00763679">
        <w:rPr>
          <w:rFonts w:asciiTheme="minorHAnsi" w:hAnsiTheme="minorHAnsi" w:cstheme="minorHAnsi"/>
        </w:rPr>
        <w:t>,</w:t>
      </w:r>
      <w:r>
        <w:rPr>
          <w:rFonts w:asciiTheme="minorHAnsi" w:hAnsiTheme="minorHAnsi" w:cstheme="minorHAnsi"/>
        </w:rPr>
        <w:t xml:space="preserve"> for the purposes of subsection</w:t>
      </w:r>
      <w:r w:rsidR="00717D94">
        <w:rPr>
          <w:rFonts w:asciiTheme="minorHAnsi" w:hAnsiTheme="minorHAnsi" w:cstheme="minorHAnsi"/>
        </w:rPr>
        <w:t xml:space="preserve"> 63(4)</w:t>
      </w:r>
      <w:r w:rsidR="00763679">
        <w:rPr>
          <w:rFonts w:asciiTheme="minorHAnsi" w:hAnsiTheme="minorHAnsi" w:cstheme="minorHAnsi"/>
        </w:rPr>
        <w:t>,</w:t>
      </w:r>
      <w:r>
        <w:rPr>
          <w:rFonts w:asciiTheme="minorHAnsi" w:hAnsiTheme="minorHAnsi" w:cstheme="minorHAnsi"/>
        </w:rPr>
        <w:t xml:space="preserve"> to mean the sum of funding allocated to the provider and specified as the provider’s ‘Base MBGA’ for higher education courses in the provider’s funding agreement under section 30-25 of Part 2-2 of the Act, the provider’s Maximum Basic Grant Amount for designated higher education courses and amounts for a provider under subparagraph 33-1(1)(b)(ii) of the Act. </w:t>
      </w:r>
    </w:p>
    <w:p w14:paraId="016CD127" w14:textId="4A488449" w:rsidR="00AE3A8E" w:rsidRDefault="00AE3A8E" w:rsidP="00AE3A8E">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‘CGS Payments’ for</w:t>
      </w:r>
      <w:r w:rsidR="0000037B">
        <w:rPr>
          <w:rFonts w:asciiTheme="minorHAnsi" w:hAnsiTheme="minorHAnsi" w:cstheme="minorHAnsi"/>
        </w:rPr>
        <w:t xml:space="preserve"> a Table A provider for</w:t>
      </w:r>
      <w:r>
        <w:rPr>
          <w:rFonts w:asciiTheme="minorHAnsi" w:hAnsiTheme="minorHAnsi" w:cstheme="minorHAnsi"/>
        </w:rPr>
        <w:t xml:space="preserve"> 2023 is defined</w:t>
      </w:r>
      <w:r w:rsidR="003E4724">
        <w:rPr>
          <w:rFonts w:asciiTheme="minorHAnsi" w:hAnsiTheme="minorHAnsi" w:cstheme="minorHAnsi"/>
        </w:rPr>
        <w:t>,</w:t>
      </w:r>
      <w:r>
        <w:rPr>
          <w:rFonts w:asciiTheme="minorHAnsi" w:hAnsiTheme="minorHAnsi" w:cstheme="minorHAnsi"/>
        </w:rPr>
        <w:t xml:space="preserve"> for the purposes of</w:t>
      </w:r>
      <w:r w:rsidR="0000037B">
        <w:rPr>
          <w:rFonts w:asciiTheme="minorHAnsi" w:hAnsiTheme="minorHAnsi" w:cstheme="minorHAnsi"/>
        </w:rPr>
        <w:t xml:space="preserve"> subsection</w:t>
      </w:r>
      <w:r>
        <w:rPr>
          <w:rFonts w:asciiTheme="minorHAnsi" w:hAnsiTheme="minorHAnsi" w:cstheme="minorHAnsi"/>
        </w:rPr>
        <w:t xml:space="preserve"> </w:t>
      </w:r>
      <w:r w:rsidR="00717D94">
        <w:rPr>
          <w:rFonts w:asciiTheme="minorHAnsi" w:hAnsiTheme="minorHAnsi" w:cstheme="minorHAnsi"/>
        </w:rPr>
        <w:t>63(4)</w:t>
      </w:r>
      <w:r w:rsidR="003E4724">
        <w:rPr>
          <w:rFonts w:asciiTheme="minorHAnsi" w:hAnsiTheme="minorHAnsi" w:cstheme="minorHAnsi"/>
        </w:rPr>
        <w:t>,</w:t>
      </w:r>
      <w:r w:rsidR="00717D94">
        <w:rPr>
          <w:rFonts w:asciiTheme="minorHAnsi" w:hAnsiTheme="minorHAnsi" w:cstheme="minorHAnsi"/>
        </w:rPr>
        <w:t xml:space="preserve"> to be the sum of </w:t>
      </w:r>
      <w:r w:rsidR="003E4724">
        <w:rPr>
          <w:rFonts w:asciiTheme="minorHAnsi" w:hAnsiTheme="minorHAnsi" w:cstheme="minorHAnsi"/>
        </w:rPr>
        <w:t>either</w:t>
      </w:r>
      <w:r w:rsidR="00717D94">
        <w:rPr>
          <w:rFonts w:asciiTheme="minorHAnsi" w:hAnsiTheme="minorHAnsi" w:cstheme="minorHAnsi"/>
        </w:rPr>
        <w:t xml:space="preserve"> the amount a provider is entitled to be paid for higher education courses</w:t>
      </w:r>
      <w:r w:rsidR="003E4724">
        <w:rPr>
          <w:rFonts w:asciiTheme="minorHAnsi" w:hAnsiTheme="minorHAnsi" w:cstheme="minorHAnsi"/>
        </w:rPr>
        <w:t xml:space="preserve"> or</w:t>
      </w:r>
      <w:r w:rsidR="00717D94">
        <w:rPr>
          <w:rFonts w:asciiTheme="minorHAnsi" w:hAnsiTheme="minorHAnsi" w:cstheme="minorHAnsi"/>
        </w:rPr>
        <w:t xml:space="preserve"> the funding allocated to the provider and specified as the provider’s ‘Base MBGA’ for higher education courses of study in the provider’s funding agreement under section 30-25 of Part 2-2 of the Act</w:t>
      </w:r>
      <w:r w:rsidR="003E4724">
        <w:rPr>
          <w:rFonts w:asciiTheme="minorHAnsi" w:hAnsiTheme="minorHAnsi" w:cstheme="minorHAnsi"/>
        </w:rPr>
        <w:t xml:space="preserve"> (whichever is less)</w:t>
      </w:r>
      <w:r w:rsidR="00717D94">
        <w:rPr>
          <w:rFonts w:asciiTheme="minorHAnsi" w:hAnsiTheme="minorHAnsi" w:cstheme="minorHAnsi"/>
        </w:rPr>
        <w:t xml:space="preserve">; the amount a provider is entitled to be paid for designated higher education courses; and the amount a provider is entitled to be paid under paragraph 33-1(1)(b)(ii) of the Act. </w:t>
      </w:r>
    </w:p>
    <w:p w14:paraId="443537F9" w14:textId="5B07CB3F" w:rsidR="005910FD" w:rsidRDefault="00121E65" w:rsidP="005910FD">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The notes to subsection 63(4) provide two examples to illustrate how the formula would apply to Table A providers.</w:t>
      </w:r>
    </w:p>
    <w:p w14:paraId="424B5AFB" w14:textId="2DCA9E7C" w:rsidR="005910FD" w:rsidRDefault="005910FD" w:rsidP="005910FD">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New subsection 63(5) provides the formula to calculate the amount of grant for a </w:t>
      </w:r>
      <w:r w:rsidR="0000037B">
        <w:rPr>
          <w:rFonts w:asciiTheme="minorHAnsi" w:hAnsiTheme="minorHAnsi" w:cstheme="minorHAnsi"/>
        </w:rPr>
        <w:t xml:space="preserve">non-Table A provider under the </w:t>
      </w:r>
      <w:r w:rsidR="00372D85">
        <w:rPr>
          <w:rFonts w:asciiTheme="minorHAnsi" w:hAnsiTheme="minorHAnsi" w:cstheme="minorHAnsi"/>
        </w:rPr>
        <w:t xml:space="preserve">HECG </w:t>
      </w:r>
      <w:r w:rsidR="0000037B">
        <w:rPr>
          <w:rFonts w:asciiTheme="minorHAnsi" w:hAnsiTheme="minorHAnsi" w:cstheme="minorHAnsi"/>
        </w:rPr>
        <w:t>program. It provides that a grant under the program for a non-Table A provider for 2023 is to be calculated by taking away the amount of ‘CGS Payments’ from the ‘Max’.</w:t>
      </w:r>
    </w:p>
    <w:p w14:paraId="55474653" w14:textId="13F38058" w:rsidR="0000037B" w:rsidRDefault="0000037B"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The ‘Max’ for a non-Table A provider for 2023 is defined</w:t>
      </w:r>
      <w:r w:rsidR="001C48B7">
        <w:rPr>
          <w:rFonts w:asciiTheme="minorHAnsi" w:hAnsiTheme="minorHAnsi" w:cstheme="minorHAnsi"/>
        </w:rPr>
        <w:t>,</w:t>
      </w:r>
      <w:r>
        <w:rPr>
          <w:rFonts w:asciiTheme="minorHAnsi" w:hAnsiTheme="minorHAnsi" w:cstheme="minorHAnsi"/>
        </w:rPr>
        <w:t xml:space="preserve"> for the purposes of subsection 63(5)</w:t>
      </w:r>
      <w:r w:rsidR="001C48B7">
        <w:rPr>
          <w:rFonts w:asciiTheme="minorHAnsi" w:hAnsiTheme="minorHAnsi" w:cstheme="minorHAnsi"/>
        </w:rPr>
        <w:t>,</w:t>
      </w:r>
      <w:r>
        <w:rPr>
          <w:rFonts w:asciiTheme="minorHAnsi" w:hAnsiTheme="minorHAnsi" w:cstheme="minorHAnsi"/>
        </w:rPr>
        <w:t xml:space="preserve"> to mean the sum of the provider’s Maximum Basic Grant Amount minus any funding allocated to the provider for ‘equity places’, ‘national priority places’ and ‘innovative places’ as set out in the provider’s funding agreement under section 30-25 of Part 2-2 of the Act, and amounts for a provider under subparagraph 33-1(1)(b)(ii) of the Act. </w:t>
      </w:r>
    </w:p>
    <w:p w14:paraId="0243511F" w14:textId="70BF5E62" w:rsidR="0000037B" w:rsidRDefault="0000037B"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‘CGS Payments’ for a non-Table A provider for 2023 is defined for the purposes of subsection 63(5) to be the sum of the amount a provider is entitled to be paid </w:t>
      </w:r>
      <w:r w:rsidR="001C48B7" w:rsidRPr="001C48B7">
        <w:rPr>
          <w:rFonts w:asciiTheme="minorHAnsi" w:hAnsiTheme="minorHAnsi" w:cstheme="minorHAnsi"/>
        </w:rPr>
        <w:t>under subsection 33-5(7) of the Act</w:t>
      </w:r>
      <w:r w:rsidR="005E75E1">
        <w:rPr>
          <w:rFonts w:asciiTheme="minorHAnsi" w:hAnsiTheme="minorHAnsi" w:cstheme="minorHAnsi"/>
        </w:rPr>
        <w:t xml:space="preserve"> </w:t>
      </w:r>
      <w:r>
        <w:rPr>
          <w:rFonts w:asciiTheme="minorHAnsi" w:hAnsiTheme="minorHAnsi" w:cstheme="minorHAnsi"/>
        </w:rPr>
        <w:t xml:space="preserve">minus any funding </w:t>
      </w:r>
      <w:r w:rsidR="005E75E1">
        <w:rPr>
          <w:rFonts w:asciiTheme="minorHAnsi" w:hAnsiTheme="minorHAnsi" w:cstheme="minorHAnsi"/>
        </w:rPr>
        <w:t xml:space="preserve">the </w:t>
      </w:r>
      <w:r>
        <w:rPr>
          <w:rFonts w:asciiTheme="minorHAnsi" w:hAnsiTheme="minorHAnsi" w:cstheme="minorHAnsi"/>
        </w:rPr>
        <w:t xml:space="preserve">provider </w:t>
      </w:r>
      <w:r w:rsidR="005E75E1">
        <w:rPr>
          <w:rFonts w:asciiTheme="minorHAnsi" w:hAnsiTheme="minorHAnsi" w:cstheme="minorHAnsi"/>
        </w:rPr>
        <w:t xml:space="preserve">is entitled to be paid </w:t>
      </w:r>
      <w:r>
        <w:rPr>
          <w:rFonts w:asciiTheme="minorHAnsi" w:hAnsiTheme="minorHAnsi" w:cstheme="minorHAnsi"/>
        </w:rPr>
        <w:t xml:space="preserve">for ‘equity places’, ‘national priority places’ and ‘innovative places’; and the amount a provider is entitled to be paid under paragraph 33-1(1)(b)(ii) of the Act. </w:t>
      </w:r>
    </w:p>
    <w:p w14:paraId="77541B57" w14:textId="25E5DB11" w:rsidR="00434EE3" w:rsidRPr="00745376" w:rsidRDefault="00434EE3" w:rsidP="002C08CD">
      <w:pPr>
        <w:pStyle w:val="ListParagraph"/>
        <w:numPr>
          <w:ilvl w:val="0"/>
          <w:numId w:val="1"/>
        </w:numPr>
        <w:spacing w:after="160" w:line="259" w:lineRule="auto"/>
        <w:rPr>
          <w:rFonts w:asciiTheme="minorHAnsi" w:hAnsiTheme="minorHAnsi" w:cstheme="minorHAnsi"/>
        </w:rPr>
      </w:pPr>
      <w:r w:rsidRPr="004E3131">
        <w:rPr>
          <w:rFonts w:asciiTheme="minorHAnsi" w:hAnsiTheme="minorHAnsi" w:cstheme="minorHAnsi"/>
        </w:rPr>
        <w:t xml:space="preserve">The different methodologies for </w:t>
      </w:r>
      <w:r w:rsidR="002C69B1" w:rsidRPr="004E3131">
        <w:rPr>
          <w:rFonts w:asciiTheme="minorHAnsi" w:hAnsiTheme="minorHAnsi" w:cstheme="minorHAnsi"/>
        </w:rPr>
        <w:t xml:space="preserve">calculating grant amounts for </w:t>
      </w:r>
      <w:r w:rsidRPr="004E3131">
        <w:rPr>
          <w:rFonts w:asciiTheme="minorHAnsi" w:hAnsiTheme="minorHAnsi" w:cstheme="minorHAnsi"/>
        </w:rPr>
        <w:t xml:space="preserve">Table A and non-Table A providers reflect the differences in how Maximum Basic Grant Amount(s) are </w:t>
      </w:r>
      <w:r w:rsidRPr="004E3131">
        <w:rPr>
          <w:rFonts w:asciiTheme="minorHAnsi" w:hAnsiTheme="minorHAnsi" w:cstheme="minorHAnsi"/>
        </w:rPr>
        <w:lastRenderedPageBreak/>
        <w:t>specified in funding agreements</w:t>
      </w:r>
      <w:r w:rsidR="004E3131" w:rsidRPr="004E3131">
        <w:rPr>
          <w:rFonts w:asciiTheme="minorHAnsi" w:hAnsiTheme="minorHAnsi" w:cstheme="minorHAnsi"/>
        </w:rPr>
        <w:t xml:space="preserve"> and different limitations on their use</w:t>
      </w:r>
      <w:r w:rsidRPr="004E3131">
        <w:rPr>
          <w:rFonts w:asciiTheme="minorHAnsi" w:hAnsiTheme="minorHAnsi" w:cstheme="minorHAnsi"/>
        </w:rPr>
        <w:t xml:space="preserve">. For instance, a non-Table A provider’s funding agreement has a single Maximum Basic Grant Amount, inclusive of any funding allocated for ‘equity places’, ‘national priority places’ and ‘innovative places’. </w:t>
      </w:r>
      <w:r w:rsidR="002C08CD">
        <w:rPr>
          <w:rFonts w:asciiTheme="minorHAnsi" w:hAnsiTheme="minorHAnsi" w:cstheme="minorHAnsi"/>
        </w:rPr>
        <w:t>Their entitlement to this funding under s</w:t>
      </w:r>
      <w:r w:rsidR="00BD2ED2">
        <w:rPr>
          <w:rFonts w:asciiTheme="minorHAnsi" w:hAnsiTheme="minorHAnsi" w:cstheme="minorHAnsi"/>
        </w:rPr>
        <w:t>ubs</w:t>
      </w:r>
      <w:r w:rsidR="002C08CD">
        <w:rPr>
          <w:rFonts w:asciiTheme="minorHAnsi" w:hAnsiTheme="minorHAnsi" w:cstheme="minorHAnsi"/>
        </w:rPr>
        <w:t xml:space="preserve">ection 33-5(7) of Part 2-2 of the Act </w:t>
      </w:r>
      <w:r w:rsidR="004E3131" w:rsidRPr="004E3131">
        <w:rPr>
          <w:rFonts w:asciiTheme="minorHAnsi" w:hAnsiTheme="minorHAnsi" w:cstheme="minorHAnsi"/>
        </w:rPr>
        <w:t xml:space="preserve">is also limited by the number of places allocated </w:t>
      </w:r>
      <w:r w:rsidR="002C08CD">
        <w:rPr>
          <w:rFonts w:asciiTheme="minorHAnsi" w:hAnsiTheme="minorHAnsi" w:cstheme="minorHAnsi"/>
        </w:rPr>
        <w:t>within each</w:t>
      </w:r>
      <w:r w:rsidR="004E3131" w:rsidRPr="004E3131">
        <w:rPr>
          <w:rFonts w:asciiTheme="minorHAnsi" w:hAnsiTheme="minorHAnsi" w:cstheme="minorHAnsi"/>
        </w:rPr>
        <w:t xml:space="preserve"> funding cluster. </w:t>
      </w:r>
      <w:r w:rsidRPr="004E3131">
        <w:rPr>
          <w:rFonts w:asciiTheme="minorHAnsi" w:hAnsiTheme="minorHAnsi" w:cstheme="minorHAnsi"/>
        </w:rPr>
        <w:t>By contrast, Table A providers’ funding agreement</w:t>
      </w:r>
      <w:r w:rsidR="007427F1" w:rsidRPr="004E3131">
        <w:rPr>
          <w:rFonts w:asciiTheme="minorHAnsi" w:hAnsiTheme="minorHAnsi" w:cstheme="minorHAnsi"/>
        </w:rPr>
        <w:t>s</w:t>
      </w:r>
      <w:r w:rsidRPr="004E3131">
        <w:rPr>
          <w:rFonts w:asciiTheme="minorHAnsi" w:hAnsiTheme="minorHAnsi" w:cstheme="minorHAnsi"/>
        </w:rPr>
        <w:t xml:space="preserve"> specif</w:t>
      </w:r>
      <w:r w:rsidR="007427F1" w:rsidRPr="004E3131">
        <w:rPr>
          <w:rFonts w:asciiTheme="minorHAnsi" w:hAnsiTheme="minorHAnsi" w:cstheme="minorHAnsi"/>
        </w:rPr>
        <w:t>y</w:t>
      </w:r>
      <w:r w:rsidRPr="004E3131">
        <w:rPr>
          <w:rFonts w:asciiTheme="minorHAnsi" w:hAnsiTheme="minorHAnsi" w:cstheme="minorHAnsi"/>
        </w:rPr>
        <w:t xml:space="preserve"> a ‘Base MBGA’ for higher education courses </w:t>
      </w:r>
      <w:r w:rsidR="00A11CE8" w:rsidRPr="004E3131">
        <w:rPr>
          <w:rFonts w:asciiTheme="minorHAnsi" w:hAnsiTheme="minorHAnsi" w:cstheme="minorHAnsi"/>
        </w:rPr>
        <w:t>exclusive of</w:t>
      </w:r>
      <w:r w:rsidRPr="004E3131">
        <w:rPr>
          <w:rFonts w:asciiTheme="minorHAnsi" w:hAnsiTheme="minorHAnsi" w:cstheme="minorHAnsi"/>
        </w:rPr>
        <w:t xml:space="preserve"> any funding allocated for ‘equity places’, ‘national priority places’ and ‘innovative places’. </w:t>
      </w:r>
      <w:r w:rsidR="002C08CD">
        <w:rPr>
          <w:rFonts w:asciiTheme="minorHAnsi" w:hAnsiTheme="minorHAnsi" w:cstheme="minorHAnsi"/>
        </w:rPr>
        <w:t>In addition</w:t>
      </w:r>
      <w:r w:rsidR="00030249">
        <w:rPr>
          <w:rFonts w:asciiTheme="minorHAnsi" w:hAnsiTheme="minorHAnsi" w:cstheme="minorHAnsi"/>
        </w:rPr>
        <w:t>,</w:t>
      </w:r>
      <w:r w:rsidR="002C08CD">
        <w:rPr>
          <w:rFonts w:asciiTheme="minorHAnsi" w:hAnsiTheme="minorHAnsi" w:cstheme="minorHAnsi"/>
        </w:rPr>
        <w:t xml:space="preserve"> entitlement to this funding is</w:t>
      </w:r>
      <w:r w:rsidR="004E3131">
        <w:rPr>
          <w:rFonts w:asciiTheme="minorHAnsi" w:hAnsiTheme="minorHAnsi" w:cstheme="minorHAnsi"/>
        </w:rPr>
        <w:t xml:space="preserve"> not limited by places or funding </w:t>
      </w:r>
      <w:r w:rsidR="002C08CD">
        <w:rPr>
          <w:rFonts w:asciiTheme="minorHAnsi" w:hAnsiTheme="minorHAnsi" w:cstheme="minorHAnsi"/>
        </w:rPr>
        <w:t>clusters under s</w:t>
      </w:r>
      <w:r w:rsidR="00BD2ED2">
        <w:rPr>
          <w:rFonts w:asciiTheme="minorHAnsi" w:hAnsiTheme="minorHAnsi" w:cstheme="minorHAnsi"/>
        </w:rPr>
        <w:t>ubs</w:t>
      </w:r>
      <w:r w:rsidR="002C08CD">
        <w:rPr>
          <w:rFonts w:asciiTheme="minorHAnsi" w:hAnsiTheme="minorHAnsi" w:cstheme="minorHAnsi"/>
        </w:rPr>
        <w:t xml:space="preserve">ection 33-5(2) of Part 2-2 of the Act. </w:t>
      </w:r>
      <w:r w:rsidR="00CF64D1" w:rsidRPr="00745376">
        <w:rPr>
          <w:rFonts w:asciiTheme="minorHAnsi" w:hAnsiTheme="minorHAnsi" w:cstheme="minorHAnsi"/>
        </w:rPr>
        <w:t xml:space="preserve">These differences mean that, for the purposes </w:t>
      </w:r>
      <w:r w:rsidR="00CF64D1" w:rsidRPr="00D902D3">
        <w:rPr>
          <w:rFonts w:asciiTheme="minorHAnsi" w:hAnsiTheme="minorHAnsi" w:cstheme="minorHAnsi"/>
        </w:rPr>
        <w:t xml:space="preserve">of </w:t>
      </w:r>
      <w:r w:rsidR="009E0A3A" w:rsidRPr="00D902D3">
        <w:rPr>
          <w:rFonts w:asciiTheme="minorHAnsi" w:hAnsiTheme="minorHAnsi" w:cstheme="minorHAnsi"/>
        </w:rPr>
        <w:t>the formula for</w:t>
      </w:r>
      <w:r w:rsidR="009E0A3A">
        <w:rPr>
          <w:rFonts w:asciiTheme="minorHAnsi" w:hAnsiTheme="minorHAnsi" w:cstheme="minorHAnsi"/>
        </w:rPr>
        <w:t xml:space="preserve"> </w:t>
      </w:r>
      <w:r w:rsidR="00CF64D1" w:rsidRPr="00745376">
        <w:rPr>
          <w:rFonts w:asciiTheme="minorHAnsi" w:hAnsiTheme="minorHAnsi" w:cstheme="minorHAnsi"/>
        </w:rPr>
        <w:t xml:space="preserve">calculating a non-Table A provider’s grant amount, it is necessary to discount any funding </w:t>
      </w:r>
      <w:r w:rsidR="002C08CD">
        <w:rPr>
          <w:rFonts w:asciiTheme="minorHAnsi" w:hAnsiTheme="minorHAnsi" w:cstheme="minorHAnsi"/>
        </w:rPr>
        <w:t>allocations and entitlements</w:t>
      </w:r>
      <w:r w:rsidR="00CF64D1" w:rsidRPr="00745376">
        <w:rPr>
          <w:rFonts w:asciiTheme="minorHAnsi" w:hAnsiTheme="minorHAnsi" w:cstheme="minorHAnsi"/>
        </w:rPr>
        <w:t xml:space="preserve"> for ‘equity places’, ‘national priority places’ and ‘innovative places’. </w:t>
      </w:r>
    </w:p>
    <w:p w14:paraId="0429FFFF" w14:textId="100BA1FC" w:rsidR="0000037B" w:rsidRDefault="0000037B"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The notes to subsection 63(5) provide </w:t>
      </w:r>
      <w:r w:rsidR="005E75E1">
        <w:rPr>
          <w:rFonts w:asciiTheme="minorHAnsi" w:hAnsiTheme="minorHAnsi" w:cstheme="minorHAnsi"/>
        </w:rPr>
        <w:t xml:space="preserve">an </w:t>
      </w:r>
      <w:r>
        <w:rPr>
          <w:rFonts w:asciiTheme="minorHAnsi" w:hAnsiTheme="minorHAnsi" w:cstheme="minorHAnsi"/>
        </w:rPr>
        <w:t xml:space="preserve">example to illustrate how the formula would apply to non-Table A providers. </w:t>
      </w:r>
    </w:p>
    <w:p w14:paraId="12979417" w14:textId="19B48EF6" w:rsidR="0000037B" w:rsidRDefault="0000037B" w:rsidP="0000037B">
      <w:pPr>
        <w:spacing w:after="160" w:line="259" w:lineRule="auto"/>
        <w:rPr>
          <w:rFonts w:asciiTheme="minorHAnsi" w:hAnsiTheme="minorHAnsi" w:cstheme="minorHAnsi"/>
        </w:rPr>
      </w:pPr>
      <w:r>
        <w:rPr>
          <w:rFonts w:asciiTheme="minorHAnsi" w:hAnsiTheme="minorHAnsi" w:cstheme="minorHAnsi"/>
          <w:u w:val="single"/>
        </w:rPr>
        <w:t>Item 5</w:t>
      </w:r>
    </w:p>
    <w:p w14:paraId="3EDD3E5F" w14:textId="64C2B5AD" w:rsidR="0000037B" w:rsidRPr="0000037B" w:rsidRDefault="0000037B"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Item 5 repeals Schedule 2</w:t>
      </w:r>
      <w:r w:rsidR="00DA1AC0">
        <w:rPr>
          <w:rFonts w:asciiTheme="minorHAnsi" w:hAnsiTheme="minorHAnsi" w:cstheme="minorHAnsi"/>
        </w:rPr>
        <w:t xml:space="preserve"> of the Principal Instrument</w:t>
      </w:r>
      <w:r>
        <w:rPr>
          <w:rFonts w:asciiTheme="minorHAnsi" w:hAnsiTheme="minorHAnsi" w:cstheme="minorHAnsi"/>
        </w:rPr>
        <w:t xml:space="preserve">, which previously held the transitional provision which has been moved to Part 1A of the Principal Instrument (see item 1 above). </w:t>
      </w:r>
    </w:p>
    <w:sectPr w:rsidR="0000037B" w:rsidRPr="000003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21176" w14:textId="77777777" w:rsidR="004228EE" w:rsidRDefault="004228EE" w:rsidP="00783FAB">
      <w:pPr>
        <w:spacing w:after="0" w:line="240" w:lineRule="auto"/>
      </w:pPr>
      <w:r>
        <w:separator/>
      </w:r>
    </w:p>
  </w:endnote>
  <w:endnote w:type="continuationSeparator" w:id="0">
    <w:p w14:paraId="280AE96E" w14:textId="77777777" w:rsidR="004228EE" w:rsidRDefault="004228EE" w:rsidP="00783FAB">
      <w:pPr>
        <w:spacing w:after="0" w:line="240" w:lineRule="auto"/>
      </w:pPr>
      <w:r>
        <w:continuationSeparator/>
      </w:r>
    </w:p>
  </w:endnote>
  <w:endnote w:type="continuationNotice" w:id="1">
    <w:p w14:paraId="24A8806A" w14:textId="77777777" w:rsidR="004228EE" w:rsidRDefault="004228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E2FE" w14:textId="77777777" w:rsidR="00DE1334" w:rsidRDefault="00DE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EE6F" w14:textId="77777777" w:rsidR="00DE1334" w:rsidRDefault="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8C005" w14:textId="77777777" w:rsidR="004228EE" w:rsidRDefault="004228EE" w:rsidP="00783FAB">
      <w:pPr>
        <w:spacing w:after="0" w:line="240" w:lineRule="auto"/>
      </w:pPr>
      <w:r>
        <w:separator/>
      </w:r>
    </w:p>
  </w:footnote>
  <w:footnote w:type="continuationSeparator" w:id="0">
    <w:p w14:paraId="05093AEF" w14:textId="77777777" w:rsidR="004228EE" w:rsidRDefault="004228EE" w:rsidP="00783FAB">
      <w:pPr>
        <w:spacing w:after="0" w:line="240" w:lineRule="auto"/>
      </w:pPr>
      <w:r>
        <w:continuationSeparator/>
      </w:r>
    </w:p>
  </w:footnote>
  <w:footnote w:type="continuationNotice" w:id="1">
    <w:p w14:paraId="3866C4E6" w14:textId="77777777" w:rsidR="004228EE" w:rsidRDefault="004228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113" w14:textId="77777777" w:rsidR="00DE1334" w:rsidRDefault="00DE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8E03" w14:textId="77777777" w:rsidR="00DE1334" w:rsidRDefault="00D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A46B" w14:textId="77777777" w:rsidR="00DE1334" w:rsidRDefault="00DE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DB6A73"/>
    <w:multiLevelType w:val="hybridMultilevel"/>
    <w:tmpl w:val="AB52EBF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8690668">
    <w:abstractNumId w:val="0"/>
  </w:num>
  <w:num w:numId="2" w16cid:durableId="1372879744">
    <w:abstractNumId w:val="3"/>
  </w:num>
  <w:num w:numId="3" w16cid:durableId="116682397">
    <w:abstractNumId w:val="1"/>
  </w:num>
  <w:num w:numId="4" w16cid:durableId="175898650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20"/>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37B"/>
    <w:rsid w:val="000009D4"/>
    <w:rsid w:val="00000F56"/>
    <w:rsid w:val="00003184"/>
    <w:rsid w:val="000036EB"/>
    <w:rsid w:val="0000395C"/>
    <w:rsid w:val="00011E4D"/>
    <w:rsid w:val="000138CF"/>
    <w:rsid w:val="000140D5"/>
    <w:rsid w:val="000146FA"/>
    <w:rsid w:val="0001554B"/>
    <w:rsid w:val="00016AFF"/>
    <w:rsid w:val="00017F54"/>
    <w:rsid w:val="00030249"/>
    <w:rsid w:val="000305EA"/>
    <w:rsid w:val="00031E3C"/>
    <w:rsid w:val="00032CB3"/>
    <w:rsid w:val="00036FAE"/>
    <w:rsid w:val="00044508"/>
    <w:rsid w:val="00047561"/>
    <w:rsid w:val="00047668"/>
    <w:rsid w:val="00047A2A"/>
    <w:rsid w:val="0005020B"/>
    <w:rsid w:val="00057815"/>
    <w:rsid w:val="00057A1E"/>
    <w:rsid w:val="000614A1"/>
    <w:rsid w:val="000615A3"/>
    <w:rsid w:val="00062794"/>
    <w:rsid w:val="0006484E"/>
    <w:rsid w:val="000668B0"/>
    <w:rsid w:val="00076E76"/>
    <w:rsid w:val="00083F41"/>
    <w:rsid w:val="000846B7"/>
    <w:rsid w:val="000A2A28"/>
    <w:rsid w:val="000A2D3A"/>
    <w:rsid w:val="000A3124"/>
    <w:rsid w:val="000A3351"/>
    <w:rsid w:val="000A35D6"/>
    <w:rsid w:val="000B1B40"/>
    <w:rsid w:val="000B1BE1"/>
    <w:rsid w:val="000B3914"/>
    <w:rsid w:val="000B4558"/>
    <w:rsid w:val="000B6430"/>
    <w:rsid w:val="000C224C"/>
    <w:rsid w:val="000C310A"/>
    <w:rsid w:val="000C34FD"/>
    <w:rsid w:val="000C4D6B"/>
    <w:rsid w:val="000D1472"/>
    <w:rsid w:val="000D5E6D"/>
    <w:rsid w:val="000E3516"/>
    <w:rsid w:val="000E57DB"/>
    <w:rsid w:val="000E6FD6"/>
    <w:rsid w:val="000F1811"/>
    <w:rsid w:val="000F7A8C"/>
    <w:rsid w:val="00103015"/>
    <w:rsid w:val="00103253"/>
    <w:rsid w:val="001042BA"/>
    <w:rsid w:val="00105198"/>
    <w:rsid w:val="00111226"/>
    <w:rsid w:val="00120A34"/>
    <w:rsid w:val="00121E65"/>
    <w:rsid w:val="00124260"/>
    <w:rsid w:val="00125A8E"/>
    <w:rsid w:val="00127CD8"/>
    <w:rsid w:val="001301AD"/>
    <w:rsid w:val="001334D9"/>
    <w:rsid w:val="001346AC"/>
    <w:rsid w:val="001377D9"/>
    <w:rsid w:val="00137ACD"/>
    <w:rsid w:val="00140DAD"/>
    <w:rsid w:val="00140E3D"/>
    <w:rsid w:val="001421FE"/>
    <w:rsid w:val="00142B2D"/>
    <w:rsid w:val="001437EA"/>
    <w:rsid w:val="00144950"/>
    <w:rsid w:val="00145BE1"/>
    <w:rsid w:val="0015276C"/>
    <w:rsid w:val="00152947"/>
    <w:rsid w:val="00154C9F"/>
    <w:rsid w:val="0015508C"/>
    <w:rsid w:val="00160153"/>
    <w:rsid w:val="00161A1F"/>
    <w:rsid w:val="0017006A"/>
    <w:rsid w:val="00173A64"/>
    <w:rsid w:val="00173E0C"/>
    <w:rsid w:val="00185491"/>
    <w:rsid w:val="00186D4B"/>
    <w:rsid w:val="0019381E"/>
    <w:rsid w:val="00195030"/>
    <w:rsid w:val="00197C3F"/>
    <w:rsid w:val="001A2FE9"/>
    <w:rsid w:val="001A4389"/>
    <w:rsid w:val="001B3C7A"/>
    <w:rsid w:val="001B5F2A"/>
    <w:rsid w:val="001C48B7"/>
    <w:rsid w:val="001D00E3"/>
    <w:rsid w:val="001D0AF3"/>
    <w:rsid w:val="001D1D8A"/>
    <w:rsid w:val="001D36EE"/>
    <w:rsid w:val="001E07CE"/>
    <w:rsid w:val="001E52EB"/>
    <w:rsid w:val="001E5A0B"/>
    <w:rsid w:val="001F127D"/>
    <w:rsid w:val="001F3626"/>
    <w:rsid w:val="001F7336"/>
    <w:rsid w:val="00200358"/>
    <w:rsid w:val="002005CD"/>
    <w:rsid w:val="00201F75"/>
    <w:rsid w:val="00202EC1"/>
    <w:rsid w:val="00204283"/>
    <w:rsid w:val="00204EEF"/>
    <w:rsid w:val="002058CE"/>
    <w:rsid w:val="00205DBD"/>
    <w:rsid w:val="00207297"/>
    <w:rsid w:val="0021337D"/>
    <w:rsid w:val="00216A1C"/>
    <w:rsid w:val="00220A36"/>
    <w:rsid w:val="00223F82"/>
    <w:rsid w:val="00224C52"/>
    <w:rsid w:val="00232304"/>
    <w:rsid w:val="002378EE"/>
    <w:rsid w:val="002445E3"/>
    <w:rsid w:val="00247EBF"/>
    <w:rsid w:val="00261499"/>
    <w:rsid w:val="002672A4"/>
    <w:rsid w:val="002747E8"/>
    <w:rsid w:val="00274EEA"/>
    <w:rsid w:val="002759C4"/>
    <w:rsid w:val="0027686D"/>
    <w:rsid w:val="002808A9"/>
    <w:rsid w:val="00284C9D"/>
    <w:rsid w:val="00284D7C"/>
    <w:rsid w:val="00292863"/>
    <w:rsid w:val="00294430"/>
    <w:rsid w:val="00296CA7"/>
    <w:rsid w:val="00296FAF"/>
    <w:rsid w:val="00297CEB"/>
    <w:rsid w:val="00297EAB"/>
    <w:rsid w:val="002A15F1"/>
    <w:rsid w:val="002A4961"/>
    <w:rsid w:val="002B313C"/>
    <w:rsid w:val="002B411E"/>
    <w:rsid w:val="002B5C28"/>
    <w:rsid w:val="002B7CC4"/>
    <w:rsid w:val="002C08CD"/>
    <w:rsid w:val="002C1F84"/>
    <w:rsid w:val="002C40FB"/>
    <w:rsid w:val="002C69B1"/>
    <w:rsid w:val="002D1504"/>
    <w:rsid w:val="002D4EA4"/>
    <w:rsid w:val="002D564A"/>
    <w:rsid w:val="002E12E6"/>
    <w:rsid w:val="002F0FD2"/>
    <w:rsid w:val="002F76C6"/>
    <w:rsid w:val="0030256D"/>
    <w:rsid w:val="00304A88"/>
    <w:rsid w:val="00304E64"/>
    <w:rsid w:val="00307358"/>
    <w:rsid w:val="0031070C"/>
    <w:rsid w:val="00313612"/>
    <w:rsid w:val="00316053"/>
    <w:rsid w:val="003170AC"/>
    <w:rsid w:val="00326C24"/>
    <w:rsid w:val="0033070E"/>
    <w:rsid w:val="003440C7"/>
    <w:rsid w:val="00350779"/>
    <w:rsid w:val="00353D81"/>
    <w:rsid w:val="00354743"/>
    <w:rsid w:val="00365D2C"/>
    <w:rsid w:val="00367C2D"/>
    <w:rsid w:val="0037028F"/>
    <w:rsid w:val="003719BF"/>
    <w:rsid w:val="00372D85"/>
    <w:rsid w:val="00375010"/>
    <w:rsid w:val="0037728A"/>
    <w:rsid w:val="00377427"/>
    <w:rsid w:val="00383ABF"/>
    <w:rsid w:val="00386B68"/>
    <w:rsid w:val="00386E17"/>
    <w:rsid w:val="0038758C"/>
    <w:rsid w:val="003913F1"/>
    <w:rsid w:val="003926BB"/>
    <w:rsid w:val="00393A61"/>
    <w:rsid w:val="00394454"/>
    <w:rsid w:val="00395655"/>
    <w:rsid w:val="003A0965"/>
    <w:rsid w:val="003A373E"/>
    <w:rsid w:val="003A3D0E"/>
    <w:rsid w:val="003A4424"/>
    <w:rsid w:val="003A530C"/>
    <w:rsid w:val="003A5841"/>
    <w:rsid w:val="003A7B17"/>
    <w:rsid w:val="003B29B0"/>
    <w:rsid w:val="003B2DA8"/>
    <w:rsid w:val="003B3044"/>
    <w:rsid w:val="003B6C2D"/>
    <w:rsid w:val="003B7464"/>
    <w:rsid w:val="003C0D20"/>
    <w:rsid w:val="003C16A9"/>
    <w:rsid w:val="003C202D"/>
    <w:rsid w:val="003D47C4"/>
    <w:rsid w:val="003D7CE2"/>
    <w:rsid w:val="003E4413"/>
    <w:rsid w:val="003E4724"/>
    <w:rsid w:val="003E5B26"/>
    <w:rsid w:val="003F09F7"/>
    <w:rsid w:val="003F1AA1"/>
    <w:rsid w:val="003F24BC"/>
    <w:rsid w:val="003F6CD5"/>
    <w:rsid w:val="00401B80"/>
    <w:rsid w:val="00402CC7"/>
    <w:rsid w:val="00402D70"/>
    <w:rsid w:val="00403CE4"/>
    <w:rsid w:val="004075A3"/>
    <w:rsid w:val="00410A3F"/>
    <w:rsid w:val="0041144F"/>
    <w:rsid w:val="004143B1"/>
    <w:rsid w:val="00415A55"/>
    <w:rsid w:val="004228EE"/>
    <w:rsid w:val="00425A1E"/>
    <w:rsid w:val="00425FCB"/>
    <w:rsid w:val="00430F1B"/>
    <w:rsid w:val="004327E1"/>
    <w:rsid w:val="00434240"/>
    <w:rsid w:val="00434641"/>
    <w:rsid w:val="00434CDD"/>
    <w:rsid w:val="00434EE3"/>
    <w:rsid w:val="004355D0"/>
    <w:rsid w:val="004355E8"/>
    <w:rsid w:val="00436435"/>
    <w:rsid w:val="00445460"/>
    <w:rsid w:val="00446B03"/>
    <w:rsid w:val="0044797F"/>
    <w:rsid w:val="00455C2A"/>
    <w:rsid w:val="00472F61"/>
    <w:rsid w:val="00481DE1"/>
    <w:rsid w:val="00484DBC"/>
    <w:rsid w:val="00490BA0"/>
    <w:rsid w:val="00494834"/>
    <w:rsid w:val="0049486C"/>
    <w:rsid w:val="004A2F70"/>
    <w:rsid w:val="004A409F"/>
    <w:rsid w:val="004A48D9"/>
    <w:rsid w:val="004A6B2D"/>
    <w:rsid w:val="004B2C3F"/>
    <w:rsid w:val="004B3D95"/>
    <w:rsid w:val="004C35AB"/>
    <w:rsid w:val="004D07B0"/>
    <w:rsid w:val="004D5695"/>
    <w:rsid w:val="004D665B"/>
    <w:rsid w:val="004D7B86"/>
    <w:rsid w:val="004E3131"/>
    <w:rsid w:val="004F53E6"/>
    <w:rsid w:val="004F54FF"/>
    <w:rsid w:val="00503218"/>
    <w:rsid w:val="00505873"/>
    <w:rsid w:val="00506F28"/>
    <w:rsid w:val="005146EC"/>
    <w:rsid w:val="00515BBE"/>
    <w:rsid w:val="005169CB"/>
    <w:rsid w:val="00517337"/>
    <w:rsid w:val="005173FC"/>
    <w:rsid w:val="00524226"/>
    <w:rsid w:val="0052516E"/>
    <w:rsid w:val="00527330"/>
    <w:rsid w:val="00536596"/>
    <w:rsid w:val="005366FF"/>
    <w:rsid w:val="00537A32"/>
    <w:rsid w:val="0054602B"/>
    <w:rsid w:val="00546375"/>
    <w:rsid w:val="005620CA"/>
    <w:rsid w:val="00572401"/>
    <w:rsid w:val="005732E6"/>
    <w:rsid w:val="00576596"/>
    <w:rsid w:val="00577C30"/>
    <w:rsid w:val="005812FF"/>
    <w:rsid w:val="005819C8"/>
    <w:rsid w:val="00581A71"/>
    <w:rsid w:val="0058422E"/>
    <w:rsid w:val="00584B84"/>
    <w:rsid w:val="005905A0"/>
    <w:rsid w:val="005910FD"/>
    <w:rsid w:val="00591EC0"/>
    <w:rsid w:val="00597535"/>
    <w:rsid w:val="005A54B4"/>
    <w:rsid w:val="005A7050"/>
    <w:rsid w:val="005B3CBC"/>
    <w:rsid w:val="005B510A"/>
    <w:rsid w:val="005C0740"/>
    <w:rsid w:val="005C108B"/>
    <w:rsid w:val="005C18D0"/>
    <w:rsid w:val="005E2026"/>
    <w:rsid w:val="005E3513"/>
    <w:rsid w:val="005E75E1"/>
    <w:rsid w:val="005F4914"/>
    <w:rsid w:val="005F5DF6"/>
    <w:rsid w:val="005F5FA1"/>
    <w:rsid w:val="005F7D42"/>
    <w:rsid w:val="0060088C"/>
    <w:rsid w:val="00603D52"/>
    <w:rsid w:val="00604F05"/>
    <w:rsid w:val="00611D31"/>
    <w:rsid w:val="006156C6"/>
    <w:rsid w:val="006160C4"/>
    <w:rsid w:val="006202A1"/>
    <w:rsid w:val="0062319E"/>
    <w:rsid w:val="00625432"/>
    <w:rsid w:val="00626E42"/>
    <w:rsid w:val="00627EDA"/>
    <w:rsid w:val="00636200"/>
    <w:rsid w:val="00645DC7"/>
    <w:rsid w:val="0064724F"/>
    <w:rsid w:val="006507CB"/>
    <w:rsid w:val="00651D68"/>
    <w:rsid w:val="00652D30"/>
    <w:rsid w:val="00656314"/>
    <w:rsid w:val="00661BE8"/>
    <w:rsid w:val="00667B6F"/>
    <w:rsid w:val="00667F82"/>
    <w:rsid w:val="006700AA"/>
    <w:rsid w:val="00671007"/>
    <w:rsid w:val="00677A0D"/>
    <w:rsid w:val="00683087"/>
    <w:rsid w:val="00685653"/>
    <w:rsid w:val="006930D1"/>
    <w:rsid w:val="006931AD"/>
    <w:rsid w:val="006940BB"/>
    <w:rsid w:val="00696CF0"/>
    <w:rsid w:val="00697001"/>
    <w:rsid w:val="006A1788"/>
    <w:rsid w:val="006A666D"/>
    <w:rsid w:val="006B2427"/>
    <w:rsid w:val="006B2D99"/>
    <w:rsid w:val="006B457E"/>
    <w:rsid w:val="006B6E38"/>
    <w:rsid w:val="006C1CE3"/>
    <w:rsid w:val="006D3958"/>
    <w:rsid w:val="006D58E2"/>
    <w:rsid w:val="006D7B6B"/>
    <w:rsid w:val="006E3838"/>
    <w:rsid w:val="006E3C40"/>
    <w:rsid w:val="006E7699"/>
    <w:rsid w:val="006F27AC"/>
    <w:rsid w:val="006F3E5C"/>
    <w:rsid w:val="006F627D"/>
    <w:rsid w:val="0070009D"/>
    <w:rsid w:val="00701544"/>
    <w:rsid w:val="00701CB8"/>
    <w:rsid w:val="00701E47"/>
    <w:rsid w:val="00706A99"/>
    <w:rsid w:val="00707E57"/>
    <w:rsid w:val="00707F49"/>
    <w:rsid w:val="007103B5"/>
    <w:rsid w:val="00717D94"/>
    <w:rsid w:val="007213BB"/>
    <w:rsid w:val="0072758F"/>
    <w:rsid w:val="007314EF"/>
    <w:rsid w:val="00731A1C"/>
    <w:rsid w:val="0073763E"/>
    <w:rsid w:val="007427F1"/>
    <w:rsid w:val="007452A0"/>
    <w:rsid w:val="00745376"/>
    <w:rsid w:val="00745FCA"/>
    <w:rsid w:val="00747943"/>
    <w:rsid w:val="00752BD5"/>
    <w:rsid w:val="00753090"/>
    <w:rsid w:val="0075573F"/>
    <w:rsid w:val="00756861"/>
    <w:rsid w:val="00756D99"/>
    <w:rsid w:val="00756F20"/>
    <w:rsid w:val="00760772"/>
    <w:rsid w:val="00760DDE"/>
    <w:rsid w:val="007620AE"/>
    <w:rsid w:val="00763679"/>
    <w:rsid w:val="00772715"/>
    <w:rsid w:val="00774144"/>
    <w:rsid w:val="0077536C"/>
    <w:rsid w:val="00782538"/>
    <w:rsid w:val="007828DD"/>
    <w:rsid w:val="00783FAB"/>
    <w:rsid w:val="00785B13"/>
    <w:rsid w:val="00791AAC"/>
    <w:rsid w:val="00795969"/>
    <w:rsid w:val="007A0558"/>
    <w:rsid w:val="007A6AF0"/>
    <w:rsid w:val="007B44CD"/>
    <w:rsid w:val="007B4836"/>
    <w:rsid w:val="007C3355"/>
    <w:rsid w:val="007C5020"/>
    <w:rsid w:val="007D12B2"/>
    <w:rsid w:val="007D1F16"/>
    <w:rsid w:val="007D4E08"/>
    <w:rsid w:val="007E00A8"/>
    <w:rsid w:val="007E16D6"/>
    <w:rsid w:val="007E2197"/>
    <w:rsid w:val="007E3446"/>
    <w:rsid w:val="007E3447"/>
    <w:rsid w:val="007E36E5"/>
    <w:rsid w:val="007E6EC6"/>
    <w:rsid w:val="007F51C0"/>
    <w:rsid w:val="007F563E"/>
    <w:rsid w:val="00803447"/>
    <w:rsid w:val="008035CF"/>
    <w:rsid w:val="0080510C"/>
    <w:rsid w:val="0080584E"/>
    <w:rsid w:val="00805FEB"/>
    <w:rsid w:val="00811E34"/>
    <w:rsid w:val="00812C37"/>
    <w:rsid w:val="008134D5"/>
    <w:rsid w:val="00813A38"/>
    <w:rsid w:val="00823B66"/>
    <w:rsid w:val="00824A98"/>
    <w:rsid w:val="008310AA"/>
    <w:rsid w:val="00834114"/>
    <w:rsid w:val="00836B85"/>
    <w:rsid w:val="00843812"/>
    <w:rsid w:val="00844D23"/>
    <w:rsid w:val="0084584D"/>
    <w:rsid w:val="008517D8"/>
    <w:rsid w:val="00855239"/>
    <w:rsid w:val="00856BC4"/>
    <w:rsid w:val="008576C8"/>
    <w:rsid w:val="0086669D"/>
    <w:rsid w:val="00867101"/>
    <w:rsid w:val="008755D8"/>
    <w:rsid w:val="0088497A"/>
    <w:rsid w:val="00892714"/>
    <w:rsid w:val="00897AFA"/>
    <w:rsid w:val="008A1C12"/>
    <w:rsid w:val="008A1F97"/>
    <w:rsid w:val="008A6224"/>
    <w:rsid w:val="008B478B"/>
    <w:rsid w:val="008B61B7"/>
    <w:rsid w:val="008C48EF"/>
    <w:rsid w:val="008C497B"/>
    <w:rsid w:val="008C5CE9"/>
    <w:rsid w:val="008C76FD"/>
    <w:rsid w:val="008D72EA"/>
    <w:rsid w:val="008D7625"/>
    <w:rsid w:val="008E30D6"/>
    <w:rsid w:val="008E30D9"/>
    <w:rsid w:val="008E54BF"/>
    <w:rsid w:val="008E68D3"/>
    <w:rsid w:val="008E79DF"/>
    <w:rsid w:val="008F002D"/>
    <w:rsid w:val="008F43E8"/>
    <w:rsid w:val="00902A26"/>
    <w:rsid w:val="00903257"/>
    <w:rsid w:val="009048A2"/>
    <w:rsid w:val="00905C61"/>
    <w:rsid w:val="00907D61"/>
    <w:rsid w:val="00910064"/>
    <w:rsid w:val="009114DC"/>
    <w:rsid w:val="00911D92"/>
    <w:rsid w:val="009121D3"/>
    <w:rsid w:val="009176F5"/>
    <w:rsid w:val="00931ED7"/>
    <w:rsid w:val="00933AD6"/>
    <w:rsid w:val="009421AA"/>
    <w:rsid w:val="0094476A"/>
    <w:rsid w:val="0094774B"/>
    <w:rsid w:val="00951019"/>
    <w:rsid w:val="00954698"/>
    <w:rsid w:val="00970AAB"/>
    <w:rsid w:val="00974504"/>
    <w:rsid w:val="00975A4A"/>
    <w:rsid w:val="00976413"/>
    <w:rsid w:val="009767B4"/>
    <w:rsid w:val="00977D37"/>
    <w:rsid w:val="009807AE"/>
    <w:rsid w:val="00990334"/>
    <w:rsid w:val="00991158"/>
    <w:rsid w:val="0099199E"/>
    <w:rsid w:val="0099258B"/>
    <w:rsid w:val="00995C44"/>
    <w:rsid w:val="009A04A5"/>
    <w:rsid w:val="009A359E"/>
    <w:rsid w:val="009A35A0"/>
    <w:rsid w:val="009A717F"/>
    <w:rsid w:val="009A7CFA"/>
    <w:rsid w:val="009B0C51"/>
    <w:rsid w:val="009B2183"/>
    <w:rsid w:val="009B29AC"/>
    <w:rsid w:val="009B4B7F"/>
    <w:rsid w:val="009C0911"/>
    <w:rsid w:val="009C0B21"/>
    <w:rsid w:val="009C0F35"/>
    <w:rsid w:val="009C10C1"/>
    <w:rsid w:val="009C4F55"/>
    <w:rsid w:val="009C5E5D"/>
    <w:rsid w:val="009D0999"/>
    <w:rsid w:val="009D23FB"/>
    <w:rsid w:val="009D7562"/>
    <w:rsid w:val="009E0803"/>
    <w:rsid w:val="009E0A3A"/>
    <w:rsid w:val="009E7C1C"/>
    <w:rsid w:val="009F13BF"/>
    <w:rsid w:val="009F1D34"/>
    <w:rsid w:val="009F4C47"/>
    <w:rsid w:val="009F528F"/>
    <w:rsid w:val="009F6AC9"/>
    <w:rsid w:val="00A105DA"/>
    <w:rsid w:val="00A11CE8"/>
    <w:rsid w:val="00A146DF"/>
    <w:rsid w:val="00A20031"/>
    <w:rsid w:val="00A202D5"/>
    <w:rsid w:val="00A23CDC"/>
    <w:rsid w:val="00A23F8D"/>
    <w:rsid w:val="00A24596"/>
    <w:rsid w:val="00A24B24"/>
    <w:rsid w:val="00A25E6C"/>
    <w:rsid w:val="00A40E3D"/>
    <w:rsid w:val="00A40EA6"/>
    <w:rsid w:val="00A43C61"/>
    <w:rsid w:val="00A46B61"/>
    <w:rsid w:val="00A47C4E"/>
    <w:rsid w:val="00A52753"/>
    <w:rsid w:val="00A550E8"/>
    <w:rsid w:val="00A556D1"/>
    <w:rsid w:val="00A56E8B"/>
    <w:rsid w:val="00A71133"/>
    <w:rsid w:val="00A7209C"/>
    <w:rsid w:val="00A761C7"/>
    <w:rsid w:val="00A768B4"/>
    <w:rsid w:val="00A77D42"/>
    <w:rsid w:val="00A82E17"/>
    <w:rsid w:val="00A8391C"/>
    <w:rsid w:val="00A85075"/>
    <w:rsid w:val="00A871B2"/>
    <w:rsid w:val="00A90245"/>
    <w:rsid w:val="00A93F1F"/>
    <w:rsid w:val="00AA12F7"/>
    <w:rsid w:val="00AA3173"/>
    <w:rsid w:val="00AA3A3E"/>
    <w:rsid w:val="00AB19B6"/>
    <w:rsid w:val="00AB1D5C"/>
    <w:rsid w:val="00AC6ABA"/>
    <w:rsid w:val="00AD1C80"/>
    <w:rsid w:val="00AD2E24"/>
    <w:rsid w:val="00AD5627"/>
    <w:rsid w:val="00AD65C9"/>
    <w:rsid w:val="00AD6639"/>
    <w:rsid w:val="00AE3A8E"/>
    <w:rsid w:val="00AE4A25"/>
    <w:rsid w:val="00AE5CCB"/>
    <w:rsid w:val="00AE7179"/>
    <w:rsid w:val="00AF58D0"/>
    <w:rsid w:val="00AF6215"/>
    <w:rsid w:val="00AF6F6E"/>
    <w:rsid w:val="00B00A18"/>
    <w:rsid w:val="00B0725F"/>
    <w:rsid w:val="00B11323"/>
    <w:rsid w:val="00B13A2F"/>
    <w:rsid w:val="00B145D2"/>
    <w:rsid w:val="00B178D3"/>
    <w:rsid w:val="00B20F86"/>
    <w:rsid w:val="00B22F73"/>
    <w:rsid w:val="00B30E95"/>
    <w:rsid w:val="00B339F8"/>
    <w:rsid w:val="00B4065C"/>
    <w:rsid w:val="00B43512"/>
    <w:rsid w:val="00B52CD8"/>
    <w:rsid w:val="00B604EB"/>
    <w:rsid w:val="00B6108C"/>
    <w:rsid w:val="00B67F7B"/>
    <w:rsid w:val="00B739E2"/>
    <w:rsid w:val="00B8151D"/>
    <w:rsid w:val="00B819AA"/>
    <w:rsid w:val="00B91A2D"/>
    <w:rsid w:val="00BA1A52"/>
    <w:rsid w:val="00BA30BD"/>
    <w:rsid w:val="00BA54AA"/>
    <w:rsid w:val="00BA7A46"/>
    <w:rsid w:val="00BB2109"/>
    <w:rsid w:val="00BB2C6B"/>
    <w:rsid w:val="00BB38D4"/>
    <w:rsid w:val="00BB4D85"/>
    <w:rsid w:val="00BB61E4"/>
    <w:rsid w:val="00BB631E"/>
    <w:rsid w:val="00BB71A8"/>
    <w:rsid w:val="00BC4BD5"/>
    <w:rsid w:val="00BC50A3"/>
    <w:rsid w:val="00BD2ED2"/>
    <w:rsid w:val="00BD41D4"/>
    <w:rsid w:val="00BD465A"/>
    <w:rsid w:val="00BD47A9"/>
    <w:rsid w:val="00BD5316"/>
    <w:rsid w:val="00BD5A86"/>
    <w:rsid w:val="00BD6AC2"/>
    <w:rsid w:val="00BD7CDC"/>
    <w:rsid w:val="00BE214C"/>
    <w:rsid w:val="00BE3046"/>
    <w:rsid w:val="00BE68F9"/>
    <w:rsid w:val="00BF2A9B"/>
    <w:rsid w:val="00BF3425"/>
    <w:rsid w:val="00BF3DAE"/>
    <w:rsid w:val="00C02595"/>
    <w:rsid w:val="00C12197"/>
    <w:rsid w:val="00C13110"/>
    <w:rsid w:val="00C1330A"/>
    <w:rsid w:val="00C145EB"/>
    <w:rsid w:val="00C2416A"/>
    <w:rsid w:val="00C30704"/>
    <w:rsid w:val="00C30E45"/>
    <w:rsid w:val="00C325A5"/>
    <w:rsid w:val="00C36A15"/>
    <w:rsid w:val="00C3701B"/>
    <w:rsid w:val="00C37043"/>
    <w:rsid w:val="00C4300F"/>
    <w:rsid w:val="00C45661"/>
    <w:rsid w:val="00C5010C"/>
    <w:rsid w:val="00C62BC1"/>
    <w:rsid w:val="00C64879"/>
    <w:rsid w:val="00C66953"/>
    <w:rsid w:val="00C712E2"/>
    <w:rsid w:val="00C72E9B"/>
    <w:rsid w:val="00C73133"/>
    <w:rsid w:val="00C731FA"/>
    <w:rsid w:val="00C7617C"/>
    <w:rsid w:val="00C818AB"/>
    <w:rsid w:val="00C82C91"/>
    <w:rsid w:val="00C846A2"/>
    <w:rsid w:val="00C90E38"/>
    <w:rsid w:val="00C90EFC"/>
    <w:rsid w:val="00C90FC4"/>
    <w:rsid w:val="00C954B7"/>
    <w:rsid w:val="00C9591A"/>
    <w:rsid w:val="00C97E14"/>
    <w:rsid w:val="00CA1549"/>
    <w:rsid w:val="00CA46AC"/>
    <w:rsid w:val="00CA4F71"/>
    <w:rsid w:val="00CB24D6"/>
    <w:rsid w:val="00CB337B"/>
    <w:rsid w:val="00CB45D5"/>
    <w:rsid w:val="00CB7A83"/>
    <w:rsid w:val="00CC3AE0"/>
    <w:rsid w:val="00CC3C0B"/>
    <w:rsid w:val="00CC3CD3"/>
    <w:rsid w:val="00CC4C6D"/>
    <w:rsid w:val="00CD20F8"/>
    <w:rsid w:val="00CD3705"/>
    <w:rsid w:val="00CD6E72"/>
    <w:rsid w:val="00CE3EA5"/>
    <w:rsid w:val="00CF1C96"/>
    <w:rsid w:val="00CF5A8C"/>
    <w:rsid w:val="00CF64D1"/>
    <w:rsid w:val="00D010D3"/>
    <w:rsid w:val="00D05A8C"/>
    <w:rsid w:val="00D119DD"/>
    <w:rsid w:val="00D14A9D"/>
    <w:rsid w:val="00D17A67"/>
    <w:rsid w:val="00D17FC6"/>
    <w:rsid w:val="00D217D1"/>
    <w:rsid w:val="00D2517F"/>
    <w:rsid w:val="00D3758C"/>
    <w:rsid w:val="00D46134"/>
    <w:rsid w:val="00D468A9"/>
    <w:rsid w:val="00D502B7"/>
    <w:rsid w:val="00D50946"/>
    <w:rsid w:val="00D5387E"/>
    <w:rsid w:val="00D56A3B"/>
    <w:rsid w:val="00D61A73"/>
    <w:rsid w:val="00D63270"/>
    <w:rsid w:val="00D63CDD"/>
    <w:rsid w:val="00D6472B"/>
    <w:rsid w:val="00D65EDC"/>
    <w:rsid w:val="00D66B65"/>
    <w:rsid w:val="00D70EAE"/>
    <w:rsid w:val="00D73415"/>
    <w:rsid w:val="00D74B9B"/>
    <w:rsid w:val="00D773CB"/>
    <w:rsid w:val="00D8103E"/>
    <w:rsid w:val="00D818BA"/>
    <w:rsid w:val="00D842A2"/>
    <w:rsid w:val="00D84946"/>
    <w:rsid w:val="00D902D3"/>
    <w:rsid w:val="00D90C2E"/>
    <w:rsid w:val="00D93741"/>
    <w:rsid w:val="00D97F55"/>
    <w:rsid w:val="00DA1AC0"/>
    <w:rsid w:val="00DA552F"/>
    <w:rsid w:val="00DB1C9E"/>
    <w:rsid w:val="00DB2434"/>
    <w:rsid w:val="00DB461B"/>
    <w:rsid w:val="00DB4D35"/>
    <w:rsid w:val="00DB6247"/>
    <w:rsid w:val="00DB6E9C"/>
    <w:rsid w:val="00DC1795"/>
    <w:rsid w:val="00DC3E8C"/>
    <w:rsid w:val="00DC4A82"/>
    <w:rsid w:val="00DC4B5E"/>
    <w:rsid w:val="00DD1234"/>
    <w:rsid w:val="00DD408F"/>
    <w:rsid w:val="00DD5F43"/>
    <w:rsid w:val="00DD651A"/>
    <w:rsid w:val="00DD7496"/>
    <w:rsid w:val="00DD7B03"/>
    <w:rsid w:val="00DE02BB"/>
    <w:rsid w:val="00DE1334"/>
    <w:rsid w:val="00DE16DD"/>
    <w:rsid w:val="00DE41A4"/>
    <w:rsid w:val="00DE5F92"/>
    <w:rsid w:val="00DE715E"/>
    <w:rsid w:val="00DE7C37"/>
    <w:rsid w:val="00DF13F3"/>
    <w:rsid w:val="00DF220F"/>
    <w:rsid w:val="00DF3683"/>
    <w:rsid w:val="00DF46B2"/>
    <w:rsid w:val="00DF61B7"/>
    <w:rsid w:val="00E01C32"/>
    <w:rsid w:val="00E01F85"/>
    <w:rsid w:val="00E1257E"/>
    <w:rsid w:val="00E24E50"/>
    <w:rsid w:val="00E251EE"/>
    <w:rsid w:val="00E302D5"/>
    <w:rsid w:val="00E33927"/>
    <w:rsid w:val="00E33FED"/>
    <w:rsid w:val="00E43542"/>
    <w:rsid w:val="00E5541C"/>
    <w:rsid w:val="00E55D04"/>
    <w:rsid w:val="00E60A2A"/>
    <w:rsid w:val="00E62C51"/>
    <w:rsid w:val="00E631F9"/>
    <w:rsid w:val="00E662FD"/>
    <w:rsid w:val="00E721CE"/>
    <w:rsid w:val="00E72FD0"/>
    <w:rsid w:val="00E757D0"/>
    <w:rsid w:val="00E767BE"/>
    <w:rsid w:val="00E81357"/>
    <w:rsid w:val="00E83BBC"/>
    <w:rsid w:val="00E8671C"/>
    <w:rsid w:val="00E90298"/>
    <w:rsid w:val="00E916A2"/>
    <w:rsid w:val="00E91930"/>
    <w:rsid w:val="00E97BC9"/>
    <w:rsid w:val="00EA6D4F"/>
    <w:rsid w:val="00EA716A"/>
    <w:rsid w:val="00EA7EA8"/>
    <w:rsid w:val="00EB3CAE"/>
    <w:rsid w:val="00EC0A15"/>
    <w:rsid w:val="00EE0DF5"/>
    <w:rsid w:val="00EE412B"/>
    <w:rsid w:val="00EF4ACB"/>
    <w:rsid w:val="00EF68C3"/>
    <w:rsid w:val="00F00674"/>
    <w:rsid w:val="00F034F1"/>
    <w:rsid w:val="00F03635"/>
    <w:rsid w:val="00F0455E"/>
    <w:rsid w:val="00F0609A"/>
    <w:rsid w:val="00F06562"/>
    <w:rsid w:val="00F1230D"/>
    <w:rsid w:val="00F14BCE"/>
    <w:rsid w:val="00F16C61"/>
    <w:rsid w:val="00F21042"/>
    <w:rsid w:val="00F21FAC"/>
    <w:rsid w:val="00F229BF"/>
    <w:rsid w:val="00F3264E"/>
    <w:rsid w:val="00F36014"/>
    <w:rsid w:val="00F36E18"/>
    <w:rsid w:val="00F37BC2"/>
    <w:rsid w:val="00F43DAD"/>
    <w:rsid w:val="00F45857"/>
    <w:rsid w:val="00F459C0"/>
    <w:rsid w:val="00F513EB"/>
    <w:rsid w:val="00F5236B"/>
    <w:rsid w:val="00F5252A"/>
    <w:rsid w:val="00F54266"/>
    <w:rsid w:val="00F552D2"/>
    <w:rsid w:val="00F5679F"/>
    <w:rsid w:val="00F60D6A"/>
    <w:rsid w:val="00F60F15"/>
    <w:rsid w:val="00F62708"/>
    <w:rsid w:val="00F645F6"/>
    <w:rsid w:val="00F6460E"/>
    <w:rsid w:val="00F64CB4"/>
    <w:rsid w:val="00F65889"/>
    <w:rsid w:val="00F72398"/>
    <w:rsid w:val="00F74CC9"/>
    <w:rsid w:val="00F7573F"/>
    <w:rsid w:val="00F77106"/>
    <w:rsid w:val="00F8338A"/>
    <w:rsid w:val="00F85B48"/>
    <w:rsid w:val="00F861AE"/>
    <w:rsid w:val="00F86E01"/>
    <w:rsid w:val="00F871D7"/>
    <w:rsid w:val="00F87FB6"/>
    <w:rsid w:val="00F90098"/>
    <w:rsid w:val="00F9205E"/>
    <w:rsid w:val="00F92FA5"/>
    <w:rsid w:val="00F935BD"/>
    <w:rsid w:val="00F96889"/>
    <w:rsid w:val="00F97BF3"/>
    <w:rsid w:val="00FA6309"/>
    <w:rsid w:val="00FA6319"/>
    <w:rsid w:val="00FB14CA"/>
    <w:rsid w:val="00FB46DD"/>
    <w:rsid w:val="00FB656A"/>
    <w:rsid w:val="00FB7019"/>
    <w:rsid w:val="00FC522B"/>
    <w:rsid w:val="00FD0A30"/>
    <w:rsid w:val="00FD1A80"/>
    <w:rsid w:val="00FE2F0A"/>
    <w:rsid w:val="00FF2A10"/>
    <w:rsid w:val="00FF3968"/>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v.au/higher-education-funding/resources/20000-additional-csps-faqs-provide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au/higher-education-funding/resources/20000-additional-commonwealth-supported-places-program-guidelin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0747F1875BF7D49B77A59640D85D6EF" ma:contentTypeVersion="" ma:contentTypeDescription="PDMS Document Site Content Type" ma:contentTypeScope="" ma:versionID="96a0b1a09cb220a35fa8c86176d60ffd">
  <xsd:schema xmlns:xsd="http://www.w3.org/2001/XMLSchema" xmlns:xs="http://www.w3.org/2001/XMLSchema" xmlns:p="http://schemas.microsoft.com/office/2006/metadata/properties" xmlns:ns2="F215B359-FCCD-42CB-B441-332F06ACF0EB" targetNamespace="http://schemas.microsoft.com/office/2006/metadata/properties" ma:root="true" ma:fieldsID="7c23c4e002fb38470a756654bb64f7e9" ns2:_="">
    <xsd:import namespace="F215B359-FCCD-42CB-B441-332F06ACF0E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5B359-FCCD-42CB-B441-332F06ACF0E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F215B359-FCCD-42CB-B441-332F06ACF0EB" xsi:nil="true"/>
  </documentManagement>
</p:properties>
</file>

<file path=customXml/itemProps1.xml><?xml version="1.0" encoding="utf-8"?>
<ds:datastoreItem xmlns:ds="http://schemas.openxmlformats.org/officeDocument/2006/customXml" ds:itemID="{006064E0-BD5B-4931-BE3C-0BAA91B43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5B359-FCCD-42CB-B441-332F06ACF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3.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4.xml><?xml version="1.0" encoding="utf-8"?>
<ds:datastoreItem xmlns:ds="http://schemas.openxmlformats.org/officeDocument/2006/customXml" ds:itemID="{EB42F429-4198-4ECD-8E59-23F01B09005A}">
  <ds:schemaRefs>
    <ds:schemaRef ds:uri="http://schemas.microsoft.com/office/2006/metadata/properties"/>
    <ds:schemaRef ds:uri="http://schemas.microsoft.com/office/infopath/2007/PartnerControls"/>
    <ds:schemaRef ds:uri="76c08405-89e9-4c57-a585-b31d7bded94b"/>
    <ds:schemaRef ds:uri="http://schemas.microsoft.com/sharepoint/v4"/>
    <ds:schemaRef ds:uri="http://schemas.microsoft.com/sharepoint/v3"/>
    <ds:schemaRef ds:uri="F215B359-FCCD-42CB-B441-332F06ACF0E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James McLaren</cp:lastModifiedBy>
  <cp:revision>3</cp:revision>
  <cp:lastPrinted>2019-11-17T23:12:00Z</cp:lastPrinted>
  <dcterms:created xsi:type="dcterms:W3CDTF">2023-11-24T05:51:00Z</dcterms:created>
  <dcterms:modified xsi:type="dcterms:W3CDTF">2023-11-27T05:16:00Z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0x010100266966F133664895A6EE3632470D45F500C0747F1875BF7D49B77A59640D85D6EF</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ies>
</file>