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64FB" w14:textId="48E0F1F6" w:rsidR="00426150" w:rsidRPr="004A4E9E" w:rsidRDefault="00426150" w:rsidP="00426150">
      <w:pPr>
        <w:pStyle w:val="Heading1"/>
        <w:spacing w:after="240"/>
        <w:rPr>
          <w:rFonts w:ascii="Times New Roman" w:hAnsi="Times New Roman"/>
        </w:rPr>
      </w:pPr>
      <w:bookmarkStart w:id="0" w:name="OLE_LINK1"/>
      <w:bookmarkStart w:id="1" w:name="OLE_LINK2"/>
      <w:r w:rsidRPr="004A4E9E">
        <w:rPr>
          <w:rFonts w:ascii="Times New Roman" w:hAnsi="Times New Roman"/>
        </w:rPr>
        <w:t>EXPLANATORY STATEMENT</w:t>
      </w:r>
    </w:p>
    <w:p w14:paraId="7077D476" w14:textId="436DFE76" w:rsidR="00426150" w:rsidRPr="0039795F" w:rsidRDefault="00426150" w:rsidP="00426150">
      <w:pPr>
        <w:pStyle w:val="Heading2"/>
        <w:spacing w:after="240"/>
        <w:jc w:val="center"/>
        <w:rPr>
          <w:b w:val="0"/>
          <w:sz w:val="24"/>
          <w:szCs w:val="24"/>
        </w:rPr>
      </w:pPr>
      <w:r w:rsidRPr="0039795F">
        <w:rPr>
          <w:b w:val="0"/>
          <w:sz w:val="24"/>
          <w:szCs w:val="24"/>
        </w:rPr>
        <w:t xml:space="preserve">Issued by authority of the Minister for </w:t>
      </w:r>
      <w:r w:rsidR="00E81DFC">
        <w:rPr>
          <w:b w:val="0"/>
          <w:sz w:val="24"/>
          <w:szCs w:val="24"/>
        </w:rPr>
        <w:t>Industry</w:t>
      </w:r>
      <w:r w:rsidR="00962B0C">
        <w:rPr>
          <w:b w:val="0"/>
          <w:sz w:val="24"/>
          <w:szCs w:val="24"/>
        </w:rPr>
        <w:t xml:space="preserve"> and Science,</w:t>
      </w:r>
      <w:r>
        <w:rPr>
          <w:b w:val="0"/>
          <w:sz w:val="24"/>
          <w:szCs w:val="24"/>
        </w:rPr>
        <w:t xml:space="preserve"> and the</w:t>
      </w:r>
      <w:r w:rsidR="004B7110">
        <w:rPr>
          <w:b w:val="0"/>
          <w:sz w:val="24"/>
          <w:szCs w:val="24"/>
        </w:rPr>
        <w:t> </w:t>
      </w:r>
      <w:r>
        <w:rPr>
          <w:b w:val="0"/>
          <w:sz w:val="24"/>
          <w:szCs w:val="24"/>
        </w:rPr>
        <w:t>Minister</w:t>
      </w:r>
      <w:r w:rsidR="004B7110">
        <w:rPr>
          <w:b w:val="0"/>
          <w:sz w:val="24"/>
          <w:szCs w:val="24"/>
        </w:rPr>
        <w:t> </w:t>
      </w:r>
      <w:r>
        <w:rPr>
          <w:b w:val="0"/>
          <w:sz w:val="24"/>
          <w:szCs w:val="24"/>
        </w:rPr>
        <w:t>for</w:t>
      </w:r>
      <w:r w:rsidR="004B7110">
        <w:rPr>
          <w:b w:val="0"/>
          <w:sz w:val="24"/>
          <w:szCs w:val="24"/>
        </w:rPr>
        <w:t> </w:t>
      </w:r>
      <w:r>
        <w:rPr>
          <w:b w:val="0"/>
          <w:sz w:val="24"/>
          <w:szCs w:val="24"/>
        </w:rPr>
        <w:t>Finance</w:t>
      </w:r>
    </w:p>
    <w:p w14:paraId="401EA68F" w14:textId="09DB27B2" w:rsidR="00426150" w:rsidRPr="004A4E9E" w:rsidRDefault="00E81DFC" w:rsidP="003A29B4">
      <w:pPr>
        <w:spacing w:before="200" w:after="200"/>
        <w:jc w:val="center"/>
        <w:rPr>
          <w:i/>
        </w:rPr>
      </w:pPr>
      <w:r w:rsidRPr="004A4E9E">
        <w:rPr>
          <w:i/>
          <w:iCs/>
        </w:rPr>
        <w:t xml:space="preserve">National Reconstruction </w:t>
      </w:r>
      <w:r w:rsidR="00FC5A1B" w:rsidRPr="004A4E9E">
        <w:rPr>
          <w:i/>
          <w:iCs/>
        </w:rPr>
        <w:t>Fund</w:t>
      </w:r>
      <w:r w:rsidRPr="004A4E9E">
        <w:rPr>
          <w:i/>
          <w:iCs/>
        </w:rPr>
        <w:t xml:space="preserve"> </w:t>
      </w:r>
      <w:r w:rsidR="00CA3DDB" w:rsidRPr="004A4E9E">
        <w:rPr>
          <w:i/>
          <w:iCs/>
        </w:rPr>
        <w:t xml:space="preserve">Corporation </w:t>
      </w:r>
      <w:r w:rsidRPr="004A4E9E">
        <w:rPr>
          <w:i/>
          <w:iCs/>
        </w:rPr>
        <w:t xml:space="preserve">Act </w:t>
      </w:r>
      <w:r w:rsidR="00E27939" w:rsidRPr="004A4E9E">
        <w:rPr>
          <w:i/>
          <w:iCs/>
        </w:rPr>
        <w:t>202</w:t>
      </w:r>
      <w:r w:rsidR="00E27939">
        <w:rPr>
          <w:i/>
          <w:iCs/>
        </w:rPr>
        <w:t>3</w:t>
      </w:r>
    </w:p>
    <w:p w14:paraId="72E880CE" w14:textId="740EA77A" w:rsidR="00426150" w:rsidRPr="004A4E9E" w:rsidRDefault="00E81DFC" w:rsidP="003A29B4">
      <w:pPr>
        <w:spacing w:before="240" w:after="200"/>
        <w:jc w:val="center"/>
        <w:rPr>
          <w:i/>
        </w:rPr>
      </w:pPr>
      <w:r w:rsidRPr="00A45236">
        <w:rPr>
          <w:i/>
        </w:rPr>
        <w:t xml:space="preserve">National Reconstruction </w:t>
      </w:r>
      <w:r w:rsidR="00FC5A1B" w:rsidRPr="00A45236">
        <w:rPr>
          <w:i/>
        </w:rPr>
        <w:t>Fund</w:t>
      </w:r>
      <w:r w:rsidR="00426150" w:rsidRPr="00A45236">
        <w:rPr>
          <w:i/>
        </w:rPr>
        <w:t xml:space="preserve"> </w:t>
      </w:r>
      <w:r w:rsidR="00DF09CD" w:rsidRPr="00A45236">
        <w:rPr>
          <w:i/>
        </w:rPr>
        <w:t>Corporation (</w:t>
      </w:r>
      <w:r w:rsidR="00426150" w:rsidRPr="00A45236">
        <w:rPr>
          <w:i/>
        </w:rPr>
        <w:t>Investment Mandate</w:t>
      </w:r>
      <w:r w:rsidR="00DF09CD" w:rsidRPr="00A45236">
        <w:rPr>
          <w:i/>
        </w:rPr>
        <w:t>)</w:t>
      </w:r>
      <w:r w:rsidR="00426150" w:rsidRPr="00A45236">
        <w:rPr>
          <w:i/>
        </w:rPr>
        <w:t xml:space="preserve"> Direction </w:t>
      </w:r>
      <w:r w:rsidRPr="00A45236">
        <w:rPr>
          <w:i/>
        </w:rPr>
        <w:t>2023</w:t>
      </w:r>
    </w:p>
    <w:p w14:paraId="31FAE72A" w14:textId="77777777" w:rsidR="00511792" w:rsidRPr="0025502E" w:rsidRDefault="00511792" w:rsidP="00511792">
      <w:pPr>
        <w:spacing w:before="240" w:after="240"/>
        <w:rPr>
          <w:b/>
          <w:szCs w:val="24"/>
          <w:u w:val="single"/>
        </w:rPr>
      </w:pPr>
      <w:r w:rsidRPr="0025502E">
        <w:rPr>
          <w:b/>
          <w:szCs w:val="24"/>
          <w:u w:val="single"/>
        </w:rPr>
        <w:t>Purpose and Operation</w:t>
      </w:r>
    </w:p>
    <w:p w14:paraId="5CA25C44" w14:textId="579EA2F1" w:rsidR="00426150" w:rsidRDefault="00426150" w:rsidP="004A4E9E">
      <w:pPr>
        <w:spacing w:before="0" w:after="200"/>
        <w:rPr>
          <w:szCs w:val="24"/>
        </w:rPr>
      </w:pPr>
      <w:r w:rsidRPr="004A4E9E">
        <w:rPr>
          <w:szCs w:val="24"/>
        </w:rPr>
        <w:t xml:space="preserve">Under the </w:t>
      </w:r>
      <w:r w:rsidR="00E81DFC" w:rsidRPr="004A4E9E">
        <w:rPr>
          <w:i/>
          <w:szCs w:val="24"/>
        </w:rPr>
        <w:t xml:space="preserve">National Reconstruction </w:t>
      </w:r>
      <w:r w:rsidR="00FC5A1B" w:rsidRPr="004A4E9E">
        <w:rPr>
          <w:i/>
          <w:szCs w:val="24"/>
        </w:rPr>
        <w:t>Fund</w:t>
      </w:r>
      <w:r w:rsidR="00E81DFC" w:rsidRPr="004A4E9E">
        <w:rPr>
          <w:i/>
          <w:szCs w:val="24"/>
        </w:rPr>
        <w:t xml:space="preserve"> </w:t>
      </w:r>
      <w:r w:rsidR="00CA3DDB" w:rsidRPr="004A4E9E">
        <w:rPr>
          <w:i/>
          <w:szCs w:val="24"/>
        </w:rPr>
        <w:t xml:space="preserve">Corporation </w:t>
      </w:r>
      <w:r w:rsidR="00E81DFC" w:rsidRPr="004A4E9E">
        <w:rPr>
          <w:i/>
          <w:szCs w:val="24"/>
        </w:rPr>
        <w:t xml:space="preserve">Act </w:t>
      </w:r>
      <w:r w:rsidR="00304A18" w:rsidRPr="004A4E9E">
        <w:rPr>
          <w:i/>
          <w:szCs w:val="24"/>
        </w:rPr>
        <w:t>202</w:t>
      </w:r>
      <w:r w:rsidR="00304A18">
        <w:rPr>
          <w:i/>
          <w:szCs w:val="24"/>
        </w:rPr>
        <w:t xml:space="preserve">3 </w:t>
      </w:r>
      <w:r w:rsidRPr="004F373E">
        <w:rPr>
          <w:szCs w:val="24"/>
        </w:rPr>
        <w:t xml:space="preserve">(the </w:t>
      </w:r>
      <w:r w:rsidR="004A4E9E">
        <w:rPr>
          <w:szCs w:val="24"/>
        </w:rPr>
        <w:t>NRF</w:t>
      </w:r>
      <w:r w:rsidR="00BA3AF7">
        <w:rPr>
          <w:szCs w:val="24"/>
        </w:rPr>
        <w:t>C</w:t>
      </w:r>
      <w:r w:rsidR="004A4E9E">
        <w:rPr>
          <w:szCs w:val="24"/>
        </w:rPr>
        <w:t xml:space="preserve"> </w:t>
      </w:r>
      <w:r w:rsidRPr="004F373E">
        <w:rPr>
          <w:szCs w:val="24"/>
        </w:rPr>
        <w:t xml:space="preserve">Act), the </w:t>
      </w:r>
      <w:r w:rsidR="00BE632F">
        <w:rPr>
          <w:szCs w:val="24"/>
        </w:rPr>
        <w:t xml:space="preserve">purpose </w:t>
      </w:r>
      <w:r w:rsidRPr="004F373E">
        <w:rPr>
          <w:szCs w:val="24"/>
        </w:rPr>
        <w:t xml:space="preserve">of the </w:t>
      </w:r>
      <w:r w:rsidR="00E81DFC">
        <w:rPr>
          <w:szCs w:val="24"/>
        </w:rPr>
        <w:t xml:space="preserve">National Reconstruction </w:t>
      </w:r>
      <w:r w:rsidR="00FC5A1B">
        <w:rPr>
          <w:szCs w:val="24"/>
        </w:rPr>
        <w:t>Fund</w:t>
      </w:r>
      <w:r w:rsidRPr="004F373E">
        <w:rPr>
          <w:szCs w:val="24"/>
        </w:rPr>
        <w:t xml:space="preserve"> </w:t>
      </w:r>
      <w:r w:rsidR="00FF22E1">
        <w:rPr>
          <w:szCs w:val="24"/>
        </w:rPr>
        <w:t xml:space="preserve">Corporation </w:t>
      </w:r>
      <w:r w:rsidRPr="004F373E">
        <w:rPr>
          <w:szCs w:val="24"/>
        </w:rPr>
        <w:t>(the</w:t>
      </w:r>
      <w:r w:rsidR="00392972">
        <w:rPr>
          <w:szCs w:val="24"/>
        </w:rPr>
        <w:t> Corporation</w:t>
      </w:r>
      <w:r w:rsidRPr="004F373E">
        <w:rPr>
          <w:szCs w:val="24"/>
        </w:rPr>
        <w:t xml:space="preserve">) is </w:t>
      </w:r>
      <w:r w:rsidR="00BE632F" w:rsidRPr="00BE632F">
        <w:rPr>
          <w:szCs w:val="24"/>
        </w:rPr>
        <w:t>to facilitate increased flows of finance into priority areas of the Australian economy</w:t>
      </w:r>
      <w:r w:rsidR="00FB41A2">
        <w:rPr>
          <w:szCs w:val="24"/>
        </w:rPr>
        <w:t>.</w:t>
      </w:r>
      <w:r w:rsidR="00A220C5">
        <w:rPr>
          <w:rStyle w:val="FootnoteReference"/>
          <w:szCs w:val="24"/>
        </w:rPr>
        <w:footnoteReference w:id="2"/>
      </w:r>
      <w:r w:rsidR="00BE632F" w:rsidRPr="00BE632F">
        <w:rPr>
          <w:szCs w:val="24"/>
        </w:rPr>
        <w:t xml:space="preserve"> </w:t>
      </w:r>
      <w:r w:rsidR="007F3232">
        <w:rPr>
          <w:szCs w:val="24"/>
        </w:rPr>
        <w:t xml:space="preserve">It is the Government’s intention that the Corporation will </w:t>
      </w:r>
      <w:r w:rsidR="004A4E9E">
        <w:rPr>
          <w:szCs w:val="24"/>
        </w:rPr>
        <w:t xml:space="preserve">perform this role in order </w:t>
      </w:r>
      <w:r w:rsidR="00FB41A2">
        <w:rPr>
          <w:szCs w:val="24"/>
        </w:rPr>
        <w:t xml:space="preserve">to </w:t>
      </w:r>
      <w:r w:rsidR="00FB41A2" w:rsidRPr="00BE632F">
        <w:rPr>
          <w:szCs w:val="24"/>
        </w:rPr>
        <w:t>transform and diversif</w:t>
      </w:r>
      <w:r w:rsidR="00FB41A2">
        <w:rPr>
          <w:szCs w:val="24"/>
        </w:rPr>
        <w:t>y</w:t>
      </w:r>
      <w:r w:rsidR="00FB41A2" w:rsidRPr="00BE632F">
        <w:rPr>
          <w:szCs w:val="24"/>
        </w:rPr>
        <w:t xml:space="preserve"> Australia</w:t>
      </w:r>
      <w:r w:rsidR="00B93446">
        <w:rPr>
          <w:szCs w:val="24"/>
        </w:rPr>
        <w:t>n</w:t>
      </w:r>
      <w:r w:rsidR="00FB41A2">
        <w:rPr>
          <w:szCs w:val="24"/>
        </w:rPr>
        <w:t xml:space="preserve"> industry</w:t>
      </w:r>
      <w:r w:rsidR="00B93446">
        <w:rPr>
          <w:szCs w:val="24"/>
        </w:rPr>
        <w:t>, create secure, well-paying jobs, and boost sovereign capability.</w:t>
      </w:r>
      <w:r w:rsidR="006676E3">
        <w:rPr>
          <w:szCs w:val="24"/>
        </w:rPr>
        <w:t xml:space="preserve"> </w:t>
      </w:r>
      <w:r w:rsidR="00314FBA">
        <w:rPr>
          <w:szCs w:val="24"/>
        </w:rPr>
        <w:t xml:space="preserve">In performing this role, the types of investment the Corporation may make </w:t>
      </w:r>
      <w:r w:rsidR="002450B7">
        <w:rPr>
          <w:szCs w:val="24"/>
        </w:rPr>
        <w:t>include</w:t>
      </w:r>
      <w:r w:rsidR="00E603C2">
        <w:rPr>
          <w:szCs w:val="24"/>
        </w:rPr>
        <w:t>s</w:t>
      </w:r>
      <w:r w:rsidR="002450B7">
        <w:rPr>
          <w:szCs w:val="24"/>
        </w:rPr>
        <w:t xml:space="preserve"> </w:t>
      </w:r>
      <w:r w:rsidR="006676E3" w:rsidRPr="006676E3">
        <w:rPr>
          <w:szCs w:val="24"/>
        </w:rPr>
        <w:t>loans, guarantees and equity</w:t>
      </w:r>
      <w:r w:rsidR="008B7BCE">
        <w:rPr>
          <w:szCs w:val="24"/>
        </w:rPr>
        <w:t>.</w:t>
      </w:r>
    </w:p>
    <w:p w14:paraId="4C94D359" w14:textId="758861B3" w:rsidR="00A07E36" w:rsidRDefault="00426150" w:rsidP="003A29B4">
      <w:pPr>
        <w:spacing w:before="0" w:after="200"/>
        <w:rPr>
          <w:szCs w:val="24"/>
        </w:rPr>
      </w:pPr>
      <w:bookmarkStart w:id="2" w:name="_Hlk131670952"/>
      <w:r w:rsidRPr="004F373E">
        <w:rPr>
          <w:szCs w:val="24"/>
        </w:rPr>
        <w:t xml:space="preserve">Under the </w:t>
      </w:r>
      <w:r w:rsidR="004A4E9E">
        <w:rPr>
          <w:szCs w:val="24"/>
        </w:rPr>
        <w:t>NRF</w:t>
      </w:r>
      <w:r w:rsidR="00BA3AF7">
        <w:rPr>
          <w:szCs w:val="24"/>
        </w:rPr>
        <w:t>C</w:t>
      </w:r>
      <w:r w:rsidR="004A4E9E">
        <w:rPr>
          <w:szCs w:val="24"/>
        </w:rPr>
        <w:t xml:space="preserve"> </w:t>
      </w:r>
      <w:r w:rsidRPr="004F373E">
        <w:rPr>
          <w:szCs w:val="24"/>
        </w:rPr>
        <w:t>Act</w:t>
      </w:r>
      <w:r>
        <w:rPr>
          <w:szCs w:val="24"/>
        </w:rPr>
        <w:t>,</w:t>
      </w:r>
      <w:r w:rsidRPr="004F373E">
        <w:rPr>
          <w:szCs w:val="24"/>
        </w:rPr>
        <w:t xml:space="preserve"> the Board </w:t>
      </w:r>
      <w:r>
        <w:rPr>
          <w:szCs w:val="24"/>
        </w:rPr>
        <w:t xml:space="preserve">of the </w:t>
      </w:r>
      <w:r w:rsidR="00FC5A1B">
        <w:rPr>
          <w:szCs w:val="24"/>
        </w:rPr>
        <w:t>Corporation</w:t>
      </w:r>
      <w:r>
        <w:rPr>
          <w:szCs w:val="24"/>
        </w:rPr>
        <w:t xml:space="preserve"> (the Board) </w:t>
      </w:r>
      <w:r w:rsidRPr="004F373E">
        <w:rPr>
          <w:szCs w:val="24"/>
        </w:rPr>
        <w:t xml:space="preserve">is responsible for </w:t>
      </w:r>
      <w:r w:rsidR="006C4EBF">
        <w:rPr>
          <w:szCs w:val="24"/>
        </w:rPr>
        <w:t>deciding the</w:t>
      </w:r>
      <w:r w:rsidR="006C4EBF" w:rsidRPr="006C4EBF">
        <w:rPr>
          <w:szCs w:val="24"/>
        </w:rPr>
        <w:t xml:space="preserve"> strategies and policies to be followed by the Corporation </w:t>
      </w:r>
      <w:r w:rsidR="006C4EBF">
        <w:rPr>
          <w:szCs w:val="24"/>
        </w:rPr>
        <w:t xml:space="preserve">and </w:t>
      </w:r>
      <w:r w:rsidRPr="004F373E">
        <w:rPr>
          <w:szCs w:val="24"/>
        </w:rPr>
        <w:t xml:space="preserve">ensuring the proper, efficient and effective performance of the </w:t>
      </w:r>
      <w:r w:rsidR="00FC5A1B">
        <w:rPr>
          <w:szCs w:val="24"/>
        </w:rPr>
        <w:t>Corporation</w:t>
      </w:r>
      <w:r w:rsidR="006C4EBF">
        <w:rPr>
          <w:szCs w:val="24"/>
        </w:rPr>
        <w:t>’s functions</w:t>
      </w:r>
      <w:r w:rsidRPr="004F373E">
        <w:rPr>
          <w:szCs w:val="24"/>
        </w:rPr>
        <w:t xml:space="preserve">. </w:t>
      </w:r>
    </w:p>
    <w:p w14:paraId="5BBA793D" w14:textId="5DF5558C" w:rsidR="00426150" w:rsidRDefault="00837C09" w:rsidP="003A29B4">
      <w:pPr>
        <w:spacing w:before="0" w:after="200"/>
        <w:rPr>
          <w:szCs w:val="24"/>
        </w:rPr>
      </w:pPr>
      <w:proofErr w:type="gramStart"/>
      <w:r>
        <w:rPr>
          <w:szCs w:val="24"/>
        </w:rPr>
        <w:t xml:space="preserve">The </w:t>
      </w:r>
      <w:r w:rsidR="00431D70">
        <w:rPr>
          <w:szCs w:val="24"/>
        </w:rPr>
        <w:t>Corporation and its subsidiaries (Corporation bodies),</w:t>
      </w:r>
      <w:proofErr w:type="gramEnd"/>
      <w:r w:rsidR="00431D70">
        <w:rPr>
          <w:szCs w:val="24"/>
        </w:rPr>
        <w:t xml:space="preserve"> </w:t>
      </w:r>
      <w:r>
        <w:rPr>
          <w:szCs w:val="24"/>
        </w:rPr>
        <w:t>will make ind</w:t>
      </w:r>
      <w:r w:rsidR="00AB225E">
        <w:rPr>
          <w:szCs w:val="24"/>
        </w:rPr>
        <w:t>ividual investment decisions independently of Government. T</w:t>
      </w:r>
      <w:bookmarkStart w:id="3" w:name="_Hlk131671797"/>
      <w:r w:rsidR="00426150" w:rsidRPr="00E27C1F">
        <w:rPr>
          <w:szCs w:val="24"/>
        </w:rPr>
        <w:t>he Minister</w:t>
      </w:r>
      <w:r w:rsidR="007F3232">
        <w:rPr>
          <w:szCs w:val="24"/>
        </w:rPr>
        <w:t xml:space="preserve"> for Industry and Science and </w:t>
      </w:r>
      <w:r w:rsidR="004B7110">
        <w:rPr>
          <w:szCs w:val="24"/>
        </w:rPr>
        <w:t xml:space="preserve">the </w:t>
      </w:r>
      <w:r w:rsidR="007F3232">
        <w:rPr>
          <w:szCs w:val="24"/>
        </w:rPr>
        <w:t xml:space="preserve">Minister for Finance </w:t>
      </w:r>
      <w:r w:rsidR="00426150" w:rsidRPr="00E27C1F">
        <w:rPr>
          <w:szCs w:val="24"/>
        </w:rPr>
        <w:t>may issue one or more directions to the Board</w:t>
      </w:r>
      <w:r w:rsidR="00A07E36">
        <w:rPr>
          <w:szCs w:val="24"/>
        </w:rPr>
        <w:t>,</w:t>
      </w:r>
      <w:r w:rsidR="00426150" w:rsidRPr="00E27C1F">
        <w:rPr>
          <w:szCs w:val="24"/>
        </w:rPr>
        <w:t xml:space="preserve"> under </w:t>
      </w:r>
      <w:r w:rsidR="00426150" w:rsidRPr="006C4EBF">
        <w:rPr>
          <w:szCs w:val="24"/>
        </w:rPr>
        <w:t xml:space="preserve">subsection </w:t>
      </w:r>
      <w:r w:rsidR="00DA5E79" w:rsidRPr="006C4EBF">
        <w:rPr>
          <w:szCs w:val="24"/>
        </w:rPr>
        <w:t>71</w:t>
      </w:r>
      <w:r w:rsidR="00426150" w:rsidRPr="006C4EBF">
        <w:rPr>
          <w:szCs w:val="24"/>
        </w:rPr>
        <w:t>(</w:t>
      </w:r>
      <w:r w:rsidR="00DA5E79" w:rsidRPr="006C4EBF">
        <w:rPr>
          <w:szCs w:val="24"/>
        </w:rPr>
        <w:t>1</w:t>
      </w:r>
      <w:r w:rsidR="00426150" w:rsidRPr="006C4EBF">
        <w:rPr>
          <w:szCs w:val="24"/>
        </w:rPr>
        <w:t>)</w:t>
      </w:r>
      <w:r w:rsidR="00426150" w:rsidRPr="00E27C1F">
        <w:rPr>
          <w:szCs w:val="24"/>
        </w:rPr>
        <w:t xml:space="preserve"> of the </w:t>
      </w:r>
      <w:r w:rsidR="006C4EBF">
        <w:rPr>
          <w:szCs w:val="24"/>
        </w:rPr>
        <w:t>NRF</w:t>
      </w:r>
      <w:r w:rsidR="00426E3C">
        <w:rPr>
          <w:szCs w:val="24"/>
        </w:rPr>
        <w:t>C</w:t>
      </w:r>
      <w:r w:rsidR="006C4EBF">
        <w:rPr>
          <w:szCs w:val="24"/>
        </w:rPr>
        <w:t xml:space="preserve"> </w:t>
      </w:r>
      <w:r w:rsidR="00426150" w:rsidRPr="00E27C1F">
        <w:rPr>
          <w:szCs w:val="24"/>
        </w:rPr>
        <w:t>Act</w:t>
      </w:r>
      <w:r w:rsidR="00A07E36">
        <w:rPr>
          <w:szCs w:val="24"/>
        </w:rPr>
        <w:t xml:space="preserve">, in relation to </w:t>
      </w:r>
      <w:r w:rsidR="000D323A">
        <w:rPr>
          <w:szCs w:val="24"/>
        </w:rPr>
        <w:t xml:space="preserve">the </w:t>
      </w:r>
      <w:r w:rsidR="00A07E36">
        <w:rPr>
          <w:szCs w:val="24"/>
        </w:rPr>
        <w:t>exercise</w:t>
      </w:r>
      <w:r w:rsidR="00475789">
        <w:rPr>
          <w:szCs w:val="24"/>
        </w:rPr>
        <w:t xml:space="preserve"> of</w:t>
      </w:r>
      <w:r w:rsidR="00A07E36">
        <w:rPr>
          <w:szCs w:val="24"/>
        </w:rPr>
        <w:t xml:space="preserve"> the Corporation’s investment powers </w:t>
      </w:r>
      <w:r w:rsidR="000D323A">
        <w:rPr>
          <w:szCs w:val="24"/>
        </w:rPr>
        <w:t xml:space="preserve">or the </w:t>
      </w:r>
      <w:r w:rsidR="00A07E36">
        <w:rPr>
          <w:szCs w:val="24"/>
        </w:rPr>
        <w:t>perform</w:t>
      </w:r>
      <w:r w:rsidR="000D323A">
        <w:rPr>
          <w:szCs w:val="24"/>
        </w:rPr>
        <w:t>ance of</w:t>
      </w:r>
      <w:r w:rsidR="00A07E36">
        <w:rPr>
          <w:szCs w:val="24"/>
        </w:rPr>
        <w:t xml:space="preserve"> the Corporation’s investment functions</w:t>
      </w:r>
      <w:bookmarkEnd w:id="3"/>
      <w:r w:rsidR="0097063C">
        <w:rPr>
          <w:szCs w:val="24"/>
        </w:rPr>
        <w:t xml:space="preserve">, </w:t>
      </w:r>
      <w:r w:rsidR="000D323A">
        <w:rPr>
          <w:szCs w:val="24"/>
        </w:rPr>
        <w:t xml:space="preserve">or both, </w:t>
      </w:r>
      <w:r w:rsidR="0097063C">
        <w:rPr>
          <w:szCs w:val="24"/>
        </w:rPr>
        <w:t>and must issue at least one</w:t>
      </w:r>
      <w:r w:rsidR="004B5B43">
        <w:rPr>
          <w:szCs w:val="24"/>
        </w:rPr>
        <w:t xml:space="preserve"> direction</w:t>
      </w:r>
      <w:r w:rsidR="00426150" w:rsidRPr="00E27C1F">
        <w:rPr>
          <w:szCs w:val="24"/>
        </w:rPr>
        <w:t>.</w:t>
      </w:r>
      <w:r w:rsidR="00426150" w:rsidRPr="004F373E">
        <w:rPr>
          <w:szCs w:val="24"/>
        </w:rPr>
        <w:t xml:space="preserve"> Directions issued </w:t>
      </w:r>
      <w:r w:rsidR="00426150">
        <w:rPr>
          <w:szCs w:val="24"/>
        </w:rPr>
        <w:t>in this manner are</w:t>
      </w:r>
      <w:r w:rsidR="00426150" w:rsidRPr="004F373E">
        <w:rPr>
          <w:szCs w:val="24"/>
        </w:rPr>
        <w:t xml:space="preserve"> known collectively as the </w:t>
      </w:r>
      <w:r w:rsidR="00FC5A1B">
        <w:rPr>
          <w:szCs w:val="24"/>
        </w:rPr>
        <w:t>Corporation</w:t>
      </w:r>
      <w:r w:rsidR="00E81DFC">
        <w:rPr>
          <w:szCs w:val="24"/>
        </w:rPr>
        <w:t>’s</w:t>
      </w:r>
      <w:r w:rsidR="00426150">
        <w:rPr>
          <w:szCs w:val="24"/>
        </w:rPr>
        <w:t xml:space="preserve"> Investment Mandate</w:t>
      </w:r>
      <w:r w:rsidR="00E727FC">
        <w:rPr>
          <w:szCs w:val="24"/>
        </w:rPr>
        <w:t xml:space="preserve"> </w:t>
      </w:r>
      <w:r w:rsidR="004B7110">
        <w:rPr>
          <w:szCs w:val="24"/>
        </w:rPr>
        <w:t>(Investment Mandate)</w:t>
      </w:r>
      <w:r w:rsidR="00426150">
        <w:rPr>
          <w:szCs w:val="24"/>
        </w:rPr>
        <w:t>.</w:t>
      </w:r>
      <w:r w:rsidR="009547D0">
        <w:rPr>
          <w:szCs w:val="24"/>
        </w:rPr>
        <w:t xml:space="preserve"> </w:t>
      </w:r>
      <w:r w:rsidR="009547D0">
        <w:rPr>
          <w:color w:val="000000"/>
          <w:shd w:val="clear" w:color="auto" w:fill="FFFFFF"/>
        </w:rPr>
        <w:t>The purpose of the Investment Mandate is to provide a mechanism for the Commonwealth Government to articulate its broad expectations on the functions of the Corporation</w:t>
      </w:r>
      <w:r w:rsidR="000359A4">
        <w:rPr>
          <w:color w:val="000000"/>
          <w:shd w:val="clear" w:color="auto" w:fill="FFFFFF"/>
        </w:rPr>
        <w:t xml:space="preserve"> and</w:t>
      </w:r>
      <w:r w:rsidR="009547D0">
        <w:rPr>
          <w:color w:val="000000"/>
          <w:shd w:val="clear" w:color="auto" w:fill="FFFFFF"/>
        </w:rPr>
        <w:t xml:space="preserve"> how it invests</w:t>
      </w:r>
      <w:r w:rsidR="00E421D1">
        <w:rPr>
          <w:color w:val="000000"/>
          <w:shd w:val="clear" w:color="auto" w:fill="FFFFFF"/>
        </w:rPr>
        <w:t xml:space="preserve"> and engages with risk</w:t>
      </w:r>
      <w:r w:rsidR="009547D0">
        <w:rPr>
          <w:color w:val="000000"/>
          <w:shd w:val="clear" w:color="auto" w:fill="FFFFFF"/>
        </w:rPr>
        <w:t>.</w:t>
      </w:r>
    </w:p>
    <w:p w14:paraId="60F407DE" w14:textId="21F80108" w:rsidR="00511792" w:rsidRDefault="00511792" w:rsidP="00511792">
      <w:pPr>
        <w:spacing w:before="0"/>
      </w:pPr>
      <w:r w:rsidRPr="00431218">
        <w:t>The fol</w:t>
      </w:r>
      <w:r>
        <w:t>lowing statutory pre-</w:t>
      </w:r>
      <w:r w:rsidRPr="00431218">
        <w:t>conditions have been met in relation to the</w:t>
      </w:r>
      <w:r w:rsidR="009F1D79">
        <w:t xml:space="preserve"> Investment</w:t>
      </w:r>
      <w:r w:rsidR="004B7110">
        <w:t> </w:t>
      </w:r>
      <w:r>
        <w:t>Mandate</w:t>
      </w:r>
      <w:r w:rsidRPr="00431218">
        <w:t>:</w:t>
      </w:r>
    </w:p>
    <w:p w14:paraId="0CDEC3DE" w14:textId="424C55F7" w:rsidR="00511792" w:rsidRDefault="00511792" w:rsidP="00511792">
      <w:pPr>
        <w:pStyle w:val="ListBullet"/>
        <w:tabs>
          <w:tab w:val="clear" w:pos="360"/>
          <w:tab w:val="num" w:pos="1080"/>
        </w:tabs>
        <w:ind w:left="811" w:hanging="357"/>
      </w:pPr>
      <w:r>
        <w:t xml:space="preserve">The responsible Ministers </w:t>
      </w:r>
      <w:r w:rsidR="000D323A">
        <w:t xml:space="preserve">have had regard to </w:t>
      </w:r>
      <w:r>
        <w:t>the object of the NRF</w:t>
      </w:r>
      <w:r w:rsidR="00426E3C">
        <w:t>C</w:t>
      </w:r>
      <w:r>
        <w:t xml:space="preserve"> Act, and any other matters they considered relevant, in preparing the </w:t>
      </w:r>
      <w:r w:rsidR="009F1D79">
        <w:t>Investment</w:t>
      </w:r>
      <w:r w:rsidR="004B7110">
        <w:t> </w:t>
      </w:r>
      <w:r>
        <w:t>Mandate.</w:t>
      </w:r>
      <w:r>
        <w:rPr>
          <w:rStyle w:val="FootnoteReference"/>
        </w:rPr>
        <w:footnoteReference w:id="3"/>
      </w:r>
    </w:p>
    <w:p w14:paraId="750426C4" w14:textId="1B638629" w:rsidR="00511792" w:rsidRPr="00511792" w:rsidRDefault="00511792" w:rsidP="00E13C91">
      <w:pPr>
        <w:pStyle w:val="ListBullet"/>
        <w:tabs>
          <w:tab w:val="clear" w:pos="360"/>
          <w:tab w:val="num" w:pos="1080"/>
        </w:tabs>
        <w:spacing w:before="0" w:after="240"/>
        <w:ind w:left="811" w:hanging="357"/>
        <w:rPr>
          <w:szCs w:val="24"/>
        </w:rPr>
      </w:pPr>
      <w:r>
        <w:t xml:space="preserve">The </w:t>
      </w:r>
      <w:r w:rsidR="009F1D79">
        <w:t xml:space="preserve">Investment </w:t>
      </w:r>
      <w:r>
        <w:t>Mandate is consistent with the NRF</w:t>
      </w:r>
      <w:r w:rsidR="00426E3C">
        <w:t>C</w:t>
      </w:r>
      <w:r>
        <w:t xml:space="preserve"> Act and does not directly or indirectly require </w:t>
      </w:r>
      <w:r w:rsidR="000D323A">
        <w:t xml:space="preserve">Corporation </w:t>
      </w:r>
      <w:r w:rsidR="00660F8C">
        <w:t>bodies</w:t>
      </w:r>
      <w:r w:rsidR="000D323A">
        <w:t xml:space="preserve"> </w:t>
      </w:r>
      <w:r>
        <w:t>to make (or not to make) any particular investment.</w:t>
      </w:r>
      <w:r>
        <w:rPr>
          <w:rStyle w:val="FootnoteReference"/>
        </w:rPr>
        <w:footnoteReference w:id="4"/>
      </w:r>
    </w:p>
    <w:bookmarkEnd w:id="2"/>
    <w:p w14:paraId="7CBA6B9C" w14:textId="27C08C5C" w:rsidR="00426150" w:rsidRDefault="00511792" w:rsidP="003A29B4">
      <w:pPr>
        <w:spacing w:before="0" w:after="200"/>
      </w:pPr>
      <w:r>
        <w:t>Further details about t</w:t>
      </w:r>
      <w:r w:rsidR="00520997">
        <w:t>he</w:t>
      </w:r>
      <w:r w:rsidR="00426150" w:rsidRPr="004109D3">
        <w:t xml:space="preserve"> </w:t>
      </w:r>
      <w:r w:rsidR="00E81DFC" w:rsidRPr="004A4E9E">
        <w:rPr>
          <w:i/>
        </w:rPr>
        <w:t xml:space="preserve">National Reconstruction </w:t>
      </w:r>
      <w:r w:rsidR="00B23DA3">
        <w:rPr>
          <w:i/>
        </w:rPr>
        <w:t xml:space="preserve">Fund </w:t>
      </w:r>
      <w:r w:rsidR="00FC5A1B" w:rsidRPr="004A4E9E">
        <w:rPr>
          <w:i/>
        </w:rPr>
        <w:t>Corporation</w:t>
      </w:r>
      <w:r w:rsidR="00E81DFC" w:rsidRPr="004A4E9E">
        <w:rPr>
          <w:i/>
        </w:rPr>
        <w:t xml:space="preserve"> </w:t>
      </w:r>
      <w:r w:rsidR="00A431EF" w:rsidRPr="004A4E9E">
        <w:rPr>
          <w:i/>
        </w:rPr>
        <w:t>(</w:t>
      </w:r>
      <w:r w:rsidR="00E81DFC" w:rsidRPr="004A4E9E">
        <w:rPr>
          <w:i/>
        </w:rPr>
        <w:t>Investment</w:t>
      </w:r>
      <w:r w:rsidR="004B7110">
        <w:rPr>
          <w:i/>
        </w:rPr>
        <w:t> </w:t>
      </w:r>
      <w:r w:rsidR="00E81DFC" w:rsidRPr="004A4E9E">
        <w:rPr>
          <w:i/>
        </w:rPr>
        <w:t>Mandate</w:t>
      </w:r>
      <w:r w:rsidR="00A431EF" w:rsidRPr="004A4E9E">
        <w:rPr>
          <w:i/>
        </w:rPr>
        <w:t>)</w:t>
      </w:r>
      <w:r w:rsidR="00E81DFC" w:rsidRPr="004A4E9E">
        <w:rPr>
          <w:i/>
        </w:rPr>
        <w:t xml:space="preserve"> Direction 2023</w:t>
      </w:r>
      <w:r w:rsidR="00E81DFC">
        <w:t xml:space="preserve"> (</w:t>
      </w:r>
      <w:r w:rsidR="00FB3E09">
        <w:t xml:space="preserve">the </w:t>
      </w:r>
      <w:r w:rsidR="00426150">
        <w:t>Mandate</w:t>
      </w:r>
      <w:r w:rsidR="00E81DFC">
        <w:t>)</w:t>
      </w:r>
      <w:r w:rsidR="00426150">
        <w:t xml:space="preserve"> </w:t>
      </w:r>
      <w:r>
        <w:t>are</w:t>
      </w:r>
      <w:r w:rsidR="00520997" w:rsidRPr="004109D3">
        <w:t xml:space="preserve"> </w:t>
      </w:r>
      <w:r w:rsidR="00426150">
        <w:t>outlined</w:t>
      </w:r>
      <w:r w:rsidR="00426150" w:rsidRPr="004109D3">
        <w:t xml:space="preserve"> in </w:t>
      </w:r>
      <w:r w:rsidR="00426150">
        <w:rPr>
          <w:u w:val="single"/>
        </w:rPr>
        <w:t>Attachment A</w:t>
      </w:r>
      <w:r w:rsidR="00426150">
        <w:t>.</w:t>
      </w:r>
    </w:p>
    <w:p w14:paraId="7D6A97D9" w14:textId="77777777" w:rsidR="00511792" w:rsidRPr="0025502E" w:rsidRDefault="00511792" w:rsidP="00511792">
      <w:pPr>
        <w:spacing w:before="240" w:after="240"/>
        <w:rPr>
          <w:b/>
          <w:szCs w:val="24"/>
          <w:u w:val="single"/>
        </w:rPr>
      </w:pPr>
      <w:r w:rsidRPr="0025502E">
        <w:rPr>
          <w:b/>
          <w:szCs w:val="24"/>
          <w:u w:val="single"/>
        </w:rPr>
        <w:lastRenderedPageBreak/>
        <w:t>Authority</w:t>
      </w:r>
    </w:p>
    <w:p w14:paraId="7D5053E4" w14:textId="340AFDDD" w:rsidR="00511792" w:rsidRPr="0025502E" w:rsidRDefault="00511792" w:rsidP="00511792">
      <w:pPr>
        <w:rPr>
          <w:szCs w:val="24"/>
        </w:rPr>
      </w:pPr>
      <w:r w:rsidRPr="0025502E">
        <w:rPr>
          <w:szCs w:val="24"/>
        </w:rPr>
        <w:t xml:space="preserve">Section </w:t>
      </w:r>
      <w:r>
        <w:rPr>
          <w:szCs w:val="24"/>
        </w:rPr>
        <w:t>71</w:t>
      </w:r>
      <w:r w:rsidRPr="0025502E">
        <w:rPr>
          <w:szCs w:val="24"/>
        </w:rPr>
        <w:t xml:space="preserve"> of the </w:t>
      </w:r>
      <w:r w:rsidR="00D667BC">
        <w:rPr>
          <w:szCs w:val="24"/>
        </w:rPr>
        <w:t xml:space="preserve">NRFC </w:t>
      </w:r>
      <w:r w:rsidRPr="0025502E">
        <w:rPr>
          <w:szCs w:val="24"/>
        </w:rPr>
        <w:t>Act provides authority for the legislative instrument.</w:t>
      </w:r>
      <w:r w:rsidR="005A6C22">
        <w:rPr>
          <w:szCs w:val="24"/>
        </w:rPr>
        <w:t xml:space="preserve"> Section</w:t>
      </w:r>
      <w:r w:rsidR="004B7110">
        <w:rPr>
          <w:szCs w:val="24"/>
        </w:rPr>
        <w:t> </w:t>
      </w:r>
      <w:r w:rsidR="00EA534A">
        <w:rPr>
          <w:szCs w:val="24"/>
        </w:rPr>
        <w:t>74</w:t>
      </w:r>
      <w:r w:rsidR="00A75BB1">
        <w:rPr>
          <w:szCs w:val="24"/>
        </w:rPr>
        <w:t xml:space="preserve"> provides that the Board must take all reasonable steps to </w:t>
      </w:r>
      <w:r w:rsidR="000D323A">
        <w:rPr>
          <w:szCs w:val="24"/>
        </w:rPr>
        <w:t xml:space="preserve">ensure that the Corporation </w:t>
      </w:r>
      <w:r w:rsidR="00432A9B">
        <w:rPr>
          <w:szCs w:val="24"/>
        </w:rPr>
        <w:t xml:space="preserve">bodies </w:t>
      </w:r>
      <w:r w:rsidR="00A75BB1">
        <w:rPr>
          <w:szCs w:val="24"/>
        </w:rPr>
        <w:t>comply with th</w:t>
      </w:r>
      <w:r w:rsidR="00E05A0C">
        <w:rPr>
          <w:szCs w:val="24"/>
        </w:rPr>
        <w:t>e Mandate</w:t>
      </w:r>
      <w:r w:rsidR="00817A9F">
        <w:rPr>
          <w:szCs w:val="24"/>
        </w:rPr>
        <w:t xml:space="preserve">, including the process in the event the Board </w:t>
      </w:r>
      <w:r w:rsidR="000D323A">
        <w:rPr>
          <w:szCs w:val="24"/>
        </w:rPr>
        <w:t xml:space="preserve">becomes aware that the Corporation or a subsidiary has </w:t>
      </w:r>
      <w:r w:rsidR="00817A9F">
        <w:rPr>
          <w:szCs w:val="24"/>
        </w:rPr>
        <w:t>failed to comply.</w:t>
      </w:r>
    </w:p>
    <w:p w14:paraId="6173B6CC" w14:textId="77777777" w:rsidR="00E13C91" w:rsidRDefault="00511792" w:rsidP="003A29B4">
      <w:pPr>
        <w:spacing w:before="0" w:after="200"/>
        <w:rPr>
          <w:b/>
          <w:szCs w:val="24"/>
          <w:u w:val="single"/>
        </w:rPr>
      </w:pPr>
      <w:r w:rsidRPr="0025502E">
        <w:rPr>
          <w:b/>
          <w:szCs w:val="24"/>
          <w:u w:val="single"/>
        </w:rPr>
        <w:t>Consultation</w:t>
      </w:r>
    </w:p>
    <w:p w14:paraId="16BF4C77" w14:textId="4E0197CE" w:rsidR="00426150" w:rsidRDefault="00635A62" w:rsidP="003A29B4">
      <w:pPr>
        <w:spacing w:before="0" w:after="200"/>
      </w:pPr>
      <w:r>
        <w:t>[</w:t>
      </w:r>
      <w:r w:rsidR="00426150" w:rsidRPr="00860892">
        <w:t xml:space="preserve">Pursuant to section </w:t>
      </w:r>
      <w:r w:rsidR="00BD053B" w:rsidRPr="00860892">
        <w:t>73</w:t>
      </w:r>
      <w:r w:rsidR="00846ECE" w:rsidRPr="00860892">
        <w:t xml:space="preserve"> of </w:t>
      </w:r>
      <w:r w:rsidR="006C4EBF" w:rsidRPr="00860892">
        <w:t>the NRF</w:t>
      </w:r>
      <w:r w:rsidR="00426E3C">
        <w:t>C</w:t>
      </w:r>
      <w:r w:rsidR="006C4EBF" w:rsidRPr="00860892">
        <w:t xml:space="preserve"> Act</w:t>
      </w:r>
      <w:r w:rsidR="00426150" w:rsidRPr="00860892">
        <w:t xml:space="preserve">, the responsible Ministers </w:t>
      </w:r>
      <w:r w:rsidR="00DA5E79" w:rsidRPr="00860892">
        <w:t xml:space="preserve">have </w:t>
      </w:r>
      <w:r w:rsidR="00426150" w:rsidRPr="00860892">
        <w:t>consulted the Board during the preparation of the</w:t>
      </w:r>
      <w:r w:rsidR="00024E15" w:rsidRPr="00860892">
        <w:t xml:space="preserve"> </w:t>
      </w:r>
      <w:r w:rsidR="00426150" w:rsidRPr="00860892">
        <w:t>Mandate. The Board’s response, which the Ministers subsequently considered, is tabled and publicly available.</w:t>
      </w:r>
      <w:r>
        <w:t>]</w:t>
      </w:r>
    </w:p>
    <w:p w14:paraId="62E18B35" w14:textId="4B9994FC" w:rsidR="002069E8" w:rsidRPr="007F52EA" w:rsidRDefault="002069E8">
      <w:pPr>
        <w:spacing w:before="240"/>
      </w:pPr>
      <w:r>
        <w:t xml:space="preserve">A consultation paper on the design of the </w:t>
      </w:r>
      <w:r w:rsidR="00883B5F">
        <w:t>Corporation</w:t>
      </w:r>
      <w:r w:rsidR="00E727FC">
        <w:t xml:space="preserve"> </w:t>
      </w:r>
      <w:r>
        <w:t xml:space="preserve">(including the Mandate) was released on 30 </w:t>
      </w:r>
      <w:r w:rsidRPr="007F52EA">
        <w:t>November 2022. Submissions were open to 3</w:t>
      </w:r>
      <w:r w:rsidR="00432A9B">
        <w:t> </w:t>
      </w:r>
      <w:r w:rsidRPr="007F52EA">
        <w:t>February</w:t>
      </w:r>
      <w:r w:rsidR="00304384">
        <w:t xml:space="preserve"> 2023</w:t>
      </w:r>
      <w:r w:rsidRPr="007F52EA">
        <w:t xml:space="preserve">. </w:t>
      </w:r>
      <w:r w:rsidR="007F52EA" w:rsidRPr="007F52EA">
        <w:t xml:space="preserve">More than </w:t>
      </w:r>
      <w:r w:rsidRPr="007F52EA">
        <w:t>2</w:t>
      </w:r>
      <w:r w:rsidR="007F52EA" w:rsidRPr="007F52EA">
        <w:t>50</w:t>
      </w:r>
      <w:r w:rsidRPr="007F52EA">
        <w:t xml:space="preserve"> submissions were received from businesses, peak bodies, financiers, unions, specialist investment vehicles</w:t>
      </w:r>
      <w:r w:rsidR="00097874" w:rsidRPr="007F52EA">
        <w:t xml:space="preserve"> (SIVs)</w:t>
      </w:r>
      <w:r w:rsidRPr="007F52EA">
        <w:t>, all levels of government, and the community.</w:t>
      </w:r>
    </w:p>
    <w:p w14:paraId="5311157D" w14:textId="51EE61D0" w:rsidR="00610C6C" w:rsidRDefault="002069E8">
      <w:pPr>
        <w:spacing w:before="240"/>
      </w:pPr>
      <w:r w:rsidRPr="007F52EA">
        <w:t>Virtual consultations were held throughout December 2022 and January 2023. More than 4</w:t>
      </w:r>
      <w:r w:rsidR="007F52EA" w:rsidRPr="007F52EA">
        <w:t>8</w:t>
      </w:r>
      <w:r w:rsidRPr="007F52EA">
        <w:t xml:space="preserve"> virtual consultations were conducted, and the departments engaged with more than 430 organisations and individuals through roundtables and one-on-one meetings. Consultations included engagement with business and peak industry organisations, unions, financiers, other SIVs, indigenous stakeholders, Regional Development Associations and members of the public.</w:t>
      </w:r>
    </w:p>
    <w:p w14:paraId="44F326D9" w14:textId="2FAE6C98" w:rsidR="008755DE" w:rsidRDefault="00610C6C" w:rsidP="00B63AEE">
      <w:pPr>
        <w:spacing w:before="0"/>
      </w:pPr>
      <w:r>
        <w:t xml:space="preserve">A Reference </w:t>
      </w:r>
      <w:r w:rsidR="00FA0E91">
        <w:t xml:space="preserve">Group </w:t>
      </w:r>
      <w:r>
        <w:t>consisting of industry experts was also consulted on the key parameters in the Mandate.</w:t>
      </w:r>
      <w:r w:rsidR="002069E8">
        <w:t xml:space="preserve"> </w:t>
      </w:r>
    </w:p>
    <w:p w14:paraId="6AD66E36" w14:textId="77777777" w:rsidR="00FC54DA" w:rsidRPr="00FC54DA" w:rsidRDefault="00FC54DA" w:rsidP="00FC54DA">
      <w:pPr>
        <w:shd w:val="clear" w:color="auto" w:fill="FFFFFF"/>
        <w:spacing w:after="240" w:line="280" w:lineRule="atLeast"/>
        <w:rPr>
          <w:rFonts w:ascii="Calibri" w:hAnsi="Calibri" w:cs="Calibri"/>
          <w:color w:val="000000"/>
          <w:sz w:val="22"/>
          <w:szCs w:val="22"/>
        </w:rPr>
      </w:pPr>
      <w:r w:rsidRPr="00FC54DA">
        <w:rPr>
          <w:b/>
          <w:bCs/>
          <w:color w:val="000000"/>
          <w:szCs w:val="24"/>
        </w:rPr>
        <w:t>Regulation Impact Statement</w:t>
      </w:r>
    </w:p>
    <w:p w14:paraId="38611E39" w14:textId="210C4F00" w:rsidR="00FC54DA" w:rsidRDefault="00FC54DA" w:rsidP="00FC54DA">
      <w:pPr>
        <w:rPr>
          <w:szCs w:val="24"/>
        </w:rPr>
      </w:pPr>
      <w:r>
        <w:rPr>
          <w:szCs w:val="24"/>
        </w:rPr>
        <w:t>It is estimated that the regulatory burden is likely to be minor (</w:t>
      </w:r>
      <w:r w:rsidR="00AC2087">
        <w:rPr>
          <w:szCs w:val="24"/>
        </w:rPr>
        <w:t>OIA 23</w:t>
      </w:r>
      <w:r w:rsidR="00AC2087">
        <w:rPr>
          <w:szCs w:val="24"/>
        </w:rPr>
        <w:noBreakHyphen/>
        <w:t>04299)</w:t>
      </w:r>
      <w:r>
        <w:rPr>
          <w:szCs w:val="24"/>
        </w:rPr>
        <w:t xml:space="preserve">. </w:t>
      </w:r>
    </w:p>
    <w:p w14:paraId="559F4F9D" w14:textId="559CE74B" w:rsidR="00FC54DA" w:rsidRDefault="00FC54DA" w:rsidP="00432A9B">
      <w:pPr>
        <w:spacing w:before="0"/>
      </w:pPr>
    </w:p>
    <w:bookmarkEnd w:id="0"/>
    <w:bookmarkEnd w:id="1"/>
    <w:p w14:paraId="334F5708" w14:textId="623C03B4" w:rsidR="00426150" w:rsidRPr="000A0549" w:rsidRDefault="00426150" w:rsidP="000A0549">
      <w:pPr>
        <w:pStyle w:val="ListBullet"/>
        <w:tabs>
          <w:tab w:val="clear" w:pos="360"/>
          <w:tab w:val="num" w:pos="1080"/>
        </w:tabs>
        <w:spacing w:before="0" w:after="240"/>
        <w:ind w:left="811" w:hanging="357"/>
        <w:rPr>
          <w:rFonts w:ascii="Helvetica" w:hAnsi="Helvetica"/>
          <w:b/>
          <w:bCs/>
          <w:kern w:val="28"/>
        </w:rPr>
      </w:pPr>
      <w:r>
        <w:br w:type="page"/>
      </w:r>
    </w:p>
    <w:p w14:paraId="05CAA20E" w14:textId="77777777" w:rsidR="00426150" w:rsidRPr="001550FB" w:rsidRDefault="00426150" w:rsidP="00426150">
      <w:pPr>
        <w:tabs>
          <w:tab w:val="right" w:pos="9072"/>
        </w:tabs>
        <w:spacing w:before="0" w:after="240"/>
        <w:ind w:right="91"/>
        <w:jc w:val="right"/>
        <w:rPr>
          <w:b/>
          <w:u w:val="single"/>
        </w:rPr>
      </w:pPr>
      <w:r w:rsidRPr="001550FB">
        <w:rPr>
          <w:b/>
          <w:u w:val="single"/>
        </w:rPr>
        <w:lastRenderedPageBreak/>
        <w:t>ATTACHMENT</w:t>
      </w:r>
      <w:r>
        <w:rPr>
          <w:b/>
          <w:u w:val="single"/>
        </w:rPr>
        <w:t xml:space="preserve"> A</w:t>
      </w:r>
    </w:p>
    <w:p w14:paraId="49B7A5E3" w14:textId="1DCEC43E" w:rsidR="00426150" w:rsidRPr="004B7110" w:rsidRDefault="00426150" w:rsidP="001040FD">
      <w:pPr>
        <w:keepNext/>
        <w:spacing w:after="240"/>
        <w:outlineLvl w:val="1"/>
        <w:rPr>
          <w:b/>
          <w:i/>
          <w:szCs w:val="24"/>
          <w:u w:val="single"/>
        </w:rPr>
      </w:pPr>
      <w:r w:rsidRPr="004B7110">
        <w:rPr>
          <w:b/>
        </w:rPr>
        <w:t xml:space="preserve">Details of the </w:t>
      </w:r>
      <w:r w:rsidR="009547D0" w:rsidRPr="001040FD">
        <w:rPr>
          <w:b/>
          <w:i/>
        </w:rPr>
        <w:t>National Reconstruction Corporation (Investment Mandate) Direction 2023</w:t>
      </w:r>
    </w:p>
    <w:p w14:paraId="2563D526" w14:textId="42D6D2C2" w:rsidR="00426150" w:rsidRPr="00EC6E28" w:rsidRDefault="009547D0" w:rsidP="00707B4B">
      <w:pPr>
        <w:pStyle w:val="Heading3"/>
        <w:rPr>
          <w:b w:val="0"/>
        </w:rPr>
      </w:pPr>
      <w:r w:rsidRPr="00EC6E28">
        <w:t xml:space="preserve">PART 1 – </w:t>
      </w:r>
      <w:r w:rsidRPr="00707B4B">
        <w:t>PRELIMINARY</w:t>
      </w:r>
    </w:p>
    <w:p w14:paraId="7C7E8078" w14:textId="7195CC9F" w:rsidR="009F1D79" w:rsidRPr="00707B4B" w:rsidRDefault="00426150" w:rsidP="00707B4B">
      <w:pPr>
        <w:pStyle w:val="Heading4"/>
      </w:pPr>
      <w:r w:rsidRPr="00707B4B">
        <w:t>Section 1 – Name</w:t>
      </w:r>
    </w:p>
    <w:p w14:paraId="2BE52A97" w14:textId="1B47FCDA" w:rsidR="00426150" w:rsidRDefault="009547D0" w:rsidP="009547D0">
      <w:pPr>
        <w:spacing w:before="0" w:after="240"/>
        <w:rPr>
          <w:szCs w:val="24"/>
        </w:rPr>
      </w:pPr>
      <w:r w:rsidRPr="006D783D">
        <w:rPr>
          <w:szCs w:val="24"/>
        </w:rPr>
        <w:t>This section specifies</w:t>
      </w:r>
      <w:r w:rsidR="000D323A" w:rsidRPr="006D783D">
        <w:rPr>
          <w:szCs w:val="24"/>
        </w:rPr>
        <w:t xml:space="preserve"> </w:t>
      </w:r>
      <w:r w:rsidRPr="006D783D">
        <w:rPr>
          <w:szCs w:val="24"/>
        </w:rPr>
        <w:t xml:space="preserve">the name of the </w:t>
      </w:r>
      <w:r w:rsidR="00883B5F" w:rsidRPr="001040FD">
        <w:rPr>
          <w:szCs w:val="24"/>
        </w:rPr>
        <w:t>i</w:t>
      </w:r>
      <w:r w:rsidR="00392972" w:rsidRPr="006D783D">
        <w:rPr>
          <w:szCs w:val="24"/>
        </w:rPr>
        <w:t xml:space="preserve">nstrument </w:t>
      </w:r>
      <w:r w:rsidR="006D783D" w:rsidRPr="001040FD">
        <w:rPr>
          <w:szCs w:val="24"/>
        </w:rPr>
        <w:t>as</w:t>
      </w:r>
      <w:r w:rsidR="00426150" w:rsidRPr="006D783D">
        <w:rPr>
          <w:szCs w:val="24"/>
        </w:rPr>
        <w:t xml:space="preserve"> the </w:t>
      </w:r>
      <w:r w:rsidR="00E81DFC" w:rsidRPr="006D783D">
        <w:rPr>
          <w:i/>
        </w:rPr>
        <w:t xml:space="preserve">National Reconstruction </w:t>
      </w:r>
      <w:r w:rsidR="00A52825" w:rsidRPr="006D783D">
        <w:rPr>
          <w:i/>
        </w:rPr>
        <w:t xml:space="preserve">Fund </w:t>
      </w:r>
      <w:r w:rsidR="00FC5A1B" w:rsidRPr="006D783D">
        <w:rPr>
          <w:i/>
        </w:rPr>
        <w:t>Corporation</w:t>
      </w:r>
      <w:r w:rsidR="00426150" w:rsidRPr="006D783D">
        <w:rPr>
          <w:i/>
        </w:rPr>
        <w:t xml:space="preserve"> </w:t>
      </w:r>
      <w:r w:rsidR="00CE66A4" w:rsidRPr="006D783D">
        <w:rPr>
          <w:i/>
        </w:rPr>
        <w:t>(</w:t>
      </w:r>
      <w:r w:rsidR="00426150" w:rsidRPr="006D783D">
        <w:rPr>
          <w:i/>
        </w:rPr>
        <w:t>Investment Mandate</w:t>
      </w:r>
      <w:r w:rsidR="00CE66A4" w:rsidRPr="006D783D">
        <w:rPr>
          <w:i/>
        </w:rPr>
        <w:t>)</w:t>
      </w:r>
      <w:r w:rsidR="00426150" w:rsidRPr="006D783D">
        <w:rPr>
          <w:i/>
        </w:rPr>
        <w:t xml:space="preserve"> Direction </w:t>
      </w:r>
      <w:r w:rsidR="00E81DFC" w:rsidRPr="006D783D">
        <w:rPr>
          <w:i/>
        </w:rPr>
        <w:t>2023</w:t>
      </w:r>
      <w:r w:rsidR="00426150" w:rsidRPr="006D783D">
        <w:rPr>
          <w:szCs w:val="24"/>
        </w:rPr>
        <w:t>.</w:t>
      </w:r>
    </w:p>
    <w:p w14:paraId="76AC0361" w14:textId="0EAF9DE9" w:rsidR="00EB6D66" w:rsidRDefault="007C5C8E" w:rsidP="00426150">
      <w:pPr>
        <w:spacing w:before="0" w:after="240"/>
        <w:rPr>
          <w:szCs w:val="24"/>
        </w:rPr>
      </w:pPr>
      <w:r w:rsidRPr="00714B06">
        <w:rPr>
          <w:szCs w:val="24"/>
        </w:rPr>
        <w:t xml:space="preserve">Section 42 of the </w:t>
      </w:r>
      <w:r w:rsidRPr="00714B06">
        <w:rPr>
          <w:i/>
          <w:iCs/>
          <w:szCs w:val="24"/>
        </w:rPr>
        <w:t>Legislation Act 2003</w:t>
      </w:r>
      <w:r w:rsidRPr="00714B06">
        <w:rPr>
          <w:szCs w:val="24"/>
        </w:rPr>
        <w:t xml:space="preserve"> </w:t>
      </w:r>
      <w:r w:rsidR="00A1708B" w:rsidRPr="00714B06">
        <w:rPr>
          <w:szCs w:val="24"/>
        </w:rPr>
        <w:t xml:space="preserve">(the </w:t>
      </w:r>
      <w:r w:rsidR="00714B06">
        <w:rPr>
          <w:szCs w:val="24"/>
        </w:rPr>
        <w:t xml:space="preserve">Legislation </w:t>
      </w:r>
      <w:r w:rsidR="00A1708B" w:rsidRPr="00714B06">
        <w:rPr>
          <w:szCs w:val="24"/>
        </w:rPr>
        <w:t xml:space="preserve">Act) </w:t>
      </w:r>
      <w:r w:rsidRPr="00714B06">
        <w:rPr>
          <w:szCs w:val="24"/>
        </w:rPr>
        <w:t xml:space="preserve">(which deals with the disallowance of legislative instruments) does not apply to this instrument: </w:t>
      </w:r>
      <w:r w:rsidR="00A1708B" w:rsidRPr="00714B06">
        <w:rPr>
          <w:szCs w:val="24"/>
        </w:rPr>
        <w:t>refer to</w:t>
      </w:r>
      <w:r w:rsidRPr="00714B06">
        <w:rPr>
          <w:szCs w:val="24"/>
        </w:rPr>
        <w:t xml:space="preserve"> section 44 of </w:t>
      </w:r>
      <w:r w:rsidR="00A1708B" w:rsidRPr="00714B06">
        <w:rPr>
          <w:szCs w:val="24"/>
        </w:rPr>
        <w:t>the</w:t>
      </w:r>
      <w:r w:rsidR="00714B06">
        <w:rPr>
          <w:szCs w:val="24"/>
        </w:rPr>
        <w:t xml:space="preserve"> Legislation</w:t>
      </w:r>
      <w:r w:rsidRPr="00714B06">
        <w:rPr>
          <w:szCs w:val="24"/>
        </w:rPr>
        <w:t xml:space="preserve"> Act and section 9 of the </w:t>
      </w:r>
      <w:r w:rsidRPr="00714B06">
        <w:rPr>
          <w:i/>
          <w:iCs/>
          <w:szCs w:val="24"/>
        </w:rPr>
        <w:t>Legislation (Exemptions and Other Matters) Regulation 2015</w:t>
      </w:r>
      <w:r w:rsidRPr="00714B06">
        <w:rPr>
          <w:szCs w:val="24"/>
        </w:rPr>
        <w:t>. Part 6 of th</w:t>
      </w:r>
      <w:r w:rsidR="00A1708B" w:rsidRPr="00714B06">
        <w:rPr>
          <w:szCs w:val="24"/>
        </w:rPr>
        <w:t>e</w:t>
      </w:r>
      <w:r w:rsidR="00714B06">
        <w:rPr>
          <w:szCs w:val="24"/>
        </w:rPr>
        <w:t xml:space="preserve"> Legislation</w:t>
      </w:r>
      <w:r w:rsidRPr="00714B06">
        <w:rPr>
          <w:szCs w:val="24"/>
        </w:rPr>
        <w:t xml:space="preserve"> Act (which deals with the sunsetting of legislative instruments) does not apply to this instrument: </w:t>
      </w:r>
      <w:r w:rsidR="00A1708B" w:rsidRPr="00714B06">
        <w:rPr>
          <w:szCs w:val="24"/>
        </w:rPr>
        <w:t>refer to</w:t>
      </w:r>
      <w:r w:rsidRPr="00714B06">
        <w:rPr>
          <w:szCs w:val="24"/>
        </w:rPr>
        <w:t xml:space="preserve"> section 54 of </w:t>
      </w:r>
      <w:r w:rsidR="00A1708B" w:rsidRPr="00714B06">
        <w:rPr>
          <w:szCs w:val="24"/>
        </w:rPr>
        <w:t>the</w:t>
      </w:r>
      <w:r w:rsidR="00714B06">
        <w:rPr>
          <w:szCs w:val="24"/>
        </w:rPr>
        <w:t xml:space="preserve"> Legislation</w:t>
      </w:r>
      <w:r w:rsidRPr="00714B06">
        <w:rPr>
          <w:szCs w:val="24"/>
        </w:rPr>
        <w:t xml:space="preserve"> Act and section 11 of the </w:t>
      </w:r>
      <w:r w:rsidRPr="00714B06">
        <w:rPr>
          <w:i/>
          <w:iCs/>
          <w:szCs w:val="24"/>
        </w:rPr>
        <w:t>Legislation (Exemptions and Other Matters) Regulation 2015</w:t>
      </w:r>
      <w:r w:rsidR="00EB6D66" w:rsidRPr="00714B06">
        <w:rPr>
          <w:szCs w:val="24"/>
        </w:rPr>
        <w:t>.</w:t>
      </w:r>
    </w:p>
    <w:p w14:paraId="2E3107DC" w14:textId="60690D3D" w:rsidR="00D85494" w:rsidRDefault="00E12735" w:rsidP="00E12735">
      <w:pPr>
        <w:spacing w:before="0" w:after="240"/>
        <w:rPr>
          <w:szCs w:val="24"/>
        </w:rPr>
      </w:pPr>
      <w:r w:rsidRPr="00E12735">
        <w:rPr>
          <w:szCs w:val="24"/>
        </w:rPr>
        <w:t xml:space="preserve">It is appropriate for the Mandate to not be subject to disallowance. Making the instrument subject to disallowance would introduce significant operational uncertainty for the Corporation and would be inconsistent with like instruments for other entities, including the Clean Energy Finance Corporation </w:t>
      </w:r>
      <w:r w:rsidR="00A33354">
        <w:rPr>
          <w:szCs w:val="24"/>
        </w:rPr>
        <w:t>(CEFC)</w:t>
      </w:r>
      <w:r w:rsidRPr="00E12735">
        <w:rPr>
          <w:szCs w:val="24"/>
        </w:rPr>
        <w:t>and the Northern</w:t>
      </w:r>
      <w:r w:rsidR="00A1708B">
        <w:rPr>
          <w:szCs w:val="24"/>
        </w:rPr>
        <w:t> </w:t>
      </w:r>
      <w:r w:rsidRPr="00E12735">
        <w:rPr>
          <w:szCs w:val="24"/>
        </w:rPr>
        <w:t>Australia Infrastructure Facility</w:t>
      </w:r>
      <w:r w:rsidR="00A33354">
        <w:rPr>
          <w:szCs w:val="24"/>
        </w:rPr>
        <w:t xml:space="preserve"> (NAIF)</w:t>
      </w:r>
      <w:r w:rsidRPr="00E12735">
        <w:rPr>
          <w:szCs w:val="24"/>
        </w:rPr>
        <w:t>.</w:t>
      </w:r>
      <w:r w:rsidR="00DD1DB6">
        <w:rPr>
          <w:szCs w:val="24"/>
        </w:rPr>
        <w:t xml:space="preserve"> </w:t>
      </w:r>
    </w:p>
    <w:p w14:paraId="119FA7F2" w14:textId="77777777" w:rsidR="00426150" w:rsidRPr="00FC52C4" w:rsidRDefault="00426150" w:rsidP="00707B4B">
      <w:pPr>
        <w:pStyle w:val="Heading4"/>
      </w:pPr>
      <w:r w:rsidRPr="00FC52C4">
        <w:t>Section 2 – Commencement</w:t>
      </w:r>
    </w:p>
    <w:p w14:paraId="00008950" w14:textId="33BBEDAB" w:rsidR="0045701F" w:rsidRPr="003A612B" w:rsidRDefault="00426150" w:rsidP="00C53283">
      <w:pPr>
        <w:spacing w:before="0" w:after="240"/>
        <w:rPr>
          <w:szCs w:val="24"/>
        </w:rPr>
      </w:pPr>
      <w:r>
        <w:rPr>
          <w:szCs w:val="24"/>
        </w:rPr>
        <w:t>Section 2</w:t>
      </w:r>
      <w:r w:rsidRPr="00FC52C4">
        <w:rPr>
          <w:szCs w:val="24"/>
        </w:rPr>
        <w:t xml:space="preserve"> </w:t>
      </w:r>
      <w:r>
        <w:rPr>
          <w:szCs w:val="24"/>
        </w:rPr>
        <w:t>provides</w:t>
      </w:r>
      <w:r w:rsidR="006D308D">
        <w:rPr>
          <w:szCs w:val="24"/>
        </w:rPr>
        <w:t xml:space="preserve"> that the</w:t>
      </w:r>
      <w:r w:rsidR="00FD74C6">
        <w:rPr>
          <w:szCs w:val="24"/>
        </w:rPr>
        <w:t xml:space="preserve"> provisions set out in the</w:t>
      </w:r>
      <w:r w:rsidR="000F13A1">
        <w:rPr>
          <w:szCs w:val="24"/>
        </w:rPr>
        <w:t xml:space="preserve"> </w:t>
      </w:r>
      <w:r w:rsidR="00FD74C6">
        <w:rPr>
          <w:szCs w:val="24"/>
        </w:rPr>
        <w:t>Mandate</w:t>
      </w:r>
      <w:r>
        <w:rPr>
          <w:szCs w:val="24"/>
        </w:rPr>
        <w:t xml:space="preserve"> </w:t>
      </w:r>
      <w:r w:rsidR="00FD74C6">
        <w:rPr>
          <w:szCs w:val="24"/>
        </w:rPr>
        <w:t>commence</w:t>
      </w:r>
      <w:r>
        <w:rPr>
          <w:szCs w:val="24"/>
        </w:rPr>
        <w:t xml:space="preserve"> </w:t>
      </w:r>
      <w:r w:rsidR="00A1708B">
        <w:rPr>
          <w:szCs w:val="24"/>
        </w:rPr>
        <w:t xml:space="preserve">on </w:t>
      </w:r>
      <w:r>
        <w:rPr>
          <w:szCs w:val="24"/>
        </w:rPr>
        <w:t xml:space="preserve">the day after </w:t>
      </w:r>
      <w:r w:rsidR="00432A9B">
        <w:rPr>
          <w:szCs w:val="24"/>
        </w:rPr>
        <w:t xml:space="preserve">it is </w:t>
      </w:r>
      <w:r>
        <w:rPr>
          <w:szCs w:val="24"/>
        </w:rPr>
        <w:t>registered</w:t>
      </w:r>
      <w:r w:rsidR="00432A9B">
        <w:rPr>
          <w:szCs w:val="24"/>
        </w:rPr>
        <w:t xml:space="preserve"> on the Federal Register of Legislation</w:t>
      </w:r>
      <w:r>
        <w:rPr>
          <w:szCs w:val="24"/>
        </w:rPr>
        <w:t>.</w:t>
      </w:r>
      <w:r w:rsidR="00FD74C6">
        <w:rPr>
          <w:szCs w:val="24"/>
        </w:rPr>
        <w:t xml:space="preserve"> </w:t>
      </w:r>
    </w:p>
    <w:p w14:paraId="0E9F0338" w14:textId="77777777" w:rsidR="00426150" w:rsidRPr="001C68D5" w:rsidRDefault="00426150" w:rsidP="00707B4B">
      <w:pPr>
        <w:pStyle w:val="Heading4"/>
      </w:pPr>
      <w:r w:rsidRPr="00286CC0">
        <w:t>Section 3 – Authority</w:t>
      </w:r>
    </w:p>
    <w:p w14:paraId="054B2F59" w14:textId="2E6CEEA7" w:rsidR="00426150" w:rsidRPr="001C68D5" w:rsidRDefault="00426150" w:rsidP="00426150">
      <w:pPr>
        <w:spacing w:before="0" w:after="240"/>
        <w:ind w:right="91"/>
        <w:rPr>
          <w:i/>
          <w:szCs w:val="24"/>
        </w:rPr>
      </w:pPr>
      <w:r>
        <w:rPr>
          <w:szCs w:val="24"/>
        </w:rPr>
        <w:t>Section 3 provides</w:t>
      </w:r>
      <w:r w:rsidRPr="00D33F05">
        <w:rPr>
          <w:szCs w:val="24"/>
        </w:rPr>
        <w:t xml:space="preserve"> that the </w:t>
      </w:r>
      <w:r>
        <w:rPr>
          <w:szCs w:val="24"/>
        </w:rPr>
        <w:t xml:space="preserve">Mandate </w:t>
      </w:r>
      <w:r w:rsidRPr="00FC52C4">
        <w:rPr>
          <w:szCs w:val="24"/>
        </w:rPr>
        <w:t xml:space="preserve">is made under </w:t>
      </w:r>
      <w:r>
        <w:rPr>
          <w:szCs w:val="24"/>
        </w:rPr>
        <w:t xml:space="preserve">subsection </w:t>
      </w:r>
      <w:r w:rsidR="00A52825" w:rsidRPr="00B50B18">
        <w:rPr>
          <w:szCs w:val="24"/>
        </w:rPr>
        <w:t>71</w:t>
      </w:r>
      <w:r w:rsidR="00E81DFC" w:rsidRPr="00B50B18">
        <w:rPr>
          <w:szCs w:val="24"/>
        </w:rPr>
        <w:t>(</w:t>
      </w:r>
      <w:r w:rsidR="00A52825" w:rsidRPr="00B50B18">
        <w:rPr>
          <w:szCs w:val="24"/>
        </w:rPr>
        <w:t>1</w:t>
      </w:r>
      <w:r w:rsidRPr="00B50B18">
        <w:rPr>
          <w:szCs w:val="24"/>
        </w:rPr>
        <w:t>)</w:t>
      </w:r>
      <w:r>
        <w:rPr>
          <w:szCs w:val="24"/>
        </w:rPr>
        <w:t xml:space="preserve"> of </w:t>
      </w:r>
      <w:r w:rsidR="006C4EBF">
        <w:rPr>
          <w:szCs w:val="24"/>
        </w:rPr>
        <w:t>the NRF</w:t>
      </w:r>
      <w:r w:rsidR="00426E3C">
        <w:rPr>
          <w:szCs w:val="24"/>
        </w:rPr>
        <w:t>C</w:t>
      </w:r>
      <w:r w:rsidR="00A1708B">
        <w:rPr>
          <w:szCs w:val="24"/>
        </w:rPr>
        <w:t> </w:t>
      </w:r>
      <w:r w:rsidR="006C4EBF">
        <w:rPr>
          <w:szCs w:val="24"/>
        </w:rPr>
        <w:t>Act</w:t>
      </w:r>
      <w:r>
        <w:rPr>
          <w:szCs w:val="24"/>
        </w:rPr>
        <w:t>.</w:t>
      </w:r>
    </w:p>
    <w:p w14:paraId="3365671F" w14:textId="2F522428" w:rsidR="00426150" w:rsidRPr="00FC52C4" w:rsidRDefault="00426150" w:rsidP="00707B4B">
      <w:pPr>
        <w:pStyle w:val="Heading4"/>
      </w:pPr>
      <w:r>
        <w:t xml:space="preserve">Section </w:t>
      </w:r>
      <w:r w:rsidR="00E75286">
        <w:t>4</w:t>
      </w:r>
      <w:r w:rsidRPr="00D33F05">
        <w:t xml:space="preserve"> – </w:t>
      </w:r>
      <w:r w:rsidR="00E75286">
        <w:t>Object</w:t>
      </w:r>
    </w:p>
    <w:p w14:paraId="48FADA87" w14:textId="2818FA17" w:rsidR="00F676AD" w:rsidRDefault="00426150" w:rsidP="00F676AD">
      <w:pPr>
        <w:spacing w:before="0" w:after="240"/>
        <w:rPr>
          <w:szCs w:val="24"/>
        </w:rPr>
      </w:pPr>
      <w:r>
        <w:rPr>
          <w:szCs w:val="24"/>
        </w:rPr>
        <w:t xml:space="preserve">Section </w:t>
      </w:r>
      <w:r w:rsidR="00E75286">
        <w:rPr>
          <w:szCs w:val="24"/>
        </w:rPr>
        <w:t>4</w:t>
      </w:r>
      <w:r w:rsidRPr="00FC52C4">
        <w:rPr>
          <w:szCs w:val="24"/>
        </w:rPr>
        <w:t xml:space="preserve"> </w:t>
      </w:r>
      <w:r w:rsidR="004B0C11">
        <w:rPr>
          <w:szCs w:val="24"/>
        </w:rPr>
        <w:t>sets out</w:t>
      </w:r>
      <w:r w:rsidR="002C0E9B">
        <w:rPr>
          <w:szCs w:val="24"/>
        </w:rPr>
        <w:t xml:space="preserve"> that</w:t>
      </w:r>
      <w:r w:rsidR="004B0C11">
        <w:rPr>
          <w:szCs w:val="24"/>
        </w:rPr>
        <w:t xml:space="preserve"> the object of the instrument </w:t>
      </w:r>
      <w:r w:rsidR="002C0E9B">
        <w:rPr>
          <w:szCs w:val="24"/>
        </w:rPr>
        <w:t xml:space="preserve">is </w:t>
      </w:r>
      <w:r w:rsidR="004B0C11">
        <w:rPr>
          <w:szCs w:val="24"/>
        </w:rPr>
        <w:t xml:space="preserve">to ensure </w:t>
      </w:r>
      <w:r w:rsidR="00F676AD" w:rsidRPr="00F676AD">
        <w:rPr>
          <w:szCs w:val="24"/>
        </w:rPr>
        <w:t xml:space="preserve">that the </w:t>
      </w:r>
      <w:r w:rsidR="005D1F78">
        <w:rPr>
          <w:szCs w:val="24"/>
        </w:rPr>
        <w:t>Board</w:t>
      </w:r>
      <w:r w:rsidR="00F676AD" w:rsidRPr="00F676AD">
        <w:rPr>
          <w:szCs w:val="24"/>
        </w:rPr>
        <w:t xml:space="preserve"> performs the Corporation’s investment functions and exercises the Corporation’s investment powers</w:t>
      </w:r>
      <w:r w:rsidR="004B0C11">
        <w:rPr>
          <w:szCs w:val="24"/>
        </w:rPr>
        <w:t xml:space="preserve"> in a commercial manner </w:t>
      </w:r>
      <w:r w:rsidR="003E5ABC" w:rsidRPr="003E5ABC">
        <w:rPr>
          <w:szCs w:val="24"/>
        </w:rPr>
        <w:t>to deliver a positive return to the Australian</w:t>
      </w:r>
      <w:r w:rsidR="00A1708B">
        <w:rPr>
          <w:szCs w:val="24"/>
        </w:rPr>
        <w:t> </w:t>
      </w:r>
      <w:r w:rsidR="003E5ABC" w:rsidRPr="003E5ABC">
        <w:rPr>
          <w:szCs w:val="24"/>
        </w:rPr>
        <w:t xml:space="preserve">Government over time </w:t>
      </w:r>
      <w:r w:rsidR="003E5ABC">
        <w:rPr>
          <w:szCs w:val="24"/>
        </w:rPr>
        <w:t>and</w:t>
      </w:r>
      <w:r w:rsidR="004B0C11">
        <w:rPr>
          <w:szCs w:val="24"/>
        </w:rPr>
        <w:t xml:space="preserve"> </w:t>
      </w:r>
      <w:r w:rsidR="003E5ABC">
        <w:rPr>
          <w:szCs w:val="24"/>
        </w:rPr>
        <w:t xml:space="preserve">so as </w:t>
      </w:r>
      <w:r w:rsidR="004B0C11">
        <w:rPr>
          <w:szCs w:val="24"/>
        </w:rPr>
        <w:t xml:space="preserve">to </w:t>
      </w:r>
      <w:r w:rsidR="00DF69B2">
        <w:rPr>
          <w:szCs w:val="24"/>
        </w:rPr>
        <w:t xml:space="preserve">invest to support, </w:t>
      </w:r>
      <w:r w:rsidR="004B0C11">
        <w:rPr>
          <w:szCs w:val="24"/>
        </w:rPr>
        <w:t>diversify and transform Australia</w:t>
      </w:r>
      <w:r w:rsidR="00BA628A">
        <w:rPr>
          <w:szCs w:val="24"/>
        </w:rPr>
        <w:t>’s</w:t>
      </w:r>
      <w:r w:rsidR="004B0C11">
        <w:rPr>
          <w:szCs w:val="24"/>
        </w:rPr>
        <w:t xml:space="preserve"> industry and economy</w:t>
      </w:r>
      <w:r w:rsidR="004B0C11" w:rsidRPr="00EA2C74">
        <w:rPr>
          <w:szCs w:val="24"/>
        </w:rPr>
        <w:t>.</w:t>
      </w:r>
    </w:p>
    <w:p w14:paraId="5431E9BA" w14:textId="2D03A88F" w:rsidR="00426150" w:rsidRDefault="005D1F78" w:rsidP="00F676AD">
      <w:pPr>
        <w:spacing w:before="0" w:after="240"/>
        <w:rPr>
          <w:szCs w:val="24"/>
        </w:rPr>
      </w:pPr>
      <w:r w:rsidRPr="005D1F78">
        <w:rPr>
          <w:szCs w:val="24"/>
        </w:rPr>
        <w:t xml:space="preserve">By </w:t>
      </w:r>
      <w:r w:rsidR="004B0C11">
        <w:rPr>
          <w:szCs w:val="24"/>
        </w:rPr>
        <w:t>requiring it to operate in a commercial manner</w:t>
      </w:r>
      <w:r w:rsidRPr="005D1F78">
        <w:rPr>
          <w:szCs w:val="24"/>
        </w:rPr>
        <w:t xml:space="preserve">, the Corporation will </w:t>
      </w:r>
      <w:r w:rsidR="00393831">
        <w:rPr>
          <w:szCs w:val="24"/>
        </w:rPr>
        <w:t xml:space="preserve">need to </w:t>
      </w:r>
      <w:r w:rsidRPr="005D1F78">
        <w:rPr>
          <w:szCs w:val="24"/>
        </w:rPr>
        <w:t xml:space="preserve">invest responsibly and manage </w:t>
      </w:r>
      <w:r w:rsidR="00996130" w:rsidRPr="005D1F78">
        <w:rPr>
          <w:szCs w:val="24"/>
        </w:rPr>
        <w:t>risk</w:t>
      </w:r>
      <w:r w:rsidR="00393831">
        <w:rPr>
          <w:szCs w:val="24"/>
        </w:rPr>
        <w:t xml:space="preserve"> such that</w:t>
      </w:r>
      <w:r w:rsidRPr="005D1F78">
        <w:rPr>
          <w:szCs w:val="24"/>
        </w:rPr>
        <w:t xml:space="preserve"> </w:t>
      </w:r>
      <w:r w:rsidRPr="00BD453D">
        <w:rPr>
          <w:szCs w:val="24"/>
        </w:rPr>
        <w:t>it is financially</w:t>
      </w:r>
      <w:r w:rsidRPr="005D1F78">
        <w:rPr>
          <w:szCs w:val="24"/>
        </w:rPr>
        <w:t xml:space="preserve"> self-sufficient and achieves the </w:t>
      </w:r>
      <w:r w:rsidR="004B0C11">
        <w:rPr>
          <w:szCs w:val="24"/>
        </w:rPr>
        <w:t>p</w:t>
      </w:r>
      <w:r w:rsidRPr="005D1F78">
        <w:rPr>
          <w:szCs w:val="24"/>
        </w:rPr>
        <w:t xml:space="preserve">ortfolio </w:t>
      </w:r>
      <w:r w:rsidR="004B0C11">
        <w:rPr>
          <w:szCs w:val="24"/>
        </w:rPr>
        <w:t>b</w:t>
      </w:r>
      <w:r w:rsidRPr="005D1F78">
        <w:rPr>
          <w:szCs w:val="24"/>
        </w:rPr>
        <w:t xml:space="preserve">enchmark </w:t>
      </w:r>
      <w:r w:rsidR="004B0C11">
        <w:rPr>
          <w:szCs w:val="24"/>
        </w:rPr>
        <w:t>r</w:t>
      </w:r>
      <w:r w:rsidRPr="005D1F78">
        <w:rPr>
          <w:szCs w:val="24"/>
        </w:rPr>
        <w:t>eturn</w:t>
      </w:r>
      <w:r w:rsidR="003E5ABC">
        <w:rPr>
          <w:szCs w:val="24"/>
        </w:rPr>
        <w:t xml:space="preserve"> (see section 8</w:t>
      </w:r>
      <w:r w:rsidR="0095744D">
        <w:rPr>
          <w:szCs w:val="24"/>
        </w:rPr>
        <w:t xml:space="preserve"> of the Mandate</w:t>
      </w:r>
      <w:r w:rsidR="003E5ABC">
        <w:rPr>
          <w:szCs w:val="24"/>
        </w:rPr>
        <w:t>)</w:t>
      </w:r>
      <w:r w:rsidR="004B0C11">
        <w:rPr>
          <w:szCs w:val="24"/>
        </w:rPr>
        <w:t>.</w:t>
      </w:r>
      <w:r w:rsidR="001F1D48">
        <w:rPr>
          <w:szCs w:val="24"/>
        </w:rPr>
        <w:t xml:space="preserve"> </w:t>
      </w:r>
      <w:r w:rsidR="001F1D48" w:rsidRPr="001F1D48">
        <w:rPr>
          <w:szCs w:val="24"/>
        </w:rPr>
        <w:t>As th</w:t>
      </w:r>
      <w:r w:rsidR="002C0E9B">
        <w:rPr>
          <w:szCs w:val="24"/>
        </w:rPr>
        <w:t>e Corporation will not award</w:t>
      </w:r>
      <w:r w:rsidR="001F1D48" w:rsidRPr="001F1D48">
        <w:rPr>
          <w:szCs w:val="24"/>
        </w:rPr>
        <w:t xml:space="preserve"> grants, the Corporation’s investments must be made with an expectation of </w:t>
      </w:r>
      <w:r w:rsidR="002A459B">
        <w:rPr>
          <w:szCs w:val="24"/>
        </w:rPr>
        <w:t>financial return</w:t>
      </w:r>
      <w:r w:rsidR="001F1D48" w:rsidRPr="001F1D48">
        <w:rPr>
          <w:szCs w:val="24"/>
        </w:rPr>
        <w:t>.</w:t>
      </w:r>
      <w:r w:rsidR="00920CF3">
        <w:rPr>
          <w:szCs w:val="24"/>
        </w:rPr>
        <w:t xml:space="preserve"> </w:t>
      </w:r>
    </w:p>
    <w:p w14:paraId="770119D5" w14:textId="77777777" w:rsidR="00247EC4" w:rsidRDefault="00247EC4">
      <w:pPr>
        <w:spacing w:before="0" w:after="0"/>
        <w:rPr>
          <w:szCs w:val="24"/>
          <w:u w:val="single"/>
        </w:rPr>
      </w:pPr>
      <w:r>
        <w:br w:type="page"/>
      </w:r>
    </w:p>
    <w:p w14:paraId="47C41BE5" w14:textId="08D88F60" w:rsidR="004E260F" w:rsidRDefault="004E260F" w:rsidP="004E260F">
      <w:pPr>
        <w:pStyle w:val="Heading4"/>
      </w:pPr>
      <w:r w:rsidRPr="004E260F">
        <w:lastRenderedPageBreak/>
        <w:t xml:space="preserve">Section 5 – Simplified outline of this </w:t>
      </w:r>
      <w:r w:rsidR="00F53FCC">
        <w:t>i</w:t>
      </w:r>
      <w:r w:rsidRPr="004E260F">
        <w:t>nstrument</w:t>
      </w:r>
    </w:p>
    <w:p w14:paraId="2BB2B686" w14:textId="6320A5D6" w:rsidR="004E260F" w:rsidRPr="00F53FCC" w:rsidRDefault="00F53FCC" w:rsidP="00F53FCC">
      <w:pPr>
        <w:spacing w:before="0" w:after="240"/>
        <w:rPr>
          <w:szCs w:val="24"/>
        </w:rPr>
      </w:pPr>
      <w:r w:rsidRPr="00F53FCC">
        <w:rPr>
          <w:szCs w:val="24"/>
        </w:rPr>
        <w:t>The simplified outline of the Mandate is included to assist readers in understanding the substantive provisions. It is not intended to be comprehensive and readers should rely on the substantive provisions.</w:t>
      </w:r>
    </w:p>
    <w:p w14:paraId="196C753F" w14:textId="1337D686" w:rsidR="00F53FCC" w:rsidRDefault="00F53FCC" w:rsidP="00F53FCC">
      <w:pPr>
        <w:pStyle w:val="Heading4"/>
      </w:pPr>
      <w:r>
        <w:t>Section 6 – Definitions</w:t>
      </w:r>
    </w:p>
    <w:p w14:paraId="10B2C7F1" w14:textId="1ECFF83F" w:rsidR="00520997" w:rsidRDefault="0015276B" w:rsidP="0015276B">
      <w:pPr>
        <w:pStyle w:val="NormalWeb"/>
      </w:pPr>
      <w:r>
        <w:t xml:space="preserve">This section provides definitions of terms used in the instrument. </w:t>
      </w:r>
      <w:r w:rsidR="00520997" w:rsidRPr="00520997">
        <w:t>Although these definitions are largely self-explanatory, the following point</w:t>
      </w:r>
      <w:r w:rsidR="00520997">
        <w:t>s</w:t>
      </w:r>
      <w:r w:rsidR="00520997" w:rsidRPr="00520997">
        <w:t xml:space="preserve"> should be noted</w:t>
      </w:r>
      <w:r w:rsidR="00520997">
        <w:t xml:space="preserve"> in particular:</w:t>
      </w:r>
    </w:p>
    <w:p w14:paraId="762647BC" w14:textId="38869649" w:rsidR="00A07E36" w:rsidRDefault="00520997" w:rsidP="00520997">
      <w:pPr>
        <w:pStyle w:val="NormalWeb"/>
        <w:numPr>
          <w:ilvl w:val="0"/>
          <w:numId w:val="20"/>
        </w:numPr>
      </w:pPr>
      <w:r>
        <w:t>“</w:t>
      </w:r>
      <w:r w:rsidR="00CA3640">
        <w:t>I</w:t>
      </w:r>
      <w:r>
        <w:t>nvestment practices”</w:t>
      </w:r>
      <w:r w:rsidR="00CA3640">
        <w:t xml:space="preserve"> is defined in the Mandate, and used in this Explanatory Statement, to</w:t>
      </w:r>
      <w:r>
        <w:t xml:space="preserve"> mean the exercise of the Corporation’s investment powers and performance of the Corporation’s investment functions. </w:t>
      </w:r>
    </w:p>
    <w:p w14:paraId="2BD769EB" w14:textId="77777777" w:rsidR="00520997" w:rsidRDefault="00520997" w:rsidP="0015276B">
      <w:pPr>
        <w:pStyle w:val="NormalWeb"/>
        <w:numPr>
          <w:ilvl w:val="0"/>
          <w:numId w:val="20"/>
        </w:numPr>
      </w:pPr>
      <w:r>
        <w:t xml:space="preserve">The calculation of the Corporation’s “portfolio benchmark return” is described in section 8 of this Explanatory Statement. </w:t>
      </w:r>
    </w:p>
    <w:p w14:paraId="54E8A4B0" w14:textId="41930FE3" w:rsidR="0015276B" w:rsidRDefault="00A07E36" w:rsidP="001B6CF3">
      <w:pPr>
        <w:pStyle w:val="NormalWeb"/>
        <w:numPr>
          <w:ilvl w:val="0"/>
          <w:numId w:val="20"/>
        </w:numPr>
      </w:pPr>
      <w:r>
        <w:t>F</w:t>
      </w:r>
      <w:r w:rsidR="0015276B">
        <w:t xml:space="preserve">urther terms used in this Explanatory Statement </w:t>
      </w:r>
      <w:r w:rsidR="00520997">
        <w:t xml:space="preserve">are </w:t>
      </w:r>
      <w:r w:rsidR="0015276B">
        <w:t>explained in footnotes</w:t>
      </w:r>
      <w:r w:rsidR="00520997">
        <w:t xml:space="preserve"> where appropriate</w:t>
      </w:r>
      <w:r w:rsidR="0015276B">
        <w:t>.</w:t>
      </w:r>
    </w:p>
    <w:p w14:paraId="19E059C4" w14:textId="5A181977" w:rsidR="00426150" w:rsidRPr="00A5107C" w:rsidRDefault="00426150" w:rsidP="00707B4B">
      <w:pPr>
        <w:pStyle w:val="Heading3"/>
      </w:pPr>
      <w:r>
        <w:t>P</w:t>
      </w:r>
      <w:r w:rsidR="00A5107C">
        <w:t>ART</w:t>
      </w:r>
      <w:r>
        <w:t xml:space="preserve"> 2</w:t>
      </w:r>
      <w:r w:rsidRPr="00EC6E28">
        <w:t xml:space="preserve"> – </w:t>
      </w:r>
      <w:r>
        <w:t>D</w:t>
      </w:r>
      <w:r w:rsidR="00A5107C">
        <w:t>IRECTION</w:t>
      </w:r>
      <w:r w:rsidR="0083122B">
        <w:t>S</w:t>
      </w:r>
    </w:p>
    <w:p w14:paraId="43B377B2" w14:textId="0208697D" w:rsidR="00C6001C" w:rsidRDefault="00C6001C" w:rsidP="00707B4B">
      <w:pPr>
        <w:pStyle w:val="Heading4"/>
      </w:pPr>
      <w:r>
        <w:t xml:space="preserve">Section </w:t>
      </w:r>
      <w:r w:rsidR="00867243">
        <w:t>7</w:t>
      </w:r>
      <w:r>
        <w:t xml:space="preserve"> – Introduction </w:t>
      </w:r>
    </w:p>
    <w:p w14:paraId="41B5EBBC" w14:textId="4E44FC76" w:rsidR="00A220C5" w:rsidRDefault="00BF136D" w:rsidP="004E5FE8">
      <w:pPr>
        <w:spacing w:before="0" w:after="240"/>
        <w:rPr>
          <w:szCs w:val="24"/>
        </w:rPr>
      </w:pPr>
      <w:r>
        <w:rPr>
          <w:szCs w:val="24"/>
        </w:rPr>
        <w:t xml:space="preserve">Section </w:t>
      </w:r>
      <w:r w:rsidR="00595E4D">
        <w:rPr>
          <w:szCs w:val="24"/>
        </w:rPr>
        <w:t xml:space="preserve">7 </w:t>
      </w:r>
      <w:proofErr w:type="gramStart"/>
      <w:r>
        <w:rPr>
          <w:szCs w:val="24"/>
        </w:rPr>
        <w:t xml:space="preserve">provides an introduction </w:t>
      </w:r>
      <w:r w:rsidR="00495F7B">
        <w:rPr>
          <w:szCs w:val="24"/>
        </w:rPr>
        <w:t>to</w:t>
      </w:r>
      <w:proofErr w:type="gramEnd"/>
      <w:r w:rsidR="00495F7B">
        <w:rPr>
          <w:szCs w:val="24"/>
        </w:rPr>
        <w:t xml:space="preserve"> Part 2, </w:t>
      </w:r>
      <w:r w:rsidR="00495F7B" w:rsidRPr="00495F7B">
        <w:rPr>
          <w:szCs w:val="24"/>
        </w:rPr>
        <w:t xml:space="preserve">setting out the Government’s </w:t>
      </w:r>
      <w:r w:rsidR="002A459B">
        <w:rPr>
          <w:szCs w:val="24"/>
        </w:rPr>
        <w:t xml:space="preserve">broad </w:t>
      </w:r>
      <w:r w:rsidR="00495F7B" w:rsidRPr="00495F7B">
        <w:rPr>
          <w:szCs w:val="24"/>
        </w:rPr>
        <w:t>expectations regarding how the Corporation should interpret the directions that follow in this part of the Mandate</w:t>
      </w:r>
      <w:r w:rsidR="00A10AAC">
        <w:rPr>
          <w:szCs w:val="24"/>
        </w:rPr>
        <w:t>.</w:t>
      </w:r>
      <w:r w:rsidR="00DA7781">
        <w:rPr>
          <w:szCs w:val="24"/>
        </w:rPr>
        <w:t xml:space="preserve"> </w:t>
      </w:r>
      <w:r w:rsidR="00195758">
        <w:rPr>
          <w:szCs w:val="24"/>
        </w:rPr>
        <w:t xml:space="preserve">Section 7 </w:t>
      </w:r>
      <w:r w:rsidR="0083122B">
        <w:rPr>
          <w:szCs w:val="24"/>
        </w:rPr>
        <w:t xml:space="preserve">is not a direction. </w:t>
      </w:r>
      <w:r w:rsidR="00B90CC9">
        <w:rPr>
          <w:szCs w:val="24"/>
        </w:rPr>
        <w:t xml:space="preserve">It </w:t>
      </w:r>
      <w:r w:rsidR="00867243">
        <w:rPr>
          <w:szCs w:val="24"/>
        </w:rPr>
        <w:t xml:space="preserve">sets out </w:t>
      </w:r>
      <w:r w:rsidR="00B90CC9">
        <w:rPr>
          <w:szCs w:val="24"/>
        </w:rPr>
        <w:t>that th</w:t>
      </w:r>
      <w:r w:rsidR="00990BD4">
        <w:rPr>
          <w:szCs w:val="24"/>
        </w:rPr>
        <w:t xml:space="preserve">e </w:t>
      </w:r>
      <w:r w:rsidR="007C71D8">
        <w:rPr>
          <w:szCs w:val="24"/>
        </w:rPr>
        <w:t>Corporation</w:t>
      </w:r>
      <w:r w:rsidR="009D5424" w:rsidRPr="004E5FE8">
        <w:rPr>
          <w:szCs w:val="24"/>
        </w:rPr>
        <w:t xml:space="preserve"> </w:t>
      </w:r>
      <w:r w:rsidR="00990BD4">
        <w:rPr>
          <w:szCs w:val="24"/>
        </w:rPr>
        <w:t>is expected to</w:t>
      </w:r>
      <w:r w:rsidR="009D5424" w:rsidRPr="004E5FE8">
        <w:rPr>
          <w:szCs w:val="24"/>
        </w:rPr>
        <w:t xml:space="preserve"> help </w:t>
      </w:r>
      <w:r w:rsidR="00714F72">
        <w:rPr>
          <w:szCs w:val="24"/>
        </w:rPr>
        <w:t>attract additional private finance and</w:t>
      </w:r>
      <w:r w:rsidR="00B90CC9">
        <w:rPr>
          <w:szCs w:val="24"/>
        </w:rPr>
        <w:t xml:space="preserve"> investment in the priority areas</w:t>
      </w:r>
      <w:r w:rsidR="00867243">
        <w:rPr>
          <w:rStyle w:val="FootnoteReference"/>
          <w:szCs w:val="24"/>
        </w:rPr>
        <w:footnoteReference w:id="5"/>
      </w:r>
      <w:r w:rsidR="00B90CC9">
        <w:rPr>
          <w:szCs w:val="24"/>
        </w:rPr>
        <w:t xml:space="preserve"> </w:t>
      </w:r>
      <w:r w:rsidR="00714F72">
        <w:rPr>
          <w:szCs w:val="24"/>
        </w:rPr>
        <w:t xml:space="preserve">in order </w:t>
      </w:r>
      <w:r w:rsidR="00A220C5" w:rsidRPr="00A220C5">
        <w:rPr>
          <w:szCs w:val="24"/>
        </w:rPr>
        <w:t>to transform and diversify Australian industry</w:t>
      </w:r>
      <w:r w:rsidR="00665407">
        <w:rPr>
          <w:szCs w:val="24"/>
        </w:rPr>
        <w:t>,</w:t>
      </w:r>
      <w:r w:rsidR="00B90CC9">
        <w:rPr>
          <w:szCs w:val="24"/>
        </w:rPr>
        <w:t xml:space="preserve"> and </w:t>
      </w:r>
      <w:r w:rsidR="00867243">
        <w:rPr>
          <w:szCs w:val="24"/>
        </w:rPr>
        <w:t xml:space="preserve">to </w:t>
      </w:r>
      <w:r w:rsidR="00B90CC9">
        <w:rPr>
          <w:szCs w:val="24"/>
        </w:rPr>
        <w:t>improve the competitiveness of Australian businesses across the domestic industry value cha</w:t>
      </w:r>
      <w:r w:rsidR="003D4D32">
        <w:rPr>
          <w:szCs w:val="24"/>
        </w:rPr>
        <w:t>in</w:t>
      </w:r>
      <w:r w:rsidR="00D20CDF">
        <w:rPr>
          <w:szCs w:val="24"/>
        </w:rPr>
        <w:t>.</w:t>
      </w:r>
      <w:r w:rsidR="00D20CDF">
        <w:rPr>
          <w:rStyle w:val="FootnoteReference"/>
          <w:szCs w:val="24"/>
        </w:rPr>
        <w:footnoteReference w:id="6"/>
      </w:r>
      <w:r w:rsidR="003D4D32">
        <w:rPr>
          <w:szCs w:val="24"/>
        </w:rPr>
        <w:t xml:space="preserve"> </w:t>
      </w:r>
    </w:p>
    <w:p w14:paraId="3933BABC" w14:textId="3556739C" w:rsidR="00FF02E1" w:rsidRPr="004E5FE8" w:rsidRDefault="00CF19A4" w:rsidP="00CF19A4">
      <w:pPr>
        <w:spacing w:before="0" w:after="240"/>
        <w:rPr>
          <w:szCs w:val="24"/>
        </w:rPr>
      </w:pPr>
      <w:r w:rsidRPr="004E5FE8">
        <w:rPr>
          <w:szCs w:val="24"/>
        </w:rPr>
        <w:t xml:space="preserve">In line with its policy intent, the Corporation is expected to have regard to </w:t>
      </w:r>
      <w:r w:rsidR="0045441D">
        <w:rPr>
          <w:szCs w:val="24"/>
        </w:rPr>
        <w:t xml:space="preserve">public policy outcomes when </w:t>
      </w:r>
      <w:r w:rsidR="00610C6C">
        <w:rPr>
          <w:szCs w:val="24"/>
        </w:rPr>
        <w:t>considering investments</w:t>
      </w:r>
      <w:r w:rsidR="0045441D">
        <w:rPr>
          <w:szCs w:val="24"/>
        </w:rPr>
        <w:t xml:space="preserve">, which means </w:t>
      </w:r>
      <w:proofErr w:type="gramStart"/>
      <w:r w:rsidR="0045441D">
        <w:rPr>
          <w:szCs w:val="24"/>
        </w:rPr>
        <w:t>taking into account</w:t>
      </w:r>
      <w:proofErr w:type="gramEnd"/>
      <w:r w:rsidR="0045441D">
        <w:rPr>
          <w:szCs w:val="24"/>
        </w:rPr>
        <w:t xml:space="preserve"> the Investment Considerations listed in section 10 of the Mandate</w:t>
      </w:r>
      <w:r w:rsidR="00610C6C">
        <w:rPr>
          <w:szCs w:val="24"/>
        </w:rPr>
        <w:t xml:space="preserve">, subsections 17 (3A) and (4) of the </w:t>
      </w:r>
      <w:r w:rsidR="000359A4">
        <w:rPr>
          <w:szCs w:val="24"/>
        </w:rPr>
        <w:t xml:space="preserve">NRFC </w:t>
      </w:r>
      <w:r w:rsidR="00610C6C">
        <w:rPr>
          <w:szCs w:val="24"/>
        </w:rPr>
        <w:t>Act</w:t>
      </w:r>
      <w:r w:rsidRPr="004E5FE8">
        <w:rPr>
          <w:szCs w:val="24"/>
        </w:rPr>
        <w:t>.</w:t>
      </w:r>
      <w:r w:rsidR="00094E7F">
        <w:rPr>
          <w:szCs w:val="24"/>
        </w:rPr>
        <w:t xml:space="preserve"> </w:t>
      </w:r>
    </w:p>
    <w:p w14:paraId="4EE07BD6" w14:textId="43BCEC45" w:rsidR="00426150" w:rsidRDefault="00426150" w:rsidP="00707B4B">
      <w:pPr>
        <w:pStyle w:val="Heading4"/>
      </w:pPr>
      <w:r>
        <w:t xml:space="preserve">Section </w:t>
      </w:r>
      <w:r w:rsidR="00867243">
        <w:t>8</w:t>
      </w:r>
      <w:r w:rsidRPr="00D33F05">
        <w:t xml:space="preserve"> – </w:t>
      </w:r>
      <w:r w:rsidR="008F1879">
        <w:t>Portfolio benchmark return</w:t>
      </w:r>
    </w:p>
    <w:p w14:paraId="38F25540" w14:textId="187A8119" w:rsidR="00470874" w:rsidRDefault="00470874" w:rsidP="00A14743">
      <w:pPr>
        <w:spacing w:before="0" w:after="240"/>
        <w:rPr>
          <w:szCs w:val="24"/>
        </w:rPr>
      </w:pPr>
      <w:r>
        <w:rPr>
          <w:szCs w:val="24"/>
        </w:rPr>
        <w:t xml:space="preserve">Section 8 sets out the Corporation’s portfolio benchmark rate of return. </w:t>
      </w:r>
    </w:p>
    <w:p w14:paraId="191F138B" w14:textId="62132475" w:rsidR="008F1879" w:rsidRPr="00A14743" w:rsidRDefault="00453354" w:rsidP="00A14743">
      <w:pPr>
        <w:spacing w:before="0" w:after="240"/>
        <w:rPr>
          <w:szCs w:val="24"/>
        </w:rPr>
      </w:pPr>
      <w:r>
        <w:rPr>
          <w:szCs w:val="24"/>
        </w:rPr>
        <w:t>T</w:t>
      </w:r>
      <w:r w:rsidR="008F1879" w:rsidRPr="00A14743">
        <w:rPr>
          <w:szCs w:val="24"/>
        </w:rPr>
        <w:t xml:space="preserve">he </w:t>
      </w:r>
      <w:r w:rsidR="0005051A">
        <w:rPr>
          <w:szCs w:val="24"/>
        </w:rPr>
        <w:t>Corporation</w:t>
      </w:r>
      <w:r w:rsidR="0005051A" w:rsidRPr="00A14743">
        <w:rPr>
          <w:szCs w:val="24"/>
        </w:rPr>
        <w:t xml:space="preserve"> </w:t>
      </w:r>
      <w:r w:rsidR="0005051A">
        <w:rPr>
          <w:szCs w:val="24"/>
        </w:rPr>
        <w:t>must</w:t>
      </w:r>
      <w:r w:rsidR="008F1879" w:rsidRPr="00A14743">
        <w:rPr>
          <w:szCs w:val="24"/>
        </w:rPr>
        <w:t xml:space="preserve"> target a</w:t>
      </w:r>
      <w:r w:rsidR="0066431E">
        <w:rPr>
          <w:szCs w:val="24"/>
        </w:rPr>
        <w:t xml:space="preserve"> cumulative </w:t>
      </w:r>
      <w:r w:rsidR="008F1879" w:rsidRPr="00A14743">
        <w:rPr>
          <w:szCs w:val="24"/>
        </w:rPr>
        <w:t xml:space="preserve">average return of </w:t>
      </w:r>
      <w:r w:rsidR="009F05E5">
        <w:rPr>
          <w:szCs w:val="24"/>
        </w:rPr>
        <w:t>2-</w:t>
      </w:r>
      <w:r>
        <w:rPr>
          <w:szCs w:val="24"/>
        </w:rPr>
        <w:t xml:space="preserve">3 per cent above </w:t>
      </w:r>
      <w:r w:rsidR="00A66F84">
        <w:rPr>
          <w:szCs w:val="24"/>
        </w:rPr>
        <w:t xml:space="preserve">a </w:t>
      </w:r>
      <w:r w:rsidR="0066431E">
        <w:rPr>
          <w:szCs w:val="24"/>
        </w:rPr>
        <w:t>five</w:t>
      </w:r>
      <w:r w:rsidR="00A66F84">
        <w:rPr>
          <w:szCs w:val="24"/>
        </w:rPr>
        <w:noBreakHyphen/>
      </w:r>
      <w:r w:rsidR="0066431E">
        <w:rPr>
          <w:szCs w:val="24"/>
        </w:rPr>
        <w:t xml:space="preserve">year Australian Government bond </w:t>
      </w:r>
      <w:r w:rsidR="007456AA">
        <w:rPr>
          <w:szCs w:val="24"/>
        </w:rPr>
        <w:t xml:space="preserve">rate </w:t>
      </w:r>
      <w:r>
        <w:rPr>
          <w:szCs w:val="24"/>
        </w:rPr>
        <w:t xml:space="preserve">as the benchmark return of the Corporation’s portfolio over the medium to long term. </w:t>
      </w:r>
    </w:p>
    <w:p w14:paraId="2654F2C0" w14:textId="136A888E" w:rsidR="0066431E" w:rsidRDefault="0066431E" w:rsidP="0066431E">
      <w:pPr>
        <w:pStyle w:val="NormalWeb"/>
      </w:pPr>
      <w:r>
        <w:lastRenderedPageBreak/>
        <w:t xml:space="preserve">The Australian Government bond </w:t>
      </w:r>
      <w:r w:rsidR="00EA11D2">
        <w:t xml:space="preserve">rate </w:t>
      </w:r>
      <w:r>
        <w:t>is to be calculated from individual reference rates using the five-year Australian Government bond rate</w:t>
      </w:r>
      <w:r>
        <w:rPr>
          <w:rStyle w:val="FootnoteReference"/>
        </w:rPr>
        <w:footnoteReference w:id="7"/>
      </w:r>
      <w:r>
        <w:t xml:space="preserve"> applicable at the time of each </w:t>
      </w:r>
      <w:proofErr w:type="gramStart"/>
      <w:r>
        <w:t>investment, and</w:t>
      </w:r>
      <w:proofErr w:type="gramEnd"/>
      <w:r>
        <w:t xml:space="preserve"> weighting the portfolio for the timing and relative to the quantum of each individual investment.</w:t>
      </w:r>
    </w:p>
    <w:p w14:paraId="4F2E8B1E" w14:textId="5A19926B" w:rsidR="001F66F4" w:rsidRPr="00A14743" w:rsidRDefault="001F66F4" w:rsidP="00A14743">
      <w:pPr>
        <w:spacing w:before="0" w:after="240"/>
        <w:rPr>
          <w:szCs w:val="24"/>
        </w:rPr>
      </w:pPr>
      <w:r w:rsidRPr="00A14743">
        <w:rPr>
          <w:szCs w:val="24"/>
        </w:rPr>
        <w:t xml:space="preserve">Performance against the </w:t>
      </w:r>
      <w:r w:rsidR="00CB483F" w:rsidRPr="00A14743">
        <w:rPr>
          <w:szCs w:val="24"/>
        </w:rPr>
        <w:t xml:space="preserve">portfolio benchmark return </w:t>
      </w:r>
      <w:r w:rsidRPr="00A14743">
        <w:rPr>
          <w:szCs w:val="24"/>
        </w:rPr>
        <w:t xml:space="preserve">will be measured </w:t>
      </w:r>
      <w:r w:rsidR="00641526">
        <w:rPr>
          <w:szCs w:val="24"/>
        </w:rPr>
        <w:t xml:space="preserve">after deducting credit losses but </w:t>
      </w:r>
      <w:r w:rsidRPr="00A14743">
        <w:rPr>
          <w:szCs w:val="24"/>
        </w:rPr>
        <w:t xml:space="preserve">before </w:t>
      </w:r>
      <w:r w:rsidR="00235840">
        <w:rPr>
          <w:szCs w:val="24"/>
        </w:rPr>
        <w:t xml:space="preserve">deducting </w:t>
      </w:r>
      <w:r w:rsidR="00293A56">
        <w:rPr>
          <w:szCs w:val="24"/>
        </w:rPr>
        <w:t xml:space="preserve">the Corporation's </w:t>
      </w:r>
      <w:r w:rsidRPr="00A14743">
        <w:rPr>
          <w:szCs w:val="24"/>
        </w:rPr>
        <w:t xml:space="preserve">operating </w:t>
      </w:r>
      <w:r w:rsidR="006703B0" w:rsidRPr="00A14743">
        <w:rPr>
          <w:szCs w:val="24"/>
        </w:rPr>
        <w:t xml:space="preserve">expenses </w:t>
      </w:r>
      <w:r w:rsidR="005824EF">
        <w:rPr>
          <w:szCs w:val="24"/>
        </w:rPr>
        <w:t>(</w:t>
      </w:r>
      <w:r w:rsidR="00ED36A0">
        <w:rPr>
          <w:szCs w:val="24"/>
        </w:rPr>
        <w:t>those not directly</w:t>
      </w:r>
      <w:r w:rsidR="00AA0DA7">
        <w:rPr>
          <w:szCs w:val="24"/>
        </w:rPr>
        <w:t xml:space="preserve"> related to making investments) </w:t>
      </w:r>
      <w:r w:rsidR="006703B0" w:rsidRPr="00A14743">
        <w:rPr>
          <w:szCs w:val="24"/>
        </w:rPr>
        <w:t>and</w:t>
      </w:r>
      <w:r w:rsidRPr="00A14743">
        <w:rPr>
          <w:szCs w:val="24"/>
        </w:rPr>
        <w:t xml:space="preserve"> will be published in the Corporation’s annual report. The Corporation will follow the Australian Accounting Standards where applicable in </w:t>
      </w:r>
      <w:r w:rsidR="00485505">
        <w:rPr>
          <w:szCs w:val="24"/>
        </w:rPr>
        <w:t xml:space="preserve">calculating and </w:t>
      </w:r>
      <w:r w:rsidRPr="00A14743">
        <w:rPr>
          <w:szCs w:val="24"/>
        </w:rPr>
        <w:t>measuring its return</w:t>
      </w:r>
      <w:r w:rsidR="00F16775">
        <w:rPr>
          <w:szCs w:val="24"/>
        </w:rPr>
        <w:t xml:space="preserve"> (for example, in particular, AASB 9 </w:t>
      </w:r>
      <w:r w:rsidR="00F16775" w:rsidRPr="0077446E">
        <w:rPr>
          <w:i/>
          <w:iCs/>
          <w:szCs w:val="24"/>
        </w:rPr>
        <w:t>Financial Instruments</w:t>
      </w:r>
      <w:r w:rsidR="00F16775">
        <w:rPr>
          <w:szCs w:val="24"/>
        </w:rPr>
        <w:t>)</w:t>
      </w:r>
      <w:r w:rsidR="0005051A">
        <w:rPr>
          <w:szCs w:val="24"/>
        </w:rPr>
        <w:t xml:space="preserve">. </w:t>
      </w:r>
    </w:p>
    <w:p w14:paraId="3D1657CC" w14:textId="02C4B326" w:rsidR="008F1879" w:rsidRPr="00A14743" w:rsidRDefault="008F1879" w:rsidP="00A14743">
      <w:pPr>
        <w:spacing w:before="0" w:after="240"/>
        <w:rPr>
          <w:szCs w:val="24"/>
        </w:rPr>
      </w:pPr>
      <w:r w:rsidRPr="00A14743">
        <w:rPr>
          <w:szCs w:val="24"/>
        </w:rPr>
        <w:t xml:space="preserve">The </w:t>
      </w:r>
      <w:r w:rsidR="00CB483F" w:rsidRPr="00A14743">
        <w:rPr>
          <w:szCs w:val="24"/>
        </w:rPr>
        <w:t xml:space="preserve">portfolio benchmark return </w:t>
      </w:r>
      <w:r w:rsidRPr="00A14743">
        <w:rPr>
          <w:szCs w:val="24"/>
        </w:rPr>
        <w:t>target is expected to be earned across the portfolio of investments over the medium</w:t>
      </w:r>
      <w:r w:rsidR="002157EC">
        <w:rPr>
          <w:szCs w:val="24"/>
        </w:rPr>
        <w:t>-</w:t>
      </w:r>
      <w:r w:rsidRPr="00A14743">
        <w:rPr>
          <w:szCs w:val="24"/>
        </w:rPr>
        <w:t xml:space="preserve"> to long</w:t>
      </w:r>
      <w:r w:rsidR="002157EC">
        <w:rPr>
          <w:szCs w:val="24"/>
        </w:rPr>
        <w:t>-</w:t>
      </w:r>
      <w:r w:rsidRPr="00A14743">
        <w:rPr>
          <w:szCs w:val="24"/>
        </w:rPr>
        <w:t xml:space="preserve">term. Individual investments could be made with expected individual returns above or below </w:t>
      </w:r>
      <w:r w:rsidR="00532B47">
        <w:rPr>
          <w:szCs w:val="24"/>
        </w:rPr>
        <w:t xml:space="preserve">(using the </w:t>
      </w:r>
      <w:proofErr w:type="spellStart"/>
      <w:r w:rsidR="00532B47">
        <w:rPr>
          <w:szCs w:val="24"/>
        </w:rPr>
        <w:t>concessionality</w:t>
      </w:r>
      <w:proofErr w:type="spellEnd"/>
      <w:r w:rsidR="00532B47">
        <w:rPr>
          <w:szCs w:val="24"/>
        </w:rPr>
        <w:t xml:space="preserve"> principles set out in </w:t>
      </w:r>
      <w:r w:rsidR="0003526E">
        <w:rPr>
          <w:szCs w:val="24"/>
        </w:rPr>
        <w:t xml:space="preserve">Section 16 of the Mandate) </w:t>
      </w:r>
      <w:r w:rsidRPr="00A14743">
        <w:rPr>
          <w:szCs w:val="24"/>
        </w:rPr>
        <w:t xml:space="preserve">the </w:t>
      </w:r>
      <w:r w:rsidR="00AA6546">
        <w:rPr>
          <w:szCs w:val="24"/>
        </w:rPr>
        <w:t>p</w:t>
      </w:r>
      <w:r w:rsidRPr="00A14743">
        <w:rPr>
          <w:szCs w:val="24"/>
        </w:rPr>
        <w:t xml:space="preserve">ortfolio </w:t>
      </w:r>
      <w:r w:rsidR="00AA6546">
        <w:rPr>
          <w:szCs w:val="24"/>
        </w:rPr>
        <w:t>be</w:t>
      </w:r>
      <w:r w:rsidRPr="00A14743">
        <w:rPr>
          <w:szCs w:val="24"/>
        </w:rPr>
        <w:t xml:space="preserve">nchmark </w:t>
      </w:r>
      <w:r w:rsidR="00AA6546">
        <w:rPr>
          <w:szCs w:val="24"/>
        </w:rPr>
        <w:t>r</w:t>
      </w:r>
      <w:r w:rsidRPr="00A14743">
        <w:rPr>
          <w:szCs w:val="24"/>
        </w:rPr>
        <w:t>eturn.</w:t>
      </w:r>
    </w:p>
    <w:p w14:paraId="1D32F664" w14:textId="320788D8" w:rsidR="008F1879" w:rsidRPr="00A14743" w:rsidRDefault="008F1879" w:rsidP="00A14743">
      <w:pPr>
        <w:spacing w:before="0" w:after="240"/>
        <w:rPr>
          <w:szCs w:val="24"/>
        </w:rPr>
      </w:pPr>
      <w:r w:rsidRPr="00A14743">
        <w:rPr>
          <w:szCs w:val="24"/>
        </w:rPr>
        <w:t>Proponents should not expect to be able to access</w:t>
      </w:r>
      <w:r w:rsidR="002A3E05">
        <w:rPr>
          <w:szCs w:val="24"/>
        </w:rPr>
        <w:t xml:space="preserve"> financing from</w:t>
      </w:r>
      <w:r w:rsidRPr="00A14743">
        <w:rPr>
          <w:szCs w:val="24"/>
        </w:rPr>
        <w:t xml:space="preserve"> the Corporation at the </w:t>
      </w:r>
      <w:r w:rsidR="00CB483F" w:rsidRPr="00A14743">
        <w:rPr>
          <w:szCs w:val="24"/>
        </w:rPr>
        <w:t>portfolio benchmark return</w:t>
      </w:r>
      <w:r w:rsidRPr="00A14743">
        <w:rPr>
          <w:szCs w:val="24"/>
        </w:rPr>
        <w:t xml:space="preserve">. The Corporation </w:t>
      </w:r>
      <w:r w:rsidR="00526D14">
        <w:rPr>
          <w:szCs w:val="24"/>
        </w:rPr>
        <w:t xml:space="preserve">is required to </w:t>
      </w:r>
      <w:r w:rsidRPr="00A14743">
        <w:rPr>
          <w:szCs w:val="24"/>
        </w:rPr>
        <w:t xml:space="preserve">apply commercial rigour in assessing all investments. The </w:t>
      </w:r>
      <w:r w:rsidR="00AA6546">
        <w:rPr>
          <w:szCs w:val="24"/>
        </w:rPr>
        <w:t xml:space="preserve">actual </w:t>
      </w:r>
      <w:r w:rsidRPr="00A14743">
        <w:rPr>
          <w:szCs w:val="24"/>
        </w:rPr>
        <w:t>return the Corporation seeks for any given investment will be a risk-adjusted return reflecting the individual characteristics of specific projects, the need to cover the operating expenses of the Corporation,</w:t>
      </w:r>
      <w:r w:rsidR="00526D14">
        <w:rPr>
          <w:szCs w:val="24"/>
        </w:rPr>
        <w:t xml:space="preserve"> and</w:t>
      </w:r>
      <w:r w:rsidRPr="00A14743">
        <w:rPr>
          <w:szCs w:val="24"/>
        </w:rPr>
        <w:t xml:space="preserve"> the requirement to target the </w:t>
      </w:r>
      <w:r w:rsidR="00CB483F" w:rsidRPr="00A14743">
        <w:rPr>
          <w:szCs w:val="24"/>
        </w:rPr>
        <w:t xml:space="preserve">portfolio benchmark return </w:t>
      </w:r>
      <w:r w:rsidRPr="00A14743">
        <w:rPr>
          <w:szCs w:val="24"/>
        </w:rPr>
        <w:t xml:space="preserve">on a portfolio basis, </w:t>
      </w:r>
      <w:r w:rsidR="00526D14">
        <w:rPr>
          <w:szCs w:val="24"/>
        </w:rPr>
        <w:t xml:space="preserve">in addition to the desired </w:t>
      </w:r>
      <w:r w:rsidR="00020123">
        <w:rPr>
          <w:szCs w:val="24"/>
        </w:rPr>
        <w:t xml:space="preserve">public </w:t>
      </w:r>
      <w:r w:rsidR="00526D14">
        <w:rPr>
          <w:szCs w:val="24"/>
        </w:rPr>
        <w:t>policy outcomes</w:t>
      </w:r>
      <w:r w:rsidR="00AA0A7C">
        <w:rPr>
          <w:rStyle w:val="FootnoteReference"/>
          <w:szCs w:val="24"/>
        </w:rPr>
        <w:footnoteReference w:id="8"/>
      </w:r>
      <w:r w:rsidR="00526D14">
        <w:rPr>
          <w:szCs w:val="24"/>
        </w:rPr>
        <w:t>.</w:t>
      </w:r>
    </w:p>
    <w:p w14:paraId="0D0AF556" w14:textId="06B33E2C" w:rsidR="008F1879" w:rsidRDefault="008F1879" w:rsidP="00A14743">
      <w:pPr>
        <w:spacing w:before="0" w:after="240"/>
        <w:rPr>
          <w:szCs w:val="24"/>
        </w:rPr>
      </w:pPr>
      <w:r w:rsidRPr="00A14743">
        <w:rPr>
          <w:szCs w:val="24"/>
        </w:rPr>
        <w:t xml:space="preserve">The Government is committed to </w:t>
      </w:r>
      <w:r w:rsidR="0064767E">
        <w:rPr>
          <w:szCs w:val="24"/>
        </w:rPr>
        <w:t xml:space="preserve">driving the </w:t>
      </w:r>
      <w:r w:rsidRPr="000F21A9">
        <w:rPr>
          <w:szCs w:val="24"/>
        </w:rPr>
        <w:t>transform</w:t>
      </w:r>
      <w:r w:rsidR="0064767E" w:rsidRPr="000F21A9">
        <w:rPr>
          <w:szCs w:val="24"/>
        </w:rPr>
        <w:t>ation</w:t>
      </w:r>
      <w:r w:rsidRPr="000F21A9">
        <w:rPr>
          <w:szCs w:val="24"/>
        </w:rPr>
        <w:t xml:space="preserve"> </w:t>
      </w:r>
      <w:r w:rsidR="0064767E" w:rsidRPr="000F21A9">
        <w:rPr>
          <w:szCs w:val="24"/>
        </w:rPr>
        <w:t xml:space="preserve">and diversification of </w:t>
      </w:r>
      <w:r w:rsidRPr="000F21A9">
        <w:rPr>
          <w:szCs w:val="24"/>
        </w:rPr>
        <w:t xml:space="preserve">Australia’s industry </w:t>
      </w:r>
      <w:r w:rsidR="00CB483F" w:rsidRPr="000F21A9">
        <w:rPr>
          <w:szCs w:val="24"/>
        </w:rPr>
        <w:t xml:space="preserve">and economy </w:t>
      </w:r>
      <w:r w:rsidR="0064767E" w:rsidRPr="000F21A9">
        <w:rPr>
          <w:szCs w:val="24"/>
        </w:rPr>
        <w:t>over the long term</w:t>
      </w:r>
      <w:r w:rsidRPr="00A14743">
        <w:rPr>
          <w:szCs w:val="24"/>
        </w:rPr>
        <w:t>. The Mandate therefore establishes medium-</w:t>
      </w:r>
      <w:r w:rsidR="007F1E22">
        <w:rPr>
          <w:szCs w:val="24"/>
        </w:rPr>
        <w:t xml:space="preserve"> </w:t>
      </w:r>
      <w:r w:rsidRPr="00A14743">
        <w:rPr>
          <w:szCs w:val="24"/>
        </w:rPr>
        <w:t>to</w:t>
      </w:r>
      <w:r w:rsidR="007F1E22">
        <w:rPr>
          <w:szCs w:val="24"/>
        </w:rPr>
        <w:t xml:space="preserve"> </w:t>
      </w:r>
      <w:r w:rsidRPr="00A14743">
        <w:rPr>
          <w:szCs w:val="24"/>
        </w:rPr>
        <w:t>long-term portfolio performance measure</w:t>
      </w:r>
      <w:r w:rsidR="0064767E">
        <w:rPr>
          <w:szCs w:val="24"/>
        </w:rPr>
        <w:t>s</w:t>
      </w:r>
      <w:r w:rsidR="00170E82">
        <w:rPr>
          <w:szCs w:val="24"/>
        </w:rPr>
        <w:t xml:space="preserve"> with </w:t>
      </w:r>
      <w:r w:rsidR="00831CE0">
        <w:rPr>
          <w:szCs w:val="24"/>
        </w:rPr>
        <w:t xml:space="preserve">the intention to conduct </w:t>
      </w:r>
      <w:r w:rsidR="00170E82">
        <w:rPr>
          <w:szCs w:val="24"/>
        </w:rPr>
        <w:t xml:space="preserve">a review of the portfolio benchmark return </w:t>
      </w:r>
      <w:r w:rsidR="00A33354">
        <w:rPr>
          <w:szCs w:val="24"/>
        </w:rPr>
        <w:t>three</w:t>
      </w:r>
      <w:r w:rsidR="00170E82">
        <w:rPr>
          <w:szCs w:val="24"/>
        </w:rPr>
        <w:t xml:space="preserve"> years after commencement of the Mandate to ensure it is appropriate</w:t>
      </w:r>
      <w:r w:rsidRPr="00A14743">
        <w:rPr>
          <w:szCs w:val="24"/>
        </w:rPr>
        <w:t>.</w:t>
      </w:r>
    </w:p>
    <w:p w14:paraId="6E355179" w14:textId="42B6A2F9" w:rsidR="00CB483F" w:rsidRPr="008F1879" w:rsidRDefault="00CB483F" w:rsidP="00210274">
      <w:pPr>
        <w:pStyle w:val="Heading4"/>
      </w:pPr>
      <w:r>
        <w:t xml:space="preserve">Section </w:t>
      </w:r>
      <w:r w:rsidR="00867243">
        <w:t>9</w:t>
      </w:r>
      <w:r>
        <w:t xml:space="preserve"> </w:t>
      </w:r>
      <w:r w:rsidR="008619AC">
        <w:t xml:space="preserve">– </w:t>
      </w:r>
      <w:r>
        <w:t xml:space="preserve">Portfolio </w:t>
      </w:r>
      <w:r w:rsidR="00393831">
        <w:t>r</w:t>
      </w:r>
      <w:r>
        <w:t>isk</w:t>
      </w:r>
    </w:p>
    <w:p w14:paraId="7E6E2557" w14:textId="7C28CF8C" w:rsidR="00393831" w:rsidRDefault="00393831" w:rsidP="00B2173C">
      <w:pPr>
        <w:spacing w:before="0" w:after="240"/>
        <w:rPr>
          <w:szCs w:val="24"/>
        </w:rPr>
      </w:pPr>
      <w:r>
        <w:rPr>
          <w:szCs w:val="24"/>
        </w:rPr>
        <w:t xml:space="preserve">Section </w:t>
      </w:r>
      <w:r w:rsidR="00273CF1">
        <w:rPr>
          <w:szCs w:val="24"/>
        </w:rPr>
        <w:t>9</w:t>
      </w:r>
      <w:r>
        <w:rPr>
          <w:szCs w:val="24"/>
        </w:rPr>
        <w:t xml:space="preserve"> sets out the Corporation’s portfolio risk</w:t>
      </w:r>
      <w:r w:rsidR="006D12BB">
        <w:rPr>
          <w:szCs w:val="24"/>
        </w:rPr>
        <w:t xml:space="preserve">. </w:t>
      </w:r>
    </w:p>
    <w:p w14:paraId="1A5415D6" w14:textId="22130597" w:rsidR="00A323E9" w:rsidRDefault="0083122B" w:rsidP="00B2173C">
      <w:pPr>
        <w:spacing w:before="0" w:after="240"/>
        <w:rPr>
          <w:szCs w:val="24"/>
        </w:rPr>
      </w:pPr>
      <w:r>
        <w:rPr>
          <w:szCs w:val="24"/>
        </w:rPr>
        <w:t xml:space="preserve">Paragraph </w:t>
      </w:r>
      <w:r w:rsidR="00BA628A">
        <w:rPr>
          <w:szCs w:val="24"/>
        </w:rPr>
        <w:t>9(1)(a) provides that i</w:t>
      </w:r>
      <w:r w:rsidR="00B2173C" w:rsidRPr="00B2173C">
        <w:rPr>
          <w:szCs w:val="24"/>
        </w:rPr>
        <w:t xml:space="preserve">n targeting the </w:t>
      </w:r>
      <w:r w:rsidR="00B2173C">
        <w:rPr>
          <w:szCs w:val="24"/>
        </w:rPr>
        <w:t>p</w:t>
      </w:r>
      <w:r w:rsidR="00B2173C" w:rsidRPr="00B2173C">
        <w:rPr>
          <w:szCs w:val="24"/>
        </w:rPr>
        <w:t xml:space="preserve">ortfolio </w:t>
      </w:r>
      <w:r w:rsidR="00B2173C">
        <w:rPr>
          <w:szCs w:val="24"/>
        </w:rPr>
        <w:t>b</w:t>
      </w:r>
      <w:r w:rsidR="00B2173C" w:rsidRPr="00B2173C">
        <w:rPr>
          <w:szCs w:val="24"/>
        </w:rPr>
        <w:t xml:space="preserve">enchmark </w:t>
      </w:r>
      <w:r w:rsidR="00B2173C">
        <w:rPr>
          <w:szCs w:val="24"/>
        </w:rPr>
        <w:t>r</w:t>
      </w:r>
      <w:r w:rsidR="00B2173C" w:rsidRPr="00B2173C">
        <w:rPr>
          <w:szCs w:val="24"/>
        </w:rPr>
        <w:t xml:space="preserve">eturn, </w:t>
      </w:r>
      <w:r w:rsidR="00AA6546">
        <w:rPr>
          <w:szCs w:val="24"/>
        </w:rPr>
        <w:t xml:space="preserve">the Corporation must </w:t>
      </w:r>
      <w:r w:rsidR="00AA6546" w:rsidRPr="00AA6546">
        <w:rPr>
          <w:szCs w:val="24"/>
        </w:rPr>
        <w:t xml:space="preserve">operate with a commercial approach, </w:t>
      </w:r>
      <w:r w:rsidR="00CD31D7">
        <w:rPr>
          <w:szCs w:val="24"/>
        </w:rPr>
        <w:t>this</w:t>
      </w:r>
      <w:r w:rsidR="00AA6546">
        <w:rPr>
          <w:szCs w:val="24"/>
        </w:rPr>
        <w:t xml:space="preserve"> include</w:t>
      </w:r>
      <w:r w:rsidR="00CD31D7">
        <w:rPr>
          <w:szCs w:val="24"/>
        </w:rPr>
        <w:t>s but is not limited to</w:t>
      </w:r>
      <w:r w:rsidR="00AA6546">
        <w:rPr>
          <w:szCs w:val="24"/>
        </w:rPr>
        <w:t xml:space="preserve"> </w:t>
      </w:r>
      <w:r w:rsidR="00AA6546" w:rsidRPr="00AA6546">
        <w:rPr>
          <w:szCs w:val="24"/>
        </w:rPr>
        <w:t xml:space="preserve">undertaking appropriate due diligence and credit </w:t>
      </w:r>
      <w:r w:rsidR="00641526">
        <w:rPr>
          <w:szCs w:val="24"/>
        </w:rPr>
        <w:t xml:space="preserve">and investment </w:t>
      </w:r>
      <w:r w:rsidR="00AA6546" w:rsidRPr="00AA6546">
        <w:rPr>
          <w:szCs w:val="24"/>
        </w:rPr>
        <w:t>risk assessment processes</w:t>
      </w:r>
      <w:r w:rsidR="006534D0">
        <w:rPr>
          <w:szCs w:val="24"/>
        </w:rPr>
        <w:t xml:space="preserve">. </w:t>
      </w:r>
    </w:p>
    <w:p w14:paraId="23362F9A" w14:textId="3C8E1979" w:rsidR="00BA628A" w:rsidRDefault="0083122B" w:rsidP="00603716">
      <w:pPr>
        <w:spacing w:before="0" w:after="240"/>
        <w:rPr>
          <w:szCs w:val="24"/>
        </w:rPr>
      </w:pPr>
      <w:r>
        <w:rPr>
          <w:szCs w:val="24"/>
        </w:rPr>
        <w:t>Paragraph</w:t>
      </w:r>
      <w:r w:rsidR="00BA628A">
        <w:rPr>
          <w:szCs w:val="24"/>
        </w:rPr>
        <w:t xml:space="preserve"> 9(1)(b) further provides that t</w:t>
      </w:r>
      <w:r w:rsidR="006534D0">
        <w:rPr>
          <w:szCs w:val="24"/>
        </w:rPr>
        <w:t xml:space="preserve">he Corporation must </w:t>
      </w:r>
      <w:r w:rsidR="00A323E9">
        <w:rPr>
          <w:szCs w:val="24"/>
        </w:rPr>
        <w:t xml:space="preserve">also </w:t>
      </w:r>
      <w:r w:rsidR="006534D0">
        <w:rPr>
          <w:szCs w:val="24"/>
        </w:rPr>
        <w:t>seek to develop an overall portfolio that is sufficiently diversified and</w:t>
      </w:r>
      <w:r w:rsidR="00B2173C" w:rsidRPr="00B2173C">
        <w:rPr>
          <w:szCs w:val="24"/>
        </w:rPr>
        <w:t xml:space="preserve"> has an acceptable but not excessive level of risk.</w:t>
      </w:r>
      <w:r w:rsidR="00290095">
        <w:rPr>
          <w:szCs w:val="24"/>
        </w:rPr>
        <w:t xml:space="preserve"> </w:t>
      </w:r>
    </w:p>
    <w:p w14:paraId="02AC3EA7" w14:textId="32740E79" w:rsidR="00210274" w:rsidRDefault="00BA628A" w:rsidP="00603716">
      <w:pPr>
        <w:spacing w:before="0" w:after="240"/>
        <w:rPr>
          <w:szCs w:val="24"/>
        </w:rPr>
      </w:pPr>
      <w:r>
        <w:rPr>
          <w:szCs w:val="24"/>
        </w:rPr>
        <w:t xml:space="preserve">Further to </w:t>
      </w:r>
      <w:r w:rsidR="0083122B">
        <w:rPr>
          <w:szCs w:val="24"/>
        </w:rPr>
        <w:t>paragraph 9(1)(b)</w:t>
      </w:r>
      <w:r>
        <w:rPr>
          <w:szCs w:val="24"/>
        </w:rPr>
        <w:t xml:space="preserve">, subsection 9(2) provides that the level of risk deemed acceptable by the Corporation </w:t>
      </w:r>
      <w:r w:rsidR="002F3645">
        <w:rPr>
          <w:szCs w:val="24"/>
        </w:rPr>
        <w:t xml:space="preserve">may be </w:t>
      </w:r>
      <w:r w:rsidRPr="00BA628A">
        <w:rPr>
          <w:szCs w:val="24"/>
        </w:rPr>
        <w:t xml:space="preserve">higher than the risk tolerance of commercial banks and private sector </w:t>
      </w:r>
      <w:proofErr w:type="gramStart"/>
      <w:r w:rsidRPr="00BA628A">
        <w:rPr>
          <w:szCs w:val="24"/>
        </w:rPr>
        <w:t>investors, if</w:t>
      </w:r>
      <w:proofErr w:type="gramEnd"/>
      <w:r w:rsidRPr="00BA628A">
        <w:rPr>
          <w:szCs w:val="24"/>
        </w:rPr>
        <w:t xml:space="preserve"> this higher risk tolerance supports the objects of </w:t>
      </w:r>
      <w:r w:rsidRPr="00BA628A">
        <w:rPr>
          <w:szCs w:val="24"/>
        </w:rPr>
        <w:lastRenderedPageBreak/>
        <w:t xml:space="preserve">the </w:t>
      </w:r>
      <w:r w:rsidR="00D667BC">
        <w:rPr>
          <w:szCs w:val="24"/>
        </w:rPr>
        <w:t xml:space="preserve">NRFC </w:t>
      </w:r>
      <w:r w:rsidRPr="00BA628A">
        <w:rPr>
          <w:szCs w:val="24"/>
        </w:rPr>
        <w:t>Act and this instrument.</w:t>
      </w:r>
      <w:r>
        <w:rPr>
          <w:szCs w:val="24"/>
        </w:rPr>
        <w:t xml:space="preserve"> </w:t>
      </w:r>
      <w:r w:rsidR="00493480" w:rsidRPr="00493480">
        <w:rPr>
          <w:szCs w:val="24"/>
        </w:rPr>
        <w:t xml:space="preserve">In particular, the Government </w:t>
      </w:r>
      <w:r w:rsidR="00A323E9">
        <w:rPr>
          <w:szCs w:val="24"/>
        </w:rPr>
        <w:t xml:space="preserve">has directed the Corporation </w:t>
      </w:r>
      <w:r w:rsidRPr="00BA628A">
        <w:rPr>
          <w:szCs w:val="24"/>
        </w:rPr>
        <w:t>to diversify and transform Australia</w:t>
      </w:r>
      <w:r>
        <w:rPr>
          <w:szCs w:val="24"/>
        </w:rPr>
        <w:t xml:space="preserve">’s </w:t>
      </w:r>
      <w:r w:rsidRPr="00BA628A">
        <w:rPr>
          <w:szCs w:val="24"/>
        </w:rPr>
        <w:t>industry and economy</w:t>
      </w:r>
      <w:r w:rsidR="00A323E9">
        <w:rPr>
          <w:szCs w:val="24"/>
        </w:rPr>
        <w:t xml:space="preserve">. </w:t>
      </w:r>
      <w:r w:rsidR="008619AC" w:rsidRPr="008619AC">
        <w:rPr>
          <w:szCs w:val="24"/>
        </w:rPr>
        <w:t xml:space="preserve">This focus may increase the Corporation’s exposure to credit risk as </w:t>
      </w:r>
      <w:r w:rsidR="00290095">
        <w:rPr>
          <w:szCs w:val="24"/>
        </w:rPr>
        <w:t>transformative activities</w:t>
      </w:r>
      <w:r w:rsidR="008619AC" w:rsidRPr="008619AC">
        <w:rPr>
          <w:szCs w:val="24"/>
        </w:rPr>
        <w:t xml:space="preserve"> may have a higher risk profile than </w:t>
      </w:r>
      <w:r w:rsidR="008619AC">
        <w:rPr>
          <w:szCs w:val="24"/>
        </w:rPr>
        <w:t>established, business-a</w:t>
      </w:r>
      <w:r w:rsidR="00043B1E">
        <w:rPr>
          <w:szCs w:val="24"/>
        </w:rPr>
        <w:t>s</w:t>
      </w:r>
      <w:r w:rsidR="008619AC">
        <w:rPr>
          <w:szCs w:val="24"/>
        </w:rPr>
        <w:t>-usual activities</w:t>
      </w:r>
      <w:r w:rsidR="008619AC" w:rsidRPr="008619AC">
        <w:rPr>
          <w:szCs w:val="24"/>
        </w:rPr>
        <w:t xml:space="preserve"> </w:t>
      </w:r>
      <w:r w:rsidR="008619AC">
        <w:rPr>
          <w:szCs w:val="24"/>
        </w:rPr>
        <w:t xml:space="preserve">and </w:t>
      </w:r>
      <w:r w:rsidR="008619AC" w:rsidRPr="008619AC">
        <w:rPr>
          <w:szCs w:val="24"/>
        </w:rPr>
        <w:t>therefore the overall level of risk in the Corporation’s portfolio may increase.</w:t>
      </w:r>
    </w:p>
    <w:p w14:paraId="7FC94F76" w14:textId="7CB8CDDD" w:rsidR="00C366E7" w:rsidRDefault="00BA628A" w:rsidP="00603716">
      <w:pPr>
        <w:spacing w:before="0" w:after="240"/>
        <w:rPr>
          <w:szCs w:val="24"/>
        </w:rPr>
      </w:pPr>
      <w:r>
        <w:rPr>
          <w:szCs w:val="24"/>
        </w:rPr>
        <w:t>Subsection 9(</w:t>
      </w:r>
      <w:r w:rsidR="006F1509">
        <w:rPr>
          <w:szCs w:val="24"/>
        </w:rPr>
        <w:t>3</w:t>
      </w:r>
      <w:r>
        <w:rPr>
          <w:szCs w:val="24"/>
        </w:rPr>
        <w:t xml:space="preserve">) provides </w:t>
      </w:r>
      <w:r w:rsidR="00C366E7">
        <w:rPr>
          <w:szCs w:val="24"/>
        </w:rPr>
        <w:t xml:space="preserve">the </w:t>
      </w:r>
      <w:r w:rsidR="00F06C8B">
        <w:rPr>
          <w:szCs w:val="24"/>
        </w:rPr>
        <w:t>Corporation may</w:t>
      </w:r>
      <w:r w:rsidR="00F06C8B" w:rsidRPr="00F06C8B">
        <w:rPr>
          <w:szCs w:val="24"/>
        </w:rPr>
        <w:t xml:space="preserve"> tak</w:t>
      </w:r>
      <w:r w:rsidR="006F1509">
        <w:rPr>
          <w:szCs w:val="24"/>
        </w:rPr>
        <w:t xml:space="preserve">e on higher risk (when compared to the risk that it would normally consider acceptable for other investments) </w:t>
      </w:r>
      <w:r w:rsidR="006F1509" w:rsidRPr="006F1509">
        <w:rPr>
          <w:szCs w:val="24"/>
        </w:rPr>
        <w:t xml:space="preserve">for </w:t>
      </w:r>
      <w:r w:rsidR="00F06C8B" w:rsidRPr="00F06C8B">
        <w:rPr>
          <w:szCs w:val="24"/>
        </w:rPr>
        <w:t xml:space="preserve">investments in emerging technologies and industries, investments that support Australia’s </w:t>
      </w:r>
      <w:r w:rsidR="00F06C8B" w:rsidRPr="00580D2F">
        <w:rPr>
          <w:szCs w:val="24"/>
        </w:rPr>
        <w:t>strategic interests</w:t>
      </w:r>
      <w:r w:rsidR="00FE7E8D">
        <w:rPr>
          <w:szCs w:val="24"/>
        </w:rPr>
        <w:t xml:space="preserve"> (</w:t>
      </w:r>
      <w:proofErr w:type="gramStart"/>
      <w:r w:rsidR="00FE7E8D">
        <w:rPr>
          <w:szCs w:val="24"/>
        </w:rPr>
        <w:t>e.g.</w:t>
      </w:r>
      <w:proofErr w:type="gramEnd"/>
      <w:r w:rsidR="00FE7E8D">
        <w:rPr>
          <w:szCs w:val="24"/>
        </w:rPr>
        <w:t xml:space="preserve"> </w:t>
      </w:r>
      <w:r w:rsidR="00580D2F">
        <w:rPr>
          <w:szCs w:val="24"/>
        </w:rPr>
        <w:t>investments in support of</w:t>
      </w:r>
      <w:r w:rsidR="00FE7E8D">
        <w:rPr>
          <w:szCs w:val="24"/>
        </w:rPr>
        <w:t xml:space="preserve"> Australia’s national security, sovereign capability or supply chain resilience)</w:t>
      </w:r>
      <w:r w:rsidR="00F06C8B" w:rsidRPr="00F06C8B">
        <w:rPr>
          <w:szCs w:val="24"/>
        </w:rPr>
        <w:t>, or projects with longer term payback periods.</w:t>
      </w:r>
    </w:p>
    <w:p w14:paraId="4DF3EC04" w14:textId="2C3FCACB" w:rsidR="00857AD2" w:rsidRDefault="00593966" w:rsidP="00603716">
      <w:pPr>
        <w:spacing w:before="0" w:after="240"/>
        <w:rPr>
          <w:szCs w:val="24"/>
        </w:rPr>
      </w:pPr>
      <w:r>
        <w:rPr>
          <w:szCs w:val="24"/>
        </w:rPr>
        <w:t>When considering the Portfolio risk outline in the Mandate, t</w:t>
      </w:r>
      <w:r w:rsidR="00857AD2">
        <w:rPr>
          <w:szCs w:val="24"/>
        </w:rPr>
        <w:t>he</w:t>
      </w:r>
      <w:r w:rsidR="008A231F">
        <w:rPr>
          <w:szCs w:val="24"/>
        </w:rPr>
        <w:t xml:space="preserve"> </w:t>
      </w:r>
      <w:r w:rsidR="00857AD2">
        <w:rPr>
          <w:szCs w:val="24"/>
        </w:rPr>
        <w:t>C</w:t>
      </w:r>
      <w:r w:rsidR="008A231F">
        <w:rPr>
          <w:szCs w:val="24"/>
        </w:rPr>
        <w:t>orporation</w:t>
      </w:r>
      <w:r w:rsidR="00857AD2">
        <w:rPr>
          <w:szCs w:val="24"/>
        </w:rPr>
        <w:t xml:space="preserve"> will make a range of investments</w:t>
      </w:r>
      <w:r w:rsidR="003E43C0">
        <w:rPr>
          <w:szCs w:val="24"/>
        </w:rPr>
        <w:t>, including</w:t>
      </w:r>
      <w:r w:rsidR="00D943E9">
        <w:rPr>
          <w:szCs w:val="24"/>
        </w:rPr>
        <w:t xml:space="preserve"> those aimed at transforming</w:t>
      </w:r>
      <w:r w:rsidR="003E43C0">
        <w:rPr>
          <w:szCs w:val="24"/>
        </w:rPr>
        <w:t xml:space="preserve"> Australia’s industry and economy. Some of these investments will be in</w:t>
      </w:r>
      <w:r w:rsidR="00857AD2">
        <w:rPr>
          <w:szCs w:val="24"/>
        </w:rPr>
        <w:t xml:space="preserve"> emerging technologies and technically complex projects that carry higher risk</w:t>
      </w:r>
      <w:r>
        <w:rPr>
          <w:szCs w:val="24"/>
        </w:rPr>
        <w:t xml:space="preserve"> than what the market might typically accept</w:t>
      </w:r>
      <w:r w:rsidR="00857AD2">
        <w:rPr>
          <w:szCs w:val="24"/>
        </w:rPr>
        <w:t>.</w:t>
      </w:r>
      <w:r w:rsidR="0086737C">
        <w:rPr>
          <w:szCs w:val="24"/>
        </w:rPr>
        <w:t xml:space="preserve"> </w:t>
      </w:r>
      <w:r w:rsidR="00857AD2">
        <w:rPr>
          <w:szCs w:val="24"/>
        </w:rPr>
        <w:t>Consequently</w:t>
      </w:r>
      <w:r w:rsidR="0083122B">
        <w:rPr>
          <w:szCs w:val="24"/>
        </w:rPr>
        <w:t>,</w:t>
      </w:r>
      <w:r w:rsidR="00857AD2">
        <w:rPr>
          <w:szCs w:val="24"/>
        </w:rPr>
        <w:t xml:space="preserve"> in practice this will involve some short-term volatility in the Corporation’s returns, including </w:t>
      </w:r>
      <w:r w:rsidR="003E43C0">
        <w:rPr>
          <w:szCs w:val="24"/>
        </w:rPr>
        <w:t xml:space="preserve">losses </w:t>
      </w:r>
      <w:r w:rsidR="00641526">
        <w:rPr>
          <w:szCs w:val="24"/>
        </w:rPr>
        <w:t xml:space="preserve">or provisions </w:t>
      </w:r>
      <w:r w:rsidR="003E43C0">
        <w:rPr>
          <w:szCs w:val="24"/>
        </w:rPr>
        <w:t xml:space="preserve">in some projects and </w:t>
      </w:r>
      <w:r w:rsidR="00857AD2">
        <w:rPr>
          <w:szCs w:val="24"/>
        </w:rPr>
        <w:t>the possibility of losses in some years</w:t>
      </w:r>
      <w:r w:rsidR="0004646E">
        <w:rPr>
          <w:szCs w:val="24"/>
        </w:rPr>
        <w:t xml:space="preserve"> where there is significantly worse asset performance than expected</w:t>
      </w:r>
      <w:r w:rsidR="00857AD2">
        <w:rPr>
          <w:szCs w:val="24"/>
        </w:rPr>
        <w:t>.</w:t>
      </w:r>
      <w:r w:rsidR="00D86DC1">
        <w:rPr>
          <w:szCs w:val="24"/>
        </w:rPr>
        <w:t xml:space="preserve"> </w:t>
      </w:r>
      <w:r w:rsidR="0096555B">
        <w:rPr>
          <w:szCs w:val="24"/>
        </w:rPr>
        <w:t>This includes</w:t>
      </w:r>
      <w:r w:rsidR="00D86DC1">
        <w:rPr>
          <w:szCs w:val="24"/>
        </w:rPr>
        <w:t xml:space="preserve"> potential losses in the early years, which in part reflects why the </w:t>
      </w:r>
      <w:r w:rsidR="008A231F">
        <w:rPr>
          <w:szCs w:val="24"/>
        </w:rPr>
        <w:t xml:space="preserve">Corporation’s </w:t>
      </w:r>
      <w:r w:rsidR="00D86DC1">
        <w:rPr>
          <w:szCs w:val="24"/>
        </w:rPr>
        <w:t xml:space="preserve">portfolio benchmark return is measured over the medium to long term. </w:t>
      </w:r>
    </w:p>
    <w:p w14:paraId="5FD0BC90" w14:textId="295C17CB" w:rsidR="00727036" w:rsidRDefault="0096336F" w:rsidP="00603716">
      <w:pPr>
        <w:spacing w:before="0" w:after="240"/>
        <w:rPr>
          <w:szCs w:val="24"/>
        </w:rPr>
      </w:pPr>
      <w:r>
        <w:rPr>
          <w:szCs w:val="24"/>
        </w:rPr>
        <w:t xml:space="preserve">In recognition of any volatility </w:t>
      </w:r>
      <w:r w:rsidR="00794EC9">
        <w:rPr>
          <w:szCs w:val="24"/>
        </w:rPr>
        <w:t>in the Corporation’s returns</w:t>
      </w:r>
      <w:r w:rsidR="00CA0720">
        <w:rPr>
          <w:szCs w:val="24"/>
        </w:rPr>
        <w:t>,</w:t>
      </w:r>
      <w:r w:rsidR="00794EC9">
        <w:rPr>
          <w:szCs w:val="24"/>
        </w:rPr>
        <w:t xml:space="preserve"> </w:t>
      </w:r>
      <w:r w:rsidR="0083122B">
        <w:rPr>
          <w:szCs w:val="24"/>
        </w:rPr>
        <w:t>s</w:t>
      </w:r>
      <w:r w:rsidR="006F1509">
        <w:rPr>
          <w:szCs w:val="24"/>
        </w:rPr>
        <w:t xml:space="preserve">ubsection 9(4) </w:t>
      </w:r>
      <w:r w:rsidR="002C4D9F">
        <w:rPr>
          <w:szCs w:val="24"/>
        </w:rPr>
        <w:t>sets out</w:t>
      </w:r>
      <w:r w:rsidR="0079770A">
        <w:rPr>
          <w:szCs w:val="24"/>
        </w:rPr>
        <w:t xml:space="preserve"> the</w:t>
      </w:r>
      <w:r w:rsidR="00727036">
        <w:rPr>
          <w:szCs w:val="24"/>
        </w:rPr>
        <w:t xml:space="preserve"> Government’s </w:t>
      </w:r>
      <w:r w:rsidR="002F3645">
        <w:rPr>
          <w:szCs w:val="24"/>
        </w:rPr>
        <w:t>direction</w:t>
      </w:r>
      <w:r w:rsidR="00727036">
        <w:rPr>
          <w:szCs w:val="24"/>
        </w:rPr>
        <w:t xml:space="preserve"> that the</w:t>
      </w:r>
      <w:r w:rsidR="00727036" w:rsidRPr="00727036">
        <w:rPr>
          <w:szCs w:val="24"/>
        </w:rPr>
        <w:t xml:space="preserve"> Corporation </w:t>
      </w:r>
      <w:r w:rsidR="00727036">
        <w:rPr>
          <w:szCs w:val="24"/>
        </w:rPr>
        <w:t xml:space="preserve">will </w:t>
      </w:r>
      <w:r w:rsidR="00727036" w:rsidRPr="00727036">
        <w:rPr>
          <w:szCs w:val="24"/>
        </w:rPr>
        <w:t xml:space="preserve">periodically review </w:t>
      </w:r>
      <w:r w:rsidR="00BA628A">
        <w:rPr>
          <w:szCs w:val="24"/>
        </w:rPr>
        <w:t xml:space="preserve">its </w:t>
      </w:r>
      <w:r w:rsidR="00727036" w:rsidRPr="00727036">
        <w:rPr>
          <w:szCs w:val="24"/>
        </w:rPr>
        <w:t xml:space="preserve">investment </w:t>
      </w:r>
      <w:r w:rsidR="00641526">
        <w:rPr>
          <w:szCs w:val="24"/>
        </w:rPr>
        <w:t xml:space="preserve">and operational </w:t>
      </w:r>
      <w:r w:rsidR="00727036" w:rsidRPr="00727036">
        <w:rPr>
          <w:szCs w:val="24"/>
        </w:rPr>
        <w:t xml:space="preserve">practices for the purposes of managing the risk of </w:t>
      </w:r>
      <w:r w:rsidR="00BA628A">
        <w:rPr>
          <w:szCs w:val="24"/>
        </w:rPr>
        <w:t xml:space="preserve">its </w:t>
      </w:r>
      <w:r w:rsidR="00727036" w:rsidRPr="00727036">
        <w:rPr>
          <w:szCs w:val="24"/>
        </w:rPr>
        <w:t>portfolio over time.</w:t>
      </w:r>
    </w:p>
    <w:p w14:paraId="01FAE625" w14:textId="77296DA7" w:rsidR="008619AC" w:rsidRDefault="008619AC" w:rsidP="00946B6F">
      <w:pPr>
        <w:pStyle w:val="Heading4"/>
      </w:pPr>
      <w:r w:rsidRPr="000D4C72">
        <w:t xml:space="preserve">Section </w:t>
      </w:r>
      <w:r w:rsidR="00867243">
        <w:t>10</w:t>
      </w:r>
      <w:r w:rsidRPr="000D4C72">
        <w:t xml:space="preserve"> </w:t>
      </w:r>
      <w:r w:rsidR="000D4C72" w:rsidRPr="000D4C72">
        <w:t>–</w:t>
      </w:r>
      <w:r w:rsidRPr="000D4C72">
        <w:t xml:space="preserve"> </w:t>
      </w:r>
      <w:r w:rsidR="000D4C72" w:rsidRPr="000D4C72">
        <w:t xml:space="preserve">Investment </w:t>
      </w:r>
      <w:r w:rsidR="00960E7A">
        <w:t>c</w:t>
      </w:r>
      <w:r w:rsidR="00960E7A" w:rsidRPr="000D4C72">
        <w:t>onsiderations</w:t>
      </w:r>
    </w:p>
    <w:p w14:paraId="5804C83C" w14:textId="06FB9C6A" w:rsidR="00E91A50" w:rsidRDefault="00860892" w:rsidP="00E91A50">
      <w:pPr>
        <w:spacing w:before="0" w:after="240"/>
        <w:rPr>
          <w:szCs w:val="24"/>
        </w:rPr>
      </w:pPr>
      <w:r>
        <w:rPr>
          <w:szCs w:val="24"/>
        </w:rPr>
        <w:t xml:space="preserve">Section </w:t>
      </w:r>
      <w:r w:rsidR="00595E4D">
        <w:rPr>
          <w:szCs w:val="24"/>
        </w:rPr>
        <w:t>10</w:t>
      </w:r>
      <w:r>
        <w:rPr>
          <w:szCs w:val="24"/>
        </w:rPr>
        <w:t xml:space="preserve"> sets out </w:t>
      </w:r>
      <w:r w:rsidR="0056264B">
        <w:rPr>
          <w:szCs w:val="24"/>
        </w:rPr>
        <w:t>the</w:t>
      </w:r>
      <w:r>
        <w:rPr>
          <w:szCs w:val="24"/>
        </w:rPr>
        <w:t xml:space="preserve"> considerations the Corporation </w:t>
      </w:r>
      <w:r w:rsidR="00704BE8">
        <w:rPr>
          <w:szCs w:val="24"/>
        </w:rPr>
        <w:t xml:space="preserve">must </w:t>
      </w:r>
      <w:proofErr w:type="gramStart"/>
      <w:r>
        <w:rPr>
          <w:szCs w:val="24"/>
        </w:rPr>
        <w:t>take into account</w:t>
      </w:r>
      <w:proofErr w:type="gramEnd"/>
      <w:r>
        <w:rPr>
          <w:szCs w:val="24"/>
        </w:rPr>
        <w:t xml:space="preserve"> when </w:t>
      </w:r>
      <w:r w:rsidR="00A07E36">
        <w:rPr>
          <w:szCs w:val="24"/>
        </w:rPr>
        <w:t>carrying out its investment practices</w:t>
      </w:r>
      <w:r w:rsidR="000447E5">
        <w:rPr>
          <w:szCs w:val="24"/>
        </w:rPr>
        <w:t>.</w:t>
      </w:r>
    </w:p>
    <w:p w14:paraId="05EEB1E2" w14:textId="1A73DA7C" w:rsidR="000447E5" w:rsidRDefault="000447E5" w:rsidP="00E91A50">
      <w:pPr>
        <w:spacing w:before="0" w:after="240"/>
        <w:rPr>
          <w:szCs w:val="24"/>
        </w:rPr>
      </w:pPr>
      <w:r>
        <w:rPr>
          <w:szCs w:val="24"/>
        </w:rPr>
        <w:t xml:space="preserve">Subsection 10(1) provides that the Corporation must </w:t>
      </w:r>
      <w:r w:rsidRPr="000447E5">
        <w:rPr>
          <w:szCs w:val="24"/>
        </w:rPr>
        <w:t xml:space="preserve">have regard to the matters set out in subsection 17(3A) </w:t>
      </w:r>
      <w:r>
        <w:rPr>
          <w:szCs w:val="24"/>
        </w:rPr>
        <w:t xml:space="preserve">of </w:t>
      </w:r>
      <w:r w:rsidRPr="000447E5">
        <w:rPr>
          <w:szCs w:val="24"/>
        </w:rPr>
        <w:t xml:space="preserve">the </w:t>
      </w:r>
      <w:r>
        <w:rPr>
          <w:szCs w:val="24"/>
        </w:rPr>
        <w:t>NRF</w:t>
      </w:r>
      <w:r w:rsidR="00426E3C">
        <w:rPr>
          <w:szCs w:val="24"/>
        </w:rPr>
        <w:t>C</w:t>
      </w:r>
      <w:r>
        <w:rPr>
          <w:szCs w:val="24"/>
        </w:rPr>
        <w:t xml:space="preserve"> </w:t>
      </w:r>
      <w:r w:rsidRPr="000447E5">
        <w:rPr>
          <w:szCs w:val="24"/>
        </w:rPr>
        <w:t>Act</w:t>
      </w:r>
      <w:r>
        <w:rPr>
          <w:szCs w:val="24"/>
        </w:rPr>
        <w:t>, namely:</w:t>
      </w:r>
    </w:p>
    <w:p w14:paraId="07BE5F96" w14:textId="77777777" w:rsidR="000447E5" w:rsidRDefault="000447E5" w:rsidP="000447E5">
      <w:pPr>
        <w:pStyle w:val="ListParagraph"/>
        <w:numPr>
          <w:ilvl w:val="0"/>
          <w:numId w:val="17"/>
        </w:numPr>
        <w:spacing w:before="0" w:after="240"/>
        <w:rPr>
          <w:szCs w:val="24"/>
        </w:rPr>
      </w:pPr>
      <w:r w:rsidRPr="000447E5">
        <w:rPr>
          <w:szCs w:val="24"/>
        </w:rPr>
        <w:t>the desirability of transforming Australia’s industry and economy by:</w:t>
      </w:r>
    </w:p>
    <w:p w14:paraId="258970AA" w14:textId="192B33E1" w:rsidR="000447E5" w:rsidRDefault="000447E5" w:rsidP="000447E5">
      <w:pPr>
        <w:pStyle w:val="ListParagraph"/>
        <w:numPr>
          <w:ilvl w:val="0"/>
          <w:numId w:val="18"/>
        </w:numPr>
        <w:spacing w:before="0" w:after="240"/>
        <w:ind w:left="1134" w:hanging="414"/>
        <w:rPr>
          <w:szCs w:val="24"/>
        </w:rPr>
      </w:pPr>
      <w:r w:rsidRPr="000447E5">
        <w:rPr>
          <w:szCs w:val="24"/>
        </w:rPr>
        <w:t>growing or improving Australia’s industrial capability</w:t>
      </w:r>
      <w:r w:rsidR="002267F4">
        <w:rPr>
          <w:rStyle w:val="FootnoteReference"/>
          <w:szCs w:val="24"/>
        </w:rPr>
        <w:footnoteReference w:id="9"/>
      </w:r>
      <w:r w:rsidRPr="000447E5">
        <w:rPr>
          <w:szCs w:val="24"/>
        </w:rPr>
        <w:t>; or</w:t>
      </w:r>
    </w:p>
    <w:p w14:paraId="545E0BCB" w14:textId="442E8FAF" w:rsidR="000447E5" w:rsidRDefault="000447E5" w:rsidP="000447E5">
      <w:pPr>
        <w:pStyle w:val="ListParagraph"/>
        <w:numPr>
          <w:ilvl w:val="0"/>
          <w:numId w:val="18"/>
        </w:numPr>
        <w:spacing w:before="0" w:after="240"/>
        <w:ind w:left="1134" w:hanging="414"/>
        <w:rPr>
          <w:szCs w:val="24"/>
        </w:rPr>
      </w:pPr>
      <w:r w:rsidRPr="000447E5">
        <w:rPr>
          <w:szCs w:val="24"/>
        </w:rPr>
        <w:t>improving Australian industry’s ability to pursue value-adding opportunities</w:t>
      </w:r>
      <w:r w:rsidR="002267F4">
        <w:rPr>
          <w:rStyle w:val="FootnoteReference"/>
          <w:szCs w:val="24"/>
        </w:rPr>
        <w:footnoteReference w:id="10"/>
      </w:r>
      <w:r w:rsidRPr="000447E5">
        <w:rPr>
          <w:szCs w:val="24"/>
        </w:rPr>
        <w:t>; or</w:t>
      </w:r>
    </w:p>
    <w:p w14:paraId="3012AFBA" w14:textId="64F468C6" w:rsidR="000447E5" w:rsidRPr="000447E5" w:rsidRDefault="000447E5" w:rsidP="000447E5">
      <w:pPr>
        <w:pStyle w:val="ListParagraph"/>
        <w:numPr>
          <w:ilvl w:val="0"/>
          <w:numId w:val="18"/>
        </w:numPr>
        <w:spacing w:before="0" w:after="240"/>
        <w:ind w:left="1134" w:hanging="414"/>
        <w:rPr>
          <w:szCs w:val="24"/>
        </w:rPr>
      </w:pPr>
      <w:r w:rsidRPr="000447E5">
        <w:rPr>
          <w:szCs w:val="24"/>
        </w:rPr>
        <w:t>supporting a long-term improvement in Australia’s economic diversity;</w:t>
      </w:r>
      <w:r w:rsidR="000C4C78">
        <w:rPr>
          <w:szCs w:val="24"/>
        </w:rPr>
        <w:t xml:space="preserve"> </w:t>
      </w:r>
      <w:r w:rsidRPr="000447E5">
        <w:rPr>
          <w:szCs w:val="24"/>
        </w:rPr>
        <w:t>and</w:t>
      </w:r>
    </w:p>
    <w:p w14:paraId="62B8A1D9" w14:textId="41C5961A" w:rsidR="000447E5" w:rsidRPr="000447E5" w:rsidRDefault="000447E5" w:rsidP="000C4C78">
      <w:pPr>
        <w:pStyle w:val="ListParagraph"/>
        <w:numPr>
          <w:ilvl w:val="0"/>
          <w:numId w:val="17"/>
        </w:numPr>
        <w:spacing w:before="0" w:after="240"/>
        <w:rPr>
          <w:szCs w:val="24"/>
        </w:rPr>
      </w:pPr>
      <w:r w:rsidRPr="000447E5">
        <w:rPr>
          <w:szCs w:val="24"/>
        </w:rPr>
        <w:t>the desirability of attracting private sector finance or investments into the</w:t>
      </w:r>
      <w:r w:rsidR="000C4C78">
        <w:rPr>
          <w:szCs w:val="24"/>
        </w:rPr>
        <w:t xml:space="preserve"> </w:t>
      </w:r>
      <w:r w:rsidRPr="000447E5">
        <w:rPr>
          <w:szCs w:val="24"/>
        </w:rPr>
        <w:t>priority areas of the Australian economy; and</w:t>
      </w:r>
    </w:p>
    <w:p w14:paraId="5959EAF2" w14:textId="77777777" w:rsidR="000C4C78" w:rsidRDefault="000447E5" w:rsidP="000447E5">
      <w:pPr>
        <w:pStyle w:val="ListParagraph"/>
        <w:numPr>
          <w:ilvl w:val="0"/>
          <w:numId w:val="17"/>
        </w:numPr>
        <w:spacing w:before="0" w:after="240"/>
        <w:rPr>
          <w:szCs w:val="24"/>
        </w:rPr>
      </w:pPr>
      <w:r w:rsidRPr="000447E5">
        <w:rPr>
          <w:szCs w:val="24"/>
        </w:rPr>
        <w:t>Australia’s greenhouse gas emissions reduction targets and the desirability of supporting decarbonisation; and</w:t>
      </w:r>
    </w:p>
    <w:p w14:paraId="67F5C5B1" w14:textId="77777777" w:rsidR="000C4C78" w:rsidRDefault="000447E5" w:rsidP="000447E5">
      <w:pPr>
        <w:pStyle w:val="ListParagraph"/>
        <w:numPr>
          <w:ilvl w:val="0"/>
          <w:numId w:val="17"/>
        </w:numPr>
        <w:spacing w:before="0" w:after="240"/>
        <w:rPr>
          <w:szCs w:val="24"/>
        </w:rPr>
      </w:pPr>
      <w:r w:rsidRPr="000C4C78">
        <w:rPr>
          <w:szCs w:val="24"/>
        </w:rPr>
        <w:lastRenderedPageBreak/>
        <w:t>the desirability of creating secure jobs and a skilled and adaptable workforce; an</w:t>
      </w:r>
      <w:r w:rsidR="000C4C78">
        <w:rPr>
          <w:szCs w:val="24"/>
        </w:rPr>
        <w:t>d</w:t>
      </w:r>
    </w:p>
    <w:p w14:paraId="1BB27201" w14:textId="77777777" w:rsidR="000C4C78" w:rsidRDefault="000447E5" w:rsidP="000447E5">
      <w:pPr>
        <w:pStyle w:val="ListParagraph"/>
        <w:numPr>
          <w:ilvl w:val="0"/>
          <w:numId w:val="17"/>
        </w:numPr>
        <w:spacing w:before="0" w:after="240"/>
        <w:rPr>
          <w:szCs w:val="24"/>
        </w:rPr>
      </w:pPr>
      <w:r w:rsidRPr="000C4C78">
        <w:rPr>
          <w:szCs w:val="24"/>
        </w:rPr>
        <w:t>the desirability of enhancing Australia’s resilience against supply chain vulnerabilities; and</w:t>
      </w:r>
    </w:p>
    <w:p w14:paraId="647FFC01" w14:textId="27CC4317" w:rsidR="000447E5" w:rsidRPr="000C4C78" w:rsidRDefault="000447E5" w:rsidP="000447E5">
      <w:pPr>
        <w:pStyle w:val="ListParagraph"/>
        <w:numPr>
          <w:ilvl w:val="0"/>
          <w:numId w:val="17"/>
        </w:numPr>
        <w:spacing w:before="0" w:after="240"/>
        <w:rPr>
          <w:szCs w:val="24"/>
        </w:rPr>
      </w:pPr>
      <w:r w:rsidRPr="000C4C78">
        <w:rPr>
          <w:szCs w:val="24"/>
        </w:rPr>
        <w:t>the desirability of encouraging the commercialisation of Australian innovation and technology</w:t>
      </w:r>
      <w:r w:rsidR="000C4C78">
        <w:rPr>
          <w:szCs w:val="24"/>
        </w:rPr>
        <w:t>.</w:t>
      </w:r>
    </w:p>
    <w:p w14:paraId="6EC4B719" w14:textId="3AA80F84" w:rsidR="000C4C78" w:rsidRPr="000C4C78" w:rsidRDefault="000C4C78" w:rsidP="000C4C78">
      <w:pPr>
        <w:spacing w:before="0" w:after="240"/>
        <w:rPr>
          <w:szCs w:val="24"/>
        </w:rPr>
      </w:pPr>
      <w:r w:rsidRPr="000C4C78">
        <w:rPr>
          <w:szCs w:val="24"/>
        </w:rPr>
        <w:t xml:space="preserve">Subsection 10(1) </w:t>
      </w:r>
      <w:r>
        <w:rPr>
          <w:szCs w:val="24"/>
        </w:rPr>
        <w:t xml:space="preserve">also </w:t>
      </w:r>
      <w:r w:rsidR="00402B1D">
        <w:rPr>
          <w:szCs w:val="24"/>
        </w:rPr>
        <w:t>refers to subsection 17(4) of the NRF</w:t>
      </w:r>
      <w:r w:rsidR="0083122B">
        <w:rPr>
          <w:szCs w:val="24"/>
        </w:rPr>
        <w:t>C</w:t>
      </w:r>
      <w:r w:rsidR="00402B1D">
        <w:rPr>
          <w:szCs w:val="24"/>
        </w:rPr>
        <w:t xml:space="preserve"> Act, </w:t>
      </w:r>
      <w:r w:rsidRPr="000C4C78">
        <w:rPr>
          <w:szCs w:val="24"/>
        </w:rPr>
        <w:t>provid</w:t>
      </w:r>
      <w:r w:rsidR="00402B1D">
        <w:rPr>
          <w:szCs w:val="24"/>
        </w:rPr>
        <w:t>ing</w:t>
      </w:r>
      <w:r w:rsidRPr="000C4C78">
        <w:rPr>
          <w:szCs w:val="24"/>
        </w:rPr>
        <w:t xml:space="preserve"> that the Corporation </w:t>
      </w:r>
      <w:r>
        <w:rPr>
          <w:szCs w:val="24"/>
        </w:rPr>
        <w:t xml:space="preserve">must have regard to </w:t>
      </w:r>
      <w:r w:rsidRPr="000C4C78">
        <w:rPr>
          <w:szCs w:val="24"/>
        </w:rPr>
        <w:t>the desirability of encouraging and improving economic participation by historically underrepresented groups, including:</w:t>
      </w:r>
    </w:p>
    <w:p w14:paraId="0BB11E44" w14:textId="4543A3AF" w:rsidR="000C4C78" w:rsidRPr="000C4C78" w:rsidRDefault="000C4C78" w:rsidP="000C4C78">
      <w:pPr>
        <w:pStyle w:val="ListParagraph"/>
        <w:numPr>
          <w:ilvl w:val="0"/>
          <w:numId w:val="19"/>
        </w:numPr>
        <w:spacing w:before="0" w:after="240"/>
        <w:rPr>
          <w:szCs w:val="24"/>
        </w:rPr>
      </w:pPr>
      <w:r w:rsidRPr="000C4C78">
        <w:rPr>
          <w:szCs w:val="24"/>
        </w:rPr>
        <w:t>women; and</w:t>
      </w:r>
    </w:p>
    <w:p w14:paraId="24E2C4A3" w14:textId="4EEB3E93" w:rsidR="000C4C78" w:rsidRPr="000C4C78" w:rsidRDefault="000C4C78" w:rsidP="000C4C78">
      <w:pPr>
        <w:pStyle w:val="ListParagraph"/>
        <w:numPr>
          <w:ilvl w:val="0"/>
          <w:numId w:val="19"/>
        </w:numPr>
        <w:spacing w:before="0" w:after="240"/>
        <w:rPr>
          <w:szCs w:val="24"/>
        </w:rPr>
      </w:pPr>
      <w:r w:rsidRPr="000C4C78">
        <w:rPr>
          <w:szCs w:val="24"/>
        </w:rPr>
        <w:t>First Nations Australians; and</w:t>
      </w:r>
    </w:p>
    <w:p w14:paraId="2A9E61F4" w14:textId="31CC6A9D" w:rsidR="000C4C78" w:rsidRPr="000C4C78" w:rsidRDefault="000C4C78" w:rsidP="000C4C78">
      <w:pPr>
        <w:pStyle w:val="ListParagraph"/>
        <w:numPr>
          <w:ilvl w:val="0"/>
          <w:numId w:val="19"/>
        </w:numPr>
        <w:spacing w:before="0" w:after="240"/>
        <w:rPr>
          <w:szCs w:val="24"/>
        </w:rPr>
      </w:pPr>
      <w:r w:rsidRPr="000C4C78">
        <w:rPr>
          <w:szCs w:val="24"/>
        </w:rPr>
        <w:t>people with a disability; and</w:t>
      </w:r>
    </w:p>
    <w:p w14:paraId="7AF277C6" w14:textId="0A22E161" w:rsidR="000C4C78" w:rsidRDefault="000C4C78" w:rsidP="000C4C78">
      <w:pPr>
        <w:pStyle w:val="ListParagraph"/>
        <w:numPr>
          <w:ilvl w:val="0"/>
          <w:numId w:val="19"/>
        </w:numPr>
        <w:spacing w:before="0" w:after="240"/>
        <w:rPr>
          <w:szCs w:val="24"/>
        </w:rPr>
      </w:pPr>
      <w:r w:rsidRPr="000C4C78">
        <w:rPr>
          <w:szCs w:val="24"/>
        </w:rPr>
        <w:t>people of culturally and linguistically diverse backgrounds</w:t>
      </w:r>
    </w:p>
    <w:p w14:paraId="5A71EB3B" w14:textId="5F4377B8" w:rsidR="000447E5" w:rsidRDefault="007238AE" w:rsidP="007238AE">
      <w:pPr>
        <w:spacing w:before="0" w:after="240"/>
        <w:rPr>
          <w:szCs w:val="24"/>
        </w:rPr>
      </w:pPr>
      <w:r>
        <w:rPr>
          <w:szCs w:val="24"/>
        </w:rPr>
        <w:t xml:space="preserve">Subsection 10(2) further provides that the </w:t>
      </w:r>
      <w:r w:rsidRPr="007238AE">
        <w:rPr>
          <w:szCs w:val="24"/>
        </w:rPr>
        <w:t>Corporation must also have regard to</w:t>
      </w:r>
      <w:r>
        <w:rPr>
          <w:szCs w:val="24"/>
        </w:rPr>
        <w:t xml:space="preserve"> </w:t>
      </w:r>
      <w:r w:rsidRPr="007238AE">
        <w:rPr>
          <w:szCs w:val="24"/>
        </w:rPr>
        <w:t>the desirability of investments to help support</w:t>
      </w:r>
      <w:r>
        <w:rPr>
          <w:szCs w:val="24"/>
        </w:rPr>
        <w:t xml:space="preserve"> </w:t>
      </w:r>
      <w:r w:rsidR="00FC3803">
        <w:rPr>
          <w:szCs w:val="24"/>
        </w:rPr>
        <w:t xml:space="preserve">sustainability and </w:t>
      </w:r>
      <w:r w:rsidRPr="007238AE">
        <w:rPr>
          <w:szCs w:val="24"/>
        </w:rPr>
        <w:t>circular economy principles and solutions</w:t>
      </w:r>
      <w:r w:rsidR="001C5CD2">
        <w:rPr>
          <w:szCs w:val="24"/>
        </w:rPr>
        <w:t>, and</w:t>
      </w:r>
      <w:r>
        <w:rPr>
          <w:szCs w:val="24"/>
        </w:rPr>
        <w:t xml:space="preserve"> </w:t>
      </w:r>
      <w:r w:rsidRPr="007238AE">
        <w:rPr>
          <w:szCs w:val="24"/>
        </w:rPr>
        <w:t>regional development</w:t>
      </w:r>
      <w:r w:rsidR="001C5CD2">
        <w:rPr>
          <w:szCs w:val="24"/>
        </w:rPr>
        <w:t xml:space="preserve">. The Corporation must also have regard to </w:t>
      </w:r>
      <w:r w:rsidRPr="007238AE">
        <w:rPr>
          <w:szCs w:val="24"/>
        </w:rPr>
        <w:t>national security</w:t>
      </w:r>
      <w:r w:rsidR="00521C42">
        <w:rPr>
          <w:szCs w:val="24"/>
        </w:rPr>
        <w:t>.</w:t>
      </w:r>
      <w:r>
        <w:rPr>
          <w:szCs w:val="24"/>
        </w:rPr>
        <w:t xml:space="preserve"> These </w:t>
      </w:r>
      <w:r w:rsidR="00C7758B">
        <w:rPr>
          <w:szCs w:val="24"/>
        </w:rPr>
        <w:t xml:space="preserve">terms </w:t>
      </w:r>
      <w:r>
        <w:rPr>
          <w:szCs w:val="24"/>
        </w:rPr>
        <w:t>are understood as follows:</w:t>
      </w:r>
    </w:p>
    <w:p w14:paraId="139EBA5A" w14:textId="2F92BF2E" w:rsidR="007238AE" w:rsidRPr="005C5C3C" w:rsidRDefault="007238AE" w:rsidP="007238AE">
      <w:pPr>
        <w:spacing w:before="0" w:after="240"/>
        <w:rPr>
          <w:i/>
          <w:iCs/>
          <w:szCs w:val="24"/>
        </w:rPr>
      </w:pPr>
      <w:r w:rsidRPr="005C5C3C">
        <w:rPr>
          <w:i/>
          <w:iCs/>
          <w:szCs w:val="24"/>
        </w:rPr>
        <w:t>Circular economy</w:t>
      </w:r>
      <w:r w:rsidR="00C7758B">
        <w:rPr>
          <w:i/>
          <w:iCs/>
          <w:szCs w:val="24"/>
        </w:rPr>
        <w:t xml:space="preserve"> </w:t>
      </w:r>
    </w:p>
    <w:p w14:paraId="4B5FCAE6" w14:textId="0177394E" w:rsidR="007238AE" w:rsidRPr="00DB77D4" w:rsidRDefault="00242682" w:rsidP="007238AE">
      <w:pPr>
        <w:spacing w:before="0" w:after="240"/>
        <w:rPr>
          <w:szCs w:val="24"/>
        </w:rPr>
      </w:pPr>
      <w:r w:rsidRPr="00945F89">
        <w:rPr>
          <w:szCs w:val="24"/>
        </w:rPr>
        <w:t>The intention underlying subparagraph 10(2)(a)(i) is to ensure that</w:t>
      </w:r>
      <w:r>
        <w:rPr>
          <w:szCs w:val="24"/>
        </w:rPr>
        <w:t>, i</w:t>
      </w:r>
      <w:r w:rsidR="00D444A7">
        <w:rPr>
          <w:szCs w:val="24"/>
        </w:rPr>
        <w:t xml:space="preserve">n considering its investment activities, the Corporation seek to strengthen Australia’s circular manufacturing capabilities, focusing on: </w:t>
      </w:r>
    </w:p>
    <w:p w14:paraId="34F7C497" w14:textId="6A787AB2" w:rsidR="007238AE" w:rsidRDefault="00B21FAD" w:rsidP="007238AE">
      <w:pPr>
        <w:pStyle w:val="ListParagraph"/>
        <w:numPr>
          <w:ilvl w:val="0"/>
          <w:numId w:val="14"/>
        </w:numPr>
        <w:spacing w:before="0" w:after="240"/>
      </w:pPr>
      <w:r>
        <w:t>R</w:t>
      </w:r>
      <w:r w:rsidR="007238AE">
        <w:t xml:space="preserve">esource efficiency, for example, by supporting projects that design and manufacture products that can be reused, recycled or reprocessed at their end of use and/or those that avoid the creation of waste and pollution. </w:t>
      </w:r>
    </w:p>
    <w:p w14:paraId="2E79D9A1" w14:textId="6B95CA28" w:rsidR="007238AE" w:rsidRPr="00B21FAD" w:rsidRDefault="00B21FAD" w:rsidP="00E91A50">
      <w:pPr>
        <w:pStyle w:val="ListParagraph"/>
        <w:numPr>
          <w:ilvl w:val="0"/>
          <w:numId w:val="14"/>
        </w:numPr>
        <w:spacing w:before="0" w:after="240"/>
        <w:rPr>
          <w:i/>
          <w:iCs/>
          <w:szCs w:val="24"/>
        </w:rPr>
      </w:pPr>
      <w:r>
        <w:t>R</w:t>
      </w:r>
      <w:r w:rsidR="007238AE">
        <w:t>esource circularity, for example, by supporting projects that use recycled content in manufacturing (including from advanced and organic recycling processes).</w:t>
      </w:r>
    </w:p>
    <w:p w14:paraId="2528FF02" w14:textId="7DBAF32D" w:rsidR="00B21FAD" w:rsidRPr="00B21FAD" w:rsidRDefault="00B21FAD" w:rsidP="00B21FAD">
      <w:pPr>
        <w:pStyle w:val="ListParagraph"/>
        <w:numPr>
          <w:ilvl w:val="0"/>
          <w:numId w:val="14"/>
        </w:numPr>
        <w:spacing w:before="0" w:after="240"/>
        <w:rPr>
          <w:szCs w:val="24"/>
        </w:rPr>
      </w:pPr>
      <w:r>
        <w:rPr>
          <w:szCs w:val="24"/>
        </w:rPr>
        <w:t>R</w:t>
      </w:r>
      <w:r w:rsidRPr="00B21FAD">
        <w:rPr>
          <w:szCs w:val="24"/>
        </w:rPr>
        <w:t>esource productivity, for example</w:t>
      </w:r>
      <w:r>
        <w:rPr>
          <w:szCs w:val="24"/>
        </w:rPr>
        <w:t>,</w:t>
      </w:r>
      <w:r w:rsidRPr="00B21FAD">
        <w:rPr>
          <w:szCs w:val="24"/>
        </w:rPr>
        <w:t xml:space="preserve"> by supporting projects that do more with less virgin materials and energy inputs</w:t>
      </w:r>
      <w:r w:rsidR="001D49A1">
        <w:rPr>
          <w:szCs w:val="24"/>
        </w:rPr>
        <w:t>.</w:t>
      </w:r>
      <w:r w:rsidRPr="00B21FAD">
        <w:rPr>
          <w:szCs w:val="24"/>
        </w:rPr>
        <w:t xml:space="preserve"> </w:t>
      </w:r>
    </w:p>
    <w:p w14:paraId="7CA881F6" w14:textId="43867188" w:rsidR="00B21FAD" w:rsidRPr="00B21FAD" w:rsidRDefault="00D444A7" w:rsidP="00B21FAD">
      <w:pPr>
        <w:pStyle w:val="ListParagraph"/>
        <w:numPr>
          <w:ilvl w:val="0"/>
          <w:numId w:val="14"/>
        </w:numPr>
        <w:spacing w:before="0" w:after="240"/>
        <w:rPr>
          <w:szCs w:val="24"/>
        </w:rPr>
      </w:pPr>
      <w:r>
        <w:rPr>
          <w:szCs w:val="24"/>
        </w:rPr>
        <w:t>Resource r</w:t>
      </w:r>
      <w:r w:rsidR="00B21FAD" w:rsidRPr="00B21FAD">
        <w:rPr>
          <w:szCs w:val="24"/>
        </w:rPr>
        <w:t xml:space="preserve">egeneration, for example, by supporting projects that </w:t>
      </w:r>
      <w:r>
        <w:rPr>
          <w:szCs w:val="24"/>
        </w:rPr>
        <w:t>substitute materials and processes that harm the environment</w:t>
      </w:r>
      <w:r w:rsidR="00B21FAD" w:rsidRPr="00B21FAD">
        <w:rPr>
          <w:szCs w:val="24"/>
        </w:rPr>
        <w:t>, with regenerative resources.</w:t>
      </w:r>
    </w:p>
    <w:p w14:paraId="0F58547F" w14:textId="01A83EB2" w:rsidR="00E91A50" w:rsidRPr="001A07B6" w:rsidRDefault="00E91A50" w:rsidP="00E91A50">
      <w:pPr>
        <w:spacing w:before="0" w:after="240"/>
        <w:rPr>
          <w:i/>
          <w:iCs/>
          <w:szCs w:val="24"/>
        </w:rPr>
      </w:pPr>
      <w:r w:rsidRPr="001A07B6">
        <w:rPr>
          <w:i/>
          <w:iCs/>
          <w:szCs w:val="24"/>
        </w:rPr>
        <w:t>Regional development</w:t>
      </w:r>
    </w:p>
    <w:p w14:paraId="6771FDA4" w14:textId="4B765DBD" w:rsidR="00860892" w:rsidRPr="0072246E" w:rsidRDefault="00860892" w:rsidP="0072246E">
      <w:pPr>
        <w:spacing w:before="0" w:after="240"/>
        <w:rPr>
          <w:szCs w:val="24"/>
        </w:rPr>
      </w:pPr>
      <w:r w:rsidRPr="0072246E">
        <w:rPr>
          <w:szCs w:val="24"/>
        </w:rPr>
        <w:t>Regional development</w:t>
      </w:r>
      <w:r w:rsidR="00C44F11" w:rsidRPr="00945F89">
        <w:rPr>
          <w:szCs w:val="24"/>
        </w:rPr>
        <w:t>, as used in subparagraph 10(2)(a)(ii), is intended to refer to</w:t>
      </w:r>
      <w:r w:rsidRPr="0072246E">
        <w:rPr>
          <w:szCs w:val="24"/>
        </w:rPr>
        <w:t xml:space="preserve"> activities that have the potential to support the long-term economic development of Australia’s regions and reduce economic disparities between regions and cities. </w:t>
      </w:r>
    </w:p>
    <w:p w14:paraId="732C89B2" w14:textId="229508B0" w:rsidR="00E91A50" w:rsidRPr="0072246E" w:rsidRDefault="000224FB" w:rsidP="0072246E">
      <w:pPr>
        <w:spacing w:before="0" w:after="240"/>
        <w:rPr>
          <w:szCs w:val="24"/>
        </w:rPr>
      </w:pPr>
      <w:r w:rsidRPr="00945F89">
        <w:rPr>
          <w:szCs w:val="24"/>
        </w:rPr>
        <w:t>The intention underlying subparagraph 10(2)(a)(ii) is to ensure that, i</w:t>
      </w:r>
      <w:r w:rsidR="00E91A50" w:rsidRPr="0072246E">
        <w:rPr>
          <w:szCs w:val="24"/>
        </w:rPr>
        <w:t xml:space="preserve">n considering its investment activities, the Corporation </w:t>
      </w:r>
      <w:r>
        <w:rPr>
          <w:szCs w:val="24"/>
        </w:rPr>
        <w:t xml:space="preserve">has </w:t>
      </w:r>
      <w:r w:rsidR="00E91A50" w:rsidRPr="0072246E">
        <w:rPr>
          <w:szCs w:val="24"/>
        </w:rPr>
        <w:t xml:space="preserve">regard to the Government’s </w:t>
      </w:r>
      <w:r w:rsidR="00AD2ABA" w:rsidRPr="0072246E">
        <w:rPr>
          <w:szCs w:val="24"/>
        </w:rPr>
        <w:t xml:space="preserve">broader </w:t>
      </w:r>
      <w:r w:rsidR="00E91A50" w:rsidRPr="0072246E">
        <w:rPr>
          <w:szCs w:val="24"/>
        </w:rPr>
        <w:t>approach to regional investment, which places regions and their people at the centr</w:t>
      </w:r>
      <w:r w:rsidR="001A07B6" w:rsidRPr="0072246E">
        <w:rPr>
          <w:szCs w:val="24"/>
        </w:rPr>
        <w:t>e</w:t>
      </w:r>
      <w:r w:rsidR="00E91A50" w:rsidRPr="0072246E">
        <w:rPr>
          <w:szCs w:val="24"/>
        </w:rPr>
        <w:t xml:space="preserve"> of decision-making, ensuring investments are locally informed</w:t>
      </w:r>
      <w:r w:rsidR="00917CB8">
        <w:rPr>
          <w:szCs w:val="24"/>
        </w:rPr>
        <w:t>, supported,</w:t>
      </w:r>
      <w:r w:rsidR="00E91A50" w:rsidRPr="0072246E">
        <w:rPr>
          <w:szCs w:val="24"/>
        </w:rPr>
        <w:t xml:space="preserve"> and draw on a region’s unique strengths. </w:t>
      </w:r>
    </w:p>
    <w:p w14:paraId="23B9B995" w14:textId="73EE7AA4" w:rsidR="00342783" w:rsidRDefault="00E91A50" w:rsidP="00AF0205">
      <w:pPr>
        <w:spacing w:before="0" w:after="240"/>
        <w:rPr>
          <w:szCs w:val="24"/>
        </w:rPr>
      </w:pPr>
      <w:r w:rsidRPr="0072246E">
        <w:rPr>
          <w:szCs w:val="24"/>
        </w:rPr>
        <w:lastRenderedPageBreak/>
        <w:t xml:space="preserve">The </w:t>
      </w:r>
      <w:r w:rsidR="006F3CBD" w:rsidRPr="00945F89">
        <w:rPr>
          <w:szCs w:val="24"/>
        </w:rPr>
        <w:t>intention additionally is that</w:t>
      </w:r>
      <w:r w:rsidR="006F3CBD">
        <w:rPr>
          <w:szCs w:val="24"/>
        </w:rPr>
        <w:t xml:space="preserve"> </w:t>
      </w:r>
      <w:r w:rsidRPr="0072246E">
        <w:rPr>
          <w:szCs w:val="24"/>
        </w:rPr>
        <w:t>Corporation consider the broader social and economic context of a region and the potential impacts of its investments</w:t>
      </w:r>
      <w:r w:rsidR="00402558">
        <w:rPr>
          <w:szCs w:val="24"/>
        </w:rPr>
        <w:t xml:space="preserve"> (to inform this, the Corporation should where possible, consider measuring their impacts)</w:t>
      </w:r>
      <w:r w:rsidRPr="0072246E">
        <w:rPr>
          <w:szCs w:val="24"/>
        </w:rPr>
        <w:t>. This includes considering interactions</w:t>
      </w:r>
      <w:r w:rsidR="001649DE">
        <w:rPr>
          <w:szCs w:val="24"/>
        </w:rPr>
        <w:t xml:space="preserve"> </w:t>
      </w:r>
      <w:r w:rsidRPr="0072246E">
        <w:rPr>
          <w:szCs w:val="24"/>
        </w:rPr>
        <w:t>with other p</w:t>
      </w:r>
      <w:r w:rsidR="00AF0205" w:rsidRPr="0072246E">
        <w:rPr>
          <w:szCs w:val="24"/>
        </w:rPr>
        <w:t>ublic or private</w:t>
      </w:r>
      <w:r w:rsidRPr="0072246E">
        <w:rPr>
          <w:szCs w:val="24"/>
        </w:rPr>
        <w:t xml:space="preserve"> investments or activities in the region when evaluating investment proposals. </w:t>
      </w:r>
      <w:r w:rsidR="002459B7">
        <w:rPr>
          <w:szCs w:val="24"/>
        </w:rPr>
        <w:t>Where appropriate, t</w:t>
      </w:r>
      <w:r w:rsidR="00342783">
        <w:rPr>
          <w:szCs w:val="24"/>
        </w:rPr>
        <w:t>he Corporation</w:t>
      </w:r>
      <w:r w:rsidR="00917CB8">
        <w:rPr>
          <w:szCs w:val="24"/>
        </w:rPr>
        <w:t xml:space="preserve"> </w:t>
      </w:r>
      <w:r w:rsidR="00567953">
        <w:rPr>
          <w:szCs w:val="24"/>
        </w:rPr>
        <w:t>should</w:t>
      </w:r>
      <w:r w:rsidR="00917CB8">
        <w:rPr>
          <w:szCs w:val="24"/>
        </w:rPr>
        <w:t xml:space="preserve"> seek to</w:t>
      </w:r>
      <w:r w:rsidR="00342783">
        <w:rPr>
          <w:szCs w:val="24"/>
        </w:rPr>
        <w:t xml:space="preserve"> consult with relevant </w:t>
      </w:r>
      <w:r w:rsidR="00917CB8">
        <w:rPr>
          <w:szCs w:val="24"/>
        </w:rPr>
        <w:t xml:space="preserve">State, Territory or </w:t>
      </w:r>
      <w:r w:rsidR="00342783">
        <w:rPr>
          <w:szCs w:val="24"/>
        </w:rPr>
        <w:t xml:space="preserve">Commonwealth government </w:t>
      </w:r>
      <w:r w:rsidR="00917CB8">
        <w:rPr>
          <w:szCs w:val="24"/>
        </w:rPr>
        <w:t>agencies</w:t>
      </w:r>
      <w:r w:rsidR="00342783">
        <w:rPr>
          <w:szCs w:val="24"/>
        </w:rPr>
        <w:t>,</w:t>
      </w:r>
      <w:r w:rsidR="00917CB8">
        <w:rPr>
          <w:szCs w:val="24"/>
        </w:rPr>
        <w:t xml:space="preserve"> to ensure its investments complement existing public or private investment activities in the region (see also sections 11 and 13</w:t>
      </w:r>
      <w:r w:rsidR="00745E67">
        <w:rPr>
          <w:szCs w:val="24"/>
        </w:rPr>
        <w:t xml:space="preserve"> of the</w:t>
      </w:r>
      <w:r w:rsidR="00432A9B">
        <w:rPr>
          <w:szCs w:val="24"/>
        </w:rPr>
        <w:t> </w:t>
      </w:r>
      <w:r w:rsidR="00745E67">
        <w:rPr>
          <w:szCs w:val="24"/>
        </w:rPr>
        <w:t>Mandate</w:t>
      </w:r>
      <w:r w:rsidR="00917CB8">
        <w:rPr>
          <w:szCs w:val="24"/>
        </w:rPr>
        <w:t>).</w:t>
      </w:r>
    </w:p>
    <w:p w14:paraId="2332A2BE" w14:textId="3690B47C" w:rsidR="006A7A3B" w:rsidRPr="00B87FEA" w:rsidRDefault="006A7A3B" w:rsidP="00B87FEA">
      <w:pPr>
        <w:spacing w:before="0" w:after="240"/>
        <w:rPr>
          <w:i/>
          <w:iCs/>
          <w:szCs w:val="24"/>
        </w:rPr>
      </w:pPr>
      <w:r w:rsidRPr="00B87FEA">
        <w:rPr>
          <w:i/>
          <w:iCs/>
          <w:szCs w:val="24"/>
        </w:rPr>
        <w:t xml:space="preserve">National </w:t>
      </w:r>
      <w:r w:rsidR="00A0603B">
        <w:rPr>
          <w:i/>
          <w:iCs/>
          <w:szCs w:val="24"/>
        </w:rPr>
        <w:t>s</w:t>
      </w:r>
      <w:r w:rsidRPr="00B87FEA">
        <w:rPr>
          <w:i/>
          <w:iCs/>
          <w:szCs w:val="24"/>
        </w:rPr>
        <w:t>ecurity</w:t>
      </w:r>
    </w:p>
    <w:p w14:paraId="4F735C41" w14:textId="4115B606" w:rsidR="0044126C" w:rsidRDefault="0009727E" w:rsidP="00226A79">
      <w:pPr>
        <w:spacing w:before="0" w:after="240"/>
        <w:rPr>
          <w:szCs w:val="24"/>
        </w:rPr>
      </w:pPr>
      <w:r>
        <w:rPr>
          <w:szCs w:val="24"/>
        </w:rPr>
        <w:t>The</w:t>
      </w:r>
      <w:r w:rsidR="0044126C">
        <w:rPr>
          <w:szCs w:val="24"/>
        </w:rPr>
        <w:t xml:space="preserve"> </w:t>
      </w:r>
      <w:r w:rsidR="00A935C0">
        <w:rPr>
          <w:szCs w:val="24"/>
        </w:rPr>
        <w:t>Corporation’s</w:t>
      </w:r>
      <w:r w:rsidR="0044126C">
        <w:rPr>
          <w:szCs w:val="24"/>
        </w:rPr>
        <w:t xml:space="preserve"> investment activity could </w:t>
      </w:r>
      <w:r w:rsidR="004D035F">
        <w:rPr>
          <w:szCs w:val="24"/>
        </w:rPr>
        <w:t>provide</w:t>
      </w:r>
      <w:r w:rsidR="0044126C">
        <w:rPr>
          <w:szCs w:val="24"/>
        </w:rPr>
        <w:t xml:space="preserve"> financing to an entity which produces technologies, products or services </w:t>
      </w:r>
      <w:r w:rsidR="004D035F">
        <w:rPr>
          <w:szCs w:val="24"/>
        </w:rPr>
        <w:t>that</w:t>
      </w:r>
      <w:r w:rsidR="0044126C">
        <w:rPr>
          <w:szCs w:val="24"/>
        </w:rPr>
        <w:t xml:space="preserve"> could be used for purposes that are contrary to Australia’s national security. </w:t>
      </w:r>
      <w:r w:rsidR="00143342">
        <w:rPr>
          <w:szCs w:val="24"/>
        </w:rPr>
        <w:t>For this reason, i</w:t>
      </w:r>
      <w:r w:rsidR="0044126C">
        <w:rPr>
          <w:szCs w:val="24"/>
        </w:rPr>
        <w:t>n consider</w:t>
      </w:r>
      <w:r w:rsidR="008345FC">
        <w:rPr>
          <w:szCs w:val="24"/>
        </w:rPr>
        <w:t>ing</w:t>
      </w:r>
      <w:r w:rsidR="0044126C">
        <w:rPr>
          <w:szCs w:val="24"/>
        </w:rPr>
        <w:t xml:space="preserve"> its investment activities, the Corporation must also have regard to national security, </w:t>
      </w:r>
      <w:r w:rsidR="00EE6799">
        <w:rPr>
          <w:szCs w:val="24"/>
        </w:rPr>
        <w:t>for example by</w:t>
      </w:r>
      <w:r w:rsidR="0044126C">
        <w:rPr>
          <w:szCs w:val="24"/>
        </w:rPr>
        <w:t xml:space="preserve"> conducting national security assessments as part of its risk management</w:t>
      </w:r>
      <w:r w:rsidR="00580002">
        <w:rPr>
          <w:szCs w:val="24"/>
        </w:rPr>
        <w:t xml:space="preserve"> processes</w:t>
      </w:r>
      <w:r w:rsidR="0044126C">
        <w:rPr>
          <w:szCs w:val="24"/>
        </w:rPr>
        <w:t xml:space="preserve">. </w:t>
      </w:r>
      <w:r w:rsidR="00143342">
        <w:rPr>
          <w:szCs w:val="24"/>
        </w:rPr>
        <w:t xml:space="preserve">The </w:t>
      </w:r>
      <w:r w:rsidR="00A935C0">
        <w:rPr>
          <w:szCs w:val="24"/>
        </w:rPr>
        <w:t xml:space="preserve">Corporation </w:t>
      </w:r>
      <w:r w:rsidR="00143342">
        <w:rPr>
          <w:szCs w:val="24"/>
        </w:rPr>
        <w:t xml:space="preserve">may also </w:t>
      </w:r>
      <w:r w:rsidR="000F14BC">
        <w:rPr>
          <w:szCs w:val="24"/>
        </w:rPr>
        <w:t xml:space="preserve">have regard to </w:t>
      </w:r>
      <w:r w:rsidR="00143342">
        <w:rPr>
          <w:szCs w:val="24"/>
        </w:rPr>
        <w:t xml:space="preserve">positive outcomes on national security from a particular investment. </w:t>
      </w:r>
    </w:p>
    <w:p w14:paraId="39F5C017" w14:textId="1F8FFEB5" w:rsidR="000D4C72" w:rsidRDefault="00946B6F" w:rsidP="00946B6F">
      <w:pPr>
        <w:pStyle w:val="Heading4"/>
      </w:pPr>
      <w:r>
        <w:t>Section 1</w:t>
      </w:r>
      <w:r w:rsidR="00867243">
        <w:t>1</w:t>
      </w:r>
      <w:r>
        <w:t xml:space="preserve"> – Corporation must take medium- to long-term </w:t>
      </w:r>
      <w:proofErr w:type="gramStart"/>
      <w:r>
        <w:t>outlook</w:t>
      </w:r>
      <w:proofErr w:type="gramEnd"/>
    </w:p>
    <w:p w14:paraId="0EABF23A" w14:textId="6E5F7017" w:rsidR="00534546" w:rsidRDefault="00453D7C" w:rsidP="00603716">
      <w:pPr>
        <w:spacing w:before="0" w:after="240"/>
        <w:rPr>
          <w:szCs w:val="24"/>
        </w:rPr>
      </w:pPr>
      <w:r>
        <w:rPr>
          <w:szCs w:val="24"/>
        </w:rPr>
        <w:t>S</w:t>
      </w:r>
      <w:r w:rsidR="00507C92">
        <w:rPr>
          <w:szCs w:val="24"/>
        </w:rPr>
        <w:t>ubs</w:t>
      </w:r>
      <w:r>
        <w:rPr>
          <w:szCs w:val="24"/>
        </w:rPr>
        <w:t>ection 1</w:t>
      </w:r>
      <w:r w:rsidR="00B865EE">
        <w:rPr>
          <w:szCs w:val="24"/>
        </w:rPr>
        <w:t>1</w:t>
      </w:r>
      <w:r w:rsidR="00507C92">
        <w:rPr>
          <w:szCs w:val="24"/>
        </w:rPr>
        <w:t>(1)</w:t>
      </w:r>
      <w:r>
        <w:rPr>
          <w:szCs w:val="24"/>
        </w:rPr>
        <w:t xml:space="preserve"> directs th</w:t>
      </w:r>
      <w:r w:rsidR="00D8012C">
        <w:rPr>
          <w:szCs w:val="24"/>
        </w:rPr>
        <w:t xml:space="preserve">e Corporation </w:t>
      </w:r>
      <w:r>
        <w:rPr>
          <w:szCs w:val="24"/>
        </w:rPr>
        <w:t>to</w:t>
      </w:r>
      <w:r w:rsidR="00D8012C">
        <w:rPr>
          <w:szCs w:val="24"/>
        </w:rPr>
        <w:t xml:space="preserve"> take a medium- to long-term outlook in relation to its investment practices. This ensures the Corporation </w:t>
      </w:r>
      <w:r w:rsidR="00966F83">
        <w:rPr>
          <w:szCs w:val="24"/>
        </w:rPr>
        <w:t xml:space="preserve">has the </w:t>
      </w:r>
      <w:r w:rsidR="00D8012C">
        <w:rPr>
          <w:szCs w:val="24"/>
        </w:rPr>
        <w:t xml:space="preserve">flexibility to </w:t>
      </w:r>
      <w:r w:rsidR="00966F83">
        <w:rPr>
          <w:szCs w:val="24"/>
        </w:rPr>
        <w:t xml:space="preserve">offer patient capital to meet </w:t>
      </w:r>
      <w:r w:rsidR="002A707F">
        <w:rPr>
          <w:szCs w:val="24"/>
        </w:rPr>
        <w:t xml:space="preserve">its </w:t>
      </w:r>
      <w:r w:rsidR="00966F83">
        <w:rPr>
          <w:szCs w:val="24"/>
        </w:rPr>
        <w:t xml:space="preserve">policy </w:t>
      </w:r>
      <w:r w:rsidR="002A707F">
        <w:rPr>
          <w:szCs w:val="24"/>
        </w:rPr>
        <w:t>objectives</w:t>
      </w:r>
      <w:r w:rsidR="00D8012C">
        <w:rPr>
          <w:szCs w:val="24"/>
        </w:rPr>
        <w:t xml:space="preserve">. </w:t>
      </w:r>
      <w:r w:rsidR="00534546">
        <w:rPr>
          <w:szCs w:val="24"/>
        </w:rPr>
        <w:t xml:space="preserve">This provision should not be interpreted as preventing the Corporation from providing short-term investments, or a series of several short-term investments to deliver long-term outcomes. </w:t>
      </w:r>
    </w:p>
    <w:p w14:paraId="0BBDF41A" w14:textId="6731172F" w:rsidR="00D8012C" w:rsidRPr="00D8012C" w:rsidRDefault="009651E4" w:rsidP="00603716">
      <w:pPr>
        <w:spacing w:before="0" w:after="240"/>
        <w:rPr>
          <w:szCs w:val="24"/>
        </w:rPr>
      </w:pPr>
      <w:r w:rsidRPr="008A13A7">
        <w:rPr>
          <w:szCs w:val="24"/>
        </w:rPr>
        <w:t>Further, t</w:t>
      </w:r>
      <w:r w:rsidR="00D8012C" w:rsidRPr="008A13A7">
        <w:rPr>
          <w:szCs w:val="24"/>
        </w:rPr>
        <w:t>o ensure that</w:t>
      </w:r>
      <w:r w:rsidR="002A707F" w:rsidRPr="008A13A7">
        <w:rPr>
          <w:szCs w:val="24"/>
        </w:rPr>
        <w:t xml:space="preserve"> the Corporation </w:t>
      </w:r>
      <w:r w:rsidR="00966F83" w:rsidRPr="008A13A7">
        <w:rPr>
          <w:szCs w:val="24"/>
        </w:rPr>
        <w:t xml:space="preserve">does not unduly displace alternative private sector support where such support is </w:t>
      </w:r>
      <w:r w:rsidR="00CB7797" w:rsidRPr="008A13A7">
        <w:rPr>
          <w:szCs w:val="24"/>
        </w:rPr>
        <w:t>present</w:t>
      </w:r>
      <w:r w:rsidR="00641526" w:rsidRPr="008A13A7">
        <w:rPr>
          <w:szCs w:val="24"/>
        </w:rPr>
        <w:t xml:space="preserve"> or emerges</w:t>
      </w:r>
      <w:r w:rsidR="00966F83" w:rsidRPr="008A13A7">
        <w:rPr>
          <w:szCs w:val="24"/>
        </w:rPr>
        <w:t xml:space="preserve">, </w:t>
      </w:r>
      <w:r w:rsidRPr="008A13A7">
        <w:rPr>
          <w:szCs w:val="24"/>
        </w:rPr>
        <w:t>subsection 11(2)</w:t>
      </w:r>
      <w:r w:rsidR="00AD53DF" w:rsidRPr="008A13A7">
        <w:rPr>
          <w:szCs w:val="24"/>
        </w:rPr>
        <w:t xml:space="preserve"> </w:t>
      </w:r>
      <w:r w:rsidR="00966F83" w:rsidRPr="008A13A7">
        <w:rPr>
          <w:szCs w:val="24"/>
        </w:rPr>
        <w:t>preserves the Corporation</w:t>
      </w:r>
      <w:r w:rsidR="00CB7797" w:rsidRPr="008A13A7">
        <w:rPr>
          <w:szCs w:val="24"/>
        </w:rPr>
        <w:t>’s ability</w:t>
      </w:r>
      <w:r w:rsidR="00966F83" w:rsidRPr="008A13A7">
        <w:rPr>
          <w:szCs w:val="24"/>
        </w:rPr>
        <w:t xml:space="preserve"> to take short-term action</w:t>
      </w:r>
      <w:r w:rsidRPr="008A13A7">
        <w:rPr>
          <w:szCs w:val="24"/>
        </w:rPr>
        <w:t>s</w:t>
      </w:r>
      <w:r w:rsidR="00966F83" w:rsidRPr="008A13A7">
        <w:rPr>
          <w:szCs w:val="24"/>
        </w:rPr>
        <w:t xml:space="preserve"> to </w:t>
      </w:r>
      <w:r w:rsidR="001D6995" w:rsidRPr="008A13A7">
        <w:rPr>
          <w:szCs w:val="24"/>
        </w:rPr>
        <w:t xml:space="preserve">make or </w:t>
      </w:r>
      <w:r w:rsidRPr="008A13A7">
        <w:rPr>
          <w:szCs w:val="24"/>
        </w:rPr>
        <w:t xml:space="preserve">realise </w:t>
      </w:r>
      <w:r w:rsidR="00AD53DF" w:rsidRPr="008A13A7">
        <w:rPr>
          <w:szCs w:val="24"/>
        </w:rPr>
        <w:t>investments</w:t>
      </w:r>
      <w:r w:rsidR="006F3CBD" w:rsidRPr="008A13A7">
        <w:rPr>
          <w:szCs w:val="24"/>
        </w:rPr>
        <w:t>,</w:t>
      </w:r>
      <w:r w:rsidR="00AD53DF" w:rsidRPr="008A13A7">
        <w:rPr>
          <w:szCs w:val="24"/>
        </w:rPr>
        <w:t xml:space="preserve"> </w:t>
      </w:r>
      <w:r w:rsidR="00E71D8F" w:rsidRPr="008A13A7">
        <w:rPr>
          <w:szCs w:val="24"/>
        </w:rPr>
        <w:t>for example</w:t>
      </w:r>
      <w:r w:rsidR="006F3CBD" w:rsidRPr="008A13A7">
        <w:rPr>
          <w:szCs w:val="24"/>
        </w:rPr>
        <w:t>,</w:t>
      </w:r>
      <w:r w:rsidR="00E71D8F" w:rsidRPr="008A13A7">
        <w:rPr>
          <w:szCs w:val="24"/>
        </w:rPr>
        <w:t xml:space="preserve"> </w:t>
      </w:r>
      <w:r w:rsidR="009D32C9" w:rsidRPr="008A13A7">
        <w:rPr>
          <w:szCs w:val="24"/>
        </w:rPr>
        <w:t xml:space="preserve">where </w:t>
      </w:r>
      <w:r w:rsidR="009D32C9" w:rsidRPr="008A13A7">
        <w:t xml:space="preserve">the private market is able to take over </w:t>
      </w:r>
      <w:r w:rsidR="00453D7C" w:rsidRPr="008A13A7">
        <w:t xml:space="preserve">the </w:t>
      </w:r>
      <w:r w:rsidR="009D32C9" w:rsidRPr="008A13A7">
        <w:t xml:space="preserve">financing </w:t>
      </w:r>
      <w:r w:rsidRPr="008A13A7">
        <w:t xml:space="preserve">and where this is consistent with the </w:t>
      </w:r>
      <w:r w:rsidR="0044756B" w:rsidRPr="008A13A7">
        <w:t xml:space="preserve">NRFC </w:t>
      </w:r>
      <w:r w:rsidRPr="008A13A7">
        <w:t>Act and the Mandate</w:t>
      </w:r>
      <w:r w:rsidR="009D32C9" w:rsidRPr="008A13A7">
        <w:t>. For example, in the case of equity</w:t>
      </w:r>
      <w:r w:rsidR="00810C47" w:rsidRPr="008A13A7">
        <w:t xml:space="preserve"> investments</w:t>
      </w:r>
      <w:r w:rsidR="009D32C9" w:rsidRPr="008A13A7">
        <w:t xml:space="preserve">, the Corporation </w:t>
      </w:r>
      <w:r w:rsidRPr="008A13A7">
        <w:t xml:space="preserve">may </w:t>
      </w:r>
      <w:r w:rsidR="009D32C9" w:rsidRPr="008A13A7">
        <w:t xml:space="preserve">seek to </w:t>
      </w:r>
      <w:r w:rsidRPr="008A13A7">
        <w:t xml:space="preserve">realise </w:t>
      </w:r>
      <w:r w:rsidR="009D32C9" w:rsidRPr="008A13A7">
        <w:t xml:space="preserve">investments </w:t>
      </w:r>
      <w:r w:rsidR="00810C47" w:rsidRPr="008A13A7">
        <w:t xml:space="preserve">if it is appropriate to do so and </w:t>
      </w:r>
      <w:r w:rsidR="009D32C9" w:rsidRPr="008A13A7">
        <w:t xml:space="preserve">where the private </w:t>
      </w:r>
      <w:r w:rsidR="005B75F8" w:rsidRPr="008A13A7">
        <w:t>sector</w:t>
      </w:r>
      <w:r w:rsidR="009D32C9" w:rsidRPr="008A13A7">
        <w:t xml:space="preserve"> can take </w:t>
      </w:r>
      <w:r w:rsidR="00D035E1" w:rsidRPr="008A13A7">
        <w:t xml:space="preserve">over </w:t>
      </w:r>
      <w:r w:rsidR="002F3645" w:rsidRPr="008A13A7">
        <w:t>in a manner</w:t>
      </w:r>
      <w:r w:rsidR="009D32C9" w:rsidRPr="008A13A7">
        <w:t xml:space="preserve"> that </w:t>
      </w:r>
      <w:r w:rsidR="002532DC" w:rsidRPr="008A13A7">
        <w:t>aligns with the Corporation’s objectives.</w:t>
      </w:r>
      <w:r w:rsidR="002532DC">
        <w:t xml:space="preserve"> </w:t>
      </w:r>
      <w:r w:rsidR="009D32C9">
        <w:t xml:space="preserve"> </w:t>
      </w:r>
    </w:p>
    <w:p w14:paraId="249DBCDB" w14:textId="2E20ABA7" w:rsidR="00AD53DF" w:rsidRDefault="00AD53DF" w:rsidP="00B73BB1">
      <w:pPr>
        <w:pStyle w:val="Heading4"/>
      </w:pPr>
      <w:r>
        <w:t>Section 1</w:t>
      </w:r>
      <w:r w:rsidR="00867243">
        <w:t>2</w:t>
      </w:r>
      <w:r>
        <w:t xml:space="preserve"> – Corporation must consider impacts of Corporation’s investment </w:t>
      </w:r>
      <w:proofErr w:type="gramStart"/>
      <w:r>
        <w:t>practices</w:t>
      </w:r>
      <w:proofErr w:type="gramEnd"/>
    </w:p>
    <w:p w14:paraId="1CEAB1B5" w14:textId="27424D29" w:rsidR="006D3827" w:rsidRDefault="00302CDC" w:rsidP="006D3827">
      <w:pPr>
        <w:spacing w:before="0" w:after="240"/>
        <w:rPr>
          <w:szCs w:val="24"/>
        </w:rPr>
      </w:pPr>
      <w:r>
        <w:rPr>
          <w:szCs w:val="24"/>
        </w:rPr>
        <w:t>Section 1</w:t>
      </w:r>
      <w:r w:rsidR="00B865EE">
        <w:rPr>
          <w:szCs w:val="24"/>
        </w:rPr>
        <w:t>2</w:t>
      </w:r>
      <w:r>
        <w:rPr>
          <w:szCs w:val="24"/>
        </w:rPr>
        <w:t xml:space="preserve"> </w:t>
      </w:r>
      <w:r w:rsidR="00276FEB">
        <w:rPr>
          <w:szCs w:val="24"/>
        </w:rPr>
        <w:t>provides</w:t>
      </w:r>
      <w:r w:rsidR="006D3827" w:rsidRPr="004F373E">
        <w:rPr>
          <w:szCs w:val="24"/>
        </w:rPr>
        <w:t xml:space="preserve"> that investments of the Corporation should not disrupt areas where the market </w:t>
      </w:r>
      <w:r w:rsidR="006D3827">
        <w:rPr>
          <w:szCs w:val="24"/>
        </w:rPr>
        <w:t xml:space="preserve">is functioning well. </w:t>
      </w:r>
      <w:r w:rsidR="00C6344B">
        <w:rPr>
          <w:szCs w:val="24"/>
        </w:rPr>
        <w:t>T</w:t>
      </w:r>
      <w:r w:rsidR="006D3827" w:rsidRPr="004F373E">
        <w:rPr>
          <w:szCs w:val="24"/>
        </w:rPr>
        <w:t xml:space="preserve">he Corporation </w:t>
      </w:r>
      <w:r w:rsidR="00094E7F">
        <w:rPr>
          <w:szCs w:val="24"/>
        </w:rPr>
        <w:t xml:space="preserve">nevertheless </w:t>
      </w:r>
      <w:r w:rsidR="006D3827" w:rsidRPr="004F373E">
        <w:rPr>
          <w:szCs w:val="24"/>
        </w:rPr>
        <w:t>has the potential to impact on other market participants and the operation of Australian financial markets. The Corporation should always consider this potential impact wh</w:t>
      </w:r>
      <w:r w:rsidR="006D3827">
        <w:rPr>
          <w:szCs w:val="24"/>
        </w:rPr>
        <w:t>en making investment decisions.</w:t>
      </w:r>
    </w:p>
    <w:p w14:paraId="7005C5CC" w14:textId="600A9150" w:rsidR="00FF02E1" w:rsidRDefault="00EA2C74" w:rsidP="006D3827">
      <w:pPr>
        <w:spacing w:before="0" w:after="240"/>
        <w:rPr>
          <w:szCs w:val="24"/>
        </w:rPr>
      </w:pPr>
      <w:r w:rsidRPr="00EA2C74">
        <w:rPr>
          <w:szCs w:val="24"/>
        </w:rPr>
        <w:t xml:space="preserve">The Corporation </w:t>
      </w:r>
      <w:r w:rsidR="007E46A3">
        <w:rPr>
          <w:szCs w:val="24"/>
        </w:rPr>
        <w:t xml:space="preserve">should, as far as is </w:t>
      </w:r>
      <w:r w:rsidR="00E71D8F" w:rsidRPr="006F3CBD">
        <w:rPr>
          <w:szCs w:val="24"/>
        </w:rPr>
        <w:t xml:space="preserve">reasonably </w:t>
      </w:r>
      <w:r w:rsidR="007E46A3" w:rsidRPr="006F3CBD">
        <w:rPr>
          <w:szCs w:val="24"/>
        </w:rPr>
        <w:t>practica</w:t>
      </w:r>
      <w:r w:rsidR="00E71D8F" w:rsidRPr="006F3CBD">
        <w:rPr>
          <w:szCs w:val="24"/>
        </w:rPr>
        <w:t>ble</w:t>
      </w:r>
      <w:r w:rsidR="007E46A3">
        <w:rPr>
          <w:szCs w:val="24"/>
        </w:rPr>
        <w:t>, avoid</w:t>
      </w:r>
      <w:r w:rsidR="004357D3">
        <w:rPr>
          <w:szCs w:val="24"/>
        </w:rPr>
        <w:t xml:space="preserve"> </w:t>
      </w:r>
      <w:r w:rsidRPr="00EA2C74">
        <w:rPr>
          <w:szCs w:val="24"/>
        </w:rPr>
        <w:t>compet</w:t>
      </w:r>
      <w:r w:rsidR="007E46A3">
        <w:rPr>
          <w:szCs w:val="24"/>
        </w:rPr>
        <w:t>ing</w:t>
      </w:r>
      <w:r w:rsidRPr="00EA2C74">
        <w:rPr>
          <w:szCs w:val="24"/>
        </w:rPr>
        <w:t xml:space="preserve"> with </w:t>
      </w:r>
      <w:r w:rsidR="00CA7E19">
        <w:rPr>
          <w:szCs w:val="24"/>
        </w:rPr>
        <w:t xml:space="preserve">private sector </w:t>
      </w:r>
      <w:r w:rsidR="009B4F24">
        <w:rPr>
          <w:szCs w:val="24"/>
        </w:rPr>
        <w:t xml:space="preserve">investment </w:t>
      </w:r>
      <w:r w:rsidR="00574829">
        <w:rPr>
          <w:szCs w:val="24"/>
        </w:rPr>
        <w:t>where su</w:t>
      </w:r>
      <w:r w:rsidR="007E46A3">
        <w:rPr>
          <w:szCs w:val="24"/>
        </w:rPr>
        <w:t xml:space="preserve">ch </w:t>
      </w:r>
      <w:r w:rsidR="009B4F24">
        <w:rPr>
          <w:szCs w:val="24"/>
        </w:rPr>
        <w:t xml:space="preserve">investment </w:t>
      </w:r>
      <w:r w:rsidR="00574829">
        <w:rPr>
          <w:szCs w:val="24"/>
        </w:rPr>
        <w:t>is present, or compet</w:t>
      </w:r>
      <w:r w:rsidR="007E46A3">
        <w:rPr>
          <w:szCs w:val="24"/>
        </w:rPr>
        <w:t xml:space="preserve">ing </w:t>
      </w:r>
      <w:r w:rsidR="00574829">
        <w:rPr>
          <w:szCs w:val="24"/>
        </w:rPr>
        <w:t>with other</w:t>
      </w:r>
      <w:r w:rsidR="00CA7E19">
        <w:rPr>
          <w:szCs w:val="24"/>
        </w:rPr>
        <w:t xml:space="preserve"> </w:t>
      </w:r>
      <w:r w:rsidRPr="00EA2C74">
        <w:rPr>
          <w:szCs w:val="24"/>
        </w:rPr>
        <w:t>Commonwealth, State or Territory entities that are also able to</w:t>
      </w:r>
      <w:r w:rsidR="006A5EEB">
        <w:rPr>
          <w:szCs w:val="24"/>
        </w:rPr>
        <w:t>, or already do,</w:t>
      </w:r>
      <w:r w:rsidRPr="00EA2C74">
        <w:rPr>
          <w:szCs w:val="24"/>
        </w:rPr>
        <w:t xml:space="preserve"> support investments in the priority areas of the Australian economy as </w:t>
      </w:r>
      <w:r w:rsidR="0044756B">
        <w:rPr>
          <w:szCs w:val="24"/>
        </w:rPr>
        <w:t>specified</w:t>
      </w:r>
      <w:r w:rsidR="0044756B" w:rsidRPr="00EA2C74">
        <w:rPr>
          <w:szCs w:val="24"/>
        </w:rPr>
        <w:t xml:space="preserve"> </w:t>
      </w:r>
      <w:r w:rsidRPr="00893020">
        <w:rPr>
          <w:szCs w:val="24"/>
        </w:rPr>
        <w:t>in the</w:t>
      </w:r>
      <w:r w:rsidR="00512463">
        <w:rPr>
          <w:szCs w:val="24"/>
        </w:rPr>
        <w:t> </w:t>
      </w:r>
      <w:r w:rsidRPr="008E7B8A">
        <w:rPr>
          <w:szCs w:val="24"/>
        </w:rPr>
        <w:t>Declaration</w:t>
      </w:r>
      <w:r w:rsidR="00577436">
        <w:rPr>
          <w:szCs w:val="24"/>
        </w:rPr>
        <w:t xml:space="preserve">. </w:t>
      </w:r>
      <w:r w:rsidR="00094E7F">
        <w:rPr>
          <w:szCs w:val="24"/>
        </w:rPr>
        <w:t xml:space="preserve">Instead, it is intended </w:t>
      </w:r>
      <w:r w:rsidR="006A5EEB">
        <w:rPr>
          <w:szCs w:val="24"/>
        </w:rPr>
        <w:t xml:space="preserve">that the Corporation </w:t>
      </w:r>
      <w:r w:rsidR="00AC4B08">
        <w:rPr>
          <w:szCs w:val="24"/>
        </w:rPr>
        <w:t xml:space="preserve">complement and </w:t>
      </w:r>
      <w:r w:rsidR="006B506F">
        <w:rPr>
          <w:szCs w:val="24"/>
        </w:rPr>
        <w:t>attract additional</w:t>
      </w:r>
      <w:r w:rsidR="006F6DC9">
        <w:rPr>
          <w:szCs w:val="24"/>
        </w:rPr>
        <w:t xml:space="preserve"> private investment and </w:t>
      </w:r>
      <w:r w:rsidR="006D3827" w:rsidRPr="00F62ECB">
        <w:rPr>
          <w:szCs w:val="24"/>
        </w:rPr>
        <w:t xml:space="preserve">complement (not duplicate) </w:t>
      </w:r>
      <w:r w:rsidR="006F6DC9">
        <w:rPr>
          <w:szCs w:val="24"/>
        </w:rPr>
        <w:t xml:space="preserve">public sector </w:t>
      </w:r>
      <w:r w:rsidR="006F6DC9" w:rsidRPr="006D783D">
        <w:rPr>
          <w:szCs w:val="24"/>
        </w:rPr>
        <w:lastRenderedPageBreak/>
        <w:t xml:space="preserve">investment, including investment through </w:t>
      </w:r>
      <w:r w:rsidR="006D3827" w:rsidRPr="006D783D">
        <w:rPr>
          <w:szCs w:val="24"/>
        </w:rPr>
        <w:t xml:space="preserve">existing Australian Government </w:t>
      </w:r>
      <w:r w:rsidR="00DF283C" w:rsidRPr="006D783D">
        <w:rPr>
          <w:szCs w:val="24"/>
        </w:rPr>
        <w:t>SIVs</w:t>
      </w:r>
      <w:r w:rsidR="006F6DC9" w:rsidRPr="006D783D">
        <w:rPr>
          <w:szCs w:val="24"/>
        </w:rPr>
        <w:t xml:space="preserve"> </w:t>
      </w:r>
      <w:r w:rsidR="006D3827" w:rsidRPr="006D783D">
        <w:rPr>
          <w:szCs w:val="24"/>
        </w:rPr>
        <w:t xml:space="preserve">such as the </w:t>
      </w:r>
      <w:r w:rsidR="004E5FE8" w:rsidRPr="006D783D">
        <w:rPr>
          <w:szCs w:val="24"/>
        </w:rPr>
        <w:t>CEFC, NAIF</w:t>
      </w:r>
      <w:r w:rsidR="00A6793C" w:rsidRPr="006D783D">
        <w:rPr>
          <w:szCs w:val="24"/>
        </w:rPr>
        <w:t>, Regional Investment</w:t>
      </w:r>
      <w:r w:rsidR="00A6793C">
        <w:rPr>
          <w:szCs w:val="24"/>
        </w:rPr>
        <w:t xml:space="preserve"> Corporation</w:t>
      </w:r>
      <w:r w:rsidR="004E5FE8">
        <w:rPr>
          <w:szCs w:val="24"/>
        </w:rPr>
        <w:t xml:space="preserve"> and Export Finance Australia (EFA)</w:t>
      </w:r>
      <w:r w:rsidR="006D3827" w:rsidRPr="00F62ECB">
        <w:rPr>
          <w:szCs w:val="24"/>
        </w:rPr>
        <w:t xml:space="preserve">. </w:t>
      </w:r>
      <w:r w:rsidR="007F1876">
        <w:rPr>
          <w:szCs w:val="24"/>
        </w:rPr>
        <w:t xml:space="preserve">For example, the Corporation should not </w:t>
      </w:r>
      <w:r w:rsidR="009228AB">
        <w:rPr>
          <w:szCs w:val="24"/>
        </w:rPr>
        <w:t xml:space="preserve">seek to refinance existing debt held by other SIVs at a lower rate where it is not required. </w:t>
      </w:r>
    </w:p>
    <w:p w14:paraId="1E77F705" w14:textId="1EE3EDF3" w:rsidR="006D3827" w:rsidRDefault="006D3827" w:rsidP="008963E9">
      <w:pPr>
        <w:pStyle w:val="Heading4"/>
      </w:pPr>
      <w:r>
        <w:t>Section 1</w:t>
      </w:r>
      <w:r w:rsidR="00867243">
        <w:t>3</w:t>
      </w:r>
      <w:r>
        <w:t xml:space="preserve"> – </w:t>
      </w:r>
      <w:r w:rsidRPr="008963E9">
        <w:t>Corporation</w:t>
      </w:r>
      <w:r>
        <w:t xml:space="preserve"> not to damage</w:t>
      </w:r>
      <w:r w:rsidR="00DF69B2">
        <w:t xml:space="preserve"> Commonwealth</w:t>
      </w:r>
      <w:r>
        <w:t xml:space="preserve">’s </w:t>
      </w:r>
      <w:proofErr w:type="gramStart"/>
      <w:r>
        <w:t>reputation</w:t>
      </w:r>
      <w:proofErr w:type="gramEnd"/>
    </w:p>
    <w:p w14:paraId="7FE18832" w14:textId="292C4D3C" w:rsidR="006D3827" w:rsidRPr="00963BB2" w:rsidRDefault="00094E7F" w:rsidP="006B2746">
      <w:pPr>
        <w:spacing w:before="0" w:after="240"/>
        <w:rPr>
          <w:szCs w:val="24"/>
        </w:rPr>
      </w:pPr>
      <w:r>
        <w:rPr>
          <w:szCs w:val="24"/>
        </w:rPr>
        <w:t>Section 1</w:t>
      </w:r>
      <w:r w:rsidR="00B865EE">
        <w:rPr>
          <w:szCs w:val="24"/>
        </w:rPr>
        <w:t>3</w:t>
      </w:r>
      <w:r>
        <w:rPr>
          <w:szCs w:val="24"/>
        </w:rPr>
        <w:t xml:space="preserve"> </w:t>
      </w:r>
      <w:r w:rsidR="00276FEB">
        <w:rPr>
          <w:szCs w:val="24"/>
        </w:rPr>
        <w:t xml:space="preserve">provides </w:t>
      </w:r>
      <w:r>
        <w:rPr>
          <w:szCs w:val="24"/>
        </w:rPr>
        <w:t>that</w:t>
      </w:r>
      <w:r w:rsidR="0065380D">
        <w:rPr>
          <w:szCs w:val="24"/>
        </w:rPr>
        <w:t xml:space="preserve"> </w:t>
      </w:r>
      <w:r w:rsidR="006D3827" w:rsidRPr="006B2746">
        <w:rPr>
          <w:szCs w:val="24"/>
        </w:rPr>
        <w:t xml:space="preserve">the Corporation has a responsibility </w:t>
      </w:r>
      <w:r w:rsidR="006F3CBD" w:rsidRPr="00945F89">
        <w:rPr>
          <w:szCs w:val="24"/>
        </w:rPr>
        <w:t>not</w:t>
      </w:r>
      <w:r w:rsidR="006F3CBD">
        <w:rPr>
          <w:szCs w:val="24"/>
        </w:rPr>
        <w:t xml:space="preserve"> </w:t>
      </w:r>
      <w:r w:rsidR="006D3827" w:rsidRPr="006B2746">
        <w:rPr>
          <w:szCs w:val="24"/>
        </w:rPr>
        <w:t xml:space="preserve">to act in a way that is likely to cause damage to the </w:t>
      </w:r>
      <w:r w:rsidR="00DF69B2">
        <w:rPr>
          <w:szCs w:val="24"/>
        </w:rPr>
        <w:t>Commonwealth</w:t>
      </w:r>
      <w:r w:rsidR="006D3827" w:rsidRPr="006B2746">
        <w:rPr>
          <w:szCs w:val="24"/>
        </w:rPr>
        <w:t>’s reputation.</w:t>
      </w:r>
    </w:p>
    <w:p w14:paraId="0CD65857" w14:textId="489873E4" w:rsidR="000D4C72" w:rsidRDefault="009C406F" w:rsidP="006F3CBD">
      <w:pPr>
        <w:pStyle w:val="Heading4"/>
      </w:pPr>
      <w:r>
        <w:t>Section 1</w:t>
      </w:r>
      <w:r w:rsidR="00867243">
        <w:t>4</w:t>
      </w:r>
      <w:r>
        <w:t xml:space="preserve"> – </w:t>
      </w:r>
      <w:r w:rsidRPr="008963E9">
        <w:t>Corporation</w:t>
      </w:r>
      <w:r>
        <w:t xml:space="preserve"> must collaborate and </w:t>
      </w:r>
      <w:proofErr w:type="gramStart"/>
      <w:r>
        <w:t>cooperate</w:t>
      </w:r>
      <w:proofErr w:type="gramEnd"/>
    </w:p>
    <w:p w14:paraId="2813F5BF" w14:textId="57379998" w:rsidR="00D33704" w:rsidRDefault="00A42715" w:rsidP="006B2746">
      <w:pPr>
        <w:spacing w:before="0" w:after="240"/>
        <w:rPr>
          <w:szCs w:val="24"/>
        </w:rPr>
      </w:pPr>
      <w:r>
        <w:rPr>
          <w:szCs w:val="24"/>
        </w:rPr>
        <w:t>Section 1</w:t>
      </w:r>
      <w:r w:rsidR="00B865EE">
        <w:rPr>
          <w:szCs w:val="24"/>
        </w:rPr>
        <w:t>4</w:t>
      </w:r>
      <w:r>
        <w:rPr>
          <w:szCs w:val="24"/>
        </w:rPr>
        <w:t xml:space="preserve"> </w:t>
      </w:r>
      <w:r w:rsidR="00276FEB">
        <w:rPr>
          <w:szCs w:val="24"/>
        </w:rPr>
        <w:t xml:space="preserve">directs the </w:t>
      </w:r>
      <w:r w:rsidR="00020DFB" w:rsidRPr="006B2746">
        <w:rPr>
          <w:szCs w:val="24"/>
        </w:rPr>
        <w:t xml:space="preserve">Corporation </w:t>
      </w:r>
      <w:r w:rsidR="00276FEB">
        <w:rPr>
          <w:szCs w:val="24"/>
        </w:rPr>
        <w:t xml:space="preserve">to </w:t>
      </w:r>
      <w:r w:rsidR="000B0E36" w:rsidRPr="006B2746">
        <w:rPr>
          <w:szCs w:val="24"/>
        </w:rPr>
        <w:t xml:space="preserve">cooperate and collaborate with </w:t>
      </w:r>
      <w:r w:rsidR="0046474F">
        <w:rPr>
          <w:szCs w:val="24"/>
        </w:rPr>
        <w:t>the private sector</w:t>
      </w:r>
      <w:r w:rsidR="003F389D">
        <w:rPr>
          <w:szCs w:val="24"/>
        </w:rPr>
        <w:t xml:space="preserve"> and</w:t>
      </w:r>
      <w:r w:rsidR="0046474F">
        <w:rPr>
          <w:szCs w:val="24"/>
        </w:rPr>
        <w:t xml:space="preserve"> </w:t>
      </w:r>
      <w:r w:rsidR="000B0E36" w:rsidRPr="006B2746">
        <w:rPr>
          <w:szCs w:val="24"/>
        </w:rPr>
        <w:t xml:space="preserve">other </w:t>
      </w:r>
      <w:r w:rsidR="004E5FE8" w:rsidRPr="004E5FE8">
        <w:rPr>
          <w:szCs w:val="24"/>
        </w:rPr>
        <w:t>Commonwealth</w:t>
      </w:r>
      <w:r w:rsidR="003F389D">
        <w:rPr>
          <w:szCs w:val="24"/>
        </w:rPr>
        <w:t xml:space="preserve">, </w:t>
      </w:r>
      <w:r w:rsidR="004E5FE8" w:rsidRPr="004E5FE8">
        <w:rPr>
          <w:szCs w:val="24"/>
        </w:rPr>
        <w:t>State or Territory entities</w:t>
      </w:r>
      <w:r w:rsidR="000B0E36" w:rsidRPr="006B2746">
        <w:rPr>
          <w:szCs w:val="24"/>
        </w:rPr>
        <w:t xml:space="preserve"> </w:t>
      </w:r>
      <w:r w:rsidR="004E5FE8">
        <w:rPr>
          <w:szCs w:val="24"/>
        </w:rPr>
        <w:t xml:space="preserve">that are also </w:t>
      </w:r>
      <w:r w:rsidR="00EA2C74" w:rsidRPr="006B2746">
        <w:rPr>
          <w:szCs w:val="24"/>
        </w:rPr>
        <w:t>able to support investments in the priority areas</w:t>
      </w:r>
      <w:r w:rsidR="00F612D7">
        <w:rPr>
          <w:szCs w:val="24"/>
        </w:rPr>
        <w:t xml:space="preserve"> (</w:t>
      </w:r>
      <w:r w:rsidR="009C2D48">
        <w:rPr>
          <w:szCs w:val="24"/>
        </w:rPr>
        <w:t>for example, but not limited to</w:t>
      </w:r>
      <w:r w:rsidR="00F612D7">
        <w:rPr>
          <w:szCs w:val="24"/>
        </w:rPr>
        <w:t xml:space="preserve">, </w:t>
      </w:r>
      <w:r w:rsidR="004E5FE8">
        <w:rPr>
          <w:szCs w:val="24"/>
        </w:rPr>
        <w:t>the CEFC, NAIF and EFA</w:t>
      </w:r>
      <w:r w:rsidR="00F612D7">
        <w:rPr>
          <w:szCs w:val="24"/>
        </w:rPr>
        <w:t>)</w:t>
      </w:r>
      <w:r w:rsidR="004E5FE8">
        <w:rPr>
          <w:szCs w:val="24"/>
        </w:rPr>
        <w:t xml:space="preserve"> </w:t>
      </w:r>
      <w:r w:rsidR="00020DFB" w:rsidRPr="006B2746">
        <w:rPr>
          <w:szCs w:val="24"/>
        </w:rPr>
        <w:t xml:space="preserve">to minimise potential overlap or duplication and </w:t>
      </w:r>
      <w:r w:rsidR="00020DFB" w:rsidRPr="00F62ECB">
        <w:rPr>
          <w:szCs w:val="24"/>
        </w:rPr>
        <w:t>coordinate co-investment where appropriate</w:t>
      </w:r>
      <w:r w:rsidR="00D33704">
        <w:rPr>
          <w:szCs w:val="24"/>
        </w:rPr>
        <w:t>, and to consider opportunities (including under subsection 14(4) in relation to the transition to net zero emissions)</w:t>
      </w:r>
      <w:r w:rsidR="000B0E36" w:rsidRPr="006B2746">
        <w:rPr>
          <w:szCs w:val="24"/>
        </w:rPr>
        <w:t>.</w:t>
      </w:r>
      <w:r w:rsidR="000827DD">
        <w:rPr>
          <w:szCs w:val="24"/>
        </w:rPr>
        <w:t xml:space="preserve"> </w:t>
      </w:r>
    </w:p>
    <w:p w14:paraId="43761938" w14:textId="593FBF04" w:rsidR="009C406F" w:rsidRPr="006B2746" w:rsidRDefault="00BF3B5D" w:rsidP="006B2746">
      <w:pPr>
        <w:spacing w:before="0" w:after="240"/>
        <w:rPr>
          <w:szCs w:val="24"/>
        </w:rPr>
      </w:pPr>
      <w:r>
        <w:rPr>
          <w:szCs w:val="24"/>
        </w:rPr>
        <w:t>T</w:t>
      </w:r>
      <w:r w:rsidR="007F1876">
        <w:rPr>
          <w:szCs w:val="24"/>
        </w:rPr>
        <w:t xml:space="preserve">he Corporation may invest alongside other </w:t>
      </w:r>
      <w:r w:rsidR="00C33D6D">
        <w:rPr>
          <w:szCs w:val="24"/>
        </w:rPr>
        <w:t xml:space="preserve">SIVs </w:t>
      </w:r>
      <w:r w:rsidR="00E829AB">
        <w:rPr>
          <w:szCs w:val="24"/>
        </w:rPr>
        <w:t>where appropriate</w:t>
      </w:r>
      <w:r w:rsidR="00D33704">
        <w:rPr>
          <w:szCs w:val="24"/>
        </w:rPr>
        <w:t>, and subsection 14(2) provides a non-exhaustive list of relevant agencies</w:t>
      </w:r>
      <w:r>
        <w:rPr>
          <w:szCs w:val="24"/>
        </w:rPr>
        <w:t>.</w:t>
      </w:r>
      <w:r w:rsidR="00D33704">
        <w:rPr>
          <w:szCs w:val="24"/>
        </w:rPr>
        <w:t xml:space="preserve"> </w:t>
      </w:r>
    </w:p>
    <w:p w14:paraId="7CDCB843" w14:textId="3E856F7B" w:rsidR="000B0E36" w:rsidRDefault="001F449F" w:rsidP="006B2746">
      <w:pPr>
        <w:spacing w:before="0" w:after="240"/>
        <w:rPr>
          <w:szCs w:val="24"/>
        </w:rPr>
      </w:pPr>
      <w:r>
        <w:rPr>
          <w:szCs w:val="24"/>
        </w:rPr>
        <w:t>Subs</w:t>
      </w:r>
      <w:r w:rsidR="000B0E36" w:rsidRPr="006B2746">
        <w:rPr>
          <w:szCs w:val="24"/>
        </w:rPr>
        <w:t>ection 1</w:t>
      </w:r>
      <w:r w:rsidR="0044756B">
        <w:rPr>
          <w:szCs w:val="24"/>
        </w:rPr>
        <w:t>4</w:t>
      </w:r>
      <w:r w:rsidR="000B0E36" w:rsidRPr="006B2746">
        <w:rPr>
          <w:szCs w:val="24"/>
        </w:rPr>
        <w:t>(</w:t>
      </w:r>
      <w:r w:rsidR="008755DE">
        <w:rPr>
          <w:szCs w:val="24"/>
        </w:rPr>
        <w:t>3</w:t>
      </w:r>
      <w:r w:rsidR="000B0E36" w:rsidRPr="006B2746">
        <w:rPr>
          <w:szCs w:val="24"/>
        </w:rPr>
        <w:t>) defines a State and Territory entity to mean a State or Territory, or a body corporate established for a public purpose by or under a law of a State or Territory.</w:t>
      </w:r>
    </w:p>
    <w:p w14:paraId="2C68D556" w14:textId="78C92640" w:rsidR="000B0E36" w:rsidRDefault="000B0E36" w:rsidP="000B0E36">
      <w:pPr>
        <w:pStyle w:val="Heading4"/>
      </w:pPr>
      <w:r>
        <w:t>Section 1</w:t>
      </w:r>
      <w:r w:rsidR="00867243">
        <w:t>5</w:t>
      </w:r>
      <w:r>
        <w:t xml:space="preserve"> – Targeted financing levels</w:t>
      </w:r>
    </w:p>
    <w:p w14:paraId="1567B9F2" w14:textId="003AAC87" w:rsidR="000B0E36" w:rsidRPr="004E5FE8" w:rsidRDefault="0067380B" w:rsidP="004E5FE8">
      <w:pPr>
        <w:spacing w:before="0" w:after="240"/>
        <w:rPr>
          <w:szCs w:val="24"/>
        </w:rPr>
      </w:pPr>
      <w:r>
        <w:rPr>
          <w:szCs w:val="24"/>
        </w:rPr>
        <w:t>Section 1</w:t>
      </w:r>
      <w:r w:rsidR="00B865EE">
        <w:rPr>
          <w:szCs w:val="24"/>
        </w:rPr>
        <w:t>5</w:t>
      </w:r>
      <w:r>
        <w:rPr>
          <w:szCs w:val="24"/>
        </w:rPr>
        <w:t xml:space="preserve"> outlines six areas in which the</w:t>
      </w:r>
      <w:r w:rsidR="000B0E36" w:rsidRPr="004E5FE8">
        <w:rPr>
          <w:szCs w:val="24"/>
        </w:rPr>
        <w:t xml:space="preserve"> Corporation is required to target </w:t>
      </w:r>
      <w:r>
        <w:rPr>
          <w:szCs w:val="24"/>
        </w:rPr>
        <w:t xml:space="preserve">certain financing levels over the </w:t>
      </w:r>
      <w:r w:rsidR="000B0E36" w:rsidRPr="004E5FE8">
        <w:rPr>
          <w:szCs w:val="24"/>
        </w:rPr>
        <w:t>medium to long term:</w:t>
      </w:r>
    </w:p>
    <w:p w14:paraId="4755318F" w14:textId="23A4E8DF" w:rsidR="000B0E36" w:rsidRPr="004E5FE8" w:rsidRDefault="00222F7C" w:rsidP="004E5FE8">
      <w:pPr>
        <w:pStyle w:val="ListParagraph"/>
        <w:numPr>
          <w:ilvl w:val="0"/>
          <w:numId w:val="13"/>
        </w:numPr>
        <w:spacing w:before="0" w:after="240"/>
        <w:rPr>
          <w:szCs w:val="24"/>
        </w:rPr>
      </w:pPr>
      <w:r w:rsidRPr="004E5FE8">
        <w:rPr>
          <w:szCs w:val="24"/>
        </w:rPr>
        <w:t>Renewables and low emission technologies</w:t>
      </w:r>
      <w:r w:rsidR="000B0E36" w:rsidRPr="004E5FE8">
        <w:rPr>
          <w:szCs w:val="24"/>
        </w:rPr>
        <w:t>: up to $3 billion</w:t>
      </w:r>
    </w:p>
    <w:p w14:paraId="2A5B2114" w14:textId="2BB6E5CD" w:rsidR="000B0E36" w:rsidRPr="004E5FE8" w:rsidRDefault="000B0E36" w:rsidP="004E5FE8">
      <w:pPr>
        <w:pStyle w:val="ListParagraph"/>
        <w:numPr>
          <w:ilvl w:val="0"/>
          <w:numId w:val="13"/>
        </w:numPr>
        <w:spacing w:before="0" w:after="240"/>
        <w:rPr>
          <w:szCs w:val="24"/>
        </w:rPr>
      </w:pPr>
      <w:r w:rsidRPr="004E5FE8">
        <w:rPr>
          <w:szCs w:val="24"/>
        </w:rPr>
        <w:t xml:space="preserve">Medical </w:t>
      </w:r>
      <w:r w:rsidR="00222F7C" w:rsidRPr="004E5FE8">
        <w:rPr>
          <w:szCs w:val="24"/>
        </w:rPr>
        <w:t>m</w:t>
      </w:r>
      <w:r w:rsidRPr="004E5FE8">
        <w:rPr>
          <w:szCs w:val="24"/>
        </w:rPr>
        <w:t>anufacturing: $1.5 billion</w:t>
      </w:r>
    </w:p>
    <w:p w14:paraId="0510C5D9" w14:textId="2366E8C3" w:rsidR="000B0E36" w:rsidRPr="004E5FE8" w:rsidRDefault="000B0E36" w:rsidP="004E5FE8">
      <w:pPr>
        <w:pStyle w:val="ListParagraph"/>
        <w:numPr>
          <w:ilvl w:val="0"/>
          <w:numId w:val="13"/>
        </w:numPr>
        <w:spacing w:before="0" w:after="240"/>
        <w:rPr>
          <w:szCs w:val="24"/>
        </w:rPr>
      </w:pPr>
      <w:r w:rsidRPr="004E5FE8">
        <w:rPr>
          <w:szCs w:val="24"/>
        </w:rPr>
        <w:t xml:space="preserve">Value adding in </w:t>
      </w:r>
      <w:r w:rsidR="0044756B">
        <w:rPr>
          <w:szCs w:val="24"/>
        </w:rPr>
        <w:t>r</w:t>
      </w:r>
      <w:r w:rsidRPr="004E5FE8">
        <w:rPr>
          <w:szCs w:val="24"/>
        </w:rPr>
        <w:t xml:space="preserve">esources: $1 </w:t>
      </w:r>
      <w:proofErr w:type="gramStart"/>
      <w:r w:rsidRPr="004E5FE8">
        <w:rPr>
          <w:szCs w:val="24"/>
        </w:rPr>
        <w:t>billion</w:t>
      </w:r>
      <w:proofErr w:type="gramEnd"/>
    </w:p>
    <w:p w14:paraId="6F82D78B" w14:textId="0EEB0D61" w:rsidR="000B0E36" w:rsidRPr="004E5FE8" w:rsidRDefault="000B0E36" w:rsidP="004E5FE8">
      <w:pPr>
        <w:pStyle w:val="ListParagraph"/>
        <w:numPr>
          <w:ilvl w:val="0"/>
          <w:numId w:val="13"/>
        </w:numPr>
        <w:spacing w:before="0" w:after="240"/>
        <w:rPr>
          <w:szCs w:val="24"/>
        </w:rPr>
      </w:pPr>
      <w:r w:rsidRPr="004E5FE8">
        <w:rPr>
          <w:szCs w:val="24"/>
        </w:rPr>
        <w:t xml:space="preserve">Critical </w:t>
      </w:r>
      <w:r w:rsidR="00222F7C" w:rsidRPr="004E5FE8">
        <w:rPr>
          <w:szCs w:val="24"/>
        </w:rPr>
        <w:t>t</w:t>
      </w:r>
      <w:r w:rsidRPr="004E5FE8">
        <w:rPr>
          <w:szCs w:val="24"/>
        </w:rPr>
        <w:t>echnologies</w:t>
      </w:r>
      <w:r w:rsidR="00222F7C" w:rsidRPr="004E5FE8">
        <w:rPr>
          <w:szCs w:val="24"/>
        </w:rPr>
        <w:t xml:space="preserve"> in the national interest</w:t>
      </w:r>
      <w:r w:rsidRPr="004E5FE8">
        <w:rPr>
          <w:szCs w:val="24"/>
        </w:rPr>
        <w:t>: $1 billion</w:t>
      </w:r>
    </w:p>
    <w:p w14:paraId="0993D4CE" w14:textId="71299E81" w:rsidR="000B0E36" w:rsidRPr="004E5FE8" w:rsidRDefault="000B0E36" w:rsidP="004E5FE8">
      <w:pPr>
        <w:pStyle w:val="ListParagraph"/>
        <w:numPr>
          <w:ilvl w:val="0"/>
          <w:numId w:val="13"/>
        </w:numPr>
        <w:spacing w:before="0" w:after="240"/>
        <w:rPr>
          <w:szCs w:val="24"/>
        </w:rPr>
      </w:pPr>
      <w:r w:rsidRPr="004E5FE8">
        <w:rPr>
          <w:szCs w:val="24"/>
        </w:rPr>
        <w:t xml:space="preserve">Advanced </w:t>
      </w:r>
      <w:r w:rsidR="00222F7C" w:rsidRPr="004E5FE8">
        <w:rPr>
          <w:szCs w:val="24"/>
        </w:rPr>
        <w:t>m</w:t>
      </w:r>
      <w:r w:rsidRPr="004E5FE8">
        <w:rPr>
          <w:szCs w:val="24"/>
        </w:rPr>
        <w:t>anufacturing: $1 billion</w:t>
      </w:r>
    </w:p>
    <w:p w14:paraId="07578622" w14:textId="17C88CB9" w:rsidR="000B0E36" w:rsidRPr="004E5FE8" w:rsidRDefault="000B0E36" w:rsidP="004E5FE8">
      <w:pPr>
        <w:pStyle w:val="ListParagraph"/>
        <w:numPr>
          <w:ilvl w:val="0"/>
          <w:numId w:val="13"/>
        </w:numPr>
        <w:spacing w:before="0" w:after="240"/>
        <w:rPr>
          <w:szCs w:val="24"/>
        </w:rPr>
      </w:pPr>
      <w:r w:rsidRPr="004E5FE8">
        <w:rPr>
          <w:szCs w:val="24"/>
        </w:rPr>
        <w:t xml:space="preserve">Agriculture, </w:t>
      </w:r>
      <w:r w:rsidR="00222F7C" w:rsidRPr="004E5FE8">
        <w:rPr>
          <w:szCs w:val="24"/>
        </w:rPr>
        <w:t>f</w:t>
      </w:r>
      <w:r w:rsidRPr="004E5FE8">
        <w:rPr>
          <w:szCs w:val="24"/>
        </w:rPr>
        <w:t xml:space="preserve">orestry, </w:t>
      </w:r>
      <w:r w:rsidR="00222F7C" w:rsidRPr="004E5FE8">
        <w:rPr>
          <w:szCs w:val="24"/>
        </w:rPr>
        <w:t>f</w:t>
      </w:r>
      <w:r w:rsidRPr="004E5FE8">
        <w:rPr>
          <w:szCs w:val="24"/>
        </w:rPr>
        <w:t xml:space="preserve">isheries, </w:t>
      </w:r>
      <w:r w:rsidR="00222F7C" w:rsidRPr="004E5FE8">
        <w:rPr>
          <w:szCs w:val="24"/>
        </w:rPr>
        <w:t>f</w:t>
      </w:r>
      <w:r w:rsidRPr="004E5FE8">
        <w:rPr>
          <w:szCs w:val="24"/>
        </w:rPr>
        <w:t xml:space="preserve">ood and </w:t>
      </w:r>
      <w:r w:rsidR="00222F7C" w:rsidRPr="004E5FE8">
        <w:rPr>
          <w:szCs w:val="24"/>
        </w:rPr>
        <w:t>f</w:t>
      </w:r>
      <w:r w:rsidRPr="004E5FE8">
        <w:rPr>
          <w:szCs w:val="24"/>
        </w:rPr>
        <w:t>ibre: $500 million</w:t>
      </w:r>
    </w:p>
    <w:p w14:paraId="3243C3EE" w14:textId="261051CE" w:rsidR="00C77415" w:rsidRDefault="000B0E36" w:rsidP="004E5FE8">
      <w:pPr>
        <w:spacing w:before="0" w:after="240"/>
        <w:rPr>
          <w:szCs w:val="24"/>
        </w:rPr>
      </w:pPr>
      <w:r w:rsidRPr="004E5FE8">
        <w:rPr>
          <w:szCs w:val="24"/>
        </w:rPr>
        <w:t xml:space="preserve">This section does not require the Corporation to manage separate sub-funds for each of the </w:t>
      </w:r>
      <w:r w:rsidR="00F12BC2">
        <w:rPr>
          <w:szCs w:val="24"/>
        </w:rPr>
        <w:t>identified areas</w:t>
      </w:r>
      <w:r w:rsidRPr="004E5FE8">
        <w:rPr>
          <w:szCs w:val="24"/>
        </w:rPr>
        <w:t>.</w:t>
      </w:r>
      <w:r w:rsidR="00EC5EBE">
        <w:rPr>
          <w:szCs w:val="24"/>
        </w:rPr>
        <w:t xml:space="preserve"> It is, however, the Government’s expectation that the Corporation report its progress against these target</w:t>
      </w:r>
      <w:r w:rsidR="00F12BC2">
        <w:rPr>
          <w:szCs w:val="24"/>
        </w:rPr>
        <w:t xml:space="preserve"> financing</w:t>
      </w:r>
      <w:r w:rsidR="00EC5EBE">
        <w:rPr>
          <w:szCs w:val="24"/>
        </w:rPr>
        <w:t xml:space="preserve"> levels as part of its regular reporting. </w:t>
      </w:r>
    </w:p>
    <w:p w14:paraId="14D1787A" w14:textId="29DF2390" w:rsidR="000B0E36" w:rsidRPr="004E5FE8" w:rsidRDefault="00C77415" w:rsidP="004E5FE8">
      <w:pPr>
        <w:spacing w:before="0" w:after="240"/>
        <w:rPr>
          <w:szCs w:val="24"/>
        </w:rPr>
      </w:pPr>
      <w:r>
        <w:rPr>
          <w:szCs w:val="24"/>
        </w:rPr>
        <w:t xml:space="preserve">If, over the medium to long term, the Corporation becomes aware that it is falling short of any one of these target financing levels, it should seek to prioritise its investments </w:t>
      </w:r>
      <w:r w:rsidR="00F12BC2">
        <w:rPr>
          <w:szCs w:val="24"/>
        </w:rPr>
        <w:t xml:space="preserve">going forward </w:t>
      </w:r>
      <w:r>
        <w:rPr>
          <w:szCs w:val="24"/>
        </w:rPr>
        <w:t xml:space="preserve">such that these levels are met within a </w:t>
      </w:r>
      <w:r w:rsidR="00FF3030">
        <w:rPr>
          <w:szCs w:val="24"/>
        </w:rPr>
        <w:t xml:space="preserve">reasonable and </w:t>
      </w:r>
      <w:r>
        <w:rPr>
          <w:szCs w:val="24"/>
        </w:rPr>
        <w:t>practica</w:t>
      </w:r>
      <w:r w:rsidR="00FF3030">
        <w:rPr>
          <w:szCs w:val="24"/>
        </w:rPr>
        <w:t xml:space="preserve">ble </w:t>
      </w:r>
      <w:r>
        <w:rPr>
          <w:szCs w:val="24"/>
        </w:rPr>
        <w:t>period</w:t>
      </w:r>
      <w:r w:rsidR="00F12BC2">
        <w:rPr>
          <w:szCs w:val="24"/>
        </w:rPr>
        <w:t xml:space="preserve"> of time</w:t>
      </w:r>
      <w:r>
        <w:rPr>
          <w:szCs w:val="24"/>
        </w:rPr>
        <w:t>.</w:t>
      </w:r>
    </w:p>
    <w:p w14:paraId="37670324" w14:textId="3DFC43AD" w:rsidR="000B0E36" w:rsidRDefault="008963E9" w:rsidP="006B2746">
      <w:pPr>
        <w:spacing w:before="0" w:after="240"/>
        <w:rPr>
          <w:szCs w:val="24"/>
        </w:rPr>
      </w:pPr>
      <w:r w:rsidRPr="006B2746">
        <w:rPr>
          <w:szCs w:val="24"/>
        </w:rPr>
        <w:t>The</w:t>
      </w:r>
      <w:r w:rsidR="00F12BC2">
        <w:rPr>
          <w:szCs w:val="24"/>
        </w:rPr>
        <w:t xml:space="preserve"> six identified areas in which the Corporation is to target these financing levels </w:t>
      </w:r>
      <w:r w:rsidRPr="006B2746">
        <w:rPr>
          <w:szCs w:val="24"/>
        </w:rPr>
        <w:t xml:space="preserve">do not correspond exactly with the priority areas of the Australian economy </w:t>
      </w:r>
      <w:r w:rsidR="0044756B">
        <w:rPr>
          <w:szCs w:val="24"/>
        </w:rPr>
        <w:t xml:space="preserve">specified </w:t>
      </w:r>
      <w:r w:rsidR="00FF02E1">
        <w:rPr>
          <w:szCs w:val="24"/>
        </w:rPr>
        <w:t xml:space="preserve">in </w:t>
      </w:r>
      <w:r w:rsidRPr="00BF0EE6">
        <w:rPr>
          <w:szCs w:val="24"/>
        </w:rPr>
        <w:lastRenderedPageBreak/>
        <w:t>the Declaration</w:t>
      </w:r>
      <w:r w:rsidR="00FF02E1">
        <w:rPr>
          <w:szCs w:val="24"/>
        </w:rPr>
        <w:t xml:space="preserve">. </w:t>
      </w:r>
      <w:r w:rsidRPr="006B2746">
        <w:rPr>
          <w:szCs w:val="24"/>
        </w:rPr>
        <w:t xml:space="preserve">As such, this section notes that investments in a single priority area may be counted towards any other </w:t>
      </w:r>
      <w:r w:rsidR="0044756B">
        <w:rPr>
          <w:szCs w:val="24"/>
        </w:rPr>
        <w:t xml:space="preserve">appropriate </w:t>
      </w:r>
      <w:r w:rsidRPr="006B2746">
        <w:rPr>
          <w:szCs w:val="24"/>
        </w:rPr>
        <w:t>target or targets set out in this section.</w:t>
      </w:r>
    </w:p>
    <w:p w14:paraId="22A5D06B" w14:textId="1F56AAE8" w:rsidR="00FF02E1" w:rsidRDefault="00415302" w:rsidP="006B2746">
      <w:pPr>
        <w:spacing w:before="0" w:after="240"/>
        <w:rPr>
          <w:szCs w:val="24"/>
        </w:rPr>
      </w:pPr>
      <w:r>
        <w:rPr>
          <w:szCs w:val="24"/>
        </w:rPr>
        <w:t xml:space="preserve">To determine which types of </w:t>
      </w:r>
      <w:proofErr w:type="gramStart"/>
      <w:r>
        <w:rPr>
          <w:szCs w:val="24"/>
        </w:rPr>
        <w:t>technology</w:t>
      </w:r>
      <w:proofErr w:type="gramEnd"/>
      <w:r>
        <w:rPr>
          <w:szCs w:val="24"/>
        </w:rPr>
        <w:t xml:space="preserve"> </w:t>
      </w:r>
      <w:r w:rsidR="007D3427">
        <w:rPr>
          <w:szCs w:val="24"/>
        </w:rPr>
        <w:t>qualify as ‘c</w:t>
      </w:r>
      <w:r>
        <w:rPr>
          <w:szCs w:val="24"/>
        </w:rPr>
        <w:t>ritical</w:t>
      </w:r>
      <w:r w:rsidR="007D3427">
        <w:rPr>
          <w:szCs w:val="24"/>
        </w:rPr>
        <w:t xml:space="preserve">’, the </w:t>
      </w:r>
      <w:r w:rsidR="00F77CF4">
        <w:rPr>
          <w:szCs w:val="24"/>
        </w:rPr>
        <w:t>Corporation</w:t>
      </w:r>
      <w:r w:rsidR="007D3427">
        <w:rPr>
          <w:szCs w:val="24"/>
        </w:rPr>
        <w:t xml:space="preserve"> may refer to the Government’s most recent List of Critical Technologies in the National Interest as relevant at the time of investment. </w:t>
      </w:r>
      <w:r w:rsidR="00F77CF4">
        <w:rPr>
          <w:szCs w:val="24"/>
        </w:rPr>
        <w:t>Further details are available at</w:t>
      </w:r>
      <w:r w:rsidR="00A70041">
        <w:rPr>
          <w:szCs w:val="24"/>
        </w:rPr>
        <w:t xml:space="preserve">: </w:t>
      </w:r>
      <w:proofErr w:type="gramStart"/>
      <w:r w:rsidR="00FF02E1" w:rsidRPr="00FF02E1">
        <w:rPr>
          <w:i/>
          <w:iCs/>
          <w:szCs w:val="24"/>
          <w:u w:val="single"/>
        </w:rPr>
        <w:t>https://www.industry.gov.au/publications/action-plan-critical-technologies/list-critical-technologies-national-interest</w:t>
      </w:r>
      <w:proofErr w:type="gramEnd"/>
      <w:r w:rsidR="00F77CF4">
        <w:rPr>
          <w:szCs w:val="24"/>
        </w:rPr>
        <w:t xml:space="preserve"> </w:t>
      </w:r>
    </w:p>
    <w:p w14:paraId="5AE759E6" w14:textId="141B7D6F" w:rsidR="006F3CBD" w:rsidRPr="006B2746" w:rsidRDefault="005D0904" w:rsidP="006B2746">
      <w:pPr>
        <w:spacing w:before="0" w:after="240"/>
        <w:rPr>
          <w:szCs w:val="24"/>
        </w:rPr>
      </w:pPr>
      <w:r w:rsidRPr="00945F89">
        <w:rPr>
          <w:szCs w:val="24"/>
        </w:rPr>
        <w:t>This section is not intended to override other provisions of the Investment Mandate: i</w:t>
      </w:r>
      <w:r w:rsidR="006F3CBD" w:rsidRPr="00945F89">
        <w:rPr>
          <w:szCs w:val="24"/>
        </w:rPr>
        <w:t xml:space="preserve">n targeting these funding levels, the Corporation </w:t>
      </w:r>
      <w:r w:rsidRPr="00945F89">
        <w:rPr>
          <w:szCs w:val="24"/>
        </w:rPr>
        <w:t>still must perform its investment functions and exercise its investment powers in accordance with the NRFC Act.</w:t>
      </w:r>
    </w:p>
    <w:p w14:paraId="3658E04D" w14:textId="1FFB9354" w:rsidR="008963E9" w:rsidRDefault="008963E9" w:rsidP="008963E9">
      <w:pPr>
        <w:pStyle w:val="Heading4"/>
      </w:pPr>
      <w:r>
        <w:t>Section 1</w:t>
      </w:r>
      <w:r w:rsidR="00867243">
        <w:t>6</w:t>
      </w:r>
      <w:r>
        <w:t xml:space="preserve"> – </w:t>
      </w:r>
      <w:r w:rsidR="0051008F">
        <w:t>Limits on c</w:t>
      </w:r>
      <w:r>
        <w:t>oncessional financial accommodation</w:t>
      </w:r>
    </w:p>
    <w:p w14:paraId="49427F55" w14:textId="40903DA9" w:rsidR="00F77CF4" w:rsidRDefault="00F77CF4" w:rsidP="006B2746">
      <w:pPr>
        <w:spacing w:before="0" w:after="240"/>
        <w:rPr>
          <w:szCs w:val="24"/>
        </w:rPr>
      </w:pPr>
      <w:r>
        <w:rPr>
          <w:szCs w:val="24"/>
        </w:rPr>
        <w:t>Section 1</w:t>
      </w:r>
      <w:r w:rsidR="00B865EE">
        <w:rPr>
          <w:szCs w:val="24"/>
        </w:rPr>
        <w:t>6</w:t>
      </w:r>
      <w:r>
        <w:rPr>
          <w:szCs w:val="24"/>
        </w:rPr>
        <w:t xml:space="preserve"> sets out </w:t>
      </w:r>
      <w:r w:rsidR="00276FEB">
        <w:rPr>
          <w:szCs w:val="24"/>
        </w:rPr>
        <w:t xml:space="preserve">directions </w:t>
      </w:r>
      <w:r>
        <w:rPr>
          <w:szCs w:val="24"/>
        </w:rPr>
        <w:t>in relation</w:t>
      </w:r>
      <w:r w:rsidR="00F76723">
        <w:rPr>
          <w:szCs w:val="24"/>
        </w:rPr>
        <w:t xml:space="preserve"> to</w:t>
      </w:r>
      <w:r>
        <w:rPr>
          <w:szCs w:val="24"/>
        </w:rPr>
        <w:t xml:space="preserve"> </w:t>
      </w:r>
      <w:r w:rsidR="00F76723">
        <w:rPr>
          <w:szCs w:val="24"/>
        </w:rPr>
        <w:t xml:space="preserve">the Corporation providing concessional finance. </w:t>
      </w:r>
    </w:p>
    <w:p w14:paraId="4A49984A" w14:textId="39D4E412" w:rsidR="003D7010" w:rsidRPr="006B2746" w:rsidRDefault="00960E7A" w:rsidP="006B2746">
      <w:pPr>
        <w:spacing w:before="0" w:after="240"/>
        <w:rPr>
          <w:szCs w:val="24"/>
        </w:rPr>
      </w:pPr>
      <w:r>
        <w:rPr>
          <w:szCs w:val="24"/>
        </w:rPr>
        <w:t>T</w:t>
      </w:r>
      <w:r w:rsidR="003D7010" w:rsidRPr="006B2746">
        <w:rPr>
          <w:szCs w:val="24"/>
        </w:rPr>
        <w:t xml:space="preserve">he Corporation </w:t>
      </w:r>
      <w:r>
        <w:rPr>
          <w:szCs w:val="24"/>
        </w:rPr>
        <w:t>is able to</w:t>
      </w:r>
      <w:r w:rsidR="003D7010" w:rsidRPr="006B2746">
        <w:rPr>
          <w:szCs w:val="24"/>
        </w:rPr>
        <w:t xml:space="preserve"> use a wide range of investment tools</w:t>
      </w:r>
      <w:r>
        <w:rPr>
          <w:szCs w:val="24"/>
        </w:rPr>
        <w:t xml:space="preserve"> to facilitate flows of finance into the priority areas of the Australian economy</w:t>
      </w:r>
      <w:r w:rsidR="003D7010" w:rsidRPr="006B2746">
        <w:rPr>
          <w:szCs w:val="24"/>
        </w:rPr>
        <w:t>.</w:t>
      </w:r>
      <w:r>
        <w:rPr>
          <w:rStyle w:val="FootnoteReference"/>
          <w:szCs w:val="24"/>
        </w:rPr>
        <w:footnoteReference w:id="11"/>
      </w:r>
      <w:r w:rsidR="003D7010" w:rsidRPr="006B2746">
        <w:rPr>
          <w:szCs w:val="24"/>
        </w:rPr>
        <w:t xml:space="preserve"> This includes providing commercial and concessional </w:t>
      </w:r>
      <w:r w:rsidR="00AF2E84" w:rsidRPr="006B2746">
        <w:rPr>
          <w:szCs w:val="24"/>
        </w:rPr>
        <w:t>finance</w:t>
      </w:r>
      <w:r w:rsidR="003D7010" w:rsidRPr="006B2746">
        <w:rPr>
          <w:szCs w:val="24"/>
        </w:rPr>
        <w:t xml:space="preserve"> where necessary</w:t>
      </w:r>
      <w:r w:rsidR="00994F1C">
        <w:rPr>
          <w:szCs w:val="24"/>
        </w:rPr>
        <w:t xml:space="preserve"> to deliver on the Corporation’s policy intent</w:t>
      </w:r>
      <w:r w:rsidR="003D7010" w:rsidRPr="006B2746">
        <w:rPr>
          <w:szCs w:val="24"/>
        </w:rPr>
        <w:t xml:space="preserve">. </w:t>
      </w:r>
      <w:r w:rsidR="000D324A">
        <w:rPr>
          <w:szCs w:val="24"/>
        </w:rPr>
        <w:t>C</w:t>
      </w:r>
      <w:r w:rsidR="003D7010" w:rsidRPr="006B2746">
        <w:rPr>
          <w:szCs w:val="24"/>
        </w:rPr>
        <w:t xml:space="preserve">oncessional </w:t>
      </w:r>
      <w:r w:rsidR="00AF2E84" w:rsidRPr="006B2746">
        <w:rPr>
          <w:szCs w:val="24"/>
        </w:rPr>
        <w:t>finance is</w:t>
      </w:r>
      <w:r w:rsidR="003D7010" w:rsidRPr="006B2746">
        <w:rPr>
          <w:szCs w:val="24"/>
        </w:rPr>
        <w:t xml:space="preserve"> provided on more favourable terms than the borrower could obtain in the </w:t>
      </w:r>
      <w:r w:rsidR="001A6FFF">
        <w:rPr>
          <w:szCs w:val="24"/>
        </w:rPr>
        <w:t xml:space="preserve">private </w:t>
      </w:r>
      <w:r w:rsidR="003D7010" w:rsidRPr="006B2746">
        <w:rPr>
          <w:szCs w:val="24"/>
        </w:rPr>
        <w:t xml:space="preserve">market. </w:t>
      </w:r>
      <w:r w:rsidR="00641526">
        <w:rPr>
          <w:szCs w:val="24"/>
        </w:rPr>
        <w:t>For debt investments, c</w:t>
      </w:r>
      <w:r w:rsidR="003D7010" w:rsidRPr="006B2746">
        <w:rPr>
          <w:szCs w:val="24"/>
        </w:rPr>
        <w:t xml:space="preserve">oncessions may be provided in many forms, </w:t>
      </w:r>
      <w:r w:rsidR="009262A9">
        <w:rPr>
          <w:szCs w:val="24"/>
        </w:rPr>
        <w:t>for example</w:t>
      </w:r>
      <w:r w:rsidR="000240AD">
        <w:rPr>
          <w:szCs w:val="24"/>
        </w:rPr>
        <w:t>,</w:t>
      </w:r>
      <w:r w:rsidR="005B77E1">
        <w:rPr>
          <w:szCs w:val="24"/>
        </w:rPr>
        <w:t xml:space="preserve"> but not limited to</w:t>
      </w:r>
      <w:r w:rsidR="000240AD">
        <w:rPr>
          <w:szCs w:val="24"/>
        </w:rPr>
        <w:t>,</w:t>
      </w:r>
      <w:r w:rsidR="003D7010" w:rsidRPr="006B2746">
        <w:rPr>
          <w:szCs w:val="24"/>
        </w:rPr>
        <w:t xml:space="preserve"> lower than market interest rates, longer loan </w:t>
      </w:r>
      <w:r w:rsidR="00B80AFE">
        <w:rPr>
          <w:szCs w:val="24"/>
        </w:rPr>
        <w:t xml:space="preserve">tenors, </w:t>
      </w:r>
      <w:r w:rsidR="00641526">
        <w:rPr>
          <w:szCs w:val="24"/>
        </w:rPr>
        <w:t>subordinated positions</w:t>
      </w:r>
      <w:r w:rsidR="00C722D5" w:rsidRPr="005D0904">
        <w:rPr>
          <w:szCs w:val="24"/>
        </w:rPr>
        <w:t>,</w:t>
      </w:r>
      <w:r w:rsidR="00641526">
        <w:rPr>
          <w:szCs w:val="24"/>
        </w:rPr>
        <w:t xml:space="preserve"> </w:t>
      </w:r>
      <w:r w:rsidR="00DF283C">
        <w:rPr>
          <w:szCs w:val="24"/>
        </w:rPr>
        <w:t xml:space="preserve">income </w:t>
      </w:r>
      <w:r w:rsidR="009262A9">
        <w:rPr>
          <w:szCs w:val="24"/>
        </w:rPr>
        <w:t>contingent repayment terms</w:t>
      </w:r>
      <w:r w:rsidR="00DF283C">
        <w:rPr>
          <w:szCs w:val="24"/>
        </w:rPr>
        <w:t>,</w:t>
      </w:r>
      <w:r w:rsidR="009262A9">
        <w:rPr>
          <w:szCs w:val="24"/>
        </w:rPr>
        <w:t xml:space="preserve"> </w:t>
      </w:r>
      <w:r w:rsidR="003D7010" w:rsidRPr="006B2746">
        <w:rPr>
          <w:szCs w:val="24"/>
        </w:rPr>
        <w:t xml:space="preserve">or additional/longer or more flexible grace periods before the payment of the principal and/or interest is due. </w:t>
      </w:r>
      <w:r w:rsidR="00641526">
        <w:rPr>
          <w:szCs w:val="24"/>
        </w:rPr>
        <w:t xml:space="preserve">For equity investments, concessions may include, but not </w:t>
      </w:r>
      <w:r w:rsidR="00EF7E25">
        <w:rPr>
          <w:szCs w:val="24"/>
        </w:rPr>
        <w:t xml:space="preserve">be </w:t>
      </w:r>
      <w:r w:rsidR="00641526">
        <w:rPr>
          <w:szCs w:val="24"/>
        </w:rPr>
        <w:t>limited to, different classes of shares and lower equity internal rate of return.</w:t>
      </w:r>
    </w:p>
    <w:p w14:paraId="48BD1AFF" w14:textId="23D8C2C0" w:rsidR="00C63A06" w:rsidRDefault="00AF2E84" w:rsidP="006B2746">
      <w:pPr>
        <w:spacing w:before="0" w:after="240"/>
        <w:rPr>
          <w:szCs w:val="24"/>
        </w:rPr>
      </w:pPr>
      <w:r w:rsidRPr="006B2746">
        <w:rPr>
          <w:szCs w:val="24"/>
        </w:rPr>
        <w:t xml:space="preserve">Section </w:t>
      </w:r>
      <w:r w:rsidR="00B865EE">
        <w:rPr>
          <w:szCs w:val="24"/>
        </w:rPr>
        <w:t>16</w:t>
      </w:r>
      <w:r w:rsidRPr="006B2746">
        <w:rPr>
          <w:szCs w:val="24"/>
        </w:rPr>
        <w:t xml:space="preserve"> </w:t>
      </w:r>
      <w:r w:rsidR="00173B41">
        <w:rPr>
          <w:szCs w:val="24"/>
        </w:rPr>
        <w:t xml:space="preserve">provides </w:t>
      </w:r>
      <w:r w:rsidRPr="006B2746">
        <w:rPr>
          <w:szCs w:val="24"/>
        </w:rPr>
        <w:t>that the Corporation</w:t>
      </w:r>
      <w:r w:rsidR="00C63A06">
        <w:rPr>
          <w:szCs w:val="24"/>
        </w:rPr>
        <w:t xml:space="preserve"> must not provide financial accommodation on concessional terms unless it is satisfied that (a) </w:t>
      </w:r>
      <w:r w:rsidR="00E54F88">
        <w:rPr>
          <w:szCs w:val="24"/>
        </w:rPr>
        <w:t>this</w:t>
      </w:r>
      <w:r w:rsidR="00C63A06">
        <w:rPr>
          <w:szCs w:val="24"/>
        </w:rPr>
        <w:t xml:space="preserve"> is the most appropriate way of achieving particular policy outcomes</w:t>
      </w:r>
      <w:r w:rsidR="00C63A06">
        <w:rPr>
          <w:rStyle w:val="FootnoteReference"/>
          <w:szCs w:val="24"/>
        </w:rPr>
        <w:footnoteReference w:id="12"/>
      </w:r>
      <w:r w:rsidR="00C63A06">
        <w:rPr>
          <w:szCs w:val="24"/>
        </w:rPr>
        <w:t xml:space="preserve">, (b) </w:t>
      </w:r>
      <w:r w:rsidR="00E54F88">
        <w:rPr>
          <w:szCs w:val="24"/>
        </w:rPr>
        <w:t xml:space="preserve">based on a reasonable qualitative assessment, </w:t>
      </w:r>
      <w:r w:rsidR="00C63A06">
        <w:rPr>
          <w:szCs w:val="24"/>
        </w:rPr>
        <w:t xml:space="preserve">the level of </w:t>
      </w:r>
      <w:proofErr w:type="spellStart"/>
      <w:r w:rsidR="00C63A06">
        <w:rPr>
          <w:szCs w:val="24"/>
        </w:rPr>
        <w:t>conces</w:t>
      </w:r>
      <w:r w:rsidR="00402BFC">
        <w:rPr>
          <w:szCs w:val="24"/>
        </w:rPr>
        <w:t>s</w:t>
      </w:r>
      <w:r w:rsidR="00C63A06">
        <w:rPr>
          <w:szCs w:val="24"/>
        </w:rPr>
        <w:t>ionality</w:t>
      </w:r>
      <w:proofErr w:type="spellEnd"/>
      <w:r w:rsidR="00C63A06">
        <w:rPr>
          <w:szCs w:val="24"/>
        </w:rPr>
        <w:t xml:space="preserve"> is commensurate with the</w:t>
      </w:r>
      <w:r w:rsidR="00E54F88">
        <w:rPr>
          <w:szCs w:val="24"/>
        </w:rPr>
        <w:t xml:space="preserve"> anticipated</w:t>
      </w:r>
      <w:r w:rsidR="00C63A06">
        <w:rPr>
          <w:szCs w:val="24"/>
        </w:rPr>
        <w:t xml:space="preserve"> economic </w:t>
      </w:r>
      <w:r w:rsidR="00E54F88">
        <w:rPr>
          <w:szCs w:val="24"/>
        </w:rPr>
        <w:t xml:space="preserve">benefits </w:t>
      </w:r>
      <w:r w:rsidR="00C63A06">
        <w:rPr>
          <w:szCs w:val="24"/>
        </w:rPr>
        <w:t xml:space="preserve">and public policy outcomes, and (c) the </w:t>
      </w:r>
      <w:proofErr w:type="spellStart"/>
      <w:r w:rsidR="00C63A06">
        <w:rPr>
          <w:szCs w:val="24"/>
        </w:rPr>
        <w:t>concessionality</w:t>
      </w:r>
      <w:proofErr w:type="spellEnd"/>
      <w:r w:rsidR="00C63A06">
        <w:rPr>
          <w:szCs w:val="24"/>
        </w:rPr>
        <w:t xml:space="preserve"> provided is the minimum that would both achieve those</w:t>
      </w:r>
      <w:r w:rsidR="00E54F88">
        <w:rPr>
          <w:szCs w:val="24"/>
        </w:rPr>
        <w:t xml:space="preserve"> benefits and</w:t>
      </w:r>
      <w:r w:rsidR="00C63A06">
        <w:rPr>
          <w:szCs w:val="24"/>
        </w:rPr>
        <w:t xml:space="preserve"> outcomes and </w:t>
      </w:r>
      <w:r w:rsidR="00E54F88">
        <w:rPr>
          <w:szCs w:val="24"/>
        </w:rPr>
        <w:t>allow</w:t>
      </w:r>
      <w:r w:rsidR="00C63A06">
        <w:rPr>
          <w:szCs w:val="24"/>
        </w:rPr>
        <w:t xml:space="preserve"> the investment proposal to proceed. </w:t>
      </w:r>
    </w:p>
    <w:p w14:paraId="0F8B01C3" w14:textId="6DC8D7B3" w:rsidR="008963E9" w:rsidRDefault="00AA71A6" w:rsidP="00AA71A6">
      <w:pPr>
        <w:pStyle w:val="Heading4"/>
      </w:pPr>
      <w:r>
        <w:t>Section 1</w:t>
      </w:r>
      <w:r w:rsidR="00867243">
        <w:t>7</w:t>
      </w:r>
      <w:r w:rsidR="005D0904">
        <w:t xml:space="preserve"> </w:t>
      </w:r>
      <w:r>
        <w:t>– Limits on equity investments</w:t>
      </w:r>
    </w:p>
    <w:p w14:paraId="15F8D0F4" w14:textId="4DB41278" w:rsidR="002D0AAB" w:rsidRPr="006B2746" w:rsidRDefault="006267F5" w:rsidP="006B2746">
      <w:pPr>
        <w:spacing w:before="0" w:after="240"/>
        <w:rPr>
          <w:szCs w:val="24"/>
        </w:rPr>
      </w:pPr>
      <w:r>
        <w:rPr>
          <w:szCs w:val="24"/>
        </w:rPr>
        <w:t>Section 1</w:t>
      </w:r>
      <w:r w:rsidR="00B865EE">
        <w:rPr>
          <w:szCs w:val="24"/>
        </w:rPr>
        <w:t>7</w:t>
      </w:r>
      <w:r>
        <w:rPr>
          <w:szCs w:val="24"/>
        </w:rPr>
        <w:t xml:space="preserve"> provides </w:t>
      </w:r>
      <w:r w:rsidRPr="005D0904">
        <w:rPr>
          <w:szCs w:val="24"/>
        </w:rPr>
        <w:t xml:space="preserve">that </w:t>
      </w:r>
      <w:r w:rsidR="00C722D5" w:rsidRPr="005D0904">
        <w:rPr>
          <w:szCs w:val="24"/>
        </w:rPr>
        <w:t>the</w:t>
      </w:r>
      <w:r w:rsidR="00C722D5">
        <w:rPr>
          <w:szCs w:val="24"/>
        </w:rPr>
        <w:t xml:space="preserve"> </w:t>
      </w:r>
      <w:r w:rsidR="001A42ED" w:rsidRPr="006B2746">
        <w:rPr>
          <w:szCs w:val="24"/>
        </w:rPr>
        <w:t>Corporation</w:t>
      </w:r>
      <w:r w:rsidR="00617FCB" w:rsidRPr="006B2746">
        <w:rPr>
          <w:szCs w:val="24"/>
        </w:rPr>
        <w:t xml:space="preserve"> </w:t>
      </w:r>
      <w:r w:rsidR="005B77E1">
        <w:rPr>
          <w:szCs w:val="24"/>
        </w:rPr>
        <w:t xml:space="preserve">must </w:t>
      </w:r>
      <w:r>
        <w:rPr>
          <w:szCs w:val="24"/>
        </w:rPr>
        <w:t>not</w:t>
      </w:r>
      <w:r w:rsidR="00617FCB" w:rsidRPr="006B2746">
        <w:rPr>
          <w:szCs w:val="24"/>
        </w:rPr>
        <w:t xml:space="preserve">, </w:t>
      </w:r>
      <w:r>
        <w:rPr>
          <w:szCs w:val="24"/>
        </w:rPr>
        <w:t>whether</w:t>
      </w:r>
      <w:r w:rsidR="00617FCB" w:rsidRPr="006B2746">
        <w:rPr>
          <w:szCs w:val="24"/>
        </w:rPr>
        <w:t xml:space="preserve"> individually or </w:t>
      </w:r>
      <w:r>
        <w:rPr>
          <w:szCs w:val="24"/>
        </w:rPr>
        <w:t>alongside</w:t>
      </w:r>
      <w:r w:rsidR="00617FCB" w:rsidRPr="006B2746">
        <w:rPr>
          <w:szCs w:val="24"/>
        </w:rPr>
        <w:t xml:space="preserve"> other Commonwealth </w:t>
      </w:r>
      <w:r w:rsidR="00F150A5">
        <w:rPr>
          <w:szCs w:val="24"/>
        </w:rPr>
        <w:t>entities</w:t>
      </w:r>
      <w:r w:rsidR="00617FCB" w:rsidRPr="006B2746">
        <w:rPr>
          <w:szCs w:val="24"/>
        </w:rPr>
        <w:t>, take a controlling equity stake in any entit</w:t>
      </w:r>
      <w:r w:rsidR="000240AD">
        <w:rPr>
          <w:szCs w:val="24"/>
        </w:rPr>
        <w:t>y</w:t>
      </w:r>
      <w:r w:rsidR="00617FCB" w:rsidRPr="006B2746">
        <w:rPr>
          <w:szCs w:val="24"/>
        </w:rPr>
        <w:t xml:space="preserve">. </w:t>
      </w:r>
    </w:p>
    <w:p w14:paraId="2F30599D" w14:textId="4CF96CC0" w:rsidR="00C6001C" w:rsidRPr="006B2746" w:rsidRDefault="0058087F" w:rsidP="006B2746">
      <w:pPr>
        <w:spacing w:before="0" w:after="240"/>
        <w:rPr>
          <w:szCs w:val="24"/>
        </w:rPr>
      </w:pPr>
      <w:r>
        <w:rPr>
          <w:szCs w:val="24"/>
        </w:rPr>
        <w:t>Subs</w:t>
      </w:r>
      <w:r w:rsidR="002D0AAB" w:rsidRPr="006B2746">
        <w:rPr>
          <w:szCs w:val="24"/>
        </w:rPr>
        <w:t>ection 1</w:t>
      </w:r>
      <w:r w:rsidR="001B44EB">
        <w:rPr>
          <w:szCs w:val="24"/>
        </w:rPr>
        <w:t>7</w:t>
      </w:r>
      <w:r w:rsidR="002D0AAB" w:rsidRPr="006B2746">
        <w:rPr>
          <w:szCs w:val="24"/>
        </w:rPr>
        <w:t>(1) sets out that Corporation bodies must not acquire an equity interest in an entity if it would result in Corporation bodies and any other Commonwealth entities together holding a majority of equity interests in the entity or being in the position to control the entity.</w:t>
      </w:r>
    </w:p>
    <w:p w14:paraId="51D6891E" w14:textId="103573D1" w:rsidR="002D0AAB" w:rsidRPr="006B2746" w:rsidRDefault="0058087F" w:rsidP="005369CA">
      <w:pPr>
        <w:spacing w:before="0" w:after="240"/>
        <w:rPr>
          <w:szCs w:val="24"/>
        </w:rPr>
      </w:pPr>
      <w:r>
        <w:rPr>
          <w:szCs w:val="24"/>
        </w:rPr>
        <w:t>Under subsections 1</w:t>
      </w:r>
      <w:r w:rsidR="001B44EB">
        <w:rPr>
          <w:szCs w:val="24"/>
        </w:rPr>
        <w:t>7</w:t>
      </w:r>
      <w:r>
        <w:rPr>
          <w:szCs w:val="24"/>
        </w:rPr>
        <w:t>(2) and (3), w</w:t>
      </w:r>
      <w:r w:rsidR="002D0AAB" w:rsidRPr="006B2746">
        <w:rPr>
          <w:szCs w:val="24"/>
        </w:rPr>
        <w:t xml:space="preserve">here a </w:t>
      </w:r>
      <w:proofErr w:type="gramStart"/>
      <w:r w:rsidR="002D0AAB" w:rsidRPr="006B2746">
        <w:rPr>
          <w:szCs w:val="24"/>
        </w:rPr>
        <w:t>Corporation</w:t>
      </w:r>
      <w:proofErr w:type="gramEnd"/>
      <w:r w:rsidR="002D0AAB" w:rsidRPr="006B2746">
        <w:rPr>
          <w:szCs w:val="24"/>
        </w:rPr>
        <w:t xml:space="preserve"> body holds an equity interest in an entity and becomes aware that this interest would breach </w:t>
      </w:r>
      <w:r w:rsidR="00EF7E25">
        <w:rPr>
          <w:szCs w:val="24"/>
        </w:rPr>
        <w:t>subs</w:t>
      </w:r>
      <w:r w:rsidR="002D0AAB" w:rsidRPr="006B2746">
        <w:rPr>
          <w:szCs w:val="24"/>
        </w:rPr>
        <w:t>ection 1</w:t>
      </w:r>
      <w:r w:rsidR="001B44EB">
        <w:rPr>
          <w:szCs w:val="24"/>
        </w:rPr>
        <w:t>7</w:t>
      </w:r>
      <w:r w:rsidR="002D0AAB" w:rsidRPr="006B2746">
        <w:rPr>
          <w:szCs w:val="24"/>
        </w:rPr>
        <w:t xml:space="preserve">(1), it must </w:t>
      </w:r>
      <w:r w:rsidR="002D0AAB" w:rsidRPr="006B2746">
        <w:rPr>
          <w:szCs w:val="24"/>
        </w:rPr>
        <w:lastRenderedPageBreak/>
        <w:t>take steps to realise sufficient equity interests to rectify the situation as soon as is reasonably practicable after becoming aware of the fact.</w:t>
      </w:r>
    </w:p>
    <w:p w14:paraId="2C9462D0" w14:textId="10811D22" w:rsidR="002D0AAB" w:rsidRDefault="001B44EB" w:rsidP="006B2746">
      <w:pPr>
        <w:spacing w:before="0" w:after="240"/>
        <w:rPr>
          <w:szCs w:val="24"/>
        </w:rPr>
      </w:pPr>
      <w:r>
        <w:rPr>
          <w:szCs w:val="24"/>
        </w:rPr>
        <w:t xml:space="preserve">Subsection 17(4) provides that </w:t>
      </w:r>
      <w:r w:rsidR="0091397B" w:rsidRPr="006B2746">
        <w:rPr>
          <w:szCs w:val="24"/>
        </w:rPr>
        <w:t>“</w:t>
      </w:r>
      <w:r>
        <w:rPr>
          <w:szCs w:val="24"/>
        </w:rPr>
        <w:t>c</w:t>
      </w:r>
      <w:r w:rsidR="002D0AAB" w:rsidRPr="006B2746">
        <w:rPr>
          <w:szCs w:val="24"/>
        </w:rPr>
        <w:t>ontrol</w:t>
      </w:r>
      <w:r w:rsidR="0091397B" w:rsidRPr="006B2746">
        <w:rPr>
          <w:szCs w:val="24"/>
        </w:rPr>
        <w:t>”</w:t>
      </w:r>
      <w:r w:rsidR="002D0AAB" w:rsidRPr="006B2746">
        <w:rPr>
          <w:szCs w:val="24"/>
        </w:rPr>
        <w:t xml:space="preserve"> in this section has the same meaning as in the definition of “subsidiary” in the </w:t>
      </w:r>
      <w:r w:rsidR="002D0AAB" w:rsidRPr="006B2746">
        <w:rPr>
          <w:i/>
          <w:iCs/>
          <w:szCs w:val="24"/>
        </w:rPr>
        <w:t>Public Governance, Performance and Accountability Act 2013</w:t>
      </w:r>
      <w:r w:rsidR="002D0AAB" w:rsidRPr="006B2746">
        <w:rPr>
          <w:szCs w:val="24"/>
        </w:rPr>
        <w:t>, which defines it as having the same meaning “as in the accounting standard that applies for the purpose of deciding whether a company has to prepare consolidated financial statements under the </w:t>
      </w:r>
      <w:r w:rsidR="002D0AAB" w:rsidRPr="006B2746">
        <w:rPr>
          <w:i/>
          <w:iCs/>
          <w:szCs w:val="24"/>
        </w:rPr>
        <w:t>Corporations Act 2001</w:t>
      </w:r>
      <w:r w:rsidR="002D0AAB" w:rsidRPr="006B2746">
        <w:rPr>
          <w:szCs w:val="24"/>
        </w:rPr>
        <w:t>”.</w:t>
      </w:r>
    </w:p>
    <w:p w14:paraId="7694D771" w14:textId="5B8566D1" w:rsidR="00C6001C" w:rsidRDefault="00C6001C" w:rsidP="00C6001C">
      <w:pPr>
        <w:pStyle w:val="Heading4"/>
      </w:pPr>
      <w:r>
        <w:t>Section 1</w:t>
      </w:r>
      <w:r w:rsidR="00867243">
        <w:t>8</w:t>
      </w:r>
      <w:r>
        <w:t xml:space="preserve"> – Limits on guarantees</w:t>
      </w:r>
    </w:p>
    <w:p w14:paraId="315E020C" w14:textId="77FE6FEF" w:rsidR="00914BF4" w:rsidRDefault="00914BF4" w:rsidP="006B2746">
      <w:pPr>
        <w:spacing w:before="0" w:after="240"/>
        <w:rPr>
          <w:szCs w:val="24"/>
        </w:rPr>
      </w:pPr>
      <w:r>
        <w:rPr>
          <w:szCs w:val="24"/>
        </w:rPr>
        <w:t>Section 1</w:t>
      </w:r>
      <w:r w:rsidR="00B865EE">
        <w:rPr>
          <w:szCs w:val="24"/>
        </w:rPr>
        <w:t>8</w:t>
      </w:r>
      <w:r>
        <w:rPr>
          <w:szCs w:val="24"/>
        </w:rPr>
        <w:t xml:space="preserve"> sets out limits on guarantees provided by the Corporation. </w:t>
      </w:r>
    </w:p>
    <w:p w14:paraId="2A216CED" w14:textId="3193F351" w:rsidR="00FA4F41" w:rsidRPr="006B2746" w:rsidRDefault="00FA4F41" w:rsidP="006B2746">
      <w:pPr>
        <w:spacing w:before="0" w:after="240"/>
        <w:rPr>
          <w:szCs w:val="24"/>
        </w:rPr>
      </w:pPr>
      <w:r w:rsidRPr="006B2746">
        <w:rPr>
          <w:szCs w:val="24"/>
        </w:rPr>
        <w:t xml:space="preserve">Guarantees </w:t>
      </w:r>
      <w:r w:rsidR="00B80AFE">
        <w:t>include any form of monetary commitment supporting the performance of an obligation</w:t>
      </w:r>
      <w:r w:rsidRPr="006B2746">
        <w:rPr>
          <w:szCs w:val="24"/>
        </w:rPr>
        <w:t>. Under the Australian Government reporting framework, guarantees are to be accounted for in accordance with the Australian Accounting Standards.</w:t>
      </w:r>
    </w:p>
    <w:p w14:paraId="307D4455" w14:textId="476EABA7" w:rsidR="007042B8" w:rsidRDefault="00FA4F41" w:rsidP="007042B8">
      <w:pPr>
        <w:spacing w:before="0" w:after="240"/>
        <w:rPr>
          <w:szCs w:val="24"/>
        </w:rPr>
      </w:pPr>
      <w:r w:rsidRPr="006B2746">
        <w:rPr>
          <w:szCs w:val="24"/>
        </w:rPr>
        <w:t>Guarantees pose a particular risk to the C</w:t>
      </w:r>
      <w:r w:rsidR="001B44EB">
        <w:rPr>
          <w:szCs w:val="24"/>
        </w:rPr>
        <w:t>orporation</w:t>
      </w:r>
      <w:r w:rsidRPr="006B2746">
        <w:rPr>
          <w:szCs w:val="24"/>
        </w:rPr>
        <w:t xml:space="preserve">’s balance sheet and can have unexpected consequences when called. As such, </w:t>
      </w:r>
      <w:r w:rsidR="007042B8">
        <w:rPr>
          <w:szCs w:val="24"/>
        </w:rPr>
        <w:t xml:space="preserve">section 18 provides that the </w:t>
      </w:r>
      <w:r w:rsidRPr="006B2746">
        <w:rPr>
          <w:szCs w:val="24"/>
        </w:rPr>
        <w:t xml:space="preserve">Corporation should </w:t>
      </w:r>
      <w:r w:rsidR="007042B8" w:rsidRPr="007042B8">
        <w:rPr>
          <w:szCs w:val="24"/>
        </w:rPr>
        <w:t>not give guarantees unless this is the most appropriate way of achieving particular public policy outcomes</w:t>
      </w:r>
      <w:r w:rsidR="007042B8">
        <w:rPr>
          <w:szCs w:val="24"/>
        </w:rPr>
        <w:t>.</w:t>
      </w:r>
      <w:r w:rsidR="0096015D">
        <w:rPr>
          <w:rStyle w:val="FootnoteReference"/>
          <w:szCs w:val="24"/>
        </w:rPr>
        <w:footnoteReference w:id="13"/>
      </w:r>
    </w:p>
    <w:p w14:paraId="44621DED" w14:textId="783A5EAB" w:rsidR="00C6001C" w:rsidRDefault="007042B8" w:rsidP="007042B8">
      <w:pPr>
        <w:spacing w:before="0" w:after="240"/>
      </w:pPr>
      <w:r>
        <w:rPr>
          <w:szCs w:val="24"/>
        </w:rPr>
        <w:t xml:space="preserve">Section 18 further requires the Corporation to </w:t>
      </w:r>
      <w:r w:rsidRPr="007042B8">
        <w:rPr>
          <w:szCs w:val="24"/>
        </w:rPr>
        <w:t>ensure that any guarantee that it does give is appropriately limited and quantifiable</w:t>
      </w:r>
      <w:r>
        <w:rPr>
          <w:szCs w:val="24"/>
        </w:rPr>
        <w:t>, and that where</w:t>
      </w:r>
      <w:r w:rsidR="00FA4F41">
        <w:t xml:space="preserve"> guarantees are used</w:t>
      </w:r>
      <w:r>
        <w:t xml:space="preserve"> </w:t>
      </w:r>
      <w:r w:rsidRPr="007042B8">
        <w:t xml:space="preserve">the total value of </w:t>
      </w:r>
      <w:r>
        <w:t xml:space="preserve">these guarantees </w:t>
      </w:r>
      <w:r w:rsidRPr="007042B8">
        <w:t xml:space="preserve">does not exceed 5 per cent of the </w:t>
      </w:r>
      <w:r w:rsidR="00707389">
        <w:t>total amount that has been credited to</w:t>
      </w:r>
      <w:r w:rsidRPr="007042B8">
        <w:t xml:space="preserve"> the </w:t>
      </w:r>
      <w:r>
        <w:t xml:space="preserve">Corporation’s </w:t>
      </w:r>
      <w:r w:rsidR="00707389">
        <w:t xml:space="preserve">Special </w:t>
      </w:r>
      <w:r w:rsidRPr="007042B8">
        <w:t>Account</w:t>
      </w:r>
      <w:r>
        <w:rPr>
          <w:rStyle w:val="FootnoteReference"/>
        </w:rPr>
        <w:footnoteReference w:id="14"/>
      </w:r>
      <w:r w:rsidR="00707389">
        <w:t xml:space="preserve">. </w:t>
      </w:r>
    </w:p>
    <w:p w14:paraId="2B721784" w14:textId="45D019EB" w:rsidR="00C6001C" w:rsidRDefault="00C6001C" w:rsidP="00C6001C">
      <w:pPr>
        <w:pStyle w:val="Heading4"/>
      </w:pPr>
      <w:r>
        <w:t>Section 1</w:t>
      </w:r>
      <w:r w:rsidR="00867243">
        <w:t>9</w:t>
      </w:r>
      <w:r>
        <w:t xml:space="preserve"> –</w:t>
      </w:r>
      <w:r w:rsidR="00EF7E25">
        <w:t xml:space="preserve"> </w:t>
      </w:r>
      <w:r>
        <w:t xml:space="preserve">Australian </w:t>
      </w:r>
      <w:r w:rsidR="00867243">
        <w:t>i</w:t>
      </w:r>
      <w:r>
        <w:t xml:space="preserve">ndustry </w:t>
      </w:r>
      <w:r w:rsidR="00867243">
        <w:t>p</w:t>
      </w:r>
      <w:r>
        <w:t>articipation</w:t>
      </w:r>
    </w:p>
    <w:p w14:paraId="12C2B80E" w14:textId="32CC1903" w:rsidR="002E3ACA" w:rsidRPr="00352687" w:rsidRDefault="00510A94" w:rsidP="002E3ACA">
      <w:pPr>
        <w:spacing w:before="0" w:after="240"/>
        <w:rPr>
          <w:szCs w:val="24"/>
        </w:rPr>
      </w:pPr>
      <w:r>
        <w:rPr>
          <w:szCs w:val="24"/>
        </w:rPr>
        <w:t>Subs</w:t>
      </w:r>
      <w:r w:rsidR="001B2832">
        <w:rPr>
          <w:szCs w:val="24"/>
        </w:rPr>
        <w:t>ection 1</w:t>
      </w:r>
      <w:r w:rsidR="00867243">
        <w:rPr>
          <w:szCs w:val="24"/>
        </w:rPr>
        <w:t>9</w:t>
      </w:r>
      <w:r>
        <w:rPr>
          <w:szCs w:val="24"/>
        </w:rPr>
        <w:t>(1)</w:t>
      </w:r>
      <w:r w:rsidR="001B2832">
        <w:rPr>
          <w:szCs w:val="24"/>
        </w:rPr>
        <w:t xml:space="preserve"> outlines the application of Australian Industry Participation (AIP) Plans to the Corporation’s investment</w:t>
      </w:r>
      <w:r>
        <w:rPr>
          <w:szCs w:val="24"/>
        </w:rPr>
        <w:t xml:space="preserve"> activities</w:t>
      </w:r>
      <w:r w:rsidR="001B2832">
        <w:rPr>
          <w:szCs w:val="24"/>
        </w:rPr>
        <w:t xml:space="preserve">. </w:t>
      </w:r>
      <w:r w:rsidR="002E3ACA" w:rsidRPr="00352687">
        <w:rPr>
          <w:szCs w:val="24"/>
        </w:rPr>
        <w:t xml:space="preserve">The application of AIP Plans to investments made by the </w:t>
      </w:r>
      <w:r w:rsidR="002E3ACA">
        <w:rPr>
          <w:szCs w:val="24"/>
        </w:rPr>
        <w:t>Corporation</w:t>
      </w:r>
      <w:r w:rsidR="002E3ACA" w:rsidRPr="00352687">
        <w:rPr>
          <w:szCs w:val="24"/>
        </w:rPr>
        <w:t xml:space="preserve"> is aimed at increasing opportunities for capable and competitive Australian and New Zealand small and medium</w:t>
      </w:r>
      <w:r w:rsidR="00392972">
        <w:rPr>
          <w:szCs w:val="24"/>
        </w:rPr>
        <w:t xml:space="preserve"> </w:t>
      </w:r>
      <w:r w:rsidR="002E3ACA" w:rsidRPr="00352687">
        <w:rPr>
          <w:szCs w:val="24"/>
        </w:rPr>
        <w:t>sized enterprises to participate in major projects where government investment is equal to or exceeds $20</w:t>
      </w:r>
      <w:r w:rsidR="00E3730A">
        <w:rPr>
          <w:szCs w:val="24"/>
        </w:rPr>
        <w:t> </w:t>
      </w:r>
      <w:r w:rsidR="002E3ACA" w:rsidRPr="00352687">
        <w:rPr>
          <w:szCs w:val="24"/>
        </w:rPr>
        <w:t>million (GST inclusive).</w:t>
      </w:r>
    </w:p>
    <w:p w14:paraId="531BB951" w14:textId="77777777" w:rsidR="002E3ACA" w:rsidRPr="00352687" w:rsidRDefault="002E3ACA" w:rsidP="002E3ACA">
      <w:pPr>
        <w:spacing w:before="0" w:after="240"/>
        <w:rPr>
          <w:szCs w:val="24"/>
        </w:rPr>
      </w:pPr>
      <w:r w:rsidRPr="00352687">
        <w:rPr>
          <w:szCs w:val="24"/>
        </w:rPr>
        <w:t>An AIP Plan details how a project proponent will provide full, fair and reasonable opportunity to Australian industry to participate in a project. This applies to any subcontracting or purchasing opportunities that may be available. AIP Plans do not mandate the use of Australian industry, but rather aim to provide Australian industry with the opportunity to demonstrate their capabilities and capacity</w:t>
      </w:r>
      <w:r>
        <w:rPr>
          <w:rStyle w:val="FootnoteReference"/>
          <w:szCs w:val="24"/>
        </w:rPr>
        <w:footnoteReference w:id="15"/>
      </w:r>
      <w:r w:rsidRPr="00352687">
        <w:rPr>
          <w:szCs w:val="24"/>
        </w:rPr>
        <w:t>.</w:t>
      </w:r>
    </w:p>
    <w:p w14:paraId="69A13629" w14:textId="5754C1BC" w:rsidR="002E3ACA" w:rsidRPr="00352687" w:rsidRDefault="00255DB7" w:rsidP="002E3ACA">
      <w:pPr>
        <w:spacing w:before="0" w:after="240"/>
        <w:rPr>
          <w:szCs w:val="24"/>
        </w:rPr>
      </w:pPr>
      <w:r>
        <w:rPr>
          <w:szCs w:val="24"/>
        </w:rPr>
        <w:t>It is anticipated that p</w:t>
      </w:r>
      <w:r w:rsidR="002E3ACA" w:rsidRPr="00352687">
        <w:rPr>
          <w:szCs w:val="24"/>
        </w:rPr>
        <w:t xml:space="preserve">rior to contract execution with a loan recipient, the </w:t>
      </w:r>
      <w:r w:rsidR="002E3ACA">
        <w:rPr>
          <w:szCs w:val="24"/>
        </w:rPr>
        <w:t>Corporation</w:t>
      </w:r>
      <w:r w:rsidR="002E3ACA" w:rsidRPr="00352687">
        <w:rPr>
          <w:szCs w:val="24"/>
        </w:rPr>
        <w:t xml:space="preserve"> </w:t>
      </w:r>
      <w:r>
        <w:rPr>
          <w:szCs w:val="24"/>
        </w:rPr>
        <w:t xml:space="preserve">should </w:t>
      </w:r>
      <w:r w:rsidR="002E3ACA" w:rsidRPr="00352687">
        <w:rPr>
          <w:szCs w:val="24"/>
        </w:rPr>
        <w:t>engage with the Commonwealth AIP team. The Commonwealth AIP team will contact the</w:t>
      </w:r>
      <w:r w:rsidR="002E3ACA">
        <w:rPr>
          <w:szCs w:val="24"/>
        </w:rPr>
        <w:t xml:space="preserve"> Corporation</w:t>
      </w:r>
      <w:r w:rsidR="002E3ACA" w:rsidRPr="00352687">
        <w:rPr>
          <w:szCs w:val="24"/>
        </w:rPr>
        <w:t xml:space="preserve"> if it determines that a full AIP plan w</w:t>
      </w:r>
      <w:r>
        <w:rPr>
          <w:szCs w:val="24"/>
        </w:rPr>
        <w:t>ould</w:t>
      </w:r>
      <w:r w:rsidR="002E3ACA" w:rsidRPr="00352687">
        <w:rPr>
          <w:szCs w:val="24"/>
        </w:rPr>
        <w:t xml:space="preserve"> likely increase opportunities for Australian Businesses.</w:t>
      </w:r>
    </w:p>
    <w:p w14:paraId="68A7A5A6" w14:textId="77777777" w:rsidR="002E3ACA" w:rsidRPr="00352687" w:rsidRDefault="002E3ACA" w:rsidP="002E3ACA">
      <w:pPr>
        <w:spacing w:before="0" w:after="240"/>
        <w:rPr>
          <w:szCs w:val="24"/>
        </w:rPr>
      </w:pPr>
      <w:r w:rsidRPr="00352687">
        <w:rPr>
          <w:szCs w:val="24"/>
        </w:rPr>
        <w:lastRenderedPageBreak/>
        <w:t xml:space="preserve">If required, the </w:t>
      </w:r>
      <w:r>
        <w:rPr>
          <w:szCs w:val="24"/>
        </w:rPr>
        <w:t>Corporation</w:t>
      </w:r>
      <w:r w:rsidRPr="00352687">
        <w:rPr>
          <w:szCs w:val="24"/>
        </w:rPr>
        <w:t xml:space="preserve"> may engage with the Commonwealth AIP team to assist in drafting contract terms to include in funding agreements that assist recipients in their AIP obligations.</w:t>
      </w:r>
    </w:p>
    <w:p w14:paraId="5BCDB187" w14:textId="4D136880" w:rsidR="00C6001C" w:rsidRPr="00C6001C" w:rsidRDefault="00510A94" w:rsidP="00352687">
      <w:pPr>
        <w:spacing w:before="0" w:after="240"/>
      </w:pPr>
      <w:r>
        <w:rPr>
          <w:szCs w:val="24"/>
        </w:rPr>
        <w:t xml:space="preserve">Subsection 19(2) </w:t>
      </w:r>
      <w:r w:rsidR="001B7A63">
        <w:t>directs</w:t>
      </w:r>
      <w:r>
        <w:t xml:space="preserve"> the Corporation</w:t>
      </w:r>
      <w:r w:rsidR="00057CC9">
        <w:t xml:space="preserve"> to</w:t>
      </w:r>
      <w:r>
        <w:t xml:space="preserve"> consult with the Department of Finance regarding the application of the</w:t>
      </w:r>
      <w:r w:rsidR="002C2413">
        <w:t xml:space="preserve"> </w:t>
      </w:r>
      <w:r>
        <w:t>Australian Government’s Buy Australian Plan</w:t>
      </w:r>
      <w:r w:rsidR="006D6F76">
        <w:t>.</w:t>
      </w:r>
      <w:r w:rsidR="00316418">
        <w:t xml:space="preserve"> The Buy Australian Plan is intended to improve the way government contracts work and builds domestic industry capability through the Australian Government’s purchasing power. </w:t>
      </w:r>
    </w:p>
    <w:p w14:paraId="55E2FEA1" w14:textId="1240B807" w:rsidR="00402558" w:rsidRPr="00402558" w:rsidRDefault="00402558" w:rsidP="00402558">
      <w:pPr>
        <w:spacing w:before="0" w:after="240"/>
      </w:pPr>
      <w:r w:rsidRPr="00402558">
        <w:t>In respect of the Buy Australia</w:t>
      </w:r>
      <w:r w:rsidR="00CB0F46">
        <w:t>n</w:t>
      </w:r>
      <w:r w:rsidRPr="00402558">
        <w:t xml:space="preserve"> Plan, the Corporation will consult with the Department of Finance on relevant investment policies or strategies, rather than specific decisions or issues in relation to </w:t>
      </w:r>
      <w:proofErr w:type="gramStart"/>
      <w:r w:rsidRPr="00402558">
        <w:t>particular investments</w:t>
      </w:r>
      <w:proofErr w:type="gramEnd"/>
      <w:r w:rsidRPr="00402558">
        <w:t xml:space="preserve"> or non-investment matters.</w:t>
      </w:r>
    </w:p>
    <w:p w14:paraId="2624ADD4" w14:textId="29699706" w:rsidR="00426150" w:rsidRPr="0081112C" w:rsidRDefault="00426150" w:rsidP="0081112C">
      <w:pPr>
        <w:spacing w:before="0" w:after="240"/>
        <w:rPr>
          <w:szCs w:val="24"/>
        </w:rPr>
      </w:pPr>
    </w:p>
    <w:sectPr w:rsidR="00426150" w:rsidRPr="0081112C" w:rsidSect="00392BBA">
      <w:headerReference w:type="even"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417F" w14:textId="77777777" w:rsidR="00D3484D" w:rsidRDefault="00D3484D" w:rsidP="00CF785C">
      <w:pPr>
        <w:spacing w:before="0" w:after="0"/>
      </w:pPr>
      <w:r>
        <w:separator/>
      </w:r>
    </w:p>
  </w:endnote>
  <w:endnote w:type="continuationSeparator" w:id="0">
    <w:p w14:paraId="04568BF9" w14:textId="77777777" w:rsidR="00D3484D" w:rsidRDefault="00D3484D" w:rsidP="00CF785C">
      <w:pPr>
        <w:spacing w:before="0" w:after="0"/>
      </w:pPr>
      <w:r>
        <w:continuationSeparator/>
      </w:r>
    </w:p>
  </w:endnote>
  <w:endnote w:type="continuationNotice" w:id="1">
    <w:p w14:paraId="69CBD327" w14:textId="77777777" w:rsidR="00D3484D" w:rsidRDefault="00D348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0E58" w14:textId="30B78B4F" w:rsidR="009806A2" w:rsidRDefault="00471F84">
    <w:pPr>
      <w:pStyle w:val="Footer"/>
    </w:pPr>
    <w:r>
      <w:rPr>
        <w:noProof/>
      </w:rPr>
      <mc:AlternateContent>
        <mc:Choice Requires="wps">
          <w:drawing>
            <wp:anchor distT="0" distB="0" distL="114300" distR="114300" simplePos="1" relativeHeight="251671040" behindDoc="0" locked="0" layoutInCell="1" allowOverlap="1" wp14:anchorId="0C682F8B" wp14:editId="3351CCB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017F94C" w14:textId="77777777" w:rsidR="00471F84" w:rsidRDefault="00471F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82F8B" id="_x0000_t202" coordsize="21600,21600" o:spt="202" path="m,l,21600r21600,l21600,xe">
              <v:stroke joinstyle="miter"/>
              <v:path gradientshapeok="t" o:connecttype="rect"/>
            </v:shapetype>
            <v:shape id="Text Box 30" o:spid="_x0000_s1035" type="#_x0000_t202" style="position:absolute;margin-left:0;margin-top:0;width:110pt;height:36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eLea1LAIAAFsEAAAOAAAAAAAAAAAAAAAAAC4CAABkcnMvZTJv&#10;RG9jLnhtbFBLAQItABQABgAIAAAAIQCQEPlk2gAAAAQBAAAPAAAAAAAAAAAAAAAAAIYEAABkcnMv&#10;ZG93bnJldi54bWxQSwUGAAAAAAQABADzAAAAjQUAAAAA&#10;" filled="f" strokeweight=".5pt">
              <v:textbox>
                <w:txbxContent>
                  <w:p w14:paraId="2017F94C" w14:textId="77777777" w:rsidR="00471F84" w:rsidRDefault="00471F84"/>
                </w:txbxContent>
              </v:textbox>
              <w10:wrap type="through"/>
            </v:shape>
          </w:pict>
        </mc:Fallback>
      </mc:AlternateContent>
    </w:r>
    <w:r w:rsidR="00D26B7C">
      <w:rPr>
        <w:noProof/>
      </w:rPr>
      <mc:AlternateContent>
        <mc:Choice Requires="wps">
          <w:drawing>
            <wp:anchor distT="0" distB="0" distL="114300" distR="114300" simplePos="0" relativeHeight="251664896" behindDoc="0" locked="1" layoutInCell="0" allowOverlap="1" wp14:anchorId="477397BF" wp14:editId="2A66400F">
              <wp:simplePos x="0" y="0"/>
              <wp:positionH relativeFrom="margin">
                <wp:align>center</wp:align>
              </wp:positionH>
              <wp:positionV relativeFrom="bottomMargin">
                <wp:align>center</wp:align>
              </wp:positionV>
              <wp:extent cx="1891665" cy="273050"/>
              <wp:effectExtent l="0" t="0" r="0" b="0"/>
              <wp:wrapNone/>
              <wp:docPr id="24" name="janusSEAL SC F_EvenPage"/>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97CF89" w14:textId="3D8E1B90" w:rsidR="00D26B7C" w:rsidRPr="00D26B7C" w:rsidRDefault="00D26B7C" w:rsidP="00D26B7C">
                          <w:pPr>
                            <w:spacing w:before="0" w:after="0"/>
                            <w:jc w:val="center"/>
                            <w:rPr>
                              <w:rFonts w:ascii="Arial" w:hAnsi="Arial" w:cs="Arial"/>
                              <w:b/>
                              <w:color w:val="FF0000"/>
                            </w:rPr>
                          </w:pPr>
                          <w:r w:rsidRPr="00D26B7C">
                            <w:rPr>
                              <w:rFonts w:ascii="Arial" w:hAnsi="Arial" w:cs="Arial"/>
                              <w:b/>
                              <w:color w:val="FF0000"/>
                            </w:rPr>
                            <w:fldChar w:fldCharType="begin"/>
                          </w:r>
                          <w:r w:rsidRPr="00D26B7C">
                            <w:rPr>
                              <w:rFonts w:ascii="Arial" w:hAnsi="Arial" w:cs="Arial"/>
                              <w:b/>
                              <w:color w:val="FF0000"/>
                            </w:rPr>
                            <w:instrText xml:space="preserve"> DOCPROPERTY PM_ProtectiveMarkingValue_Footer \* MERGEFORMAT </w:instrText>
                          </w:r>
                          <w:r w:rsidRPr="00D26B7C">
                            <w:rPr>
                              <w:rFonts w:ascii="Arial" w:hAnsi="Arial" w:cs="Arial"/>
                              <w:b/>
                              <w:color w:val="FF0000"/>
                            </w:rPr>
                            <w:fldChar w:fldCharType="separate"/>
                          </w:r>
                          <w:r w:rsidR="008127AB">
                            <w:rPr>
                              <w:rFonts w:ascii="Arial" w:hAnsi="Arial" w:cs="Arial"/>
                              <w:b/>
                              <w:color w:val="FF0000"/>
                            </w:rPr>
                            <w:t>PROTECTED//CABINET</w:t>
                          </w:r>
                          <w:r w:rsidRPr="00D26B7C">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7397BF" id="janusSEAL SC F_EvenPage" o:spid="_x0000_s1036" type="#_x0000_t202" style="position:absolute;margin-left:0;margin-top:0;width:148.95pt;height:21.5pt;z-index:2516648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" o:allowincell="f" filled="f" stroked="f" strokeweight=".5pt">
              <v:textbox style="mso-fit-shape-to-text:t">
                <w:txbxContent>
                  <w:p w14:paraId="7697CF89" w14:textId="3D8E1B90" w:rsidR="00D26B7C" w:rsidRPr="00D26B7C" w:rsidRDefault="00D26B7C" w:rsidP="00D26B7C">
                    <w:pPr>
                      <w:spacing w:before="0" w:after="0"/>
                      <w:jc w:val="center"/>
                      <w:rPr>
                        <w:rFonts w:ascii="Arial" w:hAnsi="Arial" w:cs="Arial"/>
                        <w:b/>
                        <w:color w:val="FF0000"/>
                      </w:rPr>
                    </w:pPr>
                    <w:r w:rsidRPr="00D26B7C">
                      <w:rPr>
                        <w:rFonts w:ascii="Arial" w:hAnsi="Arial" w:cs="Arial"/>
                        <w:b/>
                        <w:color w:val="FF0000"/>
                      </w:rPr>
                      <w:fldChar w:fldCharType="begin"/>
                    </w:r>
                    <w:r w:rsidRPr="00D26B7C">
                      <w:rPr>
                        <w:rFonts w:ascii="Arial" w:hAnsi="Arial" w:cs="Arial"/>
                        <w:b/>
                        <w:color w:val="FF0000"/>
                      </w:rPr>
                      <w:instrText xml:space="preserve"> DOCPROPERTY PM_ProtectiveMarkingValue_Footer \* MERGEFORMAT </w:instrText>
                    </w:r>
                    <w:r w:rsidRPr="00D26B7C">
                      <w:rPr>
                        <w:rFonts w:ascii="Arial" w:hAnsi="Arial" w:cs="Arial"/>
                        <w:b/>
                        <w:color w:val="FF0000"/>
                      </w:rPr>
                      <w:fldChar w:fldCharType="separate"/>
                    </w:r>
                    <w:r w:rsidR="008127AB">
                      <w:rPr>
                        <w:rFonts w:ascii="Arial" w:hAnsi="Arial" w:cs="Arial"/>
                        <w:b/>
                        <w:color w:val="FF0000"/>
                      </w:rPr>
                      <w:t>PROTECTED//CABINET</w:t>
                    </w:r>
                    <w:r w:rsidRPr="00D26B7C">
                      <w:rPr>
                        <w:rFonts w:ascii="Arial" w:hAnsi="Arial" w:cs="Arial"/>
                        <w:b/>
                        <w:color w:val="FF0000"/>
                      </w:rPr>
                      <w:fldChar w:fldCharType="end"/>
                    </w:r>
                  </w:p>
                </w:txbxContent>
              </v:textbox>
              <w10:wrap anchorx="margin" anchory="margin"/>
              <w10:anchorlock/>
            </v:shape>
          </w:pict>
        </mc:Fallback>
      </mc:AlternateContent>
    </w:r>
    <w:r w:rsidR="00E346FD">
      <w:rPr>
        <w:noProof/>
      </w:rPr>
      <mc:AlternateContent>
        <mc:Choice Requires="wps">
          <w:drawing>
            <wp:anchor distT="0" distB="0" distL="114300" distR="114300" simplePos="1" relativeHeight="251658752" behindDoc="0" locked="0" layoutInCell="1" allowOverlap="1" wp14:anchorId="59A82CEC" wp14:editId="1720110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DC00FFB" w14:textId="77777777" w:rsidR="00E346FD" w:rsidRDefault="00E34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A82CEC" id="Text Box 18" o:spid="_x0000_s1037" type="#_x0000_t202" style="position:absolute;margin-left:0;margin-top:0;width:110pt;height:3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DmNBv0rAgAAXAQAAA4AAAAAAAAAAAAAAAAALgIAAGRycy9lMm9E&#10;b2MueG1sUEsBAi0AFAAGAAgAAAAhAJAQ+WTaAAAABAEAAA8AAAAAAAAAAAAAAAAAhQQAAGRycy9k&#10;b3ducmV2LnhtbFBLBQYAAAAABAAEAPMAAACMBQAAAAA=&#10;" filled="f" strokeweight=".5pt">
              <v:textbox>
                <w:txbxContent>
                  <w:p w14:paraId="1DC00FFB" w14:textId="77777777" w:rsidR="00E346FD" w:rsidRDefault="00E346FD"/>
                </w:txbxContent>
              </v:textbox>
              <w10:wrap type="through"/>
            </v:shape>
          </w:pict>
        </mc:Fallback>
      </mc:AlternateContent>
    </w:r>
    <w:r w:rsidR="009C575B">
      <w:rPr>
        <w:noProof/>
      </w:rPr>
      <mc:AlternateContent>
        <mc:Choice Requires="wps">
          <w:drawing>
            <wp:anchor distT="0" distB="0" distL="114300" distR="114300" simplePos="0" relativeHeight="251652608" behindDoc="0" locked="1" layoutInCell="0" allowOverlap="1" wp14:anchorId="4501E848" wp14:editId="27AC98F7">
              <wp:simplePos x="0" y="0"/>
              <wp:positionH relativeFrom="margin">
                <wp:align>center</wp:align>
              </wp:positionH>
              <wp:positionV relativeFrom="bottomMargin">
                <wp:align>center</wp:align>
              </wp:positionV>
              <wp:extent cx="1891665" cy="273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3C77C" w14:textId="73853434" w:rsidR="009C575B" w:rsidRPr="009C575B" w:rsidRDefault="009C575B" w:rsidP="009C575B">
                          <w:pPr>
                            <w:spacing w:before="0" w:after="0"/>
                            <w:jc w:val="center"/>
                            <w:rPr>
                              <w:rFonts w:ascii="Arial" w:hAnsi="Arial" w:cs="Arial"/>
                              <w:b/>
                              <w:color w:val="FF0000"/>
                            </w:rPr>
                          </w:pPr>
                          <w:r w:rsidRPr="009C575B">
                            <w:rPr>
                              <w:rFonts w:ascii="Arial" w:hAnsi="Arial" w:cs="Arial"/>
                              <w:b/>
                              <w:color w:val="FF0000"/>
                            </w:rPr>
                            <w:fldChar w:fldCharType="begin"/>
                          </w:r>
                          <w:r w:rsidRPr="009C575B">
                            <w:rPr>
                              <w:rFonts w:ascii="Arial" w:hAnsi="Arial" w:cs="Arial"/>
                              <w:b/>
                              <w:color w:val="FF0000"/>
                            </w:rPr>
                            <w:instrText xml:space="preserve"> DOCPROPERTY PM_ProtectiveMarkingValue_Footer \* MERGEFORMAT </w:instrText>
                          </w:r>
                          <w:r w:rsidRPr="009C575B">
                            <w:rPr>
                              <w:rFonts w:ascii="Arial" w:hAnsi="Arial" w:cs="Arial"/>
                              <w:b/>
                              <w:color w:val="FF0000"/>
                            </w:rPr>
                            <w:fldChar w:fldCharType="separate"/>
                          </w:r>
                          <w:r w:rsidR="008127AB">
                            <w:rPr>
                              <w:rFonts w:ascii="Arial" w:hAnsi="Arial" w:cs="Arial"/>
                              <w:b/>
                              <w:color w:val="FF0000"/>
                            </w:rPr>
                            <w:t>PROTECTED//CABINET</w:t>
                          </w:r>
                          <w:r w:rsidRPr="009C575B">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01E848" id="Text Box 12" o:spid="_x0000_s1038" type="#_x0000_t202" style="position:absolute;margin-left:0;margin-top:0;width:148.95pt;height:21.5pt;z-index:25165260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" o:allowincell="f" filled="f" stroked="f" strokeweight=".5pt">
              <v:textbox style="mso-fit-shape-to-text:t">
                <w:txbxContent>
                  <w:p w14:paraId="3533C77C" w14:textId="73853434" w:rsidR="009C575B" w:rsidRPr="009C575B" w:rsidRDefault="009C575B" w:rsidP="009C575B">
                    <w:pPr>
                      <w:spacing w:before="0" w:after="0"/>
                      <w:jc w:val="center"/>
                      <w:rPr>
                        <w:rFonts w:ascii="Arial" w:hAnsi="Arial" w:cs="Arial"/>
                        <w:b/>
                        <w:color w:val="FF0000"/>
                      </w:rPr>
                    </w:pPr>
                    <w:r w:rsidRPr="009C575B">
                      <w:rPr>
                        <w:rFonts w:ascii="Arial" w:hAnsi="Arial" w:cs="Arial"/>
                        <w:b/>
                        <w:color w:val="FF0000"/>
                      </w:rPr>
                      <w:fldChar w:fldCharType="begin"/>
                    </w:r>
                    <w:r w:rsidRPr="009C575B">
                      <w:rPr>
                        <w:rFonts w:ascii="Arial" w:hAnsi="Arial" w:cs="Arial"/>
                        <w:b/>
                        <w:color w:val="FF0000"/>
                      </w:rPr>
                      <w:instrText xml:space="preserve"> DOCPROPERTY PM_ProtectiveMarkingValue_Footer \* MERGEFORMAT </w:instrText>
                    </w:r>
                    <w:r w:rsidRPr="009C575B">
                      <w:rPr>
                        <w:rFonts w:ascii="Arial" w:hAnsi="Arial" w:cs="Arial"/>
                        <w:b/>
                        <w:color w:val="FF0000"/>
                      </w:rPr>
                      <w:fldChar w:fldCharType="separate"/>
                    </w:r>
                    <w:r w:rsidR="008127AB">
                      <w:rPr>
                        <w:rFonts w:ascii="Arial" w:hAnsi="Arial" w:cs="Arial"/>
                        <w:b/>
                        <w:color w:val="FF0000"/>
                      </w:rPr>
                      <w:t>PROTECTED//CABINET</w:t>
                    </w:r>
                    <w:r w:rsidRPr="009C575B">
                      <w:rPr>
                        <w:rFonts w:ascii="Arial" w:hAnsi="Arial" w:cs="Arial"/>
                        <w:b/>
                        <w:color w:val="FF0000"/>
                      </w:rPr>
                      <w:fldChar w:fldCharType="end"/>
                    </w:r>
                  </w:p>
                </w:txbxContent>
              </v:textbox>
              <w10:wrap anchorx="margin" anchory="margin"/>
              <w10:anchorlock/>
            </v:shape>
          </w:pict>
        </mc:Fallback>
      </mc:AlternateContent>
    </w:r>
    <w:r w:rsidR="009806A2">
      <w:rPr>
        <w:noProof/>
      </w:rPr>
      <mc:AlternateContent>
        <mc:Choice Requires="wps">
          <w:drawing>
            <wp:anchor distT="0" distB="0" distL="114300" distR="114300" simplePos="1" relativeHeight="251648512" behindDoc="0" locked="0" layoutInCell="1" allowOverlap="1" wp14:anchorId="1BC1590A" wp14:editId="3E31215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939DEEE" w14:textId="77777777" w:rsidR="009806A2" w:rsidRDefault="00980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C1590A" id="Text Box 6" o:spid="_x0000_s1039" type="#_x0000_t202" style="position:absolute;margin-left:0;margin-top:0;width:110pt;height:3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M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Pqx4Q1UB8TBQT8i3vKlwvgr5sMLczgT2B/OeXjGQ2rAomCQKKnB/frbe7RHqlBLSYszVlL/c8ec&#10;oER/M0ji/XgyiUOZLgk4StylZnOpMbtmAdjpGDfK8iSiswv6KEoHzRuuwzxmRRUzHHOXNBzFRegn&#10;H9eJi/k8GeEYWhZWZm15DH3E9bV7Y84OfAVk+gmO08iKd7T1tj1x810AqRKnEege1QF/HOE0FcO6&#10;xR25vCer80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Ibv6IwrAgAAXAQAAA4AAAAAAAAAAAAAAAAALgIAAGRycy9lMm9E&#10;b2MueG1sUEsBAi0AFAAGAAgAAAAhAJAQ+WTaAAAABAEAAA8AAAAAAAAAAAAAAAAAhQQAAGRycy9k&#10;b3ducmV2LnhtbFBLBQYAAAAABAAEAPMAAACMBQAAAAA=&#10;" filled="f" strokeweight=".5pt">
              <v:textbox>
                <w:txbxContent>
                  <w:p w14:paraId="7939DEEE" w14:textId="77777777" w:rsidR="009806A2" w:rsidRDefault="009806A2"/>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4E27" w14:textId="6DCE7820" w:rsidR="00D93D7C" w:rsidRDefault="00D26B7C">
    <w:pPr>
      <w:pStyle w:val="Footer"/>
    </w:pPr>
    <w:r>
      <w:rPr>
        <w:noProof/>
      </w:rPr>
      <mc:AlternateContent>
        <mc:Choice Requires="wps">
          <w:drawing>
            <wp:anchor distT="0" distB="0" distL="114300" distR="114300" simplePos="0" relativeHeight="251662848" behindDoc="0" locked="1" layoutInCell="0" allowOverlap="1" wp14:anchorId="37E8CA72" wp14:editId="7F533E32">
              <wp:simplePos x="0" y="0"/>
              <wp:positionH relativeFrom="margin">
                <wp:align>center</wp:align>
              </wp:positionH>
              <wp:positionV relativeFrom="bottomMargin">
                <wp:align>center</wp:align>
              </wp:positionV>
              <wp:extent cx="1891665" cy="273050"/>
              <wp:effectExtent l="0" t="0" r="0" b="0"/>
              <wp:wrapNone/>
              <wp:docPr id="22" name="janusSEAL SC Footer"/>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A9AAE" w14:textId="48B57A15" w:rsidR="00D26B7C" w:rsidRPr="00D26B7C" w:rsidRDefault="00D26B7C" w:rsidP="00D26B7C">
                          <w:pPr>
                            <w:spacing w:before="0" w:after="0"/>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E8CA72" id="_x0000_t202" coordsize="21600,21600" o:spt="202" path="m,l,21600r21600,l21600,xe">
              <v:stroke joinstyle="miter"/>
              <v:path gradientshapeok="t" o:connecttype="rect"/>
            </v:shapetype>
            <v:shape id="janusSEAL SC Footer" o:spid="_x0000_s1041" type="#_x0000_t202" style="position:absolute;margin-left:0;margin-top:0;width:148.95pt;height:21.5pt;z-index:2516628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" o:allowincell="f" filled="f" stroked="f" strokeweight=".5pt">
              <v:textbox style="mso-fit-shape-to-text:t">
                <w:txbxContent>
                  <w:p w14:paraId="4ACA9AAE" w14:textId="48B57A15" w:rsidR="00D26B7C" w:rsidRPr="00D26B7C" w:rsidRDefault="00D26B7C" w:rsidP="00D26B7C">
                    <w:pPr>
                      <w:spacing w:before="0" w:after="0"/>
                      <w:jc w:val="center"/>
                      <w:rPr>
                        <w:rFonts w:ascii="Arial" w:hAnsi="Arial" w:cs="Arial"/>
                        <w:b/>
                        <w:color w:val="FF0000"/>
                      </w:rPr>
                    </w:pPr>
                  </w:p>
                </w:txbxContent>
              </v:textbox>
              <w10:wrap anchorx="margin" anchory="margin"/>
              <w10:anchorlock/>
            </v:shape>
          </w:pict>
        </mc:Fallback>
      </mc:AlternateContent>
    </w:r>
    <w:r w:rsidR="00D93D7C">
      <w:tab/>
    </w:r>
    <w:r w:rsidR="00D93D7C">
      <w:fldChar w:fldCharType="begin"/>
    </w:r>
    <w:r w:rsidR="00D93D7C">
      <w:instrText xml:space="preserve"> PAGE   \* MERGEFORMAT </w:instrText>
    </w:r>
    <w:r w:rsidR="00D93D7C">
      <w:fldChar w:fldCharType="separate"/>
    </w:r>
    <w:r w:rsidR="00D5499B">
      <w:rPr>
        <w:noProof/>
      </w:rPr>
      <w:t>9</w:t>
    </w:r>
    <w:r w:rsidR="00D93D7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2A07" w14:textId="003C5F7D" w:rsidR="009806A2" w:rsidRDefault="00471F84">
    <w:pPr>
      <w:pStyle w:val="Footer"/>
    </w:pPr>
    <w:r>
      <w:rPr>
        <w:noProof/>
      </w:rPr>
      <mc:AlternateContent>
        <mc:Choice Requires="wps">
          <w:drawing>
            <wp:anchor distT="0" distB="0" distL="114300" distR="114300" simplePos="1" relativeHeight="251670016" behindDoc="0" locked="0" layoutInCell="1" allowOverlap="1" wp14:anchorId="2727E1C7" wp14:editId="1C653D0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E17D89D" w14:textId="77777777" w:rsidR="00471F84" w:rsidRDefault="00471F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27E1C7" id="_x0000_t202" coordsize="21600,21600" o:spt="202" path="m,l,21600r21600,l21600,xe">
              <v:stroke joinstyle="miter"/>
              <v:path gradientshapeok="t" o:connecttype="rect"/>
            </v:shapetype>
            <v:shape id="Text Box 29" o:spid="_x0000_s1049" type="#_x0000_t202" style="position:absolute;margin-left:0;margin-top:0;width:110pt;height:36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gX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JdGh4B8UJcbDQjYgzfC0x/oY5/8IszgT2h3Pun/EoFWBR0EuUVGB//e092CNVqKWkwRnLqft5&#10;YFZQor5pJPF+PJuFoYyXCBwl9lqzu9boQ70C7HSMG2V4FNHZejWIpYX6DddhGbKiimmOuXPqB3Hl&#10;u8nHdeJiuYxGOIaG+Y3eGh5CD7i+tm/Mmp4vj0w/wTCNLHtHW2fbEbc8eChl5DQA3aHa448jHKei&#10;X7ewI9f3aHX5KSx+Aw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owoFy0CAABcBAAADgAAAAAAAAAAAAAAAAAuAgAAZHJzL2Uy&#10;b0RvYy54bWxQSwECLQAUAAYACAAAACEAkBD5ZNoAAAAEAQAADwAAAAAAAAAAAAAAAACHBAAAZHJz&#10;L2Rvd25yZXYueG1sUEsFBgAAAAAEAAQA8wAAAI4FAAAAAA==&#10;" filled="f" strokeweight=".5pt">
              <v:textbox>
                <w:txbxContent>
                  <w:p w14:paraId="0E17D89D" w14:textId="77777777" w:rsidR="00471F84" w:rsidRDefault="00471F84"/>
                </w:txbxContent>
              </v:textbox>
              <w10:wrap type="through"/>
            </v:shape>
          </w:pict>
        </mc:Fallback>
      </mc:AlternateContent>
    </w:r>
    <w:r w:rsidR="00D26B7C">
      <w:rPr>
        <w:noProof/>
      </w:rPr>
      <mc:AlternateContent>
        <mc:Choice Requires="wps">
          <w:drawing>
            <wp:anchor distT="0" distB="0" distL="114300" distR="114300" simplePos="0" relativeHeight="251663872" behindDoc="0" locked="1" layoutInCell="0" allowOverlap="1" wp14:anchorId="79D7B05F" wp14:editId="188A12A6">
              <wp:simplePos x="0" y="0"/>
              <wp:positionH relativeFrom="margin">
                <wp:align>center</wp:align>
              </wp:positionH>
              <wp:positionV relativeFrom="bottomMargin">
                <wp:align>center</wp:align>
              </wp:positionV>
              <wp:extent cx="1891665" cy="273050"/>
              <wp:effectExtent l="0" t="0" r="0" b="0"/>
              <wp:wrapNone/>
              <wp:docPr id="23" name="janusSEAL SC F_FirstPage"/>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96545B" w14:textId="6B7A922B" w:rsidR="00D26B7C" w:rsidRPr="00D26B7C" w:rsidRDefault="00D26B7C" w:rsidP="00D26B7C">
                          <w:pPr>
                            <w:spacing w:before="0" w:after="0"/>
                            <w:jc w:val="center"/>
                            <w:rPr>
                              <w:rFonts w:ascii="Arial" w:hAnsi="Arial" w:cs="Arial"/>
                              <w:b/>
                              <w:color w:val="FF0000"/>
                            </w:rPr>
                          </w:pPr>
                          <w:r w:rsidRPr="00D26B7C">
                            <w:rPr>
                              <w:rFonts w:ascii="Arial" w:hAnsi="Arial" w:cs="Arial"/>
                              <w:b/>
                              <w:color w:val="FF0000"/>
                            </w:rPr>
                            <w:fldChar w:fldCharType="begin"/>
                          </w:r>
                          <w:r w:rsidRPr="00D26B7C">
                            <w:rPr>
                              <w:rFonts w:ascii="Arial" w:hAnsi="Arial" w:cs="Arial"/>
                              <w:b/>
                              <w:color w:val="FF0000"/>
                            </w:rPr>
                            <w:instrText xml:space="preserve"> DOCPROPERTY PM_ProtectiveMarkingValue_Footer \* MERGEFORMAT </w:instrText>
                          </w:r>
                          <w:r w:rsidRPr="00D26B7C">
                            <w:rPr>
                              <w:rFonts w:ascii="Arial" w:hAnsi="Arial" w:cs="Arial"/>
                              <w:b/>
                              <w:color w:val="FF0000"/>
                            </w:rPr>
                            <w:fldChar w:fldCharType="separate"/>
                          </w:r>
                          <w:r w:rsidR="008127AB">
                            <w:rPr>
                              <w:rFonts w:ascii="Arial" w:hAnsi="Arial" w:cs="Arial"/>
                              <w:b/>
                              <w:color w:val="FF0000"/>
                            </w:rPr>
                            <w:t>PROTECTED//CABINET</w:t>
                          </w:r>
                          <w:r w:rsidRPr="00D26B7C">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D7B05F" id="janusSEAL SC F_FirstPage" o:spid="_x0000_s1050" type="#_x0000_t202" style="position:absolute;margin-left:0;margin-top:0;width:148.95pt;height:21.5pt;z-index:2516638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" o:allowincell="f" filled="f" stroked="f" strokeweight=".5pt">
              <v:textbox style="mso-fit-shape-to-text:t">
                <w:txbxContent>
                  <w:p w14:paraId="5596545B" w14:textId="6B7A922B" w:rsidR="00D26B7C" w:rsidRPr="00D26B7C" w:rsidRDefault="00D26B7C" w:rsidP="00D26B7C">
                    <w:pPr>
                      <w:spacing w:before="0" w:after="0"/>
                      <w:jc w:val="center"/>
                      <w:rPr>
                        <w:rFonts w:ascii="Arial" w:hAnsi="Arial" w:cs="Arial"/>
                        <w:b/>
                        <w:color w:val="FF0000"/>
                      </w:rPr>
                    </w:pPr>
                    <w:r w:rsidRPr="00D26B7C">
                      <w:rPr>
                        <w:rFonts w:ascii="Arial" w:hAnsi="Arial" w:cs="Arial"/>
                        <w:b/>
                        <w:color w:val="FF0000"/>
                      </w:rPr>
                      <w:fldChar w:fldCharType="begin"/>
                    </w:r>
                    <w:r w:rsidRPr="00D26B7C">
                      <w:rPr>
                        <w:rFonts w:ascii="Arial" w:hAnsi="Arial" w:cs="Arial"/>
                        <w:b/>
                        <w:color w:val="FF0000"/>
                      </w:rPr>
                      <w:instrText xml:space="preserve"> DOCPROPERTY PM_ProtectiveMarkingValue_Footer \* MERGEFORMAT </w:instrText>
                    </w:r>
                    <w:r w:rsidRPr="00D26B7C">
                      <w:rPr>
                        <w:rFonts w:ascii="Arial" w:hAnsi="Arial" w:cs="Arial"/>
                        <w:b/>
                        <w:color w:val="FF0000"/>
                      </w:rPr>
                      <w:fldChar w:fldCharType="separate"/>
                    </w:r>
                    <w:r w:rsidR="008127AB">
                      <w:rPr>
                        <w:rFonts w:ascii="Arial" w:hAnsi="Arial" w:cs="Arial"/>
                        <w:b/>
                        <w:color w:val="FF0000"/>
                      </w:rPr>
                      <w:t>PROTECTED//CABINET</w:t>
                    </w:r>
                    <w:r w:rsidRPr="00D26B7C">
                      <w:rPr>
                        <w:rFonts w:ascii="Arial" w:hAnsi="Arial" w:cs="Arial"/>
                        <w:b/>
                        <w:color w:val="FF0000"/>
                      </w:rPr>
                      <w:fldChar w:fldCharType="end"/>
                    </w:r>
                  </w:p>
                </w:txbxContent>
              </v:textbox>
              <w10:wrap anchorx="margin" anchory="margin"/>
              <w10:anchorlock/>
            </v:shape>
          </w:pict>
        </mc:Fallback>
      </mc:AlternateContent>
    </w:r>
    <w:r w:rsidR="00E346FD">
      <w:rPr>
        <w:noProof/>
      </w:rPr>
      <mc:AlternateContent>
        <mc:Choice Requires="wps">
          <w:drawing>
            <wp:anchor distT="0" distB="0" distL="114300" distR="114300" simplePos="1" relativeHeight="251657728" behindDoc="0" locked="0" layoutInCell="1" allowOverlap="1" wp14:anchorId="0F7193EB" wp14:editId="6B5F8E0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821145D" w14:textId="77777777" w:rsidR="00E346FD" w:rsidRDefault="00E34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193EB" id="Text Box 17" o:spid="_x0000_s1051" type="#_x0000_t202" style="position:absolute;margin-left:0;margin-top:0;width:110pt;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qF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JysahS0CAABcBAAADgAAAAAAAAAAAAAAAAAuAgAAZHJzL2Uy&#10;b0RvYy54bWxQSwECLQAUAAYACAAAACEAkBD5ZNoAAAAEAQAADwAAAAAAAAAAAAAAAACHBAAAZHJz&#10;L2Rvd25yZXYueG1sUEsFBgAAAAAEAAQA8wAAAI4FAAAAAA==&#10;" filled="f" strokeweight=".5pt">
              <v:textbox>
                <w:txbxContent>
                  <w:p w14:paraId="5821145D" w14:textId="77777777" w:rsidR="00E346FD" w:rsidRDefault="00E346FD"/>
                </w:txbxContent>
              </v:textbox>
              <w10:wrap type="through"/>
            </v:shape>
          </w:pict>
        </mc:Fallback>
      </mc:AlternateContent>
    </w:r>
    <w:r w:rsidR="009C575B">
      <w:rPr>
        <w:noProof/>
      </w:rPr>
      <mc:AlternateContent>
        <mc:Choice Requires="wps">
          <w:drawing>
            <wp:anchor distT="0" distB="0" distL="114300" distR="114300" simplePos="0" relativeHeight="251651584" behindDoc="0" locked="1" layoutInCell="0" allowOverlap="1" wp14:anchorId="7C333C7C" wp14:editId="6F94889A">
              <wp:simplePos x="0" y="0"/>
              <wp:positionH relativeFrom="margin">
                <wp:align>center</wp:align>
              </wp:positionH>
              <wp:positionV relativeFrom="bottomMargin">
                <wp:align>center</wp:align>
              </wp:positionV>
              <wp:extent cx="1891665" cy="2730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51F3F" w14:textId="22F22070" w:rsidR="009C575B" w:rsidRPr="009C575B" w:rsidRDefault="009C575B" w:rsidP="009C575B">
                          <w:pPr>
                            <w:spacing w:before="0" w:after="0"/>
                            <w:jc w:val="center"/>
                            <w:rPr>
                              <w:rFonts w:ascii="Arial" w:hAnsi="Arial" w:cs="Arial"/>
                              <w:b/>
                              <w:color w:val="FF0000"/>
                            </w:rPr>
                          </w:pPr>
                          <w:r w:rsidRPr="009C575B">
                            <w:rPr>
                              <w:rFonts w:ascii="Arial" w:hAnsi="Arial" w:cs="Arial"/>
                              <w:b/>
                              <w:color w:val="FF0000"/>
                            </w:rPr>
                            <w:fldChar w:fldCharType="begin"/>
                          </w:r>
                          <w:r w:rsidRPr="009C575B">
                            <w:rPr>
                              <w:rFonts w:ascii="Arial" w:hAnsi="Arial" w:cs="Arial"/>
                              <w:b/>
                              <w:color w:val="FF0000"/>
                            </w:rPr>
                            <w:instrText xml:space="preserve"> DOCPROPERTY PM_ProtectiveMarkingValue_Footer \* MERGEFORMAT </w:instrText>
                          </w:r>
                          <w:r w:rsidRPr="009C575B">
                            <w:rPr>
                              <w:rFonts w:ascii="Arial" w:hAnsi="Arial" w:cs="Arial"/>
                              <w:b/>
                              <w:color w:val="FF0000"/>
                            </w:rPr>
                            <w:fldChar w:fldCharType="separate"/>
                          </w:r>
                          <w:r w:rsidR="008127AB">
                            <w:rPr>
                              <w:rFonts w:ascii="Arial" w:hAnsi="Arial" w:cs="Arial"/>
                              <w:b/>
                              <w:color w:val="FF0000"/>
                            </w:rPr>
                            <w:t>PROTECTED//CABINET</w:t>
                          </w:r>
                          <w:r w:rsidRPr="009C575B">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333C7C" id="Text Box 11" o:spid="_x0000_s1052" type="#_x0000_t202" style="position:absolute;margin-left:0;margin-top:0;width:148.95pt;height:21.5pt;z-index:2516515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" o:allowincell="f" filled="f" stroked="f" strokeweight=".5pt">
              <v:textbox style="mso-fit-shape-to-text:t">
                <w:txbxContent>
                  <w:p w14:paraId="6B751F3F" w14:textId="22F22070" w:rsidR="009C575B" w:rsidRPr="009C575B" w:rsidRDefault="009C575B" w:rsidP="009C575B">
                    <w:pPr>
                      <w:spacing w:before="0" w:after="0"/>
                      <w:jc w:val="center"/>
                      <w:rPr>
                        <w:rFonts w:ascii="Arial" w:hAnsi="Arial" w:cs="Arial"/>
                        <w:b/>
                        <w:color w:val="FF0000"/>
                      </w:rPr>
                    </w:pPr>
                    <w:r w:rsidRPr="009C575B">
                      <w:rPr>
                        <w:rFonts w:ascii="Arial" w:hAnsi="Arial" w:cs="Arial"/>
                        <w:b/>
                        <w:color w:val="FF0000"/>
                      </w:rPr>
                      <w:fldChar w:fldCharType="begin"/>
                    </w:r>
                    <w:r w:rsidRPr="009C575B">
                      <w:rPr>
                        <w:rFonts w:ascii="Arial" w:hAnsi="Arial" w:cs="Arial"/>
                        <w:b/>
                        <w:color w:val="FF0000"/>
                      </w:rPr>
                      <w:instrText xml:space="preserve"> DOCPROPERTY PM_ProtectiveMarkingValue_Footer \* MERGEFORMAT </w:instrText>
                    </w:r>
                    <w:r w:rsidRPr="009C575B">
                      <w:rPr>
                        <w:rFonts w:ascii="Arial" w:hAnsi="Arial" w:cs="Arial"/>
                        <w:b/>
                        <w:color w:val="FF0000"/>
                      </w:rPr>
                      <w:fldChar w:fldCharType="separate"/>
                    </w:r>
                    <w:r w:rsidR="008127AB">
                      <w:rPr>
                        <w:rFonts w:ascii="Arial" w:hAnsi="Arial" w:cs="Arial"/>
                        <w:b/>
                        <w:color w:val="FF0000"/>
                      </w:rPr>
                      <w:t>PROTECTED//CABINET</w:t>
                    </w:r>
                    <w:r w:rsidRPr="009C575B">
                      <w:rPr>
                        <w:rFonts w:ascii="Arial" w:hAnsi="Arial" w:cs="Arial"/>
                        <w:b/>
                        <w:color w:val="FF0000"/>
                      </w:rPr>
                      <w:fldChar w:fldCharType="end"/>
                    </w:r>
                  </w:p>
                </w:txbxContent>
              </v:textbox>
              <w10:wrap anchorx="margin" anchory="margin"/>
              <w10:anchorlock/>
            </v:shape>
          </w:pict>
        </mc:Fallback>
      </mc:AlternateContent>
    </w:r>
    <w:r w:rsidR="009806A2">
      <w:rPr>
        <w:noProof/>
      </w:rPr>
      <mc:AlternateContent>
        <mc:Choice Requires="wps">
          <w:drawing>
            <wp:anchor distT="0" distB="0" distL="114300" distR="114300" simplePos="1" relativeHeight="251647488" behindDoc="0" locked="0" layoutInCell="1" allowOverlap="1" wp14:anchorId="6E2586B5" wp14:editId="19D1366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52331B9" w14:textId="77777777" w:rsidR="009806A2" w:rsidRDefault="00980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586B5" id="Text Box 5" o:spid="_x0000_s1053" type="#_x0000_t202" style="position:absolute;margin-left:0;margin-top:0;width:110pt;height:3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En09C0CAABcBAAADgAAAAAAAAAAAAAAAAAuAgAAZHJzL2Uy&#10;b0RvYy54bWxQSwECLQAUAAYACAAAACEAkBD5ZNoAAAAEAQAADwAAAAAAAAAAAAAAAACHBAAAZHJz&#10;L2Rvd25yZXYueG1sUEsFBgAAAAAEAAQA8wAAAI4FAAAAAA==&#10;" filled="f" strokeweight=".5pt">
              <v:textbox>
                <w:txbxContent>
                  <w:p w14:paraId="352331B9" w14:textId="77777777" w:rsidR="009806A2" w:rsidRDefault="009806A2"/>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248E" w14:textId="77777777" w:rsidR="00D3484D" w:rsidRDefault="00D3484D" w:rsidP="00CF785C">
      <w:pPr>
        <w:spacing w:before="0" w:after="0"/>
      </w:pPr>
      <w:r>
        <w:separator/>
      </w:r>
    </w:p>
  </w:footnote>
  <w:footnote w:type="continuationSeparator" w:id="0">
    <w:p w14:paraId="2541AFF6" w14:textId="77777777" w:rsidR="00D3484D" w:rsidRDefault="00D3484D" w:rsidP="00CF785C">
      <w:pPr>
        <w:spacing w:before="0" w:after="0"/>
      </w:pPr>
      <w:r>
        <w:continuationSeparator/>
      </w:r>
    </w:p>
  </w:footnote>
  <w:footnote w:type="continuationNotice" w:id="1">
    <w:p w14:paraId="293F7107" w14:textId="77777777" w:rsidR="00D3484D" w:rsidRDefault="00D3484D">
      <w:pPr>
        <w:spacing w:before="0" w:after="0"/>
      </w:pPr>
    </w:p>
  </w:footnote>
  <w:footnote w:id="2">
    <w:p w14:paraId="5C79FC75" w14:textId="5AFBD575" w:rsidR="00A220C5" w:rsidRDefault="00A220C5" w:rsidP="00A220C5">
      <w:pPr>
        <w:pStyle w:val="FootnoteText"/>
      </w:pPr>
      <w:r>
        <w:rPr>
          <w:rStyle w:val="FootnoteReference"/>
        </w:rPr>
        <w:footnoteRef/>
      </w:r>
      <w:r>
        <w:t xml:space="preserve"> As prescribed by </w:t>
      </w:r>
      <w:r w:rsidRPr="00FB41A2">
        <w:t>the National Reconstruction Fund Corporation (Priority Areas) Declaration 2023 (the Declaration).</w:t>
      </w:r>
    </w:p>
  </w:footnote>
  <w:footnote w:id="3">
    <w:p w14:paraId="59DD8288" w14:textId="38521686" w:rsidR="00511792" w:rsidRPr="00BD053B" w:rsidRDefault="00511792" w:rsidP="00511792">
      <w:pPr>
        <w:pStyle w:val="FootnoteText"/>
      </w:pPr>
      <w:r w:rsidRPr="00BD053B">
        <w:rPr>
          <w:rStyle w:val="FootnoteReference"/>
        </w:rPr>
        <w:footnoteRef/>
      </w:r>
      <w:r w:rsidRPr="00BD053B">
        <w:t xml:space="preserve"> See </w:t>
      </w:r>
      <w:r w:rsidRPr="00612B8F">
        <w:t>subsection 71(2)</w:t>
      </w:r>
      <w:r w:rsidRPr="00BD053B">
        <w:t xml:space="preserve"> of the </w:t>
      </w:r>
      <w:r>
        <w:t>NRF</w:t>
      </w:r>
      <w:r w:rsidR="00426E3C">
        <w:t>C</w:t>
      </w:r>
      <w:r>
        <w:t xml:space="preserve"> </w:t>
      </w:r>
      <w:r w:rsidRPr="00BD053B">
        <w:t>Act.</w:t>
      </w:r>
    </w:p>
  </w:footnote>
  <w:footnote w:id="4">
    <w:p w14:paraId="21E57A6B" w14:textId="0FA87AD3" w:rsidR="00511792" w:rsidRDefault="00511792" w:rsidP="00511792">
      <w:pPr>
        <w:pStyle w:val="FootnoteText"/>
      </w:pPr>
      <w:r w:rsidRPr="00BD053B">
        <w:rPr>
          <w:rStyle w:val="FootnoteReference"/>
        </w:rPr>
        <w:footnoteRef/>
      </w:r>
      <w:r w:rsidRPr="00BD053B">
        <w:t xml:space="preserve"> See </w:t>
      </w:r>
      <w:r w:rsidRPr="00612B8F">
        <w:t>section 72</w:t>
      </w:r>
      <w:r w:rsidRPr="00BD053B">
        <w:t xml:space="preserve"> of </w:t>
      </w:r>
      <w:r>
        <w:t>the NRF</w:t>
      </w:r>
      <w:r w:rsidR="00426E3C">
        <w:t>C</w:t>
      </w:r>
      <w:r>
        <w:t xml:space="preserve"> Act</w:t>
      </w:r>
      <w:r w:rsidRPr="00BD053B">
        <w:t>.</w:t>
      </w:r>
    </w:p>
  </w:footnote>
  <w:footnote w:id="5">
    <w:p w14:paraId="587CCD82" w14:textId="699936B1" w:rsidR="00867243" w:rsidRDefault="00867243">
      <w:pPr>
        <w:pStyle w:val="FootnoteText"/>
      </w:pPr>
      <w:r>
        <w:rPr>
          <w:rStyle w:val="FootnoteReference"/>
        </w:rPr>
        <w:footnoteRef/>
      </w:r>
      <w:r>
        <w:t xml:space="preserve"> As </w:t>
      </w:r>
      <w:r w:rsidR="0083122B">
        <w:t xml:space="preserve">declared in </w:t>
      </w:r>
      <w:r w:rsidRPr="00FB41A2">
        <w:t>the</w:t>
      </w:r>
      <w:r>
        <w:t xml:space="preserve"> Declaration. </w:t>
      </w:r>
    </w:p>
  </w:footnote>
  <w:footnote w:id="6">
    <w:p w14:paraId="5D7A9605" w14:textId="7C2A26E6" w:rsidR="00D20CDF" w:rsidRDefault="00D20CDF" w:rsidP="00D20CDF">
      <w:pPr>
        <w:pStyle w:val="FootnoteText"/>
      </w:pPr>
      <w:r>
        <w:rPr>
          <w:rStyle w:val="FootnoteReference"/>
        </w:rPr>
        <w:footnoteRef/>
      </w:r>
      <w:r>
        <w:t xml:space="preserve"> The </w:t>
      </w:r>
      <w:r w:rsidR="00E7772F">
        <w:t>“</w:t>
      </w:r>
      <w:r>
        <w:t>industry value chain</w:t>
      </w:r>
      <w:r w:rsidR="00E7772F">
        <w:t>”</w:t>
      </w:r>
      <w:r>
        <w:t xml:space="preserve"> </w:t>
      </w:r>
      <w:proofErr w:type="gramStart"/>
      <w:r>
        <w:t>takes into account</w:t>
      </w:r>
      <w:proofErr w:type="gramEnd"/>
      <w:r>
        <w:t xml:space="preserve"> all steps</w:t>
      </w:r>
      <w:r w:rsidRPr="00D20CDF">
        <w:t xml:space="preserve"> </w:t>
      </w:r>
      <w:r>
        <w:t>from pre- through to post-production at which value can be added, including</w:t>
      </w:r>
      <w:r w:rsidRPr="00D20CDF">
        <w:t xml:space="preserve"> research and development (R&amp;D), design, logistics, production, distribution, sales and services.</w:t>
      </w:r>
    </w:p>
  </w:footnote>
  <w:footnote w:id="7">
    <w:p w14:paraId="708F1CD9" w14:textId="5D3FBA0D" w:rsidR="0066431E" w:rsidRDefault="0066431E" w:rsidP="0066431E">
      <w:pPr>
        <w:pStyle w:val="FootnoteText"/>
      </w:pPr>
      <w:r>
        <w:rPr>
          <w:rStyle w:val="FootnoteReference"/>
        </w:rPr>
        <w:footnoteRef/>
      </w:r>
      <w:r>
        <w:t xml:space="preserve"> </w:t>
      </w:r>
      <w:r w:rsidRPr="009D5424">
        <w:t>The five-year Australian Government bond rate is the bond rate as published by the Reserve Bank of Australia immediately preceding the date a binding investment agreement is executed.</w:t>
      </w:r>
      <w:r w:rsidR="003F4FAA">
        <w:t xml:space="preserve"> The bond</w:t>
      </w:r>
      <w:r w:rsidR="00D16600">
        <w:t xml:space="preserve"> market yield is to be used.</w:t>
      </w:r>
    </w:p>
  </w:footnote>
  <w:footnote w:id="8">
    <w:p w14:paraId="73E014D9" w14:textId="12635B0E" w:rsidR="00AA0A7C" w:rsidRDefault="00AA0A7C">
      <w:pPr>
        <w:pStyle w:val="FootnoteText"/>
      </w:pPr>
      <w:r>
        <w:rPr>
          <w:rStyle w:val="FootnoteReference"/>
        </w:rPr>
        <w:footnoteRef/>
      </w:r>
      <w:r>
        <w:t xml:space="preserve"> Refer to section 7 of this Explanatory Statement for an explanation of “public policy outcomes”.</w:t>
      </w:r>
    </w:p>
  </w:footnote>
  <w:footnote w:id="9">
    <w:p w14:paraId="2971F390" w14:textId="1CA4E593" w:rsidR="002267F4" w:rsidRDefault="002267F4">
      <w:pPr>
        <w:pStyle w:val="FootnoteText"/>
      </w:pPr>
      <w:r>
        <w:rPr>
          <w:rStyle w:val="FootnoteReference"/>
        </w:rPr>
        <w:footnoteRef/>
      </w:r>
      <w:r>
        <w:t xml:space="preserve"> </w:t>
      </w:r>
      <w:r w:rsidR="00E7772F">
        <w:t>“</w:t>
      </w:r>
      <w:r>
        <w:t>Grow</w:t>
      </w:r>
      <w:r w:rsidR="00E7772F">
        <w:t>”</w:t>
      </w:r>
      <w:r>
        <w:t xml:space="preserve"> in this context is taken to mean growing both new and existing industrial capabilities.</w:t>
      </w:r>
    </w:p>
  </w:footnote>
  <w:footnote w:id="10">
    <w:p w14:paraId="494AFF5F" w14:textId="34414296" w:rsidR="002267F4" w:rsidRDefault="002267F4">
      <w:pPr>
        <w:pStyle w:val="FootnoteText"/>
      </w:pPr>
      <w:r>
        <w:rPr>
          <w:rStyle w:val="FootnoteReference"/>
        </w:rPr>
        <w:footnoteRef/>
      </w:r>
      <w:r>
        <w:t xml:space="preserve"> </w:t>
      </w:r>
      <w:r w:rsidR="00E7772F">
        <w:t>“</w:t>
      </w:r>
      <w:r w:rsidRPr="002267F4">
        <w:t>Value-adding opportunities</w:t>
      </w:r>
      <w:r w:rsidR="00E7772F">
        <w:t>”</w:t>
      </w:r>
      <w:r w:rsidRPr="002267F4">
        <w:t xml:space="preserve"> are taken to mean opportunities to</w:t>
      </w:r>
      <w:r w:rsidR="00E51902">
        <w:t xml:space="preserve"> improve competitiveness based </w:t>
      </w:r>
      <w:r w:rsidRPr="002267F4">
        <w:t xml:space="preserve">on </w:t>
      </w:r>
      <w:r w:rsidR="00E538EC">
        <w:t xml:space="preserve">additional </w:t>
      </w:r>
      <w:r w:rsidRPr="002267F4">
        <w:t xml:space="preserve">value </w:t>
      </w:r>
      <w:r w:rsidR="00E51902">
        <w:t>offered to the consumer</w:t>
      </w:r>
      <w:r w:rsidR="00E538EC">
        <w:t>,</w:t>
      </w:r>
      <w:r w:rsidR="00E51902">
        <w:t xml:space="preserve"> rather than low </w:t>
      </w:r>
      <w:r w:rsidRPr="002267F4">
        <w:t>cost alone</w:t>
      </w:r>
      <w:r w:rsidR="00E538EC">
        <w:t>,</w:t>
      </w:r>
      <w:r w:rsidRPr="002267F4">
        <w:t xml:space="preserve"> across the entire </w:t>
      </w:r>
      <w:r w:rsidR="00E538EC">
        <w:t xml:space="preserve">industry </w:t>
      </w:r>
      <w:r w:rsidRPr="002267F4">
        <w:t>value chain from pre</w:t>
      </w:r>
      <w:r w:rsidR="00E51902">
        <w:t xml:space="preserve">- </w:t>
      </w:r>
      <w:r w:rsidR="00E538EC">
        <w:t xml:space="preserve">through </w:t>
      </w:r>
      <w:r w:rsidR="00E51902">
        <w:t>to post-production</w:t>
      </w:r>
      <w:r w:rsidR="00E7772F">
        <w:t xml:space="preserve"> (see also footnote 7 in reference to “industry value chain”)</w:t>
      </w:r>
      <w:r w:rsidR="00E51902">
        <w:t>.</w:t>
      </w:r>
    </w:p>
  </w:footnote>
  <w:footnote w:id="11">
    <w:p w14:paraId="131334A8" w14:textId="35D405A2" w:rsidR="00960E7A" w:rsidRDefault="00960E7A">
      <w:pPr>
        <w:pStyle w:val="FootnoteText"/>
      </w:pPr>
      <w:r>
        <w:rPr>
          <w:rStyle w:val="FootnoteReference"/>
        </w:rPr>
        <w:footnoteRef/>
      </w:r>
      <w:r>
        <w:t xml:space="preserve"> As </w:t>
      </w:r>
      <w:r w:rsidR="00EF7E25">
        <w:t>specified in</w:t>
      </w:r>
      <w:r>
        <w:t xml:space="preserve"> </w:t>
      </w:r>
      <w:r w:rsidRPr="00FB41A2">
        <w:t>the</w:t>
      </w:r>
      <w:r>
        <w:t xml:space="preserve"> Declaration.</w:t>
      </w:r>
    </w:p>
  </w:footnote>
  <w:footnote w:id="12">
    <w:p w14:paraId="31D08C17" w14:textId="1020B516" w:rsidR="00C63A06" w:rsidRDefault="00C63A06">
      <w:pPr>
        <w:pStyle w:val="FootnoteText"/>
      </w:pPr>
      <w:r>
        <w:rPr>
          <w:rStyle w:val="FootnoteReference"/>
        </w:rPr>
        <w:footnoteRef/>
      </w:r>
      <w:r>
        <w:t xml:space="preserve"> Refer to section 7 of this Explanatory Statement for an explanation of “public policy outcomes”.</w:t>
      </w:r>
    </w:p>
  </w:footnote>
  <w:footnote w:id="13">
    <w:p w14:paraId="7BBC0400" w14:textId="5CD5970A" w:rsidR="0096015D" w:rsidRDefault="0096015D">
      <w:pPr>
        <w:pStyle w:val="FootnoteText"/>
      </w:pPr>
      <w:r>
        <w:rPr>
          <w:rStyle w:val="FootnoteReference"/>
        </w:rPr>
        <w:footnoteRef/>
      </w:r>
      <w:r>
        <w:t xml:space="preserve"> </w:t>
      </w:r>
      <w:r w:rsidR="00BA329A">
        <w:t>Refer to section 7 of this Explanatory Statement for an explanation of “public policy outcomes”.</w:t>
      </w:r>
    </w:p>
  </w:footnote>
  <w:footnote w:id="14">
    <w:p w14:paraId="63093C38" w14:textId="305AC970" w:rsidR="007042B8" w:rsidRDefault="007042B8">
      <w:pPr>
        <w:pStyle w:val="FootnoteText"/>
      </w:pPr>
      <w:r>
        <w:rPr>
          <w:rStyle w:val="FootnoteReference"/>
        </w:rPr>
        <w:footnoteRef/>
      </w:r>
      <w:r>
        <w:t xml:space="preserve"> As defined by section 5 of the NRF</w:t>
      </w:r>
      <w:r w:rsidR="00426E3C">
        <w:t>C</w:t>
      </w:r>
      <w:r>
        <w:t xml:space="preserve"> Act.</w:t>
      </w:r>
    </w:p>
  </w:footnote>
  <w:footnote w:id="15">
    <w:p w14:paraId="1F24A179" w14:textId="77777777" w:rsidR="002E3ACA" w:rsidRDefault="002E3ACA" w:rsidP="002E3ACA">
      <w:pPr>
        <w:pStyle w:val="FootnoteText"/>
      </w:pPr>
      <w:r>
        <w:rPr>
          <w:rStyle w:val="FootnoteReference"/>
        </w:rPr>
        <w:footnoteRef/>
      </w:r>
      <w:r>
        <w:t xml:space="preserve"> </w:t>
      </w:r>
      <w:r w:rsidRPr="00CB34A5">
        <w:t xml:space="preserve">Further information on the application of AIP Plans can be found (as </w:t>
      </w:r>
      <w:proofErr w:type="gramStart"/>
      <w:r w:rsidRPr="00CB34A5">
        <w:t>at</w:t>
      </w:r>
      <w:proofErr w:type="gramEnd"/>
      <w:r w:rsidRPr="00CB34A5">
        <w:t xml:space="preserve"> 1 July 2023) at: https://www.industry.gov.au/major-projects-and-procurement/australian-industry-participation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DDB5" w14:textId="1313049C" w:rsidR="009806A2" w:rsidRDefault="00471F84">
    <w:pPr>
      <w:pStyle w:val="Header"/>
    </w:pPr>
    <w:r>
      <w:rPr>
        <w:noProof/>
      </w:rPr>
      <mc:AlternateContent>
        <mc:Choice Requires="wps">
          <w:drawing>
            <wp:anchor distT="0" distB="0" distL="114300" distR="114300" simplePos="1" relativeHeight="251667968" behindDoc="0" locked="0" layoutInCell="1" allowOverlap="1" wp14:anchorId="5BA49123" wp14:editId="02FB467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5D92CAD" w14:textId="77777777" w:rsidR="00471F84" w:rsidRDefault="00471F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A49123" id="_x0000_t202" coordsize="21600,21600" o:spt="202" path="m,l,21600r21600,l21600,xe">
              <v:stroke joinstyle="miter"/>
              <v:path gradientshapeok="t" o:connecttype="rect"/>
            </v:shapetype>
            <v:shape id="Text Box 27" o:spid="_x0000_s1026" type="#_x0000_t202" style="position:absolute;margin-left:0;margin-top:0;width:110pt;height:36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35D92CAD" w14:textId="77777777" w:rsidR="00471F84" w:rsidRDefault="00471F84"/>
                </w:txbxContent>
              </v:textbox>
              <w10:wrap type="through"/>
            </v:shape>
          </w:pict>
        </mc:Fallback>
      </mc:AlternateContent>
    </w:r>
    <w:r w:rsidR="00D26B7C">
      <w:rPr>
        <w:noProof/>
      </w:rPr>
      <mc:AlternateContent>
        <mc:Choice Requires="wps">
          <w:drawing>
            <wp:anchor distT="0" distB="0" distL="114300" distR="114300" simplePos="0" relativeHeight="251661824" behindDoc="0" locked="1" layoutInCell="0" allowOverlap="1" wp14:anchorId="61CD88EC" wp14:editId="03102B22">
              <wp:simplePos x="0" y="0"/>
              <wp:positionH relativeFrom="margin">
                <wp:align>center</wp:align>
              </wp:positionH>
              <wp:positionV relativeFrom="topMargin">
                <wp:align>center</wp:align>
              </wp:positionV>
              <wp:extent cx="1891665" cy="273050"/>
              <wp:effectExtent l="0" t="0" r="0" b="0"/>
              <wp:wrapNone/>
              <wp:docPr id="21" name="janusSEAL SC H_EvenPage"/>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82091" w14:textId="26132AC8" w:rsidR="00D26B7C" w:rsidRPr="00D26B7C" w:rsidRDefault="00D26B7C" w:rsidP="00D26B7C">
                          <w:pPr>
                            <w:spacing w:before="0" w:after="0"/>
                            <w:jc w:val="center"/>
                            <w:rPr>
                              <w:rFonts w:ascii="Arial" w:hAnsi="Arial" w:cs="Arial"/>
                              <w:b/>
                              <w:color w:val="FF0000"/>
                            </w:rPr>
                          </w:pPr>
                          <w:r w:rsidRPr="00D26B7C">
                            <w:rPr>
                              <w:rFonts w:ascii="Arial" w:hAnsi="Arial" w:cs="Arial"/>
                              <w:b/>
                              <w:color w:val="FF0000"/>
                            </w:rPr>
                            <w:fldChar w:fldCharType="begin"/>
                          </w:r>
                          <w:r w:rsidRPr="00D26B7C">
                            <w:rPr>
                              <w:rFonts w:ascii="Arial" w:hAnsi="Arial" w:cs="Arial"/>
                              <w:b/>
                              <w:color w:val="FF0000"/>
                            </w:rPr>
                            <w:instrText xml:space="preserve"> DOCPROPERTY PM_ProtectiveMarkingValue_Header \* MERGEFORMAT </w:instrText>
                          </w:r>
                          <w:r w:rsidRPr="00D26B7C">
                            <w:rPr>
                              <w:rFonts w:ascii="Arial" w:hAnsi="Arial" w:cs="Arial"/>
                              <w:b/>
                              <w:color w:val="FF0000"/>
                            </w:rPr>
                            <w:fldChar w:fldCharType="separate"/>
                          </w:r>
                          <w:r w:rsidR="008127AB">
                            <w:rPr>
                              <w:rFonts w:ascii="Arial" w:hAnsi="Arial" w:cs="Arial"/>
                              <w:b/>
                              <w:color w:val="FF0000"/>
                            </w:rPr>
                            <w:t>PROTECTED//CABINET</w:t>
                          </w:r>
                          <w:r w:rsidRPr="00D26B7C">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CD88EC" id="janusSEAL SC H_EvenPage" o:spid="_x0000_s1027" type="#_x0000_t202" style="position:absolute;margin-left:0;margin-top:0;width:148.95pt;height:21.5pt;z-index:2516618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" o:allowincell="f" filled="f" stroked="f" strokeweight=".5pt">
              <v:textbox style="mso-fit-shape-to-text:t">
                <w:txbxContent>
                  <w:p w14:paraId="2A582091" w14:textId="26132AC8" w:rsidR="00D26B7C" w:rsidRPr="00D26B7C" w:rsidRDefault="00D26B7C" w:rsidP="00D26B7C">
                    <w:pPr>
                      <w:spacing w:before="0" w:after="0"/>
                      <w:jc w:val="center"/>
                      <w:rPr>
                        <w:rFonts w:ascii="Arial" w:hAnsi="Arial" w:cs="Arial"/>
                        <w:b/>
                        <w:color w:val="FF0000"/>
                      </w:rPr>
                    </w:pPr>
                    <w:r w:rsidRPr="00D26B7C">
                      <w:rPr>
                        <w:rFonts w:ascii="Arial" w:hAnsi="Arial" w:cs="Arial"/>
                        <w:b/>
                        <w:color w:val="FF0000"/>
                      </w:rPr>
                      <w:fldChar w:fldCharType="begin"/>
                    </w:r>
                    <w:r w:rsidRPr="00D26B7C">
                      <w:rPr>
                        <w:rFonts w:ascii="Arial" w:hAnsi="Arial" w:cs="Arial"/>
                        <w:b/>
                        <w:color w:val="FF0000"/>
                      </w:rPr>
                      <w:instrText xml:space="preserve"> DOCPROPERTY PM_ProtectiveMarkingValue_Header \* MERGEFORMAT </w:instrText>
                    </w:r>
                    <w:r w:rsidRPr="00D26B7C">
                      <w:rPr>
                        <w:rFonts w:ascii="Arial" w:hAnsi="Arial" w:cs="Arial"/>
                        <w:b/>
                        <w:color w:val="FF0000"/>
                      </w:rPr>
                      <w:fldChar w:fldCharType="separate"/>
                    </w:r>
                    <w:r w:rsidR="008127AB">
                      <w:rPr>
                        <w:rFonts w:ascii="Arial" w:hAnsi="Arial" w:cs="Arial"/>
                        <w:b/>
                        <w:color w:val="FF0000"/>
                      </w:rPr>
                      <w:t>PROTECTED//CABINET</w:t>
                    </w:r>
                    <w:r w:rsidRPr="00D26B7C">
                      <w:rPr>
                        <w:rFonts w:ascii="Arial" w:hAnsi="Arial" w:cs="Arial"/>
                        <w:b/>
                        <w:color w:val="FF0000"/>
                      </w:rPr>
                      <w:fldChar w:fldCharType="end"/>
                    </w:r>
                  </w:p>
                </w:txbxContent>
              </v:textbox>
              <w10:wrap anchorx="margin" anchory="margin"/>
              <w10:anchorlock/>
            </v:shape>
          </w:pict>
        </mc:Fallback>
      </mc:AlternateContent>
    </w:r>
    <w:r w:rsidR="00E346FD">
      <w:rPr>
        <w:noProof/>
      </w:rPr>
      <mc:AlternateContent>
        <mc:Choice Requires="wps">
          <w:drawing>
            <wp:anchor distT="0" distB="0" distL="114300" distR="114300" simplePos="1" relativeHeight="251655680" behindDoc="0" locked="0" layoutInCell="1" allowOverlap="1" wp14:anchorId="19B3B474" wp14:editId="1B68084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1A2A1EE" w14:textId="77777777" w:rsidR="00E346FD" w:rsidRDefault="00E34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B3B474" id="Text Box 15" o:spid="_x0000_s1028" type="#_x0000_t202" style="position:absolute;margin-left:0;margin-top:0;width:110pt;height:3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71A2A1EE" w14:textId="77777777" w:rsidR="00E346FD" w:rsidRDefault="00E346FD"/>
                </w:txbxContent>
              </v:textbox>
              <w10:wrap type="through"/>
            </v:shape>
          </w:pict>
        </mc:Fallback>
      </mc:AlternateContent>
    </w:r>
    <w:r w:rsidR="009C575B">
      <w:rPr>
        <w:noProof/>
      </w:rPr>
      <mc:AlternateContent>
        <mc:Choice Requires="wps">
          <w:drawing>
            <wp:anchor distT="0" distB="0" distL="114300" distR="114300" simplePos="0" relativeHeight="251650560" behindDoc="0" locked="1" layoutInCell="0" allowOverlap="1" wp14:anchorId="3689793E" wp14:editId="6155A366">
              <wp:simplePos x="0" y="0"/>
              <wp:positionH relativeFrom="margin">
                <wp:align>center</wp:align>
              </wp:positionH>
              <wp:positionV relativeFrom="topMargin">
                <wp:align>center</wp:align>
              </wp:positionV>
              <wp:extent cx="1891665" cy="273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5D2934" w14:textId="34D42A3A" w:rsidR="009C575B" w:rsidRPr="009C575B" w:rsidRDefault="009C575B" w:rsidP="009C575B">
                          <w:pPr>
                            <w:spacing w:before="0" w:after="0"/>
                            <w:jc w:val="center"/>
                            <w:rPr>
                              <w:rFonts w:ascii="Arial" w:hAnsi="Arial" w:cs="Arial"/>
                              <w:b/>
                              <w:color w:val="FF0000"/>
                            </w:rPr>
                          </w:pPr>
                          <w:r w:rsidRPr="009C575B">
                            <w:rPr>
                              <w:rFonts w:ascii="Arial" w:hAnsi="Arial" w:cs="Arial"/>
                              <w:b/>
                              <w:color w:val="FF0000"/>
                            </w:rPr>
                            <w:fldChar w:fldCharType="begin"/>
                          </w:r>
                          <w:r w:rsidRPr="009C575B">
                            <w:rPr>
                              <w:rFonts w:ascii="Arial" w:hAnsi="Arial" w:cs="Arial"/>
                              <w:b/>
                              <w:color w:val="FF0000"/>
                            </w:rPr>
                            <w:instrText xml:space="preserve"> DOCPROPERTY PM_ProtectiveMarkingValue_Header \* MERGEFORMAT </w:instrText>
                          </w:r>
                          <w:r w:rsidRPr="009C575B">
                            <w:rPr>
                              <w:rFonts w:ascii="Arial" w:hAnsi="Arial" w:cs="Arial"/>
                              <w:b/>
                              <w:color w:val="FF0000"/>
                            </w:rPr>
                            <w:fldChar w:fldCharType="separate"/>
                          </w:r>
                          <w:r w:rsidR="008127AB">
                            <w:rPr>
                              <w:rFonts w:ascii="Arial" w:hAnsi="Arial" w:cs="Arial"/>
                              <w:b/>
                              <w:color w:val="FF0000"/>
                            </w:rPr>
                            <w:t>PROTECTED//CABINET</w:t>
                          </w:r>
                          <w:r w:rsidRPr="009C575B">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89793E" id="Text Box 9" o:spid="_x0000_s1029" type="#_x0000_t202" style="position:absolute;margin-left:0;margin-top:0;width:148.95pt;height:21.5pt;z-index:25165056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" o:allowincell="f" filled="f" stroked="f" strokeweight=".5pt">
              <v:textbox style="mso-fit-shape-to-text:t">
                <w:txbxContent>
                  <w:p w14:paraId="6C5D2934" w14:textId="34D42A3A" w:rsidR="009C575B" w:rsidRPr="009C575B" w:rsidRDefault="009C575B" w:rsidP="009C575B">
                    <w:pPr>
                      <w:spacing w:before="0" w:after="0"/>
                      <w:jc w:val="center"/>
                      <w:rPr>
                        <w:rFonts w:ascii="Arial" w:hAnsi="Arial" w:cs="Arial"/>
                        <w:b/>
                        <w:color w:val="FF0000"/>
                      </w:rPr>
                    </w:pPr>
                    <w:r w:rsidRPr="009C575B">
                      <w:rPr>
                        <w:rFonts w:ascii="Arial" w:hAnsi="Arial" w:cs="Arial"/>
                        <w:b/>
                        <w:color w:val="FF0000"/>
                      </w:rPr>
                      <w:fldChar w:fldCharType="begin"/>
                    </w:r>
                    <w:r w:rsidRPr="009C575B">
                      <w:rPr>
                        <w:rFonts w:ascii="Arial" w:hAnsi="Arial" w:cs="Arial"/>
                        <w:b/>
                        <w:color w:val="FF0000"/>
                      </w:rPr>
                      <w:instrText xml:space="preserve"> DOCPROPERTY PM_ProtectiveMarkingValue_Header \* MERGEFORMAT </w:instrText>
                    </w:r>
                    <w:r w:rsidRPr="009C575B">
                      <w:rPr>
                        <w:rFonts w:ascii="Arial" w:hAnsi="Arial" w:cs="Arial"/>
                        <w:b/>
                        <w:color w:val="FF0000"/>
                      </w:rPr>
                      <w:fldChar w:fldCharType="separate"/>
                    </w:r>
                    <w:r w:rsidR="008127AB">
                      <w:rPr>
                        <w:rFonts w:ascii="Arial" w:hAnsi="Arial" w:cs="Arial"/>
                        <w:b/>
                        <w:color w:val="FF0000"/>
                      </w:rPr>
                      <w:t>PROTECTED//CABINET</w:t>
                    </w:r>
                    <w:r w:rsidRPr="009C575B">
                      <w:rPr>
                        <w:rFonts w:ascii="Arial" w:hAnsi="Arial" w:cs="Arial"/>
                        <w:b/>
                        <w:color w:val="FF0000"/>
                      </w:rPr>
                      <w:fldChar w:fldCharType="end"/>
                    </w:r>
                  </w:p>
                </w:txbxContent>
              </v:textbox>
              <w10:wrap anchorx="margin" anchory="margin"/>
              <w10:anchorlock/>
            </v:shape>
          </w:pict>
        </mc:Fallback>
      </mc:AlternateContent>
    </w:r>
    <w:r w:rsidR="009806A2">
      <w:rPr>
        <w:noProof/>
      </w:rPr>
      <mc:AlternateContent>
        <mc:Choice Requires="wps">
          <w:drawing>
            <wp:anchor distT="0" distB="0" distL="114300" distR="114300" simplePos="1" relativeHeight="251645440" behindDoc="0" locked="0" layoutInCell="1" allowOverlap="1" wp14:anchorId="0B68F8F6" wp14:editId="655D365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3572B68" w14:textId="77777777" w:rsidR="009806A2" w:rsidRDefault="00980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68F8F6" id="Text Box 3" o:spid="_x0000_s1030" type="#_x0000_t202" style="position:absolute;margin-left:0;margin-top:0;width:110pt;height:36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43572B68" w14:textId="77777777" w:rsidR="009806A2" w:rsidRDefault="009806A2"/>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541D" w14:textId="302C1A17" w:rsidR="009806A2" w:rsidRDefault="00471F84">
    <w:pPr>
      <w:pStyle w:val="Header"/>
    </w:pPr>
    <w:r>
      <w:rPr>
        <w:noProof/>
      </w:rPr>
      <mc:AlternateContent>
        <mc:Choice Requires="wps">
          <w:drawing>
            <wp:anchor distT="0" distB="0" distL="114300" distR="114300" simplePos="1" relativeHeight="251666944" behindDoc="0" locked="0" layoutInCell="1" allowOverlap="1" wp14:anchorId="26F1B97A" wp14:editId="41D5F16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0EB45CD" w14:textId="77777777" w:rsidR="00471F84" w:rsidRDefault="00471F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F1B97A" id="_x0000_t202" coordsize="21600,21600" o:spt="202" path="m,l,21600r21600,l21600,xe">
              <v:stroke joinstyle="miter"/>
              <v:path gradientshapeok="t" o:connecttype="rect"/>
            </v:shapetype>
            <v:shape id="Text Box 26" o:spid="_x0000_s1044" type="#_x0000_t202" style="position:absolute;margin-left:0;margin-top:0;width:110pt;height:36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E0LAIAAFw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qw&#10;9NtDw2uo9oiDg35EvOVLhfEfmQ8vzOFMYH845+EZD6kBi4JBoqQG9+tv79EeqUItJS3OWEn9zy1z&#10;ghL93SCJd+PJJA5luiTgKHHnmvW5xmybBWCnY9woy5OIzi7ogygdNO+4DvOYFVXMcMxd0nAQF6Gf&#10;fFwnLubzZIRjaFl4NCvLY+gDrq/dO3N24Csg009wmEZWfKCtt+2Jm28DSJU4jUD3qA744winqRjW&#10;Le7I+T1ZnX4Ks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7s4E0LAIAAFwEAAAOAAAAAAAAAAAAAAAAAC4CAABkcnMvZTJv&#10;RG9jLnhtbFBLAQItABQABgAIAAAAIQCQEPlk2gAAAAQBAAAPAAAAAAAAAAAAAAAAAIYEAABkcnMv&#10;ZG93bnJldi54bWxQSwUGAAAAAAQABADzAAAAjQUAAAAA&#10;" filled="f" strokeweight=".5pt">
              <v:textbox>
                <w:txbxContent>
                  <w:p w14:paraId="40EB45CD" w14:textId="77777777" w:rsidR="00471F84" w:rsidRDefault="00471F84"/>
                </w:txbxContent>
              </v:textbox>
              <w10:wrap type="through"/>
            </v:shape>
          </w:pict>
        </mc:Fallback>
      </mc:AlternateContent>
    </w:r>
    <w:r w:rsidR="00D26B7C">
      <w:rPr>
        <w:noProof/>
      </w:rPr>
      <mc:AlternateContent>
        <mc:Choice Requires="wps">
          <w:drawing>
            <wp:anchor distT="0" distB="0" distL="114300" distR="114300" simplePos="0" relativeHeight="251660800" behindDoc="0" locked="1" layoutInCell="0" allowOverlap="1" wp14:anchorId="30C90D8B" wp14:editId="6E1F326D">
              <wp:simplePos x="0" y="0"/>
              <wp:positionH relativeFrom="margin">
                <wp:align>center</wp:align>
              </wp:positionH>
              <wp:positionV relativeFrom="topMargin">
                <wp:align>center</wp:align>
              </wp:positionV>
              <wp:extent cx="1891665" cy="273050"/>
              <wp:effectExtent l="0" t="0" r="0" b="0"/>
              <wp:wrapNone/>
              <wp:docPr id="20" name="janusSEAL SC H_FirstPage"/>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ECDF4" w14:textId="01AA3225" w:rsidR="00D26B7C" w:rsidRPr="00D26B7C" w:rsidRDefault="00D26B7C" w:rsidP="00D26B7C">
                          <w:pPr>
                            <w:spacing w:before="0" w:after="0"/>
                            <w:jc w:val="center"/>
                            <w:rPr>
                              <w:rFonts w:ascii="Arial" w:hAnsi="Arial" w:cs="Arial"/>
                              <w:b/>
                              <w:color w:val="FF0000"/>
                            </w:rPr>
                          </w:pPr>
                          <w:r w:rsidRPr="00D26B7C">
                            <w:rPr>
                              <w:rFonts w:ascii="Arial" w:hAnsi="Arial" w:cs="Arial"/>
                              <w:b/>
                              <w:color w:val="FF0000"/>
                            </w:rPr>
                            <w:fldChar w:fldCharType="begin"/>
                          </w:r>
                          <w:r w:rsidRPr="00D26B7C">
                            <w:rPr>
                              <w:rFonts w:ascii="Arial" w:hAnsi="Arial" w:cs="Arial"/>
                              <w:b/>
                              <w:color w:val="FF0000"/>
                            </w:rPr>
                            <w:instrText xml:space="preserve"> DOCPROPERTY PM_ProtectiveMarkingValue_Header \* MERGEFORMAT </w:instrText>
                          </w:r>
                          <w:r w:rsidRPr="00D26B7C">
                            <w:rPr>
                              <w:rFonts w:ascii="Arial" w:hAnsi="Arial" w:cs="Arial"/>
                              <w:b/>
                              <w:color w:val="FF0000"/>
                            </w:rPr>
                            <w:fldChar w:fldCharType="separate"/>
                          </w:r>
                          <w:r w:rsidR="008127AB">
                            <w:rPr>
                              <w:rFonts w:ascii="Arial" w:hAnsi="Arial" w:cs="Arial"/>
                              <w:b/>
                              <w:color w:val="FF0000"/>
                            </w:rPr>
                            <w:t>PROTECTED//CABINET</w:t>
                          </w:r>
                          <w:r w:rsidRPr="00D26B7C">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C90D8B" id="janusSEAL SC H_FirstPage" o:spid="_x0000_s1045" type="#_x0000_t202" style="position:absolute;margin-left:0;margin-top:0;width:148.95pt;height:21.5pt;z-index:2516608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" o:allowincell="f" filled="f" stroked="f" strokeweight=".5pt">
              <v:textbox style="mso-fit-shape-to-text:t">
                <w:txbxContent>
                  <w:p w14:paraId="619ECDF4" w14:textId="01AA3225" w:rsidR="00D26B7C" w:rsidRPr="00D26B7C" w:rsidRDefault="00D26B7C" w:rsidP="00D26B7C">
                    <w:pPr>
                      <w:spacing w:before="0" w:after="0"/>
                      <w:jc w:val="center"/>
                      <w:rPr>
                        <w:rFonts w:ascii="Arial" w:hAnsi="Arial" w:cs="Arial"/>
                        <w:b/>
                        <w:color w:val="FF0000"/>
                      </w:rPr>
                    </w:pPr>
                    <w:r w:rsidRPr="00D26B7C">
                      <w:rPr>
                        <w:rFonts w:ascii="Arial" w:hAnsi="Arial" w:cs="Arial"/>
                        <w:b/>
                        <w:color w:val="FF0000"/>
                      </w:rPr>
                      <w:fldChar w:fldCharType="begin"/>
                    </w:r>
                    <w:r w:rsidRPr="00D26B7C">
                      <w:rPr>
                        <w:rFonts w:ascii="Arial" w:hAnsi="Arial" w:cs="Arial"/>
                        <w:b/>
                        <w:color w:val="FF0000"/>
                      </w:rPr>
                      <w:instrText xml:space="preserve"> DOCPROPERTY PM_ProtectiveMarkingValue_Header \* MERGEFORMAT </w:instrText>
                    </w:r>
                    <w:r w:rsidRPr="00D26B7C">
                      <w:rPr>
                        <w:rFonts w:ascii="Arial" w:hAnsi="Arial" w:cs="Arial"/>
                        <w:b/>
                        <w:color w:val="FF0000"/>
                      </w:rPr>
                      <w:fldChar w:fldCharType="separate"/>
                    </w:r>
                    <w:r w:rsidR="008127AB">
                      <w:rPr>
                        <w:rFonts w:ascii="Arial" w:hAnsi="Arial" w:cs="Arial"/>
                        <w:b/>
                        <w:color w:val="FF0000"/>
                      </w:rPr>
                      <w:t>PROTECTED//CABINET</w:t>
                    </w:r>
                    <w:r w:rsidRPr="00D26B7C">
                      <w:rPr>
                        <w:rFonts w:ascii="Arial" w:hAnsi="Arial" w:cs="Arial"/>
                        <w:b/>
                        <w:color w:val="FF0000"/>
                      </w:rPr>
                      <w:fldChar w:fldCharType="end"/>
                    </w:r>
                  </w:p>
                </w:txbxContent>
              </v:textbox>
              <w10:wrap anchorx="margin" anchory="margin"/>
              <w10:anchorlock/>
            </v:shape>
          </w:pict>
        </mc:Fallback>
      </mc:AlternateContent>
    </w:r>
    <w:r w:rsidR="00E346FD">
      <w:rPr>
        <w:noProof/>
      </w:rPr>
      <mc:AlternateContent>
        <mc:Choice Requires="wps">
          <w:drawing>
            <wp:anchor distT="0" distB="0" distL="114300" distR="114300" simplePos="1" relativeHeight="251654656" behindDoc="0" locked="0" layoutInCell="1" allowOverlap="1" wp14:anchorId="5B69CA92" wp14:editId="0031C3B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FA86597" w14:textId="77777777" w:rsidR="00E346FD" w:rsidRDefault="00E34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69CA92" id="Text Box 14" o:spid="_x0000_s1046" type="#_x0000_t202" style="position:absolute;margin-left:0;margin-top:0;width:110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mz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mXImzLAIAAFwEAAAOAAAAAAAAAAAAAAAAAC4CAABkcnMvZTJv&#10;RG9jLnhtbFBLAQItABQABgAIAAAAIQCQEPlk2gAAAAQBAAAPAAAAAAAAAAAAAAAAAIYEAABkcnMv&#10;ZG93bnJldi54bWxQSwUGAAAAAAQABADzAAAAjQUAAAAA&#10;" filled="f" strokeweight=".5pt">
              <v:textbox>
                <w:txbxContent>
                  <w:p w14:paraId="6FA86597" w14:textId="77777777" w:rsidR="00E346FD" w:rsidRDefault="00E346FD"/>
                </w:txbxContent>
              </v:textbox>
              <w10:wrap type="through"/>
            </v:shape>
          </w:pict>
        </mc:Fallback>
      </mc:AlternateContent>
    </w:r>
    <w:r w:rsidR="009C575B">
      <w:rPr>
        <w:noProof/>
      </w:rPr>
      <mc:AlternateContent>
        <mc:Choice Requires="wps">
          <w:drawing>
            <wp:anchor distT="0" distB="0" distL="114300" distR="114300" simplePos="0" relativeHeight="251649536" behindDoc="0" locked="1" layoutInCell="0" allowOverlap="1" wp14:anchorId="4CE1BF9A" wp14:editId="68E46F45">
              <wp:simplePos x="0" y="0"/>
              <wp:positionH relativeFrom="margin">
                <wp:align>center</wp:align>
              </wp:positionH>
              <wp:positionV relativeFrom="topMargin">
                <wp:align>center</wp:align>
              </wp:positionV>
              <wp:extent cx="1891665" cy="273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916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0290C" w14:textId="673CCBD0" w:rsidR="009C575B" w:rsidRPr="009C575B" w:rsidRDefault="009C575B" w:rsidP="009C575B">
                          <w:pPr>
                            <w:spacing w:before="0" w:after="0"/>
                            <w:jc w:val="center"/>
                            <w:rPr>
                              <w:rFonts w:ascii="Arial" w:hAnsi="Arial" w:cs="Arial"/>
                              <w:b/>
                              <w:color w:val="FF0000"/>
                            </w:rPr>
                          </w:pPr>
                          <w:r w:rsidRPr="009C575B">
                            <w:rPr>
                              <w:rFonts w:ascii="Arial" w:hAnsi="Arial" w:cs="Arial"/>
                              <w:b/>
                              <w:color w:val="FF0000"/>
                            </w:rPr>
                            <w:fldChar w:fldCharType="begin"/>
                          </w:r>
                          <w:r w:rsidRPr="009C575B">
                            <w:rPr>
                              <w:rFonts w:ascii="Arial" w:hAnsi="Arial" w:cs="Arial"/>
                              <w:b/>
                              <w:color w:val="FF0000"/>
                            </w:rPr>
                            <w:instrText xml:space="preserve"> DOCPROPERTY PM_ProtectiveMarkingValue_Header \* MERGEFORMAT </w:instrText>
                          </w:r>
                          <w:r w:rsidRPr="009C575B">
                            <w:rPr>
                              <w:rFonts w:ascii="Arial" w:hAnsi="Arial" w:cs="Arial"/>
                              <w:b/>
                              <w:color w:val="FF0000"/>
                            </w:rPr>
                            <w:fldChar w:fldCharType="separate"/>
                          </w:r>
                          <w:r w:rsidR="008127AB">
                            <w:rPr>
                              <w:rFonts w:ascii="Arial" w:hAnsi="Arial" w:cs="Arial"/>
                              <w:b/>
                              <w:color w:val="FF0000"/>
                            </w:rPr>
                            <w:t>PROTECTED//CABINET</w:t>
                          </w:r>
                          <w:r w:rsidRPr="009C575B">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E1BF9A" id="Text Box 8" o:spid="_x0000_s1047" type="#_x0000_t202" style="position:absolute;margin-left:0;margin-top:0;width:148.95pt;height:21.5pt;z-index:25164953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" o:allowincell="f" filled="f" stroked="f" strokeweight=".5pt">
              <v:textbox style="mso-fit-shape-to-text:t">
                <w:txbxContent>
                  <w:p w14:paraId="0D80290C" w14:textId="673CCBD0" w:rsidR="009C575B" w:rsidRPr="009C575B" w:rsidRDefault="009C575B" w:rsidP="009C575B">
                    <w:pPr>
                      <w:spacing w:before="0" w:after="0"/>
                      <w:jc w:val="center"/>
                      <w:rPr>
                        <w:rFonts w:ascii="Arial" w:hAnsi="Arial" w:cs="Arial"/>
                        <w:b/>
                        <w:color w:val="FF0000"/>
                      </w:rPr>
                    </w:pPr>
                    <w:r w:rsidRPr="009C575B">
                      <w:rPr>
                        <w:rFonts w:ascii="Arial" w:hAnsi="Arial" w:cs="Arial"/>
                        <w:b/>
                        <w:color w:val="FF0000"/>
                      </w:rPr>
                      <w:fldChar w:fldCharType="begin"/>
                    </w:r>
                    <w:r w:rsidRPr="009C575B">
                      <w:rPr>
                        <w:rFonts w:ascii="Arial" w:hAnsi="Arial" w:cs="Arial"/>
                        <w:b/>
                        <w:color w:val="FF0000"/>
                      </w:rPr>
                      <w:instrText xml:space="preserve"> DOCPROPERTY PM_ProtectiveMarkingValue_Header \* MERGEFORMAT </w:instrText>
                    </w:r>
                    <w:r w:rsidRPr="009C575B">
                      <w:rPr>
                        <w:rFonts w:ascii="Arial" w:hAnsi="Arial" w:cs="Arial"/>
                        <w:b/>
                        <w:color w:val="FF0000"/>
                      </w:rPr>
                      <w:fldChar w:fldCharType="separate"/>
                    </w:r>
                    <w:r w:rsidR="008127AB">
                      <w:rPr>
                        <w:rFonts w:ascii="Arial" w:hAnsi="Arial" w:cs="Arial"/>
                        <w:b/>
                        <w:color w:val="FF0000"/>
                      </w:rPr>
                      <w:t>PROTECTED//CABINET</w:t>
                    </w:r>
                    <w:r w:rsidRPr="009C575B">
                      <w:rPr>
                        <w:rFonts w:ascii="Arial" w:hAnsi="Arial" w:cs="Arial"/>
                        <w:b/>
                        <w:color w:val="FF0000"/>
                      </w:rPr>
                      <w:fldChar w:fldCharType="end"/>
                    </w:r>
                  </w:p>
                </w:txbxContent>
              </v:textbox>
              <w10:wrap anchorx="margin" anchory="margin"/>
              <w10:anchorlock/>
            </v:shape>
          </w:pict>
        </mc:Fallback>
      </mc:AlternateContent>
    </w:r>
    <w:r w:rsidR="009806A2">
      <w:rPr>
        <w:noProof/>
      </w:rPr>
      <mc:AlternateContent>
        <mc:Choice Requires="wps">
          <w:drawing>
            <wp:anchor distT="0" distB="0" distL="114300" distR="114300" simplePos="1" relativeHeight="251644416" behindDoc="0" locked="0" layoutInCell="1" allowOverlap="1" wp14:anchorId="73697E22" wp14:editId="66D70CE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EA9EB54" w14:textId="77777777" w:rsidR="009806A2" w:rsidRDefault="00980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97E22" id="Text Box 2" o:spid="_x0000_s1048" type="#_x0000_t202" style="position:absolute;margin-left:0;margin-top:0;width:110pt;height:36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fC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T5nwi0CAABcBAAADgAAAAAAAAAAAAAAAAAuAgAAZHJzL2Uy&#10;b0RvYy54bWxQSwECLQAUAAYACAAAACEAkBD5ZNoAAAAEAQAADwAAAAAAAAAAAAAAAACHBAAAZHJz&#10;L2Rvd25yZXYueG1sUEsFBgAAAAAEAAQA8wAAAI4FAAAAAA==&#10;" filled="f" strokeweight=".5pt">
              <v:textbox>
                <w:txbxContent>
                  <w:p w14:paraId="1EA9EB54" w14:textId="77777777" w:rsidR="009806A2" w:rsidRDefault="009806A2"/>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9AB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9D1F25"/>
    <w:multiLevelType w:val="hybridMultilevel"/>
    <w:tmpl w:val="2AF41990"/>
    <w:lvl w:ilvl="0" w:tplc="7D2ED98E">
      <w:start w:val="1"/>
      <w:numFmt w:val="lowerLetter"/>
      <w:lvlText w:val="(%1)"/>
      <w:lvlJc w:val="left"/>
      <w:pPr>
        <w:ind w:left="1080" w:hanging="360"/>
      </w:pPr>
      <w:rPr>
        <w:rFonts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4912A59"/>
    <w:multiLevelType w:val="hybridMultilevel"/>
    <w:tmpl w:val="966AF132"/>
    <w:lvl w:ilvl="0" w:tplc="DB0AC624">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C72762A"/>
    <w:multiLevelType w:val="hybridMultilevel"/>
    <w:tmpl w:val="0928A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56490"/>
    <w:multiLevelType w:val="hybridMultilevel"/>
    <w:tmpl w:val="6C5C9E6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3C31588D"/>
    <w:multiLevelType w:val="hybridMultilevel"/>
    <w:tmpl w:val="B218EA1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A2097E"/>
    <w:multiLevelType w:val="hybridMultilevel"/>
    <w:tmpl w:val="23781FF4"/>
    <w:lvl w:ilvl="0" w:tplc="9E4E7E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0B3707"/>
    <w:multiLevelType w:val="hybridMultilevel"/>
    <w:tmpl w:val="85987802"/>
    <w:lvl w:ilvl="0" w:tplc="2052550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40E1D39"/>
    <w:multiLevelType w:val="hybridMultilevel"/>
    <w:tmpl w:val="B8181DA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4D9759E8"/>
    <w:multiLevelType w:val="hybridMultilevel"/>
    <w:tmpl w:val="3E8257A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D82350"/>
    <w:multiLevelType w:val="hybridMultilevel"/>
    <w:tmpl w:val="AD5A038E"/>
    <w:lvl w:ilvl="0" w:tplc="568A755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F34869"/>
    <w:multiLevelType w:val="hybridMultilevel"/>
    <w:tmpl w:val="32B80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863459"/>
    <w:multiLevelType w:val="hybridMultilevel"/>
    <w:tmpl w:val="EF903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0526E9"/>
    <w:multiLevelType w:val="hybridMultilevel"/>
    <w:tmpl w:val="010E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C05A0"/>
    <w:multiLevelType w:val="hybridMultilevel"/>
    <w:tmpl w:val="10BA3462"/>
    <w:lvl w:ilvl="0" w:tplc="982E82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C63BF9"/>
    <w:multiLevelType w:val="hybridMultilevel"/>
    <w:tmpl w:val="CE2AB574"/>
    <w:lvl w:ilvl="0" w:tplc="0C090001">
      <w:start w:val="1"/>
      <w:numFmt w:val="bullet"/>
      <w:lvlText w:val=""/>
      <w:lvlJc w:val="left"/>
      <w:pPr>
        <w:ind w:left="1845" w:hanging="360"/>
      </w:pPr>
      <w:rPr>
        <w:rFonts w:ascii="Symbol" w:hAnsi="Symbol" w:hint="default"/>
      </w:rPr>
    </w:lvl>
    <w:lvl w:ilvl="1" w:tplc="0C090003">
      <w:start w:val="1"/>
      <w:numFmt w:val="bullet"/>
      <w:lvlText w:val="o"/>
      <w:lvlJc w:val="left"/>
      <w:pPr>
        <w:ind w:left="2565" w:hanging="360"/>
      </w:pPr>
      <w:rPr>
        <w:rFonts w:ascii="Courier New" w:hAnsi="Courier New" w:cs="Courier New" w:hint="default"/>
      </w:rPr>
    </w:lvl>
    <w:lvl w:ilvl="2" w:tplc="0C090005" w:tentative="1">
      <w:start w:val="1"/>
      <w:numFmt w:val="bullet"/>
      <w:lvlText w:val=""/>
      <w:lvlJc w:val="left"/>
      <w:pPr>
        <w:ind w:left="3285" w:hanging="360"/>
      </w:pPr>
      <w:rPr>
        <w:rFonts w:ascii="Wingdings" w:hAnsi="Wingdings" w:hint="default"/>
      </w:rPr>
    </w:lvl>
    <w:lvl w:ilvl="3" w:tplc="0C090001" w:tentative="1">
      <w:start w:val="1"/>
      <w:numFmt w:val="bullet"/>
      <w:lvlText w:val=""/>
      <w:lvlJc w:val="left"/>
      <w:pPr>
        <w:ind w:left="4005" w:hanging="360"/>
      </w:pPr>
      <w:rPr>
        <w:rFonts w:ascii="Symbol" w:hAnsi="Symbol" w:hint="default"/>
      </w:rPr>
    </w:lvl>
    <w:lvl w:ilvl="4" w:tplc="0C090003" w:tentative="1">
      <w:start w:val="1"/>
      <w:numFmt w:val="bullet"/>
      <w:lvlText w:val="o"/>
      <w:lvlJc w:val="left"/>
      <w:pPr>
        <w:ind w:left="4725" w:hanging="360"/>
      </w:pPr>
      <w:rPr>
        <w:rFonts w:ascii="Courier New" w:hAnsi="Courier New" w:cs="Courier New" w:hint="default"/>
      </w:rPr>
    </w:lvl>
    <w:lvl w:ilvl="5" w:tplc="0C090005" w:tentative="1">
      <w:start w:val="1"/>
      <w:numFmt w:val="bullet"/>
      <w:lvlText w:val=""/>
      <w:lvlJc w:val="left"/>
      <w:pPr>
        <w:ind w:left="5445" w:hanging="360"/>
      </w:pPr>
      <w:rPr>
        <w:rFonts w:ascii="Wingdings" w:hAnsi="Wingdings" w:hint="default"/>
      </w:rPr>
    </w:lvl>
    <w:lvl w:ilvl="6" w:tplc="0C090001" w:tentative="1">
      <w:start w:val="1"/>
      <w:numFmt w:val="bullet"/>
      <w:lvlText w:val=""/>
      <w:lvlJc w:val="left"/>
      <w:pPr>
        <w:ind w:left="6165" w:hanging="360"/>
      </w:pPr>
      <w:rPr>
        <w:rFonts w:ascii="Symbol" w:hAnsi="Symbol" w:hint="default"/>
      </w:rPr>
    </w:lvl>
    <w:lvl w:ilvl="7" w:tplc="0C090003" w:tentative="1">
      <w:start w:val="1"/>
      <w:numFmt w:val="bullet"/>
      <w:lvlText w:val="o"/>
      <w:lvlJc w:val="left"/>
      <w:pPr>
        <w:ind w:left="6885" w:hanging="360"/>
      </w:pPr>
      <w:rPr>
        <w:rFonts w:ascii="Courier New" w:hAnsi="Courier New" w:cs="Courier New" w:hint="default"/>
      </w:rPr>
    </w:lvl>
    <w:lvl w:ilvl="8" w:tplc="0C090005" w:tentative="1">
      <w:start w:val="1"/>
      <w:numFmt w:val="bullet"/>
      <w:lvlText w:val=""/>
      <w:lvlJc w:val="left"/>
      <w:pPr>
        <w:ind w:left="7605" w:hanging="360"/>
      </w:pPr>
      <w:rPr>
        <w:rFonts w:ascii="Wingdings" w:hAnsi="Wingdings" w:hint="default"/>
      </w:rPr>
    </w:lvl>
  </w:abstractNum>
  <w:abstractNum w:abstractNumId="18" w15:restartNumberingAfterBreak="0">
    <w:nsid w:val="74C4530A"/>
    <w:multiLevelType w:val="hybridMultilevel"/>
    <w:tmpl w:val="EFDA0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A346FB2"/>
    <w:multiLevelType w:val="hybridMultilevel"/>
    <w:tmpl w:val="B7DA9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971F08"/>
    <w:multiLevelType w:val="hybridMultilevel"/>
    <w:tmpl w:val="73A2836C"/>
    <w:lvl w:ilvl="0" w:tplc="046E638C">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2" w15:restartNumberingAfterBreak="0">
    <w:nsid w:val="7E457F0E"/>
    <w:multiLevelType w:val="hybridMultilevel"/>
    <w:tmpl w:val="AD5A03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736865">
    <w:abstractNumId w:val="5"/>
  </w:num>
  <w:num w:numId="2" w16cid:durableId="572470401">
    <w:abstractNumId w:val="14"/>
  </w:num>
  <w:num w:numId="3" w16cid:durableId="1191994112">
    <w:abstractNumId w:val="0"/>
  </w:num>
  <w:num w:numId="4" w16cid:durableId="9962291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6639434">
    <w:abstractNumId w:val="6"/>
  </w:num>
  <w:num w:numId="6" w16cid:durableId="1262181225">
    <w:abstractNumId w:val="18"/>
  </w:num>
  <w:num w:numId="7" w16cid:durableId="466051703">
    <w:abstractNumId w:val="2"/>
  </w:num>
  <w:num w:numId="8" w16cid:durableId="1036811000">
    <w:abstractNumId w:val="17"/>
  </w:num>
  <w:num w:numId="9" w16cid:durableId="1337801543">
    <w:abstractNumId w:val="3"/>
  </w:num>
  <w:num w:numId="10" w16cid:durableId="1911963093">
    <w:abstractNumId w:val="9"/>
  </w:num>
  <w:num w:numId="11" w16cid:durableId="1750299361">
    <w:abstractNumId w:val="1"/>
  </w:num>
  <w:num w:numId="12" w16cid:durableId="930511082">
    <w:abstractNumId w:val="15"/>
  </w:num>
  <w:num w:numId="13" w16cid:durableId="2061516195">
    <w:abstractNumId w:val="12"/>
  </w:num>
  <w:num w:numId="14" w16cid:durableId="1092356499">
    <w:abstractNumId w:val="20"/>
  </w:num>
  <w:num w:numId="15" w16cid:durableId="1155537419">
    <w:abstractNumId w:val="16"/>
  </w:num>
  <w:num w:numId="16" w16cid:durableId="434062385">
    <w:abstractNumId w:val="7"/>
  </w:num>
  <w:num w:numId="17" w16cid:durableId="2073768766">
    <w:abstractNumId w:val="11"/>
  </w:num>
  <w:num w:numId="18" w16cid:durableId="1475682298">
    <w:abstractNumId w:val="8"/>
  </w:num>
  <w:num w:numId="19" w16cid:durableId="1075738877">
    <w:abstractNumId w:val="22"/>
  </w:num>
  <w:num w:numId="20" w16cid:durableId="2005932592">
    <w:abstractNumId w:val="13"/>
  </w:num>
  <w:num w:numId="21" w16cid:durableId="685988341">
    <w:abstractNumId w:val="4"/>
  </w:num>
  <w:num w:numId="22" w16cid:durableId="399306">
    <w:abstractNumId w:val="21"/>
  </w:num>
  <w:num w:numId="23" w16cid:durableId="39906203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E9"/>
    <w:rsid w:val="00001159"/>
    <w:rsid w:val="00001661"/>
    <w:rsid w:val="000028EC"/>
    <w:rsid w:val="000031A7"/>
    <w:rsid w:val="00005EA3"/>
    <w:rsid w:val="00010113"/>
    <w:rsid w:val="000103F2"/>
    <w:rsid w:val="00011BE2"/>
    <w:rsid w:val="0001208F"/>
    <w:rsid w:val="00012FFD"/>
    <w:rsid w:val="0001357A"/>
    <w:rsid w:val="000157A0"/>
    <w:rsid w:val="00015EB9"/>
    <w:rsid w:val="00016AB4"/>
    <w:rsid w:val="00016EA2"/>
    <w:rsid w:val="00020123"/>
    <w:rsid w:val="00020440"/>
    <w:rsid w:val="00020DFB"/>
    <w:rsid w:val="000212FB"/>
    <w:rsid w:val="0002139F"/>
    <w:rsid w:val="000224FB"/>
    <w:rsid w:val="00022A12"/>
    <w:rsid w:val="000240AD"/>
    <w:rsid w:val="00024DB6"/>
    <w:rsid w:val="00024E15"/>
    <w:rsid w:val="000250CB"/>
    <w:rsid w:val="000263D6"/>
    <w:rsid w:val="00026576"/>
    <w:rsid w:val="00026BD0"/>
    <w:rsid w:val="00027420"/>
    <w:rsid w:val="00027846"/>
    <w:rsid w:val="000306A3"/>
    <w:rsid w:val="00030CCB"/>
    <w:rsid w:val="0003196C"/>
    <w:rsid w:val="00031F0D"/>
    <w:rsid w:val="0003266B"/>
    <w:rsid w:val="000342C1"/>
    <w:rsid w:val="00034316"/>
    <w:rsid w:val="00034AE7"/>
    <w:rsid w:val="0003526E"/>
    <w:rsid w:val="000359A4"/>
    <w:rsid w:val="000372F4"/>
    <w:rsid w:val="00037BE1"/>
    <w:rsid w:val="0004011B"/>
    <w:rsid w:val="00040CEC"/>
    <w:rsid w:val="000410D1"/>
    <w:rsid w:val="00041165"/>
    <w:rsid w:val="00041EE6"/>
    <w:rsid w:val="00043B1E"/>
    <w:rsid w:val="0004434C"/>
    <w:rsid w:val="000447E5"/>
    <w:rsid w:val="0004646E"/>
    <w:rsid w:val="00046C9F"/>
    <w:rsid w:val="0004770A"/>
    <w:rsid w:val="0005051A"/>
    <w:rsid w:val="00051138"/>
    <w:rsid w:val="00052D29"/>
    <w:rsid w:val="000544FA"/>
    <w:rsid w:val="000547DB"/>
    <w:rsid w:val="00054E64"/>
    <w:rsid w:val="00054ED1"/>
    <w:rsid w:val="0005527F"/>
    <w:rsid w:val="00055C26"/>
    <w:rsid w:val="000562DA"/>
    <w:rsid w:val="00056C8F"/>
    <w:rsid w:val="00057627"/>
    <w:rsid w:val="00057CC9"/>
    <w:rsid w:val="00060567"/>
    <w:rsid w:val="000621B0"/>
    <w:rsid w:val="00062669"/>
    <w:rsid w:val="000628C7"/>
    <w:rsid w:val="00062FFE"/>
    <w:rsid w:val="00063B95"/>
    <w:rsid w:val="00065E39"/>
    <w:rsid w:val="000665DB"/>
    <w:rsid w:val="000667CB"/>
    <w:rsid w:val="00066ED8"/>
    <w:rsid w:val="000704C3"/>
    <w:rsid w:val="00070C06"/>
    <w:rsid w:val="00070C3D"/>
    <w:rsid w:val="00070CAB"/>
    <w:rsid w:val="00074927"/>
    <w:rsid w:val="00074A27"/>
    <w:rsid w:val="000760E9"/>
    <w:rsid w:val="000770A4"/>
    <w:rsid w:val="000807AC"/>
    <w:rsid w:val="00080E1B"/>
    <w:rsid w:val="00082011"/>
    <w:rsid w:val="000827DD"/>
    <w:rsid w:val="00082BC6"/>
    <w:rsid w:val="000832D0"/>
    <w:rsid w:val="00084039"/>
    <w:rsid w:val="000858FA"/>
    <w:rsid w:val="00086ADC"/>
    <w:rsid w:val="000879AF"/>
    <w:rsid w:val="00087A55"/>
    <w:rsid w:val="0009010E"/>
    <w:rsid w:val="00091319"/>
    <w:rsid w:val="00093587"/>
    <w:rsid w:val="00094E7F"/>
    <w:rsid w:val="00095211"/>
    <w:rsid w:val="00095690"/>
    <w:rsid w:val="00095AD8"/>
    <w:rsid w:val="0009727E"/>
    <w:rsid w:val="00097874"/>
    <w:rsid w:val="00097F6B"/>
    <w:rsid w:val="000A0549"/>
    <w:rsid w:val="000A2491"/>
    <w:rsid w:val="000A2BAF"/>
    <w:rsid w:val="000A2C46"/>
    <w:rsid w:val="000A5077"/>
    <w:rsid w:val="000A5473"/>
    <w:rsid w:val="000B0950"/>
    <w:rsid w:val="000B0E36"/>
    <w:rsid w:val="000B0E9E"/>
    <w:rsid w:val="000B1F03"/>
    <w:rsid w:val="000B2622"/>
    <w:rsid w:val="000B2694"/>
    <w:rsid w:val="000B3E4B"/>
    <w:rsid w:val="000B5C43"/>
    <w:rsid w:val="000B6310"/>
    <w:rsid w:val="000B6571"/>
    <w:rsid w:val="000B696B"/>
    <w:rsid w:val="000B6BE8"/>
    <w:rsid w:val="000B791F"/>
    <w:rsid w:val="000C10DF"/>
    <w:rsid w:val="000C1384"/>
    <w:rsid w:val="000C1B17"/>
    <w:rsid w:val="000C1C38"/>
    <w:rsid w:val="000C2522"/>
    <w:rsid w:val="000C349C"/>
    <w:rsid w:val="000C4C78"/>
    <w:rsid w:val="000C6A9E"/>
    <w:rsid w:val="000C7997"/>
    <w:rsid w:val="000D27C0"/>
    <w:rsid w:val="000D323A"/>
    <w:rsid w:val="000D324A"/>
    <w:rsid w:val="000D3368"/>
    <w:rsid w:val="000D45D5"/>
    <w:rsid w:val="000D4C72"/>
    <w:rsid w:val="000D56B7"/>
    <w:rsid w:val="000D5FC6"/>
    <w:rsid w:val="000D640B"/>
    <w:rsid w:val="000D6C3A"/>
    <w:rsid w:val="000D78A0"/>
    <w:rsid w:val="000E1D81"/>
    <w:rsid w:val="000E3A21"/>
    <w:rsid w:val="000E3F29"/>
    <w:rsid w:val="000E413B"/>
    <w:rsid w:val="000E4E83"/>
    <w:rsid w:val="000E5D6F"/>
    <w:rsid w:val="000F0BED"/>
    <w:rsid w:val="000F0ECC"/>
    <w:rsid w:val="000F13A1"/>
    <w:rsid w:val="000F14BC"/>
    <w:rsid w:val="000F20FE"/>
    <w:rsid w:val="000F21A9"/>
    <w:rsid w:val="000F26C9"/>
    <w:rsid w:val="000F2873"/>
    <w:rsid w:val="000F2D8C"/>
    <w:rsid w:val="000F3FED"/>
    <w:rsid w:val="000F47F6"/>
    <w:rsid w:val="000F618F"/>
    <w:rsid w:val="000F636A"/>
    <w:rsid w:val="000F6707"/>
    <w:rsid w:val="000F7C17"/>
    <w:rsid w:val="00101769"/>
    <w:rsid w:val="00101839"/>
    <w:rsid w:val="00101AA0"/>
    <w:rsid w:val="001029C1"/>
    <w:rsid w:val="001037D5"/>
    <w:rsid w:val="001040FD"/>
    <w:rsid w:val="00104230"/>
    <w:rsid w:val="00104751"/>
    <w:rsid w:val="001065DF"/>
    <w:rsid w:val="00106B73"/>
    <w:rsid w:val="0010738D"/>
    <w:rsid w:val="00107788"/>
    <w:rsid w:val="00110059"/>
    <w:rsid w:val="00111322"/>
    <w:rsid w:val="00111F32"/>
    <w:rsid w:val="001120C3"/>
    <w:rsid w:val="00112387"/>
    <w:rsid w:val="0011247E"/>
    <w:rsid w:val="00112888"/>
    <w:rsid w:val="00113B45"/>
    <w:rsid w:val="00113DF9"/>
    <w:rsid w:val="001149DC"/>
    <w:rsid w:val="00114F70"/>
    <w:rsid w:val="001154C7"/>
    <w:rsid w:val="00117066"/>
    <w:rsid w:val="00117213"/>
    <w:rsid w:val="00117323"/>
    <w:rsid w:val="00117AC9"/>
    <w:rsid w:val="00117DBA"/>
    <w:rsid w:val="00120B5C"/>
    <w:rsid w:val="001218DE"/>
    <w:rsid w:val="00121F18"/>
    <w:rsid w:val="00122120"/>
    <w:rsid w:val="001245EB"/>
    <w:rsid w:val="001268C6"/>
    <w:rsid w:val="001306A0"/>
    <w:rsid w:val="00130C93"/>
    <w:rsid w:val="00131714"/>
    <w:rsid w:val="001318AC"/>
    <w:rsid w:val="001353AA"/>
    <w:rsid w:val="001366DE"/>
    <w:rsid w:val="0013783A"/>
    <w:rsid w:val="0013786F"/>
    <w:rsid w:val="00137954"/>
    <w:rsid w:val="00137FC2"/>
    <w:rsid w:val="00140A21"/>
    <w:rsid w:val="00143342"/>
    <w:rsid w:val="0014344B"/>
    <w:rsid w:val="00143735"/>
    <w:rsid w:val="0014688B"/>
    <w:rsid w:val="00147F5F"/>
    <w:rsid w:val="001500D9"/>
    <w:rsid w:val="00150E83"/>
    <w:rsid w:val="0015276B"/>
    <w:rsid w:val="00154215"/>
    <w:rsid w:val="0015513C"/>
    <w:rsid w:val="0015646A"/>
    <w:rsid w:val="001604EC"/>
    <w:rsid w:val="00160725"/>
    <w:rsid w:val="001623AD"/>
    <w:rsid w:val="00162CC6"/>
    <w:rsid w:val="001649DE"/>
    <w:rsid w:val="0016518C"/>
    <w:rsid w:val="001651E6"/>
    <w:rsid w:val="0017044A"/>
    <w:rsid w:val="00170E82"/>
    <w:rsid w:val="001716D8"/>
    <w:rsid w:val="00171E16"/>
    <w:rsid w:val="00173B41"/>
    <w:rsid w:val="00175DA3"/>
    <w:rsid w:val="00175EF5"/>
    <w:rsid w:val="0017625F"/>
    <w:rsid w:val="00176A1C"/>
    <w:rsid w:val="00176E6D"/>
    <w:rsid w:val="00180501"/>
    <w:rsid w:val="001807C7"/>
    <w:rsid w:val="001807E5"/>
    <w:rsid w:val="00181067"/>
    <w:rsid w:val="001826FD"/>
    <w:rsid w:val="00182A8C"/>
    <w:rsid w:val="00183B5D"/>
    <w:rsid w:val="00184B1C"/>
    <w:rsid w:val="00185207"/>
    <w:rsid w:val="001855A0"/>
    <w:rsid w:val="00185761"/>
    <w:rsid w:val="00185DAB"/>
    <w:rsid w:val="00187130"/>
    <w:rsid w:val="00190786"/>
    <w:rsid w:val="001910FA"/>
    <w:rsid w:val="00191E55"/>
    <w:rsid w:val="00193C36"/>
    <w:rsid w:val="00193F22"/>
    <w:rsid w:val="001954BD"/>
    <w:rsid w:val="001955F8"/>
    <w:rsid w:val="00195758"/>
    <w:rsid w:val="0019583A"/>
    <w:rsid w:val="00195E07"/>
    <w:rsid w:val="00196ABF"/>
    <w:rsid w:val="001A0106"/>
    <w:rsid w:val="001A07B6"/>
    <w:rsid w:val="001A0EF2"/>
    <w:rsid w:val="001A1C60"/>
    <w:rsid w:val="001A2CBD"/>
    <w:rsid w:val="001A31C5"/>
    <w:rsid w:val="001A3300"/>
    <w:rsid w:val="001A42ED"/>
    <w:rsid w:val="001A46B4"/>
    <w:rsid w:val="001A6C0C"/>
    <w:rsid w:val="001A6FFF"/>
    <w:rsid w:val="001A721F"/>
    <w:rsid w:val="001A780C"/>
    <w:rsid w:val="001A7E51"/>
    <w:rsid w:val="001B0D65"/>
    <w:rsid w:val="001B0EC8"/>
    <w:rsid w:val="001B1332"/>
    <w:rsid w:val="001B2832"/>
    <w:rsid w:val="001B44EB"/>
    <w:rsid w:val="001B5C65"/>
    <w:rsid w:val="001B6170"/>
    <w:rsid w:val="001B6CF3"/>
    <w:rsid w:val="001B7A63"/>
    <w:rsid w:val="001C0634"/>
    <w:rsid w:val="001C2159"/>
    <w:rsid w:val="001C32DA"/>
    <w:rsid w:val="001C38F2"/>
    <w:rsid w:val="001C399E"/>
    <w:rsid w:val="001C3DB0"/>
    <w:rsid w:val="001C3E04"/>
    <w:rsid w:val="001C4FC7"/>
    <w:rsid w:val="001C54F0"/>
    <w:rsid w:val="001C5CD2"/>
    <w:rsid w:val="001C75F2"/>
    <w:rsid w:val="001C798D"/>
    <w:rsid w:val="001D1024"/>
    <w:rsid w:val="001D186C"/>
    <w:rsid w:val="001D2A02"/>
    <w:rsid w:val="001D2E1A"/>
    <w:rsid w:val="001D2FEF"/>
    <w:rsid w:val="001D49A1"/>
    <w:rsid w:val="001D6995"/>
    <w:rsid w:val="001D6B42"/>
    <w:rsid w:val="001D6ED0"/>
    <w:rsid w:val="001D72F8"/>
    <w:rsid w:val="001D7FC2"/>
    <w:rsid w:val="001E15BE"/>
    <w:rsid w:val="001E21B9"/>
    <w:rsid w:val="001E2545"/>
    <w:rsid w:val="001E3B1C"/>
    <w:rsid w:val="001E443F"/>
    <w:rsid w:val="001E510E"/>
    <w:rsid w:val="001E55CF"/>
    <w:rsid w:val="001E5680"/>
    <w:rsid w:val="001E5B50"/>
    <w:rsid w:val="001E6107"/>
    <w:rsid w:val="001E6A74"/>
    <w:rsid w:val="001E6ED7"/>
    <w:rsid w:val="001E765C"/>
    <w:rsid w:val="001E772E"/>
    <w:rsid w:val="001F0026"/>
    <w:rsid w:val="001F1215"/>
    <w:rsid w:val="001F1C48"/>
    <w:rsid w:val="001F1D48"/>
    <w:rsid w:val="001F41D0"/>
    <w:rsid w:val="001F449F"/>
    <w:rsid w:val="001F5A3D"/>
    <w:rsid w:val="001F66F4"/>
    <w:rsid w:val="001F6752"/>
    <w:rsid w:val="001F6C05"/>
    <w:rsid w:val="001F6EA5"/>
    <w:rsid w:val="00203CB7"/>
    <w:rsid w:val="00204249"/>
    <w:rsid w:val="00205F39"/>
    <w:rsid w:val="002069C7"/>
    <w:rsid w:val="002069E8"/>
    <w:rsid w:val="00206CEE"/>
    <w:rsid w:val="00210274"/>
    <w:rsid w:val="00210F96"/>
    <w:rsid w:val="002118AE"/>
    <w:rsid w:val="00212B4A"/>
    <w:rsid w:val="00212B7F"/>
    <w:rsid w:val="00212CEF"/>
    <w:rsid w:val="00213059"/>
    <w:rsid w:val="0021388D"/>
    <w:rsid w:val="002143AB"/>
    <w:rsid w:val="002154D3"/>
    <w:rsid w:val="002157EC"/>
    <w:rsid w:val="00215FF4"/>
    <w:rsid w:val="0021614B"/>
    <w:rsid w:val="002177CD"/>
    <w:rsid w:val="002179E0"/>
    <w:rsid w:val="00217A9F"/>
    <w:rsid w:val="00217E3A"/>
    <w:rsid w:val="00217F13"/>
    <w:rsid w:val="00220D54"/>
    <w:rsid w:val="00220D9E"/>
    <w:rsid w:val="00220F16"/>
    <w:rsid w:val="00221281"/>
    <w:rsid w:val="00221988"/>
    <w:rsid w:val="002229E7"/>
    <w:rsid w:val="00222F7C"/>
    <w:rsid w:val="00223642"/>
    <w:rsid w:val="002239E6"/>
    <w:rsid w:val="00224554"/>
    <w:rsid w:val="002250CC"/>
    <w:rsid w:val="002267F4"/>
    <w:rsid w:val="00226A79"/>
    <w:rsid w:val="00226D26"/>
    <w:rsid w:val="00226ED3"/>
    <w:rsid w:val="00227E02"/>
    <w:rsid w:val="00231370"/>
    <w:rsid w:val="00231C67"/>
    <w:rsid w:val="002324CA"/>
    <w:rsid w:val="00232591"/>
    <w:rsid w:val="0023283C"/>
    <w:rsid w:val="00233FBE"/>
    <w:rsid w:val="002348A8"/>
    <w:rsid w:val="00235568"/>
    <w:rsid w:val="002355BB"/>
    <w:rsid w:val="00235840"/>
    <w:rsid w:val="00235AC8"/>
    <w:rsid w:val="00235D93"/>
    <w:rsid w:val="00236E66"/>
    <w:rsid w:val="0023793D"/>
    <w:rsid w:val="00237DBC"/>
    <w:rsid w:val="00241264"/>
    <w:rsid w:val="002415FC"/>
    <w:rsid w:val="00242682"/>
    <w:rsid w:val="00242710"/>
    <w:rsid w:val="002428D3"/>
    <w:rsid w:val="00242BB4"/>
    <w:rsid w:val="00244AF7"/>
    <w:rsid w:val="002450B7"/>
    <w:rsid w:val="002459B7"/>
    <w:rsid w:val="002460D7"/>
    <w:rsid w:val="00246584"/>
    <w:rsid w:val="00246B00"/>
    <w:rsid w:val="00247252"/>
    <w:rsid w:val="0024774F"/>
    <w:rsid w:val="00247EC4"/>
    <w:rsid w:val="0025108C"/>
    <w:rsid w:val="0025112C"/>
    <w:rsid w:val="002532DC"/>
    <w:rsid w:val="00254C5B"/>
    <w:rsid w:val="00255DB7"/>
    <w:rsid w:val="00256104"/>
    <w:rsid w:val="0025681D"/>
    <w:rsid w:val="00257FE6"/>
    <w:rsid w:val="00260848"/>
    <w:rsid w:val="00260C11"/>
    <w:rsid w:val="00260F45"/>
    <w:rsid w:val="00261199"/>
    <w:rsid w:val="00262EB1"/>
    <w:rsid w:val="002644BF"/>
    <w:rsid w:val="00265356"/>
    <w:rsid w:val="00265940"/>
    <w:rsid w:val="0026597E"/>
    <w:rsid w:val="0026628B"/>
    <w:rsid w:val="002662BB"/>
    <w:rsid w:val="002668FC"/>
    <w:rsid w:val="00266BF5"/>
    <w:rsid w:val="00266D4C"/>
    <w:rsid w:val="00267233"/>
    <w:rsid w:val="00270608"/>
    <w:rsid w:val="002711C3"/>
    <w:rsid w:val="00271380"/>
    <w:rsid w:val="00273465"/>
    <w:rsid w:val="00273892"/>
    <w:rsid w:val="00273BA2"/>
    <w:rsid w:val="00273CF1"/>
    <w:rsid w:val="00274D1B"/>
    <w:rsid w:val="0027517C"/>
    <w:rsid w:val="00275EEA"/>
    <w:rsid w:val="00276FEB"/>
    <w:rsid w:val="00277DD2"/>
    <w:rsid w:val="002805A4"/>
    <w:rsid w:val="00280D68"/>
    <w:rsid w:val="00281840"/>
    <w:rsid w:val="0028389F"/>
    <w:rsid w:val="00283AE6"/>
    <w:rsid w:val="00284614"/>
    <w:rsid w:val="00285335"/>
    <w:rsid w:val="0028683D"/>
    <w:rsid w:val="00286894"/>
    <w:rsid w:val="002868CE"/>
    <w:rsid w:val="002873F1"/>
    <w:rsid w:val="00290095"/>
    <w:rsid w:val="00290862"/>
    <w:rsid w:val="002908BF"/>
    <w:rsid w:val="00291ECB"/>
    <w:rsid w:val="00292712"/>
    <w:rsid w:val="00293430"/>
    <w:rsid w:val="00293A56"/>
    <w:rsid w:val="00293C7E"/>
    <w:rsid w:val="00294585"/>
    <w:rsid w:val="002948C2"/>
    <w:rsid w:val="00295270"/>
    <w:rsid w:val="00295B17"/>
    <w:rsid w:val="002967CB"/>
    <w:rsid w:val="002A0A0D"/>
    <w:rsid w:val="002A309E"/>
    <w:rsid w:val="002A3364"/>
    <w:rsid w:val="002A3988"/>
    <w:rsid w:val="002A3E05"/>
    <w:rsid w:val="002A407E"/>
    <w:rsid w:val="002A459B"/>
    <w:rsid w:val="002A673F"/>
    <w:rsid w:val="002A6E87"/>
    <w:rsid w:val="002A707F"/>
    <w:rsid w:val="002A71AB"/>
    <w:rsid w:val="002B1A4C"/>
    <w:rsid w:val="002B28E1"/>
    <w:rsid w:val="002B2DD7"/>
    <w:rsid w:val="002B37D6"/>
    <w:rsid w:val="002B42DD"/>
    <w:rsid w:val="002B51EB"/>
    <w:rsid w:val="002B5DE5"/>
    <w:rsid w:val="002B63F5"/>
    <w:rsid w:val="002B67AC"/>
    <w:rsid w:val="002B6A65"/>
    <w:rsid w:val="002B6E2D"/>
    <w:rsid w:val="002B764F"/>
    <w:rsid w:val="002C0E9B"/>
    <w:rsid w:val="002C0EA5"/>
    <w:rsid w:val="002C1073"/>
    <w:rsid w:val="002C12DE"/>
    <w:rsid w:val="002C2413"/>
    <w:rsid w:val="002C2780"/>
    <w:rsid w:val="002C30CE"/>
    <w:rsid w:val="002C3183"/>
    <w:rsid w:val="002C3C1D"/>
    <w:rsid w:val="002C495C"/>
    <w:rsid w:val="002C4D9F"/>
    <w:rsid w:val="002C5A92"/>
    <w:rsid w:val="002C70BE"/>
    <w:rsid w:val="002C7E3D"/>
    <w:rsid w:val="002D0256"/>
    <w:rsid w:val="002D0268"/>
    <w:rsid w:val="002D0499"/>
    <w:rsid w:val="002D0AAB"/>
    <w:rsid w:val="002D0C0C"/>
    <w:rsid w:val="002D1CAF"/>
    <w:rsid w:val="002D20C1"/>
    <w:rsid w:val="002D2BA9"/>
    <w:rsid w:val="002D4095"/>
    <w:rsid w:val="002D55CC"/>
    <w:rsid w:val="002D740C"/>
    <w:rsid w:val="002D7678"/>
    <w:rsid w:val="002E0BB9"/>
    <w:rsid w:val="002E0C4B"/>
    <w:rsid w:val="002E1263"/>
    <w:rsid w:val="002E18B4"/>
    <w:rsid w:val="002E1B52"/>
    <w:rsid w:val="002E2746"/>
    <w:rsid w:val="002E28CC"/>
    <w:rsid w:val="002E335E"/>
    <w:rsid w:val="002E3ACA"/>
    <w:rsid w:val="002E44E5"/>
    <w:rsid w:val="002E4BD1"/>
    <w:rsid w:val="002E53A7"/>
    <w:rsid w:val="002E60E8"/>
    <w:rsid w:val="002E63F8"/>
    <w:rsid w:val="002F0405"/>
    <w:rsid w:val="002F0B0C"/>
    <w:rsid w:val="002F1100"/>
    <w:rsid w:val="002F1933"/>
    <w:rsid w:val="002F1E06"/>
    <w:rsid w:val="002F24FC"/>
    <w:rsid w:val="002F25C9"/>
    <w:rsid w:val="002F2816"/>
    <w:rsid w:val="002F3645"/>
    <w:rsid w:val="002F3B21"/>
    <w:rsid w:val="002F4AF1"/>
    <w:rsid w:val="002F519D"/>
    <w:rsid w:val="002F58BF"/>
    <w:rsid w:val="002F7DEB"/>
    <w:rsid w:val="00300396"/>
    <w:rsid w:val="00301E34"/>
    <w:rsid w:val="00302CDC"/>
    <w:rsid w:val="003031B3"/>
    <w:rsid w:val="0030357D"/>
    <w:rsid w:val="00304384"/>
    <w:rsid w:val="00304A18"/>
    <w:rsid w:val="00304EC2"/>
    <w:rsid w:val="003055DB"/>
    <w:rsid w:val="0030660C"/>
    <w:rsid w:val="00306F04"/>
    <w:rsid w:val="00306FCB"/>
    <w:rsid w:val="00310B3E"/>
    <w:rsid w:val="0031132E"/>
    <w:rsid w:val="00312D98"/>
    <w:rsid w:val="00313F8E"/>
    <w:rsid w:val="00314BE5"/>
    <w:rsid w:val="00314FBA"/>
    <w:rsid w:val="00316418"/>
    <w:rsid w:val="003203E3"/>
    <w:rsid w:val="00323857"/>
    <w:rsid w:val="00323D75"/>
    <w:rsid w:val="00325864"/>
    <w:rsid w:val="00326FD4"/>
    <w:rsid w:val="003311BB"/>
    <w:rsid w:val="00331DB4"/>
    <w:rsid w:val="003322FD"/>
    <w:rsid w:val="003342CD"/>
    <w:rsid w:val="00334885"/>
    <w:rsid w:val="00335042"/>
    <w:rsid w:val="0033587E"/>
    <w:rsid w:val="00335CD5"/>
    <w:rsid w:val="00337959"/>
    <w:rsid w:val="0034011A"/>
    <w:rsid w:val="00341081"/>
    <w:rsid w:val="00341BF8"/>
    <w:rsid w:val="00342492"/>
    <w:rsid w:val="00342783"/>
    <w:rsid w:val="00342F98"/>
    <w:rsid w:val="00343120"/>
    <w:rsid w:val="00343673"/>
    <w:rsid w:val="003436BF"/>
    <w:rsid w:val="00343B96"/>
    <w:rsid w:val="00343BDD"/>
    <w:rsid w:val="003440EB"/>
    <w:rsid w:val="00345237"/>
    <w:rsid w:val="0034594F"/>
    <w:rsid w:val="00345F05"/>
    <w:rsid w:val="00346305"/>
    <w:rsid w:val="00346724"/>
    <w:rsid w:val="003469EC"/>
    <w:rsid w:val="00346F24"/>
    <w:rsid w:val="00347C78"/>
    <w:rsid w:val="003504F2"/>
    <w:rsid w:val="003515C5"/>
    <w:rsid w:val="00352687"/>
    <w:rsid w:val="003528BB"/>
    <w:rsid w:val="00352DFD"/>
    <w:rsid w:val="00353281"/>
    <w:rsid w:val="0035409D"/>
    <w:rsid w:val="0035469B"/>
    <w:rsid w:val="00354737"/>
    <w:rsid w:val="0035636C"/>
    <w:rsid w:val="0035681A"/>
    <w:rsid w:val="00356B48"/>
    <w:rsid w:val="00356E31"/>
    <w:rsid w:val="003579FD"/>
    <w:rsid w:val="0036170D"/>
    <w:rsid w:val="00361912"/>
    <w:rsid w:val="00361B9A"/>
    <w:rsid w:val="0036570A"/>
    <w:rsid w:val="003670B8"/>
    <w:rsid w:val="00367215"/>
    <w:rsid w:val="003676D5"/>
    <w:rsid w:val="003678A8"/>
    <w:rsid w:val="0036799A"/>
    <w:rsid w:val="0037033F"/>
    <w:rsid w:val="0037051A"/>
    <w:rsid w:val="00370929"/>
    <w:rsid w:val="00370F78"/>
    <w:rsid w:val="00371513"/>
    <w:rsid w:val="00371DF0"/>
    <w:rsid w:val="00372352"/>
    <w:rsid w:val="00372800"/>
    <w:rsid w:val="0037294F"/>
    <w:rsid w:val="00375618"/>
    <w:rsid w:val="00377BEE"/>
    <w:rsid w:val="003817D5"/>
    <w:rsid w:val="00382DE8"/>
    <w:rsid w:val="003833E9"/>
    <w:rsid w:val="00384899"/>
    <w:rsid w:val="00385170"/>
    <w:rsid w:val="003855E0"/>
    <w:rsid w:val="00385E2D"/>
    <w:rsid w:val="00386E5D"/>
    <w:rsid w:val="00387F3A"/>
    <w:rsid w:val="00387F9C"/>
    <w:rsid w:val="0039116C"/>
    <w:rsid w:val="003919A0"/>
    <w:rsid w:val="00392972"/>
    <w:rsid w:val="00392BBA"/>
    <w:rsid w:val="00393059"/>
    <w:rsid w:val="00393831"/>
    <w:rsid w:val="00393EEB"/>
    <w:rsid w:val="00394700"/>
    <w:rsid w:val="00394A94"/>
    <w:rsid w:val="00397036"/>
    <w:rsid w:val="0039795F"/>
    <w:rsid w:val="00397F7F"/>
    <w:rsid w:val="003A2330"/>
    <w:rsid w:val="003A29B4"/>
    <w:rsid w:val="003A2AC4"/>
    <w:rsid w:val="003A3112"/>
    <w:rsid w:val="003A4E01"/>
    <w:rsid w:val="003A5C9F"/>
    <w:rsid w:val="003A5DE0"/>
    <w:rsid w:val="003A612B"/>
    <w:rsid w:val="003A673C"/>
    <w:rsid w:val="003A6B74"/>
    <w:rsid w:val="003B43DE"/>
    <w:rsid w:val="003B4C0F"/>
    <w:rsid w:val="003B5B37"/>
    <w:rsid w:val="003B6048"/>
    <w:rsid w:val="003B6DBC"/>
    <w:rsid w:val="003B794F"/>
    <w:rsid w:val="003B7A0A"/>
    <w:rsid w:val="003B7B0B"/>
    <w:rsid w:val="003C0C32"/>
    <w:rsid w:val="003C164E"/>
    <w:rsid w:val="003C1660"/>
    <w:rsid w:val="003C3846"/>
    <w:rsid w:val="003C3D01"/>
    <w:rsid w:val="003C42AB"/>
    <w:rsid w:val="003C456B"/>
    <w:rsid w:val="003C6F67"/>
    <w:rsid w:val="003C70A0"/>
    <w:rsid w:val="003C70C7"/>
    <w:rsid w:val="003C7AF9"/>
    <w:rsid w:val="003C7D56"/>
    <w:rsid w:val="003D039F"/>
    <w:rsid w:val="003D0A33"/>
    <w:rsid w:val="003D0A41"/>
    <w:rsid w:val="003D147A"/>
    <w:rsid w:val="003D484B"/>
    <w:rsid w:val="003D4D32"/>
    <w:rsid w:val="003D7010"/>
    <w:rsid w:val="003E0706"/>
    <w:rsid w:val="003E090D"/>
    <w:rsid w:val="003E10C8"/>
    <w:rsid w:val="003E126E"/>
    <w:rsid w:val="003E1CCD"/>
    <w:rsid w:val="003E24E4"/>
    <w:rsid w:val="003E26B2"/>
    <w:rsid w:val="003E285E"/>
    <w:rsid w:val="003E43C0"/>
    <w:rsid w:val="003E460C"/>
    <w:rsid w:val="003E4889"/>
    <w:rsid w:val="003E527B"/>
    <w:rsid w:val="003E5ABC"/>
    <w:rsid w:val="003E5E25"/>
    <w:rsid w:val="003E6A52"/>
    <w:rsid w:val="003E70B3"/>
    <w:rsid w:val="003E7563"/>
    <w:rsid w:val="003F0CEA"/>
    <w:rsid w:val="003F22C2"/>
    <w:rsid w:val="003F2A62"/>
    <w:rsid w:val="003F2A8F"/>
    <w:rsid w:val="003F389D"/>
    <w:rsid w:val="003F3E90"/>
    <w:rsid w:val="003F4FAA"/>
    <w:rsid w:val="003F512B"/>
    <w:rsid w:val="003F5277"/>
    <w:rsid w:val="003F531C"/>
    <w:rsid w:val="003F5A5F"/>
    <w:rsid w:val="003F5F99"/>
    <w:rsid w:val="003F6649"/>
    <w:rsid w:val="003F6A68"/>
    <w:rsid w:val="003F7901"/>
    <w:rsid w:val="004009BF"/>
    <w:rsid w:val="00401D67"/>
    <w:rsid w:val="00402558"/>
    <w:rsid w:val="004026D9"/>
    <w:rsid w:val="004028A4"/>
    <w:rsid w:val="00402B1D"/>
    <w:rsid w:val="00402BFC"/>
    <w:rsid w:val="004034A7"/>
    <w:rsid w:val="004037AE"/>
    <w:rsid w:val="004041F3"/>
    <w:rsid w:val="00404458"/>
    <w:rsid w:val="00406042"/>
    <w:rsid w:val="00406750"/>
    <w:rsid w:val="00407135"/>
    <w:rsid w:val="00411329"/>
    <w:rsid w:val="00412451"/>
    <w:rsid w:val="0041305C"/>
    <w:rsid w:val="00413AEE"/>
    <w:rsid w:val="0041437A"/>
    <w:rsid w:val="004147A5"/>
    <w:rsid w:val="0041495E"/>
    <w:rsid w:val="00415302"/>
    <w:rsid w:val="004153C7"/>
    <w:rsid w:val="00415A00"/>
    <w:rsid w:val="00416A0F"/>
    <w:rsid w:val="00420244"/>
    <w:rsid w:val="00420346"/>
    <w:rsid w:val="0042170B"/>
    <w:rsid w:val="0042262A"/>
    <w:rsid w:val="00422E4D"/>
    <w:rsid w:val="00424486"/>
    <w:rsid w:val="00426150"/>
    <w:rsid w:val="00426E3C"/>
    <w:rsid w:val="00431010"/>
    <w:rsid w:val="00431218"/>
    <w:rsid w:val="00431D70"/>
    <w:rsid w:val="00432A9B"/>
    <w:rsid w:val="00432FC3"/>
    <w:rsid w:val="0043460F"/>
    <w:rsid w:val="0043498F"/>
    <w:rsid w:val="00434CF8"/>
    <w:rsid w:val="004357D3"/>
    <w:rsid w:val="00435B28"/>
    <w:rsid w:val="0043650C"/>
    <w:rsid w:val="004369A8"/>
    <w:rsid w:val="0043751B"/>
    <w:rsid w:val="004408FA"/>
    <w:rsid w:val="0044126C"/>
    <w:rsid w:val="00443C1E"/>
    <w:rsid w:val="00443FD6"/>
    <w:rsid w:val="0044523D"/>
    <w:rsid w:val="004454E4"/>
    <w:rsid w:val="0044596C"/>
    <w:rsid w:val="0044756B"/>
    <w:rsid w:val="00447D0B"/>
    <w:rsid w:val="00450549"/>
    <w:rsid w:val="00452C93"/>
    <w:rsid w:val="00453354"/>
    <w:rsid w:val="00453D7C"/>
    <w:rsid w:val="00454052"/>
    <w:rsid w:val="004541CB"/>
    <w:rsid w:val="0045441D"/>
    <w:rsid w:val="004554E9"/>
    <w:rsid w:val="004562A6"/>
    <w:rsid w:val="0045701F"/>
    <w:rsid w:val="00460A9B"/>
    <w:rsid w:val="00460D26"/>
    <w:rsid w:val="00461091"/>
    <w:rsid w:val="004618D7"/>
    <w:rsid w:val="004620F2"/>
    <w:rsid w:val="004629E6"/>
    <w:rsid w:val="0046472E"/>
    <w:rsid w:val="0046474F"/>
    <w:rsid w:val="00466BA4"/>
    <w:rsid w:val="00467A92"/>
    <w:rsid w:val="00467C6F"/>
    <w:rsid w:val="00470874"/>
    <w:rsid w:val="00471D19"/>
    <w:rsid w:val="00471DAF"/>
    <w:rsid w:val="00471F84"/>
    <w:rsid w:val="00472EAB"/>
    <w:rsid w:val="00474581"/>
    <w:rsid w:val="004747AC"/>
    <w:rsid w:val="00475789"/>
    <w:rsid w:val="00475B2B"/>
    <w:rsid w:val="00476549"/>
    <w:rsid w:val="00476690"/>
    <w:rsid w:val="00476DF8"/>
    <w:rsid w:val="00480CEE"/>
    <w:rsid w:val="0048133C"/>
    <w:rsid w:val="00481DEA"/>
    <w:rsid w:val="004845BF"/>
    <w:rsid w:val="00484D65"/>
    <w:rsid w:val="004852F6"/>
    <w:rsid w:val="00485505"/>
    <w:rsid w:val="00485831"/>
    <w:rsid w:val="00485A85"/>
    <w:rsid w:val="00486443"/>
    <w:rsid w:val="004876B0"/>
    <w:rsid w:val="004878A7"/>
    <w:rsid w:val="00487B5B"/>
    <w:rsid w:val="00491AEA"/>
    <w:rsid w:val="0049209C"/>
    <w:rsid w:val="004922EF"/>
    <w:rsid w:val="004926E5"/>
    <w:rsid w:val="00492E0B"/>
    <w:rsid w:val="00493374"/>
    <w:rsid w:val="00493480"/>
    <w:rsid w:val="00493A31"/>
    <w:rsid w:val="00493B9D"/>
    <w:rsid w:val="00494C3B"/>
    <w:rsid w:val="00494F39"/>
    <w:rsid w:val="00495F7B"/>
    <w:rsid w:val="004968D6"/>
    <w:rsid w:val="004A0370"/>
    <w:rsid w:val="004A2359"/>
    <w:rsid w:val="004A24BD"/>
    <w:rsid w:val="004A327C"/>
    <w:rsid w:val="004A4D33"/>
    <w:rsid w:val="004A4E9E"/>
    <w:rsid w:val="004A5BED"/>
    <w:rsid w:val="004A6DE9"/>
    <w:rsid w:val="004B0186"/>
    <w:rsid w:val="004B0251"/>
    <w:rsid w:val="004B0C11"/>
    <w:rsid w:val="004B2249"/>
    <w:rsid w:val="004B3171"/>
    <w:rsid w:val="004B3FF5"/>
    <w:rsid w:val="004B4978"/>
    <w:rsid w:val="004B5194"/>
    <w:rsid w:val="004B5B43"/>
    <w:rsid w:val="004B7110"/>
    <w:rsid w:val="004B725E"/>
    <w:rsid w:val="004B7388"/>
    <w:rsid w:val="004C2798"/>
    <w:rsid w:val="004C3F85"/>
    <w:rsid w:val="004C6BED"/>
    <w:rsid w:val="004D035F"/>
    <w:rsid w:val="004D07D2"/>
    <w:rsid w:val="004D1373"/>
    <w:rsid w:val="004D2A4F"/>
    <w:rsid w:val="004D41FC"/>
    <w:rsid w:val="004D4467"/>
    <w:rsid w:val="004D46FF"/>
    <w:rsid w:val="004D50C9"/>
    <w:rsid w:val="004D5858"/>
    <w:rsid w:val="004D5CA8"/>
    <w:rsid w:val="004D748C"/>
    <w:rsid w:val="004D7AFE"/>
    <w:rsid w:val="004E0423"/>
    <w:rsid w:val="004E09E7"/>
    <w:rsid w:val="004E166D"/>
    <w:rsid w:val="004E193F"/>
    <w:rsid w:val="004E2255"/>
    <w:rsid w:val="004E260F"/>
    <w:rsid w:val="004E2F5C"/>
    <w:rsid w:val="004E367A"/>
    <w:rsid w:val="004E36B7"/>
    <w:rsid w:val="004E39E1"/>
    <w:rsid w:val="004E4493"/>
    <w:rsid w:val="004E4605"/>
    <w:rsid w:val="004E480E"/>
    <w:rsid w:val="004E4FD3"/>
    <w:rsid w:val="004E512C"/>
    <w:rsid w:val="004E5DAD"/>
    <w:rsid w:val="004E5FE8"/>
    <w:rsid w:val="004E632F"/>
    <w:rsid w:val="004E65A0"/>
    <w:rsid w:val="004E6A9C"/>
    <w:rsid w:val="004E7915"/>
    <w:rsid w:val="004E7EDA"/>
    <w:rsid w:val="004F0195"/>
    <w:rsid w:val="004F0FEA"/>
    <w:rsid w:val="004F1D27"/>
    <w:rsid w:val="004F2F2F"/>
    <w:rsid w:val="004F2FEC"/>
    <w:rsid w:val="004F3EBB"/>
    <w:rsid w:val="004F73BB"/>
    <w:rsid w:val="00500C83"/>
    <w:rsid w:val="00503E44"/>
    <w:rsid w:val="00506229"/>
    <w:rsid w:val="00506441"/>
    <w:rsid w:val="0050647C"/>
    <w:rsid w:val="00506D83"/>
    <w:rsid w:val="00507C92"/>
    <w:rsid w:val="0051008F"/>
    <w:rsid w:val="00510A94"/>
    <w:rsid w:val="00511792"/>
    <w:rsid w:val="00511E06"/>
    <w:rsid w:val="00512463"/>
    <w:rsid w:val="005131F7"/>
    <w:rsid w:val="00515283"/>
    <w:rsid w:val="00516722"/>
    <w:rsid w:val="00520997"/>
    <w:rsid w:val="005212D4"/>
    <w:rsid w:val="00521C42"/>
    <w:rsid w:val="00522023"/>
    <w:rsid w:val="005221AB"/>
    <w:rsid w:val="00522D93"/>
    <w:rsid w:val="00523768"/>
    <w:rsid w:val="00524916"/>
    <w:rsid w:val="00525756"/>
    <w:rsid w:val="00526D14"/>
    <w:rsid w:val="00527CE6"/>
    <w:rsid w:val="005326EC"/>
    <w:rsid w:val="00532B47"/>
    <w:rsid w:val="00533787"/>
    <w:rsid w:val="00534546"/>
    <w:rsid w:val="00534902"/>
    <w:rsid w:val="00534C53"/>
    <w:rsid w:val="005369CA"/>
    <w:rsid w:val="005372EE"/>
    <w:rsid w:val="00540ACA"/>
    <w:rsid w:val="0054148C"/>
    <w:rsid w:val="00543697"/>
    <w:rsid w:val="005443FB"/>
    <w:rsid w:val="00544811"/>
    <w:rsid w:val="005500D0"/>
    <w:rsid w:val="005522FF"/>
    <w:rsid w:val="005529AE"/>
    <w:rsid w:val="005529DE"/>
    <w:rsid w:val="00552AC4"/>
    <w:rsid w:val="005534AD"/>
    <w:rsid w:val="00554100"/>
    <w:rsid w:val="00555730"/>
    <w:rsid w:val="00555F30"/>
    <w:rsid w:val="0055628F"/>
    <w:rsid w:val="0055675D"/>
    <w:rsid w:val="005567D7"/>
    <w:rsid w:val="00557216"/>
    <w:rsid w:val="0056264B"/>
    <w:rsid w:val="00562D29"/>
    <w:rsid w:val="00565DEA"/>
    <w:rsid w:val="005669F8"/>
    <w:rsid w:val="00566E17"/>
    <w:rsid w:val="00567953"/>
    <w:rsid w:val="00567DBA"/>
    <w:rsid w:val="00570080"/>
    <w:rsid w:val="00570331"/>
    <w:rsid w:val="00571A35"/>
    <w:rsid w:val="00571BDF"/>
    <w:rsid w:val="0057281A"/>
    <w:rsid w:val="00574829"/>
    <w:rsid w:val="00574D15"/>
    <w:rsid w:val="00575F59"/>
    <w:rsid w:val="005769F4"/>
    <w:rsid w:val="00577436"/>
    <w:rsid w:val="00580002"/>
    <w:rsid w:val="0058087F"/>
    <w:rsid w:val="00580D2F"/>
    <w:rsid w:val="00582298"/>
    <w:rsid w:val="005824EF"/>
    <w:rsid w:val="00582CB6"/>
    <w:rsid w:val="005833BE"/>
    <w:rsid w:val="005840F8"/>
    <w:rsid w:val="005843E1"/>
    <w:rsid w:val="00584DAC"/>
    <w:rsid w:val="00586633"/>
    <w:rsid w:val="00587915"/>
    <w:rsid w:val="005908BD"/>
    <w:rsid w:val="00590EE5"/>
    <w:rsid w:val="00590FE5"/>
    <w:rsid w:val="0059230A"/>
    <w:rsid w:val="00592403"/>
    <w:rsid w:val="00592D4B"/>
    <w:rsid w:val="00593966"/>
    <w:rsid w:val="0059415C"/>
    <w:rsid w:val="00594CD3"/>
    <w:rsid w:val="0059506E"/>
    <w:rsid w:val="00595E4D"/>
    <w:rsid w:val="00597552"/>
    <w:rsid w:val="00597CDB"/>
    <w:rsid w:val="005A028C"/>
    <w:rsid w:val="005A05A8"/>
    <w:rsid w:val="005A09FB"/>
    <w:rsid w:val="005A19EA"/>
    <w:rsid w:val="005A1B61"/>
    <w:rsid w:val="005A1B80"/>
    <w:rsid w:val="005A349F"/>
    <w:rsid w:val="005A4027"/>
    <w:rsid w:val="005A6C22"/>
    <w:rsid w:val="005A7526"/>
    <w:rsid w:val="005A770B"/>
    <w:rsid w:val="005B17D1"/>
    <w:rsid w:val="005B313E"/>
    <w:rsid w:val="005B3CA2"/>
    <w:rsid w:val="005B413E"/>
    <w:rsid w:val="005B4365"/>
    <w:rsid w:val="005B5BC6"/>
    <w:rsid w:val="005B5BF3"/>
    <w:rsid w:val="005B62BA"/>
    <w:rsid w:val="005B75F8"/>
    <w:rsid w:val="005B77E1"/>
    <w:rsid w:val="005B794A"/>
    <w:rsid w:val="005B7B81"/>
    <w:rsid w:val="005C0D0D"/>
    <w:rsid w:val="005C10B9"/>
    <w:rsid w:val="005C407C"/>
    <w:rsid w:val="005C47DD"/>
    <w:rsid w:val="005C5C3C"/>
    <w:rsid w:val="005C5E1C"/>
    <w:rsid w:val="005C62E5"/>
    <w:rsid w:val="005C7417"/>
    <w:rsid w:val="005C7779"/>
    <w:rsid w:val="005C7C06"/>
    <w:rsid w:val="005D0904"/>
    <w:rsid w:val="005D0D79"/>
    <w:rsid w:val="005D1F78"/>
    <w:rsid w:val="005D2703"/>
    <w:rsid w:val="005D29EE"/>
    <w:rsid w:val="005D3032"/>
    <w:rsid w:val="005D318D"/>
    <w:rsid w:val="005D3B39"/>
    <w:rsid w:val="005D40D9"/>
    <w:rsid w:val="005D5F7C"/>
    <w:rsid w:val="005D7D5A"/>
    <w:rsid w:val="005D7DD1"/>
    <w:rsid w:val="005E045B"/>
    <w:rsid w:val="005E15EE"/>
    <w:rsid w:val="005E2A3A"/>
    <w:rsid w:val="005E5EC7"/>
    <w:rsid w:val="005F2439"/>
    <w:rsid w:val="005F2673"/>
    <w:rsid w:val="005F34B6"/>
    <w:rsid w:val="005F3DB7"/>
    <w:rsid w:val="005F42FC"/>
    <w:rsid w:val="005F5508"/>
    <w:rsid w:val="005F6666"/>
    <w:rsid w:val="005F76E3"/>
    <w:rsid w:val="0060130D"/>
    <w:rsid w:val="0060182D"/>
    <w:rsid w:val="00601B43"/>
    <w:rsid w:val="00602596"/>
    <w:rsid w:val="006031B2"/>
    <w:rsid w:val="00603716"/>
    <w:rsid w:val="0060575B"/>
    <w:rsid w:val="006063C2"/>
    <w:rsid w:val="00606ED8"/>
    <w:rsid w:val="006070B3"/>
    <w:rsid w:val="00607362"/>
    <w:rsid w:val="00607FC8"/>
    <w:rsid w:val="006102B4"/>
    <w:rsid w:val="00610426"/>
    <w:rsid w:val="00610C6C"/>
    <w:rsid w:val="00611A44"/>
    <w:rsid w:val="00611E56"/>
    <w:rsid w:val="00612B8F"/>
    <w:rsid w:val="00612D12"/>
    <w:rsid w:val="00613A28"/>
    <w:rsid w:val="006148E4"/>
    <w:rsid w:val="006154E7"/>
    <w:rsid w:val="006157CC"/>
    <w:rsid w:val="00617FCB"/>
    <w:rsid w:val="00620DA1"/>
    <w:rsid w:val="00622827"/>
    <w:rsid w:val="00622EF5"/>
    <w:rsid w:val="00624087"/>
    <w:rsid w:val="00625CFC"/>
    <w:rsid w:val="006267F5"/>
    <w:rsid w:val="00627B34"/>
    <w:rsid w:val="00631E93"/>
    <w:rsid w:val="0063223A"/>
    <w:rsid w:val="00632D62"/>
    <w:rsid w:val="00633C0C"/>
    <w:rsid w:val="00634267"/>
    <w:rsid w:val="00634B56"/>
    <w:rsid w:val="00634F7B"/>
    <w:rsid w:val="006351EA"/>
    <w:rsid w:val="00635A62"/>
    <w:rsid w:val="00635DF3"/>
    <w:rsid w:val="00635FE0"/>
    <w:rsid w:val="006369E7"/>
    <w:rsid w:val="00637390"/>
    <w:rsid w:val="0064100E"/>
    <w:rsid w:val="0064129F"/>
    <w:rsid w:val="00641526"/>
    <w:rsid w:val="006454EC"/>
    <w:rsid w:val="00645B74"/>
    <w:rsid w:val="006467C2"/>
    <w:rsid w:val="00646B33"/>
    <w:rsid w:val="00647314"/>
    <w:rsid w:val="0064749F"/>
    <w:rsid w:val="0064767E"/>
    <w:rsid w:val="00650FE5"/>
    <w:rsid w:val="006534D0"/>
    <w:rsid w:val="0065380D"/>
    <w:rsid w:val="00654E2B"/>
    <w:rsid w:val="00655343"/>
    <w:rsid w:val="00655AFE"/>
    <w:rsid w:val="006564F4"/>
    <w:rsid w:val="00657E89"/>
    <w:rsid w:val="00660F8C"/>
    <w:rsid w:val="00661AF4"/>
    <w:rsid w:val="00662B8C"/>
    <w:rsid w:val="00664178"/>
    <w:rsid w:val="0066431E"/>
    <w:rsid w:val="00665407"/>
    <w:rsid w:val="00666424"/>
    <w:rsid w:val="006666D3"/>
    <w:rsid w:val="00666A80"/>
    <w:rsid w:val="00667045"/>
    <w:rsid w:val="006676E3"/>
    <w:rsid w:val="0066774D"/>
    <w:rsid w:val="006703B0"/>
    <w:rsid w:val="0067378E"/>
    <w:rsid w:val="0067380B"/>
    <w:rsid w:val="006739BC"/>
    <w:rsid w:val="0067514C"/>
    <w:rsid w:val="006756F5"/>
    <w:rsid w:val="0067615F"/>
    <w:rsid w:val="00676792"/>
    <w:rsid w:val="00676F4F"/>
    <w:rsid w:val="00677877"/>
    <w:rsid w:val="00677D5F"/>
    <w:rsid w:val="00681E5A"/>
    <w:rsid w:val="0068287E"/>
    <w:rsid w:val="00684308"/>
    <w:rsid w:val="00686B00"/>
    <w:rsid w:val="006923F1"/>
    <w:rsid w:val="00694950"/>
    <w:rsid w:val="00694B72"/>
    <w:rsid w:val="0069781E"/>
    <w:rsid w:val="006A1845"/>
    <w:rsid w:val="006A23F6"/>
    <w:rsid w:val="006A2753"/>
    <w:rsid w:val="006A2EF8"/>
    <w:rsid w:val="006A34E4"/>
    <w:rsid w:val="006A39D2"/>
    <w:rsid w:val="006A4F01"/>
    <w:rsid w:val="006A50D2"/>
    <w:rsid w:val="006A5160"/>
    <w:rsid w:val="006A56CF"/>
    <w:rsid w:val="006A5B46"/>
    <w:rsid w:val="006A5EEB"/>
    <w:rsid w:val="006A6A8A"/>
    <w:rsid w:val="006A6BC2"/>
    <w:rsid w:val="006A7670"/>
    <w:rsid w:val="006A7A3B"/>
    <w:rsid w:val="006A7C7F"/>
    <w:rsid w:val="006B2746"/>
    <w:rsid w:val="006B2752"/>
    <w:rsid w:val="006B2F76"/>
    <w:rsid w:val="006B3AB0"/>
    <w:rsid w:val="006B3CDA"/>
    <w:rsid w:val="006B4AD1"/>
    <w:rsid w:val="006B506F"/>
    <w:rsid w:val="006B54D5"/>
    <w:rsid w:val="006B7EF8"/>
    <w:rsid w:val="006B7F0A"/>
    <w:rsid w:val="006C0E54"/>
    <w:rsid w:val="006C1AD0"/>
    <w:rsid w:val="006C332F"/>
    <w:rsid w:val="006C368B"/>
    <w:rsid w:val="006C48E4"/>
    <w:rsid w:val="006C4EBF"/>
    <w:rsid w:val="006C5490"/>
    <w:rsid w:val="006C5AA0"/>
    <w:rsid w:val="006C636C"/>
    <w:rsid w:val="006C679D"/>
    <w:rsid w:val="006C7CC5"/>
    <w:rsid w:val="006D12BB"/>
    <w:rsid w:val="006D308D"/>
    <w:rsid w:val="006D3653"/>
    <w:rsid w:val="006D3827"/>
    <w:rsid w:val="006D4DEB"/>
    <w:rsid w:val="006D5F6C"/>
    <w:rsid w:val="006D6092"/>
    <w:rsid w:val="006D6F76"/>
    <w:rsid w:val="006D7303"/>
    <w:rsid w:val="006D783D"/>
    <w:rsid w:val="006E1335"/>
    <w:rsid w:val="006E1368"/>
    <w:rsid w:val="006E2D4F"/>
    <w:rsid w:val="006E3265"/>
    <w:rsid w:val="006E3589"/>
    <w:rsid w:val="006E359E"/>
    <w:rsid w:val="006E5A24"/>
    <w:rsid w:val="006E610F"/>
    <w:rsid w:val="006E65CC"/>
    <w:rsid w:val="006F1005"/>
    <w:rsid w:val="006F1509"/>
    <w:rsid w:val="006F2032"/>
    <w:rsid w:val="006F2591"/>
    <w:rsid w:val="006F317D"/>
    <w:rsid w:val="006F3779"/>
    <w:rsid w:val="006F3CBD"/>
    <w:rsid w:val="006F42EC"/>
    <w:rsid w:val="006F6DC9"/>
    <w:rsid w:val="006F6FB8"/>
    <w:rsid w:val="00700CA8"/>
    <w:rsid w:val="007025D4"/>
    <w:rsid w:val="00702B29"/>
    <w:rsid w:val="007042B8"/>
    <w:rsid w:val="00704BE8"/>
    <w:rsid w:val="00704F54"/>
    <w:rsid w:val="00705D34"/>
    <w:rsid w:val="00705DC7"/>
    <w:rsid w:val="007062F0"/>
    <w:rsid w:val="00707389"/>
    <w:rsid w:val="00707B4B"/>
    <w:rsid w:val="00710233"/>
    <w:rsid w:val="00712AB4"/>
    <w:rsid w:val="00712C1D"/>
    <w:rsid w:val="0071312D"/>
    <w:rsid w:val="00713882"/>
    <w:rsid w:val="00714B06"/>
    <w:rsid w:val="00714B37"/>
    <w:rsid w:val="00714C8F"/>
    <w:rsid w:val="00714F72"/>
    <w:rsid w:val="00715C57"/>
    <w:rsid w:val="007165EF"/>
    <w:rsid w:val="007172AA"/>
    <w:rsid w:val="00717609"/>
    <w:rsid w:val="007200E3"/>
    <w:rsid w:val="00720606"/>
    <w:rsid w:val="007206CA"/>
    <w:rsid w:val="00721B8D"/>
    <w:rsid w:val="0072246E"/>
    <w:rsid w:val="00722A48"/>
    <w:rsid w:val="007238AE"/>
    <w:rsid w:val="00723C9D"/>
    <w:rsid w:val="00724DB6"/>
    <w:rsid w:val="00726A01"/>
    <w:rsid w:val="00727036"/>
    <w:rsid w:val="00727596"/>
    <w:rsid w:val="00727C78"/>
    <w:rsid w:val="0073175F"/>
    <w:rsid w:val="0073299E"/>
    <w:rsid w:val="00734E13"/>
    <w:rsid w:val="00735A47"/>
    <w:rsid w:val="00740AF2"/>
    <w:rsid w:val="007429BD"/>
    <w:rsid w:val="00742CBE"/>
    <w:rsid w:val="00742F0C"/>
    <w:rsid w:val="00744C1D"/>
    <w:rsid w:val="007456AA"/>
    <w:rsid w:val="00745E67"/>
    <w:rsid w:val="0074614E"/>
    <w:rsid w:val="0074648C"/>
    <w:rsid w:val="00750FA6"/>
    <w:rsid w:val="00750FCA"/>
    <w:rsid w:val="00751676"/>
    <w:rsid w:val="007516F7"/>
    <w:rsid w:val="00751ED7"/>
    <w:rsid w:val="007562D9"/>
    <w:rsid w:val="007566E0"/>
    <w:rsid w:val="00757920"/>
    <w:rsid w:val="00757F4C"/>
    <w:rsid w:val="00760A76"/>
    <w:rsid w:val="007621EE"/>
    <w:rsid w:val="0076234F"/>
    <w:rsid w:val="00765CD5"/>
    <w:rsid w:val="00765E69"/>
    <w:rsid w:val="0076657E"/>
    <w:rsid w:val="00766DA9"/>
    <w:rsid w:val="007701A8"/>
    <w:rsid w:val="00770BDC"/>
    <w:rsid w:val="00770BEA"/>
    <w:rsid w:val="0077104C"/>
    <w:rsid w:val="00771BCF"/>
    <w:rsid w:val="00773527"/>
    <w:rsid w:val="00773782"/>
    <w:rsid w:val="00773C82"/>
    <w:rsid w:val="00773E13"/>
    <w:rsid w:val="0077436D"/>
    <w:rsid w:val="0077437F"/>
    <w:rsid w:val="0077446E"/>
    <w:rsid w:val="0077528A"/>
    <w:rsid w:val="00775624"/>
    <w:rsid w:val="007758E3"/>
    <w:rsid w:val="00776B98"/>
    <w:rsid w:val="00777094"/>
    <w:rsid w:val="0077789F"/>
    <w:rsid w:val="007807C7"/>
    <w:rsid w:val="00780B9C"/>
    <w:rsid w:val="00780FF9"/>
    <w:rsid w:val="007816E9"/>
    <w:rsid w:val="007836CF"/>
    <w:rsid w:val="00784198"/>
    <w:rsid w:val="007843C5"/>
    <w:rsid w:val="00785BAB"/>
    <w:rsid w:val="007876D2"/>
    <w:rsid w:val="00792166"/>
    <w:rsid w:val="00792222"/>
    <w:rsid w:val="007925F5"/>
    <w:rsid w:val="00793180"/>
    <w:rsid w:val="00793288"/>
    <w:rsid w:val="00794801"/>
    <w:rsid w:val="007948FA"/>
    <w:rsid w:val="00794EC9"/>
    <w:rsid w:val="00795925"/>
    <w:rsid w:val="00796B53"/>
    <w:rsid w:val="0079757D"/>
    <w:rsid w:val="0079770A"/>
    <w:rsid w:val="007A02E3"/>
    <w:rsid w:val="007A194D"/>
    <w:rsid w:val="007A2AC8"/>
    <w:rsid w:val="007A3B12"/>
    <w:rsid w:val="007A3E01"/>
    <w:rsid w:val="007A4336"/>
    <w:rsid w:val="007A4725"/>
    <w:rsid w:val="007A7D02"/>
    <w:rsid w:val="007B161D"/>
    <w:rsid w:val="007B1F9D"/>
    <w:rsid w:val="007B2352"/>
    <w:rsid w:val="007B2E69"/>
    <w:rsid w:val="007B54E9"/>
    <w:rsid w:val="007B626B"/>
    <w:rsid w:val="007B739F"/>
    <w:rsid w:val="007C074F"/>
    <w:rsid w:val="007C1C0B"/>
    <w:rsid w:val="007C23BF"/>
    <w:rsid w:val="007C2839"/>
    <w:rsid w:val="007C2AF9"/>
    <w:rsid w:val="007C2EE7"/>
    <w:rsid w:val="007C4F4B"/>
    <w:rsid w:val="007C5C8E"/>
    <w:rsid w:val="007C71D8"/>
    <w:rsid w:val="007D0AD0"/>
    <w:rsid w:val="007D0CC1"/>
    <w:rsid w:val="007D1724"/>
    <w:rsid w:val="007D233B"/>
    <w:rsid w:val="007D32D9"/>
    <w:rsid w:val="007D3427"/>
    <w:rsid w:val="007D4F2C"/>
    <w:rsid w:val="007D5BD5"/>
    <w:rsid w:val="007D61A6"/>
    <w:rsid w:val="007D68E4"/>
    <w:rsid w:val="007D6BA2"/>
    <w:rsid w:val="007D776C"/>
    <w:rsid w:val="007E018D"/>
    <w:rsid w:val="007E14F4"/>
    <w:rsid w:val="007E15D6"/>
    <w:rsid w:val="007E168F"/>
    <w:rsid w:val="007E1D41"/>
    <w:rsid w:val="007E1E38"/>
    <w:rsid w:val="007E1F64"/>
    <w:rsid w:val="007E3B31"/>
    <w:rsid w:val="007E46A3"/>
    <w:rsid w:val="007E4966"/>
    <w:rsid w:val="007E5BAC"/>
    <w:rsid w:val="007E6210"/>
    <w:rsid w:val="007E75E1"/>
    <w:rsid w:val="007E7793"/>
    <w:rsid w:val="007E78C3"/>
    <w:rsid w:val="007F02FA"/>
    <w:rsid w:val="007F0BA7"/>
    <w:rsid w:val="007F0EB5"/>
    <w:rsid w:val="007F1876"/>
    <w:rsid w:val="007F1E22"/>
    <w:rsid w:val="007F239B"/>
    <w:rsid w:val="007F3232"/>
    <w:rsid w:val="007F3852"/>
    <w:rsid w:val="007F3DF7"/>
    <w:rsid w:val="007F45FD"/>
    <w:rsid w:val="007F478B"/>
    <w:rsid w:val="007F52EA"/>
    <w:rsid w:val="007F541E"/>
    <w:rsid w:val="007F73F6"/>
    <w:rsid w:val="008019CF"/>
    <w:rsid w:val="00802575"/>
    <w:rsid w:val="008025F5"/>
    <w:rsid w:val="0080321D"/>
    <w:rsid w:val="0080442C"/>
    <w:rsid w:val="00806077"/>
    <w:rsid w:val="0080714C"/>
    <w:rsid w:val="00807AD4"/>
    <w:rsid w:val="00807DB4"/>
    <w:rsid w:val="00807E7D"/>
    <w:rsid w:val="00810430"/>
    <w:rsid w:val="00810C47"/>
    <w:rsid w:val="0081112C"/>
    <w:rsid w:val="008127AB"/>
    <w:rsid w:val="00812B83"/>
    <w:rsid w:val="00813CEA"/>
    <w:rsid w:val="00814D0E"/>
    <w:rsid w:val="00815F14"/>
    <w:rsid w:val="00816834"/>
    <w:rsid w:val="00817A9F"/>
    <w:rsid w:val="00817C9B"/>
    <w:rsid w:val="0082181E"/>
    <w:rsid w:val="00822144"/>
    <w:rsid w:val="008221BA"/>
    <w:rsid w:val="00822CCA"/>
    <w:rsid w:val="00823128"/>
    <w:rsid w:val="00823318"/>
    <w:rsid w:val="00825B3E"/>
    <w:rsid w:val="008260F4"/>
    <w:rsid w:val="008272A9"/>
    <w:rsid w:val="008273EC"/>
    <w:rsid w:val="00827DC1"/>
    <w:rsid w:val="0083122B"/>
    <w:rsid w:val="00831675"/>
    <w:rsid w:val="00831920"/>
    <w:rsid w:val="00831CE0"/>
    <w:rsid w:val="0083290D"/>
    <w:rsid w:val="00834029"/>
    <w:rsid w:val="008345FC"/>
    <w:rsid w:val="00834A07"/>
    <w:rsid w:val="00836176"/>
    <w:rsid w:val="0083693E"/>
    <w:rsid w:val="0083772D"/>
    <w:rsid w:val="00837C09"/>
    <w:rsid w:val="0084017C"/>
    <w:rsid w:val="00842A3D"/>
    <w:rsid w:val="00845B2E"/>
    <w:rsid w:val="00846ECE"/>
    <w:rsid w:val="00847181"/>
    <w:rsid w:val="008472DA"/>
    <w:rsid w:val="00852295"/>
    <w:rsid w:val="00852488"/>
    <w:rsid w:val="00852C36"/>
    <w:rsid w:val="00852D1C"/>
    <w:rsid w:val="00853CF5"/>
    <w:rsid w:val="00853FEE"/>
    <w:rsid w:val="0085448E"/>
    <w:rsid w:val="00854645"/>
    <w:rsid w:val="00856C94"/>
    <w:rsid w:val="008574BC"/>
    <w:rsid w:val="00857AD2"/>
    <w:rsid w:val="00857FFE"/>
    <w:rsid w:val="00860892"/>
    <w:rsid w:val="00860977"/>
    <w:rsid w:val="008619AC"/>
    <w:rsid w:val="00861DC8"/>
    <w:rsid w:val="00864380"/>
    <w:rsid w:val="008643DA"/>
    <w:rsid w:val="00865F8E"/>
    <w:rsid w:val="00867243"/>
    <w:rsid w:val="0086737C"/>
    <w:rsid w:val="00870B17"/>
    <w:rsid w:val="00870F48"/>
    <w:rsid w:val="00871366"/>
    <w:rsid w:val="00871532"/>
    <w:rsid w:val="008717B7"/>
    <w:rsid w:val="0087210D"/>
    <w:rsid w:val="0087273B"/>
    <w:rsid w:val="00872AE6"/>
    <w:rsid w:val="00872B1B"/>
    <w:rsid w:val="008733C7"/>
    <w:rsid w:val="00874D48"/>
    <w:rsid w:val="008755DE"/>
    <w:rsid w:val="00875B45"/>
    <w:rsid w:val="00875F0E"/>
    <w:rsid w:val="00877234"/>
    <w:rsid w:val="008809F1"/>
    <w:rsid w:val="008814E4"/>
    <w:rsid w:val="00881510"/>
    <w:rsid w:val="00881AAE"/>
    <w:rsid w:val="008837E0"/>
    <w:rsid w:val="00883B5F"/>
    <w:rsid w:val="0088467C"/>
    <w:rsid w:val="00884CC4"/>
    <w:rsid w:val="0088512B"/>
    <w:rsid w:val="0088514C"/>
    <w:rsid w:val="00885BF8"/>
    <w:rsid w:val="0088615C"/>
    <w:rsid w:val="008867FC"/>
    <w:rsid w:val="008868AC"/>
    <w:rsid w:val="00890E3A"/>
    <w:rsid w:val="00892602"/>
    <w:rsid w:val="00893020"/>
    <w:rsid w:val="00894B4A"/>
    <w:rsid w:val="00895121"/>
    <w:rsid w:val="008954D3"/>
    <w:rsid w:val="00895BB2"/>
    <w:rsid w:val="00895EA8"/>
    <w:rsid w:val="008963E9"/>
    <w:rsid w:val="00896451"/>
    <w:rsid w:val="00896ED6"/>
    <w:rsid w:val="0089776D"/>
    <w:rsid w:val="008978F2"/>
    <w:rsid w:val="008A0173"/>
    <w:rsid w:val="008A0BE8"/>
    <w:rsid w:val="008A13A7"/>
    <w:rsid w:val="008A1574"/>
    <w:rsid w:val="008A1684"/>
    <w:rsid w:val="008A231F"/>
    <w:rsid w:val="008A251E"/>
    <w:rsid w:val="008A4862"/>
    <w:rsid w:val="008A4A41"/>
    <w:rsid w:val="008A4C4F"/>
    <w:rsid w:val="008A4FF1"/>
    <w:rsid w:val="008A54F2"/>
    <w:rsid w:val="008A566C"/>
    <w:rsid w:val="008B0571"/>
    <w:rsid w:val="008B1B46"/>
    <w:rsid w:val="008B25CD"/>
    <w:rsid w:val="008B3A82"/>
    <w:rsid w:val="008B434B"/>
    <w:rsid w:val="008B43B3"/>
    <w:rsid w:val="008B4783"/>
    <w:rsid w:val="008B549A"/>
    <w:rsid w:val="008B7BCE"/>
    <w:rsid w:val="008C00ED"/>
    <w:rsid w:val="008C0EC9"/>
    <w:rsid w:val="008C3260"/>
    <w:rsid w:val="008C5A29"/>
    <w:rsid w:val="008C6508"/>
    <w:rsid w:val="008C65D6"/>
    <w:rsid w:val="008C79C6"/>
    <w:rsid w:val="008D03F8"/>
    <w:rsid w:val="008D059E"/>
    <w:rsid w:val="008D0857"/>
    <w:rsid w:val="008D0B26"/>
    <w:rsid w:val="008D0BCA"/>
    <w:rsid w:val="008D10F6"/>
    <w:rsid w:val="008D1336"/>
    <w:rsid w:val="008D16F7"/>
    <w:rsid w:val="008D1C9D"/>
    <w:rsid w:val="008D2673"/>
    <w:rsid w:val="008D4507"/>
    <w:rsid w:val="008D66F3"/>
    <w:rsid w:val="008D67AB"/>
    <w:rsid w:val="008D6E72"/>
    <w:rsid w:val="008D7AFF"/>
    <w:rsid w:val="008E036A"/>
    <w:rsid w:val="008E0492"/>
    <w:rsid w:val="008E0D34"/>
    <w:rsid w:val="008E25DC"/>
    <w:rsid w:val="008E2CEA"/>
    <w:rsid w:val="008E330E"/>
    <w:rsid w:val="008E3B6E"/>
    <w:rsid w:val="008E4FB2"/>
    <w:rsid w:val="008E5397"/>
    <w:rsid w:val="008E7283"/>
    <w:rsid w:val="008E7B8A"/>
    <w:rsid w:val="008F066A"/>
    <w:rsid w:val="008F0EB2"/>
    <w:rsid w:val="008F1879"/>
    <w:rsid w:val="008F2BF7"/>
    <w:rsid w:val="008F3969"/>
    <w:rsid w:val="008F3C8F"/>
    <w:rsid w:val="008F3F43"/>
    <w:rsid w:val="008F4188"/>
    <w:rsid w:val="008F4574"/>
    <w:rsid w:val="008F4670"/>
    <w:rsid w:val="008F5DE2"/>
    <w:rsid w:val="008F609C"/>
    <w:rsid w:val="008F616D"/>
    <w:rsid w:val="008F652D"/>
    <w:rsid w:val="008F6C77"/>
    <w:rsid w:val="0090036B"/>
    <w:rsid w:val="009004B3"/>
    <w:rsid w:val="00901448"/>
    <w:rsid w:val="00903325"/>
    <w:rsid w:val="009048FC"/>
    <w:rsid w:val="0090520B"/>
    <w:rsid w:val="00905CEA"/>
    <w:rsid w:val="0090726C"/>
    <w:rsid w:val="009075F1"/>
    <w:rsid w:val="009113FD"/>
    <w:rsid w:val="009116B3"/>
    <w:rsid w:val="00911DA8"/>
    <w:rsid w:val="009134DC"/>
    <w:rsid w:val="0091372E"/>
    <w:rsid w:val="0091397B"/>
    <w:rsid w:val="00914223"/>
    <w:rsid w:val="00914936"/>
    <w:rsid w:val="00914BF4"/>
    <w:rsid w:val="0091528F"/>
    <w:rsid w:val="00915936"/>
    <w:rsid w:val="009160E0"/>
    <w:rsid w:val="00916CBE"/>
    <w:rsid w:val="00917CB8"/>
    <w:rsid w:val="00920CF3"/>
    <w:rsid w:val="009228AB"/>
    <w:rsid w:val="00922F8D"/>
    <w:rsid w:val="009231C7"/>
    <w:rsid w:val="00924E54"/>
    <w:rsid w:val="009262A9"/>
    <w:rsid w:val="00926960"/>
    <w:rsid w:val="00926EB5"/>
    <w:rsid w:val="00926F2E"/>
    <w:rsid w:val="00930433"/>
    <w:rsid w:val="009309A8"/>
    <w:rsid w:val="00933748"/>
    <w:rsid w:val="00933D6E"/>
    <w:rsid w:val="009345CD"/>
    <w:rsid w:val="00935D1C"/>
    <w:rsid w:val="00936750"/>
    <w:rsid w:val="00937D90"/>
    <w:rsid w:val="00940212"/>
    <w:rsid w:val="009410BA"/>
    <w:rsid w:val="0094163A"/>
    <w:rsid w:val="00941C0D"/>
    <w:rsid w:val="00942046"/>
    <w:rsid w:val="00942D20"/>
    <w:rsid w:val="00942F92"/>
    <w:rsid w:val="00943A67"/>
    <w:rsid w:val="00945F89"/>
    <w:rsid w:val="009461AD"/>
    <w:rsid w:val="00946B6F"/>
    <w:rsid w:val="00947BBC"/>
    <w:rsid w:val="00951087"/>
    <w:rsid w:val="00951EE3"/>
    <w:rsid w:val="009547D0"/>
    <w:rsid w:val="00955D92"/>
    <w:rsid w:val="00956C03"/>
    <w:rsid w:val="0095744D"/>
    <w:rsid w:val="009579A5"/>
    <w:rsid w:val="0096015D"/>
    <w:rsid w:val="00960E7A"/>
    <w:rsid w:val="00960FD9"/>
    <w:rsid w:val="00961318"/>
    <w:rsid w:val="00962642"/>
    <w:rsid w:val="00962B0C"/>
    <w:rsid w:val="00963006"/>
    <w:rsid w:val="0096305B"/>
    <w:rsid w:val="0096336F"/>
    <w:rsid w:val="00963BB2"/>
    <w:rsid w:val="009644E0"/>
    <w:rsid w:val="009651E4"/>
    <w:rsid w:val="0096555B"/>
    <w:rsid w:val="00966F83"/>
    <w:rsid w:val="00967925"/>
    <w:rsid w:val="00967F42"/>
    <w:rsid w:val="0097063C"/>
    <w:rsid w:val="00970A74"/>
    <w:rsid w:val="00971062"/>
    <w:rsid w:val="00971AD9"/>
    <w:rsid w:val="009724EC"/>
    <w:rsid w:val="009733EF"/>
    <w:rsid w:val="00974EA9"/>
    <w:rsid w:val="00975B6A"/>
    <w:rsid w:val="0097708E"/>
    <w:rsid w:val="00977146"/>
    <w:rsid w:val="00977B6E"/>
    <w:rsid w:val="00977C2F"/>
    <w:rsid w:val="009806A2"/>
    <w:rsid w:val="00980D13"/>
    <w:rsid w:val="00980DAB"/>
    <w:rsid w:val="00983FEA"/>
    <w:rsid w:val="00985056"/>
    <w:rsid w:val="009852BD"/>
    <w:rsid w:val="0098552C"/>
    <w:rsid w:val="00985AA9"/>
    <w:rsid w:val="00985FB9"/>
    <w:rsid w:val="009867A5"/>
    <w:rsid w:val="00987D29"/>
    <w:rsid w:val="00990BD4"/>
    <w:rsid w:val="009914A7"/>
    <w:rsid w:val="009914C8"/>
    <w:rsid w:val="009917B1"/>
    <w:rsid w:val="00991D3F"/>
    <w:rsid w:val="00992DE0"/>
    <w:rsid w:val="009938ED"/>
    <w:rsid w:val="00994F1C"/>
    <w:rsid w:val="0099600D"/>
    <w:rsid w:val="00996130"/>
    <w:rsid w:val="00996CDA"/>
    <w:rsid w:val="009970D7"/>
    <w:rsid w:val="00997A53"/>
    <w:rsid w:val="00997EF1"/>
    <w:rsid w:val="009A3251"/>
    <w:rsid w:val="009A3A7A"/>
    <w:rsid w:val="009A483C"/>
    <w:rsid w:val="009A54FF"/>
    <w:rsid w:val="009A5B6C"/>
    <w:rsid w:val="009A5F2E"/>
    <w:rsid w:val="009A6F46"/>
    <w:rsid w:val="009B198F"/>
    <w:rsid w:val="009B2647"/>
    <w:rsid w:val="009B40D7"/>
    <w:rsid w:val="009B4157"/>
    <w:rsid w:val="009B4F24"/>
    <w:rsid w:val="009B62B5"/>
    <w:rsid w:val="009B75DF"/>
    <w:rsid w:val="009B7A83"/>
    <w:rsid w:val="009C20E8"/>
    <w:rsid w:val="009C21EA"/>
    <w:rsid w:val="009C29B4"/>
    <w:rsid w:val="009C2D48"/>
    <w:rsid w:val="009C355B"/>
    <w:rsid w:val="009C3801"/>
    <w:rsid w:val="009C3F66"/>
    <w:rsid w:val="009C406F"/>
    <w:rsid w:val="009C52A6"/>
    <w:rsid w:val="009C5541"/>
    <w:rsid w:val="009C575B"/>
    <w:rsid w:val="009C5A5B"/>
    <w:rsid w:val="009C5EF7"/>
    <w:rsid w:val="009C664C"/>
    <w:rsid w:val="009C6BB9"/>
    <w:rsid w:val="009D1951"/>
    <w:rsid w:val="009D20AB"/>
    <w:rsid w:val="009D3106"/>
    <w:rsid w:val="009D31B7"/>
    <w:rsid w:val="009D32C9"/>
    <w:rsid w:val="009D5424"/>
    <w:rsid w:val="009D5493"/>
    <w:rsid w:val="009D74C8"/>
    <w:rsid w:val="009D7FF8"/>
    <w:rsid w:val="009E0DBC"/>
    <w:rsid w:val="009E1599"/>
    <w:rsid w:val="009E1677"/>
    <w:rsid w:val="009E1D9C"/>
    <w:rsid w:val="009E2F86"/>
    <w:rsid w:val="009E3430"/>
    <w:rsid w:val="009E57CA"/>
    <w:rsid w:val="009F0156"/>
    <w:rsid w:val="009F05E5"/>
    <w:rsid w:val="009F14A7"/>
    <w:rsid w:val="009F1D79"/>
    <w:rsid w:val="009F258B"/>
    <w:rsid w:val="009F33E7"/>
    <w:rsid w:val="009F3B19"/>
    <w:rsid w:val="009F3B7D"/>
    <w:rsid w:val="009F41BD"/>
    <w:rsid w:val="009F580D"/>
    <w:rsid w:val="009F5BDF"/>
    <w:rsid w:val="009F5F74"/>
    <w:rsid w:val="009F60A3"/>
    <w:rsid w:val="00A02A3E"/>
    <w:rsid w:val="00A02A89"/>
    <w:rsid w:val="00A03285"/>
    <w:rsid w:val="00A0343D"/>
    <w:rsid w:val="00A03936"/>
    <w:rsid w:val="00A0489E"/>
    <w:rsid w:val="00A05363"/>
    <w:rsid w:val="00A0603B"/>
    <w:rsid w:val="00A06664"/>
    <w:rsid w:val="00A06750"/>
    <w:rsid w:val="00A0776B"/>
    <w:rsid w:val="00A07E36"/>
    <w:rsid w:val="00A07E81"/>
    <w:rsid w:val="00A10635"/>
    <w:rsid w:val="00A10AAC"/>
    <w:rsid w:val="00A10F57"/>
    <w:rsid w:val="00A1147B"/>
    <w:rsid w:val="00A1151F"/>
    <w:rsid w:val="00A11CB2"/>
    <w:rsid w:val="00A12209"/>
    <w:rsid w:val="00A129EC"/>
    <w:rsid w:val="00A133E9"/>
    <w:rsid w:val="00A1385C"/>
    <w:rsid w:val="00A14743"/>
    <w:rsid w:val="00A14E73"/>
    <w:rsid w:val="00A154FE"/>
    <w:rsid w:val="00A15AA9"/>
    <w:rsid w:val="00A15C0C"/>
    <w:rsid w:val="00A1685B"/>
    <w:rsid w:val="00A1708B"/>
    <w:rsid w:val="00A176B0"/>
    <w:rsid w:val="00A220C5"/>
    <w:rsid w:val="00A22BE0"/>
    <w:rsid w:val="00A22DF4"/>
    <w:rsid w:val="00A23BF8"/>
    <w:rsid w:val="00A24A78"/>
    <w:rsid w:val="00A25674"/>
    <w:rsid w:val="00A27115"/>
    <w:rsid w:val="00A271B4"/>
    <w:rsid w:val="00A27CEA"/>
    <w:rsid w:val="00A30FCC"/>
    <w:rsid w:val="00A31241"/>
    <w:rsid w:val="00A312AB"/>
    <w:rsid w:val="00A323E9"/>
    <w:rsid w:val="00A327E6"/>
    <w:rsid w:val="00A33354"/>
    <w:rsid w:val="00A33A02"/>
    <w:rsid w:val="00A34805"/>
    <w:rsid w:val="00A34F94"/>
    <w:rsid w:val="00A3567E"/>
    <w:rsid w:val="00A368B1"/>
    <w:rsid w:val="00A36DF3"/>
    <w:rsid w:val="00A40960"/>
    <w:rsid w:val="00A4133A"/>
    <w:rsid w:val="00A4171F"/>
    <w:rsid w:val="00A41742"/>
    <w:rsid w:val="00A42715"/>
    <w:rsid w:val="00A431EF"/>
    <w:rsid w:val="00A43C5C"/>
    <w:rsid w:val="00A43C76"/>
    <w:rsid w:val="00A44BF3"/>
    <w:rsid w:val="00A45236"/>
    <w:rsid w:val="00A45CC9"/>
    <w:rsid w:val="00A46DCF"/>
    <w:rsid w:val="00A507AA"/>
    <w:rsid w:val="00A50B08"/>
    <w:rsid w:val="00A50E74"/>
    <w:rsid w:val="00A5107C"/>
    <w:rsid w:val="00A52825"/>
    <w:rsid w:val="00A532DD"/>
    <w:rsid w:val="00A545C4"/>
    <w:rsid w:val="00A54C4C"/>
    <w:rsid w:val="00A553A9"/>
    <w:rsid w:val="00A55923"/>
    <w:rsid w:val="00A55C99"/>
    <w:rsid w:val="00A564C2"/>
    <w:rsid w:val="00A56702"/>
    <w:rsid w:val="00A56712"/>
    <w:rsid w:val="00A56718"/>
    <w:rsid w:val="00A567D2"/>
    <w:rsid w:val="00A56C7A"/>
    <w:rsid w:val="00A571C6"/>
    <w:rsid w:val="00A613D1"/>
    <w:rsid w:val="00A6237B"/>
    <w:rsid w:val="00A6586D"/>
    <w:rsid w:val="00A66A04"/>
    <w:rsid w:val="00A66F84"/>
    <w:rsid w:val="00A6731A"/>
    <w:rsid w:val="00A6793C"/>
    <w:rsid w:val="00A70041"/>
    <w:rsid w:val="00A707AF"/>
    <w:rsid w:val="00A723AD"/>
    <w:rsid w:val="00A754EB"/>
    <w:rsid w:val="00A75BB1"/>
    <w:rsid w:val="00A77217"/>
    <w:rsid w:val="00A7726B"/>
    <w:rsid w:val="00A776F6"/>
    <w:rsid w:val="00A80AF5"/>
    <w:rsid w:val="00A80BCF"/>
    <w:rsid w:val="00A81DEF"/>
    <w:rsid w:val="00A821ED"/>
    <w:rsid w:val="00A82D9E"/>
    <w:rsid w:val="00A8304D"/>
    <w:rsid w:val="00A83762"/>
    <w:rsid w:val="00A83A7A"/>
    <w:rsid w:val="00A84D9D"/>
    <w:rsid w:val="00A856E6"/>
    <w:rsid w:val="00A86EAB"/>
    <w:rsid w:val="00A86F60"/>
    <w:rsid w:val="00A87A6D"/>
    <w:rsid w:val="00A90292"/>
    <w:rsid w:val="00A929B9"/>
    <w:rsid w:val="00A935C0"/>
    <w:rsid w:val="00A93E1A"/>
    <w:rsid w:val="00A94E4D"/>
    <w:rsid w:val="00AA0A7C"/>
    <w:rsid w:val="00AA0DA7"/>
    <w:rsid w:val="00AA27FD"/>
    <w:rsid w:val="00AA2A04"/>
    <w:rsid w:val="00AA43D6"/>
    <w:rsid w:val="00AA4492"/>
    <w:rsid w:val="00AA4779"/>
    <w:rsid w:val="00AA494B"/>
    <w:rsid w:val="00AA4E02"/>
    <w:rsid w:val="00AA6546"/>
    <w:rsid w:val="00AA71A6"/>
    <w:rsid w:val="00AA7F40"/>
    <w:rsid w:val="00AB0DF3"/>
    <w:rsid w:val="00AB10CA"/>
    <w:rsid w:val="00AB225E"/>
    <w:rsid w:val="00AB27A0"/>
    <w:rsid w:val="00AB2826"/>
    <w:rsid w:val="00AB302F"/>
    <w:rsid w:val="00AB3BAF"/>
    <w:rsid w:val="00AB64FF"/>
    <w:rsid w:val="00AB6B64"/>
    <w:rsid w:val="00AB6EBD"/>
    <w:rsid w:val="00AC2087"/>
    <w:rsid w:val="00AC214A"/>
    <w:rsid w:val="00AC2533"/>
    <w:rsid w:val="00AC3A15"/>
    <w:rsid w:val="00AC4B08"/>
    <w:rsid w:val="00AC5531"/>
    <w:rsid w:val="00AC6B59"/>
    <w:rsid w:val="00AD0392"/>
    <w:rsid w:val="00AD044E"/>
    <w:rsid w:val="00AD070A"/>
    <w:rsid w:val="00AD1963"/>
    <w:rsid w:val="00AD2ABA"/>
    <w:rsid w:val="00AD30C3"/>
    <w:rsid w:val="00AD3352"/>
    <w:rsid w:val="00AD46F0"/>
    <w:rsid w:val="00AD53DF"/>
    <w:rsid w:val="00AD6210"/>
    <w:rsid w:val="00AD650A"/>
    <w:rsid w:val="00AE139B"/>
    <w:rsid w:val="00AE2FD3"/>
    <w:rsid w:val="00AE30D8"/>
    <w:rsid w:val="00AE3D7F"/>
    <w:rsid w:val="00AE4DE6"/>
    <w:rsid w:val="00AE52C8"/>
    <w:rsid w:val="00AE60F5"/>
    <w:rsid w:val="00AE65E9"/>
    <w:rsid w:val="00AF0205"/>
    <w:rsid w:val="00AF072C"/>
    <w:rsid w:val="00AF15EA"/>
    <w:rsid w:val="00AF2E84"/>
    <w:rsid w:val="00AF380D"/>
    <w:rsid w:val="00AF3BCE"/>
    <w:rsid w:val="00AF3F53"/>
    <w:rsid w:val="00AF58D1"/>
    <w:rsid w:val="00AF7576"/>
    <w:rsid w:val="00B00C76"/>
    <w:rsid w:val="00B011D5"/>
    <w:rsid w:val="00B02848"/>
    <w:rsid w:val="00B03417"/>
    <w:rsid w:val="00B03AA8"/>
    <w:rsid w:val="00B03BDD"/>
    <w:rsid w:val="00B05A08"/>
    <w:rsid w:val="00B05F75"/>
    <w:rsid w:val="00B062D0"/>
    <w:rsid w:val="00B06597"/>
    <w:rsid w:val="00B069DD"/>
    <w:rsid w:val="00B06B51"/>
    <w:rsid w:val="00B06D81"/>
    <w:rsid w:val="00B07B0C"/>
    <w:rsid w:val="00B10746"/>
    <w:rsid w:val="00B10FE5"/>
    <w:rsid w:val="00B1126D"/>
    <w:rsid w:val="00B11300"/>
    <w:rsid w:val="00B130E0"/>
    <w:rsid w:val="00B13F7F"/>
    <w:rsid w:val="00B14D9E"/>
    <w:rsid w:val="00B15AAF"/>
    <w:rsid w:val="00B17433"/>
    <w:rsid w:val="00B1744A"/>
    <w:rsid w:val="00B175C9"/>
    <w:rsid w:val="00B20D00"/>
    <w:rsid w:val="00B210A1"/>
    <w:rsid w:val="00B21156"/>
    <w:rsid w:val="00B2173C"/>
    <w:rsid w:val="00B21FAD"/>
    <w:rsid w:val="00B23AFD"/>
    <w:rsid w:val="00B23BA1"/>
    <w:rsid w:val="00B23DA3"/>
    <w:rsid w:val="00B24E66"/>
    <w:rsid w:val="00B24FD4"/>
    <w:rsid w:val="00B2584A"/>
    <w:rsid w:val="00B26020"/>
    <w:rsid w:val="00B26DA2"/>
    <w:rsid w:val="00B26F7D"/>
    <w:rsid w:val="00B27833"/>
    <w:rsid w:val="00B27F1D"/>
    <w:rsid w:val="00B30E77"/>
    <w:rsid w:val="00B32362"/>
    <w:rsid w:val="00B324FA"/>
    <w:rsid w:val="00B3336D"/>
    <w:rsid w:val="00B3555A"/>
    <w:rsid w:val="00B36237"/>
    <w:rsid w:val="00B36843"/>
    <w:rsid w:val="00B36B76"/>
    <w:rsid w:val="00B36D11"/>
    <w:rsid w:val="00B37102"/>
    <w:rsid w:val="00B372D1"/>
    <w:rsid w:val="00B37D0F"/>
    <w:rsid w:val="00B40AF1"/>
    <w:rsid w:val="00B42EE4"/>
    <w:rsid w:val="00B4337C"/>
    <w:rsid w:val="00B4351F"/>
    <w:rsid w:val="00B43D3F"/>
    <w:rsid w:val="00B44807"/>
    <w:rsid w:val="00B459A6"/>
    <w:rsid w:val="00B460E9"/>
    <w:rsid w:val="00B475E9"/>
    <w:rsid w:val="00B478D0"/>
    <w:rsid w:val="00B50B18"/>
    <w:rsid w:val="00B50D14"/>
    <w:rsid w:val="00B516CE"/>
    <w:rsid w:val="00B553D6"/>
    <w:rsid w:val="00B55715"/>
    <w:rsid w:val="00B5581C"/>
    <w:rsid w:val="00B55843"/>
    <w:rsid w:val="00B55B5A"/>
    <w:rsid w:val="00B56945"/>
    <w:rsid w:val="00B576A5"/>
    <w:rsid w:val="00B608EC"/>
    <w:rsid w:val="00B60A07"/>
    <w:rsid w:val="00B623FE"/>
    <w:rsid w:val="00B637A2"/>
    <w:rsid w:val="00B63AEE"/>
    <w:rsid w:val="00B649FC"/>
    <w:rsid w:val="00B672D8"/>
    <w:rsid w:val="00B70533"/>
    <w:rsid w:val="00B7056C"/>
    <w:rsid w:val="00B719D4"/>
    <w:rsid w:val="00B73BB1"/>
    <w:rsid w:val="00B746B3"/>
    <w:rsid w:val="00B7492C"/>
    <w:rsid w:val="00B751EF"/>
    <w:rsid w:val="00B76A68"/>
    <w:rsid w:val="00B7788D"/>
    <w:rsid w:val="00B80AFE"/>
    <w:rsid w:val="00B82609"/>
    <w:rsid w:val="00B82C58"/>
    <w:rsid w:val="00B83206"/>
    <w:rsid w:val="00B83707"/>
    <w:rsid w:val="00B83D07"/>
    <w:rsid w:val="00B865EE"/>
    <w:rsid w:val="00B87FEA"/>
    <w:rsid w:val="00B90226"/>
    <w:rsid w:val="00B90CC9"/>
    <w:rsid w:val="00B9106D"/>
    <w:rsid w:val="00B9129B"/>
    <w:rsid w:val="00B9187F"/>
    <w:rsid w:val="00B927A0"/>
    <w:rsid w:val="00B93022"/>
    <w:rsid w:val="00B93446"/>
    <w:rsid w:val="00B934FD"/>
    <w:rsid w:val="00B949F2"/>
    <w:rsid w:val="00B94CDC"/>
    <w:rsid w:val="00B96FDA"/>
    <w:rsid w:val="00BA05F1"/>
    <w:rsid w:val="00BA329A"/>
    <w:rsid w:val="00BA3AF7"/>
    <w:rsid w:val="00BA4001"/>
    <w:rsid w:val="00BA5B86"/>
    <w:rsid w:val="00BA5DF5"/>
    <w:rsid w:val="00BA5EA1"/>
    <w:rsid w:val="00BA5EBC"/>
    <w:rsid w:val="00BA628A"/>
    <w:rsid w:val="00BA65CB"/>
    <w:rsid w:val="00BB012A"/>
    <w:rsid w:val="00BB0A79"/>
    <w:rsid w:val="00BB3232"/>
    <w:rsid w:val="00BB43C8"/>
    <w:rsid w:val="00BC2756"/>
    <w:rsid w:val="00BC2A03"/>
    <w:rsid w:val="00BC3058"/>
    <w:rsid w:val="00BC43CD"/>
    <w:rsid w:val="00BC54E9"/>
    <w:rsid w:val="00BC6886"/>
    <w:rsid w:val="00BD04A2"/>
    <w:rsid w:val="00BD053B"/>
    <w:rsid w:val="00BD1C3B"/>
    <w:rsid w:val="00BD2166"/>
    <w:rsid w:val="00BD453D"/>
    <w:rsid w:val="00BD53F3"/>
    <w:rsid w:val="00BD5578"/>
    <w:rsid w:val="00BD5625"/>
    <w:rsid w:val="00BD5AA2"/>
    <w:rsid w:val="00BD61A2"/>
    <w:rsid w:val="00BD671E"/>
    <w:rsid w:val="00BD6806"/>
    <w:rsid w:val="00BD6E26"/>
    <w:rsid w:val="00BD6FFD"/>
    <w:rsid w:val="00BD79C9"/>
    <w:rsid w:val="00BD7C1B"/>
    <w:rsid w:val="00BE06F5"/>
    <w:rsid w:val="00BE0C02"/>
    <w:rsid w:val="00BE2FA1"/>
    <w:rsid w:val="00BE40A5"/>
    <w:rsid w:val="00BE453E"/>
    <w:rsid w:val="00BE484D"/>
    <w:rsid w:val="00BE4996"/>
    <w:rsid w:val="00BE4AC2"/>
    <w:rsid w:val="00BE5020"/>
    <w:rsid w:val="00BE5A99"/>
    <w:rsid w:val="00BE5EFB"/>
    <w:rsid w:val="00BE60B3"/>
    <w:rsid w:val="00BE632F"/>
    <w:rsid w:val="00BE69E0"/>
    <w:rsid w:val="00BF002B"/>
    <w:rsid w:val="00BF0EE6"/>
    <w:rsid w:val="00BF1150"/>
    <w:rsid w:val="00BF136D"/>
    <w:rsid w:val="00BF3B5D"/>
    <w:rsid w:val="00BF3F51"/>
    <w:rsid w:val="00BF4201"/>
    <w:rsid w:val="00C01CF7"/>
    <w:rsid w:val="00C02E3E"/>
    <w:rsid w:val="00C04908"/>
    <w:rsid w:val="00C0603C"/>
    <w:rsid w:val="00C10065"/>
    <w:rsid w:val="00C108C5"/>
    <w:rsid w:val="00C12047"/>
    <w:rsid w:val="00C129C1"/>
    <w:rsid w:val="00C12AF7"/>
    <w:rsid w:val="00C14B38"/>
    <w:rsid w:val="00C15441"/>
    <w:rsid w:val="00C1581E"/>
    <w:rsid w:val="00C15DAD"/>
    <w:rsid w:val="00C15FB8"/>
    <w:rsid w:val="00C16825"/>
    <w:rsid w:val="00C17D6E"/>
    <w:rsid w:val="00C17DB6"/>
    <w:rsid w:val="00C2489F"/>
    <w:rsid w:val="00C25206"/>
    <w:rsid w:val="00C25EA2"/>
    <w:rsid w:val="00C31846"/>
    <w:rsid w:val="00C33D6D"/>
    <w:rsid w:val="00C34001"/>
    <w:rsid w:val="00C3491D"/>
    <w:rsid w:val="00C35599"/>
    <w:rsid w:val="00C366E7"/>
    <w:rsid w:val="00C36A83"/>
    <w:rsid w:val="00C36C94"/>
    <w:rsid w:val="00C37E05"/>
    <w:rsid w:val="00C4142D"/>
    <w:rsid w:val="00C41A33"/>
    <w:rsid w:val="00C42A43"/>
    <w:rsid w:val="00C42E02"/>
    <w:rsid w:val="00C435A5"/>
    <w:rsid w:val="00C44F11"/>
    <w:rsid w:val="00C45B1F"/>
    <w:rsid w:val="00C47CBA"/>
    <w:rsid w:val="00C47F2C"/>
    <w:rsid w:val="00C50405"/>
    <w:rsid w:val="00C504E4"/>
    <w:rsid w:val="00C507FD"/>
    <w:rsid w:val="00C508E8"/>
    <w:rsid w:val="00C51008"/>
    <w:rsid w:val="00C51152"/>
    <w:rsid w:val="00C51DC3"/>
    <w:rsid w:val="00C53229"/>
    <w:rsid w:val="00C53283"/>
    <w:rsid w:val="00C55D29"/>
    <w:rsid w:val="00C563FB"/>
    <w:rsid w:val="00C56848"/>
    <w:rsid w:val="00C56A03"/>
    <w:rsid w:val="00C56D78"/>
    <w:rsid w:val="00C6001C"/>
    <w:rsid w:val="00C62E74"/>
    <w:rsid w:val="00C6344B"/>
    <w:rsid w:val="00C6365A"/>
    <w:rsid w:val="00C639C9"/>
    <w:rsid w:val="00C63A06"/>
    <w:rsid w:val="00C640CA"/>
    <w:rsid w:val="00C65D2C"/>
    <w:rsid w:val="00C67DEF"/>
    <w:rsid w:val="00C7171B"/>
    <w:rsid w:val="00C722D5"/>
    <w:rsid w:val="00C72CE3"/>
    <w:rsid w:val="00C7432A"/>
    <w:rsid w:val="00C75B03"/>
    <w:rsid w:val="00C762F2"/>
    <w:rsid w:val="00C76946"/>
    <w:rsid w:val="00C7709E"/>
    <w:rsid w:val="00C77415"/>
    <w:rsid w:val="00C7758B"/>
    <w:rsid w:val="00C808DD"/>
    <w:rsid w:val="00C8656B"/>
    <w:rsid w:val="00C868E5"/>
    <w:rsid w:val="00C86BC3"/>
    <w:rsid w:val="00C875AC"/>
    <w:rsid w:val="00C902D4"/>
    <w:rsid w:val="00C90618"/>
    <w:rsid w:val="00C91B3D"/>
    <w:rsid w:val="00C937FB"/>
    <w:rsid w:val="00C94832"/>
    <w:rsid w:val="00C94950"/>
    <w:rsid w:val="00C95D81"/>
    <w:rsid w:val="00C960D6"/>
    <w:rsid w:val="00C96958"/>
    <w:rsid w:val="00CA0720"/>
    <w:rsid w:val="00CA09A3"/>
    <w:rsid w:val="00CA0A94"/>
    <w:rsid w:val="00CA266A"/>
    <w:rsid w:val="00CA2810"/>
    <w:rsid w:val="00CA28BE"/>
    <w:rsid w:val="00CA3640"/>
    <w:rsid w:val="00CA3DDB"/>
    <w:rsid w:val="00CA5383"/>
    <w:rsid w:val="00CA659A"/>
    <w:rsid w:val="00CA6B12"/>
    <w:rsid w:val="00CA788B"/>
    <w:rsid w:val="00CA7E19"/>
    <w:rsid w:val="00CB0F46"/>
    <w:rsid w:val="00CB17B5"/>
    <w:rsid w:val="00CB2F93"/>
    <w:rsid w:val="00CB31F3"/>
    <w:rsid w:val="00CB34A5"/>
    <w:rsid w:val="00CB483F"/>
    <w:rsid w:val="00CB5E0E"/>
    <w:rsid w:val="00CB60E3"/>
    <w:rsid w:val="00CB7031"/>
    <w:rsid w:val="00CB7797"/>
    <w:rsid w:val="00CB78F4"/>
    <w:rsid w:val="00CC032A"/>
    <w:rsid w:val="00CC0988"/>
    <w:rsid w:val="00CC3237"/>
    <w:rsid w:val="00CC336A"/>
    <w:rsid w:val="00CC4AFB"/>
    <w:rsid w:val="00CC5E0C"/>
    <w:rsid w:val="00CC6AE7"/>
    <w:rsid w:val="00CC7516"/>
    <w:rsid w:val="00CC7668"/>
    <w:rsid w:val="00CD31D7"/>
    <w:rsid w:val="00CD3B0E"/>
    <w:rsid w:val="00CD4824"/>
    <w:rsid w:val="00CD496A"/>
    <w:rsid w:val="00CD5200"/>
    <w:rsid w:val="00CD5343"/>
    <w:rsid w:val="00CD6FE4"/>
    <w:rsid w:val="00CD7B0D"/>
    <w:rsid w:val="00CD7B95"/>
    <w:rsid w:val="00CE0954"/>
    <w:rsid w:val="00CE3207"/>
    <w:rsid w:val="00CE3E65"/>
    <w:rsid w:val="00CE4561"/>
    <w:rsid w:val="00CE48BC"/>
    <w:rsid w:val="00CE5617"/>
    <w:rsid w:val="00CE66A4"/>
    <w:rsid w:val="00CE6B8E"/>
    <w:rsid w:val="00CE78C3"/>
    <w:rsid w:val="00CF0D0E"/>
    <w:rsid w:val="00CF19A4"/>
    <w:rsid w:val="00CF1B9D"/>
    <w:rsid w:val="00CF2270"/>
    <w:rsid w:val="00CF23C9"/>
    <w:rsid w:val="00CF2953"/>
    <w:rsid w:val="00CF5BAC"/>
    <w:rsid w:val="00CF630F"/>
    <w:rsid w:val="00CF63FA"/>
    <w:rsid w:val="00CF785C"/>
    <w:rsid w:val="00D00C39"/>
    <w:rsid w:val="00D00FF3"/>
    <w:rsid w:val="00D01D31"/>
    <w:rsid w:val="00D02D7F"/>
    <w:rsid w:val="00D035E1"/>
    <w:rsid w:val="00D036C0"/>
    <w:rsid w:val="00D03D86"/>
    <w:rsid w:val="00D0479D"/>
    <w:rsid w:val="00D05310"/>
    <w:rsid w:val="00D05860"/>
    <w:rsid w:val="00D05AF7"/>
    <w:rsid w:val="00D05F80"/>
    <w:rsid w:val="00D0639D"/>
    <w:rsid w:val="00D06725"/>
    <w:rsid w:val="00D07833"/>
    <w:rsid w:val="00D07F0A"/>
    <w:rsid w:val="00D117CF"/>
    <w:rsid w:val="00D12321"/>
    <w:rsid w:val="00D1332D"/>
    <w:rsid w:val="00D14865"/>
    <w:rsid w:val="00D14CC0"/>
    <w:rsid w:val="00D15443"/>
    <w:rsid w:val="00D16600"/>
    <w:rsid w:val="00D17C84"/>
    <w:rsid w:val="00D205B8"/>
    <w:rsid w:val="00D2063B"/>
    <w:rsid w:val="00D20AAB"/>
    <w:rsid w:val="00D20CDF"/>
    <w:rsid w:val="00D2124A"/>
    <w:rsid w:val="00D223DC"/>
    <w:rsid w:val="00D2364C"/>
    <w:rsid w:val="00D25A55"/>
    <w:rsid w:val="00D25C9D"/>
    <w:rsid w:val="00D2687C"/>
    <w:rsid w:val="00D26B7C"/>
    <w:rsid w:val="00D27609"/>
    <w:rsid w:val="00D27ECD"/>
    <w:rsid w:val="00D303EE"/>
    <w:rsid w:val="00D31B88"/>
    <w:rsid w:val="00D31BD5"/>
    <w:rsid w:val="00D32BD1"/>
    <w:rsid w:val="00D32C68"/>
    <w:rsid w:val="00D33704"/>
    <w:rsid w:val="00D34626"/>
    <w:rsid w:val="00D3484D"/>
    <w:rsid w:val="00D35DAE"/>
    <w:rsid w:val="00D37388"/>
    <w:rsid w:val="00D40B87"/>
    <w:rsid w:val="00D4217E"/>
    <w:rsid w:val="00D4257A"/>
    <w:rsid w:val="00D4333D"/>
    <w:rsid w:val="00D440D1"/>
    <w:rsid w:val="00D444A7"/>
    <w:rsid w:val="00D45C94"/>
    <w:rsid w:val="00D46317"/>
    <w:rsid w:val="00D47881"/>
    <w:rsid w:val="00D53B6A"/>
    <w:rsid w:val="00D5499B"/>
    <w:rsid w:val="00D5553F"/>
    <w:rsid w:val="00D55CBC"/>
    <w:rsid w:val="00D604CA"/>
    <w:rsid w:val="00D60811"/>
    <w:rsid w:val="00D61C57"/>
    <w:rsid w:val="00D61E69"/>
    <w:rsid w:val="00D633FF"/>
    <w:rsid w:val="00D641E9"/>
    <w:rsid w:val="00D667BC"/>
    <w:rsid w:val="00D66FB4"/>
    <w:rsid w:val="00D67423"/>
    <w:rsid w:val="00D67A41"/>
    <w:rsid w:val="00D7025C"/>
    <w:rsid w:val="00D70BB0"/>
    <w:rsid w:val="00D719CC"/>
    <w:rsid w:val="00D71E73"/>
    <w:rsid w:val="00D727C4"/>
    <w:rsid w:val="00D72A5E"/>
    <w:rsid w:val="00D73222"/>
    <w:rsid w:val="00D7606D"/>
    <w:rsid w:val="00D760C5"/>
    <w:rsid w:val="00D763EB"/>
    <w:rsid w:val="00D76CAF"/>
    <w:rsid w:val="00D77861"/>
    <w:rsid w:val="00D8012C"/>
    <w:rsid w:val="00D80B12"/>
    <w:rsid w:val="00D81868"/>
    <w:rsid w:val="00D818F5"/>
    <w:rsid w:val="00D81C8B"/>
    <w:rsid w:val="00D82E6C"/>
    <w:rsid w:val="00D84BBC"/>
    <w:rsid w:val="00D85140"/>
    <w:rsid w:val="00D85494"/>
    <w:rsid w:val="00D855AD"/>
    <w:rsid w:val="00D85FF0"/>
    <w:rsid w:val="00D86DC1"/>
    <w:rsid w:val="00D8745F"/>
    <w:rsid w:val="00D87F86"/>
    <w:rsid w:val="00D90C46"/>
    <w:rsid w:val="00D91573"/>
    <w:rsid w:val="00D92F15"/>
    <w:rsid w:val="00D93D7C"/>
    <w:rsid w:val="00D943E9"/>
    <w:rsid w:val="00D94E7B"/>
    <w:rsid w:val="00D94E98"/>
    <w:rsid w:val="00D9559A"/>
    <w:rsid w:val="00D96788"/>
    <w:rsid w:val="00D968AB"/>
    <w:rsid w:val="00D96919"/>
    <w:rsid w:val="00D96CCE"/>
    <w:rsid w:val="00D9789E"/>
    <w:rsid w:val="00DA0573"/>
    <w:rsid w:val="00DA098E"/>
    <w:rsid w:val="00DA142F"/>
    <w:rsid w:val="00DA246E"/>
    <w:rsid w:val="00DA315E"/>
    <w:rsid w:val="00DA3E0D"/>
    <w:rsid w:val="00DA4605"/>
    <w:rsid w:val="00DA52FB"/>
    <w:rsid w:val="00DA5E79"/>
    <w:rsid w:val="00DA5E9B"/>
    <w:rsid w:val="00DA774D"/>
    <w:rsid w:val="00DA7781"/>
    <w:rsid w:val="00DA7945"/>
    <w:rsid w:val="00DB1737"/>
    <w:rsid w:val="00DB1A8F"/>
    <w:rsid w:val="00DB2294"/>
    <w:rsid w:val="00DB28CF"/>
    <w:rsid w:val="00DB3E95"/>
    <w:rsid w:val="00DB59CB"/>
    <w:rsid w:val="00DB6071"/>
    <w:rsid w:val="00DB6C8B"/>
    <w:rsid w:val="00DB77D4"/>
    <w:rsid w:val="00DC0CDE"/>
    <w:rsid w:val="00DC0EF8"/>
    <w:rsid w:val="00DC1400"/>
    <w:rsid w:val="00DC46C2"/>
    <w:rsid w:val="00DC55C9"/>
    <w:rsid w:val="00DC776F"/>
    <w:rsid w:val="00DD00CA"/>
    <w:rsid w:val="00DD01C7"/>
    <w:rsid w:val="00DD1D7F"/>
    <w:rsid w:val="00DD1DB6"/>
    <w:rsid w:val="00DD2A03"/>
    <w:rsid w:val="00DD2BBF"/>
    <w:rsid w:val="00DD4902"/>
    <w:rsid w:val="00DD4ED3"/>
    <w:rsid w:val="00DD5CFD"/>
    <w:rsid w:val="00DD7361"/>
    <w:rsid w:val="00DE0467"/>
    <w:rsid w:val="00DE3B53"/>
    <w:rsid w:val="00DE3FA8"/>
    <w:rsid w:val="00DE48D8"/>
    <w:rsid w:val="00DE5807"/>
    <w:rsid w:val="00DE5A22"/>
    <w:rsid w:val="00DE5DA6"/>
    <w:rsid w:val="00DE67B0"/>
    <w:rsid w:val="00DF07F0"/>
    <w:rsid w:val="00DF0817"/>
    <w:rsid w:val="00DF09CD"/>
    <w:rsid w:val="00DF0BCE"/>
    <w:rsid w:val="00DF1188"/>
    <w:rsid w:val="00DF1E25"/>
    <w:rsid w:val="00DF2389"/>
    <w:rsid w:val="00DF283C"/>
    <w:rsid w:val="00DF29F5"/>
    <w:rsid w:val="00DF2A2B"/>
    <w:rsid w:val="00DF2F73"/>
    <w:rsid w:val="00DF392C"/>
    <w:rsid w:val="00DF3BFD"/>
    <w:rsid w:val="00DF3CD3"/>
    <w:rsid w:val="00DF4626"/>
    <w:rsid w:val="00DF49BA"/>
    <w:rsid w:val="00DF619D"/>
    <w:rsid w:val="00DF67DD"/>
    <w:rsid w:val="00DF6909"/>
    <w:rsid w:val="00DF69B2"/>
    <w:rsid w:val="00DF736B"/>
    <w:rsid w:val="00DF7636"/>
    <w:rsid w:val="00E0072F"/>
    <w:rsid w:val="00E007C7"/>
    <w:rsid w:val="00E0152D"/>
    <w:rsid w:val="00E01E55"/>
    <w:rsid w:val="00E02D37"/>
    <w:rsid w:val="00E03566"/>
    <w:rsid w:val="00E043AE"/>
    <w:rsid w:val="00E05A0C"/>
    <w:rsid w:val="00E0624D"/>
    <w:rsid w:val="00E07C22"/>
    <w:rsid w:val="00E07E44"/>
    <w:rsid w:val="00E07F72"/>
    <w:rsid w:val="00E10A02"/>
    <w:rsid w:val="00E119B2"/>
    <w:rsid w:val="00E11D95"/>
    <w:rsid w:val="00E12735"/>
    <w:rsid w:val="00E136C1"/>
    <w:rsid w:val="00E13C91"/>
    <w:rsid w:val="00E13E23"/>
    <w:rsid w:val="00E143F0"/>
    <w:rsid w:val="00E14538"/>
    <w:rsid w:val="00E17010"/>
    <w:rsid w:val="00E20605"/>
    <w:rsid w:val="00E20959"/>
    <w:rsid w:val="00E22421"/>
    <w:rsid w:val="00E225DE"/>
    <w:rsid w:val="00E2380A"/>
    <w:rsid w:val="00E24539"/>
    <w:rsid w:val="00E249DB"/>
    <w:rsid w:val="00E2649A"/>
    <w:rsid w:val="00E26543"/>
    <w:rsid w:val="00E27939"/>
    <w:rsid w:val="00E27C1F"/>
    <w:rsid w:val="00E302E6"/>
    <w:rsid w:val="00E31F90"/>
    <w:rsid w:val="00E335FF"/>
    <w:rsid w:val="00E346FD"/>
    <w:rsid w:val="00E34768"/>
    <w:rsid w:val="00E359B3"/>
    <w:rsid w:val="00E3730A"/>
    <w:rsid w:val="00E37765"/>
    <w:rsid w:val="00E37978"/>
    <w:rsid w:val="00E379D0"/>
    <w:rsid w:val="00E379F0"/>
    <w:rsid w:val="00E421D1"/>
    <w:rsid w:val="00E42233"/>
    <w:rsid w:val="00E4232F"/>
    <w:rsid w:val="00E42A5E"/>
    <w:rsid w:val="00E436F5"/>
    <w:rsid w:val="00E437FF"/>
    <w:rsid w:val="00E439BF"/>
    <w:rsid w:val="00E43AC5"/>
    <w:rsid w:val="00E4438C"/>
    <w:rsid w:val="00E448E0"/>
    <w:rsid w:val="00E44F8B"/>
    <w:rsid w:val="00E457F3"/>
    <w:rsid w:val="00E46855"/>
    <w:rsid w:val="00E47BC4"/>
    <w:rsid w:val="00E51902"/>
    <w:rsid w:val="00E51C0A"/>
    <w:rsid w:val="00E52180"/>
    <w:rsid w:val="00E528AA"/>
    <w:rsid w:val="00E538EC"/>
    <w:rsid w:val="00E54E32"/>
    <w:rsid w:val="00E54F88"/>
    <w:rsid w:val="00E55886"/>
    <w:rsid w:val="00E55EDF"/>
    <w:rsid w:val="00E560BE"/>
    <w:rsid w:val="00E5721C"/>
    <w:rsid w:val="00E603C2"/>
    <w:rsid w:val="00E60A93"/>
    <w:rsid w:val="00E60CB6"/>
    <w:rsid w:val="00E614C2"/>
    <w:rsid w:val="00E63F53"/>
    <w:rsid w:val="00E65071"/>
    <w:rsid w:val="00E66AC6"/>
    <w:rsid w:val="00E66CDC"/>
    <w:rsid w:val="00E66DF4"/>
    <w:rsid w:val="00E67DF8"/>
    <w:rsid w:val="00E70245"/>
    <w:rsid w:val="00E70C0E"/>
    <w:rsid w:val="00E71D8F"/>
    <w:rsid w:val="00E727FC"/>
    <w:rsid w:val="00E74323"/>
    <w:rsid w:val="00E74F1F"/>
    <w:rsid w:val="00E75286"/>
    <w:rsid w:val="00E7772F"/>
    <w:rsid w:val="00E779E1"/>
    <w:rsid w:val="00E77C58"/>
    <w:rsid w:val="00E77CF3"/>
    <w:rsid w:val="00E77F1D"/>
    <w:rsid w:val="00E80409"/>
    <w:rsid w:val="00E81140"/>
    <w:rsid w:val="00E81DFC"/>
    <w:rsid w:val="00E829AB"/>
    <w:rsid w:val="00E83E7A"/>
    <w:rsid w:val="00E849ED"/>
    <w:rsid w:val="00E85255"/>
    <w:rsid w:val="00E860F1"/>
    <w:rsid w:val="00E86D21"/>
    <w:rsid w:val="00E9059F"/>
    <w:rsid w:val="00E91A50"/>
    <w:rsid w:val="00E9352E"/>
    <w:rsid w:val="00E9430A"/>
    <w:rsid w:val="00E943F8"/>
    <w:rsid w:val="00E94C77"/>
    <w:rsid w:val="00E9531F"/>
    <w:rsid w:val="00E95609"/>
    <w:rsid w:val="00E95DD7"/>
    <w:rsid w:val="00E96518"/>
    <w:rsid w:val="00EA11D2"/>
    <w:rsid w:val="00EA1479"/>
    <w:rsid w:val="00EA14A1"/>
    <w:rsid w:val="00EA2684"/>
    <w:rsid w:val="00EA287B"/>
    <w:rsid w:val="00EA2C74"/>
    <w:rsid w:val="00EA2CEE"/>
    <w:rsid w:val="00EA3AA1"/>
    <w:rsid w:val="00EA534A"/>
    <w:rsid w:val="00EA5660"/>
    <w:rsid w:val="00EA5E71"/>
    <w:rsid w:val="00EA5EF0"/>
    <w:rsid w:val="00EA6823"/>
    <w:rsid w:val="00EA6BD7"/>
    <w:rsid w:val="00EA6D41"/>
    <w:rsid w:val="00EA767C"/>
    <w:rsid w:val="00EB07F9"/>
    <w:rsid w:val="00EB08C3"/>
    <w:rsid w:val="00EB19FA"/>
    <w:rsid w:val="00EB225D"/>
    <w:rsid w:val="00EB2D4F"/>
    <w:rsid w:val="00EB349C"/>
    <w:rsid w:val="00EB372A"/>
    <w:rsid w:val="00EB3F46"/>
    <w:rsid w:val="00EB46BF"/>
    <w:rsid w:val="00EB62ED"/>
    <w:rsid w:val="00EB6D66"/>
    <w:rsid w:val="00EB75B3"/>
    <w:rsid w:val="00EB791E"/>
    <w:rsid w:val="00EB7B24"/>
    <w:rsid w:val="00EB7B54"/>
    <w:rsid w:val="00EB7E71"/>
    <w:rsid w:val="00EC037D"/>
    <w:rsid w:val="00EC14FA"/>
    <w:rsid w:val="00EC3CD9"/>
    <w:rsid w:val="00EC5EBE"/>
    <w:rsid w:val="00EC6045"/>
    <w:rsid w:val="00EC6E28"/>
    <w:rsid w:val="00EC76AD"/>
    <w:rsid w:val="00ED1612"/>
    <w:rsid w:val="00ED164D"/>
    <w:rsid w:val="00ED26A6"/>
    <w:rsid w:val="00ED33A1"/>
    <w:rsid w:val="00ED36A0"/>
    <w:rsid w:val="00ED6C69"/>
    <w:rsid w:val="00ED72AF"/>
    <w:rsid w:val="00ED763A"/>
    <w:rsid w:val="00ED7FC7"/>
    <w:rsid w:val="00EE0965"/>
    <w:rsid w:val="00EE0ABE"/>
    <w:rsid w:val="00EE0D99"/>
    <w:rsid w:val="00EE1D2C"/>
    <w:rsid w:val="00EE2B5C"/>
    <w:rsid w:val="00EE2BCD"/>
    <w:rsid w:val="00EE2F0A"/>
    <w:rsid w:val="00EE2FAF"/>
    <w:rsid w:val="00EE3BFD"/>
    <w:rsid w:val="00EE45C6"/>
    <w:rsid w:val="00EE4610"/>
    <w:rsid w:val="00EE54BF"/>
    <w:rsid w:val="00EE6799"/>
    <w:rsid w:val="00EE7032"/>
    <w:rsid w:val="00EE76B8"/>
    <w:rsid w:val="00EE78A6"/>
    <w:rsid w:val="00EE7F5B"/>
    <w:rsid w:val="00EF0A99"/>
    <w:rsid w:val="00EF2E42"/>
    <w:rsid w:val="00EF3347"/>
    <w:rsid w:val="00EF3C79"/>
    <w:rsid w:val="00EF40AC"/>
    <w:rsid w:val="00EF425D"/>
    <w:rsid w:val="00EF476A"/>
    <w:rsid w:val="00EF56D9"/>
    <w:rsid w:val="00EF77E3"/>
    <w:rsid w:val="00EF7E25"/>
    <w:rsid w:val="00F00AA3"/>
    <w:rsid w:val="00F00B61"/>
    <w:rsid w:val="00F05DCC"/>
    <w:rsid w:val="00F06C8B"/>
    <w:rsid w:val="00F07AAA"/>
    <w:rsid w:val="00F109D4"/>
    <w:rsid w:val="00F12BC2"/>
    <w:rsid w:val="00F13A0C"/>
    <w:rsid w:val="00F146A6"/>
    <w:rsid w:val="00F150A5"/>
    <w:rsid w:val="00F152ED"/>
    <w:rsid w:val="00F1546A"/>
    <w:rsid w:val="00F158EF"/>
    <w:rsid w:val="00F15975"/>
    <w:rsid w:val="00F15CCA"/>
    <w:rsid w:val="00F16775"/>
    <w:rsid w:val="00F2134D"/>
    <w:rsid w:val="00F21675"/>
    <w:rsid w:val="00F21BBF"/>
    <w:rsid w:val="00F21CB0"/>
    <w:rsid w:val="00F2247D"/>
    <w:rsid w:val="00F23459"/>
    <w:rsid w:val="00F236C1"/>
    <w:rsid w:val="00F23CC0"/>
    <w:rsid w:val="00F24791"/>
    <w:rsid w:val="00F251D1"/>
    <w:rsid w:val="00F2572B"/>
    <w:rsid w:val="00F25A51"/>
    <w:rsid w:val="00F26511"/>
    <w:rsid w:val="00F26D48"/>
    <w:rsid w:val="00F272AB"/>
    <w:rsid w:val="00F30E9A"/>
    <w:rsid w:val="00F3164A"/>
    <w:rsid w:val="00F319BF"/>
    <w:rsid w:val="00F324A9"/>
    <w:rsid w:val="00F3256A"/>
    <w:rsid w:val="00F33AFF"/>
    <w:rsid w:val="00F33D35"/>
    <w:rsid w:val="00F3414F"/>
    <w:rsid w:val="00F35972"/>
    <w:rsid w:val="00F35F02"/>
    <w:rsid w:val="00F36655"/>
    <w:rsid w:val="00F367A8"/>
    <w:rsid w:val="00F36EF5"/>
    <w:rsid w:val="00F3700E"/>
    <w:rsid w:val="00F4000C"/>
    <w:rsid w:val="00F4010E"/>
    <w:rsid w:val="00F417B5"/>
    <w:rsid w:val="00F41E25"/>
    <w:rsid w:val="00F42688"/>
    <w:rsid w:val="00F42803"/>
    <w:rsid w:val="00F42F32"/>
    <w:rsid w:val="00F437B2"/>
    <w:rsid w:val="00F44835"/>
    <w:rsid w:val="00F44A66"/>
    <w:rsid w:val="00F45F63"/>
    <w:rsid w:val="00F461C4"/>
    <w:rsid w:val="00F4630A"/>
    <w:rsid w:val="00F465AD"/>
    <w:rsid w:val="00F471B9"/>
    <w:rsid w:val="00F472E3"/>
    <w:rsid w:val="00F47564"/>
    <w:rsid w:val="00F502DF"/>
    <w:rsid w:val="00F525C3"/>
    <w:rsid w:val="00F53FCC"/>
    <w:rsid w:val="00F53FE3"/>
    <w:rsid w:val="00F54A03"/>
    <w:rsid w:val="00F55A7A"/>
    <w:rsid w:val="00F612D7"/>
    <w:rsid w:val="00F62ECB"/>
    <w:rsid w:val="00F63359"/>
    <w:rsid w:val="00F641B8"/>
    <w:rsid w:val="00F65DE9"/>
    <w:rsid w:val="00F660B6"/>
    <w:rsid w:val="00F6625F"/>
    <w:rsid w:val="00F66832"/>
    <w:rsid w:val="00F66F13"/>
    <w:rsid w:val="00F676AD"/>
    <w:rsid w:val="00F706B7"/>
    <w:rsid w:val="00F7084F"/>
    <w:rsid w:val="00F70DB1"/>
    <w:rsid w:val="00F71364"/>
    <w:rsid w:val="00F7184C"/>
    <w:rsid w:val="00F71F27"/>
    <w:rsid w:val="00F7300E"/>
    <w:rsid w:val="00F74D97"/>
    <w:rsid w:val="00F76723"/>
    <w:rsid w:val="00F7681C"/>
    <w:rsid w:val="00F770F6"/>
    <w:rsid w:val="00F77111"/>
    <w:rsid w:val="00F77A87"/>
    <w:rsid w:val="00F77C79"/>
    <w:rsid w:val="00F77CF4"/>
    <w:rsid w:val="00F816C5"/>
    <w:rsid w:val="00F82800"/>
    <w:rsid w:val="00F83332"/>
    <w:rsid w:val="00F834F2"/>
    <w:rsid w:val="00F84803"/>
    <w:rsid w:val="00F85839"/>
    <w:rsid w:val="00F85C88"/>
    <w:rsid w:val="00F85F1F"/>
    <w:rsid w:val="00F85FD2"/>
    <w:rsid w:val="00F86FC4"/>
    <w:rsid w:val="00F87C1E"/>
    <w:rsid w:val="00F90469"/>
    <w:rsid w:val="00F90D84"/>
    <w:rsid w:val="00F910E2"/>
    <w:rsid w:val="00F9136F"/>
    <w:rsid w:val="00F921B4"/>
    <w:rsid w:val="00F92995"/>
    <w:rsid w:val="00F92DE2"/>
    <w:rsid w:val="00F93706"/>
    <w:rsid w:val="00F94244"/>
    <w:rsid w:val="00F95A66"/>
    <w:rsid w:val="00F95CAC"/>
    <w:rsid w:val="00F96B81"/>
    <w:rsid w:val="00FA0E91"/>
    <w:rsid w:val="00FA19C4"/>
    <w:rsid w:val="00FA25AC"/>
    <w:rsid w:val="00FA39A6"/>
    <w:rsid w:val="00FA4366"/>
    <w:rsid w:val="00FA4F41"/>
    <w:rsid w:val="00FA4FCA"/>
    <w:rsid w:val="00FA54EC"/>
    <w:rsid w:val="00FA7C9E"/>
    <w:rsid w:val="00FB2FC4"/>
    <w:rsid w:val="00FB3E09"/>
    <w:rsid w:val="00FB41A2"/>
    <w:rsid w:val="00FC0654"/>
    <w:rsid w:val="00FC08FD"/>
    <w:rsid w:val="00FC0DF2"/>
    <w:rsid w:val="00FC122D"/>
    <w:rsid w:val="00FC1EF8"/>
    <w:rsid w:val="00FC20DF"/>
    <w:rsid w:val="00FC21B2"/>
    <w:rsid w:val="00FC36B4"/>
    <w:rsid w:val="00FC3803"/>
    <w:rsid w:val="00FC45F5"/>
    <w:rsid w:val="00FC54DA"/>
    <w:rsid w:val="00FC5A1B"/>
    <w:rsid w:val="00FC6BB9"/>
    <w:rsid w:val="00FC6CFA"/>
    <w:rsid w:val="00FC723E"/>
    <w:rsid w:val="00FD17DE"/>
    <w:rsid w:val="00FD1DA2"/>
    <w:rsid w:val="00FD3A34"/>
    <w:rsid w:val="00FD3E78"/>
    <w:rsid w:val="00FD4FEE"/>
    <w:rsid w:val="00FD51AF"/>
    <w:rsid w:val="00FD5633"/>
    <w:rsid w:val="00FD5A2D"/>
    <w:rsid w:val="00FD6FDF"/>
    <w:rsid w:val="00FD74C6"/>
    <w:rsid w:val="00FE052A"/>
    <w:rsid w:val="00FE10FE"/>
    <w:rsid w:val="00FE1773"/>
    <w:rsid w:val="00FE37D5"/>
    <w:rsid w:val="00FE46C1"/>
    <w:rsid w:val="00FE50B4"/>
    <w:rsid w:val="00FE6F03"/>
    <w:rsid w:val="00FE795E"/>
    <w:rsid w:val="00FE7E8D"/>
    <w:rsid w:val="00FE7F2A"/>
    <w:rsid w:val="00FF02E1"/>
    <w:rsid w:val="00FF1057"/>
    <w:rsid w:val="00FF133C"/>
    <w:rsid w:val="00FF1B6F"/>
    <w:rsid w:val="00FF1FA1"/>
    <w:rsid w:val="00FF1FEF"/>
    <w:rsid w:val="00FF20D8"/>
    <w:rsid w:val="00FF22E1"/>
    <w:rsid w:val="00FF2BFC"/>
    <w:rsid w:val="00FF3030"/>
    <w:rsid w:val="00FF31CF"/>
    <w:rsid w:val="00FF3705"/>
    <w:rsid w:val="00FF47A0"/>
    <w:rsid w:val="00FF6EAB"/>
    <w:rsid w:val="00FF7E17"/>
    <w:rsid w:val="057329C1"/>
    <w:rsid w:val="1CEB57FE"/>
    <w:rsid w:val="63AC200E"/>
    <w:rsid w:val="79DD52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3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aliases w:val="Part Title"/>
    <w:basedOn w:val="Normal"/>
    <w:next w:val="base-text-paragraph"/>
    <w:link w:val="Heading3Char"/>
    <w:qFormat/>
    <w:rsid w:val="00707B4B"/>
    <w:pPr>
      <w:spacing w:before="0" w:after="240"/>
      <w:ind w:right="91"/>
      <w:outlineLvl w:val="2"/>
    </w:pPr>
    <w:rPr>
      <w:b/>
      <w:szCs w:val="24"/>
    </w:rPr>
  </w:style>
  <w:style w:type="paragraph" w:styleId="Heading4">
    <w:name w:val="heading 4"/>
    <w:aliases w:val="Section title"/>
    <w:basedOn w:val="Normal"/>
    <w:next w:val="base-text-paragraph"/>
    <w:qFormat/>
    <w:rsid w:val="00707B4B"/>
    <w:pPr>
      <w:spacing w:before="0" w:after="240"/>
      <w:ind w:right="91"/>
      <w:outlineLvl w:val="3"/>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aliases w:val="Part Title Char"/>
    <w:basedOn w:val="DefaultParagraphFont"/>
    <w:link w:val="Heading3"/>
    <w:rsid w:val="00707B4B"/>
    <w:rPr>
      <w:b/>
      <w:sz w:val="24"/>
      <w:szCs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aliases w:val="Recommendation,Bullet point,Bulletr List Paragraph,Content descriptions,FooterText,L,List Paragraph Number,List Paragraph1,List Paragraph11,List Paragraph2,List Paragraph21,NFP GP Bulleted List,Paragraphe de liste1,numbered,列出,列出段落,列出段落1"/>
    <w:basedOn w:val="Normal"/>
    <w:link w:val="ListParagraphChar"/>
    <w:uiPriority w:val="34"/>
    <w:qFormat/>
    <w:rsid w:val="00221988"/>
    <w:pPr>
      <w:ind w:left="720"/>
      <w:contextualSpacing/>
    </w:pPr>
  </w:style>
  <w:style w:type="character" w:styleId="CommentReference">
    <w:name w:val="annotation reference"/>
    <w:basedOn w:val="DefaultParagraphFont"/>
    <w:uiPriority w:val="99"/>
    <w:unhideWhenUsed/>
    <w:rsid w:val="005F76E3"/>
    <w:rPr>
      <w:sz w:val="16"/>
      <w:szCs w:val="16"/>
    </w:rPr>
  </w:style>
  <w:style w:type="paragraph" w:styleId="CommentText">
    <w:name w:val="annotation text"/>
    <w:basedOn w:val="Normal"/>
    <w:link w:val="CommentTextChar"/>
    <w:uiPriority w:val="99"/>
    <w:unhideWhenUsed/>
    <w:rsid w:val="005F76E3"/>
    <w:rPr>
      <w:sz w:val="20"/>
    </w:rPr>
  </w:style>
  <w:style w:type="character" w:customStyle="1" w:styleId="CommentTextChar">
    <w:name w:val="Comment Text Char"/>
    <w:basedOn w:val="DefaultParagraphFont"/>
    <w:link w:val="CommentText"/>
    <w:uiPriority w:val="99"/>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3"/>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84D9D"/>
    <w:pPr>
      <w:spacing w:before="0"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84D9D"/>
    <w:rPr>
      <w:rFonts w:ascii="Consolas" w:eastAsiaTheme="minorHAnsi" w:hAnsi="Consolas" w:cstheme="minorBidi"/>
      <w:sz w:val="21"/>
      <w:szCs w:val="21"/>
      <w:lang w:eastAsia="en-US"/>
    </w:rPr>
  </w:style>
  <w:style w:type="paragraph" w:styleId="Header">
    <w:name w:val="header"/>
    <w:basedOn w:val="Normal"/>
    <w:link w:val="HeaderChar"/>
    <w:unhideWhenUsed/>
    <w:rsid w:val="002F3B21"/>
    <w:pPr>
      <w:tabs>
        <w:tab w:val="center" w:pos="4513"/>
        <w:tab w:val="right" w:pos="9026"/>
      </w:tabs>
      <w:spacing w:before="0" w:after="0"/>
    </w:pPr>
  </w:style>
  <w:style w:type="character" w:customStyle="1" w:styleId="HeaderChar">
    <w:name w:val="Header Char"/>
    <w:basedOn w:val="DefaultParagraphFont"/>
    <w:link w:val="Header"/>
    <w:rsid w:val="002F3B21"/>
    <w:rPr>
      <w:sz w:val="24"/>
    </w:rPr>
  </w:style>
  <w:style w:type="paragraph" w:styleId="Footer">
    <w:name w:val="footer"/>
    <w:basedOn w:val="Normal"/>
    <w:link w:val="FooterChar"/>
    <w:uiPriority w:val="99"/>
    <w:unhideWhenUsed/>
    <w:rsid w:val="002F3B21"/>
    <w:pPr>
      <w:tabs>
        <w:tab w:val="center" w:pos="4513"/>
        <w:tab w:val="right" w:pos="9026"/>
      </w:tabs>
      <w:spacing w:before="0" w:after="0"/>
    </w:pPr>
  </w:style>
  <w:style w:type="character" w:customStyle="1" w:styleId="FooterChar">
    <w:name w:val="Footer Char"/>
    <w:basedOn w:val="DefaultParagraphFont"/>
    <w:link w:val="Footer"/>
    <w:uiPriority w:val="99"/>
    <w:rsid w:val="002F3B21"/>
    <w:rPr>
      <w:sz w:val="24"/>
    </w:rPr>
  </w:style>
  <w:style w:type="paragraph" w:styleId="Revision">
    <w:name w:val="Revision"/>
    <w:hidden/>
    <w:uiPriority w:val="99"/>
    <w:semiHidden/>
    <w:rsid w:val="00345F05"/>
    <w:rPr>
      <w:sz w:val="24"/>
    </w:rPr>
  </w:style>
  <w:style w:type="paragraph" w:styleId="EndnoteText">
    <w:name w:val="endnote text"/>
    <w:basedOn w:val="Normal"/>
    <w:link w:val="EndnoteTextChar"/>
    <w:uiPriority w:val="99"/>
    <w:semiHidden/>
    <w:unhideWhenUsed/>
    <w:rsid w:val="00F660B6"/>
    <w:pPr>
      <w:spacing w:before="0" w:after="0"/>
    </w:pPr>
    <w:rPr>
      <w:sz w:val="20"/>
    </w:rPr>
  </w:style>
  <w:style w:type="character" w:customStyle="1" w:styleId="EndnoteTextChar">
    <w:name w:val="Endnote Text Char"/>
    <w:basedOn w:val="DefaultParagraphFont"/>
    <w:link w:val="EndnoteText"/>
    <w:uiPriority w:val="99"/>
    <w:semiHidden/>
    <w:rsid w:val="00F660B6"/>
  </w:style>
  <w:style w:type="character" w:styleId="EndnoteReference">
    <w:name w:val="endnote reference"/>
    <w:basedOn w:val="DefaultParagraphFont"/>
    <w:uiPriority w:val="99"/>
    <w:semiHidden/>
    <w:unhideWhenUsed/>
    <w:rsid w:val="00F660B6"/>
    <w:rPr>
      <w:vertAlign w:val="superscript"/>
    </w:rPr>
  </w:style>
  <w:style w:type="character" w:styleId="FollowedHyperlink">
    <w:name w:val="FollowedHyperlink"/>
    <w:basedOn w:val="DefaultParagraphFont"/>
    <w:uiPriority w:val="99"/>
    <w:semiHidden/>
    <w:unhideWhenUsed/>
    <w:rsid w:val="00110059"/>
    <w:rPr>
      <w:color w:val="800080" w:themeColor="followedHyperlink"/>
      <w:u w:val="single"/>
    </w:rPr>
  </w:style>
  <w:style w:type="paragraph" w:customStyle="1" w:styleId="OutlineNumbered1">
    <w:name w:val="Outline Numbered 1"/>
    <w:basedOn w:val="Normal"/>
    <w:uiPriority w:val="99"/>
    <w:rsid w:val="003F7901"/>
    <w:pPr>
      <w:numPr>
        <w:numId w:val="4"/>
      </w:numPr>
      <w:spacing w:before="0" w:after="240"/>
    </w:pPr>
    <w:rPr>
      <w:rFonts w:eastAsia="Batang"/>
      <w:lang w:eastAsia="ko-KR"/>
    </w:rPr>
  </w:style>
  <w:style w:type="paragraph" w:customStyle="1" w:styleId="OutlineNumbered2">
    <w:name w:val="Outline Numbered 2"/>
    <w:basedOn w:val="Normal"/>
    <w:uiPriority w:val="99"/>
    <w:rsid w:val="003F7901"/>
    <w:pPr>
      <w:numPr>
        <w:ilvl w:val="1"/>
        <w:numId w:val="4"/>
      </w:numPr>
      <w:spacing w:before="0" w:after="240"/>
    </w:pPr>
    <w:rPr>
      <w:rFonts w:eastAsia="Batang"/>
      <w:lang w:eastAsia="ko-KR"/>
    </w:rPr>
  </w:style>
  <w:style w:type="paragraph" w:customStyle="1" w:styleId="OutlineNumbered3">
    <w:name w:val="Outline Numbered 3"/>
    <w:basedOn w:val="Normal"/>
    <w:uiPriority w:val="99"/>
    <w:rsid w:val="003F7901"/>
    <w:pPr>
      <w:numPr>
        <w:ilvl w:val="2"/>
        <w:numId w:val="4"/>
      </w:numPr>
      <w:spacing w:before="0" w:after="240"/>
    </w:pPr>
    <w:rPr>
      <w:rFonts w:eastAsia="Batang"/>
      <w:lang w:eastAsia="ko-KR"/>
    </w:rPr>
  </w:style>
  <w:style w:type="character" w:customStyle="1" w:styleId="ListParagraphChar">
    <w:name w:val="List Paragraph Char"/>
    <w:aliases w:val="Recommendation Char,Bullet point Char,Bulletr List Paragraph Char,Content descriptions Char,FooterText Char,L Char,List Paragraph Number Char,List Paragraph1 Char,List Paragraph11 Char,List Paragraph2 Char,List Paragraph21 Char"/>
    <w:basedOn w:val="DefaultParagraphFont"/>
    <w:link w:val="ListParagraph"/>
    <w:uiPriority w:val="34"/>
    <w:qFormat/>
    <w:locked/>
    <w:rsid w:val="007E1F64"/>
    <w:rPr>
      <w:sz w:val="24"/>
    </w:rPr>
  </w:style>
  <w:style w:type="paragraph" w:customStyle="1" w:styleId="subsection">
    <w:name w:val="subsection"/>
    <w:aliases w:val="ss,Subsection"/>
    <w:basedOn w:val="Normal"/>
    <w:link w:val="subsectionChar"/>
    <w:rsid w:val="00FE50B4"/>
    <w:pPr>
      <w:tabs>
        <w:tab w:val="right" w:pos="1021"/>
      </w:tabs>
      <w:spacing w:before="180" w:after="0"/>
      <w:ind w:left="1134" w:hanging="1134"/>
    </w:pPr>
    <w:rPr>
      <w:sz w:val="22"/>
    </w:rPr>
  </w:style>
  <w:style w:type="paragraph" w:customStyle="1" w:styleId="paragraphsub">
    <w:name w:val="paragraph(sub)"/>
    <w:aliases w:val="aa"/>
    <w:basedOn w:val="Normal"/>
    <w:rsid w:val="00FE50B4"/>
    <w:pPr>
      <w:tabs>
        <w:tab w:val="right" w:pos="1985"/>
      </w:tabs>
      <w:spacing w:before="40" w:after="0"/>
      <w:ind w:left="2098" w:hanging="2098"/>
    </w:pPr>
    <w:rPr>
      <w:sz w:val="22"/>
    </w:rPr>
  </w:style>
  <w:style w:type="paragraph" w:customStyle="1" w:styleId="paragraph">
    <w:name w:val="paragraph"/>
    <w:aliases w:val="a"/>
    <w:basedOn w:val="Normal"/>
    <w:link w:val="paragraphChar"/>
    <w:rsid w:val="00FE50B4"/>
    <w:pPr>
      <w:tabs>
        <w:tab w:val="right" w:pos="1531"/>
      </w:tabs>
      <w:spacing w:before="40" w:after="0"/>
      <w:ind w:left="1644" w:hanging="1644"/>
    </w:pPr>
    <w:rPr>
      <w:sz w:val="22"/>
    </w:rPr>
  </w:style>
  <w:style w:type="character" w:customStyle="1" w:styleId="subsectionChar">
    <w:name w:val="subsection Char"/>
    <w:aliases w:val="ss Char"/>
    <w:basedOn w:val="DefaultParagraphFont"/>
    <w:link w:val="subsection"/>
    <w:locked/>
    <w:rsid w:val="00FE50B4"/>
    <w:rPr>
      <w:sz w:val="22"/>
    </w:rPr>
  </w:style>
  <w:style w:type="character" w:customStyle="1" w:styleId="paragraphChar">
    <w:name w:val="paragraph Char"/>
    <w:aliases w:val="a Char"/>
    <w:link w:val="paragraph"/>
    <w:rsid w:val="00FE50B4"/>
    <w:rPr>
      <w:sz w:val="22"/>
    </w:rPr>
  </w:style>
  <w:style w:type="character" w:customStyle="1" w:styleId="UnresolvedMention1">
    <w:name w:val="Unresolved Mention1"/>
    <w:basedOn w:val="DefaultParagraphFont"/>
    <w:uiPriority w:val="99"/>
    <w:semiHidden/>
    <w:unhideWhenUsed/>
    <w:rsid w:val="0028389F"/>
    <w:rPr>
      <w:color w:val="605E5C"/>
      <w:shd w:val="clear" w:color="auto" w:fill="E1DFDD"/>
    </w:rPr>
  </w:style>
  <w:style w:type="character" w:customStyle="1" w:styleId="UnresolvedMention2">
    <w:name w:val="Unresolved Mention2"/>
    <w:basedOn w:val="DefaultParagraphFont"/>
    <w:uiPriority w:val="99"/>
    <w:semiHidden/>
    <w:unhideWhenUsed/>
    <w:rsid w:val="0064767E"/>
    <w:rPr>
      <w:color w:val="605E5C"/>
      <w:shd w:val="clear" w:color="auto" w:fill="E1DFDD"/>
    </w:rPr>
  </w:style>
  <w:style w:type="character" w:styleId="UnresolvedMention">
    <w:name w:val="Unresolved Mention"/>
    <w:basedOn w:val="DefaultParagraphFont"/>
    <w:uiPriority w:val="99"/>
    <w:semiHidden/>
    <w:unhideWhenUsed/>
    <w:rsid w:val="001D2FEF"/>
    <w:rPr>
      <w:color w:val="605E5C"/>
      <w:shd w:val="clear" w:color="auto" w:fill="E1DFDD"/>
    </w:rPr>
  </w:style>
  <w:style w:type="paragraph" w:styleId="NormalWeb">
    <w:name w:val="Normal (Web)"/>
    <w:basedOn w:val="Normal"/>
    <w:uiPriority w:val="99"/>
    <w:semiHidden/>
    <w:unhideWhenUsed/>
    <w:rsid w:val="0015276B"/>
    <w:pPr>
      <w:spacing w:before="100" w:beforeAutospacing="1" w:after="100" w:afterAutospacing="1"/>
    </w:pPr>
    <w:rPr>
      <w:szCs w:val="24"/>
    </w:rPr>
  </w:style>
  <w:style w:type="character" w:customStyle="1" w:styleId="ui-provider">
    <w:name w:val="ui-provider"/>
    <w:basedOn w:val="DefaultParagraphFont"/>
    <w:rsid w:val="00B93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51">
      <w:bodyDiv w:val="1"/>
      <w:marLeft w:val="0"/>
      <w:marRight w:val="0"/>
      <w:marTop w:val="0"/>
      <w:marBottom w:val="0"/>
      <w:divBdr>
        <w:top w:val="none" w:sz="0" w:space="0" w:color="auto"/>
        <w:left w:val="none" w:sz="0" w:space="0" w:color="auto"/>
        <w:bottom w:val="none" w:sz="0" w:space="0" w:color="auto"/>
        <w:right w:val="none" w:sz="0" w:space="0" w:color="auto"/>
      </w:divBdr>
    </w:div>
    <w:div w:id="462429283">
      <w:bodyDiv w:val="1"/>
      <w:marLeft w:val="0"/>
      <w:marRight w:val="0"/>
      <w:marTop w:val="0"/>
      <w:marBottom w:val="0"/>
      <w:divBdr>
        <w:top w:val="none" w:sz="0" w:space="0" w:color="auto"/>
        <w:left w:val="none" w:sz="0" w:space="0" w:color="auto"/>
        <w:bottom w:val="none" w:sz="0" w:space="0" w:color="auto"/>
        <w:right w:val="none" w:sz="0" w:space="0" w:color="auto"/>
      </w:divBdr>
    </w:div>
    <w:div w:id="490484220">
      <w:bodyDiv w:val="1"/>
      <w:marLeft w:val="0"/>
      <w:marRight w:val="0"/>
      <w:marTop w:val="0"/>
      <w:marBottom w:val="0"/>
      <w:divBdr>
        <w:top w:val="none" w:sz="0" w:space="0" w:color="auto"/>
        <w:left w:val="none" w:sz="0" w:space="0" w:color="auto"/>
        <w:bottom w:val="none" w:sz="0" w:space="0" w:color="auto"/>
        <w:right w:val="none" w:sz="0" w:space="0" w:color="auto"/>
      </w:divBdr>
    </w:div>
    <w:div w:id="529147938">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822626296">
      <w:bodyDiv w:val="1"/>
      <w:marLeft w:val="0"/>
      <w:marRight w:val="0"/>
      <w:marTop w:val="0"/>
      <w:marBottom w:val="0"/>
      <w:divBdr>
        <w:top w:val="none" w:sz="0" w:space="0" w:color="auto"/>
        <w:left w:val="none" w:sz="0" w:space="0" w:color="auto"/>
        <w:bottom w:val="none" w:sz="0" w:space="0" w:color="auto"/>
        <w:right w:val="none" w:sz="0" w:space="0" w:color="auto"/>
      </w:divBdr>
    </w:div>
    <w:div w:id="921185198">
      <w:bodyDiv w:val="1"/>
      <w:marLeft w:val="0"/>
      <w:marRight w:val="0"/>
      <w:marTop w:val="0"/>
      <w:marBottom w:val="0"/>
      <w:divBdr>
        <w:top w:val="none" w:sz="0" w:space="0" w:color="auto"/>
        <w:left w:val="none" w:sz="0" w:space="0" w:color="auto"/>
        <w:bottom w:val="none" w:sz="0" w:space="0" w:color="auto"/>
        <w:right w:val="none" w:sz="0" w:space="0" w:color="auto"/>
      </w:divBdr>
    </w:div>
    <w:div w:id="980774083">
      <w:bodyDiv w:val="1"/>
      <w:marLeft w:val="0"/>
      <w:marRight w:val="0"/>
      <w:marTop w:val="0"/>
      <w:marBottom w:val="0"/>
      <w:divBdr>
        <w:top w:val="none" w:sz="0" w:space="0" w:color="auto"/>
        <w:left w:val="none" w:sz="0" w:space="0" w:color="auto"/>
        <w:bottom w:val="none" w:sz="0" w:space="0" w:color="auto"/>
        <w:right w:val="none" w:sz="0" w:space="0" w:color="auto"/>
      </w:divBdr>
    </w:div>
    <w:div w:id="981226547">
      <w:bodyDiv w:val="1"/>
      <w:marLeft w:val="0"/>
      <w:marRight w:val="0"/>
      <w:marTop w:val="0"/>
      <w:marBottom w:val="0"/>
      <w:divBdr>
        <w:top w:val="none" w:sz="0" w:space="0" w:color="auto"/>
        <w:left w:val="none" w:sz="0" w:space="0" w:color="auto"/>
        <w:bottom w:val="none" w:sz="0" w:space="0" w:color="auto"/>
        <w:right w:val="none" w:sz="0" w:space="0" w:color="auto"/>
      </w:divBdr>
    </w:div>
    <w:div w:id="1176652493">
      <w:bodyDiv w:val="1"/>
      <w:marLeft w:val="0"/>
      <w:marRight w:val="0"/>
      <w:marTop w:val="0"/>
      <w:marBottom w:val="0"/>
      <w:divBdr>
        <w:top w:val="none" w:sz="0" w:space="0" w:color="auto"/>
        <w:left w:val="none" w:sz="0" w:space="0" w:color="auto"/>
        <w:bottom w:val="none" w:sz="0" w:space="0" w:color="auto"/>
        <w:right w:val="none" w:sz="0" w:space="0" w:color="auto"/>
      </w:divBdr>
    </w:div>
    <w:div w:id="1218394704">
      <w:bodyDiv w:val="1"/>
      <w:marLeft w:val="0"/>
      <w:marRight w:val="0"/>
      <w:marTop w:val="0"/>
      <w:marBottom w:val="0"/>
      <w:divBdr>
        <w:top w:val="none" w:sz="0" w:space="0" w:color="auto"/>
        <w:left w:val="none" w:sz="0" w:space="0" w:color="auto"/>
        <w:bottom w:val="none" w:sz="0" w:space="0" w:color="auto"/>
        <w:right w:val="none" w:sz="0" w:space="0" w:color="auto"/>
      </w:divBdr>
    </w:div>
    <w:div w:id="1235970139">
      <w:bodyDiv w:val="1"/>
      <w:marLeft w:val="0"/>
      <w:marRight w:val="0"/>
      <w:marTop w:val="0"/>
      <w:marBottom w:val="0"/>
      <w:divBdr>
        <w:top w:val="none" w:sz="0" w:space="0" w:color="auto"/>
        <w:left w:val="none" w:sz="0" w:space="0" w:color="auto"/>
        <w:bottom w:val="none" w:sz="0" w:space="0" w:color="auto"/>
        <w:right w:val="none" w:sz="0" w:space="0" w:color="auto"/>
      </w:divBdr>
    </w:div>
    <w:div w:id="1723094731">
      <w:bodyDiv w:val="1"/>
      <w:marLeft w:val="0"/>
      <w:marRight w:val="0"/>
      <w:marTop w:val="0"/>
      <w:marBottom w:val="0"/>
      <w:divBdr>
        <w:top w:val="none" w:sz="0" w:space="0" w:color="auto"/>
        <w:left w:val="none" w:sz="0" w:space="0" w:color="auto"/>
        <w:bottom w:val="none" w:sz="0" w:space="0" w:color="auto"/>
        <w:right w:val="none" w:sz="0" w:space="0" w:color="auto"/>
      </w:divBdr>
    </w:div>
    <w:div w:id="18128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 D O C U M E N T S ! 4 8 5 5 1 2 7 8 . 4 < / d o c u m e n t i d >  
     < s e n d e r i d > O R U R M I < / s e n d e r i d >  
     < s e n d e r e m a i l > M I C H A E L . O ' R O U R K E @ A G S . G O V . A U < / s e n d e r e m a i l >  
     < l a s t m o d i f i e d > 2 0 2 3 - 0 7 - 1 3 T 1 1 : 0 6 : 0 0 . 0 0 0 0 0 0 0 + 1 0 : 0 0 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63EBF2D913C034F8BEA9A3E46F44496" ma:contentTypeVersion="" ma:contentTypeDescription="PDMS Document Site Content Type" ma:contentTypeScope="" ma:versionID="fd7c5c5c7f6a44413fcd0c35c29645e1">
  <xsd:schema xmlns:xsd="http://www.w3.org/2001/XMLSchema" xmlns:xs="http://www.w3.org/2001/XMLSchema" xmlns:p="http://schemas.microsoft.com/office/2006/metadata/properties" xmlns:ns2="19DFF768-3634-49A5-A2A3-362A153A8A82" targetNamespace="http://schemas.microsoft.com/office/2006/metadata/properties" ma:root="true" ma:fieldsID="cc93eaca20d96d8dbd9e1f3d81559908" ns2:_="">
    <xsd:import namespace="19DFF768-3634-49A5-A2A3-362A153A8A8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FF768-3634-49A5-A2A3-362A153A8A8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19DFF768-3634-49A5-A2A3-362A153A8A82" xsi:nil="true"/>
  </documentManagement>
</p:properties>
</file>

<file path=customXml/itemProps1.xml><?xml version="1.0" encoding="utf-8"?>
<ds:datastoreItem xmlns:ds="http://schemas.openxmlformats.org/officeDocument/2006/customXml" ds:itemID="{6DC78821-18F5-4438-89A2-22912C7F93E2}">
  <ds:schemaRefs>
    <ds:schemaRef ds:uri="http://www.imanage.com/work/xmlschema"/>
  </ds:schemaRefs>
</ds:datastoreItem>
</file>

<file path=customXml/itemProps2.xml><?xml version="1.0" encoding="utf-8"?>
<ds:datastoreItem xmlns:ds="http://schemas.openxmlformats.org/officeDocument/2006/customXml" ds:itemID="{2B6D093B-6F29-4BBE-A4B1-43F95FCC59B7}">
  <ds:schemaRefs>
    <ds:schemaRef ds:uri="http://schemas.openxmlformats.org/officeDocument/2006/bibliography"/>
  </ds:schemaRefs>
</ds:datastoreItem>
</file>

<file path=customXml/itemProps3.xml><?xml version="1.0" encoding="utf-8"?>
<ds:datastoreItem xmlns:ds="http://schemas.openxmlformats.org/officeDocument/2006/customXml" ds:itemID="{B635BD09-8E9F-4C73-ACB3-C1662AB4A9F8}">
  <ds:schemaRefs>
    <ds:schemaRef ds:uri="http://schemas.microsoft.com/sharepoint/v3/contenttype/forms"/>
  </ds:schemaRefs>
</ds:datastoreItem>
</file>

<file path=customXml/itemProps4.xml><?xml version="1.0" encoding="utf-8"?>
<ds:datastoreItem xmlns:ds="http://schemas.openxmlformats.org/officeDocument/2006/customXml" ds:itemID="{806F99F2-B566-4981-B44C-A3656243D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FF768-3634-49A5-A2A3-362A153A8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34FC8D-1CD0-4959-8369-354C94D2AF3D}">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19DFF768-3634-49A5-A2A3-362A153A8A8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4140</Words>
  <Characters>24271</Characters>
  <Application>Microsoft Office Word</Application>
  <DocSecurity>0</DocSecurity>
  <Lines>866</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[SEC=PROTECTED, CAVEAT=SpecialHandling:CABINET]</cp:keywords>
  <cp:lastModifiedBy/>
  <cp:revision>1</cp:revision>
  <dcterms:created xsi:type="dcterms:W3CDTF">2023-11-21T22:17:00Z</dcterms:created>
  <dcterms:modified xsi:type="dcterms:W3CDTF">2023-11-27T22:36:00Z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TaxKeyword">
    <vt:lpwstr>26;#CAVEAT=SpecialHandling:CABINET]|4ff68d63-1227-42b7-9e21-1148c48cc500;#25;#[SEC=PROTECTED|14aba5ef-8d61-42af-a386-7748c3a03b60</vt:lpwstr>
  </property>
  <property fmtid="{D5CDD505-2E9C-101B-9397-08002B2CF9AE}" pid="4" name="PM_Originator_Hash_SHA1">
    <vt:lpwstr>229741C8DCC954F364457A6724BEDFD11F2F4563</vt:lpwstr>
  </property>
  <property fmtid="{D5CDD505-2E9C-101B-9397-08002B2CF9AE}" pid="5" name="RecordPoint_RecordNumberSubmitted">
    <vt:lpwstr/>
  </property>
  <property fmtid="{D5CDD505-2E9C-101B-9397-08002B2CF9AE}" pid="6" name="PMUuid">
    <vt:lpwstr>v=2022.2;d=gov.au;g=73C8692F-D692-5637-9D7D-9A0E983EBE2B</vt:lpwstr>
  </property>
  <property fmtid="{D5CDD505-2E9C-101B-9397-08002B2CF9AE}" pid="7" name="DocHub_DocumentType">
    <vt:lpwstr>733;#Mandate|19091c3e-1e30-47be-a372-69544af8bdcc</vt:lpwstr>
  </property>
  <property fmtid="{D5CDD505-2E9C-101B-9397-08002B2CF9AE}" pid="8" name="MSIP_Label_d7c97cc0-f3d6-47b5-9082-a391bc570766_Enabled">
    <vt:lpwstr>true</vt:lpwstr>
  </property>
  <property fmtid="{D5CDD505-2E9C-101B-9397-08002B2CF9AE}" pid="9" name="PM_OriginatorDomainName_SHA256">
    <vt:lpwstr>325440F6CA31C4C3BCE4433552DC42928CAAD3E2731ABE35FDE729ECEB763AF0</vt:lpwstr>
  </property>
  <property fmtid="{D5CDD505-2E9C-101B-9397-08002B2CF9AE}" pid="10" name="PM_ProtectiveMarkingImage_Header">
    <vt:lpwstr>C:\Program Files\Common Files\janusNET Shared\janusSEAL\Images\DocumentSlashBlue.png</vt:lpwstr>
  </property>
  <property fmtid="{D5CDD505-2E9C-101B-9397-08002B2CF9AE}" pid="11" name="DocHub_NRFDraftingTopics">
    <vt:lpwstr>985;#Mandate ＆ Operations|09446e7f-7770-4c03-b702-275d65c5b3fe</vt:lpwstr>
  </property>
  <property fmtid="{D5CDD505-2E9C-101B-9397-08002B2CF9AE}" pid="12" name="MediaServiceImageTags">
    <vt:lpwstr/>
  </property>
  <property fmtid="{D5CDD505-2E9C-101B-9397-08002B2CF9AE}" pid="13" name="ContentTypeId">
    <vt:lpwstr>0x010100266966F133664895A6EE3632470D45F500663EBF2D913C034F8BEA9A3E46F44496</vt:lpwstr>
  </property>
  <property fmtid="{D5CDD505-2E9C-101B-9397-08002B2CF9AE}" pid="14" name="PM_SpecialHandlingCaveat">
    <vt:lpwstr>CABINET</vt:lpwstr>
  </property>
  <property fmtid="{D5CDD505-2E9C-101B-9397-08002B2CF9AE}" pid="15" name="PM_Note">
    <vt:lpwstr/>
  </property>
  <property fmtid="{D5CDD505-2E9C-101B-9397-08002B2CF9AE}" pid="16" name="PM_Markers">
    <vt:lpwstr/>
  </property>
  <property fmtid="{D5CDD505-2E9C-101B-9397-08002B2CF9AE}" pid="17" name="MSIP_Label_d7c97cc0-f3d6-47b5-9082-a391bc570766_SetDate">
    <vt:lpwstr>2023-07-28T01:05:25Z</vt:lpwstr>
  </property>
  <property fmtid="{D5CDD505-2E9C-101B-9397-08002B2CF9AE}" pid="18" name="PM_ProtectiveMarkingImage_Footer">
    <vt:lpwstr>C:\Program Files\Common Files\janusNET Shared\janusSEAL\Images\DocumentSlashBlue.png</vt:lpwstr>
  </property>
  <property fmtid="{D5CDD505-2E9C-101B-9397-08002B2CF9AE}" pid="19" name="RecordPoint_WorkflowType">
    <vt:lpwstr>ActiveSubmitStub</vt:lpwstr>
  </property>
  <property fmtid="{D5CDD505-2E9C-101B-9397-08002B2CF9AE}" pid="20" name="PM_Qualifier_Prev">
    <vt:lpwstr/>
  </property>
  <property fmtid="{D5CDD505-2E9C-101B-9397-08002B2CF9AE}" pid="21" name="ObjectiveRef">
    <vt:lpwstr>Removed</vt:lpwstr>
  </property>
  <property fmtid="{D5CDD505-2E9C-101B-9397-08002B2CF9AE}" pid="22" name="PM_Originating_FileId">
    <vt:lpwstr>FF02AE82807F419A86D770FAF29B4650</vt:lpwstr>
  </property>
  <property fmtid="{D5CDD505-2E9C-101B-9397-08002B2CF9AE}" pid="23" name="MSIP_Label_d7c97cc0-f3d6-47b5-9082-a391bc570766_ContentBits">
    <vt:lpwstr>0</vt:lpwstr>
  </property>
  <property fmtid="{D5CDD505-2E9C-101B-9397-08002B2CF9AE}" pid="24" name="PM_Hash_Salt_Prev">
    <vt:lpwstr>B41816618FE9BDBAA8E5484948933E93</vt:lpwstr>
  </property>
  <property fmtid="{D5CDD505-2E9C-101B-9397-08002B2CF9AE}" pid="25" name="RecordPoint_ActiveItemSiteId">
    <vt:lpwstr>{22ddc83e-3d55-4f4b-84b0-b8f29513b89f}</vt:lpwstr>
  </property>
  <property fmtid="{D5CDD505-2E9C-101B-9397-08002B2CF9AE}" pid="26" name="PM_Version">
    <vt:lpwstr>2018.1</vt:lpwstr>
  </property>
  <property fmtid="{D5CDD505-2E9C-101B-9397-08002B2CF9AE}" pid="27" name="RecordPoint_ActiveItemListId">
    <vt:lpwstr>{e5b34ab4-21ce-4f9f-93f1-f51dd6596e37}</vt:lpwstr>
  </property>
  <property fmtid="{D5CDD505-2E9C-101B-9397-08002B2CF9AE}" pid="28" name="PM_OriginatorUserAccountName_SHA256">
    <vt:lpwstr>B59A0E025D802B577EB698C255B918C8B82ED8CECE5F810B8F4B3E631ACDEFEE</vt:lpwstr>
  </property>
  <property fmtid="{D5CDD505-2E9C-101B-9397-08002B2CF9AE}" pid="29" name="RecordPoint_ActiveItemMoved">
    <vt:lpwstr/>
  </property>
  <property fmtid="{D5CDD505-2E9C-101B-9397-08002B2CF9AE}" pid="30" name="Organisation Unit">
    <vt:lpwstr>1;#Commercial Policy and Advisory|f007f9b5-a6bd-4ad6-a3c6-3dad7aefefc9</vt:lpwstr>
  </property>
  <property fmtid="{D5CDD505-2E9C-101B-9397-08002B2CF9AE}" pid="31" name="RecordPoint_SubmissionCompleted">
    <vt:lpwstr/>
  </property>
  <property fmtid="{D5CDD505-2E9C-101B-9397-08002B2CF9AE}" pid="32" name="MSIP_Label_d7c97cc0-f3d6-47b5-9082-a391bc570766_Name">
    <vt:lpwstr>PROTECTED</vt:lpwstr>
  </property>
  <property fmtid="{D5CDD505-2E9C-101B-9397-08002B2CF9AE}" pid="33" name="PM_InsertionValue">
    <vt:lpwstr>PROTECTED</vt:lpwstr>
  </property>
  <property fmtid="{D5CDD505-2E9C-101B-9397-08002B2CF9AE}" pid="34" name="DocHub_Year">
    <vt:lpwstr/>
  </property>
  <property fmtid="{D5CDD505-2E9C-101B-9397-08002B2CF9AE}" pid="35" name="PM_OriginationTimeStamp">
    <vt:lpwstr>2023-07-28T01:05:25Z</vt:lpwstr>
  </property>
  <property fmtid="{D5CDD505-2E9C-101B-9397-08002B2CF9AE}" pid="36" name="PM_Hash_Salt">
    <vt:lpwstr>59547A0C367B5D18038CA2DA0409C45A</vt:lpwstr>
  </property>
  <property fmtid="{D5CDD505-2E9C-101B-9397-08002B2CF9AE}" pid="37" name="PM_SecurityClassification">
    <vt:lpwstr>PROTECTED</vt:lpwstr>
  </property>
  <property fmtid="{D5CDD505-2E9C-101B-9397-08002B2CF9AE}" pid="38" name="DocHub_SecurityClassification">
    <vt:lpwstr>73;#Cabinet|8f5a38e0-0fb9-4e7f-a5c4-ce00bdbe5b86</vt:lpwstr>
  </property>
  <property fmtid="{D5CDD505-2E9C-101B-9397-08002B2CF9AE}" pid="39" name="MSIP_Label_d7c97cc0-f3d6-47b5-9082-a391bc570766_Method">
    <vt:lpwstr>Privileged</vt:lpwstr>
  </property>
  <property fmtid="{D5CDD505-2E9C-101B-9397-08002B2CF9AE}" pid="40" name="MSIP_Label_d7c97cc0-f3d6-47b5-9082-a391bc570766_SiteId">
    <vt:lpwstr>08954cee-4782-4ff6-9ad5-1997dccef4b0</vt:lpwstr>
  </property>
  <property fmtid="{D5CDD505-2E9C-101B-9397-08002B2CF9AE}" pid="41" name="RecordPoint_ActiveItemWebId">
    <vt:lpwstr>{2059673b-20f6-40c5-8fb8-ce838aef26a0}</vt:lpwstr>
  </property>
  <property fmtid="{D5CDD505-2E9C-101B-9397-08002B2CF9AE}" pid="42" name="PM_Caveats_Count">
    <vt:lpwstr>0</vt:lpwstr>
  </property>
  <property fmtid="{D5CDD505-2E9C-101B-9397-08002B2CF9AE}" pid="43" name="MSIP_Label_d7c97cc0-f3d6-47b5-9082-a391bc570766_ActionId">
    <vt:lpwstr>c708b6c773904196a0cb0ba4beef28cc</vt:lpwstr>
  </property>
  <property fmtid="{D5CDD505-2E9C-101B-9397-08002B2CF9AE}" pid="44" name="PM_Namespace">
    <vt:lpwstr>gov.au</vt:lpwstr>
  </property>
  <property fmtid="{D5CDD505-2E9C-101B-9397-08002B2CF9AE}" pid="45" name="PMHMAC">
    <vt:lpwstr>v=2022.1;a=SHA256;h=56B6FBBBE6ABCFEFD5680E57CBFD169074EFD559BDF36C77E9AE452332E0B9C6</vt:lpwstr>
  </property>
  <property fmtid="{D5CDD505-2E9C-101B-9397-08002B2CF9AE}" pid="46" name="LeadingLawyers">
    <vt:lpwstr>Removed</vt:lpwstr>
  </property>
  <property fmtid="{D5CDD505-2E9C-101B-9397-08002B2CF9AE}" pid="47" name="DocHub_WorkActivity">
    <vt:lpwstr>446;#Drafting|5fe11d9d-5f5a-4301-b7b3-0d2ee8e5c31c</vt:lpwstr>
  </property>
  <property fmtid="{D5CDD505-2E9C-101B-9397-08002B2CF9AE}" pid="48" name="PM_DisplayValueSecClassificationWithQualifier">
    <vt:lpwstr>PROTECTED CABINET</vt:lpwstr>
  </property>
  <property fmtid="{D5CDD505-2E9C-101B-9397-08002B2CF9AE}" pid="49" name="PM_Hash_Version">
    <vt:lpwstr>2022.1</vt:lpwstr>
  </property>
  <property fmtid="{D5CDD505-2E9C-101B-9397-08002B2CF9AE}" pid="50" name="PM_ProtectiveMarkingValue_Header">
    <vt:lpwstr>PROTECTED//CABINET</vt:lpwstr>
  </property>
  <property fmtid="{D5CDD505-2E9C-101B-9397-08002B2CF9AE}" pid="51" name="_dlc_DocIdItemGuid">
    <vt:lpwstr>4cf583c2-6af7-448e-ac8d-044195929d35</vt:lpwstr>
  </property>
  <property fmtid="{D5CDD505-2E9C-101B-9397-08002B2CF9AE}" pid="52" name="PM_Hash_SHA1">
    <vt:lpwstr>E0F70E2247A2BB28B9BB81D92D96893398B03862</vt:lpwstr>
  </property>
  <property fmtid="{D5CDD505-2E9C-101B-9397-08002B2CF9AE}" pid="53" name="About Entity">
    <vt:lpwstr>2;#Department of Finance|fd660e8f-8f31-49bd-92a3-d31d4da31afe</vt:lpwstr>
  </property>
  <property fmtid="{D5CDD505-2E9C-101B-9397-08002B2CF9AE}" pid="54" name="PM_Display">
    <vt:lpwstr>PROTECTED CABINET</vt:lpwstr>
  </property>
  <property fmtid="{D5CDD505-2E9C-101B-9397-08002B2CF9AE}" pid="55" name="Initiating Entity">
    <vt:lpwstr>2;#Department of Finance|fd660e8f-8f31-49bd-92a3-d31d4da31afe</vt:lpwstr>
  </property>
  <property fmtid="{D5CDD505-2E9C-101B-9397-08002B2CF9AE}" pid="56" name="PM_Qualifier">
    <vt:lpwstr/>
  </property>
  <property fmtid="{D5CDD505-2E9C-101B-9397-08002B2CF9AE}" pid="57" name="PM_SecurityClassification_Prev">
    <vt:lpwstr>PROTECTED</vt:lpwstr>
  </property>
  <property fmtid="{D5CDD505-2E9C-101B-9397-08002B2CF9AE}" pid="58" name="Function and Activity">
    <vt:lpwstr/>
  </property>
  <property fmtid="{D5CDD505-2E9C-101B-9397-08002B2CF9AE}" pid="59" name="RecordPoint_RecordFormat">
    <vt:lpwstr/>
  </property>
  <property fmtid="{D5CDD505-2E9C-101B-9397-08002B2CF9AE}" pid="60" name="RecordPoint_ActiveItemUniqueId">
    <vt:lpwstr>{787e430e-8acd-4670-94eb-2bb4cc59eb8b}</vt:lpwstr>
  </property>
  <property fmtid="{D5CDD505-2E9C-101B-9397-08002B2CF9AE}" pid="61" name="PM_ProtectiveMarkingValue_Footer">
    <vt:lpwstr>PROTECTED//CABINET</vt:lpwstr>
  </property>
  <property fmtid="{D5CDD505-2E9C-101B-9397-08002B2CF9AE}" pid="62" name="DocHub_Keywords">
    <vt:lpwstr/>
  </property>
  <property fmtid="{D5CDD505-2E9C-101B-9397-08002B2CF9AE}" pid="63" name="checkforsharepointfields">
    <vt:lpwstr>True</vt:lpwstr>
  </property>
  <property fmtid="{D5CDD505-2E9C-101B-9397-08002B2CF9AE}" pid="64" name="Template Filename">
    <vt:lpwstr/>
  </property>
</Properties>
</file>