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15E6C" w14:textId="77777777" w:rsidR="0048364F" w:rsidRPr="00DE5E7E" w:rsidRDefault="00193461" w:rsidP="0020300C">
      <w:pPr>
        <w:rPr>
          <w:sz w:val="28"/>
        </w:rPr>
      </w:pPr>
      <w:r w:rsidRPr="00DE5E7E">
        <w:rPr>
          <w:noProof/>
          <w:lang w:eastAsia="en-AU"/>
        </w:rPr>
        <w:drawing>
          <wp:inline distT="0" distB="0" distL="0" distR="0" wp14:anchorId="1D76D0ED" wp14:editId="7239D19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035E4" w14:textId="77777777" w:rsidR="0048364F" w:rsidRPr="00DE5E7E" w:rsidRDefault="0048364F" w:rsidP="0048364F">
      <w:pPr>
        <w:rPr>
          <w:sz w:val="19"/>
        </w:rPr>
      </w:pPr>
    </w:p>
    <w:p w14:paraId="00E051CF" w14:textId="77777777" w:rsidR="0048364F" w:rsidRPr="00DE5E7E" w:rsidRDefault="00AE79B5" w:rsidP="0048364F">
      <w:pPr>
        <w:pStyle w:val="ShortT"/>
      </w:pPr>
      <w:r w:rsidRPr="00DE5E7E">
        <w:t xml:space="preserve">Therapeutic Goods Legislation Amendment (2023 Measures No. </w:t>
      </w:r>
      <w:r w:rsidR="0092668D" w:rsidRPr="00DE5E7E">
        <w:t>2</w:t>
      </w:r>
      <w:r w:rsidRPr="00DE5E7E">
        <w:t xml:space="preserve">) </w:t>
      </w:r>
      <w:r w:rsidR="004C0E67" w:rsidRPr="00DE5E7E">
        <w:t>Regulations 2</w:t>
      </w:r>
      <w:r w:rsidRPr="00DE5E7E">
        <w:t>023</w:t>
      </w:r>
    </w:p>
    <w:p w14:paraId="38AF2DEB" w14:textId="77777777" w:rsidR="00AE79B5" w:rsidRPr="00DE5E7E" w:rsidRDefault="00AE79B5" w:rsidP="00B437B3">
      <w:pPr>
        <w:pStyle w:val="SignCoverPageStart"/>
        <w:spacing w:before="240"/>
        <w:rPr>
          <w:szCs w:val="22"/>
        </w:rPr>
      </w:pPr>
      <w:r w:rsidRPr="00DE5E7E">
        <w:rPr>
          <w:szCs w:val="22"/>
        </w:rPr>
        <w:t>I, General the Honourable David Hurley AC DSC (Retd), Governor</w:t>
      </w:r>
      <w:r w:rsidR="00D175AA" w:rsidRPr="00DE5E7E">
        <w:rPr>
          <w:szCs w:val="22"/>
        </w:rPr>
        <w:noBreakHyphen/>
      </w:r>
      <w:r w:rsidRPr="00DE5E7E">
        <w:rPr>
          <w:szCs w:val="22"/>
        </w:rPr>
        <w:t>General of the Commonwealth of Australia, acting with the advice of the Federal Executive Council, make the following regulations.</w:t>
      </w:r>
    </w:p>
    <w:p w14:paraId="3381614C" w14:textId="29433392" w:rsidR="00AE79B5" w:rsidRPr="00DE5E7E" w:rsidRDefault="00AE79B5" w:rsidP="00B437B3">
      <w:pPr>
        <w:keepNext/>
        <w:spacing w:before="720" w:line="240" w:lineRule="atLeast"/>
        <w:ind w:right="397"/>
        <w:jc w:val="both"/>
        <w:rPr>
          <w:szCs w:val="22"/>
        </w:rPr>
      </w:pPr>
      <w:r w:rsidRPr="00DE5E7E">
        <w:rPr>
          <w:szCs w:val="22"/>
        </w:rPr>
        <w:t xml:space="preserve">Dated </w:t>
      </w:r>
      <w:r w:rsidRPr="00DE5E7E">
        <w:rPr>
          <w:szCs w:val="22"/>
        </w:rPr>
        <w:tab/>
      </w:r>
      <w:r w:rsidRPr="00DE5E7E">
        <w:rPr>
          <w:szCs w:val="22"/>
        </w:rPr>
        <w:tab/>
      </w:r>
      <w:r w:rsidR="00DE5E7E" w:rsidRPr="00DE5E7E">
        <w:rPr>
          <w:szCs w:val="22"/>
        </w:rPr>
        <w:t>23 November</w:t>
      </w:r>
      <w:r w:rsidRPr="00DE5E7E">
        <w:rPr>
          <w:szCs w:val="22"/>
        </w:rPr>
        <w:tab/>
      </w:r>
      <w:r w:rsidRPr="00DE5E7E">
        <w:rPr>
          <w:szCs w:val="22"/>
        </w:rPr>
        <w:fldChar w:fldCharType="begin"/>
      </w:r>
      <w:r w:rsidRPr="00DE5E7E">
        <w:rPr>
          <w:szCs w:val="22"/>
        </w:rPr>
        <w:instrText xml:space="preserve"> DOCPROPERTY  DateMade </w:instrText>
      </w:r>
      <w:r w:rsidRPr="00DE5E7E">
        <w:rPr>
          <w:szCs w:val="22"/>
        </w:rPr>
        <w:fldChar w:fldCharType="separate"/>
      </w:r>
      <w:r w:rsidR="00BD12E2" w:rsidRPr="00DE5E7E">
        <w:rPr>
          <w:szCs w:val="22"/>
        </w:rPr>
        <w:t>2023</w:t>
      </w:r>
      <w:r w:rsidRPr="00DE5E7E">
        <w:rPr>
          <w:szCs w:val="22"/>
        </w:rPr>
        <w:fldChar w:fldCharType="end"/>
      </w:r>
    </w:p>
    <w:p w14:paraId="057E6626" w14:textId="77777777" w:rsidR="00AE79B5" w:rsidRPr="00DE5E7E" w:rsidRDefault="00AE79B5" w:rsidP="00B437B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E5E7E">
        <w:rPr>
          <w:szCs w:val="22"/>
        </w:rPr>
        <w:t>David Hurley</w:t>
      </w:r>
    </w:p>
    <w:p w14:paraId="5D21627F" w14:textId="77777777" w:rsidR="00AE79B5" w:rsidRPr="00DE5E7E" w:rsidRDefault="00AE79B5" w:rsidP="00B437B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E5E7E">
        <w:rPr>
          <w:szCs w:val="22"/>
        </w:rPr>
        <w:t>Governor</w:t>
      </w:r>
      <w:r w:rsidR="00D175AA" w:rsidRPr="00DE5E7E">
        <w:rPr>
          <w:szCs w:val="22"/>
        </w:rPr>
        <w:noBreakHyphen/>
      </w:r>
      <w:r w:rsidRPr="00DE5E7E">
        <w:rPr>
          <w:szCs w:val="22"/>
        </w:rPr>
        <w:t>General</w:t>
      </w:r>
    </w:p>
    <w:p w14:paraId="64CC7FCC" w14:textId="77777777" w:rsidR="00AE79B5" w:rsidRPr="00DE5E7E" w:rsidRDefault="00AE79B5" w:rsidP="00B437B3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DE5E7E">
        <w:rPr>
          <w:szCs w:val="22"/>
        </w:rPr>
        <w:t>By His Excellency’s Command</w:t>
      </w:r>
    </w:p>
    <w:p w14:paraId="144F90E6" w14:textId="77777777" w:rsidR="00AE79B5" w:rsidRPr="00DE5E7E" w:rsidRDefault="00AE79B5" w:rsidP="00B437B3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E5E7E">
        <w:rPr>
          <w:szCs w:val="22"/>
        </w:rPr>
        <w:t>Mark Butler</w:t>
      </w:r>
    </w:p>
    <w:p w14:paraId="4B768E96" w14:textId="77777777" w:rsidR="00AE79B5" w:rsidRPr="00DE5E7E" w:rsidRDefault="00AE79B5" w:rsidP="00B437B3">
      <w:pPr>
        <w:pStyle w:val="SignCoverPageEnd"/>
        <w:rPr>
          <w:szCs w:val="22"/>
        </w:rPr>
      </w:pPr>
      <w:r w:rsidRPr="00DE5E7E">
        <w:rPr>
          <w:szCs w:val="22"/>
        </w:rPr>
        <w:t>Minister for Health and Aged Care</w:t>
      </w:r>
    </w:p>
    <w:p w14:paraId="1E48F1D4" w14:textId="77777777" w:rsidR="00AE79B5" w:rsidRPr="00DE5E7E" w:rsidRDefault="00AE79B5" w:rsidP="00B437B3"/>
    <w:p w14:paraId="6F72039E" w14:textId="77777777" w:rsidR="00AE79B5" w:rsidRPr="00DE5E7E" w:rsidRDefault="00AE79B5" w:rsidP="00B437B3"/>
    <w:p w14:paraId="0401A7AF" w14:textId="77777777" w:rsidR="00AE79B5" w:rsidRPr="00DE5E7E" w:rsidRDefault="00AE79B5" w:rsidP="00B437B3"/>
    <w:p w14:paraId="4E8A8B9C" w14:textId="77777777" w:rsidR="0048364F" w:rsidRPr="00DE5E7E" w:rsidRDefault="0048364F" w:rsidP="0048364F">
      <w:pPr>
        <w:pStyle w:val="Header"/>
        <w:tabs>
          <w:tab w:val="clear" w:pos="4150"/>
          <w:tab w:val="clear" w:pos="8307"/>
        </w:tabs>
      </w:pPr>
      <w:r w:rsidRPr="00DE5E7E">
        <w:rPr>
          <w:rStyle w:val="CharAmSchNo"/>
        </w:rPr>
        <w:t xml:space="preserve"> </w:t>
      </w:r>
      <w:r w:rsidRPr="00DE5E7E">
        <w:rPr>
          <w:rStyle w:val="CharAmSchText"/>
        </w:rPr>
        <w:t xml:space="preserve"> </w:t>
      </w:r>
    </w:p>
    <w:p w14:paraId="341AD1DD" w14:textId="77777777" w:rsidR="0048364F" w:rsidRPr="00DE5E7E" w:rsidRDefault="0048364F" w:rsidP="0048364F">
      <w:pPr>
        <w:pStyle w:val="Header"/>
        <w:tabs>
          <w:tab w:val="clear" w:pos="4150"/>
          <w:tab w:val="clear" w:pos="8307"/>
        </w:tabs>
      </w:pPr>
      <w:r w:rsidRPr="00DE5E7E">
        <w:rPr>
          <w:rStyle w:val="CharAmPartNo"/>
        </w:rPr>
        <w:t xml:space="preserve"> </w:t>
      </w:r>
      <w:r w:rsidRPr="00DE5E7E">
        <w:rPr>
          <w:rStyle w:val="CharAmPartText"/>
        </w:rPr>
        <w:t xml:space="preserve"> </w:t>
      </w:r>
    </w:p>
    <w:p w14:paraId="03F1DE3C" w14:textId="77777777" w:rsidR="0048364F" w:rsidRPr="00DE5E7E" w:rsidRDefault="0048364F" w:rsidP="0048364F">
      <w:pPr>
        <w:sectPr w:rsidR="0048364F" w:rsidRPr="00DE5E7E" w:rsidSect="0076045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0E75A31" w14:textId="77777777" w:rsidR="00220A0C" w:rsidRPr="00DE5E7E" w:rsidRDefault="0048364F" w:rsidP="0048364F">
      <w:pPr>
        <w:outlineLvl w:val="0"/>
        <w:rPr>
          <w:sz w:val="36"/>
        </w:rPr>
      </w:pPr>
      <w:r w:rsidRPr="00DE5E7E">
        <w:rPr>
          <w:sz w:val="36"/>
        </w:rPr>
        <w:lastRenderedPageBreak/>
        <w:t>Contents</w:t>
      </w:r>
    </w:p>
    <w:p w14:paraId="767C050E" w14:textId="61D51807" w:rsidR="00CD4104" w:rsidRPr="00DE5E7E" w:rsidRDefault="00CD410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E5E7E">
        <w:fldChar w:fldCharType="begin"/>
      </w:r>
      <w:r w:rsidRPr="00DE5E7E">
        <w:instrText xml:space="preserve"> TOC \o "1-9" </w:instrText>
      </w:r>
      <w:r w:rsidRPr="00DE5E7E">
        <w:fldChar w:fldCharType="separate"/>
      </w:r>
      <w:r w:rsidRPr="00DE5E7E">
        <w:rPr>
          <w:noProof/>
        </w:rPr>
        <w:t>1</w:t>
      </w:r>
      <w:r w:rsidRPr="00DE5E7E">
        <w:rPr>
          <w:noProof/>
        </w:rPr>
        <w:tab/>
        <w:t>Name</w:t>
      </w:r>
      <w:r w:rsidRPr="00DE5E7E">
        <w:rPr>
          <w:noProof/>
        </w:rPr>
        <w:tab/>
      </w:r>
      <w:r w:rsidRPr="00DE5E7E">
        <w:rPr>
          <w:noProof/>
        </w:rPr>
        <w:fldChar w:fldCharType="begin"/>
      </w:r>
      <w:r w:rsidRPr="00DE5E7E">
        <w:rPr>
          <w:noProof/>
        </w:rPr>
        <w:instrText xml:space="preserve"> PAGEREF _Toc146898117 \h </w:instrText>
      </w:r>
      <w:r w:rsidRPr="00DE5E7E">
        <w:rPr>
          <w:noProof/>
        </w:rPr>
      </w:r>
      <w:r w:rsidRPr="00DE5E7E">
        <w:rPr>
          <w:noProof/>
        </w:rPr>
        <w:fldChar w:fldCharType="separate"/>
      </w:r>
      <w:r w:rsidR="00BD12E2" w:rsidRPr="00DE5E7E">
        <w:rPr>
          <w:noProof/>
        </w:rPr>
        <w:t>1</w:t>
      </w:r>
      <w:r w:rsidRPr="00DE5E7E">
        <w:rPr>
          <w:noProof/>
        </w:rPr>
        <w:fldChar w:fldCharType="end"/>
      </w:r>
    </w:p>
    <w:p w14:paraId="0EDAE2A6" w14:textId="0A2E9FF6" w:rsidR="00CD4104" w:rsidRPr="00DE5E7E" w:rsidRDefault="00CD410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E5E7E">
        <w:rPr>
          <w:noProof/>
        </w:rPr>
        <w:t>2</w:t>
      </w:r>
      <w:r w:rsidRPr="00DE5E7E">
        <w:rPr>
          <w:noProof/>
        </w:rPr>
        <w:tab/>
        <w:t>Commencement</w:t>
      </w:r>
      <w:r w:rsidRPr="00DE5E7E">
        <w:rPr>
          <w:noProof/>
        </w:rPr>
        <w:tab/>
      </w:r>
      <w:r w:rsidRPr="00DE5E7E">
        <w:rPr>
          <w:noProof/>
        </w:rPr>
        <w:fldChar w:fldCharType="begin"/>
      </w:r>
      <w:r w:rsidRPr="00DE5E7E">
        <w:rPr>
          <w:noProof/>
        </w:rPr>
        <w:instrText xml:space="preserve"> PAGEREF _Toc146898118 \h </w:instrText>
      </w:r>
      <w:r w:rsidRPr="00DE5E7E">
        <w:rPr>
          <w:noProof/>
        </w:rPr>
      </w:r>
      <w:r w:rsidRPr="00DE5E7E">
        <w:rPr>
          <w:noProof/>
        </w:rPr>
        <w:fldChar w:fldCharType="separate"/>
      </w:r>
      <w:r w:rsidR="00BD12E2" w:rsidRPr="00DE5E7E">
        <w:rPr>
          <w:noProof/>
        </w:rPr>
        <w:t>1</w:t>
      </w:r>
      <w:r w:rsidRPr="00DE5E7E">
        <w:rPr>
          <w:noProof/>
        </w:rPr>
        <w:fldChar w:fldCharType="end"/>
      </w:r>
    </w:p>
    <w:p w14:paraId="7E35B7D1" w14:textId="6366CD4F" w:rsidR="00CD4104" w:rsidRPr="00DE5E7E" w:rsidRDefault="00CD410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E5E7E">
        <w:rPr>
          <w:noProof/>
        </w:rPr>
        <w:t>3</w:t>
      </w:r>
      <w:r w:rsidRPr="00DE5E7E">
        <w:rPr>
          <w:noProof/>
        </w:rPr>
        <w:tab/>
        <w:t>Authority</w:t>
      </w:r>
      <w:r w:rsidRPr="00DE5E7E">
        <w:rPr>
          <w:noProof/>
        </w:rPr>
        <w:tab/>
      </w:r>
      <w:r w:rsidRPr="00DE5E7E">
        <w:rPr>
          <w:noProof/>
        </w:rPr>
        <w:fldChar w:fldCharType="begin"/>
      </w:r>
      <w:r w:rsidRPr="00DE5E7E">
        <w:rPr>
          <w:noProof/>
        </w:rPr>
        <w:instrText xml:space="preserve"> PAGEREF _Toc146898119 \h </w:instrText>
      </w:r>
      <w:r w:rsidRPr="00DE5E7E">
        <w:rPr>
          <w:noProof/>
        </w:rPr>
      </w:r>
      <w:r w:rsidRPr="00DE5E7E">
        <w:rPr>
          <w:noProof/>
        </w:rPr>
        <w:fldChar w:fldCharType="separate"/>
      </w:r>
      <w:r w:rsidR="00BD12E2" w:rsidRPr="00DE5E7E">
        <w:rPr>
          <w:noProof/>
        </w:rPr>
        <w:t>1</w:t>
      </w:r>
      <w:r w:rsidRPr="00DE5E7E">
        <w:rPr>
          <w:noProof/>
        </w:rPr>
        <w:fldChar w:fldCharType="end"/>
      </w:r>
    </w:p>
    <w:p w14:paraId="6DD9D1FF" w14:textId="06066E3C" w:rsidR="00CD4104" w:rsidRPr="00DE5E7E" w:rsidRDefault="00CD410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E5E7E">
        <w:rPr>
          <w:noProof/>
        </w:rPr>
        <w:t>4</w:t>
      </w:r>
      <w:r w:rsidRPr="00DE5E7E">
        <w:rPr>
          <w:noProof/>
        </w:rPr>
        <w:tab/>
        <w:t>Schedules</w:t>
      </w:r>
      <w:r w:rsidRPr="00DE5E7E">
        <w:rPr>
          <w:noProof/>
        </w:rPr>
        <w:tab/>
      </w:r>
      <w:r w:rsidRPr="00DE5E7E">
        <w:rPr>
          <w:noProof/>
        </w:rPr>
        <w:fldChar w:fldCharType="begin"/>
      </w:r>
      <w:r w:rsidRPr="00DE5E7E">
        <w:rPr>
          <w:noProof/>
        </w:rPr>
        <w:instrText xml:space="preserve"> PAGEREF _Toc146898120 \h </w:instrText>
      </w:r>
      <w:r w:rsidRPr="00DE5E7E">
        <w:rPr>
          <w:noProof/>
        </w:rPr>
      </w:r>
      <w:r w:rsidRPr="00DE5E7E">
        <w:rPr>
          <w:noProof/>
        </w:rPr>
        <w:fldChar w:fldCharType="separate"/>
      </w:r>
      <w:r w:rsidR="00BD12E2" w:rsidRPr="00DE5E7E">
        <w:rPr>
          <w:noProof/>
        </w:rPr>
        <w:t>1</w:t>
      </w:r>
      <w:r w:rsidRPr="00DE5E7E">
        <w:rPr>
          <w:noProof/>
        </w:rPr>
        <w:fldChar w:fldCharType="end"/>
      </w:r>
    </w:p>
    <w:p w14:paraId="585A1441" w14:textId="348710DD" w:rsidR="00CD4104" w:rsidRPr="00DE5E7E" w:rsidRDefault="00CD410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E5E7E">
        <w:rPr>
          <w:noProof/>
        </w:rPr>
        <w:t>Schedule 1—Amendments</w:t>
      </w:r>
      <w:r w:rsidRPr="00DE5E7E">
        <w:rPr>
          <w:b w:val="0"/>
          <w:noProof/>
          <w:sz w:val="18"/>
        </w:rPr>
        <w:tab/>
      </w:r>
      <w:r w:rsidRPr="00DE5E7E">
        <w:rPr>
          <w:b w:val="0"/>
          <w:noProof/>
          <w:sz w:val="18"/>
        </w:rPr>
        <w:fldChar w:fldCharType="begin"/>
      </w:r>
      <w:r w:rsidRPr="00DE5E7E">
        <w:rPr>
          <w:b w:val="0"/>
          <w:noProof/>
          <w:sz w:val="18"/>
        </w:rPr>
        <w:instrText xml:space="preserve"> PAGEREF _Toc146898121 \h </w:instrText>
      </w:r>
      <w:r w:rsidRPr="00DE5E7E">
        <w:rPr>
          <w:b w:val="0"/>
          <w:noProof/>
          <w:sz w:val="18"/>
        </w:rPr>
      </w:r>
      <w:r w:rsidRPr="00DE5E7E">
        <w:rPr>
          <w:b w:val="0"/>
          <w:noProof/>
          <w:sz w:val="18"/>
        </w:rPr>
        <w:fldChar w:fldCharType="separate"/>
      </w:r>
      <w:r w:rsidR="00BD12E2" w:rsidRPr="00DE5E7E">
        <w:rPr>
          <w:b w:val="0"/>
          <w:noProof/>
          <w:sz w:val="18"/>
        </w:rPr>
        <w:t>2</w:t>
      </w:r>
      <w:r w:rsidRPr="00DE5E7E">
        <w:rPr>
          <w:b w:val="0"/>
          <w:noProof/>
          <w:sz w:val="18"/>
        </w:rPr>
        <w:fldChar w:fldCharType="end"/>
      </w:r>
    </w:p>
    <w:p w14:paraId="12C7DBC1" w14:textId="31D50C48" w:rsidR="00CD4104" w:rsidRPr="00DE5E7E" w:rsidRDefault="00CD4104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E5E7E">
        <w:rPr>
          <w:noProof/>
        </w:rPr>
        <w:t>Part 1—Extension of transitional arrangements for reclassified medical devices and personalised medical devices</w:t>
      </w:r>
      <w:r w:rsidRPr="00DE5E7E">
        <w:rPr>
          <w:noProof/>
          <w:sz w:val="18"/>
        </w:rPr>
        <w:tab/>
      </w:r>
      <w:r w:rsidRPr="00DE5E7E">
        <w:rPr>
          <w:noProof/>
          <w:sz w:val="18"/>
        </w:rPr>
        <w:fldChar w:fldCharType="begin"/>
      </w:r>
      <w:r w:rsidRPr="00DE5E7E">
        <w:rPr>
          <w:noProof/>
          <w:sz w:val="18"/>
        </w:rPr>
        <w:instrText xml:space="preserve"> PAGEREF _Toc146898122 \h </w:instrText>
      </w:r>
      <w:r w:rsidRPr="00DE5E7E">
        <w:rPr>
          <w:noProof/>
          <w:sz w:val="18"/>
        </w:rPr>
      </w:r>
      <w:r w:rsidRPr="00DE5E7E">
        <w:rPr>
          <w:noProof/>
          <w:sz w:val="18"/>
        </w:rPr>
        <w:fldChar w:fldCharType="separate"/>
      </w:r>
      <w:r w:rsidR="00BD12E2" w:rsidRPr="00DE5E7E">
        <w:rPr>
          <w:noProof/>
          <w:sz w:val="18"/>
        </w:rPr>
        <w:t>2</w:t>
      </w:r>
      <w:r w:rsidRPr="00DE5E7E">
        <w:rPr>
          <w:noProof/>
          <w:sz w:val="18"/>
        </w:rPr>
        <w:fldChar w:fldCharType="end"/>
      </w:r>
    </w:p>
    <w:p w14:paraId="1846424C" w14:textId="51E73946" w:rsidR="00CD4104" w:rsidRPr="00DE5E7E" w:rsidRDefault="00CD410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E5E7E">
        <w:rPr>
          <w:noProof/>
        </w:rPr>
        <w:t>Therapeutic Goods (Medical Devices) Regulations 2002</w:t>
      </w:r>
      <w:r w:rsidRPr="00DE5E7E">
        <w:rPr>
          <w:i w:val="0"/>
          <w:noProof/>
          <w:sz w:val="18"/>
        </w:rPr>
        <w:tab/>
      </w:r>
      <w:r w:rsidRPr="00DE5E7E">
        <w:rPr>
          <w:i w:val="0"/>
          <w:noProof/>
          <w:sz w:val="18"/>
        </w:rPr>
        <w:fldChar w:fldCharType="begin"/>
      </w:r>
      <w:r w:rsidRPr="00DE5E7E">
        <w:rPr>
          <w:i w:val="0"/>
          <w:noProof/>
          <w:sz w:val="18"/>
        </w:rPr>
        <w:instrText xml:space="preserve"> PAGEREF _Toc146898123 \h </w:instrText>
      </w:r>
      <w:r w:rsidRPr="00DE5E7E">
        <w:rPr>
          <w:i w:val="0"/>
          <w:noProof/>
          <w:sz w:val="18"/>
        </w:rPr>
      </w:r>
      <w:r w:rsidRPr="00DE5E7E">
        <w:rPr>
          <w:i w:val="0"/>
          <w:noProof/>
          <w:sz w:val="18"/>
        </w:rPr>
        <w:fldChar w:fldCharType="separate"/>
      </w:r>
      <w:r w:rsidR="00BD12E2" w:rsidRPr="00DE5E7E">
        <w:rPr>
          <w:i w:val="0"/>
          <w:noProof/>
          <w:sz w:val="18"/>
        </w:rPr>
        <w:t>2</w:t>
      </w:r>
      <w:r w:rsidRPr="00DE5E7E">
        <w:rPr>
          <w:i w:val="0"/>
          <w:noProof/>
          <w:sz w:val="18"/>
        </w:rPr>
        <w:fldChar w:fldCharType="end"/>
      </w:r>
    </w:p>
    <w:p w14:paraId="5A6A2683" w14:textId="77809DAE" w:rsidR="00CD4104" w:rsidRPr="00DE5E7E" w:rsidRDefault="00CD4104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E5E7E">
        <w:rPr>
          <w:noProof/>
        </w:rPr>
        <w:t>Part 2—Clinical trials</w:t>
      </w:r>
      <w:r w:rsidRPr="00DE5E7E">
        <w:rPr>
          <w:noProof/>
          <w:sz w:val="18"/>
        </w:rPr>
        <w:tab/>
      </w:r>
      <w:r w:rsidRPr="00DE5E7E">
        <w:rPr>
          <w:noProof/>
          <w:sz w:val="18"/>
        </w:rPr>
        <w:fldChar w:fldCharType="begin"/>
      </w:r>
      <w:r w:rsidRPr="00DE5E7E">
        <w:rPr>
          <w:noProof/>
          <w:sz w:val="18"/>
        </w:rPr>
        <w:instrText xml:space="preserve"> PAGEREF _Toc146898124 \h </w:instrText>
      </w:r>
      <w:r w:rsidRPr="00DE5E7E">
        <w:rPr>
          <w:noProof/>
          <w:sz w:val="18"/>
        </w:rPr>
      </w:r>
      <w:r w:rsidRPr="00DE5E7E">
        <w:rPr>
          <w:noProof/>
          <w:sz w:val="18"/>
        </w:rPr>
        <w:fldChar w:fldCharType="separate"/>
      </w:r>
      <w:r w:rsidR="00BD12E2" w:rsidRPr="00DE5E7E">
        <w:rPr>
          <w:noProof/>
          <w:sz w:val="18"/>
        </w:rPr>
        <w:t>3</w:t>
      </w:r>
      <w:r w:rsidRPr="00DE5E7E">
        <w:rPr>
          <w:noProof/>
          <w:sz w:val="18"/>
        </w:rPr>
        <w:fldChar w:fldCharType="end"/>
      </w:r>
    </w:p>
    <w:p w14:paraId="355465AE" w14:textId="2D69FE42" w:rsidR="00CD4104" w:rsidRPr="00DE5E7E" w:rsidRDefault="00CD410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E5E7E">
        <w:rPr>
          <w:noProof/>
        </w:rPr>
        <w:t>Therapeutic Goods (Medical Devices) Regulations 2002</w:t>
      </w:r>
      <w:r w:rsidRPr="00DE5E7E">
        <w:rPr>
          <w:i w:val="0"/>
          <w:noProof/>
          <w:sz w:val="18"/>
        </w:rPr>
        <w:tab/>
      </w:r>
      <w:r w:rsidRPr="00DE5E7E">
        <w:rPr>
          <w:i w:val="0"/>
          <w:noProof/>
          <w:sz w:val="18"/>
        </w:rPr>
        <w:fldChar w:fldCharType="begin"/>
      </w:r>
      <w:r w:rsidRPr="00DE5E7E">
        <w:rPr>
          <w:i w:val="0"/>
          <w:noProof/>
          <w:sz w:val="18"/>
        </w:rPr>
        <w:instrText xml:space="preserve"> PAGEREF _Toc146898125 \h </w:instrText>
      </w:r>
      <w:r w:rsidRPr="00DE5E7E">
        <w:rPr>
          <w:i w:val="0"/>
          <w:noProof/>
          <w:sz w:val="18"/>
        </w:rPr>
      </w:r>
      <w:r w:rsidRPr="00DE5E7E">
        <w:rPr>
          <w:i w:val="0"/>
          <w:noProof/>
          <w:sz w:val="18"/>
        </w:rPr>
        <w:fldChar w:fldCharType="separate"/>
      </w:r>
      <w:r w:rsidR="00BD12E2" w:rsidRPr="00DE5E7E">
        <w:rPr>
          <w:i w:val="0"/>
          <w:noProof/>
          <w:sz w:val="18"/>
        </w:rPr>
        <w:t>3</w:t>
      </w:r>
      <w:r w:rsidRPr="00DE5E7E">
        <w:rPr>
          <w:i w:val="0"/>
          <w:noProof/>
          <w:sz w:val="18"/>
        </w:rPr>
        <w:fldChar w:fldCharType="end"/>
      </w:r>
    </w:p>
    <w:p w14:paraId="01CD81E2" w14:textId="3DC25485" w:rsidR="00CD4104" w:rsidRPr="00DE5E7E" w:rsidRDefault="00CD410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E5E7E">
        <w:rPr>
          <w:noProof/>
        </w:rPr>
        <w:t>Therapeutic Goods Regulations 1990</w:t>
      </w:r>
      <w:r w:rsidRPr="00DE5E7E">
        <w:rPr>
          <w:i w:val="0"/>
          <w:noProof/>
          <w:sz w:val="18"/>
        </w:rPr>
        <w:tab/>
      </w:r>
      <w:r w:rsidRPr="00DE5E7E">
        <w:rPr>
          <w:i w:val="0"/>
          <w:noProof/>
          <w:sz w:val="18"/>
        </w:rPr>
        <w:fldChar w:fldCharType="begin"/>
      </w:r>
      <w:r w:rsidRPr="00DE5E7E">
        <w:rPr>
          <w:i w:val="0"/>
          <w:noProof/>
          <w:sz w:val="18"/>
        </w:rPr>
        <w:instrText xml:space="preserve"> PAGEREF _Toc146898128 \h </w:instrText>
      </w:r>
      <w:r w:rsidRPr="00DE5E7E">
        <w:rPr>
          <w:i w:val="0"/>
          <w:noProof/>
          <w:sz w:val="18"/>
        </w:rPr>
      </w:r>
      <w:r w:rsidRPr="00DE5E7E">
        <w:rPr>
          <w:i w:val="0"/>
          <w:noProof/>
          <w:sz w:val="18"/>
        </w:rPr>
        <w:fldChar w:fldCharType="separate"/>
      </w:r>
      <w:r w:rsidR="00BD12E2" w:rsidRPr="00DE5E7E">
        <w:rPr>
          <w:i w:val="0"/>
          <w:noProof/>
          <w:sz w:val="18"/>
        </w:rPr>
        <w:t>4</w:t>
      </w:r>
      <w:r w:rsidRPr="00DE5E7E">
        <w:rPr>
          <w:i w:val="0"/>
          <w:noProof/>
          <w:sz w:val="18"/>
        </w:rPr>
        <w:fldChar w:fldCharType="end"/>
      </w:r>
    </w:p>
    <w:p w14:paraId="43FC5B05" w14:textId="74EA5036" w:rsidR="00CD4104" w:rsidRPr="00DE5E7E" w:rsidRDefault="00CD4104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E5E7E">
        <w:rPr>
          <w:noProof/>
        </w:rPr>
        <w:t>Part 3—Authorised prescriber scheme</w:t>
      </w:r>
      <w:r w:rsidRPr="00DE5E7E">
        <w:rPr>
          <w:noProof/>
          <w:sz w:val="18"/>
        </w:rPr>
        <w:tab/>
      </w:r>
      <w:r w:rsidRPr="00DE5E7E">
        <w:rPr>
          <w:noProof/>
          <w:sz w:val="18"/>
        </w:rPr>
        <w:fldChar w:fldCharType="begin"/>
      </w:r>
      <w:r w:rsidRPr="00DE5E7E">
        <w:rPr>
          <w:noProof/>
          <w:sz w:val="18"/>
        </w:rPr>
        <w:instrText xml:space="preserve"> PAGEREF _Toc146898131 \h </w:instrText>
      </w:r>
      <w:r w:rsidRPr="00DE5E7E">
        <w:rPr>
          <w:noProof/>
          <w:sz w:val="18"/>
        </w:rPr>
      </w:r>
      <w:r w:rsidRPr="00DE5E7E">
        <w:rPr>
          <w:noProof/>
          <w:sz w:val="18"/>
        </w:rPr>
        <w:fldChar w:fldCharType="separate"/>
      </w:r>
      <w:r w:rsidR="00BD12E2" w:rsidRPr="00DE5E7E">
        <w:rPr>
          <w:noProof/>
          <w:sz w:val="18"/>
        </w:rPr>
        <w:t>5</w:t>
      </w:r>
      <w:r w:rsidRPr="00DE5E7E">
        <w:rPr>
          <w:noProof/>
          <w:sz w:val="18"/>
        </w:rPr>
        <w:fldChar w:fldCharType="end"/>
      </w:r>
    </w:p>
    <w:p w14:paraId="433CB732" w14:textId="085D4240" w:rsidR="00CD4104" w:rsidRPr="00DE5E7E" w:rsidRDefault="00CD410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E5E7E">
        <w:rPr>
          <w:noProof/>
        </w:rPr>
        <w:t>Therapeutic Goods Regulations 1990</w:t>
      </w:r>
      <w:r w:rsidRPr="00DE5E7E">
        <w:rPr>
          <w:i w:val="0"/>
          <w:noProof/>
          <w:sz w:val="18"/>
        </w:rPr>
        <w:tab/>
      </w:r>
      <w:r w:rsidRPr="00DE5E7E">
        <w:rPr>
          <w:i w:val="0"/>
          <w:noProof/>
          <w:sz w:val="18"/>
        </w:rPr>
        <w:fldChar w:fldCharType="begin"/>
      </w:r>
      <w:r w:rsidRPr="00DE5E7E">
        <w:rPr>
          <w:i w:val="0"/>
          <w:noProof/>
          <w:sz w:val="18"/>
        </w:rPr>
        <w:instrText xml:space="preserve"> PAGEREF _Toc146898132 \h </w:instrText>
      </w:r>
      <w:r w:rsidRPr="00DE5E7E">
        <w:rPr>
          <w:i w:val="0"/>
          <w:noProof/>
          <w:sz w:val="18"/>
        </w:rPr>
      </w:r>
      <w:r w:rsidRPr="00DE5E7E">
        <w:rPr>
          <w:i w:val="0"/>
          <w:noProof/>
          <w:sz w:val="18"/>
        </w:rPr>
        <w:fldChar w:fldCharType="separate"/>
      </w:r>
      <w:r w:rsidR="00BD12E2" w:rsidRPr="00DE5E7E">
        <w:rPr>
          <w:i w:val="0"/>
          <w:noProof/>
          <w:sz w:val="18"/>
        </w:rPr>
        <w:t>5</w:t>
      </w:r>
      <w:r w:rsidRPr="00DE5E7E">
        <w:rPr>
          <w:i w:val="0"/>
          <w:noProof/>
          <w:sz w:val="18"/>
        </w:rPr>
        <w:fldChar w:fldCharType="end"/>
      </w:r>
    </w:p>
    <w:p w14:paraId="0B4CC49F" w14:textId="69478FB7" w:rsidR="00CD4104" w:rsidRPr="00DE5E7E" w:rsidRDefault="00CD4104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E5E7E">
        <w:rPr>
          <w:noProof/>
        </w:rPr>
        <w:t>Part 4—Fees for certain vaccine strains updates</w:t>
      </w:r>
      <w:r w:rsidRPr="00DE5E7E">
        <w:rPr>
          <w:noProof/>
          <w:sz w:val="18"/>
        </w:rPr>
        <w:tab/>
      </w:r>
      <w:r w:rsidRPr="00DE5E7E">
        <w:rPr>
          <w:noProof/>
          <w:sz w:val="18"/>
        </w:rPr>
        <w:fldChar w:fldCharType="begin"/>
      </w:r>
      <w:r w:rsidRPr="00DE5E7E">
        <w:rPr>
          <w:noProof/>
          <w:sz w:val="18"/>
        </w:rPr>
        <w:instrText xml:space="preserve"> PAGEREF _Toc146898133 \h </w:instrText>
      </w:r>
      <w:r w:rsidRPr="00DE5E7E">
        <w:rPr>
          <w:noProof/>
          <w:sz w:val="18"/>
        </w:rPr>
      </w:r>
      <w:r w:rsidRPr="00DE5E7E">
        <w:rPr>
          <w:noProof/>
          <w:sz w:val="18"/>
        </w:rPr>
        <w:fldChar w:fldCharType="separate"/>
      </w:r>
      <w:r w:rsidR="00BD12E2" w:rsidRPr="00DE5E7E">
        <w:rPr>
          <w:noProof/>
          <w:sz w:val="18"/>
        </w:rPr>
        <w:t>6</w:t>
      </w:r>
      <w:r w:rsidRPr="00DE5E7E">
        <w:rPr>
          <w:noProof/>
          <w:sz w:val="18"/>
        </w:rPr>
        <w:fldChar w:fldCharType="end"/>
      </w:r>
    </w:p>
    <w:p w14:paraId="1B1FB7DE" w14:textId="25DA62AE" w:rsidR="00CD4104" w:rsidRPr="00DE5E7E" w:rsidRDefault="00CD410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E5E7E">
        <w:rPr>
          <w:noProof/>
        </w:rPr>
        <w:t>Therapeutic Goods Regulations 1990</w:t>
      </w:r>
      <w:r w:rsidRPr="00DE5E7E">
        <w:rPr>
          <w:i w:val="0"/>
          <w:noProof/>
          <w:sz w:val="18"/>
        </w:rPr>
        <w:tab/>
      </w:r>
      <w:r w:rsidRPr="00DE5E7E">
        <w:rPr>
          <w:i w:val="0"/>
          <w:noProof/>
          <w:sz w:val="18"/>
        </w:rPr>
        <w:fldChar w:fldCharType="begin"/>
      </w:r>
      <w:r w:rsidRPr="00DE5E7E">
        <w:rPr>
          <w:i w:val="0"/>
          <w:noProof/>
          <w:sz w:val="18"/>
        </w:rPr>
        <w:instrText xml:space="preserve"> PAGEREF _Toc146898134 \h </w:instrText>
      </w:r>
      <w:r w:rsidRPr="00DE5E7E">
        <w:rPr>
          <w:i w:val="0"/>
          <w:noProof/>
          <w:sz w:val="18"/>
        </w:rPr>
      </w:r>
      <w:r w:rsidRPr="00DE5E7E">
        <w:rPr>
          <w:i w:val="0"/>
          <w:noProof/>
          <w:sz w:val="18"/>
        </w:rPr>
        <w:fldChar w:fldCharType="separate"/>
      </w:r>
      <w:r w:rsidR="00BD12E2" w:rsidRPr="00DE5E7E">
        <w:rPr>
          <w:i w:val="0"/>
          <w:noProof/>
          <w:sz w:val="18"/>
        </w:rPr>
        <w:t>6</w:t>
      </w:r>
      <w:r w:rsidRPr="00DE5E7E">
        <w:rPr>
          <w:i w:val="0"/>
          <w:noProof/>
          <w:sz w:val="18"/>
        </w:rPr>
        <w:fldChar w:fldCharType="end"/>
      </w:r>
    </w:p>
    <w:p w14:paraId="2ADD8AA7" w14:textId="4FF851FB" w:rsidR="00CD4104" w:rsidRPr="00DE5E7E" w:rsidRDefault="00CD4104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E5E7E">
        <w:rPr>
          <w:noProof/>
        </w:rPr>
        <w:t>Part 5—Removal of exemptions for sunscreen preparations</w:t>
      </w:r>
      <w:r w:rsidRPr="00DE5E7E">
        <w:rPr>
          <w:noProof/>
          <w:sz w:val="18"/>
        </w:rPr>
        <w:tab/>
      </w:r>
      <w:r w:rsidRPr="00DE5E7E">
        <w:rPr>
          <w:noProof/>
          <w:sz w:val="18"/>
        </w:rPr>
        <w:fldChar w:fldCharType="begin"/>
      </w:r>
      <w:r w:rsidRPr="00DE5E7E">
        <w:rPr>
          <w:noProof/>
          <w:sz w:val="18"/>
        </w:rPr>
        <w:instrText xml:space="preserve"> PAGEREF _Toc146898135 \h </w:instrText>
      </w:r>
      <w:r w:rsidRPr="00DE5E7E">
        <w:rPr>
          <w:noProof/>
          <w:sz w:val="18"/>
        </w:rPr>
      </w:r>
      <w:r w:rsidRPr="00DE5E7E">
        <w:rPr>
          <w:noProof/>
          <w:sz w:val="18"/>
        </w:rPr>
        <w:fldChar w:fldCharType="separate"/>
      </w:r>
      <w:r w:rsidR="00BD12E2" w:rsidRPr="00DE5E7E">
        <w:rPr>
          <w:noProof/>
          <w:sz w:val="18"/>
        </w:rPr>
        <w:t>7</w:t>
      </w:r>
      <w:r w:rsidRPr="00DE5E7E">
        <w:rPr>
          <w:noProof/>
          <w:sz w:val="18"/>
        </w:rPr>
        <w:fldChar w:fldCharType="end"/>
      </w:r>
    </w:p>
    <w:p w14:paraId="101CFBB1" w14:textId="079AC2CD" w:rsidR="00CD4104" w:rsidRPr="00DE5E7E" w:rsidRDefault="00CD410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E5E7E">
        <w:rPr>
          <w:noProof/>
        </w:rPr>
        <w:t>Therapeutic Goods Regulations 1990</w:t>
      </w:r>
      <w:r w:rsidRPr="00DE5E7E">
        <w:rPr>
          <w:i w:val="0"/>
          <w:noProof/>
          <w:sz w:val="18"/>
        </w:rPr>
        <w:tab/>
      </w:r>
      <w:r w:rsidRPr="00DE5E7E">
        <w:rPr>
          <w:i w:val="0"/>
          <w:noProof/>
          <w:sz w:val="18"/>
        </w:rPr>
        <w:fldChar w:fldCharType="begin"/>
      </w:r>
      <w:r w:rsidRPr="00DE5E7E">
        <w:rPr>
          <w:i w:val="0"/>
          <w:noProof/>
          <w:sz w:val="18"/>
        </w:rPr>
        <w:instrText xml:space="preserve"> PAGEREF _Toc146898136 \h </w:instrText>
      </w:r>
      <w:r w:rsidRPr="00DE5E7E">
        <w:rPr>
          <w:i w:val="0"/>
          <w:noProof/>
          <w:sz w:val="18"/>
        </w:rPr>
      </w:r>
      <w:r w:rsidRPr="00DE5E7E">
        <w:rPr>
          <w:i w:val="0"/>
          <w:noProof/>
          <w:sz w:val="18"/>
        </w:rPr>
        <w:fldChar w:fldCharType="separate"/>
      </w:r>
      <w:r w:rsidR="00BD12E2" w:rsidRPr="00DE5E7E">
        <w:rPr>
          <w:i w:val="0"/>
          <w:noProof/>
          <w:sz w:val="18"/>
        </w:rPr>
        <w:t>7</w:t>
      </w:r>
      <w:r w:rsidRPr="00DE5E7E">
        <w:rPr>
          <w:i w:val="0"/>
          <w:noProof/>
          <w:sz w:val="18"/>
        </w:rPr>
        <w:fldChar w:fldCharType="end"/>
      </w:r>
    </w:p>
    <w:p w14:paraId="42F072AB" w14:textId="66474DE9" w:rsidR="00CD4104" w:rsidRPr="00DE5E7E" w:rsidRDefault="00CD4104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E5E7E">
        <w:rPr>
          <w:noProof/>
        </w:rPr>
        <w:t>Part 6—Minor amendments</w:t>
      </w:r>
      <w:r w:rsidRPr="00DE5E7E">
        <w:rPr>
          <w:noProof/>
          <w:sz w:val="18"/>
        </w:rPr>
        <w:tab/>
      </w:r>
      <w:r w:rsidRPr="00DE5E7E">
        <w:rPr>
          <w:noProof/>
          <w:sz w:val="18"/>
        </w:rPr>
        <w:fldChar w:fldCharType="begin"/>
      </w:r>
      <w:r w:rsidRPr="00DE5E7E">
        <w:rPr>
          <w:noProof/>
          <w:sz w:val="18"/>
        </w:rPr>
        <w:instrText xml:space="preserve"> PAGEREF _Toc146898138 \h </w:instrText>
      </w:r>
      <w:r w:rsidRPr="00DE5E7E">
        <w:rPr>
          <w:noProof/>
          <w:sz w:val="18"/>
        </w:rPr>
      </w:r>
      <w:r w:rsidRPr="00DE5E7E">
        <w:rPr>
          <w:noProof/>
          <w:sz w:val="18"/>
        </w:rPr>
        <w:fldChar w:fldCharType="separate"/>
      </w:r>
      <w:r w:rsidR="00BD12E2" w:rsidRPr="00DE5E7E">
        <w:rPr>
          <w:noProof/>
          <w:sz w:val="18"/>
        </w:rPr>
        <w:t>8</w:t>
      </w:r>
      <w:r w:rsidRPr="00DE5E7E">
        <w:rPr>
          <w:noProof/>
          <w:sz w:val="18"/>
        </w:rPr>
        <w:fldChar w:fldCharType="end"/>
      </w:r>
    </w:p>
    <w:p w14:paraId="1D6BDAE5" w14:textId="7896C202" w:rsidR="00CD4104" w:rsidRPr="00DE5E7E" w:rsidRDefault="00CD410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E5E7E">
        <w:rPr>
          <w:noProof/>
        </w:rPr>
        <w:t>Therapeutic Goods (Medical Devices) Regulations 2002</w:t>
      </w:r>
      <w:r w:rsidRPr="00DE5E7E">
        <w:rPr>
          <w:i w:val="0"/>
          <w:noProof/>
          <w:sz w:val="18"/>
        </w:rPr>
        <w:tab/>
      </w:r>
      <w:r w:rsidRPr="00DE5E7E">
        <w:rPr>
          <w:i w:val="0"/>
          <w:noProof/>
          <w:sz w:val="18"/>
        </w:rPr>
        <w:fldChar w:fldCharType="begin"/>
      </w:r>
      <w:r w:rsidRPr="00DE5E7E">
        <w:rPr>
          <w:i w:val="0"/>
          <w:noProof/>
          <w:sz w:val="18"/>
        </w:rPr>
        <w:instrText xml:space="preserve"> PAGEREF _Toc146898139 \h </w:instrText>
      </w:r>
      <w:r w:rsidRPr="00DE5E7E">
        <w:rPr>
          <w:i w:val="0"/>
          <w:noProof/>
          <w:sz w:val="18"/>
        </w:rPr>
      </w:r>
      <w:r w:rsidRPr="00DE5E7E">
        <w:rPr>
          <w:i w:val="0"/>
          <w:noProof/>
          <w:sz w:val="18"/>
        </w:rPr>
        <w:fldChar w:fldCharType="separate"/>
      </w:r>
      <w:r w:rsidR="00BD12E2" w:rsidRPr="00DE5E7E">
        <w:rPr>
          <w:i w:val="0"/>
          <w:noProof/>
          <w:sz w:val="18"/>
        </w:rPr>
        <w:t>8</w:t>
      </w:r>
      <w:r w:rsidRPr="00DE5E7E">
        <w:rPr>
          <w:i w:val="0"/>
          <w:noProof/>
          <w:sz w:val="18"/>
        </w:rPr>
        <w:fldChar w:fldCharType="end"/>
      </w:r>
    </w:p>
    <w:p w14:paraId="4DB955B0" w14:textId="1F9B0498" w:rsidR="00CD4104" w:rsidRPr="00DE5E7E" w:rsidRDefault="00CD410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E5E7E">
        <w:rPr>
          <w:noProof/>
        </w:rPr>
        <w:t>Therapeutic Goods Regulations 1990</w:t>
      </w:r>
      <w:r w:rsidRPr="00DE5E7E">
        <w:rPr>
          <w:i w:val="0"/>
          <w:noProof/>
          <w:sz w:val="18"/>
        </w:rPr>
        <w:tab/>
      </w:r>
      <w:r w:rsidRPr="00DE5E7E">
        <w:rPr>
          <w:i w:val="0"/>
          <w:noProof/>
          <w:sz w:val="18"/>
        </w:rPr>
        <w:fldChar w:fldCharType="begin"/>
      </w:r>
      <w:r w:rsidRPr="00DE5E7E">
        <w:rPr>
          <w:i w:val="0"/>
          <w:noProof/>
          <w:sz w:val="18"/>
        </w:rPr>
        <w:instrText xml:space="preserve"> PAGEREF _Toc146898140 \h </w:instrText>
      </w:r>
      <w:r w:rsidRPr="00DE5E7E">
        <w:rPr>
          <w:i w:val="0"/>
          <w:noProof/>
          <w:sz w:val="18"/>
        </w:rPr>
      </w:r>
      <w:r w:rsidRPr="00DE5E7E">
        <w:rPr>
          <w:i w:val="0"/>
          <w:noProof/>
          <w:sz w:val="18"/>
        </w:rPr>
        <w:fldChar w:fldCharType="separate"/>
      </w:r>
      <w:r w:rsidR="00BD12E2" w:rsidRPr="00DE5E7E">
        <w:rPr>
          <w:i w:val="0"/>
          <w:noProof/>
          <w:sz w:val="18"/>
        </w:rPr>
        <w:t>8</w:t>
      </w:r>
      <w:r w:rsidRPr="00DE5E7E">
        <w:rPr>
          <w:i w:val="0"/>
          <w:noProof/>
          <w:sz w:val="18"/>
        </w:rPr>
        <w:fldChar w:fldCharType="end"/>
      </w:r>
    </w:p>
    <w:p w14:paraId="5A191A40" w14:textId="77777777" w:rsidR="0048364F" w:rsidRPr="00DE5E7E" w:rsidRDefault="00CD4104" w:rsidP="0048364F">
      <w:r w:rsidRPr="00DE5E7E">
        <w:fldChar w:fldCharType="end"/>
      </w:r>
    </w:p>
    <w:p w14:paraId="1010F6E0" w14:textId="77777777" w:rsidR="0048364F" w:rsidRPr="00DE5E7E" w:rsidRDefault="0048364F" w:rsidP="0048364F">
      <w:pPr>
        <w:sectPr w:rsidR="0048364F" w:rsidRPr="00DE5E7E" w:rsidSect="0076045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5DB98E2" w14:textId="77777777" w:rsidR="0048364F" w:rsidRPr="00DE5E7E" w:rsidRDefault="0048364F" w:rsidP="0048364F">
      <w:pPr>
        <w:pStyle w:val="ActHead5"/>
      </w:pPr>
      <w:bookmarkStart w:id="0" w:name="_Toc146898117"/>
      <w:r w:rsidRPr="00DE5E7E">
        <w:rPr>
          <w:rStyle w:val="CharSectno"/>
        </w:rPr>
        <w:lastRenderedPageBreak/>
        <w:t>1</w:t>
      </w:r>
      <w:r w:rsidRPr="00DE5E7E">
        <w:t xml:space="preserve">  </w:t>
      </w:r>
      <w:r w:rsidR="004F676E" w:rsidRPr="00DE5E7E">
        <w:t>Name</w:t>
      </w:r>
      <w:bookmarkEnd w:id="0"/>
    </w:p>
    <w:p w14:paraId="04850812" w14:textId="77777777" w:rsidR="0048364F" w:rsidRPr="00DE5E7E" w:rsidRDefault="0048364F" w:rsidP="0048364F">
      <w:pPr>
        <w:pStyle w:val="subsection"/>
      </w:pPr>
      <w:r w:rsidRPr="00DE5E7E">
        <w:tab/>
      </w:r>
      <w:r w:rsidRPr="00DE5E7E">
        <w:tab/>
      </w:r>
      <w:r w:rsidR="00AE79B5" w:rsidRPr="00DE5E7E">
        <w:t>This instrument is</w:t>
      </w:r>
      <w:r w:rsidRPr="00DE5E7E">
        <w:t xml:space="preserve"> the </w:t>
      </w:r>
      <w:r w:rsidR="004C0E67" w:rsidRPr="00DE5E7E">
        <w:rPr>
          <w:i/>
          <w:noProof/>
        </w:rPr>
        <w:t>Therapeutic Goods Legislation Amendment (2023 Measures No. 2) Regulations 2023</w:t>
      </w:r>
      <w:r w:rsidRPr="00DE5E7E">
        <w:t>.</w:t>
      </w:r>
    </w:p>
    <w:p w14:paraId="7E9358A7" w14:textId="77777777" w:rsidR="004F676E" w:rsidRPr="00DE5E7E" w:rsidRDefault="0048364F" w:rsidP="005452CC">
      <w:pPr>
        <w:pStyle w:val="ActHead5"/>
      </w:pPr>
      <w:bookmarkStart w:id="1" w:name="_Toc146898118"/>
      <w:r w:rsidRPr="00DE5E7E">
        <w:rPr>
          <w:rStyle w:val="CharSectno"/>
        </w:rPr>
        <w:t>2</w:t>
      </w:r>
      <w:r w:rsidRPr="00DE5E7E">
        <w:t xml:space="preserve">  Commencement</w:t>
      </w:r>
      <w:bookmarkEnd w:id="1"/>
    </w:p>
    <w:p w14:paraId="75BCEEC2" w14:textId="77777777" w:rsidR="005452CC" w:rsidRPr="00DE5E7E" w:rsidRDefault="005452CC" w:rsidP="00B437B3">
      <w:pPr>
        <w:pStyle w:val="subsection"/>
      </w:pPr>
      <w:r w:rsidRPr="00DE5E7E">
        <w:tab/>
        <w:t>(1)</w:t>
      </w:r>
      <w:r w:rsidRPr="00DE5E7E">
        <w:tab/>
        <w:t xml:space="preserve">Each provision of </w:t>
      </w:r>
      <w:r w:rsidR="00AE79B5" w:rsidRPr="00DE5E7E">
        <w:t>this instrument</w:t>
      </w:r>
      <w:r w:rsidRPr="00DE5E7E">
        <w:t xml:space="preserve"> specified in column 1 of the table commences, or is taken to have commenced, in accordance with column 2 of the table. Any other statement in column 2 has effect according to its terms.</w:t>
      </w:r>
    </w:p>
    <w:p w14:paraId="6C207E7C" w14:textId="77777777" w:rsidR="005452CC" w:rsidRPr="00DE5E7E" w:rsidRDefault="005452CC" w:rsidP="00B437B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DE5E7E" w14:paraId="0AB4F24F" w14:textId="77777777" w:rsidTr="0097165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5A15E8C" w14:textId="77777777" w:rsidR="005452CC" w:rsidRPr="00DE5E7E" w:rsidRDefault="005452CC" w:rsidP="00B437B3">
            <w:pPr>
              <w:pStyle w:val="TableHeading"/>
            </w:pPr>
            <w:r w:rsidRPr="00DE5E7E">
              <w:t>Commencement information</w:t>
            </w:r>
          </w:p>
        </w:tc>
      </w:tr>
      <w:tr w:rsidR="005452CC" w:rsidRPr="00DE5E7E" w14:paraId="4074C682" w14:textId="77777777" w:rsidTr="0097165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AC0852F" w14:textId="77777777" w:rsidR="005452CC" w:rsidRPr="00DE5E7E" w:rsidRDefault="005452CC" w:rsidP="00B437B3">
            <w:pPr>
              <w:pStyle w:val="TableHeading"/>
            </w:pPr>
            <w:r w:rsidRPr="00DE5E7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6C236AA" w14:textId="77777777" w:rsidR="005452CC" w:rsidRPr="00DE5E7E" w:rsidRDefault="005452CC" w:rsidP="00B437B3">
            <w:pPr>
              <w:pStyle w:val="TableHeading"/>
            </w:pPr>
            <w:r w:rsidRPr="00DE5E7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3B7E264" w14:textId="77777777" w:rsidR="005452CC" w:rsidRPr="00DE5E7E" w:rsidRDefault="005452CC" w:rsidP="00B437B3">
            <w:pPr>
              <w:pStyle w:val="TableHeading"/>
            </w:pPr>
            <w:r w:rsidRPr="00DE5E7E">
              <w:t>Column 3</w:t>
            </w:r>
          </w:p>
        </w:tc>
      </w:tr>
      <w:tr w:rsidR="005452CC" w:rsidRPr="00DE5E7E" w14:paraId="09F9EDA5" w14:textId="77777777" w:rsidTr="0097165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AF03B32" w14:textId="77777777" w:rsidR="005452CC" w:rsidRPr="00DE5E7E" w:rsidRDefault="005452CC" w:rsidP="00B437B3">
            <w:pPr>
              <w:pStyle w:val="TableHeading"/>
            </w:pPr>
            <w:r w:rsidRPr="00DE5E7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1BE26D" w14:textId="77777777" w:rsidR="005452CC" w:rsidRPr="00DE5E7E" w:rsidRDefault="005452CC" w:rsidP="00B437B3">
            <w:pPr>
              <w:pStyle w:val="TableHeading"/>
            </w:pPr>
            <w:r w:rsidRPr="00DE5E7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1CA53B4" w14:textId="77777777" w:rsidR="005452CC" w:rsidRPr="00DE5E7E" w:rsidRDefault="005452CC" w:rsidP="00B437B3">
            <w:pPr>
              <w:pStyle w:val="TableHeading"/>
            </w:pPr>
            <w:r w:rsidRPr="00DE5E7E">
              <w:t>Date/Details</w:t>
            </w:r>
          </w:p>
        </w:tc>
      </w:tr>
      <w:tr w:rsidR="00E1338E" w:rsidRPr="00DE5E7E" w14:paraId="6C69FFDF" w14:textId="77777777" w:rsidTr="00971653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</w:tcPr>
          <w:p w14:paraId="541E90D5" w14:textId="77777777" w:rsidR="00E1338E" w:rsidRPr="00DE5E7E" w:rsidRDefault="00C86812" w:rsidP="00AD7252">
            <w:pPr>
              <w:pStyle w:val="Tabletext"/>
            </w:pPr>
            <w:r w:rsidRPr="00DE5E7E">
              <w:t xml:space="preserve">1.  </w:t>
            </w:r>
            <w:r w:rsidR="007E78C7" w:rsidRPr="00DE5E7E">
              <w:t>Sections 1</w:t>
            </w:r>
            <w:r w:rsidRPr="00DE5E7E">
              <w:t xml:space="preserve">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</w:tcPr>
          <w:p w14:paraId="33A71691" w14:textId="77777777" w:rsidR="00E1338E" w:rsidRPr="00DE5E7E" w:rsidRDefault="00C86812" w:rsidP="005452CC">
            <w:pPr>
              <w:pStyle w:val="Tabletext"/>
            </w:pPr>
            <w:r w:rsidRPr="00DE5E7E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2C1994B0" w14:textId="7C5BAB11" w:rsidR="00E1338E" w:rsidRPr="00DE5E7E" w:rsidRDefault="00FF5C2B">
            <w:pPr>
              <w:pStyle w:val="Tabletext"/>
            </w:pPr>
            <w:r>
              <w:t>28 November 2023</w:t>
            </w:r>
          </w:p>
        </w:tc>
      </w:tr>
      <w:tr w:rsidR="00E1338E" w:rsidRPr="00DE5E7E" w14:paraId="227BF16E" w14:textId="77777777" w:rsidTr="00971653">
        <w:tc>
          <w:tcPr>
            <w:tcW w:w="2127" w:type="dxa"/>
            <w:shd w:val="clear" w:color="auto" w:fill="auto"/>
          </w:tcPr>
          <w:p w14:paraId="398A0958" w14:textId="77777777" w:rsidR="00E1338E" w:rsidRPr="00DE5E7E" w:rsidRDefault="00C86812" w:rsidP="00AD7252">
            <w:pPr>
              <w:pStyle w:val="Tabletext"/>
            </w:pPr>
            <w:r w:rsidRPr="00DE5E7E">
              <w:t xml:space="preserve">2.  </w:t>
            </w:r>
            <w:r w:rsidR="00092491" w:rsidRPr="00DE5E7E">
              <w:t>Schedule 1</w:t>
            </w:r>
            <w:r w:rsidR="00971653" w:rsidRPr="00DE5E7E">
              <w:t xml:space="preserve">, </w:t>
            </w:r>
            <w:r w:rsidR="007E78C7" w:rsidRPr="00DE5E7E">
              <w:t>Parts 1</w:t>
            </w:r>
            <w:r w:rsidR="00971653" w:rsidRPr="00DE5E7E">
              <w:t xml:space="preserve"> to 4</w:t>
            </w:r>
          </w:p>
        </w:tc>
        <w:tc>
          <w:tcPr>
            <w:tcW w:w="4394" w:type="dxa"/>
            <w:shd w:val="clear" w:color="auto" w:fill="auto"/>
          </w:tcPr>
          <w:p w14:paraId="7F954E34" w14:textId="77777777" w:rsidR="00E1338E" w:rsidRPr="00DE5E7E" w:rsidRDefault="00E110CF" w:rsidP="005452CC">
            <w:pPr>
              <w:pStyle w:val="Tabletext"/>
            </w:pPr>
            <w:r w:rsidRPr="00DE5E7E">
              <w:t>The day after this instrument is registered.</w:t>
            </w:r>
          </w:p>
        </w:tc>
        <w:tc>
          <w:tcPr>
            <w:tcW w:w="1843" w:type="dxa"/>
            <w:shd w:val="clear" w:color="auto" w:fill="auto"/>
          </w:tcPr>
          <w:p w14:paraId="1DE62DE8" w14:textId="676F15C0" w:rsidR="00E1338E" w:rsidRPr="00DE5E7E" w:rsidRDefault="00FF5C2B">
            <w:pPr>
              <w:pStyle w:val="Tabletext"/>
            </w:pPr>
            <w:r>
              <w:t>28 November 2023</w:t>
            </w:r>
          </w:p>
        </w:tc>
      </w:tr>
      <w:tr w:rsidR="00E1338E" w:rsidRPr="00DE5E7E" w14:paraId="0B9697F7" w14:textId="77777777" w:rsidTr="00971653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07E9BBC4" w14:textId="77777777" w:rsidR="00E1338E" w:rsidRPr="00DE5E7E" w:rsidRDefault="004827B3" w:rsidP="00AD7252">
            <w:pPr>
              <w:pStyle w:val="Tabletext"/>
            </w:pPr>
            <w:r w:rsidRPr="00DE5E7E">
              <w:t xml:space="preserve">3. </w:t>
            </w:r>
            <w:r w:rsidR="00F80EF0" w:rsidRPr="00DE5E7E">
              <w:t xml:space="preserve"> </w:t>
            </w:r>
            <w:r w:rsidR="00092491" w:rsidRPr="00DE5E7E">
              <w:t>Schedule 1</w:t>
            </w:r>
            <w:r w:rsidR="00F80EF0" w:rsidRPr="00DE5E7E">
              <w:t xml:space="preserve">, </w:t>
            </w:r>
            <w:r w:rsidR="0092668D" w:rsidRPr="00DE5E7E">
              <w:t>Part 5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14:paraId="2CD50786" w14:textId="77777777" w:rsidR="00E1338E" w:rsidRPr="00DE5E7E" w:rsidRDefault="0092668D" w:rsidP="005452CC">
            <w:pPr>
              <w:pStyle w:val="Tabletext"/>
            </w:pPr>
            <w:r w:rsidRPr="00DE5E7E">
              <w:t>1 January</w:t>
            </w:r>
            <w:r w:rsidR="00971653" w:rsidRPr="00DE5E7E">
              <w:t xml:space="preserve"> 2024.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14:paraId="038E77CD" w14:textId="77777777" w:rsidR="00E1338E" w:rsidRPr="00DE5E7E" w:rsidRDefault="0092668D">
            <w:pPr>
              <w:pStyle w:val="Tabletext"/>
            </w:pPr>
            <w:r w:rsidRPr="00DE5E7E">
              <w:t>1 January</w:t>
            </w:r>
            <w:r w:rsidR="00971653" w:rsidRPr="00DE5E7E">
              <w:t xml:space="preserve"> 2024</w:t>
            </w:r>
          </w:p>
        </w:tc>
      </w:tr>
      <w:tr w:rsidR="00E1338E" w:rsidRPr="00DE5E7E" w14:paraId="25B61E4A" w14:textId="77777777" w:rsidTr="00971653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B50A3D1" w14:textId="77777777" w:rsidR="00E1338E" w:rsidRPr="00DE5E7E" w:rsidRDefault="006C1258" w:rsidP="00AD7252">
            <w:pPr>
              <w:pStyle w:val="Tabletext"/>
            </w:pPr>
            <w:r w:rsidRPr="00DE5E7E">
              <w:t xml:space="preserve">4.  </w:t>
            </w:r>
            <w:r w:rsidR="00092491" w:rsidRPr="00DE5E7E">
              <w:t>Schedule 1</w:t>
            </w:r>
            <w:r w:rsidRPr="00DE5E7E">
              <w:t xml:space="preserve">, </w:t>
            </w:r>
            <w:r w:rsidR="007E78C7" w:rsidRPr="00DE5E7E">
              <w:t>Part 6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FA94E89" w14:textId="77777777" w:rsidR="00E1338E" w:rsidRPr="00DE5E7E" w:rsidRDefault="006C1258" w:rsidP="005452CC">
            <w:pPr>
              <w:pStyle w:val="Tabletext"/>
            </w:pPr>
            <w:r w:rsidRPr="00DE5E7E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D36ADCB" w14:textId="1979E0F5" w:rsidR="00E1338E" w:rsidRPr="00DE5E7E" w:rsidRDefault="00FF5C2B">
            <w:pPr>
              <w:pStyle w:val="Tabletext"/>
            </w:pPr>
            <w:r>
              <w:t>28 November 2023</w:t>
            </w:r>
            <w:bookmarkStart w:id="2" w:name="_GoBack"/>
            <w:bookmarkEnd w:id="2"/>
          </w:p>
        </w:tc>
      </w:tr>
    </w:tbl>
    <w:p w14:paraId="56B4B2AE" w14:textId="77777777" w:rsidR="005452CC" w:rsidRPr="00DE5E7E" w:rsidRDefault="005452CC" w:rsidP="00B437B3">
      <w:pPr>
        <w:pStyle w:val="notetext"/>
      </w:pPr>
      <w:r w:rsidRPr="00DE5E7E">
        <w:rPr>
          <w:snapToGrid w:val="0"/>
          <w:lang w:eastAsia="en-US"/>
        </w:rPr>
        <w:t>Note:</w:t>
      </w:r>
      <w:r w:rsidRPr="00DE5E7E">
        <w:rPr>
          <w:snapToGrid w:val="0"/>
          <w:lang w:eastAsia="en-US"/>
        </w:rPr>
        <w:tab/>
        <w:t xml:space="preserve">This table relates only to the provisions of </w:t>
      </w:r>
      <w:r w:rsidR="00AE79B5" w:rsidRPr="00DE5E7E">
        <w:rPr>
          <w:snapToGrid w:val="0"/>
          <w:lang w:eastAsia="en-US"/>
        </w:rPr>
        <w:t>this instrument</w:t>
      </w:r>
      <w:r w:rsidRPr="00DE5E7E">
        <w:t xml:space="preserve"> </w:t>
      </w:r>
      <w:r w:rsidRPr="00DE5E7E">
        <w:rPr>
          <w:snapToGrid w:val="0"/>
          <w:lang w:eastAsia="en-US"/>
        </w:rPr>
        <w:t xml:space="preserve">as originally made. It will not be amended to deal with any later amendments of </w:t>
      </w:r>
      <w:r w:rsidR="00AE79B5" w:rsidRPr="00DE5E7E">
        <w:rPr>
          <w:snapToGrid w:val="0"/>
          <w:lang w:eastAsia="en-US"/>
        </w:rPr>
        <w:t>this instrument</w:t>
      </w:r>
      <w:r w:rsidRPr="00DE5E7E">
        <w:rPr>
          <w:snapToGrid w:val="0"/>
          <w:lang w:eastAsia="en-US"/>
        </w:rPr>
        <w:t>.</w:t>
      </w:r>
    </w:p>
    <w:p w14:paraId="6D37A715" w14:textId="77777777" w:rsidR="005452CC" w:rsidRPr="00DE5E7E" w:rsidRDefault="005452CC" w:rsidP="004F676E">
      <w:pPr>
        <w:pStyle w:val="subsection"/>
      </w:pPr>
      <w:r w:rsidRPr="00DE5E7E">
        <w:tab/>
        <w:t>(2)</w:t>
      </w:r>
      <w:r w:rsidRPr="00DE5E7E">
        <w:tab/>
        <w:t xml:space="preserve">Any information in column 3 of the table is not part of </w:t>
      </w:r>
      <w:r w:rsidR="00AE79B5" w:rsidRPr="00DE5E7E">
        <w:t>this instrument</w:t>
      </w:r>
      <w:r w:rsidRPr="00DE5E7E">
        <w:t xml:space="preserve">. Information may be inserted in this column, or information in it may be edited, in any published version of </w:t>
      </w:r>
      <w:r w:rsidR="00AE79B5" w:rsidRPr="00DE5E7E">
        <w:t>this instrument</w:t>
      </w:r>
      <w:r w:rsidRPr="00DE5E7E">
        <w:t>.</w:t>
      </w:r>
    </w:p>
    <w:p w14:paraId="0B11C3B9" w14:textId="77777777" w:rsidR="00BF6650" w:rsidRPr="00DE5E7E" w:rsidRDefault="00BF6650" w:rsidP="00BF6650">
      <w:pPr>
        <w:pStyle w:val="ActHead5"/>
      </w:pPr>
      <w:bookmarkStart w:id="3" w:name="_Toc146898119"/>
      <w:r w:rsidRPr="00DE5E7E">
        <w:rPr>
          <w:rStyle w:val="CharSectno"/>
        </w:rPr>
        <w:t>3</w:t>
      </w:r>
      <w:r w:rsidRPr="00DE5E7E">
        <w:t xml:space="preserve">  Authority</w:t>
      </w:r>
      <w:bookmarkEnd w:id="3"/>
    </w:p>
    <w:p w14:paraId="438E43AF" w14:textId="77777777" w:rsidR="00BF6650" w:rsidRPr="00DE5E7E" w:rsidRDefault="00BF6650" w:rsidP="00BF6650">
      <w:pPr>
        <w:pStyle w:val="subsection"/>
      </w:pPr>
      <w:r w:rsidRPr="00DE5E7E">
        <w:tab/>
      </w:r>
      <w:r w:rsidRPr="00DE5E7E">
        <w:tab/>
      </w:r>
      <w:r w:rsidR="00AE79B5" w:rsidRPr="00DE5E7E">
        <w:t>This instrument is</w:t>
      </w:r>
      <w:r w:rsidRPr="00DE5E7E">
        <w:t xml:space="preserve"> made under the </w:t>
      </w:r>
      <w:r w:rsidR="003F0C8B" w:rsidRPr="00DE5E7E">
        <w:rPr>
          <w:i/>
        </w:rPr>
        <w:t>Therapeutic Goods Act 1989</w:t>
      </w:r>
      <w:r w:rsidR="00546FA3" w:rsidRPr="00DE5E7E">
        <w:t>.</w:t>
      </w:r>
    </w:p>
    <w:p w14:paraId="43C7623F" w14:textId="77777777" w:rsidR="00557C7A" w:rsidRPr="00DE5E7E" w:rsidRDefault="00BF6650" w:rsidP="00557C7A">
      <w:pPr>
        <w:pStyle w:val="ActHead5"/>
      </w:pPr>
      <w:bookmarkStart w:id="4" w:name="_Toc146898120"/>
      <w:r w:rsidRPr="00DE5E7E">
        <w:rPr>
          <w:rStyle w:val="CharSectno"/>
        </w:rPr>
        <w:t>4</w:t>
      </w:r>
      <w:r w:rsidR="00557C7A" w:rsidRPr="00DE5E7E">
        <w:t xml:space="preserve">  </w:t>
      </w:r>
      <w:r w:rsidR="00083F48" w:rsidRPr="00DE5E7E">
        <w:t>Schedules</w:t>
      </w:r>
      <w:bookmarkEnd w:id="4"/>
    </w:p>
    <w:p w14:paraId="5310E446" w14:textId="77777777" w:rsidR="00557C7A" w:rsidRPr="00DE5E7E" w:rsidRDefault="00557C7A" w:rsidP="00557C7A">
      <w:pPr>
        <w:pStyle w:val="subsection"/>
      </w:pPr>
      <w:r w:rsidRPr="00DE5E7E">
        <w:tab/>
      </w:r>
      <w:r w:rsidRPr="00DE5E7E">
        <w:tab/>
      </w:r>
      <w:r w:rsidR="00083F48" w:rsidRPr="00DE5E7E">
        <w:t xml:space="preserve">Each </w:t>
      </w:r>
      <w:r w:rsidR="00160BD7" w:rsidRPr="00DE5E7E">
        <w:t>instrument</w:t>
      </w:r>
      <w:r w:rsidR="00083F48" w:rsidRPr="00DE5E7E">
        <w:t xml:space="preserve"> that is specified in a Schedule to </w:t>
      </w:r>
      <w:r w:rsidR="00AE79B5" w:rsidRPr="00DE5E7E">
        <w:t>this instrument</w:t>
      </w:r>
      <w:r w:rsidR="00083F48" w:rsidRPr="00DE5E7E">
        <w:t xml:space="preserve"> is amended or repealed as set out in the applicable items in the Schedule concerned, and any other item in a Schedule to </w:t>
      </w:r>
      <w:r w:rsidR="00AE79B5" w:rsidRPr="00DE5E7E">
        <w:t>this instrument</w:t>
      </w:r>
      <w:r w:rsidR="00083F48" w:rsidRPr="00DE5E7E">
        <w:t xml:space="preserve"> has effect according to its terms.</w:t>
      </w:r>
    </w:p>
    <w:p w14:paraId="4A124605" w14:textId="77777777" w:rsidR="0048364F" w:rsidRPr="00DE5E7E" w:rsidRDefault="00092491" w:rsidP="009C5989">
      <w:pPr>
        <w:pStyle w:val="ActHead6"/>
        <w:pageBreakBefore/>
      </w:pPr>
      <w:bookmarkStart w:id="5" w:name="_Toc146898121"/>
      <w:r w:rsidRPr="00DE5E7E">
        <w:rPr>
          <w:rStyle w:val="CharAmSchNo"/>
        </w:rPr>
        <w:lastRenderedPageBreak/>
        <w:t>Schedule 1</w:t>
      </w:r>
      <w:r w:rsidR="0048364F" w:rsidRPr="00DE5E7E">
        <w:t>—</w:t>
      </w:r>
      <w:r w:rsidR="008314A1" w:rsidRPr="00DE5E7E">
        <w:rPr>
          <w:rStyle w:val="CharAmSchText"/>
        </w:rPr>
        <w:t>Amendments</w:t>
      </w:r>
      <w:bookmarkEnd w:id="5"/>
    </w:p>
    <w:p w14:paraId="3A14F992" w14:textId="77777777" w:rsidR="003F0C8B" w:rsidRPr="00DE5E7E" w:rsidRDefault="007E78C7" w:rsidP="003F0C8B">
      <w:pPr>
        <w:pStyle w:val="ActHead7"/>
      </w:pPr>
      <w:bookmarkStart w:id="6" w:name="_Toc146898122"/>
      <w:r w:rsidRPr="00DE5E7E">
        <w:rPr>
          <w:rStyle w:val="CharAmPartNo"/>
        </w:rPr>
        <w:t>Part 1</w:t>
      </w:r>
      <w:r w:rsidR="003F0C8B" w:rsidRPr="00DE5E7E">
        <w:t>—</w:t>
      </w:r>
      <w:r w:rsidR="005A7554" w:rsidRPr="00DE5E7E">
        <w:rPr>
          <w:rStyle w:val="CharAmPartText"/>
        </w:rPr>
        <w:t xml:space="preserve">Extension of transitional </w:t>
      </w:r>
      <w:r w:rsidR="00D13F3E" w:rsidRPr="00DE5E7E">
        <w:rPr>
          <w:rStyle w:val="CharAmPartText"/>
        </w:rPr>
        <w:t>arrangements</w:t>
      </w:r>
      <w:r w:rsidR="005A7554" w:rsidRPr="00DE5E7E">
        <w:rPr>
          <w:rStyle w:val="CharAmPartText"/>
        </w:rPr>
        <w:t xml:space="preserve"> for </w:t>
      </w:r>
      <w:r w:rsidR="00044546" w:rsidRPr="00DE5E7E">
        <w:rPr>
          <w:rStyle w:val="CharAmPartText"/>
        </w:rPr>
        <w:t xml:space="preserve">reclassified </w:t>
      </w:r>
      <w:r w:rsidR="00B437B3" w:rsidRPr="00DE5E7E">
        <w:rPr>
          <w:rStyle w:val="CharAmPartText"/>
        </w:rPr>
        <w:t xml:space="preserve">medical devices and </w:t>
      </w:r>
      <w:r w:rsidR="00135670" w:rsidRPr="00DE5E7E">
        <w:rPr>
          <w:rStyle w:val="CharAmPartText"/>
        </w:rPr>
        <w:t>personalised medical devices</w:t>
      </w:r>
      <w:bookmarkEnd w:id="6"/>
    </w:p>
    <w:p w14:paraId="51B72204" w14:textId="77777777" w:rsidR="0084172C" w:rsidRPr="00DE5E7E" w:rsidRDefault="00135670" w:rsidP="00135670">
      <w:pPr>
        <w:pStyle w:val="ActHead9"/>
      </w:pPr>
      <w:bookmarkStart w:id="7" w:name="_Toc146898123"/>
      <w:r w:rsidRPr="00DE5E7E">
        <w:t xml:space="preserve">Therapeutic Goods (Medical Devices) </w:t>
      </w:r>
      <w:r w:rsidR="004C0E67" w:rsidRPr="00DE5E7E">
        <w:t>Regulations 2</w:t>
      </w:r>
      <w:r w:rsidRPr="00DE5E7E">
        <w:t>002</w:t>
      </w:r>
      <w:bookmarkEnd w:id="7"/>
    </w:p>
    <w:p w14:paraId="79A0D455" w14:textId="77777777" w:rsidR="00F40FD4" w:rsidRPr="00DE5E7E" w:rsidRDefault="00D75138" w:rsidP="00F40FD4">
      <w:pPr>
        <w:pStyle w:val="ItemHead"/>
      </w:pPr>
      <w:r w:rsidRPr="00DE5E7E">
        <w:t>1</w:t>
      </w:r>
      <w:r w:rsidR="00135670" w:rsidRPr="00DE5E7E">
        <w:t xml:space="preserve">  </w:t>
      </w:r>
      <w:r w:rsidR="007E78C7" w:rsidRPr="00DE5E7E">
        <w:t>Subregulation 1</w:t>
      </w:r>
      <w:r w:rsidR="00B4491B" w:rsidRPr="00DE5E7E">
        <w:t>1.40(2)</w:t>
      </w:r>
    </w:p>
    <w:p w14:paraId="29FEBBC3" w14:textId="77777777" w:rsidR="00B4491B" w:rsidRPr="00DE5E7E" w:rsidRDefault="00B4491B" w:rsidP="00B4491B">
      <w:pPr>
        <w:pStyle w:val="Item"/>
      </w:pPr>
      <w:r w:rsidRPr="00DE5E7E">
        <w:t xml:space="preserve">Omit all the words </w:t>
      </w:r>
      <w:r w:rsidR="005260DC" w:rsidRPr="00DE5E7E">
        <w:t>after “</w:t>
      </w:r>
      <w:r w:rsidR="0034471D" w:rsidRPr="00DE5E7E">
        <w:t>transitional medical device</w:t>
      </w:r>
      <w:r w:rsidR="00B01C41" w:rsidRPr="00DE5E7E">
        <w:t>”, substitute:</w:t>
      </w:r>
    </w:p>
    <w:p w14:paraId="2C75FD7C" w14:textId="77777777" w:rsidR="00B01C41" w:rsidRPr="00DE5E7E" w:rsidRDefault="00B01C41" w:rsidP="00B01C41">
      <w:pPr>
        <w:pStyle w:val="subsection"/>
      </w:pPr>
      <w:r w:rsidRPr="00DE5E7E">
        <w:tab/>
      </w:r>
      <w:r w:rsidRPr="00DE5E7E">
        <w:tab/>
      </w:r>
      <w:r w:rsidR="0034471D" w:rsidRPr="00DE5E7E">
        <w:t>on and after</w:t>
      </w:r>
      <w:r w:rsidR="000624C1" w:rsidRPr="00DE5E7E">
        <w:t>:</w:t>
      </w:r>
    </w:p>
    <w:p w14:paraId="458A4920" w14:textId="77777777" w:rsidR="00101188" w:rsidRPr="00DE5E7E" w:rsidRDefault="00101188" w:rsidP="00101188">
      <w:pPr>
        <w:pStyle w:val="paragraph"/>
      </w:pPr>
      <w:r w:rsidRPr="00DE5E7E">
        <w:tab/>
        <w:t>(</w:t>
      </w:r>
      <w:r w:rsidR="00E85CE4" w:rsidRPr="00DE5E7E">
        <w:t>a</w:t>
      </w:r>
      <w:r w:rsidRPr="00DE5E7E">
        <w:t>)</w:t>
      </w:r>
      <w:r w:rsidRPr="00DE5E7E">
        <w:tab/>
      </w:r>
      <w:r w:rsidR="00E85CE4" w:rsidRPr="00DE5E7E">
        <w:t xml:space="preserve">for </w:t>
      </w:r>
      <w:r w:rsidRPr="00DE5E7E">
        <w:t>a transitional AIMD</w:t>
      </w:r>
      <w:r w:rsidR="00D53758" w:rsidRPr="00DE5E7E">
        <w:t xml:space="preserve"> device</w:t>
      </w:r>
      <w:r w:rsidR="00E85CE4" w:rsidRPr="00DE5E7E">
        <w:t>—</w:t>
      </w:r>
      <w:r w:rsidR="007E78C7" w:rsidRPr="00DE5E7E">
        <w:t>1 November</w:t>
      </w:r>
      <w:r w:rsidR="00D53758" w:rsidRPr="00DE5E7E">
        <w:t xml:space="preserve"> 2024</w:t>
      </w:r>
      <w:r w:rsidR="00E85CE4" w:rsidRPr="00DE5E7E">
        <w:t>; and</w:t>
      </w:r>
    </w:p>
    <w:p w14:paraId="65242A9D" w14:textId="77777777" w:rsidR="00E85CE4" w:rsidRPr="00DE5E7E" w:rsidRDefault="00E85CE4" w:rsidP="00E85CE4">
      <w:pPr>
        <w:pStyle w:val="paragraph"/>
      </w:pPr>
      <w:r w:rsidRPr="00DE5E7E">
        <w:tab/>
        <w:t>(b)</w:t>
      </w:r>
      <w:r w:rsidRPr="00DE5E7E">
        <w:tab/>
        <w:t>for a transitional medical device other than a transitional AIMD device—</w:t>
      </w:r>
      <w:r w:rsidR="007E78C7" w:rsidRPr="00DE5E7E">
        <w:t>1 July</w:t>
      </w:r>
      <w:r w:rsidRPr="00DE5E7E">
        <w:t xml:space="preserve"> 2029.</w:t>
      </w:r>
    </w:p>
    <w:p w14:paraId="3783A8A5" w14:textId="77777777" w:rsidR="00D53758" w:rsidRPr="00DE5E7E" w:rsidRDefault="00D75138" w:rsidP="00D53758">
      <w:pPr>
        <w:pStyle w:val="ItemHead"/>
      </w:pPr>
      <w:r w:rsidRPr="00DE5E7E">
        <w:t>2</w:t>
      </w:r>
      <w:r w:rsidR="00D53758" w:rsidRPr="00DE5E7E">
        <w:t xml:space="preserve">  </w:t>
      </w:r>
      <w:r w:rsidR="007E78C7" w:rsidRPr="00DE5E7E">
        <w:t>Subparagraph 1</w:t>
      </w:r>
      <w:r w:rsidR="00D53758" w:rsidRPr="00DE5E7E">
        <w:t>1.40(3)(a)(ii</w:t>
      </w:r>
      <w:r w:rsidR="008704F7" w:rsidRPr="00DE5E7E">
        <w:t>i)</w:t>
      </w:r>
    </w:p>
    <w:p w14:paraId="50E99317" w14:textId="77777777" w:rsidR="008704F7" w:rsidRPr="00DE5E7E" w:rsidRDefault="008704F7" w:rsidP="008704F7">
      <w:pPr>
        <w:pStyle w:val="Item"/>
      </w:pPr>
      <w:r w:rsidRPr="00DE5E7E">
        <w:t>Repeal the subparagraph, substitute:</w:t>
      </w:r>
    </w:p>
    <w:p w14:paraId="2BBCA855" w14:textId="77777777" w:rsidR="004A6D74" w:rsidRPr="00DE5E7E" w:rsidRDefault="008704F7" w:rsidP="00D95ED6">
      <w:pPr>
        <w:pStyle w:val="paragraphsub"/>
      </w:pPr>
      <w:r w:rsidRPr="00DE5E7E">
        <w:tab/>
        <w:t>(iii)</w:t>
      </w:r>
      <w:r w:rsidRPr="00DE5E7E">
        <w:tab/>
      </w:r>
      <w:r w:rsidR="00D95ED6" w:rsidRPr="00DE5E7E">
        <w:t xml:space="preserve">before the day </w:t>
      </w:r>
      <w:r w:rsidR="00000F44" w:rsidRPr="00DE5E7E">
        <w:t xml:space="preserve">mentioned </w:t>
      </w:r>
      <w:r w:rsidR="00E85CE4" w:rsidRPr="00DE5E7E">
        <w:t xml:space="preserve">in </w:t>
      </w:r>
      <w:r w:rsidR="004C0E67" w:rsidRPr="00DE5E7E">
        <w:t>paragraph (</w:t>
      </w:r>
      <w:r w:rsidR="00E85CE4" w:rsidRPr="00DE5E7E">
        <w:t xml:space="preserve">2)(a) or (b) </w:t>
      </w:r>
      <w:r w:rsidR="008A2967" w:rsidRPr="00DE5E7E">
        <w:t xml:space="preserve">(as the case may be) </w:t>
      </w:r>
      <w:r w:rsidR="00472249" w:rsidRPr="00DE5E7E">
        <w:t>for the transitional medical device;</w:t>
      </w:r>
    </w:p>
    <w:p w14:paraId="7F928996" w14:textId="77777777" w:rsidR="00EE1078" w:rsidRPr="00DE5E7E" w:rsidRDefault="00D75138" w:rsidP="00EE1078">
      <w:pPr>
        <w:pStyle w:val="ItemHead"/>
      </w:pPr>
      <w:r w:rsidRPr="00DE5E7E">
        <w:t>3</w:t>
      </w:r>
      <w:r w:rsidR="00EE1078" w:rsidRPr="00DE5E7E">
        <w:t xml:space="preserve">  </w:t>
      </w:r>
      <w:r w:rsidR="007E78C7" w:rsidRPr="00DE5E7E">
        <w:t>Subregulations 1</w:t>
      </w:r>
      <w:r w:rsidR="007E424F" w:rsidRPr="00DE5E7E">
        <w:t>1.51(3) and 11.52(2)</w:t>
      </w:r>
    </w:p>
    <w:p w14:paraId="33B52EFD" w14:textId="77777777" w:rsidR="007E424F" w:rsidRPr="00DE5E7E" w:rsidRDefault="007E424F" w:rsidP="007E424F">
      <w:pPr>
        <w:pStyle w:val="Item"/>
      </w:pPr>
      <w:r w:rsidRPr="00DE5E7E">
        <w:t>Omit “</w:t>
      </w:r>
      <w:r w:rsidR="007E78C7" w:rsidRPr="00DE5E7E">
        <w:t>1 November</w:t>
      </w:r>
      <w:r w:rsidRPr="00DE5E7E">
        <w:t xml:space="preserve"> 2024”, substitute “</w:t>
      </w:r>
      <w:r w:rsidR="007E78C7" w:rsidRPr="00DE5E7E">
        <w:t>1 July</w:t>
      </w:r>
      <w:r w:rsidR="00766DC9" w:rsidRPr="00DE5E7E">
        <w:t xml:space="preserve"> 2029”.</w:t>
      </w:r>
    </w:p>
    <w:p w14:paraId="48D85E2D" w14:textId="77777777" w:rsidR="00766DC9" w:rsidRPr="00DE5E7E" w:rsidRDefault="00D75138" w:rsidP="00766DC9">
      <w:pPr>
        <w:pStyle w:val="ItemHead"/>
      </w:pPr>
      <w:r w:rsidRPr="00DE5E7E">
        <w:t>4</w:t>
      </w:r>
      <w:r w:rsidR="00766DC9" w:rsidRPr="00DE5E7E">
        <w:t xml:space="preserve">  </w:t>
      </w:r>
      <w:r w:rsidR="007E78C7" w:rsidRPr="00DE5E7E">
        <w:t>Subparagraph 1</w:t>
      </w:r>
      <w:r w:rsidR="00766DC9" w:rsidRPr="00DE5E7E">
        <w:t>1.52(3)(a)(iii)</w:t>
      </w:r>
    </w:p>
    <w:p w14:paraId="2FA1BC04" w14:textId="77777777" w:rsidR="00766DC9" w:rsidRPr="00DE5E7E" w:rsidRDefault="00766DC9" w:rsidP="00766DC9">
      <w:pPr>
        <w:pStyle w:val="Item"/>
      </w:pPr>
      <w:r w:rsidRPr="00DE5E7E">
        <w:t>Omit “</w:t>
      </w:r>
      <w:r w:rsidR="007E78C7" w:rsidRPr="00DE5E7E">
        <w:t>1 November</w:t>
      </w:r>
      <w:r w:rsidRPr="00DE5E7E">
        <w:t xml:space="preserve"> 2024”, substitute “</w:t>
      </w:r>
      <w:r w:rsidR="007E78C7" w:rsidRPr="00DE5E7E">
        <w:t>1 July</w:t>
      </w:r>
      <w:r w:rsidRPr="00DE5E7E">
        <w:t xml:space="preserve"> 2029”.</w:t>
      </w:r>
    </w:p>
    <w:p w14:paraId="6AB6ACDC" w14:textId="77777777" w:rsidR="00766DC9" w:rsidRPr="00DE5E7E" w:rsidRDefault="00D75138" w:rsidP="00766DC9">
      <w:pPr>
        <w:pStyle w:val="ItemHead"/>
      </w:pPr>
      <w:r w:rsidRPr="00DE5E7E">
        <w:t>5</w:t>
      </w:r>
      <w:r w:rsidR="00766DC9" w:rsidRPr="00DE5E7E">
        <w:t xml:space="preserve">  </w:t>
      </w:r>
      <w:r w:rsidR="00092491" w:rsidRPr="00DE5E7E">
        <w:t>Part 2</w:t>
      </w:r>
      <w:r w:rsidR="00766DC9" w:rsidRPr="00DE5E7E">
        <w:t xml:space="preserve"> of </w:t>
      </w:r>
      <w:r w:rsidR="00DC5F33" w:rsidRPr="00DE5E7E">
        <w:t>Schedule 4</w:t>
      </w:r>
      <w:r w:rsidR="00766DC9" w:rsidRPr="00DE5E7E">
        <w:t xml:space="preserve"> (table </w:t>
      </w:r>
      <w:r w:rsidR="00DC5F33" w:rsidRPr="00DE5E7E">
        <w:t>item 2</w:t>
      </w:r>
      <w:r w:rsidR="00766DC9" w:rsidRPr="00DE5E7E">
        <w:t>.14, column headed “Conditions”)</w:t>
      </w:r>
    </w:p>
    <w:p w14:paraId="7D1251BB" w14:textId="77777777" w:rsidR="002A1E0E" w:rsidRPr="00DE5E7E" w:rsidRDefault="002A1E0E" w:rsidP="002A1E0E">
      <w:pPr>
        <w:pStyle w:val="Item"/>
      </w:pPr>
      <w:r w:rsidRPr="00DE5E7E">
        <w:t>Omit “</w:t>
      </w:r>
      <w:r w:rsidR="007E78C7" w:rsidRPr="00DE5E7E">
        <w:t>25 August</w:t>
      </w:r>
      <w:r w:rsidRPr="00DE5E7E">
        <w:t xml:space="preserve"> 2022”, substitute “</w:t>
      </w:r>
      <w:r w:rsidR="007E78C7" w:rsidRPr="00DE5E7E">
        <w:t>1 November</w:t>
      </w:r>
      <w:r w:rsidRPr="00DE5E7E">
        <w:t xml:space="preserve"> 2024”.</w:t>
      </w:r>
    </w:p>
    <w:p w14:paraId="42D65CA8" w14:textId="77777777" w:rsidR="002A1E0E" w:rsidRPr="00DE5E7E" w:rsidRDefault="00D75138" w:rsidP="002A1E0E">
      <w:pPr>
        <w:pStyle w:val="ItemHead"/>
      </w:pPr>
      <w:r w:rsidRPr="00DE5E7E">
        <w:t>6</w:t>
      </w:r>
      <w:r w:rsidR="002A1E0E" w:rsidRPr="00DE5E7E">
        <w:t xml:space="preserve">  </w:t>
      </w:r>
      <w:r w:rsidR="00092491" w:rsidRPr="00DE5E7E">
        <w:t>Part 2</w:t>
      </w:r>
      <w:r w:rsidR="002A1E0E" w:rsidRPr="00DE5E7E">
        <w:t xml:space="preserve"> of </w:t>
      </w:r>
      <w:r w:rsidR="00DC5F33" w:rsidRPr="00DE5E7E">
        <w:t>Schedule 4</w:t>
      </w:r>
      <w:r w:rsidR="002A1E0E" w:rsidRPr="00DE5E7E">
        <w:t xml:space="preserve"> (table </w:t>
      </w:r>
      <w:r w:rsidR="00DC5F33" w:rsidRPr="00DE5E7E">
        <w:t>item 2</w:t>
      </w:r>
      <w:r w:rsidR="002A1E0E" w:rsidRPr="00DE5E7E">
        <w:t>.14, column headed “Conditions”)</w:t>
      </w:r>
    </w:p>
    <w:p w14:paraId="34AD7E43" w14:textId="77777777" w:rsidR="00766DC9" w:rsidRPr="00DE5E7E" w:rsidRDefault="00766DC9" w:rsidP="00766DC9">
      <w:pPr>
        <w:pStyle w:val="Item"/>
      </w:pPr>
      <w:r w:rsidRPr="00DE5E7E">
        <w:t>Omit “</w:t>
      </w:r>
      <w:r w:rsidR="007E78C7" w:rsidRPr="00DE5E7E">
        <w:t>1 November</w:t>
      </w:r>
      <w:r w:rsidRPr="00DE5E7E">
        <w:t xml:space="preserve"> 2024”, substitute “</w:t>
      </w:r>
      <w:r w:rsidR="007E78C7" w:rsidRPr="00DE5E7E">
        <w:t>1 July</w:t>
      </w:r>
      <w:r w:rsidRPr="00DE5E7E">
        <w:t xml:space="preserve"> 2029”.</w:t>
      </w:r>
    </w:p>
    <w:p w14:paraId="7ED19306" w14:textId="77777777" w:rsidR="00435749" w:rsidRPr="00DE5E7E" w:rsidRDefault="00092491" w:rsidP="00435749">
      <w:pPr>
        <w:pStyle w:val="ActHead7"/>
        <w:pageBreakBefore/>
      </w:pPr>
      <w:bookmarkStart w:id="8" w:name="_Toc146898124"/>
      <w:r w:rsidRPr="00DE5E7E">
        <w:rPr>
          <w:rStyle w:val="CharAmPartNo"/>
        </w:rPr>
        <w:lastRenderedPageBreak/>
        <w:t>Part 2</w:t>
      </w:r>
      <w:r w:rsidR="00435749" w:rsidRPr="00DE5E7E">
        <w:t>—</w:t>
      </w:r>
      <w:r w:rsidR="00C52AFE" w:rsidRPr="00DE5E7E">
        <w:rPr>
          <w:rStyle w:val="CharAmPartText"/>
        </w:rPr>
        <w:t>C</w:t>
      </w:r>
      <w:r w:rsidR="00435749" w:rsidRPr="00DE5E7E">
        <w:rPr>
          <w:rStyle w:val="CharAmPartText"/>
        </w:rPr>
        <w:t>linical trials</w:t>
      </w:r>
      <w:bookmarkEnd w:id="8"/>
    </w:p>
    <w:p w14:paraId="49024058" w14:textId="77777777" w:rsidR="00435749" w:rsidRPr="00DE5E7E" w:rsidRDefault="00435749" w:rsidP="00435749">
      <w:pPr>
        <w:pStyle w:val="ActHead9"/>
      </w:pPr>
      <w:bookmarkStart w:id="9" w:name="_Toc146898125"/>
      <w:r w:rsidRPr="00DE5E7E">
        <w:t xml:space="preserve">Therapeutic Goods (Medical Devices) </w:t>
      </w:r>
      <w:r w:rsidR="004C0E67" w:rsidRPr="00DE5E7E">
        <w:t>Regulations 2</w:t>
      </w:r>
      <w:r w:rsidRPr="00DE5E7E">
        <w:t>002</w:t>
      </w:r>
      <w:bookmarkEnd w:id="9"/>
    </w:p>
    <w:p w14:paraId="766B50D9" w14:textId="77777777" w:rsidR="00A97B28" w:rsidRPr="00DE5E7E" w:rsidRDefault="00D75138" w:rsidP="00A97B28">
      <w:pPr>
        <w:pStyle w:val="ItemHead"/>
      </w:pPr>
      <w:r w:rsidRPr="00DE5E7E">
        <w:t>7</w:t>
      </w:r>
      <w:r w:rsidR="00A97B28" w:rsidRPr="00DE5E7E">
        <w:t xml:space="preserve">  </w:t>
      </w:r>
      <w:r w:rsidR="007E78C7" w:rsidRPr="00DE5E7E">
        <w:t>Sub</w:t>
      </w:r>
      <w:r w:rsidR="00092491" w:rsidRPr="00DE5E7E">
        <w:t>regulation 7</w:t>
      </w:r>
      <w:r w:rsidR="00A97B28" w:rsidRPr="00DE5E7E">
        <w:t>.4(1)</w:t>
      </w:r>
    </w:p>
    <w:p w14:paraId="0E098FB8" w14:textId="77777777" w:rsidR="00A97B28" w:rsidRPr="00DE5E7E" w:rsidRDefault="00A97B28" w:rsidP="00A97B28">
      <w:pPr>
        <w:pStyle w:val="Item"/>
      </w:pPr>
      <w:r w:rsidRPr="00DE5E7E">
        <w:t>Omit “</w:t>
      </w:r>
      <w:r w:rsidR="00F3247E" w:rsidRPr="00DE5E7E">
        <w:t>For sub</w:t>
      </w:r>
      <w:r w:rsidR="00092491" w:rsidRPr="00DE5E7E">
        <w:t>paragraph 7</w:t>
      </w:r>
      <w:r w:rsidR="00F3247E" w:rsidRPr="00DE5E7E">
        <w:t>.3(2)(b)(ii) and subject to subregulation (2), an authorised person may do any of the following things in relation to a clinical trial of a kind of medical device that has been approved for use solely for experimental purposes in humans</w:t>
      </w:r>
      <w:r w:rsidRPr="00DE5E7E">
        <w:t>”, substitute “Subject</w:t>
      </w:r>
      <w:r w:rsidR="00F35423" w:rsidRPr="00DE5E7E">
        <w:t xml:space="preserve"> to subregulation (2), an authorised person may do any of the following things in relation to a clinical trial </w:t>
      </w:r>
      <w:r w:rsidR="00CD35FF" w:rsidRPr="00DE5E7E">
        <w:t xml:space="preserve">mentioned in </w:t>
      </w:r>
      <w:r w:rsidR="00092491" w:rsidRPr="00DE5E7E">
        <w:t>regulation 7</w:t>
      </w:r>
      <w:r w:rsidR="00CD35FF" w:rsidRPr="00DE5E7E">
        <w:t xml:space="preserve">.3 or in </w:t>
      </w:r>
      <w:r w:rsidR="00DC5F33" w:rsidRPr="00DE5E7E">
        <w:t>item 2</w:t>
      </w:r>
      <w:r w:rsidR="00CD35FF" w:rsidRPr="00DE5E7E">
        <w:t xml:space="preserve">.3 of the table in </w:t>
      </w:r>
      <w:r w:rsidR="00092491" w:rsidRPr="00DE5E7E">
        <w:t>Part 2</w:t>
      </w:r>
      <w:r w:rsidR="00CD35FF" w:rsidRPr="00DE5E7E">
        <w:t xml:space="preserve"> of </w:t>
      </w:r>
      <w:r w:rsidR="00DC5F33" w:rsidRPr="00DE5E7E">
        <w:t>Schedule 4</w:t>
      </w:r>
      <w:r w:rsidRPr="00DE5E7E">
        <w:t>”.</w:t>
      </w:r>
    </w:p>
    <w:p w14:paraId="1FDB3520" w14:textId="77777777" w:rsidR="0060682D" w:rsidRPr="00DE5E7E" w:rsidRDefault="00D75138" w:rsidP="0032611A">
      <w:pPr>
        <w:pStyle w:val="ItemHead"/>
      </w:pPr>
      <w:r w:rsidRPr="00DE5E7E">
        <w:t>8</w:t>
      </w:r>
      <w:r w:rsidR="0060682D" w:rsidRPr="00DE5E7E">
        <w:t xml:space="preserve">  Paragraphs</w:t>
      </w:r>
      <w:r w:rsidR="003208CA" w:rsidRPr="00DE5E7E">
        <w:t xml:space="preserve"> 7.4(1)(b), (c) and (d)</w:t>
      </w:r>
    </w:p>
    <w:p w14:paraId="3791D7B4" w14:textId="77777777" w:rsidR="003208CA" w:rsidRPr="00DE5E7E" w:rsidRDefault="003208CA" w:rsidP="003208CA">
      <w:pPr>
        <w:pStyle w:val="Item"/>
      </w:pPr>
      <w:r w:rsidRPr="00DE5E7E">
        <w:t>Omit “anything”, substitute “any thing”.</w:t>
      </w:r>
    </w:p>
    <w:p w14:paraId="710CEE60" w14:textId="77777777" w:rsidR="0032611A" w:rsidRPr="00DE5E7E" w:rsidRDefault="00D75138" w:rsidP="0032611A">
      <w:pPr>
        <w:pStyle w:val="ItemHead"/>
      </w:pPr>
      <w:r w:rsidRPr="00DE5E7E">
        <w:t>9</w:t>
      </w:r>
      <w:r w:rsidR="0032611A" w:rsidRPr="00DE5E7E">
        <w:t xml:space="preserve">  </w:t>
      </w:r>
      <w:r w:rsidR="00092491" w:rsidRPr="00DE5E7E">
        <w:t>Paragraph 7</w:t>
      </w:r>
      <w:r w:rsidR="0060682D" w:rsidRPr="00DE5E7E">
        <w:t>.4(1)(e)</w:t>
      </w:r>
    </w:p>
    <w:p w14:paraId="1821DED9" w14:textId="77777777" w:rsidR="0060682D" w:rsidRPr="00DE5E7E" w:rsidRDefault="0060682D" w:rsidP="0060682D">
      <w:pPr>
        <w:pStyle w:val="Item"/>
      </w:pPr>
      <w:r w:rsidRPr="00DE5E7E">
        <w:t>Repeal the paragraph.</w:t>
      </w:r>
    </w:p>
    <w:p w14:paraId="666EFBFA" w14:textId="77777777" w:rsidR="00444ED0" w:rsidRPr="00DE5E7E" w:rsidRDefault="00D75138" w:rsidP="00444ED0">
      <w:pPr>
        <w:pStyle w:val="ItemHead"/>
      </w:pPr>
      <w:r w:rsidRPr="00DE5E7E">
        <w:t>10</w:t>
      </w:r>
      <w:r w:rsidR="00444ED0" w:rsidRPr="00DE5E7E">
        <w:t xml:space="preserve">  At the end of </w:t>
      </w:r>
      <w:r w:rsidR="004C0E67" w:rsidRPr="00DE5E7E">
        <w:t>subregulation 7</w:t>
      </w:r>
      <w:r w:rsidR="00444ED0" w:rsidRPr="00DE5E7E">
        <w:t>.4(1)</w:t>
      </w:r>
    </w:p>
    <w:p w14:paraId="4AC59B28" w14:textId="77777777" w:rsidR="00444ED0" w:rsidRPr="00DE5E7E" w:rsidRDefault="00444ED0" w:rsidP="00444ED0">
      <w:pPr>
        <w:pStyle w:val="Item"/>
      </w:pPr>
      <w:r w:rsidRPr="00DE5E7E">
        <w:t>Add:</w:t>
      </w:r>
    </w:p>
    <w:p w14:paraId="19DE389B" w14:textId="77777777" w:rsidR="00444ED0" w:rsidRPr="00DE5E7E" w:rsidRDefault="00444ED0" w:rsidP="00444ED0">
      <w:pPr>
        <w:pStyle w:val="notetext"/>
      </w:pPr>
      <w:r w:rsidRPr="00DE5E7E">
        <w:t>Note:</w:t>
      </w:r>
      <w:r w:rsidRPr="00DE5E7E">
        <w:tab/>
      </w:r>
      <w:r w:rsidR="00566BC5" w:rsidRPr="00DE5E7E">
        <w:t>To avoid doubt, a reference to a thing</w:t>
      </w:r>
      <w:r w:rsidR="00876C1C" w:rsidRPr="00DE5E7E">
        <w:t xml:space="preserve"> in </w:t>
      </w:r>
      <w:r w:rsidR="004C0E67" w:rsidRPr="00DE5E7E">
        <w:t>paragraph (</w:t>
      </w:r>
      <w:r w:rsidR="00876C1C" w:rsidRPr="00DE5E7E">
        <w:t>b), (c) or (d)</w:t>
      </w:r>
      <w:r w:rsidR="00566BC5" w:rsidRPr="00DE5E7E">
        <w:t xml:space="preserve"> includes</w:t>
      </w:r>
      <w:r w:rsidR="00876C1C" w:rsidRPr="00DE5E7E">
        <w:t xml:space="preserve"> a </w:t>
      </w:r>
      <w:r w:rsidR="00367B3F" w:rsidRPr="00DE5E7E">
        <w:t xml:space="preserve">reference to a </w:t>
      </w:r>
      <w:r w:rsidR="00876C1C" w:rsidRPr="00DE5E7E">
        <w:t>book, recor</w:t>
      </w:r>
      <w:r w:rsidR="00367B3F" w:rsidRPr="00DE5E7E">
        <w:t>d or</w:t>
      </w:r>
      <w:r w:rsidR="00566BC5" w:rsidRPr="00DE5E7E">
        <w:t xml:space="preserve"> </w:t>
      </w:r>
      <w:r w:rsidR="00876C1C" w:rsidRPr="00DE5E7E">
        <w:t>document.</w:t>
      </w:r>
    </w:p>
    <w:p w14:paraId="7D2E5B6F" w14:textId="77777777" w:rsidR="00316D09" w:rsidRPr="00DE5E7E" w:rsidRDefault="00D75138" w:rsidP="00316D09">
      <w:pPr>
        <w:pStyle w:val="ItemHead"/>
      </w:pPr>
      <w:r w:rsidRPr="00DE5E7E">
        <w:t>11</w:t>
      </w:r>
      <w:r w:rsidR="00316D09" w:rsidRPr="00DE5E7E">
        <w:t xml:space="preserve">  In the appropriate position in Part 11</w:t>
      </w:r>
    </w:p>
    <w:p w14:paraId="7676BC50" w14:textId="77777777" w:rsidR="00316D09" w:rsidRPr="00DE5E7E" w:rsidRDefault="00316D09" w:rsidP="00316D09">
      <w:pPr>
        <w:pStyle w:val="Item"/>
      </w:pPr>
      <w:r w:rsidRPr="00DE5E7E">
        <w:t>Insert:</w:t>
      </w:r>
    </w:p>
    <w:p w14:paraId="4423472B" w14:textId="77777777" w:rsidR="00316D09" w:rsidRPr="00DE5E7E" w:rsidRDefault="00316D09" w:rsidP="00316D09">
      <w:pPr>
        <w:pStyle w:val="ActHead3"/>
      </w:pPr>
      <w:bookmarkStart w:id="10" w:name="_Toc146898126"/>
      <w:r w:rsidRPr="00DE5E7E">
        <w:rPr>
          <w:rStyle w:val="CharDivNo"/>
        </w:rPr>
        <w:t>Division 11.18</w:t>
      </w:r>
      <w:r w:rsidRPr="00DE5E7E">
        <w:t>—</w:t>
      </w:r>
      <w:r w:rsidRPr="00DE5E7E">
        <w:rPr>
          <w:rStyle w:val="CharDivText"/>
        </w:rPr>
        <w:t xml:space="preserve">Application provisions relating to the Therapeutic Goods Legislation Amendment (2023 Measures No. </w:t>
      </w:r>
      <w:r w:rsidR="0092668D" w:rsidRPr="00DE5E7E">
        <w:rPr>
          <w:rStyle w:val="CharDivText"/>
        </w:rPr>
        <w:t>2</w:t>
      </w:r>
      <w:r w:rsidRPr="00DE5E7E">
        <w:rPr>
          <w:rStyle w:val="CharDivText"/>
        </w:rPr>
        <w:t xml:space="preserve">) </w:t>
      </w:r>
      <w:r w:rsidR="004C0E67" w:rsidRPr="00DE5E7E">
        <w:rPr>
          <w:rStyle w:val="CharDivText"/>
        </w:rPr>
        <w:t>Regulations 2</w:t>
      </w:r>
      <w:r w:rsidRPr="00DE5E7E">
        <w:rPr>
          <w:rStyle w:val="CharDivText"/>
        </w:rPr>
        <w:t>023</w:t>
      </w:r>
      <w:bookmarkEnd w:id="10"/>
    </w:p>
    <w:p w14:paraId="186E0B13" w14:textId="77777777" w:rsidR="00316D09" w:rsidRPr="00DE5E7E" w:rsidRDefault="00316D09" w:rsidP="00316D09">
      <w:pPr>
        <w:pStyle w:val="ActHead5"/>
      </w:pPr>
      <w:bookmarkStart w:id="11" w:name="_Toc146898127"/>
      <w:r w:rsidRPr="00DE5E7E">
        <w:rPr>
          <w:rStyle w:val="CharSectno"/>
        </w:rPr>
        <w:t>11.72</w:t>
      </w:r>
      <w:r w:rsidRPr="00DE5E7E">
        <w:t xml:space="preserve">  Clinical trials</w:t>
      </w:r>
      <w:bookmarkEnd w:id="11"/>
    </w:p>
    <w:p w14:paraId="50AB9232" w14:textId="77777777" w:rsidR="00316D09" w:rsidRPr="00DE5E7E" w:rsidRDefault="00316D09" w:rsidP="00316D09">
      <w:pPr>
        <w:pStyle w:val="subsection"/>
      </w:pPr>
      <w:r w:rsidRPr="00DE5E7E">
        <w:tab/>
        <w:t>(</w:t>
      </w:r>
      <w:r w:rsidR="001A749D" w:rsidRPr="00DE5E7E">
        <w:t>1</w:t>
      </w:r>
      <w:r w:rsidRPr="00DE5E7E">
        <w:t>)</w:t>
      </w:r>
      <w:r w:rsidRPr="00DE5E7E">
        <w:tab/>
        <w:t xml:space="preserve">The amendments of </w:t>
      </w:r>
      <w:r w:rsidR="004914AE" w:rsidRPr="00DE5E7E">
        <w:t>sub</w:t>
      </w:r>
      <w:r w:rsidR="00682C93" w:rsidRPr="00DE5E7E">
        <w:t>regulation 7.4</w:t>
      </w:r>
      <w:r w:rsidR="004914AE" w:rsidRPr="00DE5E7E">
        <w:t>(1)</w:t>
      </w:r>
      <w:r w:rsidR="00682C93" w:rsidRPr="00DE5E7E">
        <w:t xml:space="preserve"> of these Regulations</w:t>
      </w:r>
      <w:r w:rsidRPr="00DE5E7E">
        <w:t xml:space="preserve"> made by </w:t>
      </w:r>
      <w:r w:rsidR="00092491" w:rsidRPr="00DE5E7E">
        <w:t>Part 2</w:t>
      </w:r>
      <w:r w:rsidRPr="00DE5E7E">
        <w:t xml:space="preserve"> of </w:t>
      </w:r>
      <w:r w:rsidR="00092491" w:rsidRPr="00DE5E7E">
        <w:t>Schedule 1</w:t>
      </w:r>
      <w:r w:rsidRPr="00DE5E7E">
        <w:t xml:space="preserve"> to the </w:t>
      </w:r>
      <w:r w:rsidRPr="00DE5E7E">
        <w:rPr>
          <w:i/>
        </w:rPr>
        <w:t xml:space="preserve">Therapeutic Goods Legislation Amendment (2023 Measures No. </w:t>
      </w:r>
      <w:r w:rsidR="0092668D" w:rsidRPr="00DE5E7E">
        <w:rPr>
          <w:i/>
        </w:rPr>
        <w:t>2</w:t>
      </w:r>
      <w:r w:rsidRPr="00DE5E7E">
        <w:rPr>
          <w:i/>
        </w:rPr>
        <w:t xml:space="preserve">) </w:t>
      </w:r>
      <w:r w:rsidR="004C0E67" w:rsidRPr="00DE5E7E">
        <w:rPr>
          <w:i/>
        </w:rPr>
        <w:t>Regulations 2</w:t>
      </w:r>
      <w:r w:rsidRPr="00DE5E7E">
        <w:rPr>
          <w:i/>
        </w:rPr>
        <w:t>023</w:t>
      </w:r>
      <w:r w:rsidRPr="00DE5E7E">
        <w:t xml:space="preserve"> apply in relation to things done on or after the commencement of those amendments in relation to a clinical trial that began before, on or after that commencement.</w:t>
      </w:r>
    </w:p>
    <w:p w14:paraId="61146E24" w14:textId="77777777" w:rsidR="00AD1E9C" w:rsidRPr="00DE5E7E" w:rsidRDefault="001A749D" w:rsidP="00AD1E9C">
      <w:pPr>
        <w:pStyle w:val="subsection"/>
      </w:pPr>
      <w:r w:rsidRPr="00DE5E7E">
        <w:tab/>
        <w:t>(</w:t>
      </w:r>
      <w:r w:rsidR="00E342E7" w:rsidRPr="00DE5E7E">
        <w:t>2</w:t>
      </w:r>
      <w:r w:rsidRPr="00DE5E7E">
        <w:t>)</w:t>
      </w:r>
      <w:r w:rsidRPr="00DE5E7E">
        <w:tab/>
        <w:t xml:space="preserve">The amendment of </w:t>
      </w:r>
      <w:r w:rsidR="00AD1E9C" w:rsidRPr="00DE5E7E">
        <w:t xml:space="preserve">Schedule 4 to these Regulations made by </w:t>
      </w:r>
      <w:r w:rsidRPr="00DE5E7E">
        <w:t xml:space="preserve">Part 2 of Schedule 1 to the </w:t>
      </w:r>
      <w:r w:rsidRPr="00DE5E7E">
        <w:rPr>
          <w:i/>
        </w:rPr>
        <w:t>Therapeutic Goods Legislation Amendment (2023 Measures No. 2) Regulations 2023</w:t>
      </w:r>
      <w:r w:rsidRPr="00DE5E7E">
        <w:t xml:space="preserve"> </w:t>
      </w:r>
      <w:r w:rsidR="00AD1E9C" w:rsidRPr="00DE5E7E">
        <w:t>applies in relation to:</w:t>
      </w:r>
    </w:p>
    <w:p w14:paraId="67D23D15" w14:textId="77777777" w:rsidR="00AD1E9C" w:rsidRPr="00DE5E7E" w:rsidRDefault="00AD1E9C" w:rsidP="00AD1E9C">
      <w:pPr>
        <w:pStyle w:val="paragraph"/>
      </w:pPr>
      <w:r w:rsidRPr="00DE5E7E">
        <w:tab/>
        <w:t>(a)</w:t>
      </w:r>
      <w:r w:rsidRPr="00DE5E7E">
        <w:tab/>
        <w:t xml:space="preserve">requests made on or after the </w:t>
      </w:r>
      <w:r w:rsidR="00E342E7" w:rsidRPr="00DE5E7E">
        <w:t>commencement of that amendment</w:t>
      </w:r>
      <w:r w:rsidRPr="00DE5E7E">
        <w:t xml:space="preserve"> to give information acquired before, on or after </w:t>
      </w:r>
      <w:r w:rsidR="00E342E7" w:rsidRPr="00DE5E7E">
        <w:t>that commencement</w:t>
      </w:r>
      <w:r w:rsidRPr="00DE5E7E">
        <w:t>; and</w:t>
      </w:r>
    </w:p>
    <w:p w14:paraId="077E3EF3" w14:textId="77777777" w:rsidR="00AD1E9C" w:rsidRPr="00DE5E7E" w:rsidRDefault="00AD1E9C" w:rsidP="00AD1E9C">
      <w:pPr>
        <w:pStyle w:val="paragraph"/>
      </w:pPr>
      <w:r w:rsidRPr="00DE5E7E">
        <w:tab/>
        <w:t>(b)</w:t>
      </w:r>
      <w:r w:rsidRPr="00DE5E7E">
        <w:tab/>
        <w:t>things mentioned in regulation </w:t>
      </w:r>
      <w:r w:rsidR="00E342E7" w:rsidRPr="00DE5E7E">
        <w:t>7.4</w:t>
      </w:r>
      <w:r w:rsidRPr="00DE5E7E">
        <w:t xml:space="preserve"> </w:t>
      </w:r>
      <w:r w:rsidR="00E342E7" w:rsidRPr="00DE5E7E">
        <w:t xml:space="preserve">of these Regulations </w:t>
      </w:r>
      <w:r w:rsidRPr="00DE5E7E">
        <w:t xml:space="preserve">done on or after </w:t>
      </w:r>
      <w:r w:rsidR="00E342E7" w:rsidRPr="00DE5E7E">
        <w:t>that commencement</w:t>
      </w:r>
      <w:r w:rsidRPr="00DE5E7E">
        <w:t>;</w:t>
      </w:r>
    </w:p>
    <w:p w14:paraId="1141AE79" w14:textId="77777777" w:rsidR="001A749D" w:rsidRPr="00DE5E7E" w:rsidRDefault="00AD1E9C" w:rsidP="00AD1E9C">
      <w:pPr>
        <w:pStyle w:val="subsection2"/>
      </w:pPr>
      <w:r w:rsidRPr="00DE5E7E">
        <w:t>in relation to a clinical trial that began before, on or after</w:t>
      </w:r>
      <w:r w:rsidR="00F152DB" w:rsidRPr="00DE5E7E">
        <w:t xml:space="preserve"> that commencement</w:t>
      </w:r>
      <w:r w:rsidRPr="00DE5E7E">
        <w:t>.</w:t>
      </w:r>
    </w:p>
    <w:p w14:paraId="1FCF024B" w14:textId="77777777" w:rsidR="00A97B28" w:rsidRPr="00DE5E7E" w:rsidRDefault="00D75138" w:rsidP="00A97B28">
      <w:pPr>
        <w:pStyle w:val="ItemHead"/>
      </w:pPr>
      <w:r w:rsidRPr="00DE5E7E">
        <w:t>12</w:t>
      </w:r>
      <w:r w:rsidR="00A97B28" w:rsidRPr="00DE5E7E">
        <w:t xml:space="preserve">  </w:t>
      </w:r>
      <w:r w:rsidR="00092491" w:rsidRPr="00DE5E7E">
        <w:t>Part 2</w:t>
      </w:r>
      <w:r w:rsidR="003D75D9" w:rsidRPr="00DE5E7E">
        <w:t xml:space="preserve"> of </w:t>
      </w:r>
      <w:r w:rsidR="00DC5F33" w:rsidRPr="00DE5E7E">
        <w:t>Schedule 4</w:t>
      </w:r>
      <w:r w:rsidR="003D75D9" w:rsidRPr="00DE5E7E">
        <w:t xml:space="preserve"> (at the end of the cell at table </w:t>
      </w:r>
      <w:r w:rsidR="00DC5F33" w:rsidRPr="00DE5E7E">
        <w:t>item 2</w:t>
      </w:r>
      <w:r w:rsidR="003D75D9" w:rsidRPr="00DE5E7E">
        <w:t>.3, column headed “Conditions”)</w:t>
      </w:r>
    </w:p>
    <w:p w14:paraId="6397C2C6" w14:textId="77777777" w:rsidR="003D75D9" w:rsidRPr="00DE5E7E" w:rsidRDefault="003D75D9" w:rsidP="003D75D9">
      <w:pPr>
        <w:pStyle w:val="Item"/>
      </w:pPr>
      <w:r w:rsidRPr="00DE5E7E">
        <w:t>Add:</w:t>
      </w:r>
    </w:p>
    <w:p w14:paraId="5018035D" w14:textId="77777777" w:rsidR="003D75D9" w:rsidRPr="00DE5E7E" w:rsidRDefault="003D75D9" w:rsidP="003D75D9">
      <w:pPr>
        <w:pStyle w:val="Tablea"/>
      </w:pPr>
      <w:r w:rsidRPr="00DE5E7E">
        <w:lastRenderedPageBreak/>
        <w:t xml:space="preserve">(i) </w:t>
      </w:r>
      <w:r w:rsidR="008E6D03" w:rsidRPr="00DE5E7E">
        <w:t>The</w:t>
      </w:r>
      <w:r w:rsidRPr="00DE5E7E">
        <w:t xml:space="preserve"> sponsor must comply with requests by an authorised </w:t>
      </w:r>
      <w:r w:rsidR="004634BE" w:rsidRPr="00DE5E7E">
        <w:t>person</w:t>
      </w:r>
      <w:r w:rsidRPr="00DE5E7E">
        <w:t>, whether made before or after the start of the trial, to give information about the conduct of the trial (whether or not the sponsor is conducting the trial</w:t>
      </w:r>
      <w:r w:rsidR="008E6D03" w:rsidRPr="00DE5E7E">
        <w:t>).</w:t>
      </w:r>
    </w:p>
    <w:p w14:paraId="4445F408" w14:textId="77777777" w:rsidR="003D75D9" w:rsidRPr="00DE5E7E" w:rsidRDefault="003D75D9" w:rsidP="003D75D9">
      <w:pPr>
        <w:pStyle w:val="Tablea"/>
      </w:pPr>
      <w:r w:rsidRPr="00DE5E7E">
        <w:t>(j)</w:t>
      </w:r>
      <w:r w:rsidR="008E6D03" w:rsidRPr="00DE5E7E">
        <w:t xml:space="preserve"> I</w:t>
      </w:r>
      <w:r w:rsidRPr="00DE5E7E">
        <w:t xml:space="preserve">f a body or organisation is conducting the trial for the sponsor, that body or organisation must comply with requests by an authorised </w:t>
      </w:r>
      <w:r w:rsidR="004634BE" w:rsidRPr="00DE5E7E">
        <w:t>person</w:t>
      </w:r>
      <w:r w:rsidRPr="00DE5E7E">
        <w:t>, whether made before or after the start of the trial, to give information about the conduct of the trial</w:t>
      </w:r>
      <w:r w:rsidR="008E6D03" w:rsidRPr="00DE5E7E">
        <w:t>.</w:t>
      </w:r>
    </w:p>
    <w:p w14:paraId="4AAFAA4D" w14:textId="77777777" w:rsidR="003D75D9" w:rsidRPr="00DE5E7E" w:rsidRDefault="003D75D9" w:rsidP="003D75D9">
      <w:pPr>
        <w:pStyle w:val="Tablea"/>
      </w:pPr>
      <w:r w:rsidRPr="00DE5E7E">
        <w:t xml:space="preserve">(k) </w:t>
      </w:r>
      <w:r w:rsidR="008E6D03" w:rsidRPr="00DE5E7E">
        <w:t>T</w:t>
      </w:r>
      <w:r w:rsidRPr="00DE5E7E">
        <w:t xml:space="preserve">he sponsor (if the sponsor is conducting the trial), or the body or organisation conducting the trial for the sponsor, must allow an authorised </w:t>
      </w:r>
      <w:r w:rsidR="004634BE" w:rsidRPr="00DE5E7E">
        <w:t>person</w:t>
      </w:r>
      <w:r w:rsidRPr="00DE5E7E">
        <w:t xml:space="preserve"> to do the things mentioned in </w:t>
      </w:r>
      <w:r w:rsidR="00092491" w:rsidRPr="00DE5E7E">
        <w:t>regulation 7</w:t>
      </w:r>
      <w:r w:rsidR="00182B7C" w:rsidRPr="00DE5E7E">
        <w:t>.4</w:t>
      </w:r>
      <w:r w:rsidR="000025F3" w:rsidRPr="00DE5E7E">
        <w:t>.</w:t>
      </w:r>
    </w:p>
    <w:p w14:paraId="50252C2E" w14:textId="77777777" w:rsidR="007273D1" w:rsidRPr="00DE5E7E" w:rsidRDefault="00BD202E" w:rsidP="003D75D9">
      <w:pPr>
        <w:pStyle w:val="Tablea"/>
      </w:pPr>
      <w:r w:rsidRPr="00DE5E7E">
        <w:t xml:space="preserve">(l) </w:t>
      </w:r>
      <w:r w:rsidR="00975FD6" w:rsidRPr="00DE5E7E">
        <w:t>The sponsor must</w:t>
      </w:r>
      <w:r w:rsidR="007273D1" w:rsidRPr="00DE5E7E">
        <w:t>:</w:t>
      </w:r>
    </w:p>
    <w:p w14:paraId="3D1CC33E" w14:textId="77777777" w:rsidR="001E5882" w:rsidRPr="00DE5E7E" w:rsidRDefault="007273D1" w:rsidP="001B29C4">
      <w:pPr>
        <w:pStyle w:val="Tablei"/>
      </w:pPr>
      <w:r w:rsidRPr="00DE5E7E">
        <w:t>(i) if</w:t>
      </w:r>
      <w:r w:rsidR="00975FD6" w:rsidRPr="00DE5E7E">
        <w:t xml:space="preserve"> </w:t>
      </w:r>
      <w:r w:rsidRPr="00DE5E7E">
        <w:t xml:space="preserve">requested </w:t>
      </w:r>
      <w:r w:rsidR="00DE5E03" w:rsidRPr="00DE5E7E">
        <w:t xml:space="preserve">in writing </w:t>
      </w:r>
      <w:r w:rsidR="00975FD6" w:rsidRPr="00DE5E7E">
        <w:t>by the Secretary,</w:t>
      </w:r>
      <w:r w:rsidRPr="00DE5E7E">
        <w:t xml:space="preserve"> </w:t>
      </w:r>
      <w:r w:rsidR="00A004CC" w:rsidRPr="00DE5E7E">
        <w:t>give</w:t>
      </w:r>
      <w:r w:rsidR="00975FD6" w:rsidRPr="00DE5E7E">
        <w:t xml:space="preserve"> the </w:t>
      </w:r>
      <w:r w:rsidR="00A004CC" w:rsidRPr="00DE5E7E">
        <w:t xml:space="preserve">Secretary </w:t>
      </w:r>
      <w:r w:rsidR="00680B58" w:rsidRPr="00DE5E7E">
        <w:t>specified</w:t>
      </w:r>
      <w:r w:rsidRPr="00DE5E7E">
        <w:t xml:space="preserve"> </w:t>
      </w:r>
      <w:r w:rsidR="00A004CC" w:rsidRPr="00DE5E7E">
        <w:t>information</w:t>
      </w:r>
      <w:r w:rsidR="00850DD4" w:rsidRPr="00DE5E7E">
        <w:t xml:space="preserve"> or</w:t>
      </w:r>
      <w:r w:rsidRPr="00DE5E7E">
        <w:t xml:space="preserve"> </w:t>
      </w:r>
      <w:r w:rsidR="00560ABE" w:rsidRPr="00DE5E7E">
        <w:t>documents</w:t>
      </w:r>
      <w:r w:rsidR="00850DD4" w:rsidRPr="00DE5E7E">
        <w:t xml:space="preserve"> </w:t>
      </w:r>
      <w:r w:rsidRPr="00DE5E7E">
        <w:t xml:space="preserve">relating </w:t>
      </w:r>
      <w:r w:rsidR="00560ABE" w:rsidRPr="00DE5E7E">
        <w:t xml:space="preserve">to the safety or performance </w:t>
      </w:r>
      <w:r w:rsidRPr="00DE5E7E">
        <w:t xml:space="preserve">of the medical </w:t>
      </w:r>
      <w:r w:rsidR="001E5882" w:rsidRPr="00DE5E7E">
        <w:t xml:space="preserve">device covered by the </w:t>
      </w:r>
      <w:r w:rsidRPr="00DE5E7E">
        <w:t>trial</w:t>
      </w:r>
      <w:r w:rsidR="001E5882" w:rsidRPr="00DE5E7E">
        <w:t>; and</w:t>
      </w:r>
    </w:p>
    <w:p w14:paraId="137AF5E5" w14:textId="77777777" w:rsidR="00BD202E" w:rsidRPr="00DE5E7E" w:rsidRDefault="001E5882" w:rsidP="007273D1">
      <w:pPr>
        <w:pStyle w:val="Tablei"/>
      </w:pPr>
      <w:r w:rsidRPr="00DE5E7E">
        <w:t xml:space="preserve">(ii) do so within 14 days </w:t>
      </w:r>
      <w:r w:rsidR="00E07A4D" w:rsidRPr="00DE5E7E">
        <w:t xml:space="preserve">of receiving the request or such longer period (if any) </w:t>
      </w:r>
      <w:r w:rsidR="000025F3" w:rsidRPr="00DE5E7E">
        <w:t>allowed in writing by the Secretary</w:t>
      </w:r>
      <w:r w:rsidR="00E07A4D" w:rsidRPr="00DE5E7E">
        <w:t>.</w:t>
      </w:r>
    </w:p>
    <w:p w14:paraId="6F3819E5" w14:textId="77777777" w:rsidR="00367445" w:rsidRPr="00DE5E7E" w:rsidRDefault="00367445" w:rsidP="00367445">
      <w:pPr>
        <w:pStyle w:val="ActHead9"/>
      </w:pPr>
      <w:bookmarkStart w:id="12" w:name="_Toc146898128"/>
      <w:r w:rsidRPr="00DE5E7E">
        <w:t>Therapeutic Goods Regulations 1990</w:t>
      </w:r>
      <w:bookmarkEnd w:id="12"/>
    </w:p>
    <w:p w14:paraId="56465FE0" w14:textId="77777777" w:rsidR="002852AB" w:rsidRPr="00DE5E7E" w:rsidRDefault="00D75138" w:rsidP="002852AB">
      <w:pPr>
        <w:pStyle w:val="ItemHead"/>
      </w:pPr>
      <w:r w:rsidRPr="00DE5E7E">
        <w:t>13</w:t>
      </w:r>
      <w:r w:rsidR="002852AB" w:rsidRPr="00DE5E7E">
        <w:t xml:space="preserve">  </w:t>
      </w:r>
      <w:r w:rsidR="00092491" w:rsidRPr="00DE5E7E">
        <w:t>Paragraph 1</w:t>
      </w:r>
      <w:r w:rsidR="002852AB" w:rsidRPr="00DE5E7E">
        <w:t>2AC(1)(e)</w:t>
      </w:r>
    </w:p>
    <w:p w14:paraId="64D8ED9D" w14:textId="77777777" w:rsidR="002852AB" w:rsidRPr="00DE5E7E" w:rsidRDefault="002852AB" w:rsidP="002852AB">
      <w:pPr>
        <w:pStyle w:val="Item"/>
      </w:pPr>
      <w:r w:rsidRPr="00DE5E7E">
        <w:t>Repeal the paragraph.</w:t>
      </w:r>
    </w:p>
    <w:p w14:paraId="712086AF" w14:textId="77777777" w:rsidR="00D00661" w:rsidRPr="00DE5E7E" w:rsidRDefault="00D75138" w:rsidP="00D00661">
      <w:pPr>
        <w:pStyle w:val="ItemHead"/>
      </w:pPr>
      <w:r w:rsidRPr="00DE5E7E">
        <w:t>14</w:t>
      </w:r>
      <w:r w:rsidR="00D00661" w:rsidRPr="00DE5E7E">
        <w:t xml:space="preserve">  At the end of </w:t>
      </w:r>
      <w:r w:rsidR="004C0E67" w:rsidRPr="00DE5E7E">
        <w:t>subregulation 1</w:t>
      </w:r>
      <w:r w:rsidR="00D00661" w:rsidRPr="00DE5E7E">
        <w:t>2AC(1)</w:t>
      </w:r>
    </w:p>
    <w:p w14:paraId="07DBE1F0" w14:textId="77777777" w:rsidR="00D00661" w:rsidRPr="00DE5E7E" w:rsidRDefault="00D00661" w:rsidP="00D00661">
      <w:pPr>
        <w:pStyle w:val="Item"/>
      </w:pPr>
      <w:r w:rsidRPr="00DE5E7E">
        <w:t>Add:</w:t>
      </w:r>
    </w:p>
    <w:p w14:paraId="19775921" w14:textId="77777777" w:rsidR="00D00661" w:rsidRPr="00DE5E7E" w:rsidRDefault="00D00661" w:rsidP="00D00661">
      <w:pPr>
        <w:pStyle w:val="notetext"/>
      </w:pPr>
      <w:r w:rsidRPr="00DE5E7E">
        <w:t>Note:</w:t>
      </w:r>
      <w:r w:rsidRPr="00DE5E7E">
        <w:tab/>
        <w:t xml:space="preserve">To avoid doubt, a reference to a thing in </w:t>
      </w:r>
      <w:r w:rsidR="004C0E67" w:rsidRPr="00DE5E7E">
        <w:t>paragraph (</w:t>
      </w:r>
      <w:r w:rsidRPr="00DE5E7E">
        <w:t>b), (c) or (d) includes a reference to a book, record or document.</w:t>
      </w:r>
    </w:p>
    <w:p w14:paraId="12A30F86" w14:textId="77777777" w:rsidR="00316D09" w:rsidRPr="00DE5E7E" w:rsidRDefault="00D75138" w:rsidP="00316D09">
      <w:pPr>
        <w:pStyle w:val="ItemHead"/>
      </w:pPr>
      <w:r w:rsidRPr="00DE5E7E">
        <w:t>15</w:t>
      </w:r>
      <w:r w:rsidR="00316D09" w:rsidRPr="00DE5E7E">
        <w:t xml:space="preserve">  In the appropriate position in </w:t>
      </w:r>
      <w:r w:rsidR="00092491" w:rsidRPr="00DE5E7E">
        <w:t>Part 9</w:t>
      </w:r>
    </w:p>
    <w:p w14:paraId="14973491" w14:textId="77777777" w:rsidR="00316D09" w:rsidRPr="00DE5E7E" w:rsidRDefault="00316D09" w:rsidP="00316D09">
      <w:pPr>
        <w:pStyle w:val="Item"/>
      </w:pPr>
      <w:r w:rsidRPr="00DE5E7E">
        <w:t>Insert:</w:t>
      </w:r>
    </w:p>
    <w:p w14:paraId="07C84A96" w14:textId="77777777" w:rsidR="00316D09" w:rsidRPr="00DE5E7E" w:rsidRDefault="00092491" w:rsidP="00316D09">
      <w:pPr>
        <w:pStyle w:val="ActHead3"/>
      </w:pPr>
      <w:bookmarkStart w:id="13" w:name="_Toc146898129"/>
      <w:r w:rsidRPr="00DE5E7E">
        <w:rPr>
          <w:rStyle w:val="CharDivNo"/>
        </w:rPr>
        <w:t>Division 2</w:t>
      </w:r>
      <w:r w:rsidR="00316D09" w:rsidRPr="00DE5E7E">
        <w:rPr>
          <w:rStyle w:val="CharDivNo"/>
        </w:rPr>
        <w:t>2</w:t>
      </w:r>
      <w:r w:rsidR="00316D09" w:rsidRPr="00DE5E7E">
        <w:t>—</w:t>
      </w:r>
      <w:r w:rsidR="00316D09" w:rsidRPr="00DE5E7E">
        <w:rPr>
          <w:rStyle w:val="CharDivText"/>
        </w:rPr>
        <w:t xml:space="preserve">Transitional provisions relating to the Therapeutic Goods Legislation Amendment (2023 Measures No. </w:t>
      </w:r>
      <w:r w:rsidR="0092668D" w:rsidRPr="00DE5E7E">
        <w:rPr>
          <w:rStyle w:val="CharDivText"/>
        </w:rPr>
        <w:t>2</w:t>
      </w:r>
      <w:r w:rsidR="00316D09" w:rsidRPr="00DE5E7E">
        <w:rPr>
          <w:rStyle w:val="CharDivText"/>
        </w:rPr>
        <w:t xml:space="preserve">) </w:t>
      </w:r>
      <w:r w:rsidR="004C0E67" w:rsidRPr="00DE5E7E">
        <w:rPr>
          <w:rStyle w:val="CharDivText"/>
        </w:rPr>
        <w:t>Regulations 2</w:t>
      </w:r>
      <w:r w:rsidR="00316D09" w:rsidRPr="00DE5E7E">
        <w:rPr>
          <w:rStyle w:val="CharDivText"/>
        </w:rPr>
        <w:t>023</w:t>
      </w:r>
      <w:bookmarkEnd w:id="13"/>
    </w:p>
    <w:p w14:paraId="29E220E7" w14:textId="77777777" w:rsidR="00316D09" w:rsidRPr="00DE5E7E" w:rsidRDefault="00316D09" w:rsidP="00316D09">
      <w:pPr>
        <w:pStyle w:val="ActHead5"/>
      </w:pPr>
      <w:bookmarkStart w:id="14" w:name="_Toc146898130"/>
      <w:r w:rsidRPr="00DE5E7E">
        <w:rPr>
          <w:rStyle w:val="CharSectno"/>
        </w:rPr>
        <w:t>91</w:t>
      </w:r>
      <w:r w:rsidRPr="00DE5E7E">
        <w:t xml:space="preserve">  Clinical trials</w:t>
      </w:r>
      <w:bookmarkEnd w:id="14"/>
    </w:p>
    <w:p w14:paraId="63151189" w14:textId="77777777" w:rsidR="00316D09" w:rsidRPr="00DE5E7E" w:rsidRDefault="00316D09" w:rsidP="00316D09">
      <w:pPr>
        <w:pStyle w:val="subsection"/>
      </w:pPr>
      <w:r w:rsidRPr="00DE5E7E">
        <w:tab/>
      </w:r>
      <w:r w:rsidRPr="00DE5E7E">
        <w:tab/>
        <w:t>The amendment</w:t>
      </w:r>
      <w:r w:rsidR="003757ED" w:rsidRPr="00DE5E7E">
        <w:t>s</w:t>
      </w:r>
      <w:r w:rsidRPr="00DE5E7E">
        <w:t xml:space="preserve"> of </w:t>
      </w:r>
      <w:r w:rsidR="004C0E67" w:rsidRPr="00DE5E7E">
        <w:t>subregulation 1</w:t>
      </w:r>
      <w:r w:rsidRPr="00DE5E7E">
        <w:t xml:space="preserve">2AC(1) of these Regulations made by </w:t>
      </w:r>
      <w:r w:rsidR="00092491" w:rsidRPr="00DE5E7E">
        <w:t>Part 2</w:t>
      </w:r>
      <w:r w:rsidRPr="00DE5E7E">
        <w:t xml:space="preserve"> of </w:t>
      </w:r>
      <w:r w:rsidR="00092491" w:rsidRPr="00DE5E7E">
        <w:t>Schedule 1</w:t>
      </w:r>
      <w:r w:rsidRPr="00DE5E7E">
        <w:t xml:space="preserve"> to the </w:t>
      </w:r>
      <w:r w:rsidRPr="00DE5E7E">
        <w:rPr>
          <w:i/>
        </w:rPr>
        <w:t xml:space="preserve">Therapeutic Goods Legislation Amendment (2023 Measures No. </w:t>
      </w:r>
      <w:r w:rsidR="0092668D" w:rsidRPr="00DE5E7E">
        <w:rPr>
          <w:i/>
        </w:rPr>
        <w:t>2</w:t>
      </w:r>
      <w:r w:rsidRPr="00DE5E7E">
        <w:rPr>
          <w:i/>
        </w:rPr>
        <w:t xml:space="preserve">) </w:t>
      </w:r>
      <w:r w:rsidR="004C0E67" w:rsidRPr="00DE5E7E">
        <w:rPr>
          <w:i/>
        </w:rPr>
        <w:t>Regulations 2</w:t>
      </w:r>
      <w:r w:rsidRPr="00DE5E7E">
        <w:rPr>
          <w:i/>
        </w:rPr>
        <w:t>023</w:t>
      </w:r>
      <w:r w:rsidRPr="00DE5E7E">
        <w:t xml:space="preserve"> </w:t>
      </w:r>
      <w:r w:rsidR="00652D26" w:rsidRPr="00DE5E7E">
        <w:t>apply</w:t>
      </w:r>
      <w:r w:rsidRPr="00DE5E7E">
        <w:t xml:space="preserve"> in relation to things done on or after the commencement of </w:t>
      </w:r>
      <w:r w:rsidR="00AA3D28" w:rsidRPr="00DE5E7E">
        <w:t>those</w:t>
      </w:r>
      <w:r w:rsidRPr="00DE5E7E">
        <w:t xml:space="preserve"> amendment</w:t>
      </w:r>
      <w:r w:rsidR="00AA3D28" w:rsidRPr="00DE5E7E">
        <w:t>s</w:t>
      </w:r>
      <w:r w:rsidRPr="00DE5E7E">
        <w:t xml:space="preserve"> in relation to a clinical trial that began before, on or after that commencement.</w:t>
      </w:r>
    </w:p>
    <w:p w14:paraId="3A4EA9E2" w14:textId="77777777" w:rsidR="00711B1D" w:rsidRPr="00DE5E7E" w:rsidRDefault="00D75138" w:rsidP="00711B1D">
      <w:pPr>
        <w:pStyle w:val="ItemHead"/>
      </w:pPr>
      <w:r w:rsidRPr="00DE5E7E">
        <w:t>16</w:t>
      </w:r>
      <w:r w:rsidR="00711B1D" w:rsidRPr="00DE5E7E">
        <w:t xml:space="preserve">  </w:t>
      </w:r>
      <w:r w:rsidR="00092491" w:rsidRPr="00DE5E7E">
        <w:t>Schedule 5</w:t>
      </w:r>
      <w:r w:rsidR="00711B1D" w:rsidRPr="00DE5E7E">
        <w:t xml:space="preserve">A (table item 3, column 3, </w:t>
      </w:r>
      <w:r w:rsidR="004C0E67" w:rsidRPr="00DE5E7E">
        <w:t>paragraph (</w:t>
      </w:r>
      <w:r w:rsidR="00711B1D" w:rsidRPr="00DE5E7E">
        <w:t>h))</w:t>
      </w:r>
    </w:p>
    <w:p w14:paraId="76D81944" w14:textId="77777777" w:rsidR="00711B1D" w:rsidRPr="00DE5E7E" w:rsidRDefault="00711B1D" w:rsidP="00711B1D">
      <w:pPr>
        <w:pStyle w:val="Item"/>
      </w:pPr>
      <w:r w:rsidRPr="00DE5E7E">
        <w:t>Omit “any”, substitute “either or both”.</w:t>
      </w:r>
    </w:p>
    <w:p w14:paraId="5B4E418F" w14:textId="77777777" w:rsidR="00AC278E" w:rsidRPr="00DE5E7E" w:rsidRDefault="007E78C7" w:rsidP="00A7768B">
      <w:pPr>
        <w:pStyle w:val="ActHead7"/>
        <w:pageBreakBefore/>
      </w:pPr>
      <w:bookmarkStart w:id="15" w:name="_Toc146898131"/>
      <w:r w:rsidRPr="00DE5E7E">
        <w:rPr>
          <w:rStyle w:val="CharAmPartNo"/>
        </w:rPr>
        <w:lastRenderedPageBreak/>
        <w:t>Part 3</w:t>
      </w:r>
      <w:r w:rsidR="00AC278E" w:rsidRPr="00DE5E7E">
        <w:t>—</w:t>
      </w:r>
      <w:r w:rsidR="00AC278E" w:rsidRPr="00DE5E7E">
        <w:rPr>
          <w:rStyle w:val="CharAmPartText"/>
        </w:rPr>
        <w:t>Authorised prescriber scheme</w:t>
      </w:r>
      <w:bookmarkEnd w:id="15"/>
    </w:p>
    <w:p w14:paraId="6435EE87" w14:textId="77777777" w:rsidR="00AC278E" w:rsidRPr="00DE5E7E" w:rsidRDefault="00AC278E" w:rsidP="00AC278E">
      <w:pPr>
        <w:pStyle w:val="ActHead9"/>
      </w:pPr>
      <w:bookmarkStart w:id="16" w:name="_Toc146898132"/>
      <w:r w:rsidRPr="00DE5E7E">
        <w:t xml:space="preserve">Therapeutic Goods </w:t>
      </w:r>
      <w:r w:rsidR="007E78C7" w:rsidRPr="00DE5E7E">
        <w:t>Regulations 1</w:t>
      </w:r>
      <w:r w:rsidRPr="00DE5E7E">
        <w:t>990</w:t>
      </w:r>
      <w:bookmarkEnd w:id="16"/>
    </w:p>
    <w:p w14:paraId="040C9A3F" w14:textId="77777777" w:rsidR="00AC278E" w:rsidRPr="00DE5E7E" w:rsidRDefault="00D75138" w:rsidP="00AC278E">
      <w:pPr>
        <w:pStyle w:val="ItemHead"/>
      </w:pPr>
      <w:r w:rsidRPr="00DE5E7E">
        <w:t>17</w:t>
      </w:r>
      <w:r w:rsidR="00AC278E" w:rsidRPr="00DE5E7E">
        <w:t xml:space="preserve">  </w:t>
      </w:r>
      <w:r w:rsidR="007E78C7" w:rsidRPr="00DE5E7E">
        <w:t>Subregulation 1</w:t>
      </w:r>
      <w:r w:rsidR="00AC278E" w:rsidRPr="00DE5E7E">
        <w:t xml:space="preserve">2B(1C) (at the end of the cell at table </w:t>
      </w:r>
      <w:r w:rsidR="007E78C7" w:rsidRPr="00DE5E7E">
        <w:t>item 1</w:t>
      </w:r>
      <w:r w:rsidR="00AC278E" w:rsidRPr="00DE5E7E">
        <w:t>, column 5)</w:t>
      </w:r>
    </w:p>
    <w:p w14:paraId="72861742" w14:textId="77777777" w:rsidR="00AC278E" w:rsidRPr="00DE5E7E" w:rsidRDefault="00AC278E" w:rsidP="00AC278E">
      <w:pPr>
        <w:pStyle w:val="Item"/>
      </w:pPr>
      <w:r w:rsidRPr="00DE5E7E">
        <w:t>Add:</w:t>
      </w:r>
    </w:p>
    <w:p w14:paraId="1D373DE8" w14:textId="77777777" w:rsidR="00AC278E" w:rsidRPr="00DE5E7E" w:rsidRDefault="00AC278E" w:rsidP="00AC278E">
      <w:pPr>
        <w:pStyle w:val="Tablea"/>
      </w:pPr>
      <w:r w:rsidRPr="00DE5E7E">
        <w:t>; or (c) treatment of refractory sleep disorder</w:t>
      </w:r>
      <w:r w:rsidR="00DA6841" w:rsidRPr="00DE5E7E">
        <w:t>s</w:t>
      </w:r>
      <w:r w:rsidRPr="00DE5E7E">
        <w:t xml:space="preserve"> in adult patients; or</w:t>
      </w:r>
    </w:p>
    <w:p w14:paraId="6B4EBBBB" w14:textId="77777777" w:rsidR="00AC278E" w:rsidRPr="00DE5E7E" w:rsidRDefault="00AC278E" w:rsidP="00AC278E">
      <w:pPr>
        <w:pStyle w:val="Tablea"/>
      </w:pPr>
      <w:r w:rsidRPr="00DE5E7E">
        <w:t>(d) treatment of autism spectrum disorder in adult patients; or</w:t>
      </w:r>
    </w:p>
    <w:p w14:paraId="4684D597" w14:textId="77777777" w:rsidR="00AC278E" w:rsidRPr="00DE5E7E" w:rsidRDefault="00AC278E" w:rsidP="00AC278E">
      <w:pPr>
        <w:pStyle w:val="Tablea"/>
      </w:pPr>
      <w:r w:rsidRPr="00DE5E7E">
        <w:t xml:space="preserve">(e) treatment </w:t>
      </w:r>
      <w:r w:rsidR="00A410D8" w:rsidRPr="00DE5E7E">
        <w:t xml:space="preserve">and management </w:t>
      </w:r>
      <w:r w:rsidRPr="00DE5E7E">
        <w:t>of refractory cancer pain in adult patients</w:t>
      </w:r>
    </w:p>
    <w:p w14:paraId="7102E7FB" w14:textId="77777777" w:rsidR="00AC278E" w:rsidRPr="00DE5E7E" w:rsidRDefault="00D75138" w:rsidP="00AC278E">
      <w:pPr>
        <w:pStyle w:val="ItemHead"/>
      </w:pPr>
      <w:r w:rsidRPr="00DE5E7E">
        <w:t>18</w:t>
      </w:r>
      <w:r w:rsidR="00AC278E" w:rsidRPr="00DE5E7E">
        <w:t xml:space="preserve">  </w:t>
      </w:r>
      <w:r w:rsidR="007E78C7" w:rsidRPr="00DE5E7E">
        <w:t>Subregulation 1</w:t>
      </w:r>
      <w:r w:rsidR="00AC278E" w:rsidRPr="00DE5E7E">
        <w:t xml:space="preserve">2B(1C) (after table </w:t>
      </w:r>
      <w:r w:rsidR="007E78C7" w:rsidRPr="00DE5E7E">
        <w:t>item 1</w:t>
      </w:r>
      <w:r w:rsidR="00AC278E" w:rsidRPr="00DE5E7E">
        <w:t>)</w:t>
      </w:r>
    </w:p>
    <w:p w14:paraId="178A7821" w14:textId="77777777" w:rsidR="00AC278E" w:rsidRPr="00DE5E7E" w:rsidRDefault="00AC278E" w:rsidP="00AC278E">
      <w:pPr>
        <w:pStyle w:val="Item"/>
      </w:pPr>
      <w:r w:rsidRPr="00DE5E7E">
        <w:t>Insert:</w:t>
      </w:r>
    </w:p>
    <w:p w14:paraId="362F4BDA" w14:textId="77777777" w:rsidR="00AC278E" w:rsidRPr="00DE5E7E" w:rsidRDefault="00AC278E" w:rsidP="00AC278E">
      <w:pPr>
        <w:pStyle w:val="Tabletext"/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072"/>
        <w:gridCol w:w="2348"/>
        <w:gridCol w:w="1106"/>
        <w:gridCol w:w="1521"/>
        <w:gridCol w:w="2266"/>
      </w:tblGrid>
      <w:tr w:rsidR="00AC278E" w:rsidRPr="00DE5E7E" w14:paraId="6AA84473" w14:textId="77777777" w:rsidTr="005B50CA">
        <w:trPr>
          <w:trHeight w:val="20"/>
        </w:trPr>
        <w:tc>
          <w:tcPr>
            <w:tcW w:w="645" w:type="pct"/>
          </w:tcPr>
          <w:p w14:paraId="4F7DB712" w14:textId="77777777" w:rsidR="00AC278E" w:rsidRPr="00DE5E7E" w:rsidRDefault="00AC278E" w:rsidP="005B50CA">
            <w:pPr>
              <w:pStyle w:val="Tabletext"/>
            </w:pPr>
            <w:r w:rsidRPr="00DE5E7E">
              <w:t>1A</w:t>
            </w:r>
          </w:p>
        </w:tc>
        <w:tc>
          <w:tcPr>
            <w:tcW w:w="1412" w:type="pct"/>
            <w:shd w:val="clear" w:color="auto" w:fill="auto"/>
          </w:tcPr>
          <w:p w14:paraId="24E51551" w14:textId="77777777" w:rsidR="00AC278E" w:rsidRPr="00DE5E7E" w:rsidRDefault="00AC278E" w:rsidP="005B50CA">
            <w:pPr>
              <w:pStyle w:val="Tablea"/>
            </w:pPr>
            <w:r w:rsidRPr="00DE5E7E">
              <w:t>(a) cannabidiol comprises 98% or more of the total cannabinoid content of the medicine; and</w:t>
            </w:r>
          </w:p>
          <w:p w14:paraId="036F8DDC" w14:textId="77777777" w:rsidR="00AC278E" w:rsidRPr="00DE5E7E" w:rsidRDefault="00AC278E" w:rsidP="005B50CA">
            <w:pPr>
              <w:pStyle w:val="Tablea"/>
            </w:pPr>
            <w:r w:rsidRPr="00DE5E7E">
              <w:t>(b) any cannabinoids, other than cannabidiol, in the medicine are only those naturally found in cannabis and comprise 2% or less of the total cannabinoid content of the medicine; and</w:t>
            </w:r>
          </w:p>
          <w:p w14:paraId="69A1E4B2" w14:textId="77777777" w:rsidR="00AC278E" w:rsidRPr="00DE5E7E" w:rsidRDefault="00AC278E" w:rsidP="005B50CA">
            <w:pPr>
              <w:pStyle w:val="Tablea"/>
            </w:pPr>
            <w:r w:rsidRPr="00DE5E7E">
              <w:t>(c) the medicine contains no other active ingredients</w:t>
            </w:r>
          </w:p>
        </w:tc>
        <w:tc>
          <w:tcPr>
            <w:tcW w:w="665" w:type="pct"/>
            <w:shd w:val="clear" w:color="auto" w:fill="auto"/>
          </w:tcPr>
          <w:p w14:paraId="02CF6E37" w14:textId="77777777" w:rsidR="00AC278E" w:rsidRPr="00DE5E7E" w:rsidRDefault="00AC278E" w:rsidP="005B50CA">
            <w:pPr>
              <w:pStyle w:val="Tabletext"/>
            </w:pPr>
            <w:r w:rsidRPr="00DE5E7E">
              <w:t>spray</w:t>
            </w:r>
          </w:p>
        </w:tc>
        <w:tc>
          <w:tcPr>
            <w:tcW w:w="915" w:type="pct"/>
            <w:shd w:val="clear" w:color="auto" w:fill="auto"/>
          </w:tcPr>
          <w:p w14:paraId="6AC3D685" w14:textId="77777777" w:rsidR="00AC278E" w:rsidRPr="00DE5E7E" w:rsidRDefault="00AC278E" w:rsidP="005B50CA">
            <w:pPr>
              <w:pStyle w:val="Tabletext"/>
            </w:pPr>
            <w:r w:rsidRPr="00DE5E7E">
              <w:t>oral</w:t>
            </w:r>
          </w:p>
        </w:tc>
        <w:tc>
          <w:tcPr>
            <w:tcW w:w="1363" w:type="pct"/>
            <w:shd w:val="clear" w:color="auto" w:fill="auto"/>
          </w:tcPr>
          <w:p w14:paraId="7609A267" w14:textId="77777777" w:rsidR="00AC278E" w:rsidRPr="00DE5E7E" w:rsidRDefault="00AC278E" w:rsidP="005B50CA">
            <w:pPr>
              <w:pStyle w:val="Tabletext"/>
            </w:pPr>
            <w:r w:rsidRPr="00DE5E7E">
              <w:t>treatment of refractory chronic pain in adult patients</w:t>
            </w:r>
          </w:p>
        </w:tc>
      </w:tr>
    </w:tbl>
    <w:p w14:paraId="5456D382" w14:textId="77777777" w:rsidR="00AC278E" w:rsidRPr="00DE5E7E" w:rsidRDefault="00AC278E" w:rsidP="00AC278E">
      <w:pPr>
        <w:pStyle w:val="Tabletext"/>
      </w:pPr>
    </w:p>
    <w:p w14:paraId="21FCF300" w14:textId="77777777" w:rsidR="00AC278E" w:rsidRPr="00DE5E7E" w:rsidRDefault="00D75138" w:rsidP="00AC278E">
      <w:pPr>
        <w:pStyle w:val="ItemHead"/>
      </w:pPr>
      <w:r w:rsidRPr="00DE5E7E">
        <w:t>19</w:t>
      </w:r>
      <w:r w:rsidR="00AC278E" w:rsidRPr="00DE5E7E">
        <w:t xml:space="preserve">  </w:t>
      </w:r>
      <w:r w:rsidR="007E78C7" w:rsidRPr="00DE5E7E">
        <w:t>Subregulation 1</w:t>
      </w:r>
      <w:r w:rsidR="00AC278E" w:rsidRPr="00DE5E7E">
        <w:t xml:space="preserve">2B(1C) (at the end of the cell at table </w:t>
      </w:r>
      <w:r w:rsidR="007E78C7" w:rsidRPr="00DE5E7E">
        <w:t>item 3</w:t>
      </w:r>
      <w:r w:rsidR="00AC278E" w:rsidRPr="00DE5E7E">
        <w:t>, column 5)</w:t>
      </w:r>
    </w:p>
    <w:p w14:paraId="00031980" w14:textId="77777777" w:rsidR="00AC278E" w:rsidRPr="00DE5E7E" w:rsidRDefault="00AC278E" w:rsidP="00AC278E">
      <w:pPr>
        <w:pStyle w:val="Item"/>
      </w:pPr>
      <w:r w:rsidRPr="00DE5E7E">
        <w:t>Add:</w:t>
      </w:r>
    </w:p>
    <w:p w14:paraId="11F5F674" w14:textId="77777777" w:rsidR="00AC278E" w:rsidRPr="00DE5E7E" w:rsidRDefault="002133B9" w:rsidP="00AC278E">
      <w:pPr>
        <w:pStyle w:val="Tablea"/>
      </w:pPr>
      <w:r w:rsidRPr="00DE5E7E">
        <w:t xml:space="preserve">; </w:t>
      </w:r>
      <w:r w:rsidR="00AC278E" w:rsidRPr="00DE5E7E">
        <w:t>or (c) treatment of refractory sleep disorder</w:t>
      </w:r>
      <w:r w:rsidR="00DA6841" w:rsidRPr="00DE5E7E">
        <w:t>s</w:t>
      </w:r>
      <w:r w:rsidR="00AC278E" w:rsidRPr="00DE5E7E">
        <w:t xml:space="preserve"> in adult patients; or</w:t>
      </w:r>
    </w:p>
    <w:p w14:paraId="23FC8767" w14:textId="77777777" w:rsidR="00AC278E" w:rsidRPr="00DE5E7E" w:rsidRDefault="00AC278E" w:rsidP="00AC278E">
      <w:pPr>
        <w:pStyle w:val="Tablea"/>
      </w:pPr>
      <w:r w:rsidRPr="00DE5E7E">
        <w:t xml:space="preserve">(d) treatment </w:t>
      </w:r>
      <w:r w:rsidR="00A410D8" w:rsidRPr="00DE5E7E">
        <w:t xml:space="preserve">and management </w:t>
      </w:r>
      <w:r w:rsidRPr="00DE5E7E">
        <w:t xml:space="preserve">of refractory cancer pain </w:t>
      </w:r>
      <w:r w:rsidR="00A410D8" w:rsidRPr="00DE5E7E">
        <w:t>i</w:t>
      </w:r>
      <w:r w:rsidRPr="00DE5E7E">
        <w:t>n adult patients</w:t>
      </w:r>
    </w:p>
    <w:p w14:paraId="29E331C1" w14:textId="77777777" w:rsidR="00AC278E" w:rsidRPr="00DE5E7E" w:rsidRDefault="00D75138" w:rsidP="00AC278E">
      <w:pPr>
        <w:pStyle w:val="ItemHead"/>
      </w:pPr>
      <w:r w:rsidRPr="00DE5E7E">
        <w:t>20</w:t>
      </w:r>
      <w:r w:rsidR="00AC278E" w:rsidRPr="00DE5E7E">
        <w:t xml:space="preserve">  </w:t>
      </w:r>
      <w:r w:rsidR="007E78C7" w:rsidRPr="00DE5E7E">
        <w:t>Subregulation 1</w:t>
      </w:r>
      <w:r w:rsidR="00AC278E" w:rsidRPr="00DE5E7E">
        <w:t xml:space="preserve">2B(1C) (cell at table </w:t>
      </w:r>
      <w:r w:rsidR="007E78C7" w:rsidRPr="00DE5E7E">
        <w:t>item 5</w:t>
      </w:r>
      <w:r w:rsidR="00AC278E" w:rsidRPr="00DE5E7E">
        <w:t>, column 5)</w:t>
      </w:r>
    </w:p>
    <w:p w14:paraId="0BF88535" w14:textId="77777777" w:rsidR="00AC278E" w:rsidRPr="00DE5E7E" w:rsidRDefault="00AC278E" w:rsidP="00AC278E">
      <w:pPr>
        <w:pStyle w:val="Item"/>
      </w:pPr>
      <w:r w:rsidRPr="00DE5E7E">
        <w:t>Repeal the cell, substitute:</w:t>
      </w:r>
    </w:p>
    <w:p w14:paraId="581AF40B" w14:textId="77777777" w:rsidR="00AC278E" w:rsidRPr="00DE5E7E" w:rsidRDefault="00AC278E" w:rsidP="00AC278E">
      <w:pPr>
        <w:pStyle w:val="Tabletext"/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313"/>
      </w:tblGrid>
      <w:tr w:rsidR="00AC278E" w:rsidRPr="00DE5E7E" w14:paraId="37CF069E" w14:textId="77777777" w:rsidTr="005B50CA">
        <w:trPr>
          <w:trHeight w:val="20"/>
        </w:trPr>
        <w:tc>
          <w:tcPr>
            <w:tcW w:w="1363" w:type="pct"/>
            <w:shd w:val="clear" w:color="auto" w:fill="auto"/>
          </w:tcPr>
          <w:p w14:paraId="1D112B85" w14:textId="77777777" w:rsidR="00AC278E" w:rsidRPr="00DE5E7E" w:rsidRDefault="00AC278E" w:rsidP="005B50CA">
            <w:pPr>
              <w:pStyle w:val="Tablea"/>
            </w:pPr>
            <w:r w:rsidRPr="00DE5E7E">
              <w:t>(a) treatment of refractory chronic pain in adult patients; or</w:t>
            </w:r>
          </w:p>
          <w:p w14:paraId="36BF3D1F" w14:textId="77777777" w:rsidR="00AC278E" w:rsidRPr="00DE5E7E" w:rsidRDefault="00AC278E" w:rsidP="005B50CA">
            <w:pPr>
              <w:pStyle w:val="Tablea"/>
            </w:pPr>
            <w:r w:rsidRPr="00DE5E7E">
              <w:t>(b) treatment of refractory sleep disorder</w:t>
            </w:r>
            <w:r w:rsidR="00DA6841" w:rsidRPr="00DE5E7E">
              <w:t>s</w:t>
            </w:r>
            <w:r w:rsidRPr="00DE5E7E">
              <w:t xml:space="preserve"> in adult patients; or</w:t>
            </w:r>
          </w:p>
          <w:p w14:paraId="6198A3C1" w14:textId="77777777" w:rsidR="00AC278E" w:rsidRPr="00DE5E7E" w:rsidRDefault="00AC278E" w:rsidP="005B50CA">
            <w:pPr>
              <w:pStyle w:val="Tablea"/>
            </w:pPr>
            <w:r w:rsidRPr="00DE5E7E">
              <w:t xml:space="preserve">(c) treatment </w:t>
            </w:r>
            <w:r w:rsidR="00A410D8" w:rsidRPr="00DE5E7E">
              <w:t xml:space="preserve">and management </w:t>
            </w:r>
            <w:r w:rsidRPr="00DE5E7E">
              <w:t xml:space="preserve">of refractory cancer pain </w:t>
            </w:r>
            <w:r w:rsidR="00A410D8" w:rsidRPr="00DE5E7E">
              <w:t>i</w:t>
            </w:r>
            <w:r w:rsidRPr="00DE5E7E">
              <w:t>n adult patients</w:t>
            </w:r>
          </w:p>
        </w:tc>
      </w:tr>
    </w:tbl>
    <w:p w14:paraId="1C3DBDA2" w14:textId="77777777" w:rsidR="00AC278E" w:rsidRPr="00DE5E7E" w:rsidRDefault="00AC278E" w:rsidP="00AC278E">
      <w:pPr>
        <w:pStyle w:val="Tabletext"/>
      </w:pPr>
    </w:p>
    <w:p w14:paraId="07A0A85A" w14:textId="77777777" w:rsidR="00BA50C0" w:rsidRPr="00DE5E7E" w:rsidRDefault="007E78C7" w:rsidP="00BA50C0">
      <w:pPr>
        <w:pStyle w:val="ActHead7"/>
        <w:pageBreakBefore/>
      </w:pPr>
      <w:bookmarkStart w:id="17" w:name="_Toc146898133"/>
      <w:r w:rsidRPr="00DE5E7E">
        <w:rPr>
          <w:rStyle w:val="CharAmPartNo"/>
        </w:rPr>
        <w:lastRenderedPageBreak/>
        <w:t>Part 4</w:t>
      </w:r>
      <w:r w:rsidR="00BA50C0" w:rsidRPr="00DE5E7E">
        <w:t>—</w:t>
      </w:r>
      <w:r w:rsidR="00BA50C0" w:rsidRPr="00DE5E7E">
        <w:rPr>
          <w:rStyle w:val="CharAmPartText"/>
        </w:rPr>
        <w:t>Fees for certain vaccine strains updates</w:t>
      </w:r>
      <w:bookmarkEnd w:id="17"/>
    </w:p>
    <w:p w14:paraId="39673686" w14:textId="77777777" w:rsidR="00BA50C0" w:rsidRPr="00DE5E7E" w:rsidRDefault="00BA50C0" w:rsidP="00BA50C0">
      <w:pPr>
        <w:pStyle w:val="ActHead9"/>
      </w:pPr>
      <w:bookmarkStart w:id="18" w:name="_Toc146898134"/>
      <w:r w:rsidRPr="00DE5E7E">
        <w:t xml:space="preserve">Therapeutic Goods </w:t>
      </w:r>
      <w:r w:rsidR="007E78C7" w:rsidRPr="00DE5E7E">
        <w:t>Regulations 1</w:t>
      </w:r>
      <w:r w:rsidRPr="00DE5E7E">
        <w:t>990</w:t>
      </w:r>
      <w:bookmarkEnd w:id="18"/>
    </w:p>
    <w:p w14:paraId="47A38480" w14:textId="77777777" w:rsidR="00BA50C0" w:rsidRPr="00DE5E7E" w:rsidRDefault="00D75138" w:rsidP="00BA50C0">
      <w:pPr>
        <w:pStyle w:val="ItemHead"/>
      </w:pPr>
      <w:r w:rsidRPr="00DE5E7E">
        <w:t>21</w:t>
      </w:r>
      <w:r w:rsidR="00BA50C0" w:rsidRPr="00DE5E7E">
        <w:t xml:space="preserve">  </w:t>
      </w:r>
      <w:r w:rsidR="007E78C7" w:rsidRPr="00DE5E7E">
        <w:t>Clause 3</w:t>
      </w:r>
      <w:r w:rsidR="00BA50C0" w:rsidRPr="00DE5E7E">
        <w:t xml:space="preserve"> of </w:t>
      </w:r>
      <w:r w:rsidR="007E78C7" w:rsidRPr="00DE5E7E">
        <w:t>Schedule 9</w:t>
      </w:r>
      <w:r w:rsidR="00BA50C0" w:rsidRPr="00DE5E7E">
        <w:t xml:space="preserve"> (after </w:t>
      </w:r>
      <w:r w:rsidR="004C0E67" w:rsidRPr="00DE5E7E">
        <w:t>paragraph (</w:t>
      </w:r>
      <w:r w:rsidR="00BA50C0" w:rsidRPr="00DE5E7E">
        <w:t xml:space="preserve">bca) of table </w:t>
      </w:r>
      <w:r w:rsidR="00DC5F33" w:rsidRPr="00DE5E7E">
        <w:t>item 2</w:t>
      </w:r>
      <w:r w:rsidR="00BA50C0" w:rsidRPr="00DE5E7E">
        <w:t>)</w:t>
      </w:r>
    </w:p>
    <w:p w14:paraId="671F09D3" w14:textId="77777777" w:rsidR="00BA50C0" w:rsidRPr="00DE5E7E" w:rsidRDefault="00BA50C0" w:rsidP="00BA50C0">
      <w:pPr>
        <w:pStyle w:val="Item"/>
      </w:pPr>
      <w:r w:rsidRPr="00DE5E7E">
        <w:t>Insert:</w:t>
      </w:r>
    </w:p>
    <w:p w14:paraId="2CC8D000" w14:textId="77777777" w:rsidR="00BA50C0" w:rsidRPr="00DE5E7E" w:rsidRDefault="00BA50C0" w:rsidP="00BA50C0">
      <w:pPr>
        <w:pStyle w:val="Tabletext"/>
      </w:pPr>
    </w:p>
    <w:tbl>
      <w:tblPr>
        <w:tblW w:w="70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701"/>
      </w:tblGrid>
      <w:tr w:rsidR="00BA50C0" w:rsidRPr="00DE5E7E" w14:paraId="186480C9" w14:textId="77777777" w:rsidTr="005B50CA">
        <w:trPr>
          <w:cantSplit/>
        </w:trPr>
        <w:tc>
          <w:tcPr>
            <w:tcW w:w="709" w:type="dxa"/>
            <w:shd w:val="clear" w:color="auto" w:fill="auto"/>
          </w:tcPr>
          <w:p w14:paraId="2EE05C81" w14:textId="77777777" w:rsidR="00BA50C0" w:rsidRPr="00DE5E7E" w:rsidRDefault="00BA50C0" w:rsidP="005B50CA">
            <w:pPr>
              <w:pStyle w:val="Tabletext"/>
            </w:pPr>
          </w:p>
        </w:tc>
        <w:tc>
          <w:tcPr>
            <w:tcW w:w="4678" w:type="dxa"/>
            <w:shd w:val="clear" w:color="auto" w:fill="auto"/>
          </w:tcPr>
          <w:p w14:paraId="704985CB" w14:textId="77777777" w:rsidR="00BA50C0" w:rsidRPr="00DE5E7E" w:rsidRDefault="00BA50C0" w:rsidP="005B50CA">
            <w:pPr>
              <w:pStyle w:val="Tablea"/>
            </w:pPr>
            <w:r w:rsidRPr="00DE5E7E">
              <w:t xml:space="preserve">(bcb) for an application relating to a medicine in relation to which an evaluation fee is payable under </w:t>
            </w:r>
            <w:r w:rsidR="004C0E67" w:rsidRPr="00DE5E7E">
              <w:t>paragraph (</w:t>
            </w:r>
            <w:r w:rsidRPr="00DE5E7E">
              <w:t xml:space="preserve">ac) of </w:t>
            </w:r>
            <w:r w:rsidR="007E78C7" w:rsidRPr="00DE5E7E">
              <w:t>item 4</w:t>
            </w:r>
          </w:p>
        </w:tc>
        <w:tc>
          <w:tcPr>
            <w:tcW w:w="1701" w:type="dxa"/>
            <w:shd w:val="clear" w:color="auto" w:fill="auto"/>
          </w:tcPr>
          <w:p w14:paraId="4F9EC125" w14:textId="77777777" w:rsidR="00BA50C0" w:rsidRPr="00DE5E7E" w:rsidRDefault="00BA50C0" w:rsidP="005B50CA">
            <w:pPr>
              <w:pStyle w:val="Tabletext"/>
              <w:ind w:left="720"/>
            </w:pPr>
            <w:r w:rsidRPr="00DE5E7E">
              <w:t>1,241</w:t>
            </w:r>
          </w:p>
        </w:tc>
      </w:tr>
    </w:tbl>
    <w:p w14:paraId="62AD586A" w14:textId="77777777" w:rsidR="00BA50C0" w:rsidRPr="00DE5E7E" w:rsidRDefault="00BA50C0" w:rsidP="00BA50C0">
      <w:pPr>
        <w:pStyle w:val="Tabletext"/>
      </w:pPr>
    </w:p>
    <w:p w14:paraId="2F25B998" w14:textId="77777777" w:rsidR="00BA50C0" w:rsidRPr="00DE5E7E" w:rsidRDefault="00D75138" w:rsidP="00BA50C0">
      <w:pPr>
        <w:pStyle w:val="ItemHead"/>
      </w:pPr>
      <w:r w:rsidRPr="00DE5E7E">
        <w:t>22</w:t>
      </w:r>
      <w:r w:rsidR="00BA50C0" w:rsidRPr="00DE5E7E">
        <w:t xml:space="preserve">  </w:t>
      </w:r>
      <w:r w:rsidR="007E78C7" w:rsidRPr="00DE5E7E">
        <w:t>Clause 3</w:t>
      </w:r>
      <w:r w:rsidR="00BA50C0" w:rsidRPr="00DE5E7E">
        <w:t xml:space="preserve"> of </w:t>
      </w:r>
      <w:r w:rsidR="007E78C7" w:rsidRPr="00DE5E7E">
        <w:t>Schedule 9</w:t>
      </w:r>
      <w:r w:rsidR="00BA50C0" w:rsidRPr="00DE5E7E">
        <w:t xml:space="preserve"> (table </w:t>
      </w:r>
      <w:r w:rsidR="007E78C7" w:rsidRPr="00DE5E7E">
        <w:t>item 4</w:t>
      </w:r>
      <w:r w:rsidR="00BA50C0" w:rsidRPr="00DE5E7E">
        <w:t xml:space="preserve">, column 2, </w:t>
      </w:r>
      <w:r w:rsidR="004C0E67" w:rsidRPr="00DE5E7E">
        <w:t>paragraph (</w:t>
      </w:r>
      <w:r w:rsidR="00BA50C0" w:rsidRPr="00DE5E7E">
        <w:t>a))</w:t>
      </w:r>
    </w:p>
    <w:p w14:paraId="554DC2F3" w14:textId="77777777" w:rsidR="00BA50C0" w:rsidRPr="00DE5E7E" w:rsidRDefault="00BA50C0" w:rsidP="00BA50C0">
      <w:pPr>
        <w:pStyle w:val="Item"/>
      </w:pPr>
      <w:r w:rsidRPr="00DE5E7E">
        <w:t>Omit “or (ab)”, substitute “, (ab) or (ac)”.</w:t>
      </w:r>
    </w:p>
    <w:p w14:paraId="233CD01A" w14:textId="77777777" w:rsidR="00BA50C0" w:rsidRPr="00DE5E7E" w:rsidRDefault="00D75138" w:rsidP="00BA50C0">
      <w:pPr>
        <w:pStyle w:val="ItemHead"/>
      </w:pPr>
      <w:r w:rsidRPr="00DE5E7E">
        <w:t>23</w:t>
      </w:r>
      <w:r w:rsidR="00BA50C0" w:rsidRPr="00DE5E7E">
        <w:t xml:space="preserve">  </w:t>
      </w:r>
      <w:r w:rsidR="007E78C7" w:rsidRPr="00DE5E7E">
        <w:t>Clause 3</w:t>
      </w:r>
      <w:r w:rsidR="00BA50C0" w:rsidRPr="00DE5E7E">
        <w:t xml:space="preserve"> of </w:t>
      </w:r>
      <w:r w:rsidR="007E78C7" w:rsidRPr="00DE5E7E">
        <w:t>Schedule 9</w:t>
      </w:r>
      <w:r w:rsidR="00BA50C0" w:rsidRPr="00DE5E7E">
        <w:t xml:space="preserve"> (after </w:t>
      </w:r>
      <w:r w:rsidR="004C0E67" w:rsidRPr="00DE5E7E">
        <w:t>paragraph (</w:t>
      </w:r>
      <w:r w:rsidR="00BA50C0" w:rsidRPr="00DE5E7E">
        <w:t xml:space="preserve">ab) of table </w:t>
      </w:r>
      <w:r w:rsidR="007E78C7" w:rsidRPr="00DE5E7E">
        <w:t>item 4</w:t>
      </w:r>
      <w:r w:rsidR="00BA50C0" w:rsidRPr="00DE5E7E">
        <w:t>)</w:t>
      </w:r>
    </w:p>
    <w:p w14:paraId="6F083788" w14:textId="77777777" w:rsidR="00BA50C0" w:rsidRPr="00DE5E7E" w:rsidRDefault="00BA50C0" w:rsidP="00BA50C0">
      <w:pPr>
        <w:pStyle w:val="Item"/>
      </w:pPr>
      <w:r w:rsidRPr="00DE5E7E">
        <w:t>Insert:</w:t>
      </w:r>
    </w:p>
    <w:p w14:paraId="29473E30" w14:textId="77777777" w:rsidR="00BA50C0" w:rsidRPr="00DE5E7E" w:rsidRDefault="00BA50C0" w:rsidP="00BA50C0">
      <w:pPr>
        <w:pStyle w:val="Tabletext"/>
      </w:pPr>
    </w:p>
    <w:tbl>
      <w:tblPr>
        <w:tblW w:w="70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701"/>
      </w:tblGrid>
      <w:tr w:rsidR="00BA50C0" w:rsidRPr="00DE5E7E" w14:paraId="319357AE" w14:textId="77777777" w:rsidTr="005B50CA">
        <w:trPr>
          <w:cantSplit/>
        </w:trPr>
        <w:tc>
          <w:tcPr>
            <w:tcW w:w="709" w:type="dxa"/>
            <w:shd w:val="clear" w:color="auto" w:fill="auto"/>
          </w:tcPr>
          <w:p w14:paraId="2D2992ED" w14:textId="77777777" w:rsidR="00BA50C0" w:rsidRPr="00DE5E7E" w:rsidRDefault="00BA50C0" w:rsidP="005B50CA">
            <w:pPr>
              <w:pStyle w:val="Tabletext"/>
            </w:pPr>
          </w:p>
        </w:tc>
        <w:tc>
          <w:tcPr>
            <w:tcW w:w="4678" w:type="dxa"/>
            <w:shd w:val="clear" w:color="auto" w:fill="auto"/>
          </w:tcPr>
          <w:p w14:paraId="2EF65F9F" w14:textId="77777777" w:rsidR="00BA50C0" w:rsidRPr="00DE5E7E" w:rsidRDefault="00BA50C0" w:rsidP="005B50CA">
            <w:pPr>
              <w:pStyle w:val="Tablea"/>
            </w:pPr>
            <w:r w:rsidRPr="00DE5E7E">
              <w:t>(ac) a vaccine for COVID</w:t>
            </w:r>
            <w:r w:rsidR="00D175AA" w:rsidRPr="00DE5E7E">
              <w:noBreakHyphen/>
            </w:r>
            <w:r w:rsidRPr="00DE5E7E">
              <w:t>19, respiratory syncytial virus (RSV) or influenza that is a new chemical entity, if:</w:t>
            </w:r>
          </w:p>
          <w:p w14:paraId="3CBF2237" w14:textId="77777777" w:rsidR="00BA50C0" w:rsidRPr="00DE5E7E" w:rsidRDefault="00BA50C0" w:rsidP="00DC645F">
            <w:pPr>
              <w:pStyle w:val="Tablei"/>
            </w:pPr>
            <w:r w:rsidRPr="00DE5E7E">
              <w:t>(i) the vaccine is a new chemical entity only because the vaccine is for a new strain; and</w:t>
            </w:r>
          </w:p>
          <w:p w14:paraId="0B906E74" w14:textId="77777777" w:rsidR="00BA50C0" w:rsidRPr="00DE5E7E" w:rsidRDefault="00BA50C0" w:rsidP="005B50CA">
            <w:pPr>
              <w:pStyle w:val="Tablei"/>
            </w:pPr>
            <w:r w:rsidRPr="00DE5E7E">
              <w:t>(ii) the vaccine is a closely related form of an existing vaccine, for another strain, in the Register in relation to which the applicant is the sponsor</w:t>
            </w:r>
          </w:p>
        </w:tc>
        <w:tc>
          <w:tcPr>
            <w:tcW w:w="1701" w:type="dxa"/>
            <w:shd w:val="clear" w:color="auto" w:fill="auto"/>
          </w:tcPr>
          <w:p w14:paraId="3EE9FCC8" w14:textId="77777777" w:rsidR="00BA50C0" w:rsidRPr="00DE5E7E" w:rsidRDefault="00BA50C0" w:rsidP="005B50CA">
            <w:pPr>
              <w:pStyle w:val="Tabletext"/>
              <w:ind w:left="720"/>
            </w:pPr>
            <w:r w:rsidRPr="00DE5E7E">
              <w:t>4,954</w:t>
            </w:r>
          </w:p>
        </w:tc>
      </w:tr>
    </w:tbl>
    <w:p w14:paraId="7C976B93" w14:textId="77777777" w:rsidR="00BA50C0" w:rsidRPr="00DE5E7E" w:rsidRDefault="00BA50C0" w:rsidP="00BA50C0">
      <w:pPr>
        <w:pStyle w:val="Tabletext"/>
      </w:pPr>
    </w:p>
    <w:p w14:paraId="5806DD8A" w14:textId="77777777" w:rsidR="00BA50C0" w:rsidRPr="00DE5E7E" w:rsidRDefault="0092668D" w:rsidP="00BA50C0">
      <w:pPr>
        <w:pStyle w:val="ActHead7"/>
        <w:pageBreakBefore/>
      </w:pPr>
      <w:bookmarkStart w:id="19" w:name="_Toc146898135"/>
      <w:r w:rsidRPr="00DE5E7E">
        <w:rPr>
          <w:rStyle w:val="CharAmPartNo"/>
        </w:rPr>
        <w:lastRenderedPageBreak/>
        <w:t>Part 5</w:t>
      </w:r>
      <w:r w:rsidR="00BA50C0" w:rsidRPr="00DE5E7E">
        <w:t>—</w:t>
      </w:r>
      <w:r w:rsidR="00BA50C0" w:rsidRPr="00DE5E7E">
        <w:rPr>
          <w:rStyle w:val="CharAmPartText"/>
        </w:rPr>
        <w:t>Removal of exemptions for sunscreen preparations</w:t>
      </w:r>
      <w:bookmarkEnd w:id="19"/>
    </w:p>
    <w:p w14:paraId="1A6DC9C8" w14:textId="77777777" w:rsidR="00BA50C0" w:rsidRPr="00DE5E7E" w:rsidRDefault="00BA50C0" w:rsidP="00BA50C0">
      <w:pPr>
        <w:pStyle w:val="ActHead9"/>
      </w:pPr>
      <w:bookmarkStart w:id="20" w:name="_Toc146898136"/>
      <w:r w:rsidRPr="00DE5E7E">
        <w:t xml:space="preserve">Therapeutic Goods </w:t>
      </w:r>
      <w:r w:rsidR="007E78C7" w:rsidRPr="00DE5E7E">
        <w:t>Regulations 1</w:t>
      </w:r>
      <w:r w:rsidRPr="00DE5E7E">
        <w:t>990</w:t>
      </w:r>
      <w:bookmarkEnd w:id="20"/>
    </w:p>
    <w:p w14:paraId="00E2BE8C" w14:textId="77777777" w:rsidR="004F7FC9" w:rsidRPr="00DE5E7E" w:rsidRDefault="00D75138" w:rsidP="00BA50C0">
      <w:pPr>
        <w:pStyle w:val="ItemHead"/>
      </w:pPr>
      <w:r w:rsidRPr="00DE5E7E">
        <w:t>24</w:t>
      </w:r>
      <w:r w:rsidR="0074713F" w:rsidRPr="00DE5E7E">
        <w:t xml:space="preserve">  </w:t>
      </w:r>
      <w:r w:rsidR="00DC5F33" w:rsidRPr="00DE5E7E">
        <w:t>Paragraph 4</w:t>
      </w:r>
      <w:r w:rsidR="008D388F" w:rsidRPr="00DE5E7E">
        <w:t>9</w:t>
      </w:r>
      <w:r w:rsidR="00E51A1A" w:rsidRPr="00DE5E7E">
        <w:t>(a)</w:t>
      </w:r>
    </w:p>
    <w:p w14:paraId="15B4BFE1" w14:textId="77777777" w:rsidR="004F7FC9" w:rsidRPr="00DE5E7E" w:rsidRDefault="004F7FC9" w:rsidP="004F7FC9">
      <w:pPr>
        <w:pStyle w:val="Item"/>
      </w:pPr>
      <w:r w:rsidRPr="00DE5E7E">
        <w:t>Repeal the paragraph.</w:t>
      </w:r>
    </w:p>
    <w:p w14:paraId="5231C500" w14:textId="77777777" w:rsidR="0074713F" w:rsidRPr="00DE5E7E" w:rsidRDefault="00D75138" w:rsidP="00BA50C0">
      <w:pPr>
        <w:pStyle w:val="ItemHead"/>
      </w:pPr>
      <w:r w:rsidRPr="00DE5E7E">
        <w:t>25</w:t>
      </w:r>
      <w:r w:rsidR="004F7FC9" w:rsidRPr="00DE5E7E">
        <w:t xml:space="preserve">  </w:t>
      </w:r>
      <w:r w:rsidR="00DC5F33" w:rsidRPr="00DE5E7E">
        <w:t>Paragraph 4</w:t>
      </w:r>
      <w:r w:rsidR="004F7FC9" w:rsidRPr="00DE5E7E">
        <w:t>9</w:t>
      </w:r>
      <w:r w:rsidR="00E51A1A" w:rsidRPr="00DE5E7E">
        <w:t>(b)</w:t>
      </w:r>
    </w:p>
    <w:p w14:paraId="5A5F610F" w14:textId="77777777" w:rsidR="0074713F" w:rsidRPr="00DE5E7E" w:rsidRDefault="00E51A1A" w:rsidP="0074713F">
      <w:pPr>
        <w:pStyle w:val="Item"/>
      </w:pPr>
      <w:r w:rsidRPr="00DE5E7E">
        <w:t xml:space="preserve">After “continues to apply”, insert “until the end of </w:t>
      </w:r>
      <w:r w:rsidR="00092491" w:rsidRPr="00DE5E7E">
        <w:t>31 December</w:t>
      </w:r>
      <w:r w:rsidRPr="00DE5E7E">
        <w:t xml:space="preserve"> 2026”.</w:t>
      </w:r>
    </w:p>
    <w:p w14:paraId="181B6CB2" w14:textId="77777777" w:rsidR="00A141B1" w:rsidRPr="00DE5E7E" w:rsidRDefault="00D75138" w:rsidP="00A141B1">
      <w:pPr>
        <w:pStyle w:val="ItemHead"/>
      </w:pPr>
      <w:r w:rsidRPr="00DE5E7E">
        <w:t>26</w:t>
      </w:r>
      <w:r w:rsidR="00A141B1" w:rsidRPr="00DE5E7E">
        <w:t xml:space="preserve">  </w:t>
      </w:r>
      <w:r w:rsidR="00DC5F33" w:rsidRPr="00DE5E7E">
        <w:t>Paragraph 4</w:t>
      </w:r>
      <w:r w:rsidR="00A141B1" w:rsidRPr="00DE5E7E">
        <w:t>9(b)</w:t>
      </w:r>
    </w:p>
    <w:p w14:paraId="6F259FE2" w14:textId="77777777" w:rsidR="00A141B1" w:rsidRPr="00DE5E7E" w:rsidRDefault="00A141B1" w:rsidP="00A141B1">
      <w:pPr>
        <w:pStyle w:val="Item"/>
      </w:pPr>
      <w:r w:rsidRPr="00DE5E7E">
        <w:t>Omit “that date”, substitute “</w:t>
      </w:r>
      <w:r w:rsidR="00DC5F33" w:rsidRPr="00DE5E7E">
        <w:t>9 November</w:t>
      </w:r>
      <w:r w:rsidRPr="00DE5E7E">
        <w:t xml:space="preserve"> 2012”.</w:t>
      </w:r>
    </w:p>
    <w:p w14:paraId="11739C49" w14:textId="77777777" w:rsidR="00A141B1" w:rsidRPr="00DE5E7E" w:rsidRDefault="00D75138" w:rsidP="00A141B1">
      <w:pPr>
        <w:pStyle w:val="ItemHead"/>
      </w:pPr>
      <w:r w:rsidRPr="00DE5E7E">
        <w:t>27</w:t>
      </w:r>
      <w:r w:rsidR="00A141B1" w:rsidRPr="00DE5E7E">
        <w:t xml:space="preserve">  </w:t>
      </w:r>
      <w:r w:rsidR="00DC5F33" w:rsidRPr="00DE5E7E">
        <w:t>Paragraph 4</w:t>
      </w:r>
      <w:r w:rsidR="00A141B1" w:rsidRPr="00DE5E7E">
        <w:t>9(c)</w:t>
      </w:r>
    </w:p>
    <w:p w14:paraId="1B3F67AD" w14:textId="77777777" w:rsidR="00A141B1" w:rsidRPr="00DE5E7E" w:rsidRDefault="00A141B1" w:rsidP="00A141B1">
      <w:pPr>
        <w:pStyle w:val="Item"/>
      </w:pPr>
      <w:r w:rsidRPr="00DE5E7E">
        <w:t>After “continues to apply”, insert “until the end of 31 December 2026”.</w:t>
      </w:r>
    </w:p>
    <w:p w14:paraId="6A791270" w14:textId="77777777" w:rsidR="00F82FDA" w:rsidRPr="00DE5E7E" w:rsidRDefault="00D75138" w:rsidP="00F82FDA">
      <w:pPr>
        <w:pStyle w:val="ItemHead"/>
      </w:pPr>
      <w:r w:rsidRPr="00DE5E7E">
        <w:t>28</w:t>
      </w:r>
      <w:r w:rsidR="00F82FDA" w:rsidRPr="00DE5E7E">
        <w:t xml:space="preserve">  </w:t>
      </w:r>
      <w:r w:rsidR="00DC5F33" w:rsidRPr="00DE5E7E">
        <w:t>Paragraph 4</w:t>
      </w:r>
      <w:r w:rsidR="00F82FDA" w:rsidRPr="00DE5E7E">
        <w:t>9(c)</w:t>
      </w:r>
    </w:p>
    <w:p w14:paraId="41C5548A" w14:textId="77777777" w:rsidR="00F82FDA" w:rsidRPr="00DE5E7E" w:rsidRDefault="00F82FDA" w:rsidP="00F82FDA">
      <w:pPr>
        <w:pStyle w:val="Item"/>
      </w:pPr>
      <w:r w:rsidRPr="00DE5E7E">
        <w:t>Omit “that date”, substitute “</w:t>
      </w:r>
      <w:r w:rsidR="00DC5F33" w:rsidRPr="00DE5E7E">
        <w:t>9 November</w:t>
      </w:r>
      <w:r w:rsidRPr="00DE5E7E">
        <w:t xml:space="preserve"> 2012”.</w:t>
      </w:r>
    </w:p>
    <w:p w14:paraId="4A4903A8" w14:textId="77777777" w:rsidR="002F35FA" w:rsidRPr="00DE5E7E" w:rsidRDefault="00D75138" w:rsidP="002F35FA">
      <w:pPr>
        <w:pStyle w:val="ItemHead"/>
      </w:pPr>
      <w:r w:rsidRPr="00DE5E7E">
        <w:t>29</w:t>
      </w:r>
      <w:r w:rsidR="002F35FA" w:rsidRPr="00DE5E7E">
        <w:t xml:space="preserve">  At the end of </w:t>
      </w:r>
      <w:r w:rsidR="00092491" w:rsidRPr="00DE5E7E">
        <w:t>Division 2</w:t>
      </w:r>
      <w:r w:rsidR="002F35FA" w:rsidRPr="00DE5E7E">
        <w:t xml:space="preserve">2 of </w:t>
      </w:r>
      <w:r w:rsidR="00092491" w:rsidRPr="00DE5E7E">
        <w:t>Part 9</w:t>
      </w:r>
    </w:p>
    <w:p w14:paraId="6E1E0F7B" w14:textId="77777777" w:rsidR="002F35FA" w:rsidRPr="00DE5E7E" w:rsidRDefault="002F35FA" w:rsidP="002F35FA">
      <w:pPr>
        <w:pStyle w:val="Item"/>
      </w:pPr>
      <w:r w:rsidRPr="00DE5E7E">
        <w:t>Add:</w:t>
      </w:r>
    </w:p>
    <w:p w14:paraId="1244DE84" w14:textId="77777777" w:rsidR="002F35FA" w:rsidRPr="00DE5E7E" w:rsidRDefault="002F35FA" w:rsidP="002F35FA">
      <w:pPr>
        <w:pStyle w:val="ActHead5"/>
      </w:pPr>
      <w:bookmarkStart w:id="21" w:name="_Toc146898137"/>
      <w:r w:rsidRPr="00DE5E7E">
        <w:rPr>
          <w:rStyle w:val="CharSectno"/>
        </w:rPr>
        <w:t>92</w:t>
      </w:r>
      <w:r w:rsidRPr="00DE5E7E">
        <w:t xml:space="preserve">  Removal of exemptions for sunscreen preparations</w:t>
      </w:r>
      <w:bookmarkEnd w:id="21"/>
    </w:p>
    <w:p w14:paraId="7719391A" w14:textId="77777777" w:rsidR="002F35FA" w:rsidRPr="00DE5E7E" w:rsidRDefault="002F35FA" w:rsidP="002F35FA">
      <w:pPr>
        <w:pStyle w:val="subsection"/>
      </w:pPr>
      <w:r w:rsidRPr="00DE5E7E">
        <w:tab/>
      </w:r>
      <w:r w:rsidRPr="00DE5E7E">
        <w:tab/>
        <w:t xml:space="preserve">Despite the amendments of </w:t>
      </w:r>
      <w:r w:rsidR="00092491" w:rsidRPr="00DE5E7E">
        <w:t>Schedules 5</w:t>
      </w:r>
      <w:r w:rsidRPr="00DE5E7E">
        <w:t xml:space="preserve"> and 7 to these Regulations made by </w:t>
      </w:r>
      <w:r w:rsidR="0092668D" w:rsidRPr="00DE5E7E">
        <w:t>Part 5</w:t>
      </w:r>
      <w:r w:rsidRPr="00DE5E7E">
        <w:t xml:space="preserve"> of </w:t>
      </w:r>
      <w:r w:rsidR="00092491" w:rsidRPr="00DE5E7E">
        <w:t>Schedule 1</w:t>
      </w:r>
      <w:r w:rsidRPr="00DE5E7E">
        <w:t xml:space="preserve"> to the </w:t>
      </w:r>
      <w:r w:rsidRPr="00DE5E7E">
        <w:rPr>
          <w:i/>
        </w:rPr>
        <w:t xml:space="preserve">Therapeutic Goods Legislation Amendment (2023 Measures No. </w:t>
      </w:r>
      <w:r w:rsidR="0092668D" w:rsidRPr="00DE5E7E">
        <w:rPr>
          <w:i/>
        </w:rPr>
        <w:t>2</w:t>
      </w:r>
      <w:r w:rsidRPr="00DE5E7E">
        <w:rPr>
          <w:i/>
        </w:rPr>
        <w:t xml:space="preserve">) </w:t>
      </w:r>
      <w:r w:rsidR="004C0E67" w:rsidRPr="00DE5E7E">
        <w:rPr>
          <w:i/>
        </w:rPr>
        <w:t>Regulations 2</w:t>
      </w:r>
      <w:r w:rsidRPr="00DE5E7E">
        <w:rPr>
          <w:i/>
        </w:rPr>
        <w:t>023</w:t>
      </w:r>
      <w:r w:rsidRPr="00DE5E7E">
        <w:t>:</w:t>
      </w:r>
    </w:p>
    <w:p w14:paraId="1DB0A1C5" w14:textId="77777777" w:rsidR="002F35FA" w:rsidRPr="00DE5E7E" w:rsidRDefault="002F35FA" w:rsidP="002F35FA">
      <w:pPr>
        <w:pStyle w:val="paragraph"/>
      </w:pPr>
      <w:r w:rsidRPr="00DE5E7E">
        <w:tab/>
        <w:t>(a)</w:t>
      </w:r>
      <w:r w:rsidRPr="00DE5E7E">
        <w:tab/>
      </w:r>
      <w:r w:rsidR="004C0E67" w:rsidRPr="00DE5E7E">
        <w:t>paragraph (</w:t>
      </w:r>
      <w:r w:rsidRPr="00DE5E7E">
        <w:t xml:space="preserve">g) of </w:t>
      </w:r>
      <w:r w:rsidR="00092491" w:rsidRPr="00DE5E7E">
        <w:t>item 8</w:t>
      </w:r>
      <w:r w:rsidRPr="00DE5E7E">
        <w:t xml:space="preserve"> of </w:t>
      </w:r>
      <w:r w:rsidR="00092491" w:rsidRPr="00DE5E7E">
        <w:t>Schedule 5</w:t>
      </w:r>
      <w:r w:rsidR="00487CD6" w:rsidRPr="00DE5E7E">
        <w:t xml:space="preserve"> to these Regulations</w:t>
      </w:r>
      <w:r w:rsidRPr="00DE5E7E">
        <w:t xml:space="preserve">, as in force immediately before the commencement of those amendments, continues to apply until the end of </w:t>
      </w:r>
      <w:r w:rsidR="00092491" w:rsidRPr="00DE5E7E">
        <w:t>31 December</w:t>
      </w:r>
      <w:r w:rsidRPr="00DE5E7E">
        <w:t xml:space="preserve"> 2026 in relation to therapeutic goods exempt from the operation of </w:t>
      </w:r>
      <w:r w:rsidR="00092491" w:rsidRPr="00DE5E7E">
        <w:t>Parts 3</w:t>
      </w:r>
      <w:r w:rsidR="00D175AA" w:rsidRPr="00DE5E7E">
        <w:noBreakHyphen/>
      </w:r>
      <w:r w:rsidRPr="00DE5E7E">
        <w:t>2 and 3</w:t>
      </w:r>
      <w:r w:rsidR="00D175AA" w:rsidRPr="00DE5E7E">
        <w:noBreakHyphen/>
      </w:r>
      <w:r w:rsidRPr="00DE5E7E">
        <w:t>2A of the Act immediately before that commencement; and</w:t>
      </w:r>
    </w:p>
    <w:p w14:paraId="1C3AB7D8" w14:textId="77777777" w:rsidR="002F35FA" w:rsidRPr="00DE5E7E" w:rsidRDefault="002F35FA" w:rsidP="002F35FA">
      <w:pPr>
        <w:pStyle w:val="paragraph"/>
      </w:pPr>
      <w:r w:rsidRPr="00DE5E7E">
        <w:tab/>
        <w:t>(b)</w:t>
      </w:r>
      <w:r w:rsidRPr="00DE5E7E">
        <w:tab/>
        <w:t>item 14 of Schedule 7</w:t>
      </w:r>
      <w:r w:rsidR="00487CD6" w:rsidRPr="00DE5E7E">
        <w:t xml:space="preserve"> to these Regulations</w:t>
      </w:r>
      <w:r w:rsidRPr="00DE5E7E">
        <w:t xml:space="preserve">, as in force immediately before the commencement of those amendments, continues to apply until the end of </w:t>
      </w:r>
      <w:r w:rsidR="00092491" w:rsidRPr="00DE5E7E">
        <w:t>31 December</w:t>
      </w:r>
      <w:r w:rsidRPr="00DE5E7E">
        <w:t xml:space="preserve"> 2026 in relation to therapeutic goods exempt from the operation of Part 3</w:t>
      </w:r>
      <w:r w:rsidR="00D175AA" w:rsidRPr="00DE5E7E">
        <w:noBreakHyphen/>
      </w:r>
      <w:r w:rsidRPr="00DE5E7E">
        <w:t>3 of the Act immediately before that commencement.</w:t>
      </w:r>
    </w:p>
    <w:p w14:paraId="13AB9291" w14:textId="77777777" w:rsidR="00956C0B" w:rsidRPr="00DE5E7E" w:rsidRDefault="00D75138" w:rsidP="00956C0B">
      <w:pPr>
        <w:pStyle w:val="ItemHead"/>
      </w:pPr>
      <w:r w:rsidRPr="00DE5E7E">
        <w:t>30</w:t>
      </w:r>
      <w:r w:rsidR="00956C0B" w:rsidRPr="00DE5E7E">
        <w:t xml:space="preserve">  </w:t>
      </w:r>
      <w:r w:rsidR="00092491" w:rsidRPr="00DE5E7E">
        <w:t>Schedule 5</w:t>
      </w:r>
      <w:r w:rsidR="00956C0B" w:rsidRPr="00DE5E7E">
        <w:t xml:space="preserve"> (table </w:t>
      </w:r>
      <w:r w:rsidR="00092491" w:rsidRPr="00DE5E7E">
        <w:t>item 8</w:t>
      </w:r>
      <w:r w:rsidR="00956C0B" w:rsidRPr="00DE5E7E">
        <w:t xml:space="preserve">, </w:t>
      </w:r>
      <w:r w:rsidR="004C0E67" w:rsidRPr="00DE5E7E">
        <w:t>paragraph (</w:t>
      </w:r>
      <w:r w:rsidR="00956C0B" w:rsidRPr="00DE5E7E">
        <w:t>f))</w:t>
      </w:r>
    </w:p>
    <w:p w14:paraId="382287E3" w14:textId="77777777" w:rsidR="00956C0B" w:rsidRPr="00DE5E7E" w:rsidRDefault="00C73891" w:rsidP="00956C0B">
      <w:pPr>
        <w:pStyle w:val="Item"/>
      </w:pPr>
      <w:r w:rsidRPr="00DE5E7E">
        <w:t>Omit “</w:t>
      </w:r>
      <w:r w:rsidR="00DC5F33" w:rsidRPr="00DE5E7E">
        <w:t>Schedule 4</w:t>
      </w:r>
      <w:r w:rsidRPr="00DE5E7E">
        <w:t>;”, substitute “</w:t>
      </w:r>
      <w:r w:rsidR="00DC5F33" w:rsidRPr="00DE5E7E">
        <w:t>Schedule 4</w:t>
      </w:r>
      <w:r w:rsidRPr="00DE5E7E">
        <w:t>”.</w:t>
      </w:r>
    </w:p>
    <w:p w14:paraId="1FC3E6AF" w14:textId="77777777" w:rsidR="00BA50C0" w:rsidRPr="00DE5E7E" w:rsidRDefault="00D75138" w:rsidP="00BA50C0">
      <w:pPr>
        <w:pStyle w:val="ItemHead"/>
      </w:pPr>
      <w:r w:rsidRPr="00DE5E7E">
        <w:t>31</w:t>
      </w:r>
      <w:r w:rsidR="00BA50C0" w:rsidRPr="00DE5E7E">
        <w:t xml:space="preserve">  </w:t>
      </w:r>
      <w:r w:rsidR="00092491" w:rsidRPr="00DE5E7E">
        <w:t>Schedule 5</w:t>
      </w:r>
      <w:r w:rsidR="00BA50C0" w:rsidRPr="00DE5E7E">
        <w:t xml:space="preserve"> (table </w:t>
      </w:r>
      <w:r w:rsidR="00092491" w:rsidRPr="00DE5E7E">
        <w:t>item 8</w:t>
      </w:r>
      <w:r w:rsidR="00BA50C0" w:rsidRPr="00DE5E7E">
        <w:t xml:space="preserve">, </w:t>
      </w:r>
      <w:r w:rsidR="004C0E67" w:rsidRPr="00DE5E7E">
        <w:t>paragraph (</w:t>
      </w:r>
      <w:r w:rsidR="00BA50C0" w:rsidRPr="00DE5E7E">
        <w:t>g))</w:t>
      </w:r>
    </w:p>
    <w:p w14:paraId="39758B89" w14:textId="77777777" w:rsidR="00BA50C0" w:rsidRPr="00DE5E7E" w:rsidRDefault="00BA50C0" w:rsidP="00BA50C0">
      <w:pPr>
        <w:pStyle w:val="Item"/>
      </w:pPr>
      <w:r w:rsidRPr="00DE5E7E">
        <w:t>Repeal the paragraph.</w:t>
      </w:r>
    </w:p>
    <w:p w14:paraId="6D76D6F1" w14:textId="77777777" w:rsidR="00BA50C0" w:rsidRPr="00DE5E7E" w:rsidRDefault="00D75138" w:rsidP="00BA50C0">
      <w:pPr>
        <w:pStyle w:val="ItemHead"/>
      </w:pPr>
      <w:r w:rsidRPr="00DE5E7E">
        <w:t>32</w:t>
      </w:r>
      <w:r w:rsidR="00BA50C0" w:rsidRPr="00DE5E7E">
        <w:t xml:space="preserve">  </w:t>
      </w:r>
      <w:r w:rsidR="007E78C7" w:rsidRPr="00DE5E7E">
        <w:t>Schedule 7</w:t>
      </w:r>
      <w:r w:rsidR="00BA50C0" w:rsidRPr="00DE5E7E">
        <w:t xml:space="preserve"> (table </w:t>
      </w:r>
      <w:r w:rsidR="007E78C7" w:rsidRPr="00DE5E7E">
        <w:t>item 1</w:t>
      </w:r>
      <w:r w:rsidR="00BA50C0" w:rsidRPr="00DE5E7E">
        <w:t>4)</w:t>
      </w:r>
    </w:p>
    <w:p w14:paraId="0320C308" w14:textId="77777777" w:rsidR="00BA50C0" w:rsidRPr="00DE5E7E" w:rsidRDefault="00BA50C0" w:rsidP="00B1053E">
      <w:pPr>
        <w:pStyle w:val="Item"/>
      </w:pPr>
      <w:r w:rsidRPr="00DE5E7E">
        <w:t>Repeal the table item.</w:t>
      </w:r>
    </w:p>
    <w:p w14:paraId="1AE6B78A" w14:textId="77777777" w:rsidR="0000439A" w:rsidRPr="00DE5E7E" w:rsidRDefault="007E78C7" w:rsidP="005A0BBB">
      <w:pPr>
        <w:pStyle w:val="ActHead7"/>
        <w:pageBreakBefore/>
      </w:pPr>
      <w:bookmarkStart w:id="22" w:name="_Toc146898138"/>
      <w:r w:rsidRPr="00DE5E7E">
        <w:rPr>
          <w:rStyle w:val="CharAmPartNo"/>
        </w:rPr>
        <w:lastRenderedPageBreak/>
        <w:t>Part 6</w:t>
      </w:r>
      <w:r w:rsidR="0000439A" w:rsidRPr="00DE5E7E">
        <w:t>—</w:t>
      </w:r>
      <w:r w:rsidR="0000439A" w:rsidRPr="00DE5E7E">
        <w:rPr>
          <w:rStyle w:val="CharAmPartText"/>
        </w:rPr>
        <w:t>Minor amendments</w:t>
      </w:r>
      <w:bookmarkEnd w:id="22"/>
    </w:p>
    <w:p w14:paraId="201BF45E" w14:textId="77777777" w:rsidR="0000439A" w:rsidRPr="00DE5E7E" w:rsidRDefault="007E00A6" w:rsidP="0000439A">
      <w:pPr>
        <w:pStyle w:val="ActHead9"/>
      </w:pPr>
      <w:bookmarkStart w:id="23" w:name="_Toc146898139"/>
      <w:r w:rsidRPr="00DE5E7E">
        <w:t xml:space="preserve">Therapeutic Goods (Medical Devices) </w:t>
      </w:r>
      <w:r w:rsidR="004C0E67" w:rsidRPr="00DE5E7E">
        <w:t>Regulations 2</w:t>
      </w:r>
      <w:r w:rsidRPr="00DE5E7E">
        <w:t>002</w:t>
      </w:r>
      <w:bookmarkEnd w:id="23"/>
    </w:p>
    <w:p w14:paraId="6B7A6C59" w14:textId="77777777" w:rsidR="007E00A6" w:rsidRPr="00DE5E7E" w:rsidRDefault="00D75138" w:rsidP="007E00A6">
      <w:pPr>
        <w:pStyle w:val="ItemHead"/>
      </w:pPr>
      <w:r w:rsidRPr="00DE5E7E">
        <w:t>33</w:t>
      </w:r>
      <w:r w:rsidR="007E00A6" w:rsidRPr="00DE5E7E">
        <w:t xml:space="preserve">  </w:t>
      </w:r>
      <w:r w:rsidR="007E78C7" w:rsidRPr="00DE5E7E">
        <w:t>Subregulation 1</w:t>
      </w:r>
      <w:r w:rsidR="007E00A6" w:rsidRPr="00DE5E7E">
        <w:t>0.7(1) (</w:t>
      </w:r>
      <w:r w:rsidR="004C0E67" w:rsidRPr="00DE5E7E">
        <w:t>paragraph (</w:t>
      </w:r>
      <w:r w:rsidR="007E00A6" w:rsidRPr="00DE5E7E">
        <w:t xml:space="preserve">b) of the definition of </w:t>
      </w:r>
      <w:r w:rsidR="007E00A6" w:rsidRPr="00DE5E7E">
        <w:rPr>
          <w:i/>
        </w:rPr>
        <w:t>initial decision</w:t>
      </w:r>
      <w:r w:rsidR="007E00A6" w:rsidRPr="00DE5E7E">
        <w:t>)</w:t>
      </w:r>
    </w:p>
    <w:p w14:paraId="529B86FF" w14:textId="77777777" w:rsidR="007E00A6" w:rsidRPr="00DE5E7E" w:rsidRDefault="007E00A6" w:rsidP="007E00A6">
      <w:pPr>
        <w:pStyle w:val="Item"/>
      </w:pPr>
      <w:r w:rsidRPr="00DE5E7E">
        <w:t>Repeal the paragraph.</w:t>
      </w:r>
    </w:p>
    <w:p w14:paraId="3396B76F" w14:textId="77777777" w:rsidR="00BA50C0" w:rsidRPr="00DE5E7E" w:rsidRDefault="00BA50C0" w:rsidP="00BA50C0">
      <w:pPr>
        <w:pStyle w:val="ActHead9"/>
      </w:pPr>
      <w:bookmarkStart w:id="24" w:name="_Toc146898140"/>
      <w:r w:rsidRPr="00DE5E7E">
        <w:t xml:space="preserve">Therapeutic Goods </w:t>
      </w:r>
      <w:r w:rsidR="007E78C7" w:rsidRPr="00DE5E7E">
        <w:t>Regulations 1</w:t>
      </w:r>
      <w:r w:rsidRPr="00DE5E7E">
        <w:t>990</w:t>
      </w:r>
      <w:bookmarkEnd w:id="24"/>
    </w:p>
    <w:p w14:paraId="3807EC26" w14:textId="77777777" w:rsidR="00BA50C0" w:rsidRPr="00DE5E7E" w:rsidRDefault="00D75138" w:rsidP="00BA50C0">
      <w:pPr>
        <w:pStyle w:val="ItemHead"/>
      </w:pPr>
      <w:r w:rsidRPr="00DE5E7E">
        <w:t>34</w:t>
      </w:r>
      <w:r w:rsidR="00BA50C0" w:rsidRPr="00DE5E7E">
        <w:t xml:space="preserve">  </w:t>
      </w:r>
      <w:r w:rsidR="00DC5F33" w:rsidRPr="00DE5E7E">
        <w:t>Schedule 4</w:t>
      </w:r>
      <w:r w:rsidR="00BA50C0" w:rsidRPr="00DE5E7E">
        <w:t xml:space="preserve"> (table </w:t>
      </w:r>
      <w:r w:rsidR="00092491" w:rsidRPr="00DE5E7E">
        <w:t>item 8</w:t>
      </w:r>
      <w:r w:rsidR="00BA50C0" w:rsidRPr="00DE5E7E">
        <w:t>)</w:t>
      </w:r>
    </w:p>
    <w:p w14:paraId="22FB4AF1" w14:textId="77777777" w:rsidR="00D56664" w:rsidRPr="00D175AA" w:rsidRDefault="00BA50C0" w:rsidP="000143BD">
      <w:pPr>
        <w:pStyle w:val="Item"/>
      </w:pPr>
      <w:r w:rsidRPr="00DE5E7E">
        <w:t xml:space="preserve">Omit “where”, substitute “to be listed under </w:t>
      </w:r>
      <w:r w:rsidR="007E78C7" w:rsidRPr="00DE5E7E">
        <w:t>section 2</w:t>
      </w:r>
      <w:r w:rsidRPr="00DE5E7E">
        <w:t>6AE of the Act, if”.</w:t>
      </w:r>
    </w:p>
    <w:sectPr w:rsidR="00D56664" w:rsidRPr="00D175AA" w:rsidSect="0076045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3EFE3" w14:textId="77777777" w:rsidR="00D175AA" w:rsidRDefault="00D175AA" w:rsidP="0048364F">
      <w:pPr>
        <w:spacing w:line="240" w:lineRule="auto"/>
      </w:pPr>
      <w:r>
        <w:separator/>
      </w:r>
    </w:p>
  </w:endnote>
  <w:endnote w:type="continuationSeparator" w:id="0">
    <w:p w14:paraId="1F1AEE0C" w14:textId="77777777" w:rsidR="00D175AA" w:rsidRDefault="00D175A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81727" w14:textId="77777777" w:rsidR="00D175AA" w:rsidRPr="00760450" w:rsidRDefault="00760450" w:rsidP="0076045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60450">
      <w:rPr>
        <w:i/>
        <w:sz w:val="18"/>
      </w:rPr>
      <w:t>OPC66538 -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45D08" w14:textId="77777777" w:rsidR="00D175AA" w:rsidRDefault="00D175AA" w:rsidP="00E97334"/>
  <w:p w14:paraId="3841DF43" w14:textId="77777777" w:rsidR="00D175AA" w:rsidRPr="00760450" w:rsidRDefault="00760450" w:rsidP="00760450">
    <w:pPr>
      <w:rPr>
        <w:rFonts w:cs="Times New Roman"/>
        <w:i/>
        <w:sz w:val="18"/>
      </w:rPr>
    </w:pPr>
    <w:r w:rsidRPr="00760450">
      <w:rPr>
        <w:rFonts w:cs="Times New Roman"/>
        <w:i/>
        <w:sz w:val="18"/>
      </w:rPr>
      <w:t>OPC66538 -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E807E" w14:textId="77777777" w:rsidR="00D175AA" w:rsidRPr="00760450" w:rsidRDefault="00760450" w:rsidP="0076045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60450">
      <w:rPr>
        <w:i/>
        <w:sz w:val="18"/>
      </w:rPr>
      <w:t>OPC66538 -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2B4B8" w14:textId="77777777" w:rsidR="00D175AA" w:rsidRPr="00E33C1C" w:rsidRDefault="00D175A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175AA" w14:paraId="2C4ACB1D" w14:textId="77777777" w:rsidTr="009C3E2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CBC658" w14:textId="77777777" w:rsidR="00D175AA" w:rsidRDefault="00D175AA" w:rsidP="00B437B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E84ED17" w14:textId="640717BA" w:rsidR="00D175AA" w:rsidRDefault="00D175AA" w:rsidP="00B437B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D12E2">
            <w:rPr>
              <w:i/>
              <w:sz w:val="18"/>
            </w:rPr>
            <w:t>Therapeutic Goods Legislation Amendment (2023 Measures No. 2)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88845D" w14:textId="77777777" w:rsidR="00D175AA" w:rsidRDefault="00D175AA" w:rsidP="00B437B3">
          <w:pPr>
            <w:spacing w:line="0" w:lineRule="atLeast"/>
            <w:jc w:val="right"/>
            <w:rPr>
              <w:sz w:val="18"/>
            </w:rPr>
          </w:pPr>
        </w:p>
      </w:tc>
    </w:tr>
  </w:tbl>
  <w:p w14:paraId="4C5EDD85" w14:textId="77777777" w:rsidR="00D175AA" w:rsidRPr="00760450" w:rsidRDefault="00760450" w:rsidP="00760450">
    <w:pPr>
      <w:rPr>
        <w:rFonts w:cs="Times New Roman"/>
        <w:i/>
        <w:sz w:val="18"/>
      </w:rPr>
    </w:pPr>
    <w:r w:rsidRPr="00760450">
      <w:rPr>
        <w:rFonts w:cs="Times New Roman"/>
        <w:i/>
        <w:sz w:val="18"/>
      </w:rPr>
      <w:t>OPC66538 -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05439" w14:textId="77777777" w:rsidR="00D175AA" w:rsidRPr="00E33C1C" w:rsidRDefault="00D175A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D175AA" w14:paraId="439BB1B1" w14:textId="77777777" w:rsidTr="009C3E2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8BBECBF" w14:textId="77777777" w:rsidR="00D175AA" w:rsidRDefault="00D175AA" w:rsidP="00B437B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760D4A" w14:textId="764B0AE3" w:rsidR="00D175AA" w:rsidRDefault="00D175AA" w:rsidP="00B437B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D12E2">
            <w:rPr>
              <w:i/>
              <w:sz w:val="18"/>
            </w:rPr>
            <w:t>Therapeutic Goods Legislation Amendment (2023 Measures No. 2)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7E8A8AC" w14:textId="77777777" w:rsidR="00D175AA" w:rsidRDefault="00D175AA" w:rsidP="00B437B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6FC99A9" w14:textId="77777777" w:rsidR="00D175AA" w:rsidRPr="00760450" w:rsidRDefault="00760450" w:rsidP="00760450">
    <w:pPr>
      <w:rPr>
        <w:rFonts w:cs="Times New Roman"/>
        <w:i/>
        <w:sz w:val="18"/>
      </w:rPr>
    </w:pPr>
    <w:r w:rsidRPr="00760450">
      <w:rPr>
        <w:rFonts w:cs="Times New Roman"/>
        <w:i/>
        <w:sz w:val="18"/>
      </w:rPr>
      <w:t>OPC66538 -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BD5C8" w14:textId="77777777" w:rsidR="00D175AA" w:rsidRPr="00E33C1C" w:rsidRDefault="00D175A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175AA" w14:paraId="5A1B44F8" w14:textId="77777777" w:rsidTr="009C3E2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4521CF" w14:textId="77777777" w:rsidR="00D175AA" w:rsidRDefault="00D175AA" w:rsidP="00B437B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2EFF54" w14:textId="45F7904C" w:rsidR="00D175AA" w:rsidRDefault="00D175AA" w:rsidP="00B437B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D12E2">
            <w:rPr>
              <w:i/>
              <w:sz w:val="18"/>
            </w:rPr>
            <w:t>Therapeutic Goods Legislation Amendment (2023 Measures No. 2)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406208A" w14:textId="77777777" w:rsidR="00D175AA" w:rsidRDefault="00D175AA" w:rsidP="00B437B3">
          <w:pPr>
            <w:spacing w:line="0" w:lineRule="atLeast"/>
            <w:jc w:val="right"/>
            <w:rPr>
              <w:sz w:val="18"/>
            </w:rPr>
          </w:pPr>
        </w:p>
      </w:tc>
    </w:tr>
  </w:tbl>
  <w:p w14:paraId="6331BB14" w14:textId="77777777" w:rsidR="00D175AA" w:rsidRPr="00760450" w:rsidRDefault="00760450" w:rsidP="00760450">
    <w:pPr>
      <w:rPr>
        <w:rFonts w:cs="Times New Roman"/>
        <w:i/>
        <w:sz w:val="18"/>
      </w:rPr>
    </w:pPr>
    <w:r w:rsidRPr="00760450">
      <w:rPr>
        <w:rFonts w:cs="Times New Roman"/>
        <w:i/>
        <w:sz w:val="18"/>
      </w:rPr>
      <w:t>OPC66538 -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7C9EF" w14:textId="77777777" w:rsidR="00D175AA" w:rsidRPr="00E33C1C" w:rsidRDefault="00D175A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175AA" w14:paraId="75B594F1" w14:textId="77777777" w:rsidTr="00B437B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65AB3C8" w14:textId="77777777" w:rsidR="00D175AA" w:rsidRDefault="00D175AA" w:rsidP="00B437B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AFF752" w14:textId="318D5C3C" w:rsidR="00D175AA" w:rsidRDefault="00D175AA" w:rsidP="00B437B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D12E2">
            <w:rPr>
              <w:i/>
              <w:sz w:val="18"/>
            </w:rPr>
            <w:t>Therapeutic Goods Legislation Amendment (2023 Measures No. 2)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AFBB69" w14:textId="77777777" w:rsidR="00D175AA" w:rsidRDefault="00D175AA" w:rsidP="00B437B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21FCDAC" w14:textId="77777777" w:rsidR="00D175AA" w:rsidRPr="00760450" w:rsidRDefault="00760450" w:rsidP="00760450">
    <w:pPr>
      <w:rPr>
        <w:rFonts w:cs="Times New Roman"/>
        <w:i/>
        <w:sz w:val="18"/>
      </w:rPr>
    </w:pPr>
    <w:r w:rsidRPr="00760450">
      <w:rPr>
        <w:rFonts w:cs="Times New Roman"/>
        <w:i/>
        <w:sz w:val="18"/>
      </w:rPr>
      <w:t>OPC66538 -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B1D94" w14:textId="77777777" w:rsidR="00D175AA" w:rsidRPr="00E33C1C" w:rsidRDefault="00D175A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175AA" w14:paraId="1F8071A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6A7D1F" w14:textId="77777777" w:rsidR="00D175AA" w:rsidRDefault="00D175AA" w:rsidP="00B437B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C4EFD9C" w14:textId="160A96DE" w:rsidR="00D175AA" w:rsidRDefault="00D175AA" w:rsidP="00B437B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D12E2">
            <w:rPr>
              <w:i/>
              <w:sz w:val="18"/>
            </w:rPr>
            <w:t>Therapeutic Goods Legislation Amendment (2023 Measures No. 2)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D63FA27" w14:textId="77777777" w:rsidR="00D175AA" w:rsidRDefault="00D175AA" w:rsidP="00B437B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D94D216" w14:textId="77777777" w:rsidR="00D175AA" w:rsidRPr="00760450" w:rsidRDefault="00760450" w:rsidP="00760450">
    <w:pPr>
      <w:rPr>
        <w:rFonts w:cs="Times New Roman"/>
        <w:i/>
        <w:sz w:val="18"/>
      </w:rPr>
    </w:pPr>
    <w:r w:rsidRPr="00760450">
      <w:rPr>
        <w:rFonts w:cs="Times New Roman"/>
        <w:i/>
        <w:sz w:val="18"/>
      </w:rPr>
      <w:t>OPC66538 -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38C6B" w14:textId="77777777" w:rsidR="00D175AA" w:rsidRDefault="00D175AA" w:rsidP="0048364F">
      <w:pPr>
        <w:spacing w:line="240" w:lineRule="auto"/>
      </w:pPr>
      <w:r>
        <w:separator/>
      </w:r>
    </w:p>
  </w:footnote>
  <w:footnote w:type="continuationSeparator" w:id="0">
    <w:p w14:paraId="7D8F19C3" w14:textId="77777777" w:rsidR="00D175AA" w:rsidRDefault="00D175A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27175" w14:textId="77777777" w:rsidR="00D175AA" w:rsidRPr="005F1388" w:rsidRDefault="00D175A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8A8BF" w14:textId="77777777" w:rsidR="00D175AA" w:rsidRPr="005F1388" w:rsidRDefault="00D175A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2EAF5" w14:textId="77777777" w:rsidR="00D175AA" w:rsidRPr="005F1388" w:rsidRDefault="00D175A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26B83" w14:textId="77777777" w:rsidR="00D175AA" w:rsidRPr="00ED79B6" w:rsidRDefault="00D175AA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59F1" w14:textId="77777777" w:rsidR="00D175AA" w:rsidRPr="00ED79B6" w:rsidRDefault="00D175A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48692" w14:textId="77777777" w:rsidR="00D175AA" w:rsidRPr="00ED79B6" w:rsidRDefault="00D175A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C6927" w14:textId="53236D79" w:rsidR="00D175AA" w:rsidRPr="00A961C4" w:rsidRDefault="00D175A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F5C2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F5C2B">
      <w:rPr>
        <w:noProof/>
        <w:sz w:val="20"/>
      </w:rPr>
      <w:t>Amendments</w:t>
    </w:r>
    <w:r>
      <w:rPr>
        <w:sz w:val="20"/>
      </w:rPr>
      <w:fldChar w:fldCharType="end"/>
    </w:r>
  </w:p>
  <w:p w14:paraId="6F0ACA0B" w14:textId="0F718601" w:rsidR="00D175AA" w:rsidRPr="00A961C4" w:rsidRDefault="00D175A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FF5C2B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FF5C2B">
      <w:rPr>
        <w:noProof/>
        <w:sz w:val="20"/>
      </w:rPr>
      <w:t>Extension of transitional arrangements for reclassified medical devices and personalised medical devices</w:t>
    </w:r>
    <w:r>
      <w:rPr>
        <w:sz w:val="20"/>
      </w:rPr>
      <w:fldChar w:fldCharType="end"/>
    </w:r>
  </w:p>
  <w:p w14:paraId="0BF5EFC6" w14:textId="77777777" w:rsidR="00D175AA" w:rsidRPr="00A961C4" w:rsidRDefault="00D175A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3AB6F" w14:textId="12CECF6F" w:rsidR="00D175AA" w:rsidRPr="00A961C4" w:rsidRDefault="00D175AA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9848463" w14:textId="36AFEF19" w:rsidR="00D175AA" w:rsidRPr="00A961C4" w:rsidRDefault="00D175A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BD7933E" w14:textId="77777777" w:rsidR="00D175AA" w:rsidRPr="00A961C4" w:rsidRDefault="00D175AA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34F96" w14:textId="77777777" w:rsidR="00D175AA" w:rsidRPr="00A961C4" w:rsidRDefault="00D175AA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2810D3"/>
    <w:multiLevelType w:val="hybridMultilevel"/>
    <w:tmpl w:val="3C6C8F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3EE4B30"/>
    <w:multiLevelType w:val="hybridMultilevel"/>
    <w:tmpl w:val="457CF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C732F5F"/>
    <w:multiLevelType w:val="hybridMultilevel"/>
    <w:tmpl w:val="FB048D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2663CB9"/>
    <w:multiLevelType w:val="hybridMultilevel"/>
    <w:tmpl w:val="7D082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A0046"/>
    <w:multiLevelType w:val="hybridMultilevel"/>
    <w:tmpl w:val="738650B8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5B21C9F"/>
    <w:multiLevelType w:val="hybridMultilevel"/>
    <w:tmpl w:val="7B667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4" w15:restartNumberingAfterBreak="0">
    <w:nsid w:val="6B3F1483"/>
    <w:multiLevelType w:val="hybridMultilevel"/>
    <w:tmpl w:val="4D009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1"/>
  </w:num>
  <w:num w:numId="13">
    <w:abstractNumId w:val="13"/>
  </w:num>
  <w:num w:numId="14">
    <w:abstractNumId w:val="17"/>
  </w:num>
  <w:num w:numId="15">
    <w:abstractNumId w:val="15"/>
  </w:num>
  <w:num w:numId="16">
    <w:abstractNumId w:val="10"/>
  </w:num>
  <w:num w:numId="17">
    <w:abstractNumId w:val="23"/>
  </w:num>
  <w:num w:numId="18">
    <w:abstractNumId w:val="22"/>
  </w:num>
  <w:num w:numId="19">
    <w:abstractNumId w:val="20"/>
  </w:num>
  <w:num w:numId="20">
    <w:abstractNumId w:val="19"/>
  </w:num>
  <w:num w:numId="21">
    <w:abstractNumId w:val="12"/>
  </w:num>
  <w:num w:numId="22">
    <w:abstractNumId w:val="14"/>
  </w:num>
  <w:num w:numId="23">
    <w:abstractNumId w:val="18"/>
  </w:num>
  <w:num w:numId="24">
    <w:abstractNumId w:val="2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B5"/>
    <w:rsid w:val="00000263"/>
    <w:rsid w:val="00000F44"/>
    <w:rsid w:val="000025F3"/>
    <w:rsid w:val="000034ED"/>
    <w:rsid w:val="0000439A"/>
    <w:rsid w:val="00004E26"/>
    <w:rsid w:val="000113BC"/>
    <w:rsid w:val="000136AF"/>
    <w:rsid w:val="000143BD"/>
    <w:rsid w:val="00036E24"/>
    <w:rsid w:val="000375C2"/>
    <w:rsid w:val="0004044E"/>
    <w:rsid w:val="00044546"/>
    <w:rsid w:val="0004474D"/>
    <w:rsid w:val="00046F47"/>
    <w:rsid w:val="000470FC"/>
    <w:rsid w:val="00047D57"/>
    <w:rsid w:val="00051045"/>
    <w:rsid w:val="0005120E"/>
    <w:rsid w:val="00054577"/>
    <w:rsid w:val="000614BF"/>
    <w:rsid w:val="000624C1"/>
    <w:rsid w:val="000630E3"/>
    <w:rsid w:val="00063D66"/>
    <w:rsid w:val="000646BB"/>
    <w:rsid w:val="000663E2"/>
    <w:rsid w:val="00066DF8"/>
    <w:rsid w:val="0007169C"/>
    <w:rsid w:val="00071F52"/>
    <w:rsid w:val="00076C30"/>
    <w:rsid w:val="00076DA5"/>
    <w:rsid w:val="00077593"/>
    <w:rsid w:val="00077841"/>
    <w:rsid w:val="00083F48"/>
    <w:rsid w:val="00087D2C"/>
    <w:rsid w:val="00092491"/>
    <w:rsid w:val="00092C35"/>
    <w:rsid w:val="0009404B"/>
    <w:rsid w:val="000955AA"/>
    <w:rsid w:val="000A2F9C"/>
    <w:rsid w:val="000A7DF9"/>
    <w:rsid w:val="000B1D66"/>
    <w:rsid w:val="000D05EF"/>
    <w:rsid w:val="000D5485"/>
    <w:rsid w:val="000E0943"/>
    <w:rsid w:val="000E7909"/>
    <w:rsid w:val="000F1D3E"/>
    <w:rsid w:val="000F21C1"/>
    <w:rsid w:val="000F260B"/>
    <w:rsid w:val="000F28B3"/>
    <w:rsid w:val="000F575C"/>
    <w:rsid w:val="000F68D4"/>
    <w:rsid w:val="00101188"/>
    <w:rsid w:val="001017D1"/>
    <w:rsid w:val="001027FA"/>
    <w:rsid w:val="0010483A"/>
    <w:rsid w:val="00104AD6"/>
    <w:rsid w:val="00105D72"/>
    <w:rsid w:val="0010745C"/>
    <w:rsid w:val="001156B9"/>
    <w:rsid w:val="00117277"/>
    <w:rsid w:val="00120711"/>
    <w:rsid w:val="00126077"/>
    <w:rsid w:val="00126527"/>
    <w:rsid w:val="00134431"/>
    <w:rsid w:val="001351B8"/>
    <w:rsid w:val="00135670"/>
    <w:rsid w:val="0014517C"/>
    <w:rsid w:val="00150A4C"/>
    <w:rsid w:val="00155873"/>
    <w:rsid w:val="0015736A"/>
    <w:rsid w:val="00160BD7"/>
    <w:rsid w:val="00163188"/>
    <w:rsid w:val="001641C1"/>
    <w:rsid w:val="001643C9"/>
    <w:rsid w:val="00165568"/>
    <w:rsid w:val="00166082"/>
    <w:rsid w:val="00166C2F"/>
    <w:rsid w:val="001716C9"/>
    <w:rsid w:val="00171D31"/>
    <w:rsid w:val="0017517A"/>
    <w:rsid w:val="0018216A"/>
    <w:rsid w:val="00182B7C"/>
    <w:rsid w:val="001831ED"/>
    <w:rsid w:val="00183BCF"/>
    <w:rsid w:val="00184261"/>
    <w:rsid w:val="00187EFB"/>
    <w:rsid w:val="00190BA1"/>
    <w:rsid w:val="00190DF5"/>
    <w:rsid w:val="00193461"/>
    <w:rsid w:val="001939E1"/>
    <w:rsid w:val="00195382"/>
    <w:rsid w:val="00196093"/>
    <w:rsid w:val="001A1FD7"/>
    <w:rsid w:val="001A3B9F"/>
    <w:rsid w:val="001A4302"/>
    <w:rsid w:val="001A65C0"/>
    <w:rsid w:val="001A749D"/>
    <w:rsid w:val="001B29C4"/>
    <w:rsid w:val="001B6456"/>
    <w:rsid w:val="001B7A5D"/>
    <w:rsid w:val="001C0263"/>
    <w:rsid w:val="001C69C4"/>
    <w:rsid w:val="001D2D9E"/>
    <w:rsid w:val="001D40C7"/>
    <w:rsid w:val="001E0A8D"/>
    <w:rsid w:val="001E3590"/>
    <w:rsid w:val="001E5882"/>
    <w:rsid w:val="001E7407"/>
    <w:rsid w:val="001F45A8"/>
    <w:rsid w:val="001F4BAE"/>
    <w:rsid w:val="001F525A"/>
    <w:rsid w:val="001F6E8B"/>
    <w:rsid w:val="00201D27"/>
    <w:rsid w:val="002023B5"/>
    <w:rsid w:val="0020300C"/>
    <w:rsid w:val="002101D5"/>
    <w:rsid w:val="00212464"/>
    <w:rsid w:val="002133B9"/>
    <w:rsid w:val="00216BC4"/>
    <w:rsid w:val="00220A0C"/>
    <w:rsid w:val="00223E4A"/>
    <w:rsid w:val="00227C10"/>
    <w:rsid w:val="002302EA"/>
    <w:rsid w:val="002346A0"/>
    <w:rsid w:val="00236F56"/>
    <w:rsid w:val="00240749"/>
    <w:rsid w:val="00242CF5"/>
    <w:rsid w:val="0024375B"/>
    <w:rsid w:val="00246315"/>
    <w:rsid w:val="002468D7"/>
    <w:rsid w:val="0025762D"/>
    <w:rsid w:val="00263886"/>
    <w:rsid w:val="002641E8"/>
    <w:rsid w:val="002703C9"/>
    <w:rsid w:val="00274F15"/>
    <w:rsid w:val="002852AB"/>
    <w:rsid w:val="002856FC"/>
    <w:rsid w:val="00285CDD"/>
    <w:rsid w:val="002900AC"/>
    <w:rsid w:val="00291167"/>
    <w:rsid w:val="00296B17"/>
    <w:rsid w:val="00297ECB"/>
    <w:rsid w:val="002A1E0E"/>
    <w:rsid w:val="002C152A"/>
    <w:rsid w:val="002C6866"/>
    <w:rsid w:val="002C74A2"/>
    <w:rsid w:val="002D043A"/>
    <w:rsid w:val="002E4CDF"/>
    <w:rsid w:val="002E5373"/>
    <w:rsid w:val="002F131E"/>
    <w:rsid w:val="002F2415"/>
    <w:rsid w:val="002F35FA"/>
    <w:rsid w:val="002F44E7"/>
    <w:rsid w:val="002F50DD"/>
    <w:rsid w:val="002F5138"/>
    <w:rsid w:val="00301AF2"/>
    <w:rsid w:val="00310A64"/>
    <w:rsid w:val="003158C3"/>
    <w:rsid w:val="00315E62"/>
    <w:rsid w:val="00316D09"/>
    <w:rsid w:val="0031713F"/>
    <w:rsid w:val="0031728D"/>
    <w:rsid w:val="003208CA"/>
    <w:rsid w:val="00321913"/>
    <w:rsid w:val="00322C2B"/>
    <w:rsid w:val="00324EE6"/>
    <w:rsid w:val="0032611A"/>
    <w:rsid w:val="00326146"/>
    <w:rsid w:val="003316DC"/>
    <w:rsid w:val="00332E0D"/>
    <w:rsid w:val="00335618"/>
    <w:rsid w:val="003400AB"/>
    <w:rsid w:val="003415D3"/>
    <w:rsid w:val="0034471D"/>
    <w:rsid w:val="00346335"/>
    <w:rsid w:val="003521E0"/>
    <w:rsid w:val="00352B0F"/>
    <w:rsid w:val="00355F51"/>
    <w:rsid w:val="003561B0"/>
    <w:rsid w:val="00363F28"/>
    <w:rsid w:val="003644B7"/>
    <w:rsid w:val="00365584"/>
    <w:rsid w:val="00367445"/>
    <w:rsid w:val="00367960"/>
    <w:rsid w:val="00367B3F"/>
    <w:rsid w:val="003703B8"/>
    <w:rsid w:val="003757ED"/>
    <w:rsid w:val="00382A84"/>
    <w:rsid w:val="003830A8"/>
    <w:rsid w:val="00393FBC"/>
    <w:rsid w:val="0039550A"/>
    <w:rsid w:val="003A15AC"/>
    <w:rsid w:val="003A56EB"/>
    <w:rsid w:val="003A6071"/>
    <w:rsid w:val="003B0627"/>
    <w:rsid w:val="003B38DE"/>
    <w:rsid w:val="003B3D11"/>
    <w:rsid w:val="003C000A"/>
    <w:rsid w:val="003C1236"/>
    <w:rsid w:val="003C4AF1"/>
    <w:rsid w:val="003C5F2B"/>
    <w:rsid w:val="003C61F7"/>
    <w:rsid w:val="003D0BFE"/>
    <w:rsid w:val="003D35CF"/>
    <w:rsid w:val="003D48E6"/>
    <w:rsid w:val="003D5700"/>
    <w:rsid w:val="003D6519"/>
    <w:rsid w:val="003D75D9"/>
    <w:rsid w:val="003F0C34"/>
    <w:rsid w:val="003F0C8B"/>
    <w:rsid w:val="003F0F5A"/>
    <w:rsid w:val="003F23C0"/>
    <w:rsid w:val="003F671F"/>
    <w:rsid w:val="00400A30"/>
    <w:rsid w:val="004022CA"/>
    <w:rsid w:val="0040332E"/>
    <w:rsid w:val="0040742A"/>
    <w:rsid w:val="004116CD"/>
    <w:rsid w:val="00411C39"/>
    <w:rsid w:val="00414ADE"/>
    <w:rsid w:val="00421153"/>
    <w:rsid w:val="00424CA9"/>
    <w:rsid w:val="004257BB"/>
    <w:rsid w:val="00425F99"/>
    <w:rsid w:val="004261D9"/>
    <w:rsid w:val="0043270F"/>
    <w:rsid w:val="00435749"/>
    <w:rsid w:val="0044291A"/>
    <w:rsid w:val="00444ED0"/>
    <w:rsid w:val="00450359"/>
    <w:rsid w:val="00452227"/>
    <w:rsid w:val="00452668"/>
    <w:rsid w:val="00452EDC"/>
    <w:rsid w:val="00457109"/>
    <w:rsid w:val="00460499"/>
    <w:rsid w:val="00460723"/>
    <w:rsid w:val="004634BE"/>
    <w:rsid w:val="0046351B"/>
    <w:rsid w:val="00472208"/>
    <w:rsid w:val="00472249"/>
    <w:rsid w:val="00474835"/>
    <w:rsid w:val="004756F2"/>
    <w:rsid w:val="004819C7"/>
    <w:rsid w:val="004827B3"/>
    <w:rsid w:val="0048364F"/>
    <w:rsid w:val="00487CD6"/>
    <w:rsid w:val="00490F2E"/>
    <w:rsid w:val="004914AE"/>
    <w:rsid w:val="00496DB3"/>
    <w:rsid w:val="00496F97"/>
    <w:rsid w:val="004A006F"/>
    <w:rsid w:val="004A3250"/>
    <w:rsid w:val="004A4FF6"/>
    <w:rsid w:val="004A53EA"/>
    <w:rsid w:val="004A6D74"/>
    <w:rsid w:val="004A7AEE"/>
    <w:rsid w:val="004B2E8A"/>
    <w:rsid w:val="004B5262"/>
    <w:rsid w:val="004B5C51"/>
    <w:rsid w:val="004B67F0"/>
    <w:rsid w:val="004C0E67"/>
    <w:rsid w:val="004C34E2"/>
    <w:rsid w:val="004D01F7"/>
    <w:rsid w:val="004D43D5"/>
    <w:rsid w:val="004D4D45"/>
    <w:rsid w:val="004E0303"/>
    <w:rsid w:val="004E06AA"/>
    <w:rsid w:val="004E3CE5"/>
    <w:rsid w:val="004F1FAC"/>
    <w:rsid w:val="004F676E"/>
    <w:rsid w:val="004F7FC9"/>
    <w:rsid w:val="00507091"/>
    <w:rsid w:val="005151B9"/>
    <w:rsid w:val="00516B8D"/>
    <w:rsid w:val="005260DC"/>
    <w:rsid w:val="0052686F"/>
    <w:rsid w:val="0052756C"/>
    <w:rsid w:val="00530230"/>
    <w:rsid w:val="00530CC9"/>
    <w:rsid w:val="00537E28"/>
    <w:rsid w:val="00537FBC"/>
    <w:rsid w:val="00541D73"/>
    <w:rsid w:val="00543469"/>
    <w:rsid w:val="00544D7E"/>
    <w:rsid w:val="005452CC"/>
    <w:rsid w:val="00546FA3"/>
    <w:rsid w:val="00554243"/>
    <w:rsid w:val="005579B0"/>
    <w:rsid w:val="00557C7A"/>
    <w:rsid w:val="00560048"/>
    <w:rsid w:val="00560ABE"/>
    <w:rsid w:val="00562A58"/>
    <w:rsid w:val="00564061"/>
    <w:rsid w:val="005659FC"/>
    <w:rsid w:val="00566BC5"/>
    <w:rsid w:val="005673EC"/>
    <w:rsid w:val="00570B3E"/>
    <w:rsid w:val="00570FF2"/>
    <w:rsid w:val="00573C31"/>
    <w:rsid w:val="00576DE1"/>
    <w:rsid w:val="00577057"/>
    <w:rsid w:val="00581211"/>
    <w:rsid w:val="0058350A"/>
    <w:rsid w:val="00584811"/>
    <w:rsid w:val="00593AA6"/>
    <w:rsid w:val="00594161"/>
    <w:rsid w:val="00594512"/>
    <w:rsid w:val="00594749"/>
    <w:rsid w:val="005A0BBB"/>
    <w:rsid w:val="005A482B"/>
    <w:rsid w:val="005A7554"/>
    <w:rsid w:val="005B04C3"/>
    <w:rsid w:val="005B3EC0"/>
    <w:rsid w:val="005B4067"/>
    <w:rsid w:val="005B50CA"/>
    <w:rsid w:val="005C19BB"/>
    <w:rsid w:val="005C19BD"/>
    <w:rsid w:val="005C36E0"/>
    <w:rsid w:val="005C3F41"/>
    <w:rsid w:val="005C6F29"/>
    <w:rsid w:val="005D168D"/>
    <w:rsid w:val="005D5EA1"/>
    <w:rsid w:val="005E61D3"/>
    <w:rsid w:val="005F4840"/>
    <w:rsid w:val="005F7738"/>
    <w:rsid w:val="00600219"/>
    <w:rsid w:val="006066B0"/>
    <w:rsid w:val="0060682D"/>
    <w:rsid w:val="006100C7"/>
    <w:rsid w:val="00613EAD"/>
    <w:rsid w:val="006158AC"/>
    <w:rsid w:val="00622460"/>
    <w:rsid w:val="00625A2C"/>
    <w:rsid w:val="00625FCA"/>
    <w:rsid w:val="00626B84"/>
    <w:rsid w:val="006343CA"/>
    <w:rsid w:val="00637F01"/>
    <w:rsid w:val="00640402"/>
    <w:rsid w:val="00640F78"/>
    <w:rsid w:val="00643A0E"/>
    <w:rsid w:val="0064512B"/>
    <w:rsid w:val="00646E7B"/>
    <w:rsid w:val="0065147B"/>
    <w:rsid w:val="00652D26"/>
    <w:rsid w:val="00654884"/>
    <w:rsid w:val="00655D6A"/>
    <w:rsid w:val="00656DE9"/>
    <w:rsid w:val="00665A1D"/>
    <w:rsid w:val="00667CFA"/>
    <w:rsid w:val="00677CA9"/>
    <w:rsid w:val="00677CC2"/>
    <w:rsid w:val="00680B58"/>
    <w:rsid w:val="00682C93"/>
    <w:rsid w:val="0068475A"/>
    <w:rsid w:val="00685F42"/>
    <w:rsid w:val="006866A1"/>
    <w:rsid w:val="0069207B"/>
    <w:rsid w:val="00692709"/>
    <w:rsid w:val="00693105"/>
    <w:rsid w:val="00695E3D"/>
    <w:rsid w:val="006A225A"/>
    <w:rsid w:val="006A4309"/>
    <w:rsid w:val="006B0E55"/>
    <w:rsid w:val="006B7006"/>
    <w:rsid w:val="006B786E"/>
    <w:rsid w:val="006C0202"/>
    <w:rsid w:val="006C1258"/>
    <w:rsid w:val="006C4727"/>
    <w:rsid w:val="006C7672"/>
    <w:rsid w:val="006C7F8C"/>
    <w:rsid w:val="006D348E"/>
    <w:rsid w:val="006D7AB9"/>
    <w:rsid w:val="006E6D49"/>
    <w:rsid w:val="006F20CC"/>
    <w:rsid w:val="006F212D"/>
    <w:rsid w:val="006F32FD"/>
    <w:rsid w:val="00700B2C"/>
    <w:rsid w:val="007071D8"/>
    <w:rsid w:val="00711B1D"/>
    <w:rsid w:val="00713084"/>
    <w:rsid w:val="00713DFB"/>
    <w:rsid w:val="00717495"/>
    <w:rsid w:val="007176B9"/>
    <w:rsid w:val="00720FC2"/>
    <w:rsid w:val="007273D1"/>
    <w:rsid w:val="0073072B"/>
    <w:rsid w:val="00731E00"/>
    <w:rsid w:val="00732E9D"/>
    <w:rsid w:val="0073301E"/>
    <w:rsid w:val="0073491A"/>
    <w:rsid w:val="00742548"/>
    <w:rsid w:val="007440B7"/>
    <w:rsid w:val="0074713F"/>
    <w:rsid w:val="00747993"/>
    <w:rsid w:val="00752818"/>
    <w:rsid w:val="00760450"/>
    <w:rsid w:val="007634AD"/>
    <w:rsid w:val="007657EF"/>
    <w:rsid w:val="00766DC9"/>
    <w:rsid w:val="00767841"/>
    <w:rsid w:val="007715C9"/>
    <w:rsid w:val="00771883"/>
    <w:rsid w:val="0077366F"/>
    <w:rsid w:val="00774EDD"/>
    <w:rsid w:val="007757EC"/>
    <w:rsid w:val="00777583"/>
    <w:rsid w:val="007847B8"/>
    <w:rsid w:val="00794EC9"/>
    <w:rsid w:val="007A115D"/>
    <w:rsid w:val="007A35E6"/>
    <w:rsid w:val="007A38A9"/>
    <w:rsid w:val="007A6863"/>
    <w:rsid w:val="007A6C90"/>
    <w:rsid w:val="007C3FA9"/>
    <w:rsid w:val="007C4C10"/>
    <w:rsid w:val="007D0384"/>
    <w:rsid w:val="007D45C1"/>
    <w:rsid w:val="007E00A6"/>
    <w:rsid w:val="007E1738"/>
    <w:rsid w:val="007E424F"/>
    <w:rsid w:val="007E43D6"/>
    <w:rsid w:val="007E44FA"/>
    <w:rsid w:val="007E63B4"/>
    <w:rsid w:val="007E78C7"/>
    <w:rsid w:val="007E7D4A"/>
    <w:rsid w:val="007F3838"/>
    <w:rsid w:val="007F48ED"/>
    <w:rsid w:val="007F5E1F"/>
    <w:rsid w:val="007F7947"/>
    <w:rsid w:val="00802475"/>
    <w:rsid w:val="00804F7F"/>
    <w:rsid w:val="008073F6"/>
    <w:rsid w:val="00812F45"/>
    <w:rsid w:val="008130E3"/>
    <w:rsid w:val="00813392"/>
    <w:rsid w:val="008135CE"/>
    <w:rsid w:val="00814B89"/>
    <w:rsid w:val="00816539"/>
    <w:rsid w:val="00816F79"/>
    <w:rsid w:val="00823B55"/>
    <w:rsid w:val="008273CA"/>
    <w:rsid w:val="008314A1"/>
    <w:rsid w:val="0084172C"/>
    <w:rsid w:val="00850DD4"/>
    <w:rsid w:val="00851D84"/>
    <w:rsid w:val="00852D9D"/>
    <w:rsid w:val="00856A31"/>
    <w:rsid w:val="0086077C"/>
    <w:rsid w:val="00861E47"/>
    <w:rsid w:val="008655EB"/>
    <w:rsid w:val="008704F7"/>
    <w:rsid w:val="008754D0"/>
    <w:rsid w:val="00875777"/>
    <w:rsid w:val="00876C1C"/>
    <w:rsid w:val="00877D48"/>
    <w:rsid w:val="008816F0"/>
    <w:rsid w:val="0088345B"/>
    <w:rsid w:val="00883DF1"/>
    <w:rsid w:val="00886629"/>
    <w:rsid w:val="008A027A"/>
    <w:rsid w:val="008A16A5"/>
    <w:rsid w:val="008A2967"/>
    <w:rsid w:val="008B5D42"/>
    <w:rsid w:val="008C2B5D"/>
    <w:rsid w:val="008D0EE0"/>
    <w:rsid w:val="008D388F"/>
    <w:rsid w:val="008D5B99"/>
    <w:rsid w:val="008D7A27"/>
    <w:rsid w:val="008E0409"/>
    <w:rsid w:val="008E3965"/>
    <w:rsid w:val="008E4702"/>
    <w:rsid w:val="008E69AA"/>
    <w:rsid w:val="008E6D03"/>
    <w:rsid w:val="008E7C9C"/>
    <w:rsid w:val="008F0A0B"/>
    <w:rsid w:val="008F245C"/>
    <w:rsid w:val="008F3E41"/>
    <w:rsid w:val="008F4F1C"/>
    <w:rsid w:val="008F63FF"/>
    <w:rsid w:val="008F7E74"/>
    <w:rsid w:val="00902737"/>
    <w:rsid w:val="00914D25"/>
    <w:rsid w:val="00915FF9"/>
    <w:rsid w:val="00917312"/>
    <w:rsid w:val="0091753D"/>
    <w:rsid w:val="00922764"/>
    <w:rsid w:val="0092428D"/>
    <w:rsid w:val="00925637"/>
    <w:rsid w:val="0092668D"/>
    <w:rsid w:val="009302FE"/>
    <w:rsid w:val="00932377"/>
    <w:rsid w:val="00932E6E"/>
    <w:rsid w:val="009364E5"/>
    <w:rsid w:val="009408EA"/>
    <w:rsid w:val="00943102"/>
    <w:rsid w:val="0094523D"/>
    <w:rsid w:val="009538F4"/>
    <w:rsid w:val="009559E6"/>
    <w:rsid w:val="00956C0B"/>
    <w:rsid w:val="00965A63"/>
    <w:rsid w:val="00970F3C"/>
    <w:rsid w:val="00971653"/>
    <w:rsid w:val="00974C80"/>
    <w:rsid w:val="00975FD6"/>
    <w:rsid w:val="00976A63"/>
    <w:rsid w:val="00983419"/>
    <w:rsid w:val="00994821"/>
    <w:rsid w:val="00995C43"/>
    <w:rsid w:val="009A4FB1"/>
    <w:rsid w:val="009C3431"/>
    <w:rsid w:val="009C3E20"/>
    <w:rsid w:val="009C4C35"/>
    <w:rsid w:val="009C55AF"/>
    <w:rsid w:val="009C5989"/>
    <w:rsid w:val="009D08DA"/>
    <w:rsid w:val="009E07B4"/>
    <w:rsid w:val="009E1D9D"/>
    <w:rsid w:val="009E265A"/>
    <w:rsid w:val="009F1AA6"/>
    <w:rsid w:val="009F33AE"/>
    <w:rsid w:val="00A004CC"/>
    <w:rsid w:val="00A02EB9"/>
    <w:rsid w:val="00A06860"/>
    <w:rsid w:val="00A136F5"/>
    <w:rsid w:val="00A141B1"/>
    <w:rsid w:val="00A15938"/>
    <w:rsid w:val="00A231E2"/>
    <w:rsid w:val="00A2550D"/>
    <w:rsid w:val="00A34A76"/>
    <w:rsid w:val="00A37011"/>
    <w:rsid w:val="00A374E3"/>
    <w:rsid w:val="00A410D8"/>
    <w:rsid w:val="00A4169B"/>
    <w:rsid w:val="00A42E42"/>
    <w:rsid w:val="00A445F2"/>
    <w:rsid w:val="00A44E8E"/>
    <w:rsid w:val="00A50D55"/>
    <w:rsid w:val="00A5165B"/>
    <w:rsid w:val="00A52FDA"/>
    <w:rsid w:val="00A6147D"/>
    <w:rsid w:val="00A64912"/>
    <w:rsid w:val="00A6639F"/>
    <w:rsid w:val="00A667EB"/>
    <w:rsid w:val="00A66F25"/>
    <w:rsid w:val="00A70A74"/>
    <w:rsid w:val="00A7550B"/>
    <w:rsid w:val="00A7768B"/>
    <w:rsid w:val="00A85DEE"/>
    <w:rsid w:val="00A90073"/>
    <w:rsid w:val="00A90EA8"/>
    <w:rsid w:val="00A91B9E"/>
    <w:rsid w:val="00A97B28"/>
    <w:rsid w:val="00AA0343"/>
    <w:rsid w:val="00AA2A5C"/>
    <w:rsid w:val="00AA3D28"/>
    <w:rsid w:val="00AA6201"/>
    <w:rsid w:val="00AA7A5A"/>
    <w:rsid w:val="00AB1DDA"/>
    <w:rsid w:val="00AB2277"/>
    <w:rsid w:val="00AB78E9"/>
    <w:rsid w:val="00AB7D1A"/>
    <w:rsid w:val="00AC278E"/>
    <w:rsid w:val="00AC6438"/>
    <w:rsid w:val="00AD0A71"/>
    <w:rsid w:val="00AD1E9C"/>
    <w:rsid w:val="00AD2AB8"/>
    <w:rsid w:val="00AD326A"/>
    <w:rsid w:val="00AD3467"/>
    <w:rsid w:val="00AD5641"/>
    <w:rsid w:val="00AD7252"/>
    <w:rsid w:val="00AE0F9B"/>
    <w:rsid w:val="00AE5681"/>
    <w:rsid w:val="00AE730C"/>
    <w:rsid w:val="00AE79B5"/>
    <w:rsid w:val="00AF00AC"/>
    <w:rsid w:val="00AF55FF"/>
    <w:rsid w:val="00AF5B40"/>
    <w:rsid w:val="00B01C41"/>
    <w:rsid w:val="00B0272F"/>
    <w:rsid w:val="00B032D8"/>
    <w:rsid w:val="00B040E1"/>
    <w:rsid w:val="00B0658D"/>
    <w:rsid w:val="00B1053E"/>
    <w:rsid w:val="00B1155C"/>
    <w:rsid w:val="00B133C7"/>
    <w:rsid w:val="00B1759F"/>
    <w:rsid w:val="00B2177F"/>
    <w:rsid w:val="00B238B0"/>
    <w:rsid w:val="00B33B3C"/>
    <w:rsid w:val="00B40D74"/>
    <w:rsid w:val="00B41B36"/>
    <w:rsid w:val="00B437B3"/>
    <w:rsid w:val="00B4491B"/>
    <w:rsid w:val="00B52663"/>
    <w:rsid w:val="00B56DCB"/>
    <w:rsid w:val="00B62A16"/>
    <w:rsid w:val="00B770D2"/>
    <w:rsid w:val="00B84DAA"/>
    <w:rsid w:val="00B869C2"/>
    <w:rsid w:val="00B94F68"/>
    <w:rsid w:val="00B95170"/>
    <w:rsid w:val="00BA47A3"/>
    <w:rsid w:val="00BA5026"/>
    <w:rsid w:val="00BA50C0"/>
    <w:rsid w:val="00BB2F99"/>
    <w:rsid w:val="00BB6E79"/>
    <w:rsid w:val="00BD0F0D"/>
    <w:rsid w:val="00BD12E2"/>
    <w:rsid w:val="00BD202E"/>
    <w:rsid w:val="00BE2537"/>
    <w:rsid w:val="00BE3B31"/>
    <w:rsid w:val="00BE719A"/>
    <w:rsid w:val="00BE720A"/>
    <w:rsid w:val="00BF6650"/>
    <w:rsid w:val="00C00BE8"/>
    <w:rsid w:val="00C067E5"/>
    <w:rsid w:val="00C12C25"/>
    <w:rsid w:val="00C164CA"/>
    <w:rsid w:val="00C165FD"/>
    <w:rsid w:val="00C22230"/>
    <w:rsid w:val="00C3641A"/>
    <w:rsid w:val="00C36B6C"/>
    <w:rsid w:val="00C42BF8"/>
    <w:rsid w:val="00C4464D"/>
    <w:rsid w:val="00C460AE"/>
    <w:rsid w:val="00C50043"/>
    <w:rsid w:val="00C50A0F"/>
    <w:rsid w:val="00C51E96"/>
    <w:rsid w:val="00C52AFE"/>
    <w:rsid w:val="00C700E0"/>
    <w:rsid w:val="00C73891"/>
    <w:rsid w:val="00C7573B"/>
    <w:rsid w:val="00C75BB9"/>
    <w:rsid w:val="00C764E8"/>
    <w:rsid w:val="00C76CF3"/>
    <w:rsid w:val="00C85D1B"/>
    <w:rsid w:val="00C86812"/>
    <w:rsid w:val="00C92662"/>
    <w:rsid w:val="00C93436"/>
    <w:rsid w:val="00C93A26"/>
    <w:rsid w:val="00CA191C"/>
    <w:rsid w:val="00CA59F6"/>
    <w:rsid w:val="00CA5EC9"/>
    <w:rsid w:val="00CA7844"/>
    <w:rsid w:val="00CB58EF"/>
    <w:rsid w:val="00CC2A65"/>
    <w:rsid w:val="00CC3B83"/>
    <w:rsid w:val="00CD08F0"/>
    <w:rsid w:val="00CD1EF7"/>
    <w:rsid w:val="00CD281D"/>
    <w:rsid w:val="00CD35FF"/>
    <w:rsid w:val="00CD4104"/>
    <w:rsid w:val="00CD4D4B"/>
    <w:rsid w:val="00CD5C5D"/>
    <w:rsid w:val="00CE7D64"/>
    <w:rsid w:val="00CF0BB2"/>
    <w:rsid w:val="00CF3405"/>
    <w:rsid w:val="00D00661"/>
    <w:rsid w:val="00D0666B"/>
    <w:rsid w:val="00D10DC5"/>
    <w:rsid w:val="00D13441"/>
    <w:rsid w:val="00D13F3E"/>
    <w:rsid w:val="00D175AA"/>
    <w:rsid w:val="00D20665"/>
    <w:rsid w:val="00D211D7"/>
    <w:rsid w:val="00D23B9F"/>
    <w:rsid w:val="00D243A3"/>
    <w:rsid w:val="00D3200B"/>
    <w:rsid w:val="00D3226E"/>
    <w:rsid w:val="00D32B58"/>
    <w:rsid w:val="00D33440"/>
    <w:rsid w:val="00D447A4"/>
    <w:rsid w:val="00D44D94"/>
    <w:rsid w:val="00D44E60"/>
    <w:rsid w:val="00D4703A"/>
    <w:rsid w:val="00D52EFE"/>
    <w:rsid w:val="00D53758"/>
    <w:rsid w:val="00D56664"/>
    <w:rsid w:val="00D56A0D"/>
    <w:rsid w:val="00D5767F"/>
    <w:rsid w:val="00D63D28"/>
    <w:rsid w:val="00D63EF6"/>
    <w:rsid w:val="00D64D24"/>
    <w:rsid w:val="00D66518"/>
    <w:rsid w:val="00D67350"/>
    <w:rsid w:val="00D70DFB"/>
    <w:rsid w:val="00D71EEA"/>
    <w:rsid w:val="00D725A1"/>
    <w:rsid w:val="00D735CD"/>
    <w:rsid w:val="00D75138"/>
    <w:rsid w:val="00D75CEA"/>
    <w:rsid w:val="00D76494"/>
    <w:rsid w:val="00D764B6"/>
    <w:rsid w:val="00D766DF"/>
    <w:rsid w:val="00D80236"/>
    <w:rsid w:val="00D832CD"/>
    <w:rsid w:val="00D94DC1"/>
    <w:rsid w:val="00D95891"/>
    <w:rsid w:val="00D95ED6"/>
    <w:rsid w:val="00D95FC9"/>
    <w:rsid w:val="00D96771"/>
    <w:rsid w:val="00DA20A5"/>
    <w:rsid w:val="00DA6841"/>
    <w:rsid w:val="00DB124F"/>
    <w:rsid w:val="00DB2260"/>
    <w:rsid w:val="00DB4841"/>
    <w:rsid w:val="00DB4F55"/>
    <w:rsid w:val="00DB5CB4"/>
    <w:rsid w:val="00DC2895"/>
    <w:rsid w:val="00DC5F33"/>
    <w:rsid w:val="00DC645F"/>
    <w:rsid w:val="00DE149E"/>
    <w:rsid w:val="00DE2A80"/>
    <w:rsid w:val="00DE5E03"/>
    <w:rsid w:val="00DE5E7E"/>
    <w:rsid w:val="00DF734E"/>
    <w:rsid w:val="00E02004"/>
    <w:rsid w:val="00E05704"/>
    <w:rsid w:val="00E07A4D"/>
    <w:rsid w:val="00E110CF"/>
    <w:rsid w:val="00E12F1A"/>
    <w:rsid w:val="00E1338E"/>
    <w:rsid w:val="00E13C0C"/>
    <w:rsid w:val="00E15561"/>
    <w:rsid w:val="00E21CFB"/>
    <w:rsid w:val="00E22935"/>
    <w:rsid w:val="00E236C7"/>
    <w:rsid w:val="00E24E03"/>
    <w:rsid w:val="00E342E7"/>
    <w:rsid w:val="00E37CED"/>
    <w:rsid w:val="00E51258"/>
    <w:rsid w:val="00E51A1A"/>
    <w:rsid w:val="00E54292"/>
    <w:rsid w:val="00E60191"/>
    <w:rsid w:val="00E60561"/>
    <w:rsid w:val="00E7169A"/>
    <w:rsid w:val="00E72AD5"/>
    <w:rsid w:val="00E74DC7"/>
    <w:rsid w:val="00E84AEA"/>
    <w:rsid w:val="00E85CE4"/>
    <w:rsid w:val="00E87699"/>
    <w:rsid w:val="00E90FA1"/>
    <w:rsid w:val="00E92E27"/>
    <w:rsid w:val="00E93A16"/>
    <w:rsid w:val="00E9586B"/>
    <w:rsid w:val="00E961FB"/>
    <w:rsid w:val="00E97334"/>
    <w:rsid w:val="00EA0D36"/>
    <w:rsid w:val="00EA5A80"/>
    <w:rsid w:val="00EA6A9E"/>
    <w:rsid w:val="00EA7DE6"/>
    <w:rsid w:val="00EB4630"/>
    <w:rsid w:val="00EC3115"/>
    <w:rsid w:val="00ED08B2"/>
    <w:rsid w:val="00ED19F8"/>
    <w:rsid w:val="00ED4928"/>
    <w:rsid w:val="00ED715D"/>
    <w:rsid w:val="00ED77F2"/>
    <w:rsid w:val="00EE0E5E"/>
    <w:rsid w:val="00EE1078"/>
    <w:rsid w:val="00EE269D"/>
    <w:rsid w:val="00EE3489"/>
    <w:rsid w:val="00EE3749"/>
    <w:rsid w:val="00EE45BC"/>
    <w:rsid w:val="00EE6190"/>
    <w:rsid w:val="00EF1D25"/>
    <w:rsid w:val="00EF2E3A"/>
    <w:rsid w:val="00EF6402"/>
    <w:rsid w:val="00EF7B01"/>
    <w:rsid w:val="00F025DF"/>
    <w:rsid w:val="00F047E2"/>
    <w:rsid w:val="00F04D57"/>
    <w:rsid w:val="00F05BE3"/>
    <w:rsid w:val="00F078DC"/>
    <w:rsid w:val="00F13E86"/>
    <w:rsid w:val="00F152DB"/>
    <w:rsid w:val="00F3049A"/>
    <w:rsid w:val="00F3247E"/>
    <w:rsid w:val="00F32FCB"/>
    <w:rsid w:val="00F35423"/>
    <w:rsid w:val="00F40FD4"/>
    <w:rsid w:val="00F56BA9"/>
    <w:rsid w:val="00F57368"/>
    <w:rsid w:val="00F6709F"/>
    <w:rsid w:val="00F677A9"/>
    <w:rsid w:val="00F723BD"/>
    <w:rsid w:val="00F732EA"/>
    <w:rsid w:val="00F73962"/>
    <w:rsid w:val="00F74473"/>
    <w:rsid w:val="00F74A88"/>
    <w:rsid w:val="00F80EF0"/>
    <w:rsid w:val="00F81FE9"/>
    <w:rsid w:val="00F82FDA"/>
    <w:rsid w:val="00F84CF5"/>
    <w:rsid w:val="00F8612E"/>
    <w:rsid w:val="00F877AA"/>
    <w:rsid w:val="00FA420B"/>
    <w:rsid w:val="00FA496D"/>
    <w:rsid w:val="00FB32CF"/>
    <w:rsid w:val="00FC7457"/>
    <w:rsid w:val="00FD0649"/>
    <w:rsid w:val="00FD65E7"/>
    <w:rsid w:val="00FE0781"/>
    <w:rsid w:val="00FE1A06"/>
    <w:rsid w:val="00FE2710"/>
    <w:rsid w:val="00FE45ED"/>
    <w:rsid w:val="00FE4668"/>
    <w:rsid w:val="00FF2E3E"/>
    <w:rsid w:val="00FF39DE"/>
    <w:rsid w:val="00FF4B75"/>
    <w:rsid w:val="00FF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67563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4C0E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0E6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0E6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0E6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0E6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C0E6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C0E6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C0E6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C0E6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C0E6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C0E67"/>
  </w:style>
  <w:style w:type="paragraph" w:customStyle="1" w:styleId="OPCParaBase">
    <w:name w:val="OPCParaBase"/>
    <w:qFormat/>
    <w:rsid w:val="004C0E6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C0E6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C0E6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C0E6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C0E6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C0E6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C0E6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C0E6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C0E6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C0E6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C0E6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C0E67"/>
  </w:style>
  <w:style w:type="paragraph" w:customStyle="1" w:styleId="Blocks">
    <w:name w:val="Blocks"/>
    <w:aliases w:val="bb"/>
    <w:basedOn w:val="OPCParaBase"/>
    <w:qFormat/>
    <w:rsid w:val="004C0E6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C0E6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C0E6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C0E67"/>
    <w:rPr>
      <w:i/>
    </w:rPr>
  </w:style>
  <w:style w:type="paragraph" w:customStyle="1" w:styleId="BoxList">
    <w:name w:val="BoxList"/>
    <w:aliases w:val="bl"/>
    <w:basedOn w:val="BoxText"/>
    <w:qFormat/>
    <w:rsid w:val="004C0E6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C0E6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C0E6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C0E67"/>
    <w:pPr>
      <w:ind w:left="1985" w:hanging="851"/>
    </w:pPr>
  </w:style>
  <w:style w:type="character" w:customStyle="1" w:styleId="CharAmPartNo">
    <w:name w:val="CharAmPartNo"/>
    <w:basedOn w:val="OPCCharBase"/>
    <w:qFormat/>
    <w:rsid w:val="004C0E67"/>
  </w:style>
  <w:style w:type="character" w:customStyle="1" w:styleId="CharAmPartText">
    <w:name w:val="CharAmPartText"/>
    <w:basedOn w:val="OPCCharBase"/>
    <w:qFormat/>
    <w:rsid w:val="004C0E67"/>
  </w:style>
  <w:style w:type="character" w:customStyle="1" w:styleId="CharAmSchNo">
    <w:name w:val="CharAmSchNo"/>
    <w:basedOn w:val="OPCCharBase"/>
    <w:qFormat/>
    <w:rsid w:val="004C0E67"/>
  </w:style>
  <w:style w:type="character" w:customStyle="1" w:styleId="CharAmSchText">
    <w:name w:val="CharAmSchText"/>
    <w:basedOn w:val="OPCCharBase"/>
    <w:qFormat/>
    <w:rsid w:val="004C0E67"/>
  </w:style>
  <w:style w:type="character" w:customStyle="1" w:styleId="CharBoldItalic">
    <w:name w:val="CharBoldItalic"/>
    <w:basedOn w:val="OPCCharBase"/>
    <w:uiPriority w:val="1"/>
    <w:qFormat/>
    <w:rsid w:val="004C0E67"/>
    <w:rPr>
      <w:b/>
      <w:i/>
    </w:rPr>
  </w:style>
  <w:style w:type="character" w:customStyle="1" w:styleId="CharChapNo">
    <w:name w:val="CharChapNo"/>
    <w:basedOn w:val="OPCCharBase"/>
    <w:uiPriority w:val="1"/>
    <w:qFormat/>
    <w:rsid w:val="004C0E67"/>
  </w:style>
  <w:style w:type="character" w:customStyle="1" w:styleId="CharChapText">
    <w:name w:val="CharChapText"/>
    <w:basedOn w:val="OPCCharBase"/>
    <w:uiPriority w:val="1"/>
    <w:qFormat/>
    <w:rsid w:val="004C0E67"/>
  </w:style>
  <w:style w:type="character" w:customStyle="1" w:styleId="CharDivNo">
    <w:name w:val="CharDivNo"/>
    <w:basedOn w:val="OPCCharBase"/>
    <w:uiPriority w:val="1"/>
    <w:qFormat/>
    <w:rsid w:val="004C0E67"/>
  </w:style>
  <w:style w:type="character" w:customStyle="1" w:styleId="CharDivText">
    <w:name w:val="CharDivText"/>
    <w:basedOn w:val="OPCCharBase"/>
    <w:uiPriority w:val="1"/>
    <w:qFormat/>
    <w:rsid w:val="004C0E67"/>
  </w:style>
  <w:style w:type="character" w:customStyle="1" w:styleId="CharItalic">
    <w:name w:val="CharItalic"/>
    <w:basedOn w:val="OPCCharBase"/>
    <w:uiPriority w:val="1"/>
    <w:qFormat/>
    <w:rsid w:val="004C0E67"/>
    <w:rPr>
      <w:i/>
    </w:rPr>
  </w:style>
  <w:style w:type="character" w:customStyle="1" w:styleId="CharPartNo">
    <w:name w:val="CharPartNo"/>
    <w:basedOn w:val="OPCCharBase"/>
    <w:uiPriority w:val="1"/>
    <w:qFormat/>
    <w:rsid w:val="004C0E67"/>
  </w:style>
  <w:style w:type="character" w:customStyle="1" w:styleId="CharPartText">
    <w:name w:val="CharPartText"/>
    <w:basedOn w:val="OPCCharBase"/>
    <w:uiPriority w:val="1"/>
    <w:qFormat/>
    <w:rsid w:val="004C0E67"/>
  </w:style>
  <w:style w:type="character" w:customStyle="1" w:styleId="CharSectno">
    <w:name w:val="CharSectno"/>
    <w:basedOn w:val="OPCCharBase"/>
    <w:qFormat/>
    <w:rsid w:val="004C0E67"/>
  </w:style>
  <w:style w:type="character" w:customStyle="1" w:styleId="CharSubdNo">
    <w:name w:val="CharSubdNo"/>
    <w:basedOn w:val="OPCCharBase"/>
    <w:uiPriority w:val="1"/>
    <w:qFormat/>
    <w:rsid w:val="004C0E67"/>
  </w:style>
  <w:style w:type="character" w:customStyle="1" w:styleId="CharSubdText">
    <w:name w:val="CharSubdText"/>
    <w:basedOn w:val="OPCCharBase"/>
    <w:uiPriority w:val="1"/>
    <w:qFormat/>
    <w:rsid w:val="004C0E67"/>
  </w:style>
  <w:style w:type="paragraph" w:customStyle="1" w:styleId="CTA--">
    <w:name w:val="CTA --"/>
    <w:basedOn w:val="OPCParaBase"/>
    <w:next w:val="Normal"/>
    <w:rsid w:val="004C0E6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C0E6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C0E6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C0E6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C0E6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C0E6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C0E6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C0E6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C0E6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C0E6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C0E6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C0E6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C0E6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C0E6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C0E6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C0E6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C0E6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C0E6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C0E6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C0E6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C0E6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C0E6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C0E6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C0E6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C0E6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C0E6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C0E6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C0E6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C0E6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C0E6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C0E6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C0E6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C0E6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C0E6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C0E6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C0E6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C0E6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C0E6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C0E6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C0E6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C0E6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C0E6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C0E6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C0E6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C0E6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C0E6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C0E6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C0E6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C0E6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C0E6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C0E6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C0E6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C0E6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C0E6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C0E6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C0E6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C0E6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C0E6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C0E6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C0E6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C0E6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C0E6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C0E6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C0E6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C0E6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C0E6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C0E6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C0E6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C0E6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C0E6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C0E6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C0E6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C0E67"/>
    <w:rPr>
      <w:sz w:val="16"/>
    </w:rPr>
  </w:style>
  <w:style w:type="table" w:customStyle="1" w:styleId="CFlag">
    <w:name w:val="CFlag"/>
    <w:basedOn w:val="TableNormal"/>
    <w:uiPriority w:val="99"/>
    <w:rsid w:val="004C0E6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C0E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C0E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0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C0E6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C0E6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C0E6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C0E6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C0E6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C0E6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C0E67"/>
    <w:pPr>
      <w:spacing w:before="120"/>
    </w:pPr>
  </w:style>
  <w:style w:type="paragraph" w:customStyle="1" w:styleId="CompiledActNo">
    <w:name w:val="CompiledActNo"/>
    <w:basedOn w:val="OPCParaBase"/>
    <w:next w:val="Normal"/>
    <w:rsid w:val="004C0E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C0E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C0E6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C0E6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C0E6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C0E6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C0E6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C0E6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C0E6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C0E6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C0E6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C0E6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C0E6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C0E6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C0E6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C0E6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C0E6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C0E67"/>
  </w:style>
  <w:style w:type="character" w:customStyle="1" w:styleId="CharSubPartNoCASA">
    <w:name w:val="CharSubPartNo(CASA)"/>
    <w:basedOn w:val="OPCCharBase"/>
    <w:uiPriority w:val="1"/>
    <w:rsid w:val="004C0E67"/>
  </w:style>
  <w:style w:type="paragraph" w:customStyle="1" w:styleId="ENoteTTIndentHeadingSub">
    <w:name w:val="ENoteTTIndentHeadingSub"/>
    <w:aliases w:val="enTTHis"/>
    <w:basedOn w:val="OPCParaBase"/>
    <w:rsid w:val="004C0E6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C0E6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C0E6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C0E6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C0E6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C0E6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C0E6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C0E67"/>
    <w:rPr>
      <w:sz w:val="22"/>
    </w:rPr>
  </w:style>
  <w:style w:type="paragraph" w:customStyle="1" w:styleId="SOTextNote">
    <w:name w:val="SO TextNote"/>
    <w:aliases w:val="sont"/>
    <w:basedOn w:val="SOText"/>
    <w:qFormat/>
    <w:rsid w:val="004C0E6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C0E6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C0E67"/>
    <w:rPr>
      <w:sz w:val="22"/>
    </w:rPr>
  </w:style>
  <w:style w:type="paragraph" w:customStyle="1" w:styleId="FileName">
    <w:name w:val="FileName"/>
    <w:basedOn w:val="Normal"/>
    <w:rsid w:val="004C0E67"/>
  </w:style>
  <w:style w:type="paragraph" w:customStyle="1" w:styleId="TableHeading">
    <w:name w:val="TableHeading"/>
    <w:aliases w:val="th"/>
    <w:basedOn w:val="OPCParaBase"/>
    <w:next w:val="Tabletext"/>
    <w:rsid w:val="004C0E6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C0E6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C0E6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C0E6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C0E6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C0E6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C0E6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C0E6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C0E6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C0E6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C0E6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C0E6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C0E6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C0E6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C0E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0E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0E6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C0E6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C0E6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C0E6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C0E6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C0E6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C0E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C0E67"/>
  </w:style>
  <w:style w:type="character" w:customStyle="1" w:styleId="charlegsubtitle1">
    <w:name w:val="charlegsubtitle1"/>
    <w:basedOn w:val="DefaultParagraphFont"/>
    <w:rsid w:val="004C0E6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C0E67"/>
    <w:pPr>
      <w:ind w:left="240" w:hanging="240"/>
    </w:pPr>
  </w:style>
  <w:style w:type="paragraph" w:styleId="Index2">
    <w:name w:val="index 2"/>
    <w:basedOn w:val="Normal"/>
    <w:next w:val="Normal"/>
    <w:autoRedefine/>
    <w:rsid w:val="004C0E67"/>
    <w:pPr>
      <w:ind w:left="480" w:hanging="240"/>
    </w:pPr>
  </w:style>
  <w:style w:type="paragraph" w:styleId="Index3">
    <w:name w:val="index 3"/>
    <w:basedOn w:val="Normal"/>
    <w:next w:val="Normal"/>
    <w:autoRedefine/>
    <w:rsid w:val="004C0E67"/>
    <w:pPr>
      <w:ind w:left="720" w:hanging="240"/>
    </w:pPr>
  </w:style>
  <w:style w:type="paragraph" w:styleId="Index4">
    <w:name w:val="index 4"/>
    <w:basedOn w:val="Normal"/>
    <w:next w:val="Normal"/>
    <w:autoRedefine/>
    <w:rsid w:val="004C0E67"/>
    <w:pPr>
      <w:ind w:left="960" w:hanging="240"/>
    </w:pPr>
  </w:style>
  <w:style w:type="paragraph" w:styleId="Index5">
    <w:name w:val="index 5"/>
    <w:basedOn w:val="Normal"/>
    <w:next w:val="Normal"/>
    <w:autoRedefine/>
    <w:rsid w:val="004C0E67"/>
    <w:pPr>
      <w:ind w:left="1200" w:hanging="240"/>
    </w:pPr>
  </w:style>
  <w:style w:type="paragraph" w:styleId="Index6">
    <w:name w:val="index 6"/>
    <w:basedOn w:val="Normal"/>
    <w:next w:val="Normal"/>
    <w:autoRedefine/>
    <w:rsid w:val="004C0E67"/>
    <w:pPr>
      <w:ind w:left="1440" w:hanging="240"/>
    </w:pPr>
  </w:style>
  <w:style w:type="paragraph" w:styleId="Index7">
    <w:name w:val="index 7"/>
    <w:basedOn w:val="Normal"/>
    <w:next w:val="Normal"/>
    <w:autoRedefine/>
    <w:rsid w:val="004C0E67"/>
    <w:pPr>
      <w:ind w:left="1680" w:hanging="240"/>
    </w:pPr>
  </w:style>
  <w:style w:type="paragraph" w:styleId="Index8">
    <w:name w:val="index 8"/>
    <w:basedOn w:val="Normal"/>
    <w:next w:val="Normal"/>
    <w:autoRedefine/>
    <w:rsid w:val="004C0E67"/>
    <w:pPr>
      <w:ind w:left="1920" w:hanging="240"/>
    </w:pPr>
  </w:style>
  <w:style w:type="paragraph" w:styleId="Index9">
    <w:name w:val="index 9"/>
    <w:basedOn w:val="Normal"/>
    <w:next w:val="Normal"/>
    <w:autoRedefine/>
    <w:rsid w:val="004C0E67"/>
    <w:pPr>
      <w:ind w:left="2160" w:hanging="240"/>
    </w:pPr>
  </w:style>
  <w:style w:type="paragraph" w:styleId="NormalIndent">
    <w:name w:val="Normal Indent"/>
    <w:basedOn w:val="Normal"/>
    <w:rsid w:val="004C0E67"/>
    <w:pPr>
      <w:ind w:left="720"/>
    </w:pPr>
  </w:style>
  <w:style w:type="paragraph" w:styleId="FootnoteText">
    <w:name w:val="footnote text"/>
    <w:basedOn w:val="Normal"/>
    <w:link w:val="FootnoteTextChar"/>
    <w:rsid w:val="004C0E6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C0E67"/>
  </w:style>
  <w:style w:type="paragraph" w:styleId="CommentText">
    <w:name w:val="annotation text"/>
    <w:basedOn w:val="Normal"/>
    <w:link w:val="CommentTextChar"/>
    <w:rsid w:val="004C0E6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C0E67"/>
  </w:style>
  <w:style w:type="paragraph" w:styleId="IndexHeading">
    <w:name w:val="index heading"/>
    <w:basedOn w:val="Normal"/>
    <w:next w:val="Index1"/>
    <w:rsid w:val="004C0E6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C0E6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C0E67"/>
    <w:pPr>
      <w:ind w:left="480" w:hanging="480"/>
    </w:pPr>
  </w:style>
  <w:style w:type="paragraph" w:styleId="EnvelopeAddress">
    <w:name w:val="envelope address"/>
    <w:basedOn w:val="Normal"/>
    <w:rsid w:val="004C0E6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C0E6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C0E6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C0E67"/>
    <w:rPr>
      <w:sz w:val="16"/>
      <w:szCs w:val="16"/>
    </w:rPr>
  </w:style>
  <w:style w:type="character" w:styleId="PageNumber">
    <w:name w:val="page number"/>
    <w:basedOn w:val="DefaultParagraphFont"/>
    <w:rsid w:val="004C0E67"/>
  </w:style>
  <w:style w:type="character" w:styleId="EndnoteReference">
    <w:name w:val="endnote reference"/>
    <w:basedOn w:val="DefaultParagraphFont"/>
    <w:rsid w:val="004C0E67"/>
    <w:rPr>
      <w:vertAlign w:val="superscript"/>
    </w:rPr>
  </w:style>
  <w:style w:type="paragraph" w:styleId="EndnoteText">
    <w:name w:val="endnote text"/>
    <w:basedOn w:val="Normal"/>
    <w:link w:val="EndnoteTextChar"/>
    <w:rsid w:val="004C0E6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C0E67"/>
  </w:style>
  <w:style w:type="paragraph" w:styleId="TableofAuthorities">
    <w:name w:val="table of authorities"/>
    <w:basedOn w:val="Normal"/>
    <w:next w:val="Normal"/>
    <w:rsid w:val="004C0E67"/>
    <w:pPr>
      <w:ind w:left="240" w:hanging="240"/>
    </w:pPr>
  </w:style>
  <w:style w:type="paragraph" w:styleId="MacroText">
    <w:name w:val="macro"/>
    <w:link w:val="MacroTextChar"/>
    <w:rsid w:val="004C0E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C0E6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C0E6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C0E67"/>
    <w:pPr>
      <w:ind w:left="283" w:hanging="283"/>
    </w:pPr>
  </w:style>
  <w:style w:type="paragraph" w:styleId="ListBullet">
    <w:name w:val="List Bullet"/>
    <w:basedOn w:val="Normal"/>
    <w:autoRedefine/>
    <w:rsid w:val="004C0E6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C0E6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C0E67"/>
    <w:pPr>
      <w:ind w:left="566" w:hanging="283"/>
    </w:pPr>
  </w:style>
  <w:style w:type="paragraph" w:styleId="List3">
    <w:name w:val="List 3"/>
    <w:basedOn w:val="Normal"/>
    <w:rsid w:val="004C0E67"/>
    <w:pPr>
      <w:ind w:left="849" w:hanging="283"/>
    </w:pPr>
  </w:style>
  <w:style w:type="paragraph" w:styleId="List4">
    <w:name w:val="List 4"/>
    <w:basedOn w:val="Normal"/>
    <w:rsid w:val="004C0E67"/>
    <w:pPr>
      <w:ind w:left="1132" w:hanging="283"/>
    </w:pPr>
  </w:style>
  <w:style w:type="paragraph" w:styleId="List5">
    <w:name w:val="List 5"/>
    <w:basedOn w:val="Normal"/>
    <w:rsid w:val="004C0E67"/>
    <w:pPr>
      <w:ind w:left="1415" w:hanging="283"/>
    </w:pPr>
  </w:style>
  <w:style w:type="paragraph" w:styleId="ListBullet2">
    <w:name w:val="List Bullet 2"/>
    <w:basedOn w:val="Normal"/>
    <w:autoRedefine/>
    <w:rsid w:val="004C0E6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C0E6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C0E6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C0E6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C0E6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C0E6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C0E6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C0E6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C0E6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C0E6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C0E67"/>
    <w:pPr>
      <w:ind w:left="4252"/>
    </w:pPr>
  </w:style>
  <w:style w:type="character" w:customStyle="1" w:styleId="ClosingChar">
    <w:name w:val="Closing Char"/>
    <w:basedOn w:val="DefaultParagraphFont"/>
    <w:link w:val="Closing"/>
    <w:rsid w:val="004C0E67"/>
    <w:rPr>
      <w:sz w:val="22"/>
    </w:rPr>
  </w:style>
  <w:style w:type="paragraph" w:styleId="Signature">
    <w:name w:val="Signature"/>
    <w:basedOn w:val="Normal"/>
    <w:link w:val="SignatureChar"/>
    <w:rsid w:val="004C0E6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C0E67"/>
    <w:rPr>
      <w:sz w:val="22"/>
    </w:rPr>
  </w:style>
  <w:style w:type="paragraph" w:styleId="BodyText">
    <w:name w:val="Body Text"/>
    <w:basedOn w:val="Normal"/>
    <w:link w:val="BodyTextChar"/>
    <w:rsid w:val="004C0E6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C0E67"/>
    <w:rPr>
      <w:sz w:val="22"/>
    </w:rPr>
  </w:style>
  <w:style w:type="paragraph" w:styleId="BodyTextIndent">
    <w:name w:val="Body Text Indent"/>
    <w:basedOn w:val="Normal"/>
    <w:link w:val="BodyTextIndentChar"/>
    <w:rsid w:val="004C0E6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C0E67"/>
    <w:rPr>
      <w:sz w:val="22"/>
    </w:rPr>
  </w:style>
  <w:style w:type="paragraph" w:styleId="ListContinue">
    <w:name w:val="List Continue"/>
    <w:basedOn w:val="Normal"/>
    <w:rsid w:val="004C0E67"/>
    <w:pPr>
      <w:spacing w:after="120"/>
      <w:ind w:left="283"/>
    </w:pPr>
  </w:style>
  <w:style w:type="paragraph" w:styleId="ListContinue2">
    <w:name w:val="List Continue 2"/>
    <w:basedOn w:val="Normal"/>
    <w:rsid w:val="004C0E67"/>
    <w:pPr>
      <w:spacing w:after="120"/>
      <w:ind w:left="566"/>
    </w:pPr>
  </w:style>
  <w:style w:type="paragraph" w:styleId="ListContinue3">
    <w:name w:val="List Continue 3"/>
    <w:basedOn w:val="Normal"/>
    <w:rsid w:val="004C0E67"/>
    <w:pPr>
      <w:spacing w:after="120"/>
      <w:ind w:left="849"/>
    </w:pPr>
  </w:style>
  <w:style w:type="paragraph" w:styleId="ListContinue4">
    <w:name w:val="List Continue 4"/>
    <w:basedOn w:val="Normal"/>
    <w:rsid w:val="004C0E67"/>
    <w:pPr>
      <w:spacing w:after="120"/>
      <w:ind w:left="1132"/>
    </w:pPr>
  </w:style>
  <w:style w:type="paragraph" w:styleId="ListContinue5">
    <w:name w:val="List Continue 5"/>
    <w:basedOn w:val="Normal"/>
    <w:rsid w:val="004C0E6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C0E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C0E6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C0E6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C0E6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C0E67"/>
  </w:style>
  <w:style w:type="character" w:customStyle="1" w:styleId="SalutationChar">
    <w:name w:val="Salutation Char"/>
    <w:basedOn w:val="DefaultParagraphFont"/>
    <w:link w:val="Salutation"/>
    <w:rsid w:val="004C0E67"/>
    <w:rPr>
      <w:sz w:val="22"/>
    </w:rPr>
  </w:style>
  <w:style w:type="paragraph" w:styleId="Date">
    <w:name w:val="Date"/>
    <w:basedOn w:val="Normal"/>
    <w:next w:val="Normal"/>
    <w:link w:val="DateChar"/>
    <w:rsid w:val="004C0E67"/>
  </w:style>
  <w:style w:type="character" w:customStyle="1" w:styleId="DateChar">
    <w:name w:val="Date Char"/>
    <w:basedOn w:val="DefaultParagraphFont"/>
    <w:link w:val="Date"/>
    <w:rsid w:val="004C0E67"/>
    <w:rPr>
      <w:sz w:val="22"/>
    </w:rPr>
  </w:style>
  <w:style w:type="paragraph" w:styleId="BodyTextFirstIndent">
    <w:name w:val="Body Text First Indent"/>
    <w:basedOn w:val="BodyText"/>
    <w:link w:val="BodyTextFirstIndentChar"/>
    <w:rsid w:val="004C0E6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C0E6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C0E6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C0E67"/>
    <w:rPr>
      <w:sz w:val="22"/>
    </w:rPr>
  </w:style>
  <w:style w:type="paragraph" w:styleId="BodyText2">
    <w:name w:val="Body Text 2"/>
    <w:basedOn w:val="Normal"/>
    <w:link w:val="BodyText2Char"/>
    <w:rsid w:val="004C0E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C0E67"/>
    <w:rPr>
      <w:sz w:val="22"/>
    </w:rPr>
  </w:style>
  <w:style w:type="paragraph" w:styleId="BodyText3">
    <w:name w:val="Body Text 3"/>
    <w:basedOn w:val="Normal"/>
    <w:link w:val="BodyText3Char"/>
    <w:rsid w:val="004C0E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C0E6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C0E6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C0E67"/>
    <w:rPr>
      <w:sz w:val="22"/>
    </w:rPr>
  </w:style>
  <w:style w:type="paragraph" w:styleId="BodyTextIndent3">
    <w:name w:val="Body Text Indent 3"/>
    <w:basedOn w:val="Normal"/>
    <w:link w:val="BodyTextIndent3Char"/>
    <w:rsid w:val="004C0E6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C0E67"/>
    <w:rPr>
      <w:sz w:val="16"/>
      <w:szCs w:val="16"/>
    </w:rPr>
  </w:style>
  <w:style w:type="paragraph" w:styleId="BlockText">
    <w:name w:val="Block Text"/>
    <w:basedOn w:val="Normal"/>
    <w:rsid w:val="004C0E67"/>
    <w:pPr>
      <w:spacing w:after="120"/>
      <w:ind w:left="1440" w:right="1440"/>
    </w:pPr>
  </w:style>
  <w:style w:type="character" w:styleId="Hyperlink">
    <w:name w:val="Hyperlink"/>
    <w:basedOn w:val="DefaultParagraphFont"/>
    <w:rsid w:val="004C0E67"/>
    <w:rPr>
      <w:color w:val="0000FF"/>
      <w:u w:val="single"/>
    </w:rPr>
  </w:style>
  <w:style w:type="character" w:styleId="FollowedHyperlink">
    <w:name w:val="FollowedHyperlink"/>
    <w:basedOn w:val="DefaultParagraphFont"/>
    <w:rsid w:val="004C0E67"/>
    <w:rPr>
      <w:color w:val="800080"/>
      <w:u w:val="single"/>
    </w:rPr>
  </w:style>
  <w:style w:type="character" w:styleId="Strong">
    <w:name w:val="Strong"/>
    <w:basedOn w:val="DefaultParagraphFont"/>
    <w:qFormat/>
    <w:rsid w:val="004C0E67"/>
    <w:rPr>
      <w:b/>
      <w:bCs/>
    </w:rPr>
  </w:style>
  <w:style w:type="character" w:styleId="Emphasis">
    <w:name w:val="Emphasis"/>
    <w:basedOn w:val="DefaultParagraphFont"/>
    <w:qFormat/>
    <w:rsid w:val="004C0E67"/>
    <w:rPr>
      <w:i/>
      <w:iCs/>
    </w:rPr>
  </w:style>
  <w:style w:type="paragraph" w:styleId="DocumentMap">
    <w:name w:val="Document Map"/>
    <w:basedOn w:val="Normal"/>
    <w:link w:val="DocumentMapChar"/>
    <w:rsid w:val="004C0E6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C0E6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C0E6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C0E6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C0E67"/>
  </w:style>
  <w:style w:type="character" w:customStyle="1" w:styleId="E-mailSignatureChar">
    <w:name w:val="E-mail Signature Char"/>
    <w:basedOn w:val="DefaultParagraphFont"/>
    <w:link w:val="E-mailSignature"/>
    <w:rsid w:val="004C0E67"/>
    <w:rPr>
      <w:sz w:val="22"/>
    </w:rPr>
  </w:style>
  <w:style w:type="paragraph" w:styleId="NormalWeb">
    <w:name w:val="Normal (Web)"/>
    <w:basedOn w:val="Normal"/>
    <w:rsid w:val="004C0E67"/>
  </w:style>
  <w:style w:type="character" w:styleId="HTMLAcronym">
    <w:name w:val="HTML Acronym"/>
    <w:basedOn w:val="DefaultParagraphFont"/>
    <w:rsid w:val="004C0E67"/>
  </w:style>
  <w:style w:type="paragraph" w:styleId="HTMLAddress">
    <w:name w:val="HTML Address"/>
    <w:basedOn w:val="Normal"/>
    <w:link w:val="HTMLAddressChar"/>
    <w:rsid w:val="004C0E6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C0E67"/>
    <w:rPr>
      <w:i/>
      <w:iCs/>
      <w:sz w:val="22"/>
    </w:rPr>
  </w:style>
  <w:style w:type="character" w:styleId="HTMLCite">
    <w:name w:val="HTML Cite"/>
    <w:basedOn w:val="DefaultParagraphFont"/>
    <w:rsid w:val="004C0E67"/>
    <w:rPr>
      <w:i/>
      <w:iCs/>
    </w:rPr>
  </w:style>
  <w:style w:type="character" w:styleId="HTMLCode">
    <w:name w:val="HTML Code"/>
    <w:basedOn w:val="DefaultParagraphFont"/>
    <w:rsid w:val="004C0E6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C0E67"/>
    <w:rPr>
      <w:i/>
      <w:iCs/>
    </w:rPr>
  </w:style>
  <w:style w:type="character" w:styleId="HTMLKeyboard">
    <w:name w:val="HTML Keyboard"/>
    <w:basedOn w:val="DefaultParagraphFont"/>
    <w:rsid w:val="004C0E6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C0E6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C0E67"/>
    <w:rPr>
      <w:rFonts w:ascii="Courier New" w:hAnsi="Courier New" w:cs="Courier New"/>
    </w:rPr>
  </w:style>
  <w:style w:type="character" w:styleId="HTMLSample">
    <w:name w:val="HTML Sample"/>
    <w:basedOn w:val="DefaultParagraphFont"/>
    <w:rsid w:val="004C0E6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C0E6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C0E6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C0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0E67"/>
    <w:rPr>
      <w:b/>
      <w:bCs/>
    </w:rPr>
  </w:style>
  <w:style w:type="numbering" w:styleId="1ai">
    <w:name w:val="Outline List 1"/>
    <w:basedOn w:val="NoList"/>
    <w:rsid w:val="004C0E67"/>
    <w:pPr>
      <w:numPr>
        <w:numId w:val="14"/>
      </w:numPr>
    </w:pPr>
  </w:style>
  <w:style w:type="numbering" w:styleId="111111">
    <w:name w:val="Outline List 2"/>
    <w:basedOn w:val="NoList"/>
    <w:rsid w:val="004C0E67"/>
    <w:pPr>
      <w:numPr>
        <w:numId w:val="15"/>
      </w:numPr>
    </w:pPr>
  </w:style>
  <w:style w:type="numbering" w:styleId="ArticleSection">
    <w:name w:val="Outline List 3"/>
    <w:basedOn w:val="NoList"/>
    <w:rsid w:val="004C0E67"/>
    <w:pPr>
      <w:numPr>
        <w:numId w:val="17"/>
      </w:numPr>
    </w:pPr>
  </w:style>
  <w:style w:type="table" w:styleId="TableSimple1">
    <w:name w:val="Table Simple 1"/>
    <w:basedOn w:val="TableNormal"/>
    <w:rsid w:val="004C0E6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C0E6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C0E6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C0E6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C0E6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C0E6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C0E6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C0E6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C0E6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C0E6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C0E6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C0E6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C0E6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C0E6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C0E6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C0E6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C0E6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C0E6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C0E6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C0E6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C0E6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C0E6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C0E6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C0E6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C0E6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C0E6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C0E6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C0E6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C0E6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C0E6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C0E6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C0E6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C0E6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C0E6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C0E6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C0E6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C0E6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C0E6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C0E6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C0E6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C0E6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C0E6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C0E6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C0E67"/>
    <w:rPr>
      <w:rFonts w:eastAsia="Times New Roman" w:cs="Times New Roman"/>
      <w:b/>
      <w:kern w:val="28"/>
      <w:sz w:val="24"/>
      <w:lang w:eastAsia="en-AU"/>
    </w:rPr>
  </w:style>
  <w:style w:type="paragraph" w:styleId="ListParagraph">
    <w:name w:val="List Paragraph"/>
    <w:basedOn w:val="Normal"/>
    <w:uiPriority w:val="34"/>
    <w:qFormat/>
    <w:rsid w:val="00163188"/>
    <w:pPr>
      <w:spacing w:line="240" w:lineRule="auto"/>
      <w:ind w:left="720"/>
      <w:contextualSpacing/>
    </w:pPr>
    <w:rPr>
      <w:rFonts w:ascii="Book Antiqua" w:eastAsia="Times New Roman" w:hAnsi="Book Antiqua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9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12</Pages>
  <Words>2030</Words>
  <Characters>10314</Characters>
  <Application>Microsoft Office Word</Application>
  <DocSecurity>0</DocSecurity>
  <PresentationFormat/>
  <Lines>606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2023-11-27T02:21:00Z</dcterms:created>
  <dcterms:modified xsi:type="dcterms:W3CDTF">2023-11-27T02:21:00Z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Therapeutic Goods Legislation Amendment (2023 Measures No. 2)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OPC66538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