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5C91" w14:textId="3730C9BD" w:rsidR="003427AB" w:rsidRPr="006423ED" w:rsidRDefault="00F85892" w:rsidP="006423ED">
      <w:pPr>
        <w:spacing w:after="200"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REPLACEMENT </w:t>
      </w:r>
      <w:r w:rsidR="003427AB" w:rsidRPr="006423ED">
        <w:rPr>
          <w:rFonts w:ascii="Times New Roman" w:hAnsi="Times New Roman" w:cs="Times New Roman"/>
          <w:b/>
          <w:sz w:val="24"/>
          <w:szCs w:val="24"/>
          <w:u w:val="single"/>
        </w:rPr>
        <w:t>EXPLANATORY STATEMENT</w:t>
      </w:r>
    </w:p>
    <w:p w14:paraId="6E63E683" w14:textId="34D171D6" w:rsidR="003427AB" w:rsidRPr="006423ED" w:rsidRDefault="003427AB" w:rsidP="006423ED">
      <w:pPr>
        <w:spacing w:before="240" w:after="240" w:line="276" w:lineRule="auto"/>
        <w:jc w:val="center"/>
        <w:rPr>
          <w:rFonts w:ascii="Times New Roman" w:hAnsi="Times New Roman" w:cs="Times New Roman"/>
          <w:sz w:val="24"/>
          <w:szCs w:val="24"/>
          <w:u w:val="single"/>
        </w:rPr>
      </w:pPr>
      <w:r w:rsidRPr="006423ED">
        <w:rPr>
          <w:rFonts w:ascii="Times New Roman" w:hAnsi="Times New Roman" w:cs="Times New Roman"/>
          <w:sz w:val="24"/>
          <w:szCs w:val="24"/>
          <w:u w:val="single"/>
        </w:rPr>
        <w:t xml:space="preserve">Issued by the </w:t>
      </w:r>
      <w:r w:rsidR="006423ED">
        <w:rPr>
          <w:rFonts w:ascii="Times New Roman" w:hAnsi="Times New Roman" w:cs="Times New Roman"/>
          <w:sz w:val="24"/>
          <w:szCs w:val="24"/>
          <w:u w:val="single"/>
        </w:rPr>
        <w:t>a</w:t>
      </w:r>
      <w:r w:rsidRPr="006423ED">
        <w:rPr>
          <w:rFonts w:ascii="Times New Roman" w:hAnsi="Times New Roman" w:cs="Times New Roman"/>
          <w:sz w:val="24"/>
          <w:szCs w:val="24"/>
          <w:u w:val="single"/>
        </w:rPr>
        <w:t>uthority of the Minister for Resources</w:t>
      </w:r>
    </w:p>
    <w:p w14:paraId="098F2681" w14:textId="77777777" w:rsidR="003427AB" w:rsidRPr="003A0E23" w:rsidRDefault="003427AB" w:rsidP="003A0E23">
      <w:pPr>
        <w:spacing w:before="240" w:after="240" w:line="276" w:lineRule="auto"/>
        <w:jc w:val="center"/>
        <w:rPr>
          <w:rFonts w:ascii="Times New Roman" w:hAnsi="Times New Roman" w:cs="Times New Roman"/>
          <w:i/>
          <w:sz w:val="24"/>
          <w:szCs w:val="24"/>
        </w:rPr>
      </w:pPr>
      <w:r w:rsidRPr="003A0E23">
        <w:rPr>
          <w:rFonts w:ascii="Times New Roman" w:hAnsi="Times New Roman" w:cs="Times New Roman"/>
          <w:i/>
          <w:sz w:val="24"/>
          <w:szCs w:val="24"/>
        </w:rPr>
        <w:t>Offshore Petroleum and Greenhouse Gas Storage Act 2006</w:t>
      </w:r>
    </w:p>
    <w:p w14:paraId="53C4E087" w14:textId="66E69AC7" w:rsidR="003427AB" w:rsidRPr="003A0E23" w:rsidRDefault="003427AB" w:rsidP="003A0E23">
      <w:pPr>
        <w:spacing w:before="240" w:after="240" w:line="276" w:lineRule="auto"/>
        <w:jc w:val="center"/>
        <w:rPr>
          <w:rFonts w:ascii="Times New Roman" w:hAnsi="Times New Roman" w:cs="Times New Roman"/>
          <w:i/>
          <w:sz w:val="24"/>
          <w:szCs w:val="24"/>
        </w:rPr>
      </w:pPr>
      <w:r w:rsidRPr="003A0E23">
        <w:rPr>
          <w:rFonts w:ascii="Times New Roman" w:hAnsi="Times New Roman" w:cs="Times New Roman"/>
          <w:i/>
          <w:sz w:val="24"/>
          <w:szCs w:val="24"/>
        </w:rPr>
        <w:t>Offshore Petroleum and Greenhouse Gas Storage (</w:t>
      </w:r>
      <w:r w:rsidR="001A7341">
        <w:rPr>
          <w:rFonts w:ascii="Times New Roman" w:hAnsi="Times New Roman" w:cs="Times New Roman"/>
          <w:i/>
          <w:sz w:val="24"/>
          <w:szCs w:val="24"/>
        </w:rPr>
        <w:t>Greenhouse Gas Injection and Storage</w:t>
      </w:r>
      <w:r w:rsidRPr="003A0E23">
        <w:rPr>
          <w:rFonts w:ascii="Times New Roman" w:hAnsi="Times New Roman" w:cs="Times New Roman"/>
          <w:i/>
          <w:sz w:val="24"/>
          <w:szCs w:val="24"/>
        </w:rPr>
        <w:t>) Regulations 202</w:t>
      </w:r>
      <w:r w:rsidR="006423ED" w:rsidRPr="003A0E23">
        <w:rPr>
          <w:rFonts w:ascii="Times New Roman" w:hAnsi="Times New Roman" w:cs="Times New Roman"/>
          <w:i/>
          <w:sz w:val="24"/>
          <w:szCs w:val="24"/>
        </w:rPr>
        <w:t>3</w:t>
      </w:r>
    </w:p>
    <w:p w14:paraId="58C24AA7" w14:textId="77777777" w:rsidR="003A0E23" w:rsidRPr="00F2760F" w:rsidRDefault="003A0E23" w:rsidP="00F2760F">
      <w:pPr>
        <w:pStyle w:val="ActHead5"/>
        <w:rPr>
          <w:u w:val="single"/>
        </w:rPr>
      </w:pPr>
      <w:r w:rsidRPr="00F2760F">
        <w:rPr>
          <w:u w:val="single"/>
        </w:rPr>
        <w:t>Purpose and Operation</w:t>
      </w:r>
    </w:p>
    <w:p w14:paraId="7E9BE7A8" w14:textId="626853DB" w:rsidR="003A0E23" w:rsidRDefault="003A0E23" w:rsidP="003A0E23">
      <w:pPr>
        <w:spacing w:before="120" w:after="120"/>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sz w:val="24"/>
          <w:szCs w:val="24"/>
        </w:rPr>
        <w:t>Offshore Petroleum and Greenhouse Gas Storage (</w:t>
      </w:r>
      <w:r w:rsidR="001A7341">
        <w:rPr>
          <w:rFonts w:ascii="Times New Roman" w:hAnsi="Times New Roman" w:cs="Times New Roman"/>
          <w:i/>
          <w:sz w:val="24"/>
          <w:szCs w:val="24"/>
        </w:rPr>
        <w:t>Greenhouse Gas Injection and Storage</w:t>
      </w:r>
      <w:r>
        <w:rPr>
          <w:rFonts w:ascii="Times New Roman" w:hAnsi="Times New Roman" w:cs="Times New Roman"/>
          <w:i/>
          <w:sz w:val="24"/>
          <w:szCs w:val="24"/>
        </w:rPr>
        <w:t>) Regulations 2023</w:t>
      </w:r>
      <w:r>
        <w:rPr>
          <w:rFonts w:ascii="Times New Roman" w:hAnsi="Times New Roman" w:cs="Times New Roman"/>
          <w:sz w:val="24"/>
          <w:szCs w:val="24"/>
        </w:rPr>
        <w:t xml:space="preserve"> (the </w:t>
      </w:r>
      <w:r w:rsidR="009D6328">
        <w:rPr>
          <w:rFonts w:ascii="Times New Roman" w:hAnsi="Times New Roman" w:cs="Times New Roman"/>
          <w:sz w:val="24"/>
          <w:szCs w:val="24"/>
        </w:rPr>
        <w:t>GHG</w:t>
      </w:r>
      <w:r>
        <w:rPr>
          <w:rFonts w:ascii="Times New Roman" w:hAnsi="Times New Roman" w:cs="Times New Roman"/>
          <w:sz w:val="24"/>
          <w:szCs w:val="24"/>
        </w:rPr>
        <w:t xml:space="preserve"> Regulations) is to remake the </w:t>
      </w:r>
      <w:r>
        <w:rPr>
          <w:rFonts w:ascii="Times New Roman" w:hAnsi="Times New Roman" w:cs="Times New Roman"/>
          <w:i/>
          <w:sz w:val="24"/>
          <w:szCs w:val="24"/>
        </w:rPr>
        <w:t>Offshore</w:t>
      </w:r>
      <w:r w:rsidR="002D4EED">
        <w:rPr>
          <w:rFonts w:ascii="Times New Roman" w:hAnsi="Times New Roman" w:cs="Times New Roman"/>
          <w:i/>
          <w:sz w:val="24"/>
          <w:szCs w:val="24"/>
        </w:rPr>
        <w:t> </w:t>
      </w:r>
      <w:r>
        <w:rPr>
          <w:rFonts w:ascii="Times New Roman" w:hAnsi="Times New Roman" w:cs="Times New Roman"/>
          <w:i/>
          <w:sz w:val="24"/>
          <w:szCs w:val="24"/>
        </w:rPr>
        <w:t>Petroleum and Greenhouse Gas Storage (</w:t>
      </w:r>
      <w:r w:rsidR="001A7341">
        <w:rPr>
          <w:rFonts w:ascii="Times New Roman" w:hAnsi="Times New Roman" w:cs="Times New Roman"/>
          <w:i/>
          <w:sz w:val="24"/>
          <w:szCs w:val="24"/>
        </w:rPr>
        <w:t>Greenhouse Gas Injection and Storage</w:t>
      </w:r>
      <w:r>
        <w:rPr>
          <w:rFonts w:ascii="Times New Roman" w:hAnsi="Times New Roman" w:cs="Times New Roman"/>
          <w:i/>
          <w:sz w:val="24"/>
          <w:szCs w:val="24"/>
        </w:rPr>
        <w:t>) Regulations 20</w:t>
      </w:r>
      <w:r w:rsidR="009D6328">
        <w:rPr>
          <w:rFonts w:ascii="Times New Roman" w:hAnsi="Times New Roman" w:cs="Times New Roman"/>
          <w:i/>
          <w:sz w:val="24"/>
          <w:szCs w:val="24"/>
        </w:rPr>
        <w:t>11</w:t>
      </w:r>
      <w:r>
        <w:rPr>
          <w:rFonts w:ascii="Times New Roman" w:hAnsi="Times New Roman" w:cs="Times New Roman"/>
          <w:sz w:val="24"/>
          <w:szCs w:val="24"/>
        </w:rPr>
        <w:t xml:space="preserve"> (the 20</w:t>
      </w:r>
      <w:r w:rsidR="009D6328">
        <w:rPr>
          <w:rFonts w:ascii="Times New Roman" w:hAnsi="Times New Roman" w:cs="Times New Roman"/>
          <w:sz w:val="24"/>
          <w:szCs w:val="24"/>
        </w:rPr>
        <w:t>11</w:t>
      </w:r>
      <w:r>
        <w:rPr>
          <w:rFonts w:ascii="Times New Roman" w:hAnsi="Times New Roman" w:cs="Times New Roman"/>
          <w:sz w:val="24"/>
          <w:szCs w:val="24"/>
        </w:rPr>
        <w:t xml:space="preserve"> </w:t>
      </w:r>
      <w:r w:rsidR="009D6328">
        <w:rPr>
          <w:rFonts w:ascii="Times New Roman" w:hAnsi="Times New Roman" w:cs="Times New Roman"/>
          <w:sz w:val="24"/>
          <w:szCs w:val="24"/>
        </w:rPr>
        <w:t>GHG</w:t>
      </w:r>
      <w:r>
        <w:rPr>
          <w:rFonts w:ascii="Times New Roman" w:hAnsi="Times New Roman" w:cs="Times New Roman"/>
          <w:sz w:val="24"/>
          <w:szCs w:val="24"/>
        </w:rPr>
        <w:t xml:space="preserve"> Regulations) in substantially the same form, with minor amendments to provide consistency with current drafting practices, simplify language</w:t>
      </w:r>
      <w:r w:rsidR="00133BD2">
        <w:rPr>
          <w:rFonts w:ascii="Times New Roman" w:hAnsi="Times New Roman" w:cs="Times New Roman"/>
          <w:sz w:val="24"/>
          <w:szCs w:val="24"/>
        </w:rPr>
        <w:t xml:space="preserve">, </w:t>
      </w:r>
      <w:r>
        <w:rPr>
          <w:rFonts w:ascii="Times New Roman" w:hAnsi="Times New Roman" w:cs="Times New Roman"/>
          <w:sz w:val="24"/>
          <w:szCs w:val="24"/>
        </w:rPr>
        <w:t xml:space="preserve">restructure provisions </w:t>
      </w:r>
      <w:r w:rsidR="00D2590E">
        <w:rPr>
          <w:rFonts w:ascii="Times New Roman" w:hAnsi="Times New Roman" w:cs="Times New Roman"/>
          <w:sz w:val="24"/>
          <w:szCs w:val="24"/>
        </w:rPr>
        <w:t xml:space="preserve">to provide </w:t>
      </w:r>
      <w:r w:rsidR="00A7784F">
        <w:rPr>
          <w:rFonts w:ascii="Times New Roman" w:hAnsi="Times New Roman" w:cs="Times New Roman"/>
          <w:sz w:val="24"/>
          <w:szCs w:val="24"/>
        </w:rPr>
        <w:t>for ease of</w:t>
      </w:r>
      <w:r>
        <w:rPr>
          <w:rFonts w:ascii="Times New Roman" w:hAnsi="Times New Roman" w:cs="Times New Roman"/>
          <w:sz w:val="24"/>
          <w:szCs w:val="24"/>
        </w:rPr>
        <w:t xml:space="preserve"> navigation</w:t>
      </w:r>
      <w:r w:rsidR="00A7784F">
        <w:rPr>
          <w:rFonts w:ascii="Times New Roman" w:hAnsi="Times New Roman" w:cs="Times New Roman"/>
          <w:sz w:val="24"/>
          <w:szCs w:val="24"/>
        </w:rPr>
        <w:t>,</w:t>
      </w:r>
      <w:r w:rsidR="00133BD2">
        <w:rPr>
          <w:rFonts w:ascii="Times New Roman" w:hAnsi="Times New Roman" w:cs="Times New Roman"/>
          <w:sz w:val="24"/>
          <w:szCs w:val="24"/>
        </w:rPr>
        <w:t xml:space="preserve"> and remove duplicative processes</w:t>
      </w:r>
      <w:r>
        <w:rPr>
          <w:rFonts w:ascii="Times New Roman" w:hAnsi="Times New Roman" w:cs="Times New Roman"/>
          <w:sz w:val="24"/>
          <w:szCs w:val="24"/>
        </w:rPr>
        <w:t>. The 20</w:t>
      </w:r>
      <w:r w:rsidR="009D6328">
        <w:rPr>
          <w:rFonts w:ascii="Times New Roman" w:hAnsi="Times New Roman" w:cs="Times New Roman"/>
          <w:sz w:val="24"/>
          <w:szCs w:val="24"/>
        </w:rPr>
        <w:t>11</w:t>
      </w:r>
      <w:r>
        <w:rPr>
          <w:rFonts w:ascii="Times New Roman" w:hAnsi="Times New Roman" w:cs="Times New Roman"/>
          <w:sz w:val="24"/>
          <w:szCs w:val="24"/>
        </w:rPr>
        <w:t xml:space="preserve"> </w:t>
      </w:r>
      <w:r w:rsidR="009D6328">
        <w:rPr>
          <w:rFonts w:ascii="Times New Roman" w:hAnsi="Times New Roman" w:cs="Times New Roman"/>
          <w:sz w:val="24"/>
          <w:szCs w:val="24"/>
        </w:rPr>
        <w:t>GHG</w:t>
      </w:r>
      <w:r>
        <w:rPr>
          <w:rFonts w:ascii="Times New Roman" w:hAnsi="Times New Roman" w:cs="Times New Roman"/>
          <w:sz w:val="24"/>
          <w:szCs w:val="24"/>
        </w:rPr>
        <w:t xml:space="preserve"> Regulations are due to sunset on 1 April 2024.</w:t>
      </w:r>
    </w:p>
    <w:p w14:paraId="25AA0973" w14:textId="2B193F21" w:rsidR="00820B9D" w:rsidRDefault="00820B9D" w:rsidP="00820B9D">
      <w:pPr>
        <w:spacing w:before="120" w:after="120"/>
        <w:rPr>
          <w:rFonts w:ascii="Times New Roman" w:hAnsi="Times New Roman" w:cs="Times New Roman"/>
          <w:sz w:val="24"/>
          <w:szCs w:val="24"/>
        </w:rPr>
      </w:pPr>
      <w:r>
        <w:rPr>
          <w:rFonts w:ascii="Times New Roman" w:hAnsi="Times New Roman" w:cs="Times New Roman"/>
          <w:sz w:val="24"/>
          <w:szCs w:val="24"/>
        </w:rPr>
        <w:t>The Department of Industry, Science and Resources (the department), in consultation with</w:t>
      </w:r>
      <w:r w:rsidR="005C3731" w:rsidRPr="005C3731">
        <w:rPr>
          <w:rFonts w:ascii="Times New Roman" w:hAnsi="Times New Roman" w:cs="Times New Roman"/>
          <w:sz w:val="24"/>
          <w:szCs w:val="24"/>
        </w:rPr>
        <w:t xml:space="preserve"> the National Offshore Petroleum Titles Administrator (NOPTA)</w:t>
      </w:r>
      <w:r w:rsidR="00A7784F">
        <w:rPr>
          <w:rFonts w:ascii="Times New Roman" w:hAnsi="Times New Roman" w:cs="Times New Roman"/>
          <w:sz w:val="24"/>
          <w:szCs w:val="24"/>
        </w:rPr>
        <w:t xml:space="preserve"> and the National Offshore Petroleum Safety and Environmental Management Authority </w:t>
      </w:r>
      <w:r w:rsidR="00A7784F" w:rsidRPr="005C3731">
        <w:rPr>
          <w:rFonts w:ascii="Times New Roman" w:hAnsi="Times New Roman" w:cs="Times New Roman"/>
          <w:sz w:val="24"/>
          <w:szCs w:val="24"/>
        </w:rPr>
        <w:t>(NOPSEMA)</w:t>
      </w:r>
      <w:r w:rsidR="005C3731">
        <w:rPr>
          <w:rFonts w:ascii="Times New Roman" w:hAnsi="Times New Roman" w:cs="Times New Roman"/>
          <w:sz w:val="24"/>
          <w:szCs w:val="24"/>
        </w:rPr>
        <w:t xml:space="preserve">, </w:t>
      </w:r>
      <w:r w:rsidRPr="005C3731">
        <w:rPr>
          <w:rFonts w:ascii="Times New Roman" w:hAnsi="Times New Roman" w:cs="Times New Roman"/>
          <w:sz w:val="24"/>
          <w:szCs w:val="24"/>
        </w:rPr>
        <w:t>reviewed</w:t>
      </w:r>
      <w:r>
        <w:rPr>
          <w:rFonts w:ascii="Times New Roman" w:hAnsi="Times New Roman" w:cs="Times New Roman"/>
          <w:sz w:val="24"/>
          <w:szCs w:val="24"/>
        </w:rPr>
        <w:t xml:space="preserve"> the effectiveness and efficiency of the operation of the 20</w:t>
      </w:r>
      <w:r w:rsidR="009D6328">
        <w:rPr>
          <w:rFonts w:ascii="Times New Roman" w:hAnsi="Times New Roman" w:cs="Times New Roman"/>
          <w:sz w:val="24"/>
          <w:szCs w:val="24"/>
        </w:rPr>
        <w:t>11</w:t>
      </w:r>
      <w:r>
        <w:rPr>
          <w:rFonts w:ascii="Times New Roman" w:hAnsi="Times New Roman" w:cs="Times New Roman"/>
          <w:sz w:val="24"/>
          <w:szCs w:val="24"/>
        </w:rPr>
        <w:t xml:space="preserve"> </w:t>
      </w:r>
      <w:r w:rsidR="009D6328">
        <w:rPr>
          <w:rFonts w:ascii="Times New Roman" w:hAnsi="Times New Roman" w:cs="Times New Roman"/>
          <w:sz w:val="24"/>
          <w:szCs w:val="24"/>
        </w:rPr>
        <w:t>GHG</w:t>
      </w:r>
      <w:r>
        <w:rPr>
          <w:rFonts w:ascii="Times New Roman" w:hAnsi="Times New Roman" w:cs="Times New Roman"/>
          <w:sz w:val="24"/>
          <w:szCs w:val="24"/>
        </w:rPr>
        <w:t xml:space="preserve"> Regulations. The department found that the 20</w:t>
      </w:r>
      <w:r w:rsidR="009D6328">
        <w:rPr>
          <w:rFonts w:ascii="Times New Roman" w:hAnsi="Times New Roman" w:cs="Times New Roman"/>
          <w:sz w:val="24"/>
          <w:szCs w:val="24"/>
        </w:rPr>
        <w:t>11</w:t>
      </w:r>
      <w:r>
        <w:rPr>
          <w:rFonts w:ascii="Times New Roman" w:hAnsi="Times New Roman" w:cs="Times New Roman"/>
          <w:sz w:val="24"/>
          <w:szCs w:val="24"/>
        </w:rPr>
        <w:t xml:space="preserve"> </w:t>
      </w:r>
      <w:r w:rsidR="009D6328">
        <w:rPr>
          <w:rFonts w:ascii="Times New Roman" w:hAnsi="Times New Roman" w:cs="Times New Roman"/>
          <w:sz w:val="24"/>
          <w:szCs w:val="24"/>
        </w:rPr>
        <w:t>GHG</w:t>
      </w:r>
      <w:r>
        <w:rPr>
          <w:rFonts w:ascii="Times New Roman" w:hAnsi="Times New Roman" w:cs="Times New Roman"/>
          <w:sz w:val="24"/>
          <w:szCs w:val="24"/>
        </w:rPr>
        <w:t xml:space="preserve"> Regulations are still required and fit for purpose, and that they should be remade without substantive change.</w:t>
      </w:r>
    </w:p>
    <w:p w14:paraId="10994700" w14:textId="77777777" w:rsidR="00A7784F" w:rsidRDefault="00820B9D" w:rsidP="00A6154E">
      <w:pPr>
        <w:spacing w:before="120" w:after="120"/>
        <w:rPr>
          <w:rFonts w:ascii="Times New Roman" w:hAnsi="Times New Roman" w:cs="Times New Roman"/>
          <w:sz w:val="24"/>
          <w:szCs w:val="24"/>
        </w:rPr>
      </w:pPr>
      <w:r>
        <w:rPr>
          <w:rFonts w:ascii="Times New Roman" w:hAnsi="Times New Roman" w:cs="Times New Roman"/>
          <w:sz w:val="24"/>
          <w:szCs w:val="24"/>
        </w:rPr>
        <w:t xml:space="preserve">Details of the </w:t>
      </w:r>
      <w:r w:rsidR="009D6328">
        <w:rPr>
          <w:rFonts w:ascii="Times New Roman" w:hAnsi="Times New Roman" w:cs="Times New Roman"/>
          <w:sz w:val="24"/>
          <w:szCs w:val="24"/>
        </w:rPr>
        <w:t>GHG</w:t>
      </w:r>
      <w:r>
        <w:rPr>
          <w:rFonts w:ascii="Times New Roman" w:hAnsi="Times New Roman" w:cs="Times New Roman"/>
          <w:sz w:val="24"/>
          <w:szCs w:val="24"/>
        </w:rPr>
        <w:t xml:space="preserve"> Regulations are set out in </w:t>
      </w:r>
      <w:r w:rsidRPr="003037F6">
        <w:rPr>
          <w:rFonts w:ascii="Times New Roman" w:hAnsi="Times New Roman" w:cs="Times New Roman"/>
          <w:sz w:val="24"/>
          <w:szCs w:val="24"/>
          <w:u w:val="single"/>
        </w:rPr>
        <w:t>Attachment A</w:t>
      </w:r>
      <w:r>
        <w:rPr>
          <w:rFonts w:ascii="Times New Roman" w:hAnsi="Times New Roman" w:cs="Times New Roman"/>
          <w:sz w:val="24"/>
          <w:szCs w:val="24"/>
        </w:rPr>
        <w:t xml:space="preserve">. </w:t>
      </w:r>
    </w:p>
    <w:p w14:paraId="52EA418F" w14:textId="3E852AC4" w:rsidR="00F06143" w:rsidRDefault="00F06143" w:rsidP="00C74F10">
      <w:pPr>
        <w:tabs>
          <w:tab w:val="left" w:pos="6800"/>
        </w:tabs>
        <w:spacing w:before="120" w:after="120"/>
        <w:rPr>
          <w:rFonts w:ascii="Times New Roman" w:hAnsi="Times New Roman" w:cs="Times New Roman"/>
          <w:sz w:val="24"/>
          <w:szCs w:val="24"/>
        </w:rPr>
      </w:pPr>
      <w:r w:rsidRPr="00F06143">
        <w:rPr>
          <w:rFonts w:ascii="Times New Roman" w:hAnsi="Times New Roman" w:cs="Times New Roman"/>
          <w:sz w:val="24"/>
          <w:szCs w:val="24"/>
        </w:rPr>
        <w:t xml:space="preserve">Under section 15AC of the </w:t>
      </w:r>
      <w:r w:rsidRPr="00F06143">
        <w:rPr>
          <w:rFonts w:ascii="Times New Roman" w:hAnsi="Times New Roman" w:cs="Times New Roman"/>
          <w:i/>
          <w:iCs/>
          <w:sz w:val="24"/>
          <w:szCs w:val="24"/>
        </w:rPr>
        <w:t>Acts Interpretation Act 1901</w:t>
      </w:r>
      <w:r w:rsidRPr="00F06143">
        <w:rPr>
          <w:rFonts w:ascii="Times New Roman" w:hAnsi="Times New Roman" w:cs="Times New Roman"/>
          <w:sz w:val="24"/>
          <w:szCs w:val="24"/>
        </w:rPr>
        <w:t xml:space="preserve"> </w:t>
      </w:r>
      <w:r>
        <w:rPr>
          <w:rFonts w:ascii="Times New Roman" w:hAnsi="Times New Roman" w:cs="Times New Roman"/>
          <w:sz w:val="24"/>
          <w:szCs w:val="24"/>
        </w:rPr>
        <w:t>(</w:t>
      </w:r>
      <w:r w:rsidR="00F12960">
        <w:rPr>
          <w:rFonts w:ascii="Times New Roman" w:hAnsi="Times New Roman" w:cs="Times New Roman"/>
          <w:sz w:val="24"/>
          <w:szCs w:val="24"/>
        </w:rPr>
        <w:t xml:space="preserve">the </w:t>
      </w:r>
      <w:r>
        <w:rPr>
          <w:rFonts w:ascii="Times New Roman" w:hAnsi="Times New Roman" w:cs="Times New Roman"/>
          <w:sz w:val="24"/>
          <w:szCs w:val="24"/>
        </w:rPr>
        <w:t>AIA</w:t>
      </w:r>
      <w:r w:rsidRPr="00F06143">
        <w:rPr>
          <w:rFonts w:ascii="Times New Roman" w:hAnsi="Times New Roman" w:cs="Times New Roman"/>
          <w:sz w:val="24"/>
          <w:szCs w:val="24"/>
        </w:rPr>
        <w:t xml:space="preserve">), where an Act has expressed an idea in a particular form of words, and a later Act appears to have expressed the same idea in a different form of words for the purpose of using a clearer style, the ideas shall not be taken to be different merely because different forms of words were used. The </w:t>
      </w:r>
      <w:r>
        <w:rPr>
          <w:rFonts w:ascii="Times New Roman" w:hAnsi="Times New Roman" w:cs="Times New Roman"/>
          <w:sz w:val="24"/>
          <w:szCs w:val="24"/>
        </w:rPr>
        <w:t xml:space="preserve">AIA </w:t>
      </w:r>
      <w:r w:rsidRPr="00F06143">
        <w:rPr>
          <w:rFonts w:ascii="Times New Roman" w:hAnsi="Times New Roman" w:cs="Times New Roman"/>
          <w:sz w:val="24"/>
          <w:szCs w:val="24"/>
        </w:rPr>
        <w:t xml:space="preserve">applies to the </w:t>
      </w:r>
      <w:r>
        <w:rPr>
          <w:rFonts w:ascii="Times New Roman" w:hAnsi="Times New Roman" w:cs="Times New Roman"/>
          <w:sz w:val="24"/>
          <w:szCs w:val="24"/>
        </w:rPr>
        <w:t xml:space="preserve">GHG </w:t>
      </w:r>
      <w:r w:rsidRPr="00F06143">
        <w:rPr>
          <w:rFonts w:ascii="Times New Roman" w:hAnsi="Times New Roman" w:cs="Times New Roman"/>
          <w:sz w:val="24"/>
          <w:szCs w:val="24"/>
        </w:rPr>
        <w:t xml:space="preserve">Regulations </w:t>
      </w:r>
      <w:r w:rsidR="00D2590E">
        <w:rPr>
          <w:rFonts w:ascii="Times New Roman" w:hAnsi="Times New Roman" w:cs="Times New Roman"/>
          <w:sz w:val="24"/>
          <w:szCs w:val="24"/>
        </w:rPr>
        <w:t xml:space="preserve">as if they were an Act because of </w:t>
      </w:r>
      <w:r w:rsidRPr="00F06143">
        <w:rPr>
          <w:rFonts w:ascii="Times New Roman" w:hAnsi="Times New Roman" w:cs="Times New Roman"/>
          <w:sz w:val="24"/>
          <w:szCs w:val="24"/>
        </w:rPr>
        <w:t xml:space="preserve">paragraph 13(1)(a) of the </w:t>
      </w:r>
      <w:r w:rsidRPr="00F06143">
        <w:rPr>
          <w:rFonts w:ascii="Times New Roman" w:hAnsi="Times New Roman" w:cs="Times New Roman"/>
          <w:i/>
          <w:iCs/>
          <w:sz w:val="24"/>
          <w:szCs w:val="24"/>
        </w:rPr>
        <w:t>Legislation</w:t>
      </w:r>
      <w:r w:rsidR="00340C33">
        <w:rPr>
          <w:rFonts w:ascii="Times New Roman" w:hAnsi="Times New Roman" w:cs="Times New Roman"/>
          <w:i/>
          <w:iCs/>
          <w:sz w:val="24"/>
          <w:szCs w:val="24"/>
        </w:rPr>
        <w:t> </w:t>
      </w:r>
      <w:r w:rsidRPr="00F06143">
        <w:rPr>
          <w:rFonts w:ascii="Times New Roman" w:hAnsi="Times New Roman" w:cs="Times New Roman"/>
          <w:i/>
          <w:iCs/>
          <w:sz w:val="24"/>
          <w:szCs w:val="24"/>
        </w:rPr>
        <w:t>Act 2003</w:t>
      </w:r>
      <w:r w:rsidRPr="00F06143">
        <w:rPr>
          <w:rFonts w:ascii="Times New Roman" w:hAnsi="Times New Roman" w:cs="Times New Roman"/>
          <w:sz w:val="24"/>
          <w:szCs w:val="24"/>
        </w:rPr>
        <w:t xml:space="preserve">. Where the language used in a provision of the </w:t>
      </w:r>
      <w:r>
        <w:rPr>
          <w:rFonts w:ascii="Times New Roman" w:hAnsi="Times New Roman" w:cs="Times New Roman"/>
          <w:sz w:val="24"/>
          <w:szCs w:val="24"/>
        </w:rPr>
        <w:t>GHG</w:t>
      </w:r>
      <w:r w:rsidRPr="00F06143">
        <w:rPr>
          <w:rFonts w:ascii="Times New Roman" w:hAnsi="Times New Roman" w:cs="Times New Roman"/>
          <w:sz w:val="24"/>
          <w:szCs w:val="24"/>
        </w:rPr>
        <w:t xml:space="preserve"> Regulations has been revised to improve clarity compared to the previous provision in the 20</w:t>
      </w:r>
      <w:r>
        <w:rPr>
          <w:rFonts w:ascii="Times New Roman" w:hAnsi="Times New Roman" w:cs="Times New Roman"/>
          <w:sz w:val="24"/>
          <w:szCs w:val="24"/>
        </w:rPr>
        <w:t>11</w:t>
      </w:r>
      <w:r w:rsidR="00A071C6">
        <w:rPr>
          <w:rFonts w:ascii="Times New Roman" w:hAnsi="Times New Roman" w:cs="Times New Roman"/>
          <w:sz w:val="24"/>
          <w:szCs w:val="24"/>
        </w:rPr>
        <w:t> </w:t>
      </w:r>
      <w:r>
        <w:rPr>
          <w:rFonts w:ascii="Times New Roman" w:hAnsi="Times New Roman" w:cs="Times New Roman"/>
          <w:sz w:val="24"/>
          <w:szCs w:val="24"/>
        </w:rPr>
        <w:t>GHG</w:t>
      </w:r>
      <w:r w:rsidR="00A071C6">
        <w:rPr>
          <w:rFonts w:ascii="Times New Roman" w:hAnsi="Times New Roman" w:cs="Times New Roman"/>
          <w:sz w:val="24"/>
          <w:szCs w:val="24"/>
        </w:rPr>
        <w:t> </w:t>
      </w:r>
      <w:r w:rsidRPr="00F06143">
        <w:rPr>
          <w:rFonts w:ascii="Times New Roman" w:hAnsi="Times New Roman" w:cs="Times New Roman"/>
          <w:sz w:val="24"/>
          <w:szCs w:val="24"/>
        </w:rPr>
        <w:t>Regulations, this should not be seen as reflecting an intention to change the policy set out in the previous provision.</w:t>
      </w:r>
    </w:p>
    <w:p w14:paraId="5F811406" w14:textId="3F76937A" w:rsidR="00A7784F" w:rsidRPr="00A7784F" w:rsidRDefault="00A7784F" w:rsidP="00A7784F">
      <w:pPr>
        <w:spacing w:before="120" w:after="120"/>
        <w:rPr>
          <w:rFonts w:ascii="Times New Roman" w:hAnsi="Times New Roman" w:cs="Times New Roman"/>
          <w:sz w:val="24"/>
          <w:szCs w:val="24"/>
        </w:rPr>
      </w:pPr>
      <w:r>
        <w:rPr>
          <w:rFonts w:ascii="Times New Roman" w:hAnsi="Times New Roman" w:cs="Times New Roman"/>
          <w:sz w:val="24"/>
          <w:szCs w:val="24"/>
        </w:rPr>
        <w:t>The provisions of the 2011 GHG Regulations have been renumbered in the GHG</w:t>
      </w:r>
      <w:r w:rsidR="00340C33">
        <w:rPr>
          <w:rFonts w:ascii="Times New Roman" w:hAnsi="Times New Roman" w:cs="Times New Roman"/>
          <w:sz w:val="24"/>
          <w:szCs w:val="24"/>
        </w:rPr>
        <w:t> </w:t>
      </w:r>
      <w:r>
        <w:rPr>
          <w:rFonts w:ascii="Times New Roman" w:hAnsi="Times New Roman" w:cs="Times New Roman"/>
          <w:sz w:val="24"/>
          <w:szCs w:val="24"/>
        </w:rPr>
        <w:t>Regulations. A table setting out the equivalent provision for each provision of the 2011</w:t>
      </w:r>
      <w:r w:rsidR="00340C33">
        <w:rPr>
          <w:rFonts w:ascii="Times New Roman" w:hAnsi="Times New Roman" w:cs="Times New Roman"/>
          <w:sz w:val="24"/>
          <w:szCs w:val="24"/>
        </w:rPr>
        <w:t> </w:t>
      </w:r>
      <w:r>
        <w:rPr>
          <w:rFonts w:ascii="Times New Roman" w:hAnsi="Times New Roman" w:cs="Times New Roman"/>
          <w:sz w:val="24"/>
          <w:szCs w:val="24"/>
        </w:rPr>
        <w:t xml:space="preserve">GHG Regulations is at </w:t>
      </w:r>
      <w:r>
        <w:rPr>
          <w:rFonts w:ascii="Times New Roman" w:hAnsi="Times New Roman" w:cs="Times New Roman"/>
          <w:sz w:val="24"/>
          <w:szCs w:val="24"/>
          <w:u w:val="single"/>
        </w:rPr>
        <w:t>Attachment B</w:t>
      </w:r>
      <w:r>
        <w:rPr>
          <w:rFonts w:ascii="Times New Roman" w:hAnsi="Times New Roman" w:cs="Times New Roman"/>
          <w:sz w:val="24"/>
          <w:szCs w:val="24"/>
        </w:rPr>
        <w:t xml:space="preserve">. </w:t>
      </w:r>
    </w:p>
    <w:p w14:paraId="1EAF18CD" w14:textId="77777777" w:rsidR="00820B9D" w:rsidRPr="00F2760F" w:rsidRDefault="00820B9D" w:rsidP="00F2760F">
      <w:pPr>
        <w:pStyle w:val="ActHead5"/>
        <w:rPr>
          <w:u w:val="single"/>
        </w:rPr>
      </w:pPr>
      <w:r w:rsidRPr="00F2760F">
        <w:rPr>
          <w:u w:val="single"/>
        </w:rPr>
        <w:t>Background</w:t>
      </w:r>
    </w:p>
    <w:p w14:paraId="67EC1D9F" w14:textId="1C5AE0E6" w:rsidR="00E84D68" w:rsidRDefault="00E84D68" w:rsidP="00A7784F">
      <w:pPr>
        <w:spacing w:before="120" w:after="120"/>
        <w:rPr>
          <w:rFonts w:ascii="Times New Roman" w:hAnsi="Times New Roman" w:cs="Times New Roman"/>
          <w:sz w:val="24"/>
          <w:szCs w:val="24"/>
        </w:rPr>
      </w:pPr>
      <w:r>
        <w:rPr>
          <w:rFonts w:ascii="Times New Roman" w:hAnsi="Times New Roman" w:cs="Times New Roman"/>
          <w:sz w:val="24"/>
          <w:szCs w:val="24"/>
        </w:rPr>
        <w:t xml:space="preserve">The GHG Regulations deal with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matters </w:t>
      </w:r>
      <w:r w:rsidR="00983381">
        <w:rPr>
          <w:rFonts w:ascii="Times New Roman" w:hAnsi="Times New Roman" w:cs="Times New Roman"/>
          <w:sz w:val="24"/>
          <w:szCs w:val="24"/>
        </w:rPr>
        <w:t xml:space="preserve">to facilitate and regulate </w:t>
      </w:r>
      <w:r>
        <w:rPr>
          <w:rFonts w:ascii="Times New Roman" w:hAnsi="Times New Roman" w:cs="Times New Roman"/>
          <w:sz w:val="24"/>
          <w:szCs w:val="24"/>
        </w:rPr>
        <w:t>greenhouse gas</w:t>
      </w:r>
      <w:r w:rsidR="00840866">
        <w:rPr>
          <w:rFonts w:ascii="Times New Roman" w:hAnsi="Times New Roman" w:cs="Times New Roman"/>
          <w:sz w:val="24"/>
          <w:szCs w:val="24"/>
        </w:rPr>
        <w:t xml:space="preserve"> (GHG)</w:t>
      </w:r>
      <w:r w:rsidR="00983381">
        <w:rPr>
          <w:rFonts w:ascii="Times New Roman" w:hAnsi="Times New Roman" w:cs="Times New Roman"/>
          <w:sz w:val="24"/>
          <w:szCs w:val="24"/>
        </w:rPr>
        <w:t xml:space="preserve"> injection and</w:t>
      </w:r>
      <w:r>
        <w:rPr>
          <w:rFonts w:ascii="Times New Roman" w:hAnsi="Times New Roman" w:cs="Times New Roman"/>
          <w:sz w:val="24"/>
          <w:szCs w:val="24"/>
        </w:rPr>
        <w:t xml:space="preserve"> storage operations in offshore areas.</w:t>
      </w:r>
    </w:p>
    <w:p w14:paraId="49626AEE" w14:textId="4BF65D44" w:rsidR="00983381" w:rsidRDefault="00983381" w:rsidP="00983381">
      <w:pPr>
        <w:rPr>
          <w:rFonts w:ascii="Times New Roman" w:hAnsi="Times New Roman" w:cs="Times New Roman"/>
          <w:sz w:val="24"/>
          <w:szCs w:val="24"/>
        </w:rPr>
      </w:pPr>
      <w:r>
        <w:rPr>
          <w:rFonts w:ascii="Times New Roman" w:hAnsi="Times New Roman" w:cs="Times New Roman"/>
          <w:sz w:val="24"/>
          <w:szCs w:val="24"/>
        </w:rPr>
        <w:t>Certain decisions under the</w:t>
      </w:r>
      <w:r w:rsidR="001408A3">
        <w:rPr>
          <w:rFonts w:ascii="Times New Roman" w:hAnsi="Times New Roman" w:cs="Times New Roman"/>
          <w:sz w:val="24"/>
          <w:szCs w:val="24"/>
        </w:rPr>
        <w:t xml:space="preserve"> </w:t>
      </w:r>
      <w:r w:rsidR="001408A3">
        <w:rPr>
          <w:rFonts w:ascii="Times New Roman" w:hAnsi="Times New Roman" w:cs="Times New Roman"/>
          <w:i/>
          <w:iCs/>
          <w:sz w:val="24"/>
          <w:szCs w:val="24"/>
        </w:rPr>
        <w:t>Offshore Petroleum and Greenhouse Gas Storage Act 2006</w:t>
      </w:r>
      <w:r>
        <w:rPr>
          <w:rFonts w:ascii="Times New Roman" w:hAnsi="Times New Roman" w:cs="Times New Roman"/>
          <w:sz w:val="24"/>
          <w:szCs w:val="24"/>
        </w:rPr>
        <w:t xml:space="preserve"> </w:t>
      </w:r>
      <w:r w:rsidR="001408A3">
        <w:rPr>
          <w:rFonts w:ascii="Times New Roman" w:hAnsi="Times New Roman" w:cs="Times New Roman"/>
          <w:sz w:val="24"/>
          <w:szCs w:val="24"/>
        </w:rPr>
        <w:t xml:space="preserve">(the </w:t>
      </w:r>
      <w:r>
        <w:rPr>
          <w:rFonts w:ascii="Times New Roman" w:hAnsi="Times New Roman" w:cs="Times New Roman"/>
          <w:sz w:val="24"/>
          <w:szCs w:val="24"/>
        </w:rPr>
        <w:t>OPGGS Act</w:t>
      </w:r>
      <w:r w:rsidR="001408A3">
        <w:rPr>
          <w:rFonts w:ascii="Times New Roman" w:hAnsi="Times New Roman" w:cs="Times New Roman"/>
          <w:sz w:val="24"/>
          <w:szCs w:val="24"/>
        </w:rPr>
        <w:t>)</w:t>
      </w:r>
      <w:r>
        <w:rPr>
          <w:rFonts w:ascii="Times New Roman" w:hAnsi="Times New Roman" w:cs="Times New Roman"/>
          <w:sz w:val="24"/>
          <w:szCs w:val="24"/>
        </w:rPr>
        <w:t xml:space="preserve"> require the decision-maker to determine whether there is a s</w:t>
      </w:r>
      <w:r w:rsidRPr="00D2216E">
        <w:rPr>
          <w:rFonts w:ascii="Times New Roman" w:hAnsi="Times New Roman" w:cs="Times New Roman"/>
          <w:sz w:val="24"/>
          <w:szCs w:val="24"/>
        </w:rPr>
        <w:t>ignificant risk</w:t>
      </w:r>
      <w:r>
        <w:rPr>
          <w:rFonts w:ascii="Times New Roman" w:hAnsi="Times New Roman" w:cs="Times New Roman"/>
          <w:sz w:val="24"/>
          <w:szCs w:val="24"/>
        </w:rPr>
        <w:t xml:space="preserve"> that an operation carried on under a title will have</w:t>
      </w:r>
      <w:r w:rsidRPr="00D2216E">
        <w:rPr>
          <w:rFonts w:ascii="Times New Roman" w:hAnsi="Times New Roman" w:cs="Times New Roman"/>
          <w:sz w:val="24"/>
          <w:szCs w:val="24"/>
        </w:rPr>
        <w:t xml:space="preserve"> a significant adverse impact</w:t>
      </w:r>
      <w:r>
        <w:rPr>
          <w:rFonts w:ascii="Times New Roman" w:hAnsi="Times New Roman" w:cs="Times New Roman"/>
          <w:sz w:val="24"/>
          <w:szCs w:val="24"/>
        </w:rPr>
        <w:t xml:space="preserve"> on operations carried on under another title. This is considered in the context of potential interactions </w:t>
      </w:r>
      <w:r>
        <w:rPr>
          <w:rFonts w:ascii="Times New Roman" w:hAnsi="Times New Roman" w:cs="Times New Roman"/>
          <w:sz w:val="24"/>
          <w:szCs w:val="24"/>
        </w:rPr>
        <w:lastRenderedPageBreak/>
        <w:t>between petroleum operations and GHG injection and storage operations. Part 2 of the GHG</w:t>
      </w:r>
      <w:r w:rsidR="001408A3">
        <w:rPr>
          <w:rFonts w:ascii="Times New Roman" w:hAnsi="Times New Roman" w:cs="Times New Roman"/>
          <w:sz w:val="24"/>
          <w:szCs w:val="24"/>
        </w:rPr>
        <w:t> </w:t>
      </w:r>
      <w:r>
        <w:rPr>
          <w:rFonts w:ascii="Times New Roman" w:hAnsi="Times New Roman" w:cs="Times New Roman"/>
          <w:sz w:val="24"/>
          <w:szCs w:val="24"/>
        </w:rPr>
        <w:t>Regulations deals with how</w:t>
      </w:r>
      <w:r w:rsidRPr="00746189">
        <w:rPr>
          <w:rFonts w:ascii="Times New Roman" w:hAnsi="Times New Roman" w:cs="Times New Roman"/>
          <w:sz w:val="24"/>
          <w:szCs w:val="24"/>
        </w:rPr>
        <w:t xml:space="preserve"> </w:t>
      </w:r>
      <w:r>
        <w:rPr>
          <w:rFonts w:ascii="Times New Roman" w:hAnsi="Times New Roman" w:cs="Times New Roman"/>
          <w:sz w:val="24"/>
          <w:szCs w:val="24"/>
        </w:rPr>
        <w:t>that matter is determined.</w:t>
      </w:r>
    </w:p>
    <w:p w14:paraId="56039034" w14:textId="01880B15" w:rsidR="00840866" w:rsidRDefault="00840866" w:rsidP="00840866">
      <w:pPr>
        <w:spacing w:before="120" w:after="120"/>
        <w:rPr>
          <w:rFonts w:ascii="Times New Roman" w:hAnsi="Times New Roman" w:cs="Times New Roman"/>
          <w:sz w:val="24"/>
          <w:szCs w:val="24"/>
        </w:rPr>
      </w:pPr>
      <w:r>
        <w:rPr>
          <w:rFonts w:ascii="Times New Roman" w:hAnsi="Times New Roman" w:cs="Times New Roman"/>
          <w:sz w:val="24"/>
          <w:szCs w:val="24"/>
        </w:rPr>
        <w:t xml:space="preserve">Part 3 and Schedule 1 of the GHG Regulations deal with requirements for applications for declarations of parts of geological formations as identified GHG storage formations. </w:t>
      </w:r>
      <w:r w:rsidR="00FA37D4">
        <w:rPr>
          <w:rFonts w:ascii="Times New Roman" w:hAnsi="Times New Roman" w:cs="Times New Roman"/>
          <w:sz w:val="24"/>
          <w:szCs w:val="24"/>
        </w:rPr>
        <w:t>There are several steps before a</w:t>
      </w:r>
      <w:r>
        <w:rPr>
          <w:rFonts w:ascii="Times New Roman" w:hAnsi="Times New Roman" w:cs="Times New Roman"/>
          <w:sz w:val="24"/>
          <w:szCs w:val="24"/>
        </w:rPr>
        <w:t xml:space="preserve"> part of a</w:t>
      </w:r>
      <w:r w:rsidR="00FA37D4">
        <w:rPr>
          <w:rFonts w:ascii="Times New Roman" w:hAnsi="Times New Roman" w:cs="Times New Roman"/>
          <w:sz w:val="24"/>
          <w:szCs w:val="24"/>
        </w:rPr>
        <w:t xml:space="preserve"> geological formation </w:t>
      </w:r>
      <w:r w:rsidR="00791E84">
        <w:rPr>
          <w:rFonts w:ascii="Times New Roman" w:hAnsi="Times New Roman" w:cs="Times New Roman"/>
          <w:sz w:val="24"/>
          <w:szCs w:val="24"/>
        </w:rPr>
        <w:t>is</w:t>
      </w:r>
      <w:r w:rsidR="00FA37D4">
        <w:rPr>
          <w:rFonts w:ascii="Times New Roman" w:hAnsi="Times New Roman" w:cs="Times New Roman"/>
          <w:sz w:val="24"/>
          <w:szCs w:val="24"/>
        </w:rPr>
        <w:t xml:space="preserve"> determined to be suitable</w:t>
      </w:r>
      <w:r w:rsidR="00791E84">
        <w:rPr>
          <w:rFonts w:ascii="Times New Roman" w:hAnsi="Times New Roman" w:cs="Times New Roman"/>
          <w:sz w:val="24"/>
          <w:szCs w:val="24"/>
        </w:rPr>
        <w:t xml:space="preserve"> </w:t>
      </w:r>
      <w:r>
        <w:rPr>
          <w:rFonts w:ascii="Times New Roman" w:hAnsi="Times New Roman" w:cs="Times New Roman"/>
          <w:sz w:val="24"/>
          <w:szCs w:val="24"/>
        </w:rPr>
        <w:t>for the injection and permanent storage of a GHG substance.</w:t>
      </w:r>
      <w:r w:rsidR="00FA37D4">
        <w:rPr>
          <w:rFonts w:ascii="Times New Roman" w:hAnsi="Times New Roman" w:cs="Times New Roman"/>
          <w:sz w:val="24"/>
          <w:szCs w:val="24"/>
        </w:rPr>
        <w:t xml:space="preserve"> First, </w:t>
      </w:r>
      <w:r w:rsidR="00791E84">
        <w:rPr>
          <w:rFonts w:ascii="Times New Roman" w:hAnsi="Times New Roman" w:cs="Times New Roman"/>
          <w:sz w:val="24"/>
          <w:szCs w:val="24"/>
        </w:rPr>
        <w:t>a</w:t>
      </w:r>
      <w:r w:rsidR="00DC2055" w:rsidRPr="00DC2055">
        <w:rPr>
          <w:rFonts w:ascii="Times New Roman" w:hAnsi="Times New Roman" w:cs="Times New Roman"/>
          <w:sz w:val="24"/>
          <w:szCs w:val="24"/>
        </w:rPr>
        <w:t xml:space="preserve"> </w:t>
      </w:r>
      <w:r w:rsidR="00791E84">
        <w:rPr>
          <w:rFonts w:ascii="Times New Roman" w:hAnsi="Times New Roman" w:cs="Times New Roman"/>
          <w:sz w:val="24"/>
          <w:szCs w:val="24"/>
        </w:rPr>
        <w:t xml:space="preserve">titleholder may </w:t>
      </w:r>
      <w:r w:rsidR="00314553">
        <w:rPr>
          <w:rFonts w:ascii="Times New Roman" w:hAnsi="Times New Roman" w:cs="Times New Roman"/>
          <w:sz w:val="24"/>
          <w:szCs w:val="24"/>
        </w:rPr>
        <w:t>discover</w:t>
      </w:r>
      <w:r w:rsidR="00791E84">
        <w:rPr>
          <w:rFonts w:ascii="Times New Roman" w:hAnsi="Times New Roman" w:cs="Times New Roman"/>
          <w:sz w:val="24"/>
          <w:szCs w:val="24"/>
        </w:rPr>
        <w:t xml:space="preserve"> a </w:t>
      </w:r>
      <w:r w:rsidR="00DC2055" w:rsidRPr="00DC2055">
        <w:rPr>
          <w:rFonts w:ascii="Times New Roman" w:hAnsi="Times New Roman" w:cs="Times New Roman"/>
          <w:sz w:val="24"/>
          <w:szCs w:val="24"/>
        </w:rPr>
        <w:t>‘potential GHG storage formation’</w:t>
      </w:r>
      <w:r w:rsidR="00791E84">
        <w:rPr>
          <w:rFonts w:ascii="Times New Roman" w:hAnsi="Times New Roman" w:cs="Times New Roman"/>
          <w:sz w:val="24"/>
          <w:szCs w:val="24"/>
        </w:rPr>
        <w:t xml:space="preserve">, which is </w:t>
      </w:r>
      <w:r w:rsidR="00DC2055" w:rsidRPr="00DC2055">
        <w:rPr>
          <w:rFonts w:ascii="Times New Roman" w:hAnsi="Times New Roman" w:cs="Times New Roman"/>
          <w:sz w:val="24"/>
          <w:szCs w:val="24"/>
        </w:rPr>
        <w:t xml:space="preserve">a part of a geological formation </w:t>
      </w:r>
      <w:r w:rsidR="00791E84">
        <w:rPr>
          <w:rFonts w:ascii="Times New Roman" w:hAnsi="Times New Roman" w:cs="Times New Roman"/>
          <w:sz w:val="24"/>
          <w:szCs w:val="24"/>
        </w:rPr>
        <w:t xml:space="preserve">that </w:t>
      </w:r>
      <w:r w:rsidR="00DC2055" w:rsidRPr="00DC2055">
        <w:rPr>
          <w:rFonts w:ascii="Times New Roman" w:hAnsi="Times New Roman" w:cs="Times New Roman"/>
          <w:sz w:val="24"/>
          <w:szCs w:val="24"/>
        </w:rPr>
        <w:t>is suitable, with or without engineering enhancements, for the permanent storage of a GHG substance</w:t>
      </w:r>
      <w:r w:rsidR="001408A3">
        <w:rPr>
          <w:rFonts w:ascii="Times New Roman" w:hAnsi="Times New Roman" w:cs="Times New Roman"/>
          <w:sz w:val="24"/>
          <w:szCs w:val="24"/>
        </w:rPr>
        <w:t xml:space="preserve"> injected into that part</w:t>
      </w:r>
      <w:r w:rsidR="00DC2055" w:rsidRPr="00DC2055">
        <w:rPr>
          <w:rFonts w:ascii="Times New Roman" w:hAnsi="Times New Roman" w:cs="Times New Roman"/>
          <w:sz w:val="24"/>
          <w:szCs w:val="24"/>
        </w:rPr>
        <w:t xml:space="preserve"> </w:t>
      </w:r>
      <w:r w:rsidR="00DC2055">
        <w:rPr>
          <w:rFonts w:ascii="Times New Roman" w:hAnsi="Times New Roman" w:cs="Times New Roman"/>
          <w:sz w:val="24"/>
          <w:szCs w:val="24"/>
        </w:rPr>
        <w:t>(</w:t>
      </w:r>
      <w:r>
        <w:rPr>
          <w:rFonts w:ascii="Times New Roman" w:hAnsi="Times New Roman" w:cs="Times New Roman"/>
          <w:sz w:val="24"/>
          <w:szCs w:val="24"/>
        </w:rPr>
        <w:t xml:space="preserve">see </w:t>
      </w:r>
      <w:r w:rsidR="00DC2055" w:rsidRPr="00DC2055">
        <w:rPr>
          <w:rFonts w:ascii="Times New Roman" w:hAnsi="Times New Roman" w:cs="Times New Roman"/>
          <w:sz w:val="24"/>
          <w:szCs w:val="24"/>
        </w:rPr>
        <w:t xml:space="preserve">subsection 20(1) of </w:t>
      </w:r>
      <w:r w:rsidR="00F12960">
        <w:rPr>
          <w:rFonts w:ascii="Times New Roman" w:hAnsi="Times New Roman" w:cs="Times New Roman"/>
          <w:sz w:val="24"/>
          <w:szCs w:val="24"/>
        </w:rPr>
        <w:t>the </w:t>
      </w:r>
      <w:r w:rsidR="00DC2055" w:rsidRPr="00DC2055">
        <w:rPr>
          <w:rFonts w:ascii="Times New Roman" w:hAnsi="Times New Roman" w:cs="Times New Roman"/>
          <w:sz w:val="24"/>
          <w:szCs w:val="24"/>
        </w:rPr>
        <w:t>OPGGS Act</w:t>
      </w:r>
      <w:r w:rsidR="00791E84">
        <w:rPr>
          <w:rFonts w:ascii="Times New Roman" w:hAnsi="Times New Roman" w:cs="Times New Roman"/>
          <w:sz w:val="24"/>
          <w:szCs w:val="24"/>
        </w:rPr>
        <w:t>)</w:t>
      </w:r>
      <w:r w:rsidR="00DC2055" w:rsidRPr="00DC2055">
        <w:rPr>
          <w:rFonts w:ascii="Times New Roman" w:hAnsi="Times New Roman" w:cs="Times New Roman"/>
          <w:sz w:val="24"/>
          <w:szCs w:val="24"/>
        </w:rPr>
        <w:t xml:space="preserve">. </w:t>
      </w:r>
    </w:p>
    <w:p w14:paraId="3AF87D01" w14:textId="1DB595F6" w:rsidR="00FA37D4" w:rsidRDefault="00314553" w:rsidP="00840866">
      <w:pPr>
        <w:spacing w:before="120" w:after="120"/>
        <w:rPr>
          <w:rFonts w:ascii="Times New Roman" w:hAnsi="Times New Roman" w:cs="Times New Roman"/>
          <w:sz w:val="24"/>
          <w:szCs w:val="24"/>
        </w:rPr>
      </w:pPr>
      <w:r>
        <w:rPr>
          <w:rFonts w:ascii="Times New Roman" w:hAnsi="Times New Roman" w:cs="Times New Roman"/>
          <w:sz w:val="24"/>
          <w:szCs w:val="24"/>
        </w:rPr>
        <w:t>Following f</w:t>
      </w:r>
      <w:r w:rsidR="00DC2055" w:rsidRPr="00DC2055">
        <w:rPr>
          <w:rFonts w:ascii="Times New Roman" w:hAnsi="Times New Roman" w:cs="Times New Roman"/>
          <w:sz w:val="24"/>
          <w:szCs w:val="24"/>
        </w:rPr>
        <w:t xml:space="preserve">urther analysis of the </w:t>
      </w:r>
      <w:r>
        <w:rPr>
          <w:rFonts w:ascii="Times New Roman" w:hAnsi="Times New Roman" w:cs="Times New Roman"/>
          <w:sz w:val="24"/>
          <w:szCs w:val="24"/>
        </w:rPr>
        <w:t xml:space="preserve">potential GHG storage </w:t>
      </w:r>
      <w:r w:rsidR="00DC2055" w:rsidRPr="00DC2055">
        <w:rPr>
          <w:rFonts w:ascii="Times New Roman" w:hAnsi="Times New Roman" w:cs="Times New Roman"/>
          <w:sz w:val="24"/>
          <w:szCs w:val="24"/>
        </w:rPr>
        <w:t>formation</w:t>
      </w:r>
      <w:r>
        <w:rPr>
          <w:rFonts w:ascii="Times New Roman" w:hAnsi="Times New Roman" w:cs="Times New Roman"/>
          <w:sz w:val="24"/>
          <w:szCs w:val="24"/>
        </w:rPr>
        <w:t>,</w:t>
      </w:r>
      <w:r w:rsidR="00DC2055" w:rsidRPr="00DC2055">
        <w:rPr>
          <w:rFonts w:ascii="Times New Roman" w:hAnsi="Times New Roman" w:cs="Times New Roman"/>
          <w:sz w:val="24"/>
          <w:szCs w:val="24"/>
        </w:rPr>
        <w:t xml:space="preserve"> the titleholder </w:t>
      </w:r>
      <w:r>
        <w:rPr>
          <w:rFonts w:ascii="Times New Roman" w:hAnsi="Times New Roman" w:cs="Times New Roman"/>
          <w:sz w:val="24"/>
          <w:szCs w:val="24"/>
        </w:rPr>
        <w:t>must</w:t>
      </w:r>
      <w:r w:rsidR="00DC2055" w:rsidRPr="00DC2055">
        <w:rPr>
          <w:rFonts w:ascii="Times New Roman" w:hAnsi="Times New Roman" w:cs="Times New Roman"/>
          <w:sz w:val="24"/>
          <w:szCs w:val="24"/>
        </w:rPr>
        <w:t xml:space="preserve"> notify the </w:t>
      </w:r>
      <w:r w:rsidR="00791E84">
        <w:rPr>
          <w:rFonts w:ascii="Times New Roman" w:hAnsi="Times New Roman" w:cs="Times New Roman"/>
          <w:sz w:val="24"/>
          <w:szCs w:val="24"/>
        </w:rPr>
        <w:t>responsible Commonwealth Minister</w:t>
      </w:r>
      <w:r w:rsidR="00DC2055" w:rsidRPr="00DC2055">
        <w:rPr>
          <w:rFonts w:ascii="Times New Roman" w:hAnsi="Times New Roman" w:cs="Times New Roman"/>
          <w:sz w:val="24"/>
          <w:szCs w:val="24"/>
        </w:rPr>
        <w:t xml:space="preserve"> (</w:t>
      </w:r>
      <w:r w:rsidR="00791E84">
        <w:rPr>
          <w:rFonts w:ascii="Times New Roman" w:hAnsi="Times New Roman" w:cs="Times New Roman"/>
          <w:sz w:val="24"/>
          <w:szCs w:val="24"/>
        </w:rPr>
        <w:t xml:space="preserve">under </w:t>
      </w:r>
      <w:r w:rsidR="00DC2055" w:rsidRPr="00DC2055">
        <w:rPr>
          <w:rFonts w:ascii="Times New Roman" w:hAnsi="Times New Roman" w:cs="Times New Roman"/>
          <w:sz w:val="24"/>
          <w:szCs w:val="24"/>
        </w:rPr>
        <w:t xml:space="preserve">section 451 </w:t>
      </w:r>
      <w:r>
        <w:rPr>
          <w:rFonts w:ascii="Times New Roman" w:hAnsi="Times New Roman" w:cs="Times New Roman"/>
          <w:sz w:val="24"/>
          <w:szCs w:val="24"/>
        </w:rPr>
        <w:t>or</w:t>
      </w:r>
      <w:r w:rsidR="00791E84">
        <w:rPr>
          <w:rFonts w:ascii="Times New Roman" w:hAnsi="Times New Roman" w:cs="Times New Roman"/>
          <w:sz w:val="24"/>
          <w:szCs w:val="24"/>
        </w:rPr>
        <w:t xml:space="preserve"> </w:t>
      </w:r>
      <w:r w:rsidR="00DC2055" w:rsidRPr="00DC2055">
        <w:rPr>
          <w:rFonts w:ascii="Times New Roman" w:hAnsi="Times New Roman" w:cs="Times New Roman"/>
          <w:sz w:val="24"/>
          <w:szCs w:val="24"/>
        </w:rPr>
        <w:t xml:space="preserve">451A of the OPGGS Act) </w:t>
      </w:r>
      <w:r>
        <w:rPr>
          <w:rFonts w:ascii="Times New Roman" w:hAnsi="Times New Roman" w:cs="Times New Roman"/>
          <w:sz w:val="24"/>
          <w:szCs w:val="24"/>
        </w:rPr>
        <w:t>if</w:t>
      </w:r>
      <w:r w:rsidR="00DC2055" w:rsidRPr="00DC2055">
        <w:rPr>
          <w:rFonts w:ascii="Times New Roman" w:hAnsi="Times New Roman" w:cs="Times New Roman"/>
          <w:sz w:val="24"/>
          <w:szCs w:val="24"/>
        </w:rPr>
        <w:t xml:space="preserve"> they have reasonable </w:t>
      </w:r>
      <w:r>
        <w:rPr>
          <w:rFonts w:ascii="Times New Roman" w:hAnsi="Times New Roman" w:cs="Times New Roman"/>
          <w:sz w:val="24"/>
          <w:szCs w:val="24"/>
        </w:rPr>
        <w:t xml:space="preserve">grounds to </w:t>
      </w:r>
      <w:r w:rsidR="00DC2055" w:rsidRPr="00DC2055">
        <w:rPr>
          <w:rFonts w:ascii="Times New Roman" w:hAnsi="Times New Roman" w:cs="Times New Roman"/>
          <w:sz w:val="24"/>
          <w:szCs w:val="24"/>
        </w:rPr>
        <w:t>susp</w:t>
      </w:r>
      <w:r>
        <w:rPr>
          <w:rFonts w:ascii="Times New Roman" w:hAnsi="Times New Roman" w:cs="Times New Roman"/>
          <w:sz w:val="24"/>
          <w:szCs w:val="24"/>
        </w:rPr>
        <w:t>ect</w:t>
      </w:r>
      <w:r w:rsidR="00DC2055" w:rsidRPr="00DC2055">
        <w:rPr>
          <w:rFonts w:ascii="Times New Roman" w:hAnsi="Times New Roman" w:cs="Times New Roman"/>
          <w:sz w:val="24"/>
          <w:szCs w:val="24"/>
        </w:rPr>
        <w:t xml:space="preserve"> that </w:t>
      </w:r>
      <w:r w:rsidR="001408A3">
        <w:rPr>
          <w:rFonts w:ascii="Times New Roman" w:hAnsi="Times New Roman" w:cs="Times New Roman"/>
          <w:sz w:val="24"/>
          <w:szCs w:val="24"/>
        </w:rPr>
        <w:t>a</w:t>
      </w:r>
      <w:r>
        <w:rPr>
          <w:rFonts w:ascii="Times New Roman" w:hAnsi="Times New Roman" w:cs="Times New Roman"/>
          <w:sz w:val="24"/>
          <w:szCs w:val="24"/>
        </w:rPr>
        <w:t xml:space="preserve"> </w:t>
      </w:r>
      <w:r w:rsidR="00DC2055" w:rsidRPr="00DC2055">
        <w:rPr>
          <w:rFonts w:ascii="Times New Roman" w:hAnsi="Times New Roman" w:cs="Times New Roman"/>
          <w:sz w:val="24"/>
          <w:szCs w:val="24"/>
        </w:rPr>
        <w:t>part of a geological formation</w:t>
      </w:r>
      <w:r w:rsidR="001408A3">
        <w:rPr>
          <w:rFonts w:ascii="Times New Roman" w:hAnsi="Times New Roman" w:cs="Times New Roman"/>
          <w:sz w:val="24"/>
          <w:szCs w:val="24"/>
        </w:rPr>
        <w:t>, wholly situated in the titleholder’s title area,</w:t>
      </w:r>
      <w:r w:rsidR="00DC2055" w:rsidRPr="00DC2055">
        <w:rPr>
          <w:rFonts w:ascii="Times New Roman" w:hAnsi="Times New Roman" w:cs="Times New Roman"/>
          <w:sz w:val="24"/>
          <w:szCs w:val="24"/>
        </w:rPr>
        <w:t xml:space="preserve"> could be an </w:t>
      </w:r>
      <w:r w:rsidR="00791E84">
        <w:rPr>
          <w:rFonts w:ascii="Times New Roman" w:hAnsi="Times New Roman" w:cs="Times New Roman"/>
          <w:sz w:val="24"/>
          <w:szCs w:val="24"/>
        </w:rPr>
        <w:t>‘</w:t>
      </w:r>
      <w:r w:rsidR="00DC2055" w:rsidRPr="00DC2055">
        <w:rPr>
          <w:rFonts w:ascii="Times New Roman" w:hAnsi="Times New Roman" w:cs="Times New Roman"/>
          <w:sz w:val="24"/>
          <w:szCs w:val="24"/>
        </w:rPr>
        <w:t>eligible GHG storage formation</w:t>
      </w:r>
      <w:r w:rsidR="00791E84">
        <w:rPr>
          <w:rFonts w:ascii="Times New Roman" w:hAnsi="Times New Roman" w:cs="Times New Roman"/>
          <w:sz w:val="24"/>
          <w:szCs w:val="24"/>
        </w:rPr>
        <w:t>’.</w:t>
      </w:r>
      <w:r w:rsidR="00BF0DAA">
        <w:rPr>
          <w:rFonts w:ascii="Times New Roman" w:hAnsi="Times New Roman" w:cs="Times New Roman"/>
          <w:sz w:val="24"/>
          <w:szCs w:val="24"/>
        </w:rPr>
        <w:t xml:space="preserve"> </w:t>
      </w:r>
      <w:r w:rsidR="00791E84">
        <w:rPr>
          <w:rFonts w:ascii="Times New Roman" w:hAnsi="Times New Roman" w:cs="Times New Roman"/>
          <w:sz w:val="24"/>
          <w:szCs w:val="24"/>
        </w:rPr>
        <w:t>A</w:t>
      </w:r>
      <w:r w:rsidR="00FA37D4">
        <w:rPr>
          <w:rFonts w:ascii="Times New Roman" w:hAnsi="Times New Roman" w:cs="Times New Roman"/>
          <w:sz w:val="24"/>
          <w:szCs w:val="24"/>
        </w:rPr>
        <w:t>n ‘eligible GHG storage formation’ (defined in</w:t>
      </w:r>
      <w:r w:rsidR="00FA37D4" w:rsidRPr="001D692C">
        <w:rPr>
          <w:rFonts w:ascii="Times New Roman" w:hAnsi="Times New Roman" w:cs="Times New Roman"/>
          <w:sz w:val="24"/>
          <w:szCs w:val="24"/>
        </w:rPr>
        <w:t xml:space="preserve"> </w:t>
      </w:r>
      <w:r w:rsidR="00FA37D4">
        <w:rPr>
          <w:rFonts w:ascii="Times New Roman" w:hAnsi="Times New Roman" w:cs="Times New Roman"/>
          <w:sz w:val="24"/>
          <w:szCs w:val="24"/>
        </w:rPr>
        <w:t>section</w:t>
      </w:r>
      <w:r w:rsidR="00340C33">
        <w:rPr>
          <w:rFonts w:ascii="Times New Roman" w:hAnsi="Times New Roman" w:cs="Times New Roman"/>
          <w:sz w:val="24"/>
          <w:szCs w:val="24"/>
        </w:rPr>
        <w:t> </w:t>
      </w:r>
      <w:r w:rsidR="00FA37D4">
        <w:rPr>
          <w:rFonts w:ascii="Times New Roman" w:hAnsi="Times New Roman" w:cs="Times New Roman"/>
          <w:sz w:val="24"/>
          <w:szCs w:val="24"/>
        </w:rPr>
        <w:t>21 of the OPGGS Act)</w:t>
      </w:r>
      <w:r w:rsidR="00791E84">
        <w:rPr>
          <w:rFonts w:ascii="Times New Roman" w:hAnsi="Times New Roman" w:cs="Times New Roman"/>
          <w:sz w:val="24"/>
          <w:szCs w:val="24"/>
        </w:rPr>
        <w:t xml:space="preserve"> </w:t>
      </w:r>
      <w:r w:rsidR="00FA37D4">
        <w:rPr>
          <w:rFonts w:ascii="Times New Roman" w:hAnsi="Times New Roman" w:cs="Times New Roman"/>
          <w:sz w:val="24"/>
          <w:szCs w:val="24"/>
        </w:rPr>
        <w:t xml:space="preserve">is </w:t>
      </w:r>
      <w:r w:rsidR="00FA37D4" w:rsidRPr="006301D5">
        <w:rPr>
          <w:rFonts w:ascii="Times New Roman" w:hAnsi="Times New Roman" w:cs="Times New Roman"/>
          <w:sz w:val="24"/>
          <w:szCs w:val="24"/>
        </w:rPr>
        <w:t>a part of a geological formation</w:t>
      </w:r>
      <w:r w:rsidR="00FA37D4">
        <w:rPr>
          <w:rFonts w:ascii="Times New Roman" w:hAnsi="Times New Roman" w:cs="Times New Roman"/>
          <w:sz w:val="24"/>
          <w:szCs w:val="24"/>
        </w:rPr>
        <w:t xml:space="preserve"> that </w:t>
      </w:r>
      <w:r w:rsidR="00FA37D4" w:rsidRPr="006301D5">
        <w:rPr>
          <w:rFonts w:ascii="Times New Roman" w:hAnsi="Times New Roman" w:cs="Times New Roman"/>
          <w:sz w:val="24"/>
          <w:szCs w:val="24"/>
        </w:rPr>
        <w:t xml:space="preserve">is suitable, </w:t>
      </w:r>
      <w:r w:rsidR="00FA37D4">
        <w:rPr>
          <w:rFonts w:ascii="Times New Roman" w:hAnsi="Times New Roman" w:cs="Times New Roman"/>
          <w:sz w:val="24"/>
          <w:szCs w:val="24"/>
        </w:rPr>
        <w:t xml:space="preserve">with or </w:t>
      </w:r>
      <w:r w:rsidR="00FA37D4" w:rsidRPr="006301D5">
        <w:rPr>
          <w:rFonts w:ascii="Times New Roman" w:hAnsi="Times New Roman" w:cs="Times New Roman"/>
          <w:sz w:val="24"/>
          <w:szCs w:val="24"/>
        </w:rPr>
        <w:t xml:space="preserve">without engineering enhancements, for the permanent storage of a particular amount </w:t>
      </w:r>
      <w:r w:rsidR="008F61D7">
        <w:rPr>
          <w:rFonts w:ascii="Times New Roman" w:hAnsi="Times New Roman" w:cs="Times New Roman"/>
          <w:sz w:val="24"/>
          <w:szCs w:val="24"/>
        </w:rPr>
        <w:t xml:space="preserve">(being at least 100,000 tonnes) </w:t>
      </w:r>
      <w:r w:rsidR="00FA37D4" w:rsidRPr="006301D5">
        <w:rPr>
          <w:rFonts w:ascii="Times New Roman" w:hAnsi="Times New Roman" w:cs="Times New Roman"/>
          <w:sz w:val="24"/>
          <w:szCs w:val="24"/>
        </w:rPr>
        <w:t xml:space="preserve">of a particular </w:t>
      </w:r>
      <w:r w:rsidR="00FA37D4">
        <w:rPr>
          <w:rFonts w:ascii="Times New Roman" w:hAnsi="Times New Roman" w:cs="Times New Roman"/>
          <w:sz w:val="24"/>
          <w:szCs w:val="24"/>
        </w:rPr>
        <w:t xml:space="preserve">GHG </w:t>
      </w:r>
      <w:r w:rsidR="00FA37D4" w:rsidRPr="006301D5">
        <w:rPr>
          <w:rFonts w:ascii="Times New Roman" w:hAnsi="Times New Roman" w:cs="Times New Roman"/>
          <w:sz w:val="24"/>
          <w:szCs w:val="24"/>
        </w:rPr>
        <w:t>substance injected at a particular point or points into that part over a particular period</w:t>
      </w:r>
      <w:r w:rsidR="00FA37D4">
        <w:rPr>
          <w:rFonts w:ascii="Times New Roman" w:hAnsi="Times New Roman" w:cs="Times New Roman"/>
          <w:sz w:val="24"/>
          <w:szCs w:val="24"/>
        </w:rPr>
        <w:t>.</w:t>
      </w:r>
    </w:p>
    <w:p w14:paraId="78AA62AC" w14:textId="05446ACE" w:rsidR="00276330" w:rsidRDefault="00D2590E" w:rsidP="00687854">
      <w:pPr>
        <w:rPr>
          <w:rFonts w:ascii="Times New Roman" w:hAnsi="Times New Roman" w:cs="Times New Roman"/>
          <w:sz w:val="24"/>
          <w:szCs w:val="24"/>
        </w:rPr>
      </w:pPr>
      <w:r>
        <w:rPr>
          <w:rFonts w:ascii="Times New Roman" w:hAnsi="Times New Roman" w:cs="Times New Roman"/>
          <w:sz w:val="24"/>
          <w:szCs w:val="24"/>
        </w:rPr>
        <w:t>Under section 312 or 312A of the OPGGS Act</w:t>
      </w:r>
      <w:r w:rsidR="00840866">
        <w:rPr>
          <w:rFonts w:ascii="Times New Roman" w:hAnsi="Times New Roman" w:cs="Times New Roman"/>
          <w:sz w:val="24"/>
          <w:szCs w:val="24"/>
        </w:rPr>
        <w:t xml:space="preserve">, if a titleholder has reasonable grounds to believe that a part of a geological formation is an eligible GHG storage formation, the titleholder may apply to the </w:t>
      </w:r>
      <w:r w:rsidR="00B84F3E">
        <w:rPr>
          <w:rFonts w:ascii="Times New Roman" w:hAnsi="Times New Roman" w:cs="Times New Roman"/>
          <w:sz w:val="24"/>
          <w:szCs w:val="24"/>
        </w:rPr>
        <w:t xml:space="preserve">responsible Commonwealth </w:t>
      </w:r>
      <w:r w:rsidR="00840866">
        <w:rPr>
          <w:rFonts w:ascii="Times New Roman" w:hAnsi="Times New Roman" w:cs="Times New Roman"/>
          <w:sz w:val="24"/>
          <w:szCs w:val="24"/>
        </w:rPr>
        <w:t xml:space="preserve">Minister </w:t>
      </w:r>
      <w:r w:rsidR="00A873D9">
        <w:rPr>
          <w:rFonts w:ascii="Times New Roman" w:hAnsi="Times New Roman" w:cs="Times New Roman"/>
          <w:sz w:val="24"/>
          <w:szCs w:val="24"/>
        </w:rPr>
        <w:t>for the declaration of the part as an identified GHG storage formation.</w:t>
      </w:r>
      <w:r w:rsidR="00840866">
        <w:rPr>
          <w:rFonts w:ascii="Times New Roman" w:hAnsi="Times New Roman" w:cs="Times New Roman"/>
          <w:sz w:val="24"/>
          <w:szCs w:val="24"/>
        </w:rPr>
        <w:t xml:space="preserve"> T</w:t>
      </w:r>
      <w:r w:rsidR="001A332E">
        <w:rPr>
          <w:rFonts w:ascii="Times New Roman" w:hAnsi="Times New Roman" w:cs="Times New Roman"/>
          <w:sz w:val="24"/>
          <w:szCs w:val="24"/>
        </w:rPr>
        <w:t xml:space="preserve">he Minister </w:t>
      </w:r>
      <w:r w:rsidR="00EF38A0">
        <w:rPr>
          <w:rFonts w:ascii="Times New Roman" w:hAnsi="Times New Roman" w:cs="Times New Roman"/>
          <w:sz w:val="24"/>
          <w:szCs w:val="24"/>
        </w:rPr>
        <w:t>may</w:t>
      </w:r>
      <w:r w:rsidR="002A1A0C">
        <w:rPr>
          <w:rFonts w:ascii="Times New Roman" w:hAnsi="Times New Roman" w:cs="Times New Roman"/>
          <w:sz w:val="24"/>
          <w:szCs w:val="24"/>
        </w:rPr>
        <w:t xml:space="preserve"> declare </w:t>
      </w:r>
      <w:r w:rsidR="00A873D9">
        <w:rPr>
          <w:rFonts w:ascii="Times New Roman" w:hAnsi="Times New Roman" w:cs="Times New Roman"/>
          <w:sz w:val="24"/>
          <w:szCs w:val="24"/>
        </w:rPr>
        <w:t xml:space="preserve">the part of the formation </w:t>
      </w:r>
      <w:r w:rsidR="002A1A0C">
        <w:rPr>
          <w:rFonts w:ascii="Times New Roman" w:hAnsi="Times New Roman" w:cs="Times New Roman"/>
          <w:sz w:val="24"/>
          <w:szCs w:val="24"/>
        </w:rPr>
        <w:t xml:space="preserve">to be </w:t>
      </w:r>
      <w:r w:rsidR="00687854" w:rsidRPr="00687854">
        <w:rPr>
          <w:rFonts w:ascii="Times New Roman" w:hAnsi="Times New Roman" w:cs="Times New Roman"/>
          <w:sz w:val="24"/>
          <w:szCs w:val="24"/>
        </w:rPr>
        <w:t>an ‘identified GHG</w:t>
      </w:r>
      <w:r w:rsidR="00E06F43">
        <w:rPr>
          <w:rFonts w:ascii="Times New Roman" w:hAnsi="Times New Roman" w:cs="Times New Roman"/>
          <w:sz w:val="24"/>
          <w:szCs w:val="24"/>
        </w:rPr>
        <w:t xml:space="preserve"> storage</w:t>
      </w:r>
      <w:r w:rsidR="00687854" w:rsidRPr="00687854">
        <w:rPr>
          <w:rFonts w:ascii="Times New Roman" w:hAnsi="Times New Roman" w:cs="Times New Roman"/>
          <w:sz w:val="24"/>
          <w:szCs w:val="24"/>
        </w:rPr>
        <w:t xml:space="preserve"> formation’</w:t>
      </w:r>
      <w:r w:rsidR="00A873D9">
        <w:rPr>
          <w:rFonts w:ascii="Times New Roman" w:hAnsi="Times New Roman" w:cs="Times New Roman"/>
          <w:sz w:val="24"/>
          <w:szCs w:val="24"/>
        </w:rPr>
        <w:t xml:space="preserve"> if the Minister is satisfied that part is an eligible GHG storage formation and the estimate of the spatial extent of the formation is</w:t>
      </w:r>
      <w:r w:rsidR="001408A3">
        <w:rPr>
          <w:rFonts w:ascii="Times New Roman" w:hAnsi="Times New Roman" w:cs="Times New Roman"/>
          <w:sz w:val="24"/>
          <w:szCs w:val="24"/>
        </w:rPr>
        <w:t xml:space="preserve"> a</w:t>
      </w:r>
      <w:r w:rsidR="00A873D9">
        <w:rPr>
          <w:rFonts w:ascii="Times New Roman" w:hAnsi="Times New Roman" w:cs="Times New Roman"/>
          <w:sz w:val="24"/>
          <w:szCs w:val="24"/>
        </w:rPr>
        <w:t xml:space="preserve"> reasonable</w:t>
      </w:r>
      <w:r w:rsidR="001408A3">
        <w:rPr>
          <w:rFonts w:ascii="Times New Roman" w:hAnsi="Times New Roman" w:cs="Times New Roman"/>
          <w:sz w:val="24"/>
          <w:szCs w:val="24"/>
        </w:rPr>
        <w:t xml:space="preserve"> estimate of the spatial extent of the eligible GHG storage formation</w:t>
      </w:r>
      <w:r w:rsidR="002A1A0C">
        <w:rPr>
          <w:rFonts w:ascii="Times New Roman" w:hAnsi="Times New Roman" w:cs="Times New Roman"/>
          <w:sz w:val="24"/>
          <w:szCs w:val="24"/>
        </w:rPr>
        <w:t>.</w:t>
      </w:r>
      <w:r w:rsidR="007E5070">
        <w:rPr>
          <w:rFonts w:ascii="Times New Roman" w:hAnsi="Times New Roman" w:cs="Times New Roman"/>
          <w:sz w:val="24"/>
          <w:szCs w:val="24"/>
        </w:rPr>
        <w:t xml:space="preserve"> The declaration is the first step in establishing the technical viability of a potential storage site for GHG injection and storage operations.</w:t>
      </w:r>
    </w:p>
    <w:p w14:paraId="427F043E" w14:textId="7C8E586B" w:rsidR="006F07B6" w:rsidRDefault="000052C7" w:rsidP="00687854">
      <w:pPr>
        <w:rPr>
          <w:rFonts w:ascii="Times New Roman" w:hAnsi="Times New Roman" w:cs="Times New Roman"/>
          <w:sz w:val="24"/>
          <w:szCs w:val="24"/>
        </w:rPr>
      </w:pPr>
      <w:r>
        <w:rPr>
          <w:rFonts w:ascii="Times New Roman" w:hAnsi="Times New Roman" w:cs="Times New Roman"/>
          <w:sz w:val="24"/>
          <w:szCs w:val="24"/>
        </w:rPr>
        <w:t xml:space="preserve">Once a declaration is in force, a titleholder may apply for </w:t>
      </w:r>
      <w:r w:rsidR="00276330">
        <w:rPr>
          <w:rFonts w:ascii="Times New Roman" w:hAnsi="Times New Roman" w:cs="Times New Roman"/>
          <w:sz w:val="24"/>
          <w:szCs w:val="24"/>
        </w:rPr>
        <w:t xml:space="preserve">a GHG injection licence </w:t>
      </w:r>
      <w:r>
        <w:rPr>
          <w:rFonts w:ascii="Times New Roman" w:hAnsi="Times New Roman" w:cs="Times New Roman"/>
          <w:sz w:val="24"/>
          <w:szCs w:val="24"/>
        </w:rPr>
        <w:t xml:space="preserve">over the identified GHG storage formation </w:t>
      </w:r>
      <w:r w:rsidR="00276330">
        <w:rPr>
          <w:rFonts w:ascii="Times New Roman" w:hAnsi="Times New Roman" w:cs="Times New Roman"/>
          <w:sz w:val="24"/>
          <w:szCs w:val="24"/>
        </w:rPr>
        <w:t xml:space="preserve">under Part 3.4 of the OPGGS Act. </w:t>
      </w:r>
      <w:r w:rsidR="00EF38A0">
        <w:rPr>
          <w:rFonts w:ascii="Times New Roman" w:hAnsi="Times New Roman" w:cs="Times New Roman"/>
          <w:sz w:val="24"/>
          <w:szCs w:val="24"/>
        </w:rPr>
        <w:t xml:space="preserve">An application must </w:t>
      </w:r>
      <w:r w:rsidR="00EE59CE">
        <w:rPr>
          <w:rFonts w:ascii="Times New Roman" w:hAnsi="Times New Roman" w:cs="Times New Roman"/>
          <w:sz w:val="24"/>
          <w:szCs w:val="24"/>
        </w:rPr>
        <w:t>be accompanied by</w:t>
      </w:r>
      <w:r w:rsidR="00EF38A0">
        <w:rPr>
          <w:rFonts w:ascii="Times New Roman" w:hAnsi="Times New Roman" w:cs="Times New Roman"/>
          <w:sz w:val="24"/>
          <w:szCs w:val="24"/>
        </w:rPr>
        <w:t xml:space="preserve"> a draft site plan that the </w:t>
      </w:r>
      <w:r w:rsidR="00B84F3E">
        <w:rPr>
          <w:rFonts w:ascii="Times New Roman" w:hAnsi="Times New Roman" w:cs="Times New Roman"/>
          <w:sz w:val="24"/>
          <w:szCs w:val="24"/>
        </w:rPr>
        <w:t xml:space="preserve">responsible Commonwealth </w:t>
      </w:r>
      <w:r w:rsidR="00EF38A0">
        <w:rPr>
          <w:rFonts w:ascii="Times New Roman" w:hAnsi="Times New Roman" w:cs="Times New Roman"/>
          <w:sz w:val="24"/>
          <w:szCs w:val="24"/>
        </w:rPr>
        <w:t>Minister</w:t>
      </w:r>
      <w:r w:rsidR="00D2590E">
        <w:rPr>
          <w:rFonts w:ascii="Times New Roman" w:hAnsi="Times New Roman" w:cs="Times New Roman"/>
          <w:sz w:val="24"/>
          <w:szCs w:val="24"/>
        </w:rPr>
        <w:t xml:space="preserve"> </w:t>
      </w:r>
      <w:r w:rsidR="00EA34BC">
        <w:rPr>
          <w:rFonts w:ascii="Times New Roman" w:hAnsi="Times New Roman" w:cs="Times New Roman"/>
          <w:sz w:val="24"/>
          <w:szCs w:val="24"/>
        </w:rPr>
        <w:t xml:space="preserve">may </w:t>
      </w:r>
      <w:r w:rsidR="00D2590E">
        <w:rPr>
          <w:rFonts w:ascii="Times New Roman" w:hAnsi="Times New Roman" w:cs="Times New Roman"/>
          <w:sz w:val="24"/>
          <w:szCs w:val="24"/>
        </w:rPr>
        <w:t>approve</w:t>
      </w:r>
      <w:r w:rsidR="00EF38A0">
        <w:rPr>
          <w:rFonts w:ascii="Times New Roman" w:hAnsi="Times New Roman" w:cs="Times New Roman"/>
          <w:sz w:val="24"/>
          <w:szCs w:val="24"/>
        </w:rPr>
        <w:t xml:space="preserve">. </w:t>
      </w:r>
      <w:r w:rsidR="006F07B6">
        <w:rPr>
          <w:rFonts w:ascii="Times New Roman" w:hAnsi="Times New Roman" w:cs="Times New Roman"/>
          <w:sz w:val="24"/>
          <w:szCs w:val="24"/>
        </w:rPr>
        <w:t xml:space="preserve">One of the </w:t>
      </w:r>
      <w:r w:rsidR="00DF69A7">
        <w:rPr>
          <w:rFonts w:ascii="Times New Roman" w:hAnsi="Times New Roman" w:cs="Times New Roman"/>
          <w:sz w:val="24"/>
          <w:szCs w:val="24"/>
        </w:rPr>
        <w:t xml:space="preserve">criteria for grant of a GHG injection licence </w:t>
      </w:r>
      <w:r w:rsidR="006F07B6">
        <w:rPr>
          <w:rFonts w:ascii="Times New Roman" w:hAnsi="Times New Roman" w:cs="Times New Roman"/>
          <w:sz w:val="24"/>
          <w:szCs w:val="24"/>
        </w:rPr>
        <w:t xml:space="preserve">is </w:t>
      </w:r>
      <w:r w:rsidR="00DF69A7">
        <w:rPr>
          <w:rFonts w:ascii="Times New Roman" w:hAnsi="Times New Roman" w:cs="Times New Roman"/>
          <w:sz w:val="24"/>
          <w:szCs w:val="24"/>
        </w:rPr>
        <w:t xml:space="preserve">that the Minister is satisfied that the draft site plan satisfies the criteria specified in the GHG Regulations. </w:t>
      </w:r>
      <w:r w:rsidR="006F07B6">
        <w:rPr>
          <w:rFonts w:ascii="Times New Roman" w:hAnsi="Times New Roman" w:cs="Times New Roman"/>
          <w:sz w:val="24"/>
          <w:szCs w:val="24"/>
        </w:rPr>
        <w:t xml:space="preserve">Part 4 and Schedule 2 of the GHG Regulations deal with the criteria that site plans </w:t>
      </w:r>
      <w:r w:rsidR="001408A3">
        <w:rPr>
          <w:rFonts w:ascii="Times New Roman" w:hAnsi="Times New Roman" w:cs="Times New Roman"/>
          <w:sz w:val="24"/>
          <w:szCs w:val="24"/>
        </w:rPr>
        <w:t>must satisfy</w:t>
      </w:r>
      <w:r w:rsidR="006F07B6">
        <w:rPr>
          <w:rFonts w:ascii="Times New Roman" w:hAnsi="Times New Roman" w:cs="Times New Roman"/>
          <w:sz w:val="24"/>
          <w:szCs w:val="24"/>
        </w:rPr>
        <w:t xml:space="preserve">. </w:t>
      </w:r>
    </w:p>
    <w:p w14:paraId="7F410C02" w14:textId="1D9E9C6F" w:rsidR="00DF69A7" w:rsidRDefault="006F07B6" w:rsidP="00687854">
      <w:pPr>
        <w:rPr>
          <w:rFonts w:ascii="Times New Roman" w:hAnsi="Times New Roman" w:cs="Times New Roman"/>
          <w:sz w:val="24"/>
          <w:szCs w:val="24"/>
        </w:rPr>
      </w:pPr>
      <w:r>
        <w:rPr>
          <w:rFonts w:ascii="Times New Roman" w:hAnsi="Times New Roman" w:cs="Times New Roman"/>
          <w:sz w:val="24"/>
          <w:szCs w:val="24"/>
        </w:rPr>
        <w:t xml:space="preserve">Part 4 of the GHG Regulations also sets out the </w:t>
      </w:r>
      <w:r w:rsidR="001408A3">
        <w:rPr>
          <w:rFonts w:ascii="Times New Roman" w:hAnsi="Times New Roman" w:cs="Times New Roman"/>
          <w:sz w:val="24"/>
          <w:szCs w:val="24"/>
        </w:rPr>
        <w:t>requirement</w:t>
      </w:r>
      <w:r>
        <w:rPr>
          <w:rFonts w:ascii="Times New Roman" w:hAnsi="Times New Roman" w:cs="Times New Roman"/>
          <w:sz w:val="24"/>
          <w:szCs w:val="24"/>
        </w:rPr>
        <w:t xml:space="preserve"> for an approved site plan to be</w:t>
      </w:r>
      <w:r w:rsidR="00FB4AFC">
        <w:rPr>
          <w:rFonts w:ascii="Times New Roman" w:hAnsi="Times New Roman" w:cs="Times New Roman"/>
          <w:sz w:val="24"/>
          <w:szCs w:val="24"/>
        </w:rPr>
        <w:t xml:space="preserve"> in</w:t>
      </w:r>
      <w:r>
        <w:rPr>
          <w:rFonts w:ascii="Times New Roman" w:hAnsi="Times New Roman" w:cs="Times New Roman"/>
          <w:sz w:val="24"/>
          <w:szCs w:val="24"/>
        </w:rPr>
        <w:t xml:space="preserve"> force when a GHG injection licensee carries on operations in relation to an identified GHG storage formation</w:t>
      </w:r>
      <w:r w:rsidR="00EF38A0">
        <w:rPr>
          <w:rFonts w:ascii="Times New Roman" w:hAnsi="Times New Roman" w:cs="Times New Roman"/>
          <w:sz w:val="24"/>
          <w:szCs w:val="24"/>
        </w:rPr>
        <w:t xml:space="preserve">, </w:t>
      </w:r>
      <w:r w:rsidR="00276330">
        <w:rPr>
          <w:rFonts w:ascii="Times New Roman" w:hAnsi="Times New Roman" w:cs="Times New Roman"/>
          <w:sz w:val="24"/>
          <w:szCs w:val="24"/>
        </w:rPr>
        <w:t xml:space="preserve">and </w:t>
      </w:r>
      <w:r>
        <w:rPr>
          <w:rFonts w:ascii="Times New Roman" w:hAnsi="Times New Roman" w:cs="Times New Roman"/>
          <w:sz w:val="24"/>
          <w:szCs w:val="24"/>
        </w:rPr>
        <w:t xml:space="preserve">for </w:t>
      </w:r>
      <w:r w:rsidR="00276330">
        <w:rPr>
          <w:rFonts w:ascii="Times New Roman" w:hAnsi="Times New Roman" w:cs="Times New Roman"/>
          <w:sz w:val="24"/>
          <w:szCs w:val="24"/>
        </w:rPr>
        <w:t xml:space="preserve">the licensee </w:t>
      </w:r>
      <w:r>
        <w:rPr>
          <w:rFonts w:ascii="Times New Roman" w:hAnsi="Times New Roman" w:cs="Times New Roman"/>
          <w:sz w:val="24"/>
          <w:szCs w:val="24"/>
        </w:rPr>
        <w:t>to</w:t>
      </w:r>
      <w:r w:rsidR="00276330">
        <w:rPr>
          <w:rFonts w:ascii="Times New Roman" w:hAnsi="Times New Roman" w:cs="Times New Roman"/>
          <w:sz w:val="24"/>
          <w:szCs w:val="24"/>
        </w:rPr>
        <w:t xml:space="preserve"> comply with the </w:t>
      </w:r>
      <w:r>
        <w:rPr>
          <w:rFonts w:ascii="Times New Roman" w:hAnsi="Times New Roman" w:cs="Times New Roman"/>
          <w:sz w:val="24"/>
          <w:szCs w:val="24"/>
        </w:rPr>
        <w:t xml:space="preserve">approved site </w:t>
      </w:r>
      <w:r w:rsidR="00276330">
        <w:rPr>
          <w:rFonts w:ascii="Times New Roman" w:hAnsi="Times New Roman" w:cs="Times New Roman"/>
          <w:sz w:val="24"/>
          <w:szCs w:val="24"/>
        </w:rPr>
        <w:t xml:space="preserve">plan. </w:t>
      </w:r>
    </w:p>
    <w:p w14:paraId="3AF6EF33" w14:textId="58CA0AEB" w:rsidR="00D2216E" w:rsidRPr="005C3731" w:rsidRDefault="00D2216E" w:rsidP="00687854">
      <w:pPr>
        <w:rPr>
          <w:rFonts w:ascii="Times New Roman" w:hAnsi="Times New Roman" w:cs="Times New Roman"/>
          <w:sz w:val="24"/>
          <w:szCs w:val="24"/>
        </w:rPr>
      </w:pPr>
      <w:r>
        <w:rPr>
          <w:rFonts w:ascii="Times New Roman" w:hAnsi="Times New Roman" w:cs="Times New Roman"/>
          <w:sz w:val="24"/>
          <w:szCs w:val="24"/>
        </w:rPr>
        <w:t>Other parts of the</w:t>
      </w:r>
      <w:r w:rsidR="003653E0">
        <w:rPr>
          <w:rFonts w:ascii="Times New Roman" w:hAnsi="Times New Roman" w:cs="Times New Roman"/>
          <w:sz w:val="24"/>
          <w:szCs w:val="24"/>
        </w:rPr>
        <w:t xml:space="preserve"> GHG</w:t>
      </w:r>
      <w:r>
        <w:rPr>
          <w:rFonts w:ascii="Times New Roman" w:hAnsi="Times New Roman" w:cs="Times New Roman"/>
          <w:sz w:val="24"/>
          <w:szCs w:val="24"/>
        </w:rPr>
        <w:t xml:space="preserve"> </w:t>
      </w:r>
      <w:r w:rsidR="003653E0">
        <w:rPr>
          <w:rFonts w:ascii="Times New Roman" w:hAnsi="Times New Roman" w:cs="Times New Roman"/>
          <w:sz w:val="24"/>
          <w:szCs w:val="24"/>
        </w:rPr>
        <w:t>R</w:t>
      </w:r>
      <w:r>
        <w:rPr>
          <w:rFonts w:ascii="Times New Roman" w:hAnsi="Times New Roman" w:cs="Times New Roman"/>
          <w:sz w:val="24"/>
          <w:szCs w:val="24"/>
        </w:rPr>
        <w:t xml:space="preserve">egulations deal with preliminary matters (Part 1), reportable incidents (Part 5), information that </w:t>
      </w:r>
      <w:r w:rsidR="00AE55AE">
        <w:rPr>
          <w:rFonts w:ascii="Times New Roman" w:hAnsi="Times New Roman" w:cs="Times New Roman"/>
          <w:sz w:val="24"/>
          <w:szCs w:val="24"/>
        </w:rPr>
        <w:t xml:space="preserve">the </w:t>
      </w:r>
      <w:r w:rsidR="00B84F3E">
        <w:rPr>
          <w:rFonts w:ascii="Times New Roman" w:hAnsi="Times New Roman" w:cs="Times New Roman"/>
          <w:sz w:val="24"/>
          <w:szCs w:val="24"/>
        </w:rPr>
        <w:t xml:space="preserve">responsible Commonwealth </w:t>
      </w:r>
      <w:r w:rsidR="00AE55AE">
        <w:rPr>
          <w:rFonts w:ascii="Times New Roman" w:hAnsi="Times New Roman" w:cs="Times New Roman"/>
          <w:sz w:val="24"/>
          <w:szCs w:val="24"/>
        </w:rPr>
        <w:t xml:space="preserve">Minister </w:t>
      </w:r>
      <w:r>
        <w:rPr>
          <w:rFonts w:ascii="Times New Roman" w:hAnsi="Times New Roman" w:cs="Times New Roman"/>
          <w:sz w:val="24"/>
          <w:szCs w:val="24"/>
        </w:rPr>
        <w:t>may ma</w:t>
      </w:r>
      <w:r w:rsidR="00AE55AE">
        <w:rPr>
          <w:rFonts w:ascii="Times New Roman" w:hAnsi="Times New Roman" w:cs="Times New Roman"/>
          <w:sz w:val="24"/>
          <w:szCs w:val="24"/>
        </w:rPr>
        <w:t>k</w:t>
      </w:r>
      <w:r>
        <w:rPr>
          <w:rFonts w:ascii="Times New Roman" w:hAnsi="Times New Roman" w:cs="Times New Roman"/>
          <w:sz w:val="24"/>
          <w:szCs w:val="24"/>
        </w:rPr>
        <w:t>e publicly available (Part 6), enforcement</w:t>
      </w:r>
      <w:r w:rsidR="000207EB">
        <w:rPr>
          <w:rFonts w:ascii="Times New Roman" w:hAnsi="Times New Roman" w:cs="Times New Roman"/>
          <w:sz w:val="24"/>
          <w:szCs w:val="24"/>
        </w:rPr>
        <w:t xml:space="preserve"> of provisions of the GHG Regulations</w:t>
      </w:r>
      <w:r>
        <w:rPr>
          <w:rFonts w:ascii="Times New Roman" w:hAnsi="Times New Roman" w:cs="Times New Roman"/>
          <w:sz w:val="24"/>
          <w:szCs w:val="24"/>
        </w:rPr>
        <w:t xml:space="preserve"> (Part 7)</w:t>
      </w:r>
      <w:r w:rsidR="008A1A4A">
        <w:rPr>
          <w:rFonts w:ascii="Times New Roman" w:hAnsi="Times New Roman" w:cs="Times New Roman"/>
          <w:sz w:val="24"/>
          <w:szCs w:val="24"/>
        </w:rPr>
        <w:t>,</w:t>
      </w:r>
      <w:r>
        <w:rPr>
          <w:rFonts w:ascii="Times New Roman" w:hAnsi="Times New Roman" w:cs="Times New Roman"/>
          <w:sz w:val="24"/>
          <w:szCs w:val="24"/>
        </w:rPr>
        <w:t xml:space="preserve"> and </w:t>
      </w:r>
      <w:r w:rsidR="000207EB">
        <w:rPr>
          <w:rFonts w:ascii="Times New Roman" w:hAnsi="Times New Roman" w:cs="Times New Roman"/>
          <w:sz w:val="24"/>
          <w:szCs w:val="24"/>
        </w:rPr>
        <w:t xml:space="preserve">application, </w:t>
      </w:r>
      <w:r>
        <w:rPr>
          <w:rFonts w:ascii="Times New Roman" w:hAnsi="Times New Roman" w:cs="Times New Roman"/>
          <w:sz w:val="24"/>
          <w:szCs w:val="24"/>
        </w:rPr>
        <w:t xml:space="preserve">saving and transitional provisions (Part 8).  </w:t>
      </w:r>
    </w:p>
    <w:p w14:paraId="6EEFB3F4" w14:textId="7627BD6D" w:rsidR="00F617D7" w:rsidRDefault="00F617D7" w:rsidP="00631901">
      <w:pPr>
        <w:keepNext/>
        <w:tabs>
          <w:tab w:val="left" w:pos="6800"/>
        </w:tabs>
        <w:spacing w:before="120" w:after="120"/>
        <w:rPr>
          <w:rFonts w:ascii="Times New Roman" w:hAnsi="Times New Roman" w:cs="Times New Roman"/>
          <w:sz w:val="24"/>
          <w:szCs w:val="24"/>
        </w:rPr>
      </w:pPr>
      <w:r w:rsidRPr="00F617D7">
        <w:rPr>
          <w:rFonts w:ascii="Times New Roman" w:hAnsi="Times New Roman" w:cs="Times New Roman"/>
          <w:sz w:val="24"/>
          <w:szCs w:val="24"/>
        </w:rPr>
        <w:t xml:space="preserve">Apart from minor changes to simplify and update language </w:t>
      </w:r>
      <w:r>
        <w:rPr>
          <w:rFonts w:ascii="Times New Roman" w:hAnsi="Times New Roman" w:cs="Times New Roman"/>
          <w:sz w:val="24"/>
          <w:szCs w:val="24"/>
        </w:rPr>
        <w:t xml:space="preserve">and </w:t>
      </w:r>
      <w:r w:rsidR="00956BBD">
        <w:rPr>
          <w:rFonts w:ascii="Times New Roman" w:hAnsi="Times New Roman" w:cs="Times New Roman"/>
          <w:sz w:val="24"/>
          <w:szCs w:val="24"/>
        </w:rPr>
        <w:t>the</w:t>
      </w:r>
      <w:r w:rsidRPr="00F617D7">
        <w:rPr>
          <w:rFonts w:ascii="Times New Roman" w:hAnsi="Times New Roman" w:cs="Times New Roman"/>
          <w:sz w:val="24"/>
          <w:szCs w:val="24"/>
        </w:rPr>
        <w:t xml:space="preserve"> renumber</w:t>
      </w:r>
      <w:r w:rsidR="00956BBD">
        <w:rPr>
          <w:rFonts w:ascii="Times New Roman" w:hAnsi="Times New Roman" w:cs="Times New Roman"/>
          <w:sz w:val="24"/>
          <w:szCs w:val="24"/>
        </w:rPr>
        <w:t>ing of</w:t>
      </w:r>
      <w:r>
        <w:rPr>
          <w:rFonts w:ascii="Times New Roman" w:hAnsi="Times New Roman" w:cs="Times New Roman"/>
          <w:sz w:val="24"/>
          <w:szCs w:val="24"/>
        </w:rPr>
        <w:t xml:space="preserve"> provisions</w:t>
      </w:r>
      <w:r w:rsidRPr="00F617D7">
        <w:rPr>
          <w:rFonts w:ascii="Times New Roman" w:hAnsi="Times New Roman" w:cs="Times New Roman"/>
          <w:sz w:val="24"/>
          <w:szCs w:val="24"/>
        </w:rPr>
        <w:t xml:space="preserve">, </w:t>
      </w:r>
      <w:r w:rsidR="00AF3250">
        <w:rPr>
          <w:rFonts w:ascii="Times New Roman" w:hAnsi="Times New Roman" w:cs="Times New Roman"/>
          <w:sz w:val="24"/>
          <w:szCs w:val="24"/>
        </w:rPr>
        <w:t xml:space="preserve">some additional minor changes have been made in the GHG Regulations, </w:t>
      </w:r>
      <w:r w:rsidR="00AF3250">
        <w:rPr>
          <w:rFonts w:ascii="Times New Roman" w:hAnsi="Times New Roman" w:cs="Times New Roman"/>
          <w:sz w:val="24"/>
          <w:szCs w:val="24"/>
        </w:rPr>
        <w:lastRenderedPageBreak/>
        <w:t>compared to the</w:t>
      </w:r>
      <w:r w:rsidR="002C6855" w:rsidRPr="00F617D7">
        <w:rPr>
          <w:rFonts w:ascii="Times New Roman" w:hAnsi="Times New Roman" w:cs="Times New Roman"/>
          <w:sz w:val="24"/>
          <w:szCs w:val="24"/>
        </w:rPr>
        <w:t xml:space="preserve"> 2011 GHG </w:t>
      </w:r>
      <w:r w:rsidR="006C4B26">
        <w:rPr>
          <w:rFonts w:ascii="Times New Roman" w:hAnsi="Times New Roman" w:cs="Times New Roman"/>
          <w:sz w:val="24"/>
          <w:szCs w:val="24"/>
        </w:rPr>
        <w:t>R</w:t>
      </w:r>
      <w:r w:rsidR="002C6855" w:rsidRPr="00F617D7">
        <w:rPr>
          <w:rFonts w:ascii="Times New Roman" w:hAnsi="Times New Roman" w:cs="Times New Roman"/>
          <w:sz w:val="24"/>
          <w:szCs w:val="24"/>
        </w:rPr>
        <w:t>egulations</w:t>
      </w:r>
      <w:r w:rsidR="00AF3250">
        <w:rPr>
          <w:rFonts w:ascii="Times New Roman" w:hAnsi="Times New Roman" w:cs="Times New Roman"/>
          <w:sz w:val="24"/>
          <w:szCs w:val="24"/>
        </w:rPr>
        <w:t>, to ensure the GHG Regulations remain fit</w:t>
      </w:r>
      <w:r w:rsidR="00340C33">
        <w:rPr>
          <w:rFonts w:ascii="Times New Roman" w:hAnsi="Times New Roman" w:cs="Times New Roman"/>
          <w:sz w:val="24"/>
          <w:szCs w:val="24"/>
        </w:rPr>
        <w:noBreakHyphen/>
      </w:r>
      <w:r w:rsidR="00AF3250">
        <w:rPr>
          <w:rFonts w:ascii="Times New Roman" w:hAnsi="Times New Roman" w:cs="Times New Roman"/>
          <w:sz w:val="24"/>
          <w:szCs w:val="24"/>
        </w:rPr>
        <w:t>for</w:t>
      </w:r>
      <w:r w:rsidR="00340C33">
        <w:rPr>
          <w:rFonts w:ascii="Times New Roman" w:hAnsi="Times New Roman" w:cs="Times New Roman"/>
          <w:sz w:val="24"/>
          <w:szCs w:val="24"/>
        </w:rPr>
        <w:noBreakHyphen/>
      </w:r>
      <w:r w:rsidR="00AF3250">
        <w:rPr>
          <w:rFonts w:ascii="Times New Roman" w:hAnsi="Times New Roman" w:cs="Times New Roman"/>
          <w:sz w:val="24"/>
          <w:szCs w:val="24"/>
        </w:rPr>
        <w:t>purpose. The changes to the GHG Regulations</w:t>
      </w:r>
      <w:r w:rsidR="00371C78">
        <w:rPr>
          <w:rFonts w:ascii="Times New Roman" w:hAnsi="Times New Roman" w:cs="Times New Roman"/>
          <w:sz w:val="24"/>
          <w:szCs w:val="24"/>
        </w:rPr>
        <w:t>:</w:t>
      </w:r>
    </w:p>
    <w:p w14:paraId="1D6DC676" w14:textId="5246E3E8" w:rsidR="00AF3250" w:rsidRDefault="00AF3250" w:rsidP="00F617D7">
      <w:pPr>
        <w:pStyle w:val="ListParagraph"/>
        <w:numPr>
          <w:ilvl w:val="0"/>
          <w:numId w:val="19"/>
        </w:numPr>
        <w:tabs>
          <w:tab w:val="left" w:pos="6800"/>
        </w:tabs>
        <w:spacing w:before="120" w:after="120"/>
        <w:rPr>
          <w:rFonts w:ascii="Times New Roman" w:hAnsi="Times New Roman" w:cs="Times New Roman"/>
          <w:sz w:val="24"/>
          <w:szCs w:val="24"/>
        </w:rPr>
      </w:pPr>
      <w:r>
        <w:rPr>
          <w:rFonts w:ascii="Times New Roman" w:hAnsi="Times New Roman" w:cs="Times New Roman"/>
          <w:sz w:val="24"/>
          <w:szCs w:val="24"/>
        </w:rPr>
        <w:t xml:space="preserve">Modernise penalty provisions to </w:t>
      </w:r>
      <w:r w:rsidR="00D918EA" w:rsidRPr="00D918EA">
        <w:rPr>
          <w:rFonts w:ascii="Times New Roman" w:hAnsi="Times New Roman" w:cs="Times New Roman"/>
          <w:sz w:val="24"/>
          <w:szCs w:val="24"/>
        </w:rPr>
        <w:t>provide additional mechanisms to apply within a graduated range of enforcement tools to encourage and support industry compliance</w:t>
      </w:r>
      <w:r>
        <w:rPr>
          <w:rFonts w:ascii="Times New Roman" w:hAnsi="Times New Roman" w:cs="Times New Roman"/>
          <w:sz w:val="24"/>
          <w:szCs w:val="24"/>
        </w:rPr>
        <w:t xml:space="preserve">. This includes revising penalty amounts for offence </w:t>
      </w:r>
      <w:proofErr w:type="gramStart"/>
      <w:r>
        <w:rPr>
          <w:rFonts w:ascii="Times New Roman" w:hAnsi="Times New Roman" w:cs="Times New Roman"/>
          <w:sz w:val="24"/>
          <w:szCs w:val="24"/>
        </w:rPr>
        <w:t>provisions, and</w:t>
      </w:r>
      <w:proofErr w:type="gramEnd"/>
      <w:r>
        <w:rPr>
          <w:rFonts w:ascii="Times New Roman" w:hAnsi="Times New Roman" w:cs="Times New Roman"/>
          <w:sz w:val="24"/>
          <w:szCs w:val="24"/>
        </w:rPr>
        <w:t xml:space="preserve"> inserting alternative enforcement mechanisms such as injunctions and enforceable undertakings.</w:t>
      </w:r>
    </w:p>
    <w:p w14:paraId="5618383A" w14:textId="4BE5FB61" w:rsidR="00AF3250" w:rsidRDefault="00AF3250" w:rsidP="00F617D7">
      <w:pPr>
        <w:pStyle w:val="ListParagraph"/>
        <w:numPr>
          <w:ilvl w:val="0"/>
          <w:numId w:val="19"/>
        </w:numPr>
        <w:tabs>
          <w:tab w:val="left" w:pos="6800"/>
        </w:tabs>
        <w:spacing w:before="120" w:after="120"/>
        <w:rPr>
          <w:rFonts w:ascii="Times New Roman" w:hAnsi="Times New Roman" w:cs="Times New Roman"/>
          <w:sz w:val="24"/>
          <w:szCs w:val="24"/>
        </w:rPr>
      </w:pPr>
      <w:r>
        <w:rPr>
          <w:rFonts w:ascii="Times New Roman" w:hAnsi="Times New Roman" w:cs="Times New Roman"/>
          <w:sz w:val="24"/>
          <w:szCs w:val="24"/>
        </w:rPr>
        <w:t>Correct and simplify provisions for determining if there is a s</w:t>
      </w:r>
      <w:r w:rsidRPr="00D2216E">
        <w:rPr>
          <w:rFonts w:ascii="Times New Roman" w:hAnsi="Times New Roman" w:cs="Times New Roman"/>
          <w:sz w:val="24"/>
          <w:szCs w:val="24"/>
        </w:rPr>
        <w:t>ignificant risk</w:t>
      </w:r>
      <w:r>
        <w:rPr>
          <w:rFonts w:ascii="Times New Roman" w:hAnsi="Times New Roman" w:cs="Times New Roman"/>
          <w:sz w:val="24"/>
          <w:szCs w:val="24"/>
        </w:rPr>
        <w:t xml:space="preserve"> that an operation carried on under a title will have</w:t>
      </w:r>
      <w:r w:rsidRPr="00D2216E">
        <w:rPr>
          <w:rFonts w:ascii="Times New Roman" w:hAnsi="Times New Roman" w:cs="Times New Roman"/>
          <w:sz w:val="24"/>
          <w:szCs w:val="24"/>
        </w:rPr>
        <w:t xml:space="preserve"> a significant adverse impact</w:t>
      </w:r>
      <w:r>
        <w:rPr>
          <w:rFonts w:ascii="Times New Roman" w:hAnsi="Times New Roman" w:cs="Times New Roman"/>
          <w:sz w:val="24"/>
          <w:szCs w:val="24"/>
        </w:rPr>
        <w:t xml:space="preserve"> on operations carried on under another title</w:t>
      </w:r>
      <w:r w:rsidR="0081200B">
        <w:rPr>
          <w:rFonts w:ascii="Times New Roman" w:hAnsi="Times New Roman" w:cs="Times New Roman"/>
          <w:sz w:val="24"/>
          <w:szCs w:val="24"/>
        </w:rPr>
        <w:t>.</w:t>
      </w:r>
    </w:p>
    <w:p w14:paraId="42B27D3E" w14:textId="05EB092F" w:rsidR="0081200B" w:rsidRPr="0081200B" w:rsidRDefault="0081200B" w:rsidP="0081200B">
      <w:pPr>
        <w:pStyle w:val="ListParagraph"/>
        <w:numPr>
          <w:ilvl w:val="0"/>
          <w:numId w:val="19"/>
        </w:numPr>
        <w:tabs>
          <w:tab w:val="left" w:pos="6800"/>
        </w:tabs>
        <w:spacing w:before="120" w:after="120"/>
        <w:rPr>
          <w:rFonts w:ascii="Times New Roman" w:hAnsi="Times New Roman" w:cs="Times New Roman"/>
          <w:sz w:val="24"/>
          <w:szCs w:val="24"/>
        </w:rPr>
      </w:pPr>
      <w:r>
        <w:rPr>
          <w:rFonts w:ascii="Times New Roman" w:hAnsi="Times New Roman" w:cs="Times New Roman"/>
          <w:sz w:val="24"/>
          <w:szCs w:val="24"/>
        </w:rPr>
        <w:t xml:space="preserve">Remove prescriptive requirements for submitting site plans. </w:t>
      </w:r>
      <w:r w:rsidRPr="0081200B">
        <w:rPr>
          <w:rFonts w:ascii="Times New Roman" w:hAnsi="Times New Roman" w:cs="Times New Roman"/>
          <w:sz w:val="24"/>
          <w:szCs w:val="24"/>
        </w:rPr>
        <w:t>Part 11A of the</w:t>
      </w:r>
      <w:r>
        <w:rPr>
          <w:rFonts w:ascii="Times New Roman" w:hAnsi="Times New Roman" w:cs="Times New Roman"/>
          <w:sz w:val="24"/>
          <w:szCs w:val="24"/>
        </w:rPr>
        <w:t xml:space="preserve"> </w:t>
      </w:r>
      <w:r>
        <w:rPr>
          <w:rFonts w:ascii="Times New Roman" w:hAnsi="Times New Roman" w:cs="Times New Roman"/>
          <w:i/>
          <w:iCs/>
          <w:sz w:val="24"/>
          <w:szCs w:val="24"/>
        </w:rPr>
        <w:t>Offshore Petroleum and Greenhouse Gas Storage (Resource Management and Administration) Regulations 2011</w:t>
      </w:r>
      <w:r w:rsidRPr="0081200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1200B">
        <w:rPr>
          <w:rFonts w:ascii="Times New Roman" w:hAnsi="Times New Roman" w:cs="Times New Roman"/>
          <w:sz w:val="24"/>
          <w:szCs w:val="24"/>
        </w:rPr>
        <w:t>RMA Regulations</w:t>
      </w:r>
      <w:r>
        <w:rPr>
          <w:rFonts w:ascii="Times New Roman" w:hAnsi="Times New Roman" w:cs="Times New Roman"/>
          <w:sz w:val="24"/>
          <w:szCs w:val="24"/>
        </w:rPr>
        <w:t>)</w:t>
      </w:r>
      <w:r w:rsidRPr="0081200B">
        <w:rPr>
          <w:rFonts w:ascii="Times New Roman" w:hAnsi="Times New Roman" w:cs="Times New Roman"/>
          <w:sz w:val="24"/>
          <w:szCs w:val="24"/>
        </w:rPr>
        <w:t xml:space="preserve"> sets out requirements for submitting documents (including site plans) that are required or permitted to be given to the</w:t>
      </w:r>
      <w:r w:rsidR="002D4EED">
        <w:rPr>
          <w:rFonts w:ascii="Times New Roman" w:hAnsi="Times New Roman" w:cs="Times New Roman"/>
          <w:sz w:val="24"/>
          <w:szCs w:val="24"/>
        </w:rPr>
        <w:t> </w:t>
      </w:r>
      <w:r w:rsidR="00B84F3E">
        <w:rPr>
          <w:rFonts w:ascii="Times New Roman" w:hAnsi="Times New Roman" w:cs="Times New Roman"/>
          <w:sz w:val="24"/>
          <w:szCs w:val="24"/>
        </w:rPr>
        <w:t xml:space="preserve">responsible Commonwealth </w:t>
      </w:r>
      <w:r w:rsidRPr="0081200B">
        <w:rPr>
          <w:rFonts w:ascii="Times New Roman" w:hAnsi="Times New Roman" w:cs="Times New Roman"/>
          <w:sz w:val="24"/>
          <w:szCs w:val="24"/>
        </w:rPr>
        <w:t xml:space="preserve">Minister or NOPTA under the OPGGS Act and </w:t>
      </w:r>
      <w:r>
        <w:rPr>
          <w:rFonts w:ascii="Times New Roman" w:hAnsi="Times New Roman" w:cs="Times New Roman"/>
          <w:sz w:val="24"/>
          <w:szCs w:val="24"/>
        </w:rPr>
        <w:t>r</w:t>
      </w:r>
      <w:r w:rsidRPr="0081200B">
        <w:rPr>
          <w:rFonts w:ascii="Times New Roman" w:hAnsi="Times New Roman" w:cs="Times New Roman"/>
          <w:sz w:val="24"/>
          <w:szCs w:val="24"/>
        </w:rPr>
        <w:t xml:space="preserve">egulations. The provisions in Part 11A of the RMA Regulations are less prescriptive about the manner in which documents may be </w:t>
      </w:r>
      <w:proofErr w:type="gramStart"/>
      <w:r w:rsidRPr="0081200B">
        <w:rPr>
          <w:rFonts w:ascii="Times New Roman" w:hAnsi="Times New Roman" w:cs="Times New Roman"/>
          <w:sz w:val="24"/>
          <w:szCs w:val="24"/>
        </w:rPr>
        <w:t>given, and</w:t>
      </w:r>
      <w:proofErr w:type="gramEnd"/>
      <w:r w:rsidRPr="0081200B">
        <w:rPr>
          <w:rFonts w:ascii="Times New Roman" w:hAnsi="Times New Roman" w:cs="Times New Roman"/>
          <w:sz w:val="24"/>
          <w:szCs w:val="24"/>
        </w:rPr>
        <w:t xml:space="preserve"> provide improved technology neutrality</w:t>
      </w:r>
      <w:r>
        <w:rPr>
          <w:rFonts w:ascii="Times New Roman" w:hAnsi="Times New Roman" w:cs="Times New Roman"/>
          <w:sz w:val="24"/>
          <w:szCs w:val="24"/>
        </w:rPr>
        <w:t>.</w:t>
      </w:r>
    </w:p>
    <w:p w14:paraId="0BDC8AFD" w14:textId="4375C724" w:rsidR="0081200B" w:rsidRDefault="004E3F6B" w:rsidP="00F617D7">
      <w:pPr>
        <w:pStyle w:val="ListParagraph"/>
        <w:numPr>
          <w:ilvl w:val="0"/>
          <w:numId w:val="19"/>
        </w:numPr>
        <w:tabs>
          <w:tab w:val="left" w:pos="6800"/>
        </w:tabs>
        <w:spacing w:before="120" w:after="120"/>
        <w:rPr>
          <w:rFonts w:ascii="Times New Roman" w:hAnsi="Times New Roman" w:cs="Times New Roman"/>
          <w:sz w:val="24"/>
          <w:szCs w:val="24"/>
        </w:rPr>
      </w:pPr>
      <w:r>
        <w:rPr>
          <w:rFonts w:ascii="Times New Roman" w:hAnsi="Times New Roman" w:cs="Times New Roman"/>
          <w:sz w:val="24"/>
          <w:szCs w:val="24"/>
        </w:rPr>
        <w:t xml:space="preserve">Remove provisions relating to provisional decommissioning plans, final decommissioning plans and publications of summaries of site plans. This avoids duplication with the </w:t>
      </w:r>
      <w:r>
        <w:rPr>
          <w:rFonts w:ascii="Times New Roman" w:hAnsi="Times New Roman" w:cs="Times New Roman"/>
          <w:i/>
          <w:iCs/>
          <w:sz w:val="24"/>
          <w:szCs w:val="24"/>
        </w:rPr>
        <w:t>Offshore Petroleum and Greenhouse Gas Storage (Environment) Regulations 2023</w:t>
      </w:r>
      <w:r>
        <w:rPr>
          <w:rFonts w:ascii="Times New Roman" w:hAnsi="Times New Roman" w:cs="Times New Roman"/>
          <w:sz w:val="24"/>
          <w:szCs w:val="24"/>
        </w:rPr>
        <w:t xml:space="preserve"> (the Environment Regulations)</w:t>
      </w:r>
      <w:r>
        <w:rPr>
          <w:rFonts w:ascii="Times New Roman" w:hAnsi="Times New Roman" w:cs="Times New Roman"/>
          <w:i/>
          <w:iCs/>
          <w:sz w:val="24"/>
          <w:szCs w:val="24"/>
        </w:rPr>
        <w:t>.</w:t>
      </w:r>
      <w:r w:rsidRPr="004E3F6B">
        <w:rPr>
          <w:rFonts w:ascii="Times New Roman" w:hAnsi="Times New Roman" w:cs="Times New Roman"/>
          <w:sz w:val="24"/>
          <w:szCs w:val="24"/>
        </w:rPr>
        <w:t xml:space="preserve"> </w:t>
      </w:r>
      <w:r>
        <w:rPr>
          <w:rFonts w:ascii="Times New Roman" w:hAnsi="Times New Roman" w:cs="Times New Roman"/>
          <w:sz w:val="24"/>
          <w:szCs w:val="24"/>
        </w:rPr>
        <w:t>A</w:t>
      </w:r>
      <w:r w:rsidRPr="004E3F6B">
        <w:rPr>
          <w:rFonts w:ascii="Times New Roman" w:hAnsi="Times New Roman" w:cs="Times New Roman"/>
          <w:sz w:val="24"/>
          <w:szCs w:val="24"/>
        </w:rPr>
        <w:t xml:space="preserve">n environment plan under the Environment Regulations will need to be submitted, and accepted by NOPSEMA, prior to undertaking any decommissioning activities under a </w:t>
      </w:r>
      <w:r w:rsidR="001408A3">
        <w:rPr>
          <w:rFonts w:ascii="Times New Roman" w:hAnsi="Times New Roman" w:cs="Times New Roman"/>
          <w:sz w:val="24"/>
          <w:szCs w:val="24"/>
        </w:rPr>
        <w:t>GHG</w:t>
      </w:r>
      <w:r w:rsidRPr="004E3F6B">
        <w:rPr>
          <w:rFonts w:ascii="Times New Roman" w:hAnsi="Times New Roman" w:cs="Times New Roman"/>
          <w:sz w:val="24"/>
          <w:szCs w:val="24"/>
        </w:rPr>
        <w:t xml:space="preserve"> title. As NOPSEMA is the offshore environmental regulator, this is the most appropriate regulatory process for approval of decommissioning activities.</w:t>
      </w:r>
      <w:r>
        <w:rPr>
          <w:rFonts w:ascii="Times New Roman" w:hAnsi="Times New Roman" w:cs="Times New Roman"/>
          <w:sz w:val="24"/>
          <w:szCs w:val="24"/>
        </w:rPr>
        <w:t xml:space="preserve"> In addition,</w:t>
      </w:r>
      <w:r w:rsidRPr="004E3F6B">
        <w:rPr>
          <w:rFonts w:ascii="Times New Roman" w:hAnsi="Times New Roman" w:cs="Times New Roman"/>
          <w:sz w:val="24"/>
          <w:szCs w:val="24"/>
        </w:rPr>
        <w:t xml:space="preserve"> appropriate consultation on proposed </w:t>
      </w:r>
      <w:r w:rsidR="001408A3">
        <w:rPr>
          <w:rFonts w:ascii="Times New Roman" w:hAnsi="Times New Roman" w:cs="Times New Roman"/>
          <w:sz w:val="24"/>
          <w:szCs w:val="24"/>
        </w:rPr>
        <w:t>GHG</w:t>
      </w:r>
      <w:r w:rsidRPr="004E3F6B">
        <w:rPr>
          <w:rFonts w:ascii="Times New Roman" w:hAnsi="Times New Roman" w:cs="Times New Roman"/>
          <w:sz w:val="24"/>
          <w:szCs w:val="24"/>
        </w:rPr>
        <w:t xml:space="preserve"> injection and storage operations will be undertaken through the environmental assessment and authorisation process, such as through consultation with relevant persons during development of an environment plan under the Environment Regulations</w:t>
      </w:r>
      <w:r>
        <w:rPr>
          <w:rFonts w:ascii="Times New Roman" w:hAnsi="Times New Roman" w:cs="Times New Roman"/>
          <w:sz w:val="24"/>
          <w:szCs w:val="24"/>
        </w:rPr>
        <w:t>.</w:t>
      </w:r>
    </w:p>
    <w:p w14:paraId="7FE687A7" w14:textId="40823099" w:rsidR="004E3F6B" w:rsidRDefault="004E3F6B" w:rsidP="00F617D7">
      <w:pPr>
        <w:pStyle w:val="ListParagraph"/>
        <w:numPr>
          <w:ilvl w:val="0"/>
          <w:numId w:val="19"/>
        </w:numPr>
        <w:tabs>
          <w:tab w:val="left" w:pos="6800"/>
        </w:tabs>
        <w:spacing w:before="120" w:after="120"/>
        <w:rPr>
          <w:rFonts w:ascii="Times New Roman" w:hAnsi="Times New Roman" w:cs="Times New Roman"/>
          <w:sz w:val="24"/>
          <w:szCs w:val="24"/>
        </w:rPr>
      </w:pPr>
      <w:r>
        <w:rPr>
          <w:rFonts w:ascii="Times New Roman" w:hAnsi="Times New Roman" w:cs="Times New Roman"/>
          <w:sz w:val="24"/>
          <w:szCs w:val="24"/>
        </w:rPr>
        <w:t>Clarify that an application for the declaration of an identified GHG storage formation must only relate to blocks to which the formation extends.</w:t>
      </w:r>
    </w:p>
    <w:p w14:paraId="212DA40C" w14:textId="62E6DDBE" w:rsidR="00A7784F" w:rsidRDefault="00A7784F" w:rsidP="00A7784F">
      <w:pPr>
        <w:tabs>
          <w:tab w:val="left" w:pos="6800"/>
        </w:tabs>
        <w:spacing w:before="120" w:after="120"/>
        <w:rPr>
          <w:rFonts w:ascii="Times New Roman" w:hAnsi="Times New Roman" w:cs="Times New Roman"/>
          <w:sz w:val="24"/>
          <w:szCs w:val="24"/>
        </w:rPr>
      </w:pPr>
      <w:r w:rsidRPr="00A7784F">
        <w:rPr>
          <w:rFonts w:ascii="Times New Roman" w:hAnsi="Times New Roman" w:cs="Times New Roman"/>
          <w:sz w:val="24"/>
          <w:szCs w:val="24"/>
        </w:rPr>
        <w:t xml:space="preserve">The GHG Regulations commence three months after registration on the Federal Register of Legislation. The delayed commencement allows time for NOPTA to update processes and guidance material in line with the GHG Regulations, prior to commencement. </w:t>
      </w:r>
    </w:p>
    <w:p w14:paraId="4DD5A24E" w14:textId="17522B7B" w:rsidR="00E84D68" w:rsidRPr="00E84D68" w:rsidRDefault="00E84D68" w:rsidP="00A7784F">
      <w:pPr>
        <w:tabs>
          <w:tab w:val="left" w:pos="6800"/>
        </w:tabs>
        <w:spacing w:before="120" w:after="120"/>
        <w:rPr>
          <w:rFonts w:ascii="Times New Roman" w:hAnsi="Times New Roman" w:cs="Times New Roman"/>
          <w:sz w:val="24"/>
          <w:szCs w:val="24"/>
        </w:rPr>
      </w:pPr>
      <w:r>
        <w:rPr>
          <w:rFonts w:ascii="Times New Roman" w:hAnsi="Times New Roman" w:cs="Times New Roman"/>
          <w:sz w:val="24"/>
          <w:szCs w:val="24"/>
        </w:rPr>
        <w:t xml:space="preserve">The 2011 GHG Regulations are repealed by the </w:t>
      </w:r>
      <w:r>
        <w:rPr>
          <w:rFonts w:ascii="Times New Roman" w:hAnsi="Times New Roman" w:cs="Times New Roman"/>
          <w:i/>
          <w:iCs/>
          <w:sz w:val="24"/>
          <w:szCs w:val="24"/>
        </w:rPr>
        <w:t>Offshore Petroleum and Greenhouse Gas Storage Legislation (Repeal and Consequential Amendments (No. 2)) Regulations 2023</w:t>
      </w:r>
      <w:r>
        <w:rPr>
          <w:rFonts w:ascii="Times New Roman" w:hAnsi="Times New Roman" w:cs="Times New Roman"/>
          <w:sz w:val="24"/>
          <w:szCs w:val="24"/>
        </w:rPr>
        <w:t>.</w:t>
      </w:r>
    </w:p>
    <w:p w14:paraId="109090ED" w14:textId="77777777" w:rsidR="00647D27" w:rsidRPr="00F2760F" w:rsidRDefault="00647D27" w:rsidP="00F2760F">
      <w:pPr>
        <w:pStyle w:val="ActHead5"/>
        <w:rPr>
          <w:u w:val="single"/>
        </w:rPr>
      </w:pPr>
      <w:r w:rsidRPr="00F2760F">
        <w:rPr>
          <w:u w:val="single"/>
        </w:rPr>
        <w:t>Authority</w:t>
      </w:r>
    </w:p>
    <w:p w14:paraId="7AF4178C" w14:textId="2960A218" w:rsidR="00C43275" w:rsidRDefault="00647D27" w:rsidP="00F81A93">
      <w:pPr>
        <w:spacing w:before="120" w:after="120"/>
        <w:rPr>
          <w:rFonts w:ascii="Times New Roman" w:hAnsi="Times New Roman" w:cs="Times New Roman"/>
          <w:sz w:val="24"/>
          <w:szCs w:val="24"/>
        </w:rPr>
      </w:pPr>
      <w:r>
        <w:rPr>
          <w:rFonts w:ascii="Times New Roman" w:hAnsi="Times New Roman" w:cs="Times New Roman"/>
          <w:sz w:val="24"/>
          <w:szCs w:val="24"/>
        </w:rPr>
        <w:t xml:space="preserve">The OPGGS Act provides the legal framework for the </w:t>
      </w:r>
      <w:r w:rsidR="00352C52">
        <w:rPr>
          <w:rFonts w:ascii="Times New Roman" w:hAnsi="Times New Roman" w:cs="Times New Roman"/>
          <w:sz w:val="24"/>
          <w:szCs w:val="24"/>
        </w:rPr>
        <w:t xml:space="preserve">exploration and recovery of petroleum, and the </w:t>
      </w:r>
      <w:r>
        <w:rPr>
          <w:rFonts w:ascii="Times New Roman" w:hAnsi="Times New Roman" w:cs="Times New Roman"/>
          <w:sz w:val="24"/>
          <w:szCs w:val="24"/>
        </w:rPr>
        <w:t>injection and storage of</w:t>
      </w:r>
      <w:r w:rsidR="00A52969">
        <w:rPr>
          <w:rFonts w:ascii="Times New Roman" w:hAnsi="Times New Roman" w:cs="Times New Roman"/>
          <w:sz w:val="24"/>
          <w:szCs w:val="24"/>
        </w:rPr>
        <w:t xml:space="preserve"> GHG</w:t>
      </w:r>
      <w:r>
        <w:rPr>
          <w:rFonts w:ascii="Times New Roman" w:hAnsi="Times New Roman" w:cs="Times New Roman"/>
          <w:sz w:val="24"/>
          <w:szCs w:val="24"/>
        </w:rPr>
        <w:t xml:space="preserve"> substances</w:t>
      </w:r>
      <w:r w:rsidR="00352C52">
        <w:rPr>
          <w:rFonts w:ascii="Times New Roman" w:hAnsi="Times New Roman" w:cs="Times New Roman"/>
          <w:sz w:val="24"/>
          <w:szCs w:val="24"/>
        </w:rPr>
        <w:t>,</w:t>
      </w:r>
      <w:r>
        <w:rPr>
          <w:rFonts w:ascii="Times New Roman" w:hAnsi="Times New Roman" w:cs="Times New Roman"/>
          <w:sz w:val="24"/>
          <w:szCs w:val="24"/>
        </w:rPr>
        <w:t xml:space="preserve"> in offshore areas.</w:t>
      </w:r>
      <w:r w:rsidR="001D692C">
        <w:rPr>
          <w:rFonts w:ascii="Times New Roman" w:hAnsi="Times New Roman" w:cs="Times New Roman"/>
          <w:sz w:val="24"/>
          <w:szCs w:val="24"/>
        </w:rPr>
        <w:t xml:space="preserve"> </w:t>
      </w:r>
      <w:r w:rsidR="00902521">
        <w:rPr>
          <w:rFonts w:ascii="Times New Roman" w:hAnsi="Times New Roman" w:cs="Times New Roman"/>
          <w:sz w:val="24"/>
          <w:szCs w:val="24"/>
        </w:rPr>
        <w:t>P</w:t>
      </w:r>
      <w:r w:rsidR="001D692C">
        <w:rPr>
          <w:rFonts w:ascii="Times New Roman" w:hAnsi="Times New Roman" w:cs="Times New Roman"/>
          <w:sz w:val="24"/>
          <w:szCs w:val="24"/>
        </w:rPr>
        <w:t xml:space="preserve">rovisions of the OPGGS Act provide for regulations </w:t>
      </w:r>
      <w:r w:rsidR="003541A8">
        <w:rPr>
          <w:rFonts w:ascii="Times New Roman" w:hAnsi="Times New Roman" w:cs="Times New Roman"/>
          <w:sz w:val="24"/>
          <w:szCs w:val="24"/>
        </w:rPr>
        <w:t xml:space="preserve">to be made </w:t>
      </w:r>
      <w:r w:rsidR="001D692C">
        <w:rPr>
          <w:rFonts w:ascii="Times New Roman" w:hAnsi="Times New Roman" w:cs="Times New Roman"/>
          <w:sz w:val="24"/>
          <w:szCs w:val="24"/>
        </w:rPr>
        <w:t>on a range of matters.</w:t>
      </w:r>
      <w:r w:rsidR="00902521">
        <w:rPr>
          <w:rFonts w:ascii="Times New Roman" w:hAnsi="Times New Roman" w:cs="Times New Roman"/>
          <w:sz w:val="24"/>
          <w:szCs w:val="24"/>
        </w:rPr>
        <w:t xml:space="preserve"> </w:t>
      </w:r>
      <w:r w:rsidR="00F81A93" w:rsidRPr="00F81A93">
        <w:rPr>
          <w:rFonts w:ascii="Times New Roman" w:hAnsi="Times New Roman" w:cs="Times New Roman"/>
          <w:sz w:val="24"/>
          <w:szCs w:val="24"/>
        </w:rPr>
        <w:t>Section 781 of the OPGGS Act provides that the Governor</w:t>
      </w:r>
      <w:r w:rsidR="00340C33">
        <w:rPr>
          <w:rFonts w:ascii="Times New Roman" w:hAnsi="Times New Roman" w:cs="Times New Roman"/>
          <w:sz w:val="24"/>
          <w:szCs w:val="24"/>
        </w:rPr>
        <w:noBreakHyphen/>
      </w:r>
      <w:r w:rsidR="00F81A93" w:rsidRPr="00F81A93">
        <w:rPr>
          <w:rFonts w:ascii="Times New Roman" w:hAnsi="Times New Roman" w:cs="Times New Roman"/>
          <w:sz w:val="24"/>
          <w:szCs w:val="24"/>
        </w:rPr>
        <w:t xml:space="preserve">General may make regulations prescribing matters required or permitted by the OPGGS Act to be prescribed, or necessary or convenient to be prescribed for carrying out or giving effect to the OPGGS Act. </w:t>
      </w:r>
    </w:p>
    <w:p w14:paraId="143921FD" w14:textId="721F31DD" w:rsidR="00902521" w:rsidRDefault="00902521" w:rsidP="00F81A9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Subsection 782(1) of the OPGGS Act provides that the regulations may make provision for securing, regulating, controlling or restricting specific matters. This includes injection and storage of GHG substances</w:t>
      </w:r>
      <w:r w:rsidR="008C5373">
        <w:rPr>
          <w:rFonts w:ascii="Times New Roman" w:hAnsi="Times New Roman" w:cs="Times New Roman"/>
          <w:sz w:val="24"/>
          <w:szCs w:val="24"/>
        </w:rPr>
        <w:t xml:space="preserve"> into a part of a geological formation</w:t>
      </w:r>
      <w:r>
        <w:rPr>
          <w:rFonts w:ascii="Times New Roman" w:hAnsi="Times New Roman" w:cs="Times New Roman"/>
          <w:sz w:val="24"/>
          <w:szCs w:val="24"/>
        </w:rPr>
        <w:t xml:space="preserve">, and the carrying on of operations and </w:t>
      </w:r>
      <w:r w:rsidR="008C5373">
        <w:rPr>
          <w:rFonts w:ascii="Times New Roman" w:hAnsi="Times New Roman" w:cs="Times New Roman"/>
          <w:sz w:val="24"/>
          <w:szCs w:val="24"/>
        </w:rPr>
        <w:t xml:space="preserve">the execution of </w:t>
      </w:r>
      <w:r>
        <w:rPr>
          <w:rFonts w:ascii="Times New Roman" w:hAnsi="Times New Roman" w:cs="Times New Roman"/>
          <w:sz w:val="24"/>
          <w:szCs w:val="24"/>
        </w:rPr>
        <w:t>works for those purposes (item 2B of the table in subsection</w:t>
      </w:r>
      <w:r w:rsidR="008C5373">
        <w:rPr>
          <w:rFonts w:ascii="Times New Roman" w:hAnsi="Times New Roman" w:cs="Times New Roman"/>
          <w:sz w:val="24"/>
          <w:szCs w:val="24"/>
        </w:rPr>
        <w:t> </w:t>
      </w:r>
      <w:r>
        <w:rPr>
          <w:rFonts w:ascii="Times New Roman" w:hAnsi="Times New Roman" w:cs="Times New Roman"/>
          <w:sz w:val="24"/>
          <w:szCs w:val="24"/>
        </w:rPr>
        <w:t>782(1)).</w:t>
      </w:r>
    </w:p>
    <w:p w14:paraId="5471F3A4" w14:textId="21E6F042" w:rsidR="00F81A93" w:rsidRPr="00F2760F" w:rsidRDefault="00F81A93" w:rsidP="00F2760F">
      <w:pPr>
        <w:pStyle w:val="ActHead5"/>
        <w:rPr>
          <w:u w:val="single"/>
        </w:rPr>
      </w:pPr>
      <w:r w:rsidRPr="00F2760F">
        <w:rPr>
          <w:u w:val="single"/>
        </w:rPr>
        <w:t>Consultation</w:t>
      </w:r>
    </w:p>
    <w:p w14:paraId="156309BF" w14:textId="7D12DAE7" w:rsidR="00B874D1" w:rsidRPr="00B874D1" w:rsidRDefault="005524D1" w:rsidP="00F81A93">
      <w:pPr>
        <w:spacing w:before="120" w:after="120"/>
        <w:rPr>
          <w:rFonts w:ascii="Times New Roman" w:hAnsi="Times New Roman" w:cs="Times New Roman"/>
          <w:sz w:val="24"/>
          <w:szCs w:val="24"/>
        </w:rPr>
      </w:pPr>
      <w:r>
        <w:rPr>
          <w:rFonts w:ascii="Times New Roman" w:hAnsi="Times New Roman" w:cs="Times New Roman"/>
          <w:sz w:val="24"/>
          <w:szCs w:val="24"/>
        </w:rPr>
        <w:t>T</w:t>
      </w:r>
      <w:r w:rsidR="00B874D1" w:rsidRPr="00B874D1">
        <w:rPr>
          <w:rFonts w:ascii="Times New Roman" w:hAnsi="Times New Roman" w:cs="Times New Roman"/>
          <w:sz w:val="24"/>
          <w:szCs w:val="24"/>
        </w:rPr>
        <w:t>he department consulted with NOPTA</w:t>
      </w:r>
      <w:r>
        <w:rPr>
          <w:rFonts w:ascii="Times New Roman" w:hAnsi="Times New Roman" w:cs="Times New Roman"/>
          <w:sz w:val="24"/>
          <w:szCs w:val="24"/>
        </w:rPr>
        <w:t xml:space="preserve"> and</w:t>
      </w:r>
      <w:r w:rsidR="00B874D1" w:rsidRPr="00B874D1">
        <w:rPr>
          <w:rFonts w:ascii="Times New Roman" w:hAnsi="Times New Roman" w:cs="Times New Roman"/>
          <w:sz w:val="24"/>
          <w:szCs w:val="24"/>
        </w:rPr>
        <w:t xml:space="preserve"> NOPSEMA</w:t>
      </w:r>
      <w:r>
        <w:rPr>
          <w:rFonts w:ascii="Times New Roman" w:hAnsi="Times New Roman" w:cs="Times New Roman"/>
          <w:sz w:val="24"/>
          <w:szCs w:val="24"/>
        </w:rPr>
        <w:t xml:space="preserve"> during its review of the </w:t>
      </w:r>
      <w:r w:rsidR="00FB4AFC">
        <w:rPr>
          <w:rFonts w:ascii="Times New Roman" w:hAnsi="Times New Roman" w:cs="Times New Roman"/>
          <w:sz w:val="24"/>
          <w:szCs w:val="24"/>
        </w:rPr>
        <w:t>2011</w:t>
      </w:r>
      <w:r w:rsidR="00A071C6">
        <w:rPr>
          <w:rFonts w:ascii="Times New Roman" w:hAnsi="Times New Roman" w:cs="Times New Roman"/>
          <w:sz w:val="24"/>
          <w:szCs w:val="24"/>
        </w:rPr>
        <w:t> </w:t>
      </w:r>
      <w:r>
        <w:rPr>
          <w:rFonts w:ascii="Times New Roman" w:hAnsi="Times New Roman" w:cs="Times New Roman"/>
          <w:sz w:val="24"/>
          <w:szCs w:val="24"/>
        </w:rPr>
        <w:t>GHG</w:t>
      </w:r>
      <w:r w:rsidR="00A071C6">
        <w:rPr>
          <w:rFonts w:ascii="Times New Roman" w:hAnsi="Times New Roman" w:cs="Times New Roman"/>
          <w:sz w:val="24"/>
          <w:szCs w:val="24"/>
        </w:rPr>
        <w:t> </w:t>
      </w:r>
      <w:r>
        <w:rPr>
          <w:rFonts w:ascii="Times New Roman" w:hAnsi="Times New Roman" w:cs="Times New Roman"/>
          <w:sz w:val="24"/>
          <w:szCs w:val="24"/>
        </w:rPr>
        <w:t>Regulations</w:t>
      </w:r>
      <w:r w:rsidR="00B874D1" w:rsidRPr="00B874D1">
        <w:rPr>
          <w:rFonts w:ascii="Times New Roman" w:hAnsi="Times New Roman" w:cs="Times New Roman"/>
          <w:sz w:val="24"/>
          <w:szCs w:val="24"/>
        </w:rPr>
        <w:t>,</w:t>
      </w:r>
      <w:r>
        <w:rPr>
          <w:rFonts w:ascii="Times New Roman" w:hAnsi="Times New Roman" w:cs="Times New Roman"/>
          <w:sz w:val="24"/>
          <w:szCs w:val="24"/>
        </w:rPr>
        <w:t xml:space="preserve"> and in the development of the draft </w:t>
      </w:r>
      <w:r w:rsidR="001408A3">
        <w:rPr>
          <w:rFonts w:ascii="Times New Roman" w:hAnsi="Times New Roman" w:cs="Times New Roman"/>
          <w:sz w:val="24"/>
          <w:szCs w:val="24"/>
        </w:rPr>
        <w:t>GHG Regulations</w:t>
      </w:r>
      <w:r>
        <w:rPr>
          <w:rFonts w:ascii="Times New Roman" w:hAnsi="Times New Roman" w:cs="Times New Roman"/>
          <w:sz w:val="24"/>
          <w:szCs w:val="24"/>
        </w:rPr>
        <w:t>.</w:t>
      </w:r>
      <w:r w:rsidR="00B874D1" w:rsidRPr="00B874D1">
        <w:rPr>
          <w:rFonts w:ascii="Times New Roman" w:hAnsi="Times New Roman" w:cs="Times New Roman"/>
          <w:sz w:val="24"/>
          <w:szCs w:val="24"/>
        </w:rPr>
        <w:t xml:space="preserve"> The department </w:t>
      </w:r>
      <w:r>
        <w:rPr>
          <w:rFonts w:ascii="Times New Roman" w:hAnsi="Times New Roman" w:cs="Times New Roman"/>
          <w:sz w:val="24"/>
          <w:szCs w:val="24"/>
        </w:rPr>
        <w:t xml:space="preserve">also </w:t>
      </w:r>
      <w:r w:rsidR="006B6DBA">
        <w:rPr>
          <w:rFonts w:ascii="Times New Roman" w:hAnsi="Times New Roman" w:cs="Times New Roman"/>
          <w:sz w:val="24"/>
          <w:szCs w:val="24"/>
        </w:rPr>
        <w:t xml:space="preserve">conducted </w:t>
      </w:r>
      <w:r w:rsidR="007E1B5F">
        <w:rPr>
          <w:rFonts w:ascii="Times New Roman" w:hAnsi="Times New Roman" w:cs="Times New Roman"/>
          <w:sz w:val="24"/>
          <w:szCs w:val="24"/>
        </w:rPr>
        <w:t xml:space="preserve">targeted stakeholder </w:t>
      </w:r>
      <w:r w:rsidR="00B874D1" w:rsidRPr="00B874D1">
        <w:rPr>
          <w:rFonts w:ascii="Times New Roman" w:hAnsi="Times New Roman" w:cs="Times New Roman"/>
          <w:sz w:val="24"/>
          <w:szCs w:val="24"/>
        </w:rPr>
        <w:t>consultation</w:t>
      </w:r>
      <w:r w:rsidR="007E1B5F">
        <w:rPr>
          <w:rFonts w:ascii="Times New Roman" w:hAnsi="Times New Roman" w:cs="Times New Roman"/>
          <w:sz w:val="24"/>
          <w:szCs w:val="24"/>
        </w:rPr>
        <w:t>, including</w:t>
      </w:r>
      <w:r w:rsidR="00B874D1" w:rsidRPr="00B874D1">
        <w:rPr>
          <w:rFonts w:ascii="Times New Roman" w:hAnsi="Times New Roman" w:cs="Times New Roman"/>
          <w:sz w:val="24"/>
          <w:szCs w:val="24"/>
        </w:rPr>
        <w:t xml:space="preserve"> with industry</w:t>
      </w:r>
      <w:r w:rsidR="007E1B5F">
        <w:rPr>
          <w:rFonts w:ascii="Times New Roman" w:hAnsi="Times New Roman" w:cs="Times New Roman"/>
          <w:sz w:val="24"/>
          <w:szCs w:val="24"/>
        </w:rPr>
        <w:t>,</w:t>
      </w:r>
      <w:r w:rsidR="00B874D1" w:rsidRPr="00B874D1">
        <w:rPr>
          <w:rFonts w:ascii="Times New Roman" w:hAnsi="Times New Roman" w:cs="Times New Roman"/>
          <w:sz w:val="24"/>
          <w:szCs w:val="24"/>
        </w:rPr>
        <w:t xml:space="preserve"> through </w:t>
      </w:r>
      <w:r w:rsidR="007E1B5F">
        <w:rPr>
          <w:rFonts w:ascii="Times New Roman" w:hAnsi="Times New Roman" w:cs="Times New Roman"/>
          <w:sz w:val="24"/>
          <w:szCs w:val="24"/>
        </w:rPr>
        <w:t xml:space="preserve">release of </w:t>
      </w:r>
      <w:r w:rsidR="00E11037">
        <w:rPr>
          <w:rFonts w:ascii="Times New Roman" w:hAnsi="Times New Roman" w:cs="Times New Roman"/>
          <w:sz w:val="24"/>
          <w:szCs w:val="24"/>
        </w:rPr>
        <w:t>a</w:t>
      </w:r>
      <w:r w:rsidR="007E1B5F">
        <w:rPr>
          <w:rFonts w:ascii="Times New Roman" w:hAnsi="Times New Roman" w:cs="Times New Roman"/>
          <w:sz w:val="24"/>
          <w:szCs w:val="24"/>
        </w:rPr>
        <w:t xml:space="preserve"> limited circulation</w:t>
      </w:r>
      <w:r w:rsidR="00E11037">
        <w:rPr>
          <w:rFonts w:ascii="Times New Roman" w:hAnsi="Times New Roman" w:cs="Times New Roman"/>
          <w:sz w:val="24"/>
          <w:szCs w:val="24"/>
        </w:rPr>
        <w:t xml:space="preserve"> exposure draft of the GHG Regulations</w:t>
      </w:r>
      <w:r w:rsidR="007E1B5F">
        <w:rPr>
          <w:rFonts w:ascii="Times New Roman" w:hAnsi="Times New Roman" w:cs="Times New Roman"/>
          <w:sz w:val="24"/>
          <w:szCs w:val="24"/>
        </w:rPr>
        <w:t xml:space="preserve"> and an associated information session</w:t>
      </w:r>
      <w:r w:rsidR="00E11037">
        <w:rPr>
          <w:rFonts w:ascii="Times New Roman" w:hAnsi="Times New Roman" w:cs="Times New Roman"/>
          <w:sz w:val="24"/>
          <w:szCs w:val="24"/>
        </w:rPr>
        <w:t xml:space="preserve"> in August</w:t>
      </w:r>
      <w:r w:rsidR="007E1B5F">
        <w:rPr>
          <w:rFonts w:ascii="Times New Roman" w:hAnsi="Times New Roman" w:cs="Times New Roman"/>
          <w:sz w:val="24"/>
          <w:szCs w:val="24"/>
        </w:rPr>
        <w:t>/September</w:t>
      </w:r>
      <w:r w:rsidR="00E11037">
        <w:rPr>
          <w:rFonts w:ascii="Times New Roman" w:hAnsi="Times New Roman" w:cs="Times New Roman"/>
          <w:sz w:val="24"/>
          <w:szCs w:val="24"/>
        </w:rPr>
        <w:t xml:space="preserve"> 2023.</w:t>
      </w:r>
      <w:r w:rsidR="007E1B5F">
        <w:rPr>
          <w:rFonts w:ascii="Times New Roman" w:hAnsi="Times New Roman" w:cs="Times New Roman"/>
          <w:sz w:val="24"/>
          <w:szCs w:val="24"/>
        </w:rPr>
        <w:t xml:space="preserve"> The department received five submissions which were considered in finalising the GHG Regulations.</w:t>
      </w:r>
    </w:p>
    <w:p w14:paraId="2BCAD32C" w14:textId="77777777" w:rsidR="00F81A93" w:rsidRPr="00F2760F" w:rsidRDefault="00F81A93" w:rsidP="00F2760F">
      <w:pPr>
        <w:pStyle w:val="ActHead5"/>
        <w:rPr>
          <w:u w:val="single"/>
        </w:rPr>
      </w:pPr>
      <w:bookmarkStart w:id="0" w:name="_Hlk132808485"/>
      <w:r w:rsidRPr="00F2760F">
        <w:rPr>
          <w:u w:val="single"/>
        </w:rPr>
        <w:t>Regulatory Impact</w:t>
      </w:r>
    </w:p>
    <w:p w14:paraId="1F140BCA" w14:textId="35B41899" w:rsidR="00F81A93" w:rsidRDefault="00F81A93" w:rsidP="00F81A93">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00666E59">
        <w:rPr>
          <w:rFonts w:ascii="Times New Roman" w:hAnsi="Times New Roman" w:cs="Times New Roman"/>
          <w:sz w:val="24"/>
          <w:szCs w:val="24"/>
        </w:rPr>
        <w:t>Office of Impact Analysis</w:t>
      </w:r>
      <w:r w:rsidR="003B20EF">
        <w:rPr>
          <w:rFonts w:ascii="Times New Roman" w:hAnsi="Times New Roman" w:cs="Times New Roman"/>
          <w:sz w:val="24"/>
          <w:szCs w:val="24"/>
        </w:rPr>
        <w:t xml:space="preserve"> (OIA</w:t>
      </w:r>
      <w:r w:rsidR="00666E59">
        <w:rPr>
          <w:rFonts w:ascii="Times New Roman" w:hAnsi="Times New Roman" w:cs="Times New Roman"/>
          <w:sz w:val="24"/>
          <w:szCs w:val="24"/>
        </w:rPr>
        <w:t>)</w:t>
      </w:r>
      <w:r>
        <w:rPr>
          <w:rFonts w:ascii="Times New Roman" w:hAnsi="Times New Roman" w:cs="Times New Roman"/>
          <w:sz w:val="24"/>
          <w:szCs w:val="24"/>
        </w:rPr>
        <w:t xml:space="preserve"> </w:t>
      </w:r>
      <w:r w:rsidR="003B20EF">
        <w:rPr>
          <w:rFonts w:ascii="Times New Roman" w:hAnsi="Times New Roman" w:cs="Times New Roman"/>
          <w:sz w:val="24"/>
          <w:szCs w:val="24"/>
        </w:rPr>
        <w:t>has confirmed that</w:t>
      </w:r>
      <w:r>
        <w:rPr>
          <w:rFonts w:ascii="Times New Roman" w:hAnsi="Times New Roman" w:cs="Times New Roman"/>
          <w:sz w:val="24"/>
          <w:szCs w:val="24"/>
        </w:rPr>
        <w:t xml:space="preserve"> a Regulatory Impact Statement </w:t>
      </w:r>
      <w:r w:rsidR="003B20EF">
        <w:rPr>
          <w:rFonts w:ascii="Times New Roman" w:hAnsi="Times New Roman" w:cs="Times New Roman"/>
          <w:sz w:val="24"/>
          <w:szCs w:val="24"/>
        </w:rPr>
        <w:t>i</w:t>
      </w:r>
      <w:r>
        <w:rPr>
          <w:rFonts w:ascii="Times New Roman" w:hAnsi="Times New Roman" w:cs="Times New Roman"/>
          <w:sz w:val="24"/>
          <w:szCs w:val="24"/>
        </w:rPr>
        <w:t xml:space="preserve">s not required </w:t>
      </w:r>
      <w:r w:rsidR="003B20EF">
        <w:rPr>
          <w:rFonts w:ascii="Times New Roman" w:hAnsi="Times New Roman" w:cs="Times New Roman"/>
          <w:sz w:val="24"/>
          <w:szCs w:val="24"/>
        </w:rPr>
        <w:t xml:space="preserve">for the </w:t>
      </w:r>
      <w:r w:rsidR="00772C25">
        <w:rPr>
          <w:rFonts w:ascii="Times New Roman" w:hAnsi="Times New Roman" w:cs="Times New Roman"/>
          <w:sz w:val="24"/>
          <w:szCs w:val="24"/>
        </w:rPr>
        <w:t>GHG</w:t>
      </w:r>
      <w:r w:rsidR="003B20EF">
        <w:rPr>
          <w:rFonts w:ascii="Times New Roman" w:hAnsi="Times New Roman" w:cs="Times New Roman"/>
          <w:sz w:val="24"/>
          <w:szCs w:val="24"/>
        </w:rPr>
        <w:t xml:space="preserve"> Regulations. The </w:t>
      </w:r>
      <w:r>
        <w:rPr>
          <w:rFonts w:ascii="Times New Roman" w:hAnsi="Times New Roman" w:cs="Times New Roman"/>
          <w:sz w:val="24"/>
          <w:szCs w:val="24"/>
        </w:rPr>
        <w:t>O</w:t>
      </w:r>
      <w:r w:rsidR="003B20EF">
        <w:rPr>
          <w:rFonts w:ascii="Times New Roman" w:hAnsi="Times New Roman" w:cs="Times New Roman"/>
          <w:sz w:val="24"/>
          <w:szCs w:val="24"/>
        </w:rPr>
        <w:t>IA</w:t>
      </w:r>
      <w:r>
        <w:rPr>
          <w:rFonts w:ascii="Times New Roman" w:hAnsi="Times New Roman" w:cs="Times New Roman"/>
          <w:sz w:val="24"/>
          <w:szCs w:val="24"/>
        </w:rPr>
        <w:t xml:space="preserve"> reference </w:t>
      </w:r>
      <w:r w:rsidR="003B20EF">
        <w:rPr>
          <w:rFonts w:ascii="Times New Roman" w:hAnsi="Times New Roman" w:cs="Times New Roman"/>
          <w:sz w:val="24"/>
          <w:szCs w:val="24"/>
        </w:rPr>
        <w:t>is</w:t>
      </w:r>
      <w:r w:rsidR="002E128B">
        <w:rPr>
          <w:rFonts w:ascii="Times New Roman" w:hAnsi="Times New Roman" w:cs="Times New Roman"/>
          <w:sz w:val="24"/>
          <w:szCs w:val="24"/>
        </w:rPr>
        <w:t xml:space="preserve"> OBPR22-02091</w:t>
      </w:r>
      <w:r>
        <w:rPr>
          <w:rFonts w:ascii="Times New Roman" w:hAnsi="Times New Roman" w:cs="Times New Roman"/>
          <w:sz w:val="24"/>
          <w:szCs w:val="24"/>
        </w:rPr>
        <w:t>.</w:t>
      </w:r>
    </w:p>
    <w:p w14:paraId="25A08DFB" w14:textId="77777777" w:rsidR="00CB33DB" w:rsidRPr="00F2760F" w:rsidRDefault="00CB33DB" w:rsidP="00F2760F">
      <w:pPr>
        <w:pStyle w:val="ActHead5"/>
        <w:rPr>
          <w:u w:val="single"/>
        </w:rPr>
      </w:pPr>
      <w:bookmarkStart w:id="1" w:name="_Hlk132808642"/>
      <w:bookmarkEnd w:id="0"/>
      <w:r w:rsidRPr="00F2760F">
        <w:rPr>
          <w:u w:val="single"/>
        </w:rPr>
        <w:t>Statement of Compatibility with Human Rights</w:t>
      </w:r>
    </w:p>
    <w:p w14:paraId="1351BC38" w14:textId="5EDDF141" w:rsidR="005145EC" w:rsidRDefault="00CB33DB" w:rsidP="00CB33DB">
      <w:pPr>
        <w:spacing w:before="120" w:after="120"/>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for the purposes of Part 3 of the </w:t>
      </w:r>
      <w:r w:rsidRPr="00FC6946">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is set out at </w:t>
      </w:r>
      <w:r w:rsidRPr="005145EC">
        <w:rPr>
          <w:rFonts w:ascii="Times New Roman" w:hAnsi="Times New Roman" w:cs="Times New Roman"/>
          <w:bCs/>
          <w:sz w:val="24"/>
          <w:szCs w:val="24"/>
          <w:u w:val="single"/>
        </w:rPr>
        <w:t xml:space="preserve">Attachment </w:t>
      </w:r>
      <w:r w:rsidR="005145EC" w:rsidRPr="005145EC">
        <w:rPr>
          <w:rFonts w:ascii="Times New Roman" w:hAnsi="Times New Roman" w:cs="Times New Roman"/>
          <w:bCs/>
          <w:sz w:val="24"/>
          <w:szCs w:val="24"/>
          <w:u w:val="single"/>
        </w:rPr>
        <w:t>C</w:t>
      </w:r>
      <w:r>
        <w:rPr>
          <w:rFonts w:ascii="Times New Roman" w:hAnsi="Times New Roman" w:cs="Times New Roman"/>
          <w:sz w:val="24"/>
          <w:szCs w:val="24"/>
        </w:rPr>
        <w:t>.</w:t>
      </w:r>
    </w:p>
    <w:bookmarkEnd w:id="1"/>
    <w:p w14:paraId="6A924CD1" w14:textId="7FF6871B" w:rsidR="001C1C20" w:rsidRDefault="001C1C20">
      <w:pPr>
        <w:rPr>
          <w:rFonts w:ascii="Times New Roman" w:hAnsi="Times New Roman" w:cs="Times New Roman"/>
          <w:sz w:val="24"/>
          <w:szCs w:val="24"/>
        </w:rPr>
      </w:pPr>
    </w:p>
    <w:p w14:paraId="683441D9" w14:textId="77777777" w:rsidR="00427D20" w:rsidRDefault="00427D20">
      <w:pPr>
        <w:rPr>
          <w:rFonts w:ascii="Times New Roman" w:eastAsia="Times New Roman" w:hAnsi="Times New Roman" w:cs="Times New Roman"/>
          <w:b/>
          <w:kern w:val="28"/>
          <w:sz w:val="24"/>
          <w:u w:val="single"/>
          <w:lang w:eastAsia="en-AU"/>
        </w:rPr>
      </w:pPr>
      <w:r>
        <w:rPr>
          <w:u w:val="single"/>
        </w:rPr>
        <w:br w:type="page"/>
      </w:r>
    </w:p>
    <w:p w14:paraId="2FAA0B66" w14:textId="0C8512F0" w:rsidR="00D900F2" w:rsidRPr="00F2760F" w:rsidRDefault="00D900F2" w:rsidP="00F2760F">
      <w:pPr>
        <w:pStyle w:val="ActHead5"/>
        <w:rPr>
          <w:u w:val="single"/>
        </w:rPr>
      </w:pPr>
      <w:r w:rsidRPr="00F2760F">
        <w:rPr>
          <w:u w:val="single"/>
        </w:rPr>
        <w:lastRenderedPageBreak/>
        <w:t>Abbreviations used in this Explanatory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0651B2" w14:paraId="3BF59D6E" w14:textId="77777777" w:rsidTr="00C95604">
        <w:tc>
          <w:tcPr>
            <w:tcW w:w="3828" w:type="dxa"/>
          </w:tcPr>
          <w:p w14:paraId="46B2B207" w14:textId="77777777" w:rsidR="000651B2" w:rsidRDefault="000651B2" w:rsidP="00371C78">
            <w:pPr>
              <w:keepNext/>
              <w:rPr>
                <w:rFonts w:ascii="Times New Roman" w:hAnsi="Times New Roman" w:cs="Times New Roman"/>
                <w:sz w:val="24"/>
                <w:szCs w:val="24"/>
              </w:rPr>
            </w:pPr>
          </w:p>
        </w:tc>
        <w:tc>
          <w:tcPr>
            <w:tcW w:w="5188" w:type="dxa"/>
          </w:tcPr>
          <w:p w14:paraId="50648957" w14:textId="77777777" w:rsidR="000651B2" w:rsidRDefault="000651B2" w:rsidP="00371C78">
            <w:pPr>
              <w:keepNext/>
              <w:rPr>
                <w:rFonts w:ascii="Times New Roman" w:hAnsi="Times New Roman" w:cs="Times New Roman"/>
                <w:sz w:val="24"/>
                <w:szCs w:val="24"/>
              </w:rPr>
            </w:pPr>
          </w:p>
        </w:tc>
      </w:tr>
      <w:tr w:rsidR="00574094" w14:paraId="019A7FBD" w14:textId="77777777" w:rsidTr="00C95604">
        <w:tc>
          <w:tcPr>
            <w:tcW w:w="3828" w:type="dxa"/>
          </w:tcPr>
          <w:p w14:paraId="3849D388" w14:textId="4678DD83" w:rsidR="00574094" w:rsidRDefault="00574094" w:rsidP="00371C78">
            <w:pPr>
              <w:keepNext/>
              <w:rPr>
                <w:rFonts w:ascii="Times New Roman" w:hAnsi="Times New Roman" w:cs="Times New Roman"/>
                <w:sz w:val="24"/>
                <w:szCs w:val="24"/>
              </w:rPr>
            </w:pPr>
            <w:r>
              <w:rPr>
                <w:rFonts w:ascii="Times New Roman" w:hAnsi="Times New Roman" w:cs="Times New Roman"/>
                <w:sz w:val="24"/>
                <w:szCs w:val="24"/>
              </w:rPr>
              <w:t>ARC</w:t>
            </w:r>
          </w:p>
        </w:tc>
        <w:tc>
          <w:tcPr>
            <w:tcW w:w="5188" w:type="dxa"/>
          </w:tcPr>
          <w:p w14:paraId="03E486B5" w14:textId="77777777" w:rsidR="00574094" w:rsidRDefault="00574094" w:rsidP="00371C78">
            <w:pPr>
              <w:keepNext/>
              <w:rPr>
                <w:rFonts w:ascii="Times New Roman" w:hAnsi="Times New Roman" w:cs="Times New Roman"/>
                <w:sz w:val="24"/>
                <w:szCs w:val="24"/>
              </w:rPr>
            </w:pPr>
            <w:r>
              <w:rPr>
                <w:rFonts w:ascii="Times New Roman" w:hAnsi="Times New Roman" w:cs="Times New Roman"/>
                <w:sz w:val="24"/>
                <w:szCs w:val="24"/>
              </w:rPr>
              <w:t>Administrative Review Council</w:t>
            </w:r>
          </w:p>
          <w:p w14:paraId="0344CDDE" w14:textId="0B101AE5" w:rsidR="00574094" w:rsidRDefault="00574094" w:rsidP="00371C78">
            <w:pPr>
              <w:keepNext/>
              <w:rPr>
                <w:rFonts w:ascii="Times New Roman" w:hAnsi="Times New Roman" w:cs="Times New Roman"/>
                <w:sz w:val="24"/>
                <w:szCs w:val="24"/>
              </w:rPr>
            </w:pPr>
          </w:p>
        </w:tc>
      </w:tr>
      <w:tr w:rsidR="000651B2" w14:paraId="36B68805" w14:textId="77777777" w:rsidTr="00C95604">
        <w:tc>
          <w:tcPr>
            <w:tcW w:w="3828" w:type="dxa"/>
          </w:tcPr>
          <w:p w14:paraId="58A56218" w14:textId="53B778CD" w:rsidR="000651B2" w:rsidRDefault="000651B2" w:rsidP="00371C78">
            <w:pPr>
              <w:keepNext/>
              <w:spacing w:after="160" w:line="259" w:lineRule="auto"/>
              <w:rPr>
                <w:rFonts w:ascii="Times New Roman" w:hAnsi="Times New Roman" w:cs="Times New Roman"/>
                <w:sz w:val="24"/>
                <w:szCs w:val="24"/>
              </w:rPr>
            </w:pPr>
            <w:r>
              <w:rPr>
                <w:rFonts w:ascii="Times New Roman" w:hAnsi="Times New Roman" w:cs="Times New Roman"/>
                <w:sz w:val="24"/>
                <w:szCs w:val="24"/>
              </w:rPr>
              <w:t>GHG</w:t>
            </w:r>
          </w:p>
        </w:tc>
        <w:tc>
          <w:tcPr>
            <w:tcW w:w="5188" w:type="dxa"/>
          </w:tcPr>
          <w:p w14:paraId="5BB12A74" w14:textId="520F4EA2" w:rsidR="000651B2" w:rsidRDefault="000651B2" w:rsidP="00371C78">
            <w:pPr>
              <w:keepNext/>
              <w:rPr>
                <w:rFonts w:ascii="Times New Roman" w:hAnsi="Times New Roman" w:cs="Times New Roman"/>
                <w:sz w:val="24"/>
                <w:szCs w:val="24"/>
              </w:rPr>
            </w:pPr>
            <w:r>
              <w:rPr>
                <w:rFonts w:ascii="Times New Roman" w:hAnsi="Times New Roman" w:cs="Times New Roman"/>
                <w:sz w:val="24"/>
                <w:szCs w:val="24"/>
              </w:rPr>
              <w:t>greenhouse gas</w:t>
            </w:r>
          </w:p>
        </w:tc>
      </w:tr>
      <w:tr w:rsidR="000651B2" w14:paraId="2D23B7D6" w14:textId="77777777" w:rsidTr="00C95604">
        <w:tc>
          <w:tcPr>
            <w:tcW w:w="3828" w:type="dxa"/>
          </w:tcPr>
          <w:p w14:paraId="26E56626" w14:textId="08ED1A1B" w:rsidR="000651B2" w:rsidRDefault="000651B2" w:rsidP="00371C78">
            <w:pPr>
              <w:keepNext/>
              <w:rPr>
                <w:rFonts w:ascii="Times New Roman" w:hAnsi="Times New Roman" w:cs="Times New Roman"/>
                <w:sz w:val="24"/>
                <w:szCs w:val="24"/>
              </w:rPr>
            </w:pPr>
            <w:r w:rsidRPr="00E50912">
              <w:rPr>
                <w:rFonts w:ascii="Times New Roman" w:hAnsi="Times New Roman" w:cs="Times New Roman"/>
                <w:sz w:val="24"/>
                <w:szCs w:val="24"/>
              </w:rPr>
              <w:t>GHG Regulations</w:t>
            </w:r>
          </w:p>
        </w:tc>
        <w:tc>
          <w:tcPr>
            <w:tcW w:w="5188" w:type="dxa"/>
          </w:tcPr>
          <w:p w14:paraId="4447EFAE" w14:textId="77777777" w:rsidR="000651B2" w:rsidRDefault="000651B2" w:rsidP="00371C78">
            <w:pPr>
              <w:keepNext/>
              <w:rPr>
                <w:rFonts w:ascii="Times New Roman" w:hAnsi="Times New Roman" w:cs="Times New Roman"/>
                <w:i/>
                <w:sz w:val="24"/>
                <w:szCs w:val="24"/>
              </w:rPr>
            </w:pPr>
            <w:r>
              <w:rPr>
                <w:rFonts w:ascii="Times New Roman" w:hAnsi="Times New Roman" w:cs="Times New Roman"/>
                <w:i/>
                <w:sz w:val="24"/>
                <w:szCs w:val="24"/>
              </w:rPr>
              <w:t>Offshore Petroleum and Greenhouse Gas Storage (Greenhouse Gas Injection and Storage) Regulations 2023</w:t>
            </w:r>
          </w:p>
          <w:p w14:paraId="498C79A6" w14:textId="629D36B0" w:rsidR="00BA0864" w:rsidRDefault="00BA0864" w:rsidP="00371C78">
            <w:pPr>
              <w:keepNext/>
              <w:rPr>
                <w:rFonts w:ascii="Times New Roman" w:hAnsi="Times New Roman" w:cs="Times New Roman"/>
                <w:sz w:val="24"/>
                <w:szCs w:val="24"/>
              </w:rPr>
            </w:pPr>
          </w:p>
        </w:tc>
      </w:tr>
      <w:tr w:rsidR="00927839" w14:paraId="18ACA299" w14:textId="77777777" w:rsidTr="00C95604">
        <w:tc>
          <w:tcPr>
            <w:tcW w:w="3828" w:type="dxa"/>
          </w:tcPr>
          <w:p w14:paraId="0BAC29DB" w14:textId="53C82C1D" w:rsidR="00927839" w:rsidRPr="00E50912" w:rsidRDefault="00927839" w:rsidP="000651B2">
            <w:pPr>
              <w:rPr>
                <w:rFonts w:ascii="Times New Roman" w:hAnsi="Times New Roman" w:cs="Times New Roman"/>
                <w:sz w:val="24"/>
                <w:szCs w:val="24"/>
              </w:rPr>
            </w:pPr>
            <w:r>
              <w:rPr>
                <w:rFonts w:ascii="Times New Roman" w:hAnsi="Times New Roman" w:cs="Times New Roman"/>
                <w:sz w:val="24"/>
                <w:szCs w:val="24"/>
              </w:rPr>
              <w:t>Guide</w:t>
            </w:r>
          </w:p>
        </w:tc>
        <w:tc>
          <w:tcPr>
            <w:tcW w:w="5188" w:type="dxa"/>
          </w:tcPr>
          <w:p w14:paraId="17226B31" w14:textId="77777777" w:rsidR="00927839" w:rsidRDefault="00B35EBC" w:rsidP="000651B2">
            <w:pPr>
              <w:rPr>
                <w:rFonts w:ascii="Times New Roman" w:hAnsi="Times New Roman" w:cs="Times New Roman"/>
                <w:sz w:val="24"/>
                <w:szCs w:val="24"/>
              </w:rPr>
            </w:pPr>
            <w:hyperlink r:id="rId11" w:history="1">
              <w:r w:rsidR="00927839" w:rsidRPr="00420D8A">
                <w:rPr>
                  <w:rStyle w:val="Hyperlink"/>
                  <w:rFonts w:ascii="Times New Roman" w:hAnsi="Times New Roman" w:cs="Times New Roman"/>
                  <w:i/>
                  <w:iCs/>
                  <w:color w:val="2E74B5" w:themeColor="accent1" w:themeShade="BF"/>
                  <w:sz w:val="23"/>
                  <w:szCs w:val="23"/>
                </w:rPr>
                <w:t>A Guide to Framing Commonwealth Offences, Infringement Notices and Enforcement Powers</w:t>
              </w:r>
            </w:hyperlink>
            <w:r w:rsidR="00927839" w:rsidRPr="009651CC">
              <w:rPr>
                <w:i/>
                <w:iCs/>
                <w:sz w:val="23"/>
                <w:szCs w:val="23"/>
              </w:rPr>
              <w:t>,</w:t>
            </w:r>
            <w:r w:rsidR="00927839" w:rsidRPr="009651CC">
              <w:rPr>
                <w:sz w:val="23"/>
                <w:szCs w:val="23"/>
              </w:rPr>
              <w:t xml:space="preserve"> </w:t>
            </w:r>
            <w:r w:rsidR="00927839" w:rsidRPr="00420D8A">
              <w:rPr>
                <w:rFonts w:ascii="Times New Roman" w:hAnsi="Times New Roman" w:cs="Times New Roman"/>
                <w:sz w:val="24"/>
                <w:szCs w:val="24"/>
              </w:rPr>
              <w:t>September 2011</w:t>
            </w:r>
          </w:p>
          <w:p w14:paraId="66CE7007" w14:textId="62BD66ED" w:rsidR="00927839" w:rsidRDefault="00927839" w:rsidP="000651B2">
            <w:pPr>
              <w:rPr>
                <w:rFonts w:ascii="Times New Roman" w:hAnsi="Times New Roman" w:cs="Times New Roman"/>
                <w:i/>
                <w:sz w:val="24"/>
                <w:szCs w:val="24"/>
              </w:rPr>
            </w:pPr>
          </w:p>
        </w:tc>
      </w:tr>
      <w:tr w:rsidR="000651B2" w14:paraId="4DFCC4AC" w14:textId="77777777" w:rsidTr="00C95604">
        <w:tc>
          <w:tcPr>
            <w:tcW w:w="3828" w:type="dxa"/>
          </w:tcPr>
          <w:p w14:paraId="138D0687" w14:textId="0B0F431F" w:rsidR="000651B2" w:rsidRDefault="000651B2" w:rsidP="000651B2">
            <w:pPr>
              <w:rPr>
                <w:rFonts w:ascii="Times New Roman" w:hAnsi="Times New Roman" w:cs="Times New Roman"/>
                <w:sz w:val="24"/>
                <w:szCs w:val="24"/>
              </w:rPr>
            </w:pPr>
            <w:r w:rsidRPr="00E50912">
              <w:rPr>
                <w:rFonts w:ascii="Times New Roman" w:hAnsi="Times New Roman" w:cs="Times New Roman"/>
                <w:sz w:val="24"/>
                <w:szCs w:val="24"/>
              </w:rPr>
              <w:t>2011 GHG Regulations</w:t>
            </w:r>
          </w:p>
        </w:tc>
        <w:tc>
          <w:tcPr>
            <w:tcW w:w="5188" w:type="dxa"/>
          </w:tcPr>
          <w:p w14:paraId="46C1D63E" w14:textId="77777777" w:rsidR="000651B2" w:rsidRDefault="000651B2" w:rsidP="000651B2">
            <w:pPr>
              <w:rPr>
                <w:rFonts w:ascii="Times New Roman" w:hAnsi="Times New Roman" w:cs="Times New Roman"/>
                <w:i/>
                <w:sz w:val="24"/>
                <w:szCs w:val="24"/>
              </w:rPr>
            </w:pPr>
            <w:r>
              <w:rPr>
                <w:rFonts w:ascii="Times New Roman" w:hAnsi="Times New Roman" w:cs="Times New Roman"/>
                <w:i/>
                <w:sz w:val="24"/>
                <w:szCs w:val="24"/>
              </w:rPr>
              <w:t>Offshore Petroleum and Greenhouse Gas Storage (Greenhouse Gas Injection and Storage) Regulations 2011</w:t>
            </w:r>
          </w:p>
          <w:p w14:paraId="2440334D" w14:textId="16C2B5B6" w:rsidR="00BA0864" w:rsidRDefault="00BA0864" w:rsidP="000651B2">
            <w:pPr>
              <w:rPr>
                <w:rFonts w:ascii="Times New Roman" w:hAnsi="Times New Roman" w:cs="Times New Roman"/>
                <w:sz w:val="24"/>
                <w:szCs w:val="24"/>
              </w:rPr>
            </w:pPr>
          </w:p>
        </w:tc>
      </w:tr>
      <w:tr w:rsidR="000651B2" w14:paraId="2E44DA75" w14:textId="77777777" w:rsidTr="00C95604">
        <w:tc>
          <w:tcPr>
            <w:tcW w:w="3828" w:type="dxa"/>
          </w:tcPr>
          <w:p w14:paraId="7511E10F" w14:textId="7412962A" w:rsidR="000651B2" w:rsidRDefault="000651B2" w:rsidP="000651B2">
            <w:pPr>
              <w:rPr>
                <w:rFonts w:ascii="Times New Roman" w:hAnsi="Times New Roman" w:cs="Times New Roman"/>
                <w:sz w:val="24"/>
                <w:szCs w:val="24"/>
              </w:rPr>
            </w:pPr>
            <w:r w:rsidRPr="00E50912">
              <w:rPr>
                <w:rFonts w:ascii="Times New Roman" w:hAnsi="Times New Roman" w:cs="Times New Roman"/>
                <w:sz w:val="24"/>
                <w:szCs w:val="24"/>
              </w:rPr>
              <w:t>NOPSEMA</w:t>
            </w:r>
          </w:p>
        </w:tc>
        <w:tc>
          <w:tcPr>
            <w:tcW w:w="5188" w:type="dxa"/>
          </w:tcPr>
          <w:p w14:paraId="53699AC7" w14:textId="77777777" w:rsidR="000651B2" w:rsidRDefault="000651B2" w:rsidP="000651B2">
            <w:pPr>
              <w:rPr>
                <w:rFonts w:ascii="Times New Roman" w:hAnsi="Times New Roman" w:cs="Times New Roman"/>
                <w:sz w:val="24"/>
                <w:szCs w:val="24"/>
              </w:rPr>
            </w:pPr>
            <w:r>
              <w:rPr>
                <w:rFonts w:ascii="Times New Roman" w:hAnsi="Times New Roman" w:cs="Times New Roman"/>
                <w:sz w:val="24"/>
                <w:szCs w:val="24"/>
              </w:rPr>
              <w:t>National Offshore Petroleum Safety and Environmental Management Authority</w:t>
            </w:r>
          </w:p>
          <w:p w14:paraId="49F3EFD7" w14:textId="258AA85C" w:rsidR="00BA0864" w:rsidRDefault="00BA0864" w:rsidP="000651B2">
            <w:pPr>
              <w:rPr>
                <w:rFonts w:ascii="Times New Roman" w:hAnsi="Times New Roman" w:cs="Times New Roman"/>
                <w:sz w:val="24"/>
                <w:szCs w:val="24"/>
              </w:rPr>
            </w:pPr>
          </w:p>
        </w:tc>
      </w:tr>
      <w:tr w:rsidR="000651B2" w14:paraId="4E1CE7F0" w14:textId="77777777" w:rsidTr="00C95604">
        <w:tc>
          <w:tcPr>
            <w:tcW w:w="3828" w:type="dxa"/>
          </w:tcPr>
          <w:p w14:paraId="227D7BB2" w14:textId="1C84AD3F" w:rsidR="000651B2" w:rsidRDefault="000651B2" w:rsidP="000651B2">
            <w:pPr>
              <w:rPr>
                <w:rFonts w:ascii="Times New Roman" w:hAnsi="Times New Roman" w:cs="Times New Roman"/>
                <w:sz w:val="24"/>
                <w:szCs w:val="24"/>
              </w:rPr>
            </w:pPr>
            <w:r w:rsidRPr="00E50912">
              <w:rPr>
                <w:rFonts w:ascii="Times New Roman" w:hAnsi="Times New Roman" w:cs="Times New Roman"/>
                <w:sz w:val="24"/>
                <w:szCs w:val="24"/>
              </w:rPr>
              <w:t>NOPTA</w:t>
            </w:r>
          </w:p>
        </w:tc>
        <w:tc>
          <w:tcPr>
            <w:tcW w:w="5188" w:type="dxa"/>
          </w:tcPr>
          <w:p w14:paraId="32D7740D" w14:textId="263D4E9D" w:rsidR="000651B2" w:rsidRDefault="00C95604" w:rsidP="000651B2">
            <w:pPr>
              <w:rPr>
                <w:rFonts w:ascii="Times New Roman" w:hAnsi="Times New Roman" w:cs="Times New Roman"/>
                <w:sz w:val="24"/>
                <w:szCs w:val="24"/>
              </w:rPr>
            </w:pPr>
            <w:r>
              <w:rPr>
                <w:rFonts w:ascii="Times New Roman" w:hAnsi="Times New Roman" w:cs="Times New Roman"/>
                <w:sz w:val="24"/>
                <w:szCs w:val="24"/>
              </w:rPr>
              <w:t>National Offshore Petroleum Titles Administrat</w:t>
            </w:r>
            <w:r w:rsidR="00BC1751">
              <w:rPr>
                <w:rFonts w:ascii="Times New Roman" w:hAnsi="Times New Roman" w:cs="Times New Roman"/>
                <w:sz w:val="24"/>
                <w:szCs w:val="24"/>
              </w:rPr>
              <w:t>or</w:t>
            </w:r>
          </w:p>
          <w:p w14:paraId="42FF1030" w14:textId="72C96292" w:rsidR="00C95604" w:rsidRDefault="00C95604" w:rsidP="000651B2">
            <w:pPr>
              <w:rPr>
                <w:rFonts w:ascii="Times New Roman" w:hAnsi="Times New Roman" w:cs="Times New Roman"/>
                <w:sz w:val="24"/>
                <w:szCs w:val="24"/>
              </w:rPr>
            </w:pPr>
          </w:p>
        </w:tc>
      </w:tr>
      <w:tr w:rsidR="000651B2" w14:paraId="24F2EE42" w14:textId="77777777" w:rsidTr="00C95604">
        <w:tc>
          <w:tcPr>
            <w:tcW w:w="3828" w:type="dxa"/>
          </w:tcPr>
          <w:p w14:paraId="45FACE9C" w14:textId="13B82445" w:rsidR="000651B2" w:rsidRDefault="000651B2" w:rsidP="000651B2">
            <w:pPr>
              <w:rPr>
                <w:rFonts w:ascii="Times New Roman" w:hAnsi="Times New Roman" w:cs="Times New Roman"/>
                <w:sz w:val="24"/>
                <w:szCs w:val="24"/>
              </w:rPr>
            </w:pPr>
            <w:r w:rsidRPr="00E50912">
              <w:rPr>
                <w:rFonts w:ascii="Times New Roman" w:hAnsi="Times New Roman" w:cs="Times New Roman"/>
                <w:sz w:val="24"/>
                <w:szCs w:val="24"/>
              </w:rPr>
              <w:t>OPGGS Act</w:t>
            </w:r>
          </w:p>
        </w:tc>
        <w:tc>
          <w:tcPr>
            <w:tcW w:w="5188" w:type="dxa"/>
          </w:tcPr>
          <w:p w14:paraId="28B67B89" w14:textId="77777777" w:rsidR="000651B2" w:rsidRDefault="000651B2" w:rsidP="000651B2">
            <w:pPr>
              <w:rPr>
                <w:rFonts w:ascii="Times New Roman" w:hAnsi="Times New Roman" w:cs="Times New Roman"/>
                <w:i/>
                <w:sz w:val="24"/>
                <w:szCs w:val="24"/>
              </w:rPr>
            </w:pPr>
            <w:r>
              <w:rPr>
                <w:rFonts w:ascii="Times New Roman" w:hAnsi="Times New Roman" w:cs="Times New Roman"/>
                <w:i/>
                <w:sz w:val="24"/>
                <w:szCs w:val="24"/>
              </w:rPr>
              <w:t>Offshore Petroleum and Greenhouse Gas Storage Act 2006</w:t>
            </w:r>
          </w:p>
          <w:p w14:paraId="41D50A24" w14:textId="15639777" w:rsidR="00BA0864" w:rsidRDefault="00BA0864" w:rsidP="000651B2">
            <w:pPr>
              <w:rPr>
                <w:rFonts w:ascii="Times New Roman" w:hAnsi="Times New Roman" w:cs="Times New Roman"/>
                <w:sz w:val="24"/>
                <w:szCs w:val="24"/>
              </w:rPr>
            </w:pPr>
          </w:p>
        </w:tc>
      </w:tr>
      <w:tr w:rsidR="003037F6" w14:paraId="30D0BA77" w14:textId="77777777" w:rsidTr="00C95604">
        <w:tc>
          <w:tcPr>
            <w:tcW w:w="3828" w:type="dxa"/>
          </w:tcPr>
          <w:p w14:paraId="4AC8650F" w14:textId="29BBC72C" w:rsidR="003037F6" w:rsidRDefault="003037F6" w:rsidP="000651B2">
            <w:pPr>
              <w:rPr>
                <w:rFonts w:ascii="Times New Roman" w:hAnsi="Times New Roman" w:cs="Times New Roman"/>
                <w:sz w:val="24"/>
                <w:szCs w:val="24"/>
              </w:rPr>
            </w:pPr>
            <w:r w:rsidRPr="00F617D7">
              <w:rPr>
                <w:rFonts w:ascii="Times New Roman" w:hAnsi="Times New Roman" w:cs="Times New Roman"/>
                <w:sz w:val="24"/>
                <w:szCs w:val="24"/>
              </w:rPr>
              <w:t>Environment Regulations</w:t>
            </w:r>
          </w:p>
        </w:tc>
        <w:tc>
          <w:tcPr>
            <w:tcW w:w="5188" w:type="dxa"/>
          </w:tcPr>
          <w:p w14:paraId="5D280037" w14:textId="77777777" w:rsidR="003037F6" w:rsidRDefault="003037F6" w:rsidP="000651B2">
            <w:pPr>
              <w:rPr>
                <w:rFonts w:ascii="Times New Roman" w:hAnsi="Times New Roman" w:cs="Times New Roman"/>
                <w:i/>
                <w:sz w:val="24"/>
                <w:szCs w:val="24"/>
              </w:rPr>
            </w:pPr>
            <w:r>
              <w:rPr>
                <w:rFonts w:ascii="Times New Roman" w:hAnsi="Times New Roman" w:cs="Times New Roman"/>
                <w:i/>
                <w:sz w:val="24"/>
                <w:szCs w:val="24"/>
              </w:rPr>
              <w:t>Offshore Petroleum and Greenhouse Gas Storage (Environment) Regulations 2023</w:t>
            </w:r>
          </w:p>
          <w:p w14:paraId="04D9C113" w14:textId="7BADFF4C" w:rsidR="00BA0864" w:rsidRPr="003037F6" w:rsidRDefault="00BA0864" w:rsidP="000651B2">
            <w:pPr>
              <w:rPr>
                <w:rFonts w:ascii="Times New Roman" w:hAnsi="Times New Roman" w:cs="Times New Roman"/>
                <w:i/>
                <w:sz w:val="24"/>
                <w:szCs w:val="24"/>
              </w:rPr>
            </w:pPr>
          </w:p>
        </w:tc>
      </w:tr>
      <w:tr w:rsidR="00BC1751" w14:paraId="234DA967" w14:textId="77777777" w:rsidTr="00C95604">
        <w:tc>
          <w:tcPr>
            <w:tcW w:w="3828" w:type="dxa"/>
          </w:tcPr>
          <w:p w14:paraId="1BC0BFE8" w14:textId="1CF7C46F" w:rsidR="00BC1751" w:rsidRDefault="00427D20" w:rsidP="000651B2">
            <w:pPr>
              <w:rPr>
                <w:rFonts w:ascii="Times New Roman" w:hAnsi="Times New Roman" w:cs="Times New Roman"/>
                <w:sz w:val="24"/>
                <w:szCs w:val="24"/>
              </w:rPr>
            </w:pPr>
            <w:r>
              <w:rPr>
                <w:rFonts w:ascii="Times New Roman" w:hAnsi="Times New Roman" w:cs="Times New Roman"/>
                <w:sz w:val="24"/>
                <w:szCs w:val="24"/>
              </w:rPr>
              <w:t>PU</w:t>
            </w:r>
          </w:p>
        </w:tc>
        <w:tc>
          <w:tcPr>
            <w:tcW w:w="5188" w:type="dxa"/>
          </w:tcPr>
          <w:p w14:paraId="0D916571" w14:textId="77777777" w:rsidR="00BC1751" w:rsidRDefault="00BC1751" w:rsidP="000651B2">
            <w:pPr>
              <w:rPr>
                <w:rFonts w:ascii="Times New Roman" w:hAnsi="Times New Roman" w:cs="Times New Roman"/>
                <w:sz w:val="24"/>
                <w:szCs w:val="24"/>
              </w:rPr>
            </w:pPr>
            <w:r>
              <w:rPr>
                <w:rFonts w:ascii="Times New Roman" w:hAnsi="Times New Roman" w:cs="Times New Roman"/>
                <w:sz w:val="24"/>
                <w:szCs w:val="24"/>
              </w:rPr>
              <w:t>penalty unit</w:t>
            </w:r>
          </w:p>
          <w:p w14:paraId="4C8EF4AF" w14:textId="5CADAB4C" w:rsidR="00BC1751" w:rsidRDefault="00BC1751" w:rsidP="000651B2">
            <w:pPr>
              <w:rPr>
                <w:rFonts w:ascii="Times New Roman" w:hAnsi="Times New Roman" w:cs="Times New Roman"/>
                <w:sz w:val="24"/>
                <w:szCs w:val="24"/>
              </w:rPr>
            </w:pPr>
          </w:p>
        </w:tc>
      </w:tr>
      <w:tr w:rsidR="006C4B26" w14:paraId="434AAD5E" w14:textId="77777777" w:rsidTr="00C95604">
        <w:tc>
          <w:tcPr>
            <w:tcW w:w="3828" w:type="dxa"/>
          </w:tcPr>
          <w:p w14:paraId="3C95AC9D" w14:textId="0A521B47" w:rsidR="006C4B26" w:rsidRDefault="006C4B26" w:rsidP="000651B2">
            <w:pPr>
              <w:rPr>
                <w:rFonts w:ascii="Times New Roman" w:hAnsi="Times New Roman" w:cs="Times New Roman"/>
                <w:sz w:val="24"/>
                <w:szCs w:val="24"/>
              </w:rPr>
            </w:pPr>
            <w:r>
              <w:rPr>
                <w:rFonts w:ascii="Times New Roman" w:hAnsi="Times New Roman" w:cs="Times New Roman"/>
                <w:sz w:val="24"/>
                <w:szCs w:val="24"/>
              </w:rPr>
              <w:t>Regulatory Powers Act</w:t>
            </w:r>
          </w:p>
        </w:tc>
        <w:tc>
          <w:tcPr>
            <w:tcW w:w="5188" w:type="dxa"/>
          </w:tcPr>
          <w:p w14:paraId="370CB15F" w14:textId="77777777" w:rsidR="006C4B26" w:rsidRDefault="006C4B26" w:rsidP="000651B2">
            <w:pPr>
              <w:rPr>
                <w:rFonts w:ascii="Times New Roman" w:hAnsi="Times New Roman" w:cs="Times New Roman"/>
                <w:i/>
                <w:iCs/>
                <w:sz w:val="24"/>
                <w:szCs w:val="24"/>
              </w:rPr>
            </w:pPr>
            <w:r w:rsidRPr="006C4B26">
              <w:rPr>
                <w:rFonts w:ascii="Times New Roman" w:hAnsi="Times New Roman" w:cs="Times New Roman"/>
                <w:i/>
                <w:iCs/>
                <w:sz w:val="24"/>
                <w:szCs w:val="24"/>
              </w:rPr>
              <w:t>Regulatory Powers (Standard Provisions) Act 2014</w:t>
            </w:r>
          </w:p>
          <w:p w14:paraId="550BDDD9" w14:textId="7B779E9C" w:rsidR="006C4B26" w:rsidRDefault="006C4B26" w:rsidP="000651B2">
            <w:pPr>
              <w:rPr>
                <w:rFonts w:ascii="Times New Roman" w:hAnsi="Times New Roman" w:cs="Times New Roman"/>
                <w:sz w:val="24"/>
                <w:szCs w:val="24"/>
              </w:rPr>
            </w:pPr>
          </w:p>
        </w:tc>
      </w:tr>
      <w:tr w:rsidR="000651B2" w14:paraId="7F63FC47" w14:textId="77777777" w:rsidTr="00C95604">
        <w:tc>
          <w:tcPr>
            <w:tcW w:w="3828" w:type="dxa"/>
          </w:tcPr>
          <w:p w14:paraId="267129C3" w14:textId="77777777" w:rsidR="000651B2" w:rsidRDefault="000651B2" w:rsidP="000651B2">
            <w:pPr>
              <w:rPr>
                <w:rFonts w:ascii="Times New Roman" w:hAnsi="Times New Roman" w:cs="Times New Roman"/>
                <w:sz w:val="24"/>
                <w:szCs w:val="24"/>
              </w:rPr>
            </w:pPr>
            <w:r>
              <w:rPr>
                <w:rFonts w:ascii="Times New Roman" w:hAnsi="Times New Roman" w:cs="Times New Roman"/>
                <w:sz w:val="24"/>
                <w:szCs w:val="24"/>
              </w:rPr>
              <w:t>SROSAI</w:t>
            </w:r>
          </w:p>
          <w:p w14:paraId="16AB1207" w14:textId="6F534744" w:rsidR="002D4EED" w:rsidRDefault="002D4EED" w:rsidP="000651B2">
            <w:pPr>
              <w:rPr>
                <w:rFonts w:ascii="Times New Roman" w:hAnsi="Times New Roman" w:cs="Times New Roman"/>
                <w:sz w:val="24"/>
                <w:szCs w:val="24"/>
              </w:rPr>
            </w:pPr>
          </w:p>
        </w:tc>
        <w:tc>
          <w:tcPr>
            <w:tcW w:w="5188" w:type="dxa"/>
          </w:tcPr>
          <w:p w14:paraId="7A80FA9F" w14:textId="103702B8" w:rsidR="000651B2" w:rsidRDefault="000651B2" w:rsidP="000651B2">
            <w:pPr>
              <w:rPr>
                <w:rFonts w:ascii="Times New Roman" w:hAnsi="Times New Roman" w:cs="Times New Roman"/>
                <w:sz w:val="24"/>
                <w:szCs w:val="24"/>
              </w:rPr>
            </w:pPr>
            <w:r>
              <w:rPr>
                <w:rFonts w:ascii="Times New Roman" w:hAnsi="Times New Roman" w:cs="Times New Roman"/>
                <w:sz w:val="24"/>
                <w:szCs w:val="24"/>
              </w:rPr>
              <w:t>significant risk of a significant adverse impact</w:t>
            </w:r>
          </w:p>
          <w:p w14:paraId="5BD31730" w14:textId="34C9BD92" w:rsidR="002D4EED" w:rsidRDefault="002D4EED" w:rsidP="000651B2">
            <w:pPr>
              <w:rPr>
                <w:rFonts w:ascii="Times New Roman" w:hAnsi="Times New Roman" w:cs="Times New Roman"/>
                <w:sz w:val="24"/>
                <w:szCs w:val="24"/>
              </w:rPr>
            </w:pPr>
          </w:p>
          <w:p w14:paraId="3BDF44ED" w14:textId="77777777" w:rsidR="000651B2" w:rsidRDefault="000651B2" w:rsidP="000651B2">
            <w:pPr>
              <w:rPr>
                <w:rFonts w:ascii="Times New Roman" w:hAnsi="Times New Roman" w:cs="Times New Roman"/>
                <w:sz w:val="24"/>
                <w:szCs w:val="24"/>
              </w:rPr>
            </w:pPr>
          </w:p>
        </w:tc>
      </w:tr>
      <w:tr w:rsidR="000651B2" w14:paraId="50D16A8F" w14:textId="77777777" w:rsidTr="00C95604">
        <w:tc>
          <w:tcPr>
            <w:tcW w:w="3828" w:type="dxa"/>
          </w:tcPr>
          <w:p w14:paraId="39D23B3C" w14:textId="7A0C2E88" w:rsidR="000651B2" w:rsidRDefault="000651B2" w:rsidP="000651B2">
            <w:pPr>
              <w:rPr>
                <w:rFonts w:ascii="Times New Roman" w:hAnsi="Times New Roman" w:cs="Times New Roman"/>
                <w:sz w:val="24"/>
                <w:szCs w:val="24"/>
              </w:rPr>
            </w:pPr>
          </w:p>
        </w:tc>
        <w:tc>
          <w:tcPr>
            <w:tcW w:w="5188" w:type="dxa"/>
          </w:tcPr>
          <w:p w14:paraId="513747FC" w14:textId="77777777" w:rsidR="000651B2" w:rsidRDefault="000651B2" w:rsidP="000651B2">
            <w:pPr>
              <w:rPr>
                <w:rFonts w:ascii="Times New Roman" w:hAnsi="Times New Roman" w:cs="Times New Roman"/>
                <w:sz w:val="24"/>
                <w:szCs w:val="24"/>
              </w:rPr>
            </w:pPr>
          </w:p>
        </w:tc>
      </w:tr>
    </w:tbl>
    <w:p w14:paraId="50D23D5E" w14:textId="77777777" w:rsidR="000651B2" w:rsidRDefault="000651B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1AE671E" w14:textId="1F8BCA07" w:rsidR="00B05E94" w:rsidRPr="00CB33DB" w:rsidRDefault="00B05E94" w:rsidP="00CB33DB">
      <w:pPr>
        <w:spacing w:before="240" w:after="240" w:line="276" w:lineRule="auto"/>
        <w:jc w:val="right"/>
        <w:rPr>
          <w:rFonts w:ascii="Times New Roman" w:hAnsi="Times New Roman" w:cs="Times New Roman"/>
          <w:b/>
          <w:sz w:val="24"/>
          <w:szCs w:val="24"/>
          <w:u w:val="single"/>
        </w:rPr>
      </w:pPr>
      <w:r w:rsidRPr="00CB33DB">
        <w:rPr>
          <w:rFonts w:ascii="Times New Roman" w:hAnsi="Times New Roman" w:cs="Times New Roman"/>
          <w:b/>
          <w:sz w:val="24"/>
          <w:szCs w:val="24"/>
          <w:u w:val="single"/>
        </w:rPr>
        <w:lastRenderedPageBreak/>
        <w:t>A</w:t>
      </w:r>
      <w:r w:rsidR="005145EC">
        <w:rPr>
          <w:rFonts w:ascii="Times New Roman" w:hAnsi="Times New Roman" w:cs="Times New Roman"/>
          <w:b/>
          <w:sz w:val="24"/>
          <w:szCs w:val="24"/>
          <w:u w:val="single"/>
        </w:rPr>
        <w:t>ttachment</w:t>
      </w:r>
      <w:r w:rsidRPr="00CB33DB">
        <w:rPr>
          <w:rFonts w:ascii="Times New Roman" w:hAnsi="Times New Roman" w:cs="Times New Roman"/>
          <w:b/>
          <w:sz w:val="24"/>
          <w:szCs w:val="24"/>
          <w:u w:val="single"/>
        </w:rPr>
        <w:t xml:space="preserve"> A</w:t>
      </w:r>
    </w:p>
    <w:p w14:paraId="5AB6BB45" w14:textId="52645528" w:rsidR="00B05E94" w:rsidRPr="00F82843" w:rsidRDefault="00B05E94" w:rsidP="00CB33DB">
      <w:pPr>
        <w:spacing w:before="240" w:after="240" w:line="276" w:lineRule="auto"/>
        <w:rPr>
          <w:rFonts w:ascii="Times New Roman" w:hAnsi="Times New Roman" w:cs="Times New Roman"/>
          <w:b/>
          <w:sz w:val="24"/>
          <w:szCs w:val="24"/>
          <w:u w:val="single"/>
        </w:rPr>
      </w:pPr>
      <w:r w:rsidRPr="00F82843">
        <w:rPr>
          <w:rFonts w:ascii="Times New Roman" w:hAnsi="Times New Roman" w:cs="Times New Roman"/>
          <w:b/>
          <w:sz w:val="24"/>
          <w:szCs w:val="24"/>
          <w:u w:val="single"/>
        </w:rPr>
        <w:t xml:space="preserve">Details of the </w:t>
      </w:r>
      <w:r w:rsidRPr="00F82843">
        <w:rPr>
          <w:rFonts w:ascii="Times New Roman" w:hAnsi="Times New Roman" w:cs="Times New Roman"/>
          <w:b/>
          <w:i/>
          <w:sz w:val="24"/>
          <w:szCs w:val="24"/>
          <w:u w:val="single"/>
        </w:rPr>
        <w:t>Offshore Petroleum and Greenhouse Gas Storage (</w:t>
      </w:r>
      <w:r w:rsidR="001A7341" w:rsidRPr="00F82843">
        <w:rPr>
          <w:rFonts w:ascii="Times New Roman" w:hAnsi="Times New Roman" w:cs="Times New Roman"/>
          <w:b/>
          <w:i/>
          <w:sz w:val="24"/>
          <w:szCs w:val="24"/>
          <w:u w:val="single"/>
        </w:rPr>
        <w:t>Greenhouse Gas Injection and Storage</w:t>
      </w:r>
      <w:r w:rsidRPr="00F82843">
        <w:rPr>
          <w:rFonts w:ascii="Times New Roman" w:hAnsi="Times New Roman" w:cs="Times New Roman"/>
          <w:b/>
          <w:i/>
          <w:sz w:val="24"/>
          <w:szCs w:val="24"/>
          <w:u w:val="single"/>
        </w:rPr>
        <w:t>) Regulations</w:t>
      </w:r>
      <w:r w:rsidR="00CB33DB" w:rsidRPr="00F82843">
        <w:rPr>
          <w:rFonts w:ascii="Times New Roman" w:hAnsi="Times New Roman" w:cs="Times New Roman"/>
          <w:b/>
          <w:i/>
          <w:sz w:val="24"/>
          <w:szCs w:val="24"/>
          <w:u w:val="single"/>
        </w:rPr>
        <w:t xml:space="preserve"> 2023</w:t>
      </w:r>
      <w:r w:rsidRPr="00F82843">
        <w:rPr>
          <w:rFonts w:ascii="Times New Roman" w:hAnsi="Times New Roman" w:cs="Times New Roman"/>
          <w:b/>
          <w:sz w:val="24"/>
          <w:szCs w:val="24"/>
          <w:u w:val="single"/>
        </w:rPr>
        <w:t xml:space="preserve"> </w:t>
      </w:r>
    </w:p>
    <w:p w14:paraId="409F0685" w14:textId="77777777" w:rsidR="00CB33DB" w:rsidRPr="008C2538" w:rsidRDefault="00CB33DB" w:rsidP="00CA41D7">
      <w:pPr>
        <w:pStyle w:val="ActHead2"/>
      </w:pPr>
      <w:r w:rsidRPr="008C2538">
        <w:t>Part 1—Preliminary</w:t>
      </w:r>
    </w:p>
    <w:p w14:paraId="26348CF7" w14:textId="77777777" w:rsidR="00CB33DB" w:rsidRPr="006745C3" w:rsidRDefault="00CB33DB" w:rsidP="00502CAB">
      <w:pPr>
        <w:pStyle w:val="ActHead5"/>
      </w:pPr>
      <w:r>
        <w:t>Section</w:t>
      </w:r>
      <w:r w:rsidRPr="006745C3">
        <w:t xml:space="preserve"> 1</w:t>
      </w:r>
      <w:r>
        <w:t xml:space="preserve"> – </w:t>
      </w:r>
      <w:r w:rsidRPr="006745C3">
        <w:t>Name</w:t>
      </w:r>
    </w:p>
    <w:p w14:paraId="20C24F62" w14:textId="77C86AB1" w:rsidR="00A8149B" w:rsidRPr="0071367A" w:rsidRDefault="00D84483" w:rsidP="00CB33DB">
      <w:pPr>
        <w:spacing w:before="240" w:after="200" w:line="276" w:lineRule="auto"/>
        <w:rPr>
          <w:rFonts w:ascii="Times New Roman" w:hAnsi="Times New Roman" w:cs="Times New Roman"/>
          <w:sz w:val="24"/>
          <w:szCs w:val="24"/>
        </w:rPr>
      </w:pPr>
      <w:r w:rsidRPr="0071367A">
        <w:rPr>
          <w:rFonts w:ascii="Times New Roman" w:hAnsi="Times New Roman" w:cs="Times New Roman"/>
          <w:sz w:val="24"/>
          <w:szCs w:val="24"/>
        </w:rPr>
        <w:t>This section provides that the name of th</w:t>
      </w:r>
      <w:r w:rsidR="00CB33DB" w:rsidRPr="0071367A">
        <w:rPr>
          <w:rFonts w:ascii="Times New Roman" w:hAnsi="Times New Roman" w:cs="Times New Roman"/>
          <w:sz w:val="24"/>
          <w:szCs w:val="24"/>
        </w:rPr>
        <w:t>is</w:t>
      </w:r>
      <w:r w:rsidRPr="0071367A">
        <w:rPr>
          <w:rFonts w:ascii="Times New Roman" w:hAnsi="Times New Roman" w:cs="Times New Roman"/>
          <w:sz w:val="24"/>
          <w:szCs w:val="24"/>
        </w:rPr>
        <w:t xml:space="preserve"> instrument is the </w:t>
      </w:r>
      <w:r w:rsidRPr="0071367A">
        <w:rPr>
          <w:rFonts w:ascii="Times New Roman" w:hAnsi="Times New Roman" w:cs="Times New Roman"/>
          <w:i/>
          <w:sz w:val="24"/>
          <w:szCs w:val="24"/>
        </w:rPr>
        <w:t>Offshore Petroleum and Greenhouse Gas Storage (</w:t>
      </w:r>
      <w:r w:rsidR="001A7341">
        <w:rPr>
          <w:rFonts w:ascii="Times New Roman" w:hAnsi="Times New Roman" w:cs="Times New Roman"/>
          <w:i/>
          <w:sz w:val="24"/>
          <w:szCs w:val="24"/>
        </w:rPr>
        <w:t>Greenhouse Gas Injection and Storage</w:t>
      </w:r>
      <w:r w:rsidRPr="0071367A">
        <w:rPr>
          <w:rFonts w:ascii="Times New Roman" w:hAnsi="Times New Roman" w:cs="Times New Roman"/>
          <w:i/>
          <w:sz w:val="24"/>
          <w:szCs w:val="24"/>
        </w:rPr>
        <w:t>) Regulations 202</w:t>
      </w:r>
      <w:r w:rsidR="00CB33DB" w:rsidRPr="0071367A">
        <w:rPr>
          <w:rFonts w:ascii="Times New Roman" w:hAnsi="Times New Roman" w:cs="Times New Roman"/>
          <w:i/>
          <w:sz w:val="24"/>
          <w:szCs w:val="24"/>
        </w:rPr>
        <w:t>3</w:t>
      </w:r>
      <w:r w:rsidR="00435462">
        <w:rPr>
          <w:rFonts w:ascii="Times New Roman" w:hAnsi="Times New Roman" w:cs="Times New Roman"/>
          <w:iCs/>
          <w:sz w:val="24"/>
          <w:szCs w:val="24"/>
        </w:rPr>
        <w:t>.</w:t>
      </w:r>
      <w:r w:rsidRPr="0071367A">
        <w:rPr>
          <w:rFonts w:ascii="Times New Roman" w:hAnsi="Times New Roman" w:cs="Times New Roman"/>
          <w:sz w:val="24"/>
          <w:szCs w:val="24"/>
        </w:rPr>
        <w:t xml:space="preserve"> </w:t>
      </w:r>
    </w:p>
    <w:p w14:paraId="6854AE21" w14:textId="77777777" w:rsidR="00CB33DB" w:rsidRPr="006745C3" w:rsidRDefault="00CB33DB" w:rsidP="00502CAB">
      <w:pPr>
        <w:pStyle w:val="ActHead5"/>
      </w:pPr>
      <w:r>
        <w:t>Section</w:t>
      </w:r>
      <w:r w:rsidRPr="006745C3">
        <w:t xml:space="preserve"> </w:t>
      </w:r>
      <w:r>
        <w:t>2</w:t>
      </w:r>
      <w:r w:rsidRPr="006745C3">
        <w:t xml:space="preserve"> </w:t>
      </w:r>
      <w:r>
        <w:t>–</w:t>
      </w:r>
      <w:r w:rsidRPr="006745C3">
        <w:t xml:space="preserve"> Commencement</w:t>
      </w:r>
    </w:p>
    <w:p w14:paraId="450261AA" w14:textId="706CF405" w:rsidR="00CB33DB" w:rsidRPr="0071367A" w:rsidRDefault="00CB33DB" w:rsidP="00CB33DB">
      <w:pPr>
        <w:spacing w:before="240" w:after="200" w:line="276" w:lineRule="auto"/>
        <w:rPr>
          <w:rFonts w:ascii="Times New Roman" w:hAnsi="Times New Roman" w:cs="Times New Roman"/>
          <w:sz w:val="24"/>
          <w:szCs w:val="24"/>
        </w:rPr>
      </w:pPr>
      <w:r w:rsidRPr="0071367A">
        <w:rPr>
          <w:rFonts w:ascii="Times New Roman" w:hAnsi="Times New Roman" w:cs="Times New Roman"/>
          <w:sz w:val="24"/>
          <w:szCs w:val="24"/>
        </w:rPr>
        <w:t xml:space="preserve">This section provides that the </w:t>
      </w:r>
      <w:r w:rsidR="001A7341">
        <w:rPr>
          <w:rFonts w:ascii="Times New Roman" w:hAnsi="Times New Roman" w:cs="Times New Roman"/>
          <w:sz w:val="24"/>
          <w:szCs w:val="24"/>
        </w:rPr>
        <w:t>G</w:t>
      </w:r>
      <w:r w:rsidR="002604E1">
        <w:rPr>
          <w:rFonts w:ascii="Times New Roman" w:hAnsi="Times New Roman" w:cs="Times New Roman"/>
          <w:sz w:val="24"/>
          <w:szCs w:val="24"/>
        </w:rPr>
        <w:t>HG</w:t>
      </w:r>
      <w:r w:rsidRPr="0071367A">
        <w:rPr>
          <w:rFonts w:ascii="Times New Roman" w:hAnsi="Times New Roman" w:cs="Times New Roman"/>
          <w:sz w:val="24"/>
          <w:szCs w:val="24"/>
        </w:rPr>
        <w:t xml:space="preserve"> Regulations commence </w:t>
      </w:r>
      <w:r w:rsidR="00C556CC">
        <w:rPr>
          <w:rFonts w:ascii="Times New Roman" w:hAnsi="Times New Roman" w:cs="Times New Roman"/>
          <w:sz w:val="24"/>
          <w:szCs w:val="24"/>
        </w:rPr>
        <w:t>three</w:t>
      </w:r>
      <w:r w:rsidR="00C556CC" w:rsidRPr="0071367A">
        <w:rPr>
          <w:rFonts w:ascii="Times New Roman" w:hAnsi="Times New Roman" w:cs="Times New Roman"/>
          <w:sz w:val="24"/>
          <w:szCs w:val="24"/>
        </w:rPr>
        <w:t xml:space="preserve"> </w:t>
      </w:r>
      <w:r w:rsidRPr="0071367A">
        <w:rPr>
          <w:rFonts w:ascii="Times New Roman" w:hAnsi="Times New Roman" w:cs="Times New Roman"/>
          <w:sz w:val="24"/>
          <w:szCs w:val="24"/>
        </w:rPr>
        <w:t xml:space="preserve">months after the instrument is registered on the Federal Register of Legislation. The delayed commencement </w:t>
      </w:r>
      <w:r w:rsidR="003E76FA">
        <w:rPr>
          <w:rFonts w:ascii="Times New Roman" w:hAnsi="Times New Roman" w:cs="Times New Roman"/>
          <w:sz w:val="24"/>
          <w:szCs w:val="24"/>
        </w:rPr>
        <w:t>allows</w:t>
      </w:r>
      <w:r w:rsidR="003E76FA" w:rsidRPr="0071367A">
        <w:rPr>
          <w:rFonts w:ascii="Times New Roman" w:hAnsi="Times New Roman" w:cs="Times New Roman"/>
          <w:sz w:val="24"/>
          <w:szCs w:val="24"/>
        </w:rPr>
        <w:t xml:space="preserve"> </w:t>
      </w:r>
      <w:r w:rsidR="00D558A2" w:rsidRPr="00A7784F">
        <w:rPr>
          <w:rFonts w:ascii="Times New Roman" w:hAnsi="Times New Roman" w:cs="Times New Roman"/>
          <w:sz w:val="24"/>
          <w:szCs w:val="24"/>
        </w:rPr>
        <w:t xml:space="preserve">time for NOPTA to update processes and guidance material in line with the </w:t>
      </w:r>
      <w:r w:rsidR="00D558A2" w:rsidRPr="00D558A2">
        <w:rPr>
          <w:rFonts w:ascii="Times New Roman" w:hAnsi="Times New Roman" w:cs="Times New Roman"/>
          <w:sz w:val="24"/>
          <w:szCs w:val="24"/>
        </w:rPr>
        <w:t>GHG</w:t>
      </w:r>
      <w:r w:rsidR="00D558A2" w:rsidRPr="00A7784F">
        <w:rPr>
          <w:rFonts w:ascii="Times New Roman" w:hAnsi="Times New Roman" w:cs="Times New Roman"/>
          <w:sz w:val="24"/>
          <w:szCs w:val="24"/>
        </w:rPr>
        <w:t xml:space="preserve"> Regulations, prior to commencement</w:t>
      </w:r>
      <w:r w:rsidR="00D558A2">
        <w:rPr>
          <w:rFonts w:ascii="Times New Roman" w:hAnsi="Times New Roman" w:cs="Times New Roman"/>
          <w:sz w:val="24"/>
          <w:szCs w:val="24"/>
        </w:rPr>
        <w:t>.</w:t>
      </w:r>
    </w:p>
    <w:p w14:paraId="35859666" w14:textId="77777777" w:rsidR="003D7126" w:rsidRPr="008F1CDE" w:rsidRDefault="003D7126" w:rsidP="00502CAB">
      <w:pPr>
        <w:pStyle w:val="ActHead5"/>
      </w:pPr>
      <w:r>
        <w:t>Section 3 – Authority</w:t>
      </w:r>
    </w:p>
    <w:p w14:paraId="45CAC953" w14:textId="5FFCF9E8" w:rsidR="003D7126" w:rsidRPr="0071367A" w:rsidRDefault="003D7126" w:rsidP="003D7126">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provides that the </w:t>
      </w:r>
      <w:r w:rsidR="001A7341">
        <w:rPr>
          <w:rFonts w:ascii="Times New Roman" w:hAnsi="Times New Roman" w:cs="Times New Roman"/>
          <w:sz w:val="24"/>
          <w:szCs w:val="24"/>
        </w:rPr>
        <w:t>G</w:t>
      </w:r>
      <w:r w:rsidR="002604E1">
        <w:rPr>
          <w:rFonts w:ascii="Times New Roman" w:hAnsi="Times New Roman" w:cs="Times New Roman"/>
          <w:sz w:val="24"/>
          <w:szCs w:val="24"/>
        </w:rPr>
        <w:t xml:space="preserve">HG </w:t>
      </w:r>
      <w:r w:rsidRPr="0071367A">
        <w:rPr>
          <w:rFonts w:ascii="Times New Roman" w:hAnsi="Times New Roman" w:cs="Times New Roman"/>
          <w:sz w:val="24"/>
          <w:szCs w:val="24"/>
        </w:rPr>
        <w:t>Regulations are made under the OPGGS Act.</w:t>
      </w:r>
    </w:p>
    <w:p w14:paraId="5ED6E735" w14:textId="0C22AB04" w:rsidR="000C5CCF" w:rsidRPr="00BB55FD" w:rsidRDefault="000C5CCF" w:rsidP="00502CAB">
      <w:pPr>
        <w:pStyle w:val="ActHead5"/>
      </w:pPr>
      <w:r w:rsidRPr="00BB55FD">
        <w:t xml:space="preserve">Section 4 – </w:t>
      </w:r>
      <w:r w:rsidR="00E32A1E">
        <w:t>Simplified outline of this instrument</w:t>
      </w:r>
    </w:p>
    <w:p w14:paraId="4287CEC9" w14:textId="30276B95" w:rsidR="00E32A1E" w:rsidRDefault="00BB55FD" w:rsidP="00BB55FD">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sets out </w:t>
      </w:r>
      <w:r w:rsidR="00A95BB0">
        <w:rPr>
          <w:rFonts w:ascii="Times New Roman" w:hAnsi="Times New Roman" w:cs="Times New Roman"/>
          <w:sz w:val="24"/>
          <w:szCs w:val="24"/>
        </w:rPr>
        <w:t>a</w:t>
      </w:r>
      <w:r w:rsidRPr="0071367A">
        <w:rPr>
          <w:rFonts w:ascii="Times New Roman" w:hAnsi="Times New Roman" w:cs="Times New Roman"/>
          <w:sz w:val="24"/>
          <w:szCs w:val="24"/>
        </w:rPr>
        <w:t xml:space="preserve"> </w:t>
      </w:r>
      <w:r w:rsidR="00E32A1E">
        <w:rPr>
          <w:rFonts w:ascii="Times New Roman" w:hAnsi="Times New Roman" w:cs="Times New Roman"/>
          <w:sz w:val="24"/>
          <w:szCs w:val="24"/>
        </w:rPr>
        <w:t xml:space="preserve">simplified outline </w:t>
      </w:r>
      <w:r w:rsidRPr="0071367A">
        <w:rPr>
          <w:rFonts w:ascii="Times New Roman" w:hAnsi="Times New Roman" w:cs="Times New Roman"/>
          <w:sz w:val="24"/>
          <w:szCs w:val="24"/>
        </w:rPr>
        <w:t xml:space="preserve">of the </w:t>
      </w:r>
      <w:r w:rsidR="001A7341">
        <w:rPr>
          <w:rFonts w:ascii="Times New Roman" w:hAnsi="Times New Roman" w:cs="Times New Roman"/>
          <w:sz w:val="24"/>
          <w:szCs w:val="24"/>
        </w:rPr>
        <w:t>G</w:t>
      </w:r>
      <w:r w:rsidR="002604E1">
        <w:rPr>
          <w:rFonts w:ascii="Times New Roman" w:hAnsi="Times New Roman" w:cs="Times New Roman"/>
          <w:sz w:val="24"/>
          <w:szCs w:val="24"/>
        </w:rPr>
        <w:t xml:space="preserve">HG </w:t>
      </w:r>
      <w:r w:rsidRPr="0071367A">
        <w:rPr>
          <w:rFonts w:ascii="Times New Roman" w:hAnsi="Times New Roman" w:cs="Times New Roman"/>
          <w:sz w:val="24"/>
          <w:szCs w:val="24"/>
        </w:rPr>
        <w:t>Regulations</w:t>
      </w:r>
      <w:r w:rsidRPr="00E32A1E">
        <w:rPr>
          <w:rFonts w:ascii="Times New Roman" w:hAnsi="Times New Roman" w:cs="Times New Roman"/>
          <w:sz w:val="24"/>
          <w:szCs w:val="24"/>
        </w:rPr>
        <w:t xml:space="preserve">. </w:t>
      </w:r>
      <w:r w:rsidR="00E32A1E">
        <w:rPr>
          <w:rFonts w:ascii="Times New Roman" w:hAnsi="Times New Roman" w:cs="Times New Roman"/>
          <w:sz w:val="24"/>
          <w:szCs w:val="24"/>
        </w:rPr>
        <w:t>While s</w:t>
      </w:r>
      <w:r w:rsidR="00E32A1E" w:rsidRPr="00E32A1E">
        <w:rPr>
          <w:rFonts w:ascii="Times New Roman" w:hAnsi="Times New Roman" w:cs="Times New Roman"/>
          <w:sz w:val="24"/>
          <w:szCs w:val="24"/>
        </w:rPr>
        <w:t>implified outlines are included to assist readers to understand the substantive provisions, the outlines are not intended to be comprehensive. It is intended that readers should rely on the substantive provisions</w:t>
      </w:r>
      <w:r w:rsidR="00E32A1E">
        <w:rPr>
          <w:rFonts w:ascii="Times New Roman" w:hAnsi="Times New Roman" w:cs="Times New Roman"/>
          <w:sz w:val="24"/>
          <w:szCs w:val="24"/>
        </w:rPr>
        <w:t>.</w:t>
      </w:r>
    </w:p>
    <w:p w14:paraId="2D198018" w14:textId="1979BBB4" w:rsidR="008F348A" w:rsidRPr="00346D50" w:rsidRDefault="007B0383" w:rsidP="00502CAB">
      <w:pPr>
        <w:pStyle w:val="ActHead5"/>
      </w:pPr>
      <w:r w:rsidRPr="00E4655D">
        <w:t>Section 5 – Definitions</w:t>
      </w:r>
      <w:r w:rsidRPr="00346D50">
        <w:t xml:space="preserve"> </w:t>
      </w:r>
    </w:p>
    <w:p w14:paraId="7697F373" w14:textId="3C868979" w:rsidR="00E4655D" w:rsidRDefault="001E3D24" w:rsidP="00E4655D">
      <w:pPr>
        <w:spacing w:before="240" w:after="100" w:afterAutospacing="1"/>
        <w:rPr>
          <w:rFonts w:ascii="Times New Roman" w:hAnsi="Times New Roman" w:cs="Times New Roman"/>
          <w:sz w:val="24"/>
          <w:szCs w:val="24"/>
        </w:rPr>
      </w:pPr>
      <w:r>
        <w:rPr>
          <w:rFonts w:ascii="Times New Roman" w:hAnsi="Times New Roman" w:cs="Times New Roman"/>
          <w:sz w:val="24"/>
          <w:szCs w:val="24"/>
        </w:rPr>
        <w:t>Sub</w:t>
      </w:r>
      <w:r w:rsidR="00E4655D" w:rsidRPr="0071367A">
        <w:rPr>
          <w:rFonts w:ascii="Times New Roman" w:hAnsi="Times New Roman" w:cs="Times New Roman"/>
          <w:sz w:val="24"/>
          <w:szCs w:val="24"/>
        </w:rPr>
        <w:t xml:space="preserve">section </w:t>
      </w:r>
      <w:r>
        <w:rPr>
          <w:rFonts w:ascii="Times New Roman" w:hAnsi="Times New Roman" w:cs="Times New Roman"/>
          <w:sz w:val="24"/>
          <w:szCs w:val="24"/>
        </w:rPr>
        <w:t xml:space="preserve">5(1) </w:t>
      </w:r>
      <w:r w:rsidR="00E4655D" w:rsidRPr="0071367A">
        <w:rPr>
          <w:rFonts w:ascii="Times New Roman" w:hAnsi="Times New Roman" w:cs="Times New Roman"/>
          <w:sz w:val="24"/>
          <w:szCs w:val="24"/>
        </w:rPr>
        <w:t xml:space="preserve">provides for the definitions of terms used in the </w:t>
      </w:r>
      <w:r w:rsidR="001A7341">
        <w:rPr>
          <w:rFonts w:ascii="Times New Roman" w:hAnsi="Times New Roman" w:cs="Times New Roman"/>
          <w:sz w:val="24"/>
          <w:szCs w:val="24"/>
        </w:rPr>
        <w:t>G</w:t>
      </w:r>
      <w:r w:rsidR="002604E1">
        <w:rPr>
          <w:rFonts w:ascii="Times New Roman" w:hAnsi="Times New Roman" w:cs="Times New Roman"/>
          <w:sz w:val="24"/>
          <w:szCs w:val="24"/>
        </w:rPr>
        <w:t xml:space="preserve">HG </w:t>
      </w:r>
      <w:r w:rsidR="00E4655D" w:rsidRPr="0071367A">
        <w:rPr>
          <w:rFonts w:ascii="Times New Roman" w:hAnsi="Times New Roman" w:cs="Times New Roman"/>
          <w:sz w:val="24"/>
          <w:szCs w:val="24"/>
        </w:rPr>
        <w:t>Regulations</w:t>
      </w:r>
      <w:r w:rsidR="002604E1">
        <w:rPr>
          <w:rFonts w:ascii="Times New Roman" w:hAnsi="Times New Roman" w:cs="Times New Roman"/>
          <w:sz w:val="24"/>
          <w:szCs w:val="24"/>
        </w:rPr>
        <w:t xml:space="preserve"> that are not already defined in the OPGGS Act</w:t>
      </w:r>
      <w:r w:rsidR="00E4655D" w:rsidRPr="0071367A">
        <w:rPr>
          <w:rFonts w:ascii="Times New Roman" w:hAnsi="Times New Roman" w:cs="Times New Roman"/>
          <w:sz w:val="24"/>
          <w:szCs w:val="24"/>
        </w:rPr>
        <w:t xml:space="preserve">. </w:t>
      </w:r>
      <w:r w:rsidR="002604E1">
        <w:rPr>
          <w:rFonts w:ascii="Times New Roman" w:hAnsi="Times New Roman" w:cs="Times New Roman"/>
          <w:sz w:val="24"/>
          <w:szCs w:val="24"/>
        </w:rPr>
        <w:t xml:space="preserve">It also provides notes directing the reader to various sections of the OPGGS Act for definitions </w:t>
      </w:r>
      <w:r w:rsidR="00D900F2">
        <w:rPr>
          <w:rFonts w:ascii="Times New Roman" w:hAnsi="Times New Roman" w:cs="Times New Roman"/>
          <w:sz w:val="24"/>
          <w:szCs w:val="24"/>
        </w:rPr>
        <w:t xml:space="preserve">of other terms </w:t>
      </w:r>
      <w:r w:rsidR="002604E1">
        <w:rPr>
          <w:rFonts w:ascii="Times New Roman" w:hAnsi="Times New Roman" w:cs="Times New Roman"/>
          <w:sz w:val="24"/>
          <w:szCs w:val="24"/>
        </w:rPr>
        <w:t>used in the GHG Regulations</w:t>
      </w:r>
      <w:r w:rsidR="00E4655D" w:rsidRPr="0071367A">
        <w:rPr>
          <w:rFonts w:ascii="Times New Roman" w:hAnsi="Times New Roman" w:cs="Times New Roman"/>
          <w:sz w:val="24"/>
          <w:szCs w:val="24"/>
        </w:rPr>
        <w:t>.</w:t>
      </w:r>
      <w:r w:rsidR="003F4D7D">
        <w:rPr>
          <w:rFonts w:ascii="Times New Roman" w:hAnsi="Times New Roman" w:cs="Times New Roman"/>
          <w:sz w:val="24"/>
          <w:szCs w:val="24"/>
        </w:rPr>
        <w:t xml:space="preserve"> Further context for some of the main terms is provided below.</w:t>
      </w:r>
    </w:p>
    <w:p w14:paraId="65B16FE1" w14:textId="3C47221E" w:rsidR="001B0404" w:rsidRDefault="001B0404" w:rsidP="00097E67">
      <w:pPr>
        <w:rPr>
          <w:rFonts w:ascii="Times New Roman" w:hAnsi="Times New Roman" w:cs="Times New Roman"/>
          <w:sz w:val="24"/>
          <w:szCs w:val="24"/>
        </w:rPr>
      </w:pPr>
      <w:r w:rsidRPr="006550AF">
        <w:rPr>
          <w:rFonts w:ascii="Times New Roman" w:hAnsi="Times New Roman" w:cs="Times New Roman"/>
          <w:sz w:val="24"/>
          <w:szCs w:val="24"/>
        </w:rPr>
        <w:t xml:space="preserve">The </w:t>
      </w:r>
      <w:r w:rsidRPr="001B0404">
        <w:rPr>
          <w:rFonts w:ascii="Times New Roman" w:hAnsi="Times New Roman" w:cs="Times New Roman"/>
          <w:b/>
          <w:bCs/>
          <w:i/>
          <w:iCs/>
          <w:sz w:val="24"/>
          <w:szCs w:val="24"/>
        </w:rPr>
        <w:t>long</w:t>
      </w:r>
      <w:r w:rsidRPr="001B0404">
        <w:rPr>
          <w:rFonts w:ascii="Times New Roman" w:hAnsi="Times New Roman" w:cs="Times New Roman"/>
          <w:b/>
          <w:bCs/>
          <w:i/>
          <w:iCs/>
          <w:sz w:val="24"/>
          <w:szCs w:val="24"/>
        </w:rPr>
        <w:noBreakHyphen/>
        <w:t>term bond rate</w:t>
      </w:r>
      <w:r w:rsidRPr="006550AF">
        <w:rPr>
          <w:rFonts w:ascii="Times New Roman" w:hAnsi="Times New Roman" w:cs="Times New Roman"/>
          <w:sz w:val="24"/>
          <w:szCs w:val="24"/>
        </w:rPr>
        <w:t xml:space="preserve"> is defined</w:t>
      </w:r>
      <w:r>
        <w:rPr>
          <w:rFonts w:ascii="Times New Roman" w:hAnsi="Times New Roman" w:cs="Times New Roman"/>
          <w:sz w:val="24"/>
          <w:szCs w:val="24"/>
        </w:rPr>
        <w:t>, for the purposes of subsection 9(6) of the GHG</w:t>
      </w:r>
      <w:r w:rsidR="00A071C6">
        <w:rPr>
          <w:rFonts w:ascii="Times New Roman" w:hAnsi="Times New Roman" w:cs="Times New Roman"/>
          <w:sz w:val="24"/>
          <w:szCs w:val="24"/>
        </w:rPr>
        <w:t> </w:t>
      </w:r>
      <w:r>
        <w:rPr>
          <w:rFonts w:ascii="Times New Roman" w:hAnsi="Times New Roman" w:cs="Times New Roman"/>
          <w:sz w:val="24"/>
          <w:szCs w:val="24"/>
        </w:rPr>
        <w:t>Regulations,</w:t>
      </w:r>
      <w:r w:rsidRPr="006550AF">
        <w:rPr>
          <w:rFonts w:ascii="Times New Roman" w:hAnsi="Times New Roman" w:cs="Times New Roman"/>
          <w:sz w:val="24"/>
          <w:szCs w:val="24"/>
        </w:rPr>
        <w:t xml:space="preserve"> as the average (expressed as a decimal rounded to 4 decimal places) of the capital market yields on Commonwealth Government </w:t>
      </w:r>
      <w:proofErr w:type="gramStart"/>
      <w:r w:rsidRPr="006550AF">
        <w:rPr>
          <w:rFonts w:ascii="Times New Roman" w:hAnsi="Times New Roman" w:cs="Times New Roman"/>
          <w:sz w:val="24"/>
          <w:szCs w:val="24"/>
        </w:rPr>
        <w:t>10 year</w:t>
      </w:r>
      <w:proofErr w:type="gramEnd"/>
      <w:r w:rsidRPr="006550AF">
        <w:rPr>
          <w:rFonts w:ascii="Times New Roman" w:hAnsi="Times New Roman" w:cs="Times New Roman"/>
          <w:sz w:val="24"/>
          <w:szCs w:val="24"/>
        </w:rPr>
        <w:t xml:space="preserve"> bonds for the latest available 12 months, as published by the Reserve Bank of Australia (RBA). </w:t>
      </w:r>
      <w:r>
        <w:rPr>
          <w:rFonts w:ascii="Times New Roman" w:hAnsi="Times New Roman" w:cs="Times New Roman"/>
          <w:sz w:val="24"/>
          <w:szCs w:val="24"/>
        </w:rPr>
        <w:t>The reference to yields published by the RBA is a reference to the fact of what the yield is at a particular point in time, rather than to a specified publication or other document. Information about t</w:t>
      </w:r>
      <w:r w:rsidRPr="006550AF">
        <w:rPr>
          <w:rFonts w:ascii="Times New Roman" w:hAnsi="Times New Roman" w:cs="Times New Roman"/>
          <w:sz w:val="24"/>
          <w:szCs w:val="24"/>
        </w:rPr>
        <w:t>h</w:t>
      </w:r>
      <w:r>
        <w:rPr>
          <w:rFonts w:ascii="Times New Roman" w:hAnsi="Times New Roman" w:cs="Times New Roman"/>
          <w:sz w:val="24"/>
          <w:szCs w:val="24"/>
        </w:rPr>
        <w:t>os</w:t>
      </w:r>
      <w:r w:rsidRPr="006550AF">
        <w:rPr>
          <w:rFonts w:ascii="Times New Roman" w:hAnsi="Times New Roman" w:cs="Times New Roman"/>
          <w:sz w:val="24"/>
          <w:szCs w:val="24"/>
        </w:rPr>
        <w:t xml:space="preserve">e </w:t>
      </w:r>
      <w:r>
        <w:rPr>
          <w:rFonts w:ascii="Times New Roman" w:hAnsi="Times New Roman" w:cs="Times New Roman"/>
          <w:sz w:val="24"/>
          <w:szCs w:val="24"/>
        </w:rPr>
        <w:t xml:space="preserve">yields is publicly available at no cost </w:t>
      </w:r>
      <w:r w:rsidRPr="006550AF">
        <w:rPr>
          <w:rFonts w:ascii="Times New Roman" w:hAnsi="Times New Roman" w:cs="Times New Roman"/>
          <w:sz w:val="24"/>
          <w:szCs w:val="24"/>
        </w:rPr>
        <w:t xml:space="preserve">on the RBA’s website </w:t>
      </w:r>
      <w:r>
        <w:rPr>
          <w:rFonts w:ascii="Times New Roman" w:hAnsi="Times New Roman" w:cs="Times New Roman"/>
          <w:sz w:val="24"/>
          <w:szCs w:val="24"/>
        </w:rPr>
        <w:t xml:space="preserve">at </w:t>
      </w:r>
      <w:hyperlink r:id="rId12" w:history="1">
        <w:r w:rsidRPr="00703ADF">
          <w:rPr>
            <w:rStyle w:val="Hyperlink"/>
            <w:rFonts w:ascii="Times New Roman" w:hAnsi="Times New Roman" w:cs="Times New Roman"/>
            <w:sz w:val="24"/>
            <w:szCs w:val="24"/>
          </w:rPr>
          <w:t>www.rba.gov.au/statistics/tables</w:t>
        </w:r>
      </w:hyperlink>
      <w:r>
        <w:rPr>
          <w:rFonts w:ascii="Times New Roman" w:hAnsi="Times New Roman" w:cs="Times New Roman"/>
          <w:sz w:val="24"/>
          <w:szCs w:val="24"/>
        </w:rPr>
        <w:t xml:space="preserve">. </w:t>
      </w:r>
    </w:p>
    <w:p w14:paraId="0A87C73D" w14:textId="462A7403" w:rsidR="0041132F" w:rsidRPr="00746189" w:rsidRDefault="0041132F" w:rsidP="00097E67">
      <w:pPr>
        <w:rPr>
          <w:rFonts w:ascii="Times New Roman" w:hAnsi="Times New Roman" w:cs="Times New Roman"/>
          <w:sz w:val="24"/>
          <w:szCs w:val="24"/>
        </w:rPr>
      </w:pPr>
      <w:r>
        <w:rPr>
          <w:rFonts w:ascii="Times New Roman" w:hAnsi="Times New Roman" w:cs="Times New Roman"/>
          <w:sz w:val="24"/>
          <w:szCs w:val="24"/>
        </w:rPr>
        <w:t xml:space="preserve">A key </w:t>
      </w:r>
      <w:r w:rsidR="00D558A2">
        <w:rPr>
          <w:rFonts w:ascii="Times New Roman" w:hAnsi="Times New Roman" w:cs="Times New Roman"/>
          <w:sz w:val="24"/>
          <w:szCs w:val="24"/>
        </w:rPr>
        <w:t>term</w:t>
      </w:r>
      <w:r>
        <w:rPr>
          <w:rFonts w:ascii="Times New Roman" w:hAnsi="Times New Roman" w:cs="Times New Roman"/>
          <w:sz w:val="24"/>
          <w:szCs w:val="24"/>
        </w:rPr>
        <w:t xml:space="preserve"> used in Part 2</w:t>
      </w:r>
      <w:r w:rsidR="00D558A2">
        <w:rPr>
          <w:rFonts w:ascii="Times New Roman" w:hAnsi="Times New Roman" w:cs="Times New Roman"/>
          <w:sz w:val="24"/>
          <w:szCs w:val="24"/>
        </w:rPr>
        <w:t xml:space="preserve"> of the GHG Regulations</w:t>
      </w:r>
      <w:r>
        <w:rPr>
          <w:rFonts w:ascii="Times New Roman" w:hAnsi="Times New Roman" w:cs="Times New Roman"/>
          <w:sz w:val="24"/>
          <w:szCs w:val="24"/>
        </w:rPr>
        <w:t xml:space="preserve"> is </w:t>
      </w:r>
      <w:r w:rsidRPr="00D558A2">
        <w:rPr>
          <w:rFonts w:ascii="Times New Roman" w:hAnsi="Times New Roman" w:cs="Times New Roman"/>
          <w:b/>
          <w:bCs/>
          <w:i/>
          <w:iCs/>
          <w:sz w:val="24"/>
          <w:szCs w:val="24"/>
        </w:rPr>
        <w:t>SROSAI section</w:t>
      </w:r>
      <w:r>
        <w:rPr>
          <w:rFonts w:ascii="Times New Roman" w:hAnsi="Times New Roman" w:cs="Times New Roman"/>
          <w:sz w:val="24"/>
          <w:szCs w:val="24"/>
        </w:rPr>
        <w:t xml:space="preserve">, which is defined in section </w:t>
      </w:r>
      <w:r w:rsidR="00141AF2">
        <w:rPr>
          <w:rFonts w:ascii="Times New Roman" w:hAnsi="Times New Roman" w:cs="Times New Roman"/>
          <w:sz w:val="24"/>
          <w:szCs w:val="24"/>
        </w:rPr>
        <w:t xml:space="preserve">5 </w:t>
      </w:r>
      <w:r>
        <w:rPr>
          <w:rFonts w:ascii="Times New Roman" w:hAnsi="Times New Roman" w:cs="Times New Roman"/>
          <w:sz w:val="24"/>
          <w:szCs w:val="24"/>
        </w:rPr>
        <w:t xml:space="preserve">as each of sections </w:t>
      </w:r>
      <w:r w:rsidRPr="00746189">
        <w:rPr>
          <w:rFonts w:ascii="Times New Roman" w:hAnsi="Times New Roman" w:cs="Times New Roman"/>
          <w:sz w:val="24"/>
          <w:szCs w:val="24"/>
        </w:rPr>
        <w:t xml:space="preserve">25, 26, 27, 27A, 28, 28A and 29 of the </w:t>
      </w:r>
      <w:r>
        <w:rPr>
          <w:rFonts w:ascii="Times New Roman" w:hAnsi="Times New Roman" w:cs="Times New Roman"/>
          <w:sz w:val="24"/>
          <w:szCs w:val="24"/>
        </w:rPr>
        <w:t xml:space="preserve">OPGGS </w:t>
      </w:r>
      <w:r w:rsidRPr="00746189">
        <w:rPr>
          <w:rFonts w:ascii="Times New Roman" w:hAnsi="Times New Roman" w:cs="Times New Roman"/>
          <w:sz w:val="24"/>
          <w:szCs w:val="24"/>
        </w:rPr>
        <w:t>Act</w:t>
      </w:r>
      <w:r>
        <w:rPr>
          <w:rFonts w:ascii="Times New Roman" w:hAnsi="Times New Roman" w:cs="Times New Roman"/>
          <w:sz w:val="24"/>
          <w:szCs w:val="24"/>
        </w:rPr>
        <w:t xml:space="preserve">. Those provisions relate to a </w:t>
      </w:r>
      <w:r w:rsidR="00D558A2">
        <w:rPr>
          <w:rFonts w:ascii="Times New Roman" w:hAnsi="Times New Roman" w:cs="Times New Roman"/>
          <w:sz w:val="24"/>
          <w:szCs w:val="24"/>
        </w:rPr>
        <w:t xml:space="preserve">determination whether there is a </w:t>
      </w:r>
      <w:r>
        <w:rPr>
          <w:rFonts w:ascii="Times New Roman" w:hAnsi="Times New Roman" w:cs="Times New Roman"/>
          <w:sz w:val="24"/>
          <w:szCs w:val="24"/>
        </w:rPr>
        <w:t xml:space="preserve">significant risk </w:t>
      </w:r>
      <w:r w:rsidR="00D558A2">
        <w:rPr>
          <w:rFonts w:ascii="Times New Roman" w:hAnsi="Times New Roman" w:cs="Times New Roman"/>
          <w:sz w:val="24"/>
          <w:szCs w:val="24"/>
        </w:rPr>
        <w:t xml:space="preserve">that an operation </w:t>
      </w:r>
      <w:r w:rsidR="00D558A2">
        <w:rPr>
          <w:rFonts w:ascii="Times New Roman" w:hAnsi="Times New Roman" w:cs="Times New Roman"/>
          <w:sz w:val="24"/>
          <w:szCs w:val="24"/>
        </w:rPr>
        <w:lastRenderedPageBreak/>
        <w:t>carried on under a title will have</w:t>
      </w:r>
      <w:r w:rsidR="00D558A2" w:rsidRPr="00D2216E">
        <w:rPr>
          <w:rFonts w:ascii="Times New Roman" w:hAnsi="Times New Roman" w:cs="Times New Roman"/>
          <w:sz w:val="24"/>
          <w:szCs w:val="24"/>
        </w:rPr>
        <w:t xml:space="preserve"> a significant adverse impact</w:t>
      </w:r>
      <w:r w:rsidR="00D558A2">
        <w:rPr>
          <w:rFonts w:ascii="Times New Roman" w:hAnsi="Times New Roman" w:cs="Times New Roman"/>
          <w:sz w:val="24"/>
          <w:szCs w:val="24"/>
        </w:rPr>
        <w:t xml:space="preserve"> on operations carried on under another title. This is considered in the context of potential interactions between petroleum operations and GHG injection and storage </w:t>
      </w:r>
      <w:proofErr w:type="gramStart"/>
      <w:r w:rsidR="00D558A2">
        <w:rPr>
          <w:rFonts w:ascii="Times New Roman" w:hAnsi="Times New Roman" w:cs="Times New Roman"/>
          <w:sz w:val="24"/>
          <w:szCs w:val="24"/>
        </w:rPr>
        <w:t>operations, and</w:t>
      </w:r>
      <w:proofErr w:type="gramEnd"/>
      <w:r w:rsidR="00D558A2">
        <w:rPr>
          <w:rFonts w:ascii="Times New Roman" w:hAnsi="Times New Roman" w:cs="Times New Roman"/>
          <w:sz w:val="24"/>
          <w:szCs w:val="24"/>
        </w:rPr>
        <w:t xml:space="preserve"> is intended to protect existing title rights and provide investment certainty. </w:t>
      </w:r>
      <w:r w:rsidR="00D558A2" w:rsidRPr="00097E67">
        <w:rPr>
          <w:rFonts w:ascii="Times New Roman" w:hAnsi="Times New Roman" w:cs="Times New Roman"/>
          <w:sz w:val="24"/>
          <w:szCs w:val="24"/>
        </w:rPr>
        <w:t>It also provides a management system for</w:t>
      </w:r>
      <w:r w:rsidR="00D558A2">
        <w:rPr>
          <w:rFonts w:ascii="Times New Roman" w:hAnsi="Times New Roman" w:cs="Times New Roman"/>
          <w:sz w:val="24"/>
          <w:szCs w:val="24"/>
        </w:rPr>
        <w:t xml:space="preserve"> </w:t>
      </w:r>
      <w:r w:rsidR="00D558A2" w:rsidRPr="00097E67">
        <w:rPr>
          <w:rFonts w:ascii="Times New Roman" w:hAnsi="Times New Roman" w:cs="Times New Roman"/>
          <w:sz w:val="24"/>
          <w:szCs w:val="24"/>
        </w:rPr>
        <w:t xml:space="preserve">overlapping titles which will </w:t>
      </w:r>
      <w:r w:rsidR="00D558A2">
        <w:rPr>
          <w:rFonts w:ascii="Times New Roman" w:hAnsi="Times New Roman" w:cs="Times New Roman"/>
          <w:sz w:val="24"/>
          <w:szCs w:val="24"/>
        </w:rPr>
        <w:t>enable</w:t>
      </w:r>
      <w:r w:rsidR="00D558A2" w:rsidRPr="00097E67">
        <w:rPr>
          <w:rFonts w:ascii="Times New Roman" w:hAnsi="Times New Roman" w:cs="Times New Roman"/>
          <w:sz w:val="24"/>
          <w:szCs w:val="24"/>
        </w:rPr>
        <w:t xml:space="preserve"> both industries to co-exist</w:t>
      </w:r>
      <w:r w:rsidR="00D558A2">
        <w:rPr>
          <w:rFonts w:ascii="Times New Roman" w:hAnsi="Times New Roman" w:cs="Times New Roman"/>
          <w:sz w:val="24"/>
          <w:szCs w:val="24"/>
        </w:rPr>
        <w:t>.</w:t>
      </w:r>
    </w:p>
    <w:p w14:paraId="2A53D8D6" w14:textId="1B31A3CE" w:rsidR="00E73F4B" w:rsidRDefault="007445D2" w:rsidP="006301D5">
      <w:pPr>
        <w:spacing w:before="240" w:after="100" w:afterAutospacing="1"/>
        <w:rPr>
          <w:rFonts w:ascii="Times New Roman" w:hAnsi="Times New Roman" w:cs="Times New Roman"/>
          <w:sz w:val="24"/>
          <w:szCs w:val="24"/>
        </w:rPr>
      </w:pPr>
      <w:r>
        <w:rPr>
          <w:rFonts w:ascii="Times New Roman" w:hAnsi="Times New Roman" w:cs="Times New Roman"/>
          <w:sz w:val="24"/>
          <w:szCs w:val="24"/>
        </w:rPr>
        <w:t xml:space="preserve">Section 5 also defines </w:t>
      </w:r>
      <w:r>
        <w:rPr>
          <w:rFonts w:ascii="Times New Roman" w:hAnsi="Times New Roman" w:cs="Times New Roman"/>
          <w:b/>
          <w:bCs/>
          <w:i/>
          <w:iCs/>
          <w:sz w:val="24"/>
          <w:szCs w:val="24"/>
        </w:rPr>
        <w:t>potentially affected title</w:t>
      </w:r>
      <w:r>
        <w:rPr>
          <w:rFonts w:ascii="Times New Roman" w:hAnsi="Times New Roman" w:cs="Times New Roman"/>
          <w:sz w:val="24"/>
          <w:szCs w:val="24"/>
        </w:rPr>
        <w:t xml:space="preserve"> for the purposes of </w:t>
      </w:r>
      <w:proofErr w:type="gramStart"/>
      <w:r>
        <w:rPr>
          <w:rFonts w:ascii="Times New Roman" w:hAnsi="Times New Roman" w:cs="Times New Roman"/>
          <w:sz w:val="24"/>
          <w:szCs w:val="24"/>
        </w:rPr>
        <w:t>making a determination</w:t>
      </w:r>
      <w:proofErr w:type="gramEnd"/>
      <w:r>
        <w:rPr>
          <w:rFonts w:ascii="Times New Roman" w:hAnsi="Times New Roman" w:cs="Times New Roman"/>
          <w:sz w:val="24"/>
          <w:szCs w:val="24"/>
        </w:rPr>
        <w:t xml:space="preserve"> in accordance with a SROSAI section. For the purposes of a determination in accordance with section 25 of the OPGGS Act, there </w:t>
      </w:r>
      <w:r w:rsidR="00E73F4B">
        <w:rPr>
          <w:rFonts w:ascii="Times New Roman" w:hAnsi="Times New Roman" w:cs="Times New Roman"/>
          <w:sz w:val="24"/>
          <w:szCs w:val="24"/>
        </w:rPr>
        <w:t>are</w:t>
      </w:r>
      <w:r>
        <w:rPr>
          <w:rFonts w:ascii="Times New Roman" w:hAnsi="Times New Roman" w:cs="Times New Roman"/>
          <w:sz w:val="24"/>
          <w:szCs w:val="24"/>
        </w:rPr>
        <w:t xml:space="preserve"> no reference</w:t>
      </w:r>
      <w:r w:rsidR="00E73F4B">
        <w:rPr>
          <w:rFonts w:ascii="Times New Roman" w:hAnsi="Times New Roman" w:cs="Times New Roman"/>
          <w:sz w:val="24"/>
          <w:szCs w:val="24"/>
        </w:rPr>
        <w:t>s</w:t>
      </w:r>
      <w:r>
        <w:rPr>
          <w:rFonts w:ascii="Times New Roman" w:hAnsi="Times New Roman" w:cs="Times New Roman"/>
          <w:sz w:val="24"/>
          <w:szCs w:val="24"/>
        </w:rPr>
        <w:t xml:space="preserve"> to </w:t>
      </w:r>
      <w:proofErr w:type="gramStart"/>
      <w:r>
        <w:rPr>
          <w:rFonts w:ascii="Times New Roman" w:hAnsi="Times New Roman" w:cs="Times New Roman"/>
          <w:sz w:val="24"/>
          <w:szCs w:val="24"/>
        </w:rPr>
        <w:t>particular titles</w:t>
      </w:r>
      <w:proofErr w:type="gramEnd"/>
      <w:r>
        <w:rPr>
          <w:rFonts w:ascii="Times New Roman" w:hAnsi="Times New Roman" w:cs="Times New Roman"/>
          <w:sz w:val="24"/>
          <w:szCs w:val="24"/>
        </w:rPr>
        <w:t xml:space="preserve"> in that section</w:t>
      </w:r>
      <w:r w:rsidR="00E73F4B">
        <w:rPr>
          <w:rFonts w:ascii="Times New Roman" w:hAnsi="Times New Roman" w:cs="Times New Roman"/>
          <w:sz w:val="24"/>
          <w:szCs w:val="24"/>
        </w:rPr>
        <w:t>. However, the references to titles appear in the operative sections to which section 25 relates (that is, section</w:t>
      </w:r>
      <w:r w:rsidR="008C5373">
        <w:rPr>
          <w:rFonts w:ascii="Times New Roman" w:hAnsi="Times New Roman" w:cs="Times New Roman"/>
          <w:sz w:val="24"/>
          <w:szCs w:val="24"/>
        </w:rPr>
        <w:t>s</w:t>
      </w:r>
      <w:r w:rsidR="00E73F4B">
        <w:rPr>
          <w:rFonts w:ascii="Times New Roman" w:hAnsi="Times New Roman" w:cs="Times New Roman"/>
          <w:sz w:val="24"/>
          <w:szCs w:val="24"/>
        </w:rPr>
        <w:t xml:space="preserve"> 100, 101, 137, 138, 163 and 164 of the OPGGS Act). </w:t>
      </w:r>
    </w:p>
    <w:p w14:paraId="405C5820" w14:textId="544141CB" w:rsidR="007445D2" w:rsidRDefault="00E73F4B" w:rsidP="006301D5">
      <w:pPr>
        <w:spacing w:before="240" w:after="100" w:afterAutospacing="1"/>
        <w:rPr>
          <w:rFonts w:ascii="Times New Roman" w:hAnsi="Times New Roman" w:cs="Times New Roman"/>
          <w:sz w:val="24"/>
          <w:szCs w:val="24"/>
        </w:rPr>
      </w:pPr>
      <w:r>
        <w:rPr>
          <w:rFonts w:ascii="Times New Roman" w:hAnsi="Times New Roman" w:cs="Times New Roman"/>
          <w:sz w:val="24"/>
          <w:szCs w:val="24"/>
        </w:rPr>
        <w:t>In addition, for the purposes of a determination in accordance with section 29 of the OPGGS</w:t>
      </w:r>
      <w:r w:rsidR="00340C33">
        <w:rPr>
          <w:rFonts w:ascii="Times New Roman" w:hAnsi="Times New Roman" w:cs="Times New Roman"/>
          <w:sz w:val="24"/>
          <w:szCs w:val="24"/>
        </w:rPr>
        <w:t> </w:t>
      </w:r>
      <w:r>
        <w:rPr>
          <w:rFonts w:ascii="Times New Roman" w:hAnsi="Times New Roman" w:cs="Times New Roman"/>
          <w:sz w:val="24"/>
          <w:szCs w:val="24"/>
        </w:rPr>
        <w:t xml:space="preserve">Act, the operative section to which section 29 relates (section 383) always applies in the context of an overlap between a GHG injection licence and another title. Therefore, while the wording of section 29 does not refer to operations to recover petroleum under a particular title, in context the title </w:t>
      </w:r>
      <w:r w:rsidR="008C5373">
        <w:rPr>
          <w:rFonts w:ascii="Times New Roman" w:hAnsi="Times New Roman" w:cs="Times New Roman"/>
          <w:sz w:val="24"/>
          <w:szCs w:val="24"/>
        </w:rPr>
        <w:t>is</w:t>
      </w:r>
      <w:r>
        <w:rPr>
          <w:rFonts w:ascii="Times New Roman" w:hAnsi="Times New Roman" w:cs="Times New Roman"/>
          <w:sz w:val="24"/>
          <w:szCs w:val="24"/>
        </w:rPr>
        <w:t xml:space="preserve"> always identifi</w:t>
      </w:r>
      <w:r w:rsidR="008C5373">
        <w:rPr>
          <w:rFonts w:ascii="Times New Roman" w:hAnsi="Times New Roman" w:cs="Times New Roman"/>
          <w:sz w:val="24"/>
          <w:szCs w:val="24"/>
        </w:rPr>
        <w:t>able</w:t>
      </w:r>
      <w:r>
        <w:rPr>
          <w:rFonts w:ascii="Times New Roman" w:hAnsi="Times New Roman" w:cs="Times New Roman"/>
          <w:sz w:val="24"/>
          <w:szCs w:val="24"/>
        </w:rPr>
        <w:t>.</w:t>
      </w:r>
    </w:p>
    <w:p w14:paraId="0B4CE1BE" w14:textId="383EB00E" w:rsidR="00D558A2" w:rsidRPr="007445D2" w:rsidRDefault="001B0404" w:rsidP="006301D5">
      <w:pPr>
        <w:spacing w:before="240" w:after="100" w:afterAutospacing="1"/>
        <w:rPr>
          <w:rFonts w:ascii="Times New Roman" w:hAnsi="Times New Roman" w:cs="Times New Roman"/>
          <w:sz w:val="24"/>
          <w:szCs w:val="24"/>
        </w:rPr>
      </w:pPr>
      <w:r>
        <w:rPr>
          <w:rFonts w:ascii="Times New Roman" w:hAnsi="Times New Roman" w:cs="Times New Roman"/>
          <w:sz w:val="24"/>
          <w:szCs w:val="24"/>
        </w:rPr>
        <w:t xml:space="preserve">Subsection 5(2) of the GHG Regulations provides </w:t>
      </w:r>
      <w:r w:rsidR="0065469D">
        <w:rPr>
          <w:rFonts w:ascii="Times New Roman" w:hAnsi="Times New Roman" w:cs="Times New Roman"/>
          <w:sz w:val="24"/>
          <w:szCs w:val="24"/>
        </w:rPr>
        <w:t>for ascertaining the expected migration pathway or pathways of a particular GHG substance when</w:t>
      </w:r>
      <w:r>
        <w:rPr>
          <w:rFonts w:ascii="Times New Roman" w:hAnsi="Times New Roman" w:cs="Times New Roman"/>
          <w:sz w:val="24"/>
          <w:szCs w:val="24"/>
        </w:rPr>
        <w:t xml:space="preserve"> determining the spatial extent of an eligible GHG storage formation. Subsection 21(3) of the OPGGS Act defines the </w:t>
      </w:r>
      <w:r>
        <w:rPr>
          <w:rFonts w:ascii="Times New Roman" w:hAnsi="Times New Roman" w:cs="Times New Roman"/>
          <w:b/>
          <w:bCs/>
          <w:i/>
          <w:iCs/>
          <w:sz w:val="24"/>
          <w:szCs w:val="24"/>
        </w:rPr>
        <w:t>spatial extent</w:t>
      </w:r>
      <w:r>
        <w:rPr>
          <w:rFonts w:ascii="Times New Roman" w:hAnsi="Times New Roman" w:cs="Times New Roman"/>
          <w:b/>
          <w:bCs/>
          <w:sz w:val="24"/>
          <w:szCs w:val="24"/>
        </w:rPr>
        <w:t xml:space="preserve"> </w:t>
      </w:r>
      <w:r>
        <w:rPr>
          <w:rFonts w:ascii="Times New Roman" w:hAnsi="Times New Roman" w:cs="Times New Roman"/>
          <w:sz w:val="24"/>
          <w:szCs w:val="24"/>
        </w:rPr>
        <w:t xml:space="preserve">of an eligible GHG storage formation as the expected migration pathway or pathways, over the period mentioned in that subsection, of the </w:t>
      </w:r>
      <w:proofErr w:type="gramStart"/>
      <w:r>
        <w:rPr>
          <w:rFonts w:ascii="Times New Roman" w:hAnsi="Times New Roman" w:cs="Times New Roman"/>
          <w:sz w:val="24"/>
          <w:szCs w:val="24"/>
        </w:rPr>
        <w:t>particular amount</w:t>
      </w:r>
      <w:proofErr w:type="gramEnd"/>
      <w:r>
        <w:rPr>
          <w:rFonts w:ascii="Times New Roman" w:hAnsi="Times New Roman" w:cs="Times New Roman"/>
          <w:sz w:val="24"/>
          <w:szCs w:val="24"/>
        </w:rPr>
        <w:t xml:space="preserve"> of the particular GHG substance injected in whichever of paragraph 21(1)(a) or (b) </w:t>
      </w:r>
      <w:r w:rsidR="00A55CCC">
        <w:rPr>
          <w:rFonts w:ascii="Times New Roman" w:hAnsi="Times New Roman" w:cs="Times New Roman"/>
          <w:sz w:val="24"/>
          <w:szCs w:val="24"/>
        </w:rPr>
        <w:t>of the OPGGS</w:t>
      </w:r>
      <w:r w:rsidR="00340C33">
        <w:rPr>
          <w:rFonts w:ascii="Times New Roman" w:hAnsi="Times New Roman" w:cs="Times New Roman"/>
          <w:sz w:val="24"/>
          <w:szCs w:val="24"/>
        </w:rPr>
        <w:t> </w:t>
      </w:r>
      <w:r w:rsidR="00A55CCC">
        <w:rPr>
          <w:rFonts w:ascii="Times New Roman" w:hAnsi="Times New Roman" w:cs="Times New Roman"/>
          <w:sz w:val="24"/>
          <w:szCs w:val="24"/>
        </w:rPr>
        <w:t xml:space="preserve">Act </w:t>
      </w:r>
      <w:r>
        <w:rPr>
          <w:rFonts w:ascii="Times New Roman" w:hAnsi="Times New Roman" w:cs="Times New Roman"/>
          <w:sz w:val="24"/>
          <w:szCs w:val="24"/>
        </w:rPr>
        <w:t xml:space="preserve">is applicable. Paragraph 21(5)(b) of the OPGGS Act states that the regulations may provide that the expected migration pathway or pathways are to be ascertained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a level of probability specified in the regulation</w:t>
      </w:r>
      <w:r w:rsidR="00A55CCC">
        <w:rPr>
          <w:rFonts w:ascii="Times New Roman" w:hAnsi="Times New Roman" w:cs="Times New Roman"/>
          <w:sz w:val="24"/>
          <w:szCs w:val="24"/>
        </w:rPr>
        <w:t>s</w:t>
      </w:r>
      <w:r>
        <w:rPr>
          <w:rFonts w:ascii="Times New Roman" w:hAnsi="Times New Roman" w:cs="Times New Roman"/>
          <w:sz w:val="24"/>
          <w:szCs w:val="24"/>
        </w:rPr>
        <w:t xml:space="preserve">. </w:t>
      </w:r>
      <w:r w:rsidR="00A55CCC">
        <w:rPr>
          <w:rFonts w:ascii="Times New Roman" w:hAnsi="Times New Roman" w:cs="Times New Roman"/>
          <w:sz w:val="24"/>
          <w:szCs w:val="24"/>
        </w:rPr>
        <w:t>F</w:t>
      </w:r>
      <w:r>
        <w:rPr>
          <w:rFonts w:ascii="Times New Roman" w:hAnsi="Times New Roman" w:cs="Times New Roman"/>
          <w:sz w:val="24"/>
          <w:szCs w:val="24"/>
        </w:rPr>
        <w:t>or the purposes of paragraph</w:t>
      </w:r>
      <w:r w:rsidR="00340C33">
        <w:rPr>
          <w:rFonts w:ascii="Times New Roman" w:hAnsi="Times New Roman" w:cs="Times New Roman"/>
          <w:sz w:val="24"/>
          <w:szCs w:val="24"/>
        </w:rPr>
        <w:t> </w:t>
      </w:r>
      <w:r>
        <w:rPr>
          <w:rFonts w:ascii="Times New Roman" w:hAnsi="Times New Roman" w:cs="Times New Roman"/>
          <w:sz w:val="24"/>
          <w:szCs w:val="24"/>
        </w:rPr>
        <w:t>21(5)(b),</w:t>
      </w:r>
      <w:r w:rsidR="00A55CCC">
        <w:rPr>
          <w:rFonts w:ascii="Times New Roman" w:hAnsi="Times New Roman" w:cs="Times New Roman"/>
          <w:sz w:val="24"/>
          <w:szCs w:val="24"/>
        </w:rPr>
        <w:t xml:space="preserve"> subsection 5(2) of the GHG Regulations provides that</w:t>
      </w:r>
      <w:r>
        <w:rPr>
          <w:rFonts w:ascii="Times New Roman" w:hAnsi="Times New Roman" w:cs="Times New Roman"/>
          <w:sz w:val="24"/>
          <w:szCs w:val="24"/>
        </w:rPr>
        <w:t xml:space="preserve"> the expected migration pathway or pathways are to be ascertained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the level of probability specified in subclause 6(1) </w:t>
      </w:r>
      <w:r w:rsidR="00A55CCC">
        <w:rPr>
          <w:rFonts w:ascii="Times New Roman" w:hAnsi="Times New Roman" w:cs="Times New Roman"/>
          <w:sz w:val="24"/>
          <w:szCs w:val="24"/>
        </w:rPr>
        <w:t>of</w:t>
      </w:r>
      <w:r>
        <w:rPr>
          <w:rFonts w:ascii="Times New Roman" w:hAnsi="Times New Roman" w:cs="Times New Roman"/>
          <w:sz w:val="24"/>
          <w:szCs w:val="24"/>
        </w:rPr>
        <w:t xml:space="preserve"> Schedule 1 to the GHG Regulations (that is, a probability of occurrence of </w:t>
      </w:r>
      <w:r w:rsidR="008C5373">
        <w:rPr>
          <w:rFonts w:ascii="Times New Roman" w:hAnsi="Times New Roman" w:cs="Times New Roman"/>
          <w:sz w:val="24"/>
          <w:szCs w:val="24"/>
        </w:rPr>
        <w:t>more than</w:t>
      </w:r>
      <w:r>
        <w:rPr>
          <w:rFonts w:ascii="Times New Roman" w:hAnsi="Times New Roman" w:cs="Times New Roman"/>
          <w:sz w:val="24"/>
          <w:szCs w:val="24"/>
        </w:rPr>
        <w:t xml:space="preserve"> 10%).</w:t>
      </w:r>
    </w:p>
    <w:p w14:paraId="3A89DFE5" w14:textId="070C15F9" w:rsidR="005B484A" w:rsidRDefault="005B484A" w:rsidP="00502CAB">
      <w:pPr>
        <w:pStyle w:val="ActHead5"/>
      </w:pPr>
      <w:r w:rsidRPr="00E4655D">
        <w:t>Section</w:t>
      </w:r>
      <w:r>
        <w:t xml:space="preserve"> 6 – References to declarations under sections 312 and 312A of the Act</w:t>
      </w:r>
    </w:p>
    <w:p w14:paraId="19803370" w14:textId="4128F021" w:rsidR="005B484A" w:rsidRPr="00EE59CE" w:rsidRDefault="005B484A" w:rsidP="00E4655D">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This section</w:t>
      </w:r>
      <w:r w:rsidR="00BF550A">
        <w:rPr>
          <w:rFonts w:ascii="Times New Roman" w:hAnsi="Times New Roman" w:cs="Times New Roman"/>
          <w:sz w:val="24"/>
          <w:szCs w:val="24"/>
        </w:rPr>
        <w:t xml:space="preserve"> provides that if </w:t>
      </w:r>
      <w:r w:rsidR="00BF550A" w:rsidRPr="00BF550A">
        <w:rPr>
          <w:rFonts w:ascii="Times New Roman" w:hAnsi="Times New Roman" w:cs="Times New Roman"/>
          <w:sz w:val="24"/>
          <w:szCs w:val="24"/>
        </w:rPr>
        <w:t>a declaration</w:t>
      </w:r>
      <w:r w:rsidR="00AA1479">
        <w:rPr>
          <w:rFonts w:ascii="Times New Roman" w:hAnsi="Times New Roman" w:cs="Times New Roman"/>
          <w:sz w:val="24"/>
          <w:szCs w:val="24"/>
        </w:rPr>
        <w:t xml:space="preserve"> </w:t>
      </w:r>
      <w:r w:rsidR="001E3D24">
        <w:rPr>
          <w:rFonts w:ascii="Times New Roman" w:hAnsi="Times New Roman" w:cs="Times New Roman"/>
          <w:sz w:val="24"/>
          <w:szCs w:val="24"/>
        </w:rPr>
        <w:t xml:space="preserve">of an identified GHG storage formation </w:t>
      </w:r>
      <w:r w:rsidR="00AA1479">
        <w:rPr>
          <w:rFonts w:ascii="Times New Roman" w:hAnsi="Times New Roman" w:cs="Times New Roman"/>
          <w:sz w:val="24"/>
          <w:szCs w:val="24"/>
        </w:rPr>
        <w:t>by the</w:t>
      </w:r>
      <w:r w:rsidR="00AA1479" w:rsidRPr="00AA1479">
        <w:rPr>
          <w:rFonts w:ascii="Times New Roman" w:hAnsi="Times New Roman" w:cs="Times New Roman"/>
          <w:sz w:val="24"/>
          <w:szCs w:val="24"/>
        </w:rPr>
        <w:t xml:space="preserve"> </w:t>
      </w:r>
      <w:r w:rsidR="00AA1479">
        <w:rPr>
          <w:rFonts w:ascii="Times New Roman" w:hAnsi="Times New Roman" w:cs="Times New Roman"/>
          <w:sz w:val="24"/>
          <w:szCs w:val="24"/>
        </w:rPr>
        <w:t>responsible Commonwealth Minister</w:t>
      </w:r>
      <w:r w:rsidR="00BF550A" w:rsidRPr="00BF550A">
        <w:rPr>
          <w:rFonts w:ascii="Times New Roman" w:hAnsi="Times New Roman" w:cs="Times New Roman"/>
          <w:sz w:val="24"/>
          <w:szCs w:val="24"/>
        </w:rPr>
        <w:t xml:space="preserve"> under section 312 or 312A of the </w:t>
      </w:r>
      <w:r w:rsidR="00BF550A">
        <w:rPr>
          <w:rFonts w:ascii="Times New Roman" w:hAnsi="Times New Roman" w:cs="Times New Roman"/>
          <w:sz w:val="24"/>
          <w:szCs w:val="24"/>
        </w:rPr>
        <w:t>OPGGS</w:t>
      </w:r>
      <w:r w:rsidR="002D4EED">
        <w:rPr>
          <w:rFonts w:ascii="Times New Roman" w:hAnsi="Times New Roman" w:cs="Times New Roman"/>
          <w:sz w:val="24"/>
          <w:szCs w:val="24"/>
        </w:rPr>
        <w:t> </w:t>
      </w:r>
      <w:r w:rsidR="00BF550A" w:rsidRPr="00BF550A">
        <w:rPr>
          <w:rFonts w:ascii="Times New Roman" w:hAnsi="Times New Roman" w:cs="Times New Roman"/>
          <w:sz w:val="24"/>
          <w:szCs w:val="24"/>
        </w:rPr>
        <w:t xml:space="preserve">Act is varied, a reference in </w:t>
      </w:r>
      <w:r w:rsidR="00AA1479">
        <w:rPr>
          <w:rFonts w:ascii="Times New Roman" w:hAnsi="Times New Roman" w:cs="Times New Roman"/>
          <w:sz w:val="24"/>
          <w:szCs w:val="24"/>
        </w:rPr>
        <w:t xml:space="preserve">the GHG </w:t>
      </w:r>
      <w:r w:rsidR="006C4B26">
        <w:rPr>
          <w:rFonts w:ascii="Times New Roman" w:hAnsi="Times New Roman" w:cs="Times New Roman"/>
          <w:sz w:val="24"/>
          <w:szCs w:val="24"/>
        </w:rPr>
        <w:t>R</w:t>
      </w:r>
      <w:r w:rsidR="00AA1479">
        <w:rPr>
          <w:rFonts w:ascii="Times New Roman" w:hAnsi="Times New Roman" w:cs="Times New Roman"/>
          <w:sz w:val="24"/>
          <w:szCs w:val="24"/>
        </w:rPr>
        <w:t xml:space="preserve">egulations </w:t>
      </w:r>
      <w:r w:rsidR="00BF550A" w:rsidRPr="00BF550A">
        <w:rPr>
          <w:rFonts w:ascii="Times New Roman" w:hAnsi="Times New Roman" w:cs="Times New Roman"/>
          <w:sz w:val="24"/>
          <w:szCs w:val="24"/>
        </w:rPr>
        <w:t>to the declaration is a reference to the declaration as varied</w:t>
      </w:r>
      <w:r w:rsidR="00BF550A">
        <w:rPr>
          <w:rFonts w:ascii="Times New Roman" w:hAnsi="Times New Roman" w:cs="Times New Roman"/>
          <w:sz w:val="24"/>
          <w:szCs w:val="24"/>
        </w:rPr>
        <w:t xml:space="preserve">. </w:t>
      </w:r>
      <w:r w:rsidR="001E3D24" w:rsidRPr="00687854">
        <w:rPr>
          <w:rFonts w:ascii="Times New Roman" w:hAnsi="Times New Roman" w:cs="Times New Roman"/>
          <w:sz w:val="24"/>
          <w:szCs w:val="24"/>
        </w:rPr>
        <w:t xml:space="preserve">A declaration of an identified GHG storage formation </w:t>
      </w:r>
      <w:r w:rsidR="001E3D24">
        <w:rPr>
          <w:rFonts w:ascii="Times New Roman" w:hAnsi="Times New Roman" w:cs="Times New Roman"/>
          <w:sz w:val="24"/>
          <w:szCs w:val="24"/>
        </w:rPr>
        <w:t xml:space="preserve">includes information such as the spatial extent and fundamental suitability determinants of the </w:t>
      </w:r>
      <w:proofErr w:type="gramStart"/>
      <w:r w:rsidR="001E3D24">
        <w:rPr>
          <w:rFonts w:ascii="Times New Roman" w:hAnsi="Times New Roman" w:cs="Times New Roman"/>
          <w:sz w:val="24"/>
          <w:szCs w:val="24"/>
        </w:rPr>
        <w:t>formation, and</w:t>
      </w:r>
      <w:proofErr w:type="gramEnd"/>
      <w:r w:rsidR="001E3D24">
        <w:rPr>
          <w:rFonts w:ascii="Times New Roman" w:hAnsi="Times New Roman" w:cs="Times New Roman"/>
          <w:sz w:val="24"/>
          <w:szCs w:val="24"/>
        </w:rPr>
        <w:t xml:space="preserve"> </w:t>
      </w:r>
      <w:r w:rsidR="001E3D24" w:rsidRPr="00687854">
        <w:rPr>
          <w:rFonts w:ascii="Times New Roman" w:hAnsi="Times New Roman" w:cs="Times New Roman"/>
          <w:sz w:val="24"/>
          <w:szCs w:val="24"/>
        </w:rPr>
        <w:t xml:space="preserve">retains its significance over the life of </w:t>
      </w:r>
      <w:r w:rsidR="001E3D24">
        <w:rPr>
          <w:rFonts w:ascii="Times New Roman" w:hAnsi="Times New Roman" w:cs="Times New Roman"/>
          <w:sz w:val="24"/>
          <w:szCs w:val="24"/>
        </w:rPr>
        <w:t>a</w:t>
      </w:r>
      <w:r w:rsidR="001E3D24" w:rsidRPr="00687854">
        <w:rPr>
          <w:rFonts w:ascii="Times New Roman" w:hAnsi="Times New Roman" w:cs="Times New Roman"/>
          <w:sz w:val="24"/>
          <w:szCs w:val="24"/>
        </w:rPr>
        <w:t xml:space="preserve"> GHG</w:t>
      </w:r>
      <w:r w:rsidR="001E3D24">
        <w:rPr>
          <w:rFonts w:ascii="Times New Roman" w:hAnsi="Times New Roman" w:cs="Times New Roman"/>
          <w:sz w:val="24"/>
          <w:szCs w:val="24"/>
        </w:rPr>
        <w:t xml:space="preserve"> injection and</w:t>
      </w:r>
      <w:r w:rsidR="001E3D24" w:rsidRPr="00687854">
        <w:rPr>
          <w:rFonts w:ascii="Times New Roman" w:hAnsi="Times New Roman" w:cs="Times New Roman"/>
          <w:sz w:val="24"/>
          <w:szCs w:val="24"/>
        </w:rPr>
        <w:t xml:space="preserve"> storage project.</w:t>
      </w:r>
      <w:r w:rsidR="001E3D24">
        <w:rPr>
          <w:rFonts w:ascii="Times New Roman" w:hAnsi="Times New Roman" w:cs="Times New Roman"/>
          <w:sz w:val="24"/>
          <w:szCs w:val="24"/>
        </w:rPr>
        <w:t xml:space="preserve"> Section 6 ensures </w:t>
      </w:r>
      <w:proofErr w:type="gramStart"/>
      <w:r w:rsidR="001E3D24">
        <w:rPr>
          <w:rFonts w:ascii="Times New Roman" w:hAnsi="Times New Roman" w:cs="Times New Roman"/>
          <w:sz w:val="24"/>
          <w:szCs w:val="24"/>
        </w:rPr>
        <w:t>it is clear that the</w:t>
      </w:r>
      <w:proofErr w:type="gramEnd"/>
      <w:r w:rsidR="001E3D24">
        <w:rPr>
          <w:rFonts w:ascii="Times New Roman" w:hAnsi="Times New Roman" w:cs="Times New Roman"/>
          <w:sz w:val="24"/>
          <w:szCs w:val="24"/>
        </w:rPr>
        <w:t xml:space="preserve"> current </w:t>
      </w:r>
      <w:r w:rsidR="008C5373">
        <w:rPr>
          <w:rFonts w:ascii="Times New Roman" w:hAnsi="Times New Roman" w:cs="Times New Roman"/>
          <w:sz w:val="24"/>
          <w:szCs w:val="24"/>
        </w:rPr>
        <w:t>declaration</w:t>
      </w:r>
      <w:r w:rsidR="001E3D24">
        <w:rPr>
          <w:rFonts w:ascii="Times New Roman" w:hAnsi="Times New Roman" w:cs="Times New Roman"/>
          <w:sz w:val="24"/>
          <w:szCs w:val="24"/>
        </w:rPr>
        <w:t xml:space="preserve"> at a particular point in time (which may be a </w:t>
      </w:r>
      <w:r w:rsidR="008C5373">
        <w:rPr>
          <w:rFonts w:ascii="Times New Roman" w:hAnsi="Times New Roman" w:cs="Times New Roman"/>
          <w:sz w:val="24"/>
          <w:szCs w:val="24"/>
        </w:rPr>
        <w:t>declaration</w:t>
      </w:r>
      <w:r w:rsidR="001E3D24">
        <w:rPr>
          <w:rFonts w:ascii="Times New Roman" w:hAnsi="Times New Roman" w:cs="Times New Roman"/>
          <w:sz w:val="24"/>
          <w:szCs w:val="24"/>
        </w:rPr>
        <w:t xml:space="preserve"> as varied) is relevant where the GHG Regulations refer to the </w:t>
      </w:r>
      <w:r w:rsidR="008C5373">
        <w:rPr>
          <w:rFonts w:ascii="Times New Roman" w:hAnsi="Times New Roman" w:cs="Times New Roman"/>
          <w:sz w:val="24"/>
          <w:szCs w:val="24"/>
        </w:rPr>
        <w:t>declaration</w:t>
      </w:r>
      <w:r w:rsidR="001E3D24">
        <w:rPr>
          <w:rFonts w:ascii="Times New Roman" w:hAnsi="Times New Roman" w:cs="Times New Roman"/>
          <w:sz w:val="24"/>
          <w:szCs w:val="24"/>
        </w:rPr>
        <w:t xml:space="preserve">. </w:t>
      </w:r>
      <w:r w:rsidR="00BF550A">
        <w:rPr>
          <w:rFonts w:ascii="Times New Roman" w:hAnsi="Times New Roman" w:cs="Times New Roman"/>
          <w:sz w:val="24"/>
          <w:szCs w:val="24"/>
        </w:rPr>
        <w:t xml:space="preserve"> </w:t>
      </w:r>
    </w:p>
    <w:p w14:paraId="4167E029" w14:textId="02395C55" w:rsidR="00033141" w:rsidRPr="0026435D" w:rsidRDefault="00033141" w:rsidP="00CA41D7">
      <w:pPr>
        <w:pStyle w:val="ActHead2"/>
      </w:pPr>
      <w:r w:rsidRPr="0026435D">
        <w:lastRenderedPageBreak/>
        <w:t xml:space="preserve">Part </w:t>
      </w:r>
      <w:r w:rsidR="00127117">
        <w:t>2</w:t>
      </w:r>
      <w:r w:rsidRPr="0026435D">
        <w:t xml:space="preserve"> – </w:t>
      </w:r>
      <w:r w:rsidR="0030429F">
        <w:t>Significant risk of a significant adverse impact</w:t>
      </w:r>
    </w:p>
    <w:p w14:paraId="06FE6E08" w14:textId="0B6D23D3" w:rsidR="004829AF" w:rsidRDefault="004829AF" w:rsidP="00502CAB">
      <w:pPr>
        <w:pStyle w:val="ActHead5"/>
        <w:spacing w:after="240"/>
      </w:pPr>
      <w:r>
        <w:t xml:space="preserve">Section </w:t>
      </w:r>
      <w:r w:rsidR="007F74F7">
        <w:t>7</w:t>
      </w:r>
      <w:r w:rsidR="00B51B65">
        <w:t xml:space="preserve"> – </w:t>
      </w:r>
      <w:r>
        <w:t>Simplified outline of this Part</w:t>
      </w:r>
    </w:p>
    <w:p w14:paraId="33D19118" w14:textId="314A8FE9" w:rsidR="00A95BB0" w:rsidRDefault="00A95BB0" w:rsidP="00A95BB0">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sets out </w:t>
      </w:r>
      <w:r>
        <w:rPr>
          <w:rFonts w:ascii="Times New Roman" w:hAnsi="Times New Roman" w:cs="Times New Roman"/>
          <w:sz w:val="24"/>
          <w:szCs w:val="24"/>
        </w:rPr>
        <w:t>a</w:t>
      </w:r>
      <w:r w:rsidRPr="0071367A">
        <w:rPr>
          <w:rFonts w:ascii="Times New Roman" w:hAnsi="Times New Roman" w:cs="Times New Roman"/>
          <w:sz w:val="24"/>
          <w:szCs w:val="24"/>
        </w:rPr>
        <w:t xml:space="preserve"> </w:t>
      </w:r>
      <w:r>
        <w:rPr>
          <w:rFonts w:ascii="Times New Roman" w:hAnsi="Times New Roman" w:cs="Times New Roman"/>
          <w:sz w:val="24"/>
          <w:szCs w:val="24"/>
        </w:rPr>
        <w:t xml:space="preserve">simplified outline </w:t>
      </w:r>
      <w:r w:rsidRPr="0071367A">
        <w:rPr>
          <w:rFonts w:ascii="Times New Roman" w:hAnsi="Times New Roman" w:cs="Times New Roman"/>
          <w:sz w:val="24"/>
          <w:szCs w:val="24"/>
        </w:rPr>
        <w:t xml:space="preserve">of </w:t>
      </w:r>
      <w:r>
        <w:rPr>
          <w:rFonts w:ascii="Times New Roman" w:hAnsi="Times New Roman" w:cs="Times New Roman"/>
          <w:sz w:val="24"/>
          <w:szCs w:val="24"/>
        </w:rPr>
        <w:t xml:space="preserve">Part 2 of </w:t>
      </w:r>
      <w:r w:rsidRPr="0071367A">
        <w:rPr>
          <w:rFonts w:ascii="Times New Roman" w:hAnsi="Times New Roman" w:cs="Times New Roman"/>
          <w:sz w:val="24"/>
          <w:szCs w:val="24"/>
        </w:rPr>
        <w:t xml:space="preserve">the </w:t>
      </w:r>
      <w:r>
        <w:rPr>
          <w:rFonts w:ascii="Times New Roman" w:hAnsi="Times New Roman" w:cs="Times New Roman"/>
          <w:sz w:val="24"/>
          <w:szCs w:val="24"/>
        </w:rPr>
        <w:t xml:space="preserve">GHG </w:t>
      </w:r>
      <w:r w:rsidRPr="0071367A">
        <w:rPr>
          <w:rFonts w:ascii="Times New Roman" w:hAnsi="Times New Roman" w:cs="Times New Roman"/>
          <w:sz w:val="24"/>
          <w:szCs w:val="24"/>
        </w:rPr>
        <w:t>Regulations</w:t>
      </w:r>
      <w:r w:rsidRPr="00E32A1E">
        <w:rPr>
          <w:rFonts w:ascii="Times New Roman" w:hAnsi="Times New Roman" w:cs="Times New Roman"/>
          <w:sz w:val="24"/>
          <w:szCs w:val="24"/>
        </w:rPr>
        <w:t xml:space="preserve">. </w:t>
      </w:r>
      <w:r>
        <w:rPr>
          <w:rFonts w:ascii="Times New Roman" w:hAnsi="Times New Roman" w:cs="Times New Roman"/>
          <w:sz w:val="24"/>
          <w:szCs w:val="24"/>
        </w:rPr>
        <w:t>While s</w:t>
      </w:r>
      <w:r w:rsidRPr="00E32A1E">
        <w:rPr>
          <w:rFonts w:ascii="Times New Roman" w:hAnsi="Times New Roman" w:cs="Times New Roman"/>
          <w:sz w:val="24"/>
          <w:szCs w:val="24"/>
        </w:rPr>
        <w:t>implified outlines are included to assist readers to understand the substantive provisions, the outlines are not intended to be comprehensive. It is intended that readers should rely on the substantive provisions</w:t>
      </w:r>
      <w:r>
        <w:rPr>
          <w:rFonts w:ascii="Times New Roman" w:hAnsi="Times New Roman" w:cs="Times New Roman"/>
          <w:sz w:val="24"/>
          <w:szCs w:val="24"/>
        </w:rPr>
        <w:t>.</w:t>
      </w:r>
    </w:p>
    <w:p w14:paraId="1619EEC1" w14:textId="16033AA5" w:rsidR="004829AF" w:rsidRDefault="004829AF" w:rsidP="00502CAB">
      <w:pPr>
        <w:pStyle w:val="ActHead5"/>
        <w:spacing w:after="240"/>
      </w:pPr>
      <w:r>
        <w:t xml:space="preserve">Section </w:t>
      </w:r>
      <w:r w:rsidR="007F74F7">
        <w:t>8</w:t>
      </w:r>
      <w:r>
        <w:t xml:space="preserve"> – Purpose of </w:t>
      </w:r>
      <w:r w:rsidR="007F74F7">
        <w:t xml:space="preserve">this </w:t>
      </w:r>
      <w:r>
        <w:t>Part</w:t>
      </w:r>
    </w:p>
    <w:p w14:paraId="58541DEE" w14:textId="2A9EE46F" w:rsidR="00746189" w:rsidRPr="00746189" w:rsidRDefault="004829AF" w:rsidP="00746189">
      <w:pPr>
        <w:rPr>
          <w:rFonts w:ascii="Times New Roman" w:hAnsi="Times New Roman" w:cs="Times New Roman"/>
          <w:sz w:val="24"/>
          <w:szCs w:val="24"/>
        </w:rPr>
      </w:pPr>
      <w:r>
        <w:rPr>
          <w:rFonts w:ascii="Times New Roman" w:hAnsi="Times New Roman" w:cs="Times New Roman"/>
          <w:sz w:val="24"/>
          <w:szCs w:val="24"/>
        </w:rPr>
        <w:t xml:space="preserve">This section </w:t>
      </w:r>
      <w:r w:rsidR="00E87360">
        <w:rPr>
          <w:rFonts w:ascii="Times New Roman" w:hAnsi="Times New Roman" w:cs="Times New Roman"/>
          <w:sz w:val="24"/>
          <w:szCs w:val="24"/>
        </w:rPr>
        <w:t xml:space="preserve">sets out the purpose of Part 2 of the GHG Regulations. </w:t>
      </w:r>
      <w:r w:rsidR="006652FB">
        <w:rPr>
          <w:rFonts w:ascii="Times New Roman" w:hAnsi="Times New Roman" w:cs="Times New Roman"/>
          <w:sz w:val="24"/>
          <w:szCs w:val="24"/>
        </w:rPr>
        <w:t xml:space="preserve">Part 2 </w:t>
      </w:r>
      <w:r w:rsidR="00746189" w:rsidRPr="00746189">
        <w:rPr>
          <w:rFonts w:ascii="Times New Roman" w:hAnsi="Times New Roman" w:cs="Times New Roman"/>
          <w:sz w:val="24"/>
          <w:szCs w:val="24"/>
        </w:rPr>
        <w:t>prescribes</w:t>
      </w:r>
      <w:r w:rsidR="00E87360">
        <w:rPr>
          <w:rFonts w:ascii="Times New Roman" w:hAnsi="Times New Roman" w:cs="Times New Roman"/>
          <w:sz w:val="24"/>
          <w:szCs w:val="24"/>
        </w:rPr>
        <w:t xml:space="preserve"> </w:t>
      </w:r>
      <w:proofErr w:type="gramStart"/>
      <w:r w:rsidR="00E87360">
        <w:rPr>
          <w:rFonts w:ascii="Times New Roman" w:hAnsi="Times New Roman" w:cs="Times New Roman"/>
          <w:sz w:val="24"/>
          <w:szCs w:val="24"/>
        </w:rPr>
        <w:t>particular matters</w:t>
      </w:r>
      <w:proofErr w:type="gramEnd"/>
      <w:r w:rsidR="00746189" w:rsidRPr="00746189">
        <w:rPr>
          <w:rFonts w:ascii="Times New Roman" w:hAnsi="Times New Roman" w:cs="Times New Roman"/>
          <w:sz w:val="24"/>
          <w:szCs w:val="24"/>
        </w:rPr>
        <w:t xml:space="preserve"> for the purposes of each SROSAI section</w:t>
      </w:r>
      <w:r w:rsidR="00E87360">
        <w:rPr>
          <w:rFonts w:ascii="Times New Roman" w:hAnsi="Times New Roman" w:cs="Times New Roman"/>
          <w:sz w:val="24"/>
          <w:szCs w:val="24"/>
        </w:rPr>
        <w:t xml:space="preserve">. See discussion regarding the definition of </w:t>
      </w:r>
      <w:r w:rsidR="00E87360">
        <w:rPr>
          <w:rFonts w:ascii="Times New Roman" w:hAnsi="Times New Roman" w:cs="Times New Roman"/>
          <w:b/>
          <w:bCs/>
          <w:i/>
          <w:iCs/>
          <w:sz w:val="24"/>
          <w:szCs w:val="24"/>
        </w:rPr>
        <w:t>SROSAI section</w:t>
      </w:r>
      <w:r w:rsidR="00E87360">
        <w:rPr>
          <w:rFonts w:ascii="Times New Roman" w:hAnsi="Times New Roman" w:cs="Times New Roman"/>
          <w:sz w:val="24"/>
          <w:szCs w:val="24"/>
        </w:rPr>
        <w:t xml:space="preserve"> in section 5 above.</w:t>
      </w:r>
    </w:p>
    <w:p w14:paraId="220E3751" w14:textId="37F209B8" w:rsidR="004829AF" w:rsidRPr="00E87360" w:rsidRDefault="004829AF" w:rsidP="00E87360">
      <w:pPr>
        <w:pStyle w:val="NormalWeb"/>
        <w:shd w:val="clear" w:color="auto" w:fill="FFFFFF"/>
        <w:spacing w:before="0" w:beforeAutospacing="0" w:after="180" w:afterAutospacing="0"/>
        <w:rPr>
          <w:b/>
          <w:bCs/>
        </w:rPr>
      </w:pPr>
      <w:r w:rsidRPr="00E87360">
        <w:rPr>
          <w:b/>
          <w:bCs/>
        </w:rPr>
        <w:t xml:space="preserve">Section </w:t>
      </w:r>
      <w:r w:rsidR="007F74F7" w:rsidRPr="00E87360">
        <w:rPr>
          <w:b/>
          <w:bCs/>
        </w:rPr>
        <w:t>9</w:t>
      </w:r>
      <w:r w:rsidRPr="00E87360">
        <w:rPr>
          <w:b/>
          <w:bCs/>
        </w:rPr>
        <w:t xml:space="preserve"> – Manner of determining whether </w:t>
      </w:r>
      <w:r w:rsidR="00E87360">
        <w:rPr>
          <w:b/>
          <w:bCs/>
        </w:rPr>
        <w:t xml:space="preserve">there is </w:t>
      </w:r>
      <w:r w:rsidRPr="00E87360">
        <w:rPr>
          <w:b/>
          <w:bCs/>
        </w:rPr>
        <w:t>significant risk of significant adverse</w:t>
      </w:r>
      <w:r w:rsidR="00E87360" w:rsidRPr="00E87360">
        <w:rPr>
          <w:b/>
          <w:bCs/>
        </w:rPr>
        <w:t xml:space="preserve"> </w:t>
      </w:r>
      <w:proofErr w:type="gramStart"/>
      <w:r w:rsidRPr="00E87360">
        <w:rPr>
          <w:b/>
          <w:bCs/>
        </w:rPr>
        <w:t>impact</w:t>
      </w:r>
      <w:proofErr w:type="gramEnd"/>
    </w:p>
    <w:p w14:paraId="6D360154" w14:textId="5CFBCBDD" w:rsidR="00D6322C" w:rsidRDefault="00E87360" w:rsidP="0060075E">
      <w:pPr>
        <w:pStyle w:val="NormalWeb"/>
        <w:shd w:val="clear" w:color="auto" w:fill="FFFFFF"/>
        <w:spacing w:before="0" w:beforeAutospacing="0" w:after="180" w:afterAutospacing="0"/>
        <w:rPr>
          <w:color w:val="333333"/>
        </w:rPr>
      </w:pPr>
      <w:r>
        <w:t>Subsection (1) of each SROSAI section in the OPGGS Act provides that the question of whether there is a significant risk that an operation carried on under a title will have a significant adverse impact on operations</w:t>
      </w:r>
      <w:r w:rsidR="00D82C18">
        <w:t xml:space="preserve"> under another title</w:t>
      </w:r>
      <w:r>
        <w:t xml:space="preserve"> is to be determined in a manner ascertained in accordance with the regulations. For the purposes of those subsections, subsection 9(1) of the GHG Regulations</w:t>
      </w:r>
      <w:r w:rsidR="004829AF">
        <w:t xml:space="preserve"> </w:t>
      </w:r>
      <w:r w:rsidR="005E4662">
        <w:rPr>
          <w:color w:val="333333"/>
        </w:rPr>
        <w:t>sets out</w:t>
      </w:r>
      <w:r w:rsidR="0060075E" w:rsidRPr="00493528">
        <w:rPr>
          <w:color w:val="333333"/>
        </w:rPr>
        <w:t xml:space="preserve"> </w:t>
      </w:r>
      <w:r w:rsidR="00C118A5">
        <w:rPr>
          <w:color w:val="333333"/>
        </w:rPr>
        <w:t xml:space="preserve">the </w:t>
      </w:r>
      <w:r>
        <w:rPr>
          <w:color w:val="333333"/>
        </w:rPr>
        <w:t>manner of</w:t>
      </w:r>
      <w:r w:rsidR="00C118A5">
        <w:rPr>
          <w:color w:val="333333"/>
        </w:rPr>
        <w:t xml:space="preserve"> </w:t>
      </w:r>
      <w:r w:rsidR="0060075E" w:rsidRPr="00493528">
        <w:rPr>
          <w:color w:val="333333"/>
        </w:rPr>
        <w:t>determin</w:t>
      </w:r>
      <w:r w:rsidR="00C118A5">
        <w:rPr>
          <w:color w:val="333333"/>
        </w:rPr>
        <w:t>ing</w:t>
      </w:r>
      <w:r w:rsidR="0060075E" w:rsidRPr="00493528">
        <w:rPr>
          <w:color w:val="333333"/>
        </w:rPr>
        <w:t xml:space="preserve"> whether there </w:t>
      </w:r>
      <w:r>
        <w:rPr>
          <w:color w:val="333333"/>
        </w:rPr>
        <w:t>is</w:t>
      </w:r>
      <w:r w:rsidR="0060075E" w:rsidRPr="00493528">
        <w:rPr>
          <w:color w:val="333333"/>
        </w:rPr>
        <w:t xml:space="preserve"> a </w:t>
      </w:r>
      <w:r w:rsidR="008C5373">
        <w:rPr>
          <w:color w:val="333333"/>
        </w:rPr>
        <w:t>significant risk of a significant adverse impact (</w:t>
      </w:r>
      <w:r w:rsidR="00A26059">
        <w:rPr>
          <w:color w:val="333333"/>
        </w:rPr>
        <w:t>SROSAI</w:t>
      </w:r>
      <w:r w:rsidR="008C5373">
        <w:rPr>
          <w:color w:val="333333"/>
        </w:rPr>
        <w:t>)</w:t>
      </w:r>
      <w:r w:rsidR="0060075E" w:rsidRPr="006652FB">
        <w:rPr>
          <w:color w:val="333333"/>
        </w:rPr>
        <w:t>. </w:t>
      </w:r>
      <w:r w:rsidR="00D6322C">
        <w:rPr>
          <w:color w:val="333333"/>
        </w:rPr>
        <w:t xml:space="preserve"> </w:t>
      </w:r>
    </w:p>
    <w:p w14:paraId="33A53076" w14:textId="296DCD4F" w:rsidR="00C151F4" w:rsidRDefault="008C5373" w:rsidP="0060075E">
      <w:pPr>
        <w:pStyle w:val="NormalWeb"/>
        <w:shd w:val="clear" w:color="auto" w:fill="FFFFFF"/>
        <w:spacing w:before="0" w:beforeAutospacing="0" w:after="180" w:afterAutospacing="0"/>
        <w:rPr>
          <w:color w:val="333333"/>
        </w:rPr>
      </w:pPr>
      <w:r>
        <w:rPr>
          <w:color w:val="333333"/>
        </w:rPr>
        <w:t>Subsection 9(1) provides that t</w:t>
      </w:r>
      <w:r w:rsidR="00E87360">
        <w:rPr>
          <w:color w:val="333333"/>
        </w:rPr>
        <w:t>here is a significant risk of a main operation having a significant adverse impact on potentially affected operations under a potentially affected title if the probab</w:t>
      </w:r>
      <w:r w:rsidR="00D82C18">
        <w:rPr>
          <w:color w:val="333333"/>
        </w:rPr>
        <w:t>i</w:t>
      </w:r>
      <w:r w:rsidR="00E87360">
        <w:rPr>
          <w:color w:val="333333"/>
        </w:rPr>
        <w:t>l</w:t>
      </w:r>
      <w:r w:rsidR="00D82C18">
        <w:rPr>
          <w:color w:val="333333"/>
        </w:rPr>
        <w:t>it</w:t>
      </w:r>
      <w:r w:rsidR="00E87360">
        <w:rPr>
          <w:color w:val="333333"/>
        </w:rPr>
        <w:t xml:space="preserve">y-weighted impact cost of the main operation is at least </w:t>
      </w:r>
      <w:r>
        <w:rPr>
          <w:color w:val="333333"/>
        </w:rPr>
        <w:t>0</w:t>
      </w:r>
      <w:r w:rsidR="00E87360">
        <w:rPr>
          <w:color w:val="333333"/>
        </w:rPr>
        <w:t xml:space="preserve">0.15% of the potential economic value of the potentially affected operations. The terms </w:t>
      </w:r>
      <w:r w:rsidR="00E87360">
        <w:rPr>
          <w:b/>
          <w:bCs/>
          <w:i/>
          <w:iCs/>
          <w:color w:val="333333"/>
        </w:rPr>
        <w:t>main operation</w:t>
      </w:r>
      <w:r w:rsidR="00E87360">
        <w:rPr>
          <w:color w:val="333333"/>
        </w:rPr>
        <w:t xml:space="preserve">, </w:t>
      </w:r>
      <w:r w:rsidR="00E87360">
        <w:rPr>
          <w:b/>
          <w:bCs/>
          <w:i/>
          <w:iCs/>
          <w:color w:val="333333"/>
        </w:rPr>
        <w:t>potentially affected operations</w:t>
      </w:r>
      <w:r w:rsidR="00E87360">
        <w:rPr>
          <w:color w:val="333333"/>
        </w:rPr>
        <w:t xml:space="preserve"> and </w:t>
      </w:r>
      <w:r w:rsidR="00E87360">
        <w:rPr>
          <w:b/>
          <w:bCs/>
          <w:i/>
          <w:iCs/>
          <w:color w:val="333333"/>
        </w:rPr>
        <w:t>potentially affected title</w:t>
      </w:r>
      <w:r w:rsidR="00E87360">
        <w:rPr>
          <w:color w:val="333333"/>
        </w:rPr>
        <w:t xml:space="preserve"> are defined in section 5.</w:t>
      </w:r>
      <w:r w:rsidR="00C151F4">
        <w:rPr>
          <w:color w:val="333333"/>
        </w:rPr>
        <w:t xml:space="preserve"> </w:t>
      </w:r>
      <w:r w:rsidR="005A0A54">
        <w:rPr>
          <w:color w:val="333333"/>
        </w:rPr>
        <w:t>S</w:t>
      </w:r>
      <w:r w:rsidR="00C118A5">
        <w:rPr>
          <w:color w:val="333333"/>
        </w:rPr>
        <w:t>ubsection</w:t>
      </w:r>
      <w:r w:rsidR="005A0A54">
        <w:rPr>
          <w:color w:val="333333"/>
        </w:rPr>
        <w:t xml:space="preserve"> 9(2) </w:t>
      </w:r>
      <w:r w:rsidR="00C118A5">
        <w:rPr>
          <w:color w:val="333333"/>
        </w:rPr>
        <w:t>provide</w:t>
      </w:r>
      <w:r w:rsidR="005A0A54">
        <w:rPr>
          <w:color w:val="333333"/>
        </w:rPr>
        <w:t>s</w:t>
      </w:r>
      <w:r w:rsidR="00C118A5">
        <w:rPr>
          <w:color w:val="333333"/>
        </w:rPr>
        <w:t xml:space="preserve"> </w:t>
      </w:r>
      <w:proofErr w:type="gramStart"/>
      <w:r w:rsidR="00C118A5">
        <w:rPr>
          <w:color w:val="333333"/>
        </w:rPr>
        <w:t xml:space="preserve">for </w:t>
      </w:r>
      <w:r w:rsidR="005A0A54">
        <w:rPr>
          <w:color w:val="333333"/>
        </w:rPr>
        <w:t>the</w:t>
      </w:r>
      <w:r w:rsidR="00D82C18">
        <w:rPr>
          <w:color w:val="333333"/>
        </w:rPr>
        <w:t xml:space="preserve"> manner in which</w:t>
      </w:r>
      <w:proofErr w:type="gramEnd"/>
      <w:r w:rsidR="00D82C18">
        <w:rPr>
          <w:color w:val="333333"/>
        </w:rPr>
        <w:t xml:space="preserve"> the</w:t>
      </w:r>
      <w:r w:rsidR="005A0A54">
        <w:rPr>
          <w:color w:val="333333"/>
        </w:rPr>
        <w:t xml:space="preserve"> probability-weighted impact cost</w:t>
      </w:r>
      <w:r w:rsidR="00C118A5">
        <w:rPr>
          <w:color w:val="333333"/>
        </w:rPr>
        <w:t xml:space="preserve"> </w:t>
      </w:r>
      <w:r w:rsidR="005A0A54">
        <w:rPr>
          <w:color w:val="333333"/>
        </w:rPr>
        <w:t xml:space="preserve">of the main operation </w:t>
      </w:r>
      <w:r w:rsidR="00C118A5">
        <w:rPr>
          <w:color w:val="333333"/>
        </w:rPr>
        <w:t>is to be determined.</w:t>
      </w:r>
      <w:r w:rsidR="005A0A54">
        <w:rPr>
          <w:color w:val="333333"/>
        </w:rPr>
        <w:t xml:space="preserve"> Subsection 9(5) provides </w:t>
      </w:r>
      <w:proofErr w:type="gramStart"/>
      <w:r w:rsidR="005A0A54">
        <w:rPr>
          <w:color w:val="333333"/>
        </w:rPr>
        <w:t xml:space="preserve">for </w:t>
      </w:r>
      <w:r w:rsidR="00D82C18">
        <w:rPr>
          <w:color w:val="333333"/>
        </w:rPr>
        <w:t>t</w:t>
      </w:r>
      <w:r w:rsidR="005A0A54">
        <w:rPr>
          <w:color w:val="333333"/>
        </w:rPr>
        <w:t>he</w:t>
      </w:r>
      <w:r w:rsidR="00D82C18">
        <w:rPr>
          <w:color w:val="333333"/>
        </w:rPr>
        <w:t xml:space="preserve"> manner in which</w:t>
      </w:r>
      <w:proofErr w:type="gramEnd"/>
      <w:r w:rsidR="00D82C18">
        <w:rPr>
          <w:color w:val="333333"/>
        </w:rPr>
        <w:t xml:space="preserve"> the</w:t>
      </w:r>
      <w:r w:rsidR="005A0A54">
        <w:rPr>
          <w:color w:val="333333"/>
        </w:rPr>
        <w:t xml:space="preserve"> potential economic value of the potentially affected operations is to be determined.</w:t>
      </w:r>
    </w:p>
    <w:p w14:paraId="586A6CF4" w14:textId="773067A4" w:rsidR="005A0A54" w:rsidRDefault="005A0A54" w:rsidP="0060075E">
      <w:pPr>
        <w:pStyle w:val="NormalWeb"/>
        <w:shd w:val="clear" w:color="auto" w:fill="FFFFFF"/>
        <w:spacing w:before="0" w:beforeAutospacing="0" w:after="180" w:afterAutospacing="0"/>
        <w:rPr>
          <w:color w:val="333333"/>
        </w:rPr>
      </w:pPr>
      <w:r>
        <w:rPr>
          <w:color w:val="333333"/>
        </w:rPr>
        <w:t xml:space="preserve">The </w:t>
      </w:r>
      <w:r w:rsidR="008C5373">
        <w:rPr>
          <w:color w:val="333333"/>
        </w:rPr>
        <w:t>n</w:t>
      </w:r>
      <w:r>
        <w:rPr>
          <w:color w:val="333333"/>
        </w:rPr>
        <w:t xml:space="preserve">ote to subsection 9(1) informs the reader that certain additional matters are set out in each SROSAI section in the OPGGS Act that must be considered when a decision-maker is determining whether there is a </w:t>
      </w:r>
      <w:r w:rsidR="00B26FC3">
        <w:rPr>
          <w:color w:val="333333"/>
        </w:rPr>
        <w:t>SROSAI</w:t>
      </w:r>
      <w:r>
        <w:rPr>
          <w:color w:val="333333"/>
        </w:rPr>
        <w:t xml:space="preserve">. For example, subsection (5) of each SROSAI section provides that a main operation will have an adverse impact on potentially affected operations </w:t>
      </w:r>
      <w:r w:rsidRPr="005A0A54">
        <w:rPr>
          <w:color w:val="333333"/>
          <w:u w:val="single"/>
        </w:rPr>
        <w:t>only</w:t>
      </w:r>
      <w:r>
        <w:rPr>
          <w:color w:val="333333"/>
        </w:rPr>
        <w:t xml:space="preserve"> if the main operation will result in an increase in the capital costs or operating costs of the potentially affected operations, a reduction in the rate of injection of a GHG substance or rate of recovery of petroleum (as applicable), or a reduction in the quantity of a GHG substance that will be able to be stored or the quantity of petroleum that will be able to be recovered (as applicable).</w:t>
      </w:r>
    </w:p>
    <w:p w14:paraId="7BCFE92C" w14:textId="1BBFE922" w:rsidR="007361A6" w:rsidRDefault="007361A6" w:rsidP="0054660F">
      <w:pPr>
        <w:pStyle w:val="NormalWeb"/>
        <w:shd w:val="clear" w:color="auto" w:fill="FFFFFF"/>
        <w:spacing w:after="180"/>
        <w:rPr>
          <w:color w:val="333333"/>
        </w:rPr>
      </w:pPr>
      <w:r>
        <w:rPr>
          <w:color w:val="333333"/>
        </w:rPr>
        <w:t xml:space="preserve">Subsection (6) of each SROSAI section </w:t>
      </w:r>
      <w:r w:rsidR="00D82C18">
        <w:rPr>
          <w:color w:val="333333"/>
        </w:rPr>
        <w:t>refers to</w:t>
      </w:r>
      <w:r>
        <w:rPr>
          <w:color w:val="333333"/>
        </w:rPr>
        <w:t xml:space="preserve"> the amount that, under the regulations, is taken to be the probability-weighted impact cost of a main operation. For the purposes of those subsections, s</w:t>
      </w:r>
      <w:r w:rsidR="00C151F4">
        <w:rPr>
          <w:color w:val="333333"/>
        </w:rPr>
        <w:t>ubsection 9(2)</w:t>
      </w:r>
      <w:r>
        <w:rPr>
          <w:color w:val="333333"/>
        </w:rPr>
        <w:t xml:space="preserve"> sets out the manner of determining the probability-weight</w:t>
      </w:r>
      <w:r w:rsidR="008C5373">
        <w:rPr>
          <w:color w:val="333333"/>
        </w:rPr>
        <w:t>ed</w:t>
      </w:r>
      <w:r>
        <w:rPr>
          <w:color w:val="333333"/>
        </w:rPr>
        <w:t xml:space="preserve"> impact cost of a main operation.</w:t>
      </w:r>
      <w:r w:rsidR="00C151F4">
        <w:rPr>
          <w:color w:val="333333"/>
        </w:rPr>
        <w:t xml:space="preserve"> </w:t>
      </w:r>
    </w:p>
    <w:p w14:paraId="1895AE1D" w14:textId="364C52EF" w:rsidR="007361A6" w:rsidRDefault="007361A6" w:rsidP="0054660F">
      <w:pPr>
        <w:pStyle w:val="NormalWeb"/>
        <w:shd w:val="clear" w:color="auto" w:fill="FFFFFF"/>
        <w:spacing w:after="180"/>
        <w:rPr>
          <w:color w:val="333333"/>
        </w:rPr>
      </w:pPr>
      <w:r>
        <w:rPr>
          <w:color w:val="333333"/>
        </w:rPr>
        <w:t>T</w:t>
      </w:r>
      <w:r w:rsidR="00C151F4" w:rsidRPr="00C151F4">
        <w:rPr>
          <w:color w:val="333333"/>
        </w:rPr>
        <w:t>he probability</w:t>
      </w:r>
      <w:r w:rsidR="00C151F4">
        <w:rPr>
          <w:color w:val="333333"/>
        </w:rPr>
        <w:t>-</w:t>
      </w:r>
      <w:r w:rsidR="00C151F4" w:rsidRPr="00C151F4">
        <w:rPr>
          <w:color w:val="333333"/>
        </w:rPr>
        <w:t xml:space="preserve">weighted impact cost of a main operation is determined by applying statistical techniques </w:t>
      </w:r>
      <w:r>
        <w:rPr>
          <w:color w:val="333333"/>
        </w:rPr>
        <w:t xml:space="preserve">that are appropriate to risk assessment </w:t>
      </w:r>
      <w:r w:rsidR="00C151F4" w:rsidRPr="00C151F4">
        <w:rPr>
          <w:color w:val="333333"/>
        </w:rPr>
        <w:t>to the probability</w:t>
      </w:r>
      <w:r w:rsidR="00C151F4">
        <w:rPr>
          <w:color w:val="333333"/>
        </w:rPr>
        <w:t>-</w:t>
      </w:r>
      <w:r w:rsidR="00C151F4" w:rsidRPr="00C151F4">
        <w:rPr>
          <w:color w:val="333333"/>
        </w:rPr>
        <w:t xml:space="preserve">weighted </w:t>
      </w:r>
      <w:r w:rsidR="00C151F4" w:rsidRPr="00C151F4">
        <w:rPr>
          <w:color w:val="333333"/>
        </w:rPr>
        <w:lastRenderedPageBreak/>
        <w:t>impact costs of events that could occur</w:t>
      </w:r>
      <w:r w:rsidR="00C151F4">
        <w:rPr>
          <w:color w:val="333333"/>
        </w:rPr>
        <w:t xml:space="preserve"> as a result</w:t>
      </w:r>
      <w:r>
        <w:rPr>
          <w:color w:val="333333"/>
        </w:rPr>
        <w:t xml:space="preserve"> of the main operation</w:t>
      </w:r>
      <w:r w:rsidR="00C151F4">
        <w:rPr>
          <w:color w:val="333333"/>
        </w:rPr>
        <w:t xml:space="preserve">. </w:t>
      </w:r>
      <w:r w:rsidR="000A4559">
        <w:rPr>
          <w:color w:val="333333"/>
        </w:rPr>
        <w:t xml:space="preserve">It is </w:t>
      </w:r>
      <w:r w:rsidR="006277AA">
        <w:rPr>
          <w:color w:val="333333"/>
        </w:rPr>
        <w:t xml:space="preserve">the </w:t>
      </w:r>
      <w:proofErr w:type="gramStart"/>
      <w:r w:rsidR="000A4559">
        <w:rPr>
          <w:color w:val="333333"/>
        </w:rPr>
        <w:t>particular events</w:t>
      </w:r>
      <w:proofErr w:type="gramEnd"/>
      <w:r w:rsidR="000A4559">
        <w:rPr>
          <w:color w:val="333333"/>
        </w:rPr>
        <w:t xml:space="preserve"> that </w:t>
      </w:r>
      <w:r w:rsidR="00B335C3">
        <w:rPr>
          <w:color w:val="333333"/>
        </w:rPr>
        <w:t>could</w:t>
      </w:r>
      <w:r w:rsidR="000A4559">
        <w:rPr>
          <w:color w:val="333333"/>
        </w:rPr>
        <w:t xml:space="preserve"> occur as a result of a main operation that </w:t>
      </w:r>
      <w:r w:rsidR="006277AA">
        <w:rPr>
          <w:color w:val="333333"/>
        </w:rPr>
        <w:t xml:space="preserve">may </w:t>
      </w:r>
      <w:r w:rsidR="000A4559">
        <w:rPr>
          <w:color w:val="333333"/>
        </w:rPr>
        <w:t xml:space="preserve">have the potential to cause adverse impacts on operations carried on under potentially affected titles. However, </w:t>
      </w:r>
      <w:r w:rsidR="00563723">
        <w:rPr>
          <w:color w:val="333333"/>
        </w:rPr>
        <w:t xml:space="preserve">as set out in subsection 9(1), </w:t>
      </w:r>
      <w:r w:rsidR="000A4559">
        <w:rPr>
          <w:color w:val="333333"/>
        </w:rPr>
        <w:t xml:space="preserve">a SROSAI determination requires consideration of the probability-weighted impact costs of a main operation, rather than of </w:t>
      </w:r>
      <w:proofErr w:type="gramStart"/>
      <w:r w:rsidR="000A4559">
        <w:rPr>
          <w:color w:val="333333"/>
        </w:rPr>
        <w:t>particular events</w:t>
      </w:r>
      <w:proofErr w:type="gramEnd"/>
      <w:r w:rsidR="000A4559">
        <w:rPr>
          <w:color w:val="333333"/>
        </w:rPr>
        <w:t>. Subsection 9(2) therefore provides a manner of taking the probability-weight impact cost of events (determined in accordance with subsection 9(3)) and using these to determine the probability</w:t>
      </w:r>
      <w:r w:rsidR="00A071C6">
        <w:rPr>
          <w:color w:val="333333"/>
        </w:rPr>
        <w:noBreakHyphen/>
      </w:r>
      <w:r w:rsidR="000A4559">
        <w:rPr>
          <w:color w:val="333333"/>
        </w:rPr>
        <w:t xml:space="preserve">weighted impact </w:t>
      </w:r>
      <w:r w:rsidR="006277AA">
        <w:rPr>
          <w:color w:val="333333"/>
        </w:rPr>
        <w:t xml:space="preserve">cost </w:t>
      </w:r>
      <w:r w:rsidR="000A4559">
        <w:rPr>
          <w:color w:val="333333"/>
        </w:rPr>
        <w:t xml:space="preserve">of a main operation. </w:t>
      </w:r>
    </w:p>
    <w:p w14:paraId="349F06DA" w14:textId="43B2F109" w:rsidR="00B335C3" w:rsidRDefault="0054660F" w:rsidP="0054660F">
      <w:pPr>
        <w:pStyle w:val="NormalWeb"/>
        <w:shd w:val="clear" w:color="auto" w:fill="FFFFFF"/>
        <w:spacing w:after="180"/>
        <w:rPr>
          <w:color w:val="333333"/>
        </w:rPr>
      </w:pPr>
      <w:r>
        <w:rPr>
          <w:color w:val="333333"/>
        </w:rPr>
        <w:t xml:space="preserve">The </w:t>
      </w:r>
      <w:r w:rsidR="00B335C3">
        <w:rPr>
          <w:color w:val="333333"/>
        </w:rPr>
        <w:t>manner of</w:t>
      </w:r>
      <w:r>
        <w:rPr>
          <w:color w:val="333333"/>
        </w:rPr>
        <w:t xml:space="preserve"> determining the </w:t>
      </w:r>
      <w:r w:rsidRPr="00C151F4">
        <w:rPr>
          <w:color w:val="333333"/>
        </w:rPr>
        <w:t>probability</w:t>
      </w:r>
      <w:r>
        <w:rPr>
          <w:color w:val="333333"/>
        </w:rPr>
        <w:t>-</w:t>
      </w:r>
      <w:r w:rsidRPr="00C151F4">
        <w:rPr>
          <w:color w:val="333333"/>
        </w:rPr>
        <w:t>weighted impact costs of events that could occur</w:t>
      </w:r>
      <w:r w:rsidR="00B335C3">
        <w:rPr>
          <w:color w:val="333333"/>
        </w:rPr>
        <w:t xml:space="preserve"> as a result of a main operation and that, if they occurred, could have an adverse impact on potentially affected operations under a potentially affected title</w:t>
      </w:r>
      <w:r>
        <w:rPr>
          <w:color w:val="333333"/>
        </w:rPr>
        <w:t xml:space="preserve"> is set out in s</w:t>
      </w:r>
      <w:r w:rsidR="00C151F4">
        <w:rPr>
          <w:color w:val="333333"/>
        </w:rPr>
        <w:t>ubsection 9(3)</w:t>
      </w:r>
      <w:r w:rsidR="007361A6">
        <w:rPr>
          <w:color w:val="333333"/>
        </w:rPr>
        <w:t>.</w:t>
      </w:r>
      <w:r>
        <w:rPr>
          <w:color w:val="333333"/>
        </w:rPr>
        <w:t xml:space="preserve"> </w:t>
      </w:r>
      <w:r w:rsidR="00B335C3">
        <w:rPr>
          <w:color w:val="333333"/>
        </w:rPr>
        <w:t xml:space="preserve">The probability-weighted impact cost of an event </w:t>
      </w:r>
      <w:r>
        <w:rPr>
          <w:color w:val="333333"/>
        </w:rPr>
        <w:t xml:space="preserve">is </w:t>
      </w:r>
      <w:r w:rsidR="00B335C3">
        <w:rPr>
          <w:color w:val="333333"/>
        </w:rPr>
        <w:t xml:space="preserve">determined by </w:t>
      </w:r>
      <w:r w:rsidR="00C151F4">
        <w:rPr>
          <w:color w:val="333333"/>
        </w:rPr>
        <w:t>multiply</w:t>
      </w:r>
      <w:r w:rsidR="00B335C3">
        <w:rPr>
          <w:color w:val="333333"/>
        </w:rPr>
        <w:t>ing</w:t>
      </w:r>
      <w:r>
        <w:rPr>
          <w:color w:val="333333"/>
        </w:rPr>
        <w:t xml:space="preserve"> </w:t>
      </w:r>
      <w:r w:rsidR="00C151F4">
        <w:rPr>
          <w:color w:val="333333"/>
        </w:rPr>
        <w:t xml:space="preserve">the </w:t>
      </w:r>
      <w:r w:rsidR="00C151F4" w:rsidRPr="00C151F4">
        <w:rPr>
          <w:color w:val="333333"/>
        </w:rPr>
        <w:t>estimat</w:t>
      </w:r>
      <w:r w:rsidR="00C151F4">
        <w:rPr>
          <w:color w:val="333333"/>
        </w:rPr>
        <w:t>ed</w:t>
      </w:r>
      <w:r w:rsidR="00C151F4" w:rsidRPr="00C151F4">
        <w:rPr>
          <w:color w:val="333333"/>
        </w:rPr>
        <w:t xml:space="preserve"> probability of the event occurring and having an adverse impact</w:t>
      </w:r>
      <w:r w:rsidR="00B335C3">
        <w:rPr>
          <w:color w:val="333333"/>
        </w:rPr>
        <w:t>,</w:t>
      </w:r>
      <w:r>
        <w:rPr>
          <w:color w:val="333333"/>
        </w:rPr>
        <w:t xml:space="preserve"> by </w:t>
      </w:r>
      <w:r w:rsidR="00C151F4">
        <w:rPr>
          <w:color w:val="333333"/>
        </w:rPr>
        <w:t xml:space="preserve">the </w:t>
      </w:r>
      <w:r w:rsidR="00C151F4" w:rsidRPr="00C151F4">
        <w:rPr>
          <w:color w:val="333333"/>
        </w:rPr>
        <w:t>estimat</w:t>
      </w:r>
      <w:r w:rsidR="00C151F4">
        <w:rPr>
          <w:color w:val="333333"/>
        </w:rPr>
        <w:t>ed</w:t>
      </w:r>
      <w:r w:rsidR="00C151F4" w:rsidRPr="00C151F4">
        <w:rPr>
          <w:color w:val="333333"/>
        </w:rPr>
        <w:t xml:space="preserve"> loss in potential economic value</w:t>
      </w:r>
      <w:r w:rsidR="00C118A5">
        <w:rPr>
          <w:color w:val="333333"/>
        </w:rPr>
        <w:t xml:space="preserve"> in </w:t>
      </w:r>
      <w:r w:rsidR="00B335C3">
        <w:rPr>
          <w:color w:val="333333"/>
        </w:rPr>
        <w:t xml:space="preserve">relation to </w:t>
      </w:r>
      <w:r w:rsidR="00C118A5">
        <w:rPr>
          <w:color w:val="333333"/>
        </w:rPr>
        <w:t>the potentially affected operations</w:t>
      </w:r>
      <w:r w:rsidR="00C151F4" w:rsidRPr="00C151F4">
        <w:rPr>
          <w:color w:val="333333"/>
        </w:rPr>
        <w:t xml:space="preserve"> </w:t>
      </w:r>
      <w:r w:rsidR="00C151F4">
        <w:rPr>
          <w:color w:val="333333"/>
        </w:rPr>
        <w:t>if th</w:t>
      </w:r>
      <w:r w:rsidR="00B335C3">
        <w:rPr>
          <w:color w:val="333333"/>
        </w:rPr>
        <w:t>e event occurred and had an adverse impact</w:t>
      </w:r>
      <w:r w:rsidR="00C151F4" w:rsidRPr="00C151F4">
        <w:rPr>
          <w:color w:val="333333"/>
        </w:rPr>
        <w:t>.</w:t>
      </w:r>
      <w:r w:rsidR="00B335C3">
        <w:rPr>
          <w:color w:val="333333"/>
        </w:rPr>
        <w:t xml:space="preserve"> Subsection 9(6) </w:t>
      </w:r>
      <w:r w:rsidR="00FF5D9D">
        <w:rPr>
          <w:color w:val="333333"/>
        </w:rPr>
        <w:t>is</w:t>
      </w:r>
      <w:r w:rsidR="00B335C3">
        <w:rPr>
          <w:color w:val="333333"/>
        </w:rPr>
        <w:t xml:space="preserve"> relevant to this determination</w:t>
      </w:r>
      <w:r w:rsidR="00FF5D9D">
        <w:rPr>
          <w:color w:val="333333"/>
        </w:rPr>
        <w:t>, as it requires estimates of</w:t>
      </w:r>
      <w:r w:rsidR="00B335C3">
        <w:rPr>
          <w:color w:val="333333"/>
        </w:rPr>
        <w:t xml:space="preserve"> the loss in </w:t>
      </w:r>
      <w:r w:rsidR="00FF5D9D">
        <w:rPr>
          <w:color w:val="333333"/>
        </w:rPr>
        <w:t xml:space="preserve">potential economic </w:t>
      </w:r>
      <w:r w:rsidR="00B335C3">
        <w:rPr>
          <w:color w:val="333333"/>
        </w:rPr>
        <w:t>value</w:t>
      </w:r>
      <w:r w:rsidR="00FF5D9D">
        <w:rPr>
          <w:color w:val="333333"/>
        </w:rPr>
        <w:t xml:space="preserve"> to be adjusted to present values</w:t>
      </w:r>
      <w:r w:rsidR="00B335C3">
        <w:rPr>
          <w:color w:val="333333"/>
        </w:rPr>
        <w:t xml:space="preserve">.  </w:t>
      </w:r>
      <w:r>
        <w:rPr>
          <w:color w:val="333333"/>
        </w:rPr>
        <w:t xml:space="preserve"> </w:t>
      </w:r>
    </w:p>
    <w:p w14:paraId="01BA7878" w14:textId="38B0EB99" w:rsidR="00C151F4" w:rsidRDefault="0054660F" w:rsidP="0054660F">
      <w:pPr>
        <w:pStyle w:val="NormalWeb"/>
        <w:shd w:val="clear" w:color="auto" w:fill="FFFFFF"/>
        <w:spacing w:after="180"/>
        <w:rPr>
          <w:color w:val="333333"/>
        </w:rPr>
      </w:pPr>
      <w:r>
        <w:rPr>
          <w:color w:val="333333"/>
        </w:rPr>
        <w:t>Subsection 9(4) provides further that</w:t>
      </w:r>
      <w:r w:rsidR="00B335C3">
        <w:rPr>
          <w:color w:val="333333"/>
        </w:rPr>
        <w:t xml:space="preserve">, when estimating the probability of an event occurring and having an adverse impact </w:t>
      </w:r>
      <w:r w:rsidR="00CD2E5C">
        <w:rPr>
          <w:color w:val="333333"/>
        </w:rPr>
        <w:t xml:space="preserve">on potentially affected operations </w:t>
      </w:r>
      <w:r w:rsidR="00B335C3">
        <w:rPr>
          <w:color w:val="333333"/>
        </w:rPr>
        <w:t>in accordance with paragraph</w:t>
      </w:r>
      <w:r w:rsidR="00340C33">
        <w:rPr>
          <w:color w:val="333333"/>
        </w:rPr>
        <w:t> </w:t>
      </w:r>
      <w:r w:rsidR="00B335C3">
        <w:rPr>
          <w:color w:val="333333"/>
        </w:rPr>
        <w:t>9(3)(a),</w:t>
      </w:r>
      <w:r>
        <w:rPr>
          <w:color w:val="333333"/>
        </w:rPr>
        <w:t xml:space="preserve"> the estimated probability of an adverse impact on potentially affected operations that are not currently being carried on must </w:t>
      </w:r>
      <w:proofErr w:type="gramStart"/>
      <w:r>
        <w:rPr>
          <w:color w:val="333333"/>
        </w:rPr>
        <w:t>take into account</w:t>
      </w:r>
      <w:proofErr w:type="gramEnd"/>
      <w:r>
        <w:rPr>
          <w:color w:val="333333"/>
        </w:rPr>
        <w:t xml:space="preserve"> the probability of the</w:t>
      </w:r>
      <w:r w:rsidR="003F4D7D">
        <w:rPr>
          <w:color w:val="333333"/>
        </w:rPr>
        <w:t xml:space="preserve">ir </w:t>
      </w:r>
      <w:r>
        <w:rPr>
          <w:color w:val="333333"/>
        </w:rPr>
        <w:t>being carried on in the future.</w:t>
      </w:r>
      <w:r w:rsidR="00B335C3">
        <w:rPr>
          <w:color w:val="333333"/>
        </w:rPr>
        <w:t xml:space="preserve"> This may apply in a couple of circumstances. For example, this would take account of circumstances in which there is a </w:t>
      </w:r>
      <w:r w:rsidR="00CD2E5C">
        <w:rPr>
          <w:color w:val="333333"/>
        </w:rPr>
        <w:t>p</w:t>
      </w:r>
      <w:r w:rsidR="00B335C3">
        <w:rPr>
          <w:color w:val="333333"/>
        </w:rPr>
        <w:t>otentially affected title</w:t>
      </w:r>
      <w:r w:rsidR="00CD2E5C">
        <w:rPr>
          <w:color w:val="333333"/>
        </w:rPr>
        <w:t xml:space="preserve"> that is currently in force</w:t>
      </w:r>
      <w:r w:rsidR="00B335C3">
        <w:rPr>
          <w:color w:val="333333"/>
        </w:rPr>
        <w:t xml:space="preserve">, but </w:t>
      </w:r>
      <w:proofErr w:type="gramStart"/>
      <w:r w:rsidR="00B335C3">
        <w:rPr>
          <w:color w:val="333333"/>
        </w:rPr>
        <w:t>particular operations</w:t>
      </w:r>
      <w:proofErr w:type="gramEnd"/>
      <w:r w:rsidR="00B335C3">
        <w:rPr>
          <w:color w:val="333333"/>
        </w:rPr>
        <w:t xml:space="preserve"> have not yet commenced</w:t>
      </w:r>
      <w:r w:rsidR="00CD2E5C">
        <w:rPr>
          <w:color w:val="333333"/>
        </w:rPr>
        <w:t xml:space="preserve"> under that title</w:t>
      </w:r>
      <w:r w:rsidR="00B335C3">
        <w:rPr>
          <w:color w:val="333333"/>
        </w:rPr>
        <w:t xml:space="preserve">. Alternatively, </w:t>
      </w:r>
      <w:r w:rsidR="00CD2E5C">
        <w:rPr>
          <w:color w:val="333333"/>
        </w:rPr>
        <w:t xml:space="preserve">given that certain SROSAI </w:t>
      </w:r>
      <w:r w:rsidR="008C5373">
        <w:rPr>
          <w:color w:val="333333"/>
        </w:rPr>
        <w:t>sections</w:t>
      </w:r>
      <w:r w:rsidR="00CD2E5C">
        <w:rPr>
          <w:color w:val="333333"/>
        </w:rPr>
        <w:t xml:space="preserve"> also consider potentially affected operations under future titles, </w:t>
      </w:r>
      <w:r w:rsidR="00B335C3">
        <w:rPr>
          <w:color w:val="333333"/>
        </w:rPr>
        <w:t xml:space="preserve">this would take account of </w:t>
      </w:r>
      <w:r w:rsidR="00CD2E5C">
        <w:rPr>
          <w:color w:val="333333"/>
        </w:rPr>
        <w:t xml:space="preserve">the probability of operations occurring under those </w:t>
      </w:r>
      <w:r w:rsidR="00B335C3">
        <w:rPr>
          <w:color w:val="333333"/>
        </w:rPr>
        <w:t>future potentially affected titles</w:t>
      </w:r>
      <w:r w:rsidR="00CD2E5C">
        <w:rPr>
          <w:color w:val="333333"/>
        </w:rPr>
        <w:t xml:space="preserve">. </w:t>
      </w:r>
      <w:r w:rsidR="00B335C3">
        <w:rPr>
          <w:color w:val="333333"/>
        </w:rPr>
        <w:t xml:space="preserve"> </w:t>
      </w:r>
      <w:r>
        <w:rPr>
          <w:color w:val="333333"/>
        </w:rPr>
        <w:t xml:space="preserve"> </w:t>
      </w:r>
    </w:p>
    <w:p w14:paraId="16250E26" w14:textId="16450C55" w:rsidR="0054660F" w:rsidRDefault="00FF5D9D" w:rsidP="0054660F">
      <w:pPr>
        <w:pStyle w:val="NormalWeb"/>
        <w:shd w:val="clear" w:color="auto" w:fill="FFFFFF"/>
        <w:spacing w:after="180"/>
        <w:rPr>
          <w:color w:val="333333"/>
        </w:rPr>
      </w:pPr>
      <w:r>
        <w:rPr>
          <w:color w:val="333333"/>
        </w:rPr>
        <w:t>For subsection 9(1), s</w:t>
      </w:r>
      <w:r w:rsidR="0054660F">
        <w:rPr>
          <w:color w:val="333333"/>
        </w:rPr>
        <w:t xml:space="preserve">ubsection 9(5) provides for the </w:t>
      </w:r>
      <w:r>
        <w:rPr>
          <w:color w:val="333333"/>
        </w:rPr>
        <w:t>manner of determining</w:t>
      </w:r>
      <w:r w:rsidR="0054660F">
        <w:rPr>
          <w:color w:val="333333"/>
        </w:rPr>
        <w:t xml:space="preserve"> the potential economic value of</w:t>
      </w:r>
      <w:r>
        <w:rPr>
          <w:color w:val="333333"/>
        </w:rPr>
        <w:t xml:space="preserve"> potentially affected</w:t>
      </w:r>
      <w:r w:rsidR="0054660F">
        <w:rPr>
          <w:color w:val="333333"/>
        </w:rPr>
        <w:t xml:space="preserve"> </w:t>
      </w:r>
      <w:r w:rsidR="0054660F" w:rsidRPr="0054660F">
        <w:rPr>
          <w:color w:val="333333"/>
        </w:rPr>
        <w:t xml:space="preserve">operations that are </w:t>
      </w:r>
      <w:r>
        <w:rPr>
          <w:color w:val="333333"/>
        </w:rPr>
        <w:t xml:space="preserve">being, </w:t>
      </w:r>
      <w:r w:rsidR="0054660F" w:rsidRPr="0054660F">
        <w:rPr>
          <w:color w:val="333333"/>
        </w:rPr>
        <w:t>or could be</w:t>
      </w:r>
      <w:r>
        <w:rPr>
          <w:color w:val="333333"/>
        </w:rPr>
        <w:t>,</w:t>
      </w:r>
      <w:r w:rsidR="0054660F" w:rsidRPr="0054660F">
        <w:rPr>
          <w:color w:val="333333"/>
        </w:rPr>
        <w:t xml:space="preserve"> carried on under a potentially affected title</w:t>
      </w:r>
      <w:r>
        <w:rPr>
          <w:color w:val="333333"/>
        </w:rPr>
        <w:t xml:space="preserve">. </w:t>
      </w:r>
      <w:r w:rsidR="0054660F">
        <w:rPr>
          <w:color w:val="333333"/>
        </w:rPr>
        <w:t xml:space="preserve">Paragraph </w:t>
      </w:r>
      <w:r w:rsidR="00C118A5">
        <w:rPr>
          <w:color w:val="333333"/>
        </w:rPr>
        <w:t xml:space="preserve">(a) concerns petroleum operations and paragraph (b) concerns GHG operations. </w:t>
      </w:r>
      <w:r w:rsidR="00D10324">
        <w:rPr>
          <w:color w:val="333333"/>
        </w:rPr>
        <w:t xml:space="preserve">Subsection 9(6) is relevant to this determination, as it sets out the discounting rate for adjusting estimates of the potential economic value to present values.   </w:t>
      </w:r>
    </w:p>
    <w:p w14:paraId="6B2B152A" w14:textId="14559719" w:rsidR="00547934" w:rsidRPr="00B335C3" w:rsidRDefault="003F73CE" w:rsidP="00B335C3">
      <w:pPr>
        <w:pStyle w:val="NormalWeb"/>
        <w:shd w:val="clear" w:color="auto" w:fill="FFFFFF"/>
        <w:spacing w:after="180"/>
        <w:rPr>
          <w:color w:val="333333"/>
        </w:rPr>
      </w:pPr>
      <w:r w:rsidRPr="00B335C3">
        <w:rPr>
          <w:color w:val="333333"/>
        </w:rPr>
        <w:t xml:space="preserve">Subsection 9(6) </w:t>
      </w:r>
      <w:r w:rsidR="00D10324">
        <w:rPr>
          <w:color w:val="333333"/>
        </w:rPr>
        <w:t>sets out</w:t>
      </w:r>
      <w:r w:rsidR="00C118A5" w:rsidRPr="00B335C3">
        <w:rPr>
          <w:color w:val="333333"/>
        </w:rPr>
        <w:t xml:space="preserve"> </w:t>
      </w:r>
      <w:r w:rsidR="00D10324">
        <w:rPr>
          <w:color w:val="333333"/>
        </w:rPr>
        <w:t xml:space="preserve">the </w:t>
      </w:r>
      <w:r w:rsidR="00C118A5" w:rsidRPr="00B335C3">
        <w:rPr>
          <w:color w:val="333333"/>
        </w:rPr>
        <w:t>discounting rate to adjust the estimates</w:t>
      </w:r>
      <w:r w:rsidR="007B2F4B" w:rsidRPr="00B335C3">
        <w:rPr>
          <w:color w:val="333333"/>
        </w:rPr>
        <w:t xml:space="preserve"> of potential </w:t>
      </w:r>
      <w:r w:rsidR="00D10324">
        <w:rPr>
          <w:color w:val="333333"/>
        </w:rPr>
        <w:t xml:space="preserve">economic </w:t>
      </w:r>
      <w:r w:rsidR="007B2F4B" w:rsidRPr="00B335C3">
        <w:rPr>
          <w:color w:val="333333"/>
        </w:rPr>
        <w:t>value</w:t>
      </w:r>
      <w:r w:rsidR="00D10324">
        <w:rPr>
          <w:color w:val="333333"/>
        </w:rPr>
        <w:t>, and of the loss in potential economic value,</w:t>
      </w:r>
      <w:r w:rsidR="00C118A5" w:rsidRPr="00B335C3">
        <w:rPr>
          <w:color w:val="333333"/>
        </w:rPr>
        <w:t xml:space="preserve"> to present values</w:t>
      </w:r>
      <w:r w:rsidRPr="00B335C3">
        <w:rPr>
          <w:color w:val="333333"/>
        </w:rPr>
        <w:t xml:space="preserve">. </w:t>
      </w:r>
      <w:r w:rsidR="00D10324">
        <w:rPr>
          <w:color w:val="333333"/>
        </w:rPr>
        <w:t>The</w:t>
      </w:r>
      <w:r w:rsidRPr="00B335C3">
        <w:rPr>
          <w:color w:val="333333"/>
        </w:rPr>
        <w:t xml:space="preserve"> estimates are to be adjusted to present values using a discount rate equal to the long</w:t>
      </w:r>
      <w:r w:rsidR="003F4D7D" w:rsidRPr="00B335C3">
        <w:rPr>
          <w:color w:val="333333"/>
        </w:rPr>
        <w:t>-</w:t>
      </w:r>
      <w:r w:rsidRPr="00B335C3">
        <w:rPr>
          <w:color w:val="333333"/>
        </w:rPr>
        <w:t xml:space="preserve">term bond rate plus 5%. </w:t>
      </w:r>
      <w:r w:rsidR="001B0404" w:rsidRPr="00B335C3">
        <w:rPr>
          <w:color w:val="333333"/>
        </w:rPr>
        <w:t xml:space="preserve">The </w:t>
      </w:r>
      <w:r w:rsidR="001B0404" w:rsidRPr="00B335C3">
        <w:rPr>
          <w:b/>
          <w:bCs/>
          <w:i/>
          <w:iCs/>
          <w:color w:val="333333"/>
        </w:rPr>
        <w:t>long-term bond rate</w:t>
      </w:r>
      <w:r w:rsidR="001B0404" w:rsidRPr="00B335C3">
        <w:rPr>
          <w:color w:val="333333"/>
        </w:rPr>
        <w:t xml:space="preserve"> is defined in section 5 of the GHG Regulations (see discussion at that section above).</w:t>
      </w:r>
    </w:p>
    <w:p w14:paraId="0E5F759F" w14:textId="1176634E" w:rsidR="004829AF" w:rsidRDefault="00252E62" w:rsidP="00502CAB">
      <w:pPr>
        <w:pStyle w:val="ActHead5"/>
      </w:pPr>
      <w:r>
        <w:t xml:space="preserve">Section </w:t>
      </w:r>
      <w:r w:rsidR="007F74F7">
        <w:t>10</w:t>
      </w:r>
      <w:r>
        <w:t xml:space="preserve"> – Prescribed costs</w:t>
      </w:r>
    </w:p>
    <w:p w14:paraId="0905E3FD" w14:textId="437E6CFE" w:rsidR="008E7BE4" w:rsidRDefault="00902F8B" w:rsidP="00746189">
      <w:pPr>
        <w:pStyle w:val="NormalWeb"/>
        <w:shd w:val="clear" w:color="auto" w:fill="FFFFFF"/>
        <w:spacing w:after="180"/>
      </w:pPr>
      <w:r>
        <w:t>Subsection (5) of each SROSAI section in the OPGGS Act (as defined in section 5 of the GHG Regulations) provides that a main operation will have an adverse impact on potentially affected operations under a potentially affected title only in certain circumstances. These include where the main operation will result in an increase in the capital costs (other than prescribed costs), or an increase in the operating costs (other than prescribed costs), of the potentially affected operations. S</w:t>
      </w:r>
      <w:r w:rsidR="00252E62" w:rsidRPr="00493528">
        <w:t xml:space="preserve">ection </w:t>
      </w:r>
      <w:r>
        <w:t xml:space="preserve">10 of the GHG Regulations </w:t>
      </w:r>
      <w:r w:rsidR="00610335">
        <w:t xml:space="preserve">prescribes costs </w:t>
      </w:r>
      <w:r w:rsidR="00746189">
        <w:t xml:space="preserve">for the purposes of </w:t>
      </w:r>
      <w:r>
        <w:t xml:space="preserve">those </w:t>
      </w:r>
      <w:r w:rsidR="00746189">
        <w:t xml:space="preserve">subsections. </w:t>
      </w:r>
    </w:p>
    <w:p w14:paraId="75A5F0AC" w14:textId="2DADB2C1" w:rsidR="00252E62" w:rsidRDefault="00252E62" w:rsidP="00502CAB">
      <w:pPr>
        <w:pStyle w:val="ActHead5"/>
        <w:spacing w:after="240"/>
      </w:pPr>
      <w:r>
        <w:lastRenderedPageBreak/>
        <w:t>Section 1</w:t>
      </w:r>
      <w:r w:rsidR="007F74F7">
        <w:t>1</w:t>
      </w:r>
      <w:r>
        <w:t xml:space="preserve"> – Threshold amount</w:t>
      </w:r>
    </w:p>
    <w:p w14:paraId="13EB61FA" w14:textId="7860332E" w:rsidR="00D82C18" w:rsidRDefault="00D82C18" w:rsidP="00D82C18">
      <w:pPr>
        <w:pStyle w:val="NormalWeb"/>
        <w:shd w:val="clear" w:color="auto" w:fill="FFFFFF"/>
        <w:spacing w:after="180"/>
        <w:rPr>
          <w:color w:val="333333"/>
        </w:rPr>
      </w:pPr>
      <w:r>
        <w:rPr>
          <w:color w:val="333333"/>
        </w:rPr>
        <w:t>Subsection (6) of each SROSAI section in the OPGGS Act</w:t>
      </w:r>
      <w:r w:rsidR="00325A26">
        <w:rPr>
          <w:color w:val="333333"/>
        </w:rPr>
        <w:t xml:space="preserve"> (as defined in section 5 of the GHG Regulations) </w:t>
      </w:r>
      <w:r>
        <w:rPr>
          <w:color w:val="333333"/>
        </w:rPr>
        <w:t xml:space="preserve">provides that a risk is not to be treated as significant, and an adverse impact is not to be treated as significant, if the amount that, under the regulations, is taken to be the probability-weighted impact cost of a main operation is less than the amount that, under the regulations, is taken to be the threshold amount. </w:t>
      </w:r>
      <w:r w:rsidR="00325A26">
        <w:rPr>
          <w:color w:val="333333"/>
        </w:rPr>
        <w:t>S</w:t>
      </w:r>
      <w:r>
        <w:rPr>
          <w:color w:val="333333"/>
        </w:rPr>
        <w:t>ubsection 9(</w:t>
      </w:r>
      <w:r w:rsidR="0056127D">
        <w:rPr>
          <w:color w:val="333333"/>
        </w:rPr>
        <w:t>2</w:t>
      </w:r>
      <w:r>
        <w:rPr>
          <w:color w:val="333333"/>
        </w:rPr>
        <w:t xml:space="preserve">) </w:t>
      </w:r>
      <w:r w:rsidR="00F040EE">
        <w:rPr>
          <w:color w:val="333333"/>
        </w:rPr>
        <w:t>of the GHG</w:t>
      </w:r>
      <w:r w:rsidR="00340C33">
        <w:rPr>
          <w:color w:val="333333"/>
        </w:rPr>
        <w:t> </w:t>
      </w:r>
      <w:r w:rsidR="00F040EE">
        <w:rPr>
          <w:color w:val="333333"/>
        </w:rPr>
        <w:t xml:space="preserve">Regulations </w:t>
      </w:r>
      <w:r>
        <w:rPr>
          <w:color w:val="333333"/>
        </w:rPr>
        <w:t>sets out the manner of determining the probability-weight impact cost of a main operation</w:t>
      </w:r>
      <w:r w:rsidR="00325A26">
        <w:rPr>
          <w:color w:val="333333"/>
        </w:rPr>
        <w:t xml:space="preserve"> – see discussion above</w:t>
      </w:r>
      <w:r>
        <w:rPr>
          <w:color w:val="333333"/>
        </w:rPr>
        <w:t>.</w:t>
      </w:r>
    </w:p>
    <w:p w14:paraId="1A960E9E" w14:textId="6F3E1C87" w:rsidR="005B63E6" w:rsidRDefault="00F040EE" w:rsidP="00F040EE">
      <w:pPr>
        <w:pStyle w:val="NormalWeb"/>
        <w:shd w:val="clear" w:color="auto" w:fill="FFFFFF"/>
        <w:spacing w:after="180"/>
        <w:rPr>
          <w:color w:val="333333"/>
        </w:rPr>
      </w:pPr>
      <w:r>
        <w:rPr>
          <w:color w:val="333333"/>
        </w:rPr>
        <w:t>S</w:t>
      </w:r>
      <w:r w:rsidR="00252E62" w:rsidRPr="00F040EE">
        <w:rPr>
          <w:color w:val="333333"/>
        </w:rPr>
        <w:t>ection</w:t>
      </w:r>
      <w:r>
        <w:rPr>
          <w:color w:val="333333"/>
        </w:rPr>
        <w:t xml:space="preserve"> 11 of the GHG Regulations</w:t>
      </w:r>
      <w:r w:rsidR="00252E62" w:rsidRPr="00F040EE">
        <w:rPr>
          <w:color w:val="333333"/>
        </w:rPr>
        <w:t xml:space="preserve"> </w:t>
      </w:r>
      <w:r w:rsidR="0045388D" w:rsidRPr="00F040EE">
        <w:rPr>
          <w:color w:val="333333"/>
        </w:rPr>
        <w:t>provides for the calculation of</w:t>
      </w:r>
      <w:r w:rsidR="0060075E" w:rsidRPr="00F040EE">
        <w:rPr>
          <w:color w:val="333333"/>
        </w:rPr>
        <w:t xml:space="preserve"> the threshold amount </w:t>
      </w:r>
      <w:r>
        <w:rPr>
          <w:color w:val="333333"/>
        </w:rPr>
        <w:t>on a particular day</w:t>
      </w:r>
      <w:r w:rsidR="0060075E" w:rsidRPr="00F040EE">
        <w:rPr>
          <w:color w:val="333333"/>
        </w:rPr>
        <w:t>.</w:t>
      </w:r>
      <w:r w:rsidR="005B63E6" w:rsidRPr="00F040EE">
        <w:rPr>
          <w:color w:val="333333"/>
        </w:rPr>
        <w:t xml:space="preserve"> </w:t>
      </w:r>
      <w:r>
        <w:rPr>
          <w:color w:val="333333"/>
        </w:rPr>
        <w:t xml:space="preserve">If the probability-weighted impact cost of a main operation is less than the threshold amount determined under section 11, there </w:t>
      </w:r>
      <w:r w:rsidR="008D153C">
        <w:rPr>
          <w:color w:val="333333"/>
        </w:rPr>
        <w:t>cannot be a determination that there is a</w:t>
      </w:r>
      <w:r>
        <w:rPr>
          <w:color w:val="333333"/>
        </w:rPr>
        <w:t xml:space="preserve"> </w:t>
      </w:r>
      <w:r w:rsidR="00B26FC3">
        <w:rPr>
          <w:color w:val="333333"/>
        </w:rPr>
        <w:t>SROSAI</w:t>
      </w:r>
      <w:r>
        <w:rPr>
          <w:color w:val="333333"/>
        </w:rPr>
        <w:t>.</w:t>
      </w:r>
      <w:r w:rsidR="0045388D" w:rsidRPr="00F040EE">
        <w:rPr>
          <w:color w:val="333333"/>
        </w:rPr>
        <w:t xml:space="preserve"> </w:t>
      </w:r>
      <w:r w:rsidR="0083122B" w:rsidRPr="00F040EE">
        <w:rPr>
          <w:color w:val="333333"/>
        </w:rPr>
        <w:t>A q</w:t>
      </w:r>
      <w:r w:rsidR="005B63E6" w:rsidRPr="00F040EE">
        <w:rPr>
          <w:color w:val="333333"/>
        </w:rPr>
        <w:t>uantifiable threshold</w:t>
      </w:r>
      <w:r w:rsidR="0083122B" w:rsidRPr="00F040EE">
        <w:rPr>
          <w:color w:val="333333"/>
        </w:rPr>
        <w:t xml:space="preserve"> </w:t>
      </w:r>
      <w:r w:rsidR="00762482" w:rsidRPr="00F040EE">
        <w:rPr>
          <w:color w:val="333333"/>
        </w:rPr>
        <w:t xml:space="preserve">that is subject to indexation </w:t>
      </w:r>
      <w:r w:rsidR="005B63E6" w:rsidRPr="00F040EE">
        <w:rPr>
          <w:color w:val="333333"/>
        </w:rPr>
        <w:t>provide</w:t>
      </w:r>
      <w:r w:rsidR="0045388D" w:rsidRPr="00F040EE">
        <w:rPr>
          <w:color w:val="333333"/>
        </w:rPr>
        <w:t>s</w:t>
      </w:r>
      <w:r w:rsidR="005B63E6" w:rsidRPr="00F040EE">
        <w:rPr>
          <w:color w:val="333333"/>
        </w:rPr>
        <w:t xml:space="preserve"> </w:t>
      </w:r>
      <w:r w:rsidR="0045388D" w:rsidRPr="00F040EE">
        <w:rPr>
          <w:color w:val="333333"/>
        </w:rPr>
        <w:t>a consistent</w:t>
      </w:r>
      <w:r w:rsidR="00A851E6" w:rsidRPr="00F040EE">
        <w:rPr>
          <w:color w:val="333333"/>
        </w:rPr>
        <w:t>,</w:t>
      </w:r>
      <w:r w:rsidR="0045388D" w:rsidRPr="00F040EE">
        <w:rPr>
          <w:color w:val="333333"/>
        </w:rPr>
        <w:t xml:space="preserve"> </w:t>
      </w:r>
      <w:r w:rsidR="005B63E6" w:rsidRPr="00F040EE">
        <w:rPr>
          <w:color w:val="333333"/>
        </w:rPr>
        <w:t xml:space="preserve">objective </w:t>
      </w:r>
      <w:r w:rsidR="00A851E6" w:rsidRPr="00F040EE">
        <w:rPr>
          <w:color w:val="333333"/>
        </w:rPr>
        <w:t xml:space="preserve">and current </w:t>
      </w:r>
      <w:r w:rsidR="005B63E6" w:rsidRPr="00F040EE">
        <w:rPr>
          <w:color w:val="333333"/>
        </w:rPr>
        <w:t xml:space="preserve">basis for </w:t>
      </w:r>
      <w:r w:rsidR="00EF20D5" w:rsidRPr="00F040EE">
        <w:rPr>
          <w:color w:val="333333"/>
        </w:rPr>
        <w:t>determining</w:t>
      </w:r>
      <w:r w:rsidR="00762482" w:rsidRPr="00F040EE">
        <w:rPr>
          <w:color w:val="333333"/>
        </w:rPr>
        <w:t xml:space="preserve"> whether </w:t>
      </w:r>
      <w:r w:rsidR="008C5373">
        <w:rPr>
          <w:color w:val="333333"/>
        </w:rPr>
        <w:t xml:space="preserve">there is </w:t>
      </w:r>
      <w:r w:rsidR="00762482" w:rsidRPr="00F040EE">
        <w:rPr>
          <w:color w:val="333333"/>
        </w:rPr>
        <w:t xml:space="preserve">a </w:t>
      </w:r>
      <w:r w:rsidR="008C5373">
        <w:rPr>
          <w:color w:val="333333"/>
        </w:rPr>
        <w:t>SROSAI</w:t>
      </w:r>
      <w:r w:rsidR="006F2149" w:rsidRPr="00F040EE">
        <w:rPr>
          <w:color w:val="333333"/>
        </w:rPr>
        <w:t>.</w:t>
      </w:r>
      <w:r w:rsidR="005B63E6" w:rsidRPr="00F040EE">
        <w:rPr>
          <w:color w:val="333333"/>
        </w:rPr>
        <w:t> </w:t>
      </w:r>
    </w:p>
    <w:p w14:paraId="6929610F" w14:textId="56B73EE8" w:rsidR="00F040EE" w:rsidRPr="00F040EE" w:rsidRDefault="00F040EE" w:rsidP="00F040EE">
      <w:pPr>
        <w:pStyle w:val="NormalWeb"/>
        <w:shd w:val="clear" w:color="auto" w:fill="FFFFFF"/>
        <w:spacing w:after="180"/>
        <w:rPr>
          <w:color w:val="333333"/>
        </w:rPr>
      </w:pPr>
      <w:r>
        <w:rPr>
          <w:color w:val="333333"/>
        </w:rPr>
        <w:t>It is not necessarily the case that there will be a</w:t>
      </w:r>
      <w:r w:rsidR="00B26FC3">
        <w:rPr>
          <w:color w:val="333333"/>
        </w:rPr>
        <w:t xml:space="preserve"> SROSAI</w:t>
      </w:r>
      <w:r>
        <w:rPr>
          <w:color w:val="333333"/>
        </w:rPr>
        <w:t xml:space="preserve"> if the probability-weighted impact cost is higher than the threshold amount. Rather, subsection 9(1) </w:t>
      </w:r>
      <w:r w:rsidR="0056127D">
        <w:rPr>
          <w:color w:val="333333"/>
        </w:rPr>
        <w:t xml:space="preserve">of the GHG Regulations </w:t>
      </w:r>
      <w:r>
        <w:rPr>
          <w:color w:val="333333"/>
        </w:rPr>
        <w:t>will need to be considered in those circumstances</w:t>
      </w:r>
      <w:r w:rsidR="008D153C">
        <w:rPr>
          <w:color w:val="333333"/>
        </w:rPr>
        <w:t xml:space="preserve"> to determine if there is a </w:t>
      </w:r>
      <w:r w:rsidR="00B26FC3">
        <w:rPr>
          <w:color w:val="333333"/>
        </w:rPr>
        <w:t>SROSAI</w:t>
      </w:r>
      <w:r w:rsidR="008D153C">
        <w:rPr>
          <w:color w:val="333333"/>
        </w:rPr>
        <w:t>.</w:t>
      </w:r>
      <w:r>
        <w:rPr>
          <w:color w:val="333333"/>
        </w:rPr>
        <w:t xml:space="preserve"> </w:t>
      </w:r>
    </w:p>
    <w:p w14:paraId="1A932760" w14:textId="3AC168A9" w:rsidR="0056127D" w:rsidRDefault="00762482" w:rsidP="00A0062C">
      <w:pPr>
        <w:pStyle w:val="NormalWeb"/>
        <w:shd w:val="clear" w:color="auto" w:fill="FFFFFF"/>
        <w:spacing w:after="180"/>
        <w:rPr>
          <w:color w:val="333333"/>
        </w:rPr>
      </w:pPr>
      <w:r w:rsidRPr="00F040EE">
        <w:rPr>
          <w:color w:val="333333"/>
        </w:rPr>
        <w:t>Subsection 11(1) provides the formula for calculating the threshold amount. T</w:t>
      </w:r>
      <w:r w:rsidR="005B63E6" w:rsidRPr="00F040EE">
        <w:rPr>
          <w:color w:val="333333"/>
        </w:rPr>
        <w:t xml:space="preserve">he threshold amount on a day is calculated by multiplying the </w:t>
      </w:r>
      <w:r w:rsidR="008F5D04" w:rsidRPr="00F040EE">
        <w:rPr>
          <w:color w:val="333333"/>
        </w:rPr>
        <w:t xml:space="preserve">base amount </w:t>
      </w:r>
      <w:r w:rsidR="005B63E6" w:rsidRPr="00F040EE">
        <w:rPr>
          <w:color w:val="333333"/>
        </w:rPr>
        <w:t>of $7</w:t>
      </w:r>
      <w:r w:rsidR="00B139E1" w:rsidRPr="00F040EE">
        <w:rPr>
          <w:color w:val="333333"/>
        </w:rPr>
        <w:t>,000,000</w:t>
      </w:r>
      <w:r w:rsidR="005B63E6" w:rsidRPr="00F040EE">
        <w:rPr>
          <w:color w:val="333333"/>
        </w:rPr>
        <w:t xml:space="preserve"> by a </w:t>
      </w:r>
      <w:r w:rsidR="00A0062C" w:rsidRPr="00F040EE">
        <w:rPr>
          <w:color w:val="333333"/>
        </w:rPr>
        <w:t>quotient</w:t>
      </w:r>
      <w:r w:rsidR="005B63E6" w:rsidRPr="00F040EE">
        <w:rPr>
          <w:color w:val="333333"/>
        </w:rPr>
        <w:t xml:space="preserve"> which is calculated as the most recent </w:t>
      </w:r>
      <w:r w:rsidR="00706416">
        <w:rPr>
          <w:color w:val="333333"/>
        </w:rPr>
        <w:t>Gross Domestic Product (</w:t>
      </w:r>
      <w:r w:rsidR="005B63E6" w:rsidRPr="00F040EE">
        <w:rPr>
          <w:color w:val="333333"/>
        </w:rPr>
        <w:t>GDP</w:t>
      </w:r>
      <w:r w:rsidR="00706416">
        <w:rPr>
          <w:color w:val="333333"/>
        </w:rPr>
        <w:t>)</w:t>
      </w:r>
      <w:r w:rsidR="005B63E6" w:rsidRPr="00F040EE">
        <w:rPr>
          <w:color w:val="333333"/>
        </w:rPr>
        <w:t xml:space="preserve"> deflator divided by the commencement GDP deflator. </w:t>
      </w:r>
      <w:r w:rsidR="00F040EE">
        <w:rPr>
          <w:color w:val="333333"/>
        </w:rPr>
        <w:t xml:space="preserve">The relevant day will be the day on which the assessment is undertaken as to whether the probability-weighted impact cost is lower or higher than the threshold amount. </w:t>
      </w:r>
    </w:p>
    <w:p w14:paraId="2C2F2435" w14:textId="39E4D383" w:rsidR="00252E62" w:rsidRPr="00F040EE" w:rsidRDefault="005B63E6" w:rsidP="00A0062C">
      <w:pPr>
        <w:pStyle w:val="NormalWeb"/>
        <w:shd w:val="clear" w:color="auto" w:fill="FFFFFF"/>
        <w:spacing w:after="180"/>
        <w:rPr>
          <w:color w:val="333333"/>
        </w:rPr>
      </w:pPr>
      <w:r w:rsidRPr="00F040EE">
        <w:rPr>
          <w:color w:val="333333"/>
        </w:rPr>
        <w:t xml:space="preserve">The </w:t>
      </w:r>
      <w:r w:rsidRPr="00F040EE">
        <w:rPr>
          <w:b/>
          <w:bCs/>
          <w:i/>
          <w:iCs/>
          <w:color w:val="333333"/>
        </w:rPr>
        <w:t>commencement GDP deflator</w:t>
      </w:r>
      <w:r w:rsidRPr="00F040EE">
        <w:rPr>
          <w:color w:val="333333"/>
        </w:rPr>
        <w:t xml:space="preserve"> </w:t>
      </w:r>
      <w:r w:rsidR="00F040EE">
        <w:rPr>
          <w:color w:val="333333"/>
        </w:rPr>
        <w:t>is defined as</w:t>
      </w:r>
      <w:r w:rsidRPr="00F040EE">
        <w:rPr>
          <w:color w:val="333333"/>
        </w:rPr>
        <w:t xml:space="preserve"> the sum of the index numbers for the last</w:t>
      </w:r>
      <w:r w:rsidR="00F040EE">
        <w:rPr>
          <w:color w:val="333333"/>
        </w:rPr>
        <w:t xml:space="preserve"> four</w:t>
      </w:r>
      <w:r w:rsidRPr="00F040EE">
        <w:rPr>
          <w:color w:val="333333"/>
        </w:rPr>
        <w:t xml:space="preserve"> quarters before commencement of the GHG </w:t>
      </w:r>
      <w:proofErr w:type="gramStart"/>
      <w:r w:rsidR="006C4B26" w:rsidRPr="00F040EE">
        <w:rPr>
          <w:color w:val="333333"/>
        </w:rPr>
        <w:t>R</w:t>
      </w:r>
      <w:r w:rsidRPr="00F040EE">
        <w:rPr>
          <w:color w:val="333333"/>
        </w:rPr>
        <w:t>egulations</w:t>
      </w:r>
      <w:r w:rsidR="00F040EE">
        <w:rPr>
          <w:color w:val="333333"/>
        </w:rPr>
        <w:t>, and</w:t>
      </w:r>
      <w:proofErr w:type="gramEnd"/>
      <w:r w:rsidR="00F040EE">
        <w:rPr>
          <w:color w:val="333333"/>
        </w:rPr>
        <w:t xml:space="preserve"> will remain the same for all threshold calculations</w:t>
      </w:r>
      <w:r w:rsidRPr="00F040EE">
        <w:rPr>
          <w:color w:val="333333"/>
        </w:rPr>
        <w:t xml:space="preserve">. The </w:t>
      </w:r>
      <w:r w:rsidRPr="00F040EE">
        <w:rPr>
          <w:b/>
          <w:bCs/>
          <w:i/>
          <w:iCs/>
          <w:color w:val="333333"/>
        </w:rPr>
        <w:t>most recent GDP deflator</w:t>
      </w:r>
      <w:r w:rsidRPr="00F040EE">
        <w:rPr>
          <w:color w:val="333333"/>
        </w:rPr>
        <w:t xml:space="preserve"> </w:t>
      </w:r>
      <w:r w:rsidR="00F040EE">
        <w:rPr>
          <w:color w:val="333333"/>
        </w:rPr>
        <w:t>is defined as</w:t>
      </w:r>
      <w:r w:rsidRPr="00F040EE">
        <w:rPr>
          <w:color w:val="333333"/>
        </w:rPr>
        <w:t xml:space="preserve"> the sum of the index numbers for the most recent </w:t>
      </w:r>
      <w:r w:rsidR="00F040EE">
        <w:rPr>
          <w:color w:val="333333"/>
        </w:rPr>
        <w:t>four</w:t>
      </w:r>
      <w:r w:rsidRPr="00F040EE">
        <w:rPr>
          <w:color w:val="333333"/>
        </w:rPr>
        <w:t xml:space="preserve"> quarters for which index numbers have been published</w:t>
      </w:r>
      <w:r w:rsidR="00762482" w:rsidRPr="00F040EE">
        <w:rPr>
          <w:color w:val="333333"/>
        </w:rPr>
        <w:t>,</w:t>
      </w:r>
      <w:r w:rsidR="008F5D04" w:rsidRPr="00F040EE">
        <w:rPr>
          <w:color w:val="333333"/>
        </w:rPr>
        <w:t xml:space="preserve"> and</w:t>
      </w:r>
      <w:r w:rsidR="00A0062C" w:rsidRPr="00F040EE">
        <w:rPr>
          <w:color w:val="333333"/>
        </w:rPr>
        <w:t xml:space="preserve"> </w:t>
      </w:r>
      <w:r w:rsidR="008F5D04" w:rsidRPr="00F040EE">
        <w:rPr>
          <w:color w:val="333333"/>
        </w:rPr>
        <w:t xml:space="preserve">accordingly it </w:t>
      </w:r>
      <w:r w:rsidR="00A0062C" w:rsidRPr="00F040EE">
        <w:rPr>
          <w:color w:val="333333"/>
        </w:rPr>
        <w:t>will vary over time</w:t>
      </w:r>
      <w:r w:rsidRPr="00F040EE">
        <w:rPr>
          <w:color w:val="333333"/>
        </w:rPr>
        <w:t>.</w:t>
      </w:r>
    </w:p>
    <w:p w14:paraId="714318E4" w14:textId="0198EEAE" w:rsidR="00141AF2" w:rsidRDefault="000E323C" w:rsidP="005B63E6">
      <w:pPr>
        <w:pStyle w:val="notedraft"/>
        <w:ind w:left="0" w:firstLine="0"/>
        <w:rPr>
          <w:i w:val="0"/>
          <w:iCs/>
        </w:rPr>
      </w:pPr>
      <w:r>
        <w:rPr>
          <w:i w:val="0"/>
          <w:iCs/>
        </w:rPr>
        <w:t xml:space="preserve">The </w:t>
      </w:r>
      <w:r w:rsidRPr="00F040EE">
        <w:rPr>
          <w:b/>
          <w:bCs/>
        </w:rPr>
        <w:t>index number</w:t>
      </w:r>
      <w:r w:rsidRPr="000E323C">
        <w:rPr>
          <w:i w:val="0"/>
          <w:iCs/>
        </w:rPr>
        <w:t xml:space="preserve">, for a quarter, </w:t>
      </w:r>
      <w:r>
        <w:rPr>
          <w:i w:val="0"/>
          <w:iCs/>
        </w:rPr>
        <w:t>is defined as</w:t>
      </w:r>
      <w:r w:rsidRPr="000E323C">
        <w:rPr>
          <w:i w:val="0"/>
          <w:iCs/>
        </w:rPr>
        <w:t xml:space="preserve"> the Implicit Price Deflator for Expenditure on </w:t>
      </w:r>
      <w:r w:rsidR="00706416">
        <w:rPr>
          <w:i w:val="0"/>
          <w:iCs/>
        </w:rPr>
        <w:t xml:space="preserve">GDP </w:t>
      </w:r>
      <w:r w:rsidRPr="000E323C">
        <w:rPr>
          <w:i w:val="0"/>
          <w:iCs/>
        </w:rPr>
        <w:t>published by the Australian Statistician for that quarter.</w:t>
      </w:r>
      <w:r>
        <w:rPr>
          <w:i w:val="0"/>
          <w:iCs/>
        </w:rPr>
        <w:t xml:space="preserve"> </w:t>
      </w:r>
      <w:r w:rsidR="007C626F" w:rsidRPr="007C626F">
        <w:rPr>
          <w:i w:val="0"/>
          <w:iCs/>
          <w:szCs w:val="24"/>
        </w:rPr>
        <w:t xml:space="preserve">The reference to </w:t>
      </w:r>
      <w:r w:rsidR="007C626F">
        <w:rPr>
          <w:i w:val="0"/>
          <w:iCs/>
          <w:szCs w:val="24"/>
        </w:rPr>
        <w:t>indexes</w:t>
      </w:r>
      <w:r w:rsidR="007C626F" w:rsidRPr="007C626F">
        <w:rPr>
          <w:i w:val="0"/>
          <w:iCs/>
          <w:szCs w:val="24"/>
        </w:rPr>
        <w:t xml:space="preserve"> published by the </w:t>
      </w:r>
      <w:r w:rsidR="007C626F">
        <w:rPr>
          <w:i w:val="0"/>
          <w:iCs/>
          <w:szCs w:val="24"/>
        </w:rPr>
        <w:t>Australian Statistician</w:t>
      </w:r>
      <w:r w:rsidR="007C626F" w:rsidRPr="007C626F">
        <w:rPr>
          <w:i w:val="0"/>
          <w:iCs/>
          <w:szCs w:val="24"/>
        </w:rPr>
        <w:t xml:space="preserve"> is a reference to the fact of what the </w:t>
      </w:r>
      <w:r w:rsidR="007C626F">
        <w:rPr>
          <w:i w:val="0"/>
          <w:iCs/>
          <w:szCs w:val="24"/>
        </w:rPr>
        <w:t>index</w:t>
      </w:r>
      <w:r w:rsidR="007C626F" w:rsidRPr="007C626F">
        <w:rPr>
          <w:i w:val="0"/>
          <w:iCs/>
          <w:szCs w:val="24"/>
        </w:rPr>
        <w:t xml:space="preserve"> is at a particular point in time</w:t>
      </w:r>
      <w:r w:rsidR="007C626F">
        <w:rPr>
          <w:i w:val="0"/>
          <w:iCs/>
          <w:szCs w:val="24"/>
        </w:rPr>
        <w:t>,</w:t>
      </w:r>
      <w:r w:rsidR="007C626F">
        <w:rPr>
          <w:i w:val="0"/>
          <w:iCs/>
        </w:rPr>
        <w:t xml:space="preserve"> r</w:t>
      </w:r>
      <w:r>
        <w:rPr>
          <w:i w:val="0"/>
          <w:iCs/>
        </w:rPr>
        <w:t xml:space="preserve">ather than </w:t>
      </w:r>
      <w:r w:rsidR="007C626F">
        <w:rPr>
          <w:i w:val="0"/>
          <w:iCs/>
        </w:rPr>
        <w:t>to</w:t>
      </w:r>
      <w:r>
        <w:rPr>
          <w:i w:val="0"/>
          <w:iCs/>
        </w:rPr>
        <w:t xml:space="preserve"> a specifi</w:t>
      </w:r>
      <w:r w:rsidR="008F5D04">
        <w:rPr>
          <w:i w:val="0"/>
          <w:iCs/>
        </w:rPr>
        <w:t>c</w:t>
      </w:r>
      <w:r>
        <w:rPr>
          <w:i w:val="0"/>
          <w:iCs/>
        </w:rPr>
        <w:t xml:space="preserve"> publication</w:t>
      </w:r>
      <w:r w:rsidR="007C626F">
        <w:rPr>
          <w:i w:val="0"/>
          <w:iCs/>
        </w:rPr>
        <w:t xml:space="preserve"> or other document.</w:t>
      </w:r>
      <w:r>
        <w:rPr>
          <w:i w:val="0"/>
          <w:iCs/>
        </w:rPr>
        <w:t xml:space="preserve"> </w:t>
      </w:r>
      <w:r w:rsidR="007C626F">
        <w:rPr>
          <w:i w:val="0"/>
          <w:iCs/>
        </w:rPr>
        <w:t>Q</w:t>
      </w:r>
      <w:r>
        <w:rPr>
          <w:i w:val="0"/>
          <w:iCs/>
        </w:rPr>
        <w:t xml:space="preserve">uarterly statistics including the </w:t>
      </w:r>
      <w:r w:rsidRPr="000E323C">
        <w:rPr>
          <w:i w:val="0"/>
          <w:iCs/>
        </w:rPr>
        <w:t xml:space="preserve">Implicit Price Deflator for Expenditure on </w:t>
      </w:r>
      <w:r w:rsidR="00706416">
        <w:rPr>
          <w:i w:val="0"/>
          <w:iCs/>
        </w:rPr>
        <w:t>GDP</w:t>
      </w:r>
      <w:r w:rsidRPr="000E323C">
        <w:rPr>
          <w:i w:val="0"/>
          <w:iCs/>
        </w:rPr>
        <w:t xml:space="preserve"> </w:t>
      </w:r>
      <w:r>
        <w:rPr>
          <w:i w:val="0"/>
          <w:iCs/>
        </w:rPr>
        <w:t xml:space="preserve">are publicly available </w:t>
      </w:r>
      <w:r w:rsidR="005B63E6">
        <w:rPr>
          <w:i w:val="0"/>
          <w:iCs/>
        </w:rPr>
        <w:t xml:space="preserve">at no cost </w:t>
      </w:r>
      <w:r w:rsidR="00A0062C">
        <w:rPr>
          <w:i w:val="0"/>
          <w:iCs/>
        </w:rPr>
        <w:t xml:space="preserve">at </w:t>
      </w:r>
      <w:hyperlink r:id="rId13" w:history="1">
        <w:r w:rsidR="00435273" w:rsidRPr="00340C33">
          <w:rPr>
            <w:rStyle w:val="Hyperlink"/>
            <w:i w:val="0"/>
          </w:rPr>
          <w:t>www.abs.gov.au/statistics/economy/national-accounts</w:t>
        </w:r>
      </w:hyperlink>
      <w:r w:rsidR="00435273">
        <w:rPr>
          <w:i w:val="0"/>
          <w:iCs/>
        </w:rPr>
        <w:t xml:space="preserve"> (Australian National Accounts: National Income, Expenditure and Product). </w:t>
      </w:r>
    </w:p>
    <w:p w14:paraId="0CAA549A" w14:textId="3E3DE5E8" w:rsidR="00A51B77" w:rsidRDefault="00A51B77" w:rsidP="005B63E6">
      <w:pPr>
        <w:pStyle w:val="notedraft"/>
        <w:ind w:left="0" w:firstLine="0"/>
        <w:rPr>
          <w:i w:val="0"/>
          <w:iCs/>
        </w:rPr>
      </w:pPr>
      <w:r>
        <w:rPr>
          <w:i w:val="0"/>
          <w:iCs/>
        </w:rPr>
        <w:t xml:space="preserve">The threshold amount is calculated </w:t>
      </w:r>
      <w:r w:rsidR="0056127D">
        <w:rPr>
          <w:i w:val="0"/>
          <w:iCs/>
        </w:rPr>
        <w:t>on</w:t>
      </w:r>
      <w:r>
        <w:rPr>
          <w:i w:val="0"/>
          <w:iCs/>
        </w:rPr>
        <w:t xml:space="preserve"> a particular </w:t>
      </w:r>
      <w:r w:rsidR="0056127D">
        <w:rPr>
          <w:i w:val="0"/>
          <w:iCs/>
        </w:rPr>
        <w:t>day</w:t>
      </w:r>
      <w:r>
        <w:rPr>
          <w:i w:val="0"/>
          <w:iCs/>
        </w:rPr>
        <w:t xml:space="preserve"> rather than being subject to annual indexation. The amount </w:t>
      </w:r>
      <w:r w:rsidR="0056127D">
        <w:rPr>
          <w:i w:val="0"/>
          <w:iCs/>
        </w:rPr>
        <w:t>on</w:t>
      </w:r>
      <w:r>
        <w:rPr>
          <w:i w:val="0"/>
          <w:iCs/>
        </w:rPr>
        <w:t xml:space="preserve"> a particular </w:t>
      </w:r>
      <w:r w:rsidR="0056127D">
        <w:rPr>
          <w:i w:val="0"/>
          <w:iCs/>
        </w:rPr>
        <w:t>day</w:t>
      </w:r>
      <w:r>
        <w:rPr>
          <w:i w:val="0"/>
          <w:iCs/>
        </w:rPr>
        <w:t xml:space="preserve"> will be straightforward and quick to calculate, based on published and freely available figures, for the sophisticated industry that is regulated by the GHG Regulations.</w:t>
      </w:r>
    </w:p>
    <w:p w14:paraId="7A070A9E" w14:textId="33D1EBD0" w:rsidR="005B63E6" w:rsidRDefault="0056127D" w:rsidP="005B63E6">
      <w:pPr>
        <w:pStyle w:val="notedraft"/>
        <w:ind w:left="0" w:firstLine="0"/>
      </w:pPr>
      <w:r>
        <w:rPr>
          <w:i w:val="0"/>
          <w:iCs/>
        </w:rPr>
        <w:t xml:space="preserve">Paragraph 11(2)(a) requires threshold amounts to be worked out using only the index numbers published in terms of the most recently published index reference period. </w:t>
      </w:r>
      <w:r w:rsidR="00EF0757">
        <w:rPr>
          <w:i w:val="0"/>
          <w:iCs/>
        </w:rPr>
        <w:t>Paragraph</w:t>
      </w:r>
      <w:r w:rsidR="00340C33">
        <w:rPr>
          <w:i w:val="0"/>
          <w:iCs/>
        </w:rPr>
        <w:t> </w:t>
      </w:r>
      <w:r w:rsidR="0083122B">
        <w:rPr>
          <w:i w:val="0"/>
          <w:iCs/>
        </w:rPr>
        <w:t xml:space="preserve">11(2)(b) provides that index numbers published in substitution for previously published index numbers are to be disregarded, except where the substituted </w:t>
      </w:r>
      <w:r w:rsidR="0083122B" w:rsidRPr="0083122B">
        <w:rPr>
          <w:i w:val="0"/>
          <w:iCs/>
        </w:rPr>
        <w:t xml:space="preserve">numbers are </w:t>
      </w:r>
      <w:r w:rsidR="0083122B" w:rsidRPr="0083122B">
        <w:rPr>
          <w:i w:val="0"/>
          <w:iCs/>
        </w:rPr>
        <w:lastRenderedPageBreak/>
        <w:t>published to take account of changes in the index reference period</w:t>
      </w:r>
      <w:r w:rsidR="0083122B">
        <w:rPr>
          <w:i w:val="0"/>
          <w:iCs/>
        </w:rPr>
        <w:t>.</w:t>
      </w:r>
      <w:r w:rsidR="002C042A">
        <w:rPr>
          <w:i w:val="0"/>
          <w:iCs/>
        </w:rPr>
        <w:t xml:space="preserve"> This will ensure that consistent numbers are used for working out the threshold amount in different quarters, rather than using one number for a calculation in a particular quarter, and a different (substituted) number for a calculation in a subsequent quarter.</w:t>
      </w:r>
    </w:p>
    <w:p w14:paraId="461F45F8" w14:textId="599B6AC4" w:rsidR="00252E62" w:rsidRPr="00252E62" w:rsidRDefault="00252E62" w:rsidP="00502CAB">
      <w:pPr>
        <w:pStyle w:val="ActHead5"/>
        <w:spacing w:after="240"/>
      </w:pPr>
      <w:r w:rsidRPr="00252E62">
        <w:t xml:space="preserve">Section </w:t>
      </w:r>
      <w:r w:rsidR="007F74F7">
        <w:t>12</w:t>
      </w:r>
      <w:r w:rsidRPr="00252E62">
        <w:t xml:space="preserve"> – Notice of </w:t>
      </w:r>
      <w:r w:rsidR="007F74F7">
        <w:t>intended</w:t>
      </w:r>
      <w:r w:rsidRPr="00252E62">
        <w:t xml:space="preserve"> determination</w:t>
      </w:r>
    </w:p>
    <w:p w14:paraId="2F314B6D" w14:textId="44E66FB0" w:rsidR="000120C2" w:rsidRDefault="008416F8" w:rsidP="000120C2">
      <w:pPr>
        <w:pStyle w:val="notedraft"/>
        <w:ind w:left="0" w:firstLine="0"/>
        <w:rPr>
          <w:i w:val="0"/>
          <w:iCs/>
        </w:rPr>
      </w:pPr>
      <w:r w:rsidRPr="000120C2">
        <w:rPr>
          <w:i w:val="0"/>
          <w:iCs/>
        </w:rPr>
        <w:t xml:space="preserve">Section 12 is made for the purposes of </w:t>
      </w:r>
      <w:r w:rsidR="0086255B" w:rsidRPr="000120C2">
        <w:rPr>
          <w:i w:val="0"/>
          <w:iCs/>
        </w:rPr>
        <w:t>paragraph</w:t>
      </w:r>
      <w:r w:rsidRPr="000120C2">
        <w:rPr>
          <w:i w:val="0"/>
          <w:iCs/>
        </w:rPr>
        <w:t xml:space="preserve"> 781(b) of the </w:t>
      </w:r>
      <w:r w:rsidR="00664C71" w:rsidRPr="000120C2">
        <w:rPr>
          <w:i w:val="0"/>
          <w:iCs/>
        </w:rPr>
        <w:t xml:space="preserve">OPGGS </w:t>
      </w:r>
      <w:r w:rsidRPr="000120C2">
        <w:rPr>
          <w:i w:val="0"/>
          <w:iCs/>
        </w:rPr>
        <w:t xml:space="preserve">Act, being necessary or convenient for carrying out or giving effect to the </w:t>
      </w:r>
      <w:r w:rsidR="00603221">
        <w:rPr>
          <w:i w:val="0"/>
          <w:iCs/>
        </w:rPr>
        <w:t xml:space="preserve">OPGGS </w:t>
      </w:r>
      <w:r w:rsidRPr="000120C2">
        <w:rPr>
          <w:i w:val="0"/>
          <w:iCs/>
        </w:rPr>
        <w:t xml:space="preserve">Act. </w:t>
      </w:r>
      <w:r w:rsidR="00252E62" w:rsidRPr="000120C2">
        <w:rPr>
          <w:i w:val="0"/>
          <w:iCs/>
        </w:rPr>
        <w:t xml:space="preserve">This section </w:t>
      </w:r>
      <w:r w:rsidR="0083122B" w:rsidRPr="000120C2">
        <w:rPr>
          <w:i w:val="0"/>
          <w:iCs/>
        </w:rPr>
        <w:t xml:space="preserve">gives those parties who </w:t>
      </w:r>
      <w:r w:rsidR="000120C2">
        <w:rPr>
          <w:i w:val="0"/>
          <w:iCs/>
        </w:rPr>
        <w:t>may</w:t>
      </w:r>
      <w:r w:rsidR="0083122B" w:rsidRPr="000120C2">
        <w:rPr>
          <w:i w:val="0"/>
          <w:iCs/>
        </w:rPr>
        <w:t xml:space="preserve"> be affected by </w:t>
      </w:r>
      <w:r w:rsidR="000120C2">
        <w:rPr>
          <w:i w:val="0"/>
          <w:iCs/>
        </w:rPr>
        <w:t>a</w:t>
      </w:r>
      <w:r w:rsidR="0083122B" w:rsidRPr="000120C2">
        <w:rPr>
          <w:i w:val="0"/>
          <w:iCs/>
        </w:rPr>
        <w:t xml:space="preserve"> determination</w:t>
      </w:r>
      <w:r w:rsidR="000120C2">
        <w:rPr>
          <w:i w:val="0"/>
          <w:iCs/>
        </w:rPr>
        <w:t xml:space="preserve"> made in accordance with a SROSAI section under the OPGGS Act (as defined in section 5 of the GHG Regulations) </w:t>
      </w:r>
      <w:r w:rsidR="0083122B" w:rsidRPr="000120C2">
        <w:rPr>
          <w:i w:val="0"/>
          <w:iCs/>
        </w:rPr>
        <w:t xml:space="preserve">the opportunity to </w:t>
      </w:r>
      <w:r w:rsidR="008C5373">
        <w:rPr>
          <w:i w:val="0"/>
          <w:iCs/>
        </w:rPr>
        <w:t>make a written submission</w:t>
      </w:r>
      <w:r w:rsidR="0083122B" w:rsidRPr="000120C2">
        <w:rPr>
          <w:i w:val="0"/>
          <w:iCs/>
        </w:rPr>
        <w:t xml:space="preserve"> before a de</w:t>
      </w:r>
      <w:r w:rsidR="000120C2">
        <w:rPr>
          <w:i w:val="0"/>
          <w:iCs/>
        </w:rPr>
        <w:t>termination</w:t>
      </w:r>
      <w:r w:rsidR="0083122B" w:rsidRPr="000120C2">
        <w:rPr>
          <w:i w:val="0"/>
          <w:iCs/>
        </w:rPr>
        <w:t xml:space="preserve"> is made.</w:t>
      </w:r>
      <w:r w:rsidR="00271A45" w:rsidRPr="000120C2">
        <w:rPr>
          <w:i w:val="0"/>
          <w:iCs/>
        </w:rPr>
        <w:t xml:space="preserve"> It </w:t>
      </w:r>
      <w:r w:rsidR="0041132F" w:rsidRPr="000120C2">
        <w:rPr>
          <w:i w:val="0"/>
          <w:iCs/>
        </w:rPr>
        <w:t xml:space="preserve">requires a decision maker to give written notice of </w:t>
      </w:r>
      <w:r w:rsidR="004971C2" w:rsidRPr="000120C2">
        <w:rPr>
          <w:i w:val="0"/>
          <w:iCs/>
        </w:rPr>
        <w:t xml:space="preserve">the </w:t>
      </w:r>
      <w:r w:rsidR="0041132F" w:rsidRPr="000120C2">
        <w:rPr>
          <w:i w:val="0"/>
          <w:iCs/>
        </w:rPr>
        <w:t>intended determination to</w:t>
      </w:r>
      <w:r w:rsidR="000120C2">
        <w:rPr>
          <w:i w:val="0"/>
          <w:iCs/>
        </w:rPr>
        <w:t>:</w:t>
      </w:r>
      <w:r w:rsidR="0041132F" w:rsidRPr="000120C2">
        <w:rPr>
          <w:i w:val="0"/>
          <w:iCs/>
        </w:rPr>
        <w:t xml:space="preserve"> </w:t>
      </w:r>
    </w:p>
    <w:p w14:paraId="0D409E9E" w14:textId="483DFB39" w:rsidR="000120C2" w:rsidRDefault="0041132F" w:rsidP="000120C2">
      <w:pPr>
        <w:pStyle w:val="notedraft"/>
        <w:numPr>
          <w:ilvl w:val="0"/>
          <w:numId w:val="26"/>
        </w:numPr>
        <w:rPr>
          <w:i w:val="0"/>
          <w:iCs/>
        </w:rPr>
      </w:pPr>
      <w:r w:rsidRPr="000120C2">
        <w:rPr>
          <w:i w:val="0"/>
          <w:iCs/>
        </w:rPr>
        <w:t xml:space="preserve">the </w:t>
      </w:r>
      <w:r w:rsidR="000120C2">
        <w:rPr>
          <w:i w:val="0"/>
          <w:iCs/>
        </w:rPr>
        <w:t>person proposing to undertake</w:t>
      </w:r>
      <w:r w:rsidR="002E4042">
        <w:rPr>
          <w:i w:val="0"/>
          <w:iCs/>
        </w:rPr>
        <w:t>, or currently undertaking,</w:t>
      </w:r>
      <w:r w:rsidR="000120C2">
        <w:rPr>
          <w:i w:val="0"/>
          <w:iCs/>
        </w:rPr>
        <w:t xml:space="preserve"> a main operation (as</w:t>
      </w:r>
      <w:r w:rsidR="00706416">
        <w:rPr>
          <w:i w:val="0"/>
          <w:iCs/>
        </w:rPr>
        <w:t> </w:t>
      </w:r>
      <w:r w:rsidR="000120C2">
        <w:rPr>
          <w:i w:val="0"/>
          <w:iCs/>
        </w:rPr>
        <w:t xml:space="preserve">defined in section 5 of the GHG Regulations), or applying for a title under which a main operation could be carried on; and  </w:t>
      </w:r>
    </w:p>
    <w:p w14:paraId="497A604B" w14:textId="5F806839" w:rsidR="00252E62" w:rsidRDefault="000120C2" w:rsidP="000120C2">
      <w:pPr>
        <w:pStyle w:val="notedraft"/>
        <w:numPr>
          <w:ilvl w:val="0"/>
          <w:numId w:val="26"/>
        </w:numPr>
        <w:rPr>
          <w:i w:val="0"/>
          <w:iCs/>
        </w:rPr>
      </w:pPr>
      <w:r>
        <w:rPr>
          <w:i w:val="0"/>
          <w:iCs/>
        </w:rPr>
        <w:t xml:space="preserve">the person or persons under </w:t>
      </w:r>
      <w:proofErr w:type="gramStart"/>
      <w:r>
        <w:rPr>
          <w:i w:val="0"/>
          <w:iCs/>
        </w:rPr>
        <w:t>whose</w:t>
      </w:r>
      <w:proofErr w:type="gramEnd"/>
      <w:r>
        <w:rPr>
          <w:i w:val="0"/>
          <w:iCs/>
        </w:rPr>
        <w:t xml:space="preserve"> existing or future </w:t>
      </w:r>
      <w:r w:rsidR="004128F4">
        <w:rPr>
          <w:i w:val="0"/>
          <w:iCs/>
        </w:rPr>
        <w:t xml:space="preserve">potentially affected </w:t>
      </w:r>
      <w:r>
        <w:rPr>
          <w:i w:val="0"/>
          <w:iCs/>
        </w:rPr>
        <w:t>title</w:t>
      </w:r>
      <w:r w:rsidR="004128F4">
        <w:rPr>
          <w:i w:val="0"/>
          <w:iCs/>
        </w:rPr>
        <w:t xml:space="preserve"> there are potentially affected</w:t>
      </w:r>
      <w:r>
        <w:rPr>
          <w:i w:val="0"/>
          <w:iCs/>
        </w:rPr>
        <w:t xml:space="preserve"> operations</w:t>
      </w:r>
      <w:r w:rsidR="00A51EEC">
        <w:rPr>
          <w:i w:val="0"/>
          <w:iCs/>
        </w:rPr>
        <w:t xml:space="preserve"> (as defined in section 5 of the GHG Regulations)</w:t>
      </w:r>
      <w:r>
        <w:rPr>
          <w:i w:val="0"/>
          <w:iCs/>
        </w:rPr>
        <w:t xml:space="preserve">, of a kind mentioned in the relevant SROSAI section, </w:t>
      </w:r>
      <w:r w:rsidR="004128F4">
        <w:rPr>
          <w:i w:val="0"/>
          <w:iCs/>
        </w:rPr>
        <w:t xml:space="preserve">that </w:t>
      </w:r>
      <w:r>
        <w:rPr>
          <w:i w:val="0"/>
          <w:iCs/>
        </w:rPr>
        <w:t>are being or could be carried on</w:t>
      </w:r>
      <w:r w:rsidR="004128F4">
        <w:rPr>
          <w:i w:val="0"/>
          <w:iCs/>
        </w:rPr>
        <w:t>.</w:t>
      </w:r>
    </w:p>
    <w:p w14:paraId="1782CAB1" w14:textId="2E58DCFD" w:rsidR="00271A45" w:rsidRPr="000120C2" w:rsidRDefault="0041132F" w:rsidP="000120C2">
      <w:pPr>
        <w:pStyle w:val="notedraft"/>
        <w:ind w:left="0" w:firstLine="0"/>
        <w:rPr>
          <w:i w:val="0"/>
          <w:iCs/>
        </w:rPr>
      </w:pPr>
      <w:r w:rsidRPr="000120C2">
        <w:rPr>
          <w:i w:val="0"/>
          <w:iCs/>
        </w:rPr>
        <w:t xml:space="preserve">The notice must set out details of the </w:t>
      </w:r>
      <w:r w:rsidR="00C81712">
        <w:rPr>
          <w:i w:val="0"/>
          <w:iCs/>
        </w:rPr>
        <w:t>intend</w:t>
      </w:r>
      <w:r w:rsidRPr="000120C2">
        <w:rPr>
          <w:i w:val="0"/>
          <w:iCs/>
        </w:rPr>
        <w:t xml:space="preserve">ed determination and the reasons for </w:t>
      </w:r>
      <w:proofErr w:type="gramStart"/>
      <w:r w:rsidRPr="000120C2">
        <w:rPr>
          <w:i w:val="0"/>
          <w:iCs/>
        </w:rPr>
        <w:t>it</w:t>
      </w:r>
      <w:r w:rsidR="004C4674">
        <w:rPr>
          <w:i w:val="0"/>
          <w:iCs/>
        </w:rPr>
        <w:t>,</w:t>
      </w:r>
      <w:r w:rsidRPr="000120C2">
        <w:rPr>
          <w:i w:val="0"/>
          <w:iCs/>
        </w:rPr>
        <w:t xml:space="preserve"> and</w:t>
      </w:r>
      <w:proofErr w:type="gramEnd"/>
      <w:r w:rsidRPr="000120C2">
        <w:rPr>
          <w:i w:val="0"/>
          <w:iCs/>
        </w:rPr>
        <w:t xml:space="preserve"> invite the recipient to make a written submission within a specified time. The decision maker must </w:t>
      </w:r>
      <w:proofErr w:type="gramStart"/>
      <w:r w:rsidRPr="000120C2">
        <w:rPr>
          <w:i w:val="0"/>
          <w:iCs/>
        </w:rPr>
        <w:t>take into account</w:t>
      </w:r>
      <w:proofErr w:type="gramEnd"/>
      <w:r w:rsidRPr="000120C2">
        <w:rPr>
          <w:i w:val="0"/>
          <w:iCs/>
        </w:rPr>
        <w:t xml:space="preserve"> any submissions </w:t>
      </w:r>
      <w:r w:rsidR="00A0062C" w:rsidRPr="000120C2">
        <w:rPr>
          <w:i w:val="0"/>
          <w:iCs/>
        </w:rPr>
        <w:t xml:space="preserve">that are </w:t>
      </w:r>
      <w:r w:rsidRPr="000120C2">
        <w:rPr>
          <w:i w:val="0"/>
          <w:iCs/>
        </w:rPr>
        <w:t>made in accordance with the notice.</w:t>
      </w:r>
    </w:p>
    <w:p w14:paraId="02DA2469" w14:textId="3981BCA7" w:rsidR="0086255B" w:rsidRDefault="0086255B" w:rsidP="000120C2">
      <w:pPr>
        <w:pStyle w:val="notedraft"/>
        <w:ind w:left="0" w:firstLine="0"/>
        <w:rPr>
          <w:i w:val="0"/>
          <w:iCs/>
        </w:rPr>
      </w:pPr>
      <w:r w:rsidRPr="000120C2">
        <w:rPr>
          <w:i w:val="0"/>
          <w:iCs/>
        </w:rPr>
        <w:t>Paragraph 12(2)(a) lists certain provisions of the OPGGS Act that require a determination</w:t>
      </w:r>
      <w:r w:rsidR="00C81712">
        <w:rPr>
          <w:i w:val="0"/>
          <w:iCs/>
        </w:rPr>
        <w:t xml:space="preserve"> to be </w:t>
      </w:r>
      <w:proofErr w:type="gramStart"/>
      <w:r w:rsidR="00C81712">
        <w:rPr>
          <w:i w:val="0"/>
          <w:iCs/>
        </w:rPr>
        <w:t>made</w:t>
      </w:r>
      <w:r w:rsidRPr="000120C2">
        <w:rPr>
          <w:i w:val="0"/>
          <w:iCs/>
        </w:rPr>
        <w:t>, and</w:t>
      </w:r>
      <w:proofErr w:type="gramEnd"/>
      <w:r w:rsidRPr="000120C2">
        <w:rPr>
          <w:i w:val="0"/>
          <w:iCs/>
        </w:rPr>
        <w:t xml:space="preserve"> sets out who is required to be notified of an intended determination when a potentially affected title is a future title. The list does not include subsections 292(12) and 292</w:t>
      </w:r>
      <w:proofErr w:type="gramStart"/>
      <w:r w:rsidRPr="000120C2">
        <w:rPr>
          <w:i w:val="0"/>
          <w:iCs/>
        </w:rPr>
        <w:t>A(</w:t>
      </w:r>
      <w:proofErr w:type="gramEnd"/>
      <w:r w:rsidRPr="000120C2">
        <w:rPr>
          <w:i w:val="0"/>
          <w:iCs/>
        </w:rPr>
        <w:t>12) of the OPGGS Act, as these would already be covered by a determination required under subsection 292(6) or 292A(6) (which are listed in subparagraphs 12(2)(a)</w:t>
      </w:r>
      <w:r w:rsidR="006A628E" w:rsidRPr="000120C2">
        <w:rPr>
          <w:i w:val="0"/>
          <w:iCs/>
        </w:rPr>
        <w:t>(vi) and (vii) of the GHG Regulations)</w:t>
      </w:r>
      <w:r w:rsidRPr="000120C2">
        <w:rPr>
          <w:i w:val="0"/>
          <w:iCs/>
        </w:rPr>
        <w:t>.</w:t>
      </w:r>
      <w:r w:rsidR="006A628E" w:rsidRPr="000120C2">
        <w:rPr>
          <w:i w:val="0"/>
          <w:iCs/>
        </w:rPr>
        <w:t xml:space="preserve"> That is, the </w:t>
      </w:r>
      <w:r w:rsidR="00B84F3E">
        <w:rPr>
          <w:i w:val="0"/>
          <w:iCs/>
        </w:rPr>
        <w:t xml:space="preserve">responsible Commonwealth </w:t>
      </w:r>
      <w:r w:rsidR="006A628E" w:rsidRPr="000120C2">
        <w:rPr>
          <w:i w:val="0"/>
          <w:iCs/>
        </w:rPr>
        <w:t xml:space="preserve">Minister would make a determination </w:t>
      </w:r>
      <w:r w:rsidR="00B22ACD">
        <w:rPr>
          <w:i w:val="0"/>
          <w:iCs/>
        </w:rPr>
        <w:t xml:space="preserve">as to whether the Minister is satisfied that there is a </w:t>
      </w:r>
      <w:r w:rsidR="00603221">
        <w:rPr>
          <w:i w:val="0"/>
          <w:iCs/>
        </w:rPr>
        <w:t>SROSAI</w:t>
      </w:r>
      <w:r w:rsidR="00B22ACD">
        <w:rPr>
          <w:i w:val="0"/>
          <w:iCs/>
        </w:rPr>
        <w:t xml:space="preserve"> on</w:t>
      </w:r>
      <w:r w:rsidR="006A628E" w:rsidRPr="000120C2">
        <w:rPr>
          <w:i w:val="0"/>
          <w:iCs/>
        </w:rPr>
        <w:t xml:space="preserve"> </w:t>
      </w:r>
      <w:r w:rsidR="00B22ACD">
        <w:rPr>
          <w:i w:val="0"/>
          <w:iCs/>
        </w:rPr>
        <w:t xml:space="preserve">operations that could be carried on under </w:t>
      </w:r>
      <w:r w:rsidR="006A628E" w:rsidRPr="000120C2">
        <w:rPr>
          <w:i w:val="0"/>
          <w:iCs/>
        </w:rPr>
        <w:t>a future petroleum title under subsection 292(6) or 292</w:t>
      </w:r>
      <w:proofErr w:type="gramStart"/>
      <w:r w:rsidR="006A628E" w:rsidRPr="000120C2">
        <w:rPr>
          <w:i w:val="0"/>
          <w:iCs/>
        </w:rPr>
        <w:t>A(</w:t>
      </w:r>
      <w:proofErr w:type="gramEnd"/>
      <w:r w:rsidR="006A628E" w:rsidRPr="000120C2">
        <w:rPr>
          <w:i w:val="0"/>
          <w:iCs/>
        </w:rPr>
        <w:t xml:space="preserve">6). Then, if the Minister is satisfied that there is a </w:t>
      </w:r>
      <w:r w:rsidR="00603221">
        <w:rPr>
          <w:i w:val="0"/>
          <w:iCs/>
        </w:rPr>
        <w:t xml:space="preserve">SROSAI </w:t>
      </w:r>
      <w:r w:rsidR="006A628E" w:rsidRPr="000120C2">
        <w:rPr>
          <w:i w:val="0"/>
          <w:iCs/>
        </w:rPr>
        <w:t>in relation to a future petroleum title, and that future petroleum title is a pre-commencement petroleum title, subsection 292(12) or 292</w:t>
      </w:r>
      <w:proofErr w:type="gramStart"/>
      <w:r w:rsidR="006A628E" w:rsidRPr="000120C2">
        <w:rPr>
          <w:i w:val="0"/>
          <w:iCs/>
        </w:rPr>
        <w:t>A(</w:t>
      </w:r>
      <w:proofErr w:type="gramEnd"/>
      <w:r w:rsidR="006A628E" w:rsidRPr="000120C2">
        <w:rPr>
          <w:i w:val="0"/>
          <w:iCs/>
        </w:rPr>
        <w:t>12) would apply without the need to make a separate determination for those subsections.</w:t>
      </w:r>
      <w:r w:rsidRPr="000120C2">
        <w:rPr>
          <w:i w:val="0"/>
          <w:iCs/>
        </w:rPr>
        <w:t xml:space="preserve">  </w:t>
      </w:r>
    </w:p>
    <w:p w14:paraId="28F0DAD3" w14:textId="3BA431D8" w:rsidR="0065469D" w:rsidRPr="000120C2" w:rsidRDefault="004C4674" w:rsidP="0065469D">
      <w:pPr>
        <w:pStyle w:val="notedraft"/>
        <w:ind w:left="0" w:firstLine="0"/>
        <w:rPr>
          <w:i w:val="0"/>
          <w:iCs/>
        </w:rPr>
      </w:pPr>
      <w:r>
        <w:rPr>
          <w:i w:val="0"/>
          <w:iCs/>
        </w:rPr>
        <w:t xml:space="preserve">A determination as to whether there is a </w:t>
      </w:r>
      <w:r w:rsidR="00603221">
        <w:rPr>
          <w:i w:val="0"/>
          <w:iCs/>
        </w:rPr>
        <w:t xml:space="preserve">SROSAI </w:t>
      </w:r>
      <w:r>
        <w:rPr>
          <w:i w:val="0"/>
          <w:iCs/>
        </w:rPr>
        <w:t xml:space="preserve">is not subject to merits review. </w:t>
      </w:r>
      <w:r w:rsidR="0065469D" w:rsidRPr="00B22ACD">
        <w:rPr>
          <w:i w:val="0"/>
          <w:iCs/>
        </w:rPr>
        <w:t>I</w:t>
      </w:r>
      <w:r w:rsidR="0065469D">
        <w:rPr>
          <w:i w:val="0"/>
          <w:iCs/>
        </w:rPr>
        <w:t>t is the OPGGS Act, rather than the GHG Regulations, which includes the provisions that require a determination to be made. The OPGGS Act does not provide for merits review of a determination, or of the ultimate decision for the purposes of which a determination is made.</w:t>
      </w:r>
    </w:p>
    <w:p w14:paraId="2FBFE947" w14:textId="46231A89" w:rsidR="00861372" w:rsidRPr="00F0589C" w:rsidRDefault="00312876" w:rsidP="00CF0A51">
      <w:pPr>
        <w:keepNext/>
        <w:spacing w:before="240" w:after="100" w:afterAutospacing="1"/>
        <w:rPr>
          <w:rFonts w:ascii="Times New Roman" w:hAnsi="Times New Roman" w:cs="Times New Roman"/>
          <w:b/>
          <w:bCs/>
          <w:sz w:val="32"/>
          <w:szCs w:val="32"/>
        </w:rPr>
      </w:pPr>
      <w:r w:rsidRPr="00F0589C">
        <w:rPr>
          <w:rFonts w:ascii="Times New Roman" w:hAnsi="Times New Roman" w:cs="Times New Roman"/>
          <w:b/>
          <w:bCs/>
          <w:sz w:val="32"/>
          <w:szCs w:val="32"/>
        </w:rPr>
        <w:lastRenderedPageBreak/>
        <w:t xml:space="preserve">Part </w:t>
      </w:r>
      <w:r w:rsidR="005B484A" w:rsidRPr="00F0589C">
        <w:rPr>
          <w:rFonts w:ascii="Times New Roman" w:hAnsi="Times New Roman" w:cs="Times New Roman"/>
          <w:b/>
          <w:bCs/>
          <w:sz w:val="32"/>
          <w:szCs w:val="32"/>
        </w:rPr>
        <w:t>3</w:t>
      </w:r>
      <w:r w:rsidR="0030429F" w:rsidRPr="00F0589C">
        <w:rPr>
          <w:rFonts w:ascii="Times New Roman" w:hAnsi="Times New Roman" w:cs="Times New Roman"/>
          <w:b/>
          <w:bCs/>
          <w:sz w:val="32"/>
          <w:szCs w:val="32"/>
        </w:rPr>
        <w:t xml:space="preserve"> </w:t>
      </w:r>
      <w:r w:rsidRPr="00F0589C">
        <w:rPr>
          <w:rFonts w:ascii="Times New Roman" w:hAnsi="Times New Roman" w:cs="Times New Roman"/>
          <w:b/>
          <w:bCs/>
          <w:sz w:val="32"/>
          <w:szCs w:val="32"/>
        </w:rPr>
        <w:t>–</w:t>
      </w:r>
      <w:r w:rsidR="00CA41D7" w:rsidRPr="00F0589C">
        <w:rPr>
          <w:rFonts w:ascii="Times New Roman" w:hAnsi="Times New Roman" w:cs="Times New Roman"/>
          <w:b/>
          <w:bCs/>
          <w:sz w:val="32"/>
          <w:szCs w:val="32"/>
        </w:rPr>
        <w:t xml:space="preserve"> </w:t>
      </w:r>
      <w:r w:rsidR="0030429F" w:rsidRPr="00F0589C">
        <w:rPr>
          <w:rFonts w:ascii="Times New Roman" w:hAnsi="Times New Roman" w:cs="Times New Roman"/>
          <w:b/>
          <w:bCs/>
          <w:sz w:val="32"/>
          <w:szCs w:val="32"/>
        </w:rPr>
        <w:t>Applications for declarations of identified greenhouse gas storage formations</w:t>
      </w:r>
    </w:p>
    <w:p w14:paraId="00A9AFA4" w14:textId="452FAFB0" w:rsidR="00C51C13" w:rsidRDefault="00312876" w:rsidP="00502CAB">
      <w:pPr>
        <w:pStyle w:val="ActHead5"/>
      </w:pPr>
      <w:r w:rsidRPr="00C51C13">
        <w:t xml:space="preserve">Section </w:t>
      </w:r>
      <w:r w:rsidR="0030429F">
        <w:t>1</w:t>
      </w:r>
      <w:r w:rsidR="007F74F7">
        <w:t>3</w:t>
      </w:r>
      <w:r w:rsidR="0030429F">
        <w:t xml:space="preserve"> </w:t>
      </w:r>
      <w:r w:rsidRPr="00C51C13">
        <w:t xml:space="preserve">– </w:t>
      </w:r>
      <w:r w:rsidR="0030429F">
        <w:t>Simplified outline of this Part</w:t>
      </w:r>
    </w:p>
    <w:p w14:paraId="45326E0C" w14:textId="4E901132" w:rsidR="00A95BB0" w:rsidRDefault="00A95BB0" w:rsidP="00A95BB0">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sets out </w:t>
      </w:r>
      <w:r>
        <w:rPr>
          <w:rFonts w:ascii="Times New Roman" w:hAnsi="Times New Roman" w:cs="Times New Roman"/>
          <w:sz w:val="24"/>
          <w:szCs w:val="24"/>
        </w:rPr>
        <w:t>a</w:t>
      </w:r>
      <w:r w:rsidRPr="0071367A">
        <w:rPr>
          <w:rFonts w:ascii="Times New Roman" w:hAnsi="Times New Roman" w:cs="Times New Roman"/>
          <w:sz w:val="24"/>
          <w:szCs w:val="24"/>
        </w:rPr>
        <w:t xml:space="preserve"> </w:t>
      </w:r>
      <w:r>
        <w:rPr>
          <w:rFonts w:ascii="Times New Roman" w:hAnsi="Times New Roman" w:cs="Times New Roman"/>
          <w:sz w:val="24"/>
          <w:szCs w:val="24"/>
        </w:rPr>
        <w:t xml:space="preserve">simplified outline </w:t>
      </w:r>
      <w:r w:rsidRPr="0071367A">
        <w:rPr>
          <w:rFonts w:ascii="Times New Roman" w:hAnsi="Times New Roman" w:cs="Times New Roman"/>
          <w:sz w:val="24"/>
          <w:szCs w:val="24"/>
        </w:rPr>
        <w:t xml:space="preserve">of </w:t>
      </w:r>
      <w:r>
        <w:rPr>
          <w:rFonts w:ascii="Times New Roman" w:hAnsi="Times New Roman" w:cs="Times New Roman"/>
          <w:sz w:val="24"/>
          <w:szCs w:val="24"/>
        </w:rPr>
        <w:t xml:space="preserve">Part 3 of </w:t>
      </w:r>
      <w:r w:rsidRPr="0071367A">
        <w:rPr>
          <w:rFonts w:ascii="Times New Roman" w:hAnsi="Times New Roman" w:cs="Times New Roman"/>
          <w:sz w:val="24"/>
          <w:szCs w:val="24"/>
        </w:rPr>
        <w:t xml:space="preserve">the </w:t>
      </w:r>
      <w:r>
        <w:rPr>
          <w:rFonts w:ascii="Times New Roman" w:hAnsi="Times New Roman" w:cs="Times New Roman"/>
          <w:sz w:val="24"/>
          <w:szCs w:val="24"/>
        </w:rPr>
        <w:t xml:space="preserve">GHG </w:t>
      </w:r>
      <w:r w:rsidRPr="0071367A">
        <w:rPr>
          <w:rFonts w:ascii="Times New Roman" w:hAnsi="Times New Roman" w:cs="Times New Roman"/>
          <w:sz w:val="24"/>
          <w:szCs w:val="24"/>
        </w:rPr>
        <w:t>Regulations</w:t>
      </w:r>
      <w:r w:rsidRPr="00E32A1E">
        <w:rPr>
          <w:rFonts w:ascii="Times New Roman" w:hAnsi="Times New Roman" w:cs="Times New Roman"/>
          <w:sz w:val="24"/>
          <w:szCs w:val="24"/>
        </w:rPr>
        <w:t xml:space="preserve">. </w:t>
      </w:r>
      <w:r>
        <w:rPr>
          <w:rFonts w:ascii="Times New Roman" w:hAnsi="Times New Roman" w:cs="Times New Roman"/>
          <w:sz w:val="24"/>
          <w:szCs w:val="24"/>
        </w:rPr>
        <w:t>While s</w:t>
      </w:r>
      <w:r w:rsidRPr="00E32A1E">
        <w:rPr>
          <w:rFonts w:ascii="Times New Roman" w:hAnsi="Times New Roman" w:cs="Times New Roman"/>
          <w:sz w:val="24"/>
          <w:szCs w:val="24"/>
        </w:rPr>
        <w:t>implified outlines are included to assist readers to understand the substantive provisions, the outlines are not intended to be comprehensive. It is intended that readers should rely on the substantive provisions</w:t>
      </w:r>
      <w:r>
        <w:rPr>
          <w:rFonts w:ascii="Times New Roman" w:hAnsi="Times New Roman" w:cs="Times New Roman"/>
          <w:sz w:val="24"/>
          <w:szCs w:val="24"/>
        </w:rPr>
        <w:t>.</w:t>
      </w:r>
    </w:p>
    <w:p w14:paraId="515DDAF6" w14:textId="77777777" w:rsidR="0086056F" w:rsidRDefault="002A4866" w:rsidP="00C51C13">
      <w:pPr>
        <w:spacing w:before="240" w:after="100" w:afterAutospacing="1"/>
        <w:rPr>
          <w:rFonts w:ascii="Times New Roman" w:hAnsi="Times New Roman" w:cs="Times New Roman"/>
          <w:b/>
          <w:bCs/>
          <w:sz w:val="24"/>
          <w:szCs w:val="24"/>
        </w:rPr>
      </w:pPr>
      <w:r w:rsidRPr="0086056F">
        <w:rPr>
          <w:rFonts w:ascii="Times New Roman" w:hAnsi="Times New Roman" w:cs="Times New Roman"/>
          <w:b/>
          <w:bCs/>
          <w:sz w:val="24"/>
          <w:szCs w:val="24"/>
        </w:rPr>
        <w:t xml:space="preserve">Section </w:t>
      </w:r>
      <w:r w:rsidR="007F74F7" w:rsidRPr="0086056F">
        <w:rPr>
          <w:rFonts w:ascii="Times New Roman" w:hAnsi="Times New Roman" w:cs="Times New Roman"/>
          <w:b/>
          <w:bCs/>
          <w:sz w:val="24"/>
          <w:szCs w:val="24"/>
        </w:rPr>
        <w:t>14</w:t>
      </w:r>
      <w:r w:rsidRPr="0086056F">
        <w:rPr>
          <w:rFonts w:ascii="Times New Roman" w:hAnsi="Times New Roman" w:cs="Times New Roman"/>
          <w:b/>
          <w:bCs/>
          <w:sz w:val="24"/>
          <w:szCs w:val="24"/>
        </w:rPr>
        <w:t xml:space="preserve"> – Information to be set out in applications and requirements for estimates of sp</w:t>
      </w:r>
      <w:r w:rsidR="00FE6181" w:rsidRPr="0086056F">
        <w:rPr>
          <w:rFonts w:ascii="Times New Roman" w:hAnsi="Times New Roman" w:cs="Times New Roman"/>
          <w:b/>
          <w:bCs/>
          <w:sz w:val="24"/>
          <w:szCs w:val="24"/>
        </w:rPr>
        <w:t>at</w:t>
      </w:r>
      <w:r w:rsidRPr="0086056F">
        <w:rPr>
          <w:rFonts w:ascii="Times New Roman" w:hAnsi="Times New Roman" w:cs="Times New Roman"/>
          <w:b/>
          <w:bCs/>
          <w:sz w:val="24"/>
          <w:szCs w:val="24"/>
        </w:rPr>
        <w:t xml:space="preserve">ial </w:t>
      </w:r>
      <w:proofErr w:type="gramStart"/>
      <w:r w:rsidRPr="0086056F">
        <w:rPr>
          <w:rFonts w:ascii="Times New Roman" w:hAnsi="Times New Roman" w:cs="Times New Roman"/>
          <w:b/>
          <w:bCs/>
          <w:sz w:val="24"/>
          <w:szCs w:val="24"/>
        </w:rPr>
        <w:t>extent</w:t>
      </w:r>
      <w:proofErr w:type="gramEnd"/>
    </w:p>
    <w:p w14:paraId="5A060A90" w14:textId="4567E9CC" w:rsidR="00F0589C" w:rsidRDefault="00F0589C" w:rsidP="00C51C13">
      <w:pPr>
        <w:spacing w:before="240" w:after="100" w:afterAutospacing="1"/>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Paragraphs 312(3)(c) and 312A(3)(c) of the OPGGS Act require an application for a declaration of an identified GHG storage formation to include the information specified in the regulations. Subs</w:t>
      </w:r>
      <w:r w:rsidR="002A4866" w:rsidRPr="00855B8E">
        <w:rPr>
          <w:rFonts w:ascii="Times New Roman" w:hAnsi="Times New Roman" w:cs="Times New Roman"/>
          <w:color w:val="333333"/>
          <w:sz w:val="24"/>
          <w:szCs w:val="24"/>
          <w:shd w:val="clear" w:color="auto" w:fill="FFFFFF"/>
        </w:rPr>
        <w:t xml:space="preserve">ection </w:t>
      </w:r>
      <w:r>
        <w:rPr>
          <w:rFonts w:ascii="Times New Roman" w:hAnsi="Times New Roman" w:cs="Times New Roman"/>
          <w:color w:val="333333"/>
          <w:sz w:val="24"/>
          <w:szCs w:val="24"/>
          <w:shd w:val="clear" w:color="auto" w:fill="FFFFFF"/>
        </w:rPr>
        <w:t xml:space="preserve">14(1) of the GHG Regulations </w:t>
      </w:r>
      <w:r w:rsidR="008C5373">
        <w:rPr>
          <w:rFonts w:ascii="Times New Roman" w:hAnsi="Times New Roman" w:cs="Times New Roman"/>
          <w:color w:val="333333"/>
          <w:sz w:val="24"/>
          <w:szCs w:val="24"/>
          <w:shd w:val="clear" w:color="auto" w:fill="FFFFFF"/>
        </w:rPr>
        <w:t>provides that</w:t>
      </w:r>
      <w:r w:rsidR="002A4866" w:rsidRPr="00855B8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the relevant provisions of </w:t>
      </w:r>
      <w:r w:rsidR="002A4866" w:rsidRPr="00855B8E">
        <w:rPr>
          <w:rFonts w:ascii="Times New Roman" w:hAnsi="Times New Roman" w:cs="Times New Roman"/>
          <w:color w:val="333333"/>
          <w:sz w:val="24"/>
          <w:szCs w:val="24"/>
          <w:shd w:val="clear" w:color="auto" w:fill="FFFFFF"/>
        </w:rPr>
        <w:t>Schedule 1 specif</w:t>
      </w:r>
      <w:r>
        <w:rPr>
          <w:rFonts w:ascii="Times New Roman" w:hAnsi="Times New Roman" w:cs="Times New Roman"/>
          <w:color w:val="333333"/>
          <w:sz w:val="24"/>
          <w:szCs w:val="24"/>
          <w:shd w:val="clear" w:color="auto" w:fill="FFFFFF"/>
        </w:rPr>
        <w:t>y</w:t>
      </w:r>
      <w:r w:rsidR="002A4866" w:rsidRPr="00855B8E">
        <w:rPr>
          <w:rFonts w:ascii="Times New Roman" w:hAnsi="Times New Roman" w:cs="Times New Roman"/>
          <w:color w:val="333333"/>
          <w:sz w:val="24"/>
          <w:szCs w:val="24"/>
          <w:shd w:val="clear" w:color="auto" w:fill="FFFFFF"/>
        </w:rPr>
        <w:t xml:space="preserve"> the </w:t>
      </w:r>
      <w:r>
        <w:rPr>
          <w:rFonts w:ascii="Times New Roman" w:hAnsi="Times New Roman" w:cs="Times New Roman"/>
          <w:color w:val="333333"/>
          <w:sz w:val="24"/>
          <w:szCs w:val="24"/>
          <w:shd w:val="clear" w:color="auto" w:fill="FFFFFF"/>
        </w:rPr>
        <w:t xml:space="preserve">required </w:t>
      </w:r>
      <w:r w:rsidR="002A4866" w:rsidRPr="00855B8E">
        <w:rPr>
          <w:rFonts w:ascii="Times New Roman" w:hAnsi="Times New Roman" w:cs="Times New Roman"/>
          <w:color w:val="333333"/>
          <w:sz w:val="24"/>
          <w:szCs w:val="24"/>
          <w:shd w:val="clear" w:color="auto" w:fill="FFFFFF"/>
        </w:rPr>
        <w:t>information</w:t>
      </w:r>
      <w:r>
        <w:rPr>
          <w:rFonts w:ascii="Times New Roman" w:hAnsi="Times New Roman" w:cs="Times New Roman"/>
          <w:color w:val="333333"/>
          <w:sz w:val="24"/>
          <w:szCs w:val="24"/>
          <w:shd w:val="clear" w:color="auto" w:fill="FFFFFF"/>
        </w:rPr>
        <w:t>.</w:t>
      </w:r>
    </w:p>
    <w:p w14:paraId="10037C4D" w14:textId="593A35D1" w:rsidR="002A4866" w:rsidRDefault="00F0589C" w:rsidP="00C51C13">
      <w:pPr>
        <w:spacing w:before="240" w:after="100" w:afterAutospacing="1"/>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Subparagraphs 312(3)(b)(ii) and 312A(3)(b)(ii) of the OPGGS Act require an application for a declaration of an identified GHG storage formation to set out an estimate of the spatial extent of the eligible GHG storage formation that the applicant seeks to have declared as an identified storage formation. Subsections 312(4) and 312</w:t>
      </w:r>
      <w:proofErr w:type="gramStart"/>
      <w:r>
        <w:rPr>
          <w:rFonts w:ascii="Times New Roman" w:hAnsi="Times New Roman" w:cs="Times New Roman"/>
          <w:color w:val="333333"/>
          <w:sz w:val="24"/>
          <w:szCs w:val="24"/>
          <w:shd w:val="clear" w:color="auto" w:fill="FFFFFF"/>
        </w:rPr>
        <w:t>A(</w:t>
      </w:r>
      <w:proofErr w:type="gramEnd"/>
      <w:r>
        <w:rPr>
          <w:rFonts w:ascii="Times New Roman" w:hAnsi="Times New Roman" w:cs="Times New Roman"/>
          <w:color w:val="333333"/>
          <w:sz w:val="24"/>
          <w:szCs w:val="24"/>
          <w:shd w:val="clear" w:color="auto" w:fill="FFFFFF"/>
        </w:rPr>
        <w:t xml:space="preserve">4) of the OPGGS Act provide that an estimate of spatial extent must comply with such requirements as are specified in the regulations. Subsection 14(2) of the GHG Regulations </w:t>
      </w:r>
      <w:r w:rsidR="008C5373">
        <w:rPr>
          <w:rFonts w:ascii="Times New Roman" w:hAnsi="Times New Roman" w:cs="Times New Roman"/>
          <w:color w:val="333333"/>
          <w:sz w:val="24"/>
          <w:szCs w:val="24"/>
          <w:shd w:val="clear" w:color="auto" w:fill="FFFFFF"/>
        </w:rPr>
        <w:t>provides that</w:t>
      </w:r>
      <w:r>
        <w:rPr>
          <w:rFonts w:ascii="Times New Roman" w:hAnsi="Times New Roman" w:cs="Times New Roman"/>
          <w:color w:val="333333"/>
          <w:sz w:val="24"/>
          <w:szCs w:val="24"/>
          <w:shd w:val="clear" w:color="auto" w:fill="FFFFFF"/>
        </w:rPr>
        <w:t xml:space="preserve"> the relevant provisions of Schedule 1 set out the requirements for estimates of spatial extent.</w:t>
      </w:r>
      <w:r w:rsidR="002A4866" w:rsidRPr="002A4866">
        <w:rPr>
          <w:rFonts w:ascii="Times New Roman" w:hAnsi="Times New Roman" w:cs="Times New Roman"/>
          <w:color w:val="333333"/>
          <w:sz w:val="24"/>
          <w:szCs w:val="24"/>
          <w:shd w:val="clear" w:color="auto" w:fill="FFFFFF"/>
        </w:rPr>
        <w:t xml:space="preserve"> </w:t>
      </w:r>
    </w:p>
    <w:p w14:paraId="6F59324A" w14:textId="3DD6F001" w:rsidR="00107C89" w:rsidRPr="002245AC" w:rsidRDefault="00107C89" w:rsidP="00502CAB">
      <w:pPr>
        <w:pStyle w:val="ActHead5"/>
        <w:rPr>
          <w:shd w:val="clear" w:color="auto" w:fill="FFFFFF"/>
        </w:rPr>
      </w:pPr>
      <w:r w:rsidRPr="00107C89">
        <w:rPr>
          <w:shd w:val="clear" w:color="auto" w:fill="FFFFFF"/>
        </w:rPr>
        <w:t xml:space="preserve">Section </w:t>
      </w:r>
      <w:r w:rsidR="007F74F7">
        <w:rPr>
          <w:shd w:val="clear" w:color="auto" w:fill="FFFFFF"/>
        </w:rPr>
        <w:t>15</w:t>
      </w:r>
      <w:r w:rsidRPr="002245AC">
        <w:rPr>
          <w:shd w:val="clear" w:color="auto" w:fill="FFFFFF"/>
        </w:rPr>
        <w:t xml:space="preserve"> –</w:t>
      </w:r>
      <w:r w:rsidR="00C47481">
        <w:rPr>
          <w:shd w:val="clear" w:color="auto" w:fill="FFFFFF"/>
        </w:rPr>
        <w:t xml:space="preserve"> </w:t>
      </w:r>
      <w:r w:rsidR="00202689" w:rsidRPr="002245AC">
        <w:rPr>
          <w:shd w:val="clear" w:color="auto" w:fill="FFFFFF"/>
        </w:rPr>
        <w:t xml:space="preserve">Notices about </w:t>
      </w:r>
      <w:r w:rsidRPr="002245AC">
        <w:rPr>
          <w:shd w:val="clear" w:color="auto" w:fill="FFFFFF"/>
        </w:rPr>
        <w:t>vary</w:t>
      </w:r>
      <w:r w:rsidR="00202689" w:rsidRPr="002245AC">
        <w:rPr>
          <w:shd w:val="clear" w:color="auto" w:fill="FFFFFF"/>
        </w:rPr>
        <w:t>ing</w:t>
      </w:r>
      <w:r w:rsidRPr="002245AC">
        <w:rPr>
          <w:shd w:val="clear" w:color="auto" w:fill="FFFFFF"/>
        </w:rPr>
        <w:t xml:space="preserve"> applications</w:t>
      </w:r>
    </w:p>
    <w:p w14:paraId="2C746F16" w14:textId="58934489" w:rsidR="00801CA4" w:rsidRDefault="008757C3" w:rsidP="00C51C13">
      <w:pPr>
        <w:spacing w:before="240" w:after="100" w:afterAutospacing="1"/>
        <w:rPr>
          <w:rFonts w:ascii="Times New Roman" w:hAnsi="Times New Roman" w:cs="Times New Roman"/>
          <w:sz w:val="24"/>
          <w:szCs w:val="24"/>
        </w:rPr>
      </w:pPr>
      <w:bookmarkStart w:id="2" w:name="_Hlk146791221"/>
      <w:r w:rsidRPr="002245AC">
        <w:rPr>
          <w:rFonts w:ascii="Times New Roman" w:hAnsi="Times New Roman" w:cs="Times New Roman"/>
          <w:sz w:val="24"/>
          <w:szCs w:val="24"/>
        </w:rPr>
        <w:t xml:space="preserve">This section </w:t>
      </w:r>
      <w:r w:rsidR="00E92C13" w:rsidRPr="002245AC">
        <w:rPr>
          <w:rFonts w:ascii="Times New Roman" w:hAnsi="Times New Roman" w:cs="Times New Roman"/>
          <w:sz w:val="24"/>
          <w:szCs w:val="24"/>
        </w:rPr>
        <w:t xml:space="preserve">is made for the purposes of </w:t>
      </w:r>
      <w:r w:rsidR="00A744B1">
        <w:rPr>
          <w:rFonts w:ascii="Times New Roman" w:hAnsi="Times New Roman" w:cs="Times New Roman"/>
          <w:sz w:val="24"/>
          <w:szCs w:val="24"/>
        </w:rPr>
        <w:t>paragraph</w:t>
      </w:r>
      <w:r w:rsidR="00E92C13" w:rsidRPr="002245AC">
        <w:rPr>
          <w:rFonts w:ascii="Times New Roman" w:hAnsi="Times New Roman" w:cs="Times New Roman"/>
          <w:sz w:val="24"/>
          <w:szCs w:val="24"/>
        </w:rPr>
        <w:t xml:space="preserve"> 781(b) of the </w:t>
      </w:r>
      <w:r w:rsidR="00937C84">
        <w:rPr>
          <w:rFonts w:ascii="Times New Roman" w:hAnsi="Times New Roman" w:cs="Times New Roman"/>
          <w:sz w:val="24"/>
          <w:szCs w:val="24"/>
        </w:rPr>
        <w:t xml:space="preserve">OPGGS </w:t>
      </w:r>
      <w:r w:rsidR="00E92C13" w:rsidRPr="002245AC">
        <w:rPr>
          <w:rFonts w:ascii="Times New Roman" w:hAnsi="Times New Roman" w:cs="Times New Roman"/>
          <w:sz w:val="24"/>
          <w:szCs w:val="24"/>
        </w:rPr>
        <w:t xml:space="preserve">Act, being necessary or convenient for carrying out or giving effect to the </w:t>
      </w:r>
      <w:r w:rsidR="00937C84">
        <w:rPr>
          <w:rFonts w:ascii="Times New Roman" w:hAnsi="Times New Roman" w:cs="Times New Roman"/>
          <w:sz w:val="24"/>
          <w:szCs w:val="24"/>
        </w:rPr>
        <w:t xml:space="preserve">OPGGS </w:t>
      </w:r>
      <w:r w:rsidR="00E92C13" w:rsidRPr="002245AC">
        <w:rPr>
          <w:rFonts w:ascii="Times New Roman" w:hAnsi="Times New Roman" w:cs="Times New Roman"/>
          <w:sz w:val="24"/>
          <w:szCs w:val="24"/>
        </w:rPr>
        <w:t>Act</w:t>
      </w:r>
      <w:r w:rsidR="00141AF2" w:rsidRPr="002245AC">
        <w:rPr>
          <w:rFonts w:ascii="Times New Roman" w:hAnsi="Times New Roman" w:cs="Times New Roman"/>
          <w:sz w:val="24"/>
          <w:szCs w:val="24"/>
        </w:rPr>
        <w:t>.</w:t>
      </w:r>
      <w:r w:rsidR="00E92C13" w:rsidRPr="002245AC">
        <w:rPr>
          <w:rFonts w:ascii="Times New Roman" w:hAnsi="Times New Roman" w:cs="Times New Roman"/>
          <w:sz w:val="24"/>
          <w:szCs w:val="24"/>
        </w:rPr>
        <w:t xml:space="preserve"> </w:t>
      </w:r>
      <w:r w:rsidR="00801CA4">
        <w:rPr>
          <w:rFonts w:ascii="Times New Roman" w:hAnsi="Times New Roman" w:cs="Times New Roman"/>
          <w:sz w:val="24"/>
          <w:szCs w:val="24"/>
        </w:rPr>
        <w:t xml:space="preserve">If an application is made for a declaration of a part of a geological formation as an identified GHG storage formation under section 312 or 312A of the OPGGS Act, the </w:t>
      </w:r>
      <w:r w:rsidR="00B84F3E">
        <w:rPr>
          <w:rFonts w:ascii="Times New Roman" w:hAnsi="Times New Roman" w:cs="Times New Roman"/>
          <w:sz w:val="24"/>
          <w:szCs w:val="24"/>
        </w:rPr>
        <w:t xml:space="preserve">responsible Commonwealth </w:t>
      </w:r>
      <w:r w:rsidR="00801CA4">
        <w:rPr>
          <w:rFonts w:ascii="Times New Roman" w:hAnsi="Times New Roman" w:cs="Times New Roman"/>
          <w:sz w:val="24"/>
          <w:szCs w:val="24"/>
        </w:rPr>
        <w:t>Minister is required to consider the application. Under subsection 312(11) and 312</w:t>
      </w:r>
      <w:proofErr w:type="gramStart"/>
      <w:r w:rsidR="00801CA4">
        <w:rPr>
          <w:rFonts w:ascii="Times New Roman" w:hAnsi="Times New Roman" w:cs="Times New Roman"/>
          <w:sz w:val="24"/>
          <w:szCs w:val="24"/>
        </w:rPr>
        <w:t>A(</w:t>
      </w:r>
      <w:proofErr w:type="gramEnd"/>
      <w:r w:rsidR="00801CA4">
        <w:rPr>
          <w:rFonts w:ascii="Times New Roman" w:hAnsi="Times New Roman" w:cs="Times New Roman"/>
          <w:sz w:val="24"/>
          <w:szCs w:val="24"/>
        </w:rPr>
        <w:t>11), one</w:t>
      </w:r>
      <w:r w:rsidR="00CA6CD5">
        <w:rPr>
          <w:rFonts w:ascii="Times New Roman" w:hAnsi="Times New Roman" w:cs="Times New Roman"/>
          <w:sz w:val="24"/>
          <w:szCs w:val="24"/>
        </w:rPr>
        <w:t> </w:t>
      </w:r>
      <w:r w:rsidR="00801CA4">
        <w:rPr>
          <w:rFonts w:ascii="Times New Roman" w:hAnsi="Times New Roman" w:cs="Times New Roman"/>
          <w:sz w:val="24"/>
          <w:szCs w:val="24"/>
        </w:rPr>
        <w:t>of the criteria for the Minister to make a declaration is that the Minister is satisfied that the part of a geological formation is an eligible GHG storage formation (as defined in subsection</w:t>
      </w:r>
      <w:r w:rsidR="00A071C6">
        <w:rPr>
          <w:rFonts w:ascii="Times New Roman" w:hAnsi="Times New Roman" w:cs="Times New Roman"/>
          <w:sz w:val="24"/>
          <w:szCs w:val="24"/>
        </w:rPr>
        <w:t> </w:t>
      </w:r>
      <w:r w:rsidR="00801CA4">
        <w:rPr>
          <w:rFonts w:ascii="Times New Roman" w:hAnsi="Times New Roman" w:cs="Times New Roman"/>
          <w:sz w:val="24"/>
          <w:szCs w:val="24"/>
        </w:rPr>
        <w:t xml:space="preserve">21(1) of the OPGGS Act). </w:t>
      </w:r>
    </w:p>
    <w:p w14:paraId="4B0AE0E5" w14:textId="3F94904D" w:rsidR="00801CA4" w:rsidRDefault="00801CA4" w:rsidP="00C51C13">
      <w:pPr>
        <w:spacing w:before="240" w:after="100" w:afterAutospacing="1"/>
        <w:rPr>
          <w:rFonts w:ascii="Times New Roman" w:hAnsi="Times New Roman" w:cs="Times New Roman"/>
          <w:color w:val="333333"/>
          <w:sz w:val="24"/>
          <w:szCs w:val="24"/>
          <w:shd w:val="clear" w:color="auto" w:fill="FFFFFF"/>
        </w:rPr>
      </w:pPr>
      <w:r>
        <w:rPr>
          <w:rFonts w:ascii="Times New Roman" w:hAnsi="Times New Roman" w:cs="Times New Roman"/>
          <w:sz w:val="24"/>
          <w:szCs w:val="24"/>
        </w:rPr>
        <w:t>S</w:t>
      </w:r>
      <w:r w:rsidR="004C6F8A">
        <w:rPr>
          <w:rFonts w:ascii="Times New Roman" w:hAnsi="Times New Roman" w:cs="Times New Roman"/>
          <w:sz w:val="24"/>
          <w:szCs w:val="24"/>
        </w:rPr>
        <w:t xml:space="preserve">ection </w:t>
      </w:r>
      <w:r>
        <w:rPr>
          <w:rFonts w:ascii="Times New Roman" w:hAnsi="Times New Roman" w:cs="Times New Roman"/>
          <w:sz w:val="24"/>
          <w:szCs w:val="24"/>
        </w:rPr>
        <w:t xml:space="preserve">15 of the GHG Regulations </w:t>
      </w:r>
      <w:r w:rsidR="005B65BC">
        <w:rPr>
          <w:rFonts w:ascii="Times New Roman" w:hAnsi="Times New Roman" w:cs="Times New Roman"/>
          <w:sz w:val="24"/>
          <w:szCs w:val="24"/>
        </w:rPr>
        <w:t>requires</w:t>
      </w:r>
      <w:r w:rsidR="00610335">
        <w:rPr>
          <w:rFonts w:ascii="Times New Roman" w:hAnsi="Times New Roman" w:cs="Times New Roman"/>
          <w:sz w:val="24"/>
          <w:szCs w:val="24"/>
        </w:rPr>
        <w:t xml:space="preserve"> </w:t>
      </w:r>
      <w:r w:rsidR="004C6F8A">
        <w:rPr>
          <w:rFonts w:ascii="Times New Roman" w:hAnsi="Times New Roman" w:cs="Times New Roman"/>
          <w:color w:val="333333"/>
          <w:sz w:val="24"/>
          <w:szCs w:val="24"/>
          <w:shd w:val="clear" w:color="auto" w:fill="FFFFFF"/>
        </w:rPr>
        <w:t>t</w:t>
      </w:r>
      <w:r w:rsidR="004C6F8A" w:rsidRPr="004C6F8A">
        <w:rPr>
          <w:rFonts w:ascii="Times New Roman" w:hAnsi="Times New Roman" w:cs="Times New Roman"/>
          <w:color w:val="333333"/>
          <w:sz w:val="24"/>
          <w:szCs w:val="24"/>
          <w:shd w:val="clear" w:color="auto" w:fill="FFFFFF"/>
        </w:rPr>
        <w:t xml:space="preserve">he </w:t>
      </w:r>
      <w:r w:rsidR="008C5373">
        <w:rPr>
          <w:rFonts w:ascii="Times New Roman" w:hAnsi="Times New Roman" w:cs="Times New Roman"/>
          <w:color w:val="333333"/>
          <w:sz w:val="24"/>
          <w:szCs w:val="24"/>
          <w:shd w:val="clear" w:color="auto" w:fill="FFFFFF"/>
        </w:rPr>
        <w:t xml:space="preserve">responsible Commonwealth </w:t>
      </w:r>
      <w:r w:rsidR="004C6F8A">
        <w:rPr>
          <w:rFonts w:ascii="Times New Roman" w:hAnsi="Times New Roman" w:cs="Times New Roman"/>
          <w:color w:val="333333"/>
          <w:sz w:val="24"/>
          <w:szCs w:val="24"/>
          <w:shd w:val="clear" w:color="auto" w:fill="FFFFFF"/>
        </w:rPr>
        <w:t xml:space="preserve">Minister </w:t>
      </w:r>
      <w:r w:rsidR="004C6F8A" w:rsidRPr="004C6F8A">
        <w:rPr>
          <w:rFonts w:ascii="Times New Roman" w:hAnsi="Times New Roman" w:cs="Times New Roman"/>
          <w:color w:val="333333"/>
          <w:sz w:val="24"/>
          <w:szCs w:val="24"/>
          <w:shd w:val="clear" w:color="auto" w:fill="FFFFFF"/>
        </w:rPr>
        <w:t xml:space="preserve">to give the applicant </w:t>
      </w:r>
      <w:r>
        <w:rPr>
          <w:rFonts w:ascii="Times New Roman" w:hAnsi="Times New Roman" w:cs="Times New Roman"/>
          <w:color w:val="333333"/>
          <w:sz w:val="24"/>
          <w:szCs w:val="24"/>
          <w:shd w:val="clear" w:color="auto" w:fill="FFFFFF"/>
        </w:rPr>
        <w:t xml:space="preserve">a notice giving the applicant </w:t>
      </w:r>
      <w:r w:rsidR="004C6F8A" w:rsidRPr="004C6F8A">
        <w:rPr>
          <w:rFonts w:ascii="Times New Roman" w:hAnsi="Times New Roman" w:cs="Times New Roman"/>
          <w:color w:val="333333"/>
          <w:sz w:val="24"/>
          <w:szCs w:val="24"/>
          <w:shd w:val="clear" w:color="auto" w:fill="FFFFFF"/>
        </w:rPr>
        <w:t>an opportunity to</w:t>
      </w:r>
      <w:r>
        <w:rPr>
          <w:rFonts w:ascii="Times New Roman" w:hAnsi="Times New Roman" w:cs="Times New Roman"/>
          <w:color w:val="333333"/>
          <w:sz w:val="24"/>
          <w:szCs w:val="24"/>
          <w:shd w:val="clear" w:color="auto" w:fill="FFFFFF"/>
        </w:rPr>
        <w:t xml:space="preserve"> vary</w:t>
      </w:r>
      <w:r w:rsidR="004C6F8A" w:rsidRPr="004C6F8A">
        <w:rPr>
          <w:rFonts w:ascii="Times New Roman" w:hAnsi="Times New Roman" w:cs="Times New Roman"/>
          <w:color w:val="333333"/>
          <w:sz w:val="24"/>
          <w:szCs w:val="24"/>
          <w:shd w:val="clear" w:color="auto" w:fill="FFFFFF"/>
        </w:rPr>
        <w:t xml:space="preserve"> the application if </w:t>
      </w:r>
      <w:r w:rsidR="00FE6181">
        <w:rPr>
          <w:rFonts w:ascii="Times New Roman" w:hAnsi="Times New Roman" w:cs="Times New Roman"/>
          <w:color w:val="333333"/>
          <w:sz w:val="24"/>
          <w:szCs w:val="24"/>
          <w:shd w:val="clear" w:color="auto" w:fill="FFFFFF"/>
        </w:rPr>
        <w:t xml:space="preserve">the Minister is not satisfied </w:t>
      </w:r>
      <w:r w:rsidR="004C6F8A" w:rsidRPr="004C6F8A">
        <w:rPr>
          <w:rFonts w:ascii="Times New Roman" w:hAnsi="Times New Roman" w:cs="Times New Roman"/>
          <w:color w:val="333333"/>
          <w:sz w:val="24"/>
          <w:szCs w:val="24"/>
          <w:shd w:val="clear" w:color="auto" w:fill="FFFFFF"/>
        </w:rPr>
        <w:t xml:space="preserve">that </w:t>
      </w:r>
      <w:r w:rsidR="00142734">
        <w:rPr>
          <w:rFonts w:ascii="Times New Roman" w:hAnsi="Times New Roman" w:cs="Times New Roman"/>
          <w:color w:val="333333"/>
          <w:sz w:val="24"/>
          <w:szCs w:val="24"/>
          <w:shd w:val="clear" w:color="auto" w:fill="FFFFFF"/>
        </w:rPr>
        <w:t xml:space="preserve">the </w:t>
      </w:r>
      <w:r w:rsidR="004C6F8A" w:rsidRPr="004C6F8A">
        <w:rPr>
          <w:rFonts w:ascii="Times New Roman" w:hAnsi="Times New Roman" w:cs="Times New Roman"/>
          <w:color w:val="333333"/>
          <w:sz w:val="24"/>
          <w:szCs w:val="24"/>
          <w:shd w:val="clear" w:color="auto" w:fill="FFFFFF"/>
        </w:rPr>
        <w:t xml:space="preserve">part of the geological formation is </w:t>
      </w:r>
      <w:r w:rsidR="00FE6181">
        <w:rPr>
          <w:rFonts w:ascii="Times New Roman" w:hAnsi="Times New Roman" w:cs="Times New Roman"/>
          <w:color w:val="333333"/>
          <w:sz w:val="24"/>
          <w:szCs w:val="24"/>
          <w:shd w:val="clear" w:color="auto" w:fill="FFFFFF"/>
        </w:rPr>
        <w:t xml:space="preserve">an eligible </w:t>
      </w:r>
      <w:r w:rsidR="00772C25">
        <w:rPr>
          <w:rFonts w:ascii="Times New Roman" w:hAnsi="Times New Roman" w:cs="Times New Roman"/>
          <w:color w:val="333333"/>
          <w:sz w:val="24"/>
          <w:szCs w:val="24"/>
          <w:shd w:val="clear" w:color="auto" w:fill="FFFFFF"/>
        </w:rPr>
        <w:t>GHG</w:t>
      </w:r>
      <w:r w:rsidR="00FE6181">
        <w:rPr>
          <w:rFonts w:ascii="Times New Roman" w:hAnsi="Times New Roman" w:cs="Times New Roman"/>
          <w:color w:val="333333"/>
          <w:sz w:val="24"/>
          <w:szCs w:val="24"/>
          <w:shd w:val="clear" w:color="auto" w:fill="FFFFFF"/>
        </w:rPr>
        <w:t xml:space="preserve"> storage formation</w:t>
      </w:r>
      <w:r w:rsidR="00142734">
        <w:rPr>
          <w:rFonts w:ascii="Times New Roman" w:hAnsi="Times New Roman" w:cs="Times New Roman"/>
          <w:color w:val="333333"/>
          <w:sz w:val="24"/>
          <w:szCs w:val="24"/>
          <w:shd w:val="clear" w:color="auto" w:fill="FFFFFF"/>
        </w:rPr>
        <w:t>,</w:t>
      </w:r>
      <w:r w:rsidR="00FE6181">
        <w:rPr>
          <w:rFonts w:ascii="Times New Roman" w:hAnsi="Times New Roman" w:cs="Times New Roman"/>
          <w:color w:val="333333"/>
          <w:sz w:val="24"/>
          <w:szCs w:val="24"/>
          <w:shd w:val="clear" w:color="auto" w:fill="FFFFFF"/>
        </w:rPr>
        <w:t xml:space="preserve"> </w:t>
      </w:r>
      <w:r w:rsidR="001247C9">
        <w:rPr>
          <w:rFonts w:ascii="Times New Roman" w:hAnsi="Times New Roman" w:cs="Times New Roman"/>
          <w:color w:val="333333"/>
          <w:sz w:val="24"/>
          <w:szCs w:val="24"/>
          <w:shd w:val="clear" w:color="auto" w:fill="FFFFFF"/>
        </w:rPr>
        <w:t>but</w:t>
      </w:r>
      <w:r w:rsidR="00FE6181">
        <w:rPr>
          <w:rFonts w:ascii="Times New Roman" w:hAnsi="Times New Roman" w:cs="Times New Roman"/>
          <w:color w:val="333333"/>
          <w:sz w:val="24"/>
          <w:szCs w:val="24"/>
          <w:shd w:val="clear" w:color="auto" w:fill="FFFFFF"/>
        </w:rPr>
        <w:t xml:space="preserve"> reasonably believes that the applicant could vary the application </w:t>
      </w:r>
      <w:r w:rsidR="001247C9">
        <w:rPr>
          <w:rFonts w:ascii="Times New Roman" w:hAnsi="Times New Roman" w:cs="Times New Roman"/>
          <w:color w:val="333333"/>
          <w:sz w:val="24"/>
          <w:szCs w:val="24"/>
          <w:shd w:val="clear" w:color="auto" w:fill="FFFFFF"/>
        </w:rPr>
        <w:t xml:space="preserve">to </w:t>
      </w:r>
      <w:r w:rsidR="00142734">
        <w:rPr>
          <w:rFonts w:ascii="Times New Roman" w:hAnsi="Times New Roman" w:cs="Times New Roman"/>
          <w:color w:val="333333"/>
          <w:sz w:val="24"/>
          <w:szCs w:val="24"/>
          <w:shd w:val="clear" w:color="auto" w:fill="FFFFFF"/>
        </w:rPr>
        <w:t xml:space="preserve">so </w:t>
      </w:r>
      <w:r w:rsidR="001247C9">
        <w:rPr>
          <w:rFonts w:ascii="Times New Roman" w:hAnsi="Times New Roman" w:cs="Times New Roman"/>
          <w:color w:val="333333"/>
          <w:sz w:val="24"/>
          <w:szCs w:val="24"/>
          <w:shd w:val="clear" w:color="auto" w:fill="FFFFFF"/>
        </w:rPr>
        <w:t>satisfy the Minister</w:t>
      </w:r>
      <w:r w:rsidR="004C6F8A" w:rsidRPr="004C6F8A">
        <w:rPr>
          <w:rFonts w:ascii="Times New Roman" w:hAnsi="Times New Roman" w:cs="Times New Roman"/>
          <w:color w:val="333333"/>
          <w:sz w:val="24"/>
          <w:szCs w:val="24"/>
          <w:shd w:val="clear" w:color="auto" w:fill="FFFFFF"/>
        </w:rPr>
        <w:t>.</w:t>
      </w:r>
      <w:r w:rsidR="001247C9">
        <w:rPr>
          <w:rFonts w:ascii="Times New Roman" w:hAnsi="Times New Roman" w:cs="Times New Roman"/>
          <w:color w:val="333333"/>
          <w:sz w:val="24"/>
          <w:szCs w:val="24"/>
          <w:shd w:val="clear" w:color="auto" w:fill="FFFFFF"/>
        </w:rPr>
        <w:t xml:space="preserve"> </w:t>
      </w:r>
    </w:p>
    <w:p w14:paraId="7074864E" w14:textId="241D67C5" w:rsidR="00107C89" w:rsidRDefault="001247C9" w:rsidP="00C51C13">
      <w:pPr>
        <w:spacing w:before="240" w:after="100" w:afterAutospacing="1"/>
        <w:rPr>
          <w:rFonts w:ascii="Times New Roman" w:hAnsi="Times New Roman" w:cs="Times New Roman"/>
          <w:sz w:val="24"/>
          <w:szCs w:val="24"/>
        </w:rPr>
      </w:pPr>
      <w:r w:rsidRPr="00801CA4">
        <w:rPr>
          <w:rFonts w:ascii="Times New Roman" w:hAnsi="Times New Roman" w:cs="Times New Roman"/>
          <w:sz w:val="24"/>
          <w:szCs w:val="24"/>
        </w:rPr>
        <w:t>The notice</w:t>
      </w:r>
      <w:r w:rsidR="00801CA4" w:rsidRPr="00801CA4">
        <w:rPr>
          <w:rFonts w:ascii="Times New Roman" w:hAnsi="Times New Roman" w:cs="Times New Roman"/>
          <w:sz w:val="24"/>
          <w:szCs w:val="24"/>
        </w:rPr>
        <w:t xml:space="preserve"> must</w:t>
      </w:r>
      <w:r w:rsidRPr="00801CA4">
        <w:rPr>
          <w:rFonts w:ascii="Times New Roman" w:hAnsi="Times New Roman" w:cs="Times New Roman"/>
          <w:sz w:val="24"/>
          <w:szCs w:val="24"/>
        </w:rPr>
        <w:t xml:space="preserve"> inform the applicant </w:t>
      </w:r>
      <w:r w:rsidR="007F57EE">
        <w:rPr>
          <w:rFonts w:ascii="Times New Roman" w:hAnsi="Times New Roman" w:cs="Times New Roman"/>
          <w:sz w:val="24"/>
          <w:szCs w:val="24"/>
        </w:rPr>
        <w:t xml:space="preserve">that the responsible Commonwealth Minister is not so satisfied and </w:t>
      </w:r>
      <w:r w:rsidR="00801CA4" w:rsidRPr="00801CA4">
        <w:rPr>
          <w:rFonts w:ascii="Times New Roman" w:hAnsi="Times New Roman" w:cs="Times New Roman"/>
          <w:sz w:val="24"/>
          <w:szCs w:val="24"/>
        </w:rPr>
        <w:t xml:space="preserve">of </w:t>
      </w:r>
      <w:r w:rsidRPr="00801CA4">
        <w:rPr>
          <w:rFonts w:ascii="Times New Roman" w:hAnsi="Times New Roman" w:cs="Times New Roman"/>
          <w:sz w:val="24"/>
          <w:szCs w:val="24"/>
        </w:rPr>
        <w:t xml:space="preserve">the reasons </w:t>
      </w:r>
      <w:r w:rsidR="00801CA4" w:rsidRPr="00801CA4">
        <w:rPr>
          <w:rFonts w:ascii="Times New Roman" w:hAnsi="Times New Roman" w:cs="Times New Roman"/>
          <w:sz w:val="24"/>
          <w:szCs w:val="24"/>
        </w:rPr>
        <w:t xml:space="preserve">that the Minister is not </w:t>
      </w:r>
      <w:proofErr w:type="gramStart"/>
      <w:r w:rsidR="00801CA4" w:rsidRPr="00801CA4">
        <w:rPr>
          <w:rFonts w:ascii="Times New Roman" w:hAnsi="Times New Roman" w:cs="Times New Roman"/>
          <w:sz w:val="24"/>
          <w:szCs w:val="24"/>
        </w:rPr>
        <w:t>satisfied</w:t>
      </w:r>
      <w:r w:rsidR="00751553" w:rsidRPr="00801CA4">
        <w:rPr>
          <w:rFonts w:ascii="Times New Roman" w:hAnsi="Times New Roman" w:cs="Times New Roman"/>
          <w:sz w:val="24"/>
          <w:szCs w:val="24"/>
        </w:rPr>
        <w:t xml:space="preserve">, </w:t>
      </w:r>
      <w:r w:rsidR="00142734" w:rsidRPr="00801CA4">
        <w:rPr>
          <w:rFonts w:ascii="Times New Roman" w:hAnsi="Times New Roman" w:cs="Times New Roman"/>
          <w:sz w:val="24"/>
          <w:szCs w:val="24"/>
        </w:rPr>
        <w:t>and</w:t>
      </w:r>
      <w:proofErr w:type="gramEnd"/>
      <w:r w:rsidR="00142734" w:rsidRPr="00801CA4">
        <w:rPr>
          <w:rFonts w:ascii="Times New Roman" w:hAnsi="Times New Roman" w:cs="Times New Roman"/>
          <w:sz w:val="24"/>
          <w:szCs w:val="24"/>
        </w:rPr>
        <w:t xml:space="preserve"> give the applicant an opportunity to vary the application.</w:t>
      </w:r>
      <w:r w:rsidRPr="00801CA4">
        <w:rPr>
          <w:rFonts w:ascii="Times New Roman" w:hAnsi="Times New Roman" w:cs="Times New Roman"/>
          <w:sz w:val="24"/>
          <w:szCs w:val="24"/>
        </w:rPr>
        <w:t xml:space="preserve"> </w:t>
      </w:r>
      <w:r w:rsidR="007F57EE">
        <w:rPr>
          <w:rFonts w:ascii="Times New Roman" w:hAnsi="Times New Roman" w:cs="Times New Roman"/>
          <w:sz w:val="24"/>
          <w:szCs w:val="24"/>
        </w:rPr>
        <w:t>S</w:t>
      </w:r>
      <w:r w:rsidR="00801CA4">
        <w:rPr>
          <w:rFonts w:ascii="Times New Roman" w:hAnsi="Times New Roman" w:cs="Times New Roman"/>
          <w:sz w:val="24"/>
          <w:szCs w:val="24"/>
        </w:rPr>
        <w:t>ubsections 312(7) to (10) and 312</w:t>
      </w:r>
      <w:proofErr w:type="gramStart"/>
      <w:r w:rsidR="00801CA4">
        <w:rPr>
          <w:rFonts w:ascii="Times New Roman" w:hAnsi="Times New Roman" w:cs="Times New Roman"/>
          <w:sz w:val="24"/>
          <w:szCs w:val="24"/>
        </w:rPr>
        <w:t>A(</w:t>
      </w:r>
      <w:proofErr w:type="gramEnd"/>
      <w:r w:rsidR="00801CA4">
        <w:rPr>
          <w:rFonts w:ascii="Times New Roman" w:hAnsi="Times New Roman" w:cs="Times New Roman"/>
          <w:sz w:val="24"/>
          <w:szCs w:val="24"/>
        </w:rPr>
        <w:t>7) to (10) of the OPGGS Act</w:t>
      </w:r>
      <w:r w:rsidR="007F57EE">
        <w:rPr>
          <w:rFonts w:ascii="Times New Roman" w:hAnsi="Times New Roman" w:cs="Times New Roman"/>
          <w:sz w:val="24"/>
          <w:szCs w:val="24"/>
        </w:rPr>
        <w:t xml:space="preserve"> provide for applications to be varied</w:t>
      </w:r>
      <w:r w:rsidR="00801CA4">
        <w:rPr>
          <w:rFonts w:ascii="Times New Roman" w:hAnsi="Times New Roman" w:cs="Times New Roman"/>
          <w:sz w:val="24"/>
          <w:szCs w:val="24"/>
        </w:rPr>
        <w:t xml:space="preserve">. </w:t>
      </w:r>
      <w:r w:rsidR="000C5B91">
        <w:rPr>
          <w:rFonts w:ascii="Times New Roman" w:hAnsi="Times New Roman" w:cs="Times New Roman"/>
          <w:sz w:val="24"/>
          <w:szCs w:val="24"/>
        </w:rPr>
        <w:t>The Minister</w:t>
      </w:r>
      <w:r w:rsidR="00142734" w:rsidRPr="00801CA4">
        <w:rPr>
          <w:rFonts w:ascii="Times New Roman" w:hAnsi="Times New Roman" w:cs="Times New Roman"/>
          <w:sz w:val="24"/>
          <w:szCs w:val="24"/>
        </w:rPr>
        <w:t xml:space="preserve"> </w:t>
      </w:r>
      <w:r w:rsidRPr="00801CA4">
        <w:rPr>
          <w:rFonts w:ascii="Times New Roman" w:hAnsi="Times New Roman" w:cs="Times New Roman"/>
          <w:sz w:val="24"/>
          <w:szCs w:val="24"/>
        </w:rPr>
        <w:t xml:space="preserve">is not required to consider the </w:t>
      </w:r>
      <w:r w:rsidRPr="00801CA4">
        <w:rPr>
          <w:rFonts w:ascii="Times New Roman" w:hAnsi="Times New Roman" w:cs="Times New Roman"/>
          <w:sz w:val="24"/>
          <w:szCs w:val="24"/>
        </w:rPr>
        <w:lastRenderedPageBreak/>
        <w:t>application further until the applicant has varied it</w:t>
      </w:r>
      <w:r w:rsidR="000C5B91">
        <w:rPr>
          <w:rFonts w:ascii="Times New Roman" w:hAnsi="Times New Roman" w:cs="Times New Roman"/>
          <w:sz w:val="24"/>
          <w:szCs w:val="24"/>
        </w:rPr>
        <w:t>, noting that the Minister would be required to refuse the application under subsection 312(1</w:t>
      </w:r>
      <w:r w:rsidR="007F57EE">
        <w:rPr>
          <w:rFonts w:ascii="Times New Roman" w:hAnsi="Times New Roman" w:cs="Times New Roman"/>
          <w:sz w:val="24"/>
          <w:szCs w:val="24"/>
        </w:rPr>
        <w:t>5</w:t>
      </w:r>
      <w:r w:rsidR="000C5B91">
        <w:rPr>
          <w:rFonts w:ascii="Times New Roman" w:hAnsi="Times New Roman" w:cs="Times New Roman"/>
          <w:sz w:val="24"/>
          <w:szCs w:val="24"/>
        </w:rPr>
        <w:t>) or 312</w:t>
      </w:r>
      <w:proofErr w:type="gramStart"/>
      <w:r w:rsidR="000C5B91">
        <w:rPr>
          <w:rFonts w:ascii="Times New Roman" w:hAnsi="Times New Roman" w:cs="Times New Roman"/>
          <w:sz w:val="24"/>
          <w:szCs w:val="24"/>
        </w:rPr>
        <w:t>A(</w:t>
      </w:r>
      <w:proofErr w:type="gramEnd"/>
      <w:r w:rsidR="000C5B91">
        <w:rPr>
          <w:rFonts w:ascii="Times New Roman" w:hAnsi="Times New Roman" w:cs="Times New Roman"/>
          <w:sz w:val="24"/>
          <w:szCs w:val="24"/>
        </w:rPr>
        <w:t>1</w:t>
      </w:r>
      <w:r w:rsidR="007F57EE">
        <w:rPr>
          <w:rFonts w:ascii="Times New Roman" w:hAnsi="Times New Roman" w:cs="Times New Roman"/>
          <w:sz w:val="24"/>
          <w:szCs w:val="24"/>
        </w:rPr>
        <w:t>5</w:t>
      </w:r>
      <w:r w:rsidR="000C5B91">
        <w:rPr>
          <w:rFonts w:ascii="Times New Roman" w:hAnsi="Times New Roman" w:cs="Times New Roman"/>
          <w:sz w:val="24"/>
          <w:szCs w:val="24"/>
        </w:rPr>
        <w:t>) if it is not varied</w:t>
      </w:r>
      <w:r w:rsidRPr="00801CA4">
        <w:rPr>
          <w:rFonts w:ascii="Times New Roman" w:hAnsi="Times New Roman" w:cs="Times New Roman"/>
          <w:sz w:val="24"/>
          <w:szCs w:val="24"/>
        </w:rPr>
        <w:t>.</w:t>
      </w:r>
    </w:p>
    <w:p w14:paraId="37476BD5" w14:textId="3611EF89" w:rsidR="000C5B91" w:rsidRPr="00801CA4" w:rsidRDefault="000C5B91" w:rsidP="00C51C13">
      <w:pPr>
        <w:spacing w:before="240" w:after="100" w:afterAutospacing="1"/>
        <w:rPr>
          <w:rFonts w:ascii="Times New Roman" w:hAnsi="Times New Roman" w:cs="Times New Roman"/>
          <w:sz w:val="24"/>
          <w:szCs w:val="24"/>
        </w:rPr>
      </w:pPr>
      <w:r>
        <w:rPr>
          <w:rFonts w:ascii="Times New Roman" w:hAnsi="Times New Roman" w:cs="Times New Roman"/>
          <w:sz w:val="24"/>
          <w:szCs w:val="24"/>
        </w:rPr>
        <w:t xml:space="preserve">If the application is varied, and the </w:t>
      </w:r>
      <w:r w:rsidR="00547728">
        <w:rPr>
          <w:rFonts w:ascii="Times New Roman" w:hAnsi="Times New Roman" w:cs="Times New Roman"/>
          <w:sz w:val="24"/>
          <w:szCs w:val="24"/>
        </w:rPr>
        <w:t xml:space="preserve">responsible Commonwealth </w:t>
      </w:r>
      <w:r>
        <w:rPr>
          <w:rFonts w:ascii="Times New Roman" w:hAnsi="Times New Roman" w:cs="Times New Roman"/>
          <w:sz w:val="24"/>
          <w:szCs w:val="24"/>
        </w:rPr>
        <w:t>Minister is still not satisfied that the part of a geological formation is an eligible GHG storage formation, but reasonably believes that the applicant could again vary the application to so satisfy the Minister, then the Minister must give a further opportunity to vary the application (subsection 15(3)).</w:t>
      </w:r>
    </w:p>
    <w:bookmarkEnd w:id="2"/>
    <w:p w14:paraId="3939FAFE" w14:textId="2C78CF93" w:rsidR="00161650" w:rsidRPr="00502CAB" w:rsidRDefault="00161650" w:rsidP="00502CAB">
      <w:pPr>
        <w:pStyle w:val="ActHead2"/>
        <w:rPr>
          <w:rStyle w:val="CharPartNo"/>
        </w:rPr>
      </w:pPr>
      <w:r w:rsidRPr="00502CAB">
        <w:rPr>
          <w:rStyle w:val="CharPartNo"/>
        </w:rPr>
        <w:t xml:space="preserve">Part </w:t>
      </w:r>
      <w:r w:rsidR="005B484A" w:rsidRPr="00502CAB">
        <w:rPr>
          <w:rStyle w:val="CharPartNo"/>
        </w:rPr>
        <w:t>4</w:t>
      </w:r>
      <w:r w:rsidRPr="00502CAB">
        <w:rPr>
          <w:rStyle w:val="CharPartNo"/>
        </w:rPr>
        <w:t xml:space="preserve"> – </w:t>
      </w:r>
      <w:r w:rsidR="004C6F8A" w:rsidRPr="00502CAB">
        <w:rPr>
          <w:rStyle w:val="CharPartNo"/>
        </w:rPr>
        <w:t>Site plans</w:t>
      </w:r>
    </w:p>
    <w:p w14:paraId="132DA058" w14:textId="299D78F0" w:rsidR="00161650" w:rsidRDefault="00161650" w:rsidP="00502CAB">
      <w:pPr>
        <w:pStyle w:val="ActHead3"/>
        <w:spacing w:after="240"/>
      </w:pPr>
      <w:r w:rsidRPr="006C29A4">
        <w:t xml:space="preserve">Division 1 – </w:t>
      </w:r>
      <w:r w:rsidR="004C6F8A">
        <w:t>Preliminary</w:t>
      </w:r>
    </w:p>
    <w:p w14:paraId="1603A5CE" w14:textId="544551B3" w:rsidR="00A36CD4" w:rsidRPr="00216D10" w:rsidRDefault="00F57D5E" w:rsidP="00097E67">
      <w:pPr>
        <w:rPr>
          <w:rFonts w:ascii="Times New Roman" w:hAnsi="Times New Roman" w:cs="Times New Roman"/>
          <w:sz w:val="24"/>
          <w:szCs w:val="24"/>
        </w:rPr>
      </w:pPr>
      <w:r w:rsidRPr="00216D10">
        <w:rPr>
          <w:rFonts w:ascii="Times New Roman" w:hAnsi="Times New Roman" w:cs="Times New Roman"/>
          <w:sz w:val="24"/>
          <w:szCs w:val="24"/>
        </w:rPr>
        <w:t xml:space="preserve">The </w:t>
      </w:r>
      <w:r w:rsidR="00E94D2F">
        <w:rPr>
          <w:rFonts w:ascii="Times New Roman" w:hAnsi="Times New Roman" w:cs="Times New Roman"/>
          <w:sz w:val="24"/>
          <w:szCs w:val="24"/>
        </w:rPr>
        <w:t>aim</w:t>
      </w:r>
      <w:r w:rsidRPr="00216D10">
        <w:rPr>
          <w:rFonts w:ascii="Times New Roman" w:hAnsi="Times New Roman" w:cs="Times New Roman"/>
          <w:sz w:val="24"/>
          <w:szCs w:val="24"/>
        </w:rPr>
        <w:t xml:space="preserve"> of</w:t>
      </w:r>
      <w:r w:rsidR="00216D10">
        <w:rPr>
          <w:rFonts w:ascii="Times New Roman" w:hAnsi="Times New Roman" w:cs="Times New Roman"/>
          <w:sz w:val="24"/>
          <w:szCs w:val="24"/>
        </w:rPr>
        <w:t xml:space="preserve"> </w:t>
      </w:r>
      <w:r w:rsidRPr="00216D10">
        <w:rPr>
          <w:rFonts w:ascii="Times New Roman" w:hAnsi="Times New Roman" w:cs="Times New Roman"/>
          <w:sz w:val="24"/>
          <w:szCs w:val="24"/>
        </w:rPr>
        <w:t>Part</w:t>
      </w:r>
      <w:r w:rsidR="00216D10">
        <w:rPr>
          <w:rFonts w:ascii="Times New Roman" w:hAnsi="Times New Roman" w:cs="Times New Roman"/>
          <w:sz w:val="24"/>
          <w:szCs w:val="24"/>
        </w:rPr>
        <w:t xml:space="preserve"> 4</w:t>
      </w:r>
      <w:r w:rsidRPr="00216D10">
        <w:rPr>
          <w:rFonts w:ascii="Times New Roman" w:hAnsi="Times New Roman" w:cs="Times New Roman"/>
          <w:sz w:val="24"/>
          <w:szCs w:val="24"/>
        </w:rPr>
        <w:t xml:space="preserve"> is to ensure that </w:t>
      </w:r>
      <w:r w:rsidR="00216D10">
        <w:rPr>
          <w:rFonts w:ascii="Times New Roman" w:hAnsi="Times New Roman" w:cs="Times New Roman"/>
          <w:sz w:val="24"/>
          <w:szCs w:val="24"/>
        </w:rPr>
        <w:t>GHG</w:t>
      </w:r>
      <w:r w:rsidRPr="00216D10">
        <w:rPr>
          <w:rFonts w:ascii="Times New Roman" w:hAnsi="Times New Roman" w:cs="Times New Roman"/>
          <w:sz w:val="24"/>
          <w:szCs w:val="24"/>
        </w:rPr>
        <w:t xml:space="preserve"> injection and storage </w:t>
      </w:r>
      <w:r w:rsidR="00997D55">
        <w:rPr>
          <w:rFonts w:ascii="Times New Roman" w:hAnsi="Times New Roman" w:cs="Times New Roman"/>
          <w:sz w:val="24"/>
          <w:szCs w:val="24"/>
        </w:rPr>
        <w:t>operations are</w:t>
      </w:r>
      <w:r w:rsidRPr="00216D10">
        <w:rPr>
          <w:rFonts w:ascii="Times New Roman" w:hAnsi="Times New Roman" w:cs="Times New Roman"/>
          <w:sz w:val="24"/>
          <w:szCs w:val="24"/>
        </w:rPr>
        <w:t xml:space="preserve"> undertaken in a way which ensures that the storage is safe and secure</w:t>
      </w:r>
      <w:r w:rsidR="00997D55">
        <w:rPr>
          <w:rFonts w:ascii="Times New Roman" w:hAnsi="Times New Roman" w:cs="Times New Roman"/>
          <w:sz w:val="24"/>
          <w:szCs w:val="24"/>
        </w:rPr>
        <w:t>.</w:t>
      </w:r>
      <w:r w:rsidRPr="00216D10">
        <w:rPr>
          <w:rFonts w:ascii="Times New Roman" w:hAnsi="Times New Roman" w:cs="Times New Roman"/>
          <w:sz w:val="24"/>
          <w:szCs w:val="24"/>
        </w:rPr>
        <w:t xml:space="preserve"> </w:t>
      </w:r>
      <w:r w:rsidR="00997D55">
        <w:rPr>
          <w:rFonts w:ascii="Times New Roman" w:hAnsi="Times New Roman" w:cs="Times New Roman"/>
          <w:sz w:val="24"/>
          <w:szCs w:val="24"/>
        </w:rPr>
        <w:t>Part 4 does this by requiring operations to be undertaken</w:t>
      </w:r>
      <w:r w:rsidRPr="00216D10">
        <w:rPr>
          <w:rFonts w:ascii="Times New Roman" w:hAnsi="Times New Roman" w:cs="Times New Roman"/>
          <w:sz w:val="24"/>
          <w:szCs w:val="24"/>
        </w:rPr>
        <w:t xml:space="preserve"> in accordance with an approved site plan </w:t>
      </w:r>
      <w:r w:rsidR="00E33A48">
        <w:rPr>
          <w:rFonts w:ascii="Times New Roman" w:hAnsi="Times New Roman" w:cs="Times New Roman"/>
          <w:sz w:val="24"/>
          <w:szCs w:val="24"/>
        </w:rPr>
        <w:t xml:space="preserve">for an identified GHG storage formation </w:t>
      </w:r>
      <w:r w:rsidRPr="00216D10">
        <w:rPr>
          <w:rFonts w:ascii="Times New Roman" w:hAnsi="Times New Roman" w:cs="Times New Roman"/>
          <w:sz w:val="24"/>
          <w:szCs w:val="24"/>
        </w:rPr>
        <w:t>that</w:t>
      </w:r>
      <w:r w:rsidR="00E94D2F">
        <w:rPr>
          <w:rFonts w:ascii="Times New Roman" w:hAnsi="Times New Roman" w:cs="Times New Roman"/>
          <w:sz w:val="24"/>
          <w:szCs w:val="24"/>
        </w:rPr>
        <w:t xml:space="preserve"> </w:t>
      </w:r>
      <w:r w:rsidR="00E33A48">
        <w:rPr>
          <w:rFonts w:ascii="Times New Roman" w:hAnsi="Times New Roman" w:cs="Times New Roman"/>
          <w:sz w:val="24"/>
          <w:szCs w:val="24"/>
        </w:rPr>
        <w:t>sets out predictions for the behaviour of a GHG substance stored in the</w:t>
      </w:r>
      <w:r w:rsidR="00547728">
        <w:rPr>
          <w:rFonts w:ascii="Times New Roman" w:hAnsi="Times New Roman" w:cs="Times New Roman"/>
          <w:sz w:val="24"/>
          <w:szCs w:val="24"/>
        </w:rPr>
        <w:t xml:space="preserve"> identified GHG storage</w:t>
      </w:r>
      <w:r w:rsidR="00E33A48">
        <w:rPr>
          <w:rFonts w:ascii="Times New Roman" w:hAnsi="Times New Roman" w:cs="Times New Roman"/>
          <w:sz w:val="24"/>
          <w:szCs w:val="24"/>
        </w:rPr>
        <w:t xml:space="preserve"> formation, </w:t>
      </w:r>
      <w:r w:rsidRPr="00216D10">
        <w:rPr>
          <w:rFonts w:ascii="Times New Roman" w:hAnsi="Times New Roman" w:cs="Times New Roman"/>
          <w:sz w:val="24"/>
          <w:szCs w:val="24"/>
        </w:rPr>
        <w:t xml:space="preserve">identifies </w:t>
      </w:r>
      <w:r w:rsidR="00E94D2F">
        <w:rPr>
          <w:rFonts w:ascii="Times New Roman" w:hAnsi="Times New Roman" w:cs="Times New Roman"/>
          <w:sz w:val="24"/>
          <w:szCs w:val="24"/>
        </w:rPr>
        <w:t xml:space="preserve">and </w:t>
      </w:r>
      <w:r w:rsidR="0063112F">
        <w:rPr>
          <w:rFonts w:ascii="Times New Roman" w:hAnsi="Times New Roman" w:cs="Times New Roman"/>
          <w:sz w:val="24"/>
          <w:szCs w:val="24"/>
        </w:rPr>
        <w:t xml:space="preserve">provides for the </w:t>
      </w:r>
      <w:r w:rsidR="00E94D2F">
        <w:rPr>
          <w:rFonts w:ascii="Times New Roman" w:hAnsi="Times New Roman" w:cs="Times New Roman"/>
          <w:sz w:val="24"/>
          <w:szCs w:val="24"/>
        </w:rPr>
        <w:t>manage</w:t>
      </w:r>
      <w:r w:rsidR="0063112F">
        <w:rPr>
          <w:rFonts w:ascii="Times New Roman" w:hAnsi="Times New Roman" w:cs="Times New Roman"/>
          <w:sz w:val="24"/>
          <w:szCs w:val="24"/>
        </w:rPr>
        <w:t>ment</w:t>
      </w:r>
      <w:r w:rsidR="00E94D2F">
        <w:rPr>
          <w:rFonts w:ascii="Times New Roman" w:hAnsi="Times New Roman" w:cs="Times New Roman"/>
          <w:sz w:val="24"/>
          <w:szCs w:val="24"/>
        </w:rPr>
        <w:t xml:space="preserve"> </w:t>
      </w:r>
      <w:r w:rsidR="0063112F">
        <w:rPr>
          <w:rFonts w:ascii="Times New Roman" w:hAnsi="Times New Roman" w:cs="Times New Roman"/>
          <w:sz w:val="24"/>
          <w:szCs w:val="24"/>
        </w:rPr>
        <w:t xml:space="preserve">of </w:t>
      </w:r>
      <w:r w:rsidRPr="00216D10">
        <w:rPr>
          <w:rFonts w:ascii="Times New Roman" w:hAnsi="Times New Roman" w:cs="Times New Roman"/>
          <w:sz w:val="24"/>
          <w:szCs w:val="24"/>
        </w:rPr>
        <w:t>risks</w:t>
      </w:r>
      <w:r w:rsidR="00E94D2F">
        <w:rPr>
          <w:rFonts w:ascii="Times New Roman" w:hAnsi="Times New Roman" w:cs="Times New Roman"/>
          <w:sz w:val="24"/>
          <w:szCs w:val="24"/>
        </w:rPr>
        <w:t>,</w:t>
      </w:r>
      <w:r w:rsidRPr="00216D10">
        <w:rPr>
          <w:rFonts w:ascii="Times New Roman" w:hAnsi="Times New Roman" w:cs="Times New Roman"/>
          <w:sz w:val="24"/>
          <w:szCs w:val="24"/>
        </w:rPr>
        <w:t xml:space="preserve"> </w:t>
      </w:r>
      <w:r w:rsidR="00E33A48">
        <w:rPr>
          <w:rFonts w:ascii="Times New Roman" w:hAnsi="Times New Roman" w:cs="Times New Roman"/>
          <w:sz w:val="24"/>
          <w:szCs w:val="24"/>
        </w:rPr>
        <w:t xml:space="preserve">and </w:t>
      </w:r>
      <w:r w:rsidRPr="00216D10">
        <w:rPr>
          <w:rFonts w:ascii="Times New Roman" w:hAnsi="Times New Roman" w:cs="Times New Roman"/>
          <w:sz w:val="24"/>
          <w:szCs w:val="24"/>
        </w:rPr>
        <w:t xml:space="preserve">provides for monitoring </w:t>
      </w:r>
      <w:r w:rsidR="00E94D2F">
        <w:rPr>
          <w:rFonts w:ascii="Times New Roman" w:hAnsi="Times New Roman" w:cs="Times New Roman"/>
          <w:sz w:val="24"/>
          <w:szCs w:val="24"/>
        </w:rPr>
        <w:t>to</w:t>
      </w:r>
      <w:r w:rsidRPr="00216D10">
        <w:rPr>
          <w:rFonts w:ascii="Times New Roman" w:hAnsi="Times New Roman" w:cs="Times New Roman"/>
          <w:sz w:val="24"/>
          <w:szCs w:val="24"/>
        </w:rPr>
        <w:t xml:space="preserve"> identify any new or increased risks in a timely manner.</w:t>
      </w:r>
      <w:r w:rsidR="00097E67">
        <w:rPr>
          <w:rFonts w:ascii="Times New Roman" w:hAnsi="Times New Roman" w:cs="Times New Roman"/>
          <w:sz w:val="24"/>
          <w:szCs w:val="24"/>
        </w:rPr>
        <w:t xml:space="preserve"> </w:t>
      </w:r>
      <w:r w:rsidR="00E33A48">
        <w:rPr>
          <w:rFonts w:ascii="Times New Roman" w:hAnsi="Times New Roman" w:cs="Times New Roman"/>
          <w:sz w:val="24"/>
          <w:szCs w:val="24"/>
        </w:rPr>
        <w:t xml:space="preserve">The information in the plan </w:t>
      </w:r>
      <w:r w:rsidR="0063112F">
        <w:rPr>
          <w:rFonts w:ascii="Times New Roman" w:hAnsi="Times New Roman" w:cs="Times New Roman"/>
          <w:sz w:val="24"/>
          <w:szCs w:val="24"/>
        </w:rPr>
        <w:t>must be consistent with</w:t>
      </w:r>
      <w:r w:rsidR="00097E67" w:rsidRPr="00097E67">
        <w:rPr>
          <w:rFonts w:ascii="Times New Roman" w:hAnsi="Times New Roman" w:cs="Times New Roman"/>
          <w:sz w:val="24"/>
          <w:szCs w:val="24"/>
        </w:rPr>
        <w:t xml:space="preserve"> the declaration </w:t>
      </w:r>
      <w:r w:rsidR="00097E67">
        <w:rPr>
          <w:rFonts w:ascii="Times New Roman" w:hAnsi="Times New Roman" w:cs="Times New Roman"/>
          <w:sz w:val="24"/>
          <w:szCs w:val="24"/>
        </w:rPr>
        <w:t>of an identified GHG storage formation</w:t>
      </w:r>
      <w:r w:rsidR="00097E67" w:rsidRPr="00097E67">
        <w:rPr>
          <w:rFonts w:ascii="Times New Roman" w:hAnsi="Times New Roman" w:cs="Times New Roman"/>
          <w:sz w:val="24"/>
          <w:szCs w:val="24"/>
        </w:rPr>
        <w:t>.</w:t>
      </w:r>
    </w:p>
    <w:p w14:paraId="70FE72D4" w14:textId="64412963" w:rsidR="00161650" w:rsidRPr="006C29A4" w:rsidRDefault="00161650" w:rsidP="00502CAB">
      <w:pPr>
        <w:pStyle w:val="ActHead5"/>
        <w:spacing w:after="240"/>
      </w:pPr>
      <w:r w:rsidRPr="006C29A4">
        <w:t>Section</w:t>
      </w:r>
      <w:r w:rsidR="007F74F7">
        <w:t xml:space="preserve"> 16</w:t>
      </w:r>
      <w:r w:rsidRPr="006C29A4">
        <w:t xml:space="preserve"> – </w:t>
      </w:r>
      <w:r w:rsidR="004C6F8A">
        <w:t>Simplified outline</w:t>
      </w:r>
      <w:r w:rsidR="007F74F7">
        <w:t xml:space="preserve"> of this Part</w:t>
      </w:r>
    </w:p>
    <w:p w14:paraId="0913F23B" w14:textId="39B007D3" w:rsidR="00A95BB0" w:rsidRDefault="00A95BB0" w:rsidP="00A95BB0">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sets out </w:t>
      </w:r>
      <w:r>
        <w:rPr>
          <w:rFonts w:ascii="Times New Roman" w:hAnsi="Times New Roman" w:cs="Times New Roman"/>
          <w:sz w:val="24"/>
          <w:szCs w:val="24"/>
        </w:rPr>
        <w:t>a</w:t>
      </w:r>
      <w:r w:rsidRPr="0071367A">
        <w:rPr>
          <w:rFonts w:ascii="Times New Roman" w:hAnsi="Times New Roman" w:cs="Times New Roman"/>
          <w:sz w:val="24"/>
          <w:szCs w:val="24"/>
        </w:rPr>
        <w:t xml:space="preserve"> </w:t>
      </w:r>
      <w:r>
        <w:rPr>
          <w:rFonts w:ascii="Times New Roman" w:hAnsi="Times New Roman" w:cs="Times New Roman"/>
          <w:sz w:val="24"/>
          <w:szCs w:val="24"/>
        </w:rPr>
        <w:t xml:space="preserve">simplified outline </w:t>
      </w:r>
      <w:r w:rsidRPr="0071367A">
        <w:rPr>
          <w:rFonts w:ascii="Times New Roman" w:hAnsi="Times New Roman" w:cs="Times New Roman"/>
          <w:sz w:val="24"/>
          <w:szCs w:val="24"/>
        </w:rPr>
        <w:t xml:space="preserve">of </w:t>
      </w:r>
      <w:r>
        <w:rPr>
          <w:rFonts w:ascii="Times New Roman" w:hAnsi="Times New Roman" w:cs="Times New Roman"/>
          <w:sz w:val="24"/>
          <w:szCs w:val="24"/>
        </w:rPr>
        <w:t xml:space="preserve">Part 4 of </w:t>
      </w:r>
      <w:r w:rsidRPr="0071367A">
        <w:rPr>
          <w:rFonts w:ascii="Times New Roman" w:hAnsi="Times New Roman" w:cs="Times New Roman"/>
          <w:sz w:val="24"/>
          <w:szCs w:val="24"/>
        </w:rPr>
        <w:t xml:space="preserve">the </w:t>
      </w:r>
      <w:r>
        <w:rPr>
          <w:rFonts w:ascii="Times New Roman" w:hAnsi="Times New Roman" w:cs="Times New Roman"/>
          <w:sz w:val="24"/>
          <w:szCs w:val="24"/>
        </w:rPr>
        <w:t xml:space="preserve">GHG </w:t>
      </w:r>
      <w:r w:rsidRPr="0071367A">
        <w:rPr>
          <w:rFonts w:ascii="Times New Roman" w:hAnsi="Times New Roman" w:cs="Times New Roman"/>
          <w:sz w:val="24"/>
          <w:szCs w:val="24"/>
        </w:rPr>
        <w:t>Regulations</w:t>
      </w:r>
      <w:r w:rsidRPr="00E32A1E">
        <w:rPr>
          <w:rFonts w:ascii="Times New Roman" w:hAnsi="Times New Roman" w:cs="Times New Roman"/>
          <w:sz w:val="24"/>
          <w:szCs w:val="24"/>
        </w:rPr>
        <w:t xml:space="preserve">. </w:t>
      </w:r>
      <w:r>
        <w:rPr>
          <w:rFonts w:ascii="Times New Roman" w:hAnsi="Times New Roman" w:cs="Times New Roman"/>
          <w:sz w:val="24"/>
          <w:szCs w:val="24"/>
        </w:rPr>
        <w:t>While s</w:t>
      </w:r>
      <w:r w:rsidRPr="00E32A1E">
        <w:rPr>
          <w:rFonts w:ascii="Times New Roman" w:hAnsi="Times New Roman" w:cs="Times New Roman"/>
          <w:sz w:val="24"/>
          <w:szCs w:val="24"/>
        </w:rPr>
        <w:t>implified outlines are included to assist readers to understand the substantive provisions, the outlines are not intended to be comprehensive. It is intended that readers should rely on the substantive provisions</w:t>
      </w:r>
      <w:r>
        <w:rPr>
          <w:rFonts w:ascii="Times New Roman" w:hAnsi="Times New Roman" w:cs="Times New Roman"/>
          <w:sz w:val="24"/>
          <w:szCs w:val="24"/>
        </w:rPr>
        <w:t>.</w:t>
      </w:r>
    </w:p>
    <w:p w14:paraId="7D953593" w14:textId="37A7F0D7" w:rsidR="009C55C0" w:rsidRPr="009C55C0" w:rsidRDefault="009C55C0" w:rsidP="00502CAB">
      <w:pPr>
        <w:pStyle w:val="ActHead3"/>
      </w:pPr>
      <w:r w:rsidRPr="009C55C0">
        <w:t>Division 2 – Criteria for draft site plans</w:t>
      </w:r>
    </w:p>
    <w:p w14:paraId="40CF3103" w14:textId="7F778B8C" w:rsidR="009C55C0" w:rsidRPr="009C55C0" w:rsidRDefault="009C55C0" w:rsidP="00502CAB">
      <w:pPr>
        <w:pStyle w:val="ActHead5"/>
        <w:spacing w:after="240"/>
      </w:pPr>
      <w:r w:rsidRPr="009C55C0">
        <w:t xml:space="preserve">Section </w:t>
      </w:r>
      <w:r w:rsidR="007F74F7">
        <w:t>17</w:t>
      </w:r>
      <w:r w:rsidRPr="009C55C0">
        <w:t xml:space="preserve"> – Purpose of this Division</w:t>
      </w:r>
    </w:p>
    <w:p w14:paraId="0EBEC510" w14:textId="7B4A6304" w:rsidR="00AD78AF" w:rsidRDefault="00B50198" w:rsidP="004C6F8A">
      <w:pPr>
        <w:rPr>
          <w:rFonts w:ascii="Times New Roman" w:hAnsi="Times New Roman" w:cs="Times New Roman"/>
          <w:sz w:val="24"/>
          <w:szCs w:val="24"/>
        </w:rPr>
      </w:pPr>
      <w:r>
        <w:rPr>
          <w:rFonts w:ascii="Times New Roman" w:hAnsi="Times New Roman" w:cs="Times New Roman"/>
          <w:sz w:val="24"/>
          <w:szCs w:val="24"/>
        </w:rPr>
        <w:t xml:space="preserve">Under the OPGGS Act, an application for a GHG injection licence over the </w:t>
      </w:r>
      <w:r w:rsidR="00AD78AF">
        <w:rPr>
          <w:rFonts w:ascii="Times New Roman" w:hAnsi="Times New Roman" w:cs="Times New Roman"/>
          <w:sz w:val="24"/>
          <w:szCs w:val="24"/>
        </w:rPr>
        <w:t xml:space="preserve">block or </w:t>
      </w:r>
      <w:r>
        <w:rPr>
          <w:rFonts w:ascii="Times New Roman" w:hAnsi="Times New Roman" w:cs="Times New Roman"/>
          <w:sz w:val="24"/>
          <w:szCs w:val="24"/>
        </w:rPr>
        <w:t>blocks to which an identified GHG storage formation extends is required to be accompanied by a draft site plan for the formation.</w:t>
      </w:r>
      <w:r w:rsidR="00AD78AF">
        <w:rPr>
          <w:rFonts w:ascii="Times New Roman" w:hAnsi="Times New Roman" w:cs="Times New Roman"/>
          <w:sz w:val="24"/>
          <w:szCs w:val="24"/>
        </w:rPr>
        <w:t xml:space="preserve"> Under paragraph 24(c) of the OPGGS Act, a site plan is divided into Part A (which sets out predictions for the behaviour of a GHG substance stored in the formation) and Part B (which deals with other matters).</w:t>
      </w:r>
    </w:p>
    <w:p w14:paraId="231B6267" w14:textId="7BCD31BA" w:rsidR="009C55C0" w:rsidRDefault="00AD78AF" w:rsidP="004C6F8A">
      <w:pPr>
        <w:rPr>
          <w:rFonts w:ascii="Times New Roman" w:hAnsi="Times New Roman" w:cs="Times New Roman"/>
          <w:sz w:val="24"/>
          <w:szCs w:val="24"/>
        </w:rPr>
      </w:pPr>
      <w:r>
        <w:rPr>
          <w:rFonts w:ascii="Times New Roman" w:hAnsi="Times New Roman" w:cs="Times New Roman"/>
          <w:sz w:val="24"/>
          <w:szCs w:val="24"/>
        </w:rPr>
        <w:t>Under paragraph 362(1)(h), 362(2)(h), 368B(1)(j), 368B(2)(j) and 370(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OPGGS Act, one of the criteria for the grant of a licence is that the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is satisfied that the draft site plan satisfies the criteria specified in the regulations. Section 17 of the GHG Regulations provides that Division 2 of Part 4 sets out the criteria for a draft site plan for the purposes of those paragraphs of the OPGGS Act. </w:t>
      </w:r>
    </w:p>
    <w:p w14:paraId="3B332CB8" w14:textId="4B2020E7" w:rsidR="00271A45" w:rsidRDefault="00271A45" w:rsidP="004C6F8A">
      <w:pPr>
        <w:rPr>
          <w:rFonts w:ascii="Times New Roman" w:hAnsi="Times New Roman" w:cs="Times New Roman"/>
          <w:sz w:val="24"/>
          <w:szCs w:val="24"/>
        </w:rPr>
      </w:pPr>
      <w:r>
        <w:rPr>
          <w:rFonts w:ascii="Times New Roman" w:hAnsi="Times New Roman" w:cs="Times New Roman"/>
          <w:sz w:val="24"/>
          <w:szCs w:val="24"/>
        </w:rPr>
        <w:t xml:space="preserve">The criteria for draft site plans </w:t>
      </w:r>
      <w:r w:rsidR="00C562E0">
        <w:rPr>
          <w:rFonts w:ascii="Times New Roman" w:hAnsi="Times New Roman" w:cs="Times New Roman"/>
          <w:sz w:val="24"/>
          <w:szCs w:val="24"/>
        </w:rPr>
        <w:t>fall into three categories</w:t>
      </w:r>
      <w:r w:rsidR="00AD78AF">
        <w:rPr>
          <w:rFonts w:ascii="Times New Roman" w:hAnsi="Times New Roman" w:cs="Times New Roman"/>
          <w:sz w:val="24"/>
          <w:szCs w:val="24"/>
        </w:rPr>
        <w:t>,</w:t>
      </w:r>
      <w:r w:rsidR="00C562E0">
        <w:rPr>
          <w:rFonts w:ascii="Times New Roman" w:hAnsi="Times New Roman" w:cs="Times New Roman"/>
          <w:sz w:val="24"/>
          <w:szCs w:val="24"/>
        </w:rPr>
        <w:t xml:space="preserve"> </w:t>
      </w:r>
      <w:r w:rsidR="00AD78AF">
        <w:rPr>
          <w:rFonts w:ascii="Times New Roman" w:hAnsi="Times New Roman" w:cs="Times New Roman"/>
          <w:sz w:val="24"/>
          <w:szCs w:val="24"/>
        </w:rPr>
        <w:t>which</w:t>
      </w:r>
      <w:r w:rsidR="00C562E0">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C562E0">
        <w:rPr>
          <w:rFonts w:ascii="Times New Roman" w:hAnsi="Times New Roman" w:cs="Times New Roman"/>
          <w:sz w:val="24"/>
          <w:szCs w:val="24"/>
        </w:rPr>
        <w:t xml:space="preserve">addressed </w:t>
      </w:r>
      <w:r>
        <w:rPr>
          <w:rFonts w:ascii="Times New Roman" w:hAnsi="Times New Roman" w:cs="Times New Roman"/>
          <w:sz w:val="24"/>
          <w:szCs w:val="24"/>
        </w:rPr>
        <w:t xml:space="preserve">by </w:t>
      </w:r>
      <w:r w:rsidR="004971C2">
        <w:rPr>
          <w:rFonts w:ascii="Times New Roman" w:hAnsi="Times New Roman" w:cs="Times New Roman"/>
          <w:sz w:val="24"/>
          <w:szCs w:val="24"/>
        </w:rPr>
        <w:t xml:space="preserve">the next </w:t>
      </w:r>
      <w:r>
        <w:rPr>
          <w:rFonts w:ascii="Times New Roman" w:hAnsi="Times New Roman" w:cs="Times New Roman"/>
          <w:sz w:val="24"/>
          <w:szCs w:val="24"/>
        </w:rPr>
        <w:t xml:space="preserve">three sections: general criteria (section 18), </w:t>
      </w:r>
      <w:r w:rsidR="00AD78AF">
        <w:rPr>
          <w:rFonts w:ascii="Times New Roman" w:hAnsi="Times New Roman" w:cs="Times New Roman"/>
          <w:sz w:val="24"/>
          <w:szCs w:val="24"/>
        </w:rPr>
        <w:t xml:space="preserve">criteria for </w:t>
      </w:r>
      <w:r>
        <w:rPr>
          <w:rFonts w:ascii="Times New Roman" w:hAnsi="Times New Roman" w:cs="Times New Roman"/>
          <w:sz w:val="24"/>
          <w:szCs w:val="24"/>
        </w:rPr>
        <w:t>Part A (section 19) and</w:t>
      </w:r>
      <w:r w:rsidR="00AD78AF">
        <w:rPr>
          <w:rFonts w:ascii="Times New Roman" w:hAnsi="Times New Roman" w:cs="Times New Roman"/>
          <w:sz w:val="24"/>
          <w:szCs w:val="24"/>
        </w:rPr>
        <w:t xml:space="preserve"> criteria for</w:t>
      </w:r>
      <w:r>
        <w:rPr>
          <w:rFonts w:ascii="Times New Roman" w:hAnsi="Times New Roman" w:cs="Times New Roman"/>
          <w:sz w:val="24"/>
          <w:szCs w:val="24"/>
        </w:rPr>
        <w:t xml:space="preserve"> Part B (section 20). </w:t>
      </w:r>
    </w:p>
    <w:p w14:paraId="47D00F64" w14:textId="10C4D804" w:rsidR="009C55C0" w:rsidRPr="009C55C0" w:rsidRDefault="009C55C0" w:rsidP="00502CAB">
      <w:pPr>
        <w:pStyle w:val="ActHead5"/>
        <w:spacing w:after="240"/>
      </w:pPr>
      <w:r w:rsidRPr="009C55C0">
        <w:lastRenderedPageBreak/>
        <w:t xml:space="preserve">Section </w:t>
      </w:r>
      <w:r w:rsidR="007F74F7">
        <w:t>18</w:t>
      </w:r>
      <w:r w:rsidRPr="009C55C0">
        <w:t xml:space="preserve"> – Criteria for draft site plan</w:t>
      </w:r>
      <w:r w:rsidR="007F74F7">
        <w:t>s – general</w:t>
      </w:r>
    </w:p>
    <w:p w14:paraId="768AF427" w14:textId="49337A4C" w:rsidR="00430D81" w:rsidRDefault="009C55C0" w:rsidP="00BB4024">
      <w:pPr>
        <w:rPr>
          <w:rFonts w:ascii="Times New Roman" w:hAnsi="Times New Roman" w:cs="Times New Roman"/>
          <w:sz w:val="24"/>
          <w:szCs w:val="24"/>
        </w:rPr>
      </w:pPr>
      <w:r>
        <w:rPr>
          <w:rFonts w:ascii="Times New Roman" w:hAnsi="Times New Roman" w:cs="Times New Roman"/>
          <w:sz w:val="24"/>
          <w:szCs w:val="24"/>
        </w:rPr>
        <w:t xml:space="preserve">This section </w:t>
      </w:r>
      <w:r w:rsidR="00D31762">
        <w:rPr>
          <w:rFonts w:ascii="Times New Roman" w:hAnsi="Times New Roman" w:cs="Times New Roman"/>
          <w:sz w:val="24"/>
          <w:szCs w:val="24"/>
        </w:rPr>
        <w:t xml:space="preserve">sets out general criteria </w:t>
      </w:r>
      <w:r w:rsidR="00430D81">
        <w:rPr>
          <w:rFonts w:ascii="Times New Roman" w:hAnsi="Times New Roman" w:cs="Times New Roman"/>
          <w:sz w:val="24"/>
          <w:szCs w:val="24"/>
        </w:rPr>
        <w:t>for a draft site plan. T</w:t>
      </w:r>
      <w:r w:rsidR="00D31762">
        <w:rPr>
          <w:rFonts w:ascii="Times New Roman" w:hAnsi="Times New Roman" w:cs="Times New Roman"/>
          <w:sz w:val="24"/>
          <w:szCs w:val="24"/>
        </w:rPr>
        <w:t xml:space="preserve">he </w:t>
      </w:r>
      <w:r w:rsidR="00B84F3E">
        <w:rPr>
          <w:rFonts w:ascii="Times New Roman" w:hAnsi="Times New Roman" w:cs="Times New Roman"/>
          <w:sz w:val="24"/>
          <w:szCs w:val="24"/>
        </w:rPr>
        <w:t xml:space="preserve">responsible Commonwealth </w:t>
      </w:r>
      <w:r w:rsidR="00D31762">
        <w:rPr>
          <w:rFonts w:ascii="Times New Roman" w:hAnsi="Times New Roman" w:cs="Times New Roman"/>
          <w:sz w:val="24"/>
          <w:szCs w:val="24"/>
        </w:rPr>
        <w:t xml:space="preserve">Minister must be reasonably satisfied </w:t>
      </w:r>
      <w:r w:rsidR="00430D81">
        <w:rPr>
          <w:rFonts w:ascii="Times New Roman" w:hAnsi="Times New Roman" w:cs="Times New Roman"/>
          <w:sz w:val="24"/>
          <w:szCs w:val="24"/>
        </w:rPr>
        <w:t xml:space="preserve">that the </w:t>
      </w:r>
      <w:r w:rsidR="00547728">
        <w:rPr>
          <w:rFonts w:ascii="Times New Roman" w:hAnsi="Times New Roman" w:cs="Times New Roman"/>
          <w:sz w:val="24"/>
          <w:szCs w:val="24"/>
        </w:rPr>
        <w:t xml:space="preserve">site plan meets the </w:t>
      </w:r>
      <w:r w:rsidR="00430D81">
        <w:rPr>
          <w:rFonts w:ascii="Times New Roman" w:hAnsi="Times New Roman" w:cs="Times New Roman"/>
          <w:sz w:val="24"/>
          <w:szCs w:val="24"/>
        </w:rPr>
        <w:t>criteria in order to approve a draft site plan</w:t>
      </w:r>
      <w:r w:rsidR="00D31762">
        <w:rPr>
          <w:rFonts w:ascii="Times New Roman" w:hAnsi="Times New Roman" w:cs="Times New Roman"/>
          <w:sz w:val="24"/>
          <w:szCs w:val="24"/>
        </w:rPr>
        <w:t xml:space="preserve"> (see subsection 25(2)). </w:t>
      </w:r>
    </w:p>
    <w:p w14:paraId="0240EEE0" w14:textId="7745BDF0" w:rsidR="00430D81" w:rsidRDefault="00BB0B5F" w:rsidP="004C6F8A">
      <w:pPr>
        <w:rPr>
          <w:rFonts w:ascii="Times New Roman" w:hAnsi="Times New Roman" w:cs="Times New Roman"/>
          <w:sz w:val="24"/>
          <w:szCs w:val="24"/>
        </w:rPr>
      </w:pPr>
      <w:r>
        <w:rPr>
          <w:rFonts w:ascii="Times New Roman" w:hAnsi="Times New Roman" w:cs="Times New Roman"/>
          <w:sz w:val="24"/>
          <w:szCs w:val="24"/>
        </w:rPr>
        <w:t xml:space="preserve">The focus of these </w:t>
      </w:r>
      <w:r w:rsidR="00430D81">
        <w:rPr>
          <w:rFonts w:ascii="Times New Roman" w:hAnsi="Times New Roman" w:cs="Times New Roman"/>
          <w:sz w:val="24"/>
          <w:szCs w:val="24"/>
        </w:rPr>
        <w:t>criteria</w:t>
      </w:r>
      <w:r>
        <w:rPr>
          <w:rFonts w:ascii="Times New Roman" w:hAnsi="Times New Roman" w:cs="Times New Roman"/>
          <w:sz w:val="24"/>
          <w:szCs w:val="24"/>
        </w:rPr>
        <w:t xml:space="preserve"> is ensuring that </w:t>
      </w:r>
      <w:r w:rsidR="00430D81">
        <w:rPr>
          <w:rFonts w:ascii="Times New Roman" w:hAnsi="Times New Roman" w:cs="Times New Roman"/>
          <w:sz w:val="24"/>
          <w:szCs w:val="24"/>
        </w:rPr>
        <w:t xml:space="preserve">injection and storage operations will result in the safe and secure permanent storage of GHG substances, including both the substances that are proposed to be injected and stored, and any that are already stored in the identified GHG storage formation. The criteria also aim to ensure that </w:t>
      </w:r>
      <w:r>
        <w:rPr>
          <w:rFonts w:ascii="Times New Roman" w:hAnsi="Times New Roman" w:cs="Times New Roman"/>
          <w:sz w:val="24"/>
          <w:szCs w:val="24"/>
        </w:rPr>
        <w:t xml:space="preserve">geological risks associated with proposed operations are appropriately </w:t>
      </w:r>
      <w:r w:rsidR="00430D81">
        <w:rPr>
          <w:rFonts w:ascii="Times New Roman" w:hAnsi="Times New Roman" w:cs="Times New Roman"/>
          <w:sz w:val="24"/>
          <w:szCs w:val="24"/>
        </w:rPr>
        <w:t xml:space="preserve">identified and </w:t>
      </w:r>
      <w:r>
        <w:rPr>
          <w:rFonts w:ascii="Times New Roman" w:hAnsi="Times New Roman" w:cs="Times New Roman"/>
          <w:sz w:val="24"/>
          <w:szCs w:val="24"/>
        </w:rPr>
        <w:t>addressed</w:t>
      </w:r>
      <w:r w:rsidR="00430D81">
        <w:rPr>
          <w:rFonts w:ascii="Times New Roman" w:hAnsi="Times New Roman" w:cs="Times New Roman"/>
          <w:sz w:val="24"/>
          <w:szCs w:val="24"/>
        </w:rPr>
        <w:t xml:space="preserve">, either by demonstrating that the risk will be eliminated, or reduced to as low as reasonably practicable and </w:t>
      </w:r>
      <w:r w:rsidR="000D2062">
        <w:rPr>
          <w:rFonts w:ascii="Times New Roman" w:hAnsi="Times New Roman" w:cs="Times New Roman"/>
          <w:sz w:val="24"/>
          <w:szCs w:val="24"/>
        </w:rPr>
        <w:t xml:space="preserve">with </w:t>
      </w:r>
      <w:r w:rsidR="00430D81">
        <w:rPr>
          <w:rFonts w:ascii="Times New Roman" w:hAnsi="Times New Roman" w:cs="Times New Roman"/>
          <w:sz w:val="24"/>
          <w:szCs w:val="24"/>
        </w:rPr>
        <w:t>an acceptable level</w:t>
      </w:r>
      <w:r w:rsidR="000D2062">
        <w:rPr>
          <w:rFonts w:ascii="Times New Roman" w:hAnsi="Times New Roman" w:cs="Times New Roman"/>
          <w:sz w:val="24"/>
          <w:szCs w:val="24"/>
        </w:rPr>
        <w:t xml:space="preserve"> of residual risk</w:t>
      </w:r>
      <w:r>
        <w:rPr>
          <w:rFonts w:ascii="Times New Roman" w:hAnsi="Times New Roman" w:cs="Times New Roman"/>
          <w:sz w:val="24"/>
          <w:szCs w:val="24"/>
        </w:rPr>
        <w:t>.</w:t>
      </w:r>
    </w:p>
    <w:p w14:paraId="7B8DEC6A" w14:textId="37DDE09E" w:rsidR="00A36CD4" w:rsidRDefault="00BB0B5F" w:rsidP="004C6F8A">
      <w:pPr>
        <w:rPr>
          <w:rFonts w:ascii="Times New Roman" w:hAnsi="Times New Roman" w:cs="Times New Roman"/>
          <w:sz w:val="24"/>
          <w:szCs w:val="24"/>
        </w:rPr>
      </w:pPr>
      <w:bookmarkStart w:id="3" w:name="_Hlk147399458"/>
      <w:r>
        <w:rPr>
          <w:rFonts w:ascii="Times New Roman" w:hAnsi="Times New Roman" w:cs="Times New Roman"/>
          <w:sz w:val="24"/>
          <w:szCs w:val="24"/>
        </w:rPr>
        <w:t xml:space="preserve">Regulation of other risks </w:t>
      </w:r>
      <w:r w:rsidR="004971C2">
        <w:rPr>
          <w:rFonts w:ascii="Times New Roman" w:hAnsi="Times New Roman" w:cs="Times New Roman"/>
          <w:sz w:val="24"/>
          <w:szCs w:val="24"/>
        </w:rPr>
        <w:t xml:space="preserve">arising from GHG operations </w:t>
      </w:r>
      <w:r>
        <w:rPr>
          <w:rFonts w:ascii="Times New Roman" w:hAnsi="Times New Roman" w:cs="Times New Roman"/>
          <w:sz w:val="24"/>
          <w:szCs w:val="24"/>
        </w:rPr>
        <w:t xml:space="preserve">will occur under other parts of the OPGGS Act and regulations, </w:t>
      </w:r>
      <w:r w:rsidR="004971C2">
        <w:rPr>
          <w:rFonts w:ascii="Times New Roman" w:hAnsi="Times New Roman" w:cs="Times New Roman"/>
          <w:sz w:val="24"/>
          <w:szCs w:val="24"/>
        </w:rPr>
        <w:t>particularly through the</w:t>
      </w:r>
      <w:r w:rsidR="00DC61FE">
        <w:rPr>
          <w:rFonts w:ascii="Times New Roman" w:hAnsi="Times New Roman" w:cs="Times New Roman"/>
          <w:sz w:val="24"/>
          <w:szCs w:val="24"/>
        </w:rPr>
        <w:t xml:space="preserve"> </w:t>
      </w:r>
      <w:r>
        <w:rPr>
          <w:rFonts w:ascii="Times New Roman" w:hAnsi="Times New Roman" w:cs="Times New Roman"/>
          <w:sz w:val="24"/>
          <w:szCs w:val="24"/>
        </w:rPr>
        <w:t>requirements to prepare an environment plan</w:t>
      </w:r>
      <w:r w:rsidR="00A104A7">
        <w:rPr>
          <w:rFonts w:ascii="Times New Roman" w:hAnsi="Times New Roman" w:cs="Times New Roman"/>
          <w:sz w:val="24"/>
          <w:szCs w:val="24"/>
        </w:rPr>
        <w:t xml:space="preserve"> for </w:t>
      </w:r>
      <w:r w:rsidR="00430D81">
        <w:rPr>
          <w:rFonts w:ascii="Times New Roman" w:hAnsi="Times New Roman" w:cs="Times New Roman"/>
          <w:sz w:val="24"/>
          <w:szCs w:val="24"/>
        </w:rPr>
        <w:t xml:space="preserve">environmental management of </w:t>
      </w:r>
      <w:r w:rsidR="00A104A7">
        <w:rPr>
          <w:rFonts w:ascii="Times New Roman" w:hAnsi="Times New Roman" w:cs="Times New Roman"/>
          <w:sz w:val="24"/>
          <w:szCs w:val="24"/>
        </w:rPr>
        <w:t xml:space="preserve">offshore </w:t>
      </w:r>
      <w:r w:rsidR="00430D81">
        <w:rPr>
          <w:rFonts w:ascii="Times New Roman" w:hAnsi="Times New Roman" w:cs="Times New Roman"/>
          <w:sz w:val="24"/>
          <w:szCs w:val="24"/>
        </w:rPr>
        <w:t xml:space="preserve">GHG </w:t>
      </w:r>
      <w:r w:rsidR="00A104A7">
        <w:rPr>
          <w:rFonts w:ascii="Times New Roman" w:hAnsi="Times New Roman" w:cs="Times New Roman"/>
          <w:sz w:val="24"/>
          <w:szCs w:val="24"/>
        </w:rPr>
        <w:t>activities</w:t>
      </w:r>
      <w:r>
        <w:rPr>
          <w:rFonts w:ascii="Times New Roman" w:hAnsi="Times New Roman" w:cs="Times New Roman"/>
          <w:sz w:val="24"/>
          <w:szCs w:val="24"/>
        </w:rPr>
        <w:t xml:space="preserve">, a well operations management plan </w:t>
      </w:r>
      <w:r w:rsidR="00430D81">
        <w:rPr>
          <w:rFonts w:ascii="Times New Roman" w:hAnsi="Times New Roman" w:cs="Times New Roman"/>
          <w:sz w:val="24"/>
          <w:szCs w:val="24"/>
        </w:rPr>
        <w:t xml:space="preserve">for well activities, </w:t>
      </w:r>
      <w:r>
        <w:rPr>
          <w:rFonts w:ascii="Times New Roman" w:hAnsi="Times New Roman" w:cs="Times New Roman"/>
          <w:sz w:val="24"/>
          <w:szCs w:val="24"/>
        </w:rPr>
        <w:t xml:space="preserve">and a safety case </w:t>
      </w:r>
      <w:r w:rsidR="00DC61FE">
        <w:rPr>
          <w:rFonts w:ascii="Times New Roman" w:hAnsi="Times New Roman" w:cs="Times New Roman"/>
          <w:sz w:val="24"/>
          <w:szCs w:val="24"/>
        </w:rPr>
        <w:t xml:space="preserve">to address </w:t>
      </w:r>
      <w:r w:rsidR="00430D81">
        <w:rPr>
          <w:rFonts w:ascii="Times New Roman" w:hAnsi="Times New Roman" w:cs="Times New Roman"/>
          <w:sz w:val="24"/>
          <w:szCs w:val="24"/>
        </w:rPr>
        <w:t>occupational</w:t>
      </w:r>
      <w:r w:rsidR="00DC61FE">
        <w:rPr>
          <w:rFonts w:ascii="Times New Roman" w:hAnsi="Times New Roman" w:cs="Times New Roman"/>
          <w:sz w:val="24"/>
          <w:szCs w:val="24"/>
        </w:rPr>
        <w:t xml:space="preserve"> health and safety </w:t>
      </w:r>
      <w:r>
        <w:rPr>
          <w:rFonts w:ascii="Times New Roman" w:hAnsi="Times New Roman" w:cs="Times New Roman"/>
          <w:sz w:val="24"/>
          <w:szCs w:val="24"/>
        </w:rPr>
        <w:t>at offshore facilities.</w:t>
      </w:r>
    </w:p>
    <w:bookmarkEnd w:id="3"/>
    <w:p w14:paraId="0A29CEBA" w14:textId="213B8D3A" w:rsidR="009C55C0" w:rsidRDefault="009C55C0" w:rsidP="00502CAB">
      <w:pPr>
        <w:pStyle w:val="ActHead5"/>
        <w:spacing w:after="240"/>
      </w:pPr>
      <w:r>
        <w:t xml:space="preserve">Section </w:t>
      </w:r>
      <w:r w:rsidR="007F74F7">
        <w:t>19</w:t>
      </w:r>
      <w:r>
        <w:t xml:space="preserve"> – Criteria for draft site plan</w:t>
      </w:r>
      <w:r w:rsidR="007F74F7">
        <w:t>s</w:t>
      </w:r>
      <w:r>
        <w:t xml:space="preserve"> – Part A</w:t>
      </w:r>
    </w:p>
    <w:p w14:paraId="5B8E9AAD" w14:textId="022483D9" w:rsidR="00B01633" w:rsidRDefault="00B01633" w:rsidP="00B01633">
      <w:pPr>
        <w:rPr>
          <w:rFonts w:ascii="Times New Roman" w:hAnsi="Times New Roman" w:cs="Times New Roman"/>
          <w:sz w:val="24"/>
          <w:szCs w:val="24"/>
        </w:rPr>
      </w:pPr>
      <w:r>
        <w:rPr>
          <w:rFonts w:ascii="Times New Roman" w:hAnsi="Times New Roman" w:cs="Times New Roman"/>
          <w:sz w:val="24"/>
          <w:szCs w:val="24"/>
        </w:rPr>
        <w:t xml:space="preserve">This section sets out </w:t>
      </w:r>
      <w:r w:rsidR="004F3442">
        <w:rPr>
          <w:rFonts w:ascii="Times New Roman" w:hAnsi="Times New Roman" w:cs="Times New Roman"/>
          <w:sz w:val="24"/>
          <w:szCs w:val="24"/>
        </w:rPr>
        <w:t xml:space="preserve">the </w:t>
      </w:r>
      <w:r>
        <w:rPr>
          <w:rFonts w:ascii="Times New Roman" w:hAnsi="Times New Roman" w:cs="Times New Roman"/>
          <w:sz w:val="24"/>
          <w:szCs w:val="24"/>
        </w:rPr>
        <w:t>criteria for Part A of a draft site plan. Under subparagraph 24(c)(</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OPGGS Act, Part A is to set out predictions for the behaviour of a GHG substance stored in the identified GHG storage formation. This includes both the substances that are proposed to be injected and stored, and any that are already stored in the identified GHG storage formation. The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must be reasonably satisfied that </w:t>
      </w:r>
      <w:r w:rsidR="00547728">
        <w:rPr>
          <w:rFonts w:ascii="Times New Roman" w:hAnsi="Times New Roman" w:cs="Times New Roman"/>
          <w:sz w:val="24"/>
          <w:szCs w:val="24"/>
        </w:rPr>
        <w:t xml:space="preserve">a draft site plan meets </w:t>
      </w:r>
      <w:r>
        <w:rPr>
          <w:rFonts w:ascii="Times New Roman" w:hAnsi="Times New Roman" w:cs="Times New Roman"/>
          <w:sz w:val="24"/>
          <w:szCs w:val="24"/>
        </w:rPr>
        <w:t>the criteria</w:t>
      </w:r>
      <w:r w:rsidR="00547728">
        <w:rPr>
          <w:rFonts w:ascii="Times New Roman" w:hAnsi="Times New Roman" w:cs="Times New Roman"/>
          <w:sz w:val="24"/>
          <w:szCs w:val="24"/>
        </w:rPr>
        <w:t xml:space="preserve"> i</w:t>
      </w:r>
      <w:r>
        <w:rPr>
          <w:rFonts w:ascii="Times New Roman" w:hAnsi="Times New Roman" w:cs="Times New Roman"/>
          <w:sz w:val="24"/>
          <w:szCs w:val="24"/>
        </w:rPr>
        <w:t xml:space="preserve">n order to approve </w:t>
      </w:r>
      <w:r w:rsidR="00547728">
        <w:rPr>
          <w:rFonts w:ascii="Times New Roman" w:hAnsi="Times New Roman" w:cs="Times New Roman"/>
          <w:sz w:val="24"/>
          <w:szCs w:val="24"/>
        </w:rPr>
        <w:t>the</w:t>
      </w:r>
      <w:r>
        <w:rPr>
          <w:rFonts w:ascii="Times New Roman" w:hAnsi="Times New Roman" w:cs="Times New Roman"/>
          <w:sz w:val="24"/>
          <w:szCs w:val="24"/>
        </w:rPr>
        <w:t xml:space="preserve"> draft plan (see subsection 25(2)). </w:t>
      </w:r>
    </w:p>
    <w:p w14:paraId="5A02B3F8" w14:textId="286BAFD6" w:rsidR="00B01633" w:rsidRDefault="00B01633" w:rsidP="00B01633">
      <w:pPr>
        <w:rPr>
          <w:rFonts w:ascii="Times New Roman" w:hAnsi="Times New Roman" w:cs="Times New Roman"/>
          <w:sz w:val="24"/>
          <w:szCs w:val="24"/>
        </w:rPr>
      </w:pPr>
      <w:r>
        <w:rPr>
          <w:rFonts w:ascii="Times New Roman" w:hAnsi="Times New Roman" w:cs="Times New Roman"/>
          <w:sz w:val="24"/>
          <w:szCs w:val="24"/>
        </w:rPr>
        <w:t xml:space="preserve">Under paragraphs 379(1)(e) and (f) of the OPGGS Act, a serious situation will exist in relation to an identified GHG storage formation if a GHG substance has behaved or is behaving otherwise than as predicted in Part A of a site plan, or if there is a significant risk that a GHG substance will behave otherwise than as predicted in Part A of the site plan. The predictions in Part A are therefore relevant to determining whether there is a serious situation in relation to an identified GHG storage formation. The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has certain powers under the OPGGS Act to deal with a serious situation. </w:t>
      </w:r>
    </w:p>
    <w:p w14:paraId="3C897CF1" w14:textId="04DE9EC7" w:rsidR="009B479B" w:rsidRDefault="00B01633" w:rsidP="00AE7A22">
      <w:pPr>
        <w:rPr>
          <w:rFonts w:ascii="Times New Roman" w:hAnsi="Times New Roman" w:cs="Times New Roman"/>
          <w:sz w:val="24"/>
          <w:szCs w:val="24"/>
        </w:rPr>
      </w:pPr>
      <w:r>
        <w:rPr>
          <w:rFonts w:ascii="Times New Roman" w:hAnsi="Times New Roman" w:cs="Times New Roman"/>
          <w:sz w:val="24"/>
          <w:szCs w:val="24"/>
        </w:rPr>
        <w:t>S</w:t>
      </w:r>
      <w:r w:rsidR="009C55C0" w:rsidRPr="00AE7A22">
        <w:rPr>
          <w:rFonts w:ascii="Times New Roman" w:hAnsi="Times New Roman" w:cs="Times New Roman"/>
          <w:sz w:val="24"/>
          <w:szCs w:val="24"/>
        </w:rPr>
        <w:t>ection</w:t>
      </w:r>
      <w:r>
        <w:rPr>
          <w:rFonts w:ascii="Times New Roman" w:hAnsi="Times New Roman" w:cs="Times New Roman"/>
          <w:sz w:val="24"/>
          <w:szCs w:val="24"/>
        </w:rPr>
        <w:t xml:space="preserve"> 19 of the GHG Regulations</w:t>
      </w:r>
      <w:r w:rsidR="0060075E" w:rsidRPr="00AE7A22">
        <w:rPr>
          <w:rFonts w:ascii="Times New Roman" w:hAnsi="Times New Roman" w:cs="Times New Roman"/>
          <w:sz w:val="24"/>
          <w:szCs w:val="24"/>
        </w:rPr>
        <w:t xml:space="preserve"> </w:t>
      </w:r>
      <w:r w:rsidR="00395FF3" w:rsidRPr="00AE7A22">
        <w:rPr>
          <w:rFonts w:ascii="Times New Roman" w:hAnsi="Times New Roman" w:cs="Times New Roman"/>
          <w:sz w:val="24"/>
          <w:szCs w:val="24"/>
        </w:rPr>
        <w:t xml:space="preserve">requires </w:t>
      </w:r>
      <w:r w:rsidR="0060075E" w:rsidRPr="00AE7A22">
        <w:rPr>
          <w:rFonts w:ascii="Times New Roman" w:hAnsi="Times New Roman" w:cs="Times New Roman"/>
          <w:sz w:val="24"/>
          <w:szCs w:val="24"/>
        </w:rPr>
        <w:t xml:space="preserve">Part A </w:t>
      </w:r>
      <w:r w:rsidR="00395FF3" w:rsidRPr="00AE7A22">
        <w:rPr>
          <w:rFonts w:ascii="Times New Roman" w:hAnsi="Times New Roman" w:cs="Times New Roman"/>
          <w:sz w:val="24"/>
          <w:szCs w:val="24"/>
        </w:rPr>
        <w:t xml:space="preserve">to set out </w:t>
      </w:r>
      <w:r w:rsidR="0060075E" w:rsidRPr="00AE7A22">
        <w:rPr>
          <w:rFonts w:ascii="Times New Roman" w:hAnsi="Times New Roman" w:cs="Times New Roman"/>
          <w:sz w:val="24"/>
          <w:szCs w:val="24"/>
        </w:rPr>
        <w:t xml:space="preserve">predictions </w:t>
      </w:r>
      <w:r>
        <w:rPr>
          <w:rFonts w:ascii="Times New Roman" w:hAnsi="Times New Roman" w:cs="Times New Roman"/>
          <w:sz w:val="24"/>
          <w:szCs w:val="24"/>
        </w:rPr>
        <w:t xml:space="preserve">for the </w:t>
      </w:r>
      <w:r w:rsidR="0060075E" w:rsidRPr="00AE7A22">
        <w:rPr>
          <w:rFonts w:ascii="Times New Roman" w:hAnsi="Times New Roman" w:cs="Times New Roman"/>
          <w:sz w:val="24"/>
          <w:szCs w:val="24"/>
        </w:rPr>
        <w:t>behaviour</w:t>
      </w:r>
      <w:r>
        <w:rPr>
          <w:rFonts w:ascii="Times New Roman" w:hAnsi="Times New Roman" w:cs="Times New Roman"/>
          <w:sz w:val="24"/>
          <w:szCs w:val="24"/>
        </w:rPr>
        <w:t>, at specified times,</w:t>
      </w:r>
      <w:r w:rsidR="0060075E" w:rsidRPr="00AE7A22">
        <w:rPr>
          <w:rFonts w:ascii="Times New Roman" w:hAnsi="Times New Roman" w:cs="Times New Roman"/>
          <w:sz w:val="24"/>
          <w:szCs w:val="24"/>
        </w:rPr>
        <w:t xml:space="preserve"> of </w:t>
      </w:r>
      <w:r>
        <w:rPr>
          <w:rFonts w:ascii="Times New Roman" w:hAnsi="Times New Roman" w:cs="Times New Roman"/>
          <w:sz w:val="24"/>
          <w:szCs w:val="24"/>
        </w:rPr>
        <w:t>each</w:t>
      </w:r>
      <w:r w:rsidR="0060075E" w:rsidRPr="00AE7A22">
        <w:rPr>
          <w:rFonts w:ascii="Times New Roman" w:hAnsi="Times New Roman" w:cs="Times New Roman"/>
          <w:sz w:val="24"/>
          <w:szCs w:val="24"/>
        </w:rPr>
        <w:t xml:space="preserve"> GHG substance </w:t>
      </w:r>
      <w:r w:rsidR="00395FF3" w:rsidRPr="00AE7A22">
        <w:rPr>
          <w:rFonts w:ascii="Times New Roman" w:hAnsi="Times New Roman" w:cs="Times New Roman"/>
          <w:sz w:val="24"/>
          <w:szCs w:val="24"/>
        </w:rPr>
        <w:t xml:space="preserve">that is already stored in, or proposed to be injected into and stored in, </w:t>
      </w:r>
      <w:r w:rsidR="0060075E" w:rsidRPr="00AE7A22">
        <w:rPr>
          <w:rFonts w:ascii="Times New Roman" w:hAnsi="Times New Roman" w:cs="Times New Roman"/>
          <w:sz w:val="24"/>
          <w:szCs w:val="24"/>
        </w:rPr>
        <w:t>the formation</w:t>
      </w:r>
      <w:r w:rsidR="0060075E" w:rsidRPr="009B479B">
        <w:rPr>
          <w:rFonts w:ascii="Times New Roman" w:hAnsi="Times New Roman" w:cs="Times New Roman"/>
          <w:sz w:val="24"/>
          <w:szCs w:val="24"/>
        </w:rPr>
        <w:t>.</w:t>
      </w:r>
      <w:r w:rsidR="0060075E" w:rsidRPr="00AE7A22">
        <w:rPr>
          <w:rFonts w:ascii="Times New Roman" w:hAnsi="Times New Roman" w:cs="Times New Roman"/>
          <w:sz w:val="24"/>
          <w:szCs w:val="24"/>
        </w:rPr>
        <w:t> </w:t>
      </w:r>
      <w:r w:rsidR="009B479B">
        <w:rPr>
          <w:rFonts w:ascii="Times New Roman" w:hAnsi="Times New Roman" w:cs="Times New Roman"/>
          <w:sz w:val="24"/>
          <w:szCs w:val="24"/>
        </w:rPr>
        <w:t>For the purposes of paragraph 19(1)(b), it is expected that a range of predictions is to be provided (</w:t>
      </w:r>
      <w:proofErr w:type="gramStart"/>
      <w:r w:rsidR="009B479B">
        <w:rPr>
          <w:rFonts w:ascii="Times New Roman" w:hAnsi="Times New Roman" w:cs="Times New Roman"/>
          <w:sz w:val="24"/>
          <w:szCs w:val="24"/>
        </w:rPr>
        <w:t>e.g.</w:t>
      </w:r>
      <w:proofErr w:type="gramEnd"/>
      <w:r w:rsidR="009B479B">
        <w:rPr>
          <w:rFonts w:ascii="Times New Roman" w:hAnsi="Times New Roman" w:cs="Times New Roman"/>
          <w:sz w:val="24"/>
          <w:szCs w:val="24"/>
        </w:rPr>
        <w:t xml:space="preserve"> </w:t>
      </w:r>
      <w:r>
        <w:rPr>
          <w:rFonts w:ascii="Times New Roman" w:hAnsi="Times New Roman" w:cs="Times New Roman"/>
          <w:sz w:val="24"/>
          <w:szCs w:val="24"/>
        </w:rPr>
        <w:t xml:space="preserve">at </w:t>
      </w:r>
      <w:r w:rsidR="009B479B">
        <w:rPr>
          <w:rFonts w:ascii="Times New Roman" w:hAnsi="Times New Roman" w:cs="Times New Roman"/>
          <w:sz w:val="24"/>
          <w:szCs w:val="24"/>
        </w:rPr>
        <w:t>P10/P50/P90</w:t>
      </w:r>
      <w:r>
        <w:rPr>
          <w:rFonts w:ascii="Times New Roman" w:hAnsi="Times New Roman" w:cs="Times New Roman"/>
          <w:sz w:val="24"/>
          <w:szCs w:val="24"/>
        </w:rPr>
        <w:t xml:space="preserve"> probability </w:t>
      </w:r>
      <w:r w:rsidR="008C608A">
        <w:rPr>
          <w:rFonts w:ascii="Times New Roman" w:hAnsi="Times New Roman" w:cs="Times New Roman"/>
          <w:sz w:val="24"/>
          <w:szCs w:val="24"/>
        </w:rPr>
        <w:t>estimates</w:t>
      </w:r>
      <w:r w:rsidR="009B479B">
        <w:rPr>
          <w:rFonts w:ascii="Times New Roman" w:hAnsi="Times New Roman" w:cs="Times New Roman"/>
          <w:sz w:val="24"/>
          <w:szCs w:val="24"/>
        </w:rPr>
        <w:t>). Further detail will be provided in guidelines</w:t>
      </w:r>
      <w:r w:rsidR="00692571">
        <w:rPr>
          <w:rFonts w:ascii="Times New Roman" w:hAnsi="Times New Roman" w:cs="Times New Roman"/>
          <w:sz w:val="24"/>
          <w:szCs w:val="24"/>
        </w:rPr>
        <w:t xml:space="preserve"> that will be made to support implementation of the GHG Regulations</w:t>
      </w:r>
      <w:r w:rsidR="009B479B">
        <w:rPr>
          <w:rFonts w:ascii="Times New Roman" w:hAnsi="Times New Roman" w:cs="Times New Roman"/>
          <w:sz w:val="24"/>
          <w:szCs w:val="24"/>
        </w:rPr>
        <w:t>.</w:t>
      </w:r>
    </w:p>
    <w:p w14:paraId="728D8C1C" w14:textId="095F8EA3" w:rsidR="009B479B" w:rsidRDefault="00FE424C" w:rsidP="00AE7A22">
      <w:pPr>
        <w:rPr>
          <w:rFonts w:ascii="Times New Roman" w:hAnsi="Times New Roman" w:cs="Times New Roman"/>
          <w:sz w:val="24"/>
          <w:szCs w:val="24"/>
        </w:rPr>
      </w:pPr>
      <w:r>
        <w:rPr>
          <w:rFonts w:ascii="Times New Roman" w:hAnsi="Times New Roman" w:cs="Times New Roman"/>
          <w:sz w:val="24"/>
          <w:szCs w:val="24"/>
        </w:rPr>
        <w:t xml:space="preserve">Subsection 19(2) sets out more detailed requirements for the predictions, including </w:t>
      </w:r>
      <w:r w:rsidR="008C608A">
        <w:rPr>
          <w:rFonts w:ascii="Times New Roman" w:hAnsi="Times New Roman" w:cs="Times New Roman"/>
          <w:sz w:val="24"/>
          <w:szCs w:val="24"/>
        </w:rPr>
        <w:t>the requirements for the timing of the predictions</w:t>
      </w:r>
      <w:r>
        <w:rPr>
          <w:rFonts w:ascii="Times New Roman" w:hAnsi="Times New Roman" w:cs="Times New Roman"/>
          <w:sz w:val="24"/>
          <w:szCs w:val="24"/>
        </w:rPr>
        <w:t xml:space="preserve"> (paragraph 19(2)(a))</w:t>
      </w:r>
      <w:r w:rsidR="008C608A">
        <w:rPr>
          <w:rFonts w:ascii="Times New Roman" w:hAnsi="Times New Roman" w:cs="Times New Roman"/>
          <w:sz w:val="24"/>
          <w:szCs w:val="24"/>
        </w:rPr>
        <w:t xml:space="preserve">. </w:t>
      </w:r>
      <w:r w:rsidR="007B0AC7" w:rsidRPr="00AE7A22">
        <w:rPr>
          <w:rFonts w:ascii="Times New Roman" w:hAnsi="Times New Roman" w:cs="Times New Roman"/>
          <w:sz w:val="24"/>
          <w:szCs w:val="24"/>
        </w:rPr>
        <w:t xml:space="preserve">Rather than predictions </w:t>
      </w:r>
      <w:r w:rsidR="006D40C6">
        <w:rPr>
          <w:rFonts w:ascii="Times New Roman" w:hAnsi="Times New Roman" w:cs="Times New Roman"/>
          <w:sz w:val="24"/>
          <w:szCs w:val="24"/>
        </w:rPr>
        <w:t xml:space="preserve">being required </w:t>
      </w:r>
      <w:r w:rsidR="007B0AC7" w:rsidRPr="00AE7A22">
        <w:rPr>
          <w:rFonts w:ascii="Times New Roman" w:hAnsi="Times New Roman" w:cs="Times New Roman"/>
          <w:sz w:val="24"/>
          <w:szCs w:val="24"/>
        </w:rPr>
        <w:t>at set intervals</w:t>
      </w:r>
      <w:r w:rsidR="006D40C6">
        <w:rPr>
          <w:rFonts w:ascii="Times New Roman" w:hAnsi="Times New Roman" w:cs="Times New Roman"/>
          <w:sz w:val="24"/>
          <w:szCs w:val="24"/>
        </w:rPr>
        <w:t xml:space="preserve"> specified in the GHG Regulations</w:t>
      </w:r>
      <w:r w:rsidR="007B0AC7" w:rsidRPr="00AE7A22">
        <w:rPr>
          <w:rFonts w:ascii="Times New Roman" w:hAnsi="Times New Roman" w:cs="Times New Roman"/>
          <w:sz w:val="24"/>
          <w:szCs w:val="24"/>
        </w:rPr>
        <w:t>,</w:t>
      </w:r>
      <w:r w:rsidR="002325B9">
        <w:rPr>
          <w:rFonts w:ascii="Times New Roman" w:hAnsi="Times New Roman" w:cs="Times New Roman"/>
          <w:sz w:val="24"/>
          <w:szCs w:val="24"/>
        </w:rPr>
        <w:t xml:space="preserve"> paragraph</w:t>
      </w:r>
      <w:r w:rsidR="007B0AC7" w:rsidRPr="00AE7A22">
        <w:rPr>
          <w:rFonts w:ascii="Times New Roman" w:hAnsi="Times New Roman" w:cs="Times New Roman"/>
          <w:sz w:val="24"/>
          <w:szCs w:val="24"/>
        </w:rPr>
        <w:t xml:space="preserve"> 19(2)</w:t>
      </w:r>
      <w:r w:rsidR="002325B9">
        <w:rPr>
          <w:rFonts w:ascii="Times New Roman" w:hAnsi="Times New Roman" w:cs="Times New Roman"/>
          <w:sz w:val="24"/>
          <w:szCs w:val="24"/>
        </w:rPr>
        <w:t>(a)</w:t>
      </w:r>
      <w:r w:rsidR="007B0AC7" w:rsidRPr="00AE7A22">
        <w:rPr>
          <w:rFonts w:ascii="Times New Roman" w:hAnsi="Times New Roman" w:cs="Times New Roman"/>
          <w:sz w:val="24"/>
          <w:szCs w:val="24"/>
        </w:rPr>
        <w:t xml:space="preserve"> recognises that </w:t>
      </w:r>
      <w:r w:rsidR="00DC2055" w:rsidRPr="00AE7A22">
        <w:rPr>
          <w:rFonts w:ascii="Times New Roman" w:hAnsi="Times New Roman" w:cs="Times New Roman"/>
          <w:sz w:val="24"/>
          <w:szCs w:val="24"/>
        </w:rPr>
        <w:t>t</w:t>
      </w:r>
      <w:r w:rsidR="007B0AC7" w:rsidRPr="00AE7A22">
        <w:rPr>
          <w:rFonts w:ascii="Times New Roman" w:hAnsi="Times New Roman" w:cs="Times New Roman"/>
          <w:sz w:val="24"/>
          <w:szCs w:val="24"/>
        </w:rPr>
        <w:t>he frequency of predictions will be site specific</w:t>
      </w:r>
      <w:r w:rsidR="009B479B">
        <w:rPr>
          <w:rFonts w:ascii="Times New Roman" w:hAnsi="Times New Roman" w:cs="Times New Roman"/>
          <w:sz w:val="24"/>
          <w:szCs w:val="24"/>
        </w:rPr>
        <w:t>.</w:t>
      </w:r>
      <w:r w:rsidR="007B0AC7" w:rsidRPr="00AE7A22">
        <w:rPr>
          <w:rFonts w:ascii="Times New Roman" w:hAnsi="Times New Roman" w:cs="Times New Roman"/>
          <w:sz w:val="24"/>
          <w:szCs w:val="24"/>
        </w:rPr>
        <w:t xml:space="preserve"> </w:t>
      </w:r>
      <w:r w:rsidR="009B479B">
        <w:rPr>
          <w:rFonts w:ascii="Times New Roman" w:hAnsi="Times New Roman" w:cs="Times New Roman"/>
          <w:sz w:val="24"/>
          <w:szCs w:val="24"/>
        </w:rPr>
        <w:t>F</w:t>
      </w:r>
      <w:r w:rsidR="007B0AC7" w:rsidRPr="00AE7A22">
        <w:rPr>
          <w:rFonts w:ascii="Times New Roman" w:hAnsi="Times New Roman" w:cs="Times New Roman"/>
          <w:sz w:val="24"/>
          <w:szCs w:val="24"/>
        </w:rPr>
        <w:t xml:space="preserve">or example, sites which utilise a </w:t>
      </w:r>
      <w:r w:rsidR="009B479B">
        <w:rPr>
          <w:rFonts w:ascii="Times New Roman" w:hAnsi="Times New Roman" w:cs="Times New Roman"/>
          <w:sz w:val="24"/>
          <w:szCs w:val="24"/>
        </w:rPr>
        <w:t xml:space="preserve">relatively </w:t>
      </w:r>
      <w:r w:rsidR="007B0AC7" w:rsidRPr="00AE7A22">
        <w:rPr>
          <w:rFonts w:ascii="Times New Roman" w:hAnsi="Times New Roman" w:cs="Times New Roman"/>
          <w:sz w:val="24"/>
          <w:szCs w:val="24"/>
        </w:rPr>
        <w:t xml:space="preserve">larger part of storage capacity in any one year will require predictions at </w:t>
      </w:r>
      <w:r w:rsidR="007B0AC7" w:rsidRPr="00AE7A22">
        <w:rPr>
          <w:rFonts w:ascii="Times New Roman" w:hAnsi="Times New Roman" w:cs="Times New Roman"/>
          <w:sz w:val="24"/>
          <w:szCs w:val="24"/>
        </w:rPr>
        <w:lastRenderedPageBreak/>
        <w:t xml:space="preserve">more frequent intervals. </w:t>
      </w:r>
      <w:r w:rsidR="009B479B">
        <w:rPr>
          <w:rFonts w:ascii="Times New Roman" w:hAnsi="Times New Roman" w:cs="Times New Roman"/>
          <w:sz w:val="24"/>
          <w:szCs w:val="24"/>
        </w:rPr>
        <w:t xml:space="preserve">In addition, more frequent predictions will generally be expected at the start of injection operations to ensure that any issues can be detected early. </w:t>
      </w:r>
      <w:r w:rsidR="007B0AC7" w:rsidRPr="00AE7A22">
        <w:rPr>
          <w:rFonts w:ascii="Times New Roman" w:hAnsi="Times New Roman" w:cs="Times New Roman"/>
          <w:sz w:val="24"/>
          <w:szCs w:val="24"/>
        </w:rPr>
        <w:t xml:space="preserve">The frequency of predictions </w:t>
      </w:r>
      <w:r w:rsidR="00DC2055" w:rsidRPr="00AE7A22">
        <w:rPr>
          <w:rFonts w:ascii="Times New Roman" w:hAnsi="Times New Roman" w:cs="Times New Roman"/>
          <w:sz w:val="24"/>
          <w:szCs w:val="24"/>
        </w:rPr>
        <w:t>will</w:t>
      </w:r>
      <w:r w:rsidR="007B0AC7" w:rsidRPr="00AE7A22">
        <w:rPr>
          <w:rFonts w:ascii="Times New Roman" w:hAnsi="Times New Roman" w:cs="Times New Roman"/>
          <w:sz w:val="24"/>
          <w:szCs w:val="24"/>
        </w:rPr>
        <w:t xml:space="preserve"> also </w:t>
      </w:r>
      <w:r w:rsidR="00DC2055" w:rsidRPr="00AE7A22">
        <w:rPr>
          <w:rFonts w:ascii="Times New Roman" w:hAnsi="Times New Roman" w:cs="Times New Roman"/>
          <w:sz w:val="24"/>
          <w:szCs w:val="24"/>
        </w:rPr>
        <w:t xml:space="preserve">be </w:t>
      </w:r>
      <w:r w:rsidR="007B0AC7" w:rsidRPr="00AE7A22">
        <w:rPr>
          <w:rFonts w:ascii="Times New Roman" w:hAnsi="Times New Roman" w:cs="Times New Roman"/>
          <w:sz w:val="24"/>
          <w:szCs w:val="24"/>
        </w:rPr>
        <w:t xml:space="preserve">linked to requirements for monitoring the behaviour of the </w:t>
      </w:r>
      <w:r w:rsidR="00DC2055" w:rsidRPr="00AE7A22">
        <w:rPr>
          <w:rFonts w:ascii="Times New Roman" w:hAnsi="Times New Roman" w:cs="Times New Roman"/>
          <w:sz w:val="24"/>
          <w:szCs w:val="24"/>
        </w:rPr>
        <w:t>GHG</w:t>
      </w:r>
      <w:r w:rsidR="007B0AC7" w:rsidRPr="00AE7A22">
        <w:rPr>
          <w:rFonts w:ascii="Times New Roman" w:hAnsi="Times New Roman" w:cs="Times New Roman"/>
          <w:sz w:val="24"/>
          <w:szCs w:val="24"/>
        </w:rPr>
        <w:t xml:space="preserve"> substance in the formation</w:t>
      </w:r>
      <w:r w:rsidR="006D40C6">
        <w:rPr>
          <w:rFonts w:ascii="Times New Roman" w:hAnsi="Times New Roman" w:cs="Times New Roman"/>
          <w:sz w:val="24"/>
          <w:szCs w:val="24"/>
        </w:rPr>
        <w:t xml:space="preserve">, which must ensure that </w:t>
      </w:r>
      <w:r w:rsidR="002325B9">
        <w:rPr>
          <w:rFonts w:ascii="Times New Roman" w:hAnsi="Times New Roman" w:cs="Times New Roman"/>
          <w:sz w:val="24"/>
          <w:szCs w:val="24"/>
        </w:rPr>
        <w:t>comparison of the actual and predicted behaviours of each substance</w:t>
      </w:r>
      <w:r w:rsidR="00D10CE5">
        <w:rPr>
          <w:rFonts w:ascii="Times New Roman" w:hAnsi="Times New Roman" w:cs="Times New Roman"/>
          <w:sz w:val="24"/>
          <w:szCs w:val="24"/>
        </w:rPr>
        <w:t xml:space="preserve"> </w:t>
      </w:r>
      <w:r w:rsidR="006D40C6">
        <w:rPr>
          <w:rFonts w:ascii="Times New Roman" w:hAnsi="Times New Roman" w:cs="Times New Roman"/>
          <w:sz w:val="24"/>
          <w:szCs w:val="24"/>
        </w:rPr>
        <w:t xml:space="preserve">will enable timely detection of </w:t>
      </w:r>
      <w:r w:rsidR="002325B9">
        <w:rPr>
          <w:rFonts w:ascii="Times New Roman" w:hAnsi="Times New Roman" w:cs="Times New Roman"/>
          <w:sz w:val="24"/>
          <w:szCs w:val="24"/>
        </w:rPr>
        <w:t>serious situations in relation to the formation</w:t>
      </w:r>
      <w:r w:rsidR="00D10CE5">
        <w:rPr>
          <w:rFonts w:ascii="Times New Roman" w:hAnsi="Times New Roman" w:cs="Times New Roman"/>
          <w:sz w:val="24"/>
          <w:szCs w:val="24"/>
        </w:rPr>
        <w:t xml:space="preserve"> </w:t>
      </w:r>
      <w:r w:rsidR="002325B9">
        <w:rPr>
          <w:rFonts w:ascii="Times New Roman" w:hAnsi="Times New Roman" w:cs="Times New Roman"/>
          <w:sz w:val="24"/>
          <w:szCs w:val="24"/>
        </w:rPr>
        <w:t>(subparagraph 19(2)(a)(ii)).</w:t>
      </w:r>
      <w:r w:rsidR="00DC2055" w:rsidRPr="00AE7A22">
        <w:rPr>
          <w:rFonts w:ascii="Times New Roman" w:hAnsi="Times New Roman" w:cs="Times New Roman"/>
          <w:sz w:val="24"/>
          <w:szCs w:val="24"/>
        </w:rPr>
        <w:t xml:space="preserve"> The predictions must be set out and explained in sufficient detail to demonstrate that they are soundly based (paragraph 19(2)(b)). </w:t>
      </w:r>
    </w:p>
    <w:p w14:paraId="31EFB98A" w14:textId="0798E20D" w:rsidR="00AF3252" w:rsidRPr="00AE7A22" w:rsidRDefault="00AF3252" w:rsidP="00AE7A22">
      <w:pPr>
        <w:rPr>
          <w:rFonts w:ascii="Times New Roman" w:hAnsi="Times New Roman" w:cs="Times New Roman"/>
          <w:sz w:val="24"/>
          <w:szCs w:val="24"/>
        </w:rPr>
      </w:pPr>
      <w:r>
        <w:rPr>
          <w:rFonts w:ascii="Times New Roman" w:hAnsi="Times New Roman" w:cs="Times New Roman"/>
          <w:sz w:val="24"/>
          <w:szCs w:val="24"/>
        </w:rPr>
        <w:t xml:space="preserve">The remaining criteria in subsection 19(2) aim to ensure that the predictions must consider the known or expected migration pathways and rates of each GHG </w:t>
      </w:r>
      <w:proofErr w:type="gramStart"/>
      <w:r>
        <w:rPr>
          <w:rFonts w:ascii="Times New Roman" w:hAnsi="Times New Roman" w:cs="Times New Roman"/>
          <w:sz w:val="24"/>
          <w:szCs w:val="24"/>
        </w:rPr>
        <w:t>substance, and</w:t>
      </w:r>
      <w:proofErr w:type="gramEnd"/>
      <w:r>
        <w:rPr>
          <w:rFonts w:ascii="Times New Roman" w:hAnsi="Times New Roman" w:cs="Times New Roman"/>
          <w:sz w:val="24"/>
          <w:szCs w:val="24"/>
        </w:rPr>
        <w:t xml:space="preserve"> demonstrate that the predicted behaviours are consistent with the containment of the GHG substance</w:t>
      </w:r>
      <w:r w:rsidR="00547728">
        <w:rPr>
          <w:rFonts w:ascii="Times New Roman" w:hAnsi="Times New Roman" w:cs="Times New Roman"/>
          <w:sz w:val="24"/>
          <w:szCs w:val="24"/>
        </w:rPr>
        <w:t>s</w:t>
      </w:r>
      <w:r>
        <w:rPr>
          <w:rFonts w:ascii="Times New Roman" w:hAnsi="Times New Roman" w:cs="Times New Roman"/>
          <w:sz w:val="24"/>
          <w:szCs w:val="24"/>
        </w:rPr>
        <w:t xml:space="preserve"> within the formation.</w:t>
      </w:r>
    </w:p>
    <w:p w14:paraId="15308CFB" w14:textId="50658478" w:rsidR="008C608A" w:rsidRPr="00AE7A22" w:rsidRDefault="008C608A" w:rsidP="00B01633">
      <w:pPr>
        <w:rPr>
          <w:rFonts w:ascii="Times New Roman" w:hAnsi="Times New Roman" w:cs="Times New Roman"/>
          <w:sz w:val="24"/>
          <w:szCs w:val="24"/>
        </w:rPr>
      </w:pPr>
      <w:r>
        <w:rPr>
          <w:rFonts w:ascii="Times New Roman" w:hAnsi="Times New Roman" w:cs="Times New Roman"/>
          <w:sz w:val="24"/>
          <w:szCs w:val="24"/>
        </w:rPr>
        <w:t xml:space="preserve">Paragraph 19(3) sets out information </w:t>
      </w:r>
      <w:r w:rsidR="00AF3252">
        <w:rPr>
          <w:rFonts w:ascii="Times New Roman" w:hAnsi="Times New Roman" w:cs="Times New Roman"/>
          <w:sz w:val="24"/>
          <w:szCs w:val="24"/>
        </w:rPr>
        <w:t xml:space="preserve">from the application for </w:t>
      </w:r>
      <w:r w:rsidR="00547728">
        <w:rPr>
          <w:rFonts w:ascii="Times New Roman" w:hAnsi="Times New Roman" w:cs="Times New Roman"/>
          <w:sz w:val="24"/>
          <w:szCs w:val="24"/>
        </w:rPr>
        <w:t xml:space="preserve">a declaration of </w:t>
      </w:r>
      <w:r w:rsidR="00AF3252">
        <w:rPr>
          <w:rFonts w:ascii="Times New Roman" w:hAnsi="Times New Roman" w:cs="Times New Roman"/>
          <w:sz w:val="24"/>
          <w:szCs w:val="24"/>
        </w:rPr>
        <w:t>an identified GHG storage formation, or from an application to vary a declaration,</w:t>
      </w:r>
      <w:r>
        <w:rPr>
          <w:rFonts w:ascii="Times New Roman" w:hAnsi="Times New Roman" w:cs="Times New Roman"/>
          <w:sz w:val="24"/>
          <w:szCs w:val="24"/>
        </w:rPr>
        <w:t xml:space="preserve"> that must be included in the draft site plan. </w:t>
      </w:r>
      <w:r w:rsidR="00AF3252">
        <w:rPr>
          <w:rFonts w:ascii="Times New Roman" w:hAnsi="Times New Roman" w:cs="Times New Roman"/>
          <w:sz w:val="24"/>
          <w:szCs w:val="24"/>
        </w:rPr>
        <w:t>The information relates to the integrity</w:t>
      </w:r>
      <w:r w:rsidR="004F3442">
        <w:rPr>
          <w:rFonts w:ascii="Times New Roman" w:hAnsi="Times New Roman" w:cs="Times New Roman"/>
          <w:sz w:val="24"/>
          <w:szCs w:val="24"/>
        </w:rPr>
        <w:t>,</w:t>
      </w:r>
      <w:r w:rsidR="00AF3252">
        <w:rPr>
          <w:rFonts w:ascii="Times New Roman" w:hAnsi="Times New Roman" w:cs="Times New Roman"/>
          <w:sz w:val="24"/>
          <w:szCs w:val="24"/>
        </w:rPr>
        <w:t xml:space="preserve"> and estimates of the spatial extent</w:t>
      </w:r>
      <w:r w:rsidR="004F3442">
        <w:rPr>
          <w:rFonts w:ascii="Times New Roman" w:hAnsi="Times New Roman" w:cs="Times New Roman"/>
          <w:sz w:val="24"/>
          <w:szCs w:val="24"/>
        </w:rPr>
        <w:t>,</w:t>
      </w:r>
      <w:r w:rsidR="00AF3252">
        <w:rPr>
          <w:rFonts w:ascii="Times New Roman" w:hAnsi="Times New Roman" w:cs="Times New Roman"/>
          <w:sz w:val="24"/>
          <w:szCs w:val="24"/>
        </w:rPr>
        <w:t xml:space="preserve"> of the formation. </w:t>
      </w:r>
      <w:r>
        <w:rPr>
          <w:rFonts w:ascii="Times New Roman" w:hAnsi="Times New Roman" w:cs="Times New Roman"/>
          <w:sz w:val="24"/>
          <w:szCs w:val="24"/>
        </w:rPr>
        <w:t xml:space="preserve">This information </w:t>
      </w:r>
      <w:r w:rsidR="00AF3252">
        <w:rPr>
          <w:rFonts w:ascii="Times New Roman" w:hAnsi="Times New Roman" w:cs="Times New Roman"/>
          <w:sz w:val="24"/>
          <w:szCs w:val="24"/>
        </w:rPr>
        <w:t xml:space="preserve">is relevant to the </w:t>
      </w:r>
      <w:proofErr w:type="gramStart"/>
      <w:r w:rsidR="00AF3252">
        <w:rPr>
          <w:rFonts w:ascii="Times New Roman" w:hAnsi="Times New Roman" w:cs="Times New Roman"/>
          <w:sz w:val="24"/>
          <w:szCs w:val="24"/>
        </w:rPr>
        <w:t>predictions, and</w:t>
      </w:r>
      <w:proofErr w:type="gramEnd"/>
      <w:r w:rsidR="00AF3252">
        <w:rPr>
          <w:rFonts w:ascii="Times New Roman" w:hAnsi="Times New Roman" w:cs="Times New Roman"/>
          <w:sz w:val="24"/>
          <w:szCs w:val="24"/>
        </w:rPr>
        <w:t xml:space="preserve"> </w:t>
      </w:r>
      <w:r>
        <w:rPr>
          <w:rFonts w:ascii="Times New Roman" w:hAnsi="Times New Roman" w:cs="Times New Roman"/>
          <w:sz w:val="24"/>
          <w:szCs w:val="24"/>
        </w:rPr>
        <w:t xml:space="preserve">will assist the </w:t>
      </w:r>
      <w:r w:rsidR="00547728">
        <w:rPr>
          <w:rFonts w:ascii="Times New Roman" w:hAnsi="Times New Roman" w:cs="Times New Roman"/>
          <w:sz w:val="24"/>
          <w:szCs w:val="24"/>
        </w:rPr>
        <w:t xml:space="preserve">responsible Commonwealth </w:t>
      </w:r>
      <w:r>
        <w:rPr>
          <w:rFonts w:ascii="Times New Roman" w:hAnsi="Times New Roman" w:cs="Times New Roman"/>
          <w:sz w:val="24"/>
          <w:szCs w:val="24"/>
        </w:rPr>
        <w:t>Minister in considering whether the predictions are sound</w:t>
      </w:r>
      <w:r w:rsidR="00AF3252">
        <w:rPr>
          <w:rFonts w:ascii="Times New Roman" w:hAnsi="Times New Roman" w:cs="Times New Roman"/>
          <w:sz w:val="24"/>
          <w:szCs w:val="24"/>
        </w:rPr>
        <w:t>ly based</w:t>
      </w:r>
      <w:r>
        <w:rPr>
          <w:rFonts w:ascii="Times New Roman" w:hAnsi="Times New Roman" w:cs="Times New Roman"/>
          <w:sz w:val="24"/>
          <w:szCs w:val="24"/>
        </w:rPr>
        <w:t xml:space="preserve"> and consistent with the spatial extent of the formation.</w:t>
      </w:r>
    </w:p>
    <w:p w14:paraId="6AD3C0DC" w14:textId="103E939A" w:rsidR="009C55C0" w:rsidRDefault="009C55C0" w:rsidP="00502CAB">
      <w:pPr>
        <w:pStyle w:val="ActHead5"/>
        <w:spacing w:after="240"/>
      </w:pPr>
      <w:r>
        <w:t xml:space="preserve">Section </w:t>
      </w:r>
      <w:r w:rsidR="007F74F7">
        <w:t>20</w:t>
      </w:r>
      <w:r>
        <w:t xml:space="preserve"> – Criteria for draft site plan</w:t>
      </w:r>
      <w:r w:rsidR="007F74F7">
        <w:t>s</w:t>
      </w:r>
      <w:r>
        <w:t xml:space="preserve"> – Part B</w:t>
      </w:r>
    </w:p>
    <w:p w14:paraId="76D162FF" w14:textId="77036D1C" w:rsidR="00E102D1" w:rsidRDefault="00E102D1" w:rsidP="00E102D1">
      <w:pPr>
        <w:rPr>
          <w:rFonts w:ascii="Times New Roman" w:hAnsi="Times New Roman" w:cs="Times New Roman"/>
          <w:sz w:val="24"/>
          <w:szCs w:val="24"/>
        </w:rPr>
      </w:pPr>
      <w:r>
        <w:rPr>
          <w:rFonts w:ascii="Times New Roman" w:hAnsi="Times New Roman" w:cs="Times New Roman"/>
          <w:sz w:val="24"/>
          <w:szCs w:val="24"/>
        </w:rPr>
        <w:t xml:space="preserve">This section sets out the criteria for Part B of a draft site plan in relation to an identified GHG storage formation. Under subparagraph 24(c)(ii) of the OPGGS Act, Part B is to deal with matters other than the predictions for the behaviour of a stored GHG substance within the formation (which is covered by Part A of the plan). The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must be reasonably satisfied that </w:t>
      </w:r>
      <w:r w:rsidR="00547728">
        <w:rPr>
          <w:rFonts w:ascii="Times New Roman" w:hAnsi="Times New Roman" w:cs="Times New Roman"/>
          <w:sz w:val="24"/>
          <w:szCs w:val="24"/>
        </w:rPr>
        <w:t xml:space="preserve">a draft site plan meets </w:t>
      </w:r>
      <w:r>
        <w:rPr>
          <w:rFonts w:ascii="Times New Roman" w:hAnsi="Times New Roman" w:cs="Times New Roman"/>
          <w:sz w:val="24"/>
          <w:szCs w:val="24"/>
        </w:rPr>
        <w:t>the</w:t>
      </w:r>
      <w:r w:rsidR="00547728">
        <w:rPr>
          <w:rFonts w:ascii="Times New Roman" w:hAnsi="Times New Roman" w:cs="Times New Roman"/>
          <w:sz w:val="24"/>
          <w:szCs w:val="24"/>
        </w:rPr>
        <w:t xml:space="preserve"> </w:t>
      </w:r>
      <w:r>
        <w:rPr>
          <w:rFonts w:ascii="Times New Roman" w:hAnsi="Times New Roman" w:cs="Times New Roman"/>
          <w:sz w:val="24"/>
          <w:szCs w:val="24"/>
        </w:rPr>
        <w:t xml:space="preserve">criteria in order to approve </w:t>
      </w:r>
      <w:r w:rsidR="00547728">
        <w:rPr>
          <w:rFonts w:ascii="Times New Roman" w:hAnsi="Times New Roman" w:cs="Times New Roman"/>
          <w:sz w:val="24"/>
          <w:szCs w:val="24"/>
        </w:rPr>
        <w:t>the</w:t>
      </w:r>
      <w:r>
        <w:rPr>
          <w:rFonts w:ascii="Times New Roman" w:hAnsi="Times New Roman" w:cs="Times New Roman"/>
          <w:sz w:val="24"/>
          <w:szCs w:val="24"/>
        </w:rPr>
        <w:t xml:space="preserve"> draft plan (see</w:t>
      </w:r>
      <w:r w:rsidR="00A071C6">
        <w:rPr>
          <w:rFonts w:ascii="Times New Roman" w:hAnsi="Times New Roman" w:cs="Times New Roman"/>
          <w:sz w:val="24"/>
          <w:szCs w:val="24"/>
        </w:rPr>
        <w:t> </w:t>
      </w:r>
      <w:r>
        <w:rPr>
          <w:rFonts w:ascii="Times New Roman" w:hAnsi="Times New Roman" w:cs="Times New Roman"/>
          <w:sz w:val="24"/>
          <w:szCs w:val="24"/>
        </w:rPr>
        <w:t xml:space="preserve">subsection 25(2)). </w:t>
      </w:r>
    </w:p>
    <w:p w14:paraId="6223428A" w14:textId="1EB13762" w:rsidR="009D0363" w:rsidRDefault="009C55C0" w:rsidP="009D0363">
      <w:pPr>
        <w:rPr>
          <w:rFonts w:ascii="Times New Roman" w:hAnsi="Times New Roman" w:cs="Times New Roman"/>
          <w:sz w:val="24"/>
          <w:szCs w:val="24"/>
        </w:rPr>
      </w:pPr>
      <w:r>
        <w:rPr>
          <w:rFonts w:ascii="Times New Roman" w:hAnsi="Times New Roman" w:cs="Times New Roman"/>
          <w:sz w:val="24"/>
          <w:szCs w:val="24"/>
        </w:rPr>
        <w:t xml:space="preserve">This section </w:t>
      </w:r>
      <w:r w:rsidR="009D0363" w:rsidRPr="009D0363">
        <w:rPr>
          <w:rFonts w:ascii="Times New Roman" w:hAnsi="Times New Roman" w:cs="Times New Roman"/>
          <w:sz w:val="24"/>
          <w:szCs w:val="24"/>
        </w:rPr>
        <w:t xml:space="preserve">requires Part </w:t>
      </w:r>
      <w:r w:rsidR="009D0363">
        <w:rPr>
          <w:rFonts w:ascii="Times New Roman" w:hAnsi="Times New Roman" w:cs="Times New Roman"/>
          <w:sz w:val="24"/>
          <w:szCs w:val="24"/>
        </w:rPr>
        <w:t>B</w:t>
      </w:r>
      <w:r w:rsidR="009D0363" w:rsidRPr="009D0363">
        <w:rPr>
          <w:rFonts w:ascii="Times New Roman" w:hAnsi="Times New Roman" w:cs="Times New Roman"/>
          <w:sz w:val="24"/>
          <w:szCs w:val="24"/>
        </w:rPr>
        <w:t xml:space="preserve"> of a </w:t>
      </w:r>
      <w:r w:rsidR="00E102D1">
        <w:rPr>
          <w:rFonts w:ascii="Times New Roman" w:hAnsi="Times New Roman" w:cs="Times New Roman"/>
          <w:sz w:val="24"/>
          <w:szCs w:val="24"/>
        </w:rPr>
        <w:t xml:space="preserve">draft </w:t>
      </w:r>
      <w:r w:rsidR="009D0363" w:rsidRPr="009D0363">
        <w:rPr>
          <w:rFonts w:ascii="Times New Roman" w:hAnsi="Times New Roman" w:cs="Times New Roman"/>
          <w:sz w:val="24"/>
          <w:szCs w:val="24"/>
        </w:rPr>
        <w:t xml:space="preserve">site plan </w:t>
      </w:r>
      <w:r w:rsidR="009D0363">
        <w:rPr>
          <w:rFonts w:ascii="Times New Roman" w:hAnsi="Times New Roman" w:cs="Times New Roman"/>
          <w:sz w:val="24"/>
          <w:szCs w:val="24"/>
        </w:rPr>
        <w:t>to set out certain information, including the information specified in Schedule 2</w:t>
      </w:r>
      <w:r w:rsidR="00E102D1">
        <w:rPr>
          <w:rFonts w:ascii="Times New Roman" w:hAnsi="Times New Roman" w:cs="Times New Roman"/>
          <w:sz w:val="24"/>
          <w:szCs w:val="24"/>
        </w:rPr>
        <w:t xml:space="preserve"> to the GHG Regulations</w:t>
      </w:r>
      <w:r w:rsidR="009D0363">
        <w:rPr>
          <w:rFonts w:ascii="Times New Roman" w:hAnsi="Times New Roman" w:cs="Times New Roman"/>
          <w:sz w:val="24"/>
          <w:szCs w:val="24"/>
        </w:rPr>
        <w:t>.</w:t>
      </w:r>
      <w:r w:rsidR="00E102D1">
        <w:rPr>
          <w:rFonts w:ascii="Times New Roman" w:hAnsi="Times New Roman" w:cs="Times New Roman"/>
          <w:sz w:val="24"/>
          <w:szCs w:val="24"/>
        </w:rPr>
        <w:t xml:space="preserve"> Part B must also set out information relating to operational matters, such as an integrated operations management plan, an implementation strategy, and ongoing arrangements for monitoring, recording and reporting </w:t>
      </w:r>
      <w:r w:rsidR="00547728">
        <w:rPr>
          <w:rFonts w:ascii="Times New Roman" w:hAnsi="Times New Roman" w:cs="Times New Roman"/>
          <w:sz w:val="24"/>
          <w:szCs w:val="24"/>
        </w:rPr>
        <w:t xml:space="preserve">in relation to </w:t>
      </w:r>
      <w:r w:rsidR="00E102D1">
        <w:rPr>
          <w:rFonts w:ascii="Times New Roman" w:hAnsi="Times New Roman" w:cs="Times New Roman"/>
          <w:sz w:val="24"/>
          <w:szCs w:val="24"/>
        </w:rPr>
        <w:t xml:space="preserve">implementation of and compliance with the plan. </w:t>
      </w:r>
      <w:r w:rsidR="009D0363">
        <w:rPr>
          <w:rFonts w:ascii="Times New Roman" w:hAnsi="Times New Roman" w:cs="Times New Roman"/>
          <w:sz w:val="24"/>
          <w:szCs w:val="24"/>
        </w:rPr>
        <w:t xml:space="preserve"> </w:t>
      </w:r>
    </w:p>
    <w:p w14:paraId="20CDF672" w14:textId="5B93922B" w:rsidR="009D0363" w:rsidRDefault="009D0363" w:rsidP="009D0363">
      <w:pPr>
        <w:rPr>
          <w:rFonts w:ascii="Times New Roman" w:hAnsi="Times New Roman" w:cs="Times New Roman"/>
          <w:sz w:val="24"/>
          <w:szCs w:val="24"/>
        </w:rPr>
      </w:pPr>
      <w:r>
        <w:rPr>
          <w:rFonts w:ascii="Times New Roman" w:hAnsi="Times New Roman" w:cs="Times New Roman"/>
          <w:sz w:val="24"/>
          <w:szCs w:val="24"/>
        </w:rPr>
        <w:t>The information in Part B must</w:t>
      </w:r>
      <w:r w:rsidR="00E102D1">
        <w:rPr>
          <w:rFonts w:ascii="Times New Roman" w:hAnsi="Times New Roman" w:cs="Times New Roman"/>
          <w:sz w:val="24"/>
          <w:szCs w:val="24"/>
        </w:rPr>
        <w:t xml:space="preserve"> </w:t>
      </w:r>
      <w:r>
        <w:rPr>
          <w:rFonts w:ascii="Times New Roman" w:hAnsi="Times New Roman" w:cs="Times New Roman"/>
          <w:sz w:val="24"/>
          <w:szCs w:val="24"/>
        </w:rPr>
        <w:t xml:space="preserve">not be </w:t>
      </w:r>
      <w:r w:rsidRPr="009D0363">
        <w:rPr>
          <w:rFonts w:ascii="Times New Roman" w:hAnsi="Times New Roman" w:cs="Times New Roman"/>
          <w:sz w:val="24"/>
          <w:szCs w:val="24"/>
        </w:rPr>
        <w:t xml:space="preserve">inconsistent with the declaration </w:t>
      </w:r>
      <w:r w:rsidR="00E102D1">
        <w:rPr>
          <w:rFonts w:ascii="Times New Roman" w:hAnsi="Times New Roman" w:cs="Times New Roman"/>
          <w:sz w:val="24"/>
          <w:szCs w:val="24"/>
        </w:rPr>
        <w:t xml:space="preserve">of </w:t>
      </w:r>
      <w:r w:rsidR="005B5206">
        <w:rPr>
          <w:rFonts w:ascii="Times New Roman" w:hAnsi="Times New Roman" w:cs="Times New Roman"/>
          <w:sz w:val="24"/>
          <w:szCs w:val="24"/>
        </w:rPr>
        <w:t>an identified GHG storage formation</w:t>
      </w:r>
      <w:r w:rsidR="00E102D1">
        <w:rPr>
          <w:rFonts w:ascii="Times New Roman" w:hAnsi="Times New Roman" w:cs="Times New Roman"/>
          <w:sz w:val="24"/>
          <w:szCs w:val="24"/>
        </w:rPr>
        <w:t xml:space="preserve"> (which may include a declaration as varied) (subsection 20(2))</w:t>
      </w:r>
      <w:r>
        <w:rPr>
          <w:rFonts w:ascii="Times New Roman" w:hAnsi="Times New Roman" w:cs="Times New Roman"/>
          <w:sz w:val="24"/>
          <w:szCs w:val="24"/>
        </w:rPr>
        <w:t>.</w:t>
      </w:r>
      <w:r w:rsidR="00E102D1" w:rsidRPr="00E102D1">
        <w:rPr>
          <w:rFonts w:ascii="Times New Roman" w:hAnsi="Times New Roman" w:cs="Times New Roman"/>
          <w:sz w:val="24"/>
          <w:szCs w:val="24"/>
        </w:rPr>
        <w:t xml:space="preserve"> </w:t>
      </w:r>
      <w:r w:rsidR="00E102D1" w:rsidRPr="00687854">
        <w:rPr>
          <w:rFonts w:ascii="Times New Roman" w:hAnsi="Times New Roman" w:cs="Times New Roman"/>
          <w:sz w:val="24"/>
          <w:szCs w:val="24"/>
        </w:rPr>
        <w:t xml:space="preserve">A declaration of an identified GHG storage formation </w:t>
      </w:r>
      <w:r w:rsidR="00E102D1">
        <w:rPr>
          <w:rFonts w:ascii="Times New Roman" w:hAnsi="Times New Roman" w:cs="Times New Roman"/>
          <w:sz w:val="24"/>
          <w:szCs w:val="24"/>
        </w:rPr>
        <w:t xml:space="preserve">includes information such as the spatial extent and fundamental suitability determinants of the </w:t>
      </w:r>
      <w:proofErr w:type="gramStart"/>
      <w:r w:rsidR="00E102D1">
        <w:rPr>
          <w:rFonts w:ascii="Times New Roman" w:hAnsi="Times New Roman" w:cs="Times New Roman"/>
          <w:sz w:val="24"/>
          <w:szCs w:val="24"/>
        </w:rPr>
        <w:t>formation, and</w:t>
      </w:r>
      <w:proofErr w:type="gramEnd"/>
      <w:r w:rsidR="00E102D1">
        <w:rPr>
          <w:rFonts w:ascii="Times New Roman" w:hAnsi="Times New Roman" w:cs="Times New Roman"/>
          <w:sz w:val="24"/>
          <w:szCs w:val="24"/>
        </w:rPr>
        <w:t xml:space="preserve"> </w:t>
      </w:r>
      <w:r w:rsidR="00E102D1" w:rsidRPr="00687854">
        <w:rPr>
          <w:rFonts w:ascii="Times New Roman" w:hAnsi="Times New Roman" w:cs="Times New Roman"/>
          <w:sz w:val="24"/>
          <w:szCs w:val="24"/>
        </w:rPr>
        <w:t xml:space="preserve">retains its significance over the life of </w:t>
      </w:r>
      <w:r w:rsidR="00E102D1">
        <w:rPr>
          <w:rFonts w:ascii="Times New Roman" w:hAnsi="Times New Roman" w:cs="Times New Roman"/>
          <w:sz w:val="24"/>
          <w:szCs w:val="24"/>
        </w:rPr>
        <w:t>a</w:t>
      </w:r>
      <w:r w:rsidR="00E102D1" w:rsidRPr="00687854">
        <w:rPr>
          <w:rFonts w:ascii="Times New Roman" w:hAnsi="Times New Roman" w:cs="Times New Roman"/>
          <w:sz w:val="24"/>
          <w:szCs w:val="24"/>
        </w:rPr>
        <w:t xml:space="preserve"> GHG</w:t>
      </w:r>
      <w:r w:rsidR="00E102D1">
        <w:rPr>
          <w:rFonts w:ascii="Times New Roman" w:hAnsi="Times New Roman" w:cs="Times New Roman"/>
          <w:sz w:val="24"/>
          <w:szCs w:val="24"/>
        </w:rPr>
        <w:t xml:space="preserve"> injection and</w:t>
      </w:r>
      <w:r w:rsidR="00E102D1" w:rsidRPr="00687854">
        <w:rPr>
          <w:rFonts w:ascii="Times New Roman" w:hAnsi="Times New Roman" w:cs="Times New Roman"/>
          <w:sz w:val="24"/>
          <w:szCs w:val="24"/>
        </w:rPr>
        <w:t xml:space="preserve"> storage project.</w:t>
      </w:r>
    </w:p>
    <w:p w14:paraId="05121F74" w14:textId="54311D0A" w:rsidR="009C55C0" w:rsidRPr="009C55C0" w:rsidRDefault="009C55C0" w:rsidP="00502CAB">
      <w:pPr>
        <w:pStyle w:val="ActHead3"/>
      </w:pPr>
      <w:r w:rsidRPr="009C55C0">
        <w:t>Division 3 – Obligations for greenhouse gas injection licensees</w:t>
      </w:r>
    </w:p>
    <w:p w14:paraId="28AF2484" w14:textId="3722DD39" w:rsidR="009D0363" w:rsidRDefault="009D0363" w:rsidP="00502CAB">
      <w:pPr>
        <w:pStyle w:val="ActHead5"/>
        <w:spacing w:after="240"/>
      </w:pPr>
      <w:r>
        <w:t xml:space="preserve">Section </w:t>
      </w:r>
      <w:r w:rsidR="007F74F7">
        <w:t>21</w:t>
      </w:r>
      <w:r>
        <w:t xml:space="preserve"> – Purpose of this Division</w:t>
      </w:r>
    </w:p>
    <w:p w14:paraId="1F2EA2FA" w14:textId="7B795B17" w:rsidR="009D0363" w:rsidRPr="009D0363" w:rsidRDefault="009D0363" w:rsidP="004C6F8A">
      <w:pPr>
        <w:rPr>
          <w:rFonts w:ascii="Times New Roman" w:hAnsi="Times New Roman" w:cs="Times New Roman"/>
          <w:sz w:val="24"/>
          <w:szCs w:val="24"/>
        </w:rPr>
      </w:pPr>
      <w:r w:rsidRPr="009D0363">
        <w:rPr>
          <w:rFonts w:ascii="Times New Roman" w:hAnsi="Times New Roman" w:cs="Times New Roman"/>
          <w:sz w:val="24"/>
          <w:szCs w:val="24"/>
        </w:rPr>
        <w:t xml:space="preserve">This section </w:t>
      </w:r>
      <w:r>
        <w:rPr>
          <w:rFonts w:ascii="Times New Roman" w:hAnsi="Times New Roman" w:cs="Times New Roman"/>
          <w:sz w:val="24"/>
          <w:szCs w:val="24"/>
        </w:rPr>
        <w:t>states that Division 3 is made for the purposes of subsections 457(1) and (2) of the OPGGS Act. S</w:t>
      </w:r>
      <w:r w:rsidR="00547728">
        <w:rPr>
          <w:rFonts w:ascii="Times New Roman" w:hAnsi="Times New Roman" w:cs="Times New Roman"/>
          <w:sz w:val="24"/>
          <w:szCs w:val="24"/>
        </w:rPr>
        <w:t>ubs</w:t>
      </w:r>
      <w:r>
        <w:rPr>
          <w:rFonts w:ascii="Times New Roman" w:hAnsi="Times New Roman" w:cs="Times New Roman"/>
          <w:sz w:val="24"/>
          <w:szCs w:val="24"/>
        </w:rPr>
        <w:t>ection 457</w:t>
      </w:r>
      <w:r w:rsidR="00547728">
        <w:rPr>
          <w:rFonts w:ascii="Times New Roman" w:hAnsi="Times New Roman" w:cs="Times New Roman"/>
          <w:sz w:val="24"/>
          <w:szCs w:val="24"/>
        </w:rPr>
        <w:t>(1) provides that th</w:t>
      </w:r>
      <w:r>
        <w:rPr>
          <w:rFonts w:ascii="Times New Roman" w:hAnsi="Times New Roman" w:cs="Times New Roman"/>
          <w:sz w:val="24"/>
          <w:szCs w:val="24"/>
        </w:rPr>
        <w:t xml:space="preserve">e regulations may provide </w:t>
      </w:r>
      <w:r w:rsidR="000E1E00">
        <w:rPr>
          <w:rFonts w:ascii="Times New Roman" w:hAnsi="Times New Roman" w:cs="Times New Roman"/>
          <w:sz w:val="24"/>
          <w:szCs w:val="24"/>
        </w:rPr>
        <w:t>that a</w:t>
      </w:r>
      <w:r w:rsidR="000E1E00" w:rsidRPr="000E1E00">
        <w:rPr>
          <w:rFonts w:ascii="Times New Roman" w:hAnsi="Times New Roman" w:cs="Times New Roman"/>
          <w:sz w:val="24"/>
          <w:szCs w:val="24"/>
        </w:rPr>
        <w:t xml:space="preserve"> </w:t>
      </w:r>
      <w:r w:rsidR="0005724E">
        <w:rPr>
          <w:rFonts w:ascii="Times New Roman" w:hAnsi="Times New Roman" w:cs="Times New Roman"/>
          <w:sz w:val="24"/>
          <w:szCs w:val="24"/>
        </w:rPr>
        <w:t xml:space="preserve">GHG injection </w:t>
      </w:r>
      <w:r w:rsidR="000E1E00" w:rsidRPr="000E1E00">
        <w:rPr>
          <w:rFonts w:ascii="Times New Roman" w:hAnsi="Times New Roman" w:cs="Times New Roman"/>
          <w:sz w:val="24"/>
          <w:szCs w:val="24"/>
        </w:rPr>
        <w:t xml:space="preserve">licensee must not carry on any operations in relation to an identified </w:t>
      </w:r>
      <w:r w:rsidR="000E1E00">
        <w:rPr>
          <w:rFonts w:ascii="Times New Roman" w:hAnsi="Times New Roman" w:cs="Times New Roman"/>
          <w:sz w:val="24"/>
          <w:szCs w:val="24"/>
        </w:rPr>
        <w:t>GH</w:t>
      </w:r>
      <w:r w:rsidR="001476ED">
        <w:rPr>
          <w:rFonts w:ascii="Times New Roman" w:hAnsi="Times New Roman" w:cs="Times New Roman"/>
          <w:sz w:val="24"/>
          <w:szCs w:val="24"/>
        </w:rPr>
        <w:t>G</w:t>
      </w:r>
      <w:r w:rsidR="000E1E00" w:rsidRPr="000E1E00">
        <w:rPr>
          <w:rFonts w:ascii="Times New Roman" w:hAnsi="Times New Roman" w:cs="Times New Roman"/>
          <w:sz w:val="24"/>
          <w:szCs w:val="24"/>
        </w:rPr>
        <w:t xml:space="preserve"> storage </w:t>
      </w:r>
      <w:r w:rsidR="000E1E00" w:rsidRPr="000E1E00">
        <w:rPr>
          <w:rFonts w:ascii="Times New Roman" w:hAnsi="Times New Roman" w:cs="Times New Roman"/>
          <w:sz w:val="24"/>
          <w:szCs w:val="24"/>
        </w:rPr>
        <w:lastRenderedPageBreak/>
        <w:t>formation unless an approved site plan is in force</w:t>
      </w:r>
      <w:r w:rsidR="00547728">
        <w:rPr>
          <w:rFonts w:ascii="Times New Roman" w:hAnsi="Times New Roman" w:cs="Times New Roman"/>
          <w:sz w:val="24"/>
          <w:szCs w:val="24"/>
        </w:rPr>
        <w:t>.</w:t>
      </w:r>
      <w:r w:rsidR="000E1E00">
        <w:rPr>
          <w:rFonts w:ascii="Times New Roman" w:hAnsi="Times New Roman" w:cs="Times New Roman"/>
          <w:sz w:val="24"/>
          <w:szCs w:val="24"/>
        </w:rPr>
        <w:t xml:space="preserve"> </w:t>
      </w:r>
      <w:r w:rsidR="00547728">
        <w:rPr>
          <w:rFonts w:ascii="Times New Roman" w:hAnsi="Times New Roman" w:cs="Times New Roman"/>
          <w:sz w:val="24"/>
          <w:szCs w:val="24"/>
        </w:rPr>
        <w:t>S</w:t>
      </w:r>
      <w:r w:rsidR="00BC1751">
        <w:rPr>
          <w:rFonts w:ascii="Times New Roman" w:hAnsi="Times New Roman" w:cs="Times New Roman"/>
          <w:sz w:val="24"/>
          <w:szCs w:val="24"/>
        </w:rPr>
        <w:t>ubsection</w:t>
      </w:r>
      <w:r w:rsidR="000E1E00">
        <w:rPr>
          <w:rFonts w:ascii="Times New Roman" w:hAnsi="Times New Roman" w:cs="Times New Roman"/>
          <w:sz w:val="24"/>
          <w:szCs w:val="24"/>
        </w:rPr>
        <w:t xml:space="preserve"> 457(</w:t>
      </w:r>
      <w:r w:rsidR="00547728">
        <w:rPr>
          <w:rFonts w:ascii="Times New Roman" w:hAnsi="Times New Roman" w:cs="Times New Roman"/>
          <w:sz w:val="24"/>
          <w:szCs w:val="24"/>
        </w:rPr>
        <w:t>2</w:t>
      </w:r>
      <w:r w:rsidR="000E1E00">
        <w:rPr>
          <w:rFonts w:ascii="Times New Roman" w:hAnsi="Times New Roman" w:cs="Times New Roman"/>
          <w:sz w:val="24"/>
          <w:szCs w:val="24"/>
        </w:rPr>
        <w:t>)</w:t>
      </w:r>
      <w:r w:rsidR="00547728">
        <w:rPr>
          <w:rFonts w:ascii="Times New Roman" w:hAnsi="Times New Roman" w:cs="Times New Roman"/>
          <w:sz w:val="24"/>
          <w:szCs w:val="24"/>
        </w:rPr>
        <w:t xml:space="preserve"> provides that the regulations may provide</w:t>
      </w:r>
      <w:r w:rsidR="000E1E00">
        <w:rPr>
          <w:rFonts w:ascii="Times New Roman" w:hAnsi="Times New Roman" w:cs="Times New Roman"/>
          <w:sz w:val="24"/>
          <w:szCs w:val="24"/>
        </w:rPr>
        <w:t xml:space="preserve"> that a</w:t>
      </w:r>
      <w:r w:rsidR="000E1E00" w:rsidRPr="000E1E00">
        <w:rPr>
          <w:rFonts w:ascii="Times New Roman" w:hAnsi="Times New Roman" w:cs="Times New Roman"/>
          <w:sz w:val="24"/>
          <w:szCs w:val="24"/>
        </w:rPr>
        <w:t xml:space="preserve"> licensee must</w:t>
      </w:r>
      <w:r w:rsidR="000E1E00">
        <w:rPr>
          <w:rFonts w:ascii="Times New Roman" w:hAnsi="Times New Roman" w:cs="Times New Roman"/>
          <w:sz w:val="24"/>
          <w:szCs w:val="24"/>
        </w:rPr>
        <w:t xml:space="preserve"> comply with an approved site plan</w:t>
      </w:r>
      <w:r w:rsidR="000E1E00" w:rsidRPr="000E1E00">
        <w:rPr>
          <w:rFonts w:ascii="Times New Roman" w:hAnsi="Times New Roman" w:cs="Times New Roman"/>
          <w:sz w:val="24"/>
          <w:szCs w:val="24"/>
        </w:rPr>
        <w:t>.</w:t>
      </w:r>
    </w:p>
    <w:p w14:paraId="7B33FDBE" w14:textId="388E68E9" w:rsidR="009C55C0" w:rsidRDefault="009C55C0" w:rsidP="00502CAB">
      <w:pPr>
        <w:pStyle w:val="ActHead5"/>
        <w:spacing w:after="240"/>
      </w:pPr>
      <w:r>
        <w:t xml:space="preserve">Section </w:t>
      </w:r>
      <w:r w:rsidR="007F74F7">
        <w:t>22</w:t>
      </w:r>
      <w:r>
        <w:t xml:space="preserve"> – Carrying on </w:t>
      </w:r>
      <w:proofErr w:type="gramStart"/>
      <w:r>
        <w:t>operations</w:t>
      </w:r>
      <w:proofErr w:type="gramEnd"/>
    </w:p>
    <w:p w14:paraId="0E84B2F1" w14:textId="77777777" w:rsidR="00122725" w:rsidRDefault="00122725" w:rsidP="004C6F8A">
      <w:pPr>
        <w:rPr>
          <w:rFonts w:ascii="Times New Roman" w:hAnsi="Times New Roman" w:cs="Times New Roman"/>
          <w:sz w:val="24"/>
          <w:szCs w:val="24"/>
        </w:rPr>
      </w:pPr>
      <w:r>
        <w:rPr>
          <w:rFonts w:ascii="Times New Roman" w:hAnsi="Times New Roman" w:cs="Times New Roman"/>
          <w:sz w:val="24"/>
          <w:szCs w:val="24"/>
        </w:rPr>
        <w:t xml:space="preserve">Under subsection 357(1) of the OPGGS Act, a GHG injection licence authorises the licensee to inject and permanently store a GHG substance into an identified GHG storage formation that is specified in the licence. Subsection 357(2) provides that the rights conferred on a licensee by subsection 357(1) are subject to the OPGGS Act and regulations. </w:t>
      </w:r>
      <w:bookmarkStart w:id="4" w:name="OLE_LINK1"/>
    </w:p>
    <w:p w14:paraId="072DD788" w14:textId="77777777" w:rsidR="00122725" w:rsidRDefault="00122725" w:rsidP="004C6F8A">
      <w:pPr>
        <w:rPr>
          <w:rFonts w:ascii="Times New Roman" w:hAnsi="Times New Roman" w:cs="Times New Roman"/>
          <w:sz w:val="24"/>
          <w:szCs w:val="24"/>
          <w:shd w:val="clear" w:color="auto" w:fill="FFFFFF"/>
        </w:rPr>
      </w:pPr>
      <w:r>
        <w:rPr>
          <w:rFonts w:ascii="Times New Roman" w:hAnsi="Times New Roman" w:cs="Times New Roman"/>
          <w:sz w:val="24"/>
          <w:szCs w:val="24"/>
        </w:rPr>
        <w:t>S</w:t>
      </w:r>
      <w:r w:rsidR="0060075E" w:rsidRPr="0060075E">
        <w:rPr>
          <w:rFonts w:ascii="Times New Roman" w:hAnsi="Times New Roman" w:cs="Times New Roman"/>
          <w:sz w:val="24"/>
          <w:szCs w:val="24"/>
        </w:rPr>
        <w:t>ection</w:t>
      </w:r>
      <w:r>
        <w:rPr>
          <w:rFonts w:ascii="Times New Roman" w:hAnsi="Times New Roman" w:cs="Times New Roman"/>
          <w:sz w:val="24"/>
          <w:szCs w:val="24"/>
        </w:rPr>
        <w:t xml:space="preserve"> 22 of the GHG Regulations</w:t>
      </w:r>
      <w:r w:rsidR="0060075E" w:rsidRPr="0060075E">
        <w:rPr>
          <w:rFonts w:ascii="Times New Roman" w:hAnsi="Times New Roman" w:cs="Times New Roman"/>
          <w:sz w:val="24"/>
          <w:szCs w:val="24"/>
        </w:rPr>
        <w:t xml:space="preserve"> </w:t>
      </w:r>
      <w:r w:rsidR="00B7101A">
        <w:rPr>
          <w:rFonts w:ascii="Times New Roman" w:hAnsi="Times New Roman" w:cs="Times New Roman"/>
          <w:sz w:val="24"/>
          <w:szCs w:val="24"/>
        </w:rPr>
        <w:t>provides</w:t>
      </w:r>
      <w:r w:rsidR="0060075E" w:rsidRPr="0060075E">
        <w:rPr>
          <w:rFonts w:ascii="Times New Roman" w:hAnsi="Times New Roman" w:cs="Times New Roman"/>
          <w:sz w:val="24"/>
          <w:szCs w:val="24"/>
          <w:shd w:val="clear" w:color="auto" w:fill="FFFFFF"/>
        </w:rPr>
        <w:t xml:space="preserve"> that a GHG injection licensee </w:t>
      </w:r>
      <w:r w:rsidR="00D00856">
        <w:rPr>
          <w:rFonts w:ascii="Times New Roman" w:hAnsi="Times New Roman" w:cs="Times New Roman"/>
          <w:sz w:val="24"/>
          <w:szCs w:val="24"/>
          <w:shd w:val="clear" w:color="auto" w:fill="FFFFFF"/>
        </w:rPr>
        <w:t xml:space="preserve">must not </w:t>
      </w:r>
      <w:r w:rsidR="0060075E" w:rsidRPr="0060075E">
        <w:rPr>
          <w:rFonts w:ascii="Times New Roman" w:hAnsi="Times New Roman" w:cs="Times New Roman"/>
          <w:sz w:val="24"/>
          <w:szCs w:val="24"/>
          <w:shd w:val="clear" w:color="auto" w:fill="FFFFFF"/>
        </w:rPr>
        <w:t xml:space="preserve">carry </w:t>
      </w:r>
      <w:r>
        <w:rPr>
          <w:rFonts w:ascii="Times New Roman" w:hAnsi="Times New Roman" w:cs="Times New Roman"/>
          <w:sz w:val="24"/>
          <w:szCs w:val="24"/>
          <w:shd w:val="clear" w:color="auto" w:fill="FFFFFF"/>
        </w:rPr>
        <w:t>on</w:t>
      </w:r>
      <w:r w:rsidR="0060075E" w:rsidRPr="0060075E">
        <w:rPr>
          <w:rFonts w:ascii="Times New Roman" w:hAnsi="Times New Roman" w:cs="Times New Roman"/>
          <w:sz w:val="24"/>
          <w:szCs w:val="24"/>
          <w:shd w:val="clear" w:color="auto" w:fill="FFFFFF"/>
        </w:rPr>
        <w:t xml:space="preserve"> any operation</w:t>
      </w:r>
      <w:r w:rsidR="00D00856">
        <w:rPr>
          <w:rFonts w:ascii="Times New Roman" w:hAnsi="Times New Roman" w:cs="Times New Roman"/>
          <w:sz w:val="24"/>
          <w:szCs w:val="24"/>
          <w:shd w:val="clear" w:color="auto" w:fill="FFFFFF"/>
        </w:rPr>
        <w:t>s</w:t>
      </w:r>
      <w:r w:rsidR="0060075E" w:rsidRPr="0060075E">
        <w:rPr>
          <w:rFonts w:ascii="Times New Roman" w:hAnsi="Times New Roman" w:cs="Times New Roman"/>
          <w:sz w:val="24"/>
          <w:szCs w:val="24"/>
          <w:shd w:val="clear" w:color="auto" w:fill="FFFFFF"/>
        </w:rPr>
        <w:t xml:space="preserve"> relating to </w:t>
      </w:r>
      <w:r w:rsidR="00D00856">
        <w:rPr>
          <w:rFonts w:ascii="Times New Roman" w:hAnsi="Times New Roman" w:cs="Times New Roman"/>
          <w:sz w:val="24"/>
          <w:szCs w:val="24"/>
          <w:shd w:val="clear" w:color="auto" w:fill="FFFFFF"/>
        </w:rPr>
        <w:t>an identified GHG</w:t>
      </w:r>
      <w:r w:rsidR="00D00856" w:rsidRPr="0060075E">
        <w:rPr>
          <w:rFonts w:ascii="Times New Roman" w:hAnsi="Times New Roman" w:cs="Times New Roman"/>
          <w:sz w:val="24"/>
          <w:szCs w:val="24"/>
          <w:shd w:val="clear" w:color="auto" w:fill="FFFFFF"/>
        </w:rPr>
        <w:t xml:space="preserve"> </w:t>
      </w:r>
      <w:r w:rsidR="0060075E" w:rsidRPr="0060075E">
        <w:rPr>
          <w:rFonts w:ascii="Times New Roman" w:hAnsi="Times New Roman" w:cs="Times New Roman"/>
          <w:sz w:val="24"/>
          <w:szCs w:val="24"/>
          <w:shd w:val="clear" w:color="auto" w:fill="FFFFFF"/>
        </w:rPr>
        <w:t xml:space="preserve">storage formation </w:t>
      </w:r>
      <w:r>
        <w:rPr>
          <w:rFonts w:ascii="Times New Roman" w:hAnsi="Times New Roman" w:cs="Times New Roman"/>
          <w:sz w:val="24"/>
          <w:szCs w:val="24"/>
          <w:shd w:val="clear" w:color="auto" w:fill="FFFFFF"/>
        </w:rPr>
        <w:t xml:space="preserve">specified in the licence </w:t>
      </w:r>
      <w:r w:rsidR="0060075E" w:rsidRPr="0060075E">
        <w:rPr>
          <w:rFonts w:ascii="Times New Roman" w:hAnsi="Times New Roman" w:cs="Times New Roman"/>
          <w:sz w:val="24"/>
          <w:szCs w:val="24"/>
          <w:shd w:val="clear" w:color="auto" w:fill="FFFFFF"/>
        </w:rPr>
        <w:t>without an approved site plan</w:t>
      </w:r>
      <w:r w:rsidR="00B7101A">
        <w:rPr>
          <w:rFonts w:ascii="Times New Roman" w:hAnsi="Times New Roman" w:cs="Times New Roman"/>
          <w:sz w:val="24"/>
          <w:szCs w:val="24"/>
          <w:shd w:val="clear" w:color="auto" w:fill="FFFFFF"/>
        </w:rPr>
        <w:t xml:space="preserve"> in force in relation to the formation (subsection (1))</w:t>
      </w:r>
      <w:r w:rsidR="0060075E" w:rsidRPr="0060075E">
        <w:rPr>
          <w:rFonts w:ascii="Times New Roman" w:hAnsi="Times New Roman" w:cs="Times New Roman"/>
          <w:sz w:val="24"/>
          <w:szCs w:val="24"/>
          <w:shd w:val="clear" w:color="auto" w:fill="FFFFFF"/>
        </w:rPr>
        <w:t xml:space="preserve">. </w:t>
      </w:r>
      <w:r w:rsidR="00D00856">
        <w:rPr>
          <w:rFonts w:ascii="Times New Roman" w:hAnsi="Times New Roman" w:cs="Times New Roman"/>
          <w:sz w:val="24"/>
          <w:szCs w:val="24"/>
          <w:shd w:val="clear" w:color="auto" w:fill="FFFFFF"/>
        </w:rPr>
        <w:t>A licensee must also comply with an approved site plan that is in force</w:t>
      </w:r>
      <w:r w:rsidR="00B7101A">
        <w:rPr>
          <w:rFonts w:ascii="Times New Roman" w:hAnsi="Times New Roman" w:cs="Times New Roman"/>
          <w:sz w:val="24"/>
          <w:szCs w:val="24"/>
          <w:shd w:val="clear" w:color="auto" w:fill="FFFFFF"/>
        </w:rPr>
        <w:t xml:space="preserve"> (subsection (2))</w:t>
      </w:r>
      <w:r w:rsidR="00D00856">
        <w:rPr>
          <w:rFonts w:ascii="Times New Roman" w:hAnsi="Times New Roman" w:cs="Times New Roman"/>
          <w:sz w:val="24"/>
          <w:szCs w:val="24"/>
          <w:shd w:val="clear" w:color="auto" w:fill="FFFFFF"/>
        </w:rPr>
        <w:t xml:space="preserve">. </w:t>
      </w:r>
    </w:p>
    <w:p w14:paraId="2B6C3997" w14:textId="68EDA4C7" w:rsidR="009C55C0" w:rsidRDefault="000E1E00" w:rsidP="004C6F8A">
      <w:pPr>
        <w:rPr>
          <w:rFonts w:ascii="Times New Roman" w:hAnsi="Times New Roman" w:cs="Times New Roman"/>
          <w:sz w:val="24"/>
          <w:szCs w:val="24"/>
          <w:shd w:val="clear" w:color="auto" w:fill="FFFFFF"/>
        </w:rPr>
      </w:pPr>
      <w:bookmarkStart w:id="5" w:name="_Hlk146895366"/>
      <w:r>
        <w:rPr>
          <w:rFonts w:ascii="Times New Roman" w:hAnsi="Times New Roman" w:cs="Times New Roman"/>
          <w:sz w:val="24"/>
          <w:szCs w:val="24"/>
          <w:shd w:val="clear" w:color="auto" w:fill="FFFFFF"/>
        </w:rPr>
        <w:t xml:space="preserve">A </w:t>
      </w:r>
      <w:r w:rsidR="00B7101A">
        <w:rPr>
          <w:rFonts w:ascii="Times New Roman" w:hAnsi="Times New Roman" w:cs="Times New Roman"/>
          <w:sz w:val="24"/>
          <w:szCs w:val="24"/>
          <w:shd w:val="clear" w:color="auto" w:fill="FFFFFF"/>
        </w:rPr>
        <w:t xml:space="preserve">failure to comply </w:t>
      </w:r>
      <w:r>
        <w:rPr>
          <w:rFonts w:ascii="Times New Roman" w:hAnsi="Times New Roman" w:cs="Times New Roman"/>
          <w:sz w:val="24"/>
          <w:szCs w:val="24"/>
          <w:shd w:val="clear" w:color="auto" w:fill="FFFFFF"/>
        </w:rPr>
        <w:t xml:space="preserve">with </w:t>
      </w:r>
      <w:r w:rsidR="00C562E0">
        <w:rPr>
          <w:rFonts w:ascii="Times New Roman" w:hAnsi="Times New Roman" w:cs="Times New Roman"/>
          <w:sz w:val="24"/>
          <w:szCs w:val="24"/>
          <w:shd w:val="clear" w:color="auto" w:fill="FFFFFF"/>
        </w:rPr>
        <w:t xml:space="preserve">either of </w:t>
      </w:r>
      <w:r>
        <w:rPr>
          <w:rFonts w:ascii="Times New Roman" w:hAnsi="Times New Roman" w:cs="Times New Roman"/>
          <w:sz w:val="24"/>
          <w:szCs w:val="24"/>
          <w:shd w:val="clear" w:color="auto" w:fill="FFFFFF"/>
        </w:rPr>
        <w:t xml:space="preserve">those </w:t>
      </w:r>
      <w:r w:rsidR="00B7101A">
        <w:rPr>
          <w:rFonts w:ascii="Times New Roman" w:hAnsi="Times New Roman" w:cs="Times New Roman"/>
          <w:sz w:val="24"/>
          <w:szCs w:val="24"/>
          <w:shd w:val="clear" w:color="auto" w:fill="FFFFFF"/>
        </w:rPr>
        <w:t>obligations i</w:t>
      </w:r>
      <w:r w:rsidR="00122725">
        <w:rPr>
          <w:rFonts w:ascii="Times New Roman" w:hAnsi="Times New Roman" w:cs="Times New Roman"/>
          <w:sz w:val="24"/>
          <w:szCs w:val="24"/>
          <w:shd w:val="clear" w:color="auto" w:fill="FFFFFF"/>
        </w:rPr>
        <w:t>s an</w:t>
      </w:r>
      <w:r w:rsidR="00B7101A">
        <w:rPr>
          <w:rFonts w:ascii="Times New Roman" w:hAnsi="Times New Roman" w:cs="Times New Roman"/>
          <w:sz w:val="24"/>
          <w:szCs w:val="24"/>
          <w:shd w:val="clear" w:color="auto" w:fill="FFFFFF"/>
        </w:rPr>
        <w:t xml:space="preserve"> offence of</w:t>
      </w:r>
      <w:r w:rsidR="00D00856">
        <w:rPr>
          <w:rFonts w:ascii="Times New Roman" w:hAnsi="Times New Roman" w:cs="Times New Roman"/>
          <w:sz w:val="24"/>
          <w:szCs w:val="24"/>
          <w:shd w:val="clear" w:color="auto" w:fill="FFFFFF"/>
        </w:rPr>
        <w:t xml:space="preserve"> strict liability, punishable by </w:t>
      </w:r>
      <w:r w:rsidR="00B7101A">
        <w:rPr>
          <w:rFonts w:ascii="Times New Roman" w:hAnsi="Times New Roman" w:cs="Times New Roman"/>
          <w:sz w:val="24"/>
          <w:szCs w:val="24"/>
          <w:shd w:val="clear" w:color="auto" w:fill="FFFFFF"/>
        </w:rPr>
        <w:t xml:space="preserve">a maximum penalty of </w:t>
      </w:r>
      <w:r w:rsidR="00D00856">
        <w:rPr>
          <w:rFonts w:ascii="Times New Roman" w:hAnsi="Times New Roman" w:cs="Times New Roman"/>
          <w:sz w:val="24"/>
          <w:szCs w:val="24"/>
          <w:shd w:val="clear" w:color="auto" w:fill="FFFFFF"/>
        </w:rPr>
        <w:t xml:space="preserve">100 </w:t>
      </w:r>
      <w:r w:rsidR="00B7101A">
        <w:rPr>
          <w:rFonts w:ascii="Times New Roman" w:hAnsi="Times New Roman" w:cs="Times New Roman"/>
          <w:sz w:val="24"/>
          <w:szCs w:val="24"/>
          <w:shd w:val="clear" w:color="auto" w:fill="FFFFFF"/>
        </w:rPr>
        <w:t>PU</w:t>
      </w:r>
      <w:r>
        <w:rPr>
          <w:rFonts w:ascii="Times New Roman" w:hAnsi="Times New Roman" w:cs="Times New Roman"/>
          <w:sz w:val="24"/>
          <w:szCs w:val="24"/>
          <w:shd w:val="clear" w:color="auto" w:fill="FFFFFF"/>
        </w:rPr>
        <w:t>.</w:t>
      </w:r>
      <w:r w:rsidR="00D00856">
        <w:rPr>
          <w:rFonts w:ascii="Times New Roman" w:hAnsi="Times New Roman" w:cs="Times New Roman"/>
          <w:sz w:val="24"/>
          <w:szCs w:val="24"/>
          <w:shd w:val="clear" w:color="auto" w:fill="FFFFFF"/>
        </w:rPr>
        <w:t xml:space="preserve"> </w:t>
      </w:r>
      <w:r w:rsidR="007F71E5">
        <w:rPr>
          <w:rFonts w:ascii="Times New Roman" w:hAnsi="Times New Roman" w:cs="Times New Roman"/>
          <w:sz w:val="24"/>
          <w:szCs w:val="24"/>
          <w:shd w:val="clear" w:color="auto" w:fill="FFFFFF"/>
        </w:rPr>
        <w:t>T</w:t>
      </w:r>
      <w:r w:rsidR="00C562E0" w:rsidRPr="00C562E0">
        <w:rPr>
          <w:rFonts w:ascii="Times New Roman" w:hAnsi="Times New Roman" w:cs="Times New Roman"/>
          <w:sz w:val="24"/>
          <w:szCs w:val="24"/>
          <w:shd w:val="clear" w:color="auto" w:fill="FFFFFF"/>
        </w:rPr>
        <w:t xml:space="preserve">he maximum penalty for a failure to comply </w:t>
      </w:r>
      <w:r w:rsidR="00C562E0">
        <w:rPr>
          <w:rFonts w:ascii="Times New Roman" w:hAnsi="Times New Roman" w:cs="Times New Roman"/>
          <w:sz w:val="24"/>
          <w:szCs w:val="24"/>
          <w:shd w:val="clear" w:color="auto" w:fill="FFFFFF"/>
        </w:rPr>
        <w:t xml:space="preserve">where the </w:t>
      </w:r>
      <w:r w:rsidR="00C562E0" w:rsidRPr="00C562E0">
        <w:rPr>
          <w:rFonts w:ascii="Times New Roman" w:hAnsi="Times New Roman" w:cs="Times New Roman"/>
          <w:sz w:val="24"/>
          <w:szCs w:val="24"/>
          <w:shd w:val="clear" w:color="auto" w:fill="FFFFFF"/>
        </w:rPr>
        <w:t xml:space="preserve">offence </w:t>
      </w:r>
      <w:r w:rsidR="00C562E0">
        <w:rPr>
          <w:rFonts w:ascii="Times New Roman" w:hAnsi="Times New Roman" w:cs="Times New Roman"/>
          <w:sz w:val="24"/>
          <w:szCs w:val="24"/>
          <w:shd w:val="clear" w:color="auto" w:fill="FFFFFF"/>
        </w:rPr>
        <w:t xml:space="preserve">is </w:t>
      </w:r>
      <w:r w:rsidR="00C562E0" w:rsidRPr="00C562E0">
        <w:rPr>
          <w:rFonts w:ascii="Times New Roman" w:hAnsi="Times New Roman" w:cs="Times New Roman"/>
          <w:sz w:val="24"/>
          <w:szCs w:val="24"/>
          <w:shd w:val="clear" w:color="auto" w:fill="FFFFFF"/>
        </w:rPr>
        <w:t xml:space="preserve">committed by a body corporate </w:t>
      </w:r>
      <w:r w:rsidR="00C562E0">
        <w:rPr>
          <w:rFonts w:ascii="Times New Roman" w:hAnsi="Times New Roman" w:cs="Times New Roman"/>
          <w:sz w:val="24"/>
          <w:szCs w:val="24"/>
          <w:shd w:val="clear" w:color="auto" w:fill="FFFFFF"/>
        </w:rPr>
        <w:t xml:space="preserve">is five times that amount, </w:t>
      </w:r>
      <w:r w:rsidR="00C562E0" w:rsidRPr="00C562E0">
        <w:rPr>
          <w:rFonts w:ascii="Times New Roman" w:hAnsi="Times New Roman" w:cs="Times New Roman"/>
          <w:sz w:val="24"/>
          <w:szCs w:val="24"/>
          <w:shd w:val="clear" w:color="auto" w:fill="FFFFFF"/>
        </w:rPr>
        <w:t>due to the operation of subsection 4</w:t>
      </w:r>
      <w:proofErr w:type="gramStart"/>
      <w:r w:rsidR="00C562E0" w:rsidRPr="00C562E0">
        <w:rPr>
          <w:rFonts w:ascii="Times New Roman" w:hAnsi="Times New Roman" w:cs="Times New Roman"/>
          <w:sz w:val="24"/>
          <w:szCs w:val="24"/>
          <w:shd w:val="clear" w:color="auto" w:fill="FFFFFF"/>
        </w:rPr>
        <w:t>B</w:t>
      </w:r>
      <w:r w:rsidR="009651CC">
        <w:rPr>
          <w:rFonts w:ascii="Times New Roman" w:hAnsi="Times New Roman" w:cs="Times New Roman"/>
          <w:sz w:val="24"/>
          <w:szCs w:val="24"/>
          <w:shd w:val="clear" w:color="auto" w:fill="FFFFFF"/>
        </w:rPr>
        <w:t>(</w:t>
      </w:r>
      <w:proofErr w:type="gramEnd"/>
      <w:r w:rsidR="009651CC">
        <w:rPr>
          <w:rFonts w:ascii="Times New Roman" w:hAnsi="Times New Roman" w:cs="Times New Roman"/>
          <w:sz w:val="24"/>
          <w:szCs w:val="24"/>
          <w:shd w:val="clear" w:color="auto" w:fill="FFFFFF"/>
        </w:rPr>
        <w:t>3)</w:t>
      </w:r>
      <w:r w:rsidR="00C562E0" w:rsidRPr="00C562E0">
        <w:rPr>
          <w:rFonts w:ascii="Times New Roman" w:hAnsi="Times New Roman" w:cs="Times New Roman"/>
          <w:sz w:val="24"/>
          <w:szCs w:val="24"/>
          <w:shd w:val="clear" w:color="auto" w:fill="FFFFFF"/>
        </w:rPr>
        <w:t xml:space="preserve"> of the </w:t>
      </w:r>
      <w:r w:rsidR="00C562E0" w:rsidRPr="00C562E0">
        <w:rPr>
          <w:rFonts w:ascii="Times New Roman" w:hAnsi="Times New Roman" w:cs="Times New Roman"/>
          <w:i/>
          <w:iCs/>
          <w:sz w:val="24"/>
          <w:szCs w:val="24"/>
          <w:shd w:val="clear" w:color="auto" w:fill="FFFFFF"/>
        </w:rPr>
        <w:t>Crimes Act 1914</w:t>
      </w:r>
      <w:r w:rsidR="00C562E0" w:rsidRPr="00C562E0">
        <w:rPr>
          <w:rFonts w:ascii="Times New Roman" w:hAnsi="Times New Roman" w:cs="Times New Roman"/>
          <w:sz w:val="24"/>
          <w:szCs w:val="24"/>
          <w:shd w:val="clear" w:color="auto" w:fill="FFFFFF"/>
        </w:rPr>
        <w:t>.</w:t>
      </w:r>
      <w:r w:rsidR="00C562E0">
        <w:rPr>
          <w:rFonts w:ascii="Times New Roman" w:hAnsi="Times New Roman" w:cs="Times New Roman"/>
          <w:sz w:val="24"/>
          <w:szCs w:val="24"/>
          <w:shd w:val="clear" w:color="auto" w:fill="FFFFFF"/>
        </w:rPr>
        <w:t xml:space="preserve"> </w:t>
      </w:r>
      <w:r w:rsidR="00B7101A">
        <w:rPr>
          <w:rFonts w:ascii="Times New Roman" w:hAnsi="Times New Roman" w:cs="Times New Roman"/>
          <w:sz w:val="24"/>
          <w:szCs w:val="24"/>
          <w:shd w:val="clear" w:color="auto" w:fill="FFFFFF"/>
        </w:rPr>
        <w:t>A</w:t>
      </w:r>
      <w:r w:rsidR="00D00856">
        <w:rPr>
          <w:rFonts w:ascii="Times New Roman" w:hAnsi="Times New Roman" w:cs="Times New Roman"/>
          <w:sz w:val="24"/>
          <w:szCs w:val="24"/>
          <w:shd w:val="clear" w:color="auto" w:fill="FFFFFF"/>
        </w:rPr>
        <w:t xml:space="preserve"> person is also liable to a civil penalty of 1,000</w:t>
      </w:r>
      <w:r w:rsidR="00036F15">
        <w:rPr>
          <w:rFonts w:ascii="Times New Roman" w:hAnsi="Times New Roman" w:cs="Times New Roman"/>
          <w:sz w:val="24"/>
          <w:szCs w:val="24"/>
          <w:shd w:val="clear" w:color="auto" w:fill="FFFFFF"/>
        </w:rPr>
        <w:t> </w:t>
      </w:r>
      <w:r w:rsidR="00B7101A">
        <w:rPr>
          <w:rFonts w:ascii="Times New Roman" w:hAnsi="Times New Roman" w:cs="Times New Roman"/>
          <w:sz w:val="24"/>
          <w:szCs w:val="24"/>
          <w:shd w:val="clear" w:color="auto" w:fill="FFFFFF"/>
        </w:rPr>
        <w:t xml:space="preserve">PU if the person contravenes subsection </w:t>
      </w:r>
      <w:r w:rsidR="00122725">
        <w:rPr>
          <w:rFonts w:ascii="Times New Roman" w:hAnsi="Times New Roman" w:cs="Times New Roman"/>
          <w:sz w:val="24"/>
          <w:szCs w:val="24"/>
          <w:shd w:val="clear" w:color="auto" w:fill="FFFFFF"/>
        </w:rPr>
        <w:t>22</w:t>
      </w:r>
      <w:r w:rsidR="00B7101A">
        <w:rPr>
          <w:rFonts w:ascii="Times New Roman" w:hAnsi="Times New Roman" w:cs="Times New Roman"/>
          <w:sz w:val="24"/>
          <w:szCs w:val="24"/>
          <w:shd w:val="clear" w:color="auto" w:fill="FFFFFF"/>
        </w:rPr>
        <w:t>(1) or (2)</w:t>
      </w:r>
      <w:r w:rsidR="00D00856">
        <w:rPr>
          <w:rFonts w:ascii="Times New Roman" w:hAnsi="Times New Roman" w:cs="Times New Roman"/>
          <w:sz w:val="24"/>
          <w:szCs w:val="24"/>
          <w:shd w:val="clear" w:color="auto" w:fill="FFFFFF"/>
        </w:rPr>
        <w:t>.</w:t>
      </w:r>
      <w:bookmarkEnd w:id="4"/>
    </w:p>
    <w:p w14:paraId="74518C88" w14:textId="008B79BB" w:rsidR="009651CC" w:rsidRPr="007906CE" w:rsidRDefault="009651CC" w:rsidP="004C6F8A">
      <w:pPr>
        <w:rPr>
          <w:rFonts w:ascii="Times New Roman" w:hAnsi="Times New Roman" w:cs="Times New Roman"/>
          <w:sz w:val="24"/>
          <w:szCs w:val="24"/>
          <w:shd w:val="clear" w:color="auto" w:fill="FFFFFF"/>
        </w:rPr>
      </w:pPr>
      <w:r w:rsidRPr="009651CC">
        <w:rPr>
          <w:rFonts w:ascii="Times New Roman" w:hAnsi="Times New Roman" w:cs="Times New Roman"/>
          <w:sz w:val="24"/>
          <w:szCs w:val="24"/>
          <w:shd w:val="clear" w:color="auto" w:fill="FFFFFF"/>
        </w:rPr>
        <w:t xml:space="preserve">It is appropriate to impose a criminal </w:t>
      </w:r>
      <w:r w:rsidR="00AD08B4">
        <w:rPr>
          <w:rFonts w:ascii="Times New Roman" w:hAnsi="Times New Roman" w:cs="Times New Roman"/>
          <w:sz w:val="24"/>
          <w:szCs w:val="24"/>
          <w:shd w:val="clear" w:color="auto" w:fill="FFFFFF"/>
        </w:rPr>
        <w:t>penalty</w:t>
      </w:r>
      <w:r w:rsidRPr="009651CC">
        <w:rPr>
          <w:rFonts w:ascii="Times New Roman" w:hAnsi="Times New Roman" w:cs="Times New Roman"/>
          <w:sz w:val="24"/>
          <w:szCs w:val="24"/>
          <w:shd w:val="clear" w:color="auto" w:fill="FFFFFF"/>
        </w:rPr>
        <w:t xml:space="preserve"> </w:t>
      </w:r>
      <w:r w:rsidR="00035A44">
        <w:rPr>
          <w:rFonts w:ascii="Times New Roman" w:hAnsi="Times New Roman" w:cs="Times New Roman"/>
          <w:sz w:val="24"/>
          <w:szCs w:val="24"/>
          <w:shd w:val="clear" w:color="auto" w:fill="FFFFFF"/>
        </w:rPr>
        <w:t xml:space="preserve">for </w:t>
      </w:r>
      <w:r w:rsidR="00122725">
        <w:rPr>
          <w:rFonts w:ascii="Times New Roman" w:hAnsi="Times New Roman" w:cs="Times New Roman"/>
          <w:sz w:val="24"/>
          <w:szCs w:val="24"/>
          <w:shd w:val="clear" w:color="auto" w:fill="FFFFFF"/>
        </w:rPr>
        <w:t xml:space="preserve">a </w:t>
      </w:r>
      <w:r w:rsidR="00035A44">
        <w:rPr>
          <w:rFonts w:ascii="Times New Roman" w:hAnsi="Times New Roman" w:cs="Times New Roman"/>
          <w:sz w:val="24"/>
          <w:szCs w:val="24"/>
          <w:shd w:val="clear" w:color="auto" w:fill="FFFFFF"/>
        </w:rPr>
        <w:t xml:space="preserve">breach of these obligations </w:t>
      </w:r>
      <w:r w:rsidRPr="009651CC">
        <w:rPr>
          <w:rFonts w:ascii="Times New Roman" w:hAnsi="Times New Roman" w:cs="Times New Roman"/>
          <w:sz w:val="24"/>
          <w:szCs w:val="24"/>
          <w:shd w:val="clear" w:color="auto" w:fill="FFFFFF"/>
        </w:rPr>
        <w:t xml:space="preserve">because of the potential </w:t>
      </w:r>
      <w:r>
        <w:rPr>
          <w:rFonts w:ascii="Times New Roman" w:hAnsi="Times New Roman" w:cs="Times New Roman"/>
          <w:sz w:val="24"/>
          <w:szCs w:val="24"/>
          <w:shd w:val="clear" w:color="auto" w:fill="FFFFFF"/>
        </w:rPr>
        <w:t>for</w:t>
      </w:r>
      <w:r w:rsidRPr="009651CC">
        <w:rPr>
          <w:rFonts w:ascii="Times New Roman" w:hAnsi="Times New Roman" w:cs="Times New Roman"/>
          <w:sz w:val="24"/>
          <w:szCs w:val="24"/>
          <w:shd w:val="clear" w:color="auto" w:fill="FFFFFF"/>
        </w:rPr>
        <w:t xml:space="preserve"> </w:t>
      </w:r>
      <w:r w:rsidR="00DA4E4E">
        <w:rPr>
          <w:rFonts w:ascii="Times New Roman" w:hAnsi="Times New Roman" w:cs="Times New Roman"/>
          <w:sz w:val="24"/>
          <w:szCs w:val="24"/>
          <w:shd w:val="clear" w:color="auto" w:fill="FFFFFF"/>
        </w:rPr>
        <w:t xml:space="preserve">serious </w:t>
      </w:r>
      <w:r w:rsidRPr="009651CC">
        <w:rPr>
          <w:rFonts w:ascii="Times New Roman" w:hAnsi="Times New Roman" w:cs="Times New Roman"/>
          <w:sz w:val="24"/>
          <w:szCs w:val="24"/>
          <w:shd w:val="clear" w:color="auto" w:fill="FFFFFF"/>
        </w:rPr>
        <w:t>harm to</w:t>
      </w:r>
      <w:r>
        <w:rPr>
          <w:rFonts w:ascii="Times New Roman" w:hAnsi="Times New Roman" w:cs="Times New Roman"/>
          <w:sz w:val="24"/>
          <w:szCs w:val="24"/>
          <w:shd w:val="clear" w:color="auto" w:fill="FFFFFF"/>
        </w:rPr>
        <w:t xml:space="preserve"> be caused to</w:t>
      </w:r>
      <w:r w:rsidRPr="009651CC">
        <w:rPr>
          <w:rFonts w:ascii="Times New Roman" w:hAnsi="Times New Roman" w:cs="Times New Roman"/>
          <w:sz w:val="24"/>
          <w:szCs w:val="24"/>
          <w:shd w:val="clear" w:color="auto" w:fill="FFFFFF"/>
        </w:rPr>
        <w:t xml:space="preserve"> the environment</w:t>
      </w:r>
      <w:r>
        <w:rPr>
          <w:rFonts w:ascii="Times New Roman" w:hAnsi="Times New Roman" w:cs="Times New Roman"/>
          <w:sz w:val="24"/>
          <w:szCs w:val="24"/>
          <w:shd w:val="clear" w:color="auto" w:fill="FFFFFF"/>
        </w:rPr>
        <w:t xml:space="preserve"> </w:t>
      </w:r>
      <w:r w:rsidR="00420D8A">
        <w:rPr>
          <w:rFonts w:ascii="Times New Roman" w:hAnsi="Times New Roman" w:cs="Times New Roman"/>
          <w:sz w:val="24"/>
          <w:szCs w:val="24"/>
          <w:shd w:val="clear" w:color="auto" w:fill="FFFFFF"/>
        </w:rPr>
        <w:t>and</w:t>
      </w:r>
      <w:r w:rsidR="00AD08B4">
        <w:rPr>
          <w:rFonts w:ascii="Times New Roman" w:hAnsi="Times New Roman" w:cs="Times New Roman"/>
          <w:sz w:val="24"/>
          <w:szCs w:val="24"/>
          <w:shd w:val="clear" w:color="auto" w:fill="FFFFFF"/>
        </w:rPr>
        <w:t>/or</w:t>
      </w:r>
      <w:r w:rsidR="00420D8A">
        <w:rPr>
          <w:rFonts w:ascii="Times New Roman" w:hAnsi="Times New Roman" w:cs="Times New Roman"/>
          <w:sz w:val="24"/>
          <w:szCs w:val="24"/>
          <w:shd w:val="clear" w:color="auto" w:fill="FFFFFF"/>
        </w:rPr>
        <w:t xml:space="preserve"> to </w:t>
      </w:r>
      <w:r w:rsidR="00663553">
        <w:rPr>
          <w:rFonts w:ascii="Times New Roman" w:hAnsi="Times New Roman" w:cs="Times New Roman"/>
          <w:sz w:val="24"/>
          <w:szCs w:val="24"/>
          <w:shd w:val="clear" w:color="auto" w:fill="FFFFFF"/>
        </w:rPr>
        <w:t xml:space="preserve">the operations of </w:t>
      </w:r>
      <w:r w:rsidR="00420D8A">
        <w:rPr>
          <w:rFonts w:ascii="Times New Roman" w:hAnsi="Times New Roman" w:cs="Times New Roman"/>
          <w:sz w:val="24"/>
          <w:szCs w:val="24"/>
          <w:shd w:val="clear" w:color="auto" w:fill="FFFFFF"/>
        </w:rPr>
        <w:t xml:space="preserve">other titleholders </w:t>
      </w:r>
      <w:r w:rsidR="007906CE">
        <w:rPr>
          <w:rFonts w:ascii="Times New Roman" w:hAnsi="Times New Roman" w:cs="Times New Roman"/>
          <w:sz w:val="24"/>
          <w:szCs w:val="24"/>
          <w:shd w:val="clear" w:color="auto" w:fill="FFFFFF"/>
        </w:rPr>
        <w:t xml:space="preserve">if </w:t>
      </w:r>
      <w:r w:rsidR="00AD08B4">
        <w:rPr>
          <w:rFonts w:ascii="Times New Roman" w:hAnsi="Times New Roman" w:cs="Times New Roman"/>
          <w:sz w:val="24"/>
          <w:szCs w:val="24"/>
          <w:shd w:val="clear" w:color="auto" w:fill="FFFFFF"/>
        </w:rPr>
        <w:t>operations</w:t>
      </w:r>
      <w:r w:rsidR="007906CE">
        <w:rPr>
          <w:rFonts w:ascii="Times New Roman" w:hAnsi="Times New Roman" w:cs="Times New Roman"/>
          <w:sz w:val="24"/>
          <w:szCs w:val="24"/>
          <w:shd w:val="clear" w:color="auto" w:fill="FFFFFF"/>
        </w:rPr>
        <w:t xml:space="preserve"> are undertake</w:t>
      </w:r>
      <w:r w:rsidR="00FA3820">
        <w:rPr>
          <w:rFonts w:ascii="Times New Roman" w:hAnsi="Times New Roman" w:cs="Times New Roman"/>
          <w:sz w:val="24"/>
          <w:szCs w:val="24"/>
          <w:shd w:val="clear" w:color="auto" w:fill="FFFFFF"/>
        </w:rPr>
        <w:t>n</w:t>
      </w:r>
      <w:r w:rsidR="00AD08B4">
        <w:rPr>
          <w:rFonts w:ascii="Times New Roman" w:hAnsi="Times New Roman" w:cs="Times New Roman"/>
          <w:sz w:val="24"/>
          <w:szCs w:val="24"/>
          <w:shd w:val="clear" w:color="auto" w:fill="FFFFFF"/>
        </w:rPr>
        <w:t xml:space="preserve"> </w:t>
      </w:r>
      <w:r w:rsidR="00122725">
        <w:rPr>
          <w:rFonts w:ascii="Times New Roman" w:hAnsi="Times New Roman" w:cs="Times New Roman"/>
          <w:sz w:val="24"/>
          <w:szCs w:val="24"/>
          <w:shd w:val="clear" w:color="auto" w:fill="FFFFFF"/>
        </w:rPr>
        <w:t xml:space="preserve">other than </w:t>
      </w:r>
      <w:r w:rsidR="00AD08B4">
        <w:rPr>
          <w:rFonts w:ascii="Times New Roman" w:hAnsi="Times New Roman" w:cs="Times New Roman"/>
          <w:sz w:val="24"/>
          <w:szCs w:val="24"/>
          <w:shd w:val="clear" w:color="auto" w:fill="FFFFFF"/>
        </w:rPr>
        <w:t xml:space="preserve">in </w:t>
      </w:r>
      <w:r w:rsidR="00122725">
        <w:rPr>
          <w:rFonts w:ascii="Times New Roman" w:hAnsi="Times New Roman" w:cs="Times New Roman"/>
          <w:sz w:val="24"/>
          <w:szCs w:val="24"/>
          <w:shd w:val="clear" w:color="auto" w:fill="FFFFFF"/>
        </w:rPr>
        <w:t>c</w:t>
      </w:r>
      <w:r w:rsidR="00AD08B4">
        <w:rPr>
          <w:rFonts w:ascii="Times New Roman" w:hAnsi="Times New Roman" w:cs="Times New Roman"/>
          <w:sz w:val="24"/>
          <w:szCs w:val="24"/>
          <w:shd w:val="clear" w:color="auto" w:fill="FFFFFF"/>
        </w:rPr>
        <w:t>ompliance with subsection</w:t>
      </w:r>
      <w:r w:rsidR="00122725">
        <w:rPr>
          <w:rFonts w:ascii="Times New Roman" w:hAnsi="Times New Roman" w:cs="Times New Roman"/>
          <w:sz w:val="24"/>
          <w:szCs w:val="24"/>
          <w:shd w:val="clear" w:color="auto" w:fill="FFFFFF"/>
        </w:rPr>
        <w:t>s</w:t>
      </w:r>
      <w:r w:rsidR="00AD08B4">
        <w:rPr>
          <w:rFonts w:ascii="Times New Roman" w:hAnsi="Times New Roman" w:cs="Times New Roman"/>
          <w:sz w:val="24"/>
          <w:szCs w:val="24"/>
          <w:shd w:val="clear" w:color="auto" w:fill="FFFFFF"/>
        </w:rPr>
        <w:t xml:space="preserve"> </w:t>
      </w:r>
      <w:r w:rsidR="00122725">
        <w:rPr>
          <w:rFonts w:ascii="Times New Roman" w:hAnsi="Times New Roman" w:cs="Times New Roman"/>
          <w:sz w:val="24"/>
          <w:szCs w:val="24"/>
          <w:shd w:val="clear" w:color="auto" w:fill="FFFFFF"/>
        </w:rPr>
        <w:t>22</w:t>
      </w:r>
      <w:r w:rsidR="00AD08B4">
        <w:rPr>
          <w:rFonts w:ascii="Times New Roman" w:hAnsi="Times New Roman" w:cs="Times New Roman"/>
          <w:sz w:val="24"/>
          <w:szCs w:val="24"/>
          <w:shd w:val="clear" w:color="auto" w:fill="FFFFFF"/>
        </w:rPr>
        <w:t>(1) and</w:t>
      </w:r>
      <w:r w:rsidR="00A071C6">
        <w:rPr>
          <w:rFonts w:ascii="Times New Roman" w:hAnsi="Times New Roman" w:cs="Times New Roman"/>
          <w:sz w:val="24"/>
          <w:szCs w:val="24"/>
          <w:shd w:val="clear" w:color="auto" w:fill="FFFFFF"/>
        </w:rPr>
        <w:t> </w:t>
      </w:r>
      <w:r w:rsidR="00AD08B4">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007F7F93">
        <w:rPr>
          <w:rFonts w:ascii="Times New Roman" w:hAnsi="Times New Roman" w:cs="Times New Roman"/>
          <w:sz w:val="24"/>
          <w:szCs w:val="24"/>
          <w:shd w:val="clear" w:color="auto" w:fill="FFFFFF"/>
        </w:rPr>
        <w:t xml:space="preserve">The process whereby the </w:t>
      </w:r>
      <w:r w:rsidR="00B84F3E">
        <w:rPr>
          <w:rFonts w:ascii="Times New Roman" w:hAnsi="Times New Roman" w:cs="Times New Roman"/>
          <w:sz w:val="24"/>
          <w:szCs w:val="24"/>
          <w:shd w:val="clear" w:color="auto" w:fill="FFFFFF"/>
        </w:rPr>
        <w:t xml:space="preserve">responsible Commonwealth </w:t>
      </w:r>
      <w:r w:rsidR="007F7F93">
        <w:rPr>
          <w:rFonts w:ascii="Times New Roman" w:hAnsi="Times New Roman" w:cs="Times New Roman"/>
          <w:sz w:val="24"/>
          <w:szCs w:val="24"/>
          <w:shd w:val="clear" w:color="auto" w:fill="FFFFFF"/>
        </w:rPr>
        <w:t>Minister carefully considers the detailed site plan before approv</w:t>
      </w:r>
      <w:r w:rsidR="00AD08B4">
        <w:rPr>
          <w:rFonts w:ascii="Times New Roman" w:hAnsi="Times New Roman" w:cs="Times New Roman"/>
          <w:sz w:val="24"/>
          <w:szCs w:val="24"/>
          <w:shd w:val="clear" w:color="auto" w:fill="FFFFFF"/>
        </w:rPr>
        <w:t xml:space="preserve">ing the plan, and subsequently granting the </w:t>
      </w:r>
      <w:r w:rsidR="00122725">
        <w:rPr>
          <w:rFonts w:ascii="Times New Roman" w:hAnsi="Times New Roman" w:cs="Times New Roman"/>
          <w:sz w:val="24"/>
          <w:szCs w:val="24"/>
          <w:shd w:val="clear" w:color="auto" w:fill="FFFFFF"/>
        </w:rPr>
        <w:t xml:space="preserve">injection </w:t>
      </w:r>
      <w:r w:rsidR="00AD08B4">
        <w:rPr>
          <w:rFonts w:ascii="Times New Roman" w:hAnsi="Times New Roman" w:cs="Times New Roman"/>
          <w:sz w:val="24"/>
          <w:szCs w:val="24"/>
          <w:shd w:val="clear" w:color="auto" w:fill="FFFFFF"/>
        </w:rPr>
        <w:t>licence,</w:t>
      </w:r>
      <w:r w:rsidR="007F7F93">
        <w:rPr>
          <w:rFonts w:ascii="Times New Roman" w:hAnsi="Times New Roman" w:cs="Times New Roman"/>
          <w:sz w:val="24"/>
          <w:szCs w:val="24"/>
          <w:shd w:val="clear" w:color="auto" w:fill="FFFFFF"/>
        </w:rPr>
        <w:t xml:space="preserve"> would be rendered futile if penalties were not significant and criminal sanctions did not apply to breaches of fundamental regulatory obligations. A GHG injection licensee who is granted a licence will be aware of the legislative requirements regulating their operations.</w:t>
      </w:r>
    </w:p>
    <w:p w14:paraId="23DD37F7" w14:textId="05B0E547" w:rsidR="0095165F" w:rsidRPr="00420D8A" w:rsidRDefault="0095165F" w:rsidP="004C6F8A">
      <w:pPr>
        <w:rPr>
          <w:rFonts w:ascii="Times New Roman" w:hAnsi="Times New Roman" w:cs="Times New Roman"/>
          <w:sz w:val="24"/>
          <w:szCs w:val="24"/>
        </w:rPr>
      </w:pPr>
      <w:bookmarkStart w:id="6" w:name="_Hlk147992355"/>
      <w:r w:rsidRPr="00420D8A">
        <w:rPr>
          <w:rFonts w:ascii="Times New Roman" w:hAnsi="Times New Roman" w:cs="Times New Roman"/>
          <w:sz w:val="24"/>
          <w:szCs w:val="24"/>
        </w:rPr>
        <w:t xml:space="preserve">It is </w:t>
      </w:r>
      <w:r w:rsidR="00332C8B" w:rsidRPr="00420D8A">
        <w:rPr>
          <w:rFonts w:ascii="Times New Roman" w:hAnsi="Times New Roman" w:cs="Times New Roman"/>
          <w:sz w:val="24"/>
          <w:szCs w:val="24"/>
        </w:rPr>
        <w:t xml:space="preserve">also </w:t>
      </w:r>
      <w:r w:rsidRPr="00420D8A">
        <w:rPr>
          <w:rFonts w:ascii="Times New Roman" w:hAnsi="Times New Roman" w:cs="Times New Roman"/>
          <w:sz w:val="24"/>
          <w:szCs w:val="24"/>
        </w:rPr>
        <w:t xml:space="preserve">appropriate to apply strict liability to the offence to </w:t>
      </w:r>
      <w:r w:rsidR="00420D8A">
        <w:rPr>
          <w:rFonts w:ascii="Times New Roman" w:hAnsi="Times New Roman" w:cs="Times New Roman"/>
          <w:sz w:val="24"/>
          <w:szCs w:val="24"/>
        </w:rPr>
        <w:t xml:space="preserve">promote compliance with the regulatory regime and </w:t>
      </w:r>
      <w:r w:rsidRPr="00420D8A">
        <w:rPr>
          <w:rFonts w:ascii="Times New Roman" w:hAnsi="Times New Roman" w:cs="Times New Roman"/>
          <w:sz w:val="24"/>
          <w:szCs w:val="24"/>
        </w:rPr>
        <w:t xml:space="preserve">ensure </w:t>
      </w:r>
      <w:r w:rsidR="007906CE" w:rsidRPr="00420D8A">
        <w:rPr>
          <w:rFonts w:ascii="Times New Roman" w:hAnsi="Times New Roman" w:cs="Times New Roman"/>
          <w:sz w:val="24"/>
          <w:szCs w:val="24"/>
        </w:rPr>
        <w:t>sub</w:t>
      </w:r>
      <w:r w:rsidRPr="00420D8A">
        <w:rPr>
          <w:rFonts w:ascii="Times New Roman" w:hAnsi="Times New Roman" w:cs="Times New Roman"/>
          <w:sz w:val="24"/>
          <w:szCs w:val="24"/>
        </w:rPr>
        <w:t>section</w:t>
      </w:r>
      <w:r w:rsidR="008C782F">
        <w:rPr>
          <w:rFonts w:ascii="Times New Roman" w:hAnsi="Times New Roman" w:cs="Times New Roman"/>
          <w:sz w:val="24"/>
          <w:szCs w:val="24"/>
        </w:rPr>
        <w:t>s</w:t>
      </w:r>
      <w:r w:rsidRPr="00420D8A">
        <w:rPr>
          <w:rFonts w:ascii="Times New Roman" w:hAnsi="Times New Roman" w:cs="Times New Roman"/>
          <w:sz w:val="24"/>
          <w:szCs w:val="24"/>
        </w:rPr>
        <w:t xml:space="preserve"> </w:t>
      </w:r>
      <w:r w:rsidR="007906CE" w:rsidRPr="00420D8A">
        <w:rPr>
          <w:rFonts w:ascii="Times New Roman" w:hAnsi="Times New Roman" w:cs="Times New Roman"/>
          <w:sz w:val="24"/>
          <w:szCs w:val="24"/>
        </w:rPr>
        <w:t>22</w:t>
      </w:r>
      <w:r w:rsidR="008C782F">
        <w:rPr>
          <w:rFonts w:ascii="Times New Roman" w:hAnsi="Times New Roman" w:cs="Times New Roman"/>
          <w:sz w:val="24"/>
          <w:szCs w:val="24"/>
        </w:rPr>
        <w:t xml:space="preserve">(1) and </w:t>
      </w:r>
      <w:r w:rsidR="007906CE" w:rsidRPr="00420D8A">
        <w:rPr>
          <w:rFonts w:ascii="Times New Roman" w:hAnsi="Times New Roman" w:cs="Times New Roman"/>
          <w:sz w:val="24"/>
          <w:szCs w:val="24"/>
        </w:rPr>
        <w:t>(2)</w:t>
      </w:r>
      <w:r w:rsidR="00420D8A" w:rsidRPr="00420D8A">
        <w:rPr>
          <w:rFonts w:ascii="Times New Roman" w:hAnsi="Times New Roman" w:cs="Times New Roman"/>
          <w:sz w:val="24"/>
          <w:szCs w:val="24"/>
        </w:rPr>
        <w:t xml:space="preserve"> can be effectively enforced</w:t>
      </w:r>
      <w:r w:rsidR="00D462D5">
        <w:rPr>
          <w:rFonts w:ascii="Times New Roman" w:hAnsi="Times New Roman" w:cs="Times New Roman"/>
          <w:sz w:val="24"/>
          <w:szCs w:val="24"/>
        </w:rPr>
        <w:t>, particularly given the risks to containment of a GHG substance if a licensee carries on operations without an approved site plan in force, or other than in compliance with the approved site plan</w:t>
      </w:r>
      <w:r w:rsidRPr="00420D8A">
        <w:rPr>
          <w:rFonts w:ascii="Times New Roman" w:hAnsi="Times New Roman" w:cs="Times New Roman"/>
          <w:sz w:val="24"/>
          <w:szCs w:val="24"/>
        </w:rPr>
        <w:t xml:space="preserve">. </w:t>
      </w:r>
      <w:r w:rsidR="00420D8A">
        <w:rPr>
          <w:rFonts w:ascii="Times New Roman" w:hAnsi="Times New Roman" w:cs="Times New Roman"/>
          <w:sz w:val="24"/>
          <w:szCs w:val="24"/>
        </w:rPr>
        <w:t>This is</w:t>
      </w:r>
      <w:r w:rsidR="007906CE" w:rsidRPr="00420D8A">
        <w:rPr>
          <w:rFonts w:ascii="Times New Roman" w:hAnsi="Times New Roman" w:cs="Times New Roman"/>
          <w:sz w:val="24"/>
          <w:szCs w:val="24"/>
        </w:rPr>
        <w:t xml:space="preserve"> </w:t>
      </w:r>
      <w:r w:rsidRPr="00420D8A">
        <w:rPr>
          <w:rFonts w:ascii="Times New Roman" w:hAnsi="Times New Roman" w:cs="Times New Roman"/>
          <w:sz w:val="24"/>
          <w:szCs w:val="24"/>
        </w:rPr>
        <w:t>consistent with the principles outlined in</w:t>
      </w:r>
      <w:r w:rsidR="00927839">
        <w:rPr>
          <w:rFonts w:ascii="Times New Roman" w:hAnsi="Times New Roman" w:cs="Times New Roman"/>
          <w:sz w:val="24"/>
          <w:szCs w:val="24"/>
        </w:rPr>
        <w:t xml:space="preserve"> section 2.2.6 of</w:t>
      </w:r>
      <w:r w:rsidR="009651CC" w:rsidRPr="009651CC">
        <w:rPr>
          <w:sz w:val="23"/>
          <w:szCs w:val="23"/>
        </w:rPr>
        <w:t xml:space="preserve"> </w:t>
      </w:r>
      <w:r w:rsidR="00927839">
        <w:rPr>
          <w:rFonts w:ascii="Times New Roman" w:hAnsi="Times New Roman" w:cs="Times New Roman"/>
          <w:sz w:val="24"/>
          <w:szCs w:val="24"/>
        </w:rPr>
        <w:t>the</w:t>
      </w:r>
      <w:r w:rsidR="00036F15">
        <w:rPr>
          <w:rFonts w:ascii="Times New Roman" w:hAnsi="Times New Roman" w:cs="Times New Roman"/>
          <w:sz w:val="24"/>
          <w:szCs w:val="24"/>
        </w:rPr>
        <w:t> </w:t>
      </w:r>
      <w:r w:rsidR="00927839">
        <w:rPr>
          <w:rFonts w:ascii="Times New Roman" w:hAnsi="Times New Roman" w:cs="Times New Roman"/>
          <w:sz w:val="24"/>
          <w:szCs w:val="24"/>
        </w:rPr>
        <w:t>Guide</w:t>
      </w:r>
      <w:r w:rsidR="007906CE" w:rsidRPr="00420D8A">
        <w:rPr>
          <w:rFonts w:ascii="Times New Roman" w:hAnsi="Times New Roman" w:cs="Times New Roman"/>
          <w:sz w:val="24"/>
          <w:szCs w:val="24"/>
        </w:rPr>
        <w:t xml:space="preserve">. </w:t>
      </w:r>
      <w:r w:rsidRPr="00420D8A">
        <w:rPr>
          <w:rFonts w:ascii="Times New Roman" w:hAnsi="Times New Roman" w:cs="Times New Roman"/>
          <w:sz w:val="24"/>
          <w:szCs w:val="24"/>
        </w:rPr>
        <w:t>Given the remote and complex nature of offshore operations,</w:t>
      </w:r>
      <w:r w:rsidR="008C782F">
        <w:rPr>
          <w:rFonts w:ascii="Times New Roman" w:hAnsi="Times New Roman" w:cs="Times New Roman"/>
          <w:sz w:val="24"/>
          <w:szCs w:val="24"/>
        </w:rPr>
        <w:t xml:space="preserve"> and the prevalence of</w:t>
      </w:r>
      <w:r w:rsidR="009D4291">
        <w:rPr>
          <w:rFonts w:ascii="Times New Roman" w:hAnsi="Times New Roman" w:cs="Times New Roman"/>
          <w:sz w:val="24"/>
          <w:szCs w:val="24"/>
        </w:rPr>
        <w:t xml:space="preserve"> </w:t>
      </w:r>
      <w:r w:rsidR="00B7101A">
        <w:rPr>
          <w:rFonts w:ascii="Times New Roman" w:hAnsi="Times New Roman" w:cs="Times New Roman"/>
          <w:sz w:val="24"/>
          <w:szCs w:val="24"/>
        </w:rPr>
        <w:t xml:space="preserve">joint </w:t>
      </w:r>
      <w:r w:rsidR="009D4291">
        <w:rPr>
          <w:rFonts w:ascii="Times New Roman" w:hAnsi="Times New Roman" w:cs="Times New Roman"/>
          <w:sz w:val="24"/>
          <w:szCs w:val="24"/>
        </w:rPr>
        <w:t>venture titleholder arrangements,</w:t>
      </w:r>
      <w:r w:rsidRPr="00420D8A">
        <w:rPr>
          <w:rFonts w:ascii="Times New Roman" w:hAnsi="Times New Roman" w:cs="Times New Roman"/>
          <w:sz w:val="24"/>
          <w:szCs w:val="24"/>
        </w:rPr>
        <w:t xml:space="preserve"> it </w:t>
      </w:r>
      <w:r w:rsidR="007906CE" w:rsidRPr="00420D8A">
        <w:rPr>
          <w:rFonts w:ascii="Times New Roman" w:hAnsi="Times New Roman" w:cs="Times New Roman"/>
          <w:sz w:val="24"/>
          <w:szCs w:val="24"/>
        </w:rPr>
        <w:t>can be</w:t>
      </w:r>
      <w:r w:rsidRPr="00420D8A">
        <w:rPr>
          <w:rFonts w:ascii="Times New Roman" w:hAnsi="Times New Roman" w:cs="Times New Roman"/>
          <w:sz w:val="24"/>
          <w:szCs w:val="24"/>
        </w:rPr>
        <w:t xml:space="preserve"> extremely difficult to prove intent, and requiring that proof may make it impractical to enforce the regime.</w:t>
      </w:r>
      <w:r w:rsidR="007906CE" w:rsidRPr="00420D8A">
        <w:rPr>
          <w:rFonts w:ascii="Times New Roman" w:hAnsi="Times New Roman" w:cs="Times New Roman"/>
          <w:sz w:val="24"/>
          <w:szCs w:val="24"/>
        </w:rPr>
        <w:t xml:space="preserve"> </w:t>
      </w:r>
      <w:r w:rsidR="00420D8A">
        <w:rPr>
          <w:rFonts w:ascii="Times New Roman" w:hAnsi="Times New Roman" w:cs="Times New Roman"/>
          <w:sz w:val="24"/>
          <w:szCs w:val="24"/>
        </w:rPr>
        <w:t>A</w:t>
      </w:r>
      <w:r w:rsidR="007906CE" w:rsidRPr="00420D8A">
        <w:rPr>
          <w:rFonts w:ascii="Times New Roman" w:hAnsi="Times New Roman" w:cs="Times New Roman"/>
          <w:sz w:val="24"/>
          <w:szCs w:val="24"/>
        </w:rPr>
        <w:t xml:space="preserve"> GHG injection licensee is responsible for preparing the </w:t>
      </w:r>
      <w:r w:rsidR="00663553">
        <w:rPr>
          <w:rFonts w:ascii="Times New Roman" w:hAnsi="Times New Roman" w:cs="Times New Roman"/>
          <w:sz w:val="24"/>
          <w:szCs w:val="24"/>
        </w:rPr>
        <w:t xml:space="preserve">draft </w:t>
      </w:r>
      <w:r w:rsidR="007906CE" w:rsidRPr="00420D8A">
        <w:rPr>
          <w:rFonts w:ascii="Times New Roman" w:hAnsi="Times New Roman" w:cs="Times New Roman"/>
          <w:sz w:val="24"/>
          <w:szCs w:val="24"/>
        </w:rPr>
        <w:t xml:space="preserve">site plan </w:t>
      </w:r>
      <w:r w:rsidR="00D462D5">
        <w:rPr>
          <w:rFonts w:ascii="Times New Roman" w:hAnsi="Times New Roman" w:cs="Times New Roman"/>
          <w:sz w:val="24"/>
          <w:szCs w:val="24"/>
        </w:rPr>
        <w:t>for</w:t>
      </w:r>
      <w:r w:rsidR="007906CE" w:rsidRPr="00420D8A">
        <w:rPr>
          <w:rFonts w:ascii="Times New Roman" w:hAnsi="Times New Roman" w:cs="Times New Roman"/>
          <w:sz w:val="24"/>
          <w:szCs w:val="24"/>
        </w:rPr>
        <w:t xml:space="preserve"> approv</w:t>
      </w:r>
      <w:r w:rsidR="00D462D5">
        <w:rPr>
          <w:rFonts w:ascii="Times New Roman" w:hAnsi="Times New Roman" w:cs="Times New Roman"/>
          <w:sz w:val="24"/>
          <w:szCs w:val="24"/>
        </w:rPr>
        <w:t>al</w:t>
      </w:r>
      <w:r w:rsidR="007906CE" w:rsidRPr="00420D8A">
        <w:rPr>
          <w:rFonts w:ascii="Times New Roman" w:hAnsi="Times New Roman" w:cs="Times New Roman"/>
          <w:sz w:val="24"/>
          <w:szCs w:val="24"/>
        </w:rPr>
        <w:t xml:space="preserve"> by the </w:t>
      </w:r>
      <w:r w:rsidR="00B84F3E">
        <w:rPr>
          <w:rFonts w:ascii="Times New Roman" w:hAnsi="Times New Roman" w:cs="Times New Roman"/>
          <w:sz w:val="24"/>
          <w:szCs w:val="24"/>
        </w:rPr>
        <w:t xml:space="preserve">responsible Commonwealth </w:t>
      </w:r>
      <w:r w:rsidR="007906CE" w:rsidRPr="00420D8A">
        <w:rPr>
          <w:rFonts w:ascii="Times New Roman" w:hAnsi="Times New Roman" w:cs="Times New Roman"/>
          <w:sz w:val="24"/>
          <w:szCs w:val="24"/>
        </w:rPr>
        <w:t>Minister</w:t>
      </w:r>
      <w:r w:rsidR="00663553">
        <w:rPr>
          <w:rFonts w:ascii="Times New Roman" w:hAnsi="Times New Roman" w:cs="Times New Roman"/>
          <w:sz w:val="24"/>
          <w:szCs w:val="24"/>
        </w:rPr>
        <w:t xml:space="preserve"> and </w:t>
      </w:r>
      <w:r w:rsidR="00094119">
        <w:rPr>
          <w:rFonts w:ascii="Times New Roman" w:hAnsi="Times New Roman" w:cs="Times New Roman"/>
          <w:sz w:val="24"/>
          <w:szCs w:val="24"/>
        </w:rPr>
        <w:t xml:space="preserve">for </w:t>
      </w:r>
      <w:r w:rsidR="00663553">
        <w:rPr>
          <w:rFonts w:ascii="Times New Roman" w:hAnsi="Times New Roman" w:cs="Times New Roman"/>
          <w:sz w:val="24"/>
          <w:szCs w:val="24"/>
        </w:rPr>
        <w:t xml:space="preserve">reviewing it </w:t>
      </w:r>
      <w:r w:rsidR="00927839">
        <w:rPr>
          <w:rFonts w:ascii="Times New Roman" w:hAnsi="Times New Roman" w:cs="Times New Roman"/>
          <w:sz w:val="24"/>
          <w:szCs w:val="24"/>
        </w:rPr>
        <w:t xml:space="preserve">at regular intervals or </w:t>
      </w:r>
      <w:r w:rsidR="00663553">
        <w:rPr>
          <w:rFonts w:ascii="Times New Roman" w:hAnsi="Times New Roman" w:cs="Times New Roman"/>
          <w:sz w:val="24"/>
          <w:szCs w:val="24"/>
        </w:rPr>
        <w:t>on request</w:t>
      </w:r>
      <w:r w:rsidR="00420D8A">
        <w:rPr>
          <w:rFonts w:ascii="Times New Roman" w:hAnsi="Times New Roman" w:cs="Times New Roman"/>
          <w:sz w:val="24"/>
          <w:szCs w:val="24"/>
        </w:rPr>
        <w:t xml:space="preserve">. They would </w:t>
      </w:r>
      <w:r w:rsidR="007F71E5" w:rsidRPr="00420D8A">
        <w:rPr>
          <w:rFonts w:ascii="Times New Roman" w:hAnsi="Times New Roman" w:cs="Times New Roman"/>
          <w:sz w:val="24"/>
          <w:szCs w:val="24"/>
        </w:rPr>
        <w:t xml:space="preserve">be </w:t>
      </w:r>
      <w:proofErr w:type="gramStart"/>
      <w:r w:rsidR="007F71E5" w:rsidRPr="00420D8A">
        <w:rPr>
          <w:rFonts w:ascii="Times New Roman" w:hAnsi="Times New Roman" w:cs="Times New Roman"/>
          <w:sz w:val="24"/>
          <w:szCs w:val="24"/>
        </w:rPr>
        <w:t>well aware</w:t>
      </w:r>
      <w:proofErr w:type="gramEnd"/>
      <w:r w:rsidR="007F71E5" w:rsidRPr="00420D8A">
        <w:rPr>
          <w:rFonts w:ascii="Times New Roman" w:hAnsi="Times New Roman" w:cs="Times New Roman"/>
          <w:sz w:val="24"/>
          <w:szCs w:val="24"/>
        </w:rPr>
        <w:t xml:space="preserve"> of the requirement to have </w:t>
      </w:r>
      <w:r w:rsidR="00420D8A">
        <w:rPr>
          <w:rFonts w:ascii="Times New Roman" w:hAnsi="Times New Roman" w:cs="Times New Roman"/>
          <w:sz w:val="24"/>
          <w:szCs w:val="24"/>
        </w:rPr>
        <w:t xml:space="preserve">an approved </w:t>
      </w:r>
      <w:r w:rsidR="00663553">
        <w:rPr>
          <w:rFonts w:ascii="Times New Roman" w:hAnsi="Times New Roman" w:cs="Times New Roman"/>
          <w:sz w:val="24"/>
          <w:szCs w:val="24"/>
        </w:rPr>
        <w:t xml:space="preserve">site </w:t>
      </w:r>
      <w:r w:rsidR="00420D8A">
        <w:rPr>
          <w:rFonts w:ascii="Times New Roman" w:hAnsi="Times New Roman" w:cs="Times New Roman"/>
          <w:sz w:val="24"/>
          <w:szCs w:val="24"/>
        </w:rPr>
        <w:t>plan</w:t>
      </w:r>
      <w:r w:rsidR="007F71E5" w:rsidRPr="00420D8A">
        <w:rPr>
          <w:rFonts w:ascii="Times New Roman" w:hAnsi="Times New Roman" w:cs="Times New Roman"/>
          <w:sz w:val="24"/>
          <w:szCs w:val="24"/>
        </w:rPr>
        <w:t xml:space="preserve"> in place before carrying on operations</w:t>
      </w:r>
      <w:r w:rsidR="00663553">
        <w:rPr>
          <w:rFonts w:ascii="Times New Roman" w:hAnsi="Times New Roman" w:cs="Times New Roman"/>
          <w:sz w:val="24"/>
          <w:szCs w:val="24"/>
        </w:rPr>
        <w:t xml:space="preserve"> in relation to the storage formation that is the subject of the licence</w:t>
      </w:r>
      <w:r w:rsidR="00420D8A" w:rsidRPr="00420D8A">
        <w:rPr>
          <w:rFonts w:ascii="Times New Roman" w:hAnsi="Times New Roman" w:cs="Times New Roman"/>
          <w:sz w:val="24"/>
          <w:szCs w:val="24"/>
        </w:rPr>
        <w:t>, as well as the</w:t>
      </w:r>
      <w:r w:rsidR="00420D8A">
        <w:rPr>
          <w:rFonts w:ascii="Times New Roman" w:hAnsi="Times New Roman" w:cs="Times New Roman"/>
          <w:sz w:val="24"/>
          <w:szCs w:val="24"/>
        </w:rPr>
        <w:t>ir</w:t>
      </w:r>
      <w:r w:rsidR="00420D8A" w:rsidRPr="00420D8A">
        <w:rPr>
          <w:rFonts w:ascii="Times New Roman" w:hAnsi="Times New Roman" w:cs="Times New Roman"/>
          <w:sz w:val="24"/>
          <w:szCs w:val="24"/>
        </w:rPr>
        <w:t xml:space="preserve"> obligation to comply with</w:t>
      </w:r>
      <w:r w:rsidR="00420D8A">
        <w:rPr>
          <w:rFonts w:ascii="Times New Roman" w:hAnsi="Times New Roman" w:cs="Times New Roman"/>
          <w:sz w:val="24"/>
          <w:szCs w:val="24"/>
        </w:rPr>
        <w:t xml:space="preserve"> </w:t>
      </w:r>
      <w:r w:rsidR="00663553">
        <w:rPr>
          <w:rFonts w:ascii="Times New Roman" w:hAnsi="Times New Roman" w:cs="Times New Roman"/>
          <w:sz w:val="24"/>
          <w:szCs w:val="24"/>
        </w:rPr>
        <w:t>th</w:t>
      </w:r>
      <w:r w:rsidR="00094119">
        <w:rPr>
          <w:rFonts w:ascii="Times New Roman" w:hAnsi="Times New Roman" w:cs="Times New Roman"/>
          <w:sz w:val="24"/>
          <w:szCs w:val="24"/>
        </w:rPr>
        <w:t>e</w:t>
      </w:r>
      <w:r w:rsidR="00663553">
        <w:rPr>
          <w:rFonts w:ascii="Times New Roman" w:hAnsi="Times New Roman" w:cs="Times New Roman"/>
          <w:sz w:val="24"/>
          <w:szCs w:val="24"/>
        </w:rPr>
        <w:t xml:space="preserve"> plan</w:t>
      </w:r>
      <w:r w:rsidR="00094119">
        <w:rPr>
          <w:rFonts w:ascii="Times New Roman" w:hAnsi="Times New Roman" w:cs="Times New Roman"/>
          <w:sz w:val="24"/>
          <w:szCs w:val="24"/>
        </w:rPr>
        <w:t xml:space="preserve"> they have developed</w:t>
      </w:r>
      <w:r w:rsidR="00420D8A" w:rsidRPr="00420D8A">
        <w:rPr>
          <w:rFonts w:ascii="Times New Roman" w:hAnsi="Times New Roman" w:cs="Times New Roman"/>
          <w:sz w:val="24"/>
          <w:szCs w:val="24"/>
        </w:rPr>
        <w:t xml:space="preserve">. </w:t>
      </w:r>
      <w:r w:rsidR="001D5177">
        <w:rPr>
          <w:rFonts w:ascii="Times New Roman" w:hAnsi="Times New Roman" w:cs="Times New Roman"/>
          <w:sz w:val="24"/>
          <w:szCs w:val="24"/>
        </w:rPr>
        <w:t xml:space="preserve">The licensee would also be aware that a licence is granted on the understanding that licensees will take all reasonable steps to ensure that regulatory obligations are complied with, noting the high-hazard nature of operations, and that tenure over the relevant licence area is granted to the licensee based on factors such as their capacity to undertake safe and sustainable operations. </w:t>
      </w:r>
      <w:r w:rsidR="007F71E5" w:rsidRPr="00420D8A">
        <w:rPr>
          <w:rFonts w:ascii="Times New Roman" w:hAnsi="Times New Roman" w:cs="Times New Roman"/>
          <w:sz w:val="24"/>
          <w:szCs w:val="24"/>
        </w:rPr>
        <w:t>If there is an honest</w:t>
      </w:r>
      <w:r w:rsidR="007906CE" w:rsidRPr="00420D8A">
        <w:rPr>
          <w:rFonts w:ascii="Times New Roman" w:hAnsi="Times New Roman" w:cs="Times New Roman"/>
          <w:sz w:val="24"/>
          <w:szCs w:val="24"/>
        </w:rPr>
        <w:t xml:space="preserve"> and reasonable mistake of fact</w:t>
      </w:r>
      <w:r w:rsidR="007F7F93">
        <w:rPr>
          <w:rFonts w:ascii="Times New Roman" w:hAnsi="Times New Roman" w:cs="Times New Roman"/>
          <w:sz w:val="24"/>
          <w:szCs w:val="24"/>
        </w:rPr>
        <w:t xml:space="preserve"> on the licensee’s part</w:t>
      </w:r>
      <w:r w:rsidR="007F71E5" w:rsidRPr="00420D8A">
        <w:rPr>
          <w:rFonts w:ascii="Times New Roman" w:hAnsi="Times New Roman" w:cs="Times New Roman"/>
          <w:sz w:val="24"/>
          <w:szCs w:val="24"/>
        </w:rPr>
        <w:t xml:space="preserve">, </w:t>
      </w:r>
      <w:r w:rsidR="007F7F93">
        <w:rPr>
          <w:rFonts w:ascii="Times New Roman" w:hAnsi="Times New Roman" w:cs="Times New Roman"/>
          <w:sz w:val="24"/>
          <w:szCs w:val="24"/>
        </w:rPr>
        <w:t xml:space="preserve">this may be </w:t>
      </w:r>
      <w:r w:rsidR="007F71E5" w:rsidRPr="00420D8A">
        <w:rPr>
          <w:rFonts w:ascii="Times New Roman" w:hAnsi="Times New Roman" w:cs="Times New Roman"/>
          <w:sz w:val="24"/>
          <w:szCs w:val="24"/>
        </w:rPr>
        <w:t>raise</w:t>
      </w:r>
      <w:r w:rsidR="007F7F93">
        <w:rPr>
          <w:rFonts w:ascii="Times New Roman" w:hAnsi="Times New Roman" w:cs="Times New Roman"/>
          <w:sz w:val="24"/>
          <w:szCs w:val="24"/>
        </w:rPr>
        <w:t>d</w:t>
      </w:r>
      <w:r w:rsidR="007F71E5" w:rsidRPr="00420D8A">
        <w:rPr>
          <w:rFonts w:ascii="Times New Roman" w:hAnsi="Times New Roman" w:cs="Times New Roman"/>
          <w:sz w:val="24"/>
          <w:szCs w:val="24"/>
        </w:rPr>
        <w:t xml:space="preserve"> in defence to a prosecution.</w:t>
      </w:r>
    </w:p>
    <w:bookmarkEnd w:id="6"/>
    <w:p w14:paraId="4162382D" w14:textId="790FF461" w:rsidR="0095165F" w:rsidRDefault="00692571" w:rsidP="004C6F8A">
      <w:pPr>
        <w:rPr>
          <w:rFonts w:ascii="Times New Roman" w:hAnsi="Times New Roman" w:cs="Times New Roman"/>
          <w:sz w:val="24"/>
          <w:szCs w:val="24"/>
        </w:rPr>
      </w:pPr>
      <w:r w:rsidRPr="00420D8A">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maximum </w:t>
      </w:r>
      <w:r w:rsidRPr="00420D8A">
        <w:rPr>
          <w:rFonts w:ascii="Times New Roman" w:hAnsi="Times New Roman" w:cs="Times New Roman"/>
          <w:sz w:val="24"/>
          <w:szCs w:val="24"/>
        </w:rPr>
        <w:t>penalty</w:t>
      </w:r>
      <w:r>
        <w:rPr>
          <w:rFonts w:ascii="Times New Roman" w:hAnsi="Times New Roman" w:cs="Times New Roman"/>
          <w:sz w:val="24"/>
          <w:szCs w:val="24"/>
        </w:rPr>
        <w:t xml:space="preserve"> of 100 PU</w:t>
      </w:r>
      <w:r w:rsidRPr="00420D8A">
        <w:rPr>
          <w:rFonts w:ascii="Times New Roman" w:hAnsi="Times New Roman" w:cs="Times New Roman"/>
          <w:sz w:val="24"/>
          <w:szCs w:val="24"/>
        </w:rPr>
        <w:t xml:space="preserve"> is authorised by section 790 of the OPGGS Act, which provides that regulations may provide for offences </w:t>
      </w:r>
      <w:r>
        <w:rPr>
          <w:rFonts w:ascii="Times New Roman" w:hAnsi="Times New Roman" w:cs="Times New Roman"/>
          <w:sz w:val="24"/>
          <w:szCs w:val="24"/>
        </w:rPr>
        <w:t xml:space="preserve">against the regulations </w:t>
      </w:r>
      <w:r w:rsidRPr="00420D8A">
        <w:rPr>
          <w:rFonts w:ascii="Times New Roman" w:hAnsi="Times New Roman" w:cs="Times New Roman"/>
          <w:sz w:val="24"/>
          <w:szCs w:val="24"/>
        </w:rPr>
        <w:t xml:space="preserve">punishable by penalties not exceeding a fine of 100 </w:t>
      </w:r>
      <w:r>
        <w:rPr>
          <w:rFonts w:ascii="Times New Roman" w:hAnsi="Times New Roman" w:cs="Times New Roman"/>
          <w:sz w:val="24"/>
          <w:szCs w:val="24"/>
        </w:rPr>
        <w:t>PU</w:t>
      </w:r>
      <w:r w:rsidRPr="00420D8A">
        <w:rPr>
          <w:rFonts w:ascii="Times New Roman" w:hAnsi="Times New Roman" w:cs="Times New Roman"/>
          <w:sz w:val="24"/>
          <w:szCs w:val="24"/>
        </w:rPr>
        <w:t xml:space="preserve">. </w:t>
      </w:r>
      <w:r w:rsidR="00420D8A" w:rsidRPr="00420D8A">
        <w:rPr>
          <w:rFonts w:ascii="Times New Roman" w:hAnsi="Times New Roman" w:cs="Times New Roman"/>
          <w:sz w:val="24"/>
          <w:szCs w:val="24"/>
        </w:rPr>
        <w:t>The</w:t>
      </w:r>
      <w:r w:rsidR="0095165F" w:rsidRPr="00420D8A">
        <w:rPr>
          <w:rFonts w:ascii="Times New Roman" w:hAnsi="Times New Roman" w:cs="Times New Roman"/>
          <w:sz w:val="24"/>
          <w:szCs w:val="24"/>
        </w:rPr>
        <w:t xml:space="preserve"> maximum penalty </w:t>
      </w:r>
      <w:r w:rsidR="00420D8A" w:rsidRPr="00420D8A">
        <w:rPr>
          <w:rFonts w:ascii="Times New Roman" w:hAnsi="Times New Roman" w:cs="Times New Roman"/>
          <w:sz w:val="24"/>
          <w:szCs w:val="24"/>
        </w:rPr>
        <w:t>is appropriate</w:t>
      </w:r>
      <w:r w:rsidR="0095165F" w:rsidRPr="00420D8A">
        <w:rPr>
          <w:rFonts w:ascii="Times New Roman" w:hAnsi="Times New Roman" w:cs="Times New Roman"/>
          <w:sz w:val="24"/>
          <w:szCs w:val="24"/>
        </w:rPr>
        <w:t xml:space="preserve">, </w:t>
      </w:r>
      <w:r w:rsidR="007F7F93">
        <w:rPr>
          <w:rFonts w:ascii="Times New Roman" w:hAnsi="Times New Roman" w:cs="Times New Roman"/>
          <w:sz w:val="24"/>
          <w:szCs w:val="24"/>
        </w:rPr>
        <w:t xml:space="preserve">noting that it </w:t>
      </w:r>
      <w:r w:rsidR="0095165F" w:rsidRPr="00420D8A">
        <w:rPr>
          <w:rFonts w:ascii="Times New Roman" w:hAnsi="Times New Roman" w:cs="Times New Roman"/>
          <w:sz w:val="24"/>
          <w:szCs w:val="24"/>
        </w:rPr>
        <w:t xml:space="preserve">is higher than the preference stated in the Guide for a maximum of 60 </w:t>
      </w:r>
      <w:r w:rsidR="00B7101A">
        <w:rPr>
          <w:rFonts w:ascii="Times New Roman" w:hAnsi="Times New Roman" w:cs="Times New Roman"/>
          <w:sz w:val="24"/>
          <w:szCs w:val="24"/>
        </w:rPr>
        <w:t>PU</w:t>
      </w:r>
      <w:r w:rsidR="007F71E5" w:rsidRPr="00420D8A">
        <w:rPr>
          <w:rFonts w:ascii="Times New Roman" w:hAnsi="Times New Roman" w:cs="Times New Roman"/>
          <w:sz w:val="24"/>
          <w:szCs w:val="24"/>
        </w:rPr>
        <w:t xml:space="preserve"> for an individual (300 </w:t>
      </w:r>
      <w:r w:rsidR="00B7101A">
        <w:rPr>
          <w:rFonts w:ascii="Times New Roman" w:hAnsi="Times New Roman" w:cs="Times New Roman"/>
          <w:sz w:val="24"/>
          <w:szCs w:val="24"/>
        </w:rPr>
        <w:t>PU</w:t>
      </w:r>
      <w:r w:rsidR="007F71E5" w:rsidRPr="00420D8A">
        <w:rPr>
          <w:rFonts w:ascii="Times New Roman" w:hAnsi="Times New Roman" w:cs="Times New Roman"/>
          <w:sz w:val="24"/>
          <w:szCs w:val="24"/>
        </w:rPr>
        <w:t xml:space="preserve"> for a body corporate)</w:t>
      </w:r>
      <w:r w:rsidR="0095165F" w:rsidRPr="00420D8A">
        <w:rPr>
          <w:rFonts w:ascii="Times New Roman" w:hAnsi="Times New Roman" w:cs="Times New Roman"/>
          <w:sz w:val="24"/>
          <w:szCs w:val="24"/>
        </w:rPr>
        <w:t xml:space="preserve"> </w:t>
      </w:r>
      <w:r w:rsidR="007F71E5" w:rsidRPr="00420D8A">
        <w:rPr>
          <w:rFonts w:ascii="Times New Roman" w:hAnsi="Times New Roman" w:cs="Times New Roman"/>
          <w:sz w:val="24"/>
          <w:szCs w:val="24"/>
        </w:rPr>
        <w:t>for strict</w:t>
      </w:r>
      <w:r w:rsidR="0095165F" w:rsidRPr="00420D8A">
        <w:rPr>
          <w:rFonts w:ascii="Times New Roman" w:hAnsi="Times New Roman" w:cs="Times New Roman"/>
          <w:sz w:val="24"/>
          <w:szCs w:val="24"/>
        </w:rPr>
        <w:t xml:space="preserve"> liability</w:t>
      </w:r>
      <w:r w:rsidR="007F71E5" w:rsidRPr="00420D8A">
        <w:rPr>
          <w:rFonts w:ascii="Times New Roman" w:hAnsi="Times New Roman" w:cs="Times New Roman"/>
          <w:sz w:val="24"/>
          <w:szCs w:val="24"/>
        </w:rPr>
        <w:t xml:space="preserve"> offences</w:t>
      </w:r>
      <w:r w:rsidR="0095165F" w:rsidRPr="00420D8A">
        <w:rPr>
          <w:rFonts w:ascii="Times New Roman" w:hAnsi="Times New Roman" w:cs="Times New Roman"/>
          <w:sz w:val="24"/>
          <w:szCs w:val="24"/>
        </w:rPr>
        <w:t xml:space="preserve">. </w:t>
      </w:r>
      <w:r w:rsidR="00122725">
        <w:rPr>
          <w:rFonts w:ascii="Times New Roman" w:hAnsi="Times New Roman" w:cs="Times New Roman"/>
          <w:sz w:val="24"/>
          <w:szCs w:val="24"/>
        </w:rPr>
        <w:t>O</w:t>
      </w:r>
      <w:r w:rsidR="0095165F" w:rsidRPr="00420D8A">
        <w:rPr>
          <w:rFonts w:ascii="Times New Roman" w:hAnsi="Times New Roman" w:cs="Times New Roman"/>
          <w:sz w:val="24"/>
          <w:szCs w:val="24"/>
        </w:rPr>
        <w:t xml:space="preserve">ffshore </w:t>
      </w:r>
      <w:r w:rsidR="007F7F93">
        <w:rPr>
          <w:rFonts w:ascii="Times New Roman" w:hAnsi="Times New Roman" w:cs="Times New Roman"/>
          <w:sz w:val="24"/>
          <w:szCs w:val="24"/>
        </w:rPr>
        <w:t>operations</w:t>
      </w:r>
      <w:r w:rsidR="0095165F" w:rsidRPr="00420D8A">
        <w:rPr>
          <w:rFonts w:ascii="Times New Roman" w:hAnsi="Times New Roman" w:cs="Times New Roman"/>
          <w:sz w:val="24"/>
          <w:szCs w:val="24"/>
        </w:rPr>
        <w:t xml:space="preserve"> require a very high level of expenditure</w:t>
      </w:r>
      <w:r w:rsidR="007F7F93">
        <w:rPr>
          <w:rFonts w:ascii="Times New Roman" w:hAnsi="Times New Roman" w:cs="Times New Roman"/>
          <w:sz w:val="24"/>
          <w:szCs w:val="24"/>
        </w:rPr>
        <w:t>,</w:t>
      </w:r>
      <w:r w:rsidR="00AD08B4">
        <w:rPr>
          <w:rFonts w:ascii="Times New Roman" w:hAnsi="Times New Roman" w:cs="Times New Roman"/>
          <w:sz w:val="24"/>
          <w:szCs w:val="24"/>
        </w:rPr>
        <w:t xml:space="preserve"> and therefore</w:t>
      </w:r>
      <w:r w:rsidR="003235A5">
        <w:rPr>
          <w:rFonts w:ascii="Times New Roman" w:hAnsi="Times New Roman" w:cs="Times New Roman"/>
          <w:sz w:val="24"/>
          <w:szCs w:val="24"/>
        </w:rPr>
        <w:t xml:space="preserve"> licensees are well-resourced, sophisticated entities.</w:t>
      </w:r>
      <w:r w:rsidR="007F71E5" w:rsidRPr="00420D8A">
        <w:rPr>
          <w:rFonts w:ascii="Times New Roman" w:hAnsi="Times New Roman" w:cs="Times New Roman"/>
          <w:sz w:val="24"/>
          <w:szCs w:val="24"/>
        </w:rPr>
        <w:t xml:space="preserve"> </w:t>
      </w:r>
      <w:r w:rsidR="00AD08B4">
        <w:rPr>
          <w:rFonts w:ascii="Times New Roman" w:hAnsi="Times New Roman" w:cs="Times New Roman"/>
          <w:sz w:val="24"/>
          <w:szCs w:val="24"/>
        </w:rPr>
        <w:t>In this context, a</w:t>
      </w:r>
      <w:r w:rsidR="0095165F" w:rsidRPr="00420D8A">
        <w:rPr>
          <w:rFonts w:ascii="Times New Roman" w:hAnsi="Times New Roman" w:cs="Times New Roman"/>
          <w:sz w:val="24"/>
          <w:szCs w:val="24"/>
        </w:rPr>
        <w:t xml:space="preserve"> smaller penalty </w:t>
      </w:r>
      <w:r w:rsidR="007F71E5" w:rsidRPr="00420D8A">
        <w:rPr>
          <w:rFonts w:ascii="Times New Roman" w:hAnsi="Times New Roman" w:cs="Times New Roman"/>
          <w:sz w:val="24"/>
          <w:szCs w:val="24"/>
        </w:rPr>
        <w:t>for a significant offence would</w:t>
      </w:r>
      <w:r w:rsidR="00AD08B4">
        <w:rPr>
          <w:rFonts w:ascii="Times New Roman" w:hAnsi="Times New Roman" w:cs="Times New Roman"/>
          <w:sz w:val="24"/>
          <w:szCs w:val="24"/>
        </w:rPr>
        <w:t xml:space="preserve"> not</w:t>
      </w:r>
      <w:r w:rsidR="007F71E5" w:rsidRPr="00420D8A">
        <w:rPr>
          <w:rFonts w:ascii="Times New Roman" w:hAnsi="Times New Roman" w:cs="Times New Roman"/>
          <w:sz w:val="24"/>
          <w:szCs w:val="24"/>
        </w:rPr>
        <w:t xml:space="preserve"> be</w:t>
      </w:r>
      <w:r w:rsidR="0095165F" w:rsidRPr="00420D8A">
        <w:rPr>
          <w:rFonts w:ascii="Times New Roman" w:hAnsi="Times New Roman" w:cs="Times New Roman"/>
          <w:sz w:val="24"/>
          <w:szCs w:val="24"/>
        </w:rPr>
        <w:t xml:space="preserve"> </w:t>
      </w:r>
      <w:r w:rsidR="00AD08B4">
        <w:rPr>
          <w:rFonts w:ascii="Times New Roman" w:hAnsi="Times New Roman" w:cs="Times New Roman"/>
          <w:sz w:val="24"/>
          <w:szCs w:val="24"/>
        </w:rPr>
        <w:t>sufficient to appropriately punish the offending conduct</w:t>
      </w:r>
      <w:r w:rsidR="0095165F" w:rsidRPr="00420D8A">
        <w:rPr>
          <w:rFonts w:ascii="Times New Roman" w:hAnsi="Times New Roman" w:cs="Times New Roman"/>
          <w:sz w:val="24"/>
          <w:szCs w:val="24"/>
        </w:rPr>
        <w:t xml:space="preserve">, especially considering the potential for severe risks </w:t>
      </w:r>
      <w:r w:rsidR="00663553">
        <w:rPr>
          <w:rFonts w:ascii="Times New Roman" w:hAnsi="Times New Roman" w:cs="Times New Roman"/>
          <w:sz w:val="24"/>
          <w:szCs w:val="24"/>
        </w:rPr>
        <w:t xml:space="preserve">to </w:t>
      </w:r>
      <w:r w:rsidR="0095165F" w:rsidRPr="00420D8A">
        <w:rPr>
          <w:rFonts w:ascii="Times New Roman" w:hAnsi="Times New Roman" w:cs="Times New Roman"/>
          <w:sz w:val="24"/>
          <w:szCs w:val="24"/>
        </w:rPr>
        <w:t xml:space="preserve">or impact </w:t>
      </w:r>
      <w:r w:rsidR="00663553">
        <w:rPr>
          <w:rFonts w:ascii="Times New Roman" w:hAnsi="Times New Roman" w:cs="Times New Roman"/>
          <w:sz w:val="24"/>
          <w:szCs w:val="24"/>
        </w:rPr>
        <w:t>on</w:t>
      </w:r>
      <w:r w:rsidR="0095165F" w:rsidRPr="00420D8A">
        <w:rPr>
          <w:rFonts w:ascii="Times New Roman" w:hAnsi="Times New Roman" w:cs="Times New Roman"/>
          <w:sz w:val="24"/>
          <w:szCs w:val="24"/>
        </w:rPr>
        <w:t xml:space="preserve"> the environment</w:t>
      </w:r>
      <w:r w:rsidR="00663553">
        <w:rPr>
          <w:rFonts w:ascii="Times New Roman" w:hAnsi="Times New Roman" w:cs="Times New Roman"/>
          <w:sz w:val="24"/>
          <w:szCs w:val="24"/>
        </w:rPr>
        <w:t xml:space="preserve"> as well as</w:t>
      </w:r>
      <w:r w:rsidR="007F7F93">
        <w:rPr>
          <w:rFonts w:ascii="Times New Roman" w:hAnsi="Times New Roman" w:cs="Times New Roman"/>
          <w:sz w:val="24"/>
          <w:szCs w:val="24"/>
        </w:rPr>
        <w:t xml:space="preserve"> on</w:t>
      </w:r>
      <w:r w:rsidR="00663553">
        <w:rPr>
          <w:rFonts w:ascii="Times New Roman" w:hAnsi="Times New Roman" w:cs="Times New Roman"/>
          <w:sz w:val="24"/>
          <w:szCs w:val="24"/>
        </w:rPr>
        <w:t xml:space="preserve"> the operations of other titleholders.</w:t>
      </w:r>
    </w:p>
    <w:p w14:paraId="336EC50C" w14:textId="2F31305C" w:rsidR="006D2EFF" w:rsidRPr="003E4855" w:rsidRDefault="006D2EFF" w:rsidP="006D2EFF">
      <w:pPr>
        <w:rPr>
          <w:rFonts w:ascii="Times New Roman" w:hAnsi="Times New Roman" w:cs="Times New Roman"/>
          <w:sz w:val="24"/>
          <w:szCs w:val="24"/>
        </w:rPr>
      </w:pPr>
      <w:r>
        <w:rPr>
          <w:rFonts w:ascii="Times New Roman" w:hAnsi="Times New Roman" w:cs="Times New Roman"/>
          <w:sz w:val="24"/>
          <w:szCs w:val="24"/>
        </w:rPr>
        <w:t>The offence provision has been included in the GHG Regulations, rather than the OPGGS</w:t>
      </w:r>
      <w:r w:rsidR="00A071C6">
        <w:rPr>
          <w:rFonts w:ascii="Times New Roman" w:hAnsi="Times New Roman" w:cs="Times New Roman"/>
          <w:sz w:val="24"/>
          <w:szCs w:val="24"/>
        </w:rPr>
        <w:t> </w:t>
      </w:r>
      <w:r>
        <w:rPr>
          <w:rFonts w:ascii="Times New Roman" w:hAnsi="Times New Roman" w:cs="Times New Roman"/>
          <w:sz w:val="24"/>
          <w:szCs w:val="24"/>
        </w:rPr>
        <w:t xml:space="preserve">Act, despite the relatively high penalties that may be imposed for non-compliance. </w:t>
      </w:r>
      <w:r w:rsidR="00692571">
        <w:rPr>
          <w:rFonts w:ascii="Times New Roman" w:hAnsi="Times New Roman" w:cs="Times New Roman"/>
          <w:sz w:val="24"/>
          <w:szCs w:val="24"/>
        </w:rPr>
        <w:t>As noted above in relation to section 21, t</w:t>
      </w:r>
      <w:r>
        <w:rPr>
          <w:rFonts w:ascii="Times New Roman" w:hAnsi="Times New Roman" w:cs="Times New Roman"/>
          <w:sz w:val="24"/>
          <w:szCs w:val="24"/>
        </w:rPr>
        <w:t>he OPGGS Act sets out a range of regulation-making powers to prescribe matters in relation to GHG injection and storage</w:t>
      </w:r>
      <w:r w:rsidR="00692571">
        <w:rPr>
          <w:rFonts w:ascii="Times New Roman" w:hAnsi="Times New Roman" w:cs="Times New Roman"/>
          <w:sz w:val="24"/>
          <w:szCs w:val="24"/>
        </w:rPr>
        <w:t xml:space="preserve">, including the </w:t>
      </w:r>
      <w:r>
        <w:rPr>
          <w:rFonts w:ascii="Times New Roman" w:hAnsi="Times New Roman" w:cs="Times New Roman"/>
          <w:sz w:val="24"/>
          <w:szCs w:val="24"/>
        </w:rPr>
        <w:t xml:space="preserve">matters provided for in section 22 of the GHG Regulations. It is considered that setting out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provisions (including enforcement provisions) in one instrument provides greater clarity to licensees, rather than including the substantive provisions in the regulations, and matters relating to enforcement of those provisions in the OPGGS Act.  </w:t>
      </w:r>
    </w:p>
    <w:p w14:paraId="53AF7CD9" w14:textId="7560C78B" w:rsidR="007F7F93" w:rsidRDefault="007F7F93" w:rsidP="007F7F9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is also appropriate to have the option of imposing a civil sanction through a civil penalty</w:t>
      </w:r>
      <w:r w:rsidR="00094119">
        <w:rPr>
          <w:rFonts w:ascii="Times New Roman" w:hAnsi="Times New Roman" w:cs="Times New Roman"/>
          <w:sz w:val="24"/>
          <w:szCs w:val="24"/>
          <w:shd w:val="clear" w:color="auto" w:fill="FFFFFF"/>
        </w:rPr>
        <w:t xml:space="preserve"> of 1,000 </w:t>
      </w:r>
      <w:r w:rsidR="00B7101A">
        <w:rPr>
          <w:rFonts w:ascii="Times New Roman" w:hAnsi="Times New Roman" w:cs="Times New Roman"/>
          <w:sz w:val="24"/>
          <w:szCs w:val="24"/>
          <w:shd w:val="clear" w:color="auto" w:fill="FFFFFF"/>
        </w:rPr>
        <w:t>PU</w:t>
      </w:r>
      <w:r>
        <w:rPr>
          <w:rFonts w:ascii="Times New Roman" w:hAnsi="Times New Roman" w:cs="Times New Roman"/>
          <w:sz w:val="24"/>
          <w:szCs w:val="24"/>
          <w:shd w:val="clear" w:color="auto" w:fill="FFFFFF"/>
        </w:rPr>
        <w:t xml:space="preserve">. </w:t>
      </w:r>
      <w:r w:rsidR="003235A5">
        <w:rPr>
          <w:rFonts w:ascii="Times New Roman" w:hAnsi="Times New Roman" w:cs="Times New Roman"/>
          <w:sz w:val="24"/>
          <w:szCs w:val="24"/>
          <w:shd w:val="clear" w:color="auto" w:fill="FFFFFF"/>
        </w:rPr>
        <w:t xml:space="preserve">As noted above, </w:t>
      </w:r>
      <w:r w:rsidR="003235A5" w:rsidRPr="00420D8A">
        <w:rPr>
          <w:rFonts w:ascii="Times New Roman" w:hAnsi="Times New Roman" w:cs="Times New Roman"/>
          <w:sz w:val="24"/>
          <w:szCs w:val="24"/>
        </w:rPr>
        <w:t xml:space="preserve">offshore </w:t>
      </w:r>
      <w:r w:rsidR="003235A5">
        <w:rPr>
          <w:rFonts w:ascii="Times New Roman" w:hAnsi="Times New Roman" w:cs="Times New Roman"/>
          <w:sz w:val="24"/>
          <w:szCs w:val="24"/>
        </w:rPr>
        <w:t>operations</w:t>
      </w:r>
      <w:r w:rsidR="003235A5" w:rsidRPr="00420D8A">
        <w:rPr>
          <w:rFonts w:ascii="Times New Roman" w:hAnsi="Times New Roman" w:cs="Times New Roman"/>
          <w:sz w:val="24"/>
          <w:szCs w:val="24"/>
        </w:rPr>
        <w:t xml:space="preserve"> require a very high level of expenditure</w:t>
      </w:r>
      <w:r w:rsidR="003235A5">
        <w:rPr>
          <w:rFonts w:ascii="Times New Roman" w:hAnsi="Times New Roman" w:cs="Times New Roman"/>
          <w:sz w:val="24"/>
          <w:szCs w:val="24"/>
        </w:rPr>
        <w:t xml:space="preserve">, and therefore licensees are well-resourced, sophisticated entities. </w:t>
      </w:r>
      <w:r>
        <w:rPr>
          <w:rFonts w:ascii="Times New Roman" w:hAnsi="Times New Roman" w:cs="Times New Roman"/>
          <w:sz w:val="24"/>
          <w:szCs w:val="24"/>
          <w:shd w:val="clear" w:color="auto" w:fill="FFFFFF"/>
        </w:rPr>
        <w:t>To be an effective deterrent</w:t>
      </w:r>
      <w:r w:rsidR="0012272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penalty must </w:t>
      </w:r>
      <w:r w:rsidR="00122725">
        <w:rPr>
          <w:rFonts w:ascii="Times New Roman" w:hAnsi="Times New Roman" w:cs="Times New Roman"/>
          <w:sz w:val="24"/>
          <w:szCs w:val="24"/>
          <w:shd w:val="clear" w:color="auto" w:fill="FFFFFF"/>
        </w:rPr>
        <w:t xml:space="preserve">therefore </w:t>
      </w:r>
      <w:r>
        <w:rPr>
          <w:rFonts w:ascii="Times New Roman" w:hAnsi="Times New Roman" w:cs="Times New Roman"/>
          <w:sz w:val="24"/>
          <w:szCs w:val="24"/>
          <w:shd w:val="clear" w:color="auto" w:fill="FFFFFF"/>
        </w:rPr>
        <w:t xml:space="preserve">be sufficiently significant to overcome any sense that the potential imposition of a fine for non-compliance </w:t>
      </w:r>
      <w:r w:rsidR="00094119">
        <w:rPr>
          <w:rFonts w:ascii="Times New Roman" w:hAnsi="Times New Roman" w:cs="Times New Roman"/>
          <w:sz w:val="24"/>
          <w:szCs w:val="24"/>
          <w:shd w:val="clear" w:color="auto" w:fill="FFFFFF"/>
        </w:rPr>
        <w:t xml:space="preserve">with a fundamental obligation </w:t>
      </w:r>
      <w:r>
        <w:rPr>
          <w:rFonts w:ascii="Times New Roman" w:hAnsi="Times New Roman" w:cs="Times New Roman"/>
          <w:sz w:val="24"/>
          <w:szCs w:val="24"/>
          <w:shd w:val="clear" w:color="auto" w:fill="FFFFFF"/>
        </w:rPr>
        <w:t xml:space="preserve">might otherwise be perceived as a ‘cost of doing </w:t>
      </w:r>
      <w:proofErr w:type="gramStart"/>
      <w:r>
        <w:rPr>
          <w:rFonts w:ascii="Times New Roman" w:hAnsi="Times New Roman" w:cs="Times New Roman"/>
          <w:sz w:val="24"/>
          <w:szCs w:val="24"/>
          <w:shd w:val="clear" w:color="auto" w:fill="FFFFFF"/>
        </w:rPr>
        <w:t>business’</w:t>
      </w:r>
      <w:proofErr w:type="gramEnd"/>
      <w:r>
        <w:rPr>
          <w:rFonts w:ascii="Times New Roman" w:hAnsi="Times New Roman" w:cs="Times New Roman"/>
          <w:sz w:val="24"/>
          <w:szCs w:val="24"/>
          <w:shd w:val="clear" w:color="auto" w:fill="FFFFFF"/>
        </w:rPr>
        <w:t>.</w:t>
      </w:r>
      <w:r w:rsidR="003235A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size of the penalty also reflects the cost of court proceedings that may be necessary to enforce the penalty (see </w:t>
      </w:r>
      <w:r w:rsidR="00094119">
        <w:rPr>
          <w:rFonts w:ascii="Times New Roman" w:hAnsi="Times New Roman" w:cs="Times New Roman"/>
          <w:sz w:val="24"/>
          <w:szCs w:val="24"/>
          <w:shd w:val="clear" w:color="auto" w:fill="FFFFFF"/>
        </w:rPr>
        <w:t xml:space="preserve">further at </w:t>
      </w:r>
      <w:r>
        <w:rPr>
          <w:rFonts w:ascii="Times New Roman" w:hAnsi="Times New Roman" w:cs="Times New Roman"/>
          <w:sz w:val="24"/>
          <w:szCs w:val="24"/>
          <w:shd w:val="clear" w:color="auto" w:fill="FFFFFF"/>
        </w:rPr>
        <w:t>section 57 below).</w:t>
      </w:r>
    </w:p>
    <w:p w14:paraId="44B43AA5" w14:textId="4C587F42" w:rsidR="00AB3042" w:rsidRDefault="00AB3042" w:rsidP="007F7F9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Imposing both a criminal and civil penalty will provide additional mechanisms to apply within a graduated range of enforcement tools to encourage and support industry compliance. Previous reviews have considered strong evidence that regulators are best able to secure compliance when they have a range of graduated sanctions that can be imposed, depending upon the severity of the misconduct or breaches of regulatory requirements. Providing such alternative enforcement tools will enable an appropriate and proportionate response, depending on the nature and relative seriousness of the breach that has occurred.</w:t>
      </w:r>
    </w:p>
    <w:p w14:paraId="2C25F2BE" w14:textId="741934C5" w:rsidR="00AB3042" w:rsidRPr="007906CE" w:rsidRDefault="00AB3042" w:rsidP="007F7F9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addition, the application of civil penalties (in the form of financial sanctions) as a supplement or alternative to criminal </w:t>
      </w:r>
      <w:proofErr w:type="gramStart"/>
      <w:r>
        <w:rPr>
          <w:rFonts w:ascii="Times New Roman" w:hAnsi="Times New Roman" w:cs="Times New Roman"/>
          <w:sz w:val="24"/>
          <w:szCs w:val="24"/>
          <w:shd w:val="clear" w:color="auto" w:fill="FFFFFF"/>
        </w:rPr>
        <w:t>penalties, and</w:t>
      </w:r>
      <w:proofErr w:type="gramEnd"/>
      <w:r>
        <w:rPr>
          <w:rFonts w:ascii="Times New Roman" w:hAnsi="Times New Roman" w:cs="Times New Roman"/>
          <w:sz w:val="24"/>
          <w:szCs w:val="24"/>
          <w:shd w:val="clear" w:color="auto" w:fill="FFFFFF"/>
        </w:rPr>
        <w:t xml:space="preserve"> set at an appropriate level to reflect the offshore GHG storage industry as a high-hazard industry, will encourage improved compliance with the Regulations. This will further enhance the objective</w:t>
      </w:r>
      <w:r w:rsidR="00DC6520">
        <w:rPr>
          <w:rFonts w:ascii="Times New Roman" w:hAnsi="Times New Roman" w:cs="Times New Roman"/>
          <w:sz w:val="24"/>
          <w:szCs w:val="24"/>
          <w:shd w:val="clear" w:color="auto" w:fill="FFFFFF"/>
        </w:rPr>
        <w:t>s of the</w:t>
      </w:r>
      <w:r>
        <w:rPr>
          <w:rFonts w:ascii="Times New Roman" w:hAnsi="Times New Roman" w:cs="Times New Roman"/>
          <w:sz w:val="24"/>
          <w:szCs w:val="24"/>
          <w:shd w:val="clear" w:color="auto" w:fill="FFFFFF"/>
        </w:rPr>
        <w:t xml:space="preserve"> GHG storage regime by supporting continuous improvement by industry, which is responsible under the regime to manage risks of operations.</w:t>
      </w:r>
      <w:bookmarkEnd w:id="5"/>
    </w:p>
    <w:p w14:paraId="744F98A7" w14:textId="6FCCD1B2" w:rsidR="009C55C0" w:rsidRPr="009C55C0" w:rsidRDefault="009C55C0" w:rsidP="00502CAB">
      <w:pPr>
        <w:pStyle w:val="ActHead3"/>
      </w:pPr>
      <w:r w:rsidRPr="009C55C0">
        <w:t>Division 4 – Approval of draft site plans</w:t>
      </w:r>
    </w:p>
    <w:p w14:paraId="37732629" w14:textId="4530686E" w:rsidR="00D00856" w:rsidRDefault="00D00856" w:rsidP="00502CAB">
      <w:pPr>
        <w:pStyle w:val="ActHead5"/>
        <w:spacing w:after="240"/>
      </w:pPr>
      <w:r>
        <w:t xml:space="preserve">Section </w:t>
      </w:r>
      <w:r w:rsidR="007F74F7">
        <w:t>23</w:t>
      </w:r>
      <w:r w:rsidR="00727F61">
        <w:t xml:space="preserve"> – </w:t>
      </w:r>
      <w:r w:rsidR="007F74F7">
        <w:t>Purpose</w:t>
      </w:r>
      <w:r w:rsidR="00727F61">
        <w:t xml:space="preserve"> </w:t>
      </w:r>
      <w:r w:rsidR="007F74F7">
        <w:t>of this Division</w:t>
      </w:r>
    </w:p>
    <w:p w14:paraId="62939B5D" w14:textId="664F17B8" w:rsidR="00D00856" w:rsidRPr="00D00856" w:rsidRDefault="00D00856" w:rsidP="004C6F8A">
      <w:pPr>
        <w:rPr>
          <w:rFonts w:ascii="Times New Roman" w:hAnsi="Times New Roman" w:cs="Times New Roman"/>
          <w:sz w:val="24"/>
          <w:szCs w:val="24"/>
        </w:rPr>
      </w:pPr>
      <w:r>
        <w:rPr>
          <w:rFonts w:ascii="Times New Roman" w:hAnsi="Times New Roman" w:cs="Times New Roman"/>
          <w:sz w:val="24"/>
          <w:szCs w:val="24"/>
        </w:rPr>
        <w:t>This section states that Division 4 is made for the purposes of subsection 457(3) of the OPGGS Act</w:t>
      </w:r>
      <w:r w:rsidR="000E1E00">
        <w:rPr>
          <w:rFonts w:ascii="Times New Roman" w:hAnsi="Times New Roman" w:cs="Times New Roman"/>
          <w:sz w:val="24"/>
          <w:szCs w:val="24"/>
        </w:rPr>
        <w:t xml:space="preserve">, which states that </w:t>
      </w:r>
      <w:r>
        <w:rPr>
          <w:rFonts w:ascii="Times New Roman" w:hAnsi="Times New Roman" w:cs="Times New Roman"/>
          <w:sz w:val="24"/>
          <w:szCs w:val="24"/>
        </w:rPr>
        <w:t xml:space="preserve">regulations may provide </w:t>
      </w:r>
      <w:r w:rsidR="000E1E00">
        <w:rPr>
          <w:rFonts w:ascii="Times New Roman" w:hAnsi="Times New Roman" w:cs="Times New Roman"/>
          <w:sz w:val="24"/>
          <w:szCs w:val="24"/>
        </w:rPr>
        <w:t>for</w:t>
      </w:r>
      <w:r>
        <w:rPr>
          <w:rFonts w:ascii="Times New Roman" w:hAnsi="Times New Roman" w:cs="Times New Roman"/>
          <w:sz w:val="24"/>
          <w:szCs w:val="24"/>
        </w:rPr>
        <w:t xml:space="preserve"> approval of draft site plans by the</w:t>
      </w:r>
      <w:r w:rsidR="002D4EED">
        <w:rPr>
          <w:rFonts w:ascii="Times New Roman" w:hAnsi="Times New Roman" w:cs="Times New Roman"/>
          <w:sz w:val="24"/>
          <w:szCs w:val="24"/>
        </w:rPr>
        <w:t>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w:t>
      </w:r>
    </w:p>
    <w:p w14:paraId="1F958ACF" w14:textId="2F8B9A27" w:rsidR="009C55C0" w:rsidRDefault="009C55C0" w:rsidP="00502CAB">
      <w:pPr>
        <w:pStyle w:val="ActHead5"/>
        <w:spacing w:after="240"/>
      </w:pPr>
      <w:r>
        <w:lastRenderedPageBreak/>
        <w:t>Section</w:t>
      </w:r>
      <w:r w:rsidR="007F74F7">
        <w:t xml:space="preserve"> 24</w:t>
      </w:r>
      <w:r>
        <w:t xml:space="preserve"> – Application of this Division</w:t>
      </w:r>
    </w:p>
    <w:p w14:paraId="31AAF4D1" w14:textId="07FFAFC6" w:rsidR="00257414" w:rsidRDefault="00257414" w:rsidP="004C6F8A">
      <w:pPr>
        <w:rPr>
          <w:rFonts w:ascii="Times New Roman" w:hAnsi="Times New Roman" w:cs="Times New Roman"/>
          <w:sz w:val="24"/>
          <w:szCs w:val="24"/>
        </w:rPr>
      </w:pPr>
      <w:r>
        <w:rPr>
          <w:rFonts w:ascii="Times New Roman" w:hAnsi="Times New Roman" w:cs="Times New Roman"/>
          <w:sz w:val="24"/>
          <w:szCs w:val="24"/>
        </w:rPr>
        <w:t xml:space="preserve">This section </w:t>
      </w:r>
      <w:r w:rsidR="005A5666">
        <w:rPr>
          <w:rFonts w:ascii="Times New Roman" w:hAnsi="Times New Roman" w:cs="Times New Roman"/>
          <w:sz w:val="24"/>
          <w:szCs w:val="24"/>
        </w:rPr>
        <w:t>sets out the circumstances in which Division 4 applies.</w:t>
      </w:r>
      <w:r w:rsidR="00127169">
        <w:rPr>
          <w:rFonts w:ascii="Times New Roman" w:hAnsi="Times New Roman" w:cs="Times New Roman"/>
          <w:sz w:val="24"/>
          <w:szCs w:val="24"/>
        </w:rPr>
        <w:t xml:space="preserve"> </w:t>
      </w:r>
      <w:r w:rsidR="00127169" w:rsidRPr="00127169">
        <w:rPr>
          <w:rFonts w:ascii="Times New Roman" w:hAnsi="Times New Roman" w:cs="Times New Roman"/>
          <w:sz w:val="24"/>
          <w:szCs w:val="24"/>
        </w:rPr>
        <w:t xml:space="preserve">Division </w:t>
      </w:r>
      <w:r w:rsidR="00127169">
        <w:rPr>
          <w:rFonts w:ascii="Times New Roman" w:hAnsi="Times New Roman" w:cs="Times New Roman"/>
          <w:sz w:val="24"/>
          <w:szCs w:val="24"/>
        </w:rPr>
        <w:t xml:space="preserve">4 </w:t>
      </w:r>
      <w:r w:rsidR="005A5666">
        <w:rPr>
          <w:rFonts w:ascii="Times New Roman" w:hAnsi="Times New Roman" w:cs="Times New Roman"/>
          <w:sz w:val="24"/>
          <w:szCs w:val="24"/>
        </w:rPr>
        <w:t xml:space="preserve">will </w:t>
      </w:r>
      <w:r w:rsidR="00127169" w:rsidRPr="00127169">
        <w:rPr>
          <w:rFonts w:ascii="Times New Roman" w:hAnsi="Times New Roman" w:cs="Times New Roman"/>
          <w:sz w:val="24"/>
          <w:szCs w:val="24"/>
        </w:rPr>
        <w:t>appl</w:t>
      </w:r>
      <w:r w:rsidR="005A5666">
        <w:rPr>
          <w:rFonts w:ascii="Times New Roman" w:hAnsi="Times New Roman" w:cs="Times New Roman"/>
          <w:sz w:val="24"/>
          <w:szCs w:val="24"/>
        </w:rPr>
        <w:t>y</w:t>
      </w:r>
      <w:r w:rsidR="00127169" w:rsidRPr="00127169">
        <w:rPr>
          <w:rFonts w:ascii="Times New Roman" w:hAnsi="Times New Roman" w:cs="Times New Roman"/>
          <w:sz w:val="24"/>
          <w:szCs w:val="24"/>
        </w:rPr>
        <w:t xml:space="preserve"> if the </w:t>
      </w:r>
      <w:r w:rsidR="00B84F3E">
        <w:rPr>
          <w:rFonts w:ascii="Times New Roman" w:hAnsi="Times New Roman" w:cs="Times New Roman"/>
          <w:sz w:val="24"/>
          <w:szCs w:val="24"/>
        </w:rPr>
        <w:t xml:space="preserve">responsible Commonwealth </w:t>
      </w:r>
      <w:r w:rsidR="00127169" w:rsidRPr="00127169">
        <w:rPr>
          <w:rFonts w:ascii="Times New Roman" w:hAnsi="Times New Roman" w:cs="Times New Roman"/>
          <w:sz w:val="24"/>
          <w:szCs w:val="24"/>
        </w:rPr>
        <w:t xml:space="preserve">Minister receives a draft site plan in relation to an identified </w:t>
      </w:r>
      <w:r w:rsidR="00127169">
        <w:rPr>
          <w:rFonts w:ascii="Times New Roman" w:hAnsi="Times New Roman" w:cs="Times New Roman"/>
          <w:sz w:val="24"/>
          <w:szCs w:val="24"/>
        </w:rPr>
        <w:t>GHG</w:t>
      </w:r>
      <w:r w:rsidR="00127169" w:rsidRPr="00127169">
        <w:rPr>
          <w:rFonts w:ascii="Times New Roman" w:hAnsi="Times New Roman" w:cs="Times New Roman"/>
          <w:sz w:val="24"/>
          <w:szCs w:val="24"/>
        </w:rPr>
        <w:t xml:space="preserve"> storage formation accompanying a</w:t>
      </w:r>
      <w:r w:rsidR="005A5666">
        <w:rPr>
          <w:rFonts w:ascii="Times New Roman" w:hAnsi="Times New Roman" w:cs="Times New Roman"/>
          <w:sz w:val="24"/>
          <w:szCs w:val="24"/>
        </w:rPr>
        <w:t>n application for a GHG injection</w:t>
      </w:r>
      <w:r w:rsidR="00127169" w:rsidRPr="00127169">
        <w:rPr>
          <w:rFonts w:ascii="Times New Roman" w:hAnsi="Times New Roman" w:cs="Times New Roman"/>
          <w:sz w:val="24"/>
          <w:szCs w:val="24"/>
        </w:rPr>
        <w:t xml:space="preserve"> licence</w:t>
      </w:r>
      <w:r w:rsidR="0005123E">
        <w:rPr>
          <w:rFonts w:ascii="Times New Roman" w:hAnsi="Times New Roman" w:cs="Times New Roman"/>
          <w:sz w:val="24"/>
          <w:szCs w:val="24"/>
        </w:rPr>
        <w:t>, to require</w:t>
      </w:r>
      <w:r w:rsidR="005A5666">
        <w:rPr>
          <w:rFonts w:ascii="Times New Roman" w:hAnsi="Times New Roman" w:cs="Times New Roman"/>
          <w:sz w:val="24"/>
          <w:szCs w:val="24"/>
        </w:rPr>
        <w:t xml:space="preserve"> the Minister </w:t>
      </w:r>
      <w:r w:rsidR="0005123E">
        <w:rPr>
          <w:rFonts w:ascii="Times New Roman" w:hAnsi="Times New Roman" w:cs="Times New Roman"/>
          <w:sz w:val="24"/>
          <w:szCs w:val="24"/>
        </w:rPr>
        <w:t>to</w:t>
      </w:r>
      <w:r w:rsidR="005A5666">
        <w:rPr>
          <w:rFonts w:ascii="Times New Roman" w:hAnsi="Times New Roman" w:cs="Times New Roman"/>
          <w:sz w:val="24"/>
          <w:szCs w:val="24"/>
        </w:rPr>
        <w:t xml:space="preserve"> </w:t>
      </w:r>
      <w:proofErr w:type="gramStart"/>
      <w:r w:rsidR="005A5666">
        <w:rPr>
          <w:rFonts w:ascii="Times New Roman" w:hAnsi="Times New Roman" w:cs="Times New Roman"/>
          <w:sz w:val="24"/>
          <w:szCs w:val="24"/>
        </w:rPr>
        <w:t>make a decision</w:t>
      </w:r>
      <w:proofErr w:type="gramEnd"/>
      <w:r w:rsidR="005A5666">
        <w:rPr>
          <w:rFonts w:ascii="Times New Roman" w:hAnsi="Times New Roman" w:cs="Times New Roman"/>
          <w:sz w:val="24"/>
          <w:szCs w:val="24"/>
        </w:rPr>
        <w:t xml:space="preserve"> in relation to the plan</w:t>
      </w:r>
      <w:r w:rsidR="00127169" w:rsidRPr="00127169">
        <w:rPr>
          <w:rFonts w:ascii="Times New Roman" w:hAnsi="Times New Roman" w:cs="Times New Roman"/>
          <w:sz w:val="24"/>
          <w:szCs w:val="24"/>
        </w:rPr>
        <w:t>.</w:t>
      </w:r>
    </w:p>
    <w:p w14:paraId="76E06163" w14:textId="6B594AFD" w:rsidR="00257414" w:rsidRDefault="00257414" w:rsidP="00502CAB">
      <w:pPr>
        <w:pStyle w:val="ActHead5"/>
        <w:spacing w:after="240"/>
      </w:pPr>
      <w:r>
        <w:t xml:space="preserve">Section </w:t>
      </w:r>
      <w:r w:rsidR="007F74F7">
        <w:t>25</w:t>
      </w:r>
      <w:r>
        <w:t xml:space="preserve"> – Decision on approval of draft site plan </w:t>
      </w:r>
    </w:p>
    <w:p w14:paraId="1DAA643D" w14:textId="55F2E060" w:rsidR="001A20EA" w:rsidRDefault="00257414" w:rsidP="00BC1751">
      <w:pPr>
        <w:rPr>
          <w:rFonts w:ascii="Times New Roman" w:hAnsi="Times New Roman" w:cs="Times New Roman"/>
          <w:sz w:val="24"/>
          <w:szCs w:val="24"/>
        </w:rPr>
      </w:pPr>
      <w:bookmarkStart w:id="7" w:name="_Hlk146808427"/>
      <w:r w:rsidRPr="00BC1751">
        <w:rPr>
          <w:rFonts w:ascii="Times New Roman" w:hAnsi="Times New Roman" w:cs="Times New Roman"/>
          <w:sz w:val="24"/>
          <w:szCs w:val="24"/>
        </w:rPr>
        <w:t xml:space="preserve">This section </w:t>
      </w:r>
      <w:r w:rsidR="000E1E00" w:rsidRPr="00BC1751">
        <w:rPr>
          <w:rFonts w:ascii="Times New Roman" w:hAnsi="Times New Roman" w:cs="Times New Roman"/>
          <w:sz w:val="24"/>
          <w:szCs w:val="24"/>
        </w:rPr>
        <w:t>requires</w:t>
      </w:r>
      <w:r w:rsidR="001A20EA" w:rsidRPr="00BC1751">
        <w:rPr>
          <w:rFonts w:ascii="Times New Roman" w:hAnsi="Times New Roman" w:cs="Times New Roman"/>
          <w:sz w:val="24"/>
          <w:szCs w:val="24"/>
        </w:rPr>
        <w:t xml:space="preserve"> the </w:t>
      </w:r>
      <w:r w:rsidR="00B84F3E">
        <w:rPr>
          <w:rFonts w:ascii="Times New Roman" w:hAnsi="Times New Roman" w:cs="Times New Roman"/>
          <w:sz w:val="24"/>
          <w:szCs w:val="24"/>
        </w:rPr>
        <w:t xml:space="preserve">responsible Commonwealth </w:t>
      </w:r>
      <w:r w:rsidR="001A20EA" w:rsidRPr="00BC1751">
        <w:rPr>
          <w:rFonts w:ascii="Times New Roman" w:hAnsi="Times New Roman" w:cs="Times New Roman"/>
          <w:sz w:val="24"/>
          <w:szCs w:val="24"/>
        </w:rPr>
        <w:t xml:space="preserve">Minister </w:t>
      </w:r>
      <w:r w:rsidR="000E1E00" w:rsidRPr="00BC1751">
        <w:rPr>
          <w:rFonts w:ascii="Times New Roman" w:hAnsi="Times New Roman" w:cs="Times New Roman"/>
          <w:sz w:val="24"/>
          <w:szCs w:val="24"/>
        </w:rPr>
        <w:t>to</w:t>
      </w:r>
      <w:r w:rsidR="001A20EA" w:rsidRPr="00BC1751">
        <w:rPr>
          <w:rFonts w:ascii="Times New Roman" w:hAnsi="Times New Roman" w:cs="Times New Roman"/>
          <w:sz w:val="24"/>
          <w:szCs w:val="24"/>
        </w:rPr>
        <w:t xml:space="preserve"> either approve or refuse to approve </w:t>
      </w:r>
      <w:r w:rsidR="000E1E00" w:rsidRPr="00BC1751">
        <w:rPr>
          <w:rFonts w:ascii="Times New Roman" w:hAnsi="Times New Roman" w:cs="Times New Roman"/>
          <w:sz w:val="24"/>
          <w:szCs w:val="24"/>
        </w:rPr>
        <w:t>a</w:t>
      </w:r>
      <w:r w:rsidR="001A20EA" w:rsidRPr="00BC1751">
        <w:rPr>
          <w:rFonts w:ascii="Times New Roman" w:hAnsi="Times New Roman" w:cs="Times New Roman"/>
          <w:sz w:val="24"/>
          <w:szCs w:val="24"/>
        </w:rPr>
        <w:t xml:space="preserve"> draft site plan. The Minister may approve the draft site plan if reasonably satisfied that it meets the criteria set out in Division 2</w:t>
      </w:r>
      <w:r w:rsidR="0003531A">
        <w:rPr>
          <w:rFonts w:ascii="Times New Roman" w:hAnsi="Times New Roman" w:cs="Times New Roman"/>
          <w:sz w:val="24"/>
          <w:szCs w:val="24"/>
        </w:rPr>
        <w:t xml:space="preserve"> of Part 4 of the GHG Regulations</w:t>
      </w:r>
      <w:r w:rsidR="001A20EA" w:rsidRPr="00BC1751">
        <w:rPr>
          <w:rFonts w:ascii="Times New Roman" w:hAnsi="Times New Roman" w:cs="Times New Roman"/>
          <w:sz w:val="24"/>
          <w:szCs w:val="24"/>
        </w:rPr>
        <w:t xml:space="preserve">. The Minister may </w:t>
      </w:r>
      <w:r w:rsidR="0003531A">
        <w:rPr>
          <w:rFonts w:ascii="Times New Roman" w:hAnsi="Times New Roman" w:cs="Times New Roman"/>
          <w:sz w:val="24"/>
          <w:szCs w:val="24"/>
        </w:rPr>
        <w:t xml:space="preserve">also </w:t>
      </w:r>
      <w:r w:rsidR="001A20EA" w:rsidRPr="00BC1751">
        <w:rPr>
          <w:rFonts w:ascii="Times New Roman" w:hAnsi="Times New Roman" w:cs="Times New Roman"/>
          <w:sz w:val="24"/>
          <w:szCs w:val="24"/>
        </w:rPr>
        <w:t xml:space="preserve">have regard to any other matters </w:t>
      </w:r>
      <w:r w:rsidR="0003531A">
        <w:rPr>
          <w:rFonts w:ascii="Times New Roman" w:hAnsi="Times New Roman" w:cs="Times New Roman"/>
          <w:sz w:val="24"/>
          <w:szCs w:val="24"/>
        </w:rPr>
        <w:t>the Minister</w:t>
      </w:r>
      <w:r w:rsidR="001A20EA" w:rsidRPr="00BC1751">
        <w:rPr>
          <w:rFonts w:ascii="Times New Roman" w:hAnsi="Times New Roman" w:cs="Times New Roman"/>
          <w:sz w:val="24"/>
          <w:szCs w:val="24"/>
        </w:rPr>
        <w:t xml:space="preserve"> considers relevant in deciding whether to approve the draft site plan.</w:t>
      </w:r>
    </w:p>
    <w:p w14:paraId="3C686952" w14:textId="37309657" w:rsidR="00561773" w:rsidRDefault="00094119" w:rsidP="00561773">
      <w:pPr>
        <w:rPr>
          <w:rFonts w:ascii="Times New Roman" w:hAnsi="Times New Roman" w:cs="Times New Roman"/>
          <w:sz w:val="24"/>
          <w:szCs w:val="24"/>
        </w:rPr>
      </w:pPr>
      <w:r>
        <w:rPr>
          <w:rFonts w:ascii="Times New Roman" w:hAnsi="Times New Roman" w:cs="Times New Roman"/>
          <w:sz w:val="24"/>
          <w:szCs w:val="24"/>
        </w:rPr>
        <w:t xml:space="preserve">The </w:t>
      </w:r>
      <w:r w:rsidR="00CE7EDF">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Minister’s decision under section 25 is not subject to merits review. </w:t>
      </w:r>
      <w:r w:rsidR="00FC5829">
        <w:rPr>
          <w:rFonts w:ascii="Times New Roman" w:hAnsi="Times New Roman" w:cs="Times New Roman"/>
          <w:sz w:val="24"/>
          <w:szCs w:val="24"/>
        </w:rPr>
        <w:t xml:space="preserve">This </w:t>
      </w:r>
      <w:r w:rsidR="00561773">
        <w:rPr>
          <w:rFonts w:ascii="Times New Roman" w:hAnsi="Times New Roman" w:cs="Times New Roman"/>
          <w:sz w:val="24"/>
          <w:szCs w:val="24"/>
        </w:rPr>
        <w:t>accords</w:t>
      </w:r>
      <w:r w:rsidR="00FC5829">
        <w:rPr>
          <w:rFonts w:ascii="Times New Roman" w:hAnsi="Times New Roman" w:cs="Times New Roman"/>
          <w:sz w:val="24"/>
          <w:szCs w:val="24"/>
        </w:rPr>
        <w:t xml:space="preserve"> with the principles set out by t</w:t>
      </w:r>
      <w:r w:rsidR="00FC5829" w:rsidRPr="00094119">
        <w:rPr>
          <w:rFonts w:ascii="Times New Roman" w:hAnsi="Times New Roman" w:cs="Times New Roman"/>
          <w:sz w:val="24"/>
          <w:szCs w:val="24"/>
        </w:rPr>
        <w:t xml:space="preserve">he ARC in its publication </w:t>
      </w:r>
      <w:hyperlink r:id="rId14" w:history="1">
        <w:r w:rsidR="00FC5829" w:rsidRPr="00FC5829">
          <w:rPr>
            <w:rStyle w:val="Hyperlink"/>
            <w:rFonts w:ascii="Times New Roman" w:hAnsi="Times New Roman" w:cs="Times New Roman"/>
            <w:i/>
            <w:iCs/>
            <w:sz w:val="24"/>
            <w:szCs w:val="24"/>
          </w:rPr>
          <w:t>What decisions should be subject to merit review?</w:t>
        </w:r>
      </w:hyperlink>
      <w:r w:rsidR="00FC5829" w:rsidRPr="00FC5829">
        <w:rPr>
          <w:rFonts w:ascii="Times New Roman" w:hAnsi="Times New Roman" w:cs="Times New Roman"/>
          <w:i/>
          <w:iCs/>
          <w:sz w:val="24"/>
          <w:szCs w:val="24"/>
        </w:rPr>
        <w:t xml:space="preserve"> </w:t>
      </w:r>
      <w:r w:rsidR="00FC5829">
        <w:rPr>
          <w:rFonts w:ascii="Times New Roman" w:hAnsi="Times New Roman" w:cs="Times New Roman"/>
          <w:sz w:val="24"/>
          <w:szCs w:val="24"/>
        </w:rPr>
        <w:t xml:space="preserve">(1999). The ARC </w:t>
      </w:r>
      <w:r w:rsidR="00FC5829" w:rsidRPr="00094119">
        <w:rPr>
          <w:rFonts w:ascii="Times New Roman" w:hAnsi="Times New Roman" w:cs="Times New Roman"/>
          <w:sz w:val="24"/>
          <w:szCs w:val="24"/>
        </w:rPr>
        <w:t xml:space="preserve">considered </w:t>
      </w:r>
      <w:r w:rsidR="00FC5829">
        <w:rPr>
          <w:rFonts w:ascii="Times New Roman" w:hAnsi="Times New Roman" w:cs="Times New Roman"/>
          <w:sz w:val="24"/>
          <w:szCs w:val="24"/>
        </w:rPr>
        <w:t xml:space="preserve">that preliminary or procedural decisions </w:t>
      </w:r>
      <w:r w:rsidR="00FC5829" w:rsidRPr="00094119">
        <w:rPr>
          <w:rFonts w:ascii="Times New Roman" w:hAnsi="Times New Roman" w:cs="Times New Roman"/>
          <w:sz w:val="24"/>
          <w:szCs w:val="24"/>
        </w:rPr>
        <w:t xml:space="preserve">would be unsuitable for review as </w:t>
      </w:r>
      <w:r w:rsidR="00EB74D6">
        <w:rPr>
          <w:rFonts w:ascii="Times New Roman" w:hAnsi="Times New Roman" w:cs="Times New Roman"/>
          <w:sz w:val="24"/>
          <w:szCs w:val="24"/>
        </w:rPr>
        <w:t>a</w:t>
      </w:r>
      <w:r w:rsidR="00561773">
        <w:rPr>
          <w:rFonts w:ascii="Times New Roman" w:hAnsi="Times New Roman" w:cs="Times New Roman"/>
          <w:sz w:val="24"/>
          <w:szCs w:val="24"/>
        </w:rPr>
        <w:t xml:space="preserve"> review</w:t>
      </w:r>
      <w:r w:rsidR="00FC5829" w:rsidRPr="00094119">
        <w:rPr>
          <w:rFonts w:ascii="Times New Roman" w:hAnsi="Times New Roman" w:cs="Times New Roman"/>
          <w:sz w:val="24"/>
          <w:szCs w:val="24"/>
        </w:rPr>
        <w:t xml:space="preserve"> may lead to unnecessary frustration or delay of the administrative decision-making process. </w:t>
      </w:r>
      <w:r w:rsidR="00FC5829">
        <w:rPr>
          <w:rFonts w:ascii="Times New Roman" w:hAnsi="Times New Roman" w:cs="Times New Roman"/>
          <w:sz w:val="24"/>
          <w:szCs w:val="24"/>
        </w:rPr>
        <w:t>The Minister’s decision</w:t>
      </w:r>
      <w:r w:rsidR="00561773">
        <w:rPr>
          <w:rFonts w:ascii="Times New Roman" w:hAnsi="Times New Roman" w:cs="Times New Roman"/>
          <w:sz w:val="24"/>
          <w:szCs w:val="24"/>
        </w:rPr>
        <w:t xml:space="preserve"> as to </w:t>
      </w:r>
      <w:r w:rsidR="00FC5829">
        <w:rPr>
          <w:rFonts w:ascii="Times New Roman" w:hAnsi="Times New Roman" w:cs="Times New Roman"/>
          <w:sz w:val="24"/>
          <w:szCs w:val="24"/>
        </w:rPr>
        <w:t xml:space="preserve">whether a draft site plan </w:t>
      </w:r>
      <w:r w:rsidR="00561773">
        <w:rPr>
          <w:rFonts w:ascii="Times New Roman" w:hAnsi="Times New Roman" w:cs="Times New Roman"/>
          <w:sz w:val="24"/>
          <w:szCs w:val="24"/>
        </w:rPr>
        <w:t xml:space="preserve">should be approved </w:t>
      </w:r>
      <w:r w:rsidR="00FC5829">
        <w:rPr>
          <w:rFonts w:ascii="Times New Roman" w:hAnsi="Times New Roman" w:cs="Times New Roman"/>
          <w:sz w:val="24"/>
          <w:szCs w:val="24"/>
        </w:rPr>
        <w:t xml:space="preserve">is a preliminary step in the </w:t>
      </w:r>
      <w:r w:rsidR="00561773">
        <w:rPr>
          <w:rFonts w:ascii="Times New Roman" w:hAnsi="Times New Roman" w:cs="Times New Roman"/>
          <w:sz w:val="24"/>
          <w:szCs w:val="24"/>
        </w:rPr>
        <w:t xml:space="preserve">substantive </w:t>
      </w:r>
      <w:r w:rsidR="00FC5829">
        <w:rPr>
          <w:rFonts w:ascii="Times New Roman" w:hAnsi="Times New Roman" w:cs="Times New Roman"/>
          <w:sz w:val="24"/>
          <w:szCs w:val="24"/>
        </w:rPr>
        <w:t>decision</w:t>
      </w:r>
      <w:r w:rsidR="00561773">
        <w:rPr>
          <w:rFonts w:ascii="Times New Roman" w:hAnsi="Times New Roman" w:cs="Times New Roman"/>
          <w:sz w:val="24"/>
          <w:szCs w:val="24"/>
        </w:rPr>
        <w:t xml:space="preserve"> under the OPGGS</w:t>
      </w:r>
      <w:r w:rsidR="00A071C6">
        <w:rPr>
          <w:rFonts w:ascii="Times New Roman" w:hAnsi="Times New Roman" w:cs="Times New Roman"/>
          <w:sz w:val="24"/>
          <w:szCs w:val="24"/>
        </w:rPr>
        <w:t> </w:t>
      </w:r>
      <w:r w:rsidR="00561773">
        <w:rPr>
          <w:rFonts w:ascii="Times New Roman" w:hAnsi="Times New Roman" w:cs="Times New Roman"/>
          <w:sz w:val="24"/>
          <w:szCs w:val="24"/>
        </w:rPr>
        <w:t>Act as to whether</w:t>
      </w:r>
      <w:r w:rsidR="00FC5829">
        <w:rPr>
          <w:rFonts w:ascii="Times New Roman" w:hAnsi="Times New Roman" w:cs="Times New Roman"/>
          <w:sz w:val="24"/>
          <w:szCs w:val="24"/>
        </w:rPr>
        <w:t xml:space="preserve"> </w:t>
      </w:r>
      <w:r w:rsidR="00A85073">
        <w:rPr>
          <w:rFonts w:ascii="Times New Roman" w:hAnsi="Times New Roman" w:cs="Times New Roman"/>
          <w:sz w:val="24"/>
          <w:szCs w:val="24"/>
        </w:rPr>
        <w:t xml:space="preserve">to give an applicant for a GHG injection licence </w:t>
      </w:r>
      <w:r w:rsidR="00561773" w:rsidRPr="00094119">
        <w:rPr>
          <w:rFonts w:ascii="Times New Roman" w:hAnsi="Times New Roman" w:cs="Times New Roman"/>
          <w:sz w:val="24"/>
          <w:szCs w:val="24"/>
        </w:rPr>
        <w:t xml:space="preserve">an offer document </w:t>
      </w:r>
      <w:r w:rsidR="00A85073">
        <w:rPr>
          <w:rFonts w:ascii="Times New Roman" w:hAnsi="Times New Roman" w:cs="Times New Roman"/>
          <w:sz w:val="24"/>
          <w:szCs w:val="24"/>
        </w:rPr>
        <w:t>telling the applicant that the Minister is prepared to grant the</w:t>
      </w:r>
      <w:r w:rsidR="00FC5829">
        <w:rPr>
          <w:rFonts w:ascii="Times New Roman" w:hAnsi="Times New Roman" w:cs="Times New Roman"/>
          <w:sz w:val="24"/>
          <w:szCs w:val="24"/>
        </w:rPr>
        <w:t xml:space="preserve"> </w:t>
      </w:r>
      <w:r w:rsidR="00561773">
        <w:rPr>
          <w:rFonts w:ascii="Times New Roman" w:hAnsi="Times New Roman" w:cs="Times New Roman"/>
          <w:sz w:val="24"/>
          <w:szCs w:val="24"/>
        </w:rPr>
        <w:t>licence</w:t>
      </w:r>
      <w:r w:rsidR="00A85073">
        <w:rPr>
          <w:rFonts w:ascii="Times New Roman" w:hAnsi="Times New Roman" w:cs="Times New Roman"/>
          <w:sz w:val="24"/>
          <w:szCs w:val="24"/>
        </w:rPr>
        <w:t xml:space="preserve"> (which is itself not a reviewable decision).</w:t>
      </w:r>
    </w:p>
    <w:p w14:paraId="0AC98C7E" w14:textId="7EDEDE31" w:rsidR="00A85073" w:rsidRDefault="009175D1" w:rsidP="00561773">
      <w:pPr>
        <w:rPr>
          <w:rFonts w:ascii="Times New Roman" w:hAnsi="Times New Roman" w:cs="Times New Roman"/>
          <w:sz w:val="24"/>
          <w:szCs w:val="24"/>
        </w:rPr>
      </w:pPr>
      <w:r>
        <w:rPr>
          <w:rFonts w:ascii="Times New Roman" w:hAnsi="Times New Roman" w:cs="Times New Roman"/>
          <w:sz w:val="24"/>
          <w:szCs w:val="24"/>
        </w:rPr>
        <w:t>In addition, a decision to approve or refuse to approve a draft site plan involves the evaluation of complex and competing facts, and highly technical matters such as predictions of the behaviour of a GHG substance within an identified GHG storage formation. A merits review tribunal would be required to possess or obtain expertise in relation to the risks and management of GHG storage operations.</w:t>
      </w:r>
      <w:r w:rsidR="00013B9A">
        <w:rPr>
          <w:rFonts w:ascii="Times New Roman" w:hAnsi="Times New Roman" w:cs="Times New Roman"/>
          <w:sz w:val="24"/>
          <w:szCs w:val="24"/>
        </w:rPr>
        <w:t xml:space="preserve"> The costs, difficulty and potential delays in finding expertise may outweigh any impact a lack of merits review may have on the applicant.</w:t>
      </w:r>
      <w:r>
        <w:rPr>
          <w:rFonts w:ascii="Times New Roman" w:hAnsi="Times New Roman" w:cs="Times New Roman"/>
          <w:sz w:val="24"/>
          <w:szCs w:val="24"/>
        </w:rPr>
        <w:t xml:space="preserve"> </w:t>
      </w:r>
      <w:r w:rsidR="00013B9A">
        <w:rPr>
          <w:rFonts w:ascii="Times New Roman" w:hAnsi="Times New Roman" w:cs="Times New Roman"/>
          <w:sz w:val="24"/>
          <w:szCs w:val="24"/>
        </w:rPr>
        <w:t>Further, i</w:t>
      </w:r>
      <w:r>
        <w:rPr>
          <w:rFonts w:ascii="Times New Roman" w:hAnsi="Times New Roman" w:cs="Times New Roman"/>
          <w:sz w:val="24"/>
          <w:szCs w:val="24"/>
        </w:rPr>
        <w:t xml:space="preserve">f the </w:t>
      </w:r>
      <w:r w:rsidR="00CE7EDF">
        <w:rPr>
          <w:rFonts w:ascii="Times New Roman" w:hAnsi="Times New Roman" w:cs="Times New Roman"/>
          <w:sz w:val="24"/>
          <w:szCs w:val="24"/>
        </w:rPr>
        <w:t xml:space="preserve">responsible Commonwealth </w:t>
      </w:r>
      <w:r>
        <w:rPr>
          <w:rFonts w:ascii="Times New Roman" w:hAnsi="Times New Roman" w:cs="Times New Roman"/>
          <w:sz w:val="24"/>
          <w:szCs w:val="24"/>
        </w:rPr>
        <w:t>Minister refuses to approve a draft site plan, the Minister must provide reasons</w:t>
      </w:r>
      <w:r w:rsidR="00013B9A">
        <w:rPr>
          <w:rFonts w:ascii="Times New Roman" w:hAnsi="Times New Roman" w:cs="Times New Roman"/>
          <w:sz w:val="24"/>
          <w:szCs w:val="24"/>
        </w:rPr>
        <w:t xml:space="preserve"> (under section 28 of the GHG Regulations). </w:t>
      </w:r>
      <w:proofErr w:type="gramStart"/>
      <w:r w:rsidR="00013B9A">
        <w:rPr>
          <w:rFonts w:ascii="Times New Roman" w:hAnsi="Times New Roman" w:cs="Times New Roman"/>
          <w:sz w:val="24"/>
          <w:szCs w:val="24"/>
        </w:rPr>
        <w:t>As long as</w:t>
      </w:r>
      <w:proofErr w:type="gramEnd"/>
      <w:r w:rsidR="00013B9A">
        <w:rPr>
          <w:rFonts w:ascii="Times New Roman" w:hAnsi="Times New Roman" w:cs="Times New Roman"/>
          <w:sz w:val="24"/>
          <w:szCs w:val="24"/>
        </w:rPr>
        <w:t xml:space="preserve"> the applicant’s existing title remains in force, t</w:t>
      </w:r>
      <w:r>
        <w:rPr>
          <w:rFonts w:ascii="Times New Roman" w:hAnsi="Times New Roman" w:cs="Times New Roman"/>
          <w:sz w:val="24"/>
          <w:szCs w:val="24"/>
        </w:rPr>
        <w:t xml:space="preserve">he applicant will be able to submit a further </w:t>
      </w:r>
      <w:r w:rsidR="00013B9A">
        <w:rPr>
          <w:rFonts w:ascii="Times New Roman" w:hAnsi="Times New Roman" w:cs="Times New Roman"/>
          <w:sz w:val="24"/>
          <w:szCs w:val="24"/>
        </w:rPr>
        <w:t xml:space="preserve">application for a GHG injection licence, including a new </w:t>
      </w:r>
      <w:r>
        <w:rPr>
          <w:rFonts w:ascii="Times New Roman" w:hAnsi="Times New Roman" w:cs="Times New Roman"/>
          <w:sz w:val="24"/>
          <w:szCs w:val="24"/>
        </w:rPr>
        <w:t xml:space="preserve">plan </w:t>
      </w:r>
      <w:r w:rsidR="00013B9A">
        <w:rPr>
          <w:rFonts w:ascii="Times New Roman" w:hAnsi="Times New Roman" w:cs="Times New Roman"/>
          <w:sz w:val="24"/>
          <w:szCs w:val="24"/>
        </w:rPr>
        <w:t xml:space="preserve">that </w:t>
      </w:r>
      <w:r>
        <w:rPr>
          <w:rFonts w:ascii="Times New Roman" w:hAnsi="Times New Roman" w:cs="Times New Roman"/>
          <w:sz w:val="24"/>
          <w:szCs w:val="24"/>
        </w:rPr>
        <w:t>tak</w:t>
      </w:r>
      <w:r w:rsidR="00013B9A">
        <w:rPr>
          <w:rFonts w:ascii="Times New Roman" w:hAnsi="Times New Roman" w:cs="Times New Roman"/>
          <w:sz w:val="24"/>
          <w:szCs w:val="24"/>
        </w:rPr>
        <w:t>es</w:t>
      </w:r>
      <w:r>
        <w:rPr>
          <w:rFonts w:ascii="Times New Roman" w:hAnsi="Times New Roman" w:cs="Times New Roman"/>
          <w:sz w:val="24"/>
          <w:szCs w:val="24"/>
        </w:rPr>
        <w:t xml:space="preserve"> account of those reasons.  </w:t>
      </w:r>
    </w:p>
    <w:p w14:paraId="08888803" w14:textId="24DC0818" w:rsidR="00561773" w:rsidRDefault="00EB74D6" w:rsidP="00561773">
      <w:pPr>
        <w:rPr>
          <w:rFonts w:ascii="Times New Roman" w:hAnsi="Times New Roman" w:cs="Times New Roman"/>
          <w:sz w:val="24"/>
          <w:szCs w:val="24"/>
        </w:rPr>
      </w:pPr>
      <w:r>
        <w:rPr>
          <w:rFonts w:ascii="Times New Roman" w:hAnsi="Times New Roman" w:cs="Times New Roman"/>
          <w:sz w:val="24"/>
          <w:szCs w:val="24"/>
        </w:rPr>
        <w:t>B</w:t>
      </w:r>
      <w:r w:rsidR="00094119">
        <w:rPr>
          <w:rFonts w:ascii="Times New Roman" w:hAnsi="Times New Roman" w:cs="Times New Roman"/>
          <w:sz w:val="24"/>
          <w:szCs w:val="24"/>
        </w:rPr>
        <w:t>efore approval of a draft site plan</w:t>
      </w:r>
      <w:r w:rsidR="00561773">
        <w:rPr>
          <w:rFonts w:ascii="Times New Roman" w:hAnsi="Times New Roman" w:cs="Times New Roman"/>
          <w:sz w:val="24"/>
          <w:szCs w:val="24"/>
        </w:rPr>
        <w:t xml:space="preserve"> is refused</w:t>
      </w:r>
      <w:r w:rsidR="007F2B56">
        <w:rPr>
          <w:rFonts w:ascii="Times New Roman" w:hAnsi="Times New Roman" w:cs="Times New Roman"/>
          <w:sz w:val="24"/>
          <w:szCs w:val="24"/>
        </w:rPr>
        <w:t xml:space="preserve"> on the basis that the </w:t>
      </w:r>
      <w:r w:rsidR="00CE7EDF">
        <w:rPr>
          <w:rFonts w:ascii="Times New Roman" w:hAnsi="Times New Roman" w:cs="Times New Roman"/>
          <w:sz w:val="24"/>
          <w:szCs w:val="24"/>
        </w:rPr>
        <w:t xml:space="preserve">responsible Commonwealth </w:t>
      </w:r>
      <w:r w:rsidR="007F2B56">
        <w:rPr>
          <w:rFonts w:ascii="Times New Roman" w:hAnsi="Times New Roman" w:cs="Times New Roman"/>
          <w:sz w:val="24"/>
          <w:szCs w:val="24"/>
        </w:rPr>
        <w:t>Minister is not satisfied that the plan meets the criteria set out in Division 2, the applicant must be given an opportunity to vary the draft site plan</w:t>
      </w:r>
      <w:r w:rsidR="00094119">
        <w:rPr>
          <w:rFonts w:ascii="Times New Roman" w:hAnsi="Times New Roman" w:cs="Times New Roman"/>
          <w:sz w:val="24"/>
          <w:szCs w:val="24"/>
        </w:rPr>
        <w:t>,</w:t>
      </w:r>
      <w:r w:rsidR="007F2B56">
        <w:rPr>
          <w:rFonts w:ascii="Times New Roman" w:hAnsi="Times New Roman" w:cs="Times New Roman"/>
          <w:sz w:val="24"/>
          <w:szCs w:val="24"/>
        </w:rPr>
        <w:t xml:space="preserve"> or provide further information, if the Minister reasonably believes that varying the plan or providing the additional information could so satisfy the Minister (see section 27 below).</w:t>
      </w:r>
      <w:bookmarkEnd w:id="7"/>
      <w:r w:rsidR="00094119">
        <w:rPr>
          <w:rFonts w:ascii="Times New Roman" w:hAnsi="Times New Roman" w:cs="Times New Roman"/>
          <w:sz w:val="24"/>
          <w:szCs w:val="24"/>
        </w:rPr>
        <w:t xml:space="preserve"> </w:t>
      </w:r>
    </w:p>
    <w:p w14:paraId="3A5E1AA1" w14:textId="70D03E9F" w:rsidR="0095255B" w:rsidRPr="00243B53" w:rsidRDefault="00427D2C" w:rsidP="00561773">
      <w:pPr>
        <w:rPr>
          <w:rFonts w:ascii="Times New Roman" w:hAnsi="Times New Roman" w:cs="Times New Roman"/>
          <w:sz w:val="24"/>
          <w:szCs w:val="24"/>
        </w:rPr>
      </w:pPr>
      <w:r w:rsidRPr="00243B53">
        <w:rPr>
          <w:rFonts w:ascii="Times New Roman" w:hAnsi="Times New Roman" w:cs="Times New Roman"/>
          <w:sz w:val="24"/>
          <w:szCs w:val="24"/>
        </w:rPr>
        <w:t xml:space="preserve">Subsection 25(3) provides that the Minister may have regard to any other matters the Minister considers relevant when </w:t>
      </w:r>
      <w:proofErr w:type="gramStart"/>
      <w:r w:rsidRPr="00243B53">
        <w:rPr>
          <w:rFonts w:ascii="Times New Roman" w:hAnsi="Times New Roman" w:cs="Times New Roman"/>
          <w:sz w:val="24"/>
          <w:szCs w:val="24"/>
        </w:rPr>
        <w:t>making a decision</w:t>
      </w:r>
      <w:proofErr w:type="gramEnd"/>
      <w:r w:rsidRPr="00243B53">
        <w:rPr>
          <w:rFonts w:ascii="Times New Roman" w:hAnsi="Times New Roman" w:cs="Times New Roman"/>
          <w:sz w:val="24"/>
          <w:szCs w:val="24"/>
        </w:rPr>
        <w:t xml:space="preserve"> as to whether to approve or refuse a draft site plan. This provision allows the Minister to take relevant matters into account on a case-by-case basis when making these decisions. </w:t>
      </w:r>
      <w:r w:rsidR="0095255B" w:rsidRPr="00243B53">
        <w:rPr>
          <w:rFonts w:ascii="Times New Roman" w:hAnsi="Times New Roman" w:cs="Times New Roman"/>
          <w:sz w:val="24"/>
          <w:szCs w:val="24"/>
        </w:rPr>
        <w:t xml:space="preserve">The discretion for the Minister to consider any other relevant matters afforded by subsection 25(3) is necessary given the complexity of site plans. Each greenhouse gas injection and storage operation will differ in relation to relevant matters </w:t>
      </w:r>
      <w:r w:rsidR="0095255B" w:rsidRPr="00243B53">
        <w:rPr>
          <w:rFonts w:ascii="Times New Roman" w:hAnsi="Times New Roman" w:cs="Times New Roman"/>
          <w:sz w:val="24"/>
          <w:szCs w:val="24"/>
        </w:rPr>
        <w:lastRenderedPageBreak/>
        <w:t xml:space="preserve">including location, the nature of the identified greenhouse gas storage formation, potential behaviour of an injected greenhouse substance, and infrastructure and equipment to be used for operations. Importantly, this discretion is appropriately constrained by the wording of the provision which ensures that any other relevant matter that the Minister may have regard to must be directly relevant to the decision under consideration. As such, other relevant matters the Minister may have regard to in relation to the approval of a site plan may include consideration of relevant government policy or requirements as set out in guidelines. The Minister cannot </w:t>
      </w:r>
      <w:proofErr w:type="gramStart"/>
      <w:r w:rsidR="0095255B" w:rsidRPr="00243B53">
        <w:rPr>
          <w:rFonts w:ascii="Times New Roman" w:hAnsi="Times New Roman" w:cs="Times New Roman"/>
          <w:sz w:val="24"/>
          <w:szCs w:val="24"/>
        </w:rPr>
        <w:t>take into account</w:t>
      </w:r>
      <w:proofErr w:type="gramEnd"/>
      <w:r w:rsidR="0095255B" w:rsidRPr="00243B53">
        <w:rPr>
          <w:rFonts w:ascii="Times New Roman" w:hAnsi="Times New Roman" w:cs="Times New Roman"/>
          <w:sz w:val="24"/>
          <w:szCs w:val="24"/>
        </w:rPr>
        <w:t xml:space="preserve"> irrelevant considerations. </w:t>
      </w:r>
    </w:p>
    <w:p w14:paraId="46B69667" w14:textId="633AFFC9" w:rsidR="00880749" w:rsidRDefault="00880749" w:rsidP="00502CAB">
      <w:pPr>
        <w:pStyle w:val="ActHead5"/>
        <w:spacing w:after="240"/>
      </w:pPr>
      <w:r>
        <w:t>Section</w:t>
      </w:r>
      <w:r w:rsidR="007F74F7">
        <w:t xml:space="preserve"> 26</w:t>
      </w:r>
      <w:r>
        <w:t xml:space="preserve"> – Decision-making process – request</w:t>
      </w:r>
      <w:r w:rsidR="00A667B3">
        <w:t>s for</w:t>
      </w:r>
      <w:r>
        <w:t xml:space="preserve"> further information  </w:t>
      </w:r>
    </w:p>
    <w:p w14:paraId="03ED070E" w14:textId="1B9EFF0E" w:rsidR="00327436" w:rsidRDefault="00880749" w:rsidP="001A20EA">
      <w:pPr>
        <w:rPr>
          <w:rFonts w:ascii="Times New Roman" w:hAnsi="Times New Roman" w:cs="Times New Roman"/>
          <w:sz w:val="24"/>
          <w:szCs w:val="24"/>
        </w:rPr>
      </w:pPr>
      <w:r>
        <w:rPr>
          <w:rFonts w:ascii="Times New Roman" w:hAnsi="Times New Roman" w:cs="Times New Roman"/>
          <w:sz w:val="24"/>
          <w:szCs w:val="24"/>
        </w:rPr>
        <w:t xml:space="preserve">This section allows the </w:t>
      </w:r>
      <w:r w:rsidR="00B84F3E">
        <w:rPr>
          <w:rFonts w:ascii="Times New Roman" w:hAnsi="Times New Roman" w:cs="Times New Roman"/>
          <w:sz w:val="24"/>
          <w:szCs w:val="24"/>
        </w:rPr>
        <w:t xml:space="preserve">responsible Commonwealth </w:t>
      </w:r>
      <w:r w:rsidRPr="00880749">
        <w:rPr>
          <w:rFonts w:ascii="Times New Roman" w:hAnsi="Times New Roman" w:cs="Times New Roman"/>
          <w:sz w:val="24"/>
          <w:szCs w:val="24"/>
        </w:rPr>
        <w:t xml:space="preserve">Minister </w:t>
      </w:r>
      <w:r w:rsidR="002818CE">
        <w:rPr>
          <w:rFonts w:ascii="Times New Roman" w:hAnsi="Times New Roman" w:cs="Times New Roman"/>
          <w:sz w:val="24"/>
          <w:szCs w:val="24"/>
        </w:rPr>
        <w:t xml:space="preserve">or NOPTA </w:t>
      </w:r>
      <w:r>
        <w:rPr>
          <w:rFonts w:ascii="Times New Roman" w:hAnsi="Times New Roman" w:cs="Times New Roman"/>
          <w:sz w:val="24"/>
          <w:szCs w:val="24"/>
        </w:rPr>
        <w:t>to</w:t>
      </w:r>
      <w:r w:rsidRPr="00880749">
        <w:rPr>
          <w:rFonts w:ascii="Times New Roman" w:hAnsi="Times New Roman" w:cs="Times New Roman"/>
          <w:sz w:val="24"/>
          <w:szCs w:val="24"/>
        </w:rPr>
        <w:t xml:space="preserve"> ask </w:t>
      </w:r>
      <w:r w:rsidR="00D777AA">
        <w:rPr>
          <w:rFonts w:ascii="Times New Roman" w:hAnsi="Times New Roman" w:cs="Times New Roman"/>
          <w:sz w:val="24"/>
          <w:szCs w:val="24"/>
        </w:rPr>
        <w:t>an</w:t>
      </w:r>
      <w:r w:rsidRPr="00880749">
        <w:rPr>
          <w:rFonts w:ascii="Times New Roman" w:hAnsi="Times New Roman" w:cs="Times New Roman"/>
          <w:sz w:val="24"/>
          <w:szCs w:val="24"/>
        </w:rPr>
        <w:t xml:space="preserve"> applicant</w:t>
      </w:r>
      <w:r w:rsidR="005305CC">
        <w:rPr>
          <w:rFonts w:ascii="Times New Roman" w:hAnsi="Times New Roman" w:cs="Times New Roman"/>
          <w:sz w:val="24"/>
          <w:szCs w:val="24"/>
        </w:rPr>
        <w:t xml:space="preserve"> for a GHG injection licence</w:t>
      </w:r>
      <w:r w:rsidRPr="00880749">
        <w:rPr>
          <w:rFonts w:ascii="Times New Roman" w:hAnsi="Times New Roman" w:cs="Times New Roman"/>
          <w:sz w:val="24"/>
          <w:szCs w:val="24"/>
        </w:rPr>
        <w:t xml:space="preserve"> </w:t>
      </w:r>
      <w:r>
        <w:rPr>
          <w:rFonts w:ascii="Times New Roman" w:hAnsi="Times New Roman" w:cs="Times New Roman"/>
          <w:sz w:val="24"/>
          <w:szCs w:val="24"/>
        </w:rPr>
        <w:t>for</w:t>
      </w:r>
      <w:r w:rsidRPr="00880749">
        <w:rPr>
          <w:rFonts w:ascii="Times New Roman" w:hAnsi="Times New Roman" w:cs="Times New Roman"/>
          <w:sz w:val="24"/>
          <w:szCs w:val="24"/>
        </w:rPr>
        <w:t xml:space="preserve"> further written information relating to any of the criteria set out in Division 2</w:t>
      </w:r>
      <w:r w:rsidR="005305CC">
        <w:rPr>
          <w:rFonts w:ascii="Times New Roman" w:hAnsi="Times New Roman" w:cs="Times New Roman"/>
          <w:sz w:val="24"/>
          <w:szCs w:val="24"/>
        </w:rPr>
        <w:t xml:space="preserve"> of Part 4 of the GHG Regulations (criteria for draft site plans)</w:t>
      </w:r>
      <w:r w:rsidRPr="00880749">
        <w:rPr>
          <w:rFonts w:ascii="Times New Roman" w:hAnsi="Times New Roman" w:cs="Times New Roman"/>
          <w:sz w:val="24"/>
          <w:szCs w:val="24"/>
        </w:rPr>
        <w:t>.</w:t>
      </w:r>
      <w:r w:rsidR="005305CC">
        <w:rPr>
          <w:rFonts w:ascii="Times New Roman" w:hAnsi="Times New Roman" w:cs="Times New Roman"/>
          <w:sz w:val="24"/>
          <w:szCs w:val="24"/>
        </w:rPr>
        <w:t xml:space="preserve"> An application for a GHG injection licence is required to be accompanied by a draft site plan.</w:t>
      </w:r>
      <w:r>
        <w:rPr>
          <w:rFonts w:ascii="Times New Roman" w:hAnsi="Times New Roman" w:cs="Times New Roman"/>
          <w:sz w:val="24"/>
          <w:szCs w:val="24"/>
        </w:rPr>
        <w:t xml:space="preserve"> </w:t>
      </w:r>
    </w:p>
    <w:p w14:paraId="574C5162" w14:textId="45BB9DE9" w:rsidR="00327436" w:rsidRDefault="00CE7EDF" w:rsidP="001A20EA">
      <w:pPr>
        <w:rPr>
          <w:rFonts w:ascii="Times New Roman" w:hAnsi="Times New Roman" w:cs="Times New Roman"/>
          <w:sz w:val="24"/>
          <w:szCs w:val="24"/>
        </w:rPr>
      </w:pPr>
      <w:r>
        <w:rPr>
          <w:rFonts w:ascii="Times New Roman" w:hAnsi="Times New Roman" w:cs="Times New Roman"/>
          <w:sz w:val="24"/>
          <w:szCs w:val="24"/>
        </w:rPr>
        <w:t>S</w:t>
      </w:r>
      <w:r w:rsidR="00327436">
        <w:rPr>
          <w:rFonts w:ascii="Times New Roman" w:hAnsi="Times New Roman" w:cs="Times New Roman"/>
          <w:sz w:val="24"/>
          <w:szCs w:val="24"/>
        </w:rPr>
        <w:t xml:space="preserve">ection 26 allows flexibility for the </w:t>
      </w:r>
      <w:r w:rsidR="006E5057">
        <w:rPr>
          <w:rFonts w:ascii="Times New Roman" w:hAnsi="Times New Roman" w:cs="Times New Roman"/>
          <w:sz w:val="24"/>
          <w:szCs w:val="24"/>
        </w:rPr>
        <w:t xml:space="preserve">responsible Commonwealth </w:t>
      </w:r>
      <w:r w:rsidR="00327436">
        <w:rPr>
          <w:rFonts w:ascii="Times New Roman" w:hAnsi="Times New Roman" w:cs="Times New Roman"/>
          <w:sz w:val="24"/>
          <w:szCs w:val="24"/>
        </w:rPr>
        <w:t xml:space="preserve">Minister or NOPTA to request additional information </w:t>
      </w:r>
      <w:r w:rsidR="006E5057">
        <w:rPr>
          <w:rFonts w:ascii="Times New Roman" w:hAnsi="Times New Roman" w:cs="Times New Roman"/>
          <w:sz w:val="24"/>
          <w:szCs w:val="24"/>
        </w:rPr>
        <w:t xml:space="preserve">from the applicant </w:t>
      </w:r>
      <w:r w:rsidR="00327436">
        <w:rPr>
          <w:rFonts w:ascii="Times New Roman" w:hAnsi="Times New Roman" w:cs="Times New Roman"/>
          <w:sz w:val="24"/>
          <w:szCs w:val="24"/>
        </w:rPr>
        <w:t xml:space="preserve">during assessment of the </w:t>
      </w:r>
      <w:r w:rsidR="005305CC">
        <w:rPr>
          <w:rFonts w:ascii="Times New Roman" w:hAnsi="Times New Roman" w:cs="Times New Roman"/>
          <w:sz w:val="24"/>
          <w:szCs w:val="24"/>
        </w:rPr>
        <w:t xml:space="preserve">draft </w:t>
      </w:r>
      <w:r w:rsidR="006E5057">
        <w:rPr>
          <w:rFonts w:ascii="Times New Roman" w:hAnsi="Times New Roman" w:cs="Times New Roman"/>
          <w:sz w:val="24"/>
          <w:szCs w:val="24"/>
        </w:rPr>
        <w:t xml:space="preserve">site </w:t>
      </w:r>
      <w:r w:rsidR="00327436">
        <w:rPr>
          <w:rFonts w:ascii="Times New Roman" w:hAnsi="Times New Roman" w:cs="Times New Roman"/>
          <w:sz w:val="24"/>
          <w:szCs w:val="24"/>
        </w:rPr>
        <w:t>plan</w:t>
      </w:r>
      <w:r w:rsidR="005305CC">
        <w:rPr>
          <w:rFonts w:ascii="Times New Roman" w:hAnsi="Times New Roman" w:cs="Times New Roman"/>
          <w:sz w:val="24"/>
          <w:szCs w:val="24"/>
        </w:rPr>
        <w:t xml:space="preserve"> (i.e., prior to the Minister determining whether the Minister is satisfied that draft plan meets the criteria)</w:t>
      </w:r>
      <w:r w:rsidR="00327436">
        <w:rPr>
          <w:rFonts w:ascii="Times New Roman" w:hAnsi="Times New Roman" w:cs="Times New Roman"/>
          <w:sz w:val="24"/>
          <w:szCs w:val="24"/>
        </w:rPr>
        <w:t xml:space="preserve">. This ensures that, if a plan does not include relevant information, or information in the plan requires clarification, the Minister or NOPTA can request </w:t>
      </w:r>
      <w:r w:rsidR="001A3351">
        <w:rPr>
          <w:rFonts w:ascii="Times New Roman" w:hAnsi="Times New Roman" w:cs="Times New Roman"/>
          <w:sz w:val="24"/>
          <w:szCs w:val="24"/>
        </w:rPr>
        <w:t>the information to enable the Minister to</w:t>
      </w:r>
      <w:r w:rsidR="00327436">
        <w:rPr>
          <w:rFonts w:ascii="Times New Roman" w:hAnsi="Times New Roman" w:cs="Times New Roman"/>
          <w:sz w:val="24"/>
          <w:szCs w:val="24"/>
        </w:rPr>
        <w:t xml:space="preserve"> have regard to th</w:t>
      </w:r>
      <w:r w:rsidR="001A3351">
        <w:rPr>
          <w:rFonts w:ascii="Times New Roman" w:hAnsi="Times New Roman" w:cs="Times New Roman"/>
          <w:sz w:val="24"/>
          <w:szCs w:val="24"/>
        </w:rPr>
        <w:t>at</w:t>
      </w:r>
      <w:r w:rsidR="00327436">
        <w:rPr>
          <w:rFonts w:ascii="Times New Roman" w:hAnsi="Times New Roman" w:cs="Times New Roman"/>
          <w:sz w:val="24"/>
          <w:szCs w:val="24"/>
        </w:rPr>
        <w:t xml:space="preserve"> information.</w:t>
      </w:r>
    </w:p>
    <w:p w14:paraId="1FB4F5AD" w14:textId="2AD011DA" w:rsidR="00880749" w:rsidRDefault="00880749" w:rsidP="001A20EA">
      <w:pPr>
        <w:rPr>
          <w:rFonts w:ascii="Times New Roman" w:hAnsi="Times New Roman" w:cs="Times New Roman"/>
          <w:sz w:val="24"/>
          <w:szCs w:val="24"/>
        </w:rPr>
      </w:pPr>
      <w:r>
        <w:rPr>
          <w:rFonts w:ascii="Times New Roman" w:hAnsi="Times New Roman" w:cs="Times New Roman"/>
          <w:sz w:val="24"/>
          <w:szCs w:val="24"/>
        </w:rPr>
        <w:t>The request</w:t>
      </w:r>
      <w:r w:rsidR="001A20EA">
        <w:rPr>
          <w:rFonts w:ascii="Times New Roman" w:hAnsi="Times New Roman" w:cs="Times New Roman"/>
          <w:sz w:val="24"/>
          <w:szCs w:val="24"/>
        </w:rPr>
        <w:t>, which</w:t>
      </w:r>
      <w:r>
        <w:rPr>
          <w:rFonts w:ascii="Times New Roman" w:hAnsi="Times New Roman" w:cs="Times New Roman"/>
          <w:sz w:val="24"/>
          <w:szCs w:val="24"/>
        </w:rPr>
        <w:t xml:space="preserve"> must be</w:t>
      </w:r>
      <w:r w:rsidR="001A20EA">
        <w:rPr>
          <w:rFonts w:ascii="Times New Roman" w:hAnsi="Times New Roman" w:cs="Times New Roman"/>
          <w:sz w:val="24"/>
          <w:szCs w:val="24"/>
        </w:rPr>
        <w:t xml:space="preserve"> by</w:t>
      </w:r>
      <w:r>
        <w:rPr>
          <w:rFonts w:ascii="Times New Roman" w:hAnsi="Times New Roman" w:cs="Times New Roman"/>
          <w:sz w:val="24"/>
          <w:szCs w:val="24"/>
        </w:rPr>
        <w:t xml:space="preserve"> written notice to the applicant</w:t>
      </w:r>
      <w:r w:rsidR="001A20EA">
        <w:rPr>
          <w:rFonts w:ascii="Times New Roman" w:hAnsi="Times New Roman" w:cs="Times New Roman"/>
          <w:sz w:val="24"/>
          <w:szCs w:val="24"/>
        </w:rPr>
        <w:t xml:space="preserve">, </w:t>
      </w:r>
      <w:r>
        <w:rPr>
          <w:rFonts w:ascii="Times New Roman" w:hAnsi="Times New Roman" w:cs="Times New Roman"/>
          <w:sz w:val="24"/>
          <w:szCs w:val="24"/>
        </w:rPr>
        <w:t xml:space="preserve">must </w:t>
      </w:r>
      <w:r w:rsidR="001A20EA" w:rsidRPr="001A20EA">
        <w:rPr>
          <w:rFonts w:ascii="Times New Roman" w:hAnsi="Times New Roman" w:cs="Times New Roman"/>
          <w:sz w:val="24"/>
          <w:szCs w:val="24"/>
        </w:rPr>
        <w:t>specify</w:t>
      </w:r>
      <w:r w:rsidR="001A20EA">
        <w:rPr>
          <w:rFonts w:ascii="Times New Roman" w:hAnsi="Times New Roman" w:cs="Times New Roman"/>
          <w:sz w:val="24"/>
          <w:szCs w:val="24"/>
        </w:rPr>
        <w:t xml:space="preserve"> </w:t>
      </w:r>
      <w:r w:rsidR="001A20EA" w:rsidRPr="001A20EA">
        <w:rPr>
          <w:rFonts w:ascii="Times New Roman" w:hAnsi="Times New Roman" w:cs="Times New Roman"/>
          <w:sz w:val="24"/>
          <w:szCs w:val="24"/>
        </w:rPr>
        <w:t>each criterion in relation to which information is requested</w:t>
      </w:r>
      <w:r w:rsidR="001A20EA">
        <w:rPr>
          <w:rFonts w:ascii="Times New Roman" w:hAnsi="Times New Roman" w:cs="Times New Roman"/>
          <w:sz w:val="24"/>
          <w:szCs w:val="24"/>
        </w:rPr>
        <w:t>,</w:t>
      </w:r>
      <w:r w:rsidR="001A20EA" w:rsidRPr="001A20EA">
        <w:rPr>
          <w:rFonts w:ascii="Times New Roman" w:hAnsi="Times New Roman" w:cs="Times New Roman"/>
          <w:sz w:val="24"/>
          <w:szCs w:val="24"/>
        </w:rPr>
        <w:t xml:space="preserve"> and</w:t>
      </w:r>
      <w:r w:rsidR="002818CE">
        <w:rPr>
          <w:rFonts w:ascii="Times New Roman" w:hAnsi="Times New Roman" w:cs="Times New Roman"/>
          <w:sz w:val="24"/>
          <w:szCs w:val="24"/>
        </w:rPr>
        <w:t xml:space="preserve"> </w:t>
      </w:r>
      <w:r w:rsidR="001A20EA">
        <w:rPr>
          <w:rFonts w:ascii="Times New Roman" w:hAnsi="Times New Roman" w:cs="Times New Roman"/>
          <w:sz w:val="24"/>
          <w:szCs w:val="24"/>
        </w:rPr>
        <w:t xml:space="preserve">give </w:t>
      </w:r>
      <w:r w:rsidR="001A20EA" w:rsidRPr="001A20EA">
        <w:rPr>
          <w:rFonts w:ascii="Times New Roman" w:hAnsi="Times New Roman" w:cs="Times New Roman"/>
          <w:sz w:val="24"/>
          <w:szCs w:val="24"/>
        </w:rPr>
        <w:t xml:space="preserve">a </w:t>
      </w:r>
      <w:r w:rsidR="001A20EA" w:rsidRPr="005305CC">
        <w:rPr>
          <w:rFonts w:ascii="Times New Roman" w:hAnsi="Times New Roman" w:cs="Times New Roman"/>
          <w:sz w:val="24"/>
          <w:szCs w:val="24"/>
        </w:rPr>
        <w:t>reasonable period</w:t>
      </w:r>
      <w:r w:rsidR="001A20EA" w:rsidRPr="001A20EA">
        <w:rPr>
          <w:rFonts w:ascii="Times New Roman" w:hAnsi="Times New Roman" w:cs="Times New Roman"/>
          <w:sz w:val="24"/>
          <w:szCs w:val="24"/>
        </w:rPr>
        <w:t xml:space="preserve"> </w:t>
      </w:r>
      <w:r w:rsidR="001A20EA">
        <w:rPr>
          <w:rFonts w:ascii="Times New Roman" w:hAnsi="Times New Roman" w:cs="Times New Roman"/>
          <w:sz w:val="24"/>
          <w:szCs w:val="24"/>
        </w:rPr>
        <w:t xml:space="preserve">for providing </w:t>
      </w:r>
      <w:r w:rsidR="001A20EA" w:rsidRPr="001A20EA">
        <w:rPr>
          <w:rFonts w:ascii="Times New Roman" w:hAnsi="Times New Roman" w:cs="Times New Roman"/>
          <w:sz w:val="24"/>
          <w:szCs w:val="24"/>
        </w:rPr>
        <w:t>the information.</w:t>
      </w:r>
      <w:r w:rsidR="001A20EA">
        <w:rPr>
          <w:rFonts w:ascii="Times New Roman" w:hAnsi="Times New Roman" w:cs="Times New Roman"/>
          <w:sz w:val="24"/>
          <w:szCs w:val="24"/>
        </w:rPr>
        <w:t xml:space="preserve"> </w:t>
      </w:r>
      <w:r w:rsidR="002818CE">
        <w:rPr>
          <w:rFonts w:ascii="Times New Roman" w:hAnsi="Times New Roman" w:cs="Times New Roman"/>
          <w:sz w:val="24"/>
          <w:szCs w:val="24"/>
        </w:rPr>
        <w:t xml:space="preserve">What is a reasonable period will be considered on a case-by-case basis, depending on matters such as the nature of the information sought, and the number of criteria in relation to which further information is sought. </w:t>
      </w:r>
      <w:r w:rsidR="001A20EA" w:rsidRPr="001A20EA">
        <w:rPr>
          <w:rFonts w:ascii="Times New Roman" w:hAnsi="Times New Roman" w:cs="Times New Roman"/>
          <w:sz w:val="24"/>
          <w:szCs w:val="24"/>
        </w:rPr>
        <w:t xml:space="preserve">If the applicant provides the information within the specified period, or a longer period agreed to by the </w:t>
      </w:r>
      <w:r w:rsidR="001A3351">
        <w:rPr>
          <w:rFonts w:ascii="Times New Roman" w:hAnsi="Times New Roman" w:cs="Times New Roman"/>
          <w:sz w:val="24"/>
          <w:szCs w:val="24"/>
        </w:rPr>
        <w:t xml:space="preserve">responsible Commonwealth </w:t>
      </w:r>
      <w:r w:rsidR="001A20EA" w:rsidRPr="001A20EA">
        <w:rPr>
          <w:rFonts w:ascii="Times New Roman" w:hAnsi="Times New Roman" w:cs="Times New Roman"/>
          <w:sz w:val="24"/>
          <w:szCs w:val="24"/>
        </w:rPr>
        <w:t>Minister</w:t>
      </w:r>
      <w:r w:rsidR="00A667B3">
        <w:rPr>
          <w:rFonts w:ascii="Times New Roman" w:hAnsi="Times New Roman" w:cs="Times New Roman"/>
          <w:sz w:val="24"/>
          <w:szCs w:val="24"/>
        </w:rPr>
        <w:t xml:space="preserve"> or NOPTA</w:t>
      </w:r>
      <w:r w:rsidR="001A20EA" w:rsidRPr="001A20EA">
        <w:rPr>
          <w:rFonts w:ascii="Times New Roman" w:hAnsi="Times New Roman" w:cs="Times New Roman"/>
          <w:sz w:val="24"/>
          <w:szCs w:val="24"/>
        </w:rPr>
        <w:t xml:space="preserve">, a reference in Division </w:t>
      </w:r>
      <w:r w:rsidR="005305CC">
        <w:rPr>
          <w:rFonts w:ascii="Times New Roman" w:hAnsi="Times New Roman" w:cs="Times New Roman"/>
          <w:sz w:val="24"/>
          <w:szCs w:val="24"/>
        </w:rPr>
        <w:t xml:space="preserve">4 </w:t>
      </w:r>
      <w:r w:rsidR="001A20EA" w:rsidRPr="001A20EA">
        <w:rPr>
          <w:rFonts w:ascii="Times New Roman" w:hAnsi="Times New Roman" w:cs="Times New Roman"/>
          <w:sz w:val="24"/>
          <w:szCs w:val="24"/>
        </w:rPr>
        <w:t xml:space="preserve">to the draft site plan includes the draft site plan as </w:t>
      </w:r>
      <w:r w:rsidR="001A20EA">
        <w:rPr>
          <w:rFonts w:ascii="Times New Roman" w:hAnsi="Times New Roman" w:cs="Times New Roman"/>
          <w:sz w:val="24"/>
          <w:szCs w:val="24"/>
        </w:rPr>
        <w:t>i</w:t>
      </w:r>
      <w:r w:rsidR="001A20EA" w:rsidRPr="001A20EA">
        <w:rPr>
          <w:rFonts w:ascii="Times New Roman" w:hAnsi="Times New Roman" w:cs="Times New Roman"/>
          <w:sz w:val="24"/>
          <w:szCs w:val="24"/>
        </w:rPr>
        <w:t>ncluding the further information.</w:t>
      </w:r>
      <w:r w:rsidR="000E1E00">
        <w:rPr>
          <w:rFonts w:ascii="Times New Roman" w:hAnsi="Times New Roman" w:cs="Times New Roman"/>
          <w:sz w:val="24"/>
          <w:szCs w:val="24"/>
        </w:rPr>
        <w:t xml:space="preserve"> </w:t>
      </w:r>
      <w:r w:rsidR="005305CC">
        <w:rPr>
          <w:rFonts w:ascii="Times New Roman" w:hAnsi="Times New Roman" w:cs="Times New Roman"/>
          <w:sz w:val="24"/>
          <w:szCs w:val="24"/>
        </w:rPr>
        <w:t xml:space="preserve">This ensures </w:t>
      </w:r>
      <w:proofErr w:type="gramStart"/>
      <w:r w:rsidR="005305CC">
        <w:rPr>
          <w:rFonts w:ascii="Times New Roman" w:hAnsi="Times New Roman" w:cs="Times New Roman"/>
          <w:sz w:val="24"/>
          <w:szCs w:val="24"/>
        </w:rPr>
        <w:t>it is clear that the</w:t>
      </w:r>
      <w:proofErr w:type="gramEnd"/>
      <w:r w:rsidR="005305CC">
        <w:rPr>
          <w:rFonts w:ascii="Times New Roman" w:hAnsi="Times New Roman" w:cs="Times New Roman"/>
          <w:sz w:val="24"/>
          <w:szCs w:val="24"/>
        </w:rPr>
        <w:t xml:space="preserve"> Minister must </w:t>
      </w:r>
      <w:r w:rsidR="00D777AA">
        <w:rPr>
          <w:rFonts w:ascii="Times New Roman" w:hAnsi="Times New Roman" w:cs="Times New Roman"/>
          <w:sz w:val="24"/>
          <w:szCs w:val="24"/>
        </w:rPr>
        <w:t>consider</w:t>
      </w:r>
      <w:r w:rsidR="005305CC">
        <w:rPr>
          <w:rFonts w:ascii="Times New Roman" w:hAnsi="Times New Roman" w:cs="Times New Roman"/>
          <w:sz w:val="24"/>
          <w:szCs w:val="24"/>
        </w:rPr>
        <w:t xml:space="preserve"> the further information provided when deciding whether to approve, or refuse to approve, the draft site plan, </w:t>
      </w:r>
      <w:r w:rsidR="001A3351">
        <w:rPr>
          <w:rFonts w:ascii="Times New Roman" w:hAnsi="Times New Roman" w:cs="Times New Roman"/>
          <w:sz w:val="24"/>
          <w:szCs w:val="24"/>
        </w:rPr>
        <w:t>and in determining</w:t>
      </w:r>
      <w:r w:rsidR="005305CC">
        <w:rPr>
          <w:rFonts w:ascii="Times New Roman" w:hAnsi="Times New Roman" w:cs="Times New Roman"/>
          <w:sz w:val="24"/>
          <w:szCs w:val="24"/>
        </w:rPr>
        <w:t xml:space="preserve"> whether the applicant </w:t>
      </w:r>
      <w:r w:rsidR="001A3351">
        <w:rPr>
          <w:rFonts w:ascii="Times New Roman" w:hAnsi="Times New Roman" w:cs="Times New Roman"/>
          <w:sz w:val="24"/>
          <w:szCs w:val="24"/>
        </w:rPr>
        <w:t xml:space="preserve">needs to be provided </w:t>
      </w:r>
      <w:r w:rsidR="005305CC">
        <w:rPr>
          <w:rFonts w:ascii="Times New Roman" w:hAnsi="Times New Roman" w:cs="Times New Roman"/>
          <w:sz w:val="24"/>
          <w:szCs w:val="24"/>
        </w:rPr>
        <w:t xml:space="preserve">an opportunity to vary the draft </w:t>
      </w:r>
      <w:r w:rsidR="001A3351">
        <w:rPr>
          <w:rFonts w:ascii="Times New Roman" w:hAnsi="Times New Roman" w:cs="Times New Roman"/>
          <w:sz w:val="24"/>
          <w:szCs w:val="24"/>
        </w:rPr>
        <w:t xml:space="preserve">site </w:t>
      </w:r>
      <w:r w:rsidR="005305CC">
        <w:rPr>
          <w:rFonts w:ascii="Times New Roman" w:hAnsi="Times New Roman" w:cs="Times New Roman"/>
          <w:sz w:val="24"/>
          <w:szCs w:val="24"/>
        </w:rPr>
        <w:t>plan</w:t>
      </w:r>
      <w:r w:rsidR="001A3351">
        <w:rPr>
          <w:rFonts w:ascii="Times New Roman" w:hAnsi="Times New Roman" w:cs="Times New Roman"/>
          <w:sz w:val="24"/>
          <w:szCs w:val="24"/>
        </w:rPr>
        <w:t xml:space="preserve"> or provide additional information (see section 27)</w:t>
      </w:r>
      <w:r w:rsidR="005305CC">
        <w:rPr>
          <w:rFonts w:ascii="Times New Roman" w:hAnsi="Times New Roman" w:cs="Times New Roman"/>
          <w:sz w:val="24"/>
          <w:szCs w:val="24"/>
        </w:rPr>
        <w:t>.</w:t>
      </w:r>
    </w:p>
    <w:p w14:paraId="65A4E69A" w14:textId="61AA3E99" w:rsidR="001A20EA" w:rsidRDefault="001A20EA" w:rsidP="001A20EA">
      <w:pPr>
        <w:rPr>
          <w:rFonts w:ascii="Times New Roman" w:hAnsi="Times New Roman" w:cs="Times New Roman"/>
          <w:sz w:val="24"/>
          <w:szCs w:val="24"/>
        </w:rPr>
      </w:pPr>
      <w:r>
        <w:rPr>
          <w:rFonts w:ascii="Times New Roman" w:hAnsi="Times New Roman" w:cs="Times New Roman"/>
          <w:sz w:val="24"/>
          <w:szCs w:val="24"/>
        </w:rPr>
        <w:t>T</w:t>
      </w:r>
      <w:r w:rsidRPr="001A20EA">
        <w:rPr>
          <w:rFonts w:ascii="Times New Roman" w:hAnsi="Times New Roman" w:cs="Times New Roman"/>
          <w:sz w:val="24"/>
          <w:szCs w:val="24"/>
        </w:rPr>
        <w:t xml:space="preserve">he </w:t>
      </w:r>
      <w:r w:rsidR="001A3351">
        <w:rPr>
          <w:rFonts w:ascii="Times New Roman" w:hAnsi="Times New Roman" w:cs="Times New Roman"/>
          <w:sz w:val="24"/>
          <w:szCs w:val="24"/>
        </w:rPr>
        <w:t xml:space="preserve">responsible Commonwealth </w:t>
      </w:r>
      <w:r w:rsidRPr="001A20EA">
        <w:rPr>
          <w:rFonts w:ascii="Times New Roman" w:hAnsi="Times New Roman" w:cs="Times New Roman"/>
          <w:sz w:val="24"/>
          <w:szCs w:val="24"/>
        </w:rPr>
        <w:t>Minister is not required to consider the draft site plan further until the applicant has provided the further information</w:t>
      </w:r>
      <w:r>
        <w:rPr>
          <w:rFonts w:ascii="Times New Roman" w:hAnsi="Times New Roman" w:cs="Times New Roman"/>
          <w:sz w:val="24"/>
          <w:szCs w:val="24"/>
        </w:rPr>
        <w:t>.</w:t>
      </w:r>
      <w:r w:rsidR="005305CC">
        <w:rPr>
          <w:rFonts w:ascii="Times New Roman" w:hAnsi="Times New Roman" w:cs="Times New Roman"/>
          <w:sz w:val="24"/>
          <w:szCs w:val="24"/>
        </w:rPr>
        <w:t xml:space="preserve"> This ensure</w:t>
      </w:r>
      <w:r w:rsidR="006A2723">
        <w:rPr>
          <w:rFonts w:ascii="Times New Roman" w:hAnsi="Times New Roman" w:cs="Times New Roman"/>
          <w:sz w:val="24"/>
          <w:szCs w:val="24"/>
        </w:rPr>
        <w:t>s</w:t>
      </w:r>
      <w:r w:rsidR="005305CC">
        <w:rPr>
          <w:rFonts w:ascii="Times New Roman" w:hAnsi="Times New Roman" w:cs="Times New Roman"/>
          <w:sz w:val="24"/>
          <w:szCs w:val="24"/>
        </w:rPr>
        <w:t xml:space="preserve"> that the Minister</w:t>
      </w:r>
      <w:r w:rsidR="00D777AA">
        <w:rPr>
          <w:rFonts w:ascii="Times New Roman" w:hAnsi="Times New Roman" w:cs="Times New Roman"/>
          <w:sz w:val="24"/>
          <w:szCs w:val="24"/>
        </w:rPr>
        <w:t xml:space="preserve"> can</w:t>
      </w:r>
      <w:r w:rsidR="005305CC">
        <w:rPr>
          <w:rFonts w:ascii="Times New Roman" w:hAnsi="Times New Roman" w:cs="Times New Roman"/>
          <w:sz w:val="24"/>
          <w:szCs w:val="24"/>
        </w:rPr>
        <w:t xml:space="preserve"> </w:t>
      </w:r>
      <w:r w:rsidR="00D777AA">
        <w:rPr>
          <w:rFonts w:ascii="Times New Roman" w:hAnsi="Times New Roman" w:cs="Times New Roman"/>
          <w:sz w:val="24"/>
          <w:szCs w:val="24"/>
        </w:rPr>
        <w:t xml:space="preserve">assess and </w:t>
      </w:r>
      <w:proofErr w:type="gramStart"/>
      <w:r w:rsidR="005305CC">
        <w:rPr>
          <w:rFonts w:ascii="Times New Roman" w:hAnsi="Times New Roman" w:cs="Times New Roman"/>
          <w:sz w:val="24"/>
          <w:szCs w:val="24"/>
        </w:rPr>
        <w:t>make a decision</w:t>
      </w:r>
      <w:proofErr w:type="gramEnd"/>
      <w:r w:rsidR="005305CC">
        <w:rPr>
          <w:rFonts w:ascii="Times New Roman" w:hAnsi="Times New Roman" w:cs="Times New Roman"/>
          <w:sz w:val="24"/>
          <w:szCs w:val="24"/>
        </w:rPr>
        <w:t xml:space="preserve"> </w:t>
      </w:r>
      <w:r w:rsidR="00D777AA">
        <w:rPr>
          <w:rFonts w:ascii="Times New Roman" w:hAnsi="Times New Roman" w:cs="Times New Roman"/>
          <w:sz w:val="24"/>
          <w:szCs w:val="24"/>
        </w:rPr>
        <w:t xml:space="preserve">in relation to the draft </w:t>
      </w:r>
      <w:r w:rsidR="001A3351">
        <w:rPr>
          <w:rFonts w:ascii="Times New Roman" w:hAnsi="Times New Roman" w:cs="Times New Roman"/>
          <w:sz w:val="24"/>
          <w:szCs w:val="24"/>
        </w:rPr>
        <w:t xml:space="preserve">site </w:t>
      </w:r>
      <w:r w:rsidR="00D777AA">
        <w:rPr>
          <w:rFonts w:ascii="Times New Roman" w:hAnsi="Times New Roman" w:cs="Times New Roman"/>
          <w:sz w:val="24"/>
          <w:szCs w:val="24"/>
        </w:rPr>
        <w:t xml:space="preserve">plan </w:t>
      </w:r>
      <w:r w:rsidR="005305CC">
        <w:rPr>
          <w:rFonts w:ascii="Times New Roman" w:hAnsi="Times New Roman" w:cs="Times New Roman"/>
          <w:sz w:val="24"/>
          <w:szCs w:val="24"/>
        </w:rPr>
        <w:t>on the basis of all of the relevant information.</w:t>
      </w:r>
    </w:p>
    <w:p w14:paraId="697A4F2C" w14:textId="62FDB075" w:rsidR="00257414" w:rsidRDefault="00257414" w:rsidP="00F2760F">
      <w:pPr>
        <w:pStyle w:val="ActHead5"/>
        <w:spacing w:after="240"/>
        <w:ind w:left="1276" w:hanging="1276"/>
      </w:pPr>
      <w:r>
        <w:t xml:space="preserve">Section </w:t>
      </w:r>
      <w:r w:rsidR="007F74F7">
        <w:t>2</w:t>
      </w:r>
      <w:r>
        <w:t>7 –</w:t>
      </w:r>
      <w:r w:rsidR="002C33A9">
        <w:t xml:space="preserve"> </w:t>
      </w:r>
      <w:r w:rsidR="00880749">
        <w:t>D</w:t>
      </w:r>
      <w:r>
        <w:t>ecision-making process</w:t>
      </w:r>
      <w:r w:rsidR="00880749">
        <w:t xml:space="preserve"> </w:t>
      </w:r>
      <w:r w:rsidR="004F68E5">
        <w:t>–</w:t>
      </w:r>
      <w:r w:rsidR="00880749">
        <w:t xml:space="preserve"> notice</w:t>
      </w:r>
      <w:r w:rsidR="00A667B3">
        <w:t>s</w:t>
      </w:r>
      <w:r w:rsidR="00880749">
        <w:t xml:space="preserve"> about </w:t>
      </w:r>
      <w:r w:rsidR="00A667B3">
        <w:t>meet</w:t>
      </w:r>
      <w:r w:rsidR="00880749">
        <w:t>ing criteria</w:t>
      </w:r>
    </w:p>
    <w:p w14:paraId="07C47586" w14:textId="7FF105F5" w:rsidR="000E1E00" w:rsidRDefault="00257414" w:rsidP="007D33B2">
      <w:pPr>
        <w:rPr>
          <w:rFonts w:ascii="Times New Roman" w:hAnsi="Times New Roman" w:cs="Times New Roman"/>
          <w:sz w:val="24"/>
          <w:szCs w:val="24"/>
        </w:rPr>
      </w:pPr>
      <w:r>
        <w:rPr>
          <w:rFonts w:ascii="Times New Roman" w:hAnsi="Times New Roman" w:cs="Times New Roman"/>
          <w:sz w:val="24"/>
          <w:szCs w:val="24"/>
        </w:rPr>
        <w:t>This section</w:t>
      </w:r>
      <w:r w:rsidR="007D33B2">
        <w:rPr>
          <w:rFonts w:ascii="Times New Roman" w:hAnsi="Times New Roman" w:cs="Times New Roman"/>
          <w:sz w:val="24"/>
          <w:szCs w:val="24"/>
        </w:rPr>
        <w:t xml:space="preserve"> applies where the </w:t>
      </w:r>
      <w:r w:rsidR="00B84F3E">
        <w:rPr>
          <w:rFonts w:ascii="Times New Roman" w:hAnsi="Times New Roman" w:cs="Times New Roman"/>
          <w:sz w:val="24"/>
          <w:szCs w:val="24"/>
        </w:rPr>
        <w:t xml:space="preserve">responsible Commonwealth </w:t>
      </w:r>
      <w:r w:rsidR="007D33B2">
        <w:rPr>
          <w:rFonts w:ascii="Times New Roman" w:hAnsi="Times New Roman" w:cs="Times New Roman"/>
          <w:sz w:val="24"/>
          <w:szCs w:val="24"/>
        </w:rPr>
        <w:t xml:space="preserve">Minister </w:t>
      </w:r>
      <w:r w:rsidR="007D33B2" w:rsidRPr="007D33B2">
        <w:rPr>
          <w:rFonts w:ascii="Times New Roman" w:hAnsi="Times New Roman" w:cs="Times New Roman"/>
          <w:sz w:val="24"/>
          <w:szCs w:val="24"/>
        </w:rPr>
        <w:t xml:space="preserve">is not satisfied that the </w:t>
      </w:r>
      <w:r w:rsidR="00B941FA">
        <w:rPr>
          <w:rFonts w:ascii="Times New Roman" w:hAnsi="Times New Roman" w:cs="Times New Roman"/>
          <w:sz w:val="24"/>
          <w:szCs w:val="24"/>
        </w:rPr>
        <w:t xml:space="preserve">draft site </w:t>
      </w:r>
      <w:r w:rsidR="007D33B2" w:rsidRPr="007D33B2">
        <w:rPr>
          <w:rFonts w:ascii="Times New Roman" w:hAnsi="Times New Roman" w:cs="Times New Roman"/>
          <w:sz w:val="24"/>
          <w:szCs w:val="24"/>
        </w:rPr>
        <w:t xml:space="preserve">plan meets the criteria set out in Division 2 </w:t>
      </w:r>
      <w:r w:rsidR="00E35685">
        <w:rPr>
          <w:rFonts w:ascii="Times New Roman" w:hAnsi="Times New Roman" w:cs="Times New Roman"/>
          <w:sz w:val="24"/>
          <w:szCs w:val="24"/>
        </w:rPr>
        <w:t xml:space="preserve">of Part 4 of the GHG Regulations, </w:t>
      </w:r>
      <w:r w:rsidR="007D33B2" w:rsidRPr="007D33B2">
        <w:rPr>
          <w:rFonts w:ascii="Times New Roman" w:hAnsi="Times New Roman" w:cs="Times New Roman"/>
          <w:sz w:val="24"/>
          <w:szCs w:val="24"/>
        </w:rPr>
        <w:t>but</w:t>
      </w:r>
      <w:r w:rsidR="007D33B2">
        <w:rPr>
          <w:rFonts w:ascii="Times New Roman" w:hAnsi="Times New Roman" w:cs="Times New Roman"/>
          <w:sz w:val="24"/>
          <w:szCs w:val="24"/>
        </w:rPr>
        <w:t xml:space="preserve"> r</w:t>
      </w:r>
      <w:r w:rsidR="007D33B2" w:rsidRPr="007D33B2">
        <w:rPr>
          <w:rFonts w:ascii="Times New Roman" w:hAnsi="Times New Roman" w:cs="Times New Roman"/>
          <w:sz w:val="24"/>
          <w:szCs w:val="24"/>
        </w:rPr>
        <w:t xml:space="preserve">easonably believes that the applicant could vary the </w:t>
      </w:r>
      <w:r w:rsidR="006A2723">
        <w:rPr>
          <w:rFonts w:ascii="Times New Roman" w:hAnsi="Times New Roman" w:cs="Times New Roman"/>
          <w:sz w:val="24"/>
          <w:szCs w:val="24"/>
        </w:rPr>
        <w:t xml:space="preserve">draft </w:t>
      </w:r>
      <w:r w:rsidR="007D33B2" w:rsidRPr="007D33B2">
        <w:rPr>
          <w:rFonts w:ascii="Times New Roman" w:hAnsi="Times New Roman" w:cs="Times New Roman"/>
          <w:sz w:val="24"/>
          <w:szCs w:val="24"/>
        </w:rPr>
        <w:t>plan or provide additional information</w:t>
      </w:r>
      <w:r w:rsidR="007D33B2">
        <w:rPr>
          <w:rFonts w:ascii="Times New Roman" w:hAnsi="Times New Roman" w:cs="Times New Roman"/>
          <w:sz w:val="24"/>
          <w:szCs w:val="24"/>
        </w:rPr>
        <w:t xml:space="preserve"> to</w:t>
      </w:r>
      <w:r w:rsidR="00E35685">
        <w:rPr>
          <w:rFonts w:ascii="Times New Roman" w:hAnsi="Times New Roman" w:cs="Times New Roman"/>
          <w:sz w:val="24"/>
          <w:szCs w:val="24"/>
        </w:rPr>
        <w:t xml:space="preserve"> so</w:t>
      </w:r>
      <w:r w:rsidR="007D33B2">
        <w:rPr>
          <w:rFonts w:ascii="Times New Roman" w:hAnsi="Times New Roman" w:cs="Times New Roman"/>
          <w:sz w:val="24"/>
          <w:szCs w:val="24"/>
        </w:rPr>
        <w:t xml:space="preserve"> satisfy the Minister. The </w:t>
      </w:r>
      <w:r w:rsidR="007D33B2" w:rsidRPr="007D33B2">
        <w:rPr>
          <w:rFonts w:ascii="Times New Roman" w:hAnsi="Times New Roman" w:cs="Times New Roman"/>
          <w:sz w:val="24"/>
          <w:szCs w:val="24"/>
        </w:rPr>
        <w:t xml:space="preserve">Minister </w:t>
      </w:r>
      <w:r w:rsidR="00B941FA">
        <w:rPr>
          <w:rFonts w:ascii="Times New Roman" w:hAnsi="Times New Roman" w:cs="Times New Roman"/>
          <w:sz w:val="24"/>
          <w:szCs w:val="24"/>
        </w:rPr>
        <w:t xml:space="preserve">must </w:t>
      </w:r>
      <w:r w:rsidR="007D33B2" w:rsidRPr="007D33B2">
        <w:rPr>
          <w:rFonts w:ascii="Times New Roman" w:hAnsi="Times New Roman" w:cs="Times New Roman"/>
          <w:sz w:val="24"/>
          <w:szCs w:val="24"/>
        </w:rPr>
        <w:t>noti</w:t>
      </w:r>
      <w:r w:rsidR="007D33B2">
        <w:rPr>
          <w:rFonts w:ascii="Times New Roman" w:hAnsi="Times New Roman" w:cs="Times New Roman"/>
          <w:sz w:val="24"/>
          <w:szCs w:val="24"/>
        </w:rPr>
        <w:t>fy the applicant in writing</w:t>
      </w:r>
      <w:r w:rsidR="00E35685">
        <w:rPr>
          <w:rFonts w:ascii="Times New Roman" w:hAnsi="Times New Roman" w:cs="Times New Roman"/>
          <w:sz w:val="24"/>
          <w:szCs w:val="24"/>
        </w:rPr>
        <w:t xml:space="preserve"> that the Minister is not so satisfied and the </w:t>
      </w:r>
      <w:r w:rsidR="007D33B2" w:rsidRPr="007D33B2">
        <w:rPr>
          <w:rFonts w:ascii="Times New Roman" w:hAnsi="Times New Roman" w:cs="Times New Roman"/>
          <w:sz w:val="24"/>
          <w:szCs w:val="24"/>
        </w:rPr>
        <w:t xml:space="preserve">reasons </w:t>
      </w:r>
      <w:proofErr w:type="gramStart"/>
      <w:r w:rsidR="00E35685">
        <w:rPr>
          <w:rFonts w:ascii="Times New Roman" w:hAnsi="Times New Roman" w:cs="Times New Roman"/>
          <w:sz w:val="24"/>
          <w:szCs w:val="24"/>
        </w:rPr>
        <w:t>why</w:t>
      </w:r>
      <w:r w:rsidR="007D33B2">
        <w:rPr>
          <w:rFonts w:ascii="Times New Roman" w:hAnsi="Times New Roman" w:cs="Times New Roman"/>
          <w:sz w:val="24"/>
          <w:szCs w:val="24"/>
        </w:rPr>
        <w:t>,</w:t>
      </w:r>
      <w:r w:rsidR="007D33B2" w:rsidRPr="007D33B2">
        <w:rPr>
          <w:rFonts w:ascii="Times New Roman" w:hAnsi="Times New Roman" w:cs="Times New Roman"/>
          <w:sz w:val="24"/>
          <w:szCs w:val="24"/>
        </w:rPr>
        <w:t xml:space="preserve"> </w:t>
      </w:r>
      <w:r w:rsidR="005E0B7B">
        <w:rPr>
          <w:rFonts w:ascii="Times New Roman" w:hAnsi="Times New Roman" w:cs="Times New Roman"/>
          <w:sz w:val="24"/>
          <w:szCs w:val="24"/>
        </w:rPr>
        <w:t>and</w:t>
      </w:r>
      <w:proofErr w:type="gramEnd"/>
      <w:r w:rsidR="005E0B7B">
        <w:rPr>
          <w:rFonts w:ascii="Times New Roman" w:hAnsi="Times New Roman" w:cs="Times New Roman"/>
          <w:sz w:val="24"/>
          <w:szCs w:val="24"/>
        </w:rPr>
        <w:t xml:space="preserve"> </w:t>
      </w:r>
      <w:r w:rsidR="007D33B2" w:rsidRPr="007D33B2">
        <w:rPr>
          <w:rFonts w:ascii="Times New Roman" w:hAnsi="Times New Roman" w:cs="Times New Roman"/>
          <w:sz w:val="24"/>
          <w:szCs w:val="24"/>
        </w:rPr>
        <w:t>giv</w:t>
      </w:r>
      <w:r w:rsidR="005E0B7B">
        <w:rPr>
          <w:rFonts w:ascii="Times New Roman" w:hAnsi="Times New Roman" w:cs="Times New Roman"/>
          <w:sz w:val="24"/>
          <w:szCs w:val="24"/>
        </w:rPr>
        <w:t>e</w:t>
      </w:r>
      <w:r w:rsidR="007D33B2" w:rsidRPr="007D33B2">
        <w:rPr>
          <w:rFonts w:ascii="Times New Roman" w:hAnsi="Times New Roman" w:cs="Times New Roman"/>
          <w:sz w:val="24"/>
          <w:szCs w:val="24"/>
        </w:rPr>
        <w:t xml:space="preserve"> the applicant an opportunity to vary the draft site plan or provide the additional information.</w:t>
      </w:r>
    </w:p>
    <w:p w14:paraId="54037FE7" w14:textId="24FBF713" w:rsidR="006A2723" w:rsidRPr="00801CA4" w:rsidRDefault="007D33B2" w:rsidP="006A2723">
      <w:pPr>
        <w:spacing w:before="240" w:after="100" w:afterAutospacing="1"/>
        <w:rPr>
          <w:rFonts w:ascii="Times New Roman" w:hAnsi="Times New Roman" w:cs="Times New Roman"/>
          <w:sz w:val="24"/>
          <w:szCs w:val="24"/>
        </w:rPr>
      </w:pPr>
      <w:r w:rsidRPr="007D33B2">
        <w:rPr>
          <w:rFonts w:ascii="Times New Roman" w:hAnsi="Times New Roman" w:cs="Times New Roman"/>
          <w:sz w:val="24"/>
          <w:szCs w:val="24"/>
        </w:rPr>
        <w:lastRenderedPageBreak/>
        <w:t>If the applicant varies the draft site plan or provides additional information</w:t>
      </w:r>
      <w:r w:rsidR="00416AA2">
        <w:rPr>
          <w:rFonts w:ascii="Times New Roman" w:hAnsi="Times New Roman" w:cs="Times New Roman"/>
          <w:sz w:val="24"/>
          <w:szCs w:val="24"/>
        </w:rPr>
        <w:t xml:space="preserve"> in response</w:t>
      </w:r>
      <w:r w:rsidR="006A2723">
        <w:rPr>
          <w:rFonts w:ascii="Times New Roman" w:hAnsi="Times New Roman" w:cs="Times New Roman"/>
          <w:sz w:val="24"/>
          <w:szCs w:val="24"/>
        </w:rPr>
        <w:t xml:space="preserve"> to a notice</w:t>
      </w:r>
      <w:r w:rsidRPr="007D33B2">
        <w:rPr>
          <w:rFonts w:ascii="Times New Roman" w:hAnsi="Times New Roman" w:cs="Times New Roman"/>
          <w:sz w:val="24"/>
          <w:szCs w:val="24"/>
        </w:rPr>
        <w:t>,</w:t>
      </w:r>
      <w:r>
        <w:rPr>
          <w:rFonts w:ascii="Times New Roman" w:hAnsi="Times New Roman" w:cs="Times New Roman"/>
          <w:sz w:val="24"/>
          <w:szCs w:val="24"/>
        </w:rPr>
        <w:t xml:space="preserve"> </w:t>
      </w:r>
      <w:r w:rsidRPr="007D33B2">
        <w:rPr>
          <w:rFonts w:ascii="Times New Roman" w:hAnsi="Times New Roman" w:cs="Times New Roman"/>
          <w:sz w:val="24"/>
          <w:szCs w:val="24"/>
        </w:rPr>
        <w:t xml:space="preserve">a reference in Division </w:t>
      </w:r>
      <w:r>
        <w:rPr>
          <w:rFonts w:ascii="Times New Roman" w:hAnsi="Times New Roman" w:cs="Times New Roman"/>
          <w:sz w:val="24"/>
          <w:szCs w:val="24"/>
        </w:rPr>
        <w:t xml:space="preserve">4 </w:t>
      </w:r>
      <w:r w:rsidR="006A2723">
        <w:rPr>
          <w:rFonts w:ascii="Times New Roman" w:hAnsi="Times New Roman" w:cs="Times New Roman"/>
          <w:sz w:val="24"/>
          <w:szCs w:val="24"/>
        </w:rPr>
        <w:t xml:space="preserve">of Part 4 of the GHG Regulations </w:t>
      </w:r>
      <w:r w:rsidRPr="007D33B2">
        <w:rPr>
          <w:rFonts w:ascii="Times New Roman" w:hAnsi="Times New Roman" w:cs="Times New Roman"/>
          <w:sz w:val="24"/>
          <w:szCs w:val="24"/>
        </w:rPr>
        <w:t>to the draft site plan includes a reference to the draft site plan as varied or as including the additional information</w:t>
      </w:r>
      <w:r w:rsidR="006A2723">
        <w:rPr>
          <w:rFonts w:ascii="Times New Roman" w:hAnsi="Times New Roman" w:cs="Times New Roman"/>
          <w:sz w:val="24"/>
          <w:szCs w:val="24"/>
        </w:rPr>
        <w:t xml:space="preserve"> (subsection 27(2))</w:t>
      </w:r>
      <w:r>
        <w:rPr>
          <w:rFonts w:ascii="Times New Roman" w:hAnsi="Times New Roman" w:cs="Times New Roman"/>
          <w:sz w:val="24"/>
          <w:szCs w:val="24"/>
        </w:rPr>
        <w:t xml:space="preserve">. </w:t>
      </w:r>
      <w:r w:rsidR="006A2723">
        <w:rPr>
          <w:rFonts w:ascii="Times New Roman" w:hAnsi="Times New Roman" w:cs="Times New Roman"/>
          <w:sz w:val="24"/>
          <w:szCs w:val="24"/>
        </w:rPr>
        <w:t xml:space="preserve">This ensures </w:t>
      </w:r>
      <w:proofErr w:type="gramStart"/>
      <w:r w:rsidR="006A2723">
        <w:rPr>
          <w:rFonts w:ascii="Times New Roman" w:hAnsi="Times New Roman" w:cs="Times New Roman"/>
          <w:sz w:val="24"/>
          <w:szCs w:val="24"/>
        </w:rPr>
        <w:t>it is clear that the</w:t>
      </w:r>
      <w:proofErr w:type="gramEnd"/>
      <w:r w:rsidR="006A2723">
        <w:rPr>
          <w:rFonts w:ascii="Times New Roman" w:hAnsi="Times New Roman" w:cs="Times New Roman"/>
          <w:sz w:val="24"/>
          <w:szCs w:val="24"/>
        </w:rPr>
        <w:t xml:space="preserve"> </w:t>
      </w:r>
      <w:r w:rsidR="001A3351">
        <w:rPr>
          <w:rFonts w:ascii="Times New Roman" w:hAnsi="Times New Roman" w:cs="Times New Roman"/>
          <w:sz w:val="24"/>
          <w:szCs w:val="24"/>
        </w:rPr>
        <w:t xml:space="preserve">responsible Commonwealth </w:t>
      </w:r>
      <w:r w:rsidR="006A2723">
        <w:rPr>
          <w:rFonts w:ascii="Times New Roman" w:hAnsi="Times New Roman" w:cs="Times New Roman"/>
          <w:sz w:val="24"/>
          <w:szCs w:val="24"/>
        </w:rPr>
        <w:t>Minister must consider the draft plan as varied, or the additional information provided, when deciding whether to approve, or refuse to approve, the draft site plan. It also means that if the draft plan is varied or additional information provided, and the Minister is still not satisfied that the draft plan meets the criteria in Division 2, but reasonably believes that the applicant could again vary the application or provide additional information to so satisfy the Minister, then the Minister must give a further opportunity to vary the application or provide the additional information.</w:t>
      </w:r>
    </w:p>
    <w:p w14:paraId="35F39B9F" w14:textId="0CC873DE" w:rsidR="007D33B2" w:rsidRDefault="007D33B2" w:rsidP="007D33B2">
      <w:pPr>
        <w:rPr>
          <w:rFonts w:ascii="Times New Roman" w:hAnsi="Times New Roman" w:cs="Times New Roman"/>
          <w:sz w:val="24"/>
          <w:szCs w:val="24"/>
        </w:rPr>
      </w:pPr>
      <w:r>
        <w:rPr>
          <w:rFonts w:ascii="Times New Roman" w:hAnsi="Times New Roman" w:cs="Times New Roman"/>
          <w:sz w:val="24"/>
          <w:szCs w:val="24"/>
        </w:rPr>
        <w:t>T</w:t>
      </w:r>
      <w:r w:rsidRPr="007D33B2">
        <w:rPr>
          <w:rFonts w:ascii="Times New Roman" w:hAnsi="Times New Roman" w:cs="Times New Roman"/>
          <w:sz w:val="24"/>
          <w:szCs w:val="24"/>
        </w:rPr>
        <w:t xml:space="preserve">he </w:t>
      </w:r>
      <w:r w:rsidR="001A3351">
        <w:rPr>
          <w:rFonts w:ascii="Times New Roman" w:hAnsi="Times New Roman" w:cs="Times New Roman"/>
          <w:sz w:val="24"/>
          <w:szCs w:val="24"/>
        </w:rPr>
        <w:t xml:space="preserve">responsible Commonwealth </w:t>
      </w:r>
      <w:r w:rsidRPr="007D33B2">
        <w:rPr>
          <w:rFonts w:ascii="Times New Roman" w:hAnsi="Times New Roman" w:cs="Times New Roman"/>
          <w:sz w:val="24"/>
          <w:szCs w:val="24"/>
        </w:rPr>
        <w:t xml:space="preserve">Minister is not required to consider the draft site plan further until the applicant has varied the </w:t>
      </w:r>
      <w:r w:rsidR="00E35685">
        <w:rPr>
          <w:rFonts w:ascii="Times New Roman" w:hAnsi="Times New Roman" w:cs="Times New Roman"/>
          <w:sz w:val="24"/>
          <w:szCs w:val="24"/>
        </w:rPr>
        <w:t xml:space="preserve">draft </w:t>
      </w:r>
      <w:r w:rsidRPr="007D33B2">
        <w:rPr>
          <w:rFonts w:ascii="Times New Roman" w:hAnsi="Times New Roman" w:cs="Times New Roman"/>
          <w:sz w:val="24"/>
          <w:szCs w:val="24"/>
        </w:rPr>
        <w:t>plan or provided the additional information</w:t>
      </w:r>
      <w:r w:rsidR="006A2723">
        <w:rPr>
          <w:rFonts w:ascii="Times New Roman" w:hAnsi="Times New Roman" w:cs="Times New Roman"/>
          <w:sz w:val="24"/>
          <w:szCs w:val="24"/>
        </w:rPr>
        <w:t xml:space="preserve"> (subsection</w:t>
      </w:r>
      <w:r w:rsidR="00DC6520">
        <w:rPr>
          <w:rFonts w:ascii="Times New Roman" w:hAnsi="Times New Roman" w:cs="Times New Roman"/>
          <w:sz w:val="24"/>
          <w:szCs w:val="24"/>
        </w:rPr>
        <w:t> </w:t>
      </w:r>
      <w:r w:rsidR="006A2723">
        <w:rPr>
          <w:rFonts w:ascii="Times New Roman" w:hAnsi="Times New Roman" w:cs="Times New Roman"/>
          <w:sz w:val="24"/>
          <w:szCs w:val="24"/>
        </w:rPr>
        <w:t>27(3))</w:t>
      </w:r>
      <w:r>
        <w:rPr>
          <w:rFonts w:ascii="Times New Roman" w:hAnsi="Times New Roman" w:cs="Times New Roman"/>
          <w:sz w:val="24"/>
          <w:szCs w:val="24"/>
        </w:rPr>
        <w:t>.</w:t>
      </w:r>
    </w:p>
    <w:p w14:paraId="24860571" w14:textId="5151CBFF" w:rsidR="00A36CD4" w:rsidRPr="00880749" w:rsidRDefault="007F74F7" w:rsidP="00502CAB">
      <w:pPr>
        <w:pStyle w:val="ActHead5"/>
        <w:spacing w:after="240"/>
      </w:pPr>
      <w:r>
        <w:t xml:space="preserve">Section 28 – </w:t>
      </w:r>
      <w:r w:rsidR="00880749">
        <w:t>Notice of decision</w:t>
      </w:r>
    </w:p>
    <w:p w14:paraId="5AA4BFF0" w14:textId="18F8688A" w:rsidR="00C04AC3" w:rsidRDefault="00880749" w:rsidP="00A06118">
      <w:pPr>
        <w:rPr>
          <w:rFonts w:ascii="Times New Roman" w:hAnsi="Times New Roman" w:cs="Times New Roman"/>
          <w:sz w:val="24"/>
          <w:szCs w:val="24"/>
        </w:rPr>
      </w:pPr>
      <w:r>
        <w:rPr>
          <w:rFonts w:ascii="Times New Roman" w:hAnsi="Times New Roman" w:cs="Times New Roman"/>
          <w:sz w:val="24"/>
          <w:szCs w:val="24"/>
        </w:rPr>
        <w:t xml:space="preserve">This section provides that the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Minister must give the applican</w:t>
      </w:r>
      <w:r w:rsidRPr="00A06118">
        <w:rPr>
          <w:rFonts w:ascii="Times New Roman" w:hAnsi="Times New Roman" w:cs="Times New Roman"/>
          <w:sz w:val="24"/>
          <w:szCs w:val="24"/>
        </w:rPr>
        <w:t xml:space="preserve">t </w:t>
      </w:r>
      <w:r>
        <w:rPr>
          <w:rFonts w:ascii="Times New Roman" w:hAnsi="Times New Roman" w:cs="Times New Roman"/>
          <w:sz w:val="24"/>
          <w:szCs w:val="24"/>
        </w:rPr>
        <w:t xml:space="preserve">written notice </w:t>
      </w:r>
      <w:r w:rsidRPr="00A06118">
        <w:rPr>
          <w:rFonts w:ascii="Times New Roman" w:hAnsi="Times New Roman" w:cs="Times New Roman"/>
          <w:sz w:val="24"/>
          <w:szCs w:val="24"/>
        </w:rPr>
        <w:t xml:space="preserve">of </w:t>
      </w:r>
      <w:r w:rsidR="00C04AC3">
        <w:rPr>
          <w:rFonts w:ascii="Times New Roman" w:hAnsi="Times New Roman" w:cs="Times New Roman"/>
          <w:sz w:val="24"/>
          <w:szCs w:val="24"/>
        </w:rPr>
        <w:t>the</w:t>
      </w:r>
      <w:r w:rsidRPr="00A06118">
        <w:rPr>
          <w:rFonts w:ascii="Times New Roman" w:hAnsi="Times New Roman" w:cs="Times New Roman"/>
          <w:sz w:val="24"/>
          <w:szCs w:val="24"/>
        </w:rPr>
        <w:t xml:space="preserve"> decision </w:t>
      </w:r>
      <w:r w:rsidR="00C04AC3">
        <w:rPr>
          <w:rFonts w:ascii="Times New Roman" w:hAnsi="Times New Roman" w:cs="Times New Roman"/>
          <w:sz w:val="24"/>
          <w:szCs w:val="24"/>
        </w:rPr>
        <w:t xml:space="preserve">to approve, or refuse to approve, a draft site plan </w:t>
      </w:r>
      <w:r w:rsidRPr="00A06118">
        <w:rPr>
          <w:rFonts w:ascii="Times New Roman" w:hAnsi="Times New Roman" w:cs="Times New Roman"/>
          <w:sz w:val="24"/>
          <w:szCs w:val="24"/>
        </w:rPr>
        <w:t>under section</w:t>
      </w:r>
      <w:r w:rsidR="002F6C23">
        <w:rPr>
          <w:rFonts w:ascii="Times New Roman" w:hAnsi="Times New Roman" w:cs="Times New Roman"/>
          <w:sz w:val="24"/>
          <w:szCs w:val="24"/>
        </w:rPr>
        <w:t> </w:t>
      </w:r>
      <w:r w:rsidR="006B5328">
        <w:rPr>
          <w:rFonts w:ascii="Times New Roman" w:hAnsi="Times New Roman" w:cs="Times New Roman"/>
          <w:sz w:val="24"/>
          <w:szCs w:val="24"/>
        </w:rPr>
        <w:t>25</w:t>
      </w:r>
      <w:r w:rsidRPr="00A06118">
        <w:rPr>
          <w:rFonts w:ascii="Times New Roman" w:hAnsi="Times New Roman" w:cs="Times New Roman"/>
          <w:sz w:val="24"/>
          <w:szCs w:val="24"/>
        </w:rPr>
        <w:t xml:space="preserve">. </w:t>
      </w:r>
    </w:p>
    <w:p w14:paraId="4A35D997" w14:textId="7DD63FC4" w:rsidR="00C04AC3" w:rsidRDefault="00880749" w:rsidP="00A06118">
      <w:pPr>
        <w:rPr>
          <w:rFonts w:ascii="Times New Roman" w:hAnsi="Times New Roman" w:cs="Times New Roman"/>
          <w:sz w:val="24"/>
          <w:szCs w:val="24"/>
        </w:rPr>
      </w:pPr>
      <w:r w:rsidRPr="00A06118">
        <w:rPr>
          <w:rFonts w:ascii="Times New Roman" w:hAnsi="Times New Roman" w:cs="Times New Roman"/>
          <w:sz w:val="24"/>
          <w:szCs w:val="24"/>
        </w:rPr>
        <w:t xml:space="preserve">If the </w:t>
      </w:r>
      <w:r w:rsidR="001A3351">
        <w:rPr>
          <w:rFonts w:ascii="Times New Roman" w:hAnsi="Times New Roman" w:cs="Times New Roman"/>
          <w:sz w:val="24"/>
          <w:szCs w:val="24"/>
        </w:rPr>
        <w:t xml:space="preserve">responsible Commonwealth </w:t>
      </w:r>
      <w:r w:rsidR="00BC780C">
        <w:rPr>
          <w:rFonts w:ascii="Times New Roman" w:hAnsi="Times New Roman" w:cs="Times New Roman"/>
          <w:sz w:val="24"/>
          <w:szCs w:val="24"/>
        </w:rPr>
        <w:t xml:space="preserve">Minister </w:t>
      </w:r>
      <w:r w:rsidRPr="00A06118">
        <w:rPr>
          <w:rFonts w:ascii="Times New Roman" w:hAnsi="Times New Roman" w:cs="Times New Roman"/>
          <w:sz w:val="24"/>
          <w:szCs w:val="24"/>
        </w:rPr>
        <w:t>approve</w:t>
      </w:r>
      <w:r w:rsidR="00BC780C">
        <w:rPr>
          <w:rFonts w:ascii="Times New Roman" w:hAnsi="Times New Roman" w:cs="Times New Roman"/>
          <w:sz w:val="24"/>
          <w:szCs w:val="24"/>
        </w:rPr>
        <w:t>d</w:t>
      </w:r>
      <w:r w:rsidRPr="00A06118">
        <w:rPr>
          <w:rFonts w:ascii="Times New Roman" w:hAnsi="Times New Roman" w:cs="Times New Roman"/>
          <w:sz w:val="24"/>
          <w:szCs w:val="24"/>
        </w:rPr>
        <w:t xml:space="preserve"> the draft site plan, the notice must include the time of the approval.</w:t>
      </w:r>
      <w:r w:rsidR="00C04AC3">
        <w:rPr>
          <w:rFonts w:ascii="Times New Roman" w:hAnsi="Times New Roman" w:cs="Times New Roman"/>
          <w:sz w:val="24"/>
          <w:szCs w:val="24"/>
        </w:rPr>
        <w:t xml:space="preserve"> Under</w:t>
      </w:r>
      <w:r w:rsidRPr="00A06118">
        <w:rPr>
          <w:rFonts w:ascii="Times New Roman" w:hAnsi="Times New Roman" w:cs="Times New Roman"/>
          <w:sz w:val="24"/>
          <w:szCs w:val="24"/>
        </w:rPr>
        <w:t xml:space="preserve"> </w:t>
      </w:r>
      <w:r w:rsidR="00C04AC3">
        <w:rPr>
          <w:rFonts w:ascii="Times New Roman" w:hAnsi="Times New Roman" w:cs="Times New Roman"/>
          <w:sz w:val="24"/>
          <w:szCs w:val="24"/>
        </w:rPr>
        <w:t>section 30, an approved site plan comes into force at the time of the approval.</w:t>
      </w:r>
    </w:p>
    <w:p w14:paraId="5E4D7177" w14:textId="242625A8" w:rsidR="00880749" w:rsidRPr="00A06118" w:rsidRDefault="00880749" w:rsidP="00A06118">
      <w:pPr>
        <w:rPr>
          <w:rFonts w:ascii="Times New Roman" w:hAnsi="Times New Roman" w:cs="Times New Roman"/>
          <w:sz w:val="24"/>
          <w:szCs w:val="24"/>
        </w:rPr>
      </w:pPr>
      <w:r w:rsidRPr="00A06118">
        <w:rPr>
          <w:rFonts w:ascii="Times New Roman" w:hAnsi="Times New Roman" w:cs="Times New Roman"/>
          <w:sz w:val="24"/>
          <w:szCs w:val="24"/>
        </w:rPr>
        <w:t xml:space="preserve">If the </w:t>
      </w:r>
      <w:r w:rsidR="001A3351">
        <w:rPr>
          <w:rFonts w:ascii="Times New Roman" w:hAnsi="Times New Roman" w:cs="Times New Roman"/>
          <w:sz w:val="24"/>
          <w:szCs w:val="24"/>
        </w:rPr>
        <w:t xml:space="preserve">responsible Commonwealth </w:t>
      </w:r>
      <w:r w:rsidR="00BC780C">
        <w:rPr>
          <w:rFonts w:ascii="Times New Roman" w:hAnsi="Times New Roman" w:cs="Times New Roman"/>
          <w:sz w:val="24"/>
          <w:szCs w:val="24"/>
        </w:rPr>
        <w:t xml:space="preserve">Minister </w:t>
      </w:r>
      <w:r w:rsidRPr="00A06118">
        <w:rPr>
          <w:rFonts w:ascii="Times New Roman" w:hAnsi="Times New Roman" w:cs="Times New Roman"/>
          <w:sz w:val="24"/>
          <w:szCs w:val="24"/>
        </w:rPr>
        <w:t>refuse</w:t>
      </w:r>
      <w:r w:rsidR="00BC780C">
        <w:rPr>
          <w:rFonts w:ascii="Times New Roman" w:hAnsi="Times New Roman" w:cs="Times New Roman"/>
          <w:sz w:val="24"/>
          <w:szCs w:val="24"/>
        </w:rPr>
        <w:t>d</w:t>
      </w:r>
      <w:r w:rsidRPr="00A06118">
        <w:rPr>
          <w:rFonts w:ascii="Times New Roman" w:hAnsi="Times New Roman" w:cs="Times New Roman"/>
          <w:sz w:val="24"/>
          <w:szCs w:val="24"/>
        </w:rPr>
        <w:t xml:space="preserve"> to approve the draft site plan, the notice must include the reasons for the refusal.</w:t>
      </w:r>
    </w:p>
    <w:p w14:paraId="09777A68" w14:textId="0EFDC118" w:rsidR="00257414" w:rsidRPr="00C95444" w:rsidRDefault="00C95444" w:rsidP="00502CAB">
      <w:pPr>
        <w:pStyle w:val="ActHead3"/>
      </w:pPr>
      <w:r w:rsidRPr="00C95444">
        <w:t>Division 5 – Duration of approved site plans</w:t>
      </w:r>
    </w:p>
    <w:p w14:paraId="3BC3F210" w14:textId="23585B8D" w:rsidR="007F74F7" w:rsidRPr="00502CAB" w:rsidRDefault="007F74F7" w:rsidP="00502CAB">
      <w:pPr>
        <w:pStyle w:val="ActHead5"/>
        <w:spacing w:after="240"/>
      </w:pPr>
      <w:r w:rsidRPr="00502CAB">
        <w:t>Section 29 – Purpose of this Division</w:t>
      </w:r>
    </w:p>
    <w:p w14:paraId="50082307" w14:textId="0ED40070" w:rsidR="00FB599C" w:rsidRPr="00BC780C" w:rsidRDefault="00FB599C" w:rsidP="00BC780C">
      <w:pPr>
        <w:rPr>
          <w:rFonts w:ascii="Times New Roman" w:hAnsi="Times New Roman" w:cs="Times New Roman"/>
          <w:sz w:val="24"/>
          <w:szCs w:val="24"/>
        </w:rPr>
      </w:pPr>
      <w:r w:rsidRPr="00BC780C">
        <w:rPr>
          <w:rFonts w:ascii="Times New Roman" w:hAnsi="Times New Roman" w:cs="Times New Roman"/>
          <w:sz w:val="24"/>
          <w:szCs w:val="24"/>
        </w:rPr>
        <w:t xml:space="preserve">This section provides that Division 5 is made for the purposes of </w:t>
      </w:r>
      <w:r w:rsidR="00091087">
        <w:rPr>
          <w:rFonts w:ascii="Times New Roman" w:hAnsi="Times New Roman" w:cs="Times New Roman"/>
          <w:sz w:val="24"/>
          <w:szCs w:val="24"/>
        </w:rPr>
        <w:t>sub</w:t>
      </w:r>
      <w:r w:rsidRPr="00BC780C">
        <w:rPr>
          <w:rFonts w:ascii="Times New Roman" w:hAnsi="Times New Roman" w:cs="Times New Roman"/>
          <w:sz w:val="24"/>
          <w:szCs w:val="24"/>
        </w:rPr>
        <w:t>section 457(4) of the OPGGS Act. S</w:t>
      </w:r>
      <w:r w:rsidR="00091087">
        <w:rPr>
          <w:rFonts w:ascii="Times New Roman" w:hAnsi="Times New Roman" w:cs="Times New Roman"/>
          <w:sz w:val="24"/>
          <w:szCs w:val="24"/>
        </w:rPr>
        <w:t>ubs</w:t>
      </w:r>
      <w:r w:rsidRPr="00BC780C">
        <w:rPr>
          <w:rFonts w:ascii="Times New Roman" w:hAnsi="Times New Roman" w:cs="Times New Roman"/>
          <w:sz w:val="24"/>
          <w:szCs w:val="24"/>
        </w:rPr>
        <w:t xml:space="preserve">ection 457(4) </w:t>
      </w:r>
      <w:r w:rsidR="00371C78">
        <w:rPr>
          <w:rFonts w:ascii="Times New Roman" w:hAnsi="Times New Roman" w:cs="Times New Roman"/>
          <w:sz w:val="24"/>
          <w:szCs w:val="24"/>
        </w:rPr>
        <w:t>states</w:t>
      </w:r>
      <w:r w:rsidRPr="00BC780C">
        <w:rPr>
          <w:rFonts w:ascii="Times New Roman" w:hAnsi="Times New Roman" w:cs="Times New Roman"/>
          <w:sz w:val="24"/>
          <w:szCs w:val="24"/>
        </w:rPr>
        <w:t xml:space="preserve"> that regulations may provide </w:t>
      </w:r>
      <w:r w:rsidR="006B5328">
        <w:rPr>
          <w:rFonts w:ascii="Times New Roman" w:hAnsi="Times New Roman" w:cs="Times New Roman"/>
          <w:sz w:val="24"/>
          <w:szCs w:val="24"/>
        </w:rPr>
        <w:t>that</w:t>
      </w:r>
      <w:r w:rsidRPr="00BC780C">
        <w:rPr>
          <w:rFonts w:ascii="Times New Roman" w:hAnsi="Times New Roman" w:cs="Times New Roman"/>
          <w:sz w:val="24"/>
          <w:szCs w:val="24"/>
        </w:rPr>
        <w:t xml:space="preserve"> </w:t>
      </w:r>
      <w:r w:rsidR="006B5328">
        <w:rPr>
          <w:rFonts w:ascii="Times New Roman" w:hAnsi="Times New Roman" w:cs="Times New Roman"/>
          <w:sz w:val="24"/>
          <w:szCs w:val="24"/>
        </w:rPr>
        <w:t xml:space="preserve">an approved site plan comes into force at the time of </w:t>
      </w:r>
      <w:r w:rsidR="00091087">
        <w:rPr>
          <w:rFonts w:ascii="Times New Roman" w:hAnsi="Times New Roman" w:cs="Times New Roman"/>
          <w:sz w:val="24"/>
          <w:szCs w:val="24"/>
        </w:rPr>
        <w:t xml:space="preserve">the </w:t>
      </w:r>
      <w:proofErr w:type="gramStart"/>
      <w:r w:rsidR="006B5328">
        <w:rPr>
          <w:rFonts w:ascii="Times New Roman" w:hAnsi="Times New Roman" w:cs="Times New Roman"/>
          <w:sz w:val="24"/>
          <w:szCs w:val="24"/>
        </w:rPr>
        <w:t>approval</w:t>
      </w:r>
      <w:r w:rsidR="00091087">
        <w:rPr>
          <w:rFonts w:ascii="Times New Roman" w:hAnsi="Times New Roman" w:cs="Times New Roman"/>
          <w:sz w:val="24"/>
          <w:szCs w:val="24"/>
        </w:rPr>
        <w:t>,</w:t>
      </w:r>
      <w:r w:rsidR="006B5328">
        <w:rPr>
          <w:rFonts w:ascii="Times New Roman" w:hAnsi="Times New Roman" w:cs="Times New Roman"/>
          <w:sz w:val="24"/>
          <w:szCs w:val="24"/>
        </w:rPr>
        <w:t xml:space="preserve"> and</w:t>
      </w:r>
      <w:proofErr w:type="gramEnd"/>
      <w:r w:rsidR="006B5328">
        <w:rPr>
          <w:rFonts w:ascii="Times New Roman" w:hAnsi="Times New Roman" w:cs="Times New Roman"/>
          <w:sz w:val="24"/>
          <w:szCs w:val="24"/>
        </w:rPr>
        <w:t xml:space="preserve"> remains in force either until the </w:t>
      </w:r>
      <w:r w:rsidR="00B84F3E">
        <w:rPr>
          <w:rFonts w:ascii="Times New Roman" w:hAnsi="Times New Roman" w:cs="Times New Roman"/>
          <w:sz w:val="24"/>
          <w:szCs w:val="24"/>
        </w:rPr>
        <w:t xml:space="preserve">responsible Commonwealth </w:t>
      </w:r>
      <w:r w:rsidR="006B5328">
        <w:rPr>
          <w:rFonts w:ascii="Times New Roman" w:hAnsi="Times New Roman" w:cs="Times New Roman"/>
          <w:sz w:val="24"/>
          <w:szCs w:val="24"/>
        </w:rPr>
        <w:t>Minister withdraws approval under the regulations or otherwise indefinitely.</w:t>
      </w:r>
    </w:p>
    <w:p w14:paraId="37E56706" w14:textId="3E05CD65" w:rsidR="00C95444" w:rsidRPr="00502CAB" w:rsidRDefault="00C95444" w:rsidP="00502CAB">
      <w:pPr>
        <w:pStyle w:val="ActHead5"/>
        <w:spacing w:after="240"/>
      </w:pPr>
      <w:r w:rsidRPr="00502CAB">
        <w:t>Section 3</w:t>
      </w:r>
      <w:r w:rsidR="007F74F7" w:rsidRPr="00502CAB">
        <w:t>0</w:t>
      </w:r>
      <w:r w:rsidRPr="00502CAB">
        <w:t xml:space="preserve"> – Duration of approved site plan</w:t>
      </w:r>
      <w:r w:rsidR="007F74F7" w:rsidRPr="00502CAB">
        <w:t>s</w:t>
      </w:r>
    </w:p>
    <w:p w14:paraId="688E9205" w14:textId="3032C918" w:rsidR="007E564E" w:rsidRDefault="00C95444" w:rsidP="00C95444">
      <w:pPr>
        <w:rPr>
          <w:rFonts w:ascii="Times New Roman" w:hAnsi="Times New Roman" w:cs="Times New Roman"/>
          <w:sz w:val="24"/>
          <w:szCs w:val="24"/>
        </w:rPr>
      </w:pPr>
      <w:r>
        <w:rPr>
          <w:rFonts w:ascii="Times New Roman" w:hAnsi="Times New Roman" w:cs="Times New Roman"/>
          <w:sz w:val="24"/>
          <w:szCs w:val="24"/>
        </w:rPr>
        <w:t xml:space="preserve">This </w:t>
      </w:r>
      <w:r w:rsidRPr="007E564E">
        <w:rPr>
          <w:rFonts w:ascii="Times New Roman" w:hAnsi="Times New Roman" w:cs="Times New Roman"/>
          <w:sz w:val="24"/>
          <w:szCs w:val="24"/>
        </w:rPr>
        <w:t xml:space="preserve">section </w:t>
      </w:r>
      <w:r w:rsidR="007E564E" w:rsidRPr="007E564E">
        <w:rPr>
          <w:rFonts w:ascii="Times New Roman" w:hAnsi="Times New Roman" w:cs="Times New Roman"/>
          <w:color w:val="333333"/>
          <w:sz w:val="24"/>
          <w:szCs w:val="24"/>
          <w:shd w:val="clear" w:color="auto" w:fill="FFFFFF"/>
        </w:rPr>
        <w:t xml:space="preserve">provides </w:t>
      </w:r>
      <w:r w:rsidR="00091087">
        <w:rPr>
          <w:rFonts w:ascii="Times New Roman" w:hAnsi="Times New Roman" w:cs="Times New Roman"/>
          <w:color w:val="333333"/>
          <w:sz w:val="24"/>
          <w:szCs w:val="24"/>
          <w:shd w:val="clear" w:color="auto" w:fill="FFFFFF"/>
        </w:rPr>
        <w:t>for when an approved site plan is in force. A</w:t>
      </w:r>
      <w:r w:rsidR="007E564E" w:rsidRPr="007E564E">
        <w:rPr>
          <w:rFonts w:ascii="Times New Roman" w:hAnsi="Times New Roman" w:cs="Times New Roman"/>
          <w:color w:val="333333"/>
          <w:sz w:val="24"/>
          <w:szCs w:val="24"/>
          <w:shd w:val="clear" w:color="auto" w:fill="FFFFFF"/>
        </w:rPr>
        <w:t>n approved site plan</w:t>
      </w:r>
      <w:r w:rsidR="00091087">
        <w:rPr>
          <w:rFonts w:ascii="Times New Roman" w:hAnsi="Times New Roman" w:cs="Times New Roman"/>
          <w:color w:val="333333"/>
          <w:sz w:val="24"/>
          <w:szCs w:val="24"/>
          <w:shd w:val="clear" w:color="auto" w:fill="FFFFFF"/>
        </w:rPr>
        <w:t xml:space="preserve"> will</w:t>
      </w:r>
      <w:r w:rsidR="007E564E" w:rsidRPr="007E564E">
        <w:rPr>
          <w:rFonts w:ascii="Times New Roman" w:hAnsi="Times New Roman" w:cs="Times New Roman"/>
          <w:color w:val="333333"/>
          <w:sz w:val="24"/>
          <w:szCs w:val="24"/>
          <w:shd w:val="clear" w:color="auto" w:fill="FFFFFF"/>
        </w:rPr>
        <w:t xml:space="preserve"> </w:t>
      </w:r>
      <w:r w:rsidR="00732384">
        <w:rPr>
          <w:rFonts w:ascii="Times New Roman" w:hAnsi="Times New Roman" w:cs="Times New Roman"/>
          <w:color w:val="333333"/>
          <w:sz w:val="24"/>
          <w:szCs w:val="24"/>
          <w:shd w:val="clear" w:color="auto" w:fill="FFFFFF"/>
        </w:rPr>
        <w:t>com</w:t>
      </w:r>
      <w:r w:rsidR="00091087">
        <w:rPr>
          <w:rFonts w:ascii="Times New Roman" w:hAnsi="Times New Roman" w:cs="Times New Roman"/>
          <w:color w:val="333333"/>
          <w:sz w:val="24"/>
          <w:szCs w:val="24"/>
          <w:shd w:val="clear" w:color="auto" w:fill="FFFFFF"/>
        </w:rPr>
        <w:t>e</w:t>
      </w:r>
      <w:r w:rsidR="00732384">
        <w:rPr>
          <w:rFonts w:ascii="Times New Roman" w:hAnsi="Times New Roman" w:cs="Times New Roman"/>
          <w:color w:val="333333"/>
          <w:sz w:val="24"/>
          <w:szCs w:val="24"/>
          <w:shd w:val="clear" w:color="auto" w:fill="FFFFFF"/>
        </w:rPr>
        <w:t xml:space="preserve"> into force at the time of the approval</w:t>
      </w:r>
      <w:r w:rsidR="00091087">
        <w:rPr>
          <w:rFonts w:ascii="Times New Roman" w:hAnsi="Times New Roman" w:cs="Times New Roman"/>
          <w:color w:val="333333"/>
          <w:sz w:val="24"/>
          <w:szCs w:val="24"/>
          <w:shd w:val="clear" w:color="auto" w:fill="FFFFFF"/>
        </w:rPr>
        <w:t xml:space="preserve">. The plan </w:t>
      </w:r>
      <w:r w:rsidR="007E564E" w:rsidRPr="007E564E">
        <w:rPr>
          <w:rFonts w:ascii="Times New Roman" w:hAnsi="Times New Roman" w:cs="Times New Roman"/>
          <w:color w:val="333333"/>
          <w:sz w:val="24"/>
          <w:szCs w:val="24"/>
          <w:shd w:val="clear" w:color="auto" w:fill="FFFFFF"/>
        </w:rPr>
        <w:t>remain</w:t>
      </w:r>
      <w:r w:rsidR="00732384">
        <w:rPr>
          <w:rFonts w:ascii="Times New Roman" w:hAnsi="Times New Roman" w:cs="Times New Roman"/>
          <w:color w:val="333333"/>
          <w:sz w:val="24"/>
          <w:szCs w:val="24"/>
          <w:shd w:val="clear" w:color="auto" w:fill="FFFFFF"/>
        </w:rPr>
        <w:t>s</w:t>
      </w:r>
      <w:r w:rsidR="007E564E" w:rsidRPr="007E564E">
        <w:rPr>
          <w:rFonts w:ascii="Times New Roman" w:hAnsi="Times New Roman" w:cs="Times New Roman"/>
          <w:color w:val="333333"/>
          <w:sz w:val="24"/>
          <w:szCs w:val="24"/>
          <w:shd w:val="clear" w:color="auto" w:fill="FFFFFF"/>
        </w:rPr>
        <w:t xml:space="preserve"> in force </w:t>
      </w:r>
      <w:r w:rsidR="00091087">
        <w:rPr>
          <w:rFonts w:ascii="Times New Roman" w:hAnsi="Times New Roman" w:cs="Times New Roman"/>
          <w:color w:val="333333"/>
          <w:sz w:val="24"/>
          <w:szCs w:val="24"/>
          <w:shd w:val="clear" w:color="auto" w:fill="FFFFFF"/>
        </w:rPr>
        <w:t>indefinitely, unless the</w:t>
      </w:r>
      <w:r w:rsidR="002D4EED">
        <w:rPr>
          <w:rFonts w:ascii="Times New Roman" w:hAnsi="Times New Roman" w:cs="Times New Roman"/>
          <w:color w:val="333333"/>
          <w:sz w:val="24"/>
          <w:szCs w:val="24"/>
          <w:shd w:val="clear" w:color="auto" w:fill="FFFFFF"/>
        </w:rPr>
        <w:t> </w:t>
      </w:r>
      <w:r w:rsidR="00B84F3E">
        <w:rPr>
          <w:rFonts w:ascii="Times New Roman" w:hAnsi="Times New Roman" w:cs="Times New Roman"/>
          <w:color w:val="333333"/>
          <w:sz w:val="24"/>
          <w:szCs w:val="24"/>
          <w:shd w:val="clear" w:color="auto" w:fill="FFFFFF"/>
        </w:rPr>
        <w:t xml:space="preserve">responsible Commonwealth </w:t>
      </w:r>
      <w:r w:rsidR="00732384">
        <w:rPr>
          <w:rFonts w:ascii="Times New Roman" w:hAnsi="Times New Roman" w:cs="Times New Roman"/>
          <w:color w:val="333333"/>
          <w:sz w:val="24"/>
          <w:szCs w:val="24"/>
          <w:shd w:val="clear" w:color="auto" w:fill="FFFFFF"/>
        </w:rPr>
        <w:t>Minister</w:t>
      </w:r>
      <w:r w:rsidR="00732384" w:rsidRPr="007E564E">
        <w:rPr>
          <w:rFonts w:ascii="Times New Roman" w:hAnsi="Times New Roman" w:cs="Times New Roman"/>
          <w:color w:val="333333"/>
          <w:sz w:val="24"/>
          <w:szCs w:val="24"/>
          <w:shd w:val="clear" w:color="auto" w:fill="FFFFFF"/>
        </w:rPr>
        <w:t xml:space="preserve"> </w:t>
      </w:r>
      <w:r w:rsidR="007E564E" w:rsidRPr="007E564E">
        <w:rPr>
          <w:rFonts w:ascii="Times New Roman" w:hAnsi="Times New Roman" w:cs="Times New Roman"/>
          <w:color w:val="333333"/>
          <w:sz w:val="24"/>
          <w:szCs w:val="24"/>
          <w:shd w:val="clear" w:color="auto" w:fill="FFFFFF"/>
        </w:rPr>
        <w:t xml:space="preserve">withdraws approval </w:t>
      </w:r>
      <w:r w:rsidR="00091087">
        <w:rPr>
          <w:rFonts w:ascii="Times New Roman" w:hAnsi="Times New Roman" w:cs="Times New Roman"/>
          <w:color w:val="333333"/>
          <w:sz w:val="24"/>
          <w:szCs w:val="24"/>
          <w:shd w:val="clear" w:color="auto" w:fill="FFFFFF"/>
        </w:rPr>
        <w:t>of</w:t>
      </w:r>
      <w:r w:rsidR="007E564E" w:rsidRPr="007E564E">
        <w:rPr>
          <w:rFonts w:ascii="Times New Roman" w:hAnsi="Times New Roman" w:cs="Times New Roman"/>
          <w:color w:val="333333"/>
          <w:sz w:val="24"/>
          <w:szCs w:val="24"/>
          <w:shd w:val="clear" w:color="auto" w:fill="FFFFFF"/>
        </w:rPr>
        <w:t xml:space="preserve"> </w:t>
      </w:r>
      <w:r w:rsidR="00091087">
        <w:rPr>
          <w:rFonts w:ascii="Times New Roman" w:hAnsi="Times New Roman" w:cs="Times New Roman"/>
          <w:color w:val="333333"/>
          <w:sz w:val="24"/>
          <w:szCs w:val="24"/>
          <w:shd w:val="clear" w:color="auto" w:fill="FFFFFF"/>
        </w:rPr>
        <w:t xml:space="preserve">the </w:t>
      </w:r>
      <w:r w:rsidR="007E564E" w:rsidRPr="007E564E">
        <w:rPr>
          <w:rFonts w:ascii="Times New Roman" w:hAnsi="Times New Roman" w:cs="Times New Roman"/>
          <w:color w:val="333333"/>
          <w:sz w:val="24"/>
          <w:szCs w:val="24"/>
          <w:shd w:val="clear" w:color="auto" w:fill="FFFFFF"/>
        </w:rPr>
        <w:t>plan</w:t>
      </w:r>
      <w:r w:rsidR="00732384">
        <w:rPr>
          <w:rFonts w:ascii="Times New Roman" w:hAnsi="Times New Roman" w:cs="Times New Roman"/>
          <w:color w:val="333333"/>
          <w:sz w:val="24"/>
          <w:szCs w:val="24"/>
          <w:shd w:val="clear" w:color="auto" w:fill="FFFFFF"/>
        </w:rPr>
        <w:t xml:space="preserve"> under s</w:t>
      </w:r>
      <w:r w:rsidR="007F74F7">
        <w:rPr>
          <w:rFonts w:ascii="Times New Roman" w:hAnsi="Times New Roman" w:cs="Times New Roman"/>
          <w:color w:val="333333"/>
          <w:sz w:val="24"/>
          <w:szCs w:val="24"/>
          <w:shd w:val="clear" w:color="auto" w:fill="FFFFFF"/>
        </w:rPr>
        <w:t>ection</w:t>
      </w:r>
      <w:r w:rsidR="00732384">
        <w:rPr>
          <w:rFonts w:ascii="Times New Roman" w:hAnsi="Times New Roman" w:cs="Times New Roman"/>
          <w:color w:val="333333"/>
          <w:sz w:val="24"/>
          <w:szCs w:val="24"/>
          <w:shd w:val="clear" w:color="auto" w:fill="FFFFFF"/>
        </w:rPr>
        <w:t xml:space="preserve"> 3</w:t>
      </w:r>
      <w:r w:rsidR="007F74F7">
        <w:rPr>
          <w:rFonts w:ascii="Times New Roman" w:hAnsi="Times New Roman" w:cs="Times New Roman"/>
          <w:color w:val="333333"/>
          <w:sz w:val="24"/>
          <w:szCs w:val="24"/>
          <w:shd w:val="clear" w:color="auto" w:fill="FFFFFF"/>
        </w:rPr>
        <w:t>2</w:t>
      </w:r>
      <w:r w:rsidR="007E564E" w:rsidRPr="007E564E">
        <w:rPr>
          <w:rFonts w:ascii="Times New Roman" w:hAnsi="Times New Roman" w:cs="Times New Roman"/>
          <w:color w:val="333333"/>
          <w:sz w:val="24"/>
          <w:szCs w:val="24"/>
          <w:shd w:val="clear" w:color="auto" w:fill="FFFFFF"/>
        </w:rPr>
        <w:t>.</w:t>
      </w:r>
      <w:r w:rsidR="00091087">
        <w:rPr>
          <w:rFonts w:ascii="Times New Roman" w:hAnsi="Times New Roman" w:cs="Times New Roman"/>
          <w:color w:val="333333"/>
          <w:sz w:val="24"/>
          <w:szCs w:val="24"/>
          <w:shd w:val="clear" w:color="auto" w:fill="FFFFFF"/>
        </w:rPr>
        <w:t xml:space="preserve"> If the Minister withdraws approval, the plan ceases to be in force on the withdrawal.</w:t>
      </w:r>
      <w:r w:rsidR="007E564E">
        <w:rPr>
          <w:rFonts w:ascii="Times New Roman" w:hAnsi="Times New Roman" w:cs="Times New Roman"/>
          <w:sz w:val="24"/>
          <w:szCs w:val="24"/>
        </w:rPr>
        <w:t xml:space="preserve"> </w:t>
      </w:r>
    </w:p>
    <w:p w14:paraId="34002BBF" w14:textId="2449CEAD" w:rsidR="00C95444" w:rsidRPr="00C95444" w:rsidRDefault="00C95444" w:rsidP="00502CAB">
      <w:pPr>
        <w:pStyle w:val="ActHead3"/>
      </w:pPr>
      <w:r w:rsidRPr="00C95444">
        <w:lastRenderedPageBreak/>
        <w:t>Division 6 – Withdrawal of approval of approved site plans</w:t>
      </w:r>
    </w:p>
    <w:p w14:paraId="33DB5F61" w14:textId="2E1DE074" w:rsidR="007F74F7" w:rsidRPr="00502CAB" w:rsidRDefault="007F74F7" w:rsidP="00502CAB">
      <w:pPr>
        <w:pStyle w:val="ActHead5"/>
        <w:spacing w:after="240"/>
      </w:pPr>
      <w:r w:rsidRPr="00502CAB">
        <w:t>Section 31 – Purpose of this Division</w:t>
      </w:r>
    </w:p>
    <w:p w14:paraId="5B1604FF" w14:textId="06B496F8" w:rsidR="00732384" w:rsidRPr="00BC1751" w:rsidRDefault="00732384" w:rsidP="00BC1751">
      <w:pPr>
        <w:rPr>
          <w:rFonts w:ascii="Times New Roman" w:hAnsi="Times New Roman" w:cs="Times New Roman"/>
          <w:sz w:val="24"/>
          <w:szCs w:val="24"/>
        </w:rPr>
      </w:pPr>
      <w:r w:rsidRPr="00BC1751">
        <w:rPr>
          <w:rFonts w:ascii="Times New Roman" w:hAnsi="Times New Roman" w:cs="Times New Roman"/>
          <w:sz w:val="24"/>
          <w:szCs w:val="24"/>
        </w:rPr>
        <w:t xml:space="preserve">This section </w:t>
      </w:r>
      <w:r w:rsidR="00914368">
        <w:rPr>
          <w:rFonts w:ascii="Times New Roman" w:hAnsi="Times New Roman" w:cs="Times New Roman"/>
          <w:sz w:val="24"/>
          <w:szCs w:val="24"/>
        </w:rPr>
        <w:t xml:space="preserve">provides that </w:t>
      </w:r>
      <w:r w:rsidRPr="00BC1751">
        <w:rPr>
          <w:rFonts w:ascii="Times New Roman" w:hAnsi="Times New Roman" w:cs="Times New Roman"/>
          <w:sz w:val="24"/>
          <w:szCs w:val="24"/>
        </w:rPr>
        <w:t>Division </w:t>
      </w:r>
      <w:r w:rsidR="001A3351">
        <w:rPr>
          <w:rFonts w:ascii="Times New Roman" w:hAnsi="Times New Roman" w:cs="Times New Roman"/>
          <w:sz w:val="24"/>
          <w:szCs w:val="24"/>
        </w:rPr>
        <w:t>6</w:t>
      </w:r>
      <w:r w:rsidR="00914368">
        <w:rPr>
          <w:rFonts w:ascii="Times New Roman" w:hAnsi="Times New Roman" w:cs="Times New Roman"/>
          <w:sz w:val="24"/>
          <w:szCs w:val="24"/>
        </w:rPr>
        <w:t xml:space="preserve"> is </w:t>
      </w:r>
      <w:r w:rsidR="001A3351">
        <w:rPr>
          <w:rFonts w:ascii="Times New Roman" w:hAnsi="Times New Roman" w:cs="Times New Roman"/>
          <w:sz w:val="24"/>
          <w:szCs w:val="24"/>
        </w:rPr>
        <w:t xml:space="preserve">made for the purposes of </w:t>
      </w:r>
      <w:r w:rsidR="00914368">
        <w:rPr>
          <w:rFonts w:ascii="Times New Roman" w:hAnsi="Times New Roman" w:cs="Times New Roman"/>
          <w:sz w:val="24"/>
          <w:szCs w:val="24"/>
        </w:rPr>
        <w:t>subsec</w:t>
      </w:r>
      <w:r w:rsidRPr="00BC1751">
        <w:rPr>
          <w:rFonts w:ascii="Times New Roman" w:hAnsi="Times New Roman" w:cs="Times New Roman"/>
          <w:sz w:val="24"/>
          <w:szCs w:val="24"/>
        </w:rPr>
        <w:t xml:space="preserve">tion 457(5) of the OPGGS Act. Section 457(5) provides that regulations may </w:t>
      </w:r>
      <w:r w:rsidR="00914368">
        <w:rPr>
          <w:rFonts w:ascii="Times New Roman" w:hAnsi="Times New Roman" w:cs="Times New Roman"/>
          <w:sz w:val="24"/>
          <w:szCs w:val="24"/>
        </w:rPr>
        <w:t>make provision</w:t>
      </w:r>
      <w:r w:rsidRPr="00BC1751">
        <w:rPr>
          <w:rFonts w:ascii="Times New Roman" w:hAnsi="Times New Roman" w:cs="Times New Roman"/>
          <w:sz w:val="24"/>
          <w:szCs w:val="24"/>
        </w:rPr>
        <w:t xml:space="preserve"> for the </w:t>
      </w:r>
      <w:r w:rsidR="00B84F3E">
        <w:rPr>
          <w:rFonts w:ascii="Times New Roman" w:hAnsi="Times New Roman" w:cs="Times New Roman"/>
          <w:sz w:val="24"/>
          <w:szCs w:val="24"/>
        </w:rPr>
        <w:t xml:space="preserve">responsible Commonwealth </w:t>
      </w:r>
      <w:r w:rsidRPr="00BC1751">
        <w:rPr>
          <w:rFonts w:ascii="Times New Roman" w:hAnsi="Times New Roman" w:cs="Times New Roman"/>
          <w:sz w:val="24"/>
          <w:szCs w:val="24"/>
        </w:rPr>
        <w:t>Minister to withdraw approval of approved site plan</w:t>
      </w:r>
      <w:r w:rsidR="00914368">
        <w:rPr>
          <w:rFonts w:ascii="Times New Roman" w:hAnsi="Times New Roman" w:cs="Times New Roman"/>
          <w:sz w:val="24"/>
          <w:szCs w:val="24"/>
        </w:rPr>
        <w:t>s</w:t>
      </w:r>
      <w:r w:rsidRPr="00BC1751">
        <w:rPr>
          <w:rFonts w:ascii="Times New Roman" w:hAnsi="Times New Roman" w:cs="Times New Roman"/>
          <w:sz w:val="24"/>
          <w:szCs w:val="24"/>
        </w:rPr>
        <w:t>.</w:t>
      </w:r>
    </w:p>
    <w:p w14:paraId="25A0D609" w14:textId="2032BC9C" w:rsidR="00C95444" w:rsidRPr="00502CAB" w:rsidRDefault="00C95444" w:rsidP="00502CAB">
      <w:pPr>
        <w:pStyle w:val="ActHead5"/>
        <w:spacing w:after="240"/>
      </w:pPr>
      <w:r w:rsidRPr="00502CAB">
        <w:t>Section 3</w:t>
      </w:r>
      <w:r w:rsidR="007F74F7" w:rsidRPr="00502CAB">
        <w:t>2</w:t>
      </w:r>
      <w:r w:rsidRPr="00502CAB">
        <w:t xml:space="preserve"> – Withdrawal of approval of site plan</w:t>
      </w:r>
      <w:r w:rsidR="007F74F7" w:rsidRPr="00502CAB">
        <w:t>s</w:t>
      </w:r>
    </w:p>
    <w:p w14:paraId="24F2A9F8" w14:textId="79B9F34F" w:rsidR="00914368" w:rsidRDefault="0016414E" w:rsidP="0016414E">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This section </w:t>
      </w:r>
      <w:r w:rsidR="00914368">
        <w:rPr>
          <w:rFonts w:ascii="Times New Roman" w:hAnsi="Times New Roman" w:cs="Times New Roman"/>
          <w:sz w:val="24"/>
          <w:szCs w:val="24"/>
        </w:rPr>
        <w:t>enables</w:t>
      </w:r>
      <w:r w:rsidR="007E564E" w:rsidRPr="007E564E">
        <w:rPr>
          <w:rFonts w:ascii="Times New Roman" w:hAnsi="Times New Roman" w:cs="Times New Roman"/>
          <w:color w:val="333333"/>
          <w:sz w:val="24"/>
          <w:szCs w:val="24"/>
          <w:shd w:val="clear" w:color="auto" w:fill="FFFFFF"/>
        </w:rPr>
        <w:t xml:space="preserve"> </w:t>
      </w:r>
      <w:r w:rsidR="00D2742C">
        <w:rPr>
          <w:rFonts w:ascii="Times New Roman" w:hAnsi="Times New Roman" w:cs="Times New Roman"/>
          <w:color w:val="333333"/>
          <w:sz w:val="24"/>
          <w:szCs w:val="24"/>
          <w:shd w:val="clear" w:color="auto" w:fill="FFFFFF"/>
        </w:rPr>
        <w:t xml:space="preserve">the </w:t>
      </w:r>
      <w:r w:rsidR="00B84F3E">
        <w:rPr>
          <w:rFonts w:ascii="Times New Roman" w:hAnsi="Times New Roman" w:cs="Times New Roman"/>
          <w:color w:val="333333"/>
          <w:sz w:val="24"/>
          <w:szCs w:val="24"/>
          <w:shd w:val="clear" w:color="auto" w:fill="FFFFFF"/>
        </w:rPr>
        <w:t xml:space="preserve">responsible Commonwealth </w:t>
      </w:r>
      <w:r w:rsidR="00D2742C">
        <w:rPr>
          <w:rFonts w:ascii="Times New Roman" w:hAnsi="Times New Roman" w:cs="Times New Roman"/>
          <w:color w:val="333333"/>
          <w:sz w:val="24"/>
          <w:szCs w:val="24"/>
          <w:shd w:val="clear" w:color="auto" w:fill="FFFFFF"/>
        </w:rPr>
        <w:t xml:space="preserve">Minister </w:t>
      </w:r>
      <w:r w:rsidR="00914368">
        <w:rPr>
          <w:rFonts w:ascii="Times New Roman" w:hAnsi="Times New Roman" w:cs="Times New Roman"/>
          <w:color w:val="333333"/>
          <w:sz w:val="24"/>
          <w:szCs w:val="24"/>
          <w:shd w:val="clear" w:color="auto" w:fill="FFFFFF"/>
        </w:rPr>
        <w:t>to</w:t>
      </w:r>
      <w:r w:rsidR="00D2742C">
        <w:rPr>
          <w:rFonts w:ascii="Times New Roman" w:hAnsi="Times New Roman" w:cs="Times New Roman"/>
          <w:color w:val="333333"/>
          <w:sz w:val="24"/>
          <w:szCs w:val="24"/>
          <w:shd w:val="clear" w:color="auto" w:fill="FFFFFF"/>
        </w:rPr>
        <w:t xml:space="preserve"> withdraw </w:t>
      </w:r>
      <w:r w:rsidR="00732384">
        <w:rPr>
          <w:rFonts w:ascii="Times New Roman" w:hAnsi="Times New Roman" w:cs="Times New Roman"/>
          <w:color w:val="333333"/>
          <w:sz w:val="24"/>
          <w:szCs w:val="24"/>
          <w:shd w:val="clear" w:color="auto" w:fill="FFFFFF"/>
        </w:rPr>
        <w:t xml:space="preserve">approval of </w:t>
      </w:r>
      <w:r w:rsidR="007E564E" w:rsidRPr="007E564E">
        <w:rPr>
          <w:rFonts w:ascii="Times New Roman" w:hAnsi="Times New Roman" w:cs="Times New Roman"/>
          <w:color w:val="333333"/>
          <w:sz w:val="24"/>
          <w:szCs w:val="24"/>
          <w:shd w:val="clear" w:color="auto" w:fill="FFFFFF"/>
        </w:rPr>
        <w:t xml:space="preserve">a site plan </w:t>
      </w:r>
      <w:r w:rsidR="00914368">
        <w:rPr>
          <w:rFonts w:ascii="Times New Roman" w:hAnsi="Times New Roman" w:cs="Times New Roman"/>
          <w:color w:val="333333"/>
          <w:sz w:val="24"/>
          <w:szCs w:val="24"/>
          <w:shd w:val="clear" w:color="auto" w:fill="FFFFFF"/>
        </w:rPr>
        <w:t xml:space="preserve">on any of the grounds specified in the section. </w:t>
      </w:r>
    </w:p>
    <w:p w14:paraId="21F1A5DE" w14:textId="10D9E1BA" w:rsidR="00914368" w:rsidRDefault="00914368" w:rsidP="00914368">
      <w:pPr>
        <w:rPr>
          <w:rFonts w:ascii="Times New Roman" w:hAnsi="Times New Roman" w:cs="Times New Roman"/>
          <w:sz w:val="24"/>
          <w:szCs w:val="24"/>
        </w:rPr>
      </w:pPr>
      <w:r>
        <w:rPr>
          <w:rFonts w:ascii="Times New Roman" w:hAnsi="Times New Roman" w:cs="Times New Roman"/>
          <w:sz w:val="24"/>
          <w:szCs w:val="24"/>
        </w:rPr>
        <w:t xml:space="preserve">Under section 30, the site plan ceases to be in force upon the withdrawal of approval. </w:t>
      </w:r>
      <w:r w:rsidRPr="00914368">
        <w:rPr>
          <w:rFonts w:ascii="Times New Roman" w:hAnsi="Times New Roman" w:cs="Times New Roman"/>
          <w:sz w:val="24"/>
          <w:szCs w:val="24"/>
        </w:rPr>
        <w:t xml:space="preserve">Under </w:t>
      </w:r>
      <w:r>
        <w:rPr>
          <w:rFonts w:ascii="Times New Roman" w:hAnsi="Times New Roman" w:cs="Times New Roman"/>
          <w:sz w:val="24"/>
          <w:szCs w:val="24"/>
        </w:rPr>
        <w:t>sub</w:t>
      </w:r>
      <w:r w:rsidRPr="00914368">
        <w:rPr>
          <w:rFonts w:ascii="Times New Roman" w:hAnsi="Times New Roman" w:cs="Times New Roman"/>
          <w:sz w:val="24"/>
          <w:szCs w:val="24"/>
        </w:rPr>
        <w:t xml:space="preserve">section </w:t>
      </w:r>
      <w:r>
        <w:rPr>
          <w:rFonts w:ascii="Times New Roman" w:hAnsi="Times New Roman" w:cs="Times New Roman"/>
          <w:sz w:val="24"/>
          <w:szCs w:val="24"/>
        </w:rPr>
        <w:t>22(1)</w:t>
      </w:r>
      <w:r w:rsidRPr="00914368">
        <w:rPr>
          <w:rFonts w:ascii="Times New Roman" w:hAnsi="Times New Roman" w:cs="Times New Roman"/>
          <w:sz w:val="24"/>
          <w:szCs w:val="24"/>
        </w:rPr>
        <w:t xml:space="preserve">, a </w:t>
      </w:r>
      <w:r>
        <w:rPr>
          <w:rFonts w:ascii="Times New Roman" w:hAnsi="Times New Roman" w:cs="Times New Roman"/>
          <w:sz w:val="24"/>
          <w:szCs w:val="24"/>
        </w:rPr>
        <w:t>GHG injection licensee</w:t>
      </w:r>
      <w:r w:rsidRPr="00914368">
        <w:rPr>
          <w:rFonts w:ascii="Times New Roman" w:hAnsi="Times New Roman" w:cs="Times New Roman"/>
          <w:sz w:val="24"/>
          <w:szCs w:val="24"/>
        </w:rPr>
        <w:t xml:space="preserve"> commits an offence</w:t>
      </w:r>
      <w:r>
        <w:rPr>
          <w:rFonts w:ascii="Times New Roman" w:hAnsi="Times New Roman" w:cs="Times New Roman"/>
          <w:sz w:val="24"/>
          <w:szCs w:val="24"/>
        </w:rPr>
        <w:t>, or is liable to a civil penalty,</w:t>
      </w:r>
      <w:r w:rsidRPr="00914368">
        <w:rPr>
          <w:rFonts w:ascii="Times New Roman" w:hAnsi="Times New Roman" w:cs="Times New Roman"/>
          <w:sz w:val="24"/>
          <w:szCs w:val="24"/>
        </w:rPr>
        <w:t xml:space="preserve"> if they </w:t>
      </w:r>
      <w:r>
        <w:rPr>
          <w:rFonts w:ascii="Times New Roman" w:hAnsi="Times New Roman" w:cs="Times New Roman"/>
          <w:sz w:val="24"/>
          <w:szCs w:val="24"/>
        </w:rPr>
        <w:t>carry on operations in relation to an identified GHG storage formation specified in the licence and there is no approved site plan in force in relation to the formation. Therefore,</w:t>
      </w:r>
      <w:r w:rsidRPr="00914368">
        <w:rPr>
          <w:rFonts w:ascii="Times New Roman" w:hAnsi="Times New Roman" w:cs="Times New Roman"/>
          <w:sz w:val="24"/>
          <w:szCs w:val="24"/>
        </w:rPr>
        <w:t xml:space="preserve"> the </w:t>
      </w:r>
      <w:r>
        <w:rPr>
          <w:rFonts w:ascii="Times New Roman" w:hAnsi="Times New Roman" w:cs="Times New Roman"/>
          <w:sz w:val="24"/>
          <w:szCs w:val="24"/>
        </w:rPr>
        <w:t>licensee</w:t>
      </w:r>
      <w:r w:rsidRPr="00914368">
        <w:rPr>
          <w:rFonts w:ascii="Times New Roman" w:hAnsi="Times New Roman" w:cs="Times New Roman"/>
          <w:sz w:val="24"/>
          <w:szCs w:val="24"/>
        </w:rPr>
        <w:t xml:space="preserve"> cannot legally undertake </w:t>
      </w:r>
      <w:r>
        <w:rPr>
          <w:rFonts w:ascii="Times New Roman" w:hAnsi="Times New Roman" w:cs="Times New Roman"/>
          <w:sz w:val="24"/>
          <w:szCs w:val="24"/>
        </w:rPr>
        <w:t xml:space="preserve">operations in relation to the formation if the </w:t>
      </w:r>
      <w:r w:rsidR="001A3351">
        <w:rPr>
          <w:rFonts w:ascii="Times New Roman" w:hAnsi="Times New Roman" w:cs="Times New Roman"/>
          <w:sz w:val="24"/>
          <w:szCs w:val="24"/>
        </w:rPr>
        <w:t xml:space="preserve">responsible Commonwealth </w:t>
      </w:r>
      <w:r>
        <w:rPr>
          <w:rFonts w:ascii="Times New Roman" w:hAnsi="Times New Roman" w:cs="Times New Roman"/>
          <w:sz w:val="24"/>
          <w:szCs w:val="24"/>
        </w:rPr>
        <w:t>Minister withdraws approval of the site plan</w:t>
      </w:r>
      <w:r w:rsidRPr="00914368">
        <w:rPr>
          <w:rFonts w:ascii="Times New Roman" w:hAnsi="Times New Roman" w:cs="Times New Roman"/>
          <w:sz w:val="24"/>
          <w:szCs w:val="24"/>
        </w:rPr>
        <w:t>.</w:t>
      </w:r>
    </w:p>
    <w:p w14:paraId="3FBE49AA" w14:textId="4F7B65BD" w:rsidR="00914368" w:rsidRDefault="00914368" w:rsidP="00914368">
      <w:pPr>
        <w:rPr>
          <w:rFonts w:ascii="Times New Roman" w:hAnsi="Times New Roman" w:cs="Times New Roman"/>
          <w:sz w:val="24"/>
          <w:szCs w:val="24"/>
        </w:rPr>
      </w:pPr>
      <w:r>
        <w:rPr>
          <w:rFonts w:ascii="Times New Roman" w:hAnsi="Times New Roman" w:cs="Times New Roman"/>
          <w:sz w:val="24"/>
          <w:szCs w:val="24"/>
        </w:rPr>
        <w:t>S</w:t>
      </w:r>
      <w:r w:rsidRPr="00914368">
        <w:rPr>
          <w:rFonts w:ascii="Times New Roman" w:hAnsi="Times New Roman" w:cs="Times New Roman"/>
          <w:sz w:val="24"/>
          <w:szCs w:val="24"/>
        </w:rPr>
        <w:t xml:space="preserve">ection </w:t>
      </w:r>
      <w:r>
        <w:rPr>
          <w:rFonts w:ascii="Times New Roman" w:hAnsi="Times New Roman" w:cs="Times New Roman"/>
          <w:sz w:val="24"/>
          <w:szCs w:val="24"/>
        </w:rPr>
        <w:t>33</w:t>
      </w:r>
      <w:r w:rsidRPr="00914368">
        <w:rPr>
          <w:rFonts w:ascii="Times New Roman" w:hAnsi="Times New Roman" w:cs="Times New Roman"/>
          <w:sz w:val="24"/>
          <w:szCs w:val="24"/>
        </w:rPr>
        <w:t xml:space="preserve"> provides for steps to be taken prior to withdraw</w:t>
      </w:r>
      <w:r>
        <w:rPr>
          <w:rFonts w:ascii="Times New Roman" w:hAnsi="Times New Roman" w:cs="Times New Roman"/>
          <w:sz w:val="24"/>
          <w:szCs w:val="24"/>
        </w:rPr>
        <w:t>ing approval</w:t>
      </w:r>
      <w:r w:rsidRPr="00914368">
        <w:rPr>
          <w:rFonts w:ascii="Times New Roman" w:hAnsi="Times New Roman" w:cs="Times New Roman"/>
          <w:sz w:val="24"/>
          <w:szCs w:val="24"/>
        </w:rPr>
        <w:t xml:space="preserve"> to ensure procedural fairness for the </w:t>
      </w:r>
      <w:r>
        <w:rPr>
          <w:rFonts w:ascii="Times New Roman" w:hAnsi="Times New Roman" w:cs="Times New Roman"/>
          <w:sz w:val="24"/>
          <w:szCs w:val="24"/>
        </w:rPr>
        <w:t>licensee (see below)</w:t>
      </w:r>
      <w:r w:rsidRPr="00914368">
        <w:rPr>
          <w:rFonts w:ascii="Times New Roman" w:hAnsi="Times New Roman" w:cs="Times New Roman"/>
          <w:sz w:val="24"/>
          <w:szCs w:val="24"/>
        </w:rPr>
        <w:t>.</w:t>
      </w:r>
    </w:p>
    <w:p w14:paraId="4BFAEF2F" w14:textId="4ED8C16C" w:rsidR="0046073D" w:rsidRPr="00914368" w:rsidRDefault="00DC6520" w:rsidP="00914368">
      <w:pPr>
        <w:rPr>
          <w:rFonts w:ascii="Times New Roman" w:hAnsi="Times New Roman" w:cs="Times New Roman"/>
          <w:sz w:val="24"/>
          <w:szCs w:val="24"/>
        </w:rPr>
      </w:pPr>
      <w:bookmarkStart w:id="8" w:name="_Hlk132366698"/>
      <w:r w:rsidRPr="00DC6520">
        <w:rPr>
          <w:rFonts w:ascii="Times New Roman" w:hAnsi="Times New Roman" w:cs="Times New Roman"/>
          <w:sz w:val="24"/>
          <w:szCs w:val="24"/>
        </w:rPr>
        <w:t xml:space="preserve">The grounds for withdrawal of approval of a site plan, </w:t>
      </w:r>
      <w:r>
        <w:rPr>
          <w:rFonts w:ascii="Times New Roman" w:hAnsi="Times New Roman" w:cs="Times New Roman"/>
          <w:sz w:val="24"/>
          <w:szCs w:val="24"/>
        </w:rPr>
        <w:t>as</w:t>
      </w:r>
      <w:r w:rsidRPr="00DC6520">
        <w:rPr>
          <w:rFonts w:ascii="Times New Roman" w:hAnsi="Times New Roman" w:cs="Times New Roman"/>
          <w:sz w:val="24"/>
          <w:szCs w:val="24"/>
        </w:rPr>
        <w:t xml:space="preserve"> set out in paragraph 32(1)(b), relate to non-compliance with the OPGGS Act or </w:t>
      </w:r>
      <w:r>
        <w:rPr>
          <w:rFonts w:ascii="Times New Roman" w:hAnsi="Times New Roman" w:cs="Times New Roman"/>
          <w:sz w:val="24"/>
          <w:szCs w:val="24"/>
        </w:rPr>
        <w:t>GHG</w:t>
      </w:r>
      <w:r w:rsidRPr="00DC6520">
        <w:rPr>
          <w:rFonts w:ascii="Times New Roman" w:hAnsi="Times New Roman" w:cs="Times New Roman"/>
          <w:sz w:val="24"/>
          <w:szCs w:val="24"/>
        </w:rPr>
        <w:t xml:space="preserve"> Regulations by a GHG injection licensee. </w:t>
      </w:r>
      <w:r w:rsidR="0046073D">
        <w:rPr>
          <w:rFonts w:ascii="Times New Roman" w:hAnsi="Times New Roman" w:cs="Times New Roman"/>
          <w:sz w:val="24"/>
          <w:szCs w:val="24"/>
        </w:rPr>
        <w:t xml:space="preserve">The </w:t>
      </w:r>
      <w:r w:rsidR="001A3351">
        <w:rPr>
          <w:rFonts w:ascii="Times New Roman" w:hAnsi="Times New Roman" w:cs="Times New Roman"/>
          <w:sz w:val="24"/>
          <w:szCs w:val="24"/>
        </w:rPr>
        <w:t xml:space="preserve">responsible Commonwealth </w:t>
      </w:r>
      <w:r w:rsidR="0046073D">
        <w:rPr>
          <w:rFonts w:ascii="Times New Roman" w:hAnsi="Times New Roman" w:cs="Times New Roman"/>
          <w:sz w:val="24"/>
          <w:szCs w:val="24"/>
        </w:rPr>
        <w:t>Minister</w:t>
      </w:r>
      <w:r w:rsidR="0046073D" w:rsidRPr="0046073D">
        <w:rPr>
          <w:rFonts w:ascii="Times New Roman" w:hAnsi="Times New Roman" w:cs="Times New Roman"/>
          <w:sz w:val="24"/>
          <w:szCs w:val="24"/>
        </w:rPr>
        <w:t xml:space="preserve"> has a range of graduated enforcement mechanisms available</w:t>
      </w:r>
      <w:r w:rsidR="0046073D">
        <w:rPr>
          <w:rFonts w:ascii="Times New Roman" w:hAnsi="Times New Roman" w:cs="Times New Roman"/>
          <w:sz w:val="24"/>
          <w:szCs w:val="24"/>
        </w:rPr>
        <w:t xml:space="preserve"> to enforce non</w:t>
      </w:r>
      <w:r w:rsidR="002F6C23">
        <w:rPr>
          <w:rFonts w:ascii="Times New Roman" w:hAnsi="Times New Roman" w:cs="Times New Roman"/>
          <w:sz w:val="24"/>
          <w:szCs w:val="24"/>
        </w:rPr>
        <w:noBreakHyphen/>
      </w:r>
      <w:proofErr w:type="gramStart"/>
      <w:r w:rsidR="0046073D">
        <w:rPr>
          <w:rFonts w:ascii="Times New Roman" w:hAnsi="Times New Roman" w:cs="Times New Roman"/>
          <w:sz w:val="24"/>
          <w:szCs w:val="24"/>
        </w:rPr>
        <w:t>compliance</w:t>
      </w:r>
      <w:r w:rsidR="0046073D" w:rsidRPr="0046073D">
        <w:rPr>
          <w:rFonts w:ascii="Times New Roman" w:hAnsi="Times New Roman" w:cs="Times New Roman"/>
          <w:sz w:val="24"/>
          <w:szCs w:val="24"/>
        </w:rPr>
        <w:t>, and</w:t>
      </w:r>
      <w:proofErr w:type="gramEnd"/>
      <w:r w:rsidR="0046073D" w:rsidRPr="0046073D">
        <w:rPr>
          <w:rFonts w:ascii="Times New Roman" w:hAnsi="Times New Roman" w:cs="Times New Roman"/>
          <w:sz w:val="24"/>
          <w:szCs w:val="24"/>
        </w:rPr>
        <w:t xml:space="preserve"> has a discretion to withdraw </w:t>
      </w:r>
      <w:r w:rsidR="0046073D">
        <w:rPr>
          <w:rFonts w:ascii="Times New Roman" w:hAnsi="Times New Roman" w:cs="Times New Roman"/>
          <w:sz w:val="24"/>
          <w:szCs w:val="24"/>
        </w:rPr>
        <w:t>approval</w:t>
      </w:r>
      <w:r w:rsidR="0046073D" w:rsidRPr="0046073D">
        <w:rPr>
          <w:rFonts w:ascii="Times New Roman" w:hAnsi="Times New Roman" w:cs="Times New Roman"/>
          <w:sz w:val="24"/>
          <w:szCs w:val="24"/>
        </w:rPr>
        <w:t xml:space="preserve"> of a </w:t>
      </w:r>
      <w:r w:rsidR="0046073D">
        <w:rPr>
          <w:rFonts w:ascii="Times New Roman" w:hAnsi="Times New Roman" w:cs="Times New Roman"/>
          <w:sz w:val="24"/>
          <w:szCs w:val="24"/>
        </w:rPr>
        <w:t>site</w:t>
      </w:r>
      <w:r w:rsidR="0046073D" w:rsidRPr="0046073D">
        <w:rPr>
          <w:rFonts w:ascii="Times New Roman" w:hAnsi="Times New Roman" w:cs="Times New Roman"/>
          <w:sz w:val="24"/>
          <w:szCs w:val="24"/>
        </w:rPr>
        <w:t xml:space="preserve"> plan when a ground under subsection 3</w:t>
      </w:r>
      <w:r w:rsidR="0046073D">
        <w:rPr>
          <w:rFonts w:ascii="Times New Roman" w:hAnsi="Times New Roman" w:cs="Times New Roman"/>
          <w:sz w:val="24"/>
          <w:szCs w:val="24"/>
        </w:rPr>
        <w:t>2</w:t>
      </w:r>
      <w:r w:rsidR="0046073D" w:rsidRPr="0046073D">
        <w:rPr>
          <w:rFonts w:ascii="Times New Roman" w:hAnsi="Times New Roman" w:cs="Times New Roman"/>
          <w:sz w:val="24"/>
          <w:szCs w:val="24"/>
        </w:rPr>
        <w:t xml:space="preserve">(1) arises. Provided that such a ground exists, </w:t>
      </w:r>
      <w:r w:rsidR="0046073D">
        <w:rPr>
          <w:rFonts w:ascii="Times New Roman" w:hAnsi="Times New Roman" w:cs="Times New Roman"/>
          <w:sz w:val="24"/>
          <w:szCs w:val="24"/>
        </w:rPr>
        <w:t>the Minister</w:t>
      </w:r>
      <w:r w:rsidR="0046073D" w:rsidRPr="0046073D">
        <w:rPr>
          <w:rFonts w:ascii="Times New Roman" w:hAnsi="Times New Roman" w:cs="Times New Roman"/>
          <w:sz w:val="24"/>
          <w:szCs w:val="24"/>
        </w:rPr>
        <w:t xml:space="preserve"> can take account of all relevant circumstances in deciding whether to withdraw </w:t>
      </w:r>
      <w:r w:rsidR="0046073D">
        <w:rPr>
          <w:rFonts w:ascii="Times New Roman" w:hAnsi="Times New Roman" w:cs="Times New Roman"/>
          <w:sz w:val="24"/>
          <w:szCs w:val="24"/>
        </w:rPr>
        <w:t>approval</w:t>
      </w:r>
      <w:r w:rsidR="0046073D" w:rsidRPr="0046073D">
        <w:rPr>
          <w:rFonts w:ascii="Times New Roman" w:hAnsi="Times New Roman" w:cs="Times New Roman"/>
          <w:sz w:val="24"/>
          <w:szCs w:val="24"/>
        </w:rPr>
        <w:t>. </w:t>
      </w:r>
      <w:bookmarkEnd w:id="8"/>
      <w:r w:rsidR="0046073D" w:rsidRPr="0046073D">
        <w:rPr>
          <w:rFonts w:ascii="Times New Roman" w:hAnsi="Times New Roman" w:cs="Times New Roman"/>
          <w:sz w:val="24"/>
          <w:szCs w:val="24"/>
        </w:rPr>
        <w:t xml:space="preserve">This may include whether the </w:t>
      </w:r>
      <w:r w:rsidR="0046073D">
        <w:rPr>
          <w:rFonts w:ascii="Times New Roman" w:hAnsi="Times New Roman" w:cs="Times New Roman"/>
          <w:sz w:val="24"/>
          <w:szCs w:val="24"/>
        </w:rPr>
        <w:t>licensee</w:t>
      </w:r>
      <w:r w:rsidR="0046073D" w:rsidRPr="0046073D">
        <w:rPr>
          <w:rFonts w:ascii="Times New Roman" w:hAnsi="Times New Roman" w:cs="Times New Roman"/>
          <w:sz w:val="24"/>
          <w:szCs w:val="24"/>
        </w:rPr>
        <w:t xml:space="preserve"> has made genuine attempts to comply, or whether the failure to comply has caused </w:t>
      </w:r>
      <w:r w:rsidR="0046073D">
        <w:rPr>
          <w:rFonts w:ascii="Times New Roman" w:hAnsi="Times New Roman" w:cs="Times New Roman"/>
          <w:sz w:val="24"/>
          <w:szCs w:val="24"/>
        </w:rPr>
        <w:t>the Minister</w:t>
      </w:r>
      <w:r w:rsidR="0046073D" w:rsidRPr="0046073D">
        <w:rPr>
          <w:rFonts w:ascii="Times New Roman" w:hAnsi="Times New Roman" w:cs="Times New Roman"/>
          <w:sz w:val="24"/>
          <w:szCs w:val="24"/>
        </w:rPr>
        <w:t xml:space="preserve"> to be concerned that there may be a risk </w:t>
      </w:r>
      <w:r w:rsidR="0046073D">
        <w:rPr>
          <w:rFonts w:ascii="Times New Roman" w:hAnsi="Times New Roman" w:cs="Times New Roman"/>
          <w:sz w:val="24"/>
          <w:szCs w:val="24"/>
        </w:rPr>
        <w:t xml:space="preserve">relating </w:t>
      </w:r>
      <w:r w:rsidR="0046073D" w:rsidRPr="0046073D">
        <w:rPr>
          <w:rFonts w:ascii="Times New Roman" w:hAnsi="Times New Roman" w:cs="Times New Roman"/>
          <w:sz w:val="24"/>
          <w:szCs w:val="24"/>
        </w:rPr>
        <w:t xml:space="preserve">to </w:t>
      </w:r>
      <w:r w:rsidR="0046073D">
        <w:rPr>
          <w:rFonts w:ascii="Times New Roman" w:hAnsi="Times New Roman" w:cs="Times New Roman"/>
          <w:sz w:val="24"/>
          <w:szCs w:val="24"/>
        </w:rPr>
        <w:t>containment of a GHG substance</w:t>
      </w:r>
      <w:r w:rsidR="0046073D" w:rsidRPr="0046073D">
        <w:rPr>
          <w:rFonts w:ascii="Times New Roman" w:hAnsi="Times New Roman" w:cs="Times New Roman"/>
          <w:sz w:val="24"/>
          <w:szCs w:val="24"/>
        </w:rPr>
        <w:t xml:space="preserve">. </w:t>
      </w:r>
    </w:p>
    <w:p w14:paraId="7302DD67" w14:textId="42A62DD0" w:rsidR="00BE25B7" w:rsidRDefault="003E31EB" w:rsidP="00D2742C">
      <w:pPr>
        <w:rPr>
          <w:rFonts w:ascii="Times New Roman" w:hAnsi="Times New Roman" w:cs="Times New Roman"/>
          <w:sz w:val="24"/>
          <w:szCs w:val="24"/>
        </w:rPr>
      </w:pPr>
      <w:r>
        <w:rPr>
          <w:rFonts w:ascii="Times New Roman" w:hAnsi="Times New Roman" w:cs="Times New Roman"/>
          <w:sz w:val="24"/>
          <w:szCs w:val="24"/>
        </w:rPr>
        <w:t>T</w:t>
      </w:r>
      <w:r w:rsidR="00D2742C">
        <w:rPr>
          <w:rFonts w:ascii="Times New Roman" w:hAnsi="Times New Roman" w:cs="Times New Roman"/>
          <w:sz w:val="24"/>
          <w:szCs w:val="24"/>
        </w:rPr>
        <w:t xml:space="preserve">he </w:t>
      </w:r>
      <w:r w:rsidR="001A3351">
        <w:rPr>
          <w:rFonts w:ascii="Times New Roman" w:hAnsi="Times New Roman" w:cs="Times New Roman"/>
          <w:sz w:val="24"/>
          <w:szCs w:val="24"/>
        </w:rPr>
        <w:t xml:space="preserve">responsible Commonwealth </w:t>
      </w:r>
      <w:r w:rsidR="00D2742C">
        <w:rPr>
          <w:rFonts w:ascii="Times New Roman" w:hAnsi="Times New Roman" w:cs="Times New Roman"/>
          <w:sz w:val="24"/>
          <w:szCs w:val="24"/>
        </w:rPr>
        <w:t xml:space="preserve">Minister’s decision under section 32 is not subject to merits review. </w:t>
      </w:r>
      <w:r w:rsidR="004961BB">
        <w:rPr>
          <w:rFonts w:ascii="Times New Roman" w:hAnsi="Times New Roman" w:cs="Times New Roman"/>
          <w:sz w:val="24"/>
          <w:szCs w:val="24"/>
        </w:rPr>
        <w:t xml:space="preserve">The basis for withdrawing approval </w:t>
      </w:r>
      <w:r w:rsidR="00F11950">
        <w:rPr>
          <w:rFonts w:ascii="Times New Roman" w:hAnsi="Times New Roman" w:cs="Times New Roman"/>
          <w:sz w:val="24"/>
          <w:szCs w:val="24"/>
        </w:rPr>
        <w:t xml:space="preserve">of the site plan </w:t>
      </w:r>
      <w:r w:rsidR="004961BB">
        <w:rPr>
          <w:rFonts w:ascii="Times New Roman" w:hAnsi="Times New Roman" w:cs="Times New Roman"/>
          <w:sz w:val="24"/>
          <w:szCs w:val="24"/>
        </w:rPr>
        <w:t xml:space="preserve">arises from non-compliance with key obligations under the GHG </w:t>
      </w:r>
      <w:r w:rsidR="00BE25B7">
        <w:rPr>
          <w:rFonts w:ascii="Times New Roman" w:hAnsi="Times New Roman" w:cs="Times New Roman"/>
          <w:sz w:val="24"/>
          <w:szCs w:val="24"/>
        </w:rPr>
        <w:t>R</w:t>
      </w:r>
      <w:r w:rsidR="004961BB">
        <w:rPr>
          <w:rFonts w:ascii="Times New Roman" w:hAnsi="Times New Roman" w:cs="Times New Roman"/>
          <w:sz w:val="24"/>
          <w:szCs w:val="24"/>
        </w:rPr>
        <w:t>egulations</w:t>
      </w:r>
      <w:r w:rsidR="00264524">
        <w:rPr>
          <w:rFonts w:ascii="Times New Roman" w:hAnsi="Times New Roman" w:cs="Times New Roman"/>
          <w:sz w:val="24"/>
          <w:szCs w:val="24"/>
        </w:rPr>
        <w:t xml:space="preserve"> and the OPGGS Act</w:t>
      </w:r>
      <w:r w:rsidR="004961BB">
        <w:rPr>
          <w:rFonts w:ascii="Times New Roman" w:hAnsi="Times New Roman" w:cs="Times New Roman"/>
          <w:sz w:val="24"/>
          <w:szCs w:val="24"/>
        </w:rPr>
        <w:t>, each of which is sufficiently serious to be punishable by an offence and</w:t>
      </w:r>
      <w:r w:rsidR="002024D2">
        <w:rPr>
          <w:rFonts w:ascii="Times New Roman" w:hAnsi="Times New Roman" w:cs="Times New Roman"/>
          <w:sz w:val="24"/>
          <w:szCs w:val="24"/>
        </w:rPr>
        <w:t>/or</w:t>
      </w:r>
      <w:r w:rsidR="004961BB">
        <w:rPr>
          <w:rFonts w:ascii="Times New Roman" w:hAnsi="Times New Roman" w:cs="Times New Roman"/>
          <w:sz w:val="24"/>
          <w:szCs w:val="24"/>
        </w:rPr>
        <w:t xml:space="preserve"> a civil penalty. </w:t>
      </w:r>
      <w:r w:rsidR="00BE25B7">
        <w:rPr>
          <w:rFonts w:ascii="Times New Roman" w:hAnsi="Times New Roman" w:cs="Times New Roman"/>
          <w:sz w:val="24"/>
          <w:szCs w:val="24"/>
        </w:rPr>
        <w:t>The decision to withdraw approval of a site plan is therefore an enforcement decision. This accords with the principles set out by t</w:t>
      </w:r>
      <w:r w:rsidR="00BE25B7" w:rsidRPr="00094119">
        <w:rPr>
          <w:rFonts w:ascii="Times New Roman" w:hAnsi="Times New Roman" w:cs="Times New Roman"/>
          <w:sz w:val="24"/>
          <w:szCs w:val="24"/>
        </w:rPr>
        <w:t xml:space="preserve">he ARC in its publication </w:t>
      </w:r>
      <w:hyperlink r:id="rId15" w:history="1">
        <w:r w:rsidR="00BE25B7" w:rsidRPr="00FC5829">
          <w:rPr>
            <w:rStyle w:val="Hyperlink"/>
            <w:rFonts w:ascii="Times New Roman" w:hAnsi="Times New Roman" w:cs="Times New Roman"/>
            <w:i/>
            <w:iCs/>
            <w:sz w:val="24"/>
            <w:szCs w:val="24"/>
          </w:rPr>
          <w:t>What decisions should be subject to merit review?</w:t>
        </w:r>
      </w:hyperlink>
      <w:r w:rsidR="00BE25B7" w:rsidRPr="00FC5829">
        <w:rPr>
          <w:rFonts w:ascii="Times New Roman" w:hAnsi="Times New Roman" w:cs="Times New Roman"/>
          <w:i/>
          <w:iCs/>
          <w:sz w:val="24"/>
          <w:szCs w:val="24"/>
        </w:rPr>
        <w:t xml:space="preserve"> </w:t>
      </w:r>
      <w:r w:rsidR="00BE25B7">
        <w:rPr>
          <w:rFonts w:ascii="Times New Roman" w:hAnsi="Times New Roman" w:cs="Times New Roman"/>
          <w:sz w:val="24"/>
          <w:szCs w:val="24"/>
        </w:rPr>
        <w:t xml:space="preserve">(1999). The ARC </w:t>
      </w:r>
      <w:r w:rsidR="00BE25B7" w:rsidRPr="00094119">
        <w:rPr>
          <w:rFonts w:ascii="Times New Roman" w:hAnsi="Times New Roman" w:cs="Times New Roman"/>
          <w:sz w:val="24"/>
          <w:szCs w:val="24"/>
        </w:rPr>
        <w:t xml:space="preserve">considered </w:t>
      </w:r>
      <w:r w:rsidR="00BE25B7">
        <w:rPr>
          <w:rFonts w:ascii="Times New Roman" w:hAnsi="Times New Roman" w:cs="Times New Roman"/>
          <w:sz w:val="24"/>
          <w:szCs w:val="24"/>
        </w:rPr>
        <w:t>that decisions of a law enforcement nature should not</w:t>
      </w:r>
      <w:r w:rsidR="00BE25B7" w:rsidRPr="00094119">
        <w:rPr>
          <w:rFonts w:ascii="Times New Roman" w:hAnsi="Times New Roman" w:cs="Times New Roman"/>
          <w:sz w:val="24"/>
          <w:szCs w:val="24"/>
        </w:rPr>
        <w:t xml:space="preserve"> be </w:t>
      </w:r>
      <w:r w:rsidR="00BE25B7">
        <w:rPr>
          <w:rFonts w:ascii="Times New Roman" w:hAnsi="Times New Roman" w:cs="Times New Roman"/>
          <w:sz w:val="24"/>
          <w:szCs w:val="24"/>
        </w:rPr>
        <w:t>made subject to merits</w:t>
      </w:r>
      <w:r w:rsidR="00BE25B7" w:rsidRPr="00094119">
        <w:rPr>
          <w:rFonts w:ascii="Times New Roman" w:hAnsi="Times New Roman" w:cs="Times New Roman"/>
          <w:sz w:val="24"/>
          <w:szCs w:val="24"/>
        </w:rPr>
        <w:t xml:space="preserve"> review</w:t>
      </w:r>
      <w:r w:rsidR="00BE25B7">
        <w:rPr>
          <w:rFonts w:ascii="Times New Roman" w:hAnsi="Times New Roman" w:cs="Times New Roman"/>
          <w:sz w:val="24"/>
          <w:szCs w:val="24"/>
        </w:rPr>
        <w:t xml:space="preserve">. </w:t>
      </w:r>
    </w:p>
    <w:p w14:paraId="2FEB26FC" w14:textId="302404D9" w:rsidR="00D2742C" w:rsidRPr="00202051" w:rsidRDefault="00264524" w:rsidP="00D2742C">
      <w:pPr>
        <w:rPr>
          <w:rFonts w:ascii="Times New Roman" w:hAnsi="Times New Roman" w:cs="Times New Roman"/>
          <w:sz w:val="24"/>
          <w:szCs w:val="24"/>
        </w:rPr>
      </w:pPr>
      <w:r>
        <w:rPr>
          <w:rFonts w:ascii="Times New Roman" w:hAnsi="Times New Roman" w:cs="Times New Roman"/>
          <w:sz w:val="24"/>
          <w:szCs w:val="24"/>
        </w:rPr>
        <w:t xml:space="preserve">These matters would be investigated before </w:t>
      </w:r>
      <w:r w:rsidR="001A3351">
        <w:rPr>
          <w:rFonts w:ascii="Times New Roman" w:hAnsi="Times New Roman" w:cs="Times New Roman"/>
          <w:sz w:val="24"/>
          <w:szCs w:val="24"/>
        </w:rPr>
        <w:t xml:space="preserve">a decision </w:t>
      </w:r>
      <w:r>
        <w:rPr>
          <w:rFonts w:ascii="Times New Roman" w:hAnsi="Times New Roman" w:cs="Times New Roman"/>
          <w:sz w:val="24"/>
          <w:szCs w:val="24"/>
        </w:rPr>
        <w:t xml:space="preserve">is </w:t>
      </w:r>
      <w:r w:rsidR="001A3351">
        <w:rPr>
          <w:rFonts w:ascii="Times New Roman" w:hAnsi="Times New Roman" w:cs="Times New Roman"/>
          <w:sz w:val="24"/>
          <w:szCs w:val="24"/>
        </w:rPr>
        <w:t>made</w:t>
      </w:r>
      <w:r>
        <w:rPr>
          <w:rFonts w:ascii="Times New Roman" w:hAnsi="Times New Roman" w:cs="Times New Roman"/>
          <w:sz w:val="24"/>
          <w:szCs w:val="24"/>
        </w:rPr>
        <w:t xml:space="preserve"> to withdraw approval of the site plan, and it would cause unnecessary delay and the </w:t>
      </w:r>
      <w:r w:rsidR="00BE25B7">
        <w:rPr>
          <w:rFonts w:ascii="Times New Roman" w:hAnsi="Times New Roman" w:cs="Times New Roman"/>
          <w:sz w:val="24"/>
          <w:szCs w:val="24"/>
        </w:rPr>
        <w:t xml:space="preserve">potential for </w:t>
      </w:r>
      <w:r>
        <w:rPr>
          <w:rFonts w:ascii="Times New Roman" w:hAnsi="Times New Roman" w:cs="Times New Roman"/>
          <w:sz w:val="24"/>
          <w:szCs w:val="24"/>
        </w:rPr>
        <w:t xml:space="preserve">risk of serious harm to the environment or the operations of other affected titleholders if the withdrawal of approval of the site plan could be delayed by an application for merits review. </w:t>
      </w:r>
    </w:p>
    <w:p w14:paraId="57D01724" w14:textId="581E83F8" w:rsidR="00732384" w:rsidRPr="00502CAB" w:rsidRDefault="007F74F7" w:rsidP="00502CAB">
      <w:pPr>
        <w:pStyle w:val="ActHead5"/>
        <w:spacing w:after="240"/>
      </w:pPr>
      <w:r w:rsidRPr="00502CAB">
        <w:lastRenderedPageBreak/>
        <w:t xml:space="preserve">Section 33 – </w:t>
      </w:r>
      <w:r w:rsidR="00732384" w:rsidRPr="00502CAB">
        <w:t xml:space="preserve">Steps to be </w:t>
      </w:r>
      <w:bookmarkStart w:id="9" w:name="_Hlk145409114"/>
      <w:r w:rsidR="00732384" w:rsidRPr="00502CAB">
        <w:t xml:space="preserve">taken before withdrawing </w:t>
      </w:r>
      <w:proofErr w:type="gramStart"/>
      <w:r w:rsidR="00732384" w:rsidRPr="00502CAB">
        <w:t>approval</w:t>
      </w:r>
      <w:bookmarkEnd w:id="9"/>
      <w:proofErr w:type="gramEnd"/>
    </w:p>
    <w:p w14:paraId="5E0CAED9" w14:textId="7D62D5F6" w:rsidR="001B45AC" w:rsidRPr="001B45AC" w:rsidRDefault="001B45AC" w:rsidP="001B45AC">
      <w:pPr>
        <w:rPr>
          <w:rFonts w:ascii="Times New Roman" w:hAnsi="Times New Roman" w:cs="Times New Roman"/>
          <w:sz w:val="24"/>
          <w:szCs w:val="24"/>
        </w:rPr>
      </w:pPr>
      <w:r w:rsidRPr="001B45AC">
        <w:rPr>
          <w:rFonts w:ascii="Times New Roman" w:hAnsi="Times New Roman" w:cs="Times New Roman"/>
          <w:sz w:val="24"/>
          <w:szCs w:val="24"/>
        </w:rPr>
        <w:t xml:space="preserve">This section sets out the steps that </w:t>
      </w:r>
      <w:r>
        <w:rPr>
          <w:rFonts w:ascii="Times New Roman" w:hAnsi="Times New Roman" w:cs="Times New Roman"/>
          <w:sz w:val="24"/>
          <w:szCs w:val="24"/>
        </w:rPr>
        <w:t xml:space="preserve">the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Minister</w:t>
      </w:r>
      <w:r w:rsidRPr="001B45AC">
        <w:rPr>
          <w:rFonts w:ascii="Times New Roman" w:hAnsi="Times New Roman" w:cs="Times New Roman"/>
          <w:sz w:val="24"/>
          <w:szCs w:val="24"/>
        </w:rPr>
        <w:t xml:space="preserve"> must take before </w:t>
      </w:r>
      <w:r>
        <w:rPr>
          <w:rFonts w:ascii="Times New Roman" w:hAnsi="Times New Roman" w:cs="Times New Roman"/>
          <w:sz w:val="24"/>
          <w:szCs w:val="24"/>
        </w:rPr>
        <w:t xml:space="preserve">the Minister </w:t>
      </w:r>
      <w:r w:rsidRPr="001B45AC">
        <w:rPr>
          <w:rFonts w:ascii="Times New Roman" w:hAnsi="Times New Roman" w:cs="Times New Roman"/>
          <w:sz w:val="24"/>
          <w:szCs w:val="24"/>
        </w:rPr>
        <w:t>can withdraw a</w:t>
      </w:r>
      <w:r>
        <w:rPr>
          <w:rFonts w:ascii="Times New Roman" w:hAnsi="Times New Roman" w:cs="Times New Roman"/>
          <w:sz w:val="24"/>
          <w:szCs w:val="24"/>
        </w:rPr>
        <w:t>pproval</w:t>
      </w:r>
      <w:r w:rsidRPr="001B45AC">
        <w:rPr>
          <w:rFonts w:ascii="Times New Roman" w:hAnsi="Times New Roman" w:cs="Times New Roman"/>
          <w:sz w:val="24"/>
          <w:szCs w:val="24"/>
        </w:rPr>
        <w:t xml:space="preserve"> of a </w:t>
      </w:r>
      <w:r>
        <w:rPr>
          <w:rFonts w:ascii="Times New Roman" w:hAnsi="Times New Roman" w:cs="Times New Roman"/>
          <w:sz w:val="24"/>
          <w:szCs w:val="24"/>
        </w:rPr>
        <w:t>site plan</w:t>
      </w:r>
      <w:r w:rsidRPr="001B45AC">
        <w:rPr>
          <w:rFonts w:ascii="Times New Roman" w:hAnsi="Times New Roman" w:cs="Times New Roman"/>
          <w:sz w:val="24"/>
          <w:szCs w:val="24"/>
        </w:rPr>
        <w:t xml:space="preserve"> under section 3</w:t>
      </w:r>
      <w:r>
        <w:rPr>
          <w:rFonts w:ascii="Times New Roman" w:hAnsi="Times New Roman" w:cs="Times New Roman"/>
          <w:sz w:val="24"/>
          <w:szCs w:val="24"/>
        </w:rPr>
        <w:t>2</w:t>
      </w:r>
      <w:r w:rsidRPr="001B45AC">
        <w:rPr>
          <w:rFonts w:ascii="Times New Roman" w:hAnsi="Times New Roman" w:cs="Times New Roman"/>
          <w:sz w:val="24"/>
          <w:szCs w:val="24"/>
        </w:rPr>
        <w:t xml:space="preserve">. The purpose of the provision is to ensure procedural fairness for the </w:t>
      </w:r>
      <w:r>
        <w:rPr>
          <w:rFonts w:ascii="Times New Roman" w:hAnsi="Times New Roman" w:cs="Times New Roman"/>
          <w:sz w:val="24"/>
          <w:szCs w:val="24"/>
        </w:rPr>
        <w:t>GHG injection licensee</w:t>
      </w:r>
      <w:r w:rsidRPr="001B45AC">
        <w:rPr>
          <w:rFonts w:ascii="Times New Roman" w:hAnsi="Times New Roman" w:cs="Times New Roman"/>
          <w:sz w:val="24"/>
          <w:szCs w:val="24"/>
        </w:rPr>
        <w:t xml:space="preserve"> given the potentially severe consequences of a decision to withdraw a</w:t>
      </w:r>
      <w:r>
        <w:rPr>
          <w:rFonts w:ascii="Times New Roman" w:hAnsi="Times New Roman" w:cs="Times New Roman"/>
          <w:sz w:val="24"/>
          <w:szCs w:val="24"/>
        </w:rPr>
        <w:t>pproval</w:t>
      </w:r>
      <w:r w:rsidRPr="001B45AC">
        <w:rPr>
          <w:rFonts w:ascii="Times New Roman" w:hAnsi="Times New Roman" w:cs="Times New Roman"/>
          <w:sz w:val="24"/>
          <w:szCs w:val="24"/>
        </w:rPr>
        <w:t>, such as potential increases to project costs and delays</w:t>
      </w:r>
      <w:r w:rsidR="00DC6520">
        <w:rPr>
          <w:rFonts w:ascii="Times New Roman" w:hAnsi="Times New Roman" w:cs="Times New Roman"/>
          <w:sz w:val="24"/>
          <w:szCs w:val="24"/>
        </w:rPr>
        <w:t xml:space="preserve"> as the licensee would no longer be able to undertake their operations without a site plan in force</w:t>
      </w:r>
      <w:r w:rsidRPr="001B45AC">
        <w:rPr>
          <w:rFonts w:ascii="Times New Roman" w:hAnsi="Times New Roman" w:cs="Times New Roman"/>
          <w:sz w:val="24"/>
          <w:szCs w:val="24"/>
        </w:rPr>
        <w:t>.</w:t>
      </w:r>
    </w:p>
    <w:p w14:paraId="61FC7B3A" w14:textId="0A22BA21" w:rsidR="001B45AC" w:rsidRPr="001B45AC" w:rsidRDefault="001B45AC" w:rsidP="001B45AC">
      <w:pPr>
        <w:rPr>
          <w:rFonts w:ascii="Times New Roman" w:hAnsi="Times New Roman" w:cs="Times New Roman"/>
          <w:sz w:val="24"/>
          <w:szCs w:val="24"/>
        </w:rPr>
      </w:pPr>
      <w:r>
        <w:rPr>
          <w:rFonts w:ascii="Times New Roman" w:hAnsi="Times New Roman" w:cs="Times New Roman"/>
          <w:sz w:val="24"/>
          <w:szCs w:val="24"/>
        </w:rPr>
        <w:t xml:space="preserve">The </w:t>
      </w:r>
      <w:r w:rsidR="001A3351">
        <w:rPr>
          <w:rFonts w:ascii="Times New Roman" w:hAnsi="Times New Roman" w:cs="Times New Roman"/>
          <w:sz w:val="24"/>
          <w:szCs w:val="24"/>
        </w:rPr>
        <w:t xml:space="preserve">responsible Commonwealth Minister </w:t>
      </w:r>
      <w:r w:rsidRPr="001B45AC">
        <w:rPr>
          <w:rFonts w:ascii="Times New Roman" w:hAnsi="Times New Roman" w:cs="Times New Roman"/>
          <w:sz w:val="24"/>
          <w:szCs w:val="24"/>
        </w:rPr>
        <w:t xml:space="preserve">is required to give at least 30 days’ notice to the </w:t>
      </w:r>
      <w:r>
        <w:rPr>
          <w:rFonts w:ascii="Times New Roman" w:hAnsi="Times New Roman" w:cs="Times New Roman"/>
          <w:sz w:val="24"/>
          <w:szCs w:val="24"/>
        </w:rPr>
        <w:t>licensee</w:t>
      </w:r>
      <w:r w:rsidRPr="001B45AC">
        <w:rPr>
          <w:rFonts w:ascii="Times New Roman" w:hAnsi="Times New Roman" w:cs="Times New Roman"/>
          <w:sz w:val="24"/>
          <w:szCs w:val="24"/>
        </w:rPr>
        <w:t xml:space="preserve"> of </w:t>
      </w:r>
      <w:r w:rsidR="00263FE6">
        <w:rPr>
          <w:rFonts w:ascii="Times New Roman" w:hAnsi="Times New Roman" w:cs="Times New Roman"/>
          <w:sz w:val="24"/>
          <w:szCs w:val="24"/>
        </w:rPr>
        <w:t>the Minister’s</w:t>
      </w:r>
      <w:r w:rsidRPr="001B45AC">
        <w:rPr>
          <w:rFonts w:ascii="Times New Roman" w:hAnsi="Times New Roman" w:cs="Times New Roman"/>
          <w:sz w:val="24"/>
          <w:szCs w:val="24"/>
        </w:rPr>
        <w:t xml:space="preserve"> intention to withdraw a</w:t>
      </w:r>
      <w:r>
        <w:rPr>
          <w:rFonts w:ascii="Times New Roman" w:hAnsi="Times New Roman" w:cs="Times New Roman"/>
          <w:sz w:val="24"/>
          <w:szCs w:val="24"/>
        </w:rPr>
        <w:t>pproval</w:t>
      </w:r>
      <w:r w:rsidRPr="001B45AC">
        <w:rPr>
          <w:rFonts w:ascii="Times New Roman" w:hAnsi="Times New Roman" w:cs="Times New Roman"/>
          <w:sz w:val="24"/>
          <w:szCs w:val="24"/>
        </w:rPr>
        <w:t xml:space="preserve"> of a </w:t>
      </w:r>
      <w:r>
        <w:rPr>
          <w:rFonts w:ascii="Times New Roman" w:hAnsi="Times New Roman" w:cs="Times New Roman"/>
          <w:sz w:val="24"/>
          <w:szCs w:val="24"/>
        </w:rPr>
        <w:t>site</w:t>
      </w:r>
      <w:r w:rsidRPr="001B45AC">
        <w:rPr>
          <w:rFonts w:ascii="Times New Roman" w:hAnsi="Times New Roman" w:cs="Times New Roman"/>
          <w:sz w:val="24"/>
          <w:szCs w:val="24"/>
        </w:rPr>
        <w:t xml:space="preserve"> plan. </w:t>
      </w:r>
      <w:r>
        <w:rPr>
          <w:rFonts w:ascii="Times New Roman" w:hAnsi="Times New Roman" w:cs="Times New Roman"/>
          <w:sz w:val="24"/>
          <w:szCs w:val="24"/>
        </w:rPr>
        <w:t>The Minister</w:t>
      </w:r>
      <w:r w:rsidRPr="001B45AC">
        <w:rPr>
          <w:rFonts w:ascii="Times New Roman" w:hAnsi="Times New Roman" w:cs="Times New Roman"/>
          <w:sz w:val="24"/>
          <w:szCs w:val="24"/>
        </w:rPr>
        <w:t xml:space="preserve"> is also able to give a copy of the notice to any other persons that </w:t>
      </w:r>
      <w:r>
        <w:rPr>
          <w:rFonts w:ascii="Times New Roman" w:hAnsi="Times New Roman" w:cs="Times New Roman"/>
          <w:sz w:val="24"/>
          <w:szCs w:val="24"/>
        </w:rPr>
        <w:t>the Minister</w:t>
      </w:r>
      <w:r w:rsidRPr="001B45AC">
        <w:rPr>
          <w:rFonts w:ascii="Times New Roman" w:hAnsi="Times New Roman" w:cs="Times New Roman"/>
          <w:sz w:val="24"/>
          <w:szCs w:val="24"/>
        </w:rPr>
        <w:t xml:space="preserve"> thinks fit. This may occur, for example, in circumstances where </w:t>
      </w:r>
      <w:r>
        <w:rPr>
          <w:rFonts w:ascii="Times New Roman" w:hAnsi="Times New Roman" w:cs="Times New Roman"/>
          <w:sz w:val="24"/>
          <w:szCs w:val="24"/>
        </w:rPr>
        <w:t>the Minister</w:t>
      </w:r>
      <w:r w:rsidRPr="001B45AC">
        <w:rPr>
          <w:rFonts w:ascii="Times New Roman" w:hAnsi="Times New Roman" w:cs="Times New Roman"/>
          <w:sz w:val="24"/>
          <w:szCs w:val="24"/>
        </w:rPr>
        <w:t xml:space="preserve"> considers that another person may be directly impacted by the proposed decision, or where </w:t>
      </w:r>
      <w:r>
        <w:rPr>
          <w:rFonts w:ascii="Times New Roman" w:hAnsi="Times New Roman" w:cs="Times New Roman"/>
          <w:sz w:val="24"/>
          <w:szCs w:val="24"/>
        </w:rPr>
        <w:t>the Minister</w:t>
      </w:r>
      <w:r w:rsidRPr="001B45AC">
        <w:rPr>
          <w:rFonts w:ascii="Times New Roman" w:hAnsi="Times New Roman" w:cs="Times New Roman"/>
          <w:sz w:val="24"/>
          <w:szCs w:val="24"/>
        </w:rPr>
        <w:t xml:space="preserve"> considers that another person may have information that is relevant to the decision.</w:t>
      </w:r>
    </w:p>
    <w:p w14:paraId="24A2AEB0" w14:textId="0DB61CBE" w:rsidR="001B45AC" w:rsidRDefault="001B45AC" w:rsidP="001B45AC">
      <w:pPr>
        <w:rPr>
          <w:rFonts w:ascii="Times New Roman" w:hAnsi="Times New Roman" w:cs="Times New Roman"/>
          <w:sz w:val="24"/>
          <w:szCs w:val="24"/>
        </w:rPr>
      </w:pPr>
      <w:bookmarkStart w:id="10" w:name="_Toc143012258"/>
      <w:bookmarkStart w:id="11" w:name="_Toc142671925"/>
      <w:r>
        <w:rPr>
          <w:rFonts w:ascii="Times New Roman" w:hAnsi="Times New Roman" w:cs="Times New Roman"/>
          <w:sz w:val="24"/>
          <w:szCs w:val="24"/>
        </w:rPr>
        <w:t xml:space="preserve">The </w:t>
      </w:r>
      <w:r w:rsidR="001A3351">
        <w:rPr>
          <w:rFonts w:ascii="Times New Roman" w:hAnsi="Times New Roman" w:cs="Times New Roman"/>
          <w:sz w:val="24"/>
          <w:szCs w:val="24"/>
        </w:rPr>
        <w:t xml:space="preserve">responsible Commonwealth </w:t>
      </w:r>
      <w:r>
        <w:rPr>
          <w:rFonts w:ascii="Times New Roman" w:hAnsi="Times New Roman" w:cs="Times New Roman"/>
          <w:sz w:val="24"/>
          <w:szCs w:val="24"/>
        </w:rPr>
        <w:t>Minister</w:t>
      </w:r>
      <w:r w:rsidRPr="001B45AC">
        <w:rPr>
          <w:rFonts w:ascii="Times New Roman" w:hAnsi="Times New Roman" w:cs="Times New Roman"/>
          <w:sz w:val="24"/>
          <w:szCs w:val="24"/>
        </w:rPr>
        <w:t xml:space="preserve"> is required to give the </w:t>
      </w:r>
      <w:r>
        <w:rPr>
          <w:rFonts w:ascii="Times New Roman" w:hAnsi="Times New Roman" w:cs="Times New Roman"/>
          <w:sz w:val="24"/>
          <w:szCs w:val="24"/>
        </w:rPr>
        <w:t>licensee</w:t>
      </w:r>
      <w:r w:rsidRPr="001B45AC">
        <w:rPr>
          <w:rFonts w:ascii="Times New Roman" w:hAnsi="Times New Roman" w:cs="Times New Roman"/>
          <w:sz w:val="24"/>
          <w:szCs w:val="24"/>
        </w:rPr>
        <w:t xml:space="preserve">, and any other person to whom a copy of the notice has been given, an opportunity to submit any matters for </w:t>
      </w:r>
      <w:r>
        <w:rPr>
          <w:rFonts w:ascii="Times New Roman" w:hAnsi="Times New Roman" w:cs="Times New Roman"/>
          <w:sz w:val="24"/>
          <w:szCs w:val="24"/>
        </w:rPr>
        <w:t>the Minister</w:t>
      </w:r>
      <w:r w:rsidRPr="001B45AC">
        <w:rPr>
          <w:rFonts w:ascii="Times New Roman" w:hAnsi="Times New Roman" w:cs="Times New Roman"/>
          <w:sz w:val="24"/>
          <w:szCs w:val="24"/>
        </w:rPr>
        <w:t xml:space="preserve"> to </w:t>
      </w:r>
      <w:proofErr w:type="gramStart"/>
      <w:r w:rsidRPr="001B45AC">
        <w:rPr>
          <w:rFonts w:ascii="Times New Roman" w:hAnsi="Times New Roman" w:cs="Times New Roman"/>
          <w:sz w:val="24"/>
          <w:szCs w:val="24"/>
        </w:rPr>
        <w:t>take into account</w:t>
      </w:r>
      <w:proofErr w:type="gramEnd"/>
      <w:r w:rsidRPr="001B45AC">
        <w:rPr>
          <w:rFonts w:ascii="Times New Roman" w:hAnsi="Times New Roman" w:cs="Times New Roman"/>
          <w:sz w:val="24"/>
          <w:szCs w:val="24"/>
        </w:rPr>
        <w:t xml:space="preserve"> in deciding whether to withdraw </w:t>
      </w:r>
      <w:r>
        <w:rPr>
          <w:rFonts w:ascii="Times New Roman" w:hAnsi="Times New Roman" w:cs="Times New Roman"/>
          <w:sz w:val="24"/>
          <w:szCs w:val="24"/>
        </w:rPr>
        <w:t>approval</w:t>
      </w:r>
      <w:r w:rsidRPr="001B45AC">
        <w:rPr>
          <w:rFonts w:ascii="Times New Roman" w:hAnsi="Times New Roman" w:cs="Times New Roman"/>
          <w:sz w:val="24"/>
          <w:szCs w:val="24"/>
        </w:rPr>
        <w:t xml:space="preserve"> of the plan. The notice of intent to withdraw a</w:t>
      </w:r>
      <w:r>
        <w:rPr>
          <w:rFonts w:ascii="Times New Roman" w:hAnsi="Times New Roman" w:cs="Times New Roman"/>
          <w:sz w:val="24"/>
          <w:szCs w:val="24"/>
        </w:rPr>
        <w:t>pproval</w:t>
      </w:r>
      <w:r w:rsidRPr="001B45AC">
        <w:rPr>
          <w:rFonts w:ascii="Times New Roman" w:hAnsi="Times New Roman" w:cs="Times New Roman"/>
          <w:sz w:val="24"/>
          <w:szCs w:val="24"/>
        </w:rPr>
        <w:t xml:space="preserve"> is required to specify a day by which submissions must be made.</w:t>
      </w:r>
    </w:p>
    <w:p w14:paraId="72F35540" w14:textId="4948CBB0" w:rsidR="001B45AC" w:rsidRPr="001B45AC" w:rsidRDefault="001B45AC" w:rsidP="001B45AC">
      <w:pPr>
        <w:rPr>
          <w:rFonts w:ascii="Times New Roman" w:hAnsi="Times New Roman" w:cs="Times New Roman"/>
          <w:sz w:val="24"/>
          <w:szCs w:val="24"/>
        </w:rPr>
      </w:pPr>
      <w:r w:rsidRPr="001B45AC">
        <w:rPr>
          <w:rFonts w:ascii="Times New Roman" w:hAnsi="Times New Roman" w:cs="Times New Roman"/>
          <w:sz w:val="24"/>
          <w:szCs w:val="24"/>
        </w:rPr>
        <w:t xml:space="preserve">Subsection </w:t>
      </w:r>
      <w:r>
        <w:rPr>
          <w:rFonts w:ascii="Times New Roman" w:hAnsi="Times New Roman" w:cs="Times New Roman"/>
          <w:sz w:val="24"/>
          <w:szCs w:val="24"/>
        </w:rPr>
        <w:t>33</w:t>
      </w:r>
      <w:r w:rsidRPr="001B45AC">
        <w:rPr>
          <w:rFonts w:ascii="Times New Roman" w:hAnsi="Times New Roman" w:cs="Times New Roman"/>
          <w:sz w:val="24"/>
          <w:szCs w:val="24"/>
        </w:rPr>
        <w:t xml:space="preserve">(5) sets out matters that </w:t>
      </w:r>
      <w:r>
        <w:rPr>
          <w:rFonts w:ascii="Times New Roman" w:hAnsi="Times New Roman" w:cs="Times New Roman"/>
          <w:sz w:val="24"/>
          <w:szCs w:val="24"/>
        </w:rPr>
        <w:t xml:space="preserve">the </w:t>
      </w:r>
      <w:r w:rsidR="00360431">
        <w:rPr>
          <w:rFonts w:ascii="Times New Roman" w:hAnsi="Times New Roman" w:cs="Times New Roman"/>
          <w:sz w:val="24"/>
          <w:szCs w:val="24"/>
        </w:rPr>
        <w:t xml:space="preserve">responsible Commonwealth </w:t>
      </w:r>
      <w:r>
        <w:rPr>
          <w:rFonts w:ascii="Times New Roman" w:hAnsi="Times New Roman" w:cs="Times New Roman"/>
          <w:sz w:val="24"/>
          <w:szCs w:val="24"/>
        </w:rPr>
        <w:t>Minister</w:t>
      </w:r>
      <w:r w:rsidRPr="001B45AC">
        <w:rPr>
          <w:rFonts w:ascii="Times New Roman" w:hAnsi="Times New Roman" w:cs="Times New Roman"/>
          <w:sz w:val="24"/>
          <w:szCs w:val="24"/>
        </w:rPr>
        <w:t xml:space="preserve"> must </w:t>
      </w:r>
      <w:proofErr w:type="gramStart"/>
      <w:r w:rsidRPr="001B45AC">
        <w:rPr>
          <w:rFonts w:ascii="Times New Roman" w:hAnsi="Times New Roman" w:cs="Times New Roman"/>
          <w:sz w:val="24"/>
          <w:szCs w:val="24"/>
        </w:rPr>
        <w:t>take into account</w:t>
      </w:r>
      <w:proofErr w:type="gramEnd"/>
      <w:r w:rsidRPr="001B45AC">
        <w:rPr>
          <w:rFonts w:ascii="Times New Roman" w:hAnsi="Times New Roman" w:cs="Times New Roman"/>
          <w:sz w:val="24"/>
          <w:szCs w:val="24"/>
        </w:rPr>
        <w:t xml:space="preserve"> in deciding whether to withdraw a</w:t>
      </w:r>
      <w:r>
        <w:rPr>
          <w:rFonts w:ascii="Times New Roman" w:hAnsi="Times New Roman" w:cs="Times New Roman"/>
          <w:sz w:val="24"/>
          <w:szCs w:val="24"/>
        </w:rPr>
        <w:t>pproval</w:t>
      </w:r>
      <w:r w:rsidRPr="001B45AC">
        <w:rPr>
          <w:rFonts w:ascii="Times New Roman" w:hAnsi="Times New Roman" w:cs="Times New Roman"/>
          <w:sz w:val="24"/>
          <w:szCs w:val="24"/>
        </w:rPr>
        <w:t xml:space="preserve"> of a </w:t>
      </w:r>
      <w:r>
        <w:rPr>
          <w:rFonts w:ascii="Times New Roman" w:hAnsi="Times New Roman" w:cs="Times New Roman"/>
          <w:sz w:val="24"/>
          <w:szCs w:val="24"/>
        </w:rPr>
        <w:t>site</w:t>
      </w:r>
      <w:r w:rsidRPr="001B45AC">
        <w:rPr>
          <w:rFonts w:ascii="Times New Roman" w:hAnsi="Times New Roman" w:cs="Times New Roman"/>
          <w:sz w:val="24"/>
          <w:szCs w:val="24"/>
        </w:rPr>
        <w:t xml:space="preserve"> plan. </w:t>
      </w:r>
      <w:r>
        <w:rPr>
          <w:rFonts w:ascii="Times New Roman" w:hAnsi="Times New Roman" w:cs="Times New Roman"/>
          <w:sz w:val="24"/>
          <w:szCs w:val="24"/>
        </w:rPr>
        <w:t xml:space="preserve">The Minister </w:t>
      </w:r>
      <w:r w:rsidRPr="001B45AC">
        <w:rPr>
          <w:rFonts w:ascii="Times New Roman" w:hAnsi="Times New Roman" w:cs="Times New Roman"/>
          <w:sz w:val="24"/>
          <w:szCs w:val="24"/>
        </w:rPr>
        <w:t xml:space="preserve">is required to </w:t>
      </w:r>
      <w:proofErr w:type="gramStart"/>
      <w:r w:rsidRPr="001B45AC">
        <w:rPr>
          <w:rFonts w:ascii="Times New Roman" w:hAnsi="Times New Roman" w:cs="Times New Roman"/>
          <w:sz w:val="24"/>
          <w:szCs w:val="24"/>
        </w:rPr>
        <w:t>take into account</w:t>
      </w:r>
      <w:proofErr w:type="gramEnd"/>
      <w:r w:rsidRPr="001B45AC">
        <w:rPr>
          <w:rFonts w:ascii="Times New Roman" w:hAnsi="Times New Roman" w:cs="Times New Roman"/>
          <w:sz w:val="24"/>
          <w:szCs w:val="24"/>
        </w:rPr>
        <w:t xml:space="preserve"> any action taken by the </w:t>
      </w:r>
      <w:r>
        <w:rPr>
          <w:rFonts w:ascii="Times New Roman" w:hAnsi="Times New Roman" w:cs="Times New Roman"/>
          <w:sz w:val="24"/>
          <w:szCs w:val="24"/>
        </w:rPr>
        <w:t>licensee</w:t>
      </w:r>
      <w:r w:rsidRPr="001B45AC">
        <w:rPr>
          <w:rFonts w:ascii="Times New Roman" w:hAnsi="Times New Roman" w:cs="Times New Roman"/>
          <w:sz w:val="24"/>
          <w:szCs w:val="24"/>
        </w:rPr>
        <w:t xml:space="preserve"> to remove the ground for withdrawal of </w:t>
      </w:r>
      <w:r w:rsidR="00360431">
        <w:rPr>
          <w:rFonts w:ascii="Times New Roman" w:hAnsi="Times New Roman" w:cs="Times New Roman"/>
          <w:sz w:val="24"/>
          <w:szCs w:val="24"/>
        </w:rPr>
        <w:t>approval</w:t>
      </w:r>
      <w:r w:rsidRPr="001B45AC">
        <w:rPr>
          <w:rFonts w:ascii="Times New Roman" w:hAnsi="Times New Roman" w:cs="Times New Roman"/>
          <w:sz w:val="24"/>
          <w:szCs w:val="24"/>
        </w:rPr>
        <w:t xml:space="preserve"> or to prevent the ground occurring again. </w:t>
      </w:r>
      <w:r w:rsidR="00F06984">
        <w:rPr>
          <w:rFonts w:ascii="Times New Roman" w:hAnsi="Times New Roman" w:cs="Times New Roman"/>
          <w:sz w:val="24"/>
          <w:szCs w:val="24"/>
        </w:rPr>
        <w:t xml:space="preserve">The Minister </w:t>
      </w:r>
      <w:r w:rsidRPr="001B45AC">
        <w:rPr>
          <w:rFonts w:ascii="Times New Roman" w:hAnsi="Times New Roman" w:cs="Times New Roman"/>
          <w:sz w:val="24"/>
          <w:szCs w:val="24"/>
        </w:rPr>
        <w:t xml:space="preserve">is also required to </w:t>
      </w:r>
      <w:proofErr w:type="gramStart"/>
      <w:r w:rsidRPr="001B45AC">
        <w:rPr>
          <w:rFonts w:ascii="Times New Roman" w:hAnsi="Times New Roman" w:cs="Times New Roman"/>
          <w:sz w:val="24"/>
          <w:szCs w:val="24"/>
        </w:rPr>
        <w:t>take into account</w:t>
      </w:r>
      <w:proofErr w:type="gramEnd"/>
      <w:r w:rsidRPr="001B45AC">
        <w:rPr>
          <w:rFonts w:ascii="Times New Roman" w:hAnsi="Times New Roman" w:cs="Times New Roman"/>
          <w:sz w:val="24"/>
          <w:szCs w:val="24"/>
        </w:rPr>
        <w:t xml:space="preserve"> any matter submitted by the </w:t>
      </w:r>
      <w:r w:rsidR="00F06984">
        <w:rPr>
          <w:rFonts w:ascii="Times New Roman" w:hAnsi="Times New Roman" w:cs="Times New Roman"/>
          <w:sz w:val="24"/>
          <w:szCs w:val="24"/>
        </w:rPr>
        <w:t>licensee</w:t>
      </w:r>
      <w:r w:rsidRPr="001B45AC">
        <w:rPr>
          <w:rFonts w:ascii="Times New Roman" w:hAnsi="Times New Roman" w:cs="Times New Roman"/>
          <w:sz w:val="24"/>
          <w:szCs w:val="24"/>
        </w:rPr>
        <w:t xml:space="preserve"> or any other person in response to the notice of intent to withdraw </w:t>
      </w:r>
      <w:r w:rsidR="00360431">
        <w:rPr>
          <w:rFonts w:ascii="Times New Roman" w:hAnsi="Times New Roman" w:cs="Times New Roman"/>
          <w:sz w:val="24"/>
          <w:szCs w:val="24"/>
        </w:rPr>
        <w:t xml:space="preserve">approval </w:t>
      </w:r>
      <w:r w:rsidRPr="001B45AC">
        <w:rPr>
          <w:rFonts w:ascii="Times New Roman" w:hAnsi="Times New Roman" w:cs="Times New Roman"/>
          <w:sz w:val="24"/>
          <w:szCs w:val="24"/>
        </w:rPr>
        <w:t xml:space="preserve">given by </w:t>
      </w:r>
      <w:r w:rsidR="00F06984">
        <w:rPr>
          <w:rFonts w:ascii="Times New Roman" w:hAnsi="Times New Roman" w:cs="Times New Roman"/>
          <w:sz w:val="24"/>
          <w:szCs w:val="24"/>
        </w:rPr>
        <w:t>the Minister</w:t>
      </w:r>
      <w:r w:rsidRPr="001B45AC">
        <w:rPr>
          <w:rFonts w:ascii="Times New Roman" w:hAnsi="Times New Roman" w:cs="Times New Roman"/>
          <w:sz w:val="24"/>
          <w:szCs w:val="24"/>
        </w:rPr>
        <w:t>, where that submission has been provided before the date specified in the notice.  </w:t>
      </w:r>
    </w:p>
    <w:p w14:paraId="16AC9641" w14:textId="68659241" w:rsidR="00202051" w:rsidRPr="00502CAB" w:rsidRDefault="007F74F7" w:rsidP="00502CAB">
      <w:pPr>
        <w:pStyle w:val="ActHead5"/>
        <w:spacing w:after="240"/>
      </w:pPr>
      <w:r w:rsidRPr="00502CAB">
        <w:t>Section 34 –</w:t>
      </w:r>
      <w:r w:rsidR="00202051" w:rsidRPr="00502CAB">
        <w:t xml:space="preserve"> Notice of withdrawal of approval</w:t>
      </w:r>
      <w:bookmarkEnd w:id="10"/>
      <w:bookmarkEnd w:id="11"/>
    </w:p>
    <w:p w14:paraId="74EE47B3" w14:textId="01D74DAF" w:rsidR="00C03AC6" w:rsidRPr="005552D6" w:rsidRDefault="008A1AD8" w:rsidP="005552D6">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Th</w:t>
      </w:r>
      <w:r w:rsidR="00F11950">
        <w:rPr>
          <w:rFonts w:ascii="Times New Roman" w:hAnsi="Times New Roman" w:cs="Times New Roman"/>
          <w:color w:val="333333"/>
          <w:sz w:val="24"/>
          <w:szCs w:val="24"/>
          <w:shd w:val="clear" w:color="auto" w:fill="FFFFFF"/>
        </w:rPr>
        <w:t>is section provides that th</w:t>
      </w:r>
      <w:r>
        <w:rPr>
          <w:rFonts w:ascii="Times New Roman" w:hAnsi="Times New Roman" w:cs="Times New Roman"/>
          <w:color w:val="333333"/>
          <w:sz w:val="24"/>
          <w:szCs w:val="24"/>
          <w:shd w:val="clear" w:color="auto" w:fill="FFFFFF"/>
        </w:rPr>
        <w:t xml:space="preserve">e </w:t>
      </w:r>
      <w:r w:rsidR="00B84F3E">
        <w:rPr>
          <w:rFonts w:ascii="Times New Roman" w:hAnsi="Times New Roman" w:cs="Times New Roman"/>
          <w:color w:val="333333"/>
          <w:sz w:val="24"/>
          <w:szCs w:val="24"/>
          <w:shd w:val="clear" w:color="auto" w:fill="FFFFFF"/>
        </w:rPr>
        <w:t xml:space="preserve">responsible Commonwealth </w:t>
      </w:r>
      <w:r w:rsidR="002D4EED">
        <w:rPr>
          <w:rFonts w:ascii="Times New Roman" w:hAnsi="Times New Roman" w:cs="Times New Roman"/>
          <w:color w:val="333333"/>
          <w:sz w:val="24"/>
          <w:szCs w:val="24"/>
          <w:shd w:val="clear" w:color="auto" w:fill="FFFFFF"/>
        </w:rPr>
        <w:t>M</w:t>
      </w:r>
      <w:r>
        <w:rPr>
          <w:rFonts w:ascii="Times New Roman" w:hAnsi="Times New Roman" w:cs="Times New Roman"/>
          <w:color w:val="333333"/>
          <w:sz w:val="24"/>
          <w:szCs w:val="24"/>
          <w:shd w:val="clear" w:color="auto" w:fill="FFFFFF"/>
        </w:rPr>
        <w:t xml:space="preserve">inister </w:t>
      </w:r>
      <w:r w:rsidRPr="00732384">
        <w:rPr>
          <w:rFonts w:ascii="Times New Roman" w:hAnsi="Times New Roman" w:cs="Times New Roman"/>
          <w:color w:val="333333"/>
          <w:sz w:val="24"/>
          <w:szCs w:val="24"/>
          <w:shd w:val="clear" w:color="auto" w:fill="FFFFFF"/>
        </w:rPr>
        <w:t xml:space="preserve">must </w:t>
      </w:r>
      <w:r>
        <w:rPr>
          <w:rFonts w:ascii="Times New Roman" w:hAnsi="Times New Roman" w:cs="Times New Roman"/>
          <w:color w:val="333333"/>
          <w:sz w:val="24"/>
          <w:szCs w:val="24"/>
          <w:shd w:val="clear" w:color="auto" w:fill="FFFFFF"/>
        </w:rPr>
        <w:t>notify</w:t>
      </w:r>
      <w:r w:rsidRPr="00732384">
        <w:rPr>
          <w:rFonts w:ascii="Times New Roman" w:hAnsi="Times New Roman" w:cs="Times New Roman"/>
          <w:color w:val="333333"/>
          <w:sz w:val="24"/>
          <w:szCs w:val="24"/>
          <w:shd w:val="clear" w:color="auto" w:fill="FFFFFF"/>
        </w:rPr>
        <w:t xml:space="preserve"> the licensee in writing of </w:t>
      </w:r>
      <w:r>
        <w:rPr>
          <w:rFonts w:ascii="Times New Roman" w:hAnsi="Times New Roman" w:cs="Times New Roman"/>
          <w:color w:val="333333"/>
          <w:sz w:val="24"/>
          <w:szCs w:val="24"/>
          <w:shd w:val="clear" w:color="auto" w:fill="FFFFFF"/>
        </w:rPr>
        <w:t xml:space="preserve">the withdrawal of approval of a site plan. The notice must specify the reasons for the withdrawal and the day when the withdrawal takes effect. </w:t>
      </w:r>
    </w:p>
    <w:p w14:paraId="163B2FBC" w14:textId="14B217C0" w:rsidR="00C95444" w:rsidRPr="007F74F7" w:rsidRDefault="00C95444" w:rsidP="00502CAB">
      <w:pPr>
        <w:pStyle w:val="ActHead3"/>
      </w:pPr>
      <w:r w:rsidRPr="007F74F7">
        <w:t>Division 7 – Review and variation of approved site plans</w:t>
      </w:r>
    </w:p>
    <w:p w14:paraId="3E0D5A28" w14:textId="3657C533" w:rsidR="008A1AD8" w:rsidRPr="00502CAB" w:rsidRDefault="007F74F7" w:rsidP="00502CAB">
      <w:pPr>
        <w:pStyle w:val="ActHead5"/>
        <w:spacing w:after="240"/>
      </w:pPr>
      <w:r w:rsidRPr="00502CAB">
        <w:t>Section 3</w:t>
      </w:r>
      <w:r w:rsidR="00234D7B" w:rsidRPr="00502CAB">
        <w:t>5</w:t>
      </w:r>
      <w:r w:rsidRPr="00502CAB">
        <w:t xml:space="preserve"> –</w:t>
      </w:r>
      <w:r w:rsidR="008A1AD8" w:rsidRPr="00502CAB">
        <w:t xml:space="preserve"> Purpose of this Division</w:t>
      </w:r>
    </w:p>
    <w:p w14:paraId="47A11FFD" w14:textId="2F99FE5F" w:rsidR="008A1AD8" w:rsidRDefault="008A1AD8" w:rsidP="008A1AD8">
      <w:pPr>
        <w:rPr>
          <w:rFonts w:ascii="Times New Roman" w:hAnsi="Times New Roman" w:cs="Times New Roman"/>
          <w:color w:val="333333"/>
          <w:sz w:val="24"/>
          <w:szCs w:val="24"/>
          <w:shd w:val="clear" w:color="auto" w:fill="FFFFFF"/>
        </w:rPr>
      </w:pPr>
      <w:r w:rsidRPr="00977EBB">
        <w:rPr>
          <w:rFonts w:ascii="Times New Roman" w:hAnsi="Times New Roman" w:cs="Times New Roman"/>
          <w:color w:val="333333"/>
          <w:sz w:val="24"/>
          <w:szCs w:val="24"/>
          <w:shd w:val="clear" w:color="auto" w:fill="FFFFFF"/>
        </w:rPr>
        <w:t xml:space="preserve">This section provides that Division 5 is made for the purposes of </w:t>
      </w:r>
      <w:r w:rsidR="00667F0B">
        <w:rPr>
          <w:rFonts w:ascii="Times New Roman" w:hAnsi="Times New Roman" w:cs="Times New Roman"/>
          <w:color w:val="333333"/>
          <w:sz w:val="24"/>
          <w:szCs w:val="24"/>
          <w:shd w:val="clear" w:color="auto" w:fill="FFFFFF"/>
        </w:rPr>
        <w:t>sub</w:t>
      </w:r>
      <w:r w:rsidRPr="00977EBB">
        <w:rPr>
          <w:rFonts w:ascii="Times New Roman" w:hAnsi="Times New Roman" w:cs="Times New Roman"/>
          <w:color w:val="333333"/>
          <w:sz w:val="24"/>
          <w:szCs w:val="24"/>
          <w:shd w:val="clear" w:color="auto" w:fill="FFFFFF"/>
        </w:rPr>
        <w:t>section 457(6) of the OPGGS Act. S</w:t>
      </w:r>
      <w:r w:rsidR="00667F0B">
        <w:rPr>
          <w:rFonts w:ascii="Times New Roman" w:hAnsi="Times New Roman" w:cs="Times New Roman"/>
          <w:color w:val="333333"/>
          <w:sz w:val="24"/>
          <w:szCs w:val="24"/>
          <w:shd w:val="clear" w:color="auto" w:fill="FFFFFF"/>
        </w:rPr>
        <w:t>ubs</w:t>
      </w:r>
      <w:r w:rsidRPr="00977EBB">
        <w:rPr>
          <w:rFonts w:ascii="Times New Roman" w:hAnsi="Times New Roman" w:cs="Times New Roman"/>
          <w:color w:val="333333"/>
          <w:sz w:val="24"/>
          <w:szCs w:val="24"/>
          <w:shd w:val="clear" w:color="auto" w:fill="FFFFFF"/>
        </w:rPr>
        <w:t>ection 457(6) provides that regulations</w:t>
      </w:r>
      <w:r>
        <w:rPr>
          <w:rFonts w:ascii="Times New Roman" w:hAnsi="Times New Roman" w:cs="Times New Roman"/>
          <w:color w:val="333333"/>
          <w:sz w:val="24"/>
          <w:szCs w:val="24"/>
          <w:shd w:val="clear" w:color="auto" w:fill="FFFFFF"/>
        </w:rPr>
        <w:t xml:space="preserve"> may ma</w:t>
      </w:r>
      <w:r w:rsidR="00667F0B">
        <w:rPr>
          <w:rFonts w:ascii="Times New Roman" w:hAnsi="Times New Roman" w:cs="Times New Roman"/>
          <w:color w:val="333333"/>
          <w:sz w:val="24"/>
          <w:szCs w:val="24"/>
          <w:shd w:val="clear" w:color="auto" w:fill="FFFFFF"/>
        </w:rPr>
        <w:t>k</w:t>
      </w:r>
      <w:r>
        <w:rPr>
          <w:rFonts w:ascii="Times New Roman" w:hAnsi="Times New Roman" w:cs="Times New Roman"/>
          <w:color w:val="333333"/>
          <w:sz w:val="24"/>
          <w:szCs w:val="24"/>
          <w:shd w:val="clear" w:color="auto" w:fill="FFFFFF"/>
        </w:rPr>
        <w:t xml:space="preserve">e </w:t>
      </w:r>
      <w:r w:rsidR="00667F0B">
        <w:rPr>
          <w:rFonts w:ascii="Times New Roman" w:hAnsi="Times New Roman" w:cs="Times New Roman"/>
          <w:color w:val="333333"/>
          <w:sz w:val="24"/>
          <w:szCs w:val="24"/>
          <w:shd w:val="clear" w:color="auto" w:fill="FFFFFF"/>
        </w:rPr>
        <w:t xml:space="preserve">provision for and </w:t>
      </w:r>
      <w:r>
        <w:rPr>
          <w:rFonts w:ascii="Times New Roman" w:hAnsi="Times New Roman" w:cs="Times New Roman"/>
          <w:color w:val="333333"/>
          <w:sz w:val="24"/>
          <w:szCs w:val="24"/>
          <w:shd w:val="clear" w:color="auto" w:fill="FFFFFF"/>
        </w:rPr>
        <w:t>in relation to the variation of approved site plans.</w:t>
      </w:r>
    </w:p>
    <w:p w14:paraId="2955ACB9" w14:textId="0858D6FB" w:rsidR="00667F0B" w:rsidRPr="00977EBB" w:rsidRDefault="00667F0B" w:rsidP="008A1AD8">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This section further provides that sections 39 (draft variations to remove inconsistency with directions), 42 (decision on approval of draft variation) and 45 (effect of approval of draft variations), which are contained in Division 5, are made for the purposes of subsections</w:t>
      </w:r>
      <w:r w:rsidR="002F6C23">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376(11), 380(13) and 383(13) of the OPGGS Act. Those subsections provide that if a direction under section 376, 380 or 383 is in force, and the direction would be </w:t>
      </w:r>
      <w:r>
        <w:rPr>
          <w:rFonts w:ascii="Times New Roman" w:hAnsi="Times New Roman" w:cs="Times New Roman"/>
          <w:color w:val="333333"/>
          <w:sz w:val="24"/>
          <w:szCs w:val="24"/>
          <w:shd w:val="clear" w:color="auto" w:fill="FFFFFF"/>
        </w:rPr>
        <w:lastRenderedPageBreak/>
        <w:t xml:space="preserve">inconsistent with anything in an approved site plan, then the licensee must, within the period ascertained in accordance with the regulations, prepare a draft variation of the plan and give the draft to the </w:t>
      </w:r>
      <w:r w:rsidR="00B84F3E">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Minister. The Minister must approve or refuse to approve the variation.</w:t>
      </w:r>
    </w:p>
    <w:p w14:paraId="0F45DFEB" w14:textId="2B6880BB" w:rsidR="00C95444" w:rsidRPr="00502CAB" w:rsidRDefault="00C95444" w:rsidP="00502CAB">
      <w:pPr>
        <w:pStyle w:val="ActHead5"/>
        <w:spacing w:after="240"/>
      </w:pPr>
      <w:r w:rsidRPr="00502CAB">
        <w:t xml:space="preserve">Section </w:t>
      </w:r>
      <w:r w:rsidR="00234D7B" w:rsidRPr="00502CAB">
        <w:t>36</w:t>
      </w:r>
      <w:r w:rsidRPr="00502CAB">
        <w:t xml:space="preserve"> – </w:t>
      </w:r>
      <w:r w:rsidR="00E77493">
        <w:t>Five</w:t>
      </w:r>
      <w:r w:rsidRPr="00502CAB">
        <w:t>-yearly reviews and draft variations</w:t>
      </w:r>
    </w:p>
    <w:p w14:paraId="63DD5E17" w14:textId="45972E8F" w:rsidR="002B5ED0" w:rsidRPr="0035435B" w:rsidRDefault="0016414E" w:rsidP="0035435B">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 xml:space="preserve">This section </w:t>
      </w:r>
      <w:r w:rsidR="008A1AD8" w:rsidRPr="0035435B">
        <w:rPr>
          <w:rFonts w:ascii="Times New Roman" w:hAnsi="Times New Roman" w:cs="Times New Roman"/>
          <w:color w:val="333333"/>
          <w:sz w:val="24"/>
          <w:szCs w:val="24"/>
          <w:shd w:val="clear" w:color="auto" w:fill="FFFFFF"/>
        </w:rPr>
        <w:t xml:space="preserve">requires a GHG injection licensee to review an approved site plan at least once </w:t>
      </w:r>
      <w:r w:rsidR="002B5ED0" w:rsidRPr="0035435B">
        <w:rPr>
          <w:rFonts w:ascii="Times New Roman" w:hAnsi="Times New Roman" w:cs="Times New Roman"/>
          <w:color w:val="333333"/>
          <w:sz w:val="24"/>
          <w:szCs w:val="24"/>
          <w:shd w:val="clear" w:color="auto" w:fill="FFFFFF"/>
        </w:rPr>
        <w:t xml:space="preserve">every </w:t>
      </w:r>
      <w:r w:rsidR="0035435B" w:rsidRPr="0035435B">
        <w:rPr>
          <w:rFonts w:ascii="Times New Roman" w:hAnsi="Times New Roman" w:cs="Times New Roman"/>
          <w:color w:val="333333"/>
          <w:sz w:val="24"/>
          <w:szCs w:val="24"/>
          <w:shd w:val="clear" w:color="auto" w:fill="FFFFFF"/>
        </w:rPr>
        <w:t>five</w:t>
      </w:r>
      <w:r w:rsidR="008A1AD8" w:rsidRPr="0035435B">
        <w:rPr>
          <w:rFonts w:ascii="Times New Roman" w:hAnsi="Times New Roman" w:cs="Times New Roman"/>
          <w:color w:val="333333"/>
          <w:sz w:val="24"/>
          <w:szCs w:val="24"/>
          <w:shd w:val="clear" w:color="auto" w:fill="FFFFFF"/>
        </w:rPr>
        <w:t xml:space="preserve"> years</w:t>
      </w:r>
      <w:r w:rsidR="00F11950" w:rsidRPr="0035435B">
        <w:rPr>
          <w:rFonts w:ascii="Times New Roman" w:hAnsi="Times New Roman" w:cs="Times New Roman"/>
          <w:color w:val="333333"/>
          <w:sz w:val="24"/>
          <w:szCs w:val="24"/>
          <w:shd w:val="clear" w:color="auto" w:fill="FFFFFF"/>
        </w:rPr>
        <w:t xml:space="preserve"> and decide whether the plan should be varied</w:t>
      </w:r>
      <w:r w:rsidR="002B5ED0" w:rsidRPr="0035435B">
        <w:rPr>
          <w:rFonts w:ascii="Times New Roman" w:hAnsi="Times New Roman" w:cs="Times New Roman"/>
          <w:color w:val="333333"/>
          <w:sz w:val="24"/>
          <w:szCs w:val="24"/>
          <w:shd w:val="clear" w:color="auto" w:fill="FFFFFF"/>
        </w:rPr>
        <w:t xml:space="preserve">. </w:t>
      </w:r>
      <w:r w:rsidR="00F13136" w:rsidRPr="0035435B">
        <w:rPr>
          <w:rFonts w:ascii="Times New Roman" w:hAnsi="Times New Roman" w:cs="Times New Roman"/>
          <w:color w:val="333333"/>
          <w:sz w:val="24"/>
          <w:szCs w:val="24"/>
          <w:shd w:val="clear" w:color="auto" w:fill="FFFFFF"/>
        </w:rPr>
        <w:t xml:space="preserve">A periodic review at least once every </w:t>
      </w:r>
      <w:r w:rsidR="0035435B" w:rsidRPr="0035435B">
        <w:rPr>
          <w:rFonts w:ascii="Times New Roman" w:hAnsi="Times New Roman" w:cs="Times New Roman"/>
          <w:color w:val="333333"/>
          <w:sz w:val="24"/>
          <w:szCs w:val="24"/>
          <w:shd w:val="clear" w:color="auto" w:fill="FFFFFF"/>
        </w:rPr>
        <w:t>five</w:t>
      </w:r>
      <w:r w:rsidR="00F13136" w:rsidRPr="0035435B">
        <w:rPr>
          <w:rFonts w:ascii="Times New Roman" w:hAnsi="Times New Roman" w:cs="Times New Roman"/>
          <w:color w:val="333333"/>
          <w:sz w:val="24"/>
          <w:szCs w:val="24"/>
          <w:shd w:val="clear" w:color="auto" w:fill="FFFFFF"/>
        </w:rPr>
        <w:t xml:space="preserve"> years helps to ensure the ongoing suitability of the site plan </w:t>
      </w:r>
      <w:proofErr w:type="gramStart"/>
      <w:r w:rsidR="00F13136" w:rsidRPr="0035435B">
        <w:rPr>
          <w:rFonts w:ascii="Times New Roman" w:hAnsi="Times New Roman" w:cs="Times New Roman"/>
          <w:color w:val="333333"/>
          <w:sz w:val="24"/>
          <w:szCs w:val="24"/>
          <w:shd w:val="clear" w:color="auto" w:fill="FFFFFF"/>
        </w:rPr>
        <w:t>in light of</w:t>
      </w:r>
      <w:proofErr w:type="gramEnd"/>
      <w:r w:rsidR="00F13136" w:rsidRPr="0035435B">
        <w:rPr>
          <w:rFonts w:ascii="Times New Roman" w:hAnsi="Times New Roman" w:cs="Times New Roman"/>
          <w:color w:val="333333"/>
          <w:sz w:val="24"/>
          <w:szCs w:val="24"/>
          <w:shd w:val="clear" w:color="auto" w:fill="FFFFFF"/>
        </w:rPr>
        <w:t xml:space="preserve"> experience </w:t>
      </w:r>
      <w:r w:rsidR="00FA3820" w:rsidRPr="0035435B">
        <w:rPr>
          <w:rFonts w:ascii="Times New Roman" w:hAnsi="Times New Roman" w:cs="Times New Roman"/>
          <w:color w:val="333333"/>
          <w:sz w:val="24"/>
          <w:szCs w:val="24"/>
          <w:shd w:val="clear" w:color="auto" w:fill="FFFFFF"/>
        </w:rPr>
        <w:t xml:space="preserve">at that site as well as </w:t>
      </w:r>
      <w:r w:rsidR="00F13136" w:rsidRPr="0035435B">
        <w:rPr>
          <w:rFonts w:ascii="Times New Roman" w:hAnsi="Times New Roman" w:cs="Times New Roman"/>
          <w:color w:val="333333"/>
          <w:sz w:val="24"/>
          <w:szCs w:val="24"/>
          <w:shd w:val="clear" w:color="auto" w:fill="FFFFFF"/>
        </w:rPr>
        <w:t>the evolution of industry best practice. The review must</w:t>
      </w:r>
      <w:r w:rsidR="00360431">
        <w:rPr>
          <w:rFonts w:ascii="Times New Roman" w:hAnsi="Times New Roman" w:cs="Times New Roman"/>
          <w:color w:val="333333"/>
          <w:sz w:val="24"/>
          <w:szCs w:val="24"/>
          <w:shd w:val="clear" w:color="auto" w:fill="FFFFFF"/>
        </w:rPr>
        <w:t xml:space="preserve"> </w:t>
      </w:r>
      <w:proofErr w:type="gramStart"/>
      <w:r w:rsidR="0035435B" w:rsidRPr="0035435B">
        <w:rPr>
          <w:rFonts w:ascii="Times New Roman" w:hAnsi="Times New Roman" w:cs="Times New Roman"/>
          <w:color w:val="333333"/>
          <w:sz w:val="24"/>
          <w:szCs w:val="24"/>
          <w:shd w:val="clear" w:color="auto" w:fill="FFFFFF"/>
        </w:rPr>
        <w:t>take into account</w:t>
      </w:r>
      <w:proofErr w:type="gramEnd"/>
      <w:r w:rsidR="00F13136" w:rsidRPr="0035435B">
        <w:rPr>
          <w:rFonts w:ascii="Times New Roman" w:hAnsi="Times New Roman" w:cs="Times New Roman"/>
          <w:color w:val="333333"/>
          <w:sz w:val="24"/>
          <w:szCs w:val="24"/>
          <w:shd w:val="clear" w:color="auto" w:fill="FFFFFF"/>
        </w:rPr>
        <w:t xml:space="preserve"> the matters set out in section 38.</w:t>
      </w:r>
    </w:p>
    <w:p w14:paraId="09E273B5" w14:textId="3935C5AD" w:rsidR="001D70BB" w:rsidRDefault="00977EBB" w:rsidP="0035435B">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 xml:space="preserve">The licensee must, within 30 days after </w:t>
      </w:r>
      <w:proofErr w:type="gramStart"/>
      <w:r w:rsidRPr="0035435B">
        <w:rPr>
          <w:rFonts w:ascii="Times New Roman" w:hAnsi="Times New Roman" w:cs="Times New Roman"/>
          <w:color w:val="333333"/>
          <w:sz w:val="24"/>
          <w:szCs w:val="24"/>
          <w:shd w:val="clear" w:color="auto" w:fill="FFFFFF"/>
        </w:rPr>
        <w:t xml:space="preserve">making </w:t>
      </w:r>
      <w:r w:rsidR="006301D5" w:rsidRPr="0035435B">
        <w:rPr>
          <w:rFonts w:ascii="Times New Roman" w:hAnsi="Times New Roman" w:cs="Times New Roman"/>
          <w:color w:val="333333"/>
          <w:sz w:val="24"/>
          <w:szCs w:val="24"/>
          <w:shd w:val="clear" w:color="auto" w:fill="FFFFFF"/>
        </w:rPr>
        <w:t>a</w:t>
      </w:r>
      <w:r w:rsidRPr="0035435B">
        <w:rPr>
          <w:rFonts w:ascii="Times New Roman" w:hAnsi="Times New Roman" w:cs="Times New Roman"/>
          <w:color w:val="333333"/>
          <w:sz w:val="24"/>
          <w:szCs w:val="24"/>
          <w:shd w:val="clear" w:color="auto" w:fill="FFFFFF"/>
        </w:rPr>
        <w:t xml:space="preserve"> decision</w:t>
      </w:r>
      <w:proofErr w:type="gramEnd"/>
      <w:r w:rsidR="0095165F" w:rsidRPr="0035435B">
        <w:rPr>
          <w:rFonts w:ascii="Times New Roman" w:hAnsi="Times New Roman" w:cs="Times New Roman"/>
          <w:color w:val="333333"/>
          <w:sz w:val="24"/>
          <w:szCs w:val="24"/>
          <w:shd w:val="clear" w:color="auto" w:fill="FFFFFF"/>
        </w:rPr>
        <w:t xml:space="preserve"> about whether the plan should be varied</w:t>
      </w:r>
      <w:r w:rsidRPr="0035435B">
        <w:rPr>
          <w:rFonts w:ascii="Times New Roman" w:hAnsi="Times New Roman" w:cs="Times New Roman"/>
          <w:color w:val="333333"/>
          <w:sz w:val="24"/>
          <w:szCs w:val="24"/>
          <w:shd w:val="clear" w:color="auto" w:fill="FFFFFF"/>
        </w:rPr>
        <w:t xml:space="preserve">, give the </w:t>
      </w:r>
      <w:r w:rsidR="00B84F3E">
        <w:rPr>
          <w:rFonts w:ascii="Times New Roman" w:hAnsi="Times New Roman" w:cs="Times New Roman"/>
          <w:color w:val="333333"/>
          <w:sz w:val="24"/>
          <w:szCs w:val="24"/>
          <w:shd w:val="clear" w:color="auto" w:fill="FFFFFF"/>
        </w:rPr>
        <w:t xml:space="preserve">responsible Commonwealth </w:t>
      </w:r>
      <w:r w:rsidRPr="0035435B">
        <w:rPr>
          <w:rFonts w:ascii="Times New Roman" w:hAnsi="Times New Roman" w:cs="Times New Roman"/>
          <w:color w:val="333333"/>
          <w:sz w:val="24"/>
          <w:szCs w:val="24"/>
          <w:shd w:val="clear" w:color="auto" w:fill="FFFFFF"/>
        </w:rPr>
        <w:t xml:space="preserve">Minister written notice of the decision, the date </w:t>
      </w:r>
      <w:r w:rsidR="004311DA" w:rsidRPr="0035435B">
        <w:rPr>
          <w:rFonts w:ascii="Times New Roman" w:hAnsi="Times New Roman" w:cs="Times New Roman"/>
          <w:color w:val="333333"/>
          <w:sz w:val="24"/>
          <w:szCs w:val="24"/>
          <w:shd w:val="clear" w:color="auto" w:fill="FFFFFF"/>
        </w:rPr>
        <w:t xml:space="preserve">it was made </w:t>
      </w:r>
      <w:r w:rsidRPr="0035435B">
        <w:rPr>
          <w:rFonts w:ascii="Times New Roman" w:hAnsi="Times New Roman" w:cs="Times New Roman"/>
          <w:color w:val="333333"/>
          <w:sz w:val="24"/>
          <w:szCs w:val="24"/>
          <w:shd w:val="clear" w:color="auto" w:fill="FFFFFF"/>
        </w:rPr>
        <w:t>and the reasons</w:t>
      </w:r>
      <w:r w:rsidR="004311DA" w:rsidRPr="0035435B">
        <w:rPr>
          <w:rFonts w:ascii="Times New Roman" w:hAnsi="Times New Roman" w:cs="Times New Roman"/>
          <w:color w:val="333333"/>
          <w:sz w:val="24"/>
          <w:szCs w:val="24"/>
          <w:shd w:val="clear" w:color="auto" w:fill="FFFFFF"/>
        </w:rPr>
        <w:t xml:space="preserve"> for it</w:t>
      </w:r>
      <w:r w:rsidRPr="0035435B">
        <w:rPr>
          <w:rFonts w:ascii="Times New Roman" w:hAnsi="Times New Roman" w:cs="Times New Roman"/>
          <w:color w:val="333333"/>
          <w:sz w:val="24"/>
          <w:szCs w:val="24"/>
          <w:shd w:val="clear" w:color="auto" w:fill="FFFFFF"/>
        </w:rPr>
        <w:t xml:space="preserve">. If </w:t>
      </w:r>
      <w:r w:rsidR="004311DA" w:rsidRPr="0035435B">
        <w:rPr>
          <w:rFonts w:ascii="Times New Roman" w:hAnsi="Times New Roman" w:cs="Times New Roman"/>
          <w:color w:val="333333"/>
          <w:sz w:val="24"/>
          <w:szCs w:val="24"/>
          <w:shd w:val="clear" w:color="auto" w:fill="FFFFFF"/>
        </w:rPr>
        <w:t xml:space="preserve">it </w:t>
      </w:r>
      <w:r w:rsidRPr="0035435B">
        <w:rPr>
          <w:rFonts w:ascii="Times New Roman" w:hAnsi="Times New Roman" w:cs="Times New Roman"/>
          <w:color w:val="333333"/>
          <w:sz w:val="24"/>
          <w:szCs w:val="24"/>
          <w:shd w:val="clear" w:color="auto" w:fill="FFFFFF"/>
        </w:rPr>
        <w:t xml:space="preserve">was </w:t>
      </w:r>
      <w:r w:rsidR="004311DA" w:rsidRPr="0035435B">
        <w:rPr>
          <w:rFonts w:ascii="Times New Roman" w:hAnsi="Times New Roman" w:cs="Times New Roman"/>
          <w:color w:val="333333"/>
          <w:sz w:val="24"/>
          <w:szCs w:val="24"/>
          <w:shd w:val="clear" w:color="auto" w:fill="FFFFFF"/>
        </w:rPr>
        <w:t xml:space="preserve">decided </w:t>
      </w:r>
      <w:r w:rsidRPr="0035435B">
        <w:rPr>
          <w:rFonts w:ascii="Times New Roman" w:hAnsi="Times New Roman" w:cs="Times New Roman"/>
          <w:color w:val="333333"/>
          <w:sz w:val="24"/>
          <w:szCs w:val="24"/>
          <w:shd w:val="clear" w:color="auto" w:fill="FFFFFF"/>
        </w:rPr>
        <w:t xml:space="preserve">that the plan should be varied, the licensee must give the Minister a draft variation of the plan within 180 days </w:t>
      </w:r>
      <w:r w:rsidR="00360431">
        <w:rPr>
          <w:rFonts w:ascii="Times New Roman" w:hAnsi="Times New Roman" w:cs="Times New Roman"/>
          <w:color w:val="333333"/>
          <w:sz w:val="24"/>
          <w:szCs w:val="24"/>
          <w:shd w:val="clear" w:color="auto" w:fill="FFFFFF"/>
        </w:rPr>
        <w:t xml:space="preserve">after making the decision </w:t>
      </w:r>
      <w:r w:rsidRPr="0035435B">
        <w:rPr>
          <w:rFonts w:ascii="Times New Roman" w:hAnsi="Times New Roman" w:cs="Times New Roman"/>
          <w:color w:val="333333"/>
          <w:sz w:val="24"/>
          <w:szCs w:val="24"/>
          <w:shd w:val="clear" w:color="auto" w:fill="FFFFFF"/>
        </w:rPr>
        <w:t xml:space="preserve">or a longer period as agreed by the Minister. </w:t>
      </w:r>
      <w:r w:rsidR="0035435B">
        <w:rPr>
          <w:rFonts w:ascii="Times New Roman" w:hAnsi="Times New Roman" w:cs="Times New Roman"/>
          <w:color w:val="333333"/>
          <w:sz w:val="24"/>
          <w:szCs w:val="24"/>
          <w:shd w:val="clear" w:color="auto" w:fill="FFFFFF"/>
        </w:rPr>
        <w:t>The ability for the Minister to agree a longer period reflects that, given</w:t>
      </w:r>
      <w:r w:rsidR="001D70BB" w:rsidRPr="0035435B">
        <w:rPr>
          <w:rFonts w:ascii="Times New Roman" w:hAnsi="Times New Roman" w:cs="Times New Roman"/>
          <w:color w:val="333333"/>
          <w:sz w:val="24"/>
          <w:szCs w:val="24"/>
          <w:shd w:val="clear" w:color="auto" w:fill="FFFFFF"/>
        </w:rPr>
        <w:t xml:space="preserve"> the </w:t>
      </w:r>
      <w:r w:rsidR="0035435B">
        <w:rPr>
          <w:rFonts w:ascii="Times New Roman" w:hAnsi="Times New Roman" w:cs="Times New Roman"/>
          <w:color w:val="333333"/>
          <w:sz w:val="24"/>
          <w:szCs w:val="24"/>
          <w:shd w:val="clear" w:color="auto" w:fill="FFFFFF"/>
        </w:rPr>
        <w:t xml:space="preserve">technical </w:t>
      </w:r>
      <w:r w:rsidR="001D70BB" w:rsidRPr="0035435B">
        <w:rPr>
          <w:rFonts w:ascii="Times New Roman" w:hAnsi="Times New Roman" w:cs="Times New Roman"/>
          <w:color w:val="333333"/>
          <w:sz w:val="24"/>
          <w:szCs w:val="24"/>
          <w:shd w:val="clear" w:color="auto" w:fill="FFFFFF"/>
        </w:rPr>
        <w:t xml:space="preserve">complexity and range of </w:t>
      </w:r>
      <w:r w:rsidR="0035435B">
        <w:rPr>
          <w:rFonts w:ascii="Times New Roman" w:hAnsi="Times New Roman" w:cs="Times New Roman"/>
          <w:color w:val="333333"/>
          <w:sz w:val="24"/>
          <w:szCs w:val="24"/>
          <w:shd w:val="clear" w:color="auto" w:fill="FFFFFF"/>
        </w:rPr>
        <w:t>matters</w:t>
      </w:r>
      <w:r w:rsidR="001D70BB" w:rsidRPr="0035435B">
        <w:rPr>
          <w:rFonts w:ascii="Times New Roman" w:hAnsi="Times New Roman" w:cs="Times New Roman"/>
          <w:color w:val="333333"/>
          <w:sz w:val="24"/>
          <w:szCs w:val="24"/>
          <w:shd w:val="clear" w:color="auto" w:fill="FFFFFF"/>
        </w:rPr>
        <w:t xml:space="preserve"> that a site plan covers, it may take some months for a licensee to prepare a draft variation.</w:t>
      </w:r>
    </w:p>
    <w:p w14:paraId="4C5E29E9" w14:textId="65E43061" w:rsidR="0035435B" w:rsidRPr="0035435B" w:rsidRDefault="0035435B" w:rsidP="0035435B">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Section 42 </w:t>
      </w:r>
      <w:r w:rsidR="00360431">
        <w:rPr>
          <w:rFonts w:ascii="Times New Roman" w:hAnsi="Times New Roman" w:cs="Times New Roman"/>
          <w:color w:val="333333"/>
          <w:sz w:val="24"/>
          <w:szCs w:val="24"/>
          <w:shd w:val="clear" w:color="auto" w:fill="FFFFFF"/>
        </w:rPr>
        <w:t xml:space="preserve">requires </w:t>
      </w:r>
      <w:r>
        <w:rPr>
          <w:rFonts w:ascii="Times New Roman" w:hAnsi="Times New Roman" w:cs="Times New Roman"/>
          <w:color w:val="333333"/>
          <w:sz w:val="24"/>
          <w:szCs w:val="24"/>
          <w:shd w:val="clear" w:color="auto" w:fill="FFFFFF"/>
        </w:rPr>
        <w:t xml:space="preserve">the </w:t>
      </w:r>
      <w:r w:rsidR="00360431">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Minister to approve or refuse to approve a draft variation of a site plan.</w:t>
      </w:r>
    </w:p>
    <w:p w14:paraId="64054681" w14:textId="2EA8D69A" w:rsidR="00FE433A" w:rsidRPr="00FE433A" w:rsidRDefault="00977EBB" w:rsidP="008479B1">
      <w:pPr>
        <w:rPr>
          <w:rFonts w:ascii="Times New Roman" w:hAnsi="Times New Roman" w:cs="Times New Roman"/>
          <w:sz w:val="24"/>
          <w:szCs w:val="24"/>
        </w:rPr>
      </w:pPr>
      <w:bookmarkStart w:id="12" w:name="_Hlk146802214"/>
      <w:r w:rsidRPr="0035435B">
        <w:rPr>
          <w:rFonts w:ascii="Times New Roman" w:hAnsi="Times New Roman" w:cs="Times New Roman"/>
          <w:color w:val="333333"/>
          <w:sz w:val="24"/>
          <w:szCs w:val="24"/>
          <w:shd w:val="clear" w:color="auto" w:fill="FFFFFF"/>
        </w:rPr>
        <w:t xml:space="preserve">It is a strict liability offence, punishable by 50 </w:t>
      </w:r>
      <w:r w:rsidR="0035435B">
        <w:rPr>
          <w:rFonts w:ascii="Times New Roman" w:hAnsi="Times New Roman" w:cs="Times New Roman"/>
          <w:color w:val="333333"/>
          <w:sz w:val="24"/>
          <w:szCs w:val="24"/>
          <w:shd w:val="clear" w:color="auto" w:fill="FFFFFF"/>
        </w:rPr>
        <w:t>PU</w:t>
      </w:r>
      <w:r w:rsidRPr="0035435B">
        <w:rPr>
          <w:rFonts w:ascii="Times New Roman" w:hAnsi="Times New Roman" w:cs="Times New Roman"/>
          <w:color w:val="333333"/>
          <w:sz w:val="24"/>
          <w:szCs w:val="24"/>
          <w:shd w:val="clear" w:color="auto" w:fill="FFFFFF"/>
        </w:rPr>
        <w:t xml:space="preserve">, not </w:t>
      </w:r>
      <w:r w:rsidR="004311DA" w:rsidRPr="0035435B">
        <w:rPr>
          <w:rFonts w:ascii="Times New Roman" w:hAnsi="Times New Roman" w:cs="Times New Roman"/>
          <w:color w:val="333333"/>
          <w:sz w:val="24"/>
          <w:szCs w:val="24"/>
          <w:shd w:val="clear" w:color="auto" w:fill="FFFFFF"/>
        </w:rPr>
        <w:t xml:space="preserve">to </w:t>
      </w:r>
      <w:r w:rsidRPr="0035435B">
        <w:rPr>
          <w:rFonts w:ascii="Times New Roman" w:hAnsi="Times New Roman" w:cs="Times New Roman"/>
          <w:color w:val="333333"/>
          <w:sz w:val="24"/>
          <w:szCs w:val="24"/>
          <w:shd w:val="clear" w:color="auto" w:fill="FFFFFF"/>
        </w:rPr>
        <w:t xml:space="preserve">comply with these requirements. </w:t>
      </w:r>
      <w:r w:rsidR="00FE433A">
        <w:rPr>
          <w:rFonts w:ascii="Times New Roman" w:hAnsi="Times New Roman" w:cs="Times New Roman"/>
          <w:color w:val="333333"/>
          <w:sz w:val="24"/>
          <w:szCs w:val="24"/>
          <w:shd w:val="clear" w:color="auto" w:fill="FFFFFF"/>
        </w:rPr>
        <w:t xml:space="preserve">This is consistent with the principles outlined in section 3.3 of </w:t>
      </w:r>
      <w:r w:rsidR="00FE433A">
        <w:rPr>
          <w:rFonts w:ascii="Times New Roman" w:hAnsi="Times New Roman" w:cs="Times New Roman"/>
          <w:sz w:val="24"/>
          <w:szCs w:val="24"/>
        </w:rPr>
        <w:t xml:space="preserve">the Guide, which states that penalties in regulations generally should not exceed 50 PU. Section 2.2.6 of the Guide also states that application of strict liability is generally only considered appropriate where the offence is punishable by a fine of up to 60 PU. The maximum </w:t>
      </w:r>
      <w:r w:rsidR="00FE433A" w:rsidRPr="00C562E0">
        <w:rPr>
          <w:rFonts w:ascii="Times New Roman" w:hAnsi="Times New Roman" w:cs="Times New Roman"/>
          <w:sz w:val="24"/>
          <w:szCs w:val="24"/>
          <w:shd w:val="clear" w:color="auto" w:fill="FFFFFF"/>
        </w:rPr>
        <w:t xml:space="preserve">penalty for a failure to comply </w:t>
      </w:r>
      <w:r w:rsidR="00FE433A">
        <w:rPr>
          <w:rFonts w:ascii="Times New Roman" w:hAnsi="Times New Roman" w:cs="Times New Roman"/>
          <w:sz w:val="24"/>
          <w:szCs w:val="24"/>
          <w:shd w:val="clear" w:color="auto" w:fill="FFFFFF"/>
        </w:rPr>
        <w:t xml:space="preserve">where the </w:t>
      </w:r>
      <w:r w:rsidR="00FE433A" w:rsidRPr="00C562E0">
        <w:rPr>
          <w:rFonts w:ascii="Times New Roman" w:hAnsi="Times New Roman" w:cs="Times New Roman"/>
          <w:sz w:val="24"/>
          <w:szCs w:val="24"/>
          <w:shd w:val="clear" w:color="auto" w:fill="FFFFFF"/>
        </w:rPr>
        <w:t xml:space="preserve">offence </w:t>
      </w:r>
      <w:r w:rsidR="00FE433A">
        <w:rPr>
          <w:rFonts w:ascii="Times New Roman" w:hAnsi="Times New Roman" w:cs="Times New Roman"/>
          <w:sz w:val="24"/>
          <w:szCs w:val="24"/>
          <w:shd w:val="clear" w:color="auto" w:fill="FFFFFF"/>
        </w:rPr>
        <w:t xml:space="preserve">is </w:t>
      </w:r>
      <w:r w:rsidR="00FE433A" w:rsidRPr="00C562E0">
        <w:rPr>
          <w:rFonts w:ascii="Times New Roman" w:hAnsi="Times New Roman" w:cs="Times New Roman"/>
          <w:sz w:val="24"/>
          <w:szCs w:val="24"/>
          <w:shd w:val="clear" w:color="auto" w:fill="FFFFFF"/>
        </w:rPr>
        <w:t xml:space="preserve">committed by a body corporate </w:t>
      </w:r>
      <w:r w:rsidR="00FE433A">
        <w:rPr>
          <w:rFonts w:ascii="Times New Roman" w:hAnsi="Times New Roman" w:cs="Times New Roman"/>
          <w:sz w:val="24"/>
          <w:szCs w:val="24"/>
          <w:shd w:val="clear" w:color="auto" w:fill="FFFFFF"/>
        </w:rPr>
        <w:t xml:space="preserve">is five times the specified penalty amount, </w:t>
      </w:r>
      <w:r w:rsidR="00FE433A" w:rsidRPr="00C562E0">
        <w:rPr>
          <w:rFonts w:ascii="Times New Roman" w:hAnsi="Times New Roman" w:cs="Times New Roman"/>
          <w:sz w:val="24"/>
          <w:szCs w:val="24"/>
          <w:shd w:val="clear" w:color="auto" w:fill="FFFFFF"/>
        </w:rPr>
        <w:t>due to the operation of subsection 4</w:t>
      </w:r>
      <w:proofErr w:type="gramStart"/>
      <w:r w:rsidR="00FE433A" w:rsidRPr="00C562E0">
        <w:rPr>
          <w:rFonts w:ascii="Times New Roman" w:hAnsi="Times New Roman" w:cs="Times New Roman"/>
          <w:sz w:val="24"/>
          <w:szCs w:val="24"/>
          <w:shd w:val="clear" w:color="auto" w:fill="FFFFFF"/>
        </w:rPr>
        <w:t>B</w:t>
      </w:r>
      <w:r w:rsidR="00FE433A">
        <w:rPr>
          <w:rFonts w:ascii="Times New Roman" w:hAnsi="Times New Roman" w:cs="Times New Roman"/>
          <w:sz w:val="24"/>
          <w:szCs w:val="24"/>
          <w:shd w:val="clear" w:color="auto" w:fill="FFFFFF"/>
        </w:rPr>
        <w:t>(</w:t>
      </w:r>
      <w:proofErr w:type="gramEnd"/>
      <w:r w:rsidR="00FE433A">
        <w:rPr>
          <w:rFonts w:ascii="Times New Roman" w:hAnsi="Times New Roman" w:cs="Times New Roman"/>
          <w:sz w:val="24"/>
          <w:szCs w:val="24"/>
          <w:shd w:val="clear" w:color="auto" w:fill="FFFFFF"/>
        </w:rPr>
        <w:t>3)</w:t>
      </w:r>
      <w:r w:rsidR="00FE433A" w:rsidRPr="00C562E0">
        <w:rPr>
          <w:rFonts w:ascii="Times New Roman" w:hAnsi="Times New Roman" w:cs="Times New Roman"/>
          <w:sz w:val="24"/>
          <w:szCs w:val="24"/>
          <w:shd w:val="clear" w:color="auto" w:fill="FFFFFF"/>
        </w:rPr>
        <w:t xml:space="preserve"> of the </w:t>
      </w:r>
      <w:r w:rsidR="00FE433A" w:rsidRPr="00C562E0">
        <w:rPr>
          <w:rFonts w:ascii="Times New Roman" w:hAnsi="Times New Roman" w:cs="Times New Roman"/>
          <w:i/>
          <w:iCs/>
          <w:sz w:val="24"/>
          <w:szCs w:val="24"/>
          <w:shd w:val="clear" w:color="auto" w:fill="FFFFFF"/>
        </w:rPr>
        <w:t>Crimes Act 1914</w:t>
      </w:r>
      <w:r w:rsidR="00FE433A" w:rsidRPr="00C562E0">
        <w:rPr>
          <w:rFonts w:ascii="Times New Roman" w:hAnsi="Times New Roman" w:cs="Times New Roman"/>
          <w:sz w:val="24"/>
          <w:szCs w:val="24"/>
          <w:shd w:val="clear" w:color="auto" w:fill="FFFFFF"/>
        </w:rPr>
        <w:t>.</w:t>
      </w:r>
    </w:p>
    <w:p w14:paraId="442DDD86" w14:textId="4E903DF1" w:rsidR="00FE433A" w:rsidRDefault="00FE433A" w:rsidP="008479B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It is appropriate to impose a </w:t>
      </w:r>
      <w:r w:rsidR="00CA68F9" w:rsidRPr="0035435B">
        <w:rPr>
          <w:rFonts w:ascii="Times New Roman" w:hAnsi="Times New Roman" w:cs="Times New Roman"/>
          <w:color w:val="333333"/>
          <w:sz w:val="24"/>
          <w:szCs w:val="24"/>
          <w:shd w:val="clear" w:color="auto" w:fill="FFFFFF"/>
        </w:rPr>
        <w:t>criminal</w:t>
      </w:r>
      <w:r>
        <w:rPr>
          <w:rFonts w:ascii="Times New Roman" w:hAnsi="Times New Roman" w:cs="Times New Roman"/>
          <w:color w:val="333333"/>
          <w:sz w:val="24"/>
          <w:szCs w:val="24"/>
          <w:shd w:val="clear" w:color="auto" w:fill="FFFFFF"/>
        </w:rPr>
        <w:t xml:space="preserve"> penalty for a breach of these requirements</w:t>
      </w:r>
      <w:r w:rsidR="00CA68F9" w:rsidRPr="0035435B">
        <w:rPr>
          <w:rFonts w:ascii="Times New Roman" w:hAnsi="Times New Roman" w:cs="Times New Roman"/>
          <w:color w:val="333333"/>
          <w:sz w:val="24"/>
          <w:szCs w:val="24"/>
          <w:shd w:val="clear" w:color="auto" w:fill="FFFFFF"/>
        </w:rPr>
        <w:t xml:space="preserve"> because of the potential for considerable harm to be caused to the environment and</w:t>
      </w:r>
      <w:r>
        <w:rPr>
          <w:rFonts w:ascii="Times New Roman" w:hAnsi="Times New Roman" w:cs="Times New Roman"/>
          <w:color w:val="333333"/>
          <w:sz w:val="24"/>
          <w:szCs w:val="24"/>
          <w:shd w:val="clear" w:color="auto" w:fill="FFFFFF"/>
        </w:rPr>
        <w:t>/or</w:t>
      </w:r>
      <w:r w:rsidR="00CA68F9" w:rsidRPr="0035435B">
        <w:rPr>
          <w:rFonts w:ascii="Times New Roman" w:hAnsi="Times New Roman" w:cs="Times New Roman"/>
          <w:color w:val="333333"/>
          <w:sz w:val="24"/>
          <w:szCs w:val="24"/>
          <w:shd w:val="clear" w:color="auto" w:fill="FFFFFF"/>
        </w:rPr>
        <w:t xml:space="preserve"> to the operations of other titleholders if the approved site plan is no longer </w:t>
      </w:r>
      <w:r w:rsidR="00E47A04">
        <w:rPr>
          <w:rFonts w:ascii="Times New Roman" w:hAnsi="Times New Roman" w:cs="Times New Roman"/>
          <w:color w:val="333333"/>
          <w:sz w:val="24"/>
          <w:szCs w:val="24"/>
          <w:shd w:val="clear" w:color="auto" w:fill="FFFFFF"/>
        </w:rPr>
        <w:t>suitable</w:t>
      </w:r>
      <w:r>
        <w:rPr>
          <w:rFonts w:ascii="Times New Roman" w:hAnsi="Times New Roman" w:cs="Times New Roman"/>
          <w:color w:val="333333"/>
          <w:sz w:val="24"/>
          <w:szCs w:val="24"/>
          <w:shd w:val="clear" w:color="auto" w:fill="FFFFFF"/>
        </w:rPr>
        <w:t xml:space="preserve"> for the safe and sustainable operations for injection and storage of a GHG substance.</w:t>
      </w:r>
      <w:r w:rsidR="00CA68F9" w:rsidRPr="0035435B">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 GHG injection licensee who is granted a licence would be aware of the legislative requirements regarding site plans.</w:t>
      </w:r>
    </w:p>
    <w:p w14:paraId="1CAFFC79" w14:textId="24DAD7ED" w:rsidR="00FE433A" w:rsidRDefault="00FE433A" w:rsidP="00FE433A">
      <w:pPr>
        <w:rPr>
          <w:rFonts w:ascii="Times New Roman" w:hAnsi="Times New Roman" w:cs="Times New Roman"/>
          <w:sz w:val="24"/>
          <w:szCs w:val="24"/>
        </w:rPr>
      </w:pPr>
      <w:bookmarkStart w:id="13" w:name="_Hlk147992392"/>
      <w:r w:rsidRPr="00420D8A">
        <w:rPr>
          <w:rFonts w:ascii="Times New Roman" w:hAnsi="Times New Roman" w:cs="Times New Roman"/>
          <w:sz w:val="24"/>
          <w:szCs w:val="24"/>
        </w:rPr>
        <w:t xml:space="preserve">It is also appropriate to apply strict liability to the offence to </w:t>
      </w:r>
      <w:r>
        <w:rPr>
          <w:rFonts w:ascii="Times New Roman" w:hAnsi="Times New Roman" w:cs="Times New Roman"/>
          <w:sz w:val="24"/>
          <w:szCs w:val="24"/>
        </w:rPr>
        <w:t xml:space="preserve">promote compliance with the regulatory regime and </w:t>
      </w:r>
      <w:r w:rsidRPr="00420D8A">
        <w:rPr>
          <w:rFonts w:ascii="Times New Roman" w:hAnsi="Times New Roman" w:cs="Times New Roman"/>
          <w:sz w:val="24"/>
          <w:szCs w:val="24"/>
        </w:rPr>
        <w:t>ensure subsection</w:t>
      </w:r>
      <w:r>
        <w:rPr>
          <w:rFonts w:ascii="Times New Roman" w:hAnsi="Times New Roman" w:cs="Times New Roman"/>
          <w:sz w:val="24"/>
          <w:szCs w:val="24"/>
        </w:rPr>
        <w:t>s</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36(1), </w:t>
      </w:r>
      <w:r w:rsidRPr="00420D8A">
        <w:rPr>
          <w:rFonts w:ascii="Times New Roman" w:hAnsi="Times New Roman" w:cs="Times New Roman"/>
          <w:sz w:val="24"/>
          <w:szCs w:val="24"/>
        </w:rPr>
        <w:t>(2)</w:t>
      </w:r>
      <w:r>
        <w:rPr>
          <w:rFonts w:ascii="Times New Roman" w:hAnsi="Times New Roman" w:cs="Times New Roman"/>
          <w:sz w:val="24"/>
          <w:szCs w:val="24"/>
        </w:rPr>
        <w:t xml:space="preserve"> and (3)</w:t>
      </w:r>
      <w:r w:rsidRPr="00420D8A">
        <w:rPr>
          <w:rFonts w:ascii="Times New Roman" w:hAnsi="Times New Roman" w:cs="Times New Roman"/>
          <w:sz w:val="24"/>
          <w:szCs w:val="24"/>
        </w:rPr>
        <w:t xml:space="preserve"> can be effectively enforced</w:t>
      </w:r>
      <w:r>
        <w:rPr>
          <w:rFonts w:ascii="Times New Roman" w:hAnsi="Times New Roman" w:cs="Times New Roman"/>
          <w:sz w:val="24"/>
          <w:szCs w:val="24"/>
        </w:rPr>
        <w:t xml:space="preserve">, particularly given the risks to containment of a GHG substance if a licensee carries on operations when an approved site plan is no longer </w:t>
      </w:r>
      <w:r w:rsidR="00E47A04">
        <w:rPr>
          <w:rFonts w:ascii="Times New Roman" w:hAnsi="Times New Roman" w:cs="Times New Roman"/>
          <w:sz w:val="24"/>
          <w:szCs w:val="24"/>
        </w:rPr>
        <w:t>suitable</w:t>
      </w:r>
      <w:r w:rsidRPr="00420D8A">
        <w:rPr>
          <w:rFonts w:ascii="Times New Roman" w:hAnsi="Times New Roman" w:cs="Times New Roman"/>
          <w:sz w:val="24"/>
          <w:szCs w:val="24"/>
        </w:rPr>
        <w:t xml:space="preserve">. </w:t>
      </w:r>
      <w:r>
        <w:rPr>
          <w:rFonts w:ascii="Times New Roman" w:hAnsi="Times New Roman" w:cs="Times New Roman"/>
          <w:sz w:val="24"/>
          <w:szCs w:val="24"/>
        </w:rPr>
        <w:t>This is</w:t>
      </w:r>
      <w:r w:rsidRPr="00420D8A">
        <w:rPr>
          <w:rFonts w:ascii="Times New Roman" w:hAnsi="Times New Roman" w:cs="Times New Roman"/>
          <w:sz w:val="24"/>
          <w:szCs w:val="24"/>
        </w:rPr>
        <w:t xml:space="preserve"> consistent with the principles outlined in</w:t>
      </w:r>
      <w:r>
        <w:rPr>
          <w:rFonts w:ascii="Times New Roman" w:hAnsi="Times New Roman" w:cs="Times New Roman"/>
          <w:sz w:val="24"/>
          <w:szCs w:val="24"/>
        </w:rPr>
        <w:t xml:space="preserve"> section 2.2.6 of</w:t>
      </w:r>
      <w:r w:rsidR="00586E82">
        <w:rPr>
          <w:rFonts w:ascii="Times New Roman" w:hAnsi="Times New Roman" w:cs="Times New Roman"/>
          <w:sz w:val="24"/>
          <w:szCs w:val="24"/>
        </w:rPr>
        <w:t xml:space="preserve"> </w:t>
      </w:r>
      <w:r>
        <w:rPr>
          <w:rFonts w:ascii="Times New Roman" w:hAnsi="Times New Roman" w:cs="Times New Roman"/>
          <w:sz w:val="24"/>
          <w:szCs w:val="24"/>
        </w:rPr>
        <w:t>the Guide</w:t>
      </w:r>
      <w:r w:rsidRPr="00420D8A">
        <w:rPr>
          <w:rFonts w:ascii="Times New Roman" w:hAnsi="Times New Roman" w:cs="Times New Roman"/>
          <w:sz w:val="24"/>
          <w:szCs w:val="24"/>
        </w:rPr>
        <w:t>. Given the remote and complex nature of offshore operations,</w:t>
      </w:r>
      <w:r>
        <w:rPr>
          <w:rFonts w:ascii="Times New Roman" w:hAnsi="Times New Roman" w:cs="Times New Roman"/>
          <w:sz w:val="24"/>
          <w:szCs w:val="24"/>
        </w:rPr>
        <w:t xml:space="preserve"> and the prevalence of joint venture titleholder arrangements,</w:t>
      </w:r>
      <w:r w:rsidRPr="00420D8A">
        <w:rPr>
          <w:rFonts w:ascii="Times New Roman" w:hAnsi="Times New Roman" w:cs="Times New Roman"/>
          <w:sz w:val="24"/>
          <w:szCs w:val="24"/>
        </w:rPr>
        <w:t xml:space="preserve"> it can be extremely difficult to prove intent, and requiring that proof may make it impractical to enforce the regime. </w:t>
      </w:r>
      <w:r>
        <w:rPr>
          <w:rFonts w:ascii="Times New Roman" w:hAnsi="Times New Roman" w:cs="Times New Roman"/>
          <w:sz w:val="24"/>
          <w:szCs w:val="24"/>
        </w:rPr>
        <w:t>A</w:t>
      </w:r>
      <w:r w:rsidRPr="00420D8A">
        <w:rPr>
          <w:rFonts w:ascii="Times New Roman" w:hAnsi="Times New Roman" w:cs="Times New Roman"/>
          <w:sz w:val="24"/>
          <w:szCs w:val="24"/>
        </w:rPr>
        <w:t xml:space="preserve"> GHG injection licensee </w:t>
      </w:r>
      <w:r w:rsidR="00360431">
        <w:rPr>
          <w:rFonts w:ascii="Times New Roman" w:hAnsi="Times New Roman" w:cs="Times New Roman"/>
          <w:sz w:val="24"/>
          <w:szCs w:val="24"/>
        </w:rPr>
        <w:t>w</w:t>
      </w:r>
      <w:r>
        <w:rPr>
          <w:rFonts w:ascii="Times New Roman" w:hAnsi="Times New Roman" w:cs="Times New Roman"/>
          <w:sz w:val="24"/>
          <w:szCs w:val="24"/>
        </w:rPr>
        <w:t xml:space="preserve">ould </w:t>
      </w:r>
      <w:r w:rsidRPr="00420D8A">
        <w:rPr>
          <w:rFonts w:ascii="Times New Roman" w:hAnsi="Times New Roman" w:cs="Times New Roman"/>
          <w:sz w:val="24"/>
          <w:szCs w:val="24"/>
        </w:rPr>
        <w:t>be aware of the</w:t>
      </w:r>
      <w:r w:rsidR="00586E82">
        <w:rPr>
          <w:rFonts w:ascii="Times New Roman" w:hAnsi="Times New Roman" w:cs="Times New Roman"/>
          <w:sz w:val="24"/>
          <w:szCs w:val="24"/>
        </w:rPr>
        <w:t>ir</w:t>
      </w:r>
      <w:r w:rsidRPr="00420D8A">
        <w:rPr>
          <w:rFonts w:ascii="Times New Roman" w:hAnsi="Times New Roman" w:cs="Times New Roman"/>
          <w:sz w:val="24"/>
          <w:szCs w:val="24"/>
        </w:rPr>
        <w:t xml:space="preserve"> </w:t>
      </w:r>
      <w:r w:rsidR="00586E82">
        <w:rPr>
          <w:rFonts w:ascii="Times New Roman" w:hAnsi="Times New Roman" w:cs="Times New Roman"/>
          <w:sz w:val="24"/>
          <w:szCs w:val="24"/>
        </w:rPr>
        <w:t>obligations in</w:t>
      </w:r>
      <w:r w:rsidRPr="00420D8A">
        <w:rPr>
          <w:rFonts w:ascii="Times New Roman" w:hAnsi="Times New Roman" w:cs="Times New Roman"/>
          <w:sz w:val="24"/>
          <w:szCs w:val="24"/>
        </w:rPr>
        <w:t xml:space="preserve"> </w:t>
      </w:r>
      <w:r w:rsidR="00586E82">
        <w:rPr>
          <w:rFonts w:ascii="Times New Roman" w:hAnsi="Times New Roman" w:cs="Times New Roman"/>
          <w:sz w:val="24"/>
          <w:szCs w:val="24"/>
        </w:rPr>
        <w:t xml:space="preserve">relation </w:t>
      </w:r>
      <w:r w:rsidRPr="00420D8A">
        <w:rPr>
          <w:rFonts w:ascii="Times New Roman" w:hAnsi="Times New Roman" w:cs="Times New Roman"/>
          <w:sz w:val="24"/>
          <w:szCs w:val="24"/>
        </w:rPr>
        <w:t xml:space="preserve">to </w:t>
      </w:r>
      <w:r>
        <w:rPr>
          <w:rFonts w:ascii="Times New Roman" w:hAnsi="Times New Roman" w:cs="Times New Roman"/>
          <w:sz w:val="24"/>
          <w:szCs w:val="24"/>
        </w:rPr>
        <w:t>an approved site plan</w:t>
      </w:r>
      <w:r w:rsidR="00736A3B">
        <w:rPr>
          <w:rFonts w:ascii="Times New Roman" w:hAnsi="Times New Roman" w:cs="Times New Roman"/>
          <w:sz w:val="24"/>
          <w:szCs w:val="24"/>
        </w:rPr>
        <w:t xml:space="preserve"> </w:t>
      </w:r>
      <w:r w:rsidR="00736A3B">
        <w:rPr>
          <w:rFonts w:ascii="Times New Roman" w:hAnsi="Times New Roman" w:cs="Times New Roman"/>
          <w:sz w:val="24"/>
          <w:szCs w:val="24"/>
          <w:shd w:val="clear" w:color="auto" w:fill="FFFFFF"/>
        </w:rPr>
        <w:t>and of the need to have an up to date and suitable site plan to authorise their operations</w:t>
      </w:r>
      <w:r w:rsidRPr="00420D8A">
        <w:rPr>
          <w:rFonts w:ascii="Times New Roman" w:hAnsi="Times New Roman" w:cs="Times New Roman"/>
          <w:sz w:val="24"/>
          <w:szCs w:val="24"/>
        </w:rPr>
        <w:t xml:space="preserve">. </w:t>
      </w:r>
      <w:r w:rsidR="001D5177">
        <w:rPr>
          <w:rFonts w:ascii="Times New Roman" w:hAnsi="Times New Roman" w:cs="Times New Roman"/>
          <w:sz w:val="24"/>
          <w:szCs w:val="24"/>
        </w:rPr>
        <w:t xml:space="preserve">The licensee would also be aware that a licence is granted on the understanding that licensees will take all reasonable steps to ensure that regulatory </w:t>
      </w:r>
      <w:r w:rsidR="001D5177">
        <w:rPr>
          <w:rFonts w:ascii="Times New Roman" w:hAnsi="Times New Roman" w:cs="Times New Roman"/>
          <w:sz w:val="24"/>
          <w:szCs w:val="24"/>
        </w:rPr>
        <w:lastRenderedPageBreak/>
        <w:t xml:space="preserve">obligations are complied with, noting the high-hazard nature of operations, and that tenure over the relevant licence area is granted to the licensee based on factors such as their capacity to undertake safe and sustainable operations. </w:t>
      </w:r>
      <w:r w:rsidRPr="00420D8A">
        <w:rPr>
          <w:rFonts w:ascii="Times New Roman" w:hAnsi="Times New Roman" w:cs="Times New Roman"/>
          <w:sz w:val="24"/>
          <w:szCs w:val="24"/>
        </w:rPr>
        <w:t>If there is an honest and reasonable mistake of fact</w:t>
      </w:r>
      <w:r>
        <w:rPr>
          <w:rFonts w:ascii="Times New Roman" w:hAnsi="Times New Roman" w:cs="Times New Roman"/>
          <w:sz w:val="24"/>
          <w:szCs w:val="24"/>
        </w:rPr>
        <w:t xml:space="preserve"> on the licensee’s part</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this may be </w:t>
      </w:r>
      <w:r w:rsidRPr="00420D8A">
        <w:rPr>
          <w:rFonts w:ascii="Times New Roman" w:hAnsi="Times New Roman" w:cs="Times New Roman"/>
          <w:sz w:val="24"/>
          <w:szCs w:val="24"/>
        </w:rPr>
        <w:t>raise</w:t>
      </w:r>
      <w:r>
        <w:rPr>
          <w:rFonts w:ascii="Times New Roman" w:hAnsi="Times New Roman" w:cs="Times New Roman"/>
          <w:sz w:val="24"/>
          <w:szCs w:val="24"/>
        </w:rPr>
        <w:t>d</w:t>
      </w:r>
      <w:r w:rsidRPr="00420D8A">
        <w:rPr>
          <w:rFonts w:ascii="Times New Roman" w:hAnsi="Times New Roman" w:cs="Times New Roman"/>
          <w:sz w:val="24"/>
          <w:szCs w:val="24"/>
        </w:rPr>
        <w:t xml:space="preserve"> in defence to a prosecution.</w:t>
      </w:r>
    </w:p>
    <w:p w14:paraId="2D1CE076" w14:textId="0C744307" w:rsidR="00FA7784" w:rsidRPr="00FA7784" w:rsidRDefault="00FA7784" w:rsidP="00FE433A">
      <w:pPr>
        <w:rPr>
          <w:rFonts w:ascii="Times New Roman" w:hAnsi="Times New Roman" w:cs="Times New Roman"/>
          <w:sz w:val="24"/>
          <w:szCs w:val="24"/>
        </w:rPr>
      </w:pPr>
      <w:bookmarkStart w:id="14" w:name="_Hlk147321790"/>
      <w:bookmarkEnd w:id="13"/>
      <w:r>
        <w:rPr>
          <w:rFonts w:ascii="Times New Roman" w:hAnsi="Times New Roman" w:cs="Times New Roman"/>
          <w:sz w:val="24"/>
          <w:szCs w:val="24"/>
        </w:rPr>
        <w:t xml:space="preserve">Subsection 36(5) is a continuing offence under section 4K of the </w:t>
      </w:r>
      <w:r>
        <w:rPr>
          <w:rFonts w:ascii="Times New Roman" w:hAnsi="Times New Roman" w:cs="Times New Roman"/>
          <w:i/>
          <w:iCs/>
          <w:sz w:val="24"/>
          <w:szCs w:val="24"/>
        </w:rPr>
        <w:t>Crimes Act 1914</w:t>
      </w:r>
      <w:r>
        <w:rPr>
          <w:rFonts w:ascii="Times New Roman" w:hAnsi="Times New Roman" w:cs="Times New Roman"/>
          <w:sz w:val="24"/>
          <w:szCs w:val="24"/>
        </w:rPr>
        <w:t>. Section 62 of the GHG Regulations sets out that the maximum penalty for each day that an offence under subsection 36(5) continues is 10% of the maximum penalty that can be imposed in respect of that offence.</w:t>
      </w:r>
    </w:p>
    <w:bookmarkEnd w:id="14"/>
    <w:p w14:paraId="54E82863" w14:textId="66B949AC" w:rsidR="00586E82" w:rsidRPr="00420D8A" w:rsidRDefault="00360431" w:rsidP="00FE433A">
      <w:pPr>
        <w:rPr>
          <w:rFonts w:ascii="Times New Roman" w:hAnsi="Times New Roman" w:cs="Times New Roman"/>
          <w:sz w:val="24"/>
          <w:szCs w:val="24"/>
        </w:rPr>
      </w:pPr>
      <w:r>
        <w:rPr>
          <w:rFonts w:ascii="Times New Roman" w:hAnsi="Times New Roman" w:cs="Times New Roman"/>
          <w:sz w:val="24"/>
          <w:szCs w:val="24"/>
        </w:rPr>
        <w:t>Subsection 36(3) provides that t</w:t>
      </w:r>
      <w:r w:rsidR="00586E82">
        <w:rPr>
          <w:rFonts w:ascii="Times New Roman" w:hAnsi="Times New Roman" w:cs="Times New Roman"/>
          <w:sz w:val="24"/>
          <w:szCs w:val="24"/>
        </w:rPr>
        <w:t>he licensee is also liable to a civil penalty of 500 PU for a failure to comply with subsection</w:t>
      </w:r>
      <w:r w:rsidR="00AB4FB8">
        <w:rPr>
          <w:rFonts w:ascii="Times New Roman" w:hAnsi="Times New Roman" w:cs="Times New Roman"/>
          <w:sz w:val="24"/>
          <w:szCs w:val="24"/>
        </w:rPr>
        <w:t> </w:t>
      </w:r>
      <w:r w:rsidR="00586E82">
        <w:rPr>
          <w:rFonts w:ascii="Times New Roman" w:hAnsi="Times New Roman" w:cs="Times New Roman"/>
          <w:sz w:val="24"/>
          <w:szCs w:val="24"/>
        </w:rPr>
        <w:t>36(1), (2) or (3). O</w:t>
      </w:r>
      <w:r w:rsidR="00586E82" w:rsidRPr="00420D8A">
        <w:rPr>
          <w:rFonts w:ascii="Times New Roman" w:hAnsi="Times New Roman" w:cs="Times New Roman"/>
          <w:sz w:val="24"/>
          <w:szCs w:val="24"/>
        </w:rPr>
        <w:t xml:space="preserve">ffshore </w:t>
      </w:r>
      <w:r w:rsidR="00586E82">
        <w:rPr>
          <w:rFonts w:ascii="Times New Roman" w:hAnsi="Times New Roman" w:cs="Times New Roman"/>
          <w:sz w:val="24"/>
          <w:szCs w:val="24"/>
        </w:rPr>
        <w:t>operations</w:t>
      </w:r>
      <w:r w:rsidR="00586E82" w:rsidRPr="00420D8A">
        <w:rPr>
          <w:rFonts w:ascii="Times New Roman" w:hAnsi="Times New Roman" w:cs="Times New Roman"/>
          <w:sz w:val="24"/>
          <w:szCs w:val="24"/>
        </w:rPr>
        <w:t xml:space="preserve"> require a very high level of expenditure</w:t>
      </w:r>
      <w:r w:rsidR="00586E82">
        <w:rPr>
          <w:rFonts w:ascii="Times New Roman" w:hAnsi="Times New Roman" w:cs="Times New Roman"/>
          <w:sz w:val="24"/>
          <w:szCs w:val="24"/>
        </w:rPr>
        <w:t xml:space="preserve">, and therefore licensees are well-resourced, sophisticated entities. </w:t>
      </w:r>
      <w:r w:rsidR="00586E82">
        <w:rPr>
          <w:rFonts w:ascii="Times New Roman" w:hAnsi="Times New Roman" w:cs="Times New Roman"/>
          <w:sz w:val="24"/>
          <w:szCs w:val="24"/>
          <w:shd w:val="clear" w:color="auto" w:fill="FFFFFF"/>
        </w:rPr>
        <w:t xml:space="preserve">To be an effective deterrent, the penalty must therefore be sufficiently significant to overcome any sense that the potential imposition of a fine for non-compliance with a fundamental obligation might otherwise be perceived as a ‘cost of doing </w:t>
      </w:r>
      <w:proofErr w:type="gramStart"/>
      <w:r w:rsidR="00586E82">
        <w:rPr>
          <w:rFonts w:ascii="Times New Roman" w:hAnsi="Times New Roman" w:cs="Times New Roman"/>
          <w:sz w:val="24"/>
          <w:szCs w:val="24"/>
          <w:shd w:val="clear" w:color="auto" w:fill="FFFFFF"/>
        </w:rPr>
        <w:t>business’</w:t>
      </w:r>
      <w:proofErr w:type="gramEnd"/>
      <w:r w:rsidR="00586E82">
        <w:rPr>
          <w:rFonts w:ascii="Times New Roman" w:hAnsi="Times New Roman" w:cs="Times New Roman"/>
          <w:sz w:val="24"/>
          <w:szCs w:val="24"/>
          <w:shd w:val="clear" w:color="auto" w:fill="FFFFFF"/>
        </w:rPr>
        <w:t>.</w:t>
      </w:r>
    </w:p>
    <w:p w14:paraId="30E45AE2" w14:textId="7AF9FFA5" w:rsidR="0035435B" w:rsidRDefault="00FE433A" w:rsidP="008479B1">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As noted above in relation to section 22, it is appropriate for regulators to have recourse to both civil and criminal penalties</w:t>
      </w:r>
      <w:r w:rsidR="00586E82">
        <w:rPr>
          <w:rFonts w:ascii="Times New Roman" w:hAnsi="Times New Roman" w:cs="Times New Roman"/>
          <w:color w:val="333333"/>
          <w:sz w:val="24"/>
          <w:szCs w:val="24"/>
          <w:shd w:val="clear" w:color="auto" w:fill="FFFFFF"/>
        </w:rPr>
        <w:t xml:space="preserve"> – see the discussion at that section.</w:t>
      </w:r>
    </w:p>
    <w:p w14:paraId="1129C510" w14:textId="4608FAF0" w:rsidR="00FA7784" w:rsidRPr="00FA7784" w:rsidRDefault="00FA7784" w:rsidP="00FA7784">
      <w:pPr>
        <w:rPr>
          <w:rFonts w:ascii="Times New Roman" w:hAnsi="Times New Roman" w:cs="Times New Roman"/>
          <w:sz w:val="24"/>
          <w:szCs w:val="24"/>
        </w:rPr>
      </w:pPr>
      <w:bookmarkStart w:id="15" w:name="_Hlk147321796"/>
      <w:r>
        <w:rPr>
          <w:rFonts w:ascii="Times New Roman" w:hAnsi="Times New Roman" w:cs="Times New Roman"/>
          <w:sz w:val="24"/>
          <w:szCs w:val="24"/>
        </w:rPr>
        <w:t>Subsection 36(6) is a continuing civil penalty provision under section 93 of the Regulatory</w:t>
      </w:r>
      <w:r w:rsidR="00036F15">
        <w:rPr>
          <w:rFonts w:ascii="Times New Roman" w:hAnsi="Times New Roman" w:cs="Times New Roman"/>
          <w:sz w:val="24"/>
          <w:szCs w:val="24"/>
        </w:rPr>
        <w:t> </w:t>
      </w:r>
      <w:r>
        <w:rPr>
          <w:rFonts w:ascii="Times New Roman" w:hAnsi="Times New Roman" w:cs="Times New Roman"/>
          <w:sz w:val="24"/>
          <w:szCs w:val="24"/>
        </w:rPr>
        <w:t>Powers Act. Section 62 of the GHG</w:t>
      </w:r>
      <w:r w:rsidR="00AB4FB8">
        <w:rPr>
          <w:rFonts w:ascii="Times New Roman" w:hAnsi="Times New Roman" w:cs="Times New Roman"/>
          <w:sz w:val="24"/>
          <w:szCs w:val="24"/>
        </w:rPr>
        <w:t> </w:t>
      </w:r>
      <w:r>
        <w:rPr>
          <w:rFonts w:ascii="Times New Roman" w:hAnsi="Times New Roman" w:cs="Times New Roman"/>
          <w:sz w:val="24"/>
          <w:szCs w:val="24"/>
        </w:rPr>
        <w:t>Regulations sets out that the maximum civil penalty for each day that a contravention referred to in subsection 36(6) continues is 10% of the maximum civil penalty that can be imposed in respect of that contravention.</w:t>
      </w:r>
      <w:bookmarkEnd w:id="12"/>
    </w:p>
    <w:bookmarkEnd w:id="15"/>
    <w:p w14:paraId="133D98BB" w14:textId="627882B0" w:rsidR="00E31706" w:rsidRPr="00E47A04" w:rsidRDefault="00E31706" w:rsidP="00E47A04">
      <w:pPr>
        <w:rPr>
          <w:rFonts w:ascii="Times New Roman" w:hAnsi="Times New Roman" w:cs="Times New Roman"/>
          <w:b/>
          <w:bCs/>
          <w:color w:val="333333"/>
          <w:sz w:val="24"/>
          <w:szCs w:val="24"/>
          <w:shd w:val="clear" w:color="auto" w:fill="FFFFFF"/>
        </w:rPr>
      </w:pPr>
      <w:r w:rsidRPr="00E47A04">
        <w:rPr>
          <w:rFonts w:ascii="Times New Roman" w:hAnsi="Times New Roman" w:cs="Times New Roman"/>
          <w:b/>
          <w:bCs/>
          <w:color w:val="333333"/>
          <w:sz w:val="24"/>
          <w:szCs w:val="24"/>
          <w:shd w:val="clear" w:color="auto" w:fill="FFFFFF"/>
        </w:rPr>
        <w:t>Section</w:t>
      </w:r>
      <w:r w:rsidR="00234D7B" w:rsidRPr="00E47A04">
        <w:rPr>
          <w:rFonts w:ascii="Times New Roman" w:hAnsi="Times New Roman" w:cs="Times New Roman"/>
          <w:b/>
          <w:bCs/>
          <w:color w:val="333333"/>
          <w:sz w:val="24"/>
          <w:szCs w:val="24"/>
          <w:shd w:val="clear" w:color="auto" w:fill="FFFFFF"/>
        </w:rPr>
        <w:t xml:space="preserve"> 37</w:t>
      </w:r>
      <w:r w:rsidRPr="00E47A04">
        <w:rPr>
          <w:rFonts w:ascii="Times New Roman" w:hAnsi="Times New Roman" w:cs="Times New Roman"/>
          <w:b/>
          <w:bCs/>
          <w:color w:val="333333"/>
          <w:sz w:val="24"/>
          <w:szCs w:val="24"/>
          <w:shd w:val="clear" w:color="auto" w:fill="FFFFFF"/>
        </w:rPr>
        <w:t xml:space="preserve"> – Reviews requested by Minister and draft </w:t>
      </w:r>
      <w:proofErr w:type="gramStart"/>
      <w:r w:rsidRPr="00E47A04">
        <w:rPr>
          <w:rFonts w:ascii="Times New Roman" w:hAnsi="Times New Roman" w:cs="Times New Roman"/>
          <w:b/>
          <w:bCs/>
          <w:color w:val="333333"/>
          <w:sz w:val="24"/>
          <w:szCs w:val="24"/>
          <w:shd w:val="clear" w:color="auto" w:fill="FFFFFF"/>
        </w:rPr>
        <w:t>variations</w:t>
      </w:r>
      <w:proofErr w:type="gramEnd"/>
    </w:p>
    <w:p w14:paraId="67DB68C2" w14:textId="37B78C1F" w:rsidR="006301D5" w:rsidRDefault="00E31706" w:rsidP="006301D5">
      <w:pPr>
        <w:pStyle w:val="NormalWeb"/>
        <w:shd w:val="clear" w:color="auto" w:fill="FFFFFF"/>
        <w:spacing w:before="0" w:beforeAutospacing="0" w:after="180" w:afterAutospacing="0"/>
      </w:pPr>
      <w:r>
        <w:t>This section</w:t>
      </w:r>
      <w:r w:rsidR="006301D5">
        <w:t xml:space="preserve"> </w:t>
      </w:r>
      <w:r w:rsidR="002A38B4">
        <w:t>enables</w:t>
      </w:r>
      <w:r w:rsidR="006301D5">
        <w:t xml:space="preserve"> the </w:t>
      </w:r>
      <w:r w:rsidR="00B84F3E">
        <w:t xml:space="preserve">responsible Commonwealth </w:t>
      </w:r>
      <w:r w:rsidR="006301D5">
        <w:t>Minister</w:t>
      </w:r>
      <w:r w:rsidR="00360431">
        <w:t>, by written notice to</w:t>
      </w:r>
      <w:r w:rsidR="006301D5">
        <w:t xml:space="preserve"> </w:t>
      </w:r>
      <w:r w:rsidR="002A38B4">
        <w:t>a GHG</w:t>
      </w:r>
      <w:r w:rsidR="00B84F3E">
        <w:t> </w:t>
      </w:r>
      <w:r w:rsidR="002A38B4">
        <w:t>injection</w:t>
      </w:r>
      <w:r w:rsidR="006301D5">
        <w:t xml:space="preserve"> licensee</w:t>
      </w:r>
      <w:r w:rsidR="009E3ED7">
        <w:t xml:space="preserve">, </w:t>
      </w:r>
      <w:r w:rsidR="006301D5">
        <w:t xml:space="preserve">to </w:t>
      </w:r>
      <w:r w:rsidR="00360431">
        <w:t xml:space="preserve">request a </w:t>
      </w:r>
      <w:r w:rsidR="006301D5">
        <w:t>review</w:t>
      </w:r>
      <w:r w:rsidR="00360431">
        <w:t xml:space="preserve"> of </w:t>
      </w:r>
      <w:r w:rsidR="003D3CB4">
        <w:t>an approved</w:t>
      </w:r>
      <w:r w:rsidR="006301D5">
        <w:t xml:space="preserve"> site plan </w:t>
      </w:r>
      <w:r w:rsidR="002A38B4">
        <w:t xml:space="preserve">in force in relation to an identified GHG storage formation specified in the licence </w:t>
      </w:r>
      <w:r w:rsidR="006301D5">
        <w:t>if:</w:t>
      </w:r>
    </w:p>
    <w:p w14:paraId="5FB022BB" w14:textId="343134D7" w:rsidR="006301D5" w:rsidRDefault="006301D5" w:rsidP="006301D5">
      <w:pPr>
        <w:pStyle w:val="NormalWeb"/>
        <w:numPr>
          <w:ilvl w:val="0"/>
          <w:numId w:val="14"/>
        </w:numPr>
        <w:shd w:val="clear" w:color="auto" w:fill="FFFFFF"/>
        <w:spacing w:before="0" w:beforeAutospacing="0" w:after="180" w:afterAutospacing="0"/>
        <w:rPr>
          <w:color w:val="333333"/>
        </w:rPr>
      </w:pPr>
      <w:r>
        <w:rPr>
          <w:color w:val="333333"/>
        </w:rPr>
        <w:t xml:space="preserve">the licensee applies </w:t>
      </w:r>
      <w:r w:rsidR="002A38B4">
        <w:rPr>
          <w:color w:val="333333"/>
        </w:rPr>
        <w:t xml:space="preserve">under section 313 of the OPGGS Act </w:t>
      </w:r>
      <w:r>
        <w:rPr>
          <w:color w:val="333333"/>
        </w:rPr>
        <w:t xml:space="preserve">for a variation of the declaration </w:t>
      </w:r>
      <w:r w:rsidR="002A38B4">
        <w:rPr>
          <w:color w:val="333333"/>
        </w:rPr>
        <w:t>of identified GHG storage formation</w:t>
      </w:r>
      <w:r w:rsidR="00736A3B">
        <w:rPr>
          <w:color w:val="333333"/>
        </w:rPr>
        <w:t>,</w:t>
      </w:r>
    </w:p>
    <w:p w14:paraId="6CED3BBB" w14:textId="0B9B2370" w:rsidR="003D3CB4" w:rsidRDefault="003D3CB4" w:rsidP="006301D5">
      <w:pPr>
        <w:pStyle w:val="NormalWeb"/>
        <w:numPr>
          <w:ilvl w:val="0"/>
          <w:numId w:val="14"/>
        </w:numPr>
        <w:shd w:val="clear" w:color="auto" w:fill="FFFFFF"/>
        <w:spacing w:before="0" w:beforeAutospacing="0" w:after="180" w:afterAutospacing="0"/>
        <w:rPr>
          <w:color w:val="333333"/>
        </w:rPr>
      </w:pPr>
      <w:r>
        <w:rPr>
          <w:color w:val="333333"/>
        </w:rPr>
        <w:t xml:space="preserve">the licensee applies for a variation of a matter specified in the licence under </w:t>
      </w:r>
      <w:r w:rsidR="001D70BB">
        <w:rPr>
          <w:color w:val="333333"/>
        </w:rPr>
        <w:t>section</w:t>
      </w:r>
      <w:r w:rsidR="00AB4FB8">
        <w:rPr>
          <w:color w:val="333333"/>
        </w:rPr>
        <w:t> </w:t>
      </w:r>
      <w:r>
        <w:rPr>
          <w:color w:val="333333"/>
        </w:rPr>
        <w:t>374 or 374A</w:t>
      </w:r>
      <w:r w:rsidR="0095165F">
        <w:rPr>
          <w:color w:val="333333"/>
        </w:rPr>
        <w:t xml:space="preserve"> of the OPGGS Act</w:t>
      </w:r>
      <w:r>
        <w:rPr>
          <w:color w:val="333333"/>
        </w:rPr>
        <w:t xml:space="preserve">, or </w:t>
      </w:r>
    </w:p>
    <w:p w14:paraId="032F96ED" w14:textId="5750CBF7" w:rsidR="003D3CB4" w:rsidRDefault="003D3CB4" w:rsidP="006301D5">
      <w:pPr>
        <w:pStyle w:val="NormalWeb"/>
        <w:numPr>
          <w:ilvl w:val="0"/>
          <w:numId w:val="14"/>
        </w:numPr>
        <w:shd w:val="clear" w:color="auto" w:fill="FFFFFF"/>
        <w:spacing w:before="0" w:beforeAutospacing="0" w:after="180" w:afterAutospacing="0"/>
        <w:rPr>
          <w:color w:val="333333"/>
        </w:rPr>
      </w:pPr>
      <w:r>
        <w:rPr>
          <w:color w:val="333333"/>
        </w:rPr>
        <w:t>a reportable incident (defined in</w:t>
      </w:r>
      <w:r w:rsidR="001D692C" w:rsidRPr="001D692C">
        <w:t xml:space="preserve"> </w:t>
      </w:r>
      <w:r w:rsidR="001D692C">
        <w:t xml:space="preserve">section </w:t>
      </w:r>
      <w:r w:rsidR="006935D6">
        <w:t>49</w:t>
      </w:r>
      <w:r w:rsidR="00736A3B">
        <w:t xml:space="preserve"> of the GHG Regulations</w:t>
      </w:r>
      <w:r>
        <w:rPr>
          <w:color w:val="333333"/>
        </w:rPr>
        <w:t>) occurs.</w:t>
      </w:r>
    </w:p>
    <w:p w14:paraId="4CBEF872" w14:textId="4FDCAA17" w:rsidR="002A38B4" w:rsidRDefault="002A38B4" w:rsidP="006301D5">
      <w:pPr>
        <w:pStyle w:val="NormalWeb"/>
        <w:shd w:val="clear" w:color="auto" w:fill="FFFFFF"/>
        <w:spacing w:before="0" w:beforeAutospacing="0" w:after="180" w:afterAutospacing="0"/>
      </w:pPr>
      <w:r w:rsidRPr="00FA7784">
        <w:t xml:space="preserve">This ensures that </w:t>
      </w:r>
      <w:r>
        <w:t xml:space="preserve">the </w:t>
      </w:r>
      <w:r w:rsidR="00360431">
        <w:t xml:space="preserve">responsible Commonwealth </w:t>
      </w:r>
      <w:r>
        <w:t>Minister</w:t>
      </w:r>
      <w:r w:rsidRPr="00FA7784">
        <w:t xml:space="preserve"> can request </w:t>
      </w:r>
      <w:r>
        <w:t>review of an approved site plan</w:t>
      </w:r>
      <w:r w:rsidRPr="00FA7784">
        <w:t xml:space="preserve"> in circumstances where </w:t>
      </w:r>
      <w:r>
        <w:t>the Minister</w:t>
      </w:r>
      <w:r w:rsidRPr="00FA7784">
        <w:t xml:space="preserve"> considers it is necessary to do so to deal with a</w:t>
      </w:r>
      <w:r>
        <w:t>ny potential new or previously unidentified risks of GHG injection and storage operations</w:t>
      </w:r>
      <w:r w:rsidR="00DC6520">
        <w:t xml:space="preserve"> arising as a result of one of the circumstances listed above</w:t>
      </w:r>
      <w:r>
        <w:t>, or to consider the impact of a variation of a declaration, or matter specified in a licence, on the content and ongoing suitability of the site plan.</w:t>
      </w:r>
    </w:p>
    <w:p w14:paraId="595C147D" w14:textId="34EEB729" w:rsidR="003D3CB4" w:rsidRPr="002A38B4" w:rsidRDefault="006301D5" w:rsidP="006301D5">
      <w:pPr>
        <w:pStyle w:val="NormalWeb"/>
        <w:shd w:val="clear" w:color="auto" w:fill="FFFFFF"/>
        <w:spacing w:before="0" w:beforeAutospacing="0" w:after="180" w:afterAutospacing="0"/>
      </w:pPr>
      <w:r w:rsidRPr="002A38B4">
        <w:t xml:space="preserve">The licensee must, within </w:t>
      </w:r>
      <w:r w:rsidR="003D3CB4" w:rsidRPr="002A38B4">
        <w:t xml:space="preserve">the period specified by the </w:t>
      </w:r>
      <w:r w:rsidR="00360431">
        <w:t xml:space="preserve">responsible Commonwealth </w:t>
      </w:r>
      <w:r w:rsidR="003D3CB4" w:rsidRPr="002A38B4">
        <w:t>Minister in the notice</w:t>
      </w:r>
      <w:r w:rsidR="009E3ED7" w:rsidRPr="002A38B4">
        <w:t xml:space="preserve"> (</w:t>
      </w:r>
      <w:r w:rsidR="003D3CB4" w:rsidRPr="002A38B4">
        <w:t>be</w:t>
      </w:r>
      <w:r w:rsidR="009E3ED7" w:rsidRPr="002A38B4">
        <w:t>ing</w:t>
      </w:r>
      <w:r w:rsidR="003D3CB4" w:rsidRPr="002A38B4">
        <w:t xml:space="preserve"> at least 60</w:t>
      </w:r>
      <w:r w:rsidR="00AB4FB8">
        <w:t> </w:t>
      </w:r>
      <w:r w:rsidR="003D3CB4" w:rsidRPr="002A38B4">
        <w:t>days</w:t>
      </w:r>
      <w:r w:rsidR="009E3ED7" w:rsidRPr="002A38B4">
        <w:t>)</w:t>
      </w:r>
      <w:r w:rsidR="003D3CB4" w:rsidRPr="002A38B4">
        <w:t>:</w:t>
      </w:r>
    </w:p>
    <w:p w14:paraId="0308D659" w14:textId="7ECF0C48" w:rsidR="003D3CB4" w:rsidRDefault="003D3CB4" w:rsidP="003D3CB4">
      <w:pPr>
        <w:pStyle w:val="NormalWeb"/>
        <w:numPr>
          <w:ilvl w:val="0"/>
          <w:numId w:val="15"/>
        </w:numPr>
        <w:shd w:val="clear" w:color="auto" w:fill="FFFFFF"/>
        <w:spacing w:before="0" w:beforeAutospacing="0" w:after="180" w:afterAutospacing="0"/>
        <w:rPr>
          <w:color w:val="333333"/>
        </w:rPr>
      </w:pPr>
      <w:r w:rsidRPr="002B5ED0">
        <w:rPr>
          <w:color w:val="333333"/>
        </w:rPr>
        <w:t xml:space="preserve">review </w:t>
      </w:r>
      <w:r>
        <w:rPr>
          <w:color w:val="333333"/>
        </w:rPr>
        <w:t>the plan, taking into account the matters mentioned in</w:t>
      </w:r>
      <w:r w:rsidR="001D692C" w:rsidRPr="001D692C">
        <w:t xml:space="preserve"> </w:t>
      </w:r>
      <w:r w:rsidR="001D692C">
        <w:t xml:space="preserve">section </w:t>
      </w:r>
      <w:proofErr w:type="gramStart"/>
      <w:r>
        <w:rPr>
          <w:color w:val="333333"/>
        </w:rPr>
        <w:t>3</w:t>
      </w:r>
      <w:r w:rsidR="00CA68F9">
        <w:rPr>
          <w:color w:val="333333"/>
        </w:rPr>
        <w:t>8</w:t>
      </w:r>
      <w:r w:rsidR="00774857">
        <w:rPr>
          <w:color w:val="333333"/>
        </w:rPr>
        <w:t>;</w:t>
      </w:r>
      <w:proofErr w:type="gramEnd"/>
      <w:r>
        <w:rPr>
          <w:color w:val="333333"/>
        </w:rPr>
        <w:t xml:space="preserve"> </w:t>
      </w:r>
    </w:p>
    <w:p w14:paraId="66C0075A" w14:textId="39314F5A" w:rsidR="003D3CB4" w:rsidRDefault="003D3CB4" w:rsidP="003D3CB4">
      <w:pPr>
        <w:pStyle w:val="NormalWeb"/>
        <w:numPr>
          <w:ilvl w:val="0"/>
          <w:numId w:val="15"/>
        </w:numPr>
        <w:shd w:val="clear" w:color="auto" w:fill="FFFFFF"/>
        <w:spacing w:before="0" w:beforeAutospacing="0" w:after="180" w:afterAutospacing="0"/>
        <w:rPr>
          <w:color w:val="333333"/>
        </w:rPr>
      </w:pPr>
      <w:r>
        <w:rPr>
          <w:color w:val="333333"/>
        </w:rPr>
        <w:t>decide if the plan should be varied and</w:t>
      </w:r>
      <w:r w:rsidR="00774857">
        <w:rPr>
          <w:color w:val="333333"/>
        </w:rPr>
        <w:t>,</w:t>
      </w:r>
      <w:r>
        <w:rPr>
          <w:color w:val="333333"/>
        </w:rPr>
        <w:t xml:space="preserve"> if so, prepare a draft variation of the plan; and</w:t>
      </w:r>
    </w:p>
    <w:p w14:paraId="713B4F20" w14:textId="76FF9040" w:rsidR="003D3CB4" w:rsidRDefault="006301D5" w:rsidP="003D3CB4">
      <w:pPr>
        <w:pStyle w:val="NormalWeb"/>
        <w:numPr>
          <w:ilvl w:val="0"/>
          <w:numId w:val="15"/>
        </w:numPr>
        <w:shd w:val="clear" w:color="auto" w:fill="FFFFFF"/>
        <w:spacing w:before="0" w:beforeAutospacing="0" w:after="180" w:afterAutospacing="0"/>
        <w:rPr>
          <w:color w:val="333333"/>
        </w:rPr>
      </w:pPr>
      <w:r w:rsidRPr="00977EBB">
        <w:rPr>
          <w:color w:val="333333"/>
        </w:rPr>
        <w:lastRenderedPageBreak/>
        <w:t xml:space="preserve">give the Minister written notice of the decision, the date </w:t>
      </w:r>
      <w:r>
        <w:rPr>
          <w:color w:val="333333"/>
        </w:rPr>
        <w:t xml:space="preserve">it was made </w:t>
      </w:r>
      <w:r w:rsidRPr="00977EBB">
        <w:rPr>
          <w:color w:val="333333"/>
        </w:rPr>
        <w:t>and the reasons</w:t>
      </w:r>
      <w:r>
        <w:rPr>
          <w:color w:val="333333"/>
        </w:rPr>
        <w:t xml:space="preserve"> for it</w:t>
      </w:r>
      <w:r w:rsidR="003D3CB4">
        <w:rPr>
          <w:color w:val="333333"/>
        </w:rPr>
        <w:t xml:space="preserve"> and</w:t>
      </w:r>
      <w:r w:rsidR="00774857">
        <w:rPr>
          <w:color w:val="333333"/>
        </w:rPr>
        <w:t>,</w:t>
      </w:r>
      <w:r w:rsidR="003D3CB4">
        <w:rPr>
          <w:color w:val="333333"/>
        </w:rPr>
        <w:t xml:space="preserve"> if </w:t>
      </w:r>
      <w:r>
        <w:rPr>
          <w:color w:val="333333"/>
        </w:rPr>
        <w:t xml:space="preserve">it </w:t>
      </w:r>
      <w:r w:rsidRPr="00977EBB">
        <w:rPr>
          <w:color w:val="333333"/>
        </w:rPr>
        <w:t xml:space="preserve">was </w:t>
      </w:r>
      <w:r>
        <w:rPr>
          <w:color w:val="333333"/>
        </w:rPr>
        <w:t xml:space="preserve">decided </w:t>
      </w:r>
      <w:r w:rsidRPr="00977EBB">
        <w:rPr>
          <w:color w:val="333333"/>
        </w:rPr>
        <w:t xml:space="preserve">that the plan should be varied, </w:t>
      </w:r>
      <w:r w:rsidR="003D3CB4">
        <w:rPr>
          <w:color w:val="333333"/>
        </w:rPr>
        <w:t>the</w:t>
      </w:r>
      <w:r w:rsidRPr="00977EBB">
        <w:rPr>
          <w:color w:val="333333"/>
        </w:rPr>
        <w:t xml:space="preserve"> draft variation</w:t>
      </w:r>
      <w:r w:rsidR="003D3CB4">
        <w:rPr>
          <w:color w:val="333333"/>
        </w:rPr>
        <w:t>.</w:t>
      </w:r>
    </w:p>
    <w:p w14:paraId="127F3364" w14:textId="50A9A017" w:rsidR="00CF12A7" w:rsidRDefault="00CF12A7" w:rsidP="00736A3B">
      <w:pPr>
        <w:rPr>
          <w:rFonts w:ascii="Times New Roman" w:hAnsi="Times New Roman" w:cs="Times New Roman"/>
          <w:sz w:val="24"/>
          <w:szCs w:val="24"/>
        </w:rPr>
      </w:pPr>
      <w:bookmarkStart w:id="16" w:name="_Hlk146806768"/>
      <w:r>
        <w:rPr>
          <w:rFonts w:ascii="Times New Roman" w:hAnsi="Times New Roman" w:cs="Times New Roman"/>
          <w:sz w:val="24"/>
          <w:szCs w:val="24"/>
        </w:rPr>
        <w:t xml:space="preserve">The responsible Commonwealth Minister’s decision to request review of an approved site plan, in the circumstances set out in paragraph 37(1)(b), is not subject to merits review as it is preliminary in nature. This accords with the principles set out in the ARC in its publication </w:t>
      </w:r>
      <w:hyperlink r:id="rId16" w:history="1">
        <w:r w:rsidRPr="00FC5829">
          <w:rPr>
            <w:rStyle w:val="Hyperlink"/>
            <w:rFonts w:ascii="Times New Roman" w:hAnsi="Times New Roman" w:cs="Times New Roman"/>
            <w:i/>
            <w:iCs/>
            <w:sz w:val="24"/>
            <w:szCs w:val="24"/>
          </w:rPr>
          <w:t>What decisions should be subject to merit review?</w:t>
        </w:r>
      </w:hyperlink>
      <w:r w:rsidRPr="00FC5829">
        <w:rPr>
          <w:rFonts w:ascii="Times New Roman" w:hAnsi="Times New Roman" w:cs="Times New Roman"/>
          <w:i/>
          <w:iCs/>
          <w:sz w:val="24"/>
          <w:szCs w:val="24"/>
        </w:rPr>
        <w:t xml:space="preserve"> </w:t>
      </w:r>
      <w:r>
        <w:rPr>
          <w:rFonts w:ascii="Times New Roman" w:hAnsi="Times New Roman" w:cs="Times New Roman"/>
          <w:sz w:val="24"/>
          <w:szCs w:val="24"/>
        </w:rPr>
        <w:t>(1999). The ARC considered that preliminary or procedural decisions would be unsuitable for merits review as a review may lead to unnecessary frustration or delay of the administrative decision-making process. The effect of the Minister’s decision is that a GHG injection licensee must review the approved site plan and decide whether the plan should be varied. It is therefore up to the licensee to determine whether the plan remains suitable for safe and sustainable operations. Submission of a variation does not directly follow because of the Minister’s request. In addition, the approved site plan continues in force while the licensee undertakes the review and while the Minister assesses a draft variation of the plan (if the licensee decides that the plan should be varied). Therefore, there is no impact on the licensee’s ability to continue GHG injection and storage operations during that time.</w:t>
      </w:r>
    </w:p>
    <w:p w14:paraId="1355A3E2" w14:textId="6FE07F43" w:rsidR="009A2DAC" w:rsidRPr="00736A3B" w:rsidRDefault="006301D5" w:rsidP="00736A3B">
      <w:pPr>
        <w:rPr>
          <w:rFonts w:ascii="Times New Roman" w:hAnsi="Times New Roman" w:cs="Times New Roman"/>
          <w:sz w:val="24"/>
          <w:szCs w:val="24"/>
        </w:rPr>
      </w:pPr>
      <w:r w:rsidRPr="00736A3B">
        <w:rPr>
          <w:rFonts w:ascii="Times New Roman" w:hAnsi="Times New Roman" w:cs="Times New Roman"/>
          <w:sz w:val="24"/>
          <w:szCs w:val="24"/>
        </w:rPr>
        <w:t xml:space="preserve">It is a strict liability offence, punishable by </w:t>
      </w:r>
      <w:r w:rsidR="003D3CB4" w:rsidRPr="00736A3B">
        <w:rPr>
          <w:rFonts w:ascii="Times New Roman" w:hAnsi="Times New Roman" w:cs="Times New Roman"/>
          <w:sz w:val="24"/>
          <w:szCs w:val="24"/>
        </w:rPr>
        <w:t>100</w:t>
      </w:r>
      <w:r w:rsidRPr="00736A3B">
        <w:rPr>
          <w:rFonts w:ascii="Times New Roman" w:hAnsi="Times New Roman" w:cs="Times New Roman"/>
          <w:sz w:val="24"/>
          <w:szCs w:val="24"/>
        </w:rPr>
        <w:t xml:space="preserve"> </w:t>
      </w:r>
      <w:r w:rsidR="009A2DAC" w:rsidRPr="00736A3B">
        <w:rPr>
          <w:rFonts w:ascii="Times New Roman" w:hAnsi="Times New Roman" w:cs="Times New Roman"/>
          <w:sz w:val="24"/>
          <w:szCs w:val="24"/>
        </w:rPr>
        <w:t>PU</w:t>
      </w:r>
      <w:r w:rsidRPr="00736A3B">
        <w:rPr>
          <w:rFonts w:ascii="Times New Roman" w:hAnsi="Times New Roman" w:cs="Times New Roman"/>
          <w:sz w:val="24"/>
          <w:szCs w:val="24"/>
        </w:rPr>
        <w:t xml:space="preserve">, </w:t>
      </w:r>
      <w:r w:rsidR="007E739A">
        <w:rPr>
          <w:rFonts w:ascii="Times New Roman" w:hAnsi="Times New Roman" w:cs="Times New Roman"/>
          <w:sz w:val="24"/>
          <w:szCs w:val="24"/>
        </w:rPr>
        <w:t xml:space="preserve">for a licensee </w:t>
      </w:r>
      <w:r w:rsidRPr="00736A3B">
        <w:rPr>
          <w:rFonts w:ascii="Times New Roman" w:hAnsi="Times New Roman" w:cs="Times New Roman"/>
          <w:sz w:val="24"/>
          <w:szCs w:val="24"/>
        </w:rPr>
        <w:t>not to comply with the requirements</w:t>
      </w:r>
      <w:r w:rsidR="007E739A">
        <w:rPr>
          <w:rFonts w:ascii="Times New Roman" w:hAnsi="Times New Roman" w:cs="Times New Roman"/>
          <w:sz w:val="24"/>
          <w:szCs w:val="24"/>
        </w:rPr>
        <w:t xml:space="preserve"> in subsection 37(3)</w:t>
      </w:r>
      <w:r w:rsidRPr="00736A3B">
        <w:rPr>
          <w:rFonts w:ascii="Times New Roman" w:hAnsi="Times New Roman" w:cs="Times New Roman"/>
          <w:sz w:val="24"/>
          <w:szCs w:val="24"/>
        </w:rPr>
        <w:t>.</w:t>
      </w:r>
      <w:r w:rsidR="009A2DAC" w:rsidRPr="00736A3B">
        <w:rPr>
          <w:rFonts w:ascii="Times New Roman" w:hAnsi="Times New Roman" w:cs="Times New Roman"/>
          <w:sz w:val="24"/>
          <w:szCs w:val="24"/>
        </w:rPr>
        <w:t xml:space="preserve"> </w:t>
      </w:r>
      <w:r w:rsidR="009A2DAC">
        <w:rPr>
          <w:rFonts w:ascii="Times New Roman" w:hAnsi="Times New Roman" w:cs="Times New Roman"/>
          <w:sz w:val="24"/>
          <w:szCs w:val="24"/>
        </w:rPr>
        <w:t xml:space="preserve">The maximum </w:t>
      </w:r>
      <w:r w:rsidR="009A2DAC" w:rsidRPr="00736A3B">
        <w:rPr>
          <w:rFonts w:ascii="Times New Roman" w:hAnsi="Times New Roman" w:cs="Times New Roman"/>
          <w:sz w:val="24"/>
          <w:szCs w:val="24"/>
        </w:rPr>
        <w:t>penalty for a failure to comply where the offence is committed by a body corporate is five times the specified penalty amount, due to the operation of subsection 4</w:t>
      </w:r>
      <w:proofErr w:type="gramStart"/>
      <w:r w:rsidR="009A2DAC" w:rsidRPr="00736A3B">
        <w:rPr>
          <w:rFonts w:ascii="Times New Roman" w:hAnsi="Times New Roman" w:cs="Times New Roman"/>
          <w:sz w:val="24"/>
          <w:szCs w:val="24"/>
        </w:rPr>
        <w:t>B(</w:t>
      </w:r>
      <w:proofErr w:type="gramEnd"/>
      <w:r w:rsidR="009A2DAC" w:rsidRPr="00736A3B">
        <w:rPr>
          <w:rFonts w:ascii="Times New Roman" w:hAnsi="Times New Roman" w:cs="Times New Roman"/>
          <w:sz w:val="24"/>
          <w:szCs w:val="24"/>
        </w:rPr>
        <w:t xml:space="preserve">3) of the </w:t>
      </w:r>
      <w:r w:rsidR="009A2DAC" w:rsidRPr="00736A3B">
        <w:rPr>
          <w:rFonts w:ascii="Times New Roman" w:hAnsi="Times New Roman" w:cs="Times New Roman"/>
          <w:i/>
          <w:iCs/>
          <w:sz w:val="24"/>
          <w:szCs w:val="24"/>
        </w:rPr>
        <w:t>Crimes Act 1914</w:t>
      </w:r>
      <w:r w:rsidR="009A2DAC" w:rsidRPr="00736A3B">
        <w:rPr>
          <w:rFonts w:ascii="Times New Roman" w:hAnsi="Times New Roman" w:cs="Times New Roman"/>
          <w:sz w:val="24"/>
          <w:szCs w:val="24"/>
        </w:rPr>
        <w:t xml:space="preserve">. </w:t>
      </w:r>
    </w:p>
    <w:p w14:paraId="01DDE6A3" w14:textId="6478CE1E" w:rsidR="00FA3820" w:rsidRPr="009A2DAC" w:rsidRDefault="009A2DAC" w:rsidP="009A2DAC">
      <w:pPr>
        <w:rPr>
          <w:rFonts w:ascii="Times New Roman" w:hAnsi="Times New Roman" w:cs="Times New Roman"/>
          <w:sz w:val="24"/>
          <w:szCs w:val="24"/>
        </w:rPr>
      </w:pPr>
      <w:r w:rsidRPr="009A2DAC">
        <w:rPr>
          <w:rFonts w:ascii="Times New Roman" w:hAnsi="Times New Roman" w:cs="Times New Roman"/>
          <w:sz w:val="24"/>
          <w:szCs w:val="24"/>
        </w:rPr>
        <w:t>It</w:t>
      </w:r>
      <w:r w:rsidR="00FA3820" w:rsidRPr="009A2DAC">
        <w:rPr>
          <w:rFonts w:ascii="Times New Roman" w:hAnsi="Times New Roman" w:cs="Times New Roman"/>
          <w:sz w:val="24"/>
          <w:szCs w:val="24"/>
        </w:rPr>
        <w:t xml:space="preserve"> is appropriate to impose a criminal </w:t>
      </w:r>
      <w:r w:rsidRPr="009A2DAC">
        <w:rPr>
          <w:rFonts w:ascii="Times New Roman" w:hAnsi="Times New Roman" w:cs="Times New Roman"/>
          <w:sz w:val="24"/>
          <w:szCs w:val="24"/>
        </w:rPr>
        <w:t>penalty</w:t>
      </w:r>
      <w:r w:rsidR="00FA3820" w:rsidRPr="009A2DAC">
        <w:rPr>
          <w:rFonts w:ascii="Times New Roman" w:hAnsi="Times New Roman" w:cs="Times New Roman"/>
          <w:sz w:val="24"/>
          <w:szCs w:val="24"/>
        </w:rPr>
        <w:t xml:space="preserve"> for breach of these obligations</w:t>
      </w:r>
      <w:r w:rsidR="007D79A7" w:rsidRPr="009A2DAC">
        <w:rPr>
          <w:rFonts w:ascii="Times New Roman" w:hAnsi="Times New Roman" w:cs="Times New Roman"/>
          <w:sz w:val="24"/>
          <w:szCs w:val="24"/>
        </w:rPr>
        <w:t xml:space="preserve">, particularly where a reportable incident has occurred and there is a risk of </w:t>
      </w:r>
      <w:r w:rsidR="00FA3820" w:rsidRPr="009A2DAC">
        <w:rPr>
          <w:rFonts w:ascii="Times New Roman" w:hAnsi="Times New Roman" w:cs="Times New Roman"/>
          <w:sz w:val="24"/>
          <w:szCs w:val="24"/>
        </w:rPr>
        <w:t xml:space="preserve">considerable harm to the environment </w:t>
      </w:r>
      <w:r w:rsidR="007D79A7" w:rsidRPr="009A2DAC">
        <w:rPr>
          <w:rFonts w:ascii="Times New Roman" w:hAnsi="Times New Roman" w:cs="Times New Roman"/>
          <w:sz w:val="24"/>
          <w:szCs w:val="24"/>
        </w:rPr>
        <w:t>where</w:t>
      </w:r>
      <w:r w:rsidR="00FA3820" w:rsidRPr="009A2DAC">
        <w:rPr>
          <w:rFonts w:ascii="Times New Roman" w:hAnsi="Times New Roman" w:cs="Times New Roman"/>
          <w:sz w:val="24"/>
          <w:szCs w:val="24"/>
        </w:rPr>
        <w:t xml:space="preserve"> </w:t>
      </w:r>
      <w:r w:rsidR="00DC4292" w:rsidRPr="009A2DAC">
        <w:rPr>
          <w:rFonts w:ascii="Times New Roman" w:hAnsi="Times New Roman" w:cs="Times New Roman"/>
          <w:sz w:val="24"/>
          <w:szCs w:val="24"/>
        </w:rPr>
        <w:t xml:space="preserve">the </w:t>
      </w:r>
      <w:r w:rsidR="007D79A7" w:rsidRPr="009A2DAC">
        <w:rPr>
          <w:rFonts w:ascii="Times New Roman" w:hAnsi="Times New Roman" w:cs="Times New Roman"/>
          <w:sz w:val="24"/>
          <w:szCs w:val="24"/>
        </w:rPr>
        <w:t>approved</w:t>
      </w:r>
      <w:r w:rsidR="00DC4292" w:rsidRPr="009A2DAC">
        <w:rPr>
          <w:rFonts w:ascii="Times New Roman" w:hAnsi="Times New Roman" w:cs="Times New Roman"/>
          <w:sz w:val="24"/>
          <w:szCs w:val="24"/>
        </w:rPr>
        <w:t xml:space="preserve"> site plan </w:t>
      </w:r>
      <w:r w:rsidR="007D79A7" w:rsidRPr="009A2DAC">
        <w:rPr>
          <w:rFonts w:ascii="Times New Roman" w:hAnsi="Times New Roman" w:cs="Times New Roman"/>
          <w:sz w:val="24"/>
          <w:szCs w:val="24"/>
        </w:rPr>
        <w:t>may</w:t>
      </w:r>
      <w:r w:rsidR="00DC4292" w:rsidRPr="009A2DAC">
        <w:rPr>
          <w:rFonts w:ascii="Times New Roman" w:hAnsi="Times New Roman" w:cs="Times New Roman"/>
          <w:sz w:val="24"/>
          <w:szCs w:val="24"/>
        </w:rPr>
        <w:t xml:space="preserve"> no longer </w:t>
      </w:r>
      <w:r w:rsidR="007D79A7" w:rsidRPr="009A2DAC">
        <w:rPr>
          <w:rFonts w:ascii="Times New Roman" w:hAnsi="Times New Roman" w:cs="Times New Roman"/>
          <w:sz w:val="24"/>
          <w:szCs w:val="24"/>
        </w:rPr>
        <w:t xml:space="preserve">be </w:t>
      </w:r>
      <w:r w:rsidRPr="009A2DAC">
        <w:rPr>
          <w:rFonts w:ascii="Times New Roman" w:hAnsi="Times New Roman" w:cs="Times New Roman"/>
          <w:sz w:val="24"/>
          <w:szCs w:val="24"/>
        </w:rPr>
        <w:t>suitable for the safe and sustainable operations for the injection and storage of a GHG substance</w:t>
      </w:r>
      <w:r w:rsidR="00DC4292" w:rsidRPr="009A2DAC">
        <w:rPr>
          <w:rFonts w:ascii="Times New Roman" w:hAnsi="Times New Roman" w:cs="Times New Roman"/>
          <w:sz w:val="24"/>
          <w:szCs w:val="24"/>
        </w:rPr>
        <w:t xml:space="preserve">. There is also the </w:t>
      </w:r>
      <w:r w:rsidR="00FA3820" w:rsidRPr="009A2DAC">
        <w:rPr>
          <w:rFonts w:ascii="Times New Roman" w:hAnsi="Times New Roman" w:cs="Times New Roman"/>
          <w:sz w:val="24"/>
          <w:szCs w:val="24"/>
        </w:rPr>
        <w:t xml:space="preserve">need to </w:t>
      </w:r>
      <w:r w:rsidR="00DC4292" w:rsidRPr="009A2DAC">
        <w:rPr>
          <w:rFonts w:ascii="Times New Roman" w:hAnsi="Times New Roman" w:cs="Times New Roman"/>
          <w:sz w:val="24"/>
          <w:szCs w:val="24"/>
        </w:rPr>
        <w:t xml:space="preserve">ensure that </w:t>
      </w:r>
      <w:proofErr w:type="gramStart"/>
      <w:r w:rsidRPr="009A2DAC">
        <w:rPr>
          <w:rFonts w:ascii="Times New Roman" w:hAnsi="Times New Roman" w:cs="Times New Roman"/>
          <w:sz w:val="24"/>
          <w:szCs w:val="24"/>
        </w:rPr>
        <w:t xml:space="preserve">it is clear </w:t>
      </w:r>
      <w:r w:rsidR="00DC4292" w:rsidRPr="009A2DAC">
        <w:rPr>
          <w:rFonts w:ascii="Times New Roman" w:hAnsi="Times New Roman" w:cs="Times New Roman"/>
          <w:sz w:val="24"/>
          <w:szCs w:val="24"/>
        </w:rPr>
        <w:t xml:space="preserve">that </w:t>
      </w:r>
      <w:r w:rsidR="00FA3820" w:rsidRPr="009A2DAC">
        <w:rPr>
          <w:rFonts w:ascii="Times New Roman" w:hAnsi="Times New Roman" w:cs="Times New Roman"/>
          <w:sz w:val="24"/>
          <w:szCs w:val="24"/>
        </w:rPr>
        <w:t>non-compliance</w:t>
      </w:r>
      <w:proofErr w:type="gramEnd"/>
      <w:r w:rsidR="00FA3820" w:rsidRPr="009A2DAC">
        <w:rPr>
          <w:rFonts w:ascii="Times New Roman" w:hAnsi="Times New Roman" w:cs="Times New Roman"/>
          <w:sz w:val="24"/>
          <w:szCs w:val="24"/>
        </w:rPr>
        <w:t xml:space="preserve"> </w:t>
      </w:r>
      <w:r w:rsidR="00DC4292" w:rsidRPr="009A2DAC">
        <w:rPr>
          <w:rFonts w:ascii="Times New Roman" w:hAnsi="Times New Roman" w:cs="Times New Roman"/>
          <w:sz w:val="24"/>
          <w:szCs w:val="24"/>
        </w:rPr>
        <w:t xml:space="preserve">with a </w:t>
      </w:r>
      <w:r w:rsidRPr="009A2DAC">
        <w:rPr>
          <w:rFonts w:ascii="Times New Roman" w:hAnsi="Times New Roman" w:cs="Times New Roman"/>
          <w:sz w:val="24"/>
          <w:szCs w:val="24"/>
        </w:rPr>
        <w:t>M</w:t>
      </w:r>
      <w:r w:rsidR="00DC4292" w:rsidRPr="009A2DAC">
        <w:rPr>
          <w:rFonts w:ascii="Times New Roman" w:hAnsi="Times New Roman" w:cs="Times New Roman"/>
          <w:sz w:val="24"/>
          <w:szCs w:val="24"/>
        </w:rPr>
        <w:t>inisterial request will be treated seriously</w:t>
      </w:r>
      <w:r w:rsidRPr="009A2DAC">
        <w:rPr>
          <w:rFonts w:ascii="Times New Roman" w:hAnsi="Times New Roman" w:cs="Times New Roman"/>
          <w:sz w:val="24"/>
          <w:szCs w:val="24"/>
        </w:rPr>
        <w:t xml:space="preserve"> and warrants criminal punishment</w:t>
      </w:r>
      <w:r w:rsidR="00FA3820" w:rsidRPr="009A2DAC">
        <w:rPr>
          <w:rFonts w:ascii="Times New Roman" w:hAnsi="Times New Roman" w:cs="Times New Roman"/>
          <w:sz w:val="24"/>
          <w:szCs w:val="24"/>
        </w:rPr>
        <w:t xml:space="preserve">. </w:t>
      </w:r>
      <w:r w:rsidR="00DC6520" w:rsidRPr="00DC6520">
        <w:rPr>
          <w:rFonts w:ascii="Times New Roman" w:hAnsi="Times New Roman" w:cs="Times New Roman"/>
          <w:sz w:val="24"/>
          <w:szCs w:val="24"/>
        </w:rPr>
        <w:t>If new or increased risks w</w:t>
      </w:r>
      <w:r w:rsidR="00DC6520">
        <w:rPr>
          <w:rFonts w:ascii="Times New Roman" w:hAnsi="Times New Roman" w:cs="Times New Roman"/>
          <w:sz w:val="24"/>
          <w:szCs w:val="24"/>
        </w:rPr>
        <w:t>ill</w:t>
      </w:r>
      <w:r w:rsidR="00DC6520" w:rsidRPr="00DC6520">
        <w:rPr>
          <w:rFonts w:ascii="Times New Roman" w:hAnsi="Times New Roman" w:cs="Times New Roman"/>
          <w:sz w:val="24"/>
          <w:szCs w:val="24"/>
        </w:rPr>
        <w:t xml:space="preserve"> or may arise as a result of a circumstance mentioned in paragraph 37(1)(b), the </w:t>
      </w:r>
      <w:r w:rsidR="00B84F3E">
        <w:rPr>
          <w:rFonts w:ascii="Times New Roman" w:hAnsi="Times New Roman" w:cs="Times New Roman"/>
          <w:sz w:val="24"/>
          <w:szCs w:val="24"/>
        </w:rPr>
        <w:t xml:space="preserve">responsible Commonwealth </w:t>
      </w:r>
      <w:r w:rsidR="00DC6520" w:rsidRPr="00DC6520">
        <w:rPr>
          <w:rFonts w:ascii="Times New Roman" w:hAnsi="Times New Roman" w:cs="Times New Roman"/>
          <w:sz w:val="24"/>
          <w:szCs w:val="24"/>
        </w:rPr>
        <w:t>Minister must be able to require review of the approved site plan. The Minister’s capacity to ensure that all relevant matters have been considered in a site plan w</w:t>
      </w:r>
      <w:r w:rsidR="00DC6520">
        <w:rPr>
          <w:rFonts w:ascii="Times New Roman" w:hAnsi="Times New Roman" w:cs="Times New Roman"/>
          <w:sz w:val="24"/>
          <w:szCs w:val="24"/>
        </w:rPr>
        <w:t>ill</w:t>
      </w:r>
      <w:r w:rsidR="00DC6520" w:rsidRPr="00DC6520">
        <w:rPr>
          <w:rFonts w:ascii="Times New Roman" w:hAnsi="Times New Roman" w:cs="Times New Roman"/>
          <w:sz w:val="24"/>
          <w:szCs w:val="24"/>
        </w:rPr>
        <w:t xml:space="preserve"> be diminished if penalties for the licensee’s non-compliance were not significant.</w:t>
      </w:r>
    </w:p>
    <w:p w14:paraId="38E5BC07" w14:textId="208D2746" w:rsidR="00FA3820" w:rsidRPr="00420D8A" w:rsidRDefault="00FA3820" w:rsidP="00FA3820">
      <w:pPr>
        <w:rPr>
          <w:rFonts w:ascii="Times New Roman" w:hAnsi="Times New Roman" w:cs="Times New Roman"/>
          <w:sz w:val="24"/>
          <w:szCs w:val="24"/>
        </w:rPr>
      </w:pPr>
      <w:bookmarkStart w:id="17" w:name="_Hlk147992404"/>
      <w:r w:rsidRPr="00420D8A">
        <w:rPr>
          <w:rFonts w:ascii="Times New Roman" w:hAnsi="Times New Roman" w:cs="Times New Roman"/>
          <w:sz w:val="24"/>
          <w:szCs w:val="24"/>
        </w:rPr>
        <w:t xml:space="preserve">It is also appropriate to apply strict liability to the offence to </w:t>
      </w:r>
      <w:r>
        <w:rPr>
          <w:rFonts w:ascii="Times New Roman" w:hAnsi="Times New Roman" w:cs="Times New Roman"/>
          <w:sz w:val="24"/>
          <w:szCs w:val="24"/>
        </w:rPr>
        <w:t xml:space="preserve">promote compliance with the regulatory regime and </w:t>
      </w:r>
      <w:r w:rsidRPr="00420D8A">
        <w:rPr>
          <w:rFonts w:ascii="Times New Roman" w:hAnsi="Times New Roman" w:cs="Times New Roman"/>
          <w:sz w:val="24"/>
          <w:szCs w:val="24"/>
        </w:rPr>
        <w:t xml:space="preserve">ensure section </w:t>
      </w:r>
      <w:r w:rsidR="00436220">
        <w:rPr>
          <w:rFonts w:ascii="Times New Roman" w:hAnsi="Times New Roman" w:cs="Times New Roman"/>
          <w:sz w:val="24"/>
          <w:szCs w:val="24"/>
        </w:rPr>
        <w:t>37</w:t>
      </w:r>
      <w:r w:rsidRPr="00420D8A">
        <w:rPr>
          <w:rFonts w:ascii="Times New Roman" w:hAnsi="Times New Roman" w:cs="Times New Roman"/>
          <w:sz w:val="24"/>
          <w:szCs w:val="24"/>
        </w:rPr>
        <w:t xml:space="preserve"> can be effectively enforced</w:t>
      </w:r>
      <w:r w:rsidR="00436220">
        <w:rPr>
          <w:rFonts w:ascii="Times New Roman" w:hAnsi="Times New Roman" w:cs="Times New Roman"/>
          <w:sz w:val="24"/>
          <w:szCs w:val="24"/>
        </w:rPr>
        <w:t xml:space="preserve">, </w:t>
      </w:r>
      <w:r w:rsidR="001D5177">
        <w:rPr>
          <w:rFonts w:ascii="Times New Roman" w:hAnsi="Times New Roman" w:cs="Times New Roman"/>
          <w:sz w:val="24"/>
          <w:szCs w:val="24"/>
        </w:rPr>
        <w:t>particularly given the risks to containment of a GHG substance if a licensee carries on operations when an approved site plan is no longer suitable</w:t>
      </w:r>
      <w:r w:rsidRPr="00420D8A">
        <w:rPr>
          <w:rFonts w:ascii="Times New Roman" w:hAnsi="Times New Roman" w:cs="Times New Roman"/>
          <w:sz w:val="24"/>
          <w:szCs w:val="24"/>
        </w:rPr>
        <w:t xml:space="preserve">. </w:t>
      </w:r>
      <w:r w:rsidR="001D5177">
        <w:rPr>
          <w:rFonts w:ascii="Times New Roman" w:hAnsi="Times New Roman" w:cs="Times New Roman"/>
          <w:sz w:val="24"/>
          <w:szCs w:val="24"/>
        </w:rPr>
        <w:t>This is</w:t>
      </w:r>
      <w:r w:rsidR="001D5177" w:rsidRPr="00420D8A">
        <w:rPr>
          <w:rFonts w:ascii="Times New Roman" w:hAnsi="Times New Roman" w:cs="Times New Roman"/>
          <w:sz w:val="24"/>
          <w:szCs w:val="24"/>
        </w:rPr>
        <w:t xml:space="preserve"> consistent with the principles outlined in</w:t>
      </w:r>
      <w:r w:rsidR="001D5177">
        <w:rPr>
          <w:rFonts w:ascii="Times New Roman" w:hAnsi="Times New Roman" w:cs="Times New Roman"/>
          <w:sz w:val="24"/>
          <w:szCs w:val="24"/>
        </w:rPr>
        <w:t xml:space="preserve"> section 2.2.6 of the Guide</w:t>
      </w:r>
      <w:r w:rsidR="001D5177" w:rsidRPr="00420D8A">
        <w:rPr>
          <w:rFonts w:ascii="Times New Roman" w:hAnsi="Times New Roman" w:cs="Times New Roman"/>
          <w:sz w:val="24"/>
          <w:szCs w:val="24"/>
        </w:rPr>
        <w:t>. Given the remote and complex nature of offshore operations,</w:t>
      </w:r>
      <w:r w:rsidR="001D5177">
        <w:rPr>
          <w:rFonts w:ascii="Times New Roman" w:hAnsi="Times New Roman" w:cs="Times New Roman"/>
          <w:sz w:val="24"/>
          <w:szCs w:val="24"/>
        </w:rPr>
        <w:t xml:space="preserve"> and the prevalence of joint venture titleholder arrangements,</w:t>
      </w:r>
      <w:r w:rsidR="001D5177" w:rsidRPr="00420D8A">
        <w:rPr>
          <w:rFonts w:ascii="Times New Roman" w:hAnsi="Times New Roman" w:cs="Times New Roman"/>
          <w:sz w:val="24"/>
          <w:szCs w:val="24"/>
        </w:rPr>
        <w:t xml:space="preserve"> it can be extremely difficult to prove intent, and requiring that proof may make it impractical to enforce the regime. </w:t>
      </w:r>
      <w:r w:rsidR="001D5177">
        <w:rPr>
          <w:rFonts w:ascii="Times New Roman" w:hAnsi="Times New Roman" w:cs="Times New Roman"/>
          <w:sz w:val="24"/>
          <w:szCs w:val="24"/>
        </w:rPr>
        <w:t>A</w:t>
      </w:r>
      <w:r w:rsidR="001D5177" w:rsidRPr="00420D8A">
        <w:rPr>
          <w:rFonts w:ascii="Times New Roman" w:hAnsi="Times New Roman" w:cs="Times New Roman"/>
          <w:sz w:val="24"/>
          <w:szCs w:val="24"/>
        </w:rPr>
        <w:t xml:space="preserve"> GHG injection licensee is responsible for </w:t>
      </w:r>
      <w:r w:rsidR="001D5177">
        <w:rPr>
          <w:rFonts w:ascii="Times New Roman" w:hAnsi="Times New Roman" w:cs="Times New Roman"/>
          <w:sz w:val="24"/>
          <w:szCs w:val="24"/>
        </w:rPr>
        <w:t xml:space="preserve">reviewing and, if considered necessary, </w:t>
      </w:r>
      <w:r w:rsidR="001D5177" w:rsidRPr="00420D8A">
        <w:rPr>
          <w:rFonts w:ascii="Times New Roman" w:hAnsi="Times New Roman" w:cs="Times New Roman"/>
          <w:sz w:val="24"/>
          <w:szCs w:val="24"/>
        </w:rPr>
        <w:t xml:space="preserve">preparing </w:t>
      </w:r>
      <w:r w:rsidR="001D5177">
        <w:rPr>
          <w:rFonts w:ascii="Times New Roman" w:hAnsi="Times New Roman" w:cs="Times New Roman"/>
          <w:sz w:val="24"/>
          <w:szCs w:val="24"/>
        </w:rPr>
        <w:t xml:space="preserve">a variation of a </w:t>
      </w:r>
      <w:r w:rsidR="001D5177" w:rsidRPr="00420D8A">
        <w:rPr>
          <w:rFonts w:ascii="Times New Roman" w:hAnsi="Times New Roman" w:cs="Times New Roman"/>
          <w:sz w:val="24"/>
          <w:szCs w:val="24"/>
        </w:rPr>
        <w:t xml:space="preserve">site plan </w:t>
      </w:r>
      <w:r w:rsidR="001D5177">
        <w:rPr>
          <w:rFonts w:ascii="Times New Roman" w:hAnsi="Times New Roman" w:cs="Times New Roman"/>
          <w:sz w:val="24"/>
          <w:szCs w:val="24"/>
        </w:rPr>
        <w:t>for</w:t>
      </w:r>
      <w:r w:rsidR="001D5177" w:rsidRPr="00420D8A">
        <w:rPr>
          <w:rFonts w:ascii="Times New Roman" w:hAnsi="Times New Roman" w:cs="Times New Roman"/>
          <w:sz w:val="24"/>
          <w:szCs w:val="24"/>
        </w:rPr>
        <w:t xml:space="preserve"> approv</w:t>
      </w:r>
      <w:r w:rsidR="001D5177">
        <w:rPr>
          <w:rFonts w:ascii="Times New Roman" w:hAnsi="Times New Roman" w:cs="Times New Roman"/>
          <w:sz w:val="24"/>
          <w:szCs w:val="24"/>
        </w:rPr>
        <w:t>al</w:t>
      </w:r>
      <w:r w:rsidR="001D5177" w:rsidRPr="00420D8A">
        <w:rPr>
          <w:rFonts w:ascii="Times New Roman" w:hAnsi="Times New Roman" w:cs="Times New Roman"/>
          <w:sz w:val="24"/>
          <w:szCs w:val="24"/>
        </w:rPr>
        <w:t xml:space="preserve"> by the </w:t>
      </w:r>
      <w:r w:rsidR="00B84F3E">
        <w:rPr>
          <w:rFonts w:ascii="Times New Roman" w:hAnsi="Times New Roman" w:cs="Times New Roman"/>
          <w:sz w:val="24"/>
          <w:szCs w:val="24"/>
        </w:rPr>
        <w:t xml:space="preserve">responsible Commonwealth </w:t>
      </w:r>
      <w:r w:rsidR="001D5177" w:rsidRPr="00420D8A">
        <w:rPr>
          <w:rFonts w:ascii="Times New Roman" w:hAnsi="Times New Roman" w:cs="Times New Roman"/>
          <w:sz w:val="24"/>
          <w:szCs w:val="24"/>
        </w:rPr>
        <w:t>Minister</w:t>
      </w:r>
      <w:r w:rsidR="001D5177">
        <w:rPr>
          <w:rFonts w:ascii="Times New Roman" w:hAnsi="Times New Roman" w:cs="Times New Roman"/>
          <w:sz w:val="24"/>
          <w:szCs w:val="24"/>
        </w:rPr>
        <w:t xml:space="preserve">. </w:t>
      </w:r>
      <w:r>
        <w:rPr>
          <w:rFonts w:ascii="Times New Roman" w:hAnsi="Times New Roman" w:cs="Times New Roman"/>
          <w:sz w:val="24"/>
          <w:szCs w:val="24"/>
        </w:rPr>
        <w:t>The</w:t>
      </w:r>
      <w:r w:rsidR="007D79A7">
        <w:rPr>
          <w:rFonts w:ascii="Times New Roman" w:hAnsi="Times New Roman" w:cs="Times New Roman"/>
          <w:sz w:val="24"/>
          <w:szCs w:val="24"/>
        </w:rPr>
        <w:t xml:space="preserve"> licensee</w:t>
      </w:r>
      <w:r>
        <w:rPr>
          <w:rFonts w:ascii="Times New Roman" w:hAnsi="Times New Roman" w:cs="Times New Roman"/>
          <w:sz w:val="24"/>
          <w:szCs w:val="24"/>
        </w:rPr>
        <w:t xml:space="preserve"> would </w:t>
      </w:r>
      <w:r w:rsidRPr="00420D8A">
        <w:rPr>
          <w:rFonts w:ascii="Times New Roman" w:hAnsi="Times New Roman" w:cs="Times New Roman"/>
          <w:sz w:val="24"/>
          <w:szCs w:val="24"/>
        </w:rPr>
        <w:t>be aware of the</w:t>
      </w:r>
      <w:r w:rsidR="001D5177">
        <w:rPr>
          <w:rFonts w:ascii="Times New Roman" w:hAnsi="Times New Roman" w:cs="Times New Roman"/>
          <w:sz w:val="24"/>
          <w:szCs w:val="24"/>
        </w:rPr>
        <w:t>ir obligations in relation to an approved site plan</w:t>
      </w:r>
      <w:r w:rsidR="00DC4292" w:rsidRPr="00CE51C2">
        <w:rPr>
          <w:rFonts w:ascii="Times New Roman" w:hAnsi="Times New Roman" w:cs="Times New Roman"/>
          <w:sz w:val="24"/>
          <w:szCs w:val="24"/>
        </w:rPr>
        <w:t xml:space="preserve"> </w:t>
      </w:r>
      <w:bookmarkStart w:id="18" w:name="_Hlk146803829"/>
      <w:r w:rsidR="00DC4292" w:rsidRPr="00CE51C2">
        <w:rPr>
          <w:rFonts w:ascii="Times New Roman" w:hAnsi="Times New Roman" w:cs="Times New Roman"/>
          <w:sz w:val="24"/>
          <w:szCs w:val="24"/>
        </w:rPr>
        <w:t xml:space="preserve">and of the need to have an up to date and </w:t>
      </w:r>
      <w:r w:rsidR="001D5177" w:rsidRPr="00CE51C2">
        <w:rPr>
          <w:rFonts w:ascii="Times New Roman" w:hAnsi="Times New Roman" w:cs="Times New Roman"/>
          <w:sz w:val="24"/>
          <w:szCs w:val="24"/>
        </w:rPr>
        <w:t>suitable</w:t>
      </w:r>
      <w:r w:rsidR="00DC4292" w:rsidRPr="00CE51C2">
        <w:rPr>
          <w:rFonts w:ascii="Times New Roman" w:hAnsi="Times New Roman" w:cs="Times New Roman"/>
          <w:sz w:val="24"/>
          <w:szCs w:val="24"/>
        </w:rPr>
        <w:t xml:space="preserve"> site plan </w:t>
      </w:r>
      <w:r w:rsidR="007D79A7" w:rsidRPr="00CE51C2">
        <w:rPr>
          <w:rFonts w:ascii="Times New Roman" w:hAnsi="Times New Roman" w:cs="Times New Roman"/>
          <w:sz w:val="24"/>
          <w:szCs w:val="24"/>
        </w:rPr>
        <w:t>to authorise</w:t>
      </w:r>
      <w:r w:rsidR="00DC4292" w:rsidRPr="00CE51C2">
        <w:rPr>
          <w:rFonts w:ascii="Times New Roman" w:hAnsi="Times New Roman" w:cs="Times New Roman"/>
          <w:sz w:val="24"/>
          <w:szCs w:val="24"/>
        </w:rPr>
        <w:t xml:space="preserve"> their operations</w:t>
      </w:r>
      <w:bookmarkEnd w:id="18"/>
      <w:r w:rsidR="00436220" w:rsidRPr="00CE51C2">
        <w:rPr>
          <w:rFonts w:ascii="Times New Roman" w:hAnsi="Times New Roman" w:cs="Times New Roman"/>
          <w:sz w:val="24"/>
          <w:szCs w:val="24"/>
        </w:rPr>
        <w:t>.</w:t>
      </w:r>
      <w:r w:rsidR="00436220" w:rsidRPr="00420D8A">
        <w:rPr>
          <w:rFonts w:ascii="Times New Roman" w:hAnsi="Times New Roman" w:cs="Times New Roman"/>
          <w:sz w:val="24"/>
          <w:szCs w:val="24"/>
        </w:rPr>
        <w:t xml:space="preserve"> </w:t>
      </w:r>
      <w:bookmarkStart w:id="19" w:name="_Hlk146803153"/>
      <w:r w:rsidR="00CE51C2" w:rsidRPr="00CE51C2">
        <w:rPr>
          <w:rFonts w:ascii="Times New Roman" w:hAnsi="Times New Roman" w:cs="Times New Roman"/>
          <w:sz w:val="24"/>
          <w:szCs w:val="24"/>
        </w:rPr>
        <w:t>If one of the circumstances in paragraph 37(1)(b) applies, the site plan may no longer be appropriate</w:t>
      </w:r>
      <w:r w:rsidR="00CE51C2">
        <w:rPr>
          <w:rFonts w:ascii="Times New Roman" w:hAnsi="Times New Roman" w:cs="Times New Roman"/>
          <w:sz w:val="24"/>
          <w:szCs w:val="24"/>
        </w:rPr>
        <w:t>. I</w:t>
      </w:r>
      <w:r w:rsidR="00CE51C2" w:rsidRPr="00CE51C2">
        <w:rPr>
          <w:rFonts w:ascii="Times New Roman" w:hAnsi="Times New Roman" w:cs="Times New Roman"/>
          <w:sz w:val="24"/>
          <w:szCs w:val="24"/>
        </w:rPr>
        <w:t xml:space="preserve">t is therefore of significant importance that the plan </w:t>
      </w:r>
      <w:r w:rsidR="00CE51C2">
        <w:rPr>
          <w:rFonts w:ascii="Times New Roman" w:hAnsi="Times New Roman" w:cs="Times New Roman"/>
          <w:sz w:val="24"/>
          <w:szCs w:val="24"/>
        </w:rPr>
        <w:t>is</w:t>
      </w:r>
      <w:r w:rsidR="00CE51C2" w:rsidRPr="00CE51C2">
        <w:rPr>
          <w:rFonts w:ascii="Times New Roman" w:hAnsi="Times New Roman" w:cs="Times New Roman"/>
          <w:sz w:val="24"/>
          <w:szCs w:val="24"/>
        </w:rPr>
        <w:t xml:space="preserve"> reviewed if requested by the responsible Commonwealth Minister. </w:t>
      </w:r>
      <w:r w:rsidR="0075140A">
        <w:rPr>
          <w:rFonts w:ascii="Times New Roman" w:hAnsi="Times New Roman" w:cs="Times New Roman"/>
          <w:sz w:val="24"/>
          <w:szCs w:val="24"/>
        </w:rPr>
        <w:t xml:space="preserve">The licensee would also be aware that a licence is granted on the </w:t>
      </w:r>
      <w:r w:rsidR="0075140A">
        <w:rPr>
          <w:rFonts w:ascii="Times New Roman" w:hAnsi="Times New Roman" w:cs="Times New Roman"/>
          <w:sz w:val="24"/>
          <w:szCs w:val="24"/>
        </w:rPr>
        <w:lastRenderedPageBreak/>
        <w:t xml:space="preserve">understanding that licensees will take all reasonable steps to ensure that regulatory obligations are complied with, noting the high-hazard nature of operations, and that tenure </w:t>
      </w:r>
      <w:r w:rsidR="00D542C2">
        <w:rPr>
          <w:rFonts w:ascii="Times New Roman" w:hAnsi="Times New Roman" w:cs="Times New Roman"/>
          <w:sz w:val="24"/>
          <w:szCs w:val="24"/>
        </w:rPr>
        <w:t xml:space="preserve">over the relevant licence area </w:t>
      </w:r>
      <w:r w:rsidR="0075140A">
        <w:rPr>
          <w:rFonts w:ascii="Times New Roman" w:hAnsi="Times New Roman" w:cs="Times New Roman"/>
          <w:sz w:val="24"/>
          <w:szCs w:val="24"/>
        </w:rPr>
        <w:t xml:space="preserve">is granted to the </w:t>
      </w:r>
      <w:r w:rsidR="00D542C2">
        <w:rPr>
          <w:rFonts w:ascii="Times New Roman" w:hAnsi="Times New Roman" w:cs="Times New Roman"/>
          <w:sz w:val="24"/>
          <w:szCs w:val="24"/>
        </w:rPr>
        <w:t>licensee</w:t>
      </w:r>
      <w:r w:rsidR="0075140A">
        <w:rPr>
          <w:rFonts w:ascii="Times New Roman" w:hAnsi="Times New Roman" w:cs="Times New Roman"/>
          <w:sz w:val="24"/>
          <w:szCs w:val="24"/>
        </w:rPr>
        <w:t xml:space="preserve"> </w:t>
      </w:r>
      <w:r w:rsidR="00D542C2">
        <w:rPr>
          <w:rFonts w:ascii="Times New Roman" w:hAnsi="Times New Roman" w:cs="Times New Roman"/>
          <w:sz w:val="24"/>
          <w:szCs w:val="24"/>
        </w:rPr>
        <w:t>based on</w:t>
      </w:r>
      <w:r w:rsidR="0075140A">
        <w:rPr>
          <w:rFonts w:ascii="Times New Roman" w:hAnsi="Times New Roman" w:cs="Times New Roman"/>
          <w:sz w:val="24"/>
          <w:szCs w:val="24"/>
        </w:rPr>
        <w:t xml:space="preserve"> factors such as their capacity</w:t>
      </w:r>
      <w:r w:rsidR="00735BB1">
        <w:rPr>
          <w:rFonts w:ascii="Times New Roman" w:hAnsi="Times New Roman" w:cs="Times New Roman"/>
          <w:sz w:val="24"/>
          <w:szCs w:val="24"/>
        </w:rPr>
        <w:t xml:space="preserve"> to undertake safe and sustainable operations</w:t>
      </w:r>
      <w:r w:rsidR="0075140A">
        <w:rPr>
          <w:rFonts w:ascii="Times New Roman" w:hAnsi="Times New Roman" w:cs="Times New Roman"/>
          <w:sz w:val="24"/>
          <w:szCs w:val="24"/>
        </w:rPr>
        <w:t xml:space="preserve">. </w:t>
      </w:r>
      <w:bookmarkEnd w:id="19"/>
      <w:r w:rsidRPr="00420D8A">
        <w:rPr>
          <w:rFonts w:ascii="Times New Roman" w:hAnsi="Times New Roman" w:cs="Times New Roman"/>
          <w:sz w:val="24"/>
          <w:szCs w:val="24"/>
        </w:rPr>
        <w:t>If there is an honest and reasonable mistake of fact</w:t>
      </w:r>
      <w:r>
        <w:rPr>
          <w:rFonts w:ascii="Times New Roman" w:hAnsi="Times New Roman" w:cs="Times New Roman"/>
          <w:sz w:val="24"/>
          <w:szCs w:val="24"/>
        </w:rPr>
        <w:t xml:space="preserve"> on the licensee’s part</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this may be </w:t>
      </w:r>
      <w:r w:rsidRPr="00420D8A">
        <w:rPr>
          <w:rFonts w:ascii="Times New Roman" w:hAnsi="Times New Roman" w:cs="Times New Roman"/>
          <w:sz w:val="24"/>
          <w:szCs w:val="24"/>
        </w:rPr>
        <w:t>raise</w:t>
      </w:r>
      <w:r>
        <w:rPr>
          <w:rFonts w:ascii="Times New Roman" w:hAnsi="Times New Roman" w:cs="Times New Roman"/>
          <w:sz w:val="24"/>
          <w:szCs w:val="24"/>
        </w:rPr>
        <w:t>d</w:t>
      </w:r>
      <w:r w:rsidRPr="00420D8A">
        <w:rPr>
          <w:rFonts w:ascii="Times New Roman" w:hAnsi="Times New Roman" w:cs="Times New Roman"/>
          <w:sz w:val="24"/>
          <w:szCs w:val="24"/>
        </w:rPr>
        <w:t xml:space="preserve"> in defence to a prosecution.</w:t>
      </w:r>
    </w:p>
    <w:bookmarkEnd w:id="17"/>
    <w:p w14:paraId="0750FCF6" w14:textId="27A5DBE7" w:rsidR="0075140A" w:rsidRDefault="008C6141" w:rsidP="00FA3820">
      <w:pPr>
        <w:rPr>
          <w:rFonts w:ascii="Times New Roman" w:hAnsi="Times New Roman" w:cs="Times New Roman"/>
          <w:sz w:val="24"/>
          <w:szCs w:val="24"/>
        </w:rPr>
      </w:pPr>
      <w:r>
        <w:rPr>
          <w:rFonts w:ascii="Times New Roman" w:hAnsi="Times New Roman" w:cs="Times New Roman"/>
          <w:sz w:val="24"/>
          <w:szCs w:val="24"/>
        </w:rPr>
        <w:t>As discussed above in relation to section 22, a</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maximum </w:t>
      </w:r>
      <w:r w:rsidRPr="00420D8A">
        <w:rPr>
          <w:rFonts w:ascii="Times New Roman" w:hAnsi="Times New Roman" w:cs="Times New Roman"/>
          <w:sz w:val="24"/>
          <w:szCs w:val="24"/>
        </w:rPr>
        <w:t xml:space="preserve">penalty </w:t>
      </w:r>
      <w:r>
        <w:rPr>
          <w:rFonts w:ascii="Times New Roman" w:hAnsi="Times New Roman" w:cs="Times New Roman"/>
          <w:sz w:val="24"/>
          <w:szCs w:val="24"/>
        </w:rPr>
        <w:t xml:space="preserve">of 100 PU </w:t>
      </w:r>
      <w:r w:rsidRPr="00420D8A">
        <w:rPr>
          <w:rFonts w:ascii="Times New Roman" w:hAnsi="Times New Roman" w:cs="Times New Roman"/>
          <w:sz w:val="24"/>
          <w:szCs w:val="24"/>
        </w:rPr>
        <w:t xml:space="preserve">is authorised by section 790 of the OPGGS Act. </w:t>
      </w:r>
      <w:r w:rsidR="00FA3820" w:rsidRPr="00420D8A">
        <w:rPr>
          <w:rFonts w:ascii="Times New Roman" w:hAnsi="Times New Roman" w:cs="Times New Roman"/>
          <w:sz w:val="24"/>
          <w:szCs w:val="24"/>
        </w:rPr>
        <w:t xml:space="preserve">The maximum penalty of 100 </w:t>
      </w:r>
      <w:r w:rsidR="00A4117B">
        <w:rPr>
          <w:rFonts w:ascii="Times New Roman" w:hAnsi="Times New Roman" w:cs="Times New Roman"/>
          <w:sz w:val="24"/>
          <w:szCs w:val="24"/>
        </w:rPr>
        <w:t>PU</w:t>
      </w:r>
      <w:r w:rsidR="00FA3820" w:rsidRPr="00420D8A">
        <w:rPr>
          <w:rFonts w:ascii="Times New Roman" w:hAnsi="Times New Roman" w:cs="Times New Roman"/>
          <w:sz w:val="24"/>
          <w:szCs w:val="24"/>
        </w:rPr>
        <w:t xml:space="preserve"> is appropriate, </w:t>
      </w:r>
      <w:r w:rsidR="00FA3820">
        <w:rPr>
          <w:rFonts w:ascii="Times New Roman" w:hAnsi="Times New Roman" w:cs="Times New Roman"/>
          <w:sz w:val="24"/>
          <w:szCs w:val="24"/>
        </w:rPr>
        <w:t xml:space="preserve">noting that it </w:t>
      </w:r>
      <w:r w:rsidR="00FA3820" w:rsidRPr="00420D8A">
        <w:rPr>
          <w:rFonts w:ascii="Times New Roman" w:hAnsi="Times New Roman" w:cs="Times New Roman"/>
          <w:sz w:val="24"/>
          <w:szCs w:val="24"/>
        </w:rPr>
        <w:t xml:space="preserve">is higher than the preference stated in the Guide for a maximum of 60 </w:t>
      </w:r>
      <w:r w:rsidR="00A4117B">
        <w:rPr>
          <w:rFonts w:ascii="Times New Roman" w:hAnsi="Times New Roman" w:cs="Times New Roman"/>
          <w:sz w:val="24"/>
          <w:szCs w:val="24"/>
        </w:rPr>
        <w:t>PU</w:t>
      </w:r>
      <w:r w:rsidR="00FA3820" w:rsidRPr="00420D8A">
        <w:rPr>
          <w:rFonts w:ascii="Times New Roman" w:hAnsi="Times New Roman" w:cs="Times New Roman"/>
          <w:sz w:val="24"/>
          <w:szCs w:val="24"/>
        </w:rPr>
        <w:t xml:space="preserve"> for an individual (300 </w:t>
      </w:r>
      <w:r w:rsidR="00A4117B">
        <w:rPr>
          <w:rFonts w:ascii="Times New Roman" w:hAnsi="Times New Roman" w:cs="Times New Roman"/>
          <w:sz w:val="24"/>
          <w:szCs w:val="24"/>
        </w:rPr>
        <w:t>PU</w:t>
      </w:r>
      <w:r w:rsidR="00FA3820" w:rsidRPr="00420D8A">
        <w:rPr>
          <w:rFonts w:ascii="Times New Roman" w:hAnsi="Times New Roman" w:cs="Times New Roman"/>
          <w:sz w:val="24"/>
          <w:szCs w:val="24"/>
        </w:rPr>
        <w:t xml:space="preserve"> for a body corporate) for strict liability offences. </w:t>
      </w:r>
      <w:r w:rsidR="003C5EB6">
        <w:rPr>
          <w:rFonts w:ascii="Times New Roman" w:hAnsi="Times New Roman" w:cs="Times New Roman"/>
          <w:sz w:val="24"/>
          <w:szCs w:val="24"/>
        </w:rPr>
        <w:t>O</w:t>
      </w:r>
      <w:r w:rsidR="00FA3820" w:rsidRPr="00420D8A">
        <w:rPr>
          <w:rFonts w:ascii="Times New Roman" w:hAnsi="Times New Roman" w:cs="Times New Roman"/>
          <w:sz w:val="24"/>
          <w:szCs w:val="24"/>
        </w:rPr>
        <w:t xml:space="preserve">ffshore </w:t>
      </w:r>
      <w:r w:rsidR="00FA3820">
        <w:rPr>
          <w:rFonts w:ascii="Times New Roman" w:hAnsi="Times New Roman" w:cs="Times New Roman"/>
          <w:sz w:val="24"/>
          <w:szCs w:val="24"/>
        </w:rPr>
        <w:t>operations</w:t>
      </w:r>
      <w:r w:rsidR="00FA3820" w:rsidRPr="00420D8A">
        <w:rPr>
          <w:rFonts w:ascii="Times New Roman" w:hAnsi="Times New Roman" w:cs="Times New Roman"/>
          <w:sz w:val="24"/>
          <w:szCs w:val="24"/>
        </w:rPr>
        <w:t xml:space="preserve"> require </w:t>
      </w:r>
      <w:r w:rsidR="00F32112">
        <w:rPr>
          <w:rFonts w:ascii="Times New Roman" w:hAnsi="Times New Roman" w:cs="Times New Roman"/>
          <w:sz w:val="24"/>
          <w:szCs w:val="24"/>
        </w:rPr>
        <w:t xml:space="preserve">a very high level of expenditure, and therefore licensees are </w:t>
      </w:r>
      <w:r w:rsidR="003C5EB6">
        <w:rPr>
          <w:rFonts w:ascii="Times New Roman" w:hAnsi="Times New Roman" w:cs="Times New Roman"/>
          <w:sz w:val="24"/>
          <w:szCs w:val="24"/>
        </w:rPr>
        <w:t>well</w:t>
      </w:r>
      <w:r w:rsidR="00C60F15">
        <w:rPr>
          <w:rFonts w:ascii="Times New Roman" w:hAnsi="Times New Roman" w:cs="Times New Roman"/>
          <w:sz w:val="24"/>
          <w:szCs w:val="24"/>
        </w:rPr>
        <w:noBreakHyphen/>
      </w:r>
      <w:r w:rsidR="003C5EB6">
        <w:rPr>
          <w:rFonts w:ascii="Times New Roman" w:hAnsi="Times New Roman" w:cs="Times New Roman"/>
          <w:sz w:val="24"/>
          <w:szCs w:val="24"/>
        </w:rPr>
        <w:t>resourced</w:t>
      </w:r>
      <w:r w:rsidR="00F32112">
        <w:rPr>
          <w:rFonts w:ascii="Times New Roman" w:hAnsi="Times New Roman" w:cs="Times New Roman"/>
          <w:sz w:val="24"/>
          <w:szCs w:val="24"/>
        </w:rPr>
        <w:t>, sophisticated entities</w:t>
      </w:r>
      <w:r w:rsidR="003C5EB6">
        <w:rPr>
          <w:rFonts w:ascii="Times New Roman" w:hAnsi="Times New Roman" w:cs="Times New Roman"/>
          <w:sz w:val="24"/>
          <w:szCs w:val="24"/>
        </w:rPr>
        <w:t>.</w:t>
      </w:r>
      <w:r w:rsidR="00F32112">
        <w:rPr>
          <w:rFonts w:ascii="Times New Roman" w:hAnsi="Times New Roman" w:cs="Times New Roman"/>
          <w:sz w:val="24"/>
          <w:szCs w:val="24"/>
        </w:rPr>
        <w:t xml:space="preserve"> In this context, a smaller penalty for a significant offence would not be sufficient to appropriately punish the offending conduct.</w:t>
      </w:r>
      <w:r w:rsidR="003C5EB6">
        <w:rPr>
          <w:rFonts w:ascii="Times New Roman" w:hAnsi="Times New Roman" w:cs="Times New Roman"/>
          <w:sz w:val="24"/>
          <w:szCs w:val="24"/>
        </w:rPr>
        <w:t xml:space="preserve"> Non</w:t>
      </w:r>
      <w:r w:rsidR="00C60F15">
        <w:rPr>
          <w:rFonts w:ascii="Times New Roman" w:hAnsi="Times New Roman" w:cs="Times New Roman"/>
          <w:sz w:val="24"/>
          <w:szCs w:val="24"/>
        </w:rPr>
        <w:noBreakHyphen/>
      </w:r>
      <w:r w:rsidR="003C5EB6">
        <w:rPr>
          <w:rFonts w:ascii="Times New Roman" w:hAnsi="Times New Roman" w:cs="Times New Roman"/>
          <w:sz w:val="24"/>
          <w:szCs w:val="24"/>
        </w:rPr>
        <w:t xml:space="preserve">compliance with a </w:t>
      </w:r>
      <w:r w:rsidR="00F32112">
        <w:rPr>
          <w:rFonts w:ascii="Times New Roman" w:hAnsi="Times New Roman" w:cs="Times New Roman"/>
          <w:sz w:val="24"/>
          <w:szCs w:val="24"/>
        </w:rPr>
        <w:t>M</w:t>
      </w:r>
      <w:r w:rsidR="003C5EB6">
        <w:rPr>
          <w:rFonts w:ascii="Times New Roman" w:hAnsi="Times New Roman" w:cs="Times New Roman"/>
          <w:sz w:val="24"/>
          <w:szCs w:val="24"/>
        </w:rPr>
        <w:t>inisterial request to review a site plan would undermine the regulatory regime</w:t>
      </w:r>
      <w:r w:rsidR="00FA3820">
        <w:rPr>
          <w:rFonts w:ascii="Times New Roman" w:hAnsi="Times New Roman" w:cs="Times New Roman"/>
          <w:sz w:val="24"/>
          <w:szCs w:val="24"/>
        </w:rPr>
        <w:t>.</w:t>
      </w:r>
      <w:r w:rsidR="00436220">
        <w:rPr>
          <w:rFonts w:ascii="Times New Roman" w:hAnsi="Times New Roman" w:cs="Times New Roman"/>
          <w:sz w:val="24"/>
          <w:szCs w:val="24"/>
        </w:rPr>
        <w:t xml:space="preserve"> </w:t>
      </w:r>
      <w:r w:rsidR="0075140A">
        <w:rPr>
          <w:rFonts w:ascii="Times New Roman" w:hAnsi="Times New Roman" w:cs="Times New Roman"/>
          <w:sz w:val="24"/>
          <w:szCs w:val="24"/>
        </w:rPr>
        <w:t xml:space="preserve">For example, the request to review a plan may be in response to a specific issue. If the plan is not reviewed in response to a request, the effect may be </w:t>
      </w:r>
      <w:proofErr w:type="gramStart"/>
      <w:r w:rsidR="0075140A">
        <w:rPr>
          <w:rFonts w:ascii="Times New Roman" w:hAnsi="Times New Roman" w:cs="Times New Roman"/>
          <w:sz w:val="24"/>
          <w:szCs w:val="24"/>
        </w:rPr>
        <w:t>similar to</w:t>
      </w:r>
      <w:proofErr w:type="gramEnd"/>
      <w:r w:rsidR="0075140A">
        <w:rPr>
          <w:rFonts w:ascii="Times New Roman" w:hAnsi="Times New Roman" w:cs="Times New Roman"/>
          <w:sz w:val="24"/>
          <w:szCs w:val="24"/>
        </w:rPr>
        <w:t xml:space="preserve"> not having a site plan in force in relation to that particular matter. There may be significant consequences in relation to containment of a GHG</w:t>
      </w:r>
      <w:r>
        <w:rPr>
          <w:rFonts w:ascii="Times New Roman" w:hAnsi="Times New Roman" w:cs="Times New Roman"/>
          <w:sz w:val="24"/>
          <w:szCs w:val="24"/>
        </w:rPr>
        <w:t> </w:t>
      </w:r>
      <w:r w:rsidR="0075140A">
        <w:rPr>
          <w:rFonts w:ascii="Times New Roman" w:hAnsi="Times New Roman" w:cs="Times New Roman"/>
          <w:sz w:val="24"/>
          <w:szCs w:val="24"/>
        </w:rPr>
        <w:t xml:space="preserve">substance in an identified GHG storage formation that result from the failure of a </w:t>
      </w:r>
      <w:r w:rsidR="00D542C2">
        <w:rPr>
          <w:rFonts w:ascii="Times New Roman" w:hAnsi="Times New Roman" w:cs="Times New Roman"/>
          <w:sz w:val="24"/>
          <w:szCs w:val="24"/>
        </w:rPr>
        <w:t xml:space="preserve">licensee to revise a </w:t>
      </w:r>
      <w:r w:rsidR="0075140A">
        <w:rPr>
          <w:rFonts w:ascii="Times New Roman" w:hAnsi="Times New Roman" w:cs="Times New Roman"/>
          <w:sz w:val="24"/>
          <w:szCs w:val="24"/>
        </w:rPr>
        <w:t xml:space="preserve">plan to consider and set out how to manage that matter. </w:t>
      </w:r>
    </w:p>
    <w:p w14:paraId="220010BA" w14:textId="6E2B3A6C" w:rsidR="006D2EFF" w:rsidRPr="003E4855" w:rsidRDefault="006D2EFF" w:rsidP="006D2EFF">
      <w:pPr>
        <w:rPr>
          <w:rFonts w:ascii="Times New Roman" w:hAnsi="Times New Roman" w:cs="Times New Roman"/>
          <w:sz w:val="24"/>
          <w:szCs w:val="24"/>
        </w:rPr>
      </w:pPr>
      <w:r>
        <w:rPr>
          <w:rFonts w:ascii="Times New Roman" w:hAnsi="Times New Roman" w:cs="Times New Roman"/>
          <w:sz w:val="24"/>
          <w:szCs w:val="24"/>
        </w:rPr>
        <w:t>The offence provision has been included in the GHG Regulations, rather than the OPGGS</w:t>
      </w:r>
      <w:r w:rsidR="00AB4FB8">
        <w:rPr>
          <w:rFonts w:ascii="Times New Roman" w:hAnsi="Times New Roman" w:cs="Times New Roman"/>
          <w:sz w:val="24"/>
          <w:szCs w:val="24"/>
        </w:rPr>
        <w:t> </w:t>
      </w:r>
      <w:r>
        <w:rPr>
          <w:rFonts w:ascii="Times New Roman" w:hAnsi="Times New Roman" w:cs="Times New Roman"/>
          <w:sz w:val="24"/>
          <w:szCs w:val="24"/>
        </w:rPr>
        <w:t xml:space="preserve">Act, despite the relatively high penalties that may be imposed for non-compliance. The OPGGS Act sets out a range of regulation-making powers to prescribe matters in relation to GHG injection and storage. This includes subsection 457(6) of the OPGGS Act, which states that the regulations may make provision for and in relation to the variation of approved site plans. Section 37 of the GHG Regulations is made for the purposes of subsection 457(6) of the OPGGS Act. It is considered that setting out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provisions (including enforcement provisions) in one instrument provides greater clarity to licensees, rather than including the substantive provisions in the regulations, and matters relating to enforcement of those provisions in the OPGGS Act.  </w:t>
      </w:r>
    </w:p>
    <w:p w14:paraId="59C2C1D1" w14:textId="5E5A4CED" w:rsidR="00A4117B" w:rsidRPr="00FA7784" w:rsidRDefault="00A4117B" w:rsidP="00A4117B">
      <w:pPr>
        <w:rPr>
          <w:rFonts w:ascii="Times New Roman" w:hAnsi="Times New Roman" w:cs="Times New Roman"/>
          <w:sz w:val="24"/>
          <w:szCs w:val="24"/>
        </w:rPr>
      </w:pPr>
      <w:r>
        <w:rPr>
          <w:rFonts w:ascii="Times New Roman" w:hAnsi="Times New Roman" w:cs="Times New Roman"/>
          <w:sz w:val="24"/>
          <w:szCs w:val="24"/>
        </w:rPr>
        <w:t xml:space="preserve">Subsection 37(5) is a continuing offence under section 4K of the </w:t>
      </w:r>
      <w:r>
        <w:rPr>
          <w:rFonts w:ascii="Times New Roman" w:hAnsi="Times New Roman" w:cs="Times New Roman"/>
          <w:i/>
          <w:iCs/>
          <w:sz w:val="24"/>
          <w:szCs w:val="24"/>
        </w:rPr>
        <w:t>Crimes Act 1914</w:t>
      </w:r>
      <w:r>
        <w:rPr>
          <w:rFonts w:ascii="Times New Roman" w:hAnsi="Times New Roman" w:cs="Times New Roman"/>
          <w:sz w:val="24"/>
          <w:szCs w:val="24"/>
        </w:rPr>
        <w:t>. Section 62 of the GHG Regulations sets out that the maximum penalty for each day that an offence under subsection 37(5) continues is 10% of the maximum penalty that can be imposed in respect of that offence.</w:t>
      </w:r>
    </w:p>
    <w:p w14:paraId="42FA7956" w14:textId="77777777" w:rsidR="00F32112" w:rsidRDefault="00F32112" w:rsidP="008A7FC6">
      <w:pPr>
        <w:rPr>
          <w:rFonts w:ascii="Times New Roman" w:hAnsi="Times New Roman" w:cs="Times New Roman"/>
          <w:sz w:val="24"/>
          <w:szCs w:val="24"/>
        </w:rPr>
      </w:pPr>
      <w:r>
        <w:rPr>
          <w:rFonts w:ascii="Times New Roman" w:hAnsi="Times New Roman" w:cs="Times New Roman"/>
          <w:sz w:val="24"/>
          <w:szCs w:val="24"/>
          <w:shd w:val="clear" w:color="auto" w:fill="FFFFFF"/>
        </w:rPr>
        <w:t>The licensee is also liable to a civil penalty of 1,000 PU for a failure to comply with subsection 37(3). As noted above, o</w:t>
      </w:r>
      <w:r w:rsidRPr="00420D8A">
        <w:rPr>
          <w:rFonts w:ascii="Times New Roman" w:hAnsi="Times New Roman" w:cs="Times New Roman"/>
          <w:sz w:val="24"/>
          <w:szCs w:val="24"/>
        </w:rPr>
        <w:t xml:space="preserve">ffshore </w:t>
      </w:r>
      <w:r>
        <w:rPr>
          <w:rFonts w:ascii="Times New Roman" w:hAnsi="Times New Roman" w:cs="Times New Roman"/>
          <w:sz w:val="24"/>
          <w:szCs w:val="24"/>
        </w:rPr>
        <w:t>operations</w:t>
      </w:r>
      <w:r w:rsidRPr="00420D8A">
        <w:rPr>
          <w:rFonts w:ascii="Times New Roman" w:hAnsi="Times New Roman" w:cs="Times New Roman"/>
          <w:sz w:val="24"/>
          <w:szCs w:val="24"/>
        </w:rPr>
        <w:t xml:space="preserve"> require a very high level of expenditure</w:t>
      </w:r>
      <w:r>
        <w:rPr>
          <w:rFonts w:ascii="Times New Roman" w:hAnsi="Times New Roman" w:cs="Times New Roman"/>
          <w:sz w:val="24"/>
          <w:szCs w:val="24"/>
        </w:rPr>
        <w:t>, and therefore licensees are well-resourced, sophisticated entities.</w:t>
      </w:r>
      <w:r w:rsidR="00FA3820">
        <w:rPr>
          <w:rFonts w:ascii="Times New Roman" w:hAnsi="Times New Roman" w:cs="Times New Roman"/>
          <w:sz w:val="24"/>
          <w:szCs w:val="24"/>
          <w:shd w:val="clear" w:color="auto" w:fill="FFFFFF"/>
        </w:rPr>
        <w:t xml:space="preserve"> To be an effective deterrent</w:t>
      </w:r>
      <w:r>
        <w:rPr>
          <w:rFonts w:ascii="Times New Roman" w:hAnsi="Times New Roman" w:cs="Times New Roman"/>
          <w:sz w:val="24"/>
          <w:szCs w:val="24"/>
          <w:shd w:val="clear" w:color="auto" w:fill="FFFFFF"/>
        </w:rPr>
        <w:t>,</w:t>
      </w:r>
      <w:r w:rsidR="00FA3820">
        <w:rPr>
          <w:rFonts w:ascii="Times New Roman" w:hAnsi="Times New Roman" w:cs="Times New Roman"/>
          <w:sz w:val="24"/>
          <w:szCs w:val="24"/>
          <w:shd w:val="clear" w:color="auto" w:fill="FFFFFF"/>
        </w:rPr>
        <w:t xml:space="preserve"> the penalty must be sufficiently significant to overcome any sense that the potential imposition of a fine for non-compliance might otherwise be perceived as a ‘cost of doing </w:t>
      </w:r>
      <w:proofErr w:type="gramStart"/>
      <w:r w:rsidR="00FA3820">
        <w:rPr>
          <w:rFonts w:ascii="Times New Roman" w:hAnsi="Times New Roman" w:cs="Times New Roman"/>
          <w:sz w:val="24"/>
          <w:szCs w:val="24"/>
          <w:shd w:val="clear" w:color="auto" w:fill="FFFFFF"/>
        </w:rPr>
        <w:t>business’</w:t>
      </w:r>
      <w:proofErr w:type="gramEnd"/>
      <w:r w:rsidR="00FA3820">
        <w:rPr>
          <w:rFonts w:ascii="Times New Roman" w:hAnsi="Times New Roman" w:cs="Times New Roman"/>
          <w:sz w:val="24"/>
          <w:szCs w:val="24"/>
          <w:shd w:val="clear" w:color="auto" w:fill="FFFFFF"/>
        </w:rPr>
        <w:t>. The size of the penalty also reflects the cost of court proceedings that may be necessary to enforce the penalty (see further at section 57 below).</w:t>
      </w:r>
      <w:r w:rsidR="008A7FC6" w:rsidRPr="008A7FC6">
        <w:rPr>
          <w:rFonts w:ascii="Times New Roman" w:hAnsi="Times New Roman" w:cs="Times New Roman"/>
          <w:sz w:val="24"/>
          <w:szCs w:val="24"/>
        </w:rPr>
        <w:t xml:space="preserve"> </w:t>
      </w:r>
    </w:p>
    <w:p w14:paraId="2FD24861" w14:textId="77777777" w:rsidR="00F32112" w:rsidRDefault="00F32112" w:rsidP="00F32112">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As noted above in relation to section 22, it is appropriate for regulators to have recourse to both civil and criminal penalties</w:t>
      </w:r>
      <w:r>
        <w:rPr>
          <w:rFonts w:ascii="Times New Roman" w:hAnsi="Times New Roman" w:cs="Times New Roman"/>
          <w:color w:val="333333"/>
          <w:sz w:val="24"/>
          <w:szCs w:val="24"/>
          <w:shd w:val="clear" w:color="auto" w:fill="FFFFFF"/>
        </w:rPr>
        <w:t xml:space="preserve"> – see the discussion at that section.</w:t>
      </w:r>
    </w:p>
    <w:p w14:paraId="2D4D619D" w14:textId="00629D8E" w:rsidR="00F32112" w:rsidRDefault="00F32112" w:rsidP="00F32112">
      <w:r>
        <w:rPr>
          <w:rFonts w:ascii="Times New Roman" w:hAnsi="Times New Roman" w:cs="Times New Roman"/>
          <w:sz w:val="24"/>
          <w:szCs w:val="24"/>
        </w:rPr>
        <w:t>Subsection 37(6) is a continuing civil penalty provision under section 93 of the Regulatory</w:t>
      </w:r>
      <w:r w:rsidR="007C64E8">
        <w:rPr>
          <w:rFonts w:ascii="Times New Roman" w:hAnsi="Times New Roman" w:cs="Times New Roman"/>
          <w:sz w:val="24"/>
          <w:szCs w:val="24"/>
        </w:rPr>
        <w:t> </w:t>
      </w:r>
      <w:r>
        <w:rPr>
          <w:rFonts w:ascii="Times New Roman" w:hAnsi="Times New Roman" w:cs="Times New Roman"/>
          <w:sz w:val="24"/>
          <w:szCs w:val="24"/>
        </w:rPr>
        <w:t>Powers Act. Section 62 of the GHG</w:t>
      </w:r>
      <w:r w:rsidR="00AB4FB8">
        <w:rPr>
          <w:rFonts w:ascii="Times New Roman" w:hAnsi="Times New Roman" w:cs="Times New Roman"/>
          <w:sz w:val="24"/>
          <w:szCs w:val="24"/>
        </w:rPr>
        <w:t> </w:t>
      </w:r>
      <w:r>
        <w:rPr>
          <w:rFonts w:ascii="Times New Roman" w:hAnsi="Times New Roman" w:cs="Times New Roman"/>
          <w:sz w:val="24"/>
          <w:szCs w:val="24"/>
        </w:rPr>
        <w:t xml:space="preserve">Regulations sets out that the maximum civil </w:t>
      </w:r>
      <w:r>
        <w:rPr>
          <w:rFonts w:ascii="Times New Roman" w:hAnsi="Times New Roman" w:cs="Times New Roman"/>
          <w:sz w:val="24"/>
          <w:szCs w:val="24"/>
        </w:rPr>
        <w:lastRenderedPageBreak/>
        <w:t>penalty for each day that a contravention referred to in subsection 37(6) continues is 10% of the maximum civil penalty that can be imposed in respect of that contravention.</w:t>
      </w:r>
      <w:bookmarkEnd w:id="16"/>
    </w:p>
    <w:p w14:paraId="71DF8F4E" w14:textId="2C037BB5" w:rsidR="009A52C8" w:rsidRDefault="009A52C8" w:rsidP="008A7FC6">
      <w:pPr>
        <w:rPr>
          <w:rFonts w:ascii="Times New Roman" w:hAnsi="Times New Roman" w:cs="Times New Roman"/>
          <w:sz w:val="24"/>
          <w:szCs w:val="24"/>
        </w:rPr>
      </w:pPr>
      <w:r>
        <w:rPr>
          <w:rFonts w:ascii="Times New Roman" w:hAnsi="Times New Roman" w:cs="Times New Roman"/>
          <w:sz w:val="24"/>
          <w:szCs w:val="24"/>
        </w:rPr>
        <w:t xml:space="preserve">The criminal and civil penalties that may apply for a failure to review a plan on request by the </w:t>
      </w:r>
      <w:r w:rsidR="007E739A">
        <w:rPr>
          <w:rFonts w:ascii="Times New Roman" w:hAnsi="Times New Roman" w:cs="Times New Roman"/>
          <w:sz w:val="24"/>
          <w:szCs w:val="24"/>
        </w:rPr>
        <w:t xml:space="preserve">responsible Commonwealth </w:t>
      </w:r>
      <w:r>
        <w:rPr>
          <w:rFonts w:ascii="Times New Roman" w:hAnsi="Times New Roman" w:cs="Times New Roman"/>
          <w:sz w:val="24"/>
          <w:szCs w:val="24"/>
        </w:rPr>
        <w:t>Minister under section 3</w:t>
      </w:r>
      <w:r w:rsidR="0075140A">
        <w:rPr>
          <w:rFonts w:ascii="Times New Roman" w:hAnsi="Times New Roman" w:cs="Times New Roman"/>
          <w:sz w:val="24"/>
          <w:szCs w:val="24"/>
        </w:rPr>
        <w:t>7</w:t>
      </w:r>
      <w:r>
        <w:rPr>
          <w:rFonts w:ascii="Times New Roman" w:hAnsi="Times New Roman" w:cs="Times New Roman"/>
          <w:sz w:val="24"/>
          <w:szCs w:val="24"/>
        </w:rPr>
        <w:t xml:space="preserve"> are twice those imposed for a failure to undertake a five-year review of a plan under section 3</w:t>
      </w:r>
      <w:r w:rsidR="0075140A">
        <w:rPr>
          <w:rFonts w:ascii="Times New Roman" w:hAnsi="Times New Roman" w:cs="Times New Roman"/>
          <w:sz w:val="24"/>
          <w:szCs w:val="24"/>
        </w:rPr>
        <w:t>6</w:t>
      </w:r>
      <w:r>
        <w:rPr>
          <w:rFonts w:ascii="Times New Roman" w:hAnsi="Times New Roman" w:cs="Times New Roman"/>
          <w:sz w:val="24"/>
          <w:szCs w:val="24"/>
        </w:rPr>
        <w:t xml:space="preserve">. The five-year review of a plan is intended to ensure that a licensee considers the plan on a regular </w:t>
      </w:r>
      <w:proofErr w:type="gramStart"/>
      <w:r>
        <w:rPr>
          <w:rFonts w:ascii="Times New Roman" w:hAnsi="Times New Roman" w:cs="Times New Roman"/>
          <w:sz w:val="24"/>
          <w:szCs w:val="24"/>
        </w:rPr>
        <w:t>basis, and</w:t>
      </w:r>
      <w:proofErr w:type="gramEnd"/>
      <w:r>
        <w:rPr>
          <w:rFonts w:ascii="Times New Roman" w:hAnsi="Times New Roman" w:cs="Times New Roman"/>
          <w:sz w:val="24"/>
          <w:szCs w:val="24"/>
        </w:rPr>
        <w:t xml:space="preserve"> updates the plan if considered necessary. A request by the Minister to review a plan, on the other hand, would generally be made in response to a specific, identified issue. A failure to review the plan as requested by the Minister may therefore have more significant </w:t>
      </w:r>
      <w:proofErr w:type="gramStart"/>
      <w:r>
        <w:rPr>
          <w:rFonts w:ascii="Times New Roman" w:hAnsi="Times New Roman" w:cs="Times New Roman"/>
          <w:sz w:val="24"/>
          <w:szCs w:val="24"/>
        </w:rPr>
        <w:t>consequences, and</w:t>
      </w:r>
      <w:proofErr w:type="gramEnd"/>
      <w:r>
        <w:rPr>
          <w:rFonts w:ascii="Times New Roman" w:hAnsi="Times New Roman" w:cs="Times New Roman"/>
          <w:sz w:val="24"/>
          <w:szCs w:val="24"/>
        </w:rPr>
        <w:t xml:space="preserve"> warrants a higher penalty. </w:t>
      </w:r>
    </w:p>
    <w:p w14:paraId="53622A5C" w14:textId="2B840C0B" w:rsidR="00E31706" w:rsidRPr="00502CAB" w:rsidRDefault="00E31706" w:rsidP="00502CAB">
      <w:pPr>
        <w:pStyle w:val="ActHead5"/>
        <w:spacing w:after="240"/>
      </w:pPr>
      <w:r w:rsidRPr="00502CAB">
        <w:t xml:space="preserve">Section </w:t>
      </w:r>
      <w:r w:rsidR="00234D7B" w:rsidRPr="00502CAB">
        <w:t>38</w:t>
      </w:r>
      <w:r w:rsidRPr="00502CAB">
        <w:t xml:space="preserve"> – Matters to be </w:t>
      </w:r>
      <w:r w:rsidR="00234D7B" w:rsidRPr="00502CAB">
        <w:t>taken into account</w:t>
      </w:r>
      <w:r w:rsidRPr="00502CAB">
        <w:t xml:space="preserve"> in </w:t>
      </w:r>
      <w:proofErr w:type="gramStart"/>
      <w:r w:rsidRPr="00502CAB">
        <w:t>reviews</w:t>
      </w:r>
      <w:proofErr w:type="gramEnd"/>
    </w:p>
    <w:p w14:paraId="31466CE5" w14:textId="2982E35A" w:rsidR="009E3ED7" w:rsidRPr="001D70BB" w:rsidRDefault="00E31706" w:rsidP="001D70BB">
      <w:pPr>
        <w:pStyle w:val="NormalWeb"/>
        <w:shd w:val="clear" w:color="auto" w:fill="FFFFFF"/>
        <w:spacing w:before="0" w:beforeAutospacing="0" w:after="180" w:afterAutospacing="0"/>
        <w:rPr>
          <w:color w:val="333333"/>
        </w:rPr>
      </w:pPr>
      <w:r w:rsidRPr="001D70BB">
        <w:rPr>
          <w:color w:val="333333"/>
        </w:rPr>
        <w:t xml:space="preserve">This section </w:t>
      </w:r>
      <w:r w:rsidR="009E3ED7" w:rsidRPr="001D70BB">
        <w:rPr>
          <w:color w:val="333333"/>
        </w:rPr>
        <w:t xml:space="preserve">sets out </w:t>
      </w:r>
      <w:r w:rsidR="00ED1CFD">
        <w:rPr>
          <w:color w:val="333333"/>
        </w:rPr>
        <w:t>certain</w:t>
      </w:r>
      <w:r w:rsidR="009E3ED7" w:rsidRPr="001D70BB">
        <w:rPr>
          <w:color w:val="333333"/>
        </w:rPr>
        <w:t xml:space="preserve"> matters </w:t>
      </w:r>
      <w:r w:rsidR="001D70BB">
        <w:rPr>
          <w:color w:val="333333"/>
        </w:rPr>
        <w:t xml:space="preserve">that must </w:t>
      </w:r>
      <w:r w:rsidR="009E3ED7" w:rsidRPr="001D70BB">
        <w:rPr>
          <w:color w:val="333333"/>
        </w:rPr>
        <w:t xml:space="preserve">be </w:t>
      </w:r>
      <w:proofErr w:type="gramStart"/>
      <w:r w:rsidR="00625938">
        <w:rPr>
          <w:color w:val="333333"/>
        </w:rPr>
        <w:t>taken into account</w:t>
      </w:r>
      <w:proofErr w:type="gramEnd"/>
      <w:r w:rsidR="009E3ED7" w:rsidRPr="001D70BB">
        <w:rPr>
          <w:color w:val="333333"/>
        </w:rPr>
        <w:t xml:space="preserve"> </w:t>
      </w:r>
      <w:r w:rsidR="001D70BB">
        <w:rPr>
          <w:color w:val="333333"/>
        </w:rPr>
        <w:t>when an approved site plan is reviewed</w:t>
      </w:r>
      <w:r w:rsidR="009E3ED7" w:rsidRPr="001D70BB">
        <w:rPr>
          <w:color w:val="333333"/>
        </w:rPr>
        <w:t xml:space="preserve"> </w:t>
      </w:r>
      <w:r w:rsidR="00CE286C">
        <w:rPr>
          <w:color w:val="333333"/>
        </w:rPr>
        <w:t xml:space="preserve">by a GHG injection licensee </w:t>
      </w:r>
      <w:r w:rsidR="009E3ED7" w:rsidRPr="001D70BB">
        <w:rPr>
          <w:color w:val="333333"/>
        </w:rPr>
        <w:t xml:space="preserve">(see paragraphs </w:t>
      </w:r>
      <w:r w:rsidR="00486B21" w:rsidRPr="001D70BB">
        <w:rPr>
          <w:color w:val="333333"/>
        </w:rPr>
        <w:t>3</w:t>
      </w:r>
      <w:r w:rsidR="00ED1CFD">
        <w:rPr>
          <w:color w:val="333333"/>
        </w:rPr>
        <w:t>6</w:t>
      </w:r>
      <w:r w:rsidR="009E3ED7" w:rsidRPr="001D70BB">
        <w:rPr>
          <w:color w:val="333333"/>
        </w:rPr>
        <w:t xml:space="preserve">(1)(a) and </w:t>
      </w:r>
      <w:r w:rsidR="00486B21" w:rsidRPr="001D70BB">
        <w:rPr>
          <w:color w:val="333333"/>
        </w:rPr>
        <w:t>37</w:t>
      </w:r>
      <w:r w:rsidR="009E3ED7" w:rsidRPr="001D70BB">
        <w:rPr>
          <w:color w:val="333333"/>
        </w:rPr>
        <w:t>(3)(a)).</w:t>
      </w:r>
    </w:p>
    <w:p w14:paraId="3CF73729" w14:textId="0F87F2E2" w:rsidR="009E3ED7" w:rsidRPr="009522BF" w:rsidRDefault="009E3ED7" w:rsidP="00B73B2E">
      <w:pPr>
        <w:pStyle w:val="NormalWeb"/>
        <w:shd w:val="clear" w:color="auto" w:fill="FFFFFF"/>
        <w:spacing w:before="0" w:beforeAutospacing="0" w:after="180" w:afterAutospacing="0"/>
        <w:rPr>
          <w:color w:val="333333"/>
        </w:rPr>
      </w:pPr>
      <w:r w:rsidRPr="00B73B2E">
        <w:rPr>
          <w:color w:val="333333"/>
        </w:rPr>
        <w:t>S</w:t>
      </w:r>
      <w:r w:rsidR="001D70BB">
        <w:rPr>
          <w:color w:val="333333"/>
        </w:rPr>
        <w:t>ubs</w:t>
      </w:r>
      <w:r w:rsidRPr="00B73B2E">
        <w:rPr>
          <w:color w:val="333333"/>
        </w:rPr>
        <w:t xml:space="preserve">ection </w:t>
      </w:r>
      <w:r w:rsidR="00486B21">
        <w:rPr>
          <w:color w:val="333333"/>
        </w:rPr>
        <w:t>38</w:t>
      </w:r>
      <w:r w:rsidRPr="00B73B2E">
        <w:rPr>
          <w:color w:val="333333"/>
        </w:rPr>
        <w:t xml:space="preserve">(2) </w:t>
      </w:r>
      <w:r w:rsidR="00ED1CFD">
        <w:rPr>
          <w:color w:val="333333"/>
        </w:rPr>
        <w:t xml:space="preserve">sets out matters that must be considered </w:t>
      </w:r>
      <w:r w:rsidRPr="00B73B2E">
        <w:rPr>
          <w:color w:val="333333"/>
        </w:rPr>
        <w:t>in relation to the predictions</w:t>
      </w:r>
      <w:r w:rsidR="00ED1CFD">
        <w:rPr>
          <w:color w:val="333333"/>
        </w:rPr>
        <w:t xml:space="preserve"> for the behaviour of GHG substances</w:t>
      </w:r>
      <w:r w:rsidRPr="00B73B2E">
        <w:rPr>
          <w:color w:val="333333"/>
        </w:rPr>
        <w:t xml:space="preserve"> </w:t>
      </w:r>
      <w:r w:rsidR="00ED1CFD">
        <w:rPr>
          <w:color w:val="333333"/>
        </w:rPr>
        <w:t xml:space="preserve">that are </w:t>
      </w:r>
      <w:r w:rsidRPr="00B73B2E">
        <w:rPr>
          <w:color w:val="333333"/>
        </w:rPr>
        <w:t xml:space="preserve">set out in Part A of the </w:t>
      </w:r>
      <w:r w:rsidR="00ED1CFD">
        <w:rPr>
          <w:color w:val="333333"/>
        </w:rPr>
        <w:t xml:space="preserve">site </w:t>
      </w:r>
      <w:r w:rsidRPr="00B73B2E">
        <w:rPr>
          <w:color w:val="333333"/>
        </w:rPr>
        <w:t>plan</w:t>
      </w:r>
      <w:r w:rsidR="00ED1CFD">
        <w:rPr>
          <w:color w:val="333333"/>
        </w:rPr>
        <w:t xml:space="preserve">. This ensures that a licensee can reconsider the </w:t>
      </w:r>
      <w:proofErr w:type="gramStart"/>
      <w:r w:rsidR="00ED1CFD">
        <w:rPr>
          <w:color w:val="333333"/>
        </w:rPr>
        <w:t>predictions, and</w:t>
      </w:r>
      <w:proofErr w:type="gramEnd"/>
      <w:r w:rsidR="00ED1CFD">
        <w:rPr>
          <w:color w:val="333333"/>
        </w:rPr>
        <w:t xml:space="preserve"> determine whether any revisions to Part A are necessary, taking into account matters such as experience gained and the monitoring of the actual migration pathways of GHG substances</w:t>
      </w:r>
      <w:r w:rsidR="00CE286C">
        <w:rPr>
          <w:color w:val="333333"/>
        </w:rPr>
        <w:t xml:space="preserve"> within the storage formation</w:t>
      </w:r>
      <w:r w:rsidR="00ED1CFD">
        <w:rPr>
          <w:color w:val="333333"/>
        </w:rPr>
        <w:t>.</w:t>
      </w:r>
    </w:p>
    <w:p w14:paraId="59179467" w14:textId="01FCE303" w:rsidR="00C56C01" w:rsidRPr="009522BF" w:rsidRDefault="001D70BB" w:rsidP="00B73B2E">
      <w:pPr>
        <w:pStyle w:val="NormalWeb"/>
        <w:shd w:val="clear" w:color="auto" w:fill="FFFFFF"/>
        <w:spacing w:before="0" w:beforeAutospacing="0" w:after="180" w:afterAutospacing="0"/>
        <w:rPr>
          <w:color w:val="333333"/>
        </w:rPr>
      </w:pPr>
      <w:r>
        <w:rPr>
          <w:color w:val="333333"/>
        </w:rPr>
        <w:t>Subs</w:t>
      </w:r>
      <w:r w:rsidR="00C56C01" w:rsidRPr="009522BF">
        <w:rPr>
          <w:color w:val="333333"/>
        </w:rPr>
        <w:t xml:space="preserve">ection </w:t>
      </w:r>
      <w:r w:rsidR="00486B21">
        <w:rPr>
          <w:color w:val="333333"/>
        </w:rPr>
        <w:t>38</w:t>
      </w:r>
      <w:r w:rsidR="00C56C01" w:rsidRPr="009522BF">
        <w:rPr>
          <w:color w:val="333333"/>
        </w:rPr>
        <w:t>(3)</w:t>
      </w:r>
      <w:r w:rsidR="00ED1CFD">
        <w:rPr>
          <w:color w:val="333333"/>
        </w:rPr>
        <w:t xml:space="preserve"> sets out matters that must be considered in relation to certain</w:t>
      </w:r>
      <w:r w:rsidR="00C56C01" w:rsidRPr="009522BF">
        <w:rPr>
          <w:color w:val="333333"/>
        </w:rPr>
        <w:t xml:space="preserve"> plans and programs </w:t>
      </w:r>
      <w:r w:rsidR="00ED1CFD">
        <w:rPr>
          <w:color w:val="333333"/>
        </w:rPr>
        <w:t xml:space="preserve">that are </w:t>
      </w:r>
      <w:r w:rsidR="00C56C01" w:rsidRPr="009522BF">
        <w:rPr>
          <w:color w:val="333333"/>
        </w:rPr>
        <w:t xml:space="preserve">set out in Part B of the </w:t>
      </w:r>
      <w:r w:rsidR="00ED1CFD">
        <w:rPr>
          <w:color w:val="333333"/>
        </w:rPr>
        <w:t xml:space="preserve">site </w:t>
      </w:r>
      <w:r w:rsidR="00C56C01" w:rsidRPr="009522BF">
        <w:rPr>
          <w:color w:val="333333"/>
        </w:rPr>
        <w:t>plan</w:t>
      </w:r>
      <w:r w:rsidR="008C6141">
        <w:rPr>
          <w:color w:val="333333"/>
        </w:rPr>
        <w:t xml:space="preserve"> – see paragraphs 38(3)(a) to (d) of the GHG Regulations</w:t>
      </w:r>
      <w:r w:rsidR="00ED1CFD">
        <w:rPr>
          <w:color w:val="333333"/>
        </w:rPr>
        <w:t>. This ensures that a licensee can consider the plans</w:t>
      </w:r>
      <w:r w:rsidR="00CE286C">
        <w:rPr>
          <w:color w:val="333333"/>
        </w:rPr>
        <w:t xml:space="preserve"> </w:t>
      </w:r>
      <w:r w:rsidR="00625938">
        <w:rPr>
          <w:color w:val="333333"/>
        </w:rPr>
        <w:t xml:space="preserve">and programs </w:t>
      </w:r>
      <w:r w:rsidR="00CE286C">
        <w:rPr>
          <w:color w:val="333333"/>
        </w:rPr>
        <w:t xml:space="preserve">in light of industry best practice and the experience gained through </w:t>
      </w:r>
      <w:proofErr w:type="gramStart"/>
      <w:r w:rsidR="00CE286C">
        <w:rPr>
          <w:color w:val="333333"/>
        </w:rPr>
        <w:t>operations, and</w:t>
      </w:r>
      <w:proofErr w:type="gramEnd"/>
      <w:r w:rsidR="00CE286C">
        <w:rPr>
          <w:color w:val="333333"/>
        </w:rPr>
        <w:t xml:space="preserve"> make any revisions as necessary. </w:t>
      </w:r>
      <w:r w:rsidR="00ED1CFD">
        <w:rPr>
          <w:color w:val="333333"/>
        </w:rPr>
        <w:t>For the plan for carrying out work that is required to remediate the formation</w:t>
      </w:r>
      <w:r w:rsidR="00B20BE2">
        <w:rPr>
          <w:color w:val="333333"/>
        </w:rPr>
        <w:t xml:space="preserve"> at the end of operations</w:t>
      </w:r>
      <w:r w:rsidR="00ED1CFD">
        <w:rPr>
          <w:color w:val="333333"/>
        </w:rPr>
        <w:t xml:space="preserve">, </w:t>
      </w:r>
      <w:r w:rsidR="008C6141">
        <w:rPr>
          <w:color w:val="333333"/>
        </w:rPr>
        <w:t xml:space="preserve">mentioned in paragraph 38(3)(d), </w:t>
      </w:r>
      <w:r w:rsidR="00CE286C">
        <w:rPr>
          <w:color w:val="333333"/>
        </w:rPr>
        <w:t>the licensee will obtain a better understanding of the work required as operations progress, and should make any updates to the plan as necessary to reflect their increased understanding.</w:t>
      </w:r>
    </w:p>
    <w:p w14:paraId="16D20F67" w14:textId="624311C6" w:rsidR="00E31706" w:rsidRPr="00E7057A" w:rsidRDefault="00E31706" w:rsidP="00E7057A">
      <w:pPr>
        <w:pStyle w:val="NormalWeb"/>
        <w:shd w:val="clear" w:color="auto" w:fill="FFFFFF"/>
        <w:spacing w:before="0" w:beforeAutospacing="0" w:after="180" w:afterAutospacing="0"/>
        <w:rPr>
          <w:b/>
          <w:bCs/>
          <w:color w:val="333333"/>
        </w:rPr>
      </w:pPr>
      <w:r w:rsidRPr="00E7057A">
        <w:rPr>
          <w:b/>
          <w:bCs/>
          <w:color w:val="333333"/>
        </w:rPr>
        <w:t>Section 3</w:t>
      </w:r>
      <w:r w:rsidR="00234D7B" w:rsidRPr="00E7057A">
        <w:rPr>
          <w:b/>
          <w:bCs/>
          <w:color w:val="333333"/>
        </w:rPr>
        <w:t xml:space="preserve">9 </w:t>
      </w:r>
      <w:r w:rsidRPr="00E7057A">
        <w:rPr>
          <w:b/>
          <w:bCs/>
          <w:color w:val="333333"/>
        </w:rPr>
        <w:t xml:space="preserve">– Draft variations to remove inconsistency with directions under sections 376, 380 and 383 of the </w:t>
      </w:r>
      <w:proofErr w:type="gramStart"/>
      <w:r w:rsidRPr="00E7057A">
        <w:rPr>
          <w:b/>
          <w:bCs/>
          <w:color w:val="333333"/>
        </w:rPr>
        <w:t>Act</w:t>
      </w:r>
      <w:proofErr w:type="gramEnd"/>
    </w:p>
    <w:p w14:paraId="3B5A6681" w14:textId="2C49C0E6" w:rsidR="001E2859" w:rsidRDefault="00E31706" w:rsidP="005E23C7">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This </w:t>
      </w:r>
      <w:r w:rsidRPr="002B5ED0">
        <w:rPr>
          <w:rFonts w:ascii="Times New Roman" w:hAnsi="Times New Roman" w:cs="Times New Roman"/>
          <w:sz w:val="24"/>
          <w:szCs w:val="24"/>
        </w:rPr>
        <w:t xml:space="preserve">section </w:t>
      </w:r>
      <w:r w:rsidR="005E23C7" w:rsidRPr="005E23C7">
        <w:rPr>
          <w:rFonts w:ascii="Times New Roman" w:hAnsi="Times New Roman" w:cs="Times New Roman"/>
          <w:color w:val="333333"/>
          <w:sz w:val="24"/>
          <w:szCs w:val="24"/>
          <w:shd w:val="clear" w:color="auto" w:fill="FFFFFF"/>
        </w:rPr>
        <w:t>applies if</w:t>
      </w:r>
      <w:r w:rsidR="005E23C7">
        <w:rPr>
          <w:rFonts w:ascii="Times New Roman" w:hAnsi="Times New Roman" w:cs="Times New Roman"/>
          <w:color w:val="333333"/>
          <w:sz w:val="24"/>
          <w:szCs w:val="24"/>
          <w:shd w:val="clear" w:color="auto" w:fill="FFFFFF"/>
        </w:rPr>
        <w:t xml:space="preserve"> </w:t>
      </w:r>
      <w:r w:rsidR="005E23C7" w:rsidRPr="005E23C7">
        <w:rPr>
          <w:rFonts w:ascii="Times New Roman" w:hAnsi="Times New Roman" w:cs="Times New Roman"/>
          <w:color w:val="333333"/>
          <w:sz w:val="24"/>
          <w:szCs w:val="24"/>
          <w:shd w:val="clear" w:color="auto" w:fill="FFFFFF"/>
        </w:rPr>
        <w:t xml:space="preserve">a direction under </w:t>
      </w:r>
      <w:r w:rsidR="00D9499E">
        <w:rPr>
          <w:rFonts w:ascii="Times New Roman" w:hAnsi="Times New Roman" w:cs="Times New Roman"/>
          <w:color w:val="333333"/>
          <w:sz w:val="24"/>
          <w:szCs w:val="24"/>
          <w:shd w:val="clear" w:color="auto" w:fill="FFFFFF"/>
        </w:rPr>
        <w:t>section</w:t>
      </w:r>
      <w:r w:rsidR="005E23C7" w:rsidRPr="005E23C7">
        <w:rPr>
          <w:rFonts w:ascii="Times New Roman" w:hAnsi="Times New Roman" w:cs="Times New Roman"/>
          <w:color w:val="333333"/>
          <w:sz w:val="24"/>
          <w:szCs w:val="24"/>
          <w:shd w:val="clear" w:color="auto" w:fill="FFFFFF"/>
        </w:rPr>
        <w:t xml:space="preserve"> 376, 380 or 383 of the </w:t>
      </w:r>
      <w:r w:rsidR="005E23C7">
        <w:rPr>
          <w:rFonts w:ascii="Times New Roman" w:hAnsi="Times New Roman" w:cs="Times New Roman"/>
          <w:color w:val="333333"/>
          <w:sz w:val="24"/>
          <w:szCs w:val="24"/>
          <w:shd w:val="clear" w:color="auto" w:fill="FFFFFF"/>
        </w:rPr>
        <w:t xml:space="preserve">OPGGS </w:t>
      </w:r>
      <w:r w:rsidR="005E23C7" w:rsidRPr="005E23C7">
        <w:rPr>
          <w:rFonts w:ascii="Times New Roman" w:hAnsi="Times New Roman" w:cs="Times New Roman"/>
          <w:color w:val="333333"/>
          <w:sz w:val="24"/>
          <w:szCs w:val="24"/>
          <w:shd w:val="clear" w:color="auto" w:fill="FFFFFF"/>
        </w:rPr>
        <w:t xml:space="preserve">Act is in force in relation to a </w:t>
      </w:r>
      <w:r w:rsidR="005E23C7">
        <w:rPr>
          <w:rFonts w:ascii="Times New Roman" w:hAnsi="Times New Roman" w:cs="Times New Roman"/>
          <w:color w:val="333333"/>
          <w:sz w:val="24"/>
          <w:szCs w:val="24"/>
          <w:shd w:val="clear" w:color="auto" w:fill="FFFFFF"/>
        </w:rPr>
        <w:t>GH</w:t>
      </w:r>
      <w:r w:rsidR="003C5EB6">
        <w:rPr>
          <w:rFonts w:ascii="Times New Roman" w:hAnsi="Times New Roman" w:cs="Times New Roman"/>
          <w:color w:val="333333"/>
          <w:sz w:val="24"/>
          <w:szCs w:val="24"/>
          <w:shd w:val="clear" w:color="auto" w:fill="FFFFFF"/>
        </w:rPr>
        <w:t>G</w:t>
      </w:r>
      <w:r w:rsidR="005E23C7">
        <w:rPr>
          <w:rFonts w:ascii="Times New Roman" w:hAnsi="Times New Roman" w:cs="Times New Roman"/>
          <w:color w:val="333333"/>
          <w:sz w:val="24"/>
          <w:szCs w:val="24"/>
          <w:shd w:val="clear" w:color="auto" w:fill="FFFFFF"/>
        </w:rPr>
        <w:t xml:space="preserve"> </w:t>
      </w:r>
      <w:r w:rsidR="005E23C7" w:rsidRPr="005E23C7">
        <w:rPr>
          <w:rFonts w:ascii="Times New Roman" w:hAnsi="Times New Roman" w:cs="Times New Roman"/>
          <w:color w:val="333333"/>
          <w:sz w:val="24"/>
          <w:szCs w:val="24"/>
          <w:shd w:val="clear" w:color="auto" w:fill="FFFFFF"/>
        </w:rPr>
        <w:t>injection licence</w:t>
      </w:r>
      <w:r w:rsidR="005E23C7">
        <w:rPr>
          <w:rFonts w:ascii="Times New Roman" w:hAnsi="Times New Roman" w:cs="Times New Roman"/>
          <w:color w:val="333333"/>
          <w:sz w:val="24"/>
          <w:szCs w:val="24"/>
          <w:shd w:val="clear" w:color="auto" w:fill="FFFFFF"/>
        </w:rPr>
        <w:t xml:space="preserve">, </w:t>
      </w:r>
      <w:r w:rsidR="005E23C7" w:rsidRPr="005E23C7">
        <w:rPr>
          <w:rFonts w:ascii="Times New Roman" w:hAnsi="Times New Roman" w:cs="Times New Roman"/>
          <w:color w:val="333333"/>
          <w:sz w:val="24"/>
          <w:szCs w:val="24"/>
          <w:shd w:val="clear" w:color="auto" w:fill="FFFFFF"/>
        </w:rPr>
        <w:t>and</w:t>
      </w:r>
      <w:r w:rsidR="005E23C7">
        <w:rPr>
          <w:rFonts w:ascii="Times New Roman" w:hAnsi="Times New Roman" w:cs="Times New Roman"/>
          <w:color w:val="333333"/>
          <w:sz w:val="24"/>
          <w:szCs w:val="24"/>
          <w:shd w:val="clear" w:color="auto" w:fill="FFFFFF"/>
        </w:rPr>
        <w:t xml:space="preserve"> </w:t>
      </w:r>
      <w:r w:rsidR="005E23C7" w:rsidRPr="005E23C7">
        <w:rPr>
          <w:rFonts w:ascii="Times New Roman" w:hAnsi="Times New Roman" w:cs="Times New Roman"/>
          <w:color w:val="333333"/>
          <w:sz w:val="24"/>
          <w:szCs w:val="24"/>
          <w:shd w:val="clear" w:color="auto" w:fill="FFFFFF"/>
        </w:rPr>
        <w:t>the direction is inconsistent with anything in an approved site plan</w:t>
      </w:r>
      <w:r w:rsidR="005E23C7">
        <w:rPr>
          <w:rFonts w:ascii="Times New Roman" w:hAnsi="Times New Roman" w:cs="Times New Roman"/>
          <w:color w:val="333333"/>
          <w:sz w:val="24"/>
          <w:szCs w:val="24"/>
          <w:shd w:val="clear" w:color="auto" w:fill="FFFFFF"/>
        </w:rPr>
        <w:t xml:space="preserve">. </w:t>
      </w:r>
      <w:r w:rsidR="00E7057A">
        <w:rPr>
          <w:rFonts w:ascii="Times New Roman" w:hAnsi="Times New Roman" w:cs="Times New Roman"/>
          <w:color w:val="333333"/>
          <w:sz w:val="24"/>
          <w:szCs w:val="24"/>
          <w:shd w:val="clear" w:color="auto" w:fill="FFFFFF"/>
        </w:rPr>
        <w:t xml:space="preserve">Section 376 enables the </w:t>
      </w:r>
      <w:r w:rsidR="00B84F3E">
        <w:rPr>
          <w:rFonts w:ascii="Times New Roman" w:hAnsi="Times New Roman" w:cs="Times New Roman"/>
          <w:color w:val="333333"/>
          <w:sz w:val="24"/>
          <w:szCs w:val="24"/>
          <w:shd w:val="clear" w:color="auto" w:fill="FFFFFF"/>
        </w:rPr>
        <w:t xml:space="preserve">responsible Commonwealth </w:t>
      </w:r>
      <w:r w:rsidR="00E7057A">
        <w:rPr>
          <w:rFonts w:ascii="Times New Roman" w:hAnsi="Times New Roman" w:cs="Times New Roman"/>
          <w:color w:val="333333"/>
          <w:sz w:val="24"/>
          <w:szCs w:val="24"/>
          <w:shd w:val="clear" w:color="auto" w:fill="FFFFFF"/>
        </w:rPr>
        <w:t>Minister to give a direction to a licensee where there is a risk that operations under the licence could have</w:t>
      </w:r>
      <w:r w:rsidR="00391E67">
        <w:rPr>
          <w:rFonts w:ascii="Times New Roman" w:hAnsi="Times New Roman" w:cs="Times New Roman"/>
          <w:color w:val="333333"/>
          <w:sz w:val="24"/>
          <w:szCs w:val="24"/>
          <w:shd w:val="clear" w:color="auto" w:fill="FFFFFF"/>
        </w:rPr>
        <w:t xml:space="preserve"> a</w:t>
      </w:r>
      <w:r w:rsidR="00E7057A">
        <w:rPr>
          <w:rFonts w:ascii="Times New Roman" w:hAnsi="Times New Roman" w:cs="Times New Roman"/>
          <w:color w:val="333333"/>
          <w:sz w:val="24"/>
          <w:szCs w:val="24"/>
          <w:shd w:val="clear" w:color="auto" w:fill="FFFFFF"/>
        </w:rPr>
        <w:t xml:space="preserve"> significant adverse impact on a</w:t>
      </w:r>
      <w:r w:rsidR="001E2859">
        <w:rPr>
          <w:rFonts w:ascii="Times New Roman" w:hAnsi="Times New Roman" w:cs="Times New Roman"/>
          <w:color w:val="333333"/>
          <w:sz w:val="24"/>
          <w:szCs w:val="24"/>
          <w:shd w:val="clear" w:color="auto" w:fill="FFFFFF"/>
        </w:rPr>
        <w:t xml:space="preserve"> geological formation that contain</w:t>
      </w:r>
      <w:r w:rsidR="00E7057A">
        <w:rPr>
          <w:rFonts w:ascii="Times New Roman" w:hAnsi="Times New Roman" w:cs="Times New Roman"/>
          <w:color w:val="333333"/>
          <w:sz w:val="24"/>
          <w:szCs w:val="24"/>
          <w:shd w:val="clear" w:color="auto" w:fill="FFFFFF"/>
        </w:rPr>
        <w:t>s</w:t>
      </w:r>
      <w:r w:rsidR="001E2859">
        <w:rPr>
          <w:rFonts w:ascii="Times New Roman" w:hAnsi="Times New Roman" w:cs="Times New Roman"/>
          <w:color w:val="333333"/>
          <w:sz w:val="24"/>
          <w:szCs w:val="24"/>
          <w:shd w:val="clear" w:color="auto" w:fill="FFFFFF"/>
        </w:rPr>
        <w:t xml:space="preserve"> </w:t>
      </w:r>
      <w:r w:rsidR="00B73688">
        <w:rPr>
          <w:rFonts w:ascii="Times New Roman" w:hAnsi="Times New Roman" w:cs="Times New Roman"/>
          <w:color w:val="333333"/>
          <w:sz w:val="24"/>
          <w:szCs w:val="24"/>
          <w:shd w:val="clear" w:color="auto" w:fill="FFFFFF"/>
        </w:rPr>
        <w:t xml:space="preserve">or is likely to contain </w:t>
      </w:r>
      <w:r w:rsidR="001E2859">
        <w:rPr>
          <w:rFonts w:ascii="Times New Roman" w:hAnsi="Times New Roman" w:cs="Times New Roman"/>
          <w:color w:val="333333"/>
          <w:sz w:val="24"/>
          <w:szCs w:val="24"/>
          <w:shd w:val="clear" w:color="auto" w:fill="FFFFFF"/>
        </w:rPr>
        <w:t xml:space="preserve">a petroleum </w:t>
      </w:r>
      <w:proofErr w:type="gramStart"/>
      <w:r w:rsidR="001E2859">
        <w:rPr>
          <w:rFonts w:ascii="Times New Roman" w:hAnsi="Times New Roman" w:cs="Times New Roman"/>
          <w:color w:val="333333"/>
          <w:sz w:val="24"/>
          <w:szCs w:val="24"/>
          <w:shd w:val="clear" w:color="auto" w:fill="FFFFFF"/>
        </w:rPr>
        <w:t>pool</w:t>
      </w:r>
      <w:r w:rsidR="00E7057A">
        <w:rPr>
          <w:rFonts w:ascii="Times New Roman" w:hAnsi="Times New Roman" w:cs="Times New Roman"/>
          <w:color w:val="333333"/>
          <w:sz w:val="24"/>
          <w:szCs w:val="24"/>
          <w:shd w:val="clear" w:color="auto" w:fill="FFFFFF"/>
        </w:rPr>
        <w:t>,</w:t>
      </w:r>
      <w:r w:rsidR="001E2859">
        <w:rPr>
          <w:rFonts w:ascii="Times New Roman" w:hAnsi="Times New Roman" w:cs="Times New Roman"/>
          <w:color w:val="333333"/>
          <w:sz w:val="24"/>
          <w:szCs w:val="24"/>
          <w:shd w:val="clear" w:color="auto" w:fill="FFFFFF"/>
        </w:rPr>
        <w:t xml:space="preserve"> or</w:t>
      </w:r>
      <w:proofErr w:type="gramEnd"/>
      <w:r w:rsidR="00E7057A">
        <w:rPr>
          <w:rFonts w:ascii="Times New Roman" w:hAnsi="Times New Roman" w:cs="Times New Roman"/>
          <w:color w:val="333333"/>
          <w:sz w:val="24"/>
          <w:szCs w:val="24"/>
          <w:shd w:val="clear" w:color="auto" w:fill="FFFFFF"/>
        </w:rPr>
        <w:t xml:space="preserve"> could</w:t>
      </w:r>
      <w:r w:rsidR="001E2859">
        <w:rPr>
          <w:rFonts w:ascii="Times New Roman" w:hAnsi="Times New Roman" w:cs="Times New Roman"/>
          <w:color w:val="333333"/>
          <w:sz w:val="24"/>
          <w:szCs w:val="24"/>
          <w:shd w:val="clear" w:color="auto" w:fill="FFFFFF"/>
        </w:rPr>
        <w:t xml:space="preserve"> otherwise compromise the exploitation of petroleum</w:t>
      </w:r>
      <w:r w:rsidR="00E7057A">
        <w:rPr>
          <w:rFonts w:ascii="Times New Roman" w:hAnsi="Times New Roman" w:cs="Times New Roman"/>
          <w:color w:val="333333"/>
          <w:sz w:val="24"/>
          <w:szCs w:val="24"/>
          <w:shd w:val="clear" w:color="auto" w:fill="FFFFFF"/>
        </w:rPr>
        <w:t>.</w:t>
      </w:r>
      <w:r w:rsidR="001E2859">
        <w:rPr>
          <w:rFonts w:ascii="Times New Roman" w:hAnsi="Times New Roman" w:cs="Times New Roman"/>
          <w:color w:val="333333"/>
          <w:sz w:val="24"/>
          <w:szCs w:val="24"/>
          <w:shd w:val="clear" w:color="auto" w:fill="FFFFFF"/>
        </w:rPr>
        <w:t xml:space="preserve"> </w:t>
      </w:r>
      <w:r w:rsidR="00391E67">
        <w:rPr>
          <w:rFonts w:ascii="Times New Roman" w:hAnsi="Times New Roman" w:cs="Times New Roman"/>
          <w:color w:val="333333"/>
          <w:sz w:val="24"/>
          <w:szCs w:val="24"/>
          <w:shd w:val="clear" w:color="auto" w:fill="FFFFFF"/>
        </w:rPr>
        <w:t xml:space="preserve">Section 380 enables the </w:t>
      </w:r>
      <w:r w:rsidR="00B84F3E">
        <w:rPr>
          <w:rFonts w:ascii="Times New Roman" w:hAnsi="Times New Roman" w:cs="Times New Roman"/>
          <w:color w:val="333333"/>
          <w:sz w:val="24"/>
          <w:szCs w:val="24"/>
          <w:shd w:val="clear" w:color="auto" w:fill="FFFFFF"/>
        </w:rPr>
        <w:t xml:space="preserve">responsible Commonwealth </w:t>
      </w:r>
      <w:r w:rsidR="00391E67">
        <w:rPr>
          <w:rFonts w:ascii="Times New Roman" w:hAnsi="Times New Roman" w:cs="Times New Roman"/>
          <w:color w:val="333333"/>
          <w:sz w:val="24"/>
          <w:szCs w:val="24"/>
          <w:shd w:val="clear" w:color="auto" w:fill="FFFFFF"/>
        </w:rPr>
        <w:t>Minister to give a direction to a licensee</w:t>
      </w:r>
      <w:r w:rsidR="00D9499E">
        <w:rPr>
          <w:rFonts w:ascii="Times New Roman" w:hAnsi="Times New Roman" w:cs="Times New Roman"/>
          <w:color w:val="333333"/>
          <w:sz w:val="24"/>
          <w:szCs w:val="24"/>
          <w:shd w:val="clear" w:color="auto" w:fill="FFFFFF"/>
        </w:rPr>
        <w:t xml:space="preserve"> to deal with serious situations</w:t>
      </w:r>
      <w:r w:rsidR="00391E67">
        <w:rPr>
          <w:rFonts w:ascii="Times New Roman" w:hAnsi="Times New Roman" w:cs="Times New Roman"/>
          <w:color w:val="333333"/>
          <w:sz w:val="24"/>
          <w:szCs w:val="24"/>
          <w:shd w:val="clear" w:color="auto" w:fill="FFFFFF"/>
        </w:rPr>
        <w:t>, such as where a GHG substance has leaked or is leaking from</w:t>
      </w:r>
      <w:r w:rsidR="00D9499E">
        <w:rPr>
          <w:rFonts w:ascii="Times New Roman" w:hAnsi="Times New Roman" w:cs="Times New Roman"/>
          <w:color w:val="333333"/>
          <w:sz w:val="24"/>
          <w:szCs w:val="24"/>
          <w:shd w:val="clear" w:color="auto" w:fill="FFFFFF"/>
        </w:rPr>
        <w:t xml:space="preserve"> an identified GHG storage formation specified </w:t>
      </w:r>
      <w:r w:rsidR="00685B00">
        <w:rPr>
          <w:rFonts w:ascii="Times New Roman" w:hAnsi="Times New Roman" w:cs="Times New Roman"/>
          <w:color w:val="333333"/>
          <w:sz w:val="24"/>
          <w:szCs w:val="24"/>
          <w:shd w:val="clear" w:color="auto" w:fill="FFFFFF"/>
        </w:rPr>
        <w:t xml:space="preserve">in </w:t>
      </w:r>
      <w:r w:rsidR="00391E67">
        <w:rPr>
          <w:rFonts w:ascii="Times New Roman" w:hAnsi="Times New Roman" w:cs="Times New Roman"/>
          <w:color w:val="333333"/>
          <w:sz w:val="24"/>
          <w:szCs w:val="24"/>
          <w:shd w:val="clear" w:color="auto" w:fill="FFFFFF"/>
        </w:rPr>
        <w:t>the</w:t>
      </w:r>
      <w:r w:rsidR="00D9499E">
        <w:rPr>
          <w:rFonts w:ascii="Times New Roman" w:hAnsi="Times New Roman" w:cs="Times New Roman"/>
          <w:color w:val="333333"/>
          <w:sz w:val="24"/>
          <w:szCs w:val="24"/>
          <w:shd w:val="clear" w:color="auto" w:fill="FFFFFF"/>
        </w:rPr>
        <w:t xml:space="preserve"> licence</w:t>
      </w:r>
      <w:r w:rsidR="00391E67">
        <w:rPr>
          <w:rFonts w:ascii="Times New Roman" w:hAnsi="Times New Roman" w:cs="Times New Roman"/>
          <w:color w:val="333333"/>
          <w:sz w:val="24"/>
          <w:szCs w:val="24"/>
          <w:shd w:val="clear" w:color="auto" w:fill="FFFFFF"/>
        </w:rPr>
        <w:t xml:space="preserve">. Section 383 enables the </w:t>
      </w:r>
      <w:r w:rsidR="00B84F3E">
        <w:rPr>
          <w:rFonts w:ascii="Times New Roman" w:hAnsi="Times New Roman" w:cs="Times New Roman"/>
          <w:color w:val="333333"/>
          <w:sz w:val="24"/>
          <w:szCs w:val="24"/>
          <w:shd w:val="clear" w:color="auto" w:fill="FFFFFF"/>
        </w:rPr>
        <w:t xml:space="preserve">responsible Commonwealth </w:t>
      </w:r>
      <w:r w:rsidR="00391E67">
        <w:rPr>
          <w:rFonts w:ascii="Times New Roman" w:hAnsi="Times New Roman" w:cs="Times New Roman"/>
          <w:color w:val="333333"/>
          <w:sz w:val="24"/>
          <w:szCs w:val="24"/>
          <w:shd w:val="clear" w:color="auto" w:fill="FFFFFF"/>
        </w:rPr>
        <w:t xml:space="preserve">Minister to give a direction to a licensee </w:t>
      </w:r>
      <w:r w:rsidR="00D9499E">
        <w:rPr>
          <w:rFonts w:ascii="Times New Roman" w:hAnsi="Times New Roman" w:cs="Times New Roman"/>
          <w:color w:val="333333"/>
          <w:sz w:val="24"/>
          <w:szCs w:val="24"/>
          <w:shd w:val="clear" w:color="auto" w:fill="FFFFFF"/>
        </w:rPr>
        <w:t>to protec</w:t>
      </w:r>
      <w:r w:rsidR="00391E67">
        <w:rPr>
          <w:rFonts w:ascii="Times New Roman" w:hAnsi="Times New Roman" w:cs="Times New Roman"/>
          <w:color w:val="333333"/>
          <w:sz w:val="24"/>
          <w:szCs w:val="24"/>
          <w:shd w:val="clear" w:color="auto" w:fill="FFFFFF"/>
        </w:rPr>
        <w:t>t</w:t>
      </w:r>
      <w:r w:rsidR="00D9499E">
        <w:rPr>
          <w:rFonts w:ascii="Times New Roman" w:hAnsi="Times New Roman" w:cs="Times New Roman"/>
          <w:color w:val="333333"/>
          <w:sz w:val="24"/>
          <w:szCs w:val="24"/>
          <w:shd w:val="clear" w:color="auto" w:fill="FFFFFF"/>
        </w:rPr>
        <w:t xml:space="preserve"> petroleum discovered in the</w:t>
      </w:r>
      <w:r w:rsidR="00B73688">
        <w:rPr>
          <w:rFonts w:ascii="Times New Roman" w:hAnsi="Times New Roman" w:cs="Times New Roman"/>
          <w:color w:val="333333"/>
          <w:sz w:val="24"/>
          <w:szCs w:val="24"/>
          <w:shd w:val="clear" w:color="auto" w:fill="FFFFFF"/>
        </w:rPr>
        <w:t xml:space="preserve"> overlapping</w:t>
      </w:r>
      <w:r w:rsidR="00D9499E">
        <w:rPr>
          <w:rFonts w:ascii="Times New Roman" w:hAnsi="Times New Roman" w:cs="Times New Roman"/>
          <w:color w:val="333333"/>
          <w:sz w:val="24"/>
          <w:szCs w:val="24"/>
          <w:shd w:val="clear" w:color="auto" w:fill="FFFFFF"/>
        </w:rPr>
        <w:t xml:space="preserve"> title area of a</w:t>
      </w:r>
      <w:r w:rsidR="002D4EED">
        <w:rPr>
          <w:rFonts w:ascii="Times New Roman" w:hAnsi="Times New Roman" w:cs="Times New Roman"/>
          <w:color w:val="333333"/>
          <w:sz w:val="24"/>
          <w:szCs w:val="24"/>
          <w:shd w:val="clear" w:color="auto" w:fill="FFFFFF"/>
        </w:rPr>
        <w:t xml:space="preserve"> </w:t>
      </w:r>
      <w:r w:rsidR="00D9499E">
        <w:rPr>
          <w:rFonts w:ascii="Times New Roman" w:hAnsi="Times New Roman" w:cs="Times New Roman"/>
          <w:color w:val="333333"/>
          <w:sz w:val="24"/>
          <w:szCs w:val="24"/>
          <w:shd w:val="clear" w:color="auto" w:fill="FFFFFF"/>
        </w:rPr>
        <w:t>pre-</w:t>
      </w:r>
      <w:r w:rsidR="002D4EED">
        <w:rPr>
          <w:rFonts w:ascii="Times New Roman" w:hAnsi="Times New Roman" w:cs="Times New Roman"/>
          <w:color w:val="333333"/>
          <w:sz w:val="24"/>
          <w:szCs w:val="24"/>
          <w:shd w:val="clear" w:color="auto" w:fill="FFFFFF"/>
        </w:rPr>
        <w:t>c</w:t>
      </w:r>
      <w:r w:rsidR="00D9499E">
        <w:rPr>
          <w:rFonts w:ascii="Times New Roman" w:hAnsi="Times New Roman" w:cs="Times New Roman"/>
          <w:color w:val="333333"/>
          <w:sz w:val="24"/>
          <w:szCs w:val="24"/>
          <w:shd w:val="clear" w:color="auto" w:fill="FFFFFF"/>
        </w:rPr>
        <w:t>ommencement petroleum title (</w:t>
      </w:r>
      <w:r w:rsidR="00391E67">
        <w:rPr>
          <w:rFonts w:ascii="Times New Roman" w:hAnsi="Times New Roman" w:cs="Times New Roman"/>
          <w:color w:val="333333"/>
          <w:sz w:val="24"/>
          <w:szCs w:val="24"/>
          <w:shd w:val="clear" w:color="auto" w:fill="FFFFFF"/>
        </w:rPr>
        <w:t>as defined in the OPGGS</w:t>
      </w:r>
      <w:r w:rsidR="00AB4FB8">
        <w:rPr>
          <w:rFonts w:ascii="Times New Roman" w:hAnsi="Times New Roman" w:cs="Times New Roman"/>
          <w:color w:val="333333"/>
          <w:sz w:val="24"/>
          <w:szCs w:val="24"/>
          <w:shd w:val="clear" w:color="auto" w:fill="FFFFFF"/>
        </w:rPr>
        <w:t> </w:t>
      </w:r>
      <w:r w:rsidR="00391E67">
        <w:rPr>
          <w:rFonts w:ascii="Times New Roman" w:hAnsi="Times New Roman" w:cs="Times New Roman"/>
          <w:color w:val="333333"/>
          <w:sz w:val="24"/>
          <w:szCs w:val="24"/>
          <w:shd w:val="clear" w:color="auto" w:fill="FFFFFF"/>
        </w:rPr>
        <w:t>Act</w:t>
      </w:r>
      <w:r w:rsidR="00D9499E">
        <w:rPr>
          <w:rFonts w:ascii="Times New Roman" w:hAnsi="Times New Roman" w:cs="Times New Roman"/>
          <w:color w:val="333333"/>
          <w:sz w:val="24"/>
          <w:szCs w:val="24"/>
          <w:shd w:val="clear" w:color="auto" w:fill="FFFFFF"/>
        </w:rPr>
        <w:t xml:space="preserve">). </w:t>
      </w:r>
    </w:p>
    <w:p w14:paraId="5A348C52" w14:textId="607DE32D" w:rsidR="00391E67" w:rsidRDefault="005E23C7" w:rsidP="00391E67">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The </w:t>
      </w:r>
      <w:r w:rsidR="002B5ED0" w:rsidRPr="002B5ED0">
        <w:rPr>
          <w:rFonts w:ascii="Times New Roman" w:hAnsi="Times New Roman" w:cs="Times New Roman"/>
          <w:color w:val="333333"/>
          <w:sz w:val="24"/>
          <w:szCs w:val="24"/>
          <w:shd w:val="clear" w:color="auto" w:fill="FFFFFF"/>
        </w:rPr>
        <w:t>licensee must within 60 days</w:t>
      </w:r>
      <w:r w:rsidR="00234D7B">
        <w:rPr>
          <w:rFonts w:ascii="Times New Roman" w:hAnsi="Times New Roman" w:cs="Times New Roman"/>
          <w:color w:val="333333"/>
          <w:sz w:val="24"/>
          <w:szCs w:val="24"/>
          <w:shd w:val="clear" w:color="auto" w:fill="FFFFFF"/>
        </w:rPr>
        <w:t xml:space="preserve"> beginning on the day the direction came into force</w:t>
      </w:r>
      <w:r>
        <w:rPr>
          <w:rFonts w:ascii="Times New Roman" w:hAnsi="Times New Roman" w:cs="Times New Roman"/>
          <w:color w:val="333333"/>
          <w:sz w:val="24"/>
          <w:szCs w:val="24"/>
          <w:shd w:val="clear" w:color="auto" w:fill="FFFFFF"/>
        </w:rPr>
        <w:t xml:space="preserve">, or a longer period agreed by the </w:t>
      </w:r>
      <w:r w:rsidR="00B73688">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 xml:space="preserve">Minister, </w:t>
      </w:r>
      <w:r w:rsidR="002B5ED0" w:rsidRPr="002B5ED0">
        <w:rPr>
          <w:rFonts w:ascii="Times New Roman" w:hAnsi="Times New Roman" w:cs="Times New Roman"/>
          <w:color w:val="333333"/>
          <w:sz w:val="24"/>
          <w:szCs w:val="24"/>
          <w:shd w:val="clear" w:color="auto" w:fill="FFFFFF"/>
        </w:rPr>
        <w:t xml:space="preserve">prepare a draft variation </w:t>
      </w:r>
      <w:r w:rsidR="00391E67">
        <w:rPr>
          <w:rFonts w:ascii="Times New Roman" w:hAnsi="Times New Roman" w:cs="Times New Roman"/>
          <w:color w:val="333333"/>
          <w:sz w:val="24"/>
          <w:szCs w:val="24"/>
          <w:shd w:val="clear" w:color="auto" w:fill="FFFFFF"/>
        </w:rPr>
        <w:t>of</w:t>
      </w:r>
      <w:r w:rsidR="002B5ED0" w:rsidRPr="002B5ED0">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the </w:t>
      </w:r>
      <w:r w:rsidR="002B5ED0" w:rsidRPr="002B5ED0">
        <w:rPr>
          <w:rFonts w:ascii="Times New Roman" w:hAnsi="Times New Roman" w:cs="Times New Roman"/>
          <w:color w:val="333333"/>
          <w:sz w:val="24"/>
          <w:szCs w:val="24"/>
          <w:shd w:val="clear" w:color="auto" w:fill="FFFFFF"/>
        </w:rPr>
        <w:t xml:space="preserve">approved site plan in order to remove </w:t>
      </w:r>
      <w:r>
        <w:rPr>
          <w:rFonts w:ascii="Times New Roman" w:hAnsi="Times New Roman" w:cs="Times New Roman"/>
          <w:color w:val="333333"/>
          <w:sz w:val="24"/>
          <w:szCs w:val="24"/>
          <w:shd w:val="clear" w:color="auto" w:fill="FFFFFF"/>
        </w:rPr>
        <w:t>the</w:t>
      </w:r>
      <w:r w:rsidRPr="002B5ED0">
        <w:rPr>
          <w:rFonts w:ascii="Times New Roman" w:hAnsi="Times New Roman" w:cs="Times New Roman"/>
          <w:color w:val="333333"/>
          <w:sz w:val="24"/>
          <w:szCs w:val="24"/>
          <w:shd w:val="clear" w:color="auto" w:fill="FFFFFF"/>
        </w:rPr>
        <w:t xml:space="preserve"> </w:t>
      </w:r>
      <w:r w:rsidR="002B5ED0" w:rsidRPr="002B5ED0">
        <w:rPr>
          <w:rFonts w:ascii="Times New Roman" w:hAnsi="Times New Roman" w:cs="Times New Roman"/>
          <w:color w:val="333333"/>
          <w:sz w:val="24"/>
          <w:szCs w:val="24"/>
          <w:shd w:val="clear" w:color="auto" w:fill="FFFFFF"/>
        </w:rPr>
        <w:t>inconsistency</w:t>
      </w:r>
      <w:r w:rsidR="00234D7B">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and give the draft variation to the </w:t>
      </w:r>
      <w:r>
        <w:rPr>
          <w:rFonts w:ascii="Times New Roman" w:hAnsi="Times New Roman" w:cs="Times New Roman"/>
          <w:color w:val="333333"/>
          <w:sz w:val="24"/>
          <w:szCs w:val="24"/>
          <w:shd w:val="clear" w:color="auto" w:fill="FFFFFF"/>
        </w:rPr>
        <w:lastRenderedPageBreak/>
        <w:t>Minister.</w:t>
      </w:r>
      <w:r w:rsidR="002B5ED0" w:rsidRPr="002B5ED0">
        <w:rPr>
          <w:rFonts w:ascii="Times New Roman" w:hAnsi="Times New Roman" w:cs="Times New Roman"/>
          <w:color w:val="333333"/>
          <w:sz w:val="24"/>
          <w:szCs w:val="24"/>
          <w:shd w:val="clear" w:color="auto" w:fill="FFFFFF"/>
        </w:rPr>
        <w:t xml:space="preserve"> </w:t>
      </w:r>
      <w:r w:rsidR="00391E67">
        <w:rPr>
          <w:rFonts w:ascii="Times New Roman" w:hAnsi="Times New Roman" w:cs="Times New Roman"/>
          <w:color w:val="333333"/>
          <w:sz w:val="24"/>
          <w:szCs w:val="24"/>
          <w:shd w:val="clear" w:color="auto" w:fill="FFFFFF"/>
        </w:rPr>
        <w:t>The ability for the Minister to agree a longer period reflects that, given</w:t>
      </w:r>
      <w:r w:rsidR="00391E67" w:rsidRPr="0035435B">
        <w:rPr>
          <w:rFonts w:ascii="Times New Roman" w:hAnsi="Times New Roman" w:cs="Times New Roman"/>
          <w:color w:val="333333"/>
          <w:sz w:val="24"/>
          <w:szCs w:val="24"/>
          <w:shd w:val="clear" w:color="auto" w:fill="FFFFFF"/>
        </w:rPr>
        <w:t xml:space="preserve"> the </w:t>
      </w:r>
      <w:r w:rsidR="00391E67">
        <w:rPr>
          <w:rFonts w:ascii="Times New Roman" w:hAnsi="Times New Roman" w:cs="Times New Roman"/>
          <w:color w:val="333333"/>
          <w:sz w:val="24"/>
          <w:szCs w:val="24"/>
          <w:shd w:val="clear" w:color="auto" w:fill="FFFFFF"/>
        </w:rPr>
        <w:t xml:space="preserve">technical </w:t>
      </w:r>
      <w:r w:rsidR="00391E67" w:rsidRPr="0035435B">
        <w:rPr>
          <w:rFonts w:ascii="Times New Roman" w:hAnsi="Times New Roman" w:cs="Times New Roman"/>
          <w:color w:val="333333"/>
          <w:sz w:val="24"/>
          <w:szCs w:val="24"/>
          <w:shd w:val="clear" w:color="auto" w:fill="FFFFFF"/>
        </w:rPr>
        <w:t xml:space="preserve">complexity and range of </w:t>
      </w:r>
      <w:r w:rsidR="00391E67">
        <w:rPr>
          <w:rFonts w:ascii="Times New Roman" w:hAnsi="Times New Roman" w:cs="Times New Roman"/>
          <w:color w:val="333333"/>
          <w:sz w:val="24"/>
          <w:szCs w:val="24"/>
          <w:shd w:val="clear" w:color="auto" w:fill="FFFFFF"/>
        </w:rPr>
        <w:t>matters</w:t>
      </w:r>
      <w:r w:rsidR="00391E67" w:rsidRPr="0035435B">
        <w:rPr>
          <w:rFonts w:ascii="Times New Roman" w:hAnsi="Times New Roman" w:cs="Times New Roman"/>
          <w:color w:val="333333"/>
          <w:sz w:val="24"/>
          <w:szCs w:val="24"/>
          <w:shd w:val="clear" w:color="auto" w:fill="FFFFFF"/>
        </w:rPr>
        <w:t xml:space="preserve"> that a site plan covers, it may take some months for a licensee to prepare a draft variation.</w:t>
      </w:r>
    </w:p>
    <w:p w14:paraId="2CF8101D" w14:textId="3AEC73EF" w:rsidR="00391E67" w:rsidRPr="0035435B" w:rsidRDefault="00391E67" w:rsidP="00391E67">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Section 42 </w:t>
      </w:r>
      <w:r w:rsidR="00B73688">
        <w:rPr>
          <w:rFonts w:ascii="Times New Roman" w:hAnsi="Times New Roman" w:cs="Times New Roman"/>
          <w:color w:val="333333"/>
          <w:sz w:val="24"/>
          <w:szCs w:val="24"/>
          <w:shd w:val="clear" w:color="auto" w:fill="FFFFFF"/>
        </w:rPr>
        <w:t>requires</w:t>
      </w:r>
      <w:r>
        <w:rPr>
          <w:rFonts w:ascii="Times New Roman" w:hAnsi="Times New Roman" w:cs="Times New Roman"/>
          <w:color w:val="333333"/>
          <w:sz w:val="24"/>
          <w:szCs w:val="24"/>
          <w:shd w:val="clear" w:color="auto" w:fill="FFFFFF"/>
        </w:rPr>
        <w:t xml:space="preserve"> the </w:t>
      </w:r>
      <w:r w:rsidR="00B73688">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Minister to approve or refuse to approve a draft variation of a site plan.</w:t>
      </w:r>
    </w:p>
    <w:p w14:paraId="1DAAA704" w14:textId="15841A79" w:rsidR="00391E67" w:rsidRDefault="005E23C7" w:rsidP="00E7057A">
      <w:pPr>
        <w:rPr>
          <w:rFonts w:ascii="Times New Roman" w:hAnsi="Times New Roman" w:cs="Times New Roman"/>
          <w:sz w:val="24"/>
          <w:szCs w:val="24"/>
        </w:rPr>
      </w:pPr>
      <w:r w:rsidRPr="00E7057A">
        <w:rPr>
          <w:rFonts w:ascii="Times New Roman" w:hAnsi="Times New Roman" w:cs="Times New Roman"/>
          <w:sz w:val="24"/>
          <w:szCs w:val="24"/>
        </w:rPr>
        <w:t xml:space="preserve">It is a strict liability offence, punishable by 50 </w:t>
      </w:r>
      <w:r w:rsidR="00391E67">
        <w:rPr>
          <w:rFonts w:ascii="Times New Roman" w:hAnsi="Times New Roman" w:cs="Times New Roman"/>
          <w:sz w:val="24"/>
          <w:szCs w:val="24"/>
        </w:rPr>
        <w:t>PU</w:t>
      </w:r>
      <w:r w:rsidRPr="00E7057A">
        <w:rPr>
          <w:rFonts w:ascii="Times New Roman" w:hAnsi="Times New Roman" w:cs="Times New Roman"/>
          <w:sz w:val="24"/>
          <w:szCs w:val="24"/>
        </w:rPr>
        <w:t xml:space="preserve">, </w:t>
      </w:r>
      <w:r w:rsidR="00B73688">
        <w:rPr>
          <w:rFonts w:ascii="Times New Roman" w:hAnsi="Times New Roman" w:cs="Times New Roman"/>
          <w:sz w:val="24"/>
          <w:szCs w:val="24"/>
        </w:rPr>
        <w:t xml:space="preserve">for a licensee </w:t>
      </w:r>
      <w:r w:rsidRPr="00E7057A">
        <w:rPr>
          <w:rFonts w:ascii="Times New Roman" w:hAnsi="Times New Roman" w:cs="Times New Roman"/>
          <w:sz w:val="24"/>
          <w:szCs w:val="24"/>
        </w:rPr>
        <w:t>not to comply with the requirements</w:t>
      </w:r>
      <w:r w:rsidR="00B73688">
        <w:rPr>
          <w:rFonts w:ascii="Times New Roman" w:hAnsi="Times New Roman" w:cs="Times New Roman"/>
          <w:sz w:val="24"/>
          <w:szCs w:val="24"/>
        </w:rPr>
        <w:t xml:space="preserve"> in subsection 39(2)</w:t>
      </w:r>
      <w:r w:rsidRPr="00E7057A">
        <w:rPr>
          <w:rFonts w:ascii="Times New Roman" w:hAnsi="Times New Roman" w:cs="Times New Roman"/>
          <w:sz w:val="24"/>
          <w:szCs w:val="24"/>
        </w:rPr>
        <w:t>.</w:t>
      </w:r>
      <w:r w:rsidR="00391E67">
        <w:rPr>
          <w:rFonts w:ascii="Times New Roman" w:hAnsi="Times New Roman" w:cs="Times New Roman"/>
          <w:sz w:val="24"/>
          <w:szCs w:val="24"/>
        </w:rPr>
        <w:t xml:space="preserve"> </w:t>
      </w:r>
      <w:r w:rsidR="00391E67">
        <w:rPr>
          <w:rFonts w:ascii="Times New Roman" w:hAnsi="Times New Roman" w:cs="Times New Roman"/>
          <w:color w:val="333333"/>
          <w:sz w:val="24"/>
          <w:szCs w:val="24"/>
          <w:shd w:val="clear" w:color="auto" w:fill="FFFFFF"/>
        </w:rPr>
        <w:t xml:space="preserve">This is consistent with the principles outlined in section 3.3 of </w:t>
      </w:r>
      <w:r w:rsidR="00391E67">
        <w:rPr>
          <w:rFonts w:ascii="Times New Roman" w:hAnsi="Times New Roman" w:cs="Times New Roman"/>
          <w:sz w:val="24"/>
          <w:szCs w:val="24"/>
        </w:rPr>
        <w:t>the Guide, which states that penalties in regulations generally should not exceed 50 PU. Section</w:t>
      </w:r>
      <w:r w:rsidR="00AB4FB8">
        <w:rPr>
          <w:rFonts w:ascii="Times New Roman" w:hAnsi="Times New Roman" w:cs="Times New Roman"/>
          <w:sz w:val="24"/>
          <w:szCs w:val="24"/>
        </w:rPr>
        <w:t> </w:t>
      </w:r>
      <w:r w:rsidR="00391E67">
        <w:rPr>
          <w:rFonts w:ascii="Times New Roman" w:hAnsi="Times New Roman" w:cs="Times New Roman"/>
          <w:sz w:val="24"/>
          <w:szCs w:val="24"/>
        </w:rPr>
        <w:t xml:space="preserve">2.2.6 of the Guide also states that application of strict liability is generally only considered appropriate where the offence is punishable by a fine of up to 60 PU. The maximum </w:t>
      </w:r>
      <w:r w:rsidR="00391E67" w:rsidRPr="00C562E0">
        <w:rPr>
          <w:rFonts w:ascii="Times New Roman" w:hAnsi="Times New Roman" w:cs="Times New Roman"/>
          <w:sz w:val="24"/>
          <w:szCs w:val="24"/>
          <w:shd w:val="clear" w:color="auto" w:fill="FFFFFF"/>
        </w:rPr>
        <w:t xml:space="preserve">penalty for a failure to comply </w:t>
      </w:r>
      <w:r w:rsidR="00391E67">
        <w:rPr>
          <w:rFonts w:ascii="Times New Roman" w:hAnsi="Times New Roman" w:cs="Times New Roman"/>
          <w:sz w:val="24"/>
          <w:szCs w:val="24"/>
          <w:shd w:val="clear" w:color="auto" w:fill="FFFFFF"/>
        </w:rPr>
        <w:t xml:space="preserve">where the </w:t>
      </w:r>
      <w:r w:rsidR="00391E67" w:rsidRPr="00C562E0">
        <w:rPr>
          <w:rFonts w:ascii="Times New Roman" w:hAnsi="Times New Roman" w:cs="Times New Roman"/>
          <w:sz w:val="24"/>
          <w:szCs w:val="24"/>
          <w:shd w:val="clear" w:color="auto" w:fill="FFFFFF"/>
        </w:rPr>
        <w:t xml:space="preserve">offence </w:t>
      </w:r>
      <w:r w:rsidR="00391E67">
        <w:rPr>
          <w:rFonts w:ascii="Times New Roman" w:hAnsi="Times New Roman" w:cs="Times New Roman"/>
          <w:sz w:val="24"/>
          <w:szCs w:val="24"/>
          <w:shd w:val="clear" w:color="auto" w:fill="FFFFFF"/>
        </w:rPr>
        <w:t xml:space="preserve">is </w:t>
      </w:r>
      <w:r w:rsidR="00391E67" w:rsidRPr="00C562E0">
        <w:rPr>
          <w:rFonts w:ascii="Times New Roman" w:hAnsi="Times New Roman" w:cs="Times New Roman"/>
          <w:sz w:val="24"/>
          <w:szCs w:val="24"/>
          <w:shd w:val="clear" w:color="auto" w:fill="FFFFFF"/>
        </w:rPr>
        <w:t xml:space="preserve">committed by a body corporate </w:t>
      </w:r>
      <w:r w:rsidR="00391E67">
        <w:rPr>
          <w:rFonts w:ascii="Times New Roman" w:hAnsi="Times New Roman" w:cs="Times New Roman"/>
          <w:sz w:val="24"/>
          <w:szCs w:val="24"/>
          <w:shd w:val="clear" w:color="auto" w:fill="FFFFFF"/>
        </w:rPr>
        <w:t xml:space="preserve">is five times the specified penalty amount, </w:t>
      </w:r>
      <w:r w:rsidR="00391E67" w:rsidRPr="00C562E0">
        <w:rPr>
          <w:rFonts w:ascii="Times New Roman" w:hAnsi="Times New Roman" w:cs="Times New Roman"/>
          <w:sz w:val="24"/>
          <w:szCs w:val="24"/>
          <w:shd w:val="clear" w:color="auto" w:fill="FFFFFF"/>
        </w:rPr>
        <w:t>due to the operation of subsection 4</w:t>
      </w:r>
      <w:proofErr w:type="gramStart"/>
      <w:r w:rsidR="00391E67" w:rsidRPr="00C562E0">
        <w:rPr>
          <w:rFonts w:ascii="Times New Roman" w:hAnsi="Times New Roman" w:cs="Times New Roman"/>
          <w:sz w:val="24"/>
          <w:szCs w:val="24"/>
          <w:shd w:val="clear" w:color="auto" w:fill="FFFFFF"/>
        </w:rPr>
        <w:t>B</w:t>
      </w:r>
      <w:r w:rsidR="00391E67">
        <w:rPr>
          <w:rFonts w:ascii="Times New Roman" w:hAnsi="Times New Roman" w:cs="Times New Roman"/>
          <w:sz w:val="24"/>
          <w:szCs w:val="24"/>
          <w:shd w:val="clear" w:color="auto" w:fill="FFFFFF"/>
        </w:rPr>
        <w:t>(</w:t>
      </w:r>
      <w:proofErr w:type="gramEnd"/>
      <w:r w:rsidR="00391E67">
        <w:rPr>
          <w:rFonts w:ascii="Times New Roman" w:hAnsi="Times New Roman" w:cs="Times New Roman"/>
          <w:sz w:val="24"/>
          <w:szCs w:val="24"/>
          <w:shd w:val="clear" w:color="auto" w:fill="FFFFFF"/>
        </w:rPr>
        <w:t>3)</w:t>
      </w:r>
      <w:r w:rsidR="00391E67" w:rsidRPr="00C562E0">
        <w:rPr>
          <w:rFonts w:ascii="Times New Roman" w:hAnsi="Times New Roman" w:cs="Times New Roman"/>
          <w:sz w:val="24"/>
          <w:szCs w:val="24"/>
          <w:shd w:val="clear" w:color="auto" w:fill="FFFFFF"/>
        </w:rPr>
        <w:t xml:space="preserve"> of the </w:t>
      </w:r>
      <w:r w:rsidR="00391E67" w:rsidRPr="00C562E0">
        <w:rPr>
          <w:rFonts w:ascii="Times New Roman" w:hAnsi="Times New Roman" w:cs="Times New Roman"/>
          <w:i/>
          <w:iCs/>
          <w:sz w:val="24"/>
          <w:szCs w:val="24"/>
          <w:shd w:val="clear" w:color="auto" w:fill="FFFFFF"/>
        </w:rPr>
        <w:t>Crimes Act 1914</w:t>
      </w:r>
      <w:r w:rsidR="00391E67" w:rsidRPr="00C562E0">
        <w:rPr>
          <w:rFonts w:ascii="Times New Roman" w:hAnsi="Times New Roman" w:cs="Times New Roman"/>
          <w:sz w:val="24"/>
          <w:szCs w:val="24"/>
          <w:shd w:val="clear" w:color="auto" w:fill="FFFFFF"/>
        </w:rPr>
        <w:t>.</w:t>
      </w:r>
    </w:p>
    <w:p w14:paraId="5F05E5ED" w14:textId="71CC2E92" w:rsidR="00907BF1" w:rsidRPr="00391E67" w:rsidRDefault="00391E67" w:rsidP="00391E67">
      <w:pPr>
        <w:rPr>
          <w:rFonts w:ascii="Times New Roman" w:hAnsi="Times New Roman" w:cs="Times New Roman"/>
          <w:sz w:val="24"/>
          <w:szCs w:val="24"/>
        </w:rPr>
      </w:pPr>
      <w:r>
        <w:rPr>
          <w:rFonts w:ascii="Times New Roman" w:hAnsi="Times New Roman" w:cs="Times New Roman"/>
          <w:sz w:val="24"/>
          <w:szCs w:val="24"/>
        </w:rPr>
        <w:t>I</w:t>
      </w:r>
      <w:r w:rsidR="005E1151" w:rsidRPr="00391E67">
        <w:rPr>
          <w:rFonts w:ascii="Times New Roman" w:hAnsi="Times New Roman" w:cs="Times New Roman"/>
          <w:sz w:val="24"/>
          <w:szCs w:val="24"/>
        </w:rPr>
        <w:t xml:space="preserve">t is appropriate to impose a criminal </w:t>
      </w:r>
      <w:r>
        <w:rPr>
          <w:rFonts w:ascii="Times New Roman" w:hAnsi="Times New Roman" w:cs="Times New Roman"/>
          <w:sz w:val="24"/>
          <w:szCs w:val="24"/>
        </w:rPr>
        <w:t>penalty</w:t>
      </w:r>
      <w:r w:rsidR="005E1151" w:rsidRPr="00391E67">
        <w:rPr>
          <w:rFonts w:ascii="Times New Roman" w:hAnsi="Times New Roman" w:cs="Times New Roman"/>
          <w:sz w:val="24"/>
          <w:szCs w:val="24"/>
        </w:rPr>
        <w:t xml:space="preserve"> for</w:t>
      </w:r>
      <w:r>
        <w:rPr>
          <w:rFonts w:ascii="Times New Roman" w:hAnsi="Times New Roman" w:cs="Times New Roman"/>
          <w:sz w:val="24"/>
          <w:szCs w:val="24"/>
        </w:rPr>
        <w:t xml:space="preserve"> a</w:t>
      </w:r>
      <w:r w:rsidR="005E1151" w:rsidRPr="00391E67">
        <w:rPr>
          <w:rFonts w:ascii="Times New Roman" w:hAnsi="Times New Roman" w:cs="Times New Roman"/>
          <w:sz w:val="24"/>
          <w:szCs w:val="24"/>
        </w:rPr>
        <w:t xml:space="preserve"> breach of these obligations, </w:t>
      </w:r>
      <w:r>
        <w:rPr>
          <w:rFonts w:ascii="Times New Roman" w:hAnsi="Times New Roman" w:cs="Times New Roman"/>
          <w:sz w:val="24"/>
          <w:szCs w:val="24"/>
        </w:rPr>
        <w:t xml:space="preserve">given the nature of the matters in relation to which the </w:t>
      </w:r>
      <w:r w:rsidR="00B73688">
        <w:rPr>
          <w:rFonts w:ascii="Times New Roman" w:hAnsi="Times New Roman" w:cs="Times New Roman"/>
          <w:sz w:val="24"/>
          <w:szCs w:val="24"/>
        </w:rPr>
        <w:t xml:space="preserve">responsible Commonwealth </w:t>
      </w:r>
      <w:r>
        <w:rPr>
          <w:rFonts w:ascii="Times New Roman" w:hAnsi="Times New Roman" w:cs="Times New Roman"/>
          <w:sz w:val="24"/>
          <w:szCs w:val="24"/>
        </w:rPr>
        <w:t>Minister may give a direction to a licensee</w:t>
      </w:r>
      <w:r w:rsidR="005E1151" w:rsidRPr="00391E67">
        <w:rPr>
          <w:rFonts w:ascii="Times New Roman" w:hAnsi="Times New Roman" w:cs="Times New Roman"/>
          <w:sz w:val="24"/>
          <w:szCs w:val="24"/>
        </w:rPr>
        <w:t>.</w:t>
      </w:r>
      <w:r>
        <w:rPr>
          <w:rFonts w:ascii="Times New Roman" w:hAnsi="Times New Roman" w:cs="Times New Roman"/>
          <w:sz w:val="24"/>
          <w:szCs w:val="24"/>
        </w:rPr>
        <w:t xml:space="preserve"> In these circumstances it is important that the site plan is varied to ensure consistency with a direction, such that the plan continues to be </w:t>
      </w:r>
      <w:r>
        <w:rPr>
          <w:rFonts w:ascii="Times New Roman" w:hAnsi="Times New Roman" w:cs="Times New Roman"/>
          <w:color w:val="333333"/>
          <w:sz w:val="24"/>
          <w:szCs w:val="24"/>
          <w:shd w:val="clear" w:color="auto" w:fill="FFFFFF"/>
        </w:rPr>
        <w:t xml:space="preserve">suitable for the safe and sustainable operations for injection and storage of a GHG </w:t>
      </w:r>
      <w:r w:rsidRPr="008C6141">
        <w:rPr>
          <w:rFonts w:ascii="Times New Roman" w:hAnsi="Times New Roman" w:cs="Times New Roman"/>
          <w:sz w:val="24"/>
          <w:szCs w:val="24"/>
        </w:rPr>
        <w:t>substance.</w:t>
      </w:r>
      <w:r>
        <w:rPr>
          <w:rFonts w:ascii="Times New Roman" w:hAnsi="Times New Roman" w:cs="Times New Roman"/>
          <w:sz w:val="24"/>
          <w:szCs w:val="24"/>
        </w:rPr>
        <w:t xml:space="preserve"> </w:t>
      </w:r>
      <w:r w:rsidR="008C6141" w:rsidRPr="008C6141">
        <w:rPr>
          <w:rFonts w:ascii="Times New Roman" w:hAnsi="Times New Roman" w:cs="Times New Roman"/>
          <w:sz w:val="24"/>
          <w:szCs w:val="24"/>
        </w:rPr>
        <w:t xml:space="preserve">Variation of the site plan </w:t>
      </w:r>
      <w:r w:rsidR="008C6141">
        <w:rPr>
          <w:rFonts w:ascii="Times New Roman" w:hAnsi="Times New Roman" w:cs="Times New Roman"/>
          <w:sz w:val="24"/>
          <w:szCs w:val="24"/>
        </w:rPr>
        <w:t>will</w:t>
      </w:r>
      <w:r w:rsidR="008C6141" w:rsidRPr="008C6141">
        <w:rPr>
          <w:rFonts w:ascii="Times New Roman" w:hAnsi="Times New Roman" w:cs="Times New Roman"/>
          <w:sz w:val="24"/>
          <w:szCs w:val="24"/>
        </w:rPr>
        <w:t xml:space="preserve"> also ensure that the titleholder can be compliant with both the direction and the plan.  </w:t>
      </w:r>
      <w:r w:rsidR="005E1151" w:rsidRPr="00391E67">
        <w:rPr>
          <w:rFonts w:ascii="Times New Roman" w:hAnsi="Times New Roman" w:cs="Times New Roman"/>
          <w:sz w:val="24"/>
          <w:szCs w:val="24"/>
        </w:rPr>
        <w:t xml:space="preserve"> </w:t>
      </w:r>
    </w:p>
    <w:p w14:paraId="58A5C09B" w14:textId="150460A0" w:rsidR="00391E67" w:rsidRDefault="00391E67" w:rsidP="00391E67">
      <w:pPr>
        <w:rPr>
          <w:rFonts w:ascii="Times New Roman" w:hAnsi="Times New Roman" w:cs="Times New Roman"/>
          <w:sz w:val="24"/>
          <w:szCs w:val="24"/>
        </w:rPr>
      </w:pPr>
      <w:bookmarkStart w:id="20" w:name="_Hlk147992421"/>
      <w:r w:rsidRPr="00420D8A">
        <w:rPr>
          <w:rFonts w:ascii="Times New Roman" w:hAnsi="Times New Roman" w:cs="Times New Roman"/>
          <w:sz w:val="24"/>
          <w:szCs w:val="24"/>
        </w:rPr>
        <w:t xml:space="preserve">It is also appropriate to apply strict liability to the offence to </w:t>
      </w:r>
      <w:r>
        <w:rPr>
          <w:rFonts w:ascii="Times New Roman" w:hAnsi="Times New Roman" w:cs="Times New Roman"/>
          <w:sz w:val="24"/>
          <w:szCs w:val="24"/>
        </w:rPr>
        <w:t xml:space="preserve">promote compliance with the regulatory regime and </w:t>
      </w:r>
      <w:r w:rsidRPr="00420D8A">
        <w:rPr>
          <w:rFonts w:ascii="Times New Roman" w:hAnsi="Times New Roman" w:cs="Times New Roman"/>
          <w:sz w:val="24"/>
          <w:szCs w:val="24"/>
        </w:rPr>
        <w:t xml:space="preserve">ensure section </w:t>
      </w:r>
      <w:r>
        <w:rPr>
          <w:rFonts w:ascii="Times New Roman" w:hAnsi="Times New Roman" w:cs="Times New Roman"/>
          <w:sz w:val="24"/>
          <w:szCs w:val="24"/>
        </w:rPr>
        <w:t>39</w:t>
      </w:r>
      <w:r w:rsidRPr="00420D8A">
        <w:rPr>
          <w:rFonts w:ascii="Times New Roman" w:hAnsi="Times New Roman" w:cs="Times New Roman"/>
          <w:sz w:val="24"/>
          <w:szCs w:val="24"/>
        </w:rPr>
        <w:t xml:space="preserve"> can be effectively enforced. </w:t>
      </w:r>
      <w:r>
        <w:rPr>
          <w:rFonts w:ascii="Times New Roman" w:hAnsi="Times New Roman" w:cs="Times New Roman"/>
          <w:sz w:val="24"/>
          <w:szCs w:val="24"/>
        </w:rPr>
        <w:t>This is</w:t>
      </w:r>
      <w:r w:rsidRPr="00420D8A">
        <w:rPr>
          <w:rFonts w:ascii="Times New Roman" w:hAnsi="Times New Roman" w:cs="Times New Roman"/>
          <w:sz w:val="24"/>
          <w:szCs w:val="24"/>
        </w:rPr>
        <w:t xml:space="preserve"> consistent with the principles outlined in</w:t>
      </w:r>
      <w:r>
        <w:rPr>
          <w:rFonts w:ascii="Times New Roman" w:hAnsi="Times New Roman" w:cs="Times New Roman"/>
          <w:sz w:val="24"/>
          <w:szCs w:val="24"/>
        </w:rPr>
        <w:t xml:space="preserve"> section 2.2.6 of the Guide</w:t>
      </w:r>
      <w:r w:rsidRPr="00420D8A">
        <w:rPr>
          <w:rFonts w:ascii="Times New Roman" w:hAnsi="Times New Roman" w:cs="Times New Roman"/>
          <w:sz w:val="24"/>
          <w:szCs w:val="24"/>
        </w:rPr>
        <w:t>. Given the remote and complex nature of offshore operations,</w:t>
      </w:r>
      <w:r>
        <w:rPr>
          <w:rFonts w:ascii="Times New Roman" w:hAnsi="Times New Roman" w:cs="Times New Roman"/>
          <w:sz w:val="24"/>
          <w:szCs w:val="24"/>
        </w:rPr>
        <w:t xml:space="preserve"> and the prevalence of joint venture titleholder arrangements,</w:t>
      </w:r>
      <w:r w:rsidRPr="00420D8A">
        <w:rPr>
          <w:rFonts w:ascii="Times New Roman" w:hAnsi="Times New Roman" w:cs="Times New Roman"/>
          <w:sz w:val="24"/>
          <w:szCs w:val="24"/>
        </w:rPr>
        <w:t xml:space="preserve"> it can be extremely difficult to prove intent, and requiring that proof may make it impractical to enforce the regime. </w:t>
      </w:r>
      <w:r>
        <w:rPr>
          <w:rFonts w:ascii="Times New Roman" w:hAnsi="Times New Roman" w:cs="Times New Roman"/>
          <w:sz w:val="24"/>
          <w:szCs w:val="24"/>
        </w:rPr>
        <w:t>A</w:t>
      </w:r>
      <w:r w:rsidRPr="00420D8A">
        <w:rPr>
          <w:rFonts w:ascii="Times New Roman" w:hAnsi="Times New Roman" w:cs="Times New Roman"/>
          <w:sz w:val="24"/>
          <w:szCs w:val="24"/>
        </w:rPr>
        <w:t xml:space="preserve"> GHG injection licensee is responsible for </w:t>
      </w:r>
      <w:r>
        <w:rPr>
          <w:rFonts w:ascii="Times New Roman" w:hAnsi="Times New Roman" w:cs="Times New Roman"/>
          <w:sz w:val="24"/>
          <w:szCs w:val="24"/>
        </w:rPr>
        <w:t xml:space="preserve">preparing a variation of a </w:t>
      </w:r>
      <w:r w:rsidRPr="00420D8A">
        <w:rPr>
          <w:rFonts w:ascii="Times New Roman" w:hAnsi="Times New Roman" w:cs="Times New Roman"/>
          <w:sz w:val="24"/>
          <w:szCs w:val="24"/>
        </w:rPr>
        <w:t xml:space="preserve">site plan </w:t>
      </w:r>
      <w:r>
        <w:rPr>
          <w:rFonts w:ascii="Times New Roman" w:hAnsi="Times New Roman" w:cs="Times New Roman"/>
          <w:sz w:val="24"/>
          <w:szCs w:val="24"/>
        </w:rPr>
        <w:t>for</w:t>
      </w:r>
      <w:r w:rsidRPr="00420D8A">
        <w:rPr>
          <w:rFonts w:ascii="Times New Roman" w:hAnsi="Times New Roman" w:cs="Times New Roman"/>
          <w:sz w:val="24"/>
          <w:szCs w:val="24"/>
        </w:rPr>
        <w:t xml:space="preserve"> approv</w:t>
      </w:r>
      <w:r>
        <w:rPr>
          <w:rFonts w:ascii="Times New Roman" w:hAnsi="Times New Roman" w:cs="Times New Roman"/>
          <w:sz w:val="24"/>
          <w:szCs w:val="24"/>
        </w:rPr>
        <w:t>al</w:t>
      </w:r>
      <w:r w:rsidRPr="00420D8A">
        <w:rPr>
          <w:rFonts w:ascii="Times New Roman" w:hAnsi="Times New Roman" w:cs="Times New Roman"/>
          <w:sz w:val="24"/>
          <w:szCs w:val="24"/>
        </w:rPr>
        <w:t xml:space="preserve"> by the </w:t>
      </w:r>
      <w:r w:rsidR="00B84F3E">
        <w:rPr>
          <w:rFonts w:ascii="Times New Roman" w:hAnsi="Times New Roman" w:cs="Times New Roman"/>
          <w:sz w:val="24"/>
          <w:szCs w:val="24"/>
        </w:rPr>
        <w:t xml:space="preserve">responsible Commonwealth </w:t>
      </w:r>
      <w:r w:rsidRPr="00420D8A">
        <w:rPr>
          <w:rFonts w:ascii="Times New Roman" w:hAnsi="Times New Roman" w:cs="Times New Roman"/>
          <w:sz w:val="24"/>
          <w:szCs w:val="24"/>
        </w:rPr>
        <w:t>Minister</w:t>
      </w:r>
      <w:r>
        <w:rPr>
          <w:rFonts w:ascii="Times New Roman" w:hAnsi="Times New Roman" w:cs="Times New Roman"/>
          <w:sz w:val="24"/>
          <w:szCs w:val="24"/>
        </w:rPr>
        <w:t xml:space="preserve"> in the circumstances set out in section 39. They would </w:t>
      </w:r>
      <w:r w:rsidRPr="00420D8A">
        <w:rPr>
          <w:rFonts w:ascii="Times New Roman" w:hAnsi="Times New Roman" w:cs="Times New Roman"/>
          <w:sz w:val="24"/>
          <w:szCs w:val="24"/>
        </w:rPr>
        <w:t>be aware of the</w:t>
      </w:r>
      <w:r>
        <w:rPr>
          <w:rFonts w:ascii="Times New Roman" w:hAnsi="Times New Roman" w:cs="Times New Roman"/>
          <w:sz w:val="24"/>
          <w:szCs w:val="24"/>
        </w:rPr>
        <w:t>ir</w:t>
      </w:r>
      <w:r w:rsidRPr="00420D8A">
        <w:rPr>
          <w:rFonts w:ascii="Times New Roman" w:hAnsi="Times New Roman" w:cs="Times New Roman"/>
          <w:sz w:val="24"/>
          <w:szCs w:val="24"/>
        </w:rPr>
        <w:t xml:space="preserve"> </w:t>
      </w:r>
      <w:r>
        <w:rPr>
          <w:rFonts w:ascii="Times New Roman" w:hAnsi="Times New Roman" w:cs="Times New Roman"/>
          <w:sz w:val="24"/>
          <w:szCs w:val="24"/>
        </w:rPr>
        <w:t>obligations in</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relation </w:t>
      </w:r>
      <w:r w:rsidRPr="00420D8A">
        <w:rPr>
          <w:rFonts w:ascii="Times New Roman" w:hAnsi="Times New Roman" w:cs="Times New Roman"/>
          <w:sz w:val="24"/>
          <w:szCs w:val="24"/>
        </w:rPr>
        <w:t xml:space="preserve">to </w:t>
      </w:r>
      <w:r>
        <w:rPr>
          <w:rFonts w:ascii="Times New Roman" w:hAnsi="Times New Roman" w:cs="Times New Roman"/>
          <w:sz w:val="24"/>
          <w:szCs w:val="24"/>
        </w:rPr>
        <w:t xml:space="preserve">an approved site plan </w:t>
      </w:r>
      <w:r>
        <w:rPr>
          <w:rFonts w:ascii="Times New Roman" w:hAnsi="Times New Roman" w:cs="Times New Roman"/>
          <w:sz w:val="24"/>
          <w:szCs w:val="24"/>
          <w:shd w:val="clear" w:color="auto" w:fill="FFFFFF"/>
        </w:rPr>
        <w:t>and of the need to have an up to date and suitable site plan to authorise their operations</w:t>
      </w:r>
      <w:r w:rsidR="008C6141">
        <w:rPr>
          <w:rFonts w:ascii="Times New Roman" w:hAnsi="Times New Roman" w:cs="Times New Roman"/>
          <w:sz w:val="24"/>
          <w:szCs w:val="24"/>
          <w:shd w:val="clear" w:color="auto" w:fill="FFFFFF"/>
        </w:rPr>
        <w:t>, including the importance of ensuring that a site plan is consistent with a direction given by the responsible Commonwealth Minister</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The licensee would also be aware that a licence is granted on the understanding that licensees will take all reasonable steps to ensure that regulatory obligations are complied with, noting the high-hazard nature of operations, and that tenure over the relevant licence area is granted to the licensee based on factors such as their capacity to undertake safe and sustainable operations. </w:t>
      </w:r>
      <w:r w:rsidRPr="00420D8A">
        <w:rPr>
          <w:rFonts w:ascii="Times New Roman" w:hAnsi="Times New Roman" w:cs="Times New Roman"/>
          <w:sz w:val="24"/>
          <w:szCs w:val="24"/>
        </w:rPr>
        <w:t>If there is an honest and reasonable mistake of fact</w:t>
      </w:r>
      <w:r>
        <w:rPr>
          <w:rFonts w:ascii="Times New Roman" w:hAnsi="Times New Roman" w:cs="Times New Roman"/>
          <w:sz w:val="24"/>
          <w:szCs w:val="24"/>
        </w:rPr>
        <w:t xml:space="preserve"> on the licensee’s part</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this may be </w:t>
      </w:r>
      <w:r w:rsidRPr="00420D8A">
        <w:rPr>
          <w:rFonts w:ascii="Times New Roman" w:hAnsi="Times New Roman" w:cs="Times New Roman"/>
          <w:sz w:val="24"/>
          <w:szCs w:val="24"/>
        </w:rPr>
        <w:t>raise</w:t>
      </w:r>
      <w:r>
        <w:rPr>
          <w:rFonts w:ascii="Times New Roman" w:hAnsi="Times New Roman" w:cs="Times New Roman"/>
          <w:sz w:val="24"/>
          <w:szCs w:val="24"/>
        </w:rPr>
        <w:t>d</w:t>
      </w:r>
      <w:r w:rsidRPr="00420D8A">
        <w:rPr>
          <w:rFonts w:ascii="Times New Roman" w:hAnsi="Times New Roman" w:cs="Times New Roman"/>
          <w:sz w:val="24"/>
          <w:szCs w:val="24"/>
        </w:rPr>
        <w:t xml:space="preserve"> in defence to a prosecution.</w:t>
      </w:r>
    </w:p>
    <w:bookmarkEnd w:id="20"/>
    <w:p w14:paraId="4FC5375F" w14:textId="62E9C691" w:rsidR="00391E67" w:rsidRPr="00FA7784" w:rsidRDefault="00391E67" w:rsidP="00391E67">
      <w:pPr>
        <w:rPr>
          <w:rFonts w:ascii="Times New Roman" w:hAnsi="Times New Roman" w:cs="Times New Roman"/>
          <w:sz w:val="24"/>
          <w:szCs w:val="24"/>
        </w:rPr>
      </w:pPr>
      <w:r>
        <w:rPr>
          <w:rFonts w:ascii="Times New Roman" w:hAnsi="Times New Roman" w:cs="Times New Roman"/>
          <w:sz w:val="24"/>
          <w:szCs w:val="24"/>
        </w:rPr>
        <w:t xml:space="preserve">Subsection 39(4) is a continuing offence under section 4K of the </w:t>
      </w:r>
      <w:r>
        <w:rPr>
          <w:rFonts w:ascii="Times New Roman" w:hAnsi="Times New Roman" w:cs="Times New Roman"/>
          <w:i/>
          <w:iCs/>
          <w:sz w:val="24"/>
          <w:szCs w:val="24"/>
        </w:rPr>
        <w:t>Crimes Act 1914</w:t>
      </w:r>
      <w:r>
        <w:rPr>
          <w:rFonts w:ascii="Times New Roman" w:hAnsi="Times New Roman" w:cs="Times New Roman"/>
          <w:sz w:val="24"/>
          <w:szCs w:val="24"/>
        </w:rPr>
        <w:t>. Section 62 of the GHG Regulations sets out that the maximum penalty for each day that an offence under subsection 39(4) continues is 10% of the maximum penalty that can be imposed in respect of that offence.</w:t>
      </w:r>
    </w:p>
    <w:p w14:paraId="11B48713" w14:textId="4F9E14E2" w:rsidR="00391E67" w:rsidRPr="00420D8A" w:rsidRDefault="00391E67" w:rsidP="00391E67">
      <w:pPr>
        <w:rPr>
          <w:rFonts w:ascii="Times New Roman" w:hAnsi="Times New Roman" w:cs="Times New Roman"/>
          <w:sz w:val="24"/>
          <w:szCs w:val="24"/>
        </w:rPr>
      </w:pPr>
      <w:r>
        <w:rPr>
          <w:rFonts w:ascii="Times New Roman" w:hAnsi="Times New Roman" w:cs="Times New Roman"/>
          <w:sz w:val="24"/>
          <w:szCs w:val="24"/>
        </w:rPr>
        <w:t>The licensee is also liable to a civil penalty of 500 PU for a failure to comply with s</w:t>
      </w:r>
      <w:r w:rsidR="00B73688">
        <w:rPr>
          <w:rFonts w:ascii="Times New Roman" w:hAnsi="Times New Roman" w:cs="Times New Roman"/>
          <w:sz w:val="24"/>
          <w:szCs w:val="24"/>
        </w:rPr>
        <w:t>ubs</w:t>
      </w:r>
      <w:r>
        <w:rPr>
          <w:rFonts w:ascii="Times New Roman" w:hAnsi="Times New Roman" w:cs="Times New Roman"/>
          <w:sz w:val="24"/>
          <w:szCs w:val="24"/>
        </w:rPr>
        <w:t>ection</w:t>
      </w:r>
      <w:r w:rsidR="00B73688">
        <w:rPr>
          <w:rFonts w:ascii="Times New Roman" w:hAnsi="Times New Roman" w:cs="Times New Roman"/>
          <w:sz w:val="24"/>
          <w:szCs w:val="24"/>
        </w:rPr>
        <w:t> </w:t>
      </w:r>
      <w:r>
        <w:rPr>
          <w:rFonts w:ascii="Times New Roman" w:hAnsi="Times New Roman" w:cs="Times New Roman"/>
          <w:sz w:val="24"/>
          <w:szCs w:val="24"/>
        </w:rPr>
        <w:t>39</w:t>
      </w:r>
      <w:r w:rsidR="00B73688">
        <w:rPr>
          <w:rFonts w:ascii="Times New Roman" w:hAnsi="Times New Roman" w:cs="Times New Roman"/>
          <w:sz w:val="24"/>
          <w:szCs w:val="24"/>
        </w:rPr>
        <w:t>(2)</w:t>
      </w:r>
      <w:r>
        <w:rPr>
          <w:rFonts w:ascii="Times New Roman" w:hAnsi="Times New Roman" w:cs="Times New Roman"/>
          <w:sz w:val="24"/>
          <w:szCs w:val="24"/>
        </w:rPr>
        <w:t>. O</w:t>
      </w:r>
      <w:r w:rsidRPr="00420D8A">
        <w:rPr>
          <w:rFonts w:ascii="Times New Roman" w:hAnsi="Times New Roman" w:cs="Times New Roman"/>
          <w:sz w:val="24"/>
          <w:szCs w:val="24"/>
        </w:rPr>
        <w:t xml:space="preserve">ffshore </w:t>
      </w:r>
      <w:r>
        <w:rPr>
          <w:rFonts w:ascii="Times New Roman" w:hAnsi="Times New Roman" w:cs="Times New Roman"/>
          <w:sz w:val="24"/>
          <w:szCs w:val="24"/>
        </w:rPr>
        <w:t>operations</w:t>
      </w:r>
      <w:r w:rsidRPr="00420D8A">
        <w:rPr>
          <w:rFonts w:ascii="Times New Roman" w:hAnsi="Times New Roman" w:cs="Times New Roman"/>
          <w:sz w:val="24"/>
          <w:szCs w:val="24"/>
        </w:rPr>
        <w:t xml:space="preserve"> require a very high level of expenditure</w:t>
      </w:r>
      <w:r>
        <w:rPr>
          <w:rFonts w:ascii="Times New Roman" w:hAnsi="Times New Roman" w:cs="Times New Roman"/>
          <w:sz w:val="24"/>
          <w:szCs w:val="24"/>
        </w:rPr>
        <w:t xml:space="preserve">, and therefore </w:t>
      </w:r>
      <w:r>
        <w:rPr>
          <w:rFonts w:ascii="Times New Roman" w:hAnsi="Times New Roman" w:cs="Times New Roman"/>
          <w:sz w:val="24"/>
          <w:szCs w:val="24"/>
        </w:rPr>
        <w:lastRenderedPageBreak/>
        <w:t>licensees are well</w:t>
      </w:r>
      <w:r w:rsidR="00C60F15">
        <w:rPr>
          <w:rFonts w:ascii="Times New Roman" w:hAnsi="Times New Roman" w:cs="Times New Roman"/>
          <w:sz w:val="24"/>
          <w:szCs w:val="24"/>
        </w:rPr>
        <w:noBreakHyphen/>
      </w:r>
      <w:r>
        <w:rPr>
          <w:rFonts w:ascii="Times New Roman" w:hAnsi="Times New Roman" w:cs="Times New Roman"/>
          <w:sz w:val="24"/>
          <w:szCs w:val="24"/>
        </w:rPr>
        <w:t xml:space="preserve">resourced, sophisticated entities. </w:t>
      </w:r>
      <w:r>
        <w:rPr>
          <w:rFonts w:ascii="Times New Roman" w:hAnsi="Times New Roman" w:cs="Times New Roman"/>
          <w:sz w:val="24"/>
          <w:szCs w:val="24"/>
          <w:shd w:val="clear" w:color="auto" w:fill="FFFFFF"/>
        </w:rPr>
        <w:t xml:space="preserve">To be an effective deterrent, the penalty must therefore be sufficiently significant to overcome any sense that the potential imposition of a fine for non-compliance with a fundamental obligation might otherwise be perceived as a ‘cost of doing </w:t>
      </w:r>
      <w:proofErr w:type="gramStart"/>
      <w:r>
        <w:rPr>
          <w:rFonts w:ascii="Times New Roman" w:hAnsi="Times New Roman" w:cs="Times New Roman"/>
          <w:sz w:val="24"/>
          <w:szCs w:val="24"/>
          <w:shd w:val="clear" w:color="auto" w:fill="FFFFFF"/>
        </w:rPr>
        <w:t>business’</w:t>
      </w:r>
      <w:proofErr w:type="gramEnd"/>
      <w:r>
        <w:rPr>
          <w:rFonts w:ascii="Times New Roman" w:hAnsi="Times New Roman" w:cs="Times New Roman"/>
          <w:sz w:val="24"/>
          <w:szCs w:val="24"/>
          <w:shd w:val="clear" w:color="auto" w:fill="FFFFFF"/>
        </w:rPr>
        <w:t>.</w:t>
      </w:r>
    </w:p>
    <w:p w14:paraId="5254CD7E" w14:textId="77777777" w:rsidR="00885A5A" w:rsidRDefault="00885A5A" w:rsidP="00885A5A">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As noted above in relation to section 22, it is appropriate for regulators to have recourse to both civil and criminal penalties</w:t>
      </w:r>
      <w:r>
        <w:rPr>
          <w:rFonts w:ascii="Times New Roman" w:hAnsi="Times New Roman" w:cs="Times New Roman"/>
          <w:color w:val="333333"/>
          <w:sz w:val="24"/>
          <w:szCs w:val="24"/>
          <w:shd w:val="clear" w:color="auto" w:fill="FFFFFF"/>
        </w:rPr>
        <w:t xml:space="preserve"> – see the discussion at that section.</w:t>
      </w:r>
    </w:p>
    <w:p w14:paraId="1A5C379D" w14:textId="185DA8EE" w:rsidR="00885A5A" w:rsidRDefault="00885A5A" w:rsidP="00885A5A">
      <w:r>
        <w:rPr>
          <w:rFonts w:ascii="Times New Roman" w:hAnsi="Times New Roman" w:cs="Times New Roman"/>
          <w:sz w:val="24"/>
          <w:szCs w:val="24"/>
        </w:rPr>
        <w:t>Subsection 39(5) is a continuing civil penalty provision under section 93 of the Regulatory</w:t>
      </w:r>
      <w:r w:rsidR="007C64E8">
        <w:rPr>
          <w:rFonts w:ascii="Times New Roman" w:hAnsi="Times New Roman" w:cs="Times New Roman"/>
          <w:sz w:val="24"/>
          <w:szCs w:val="24"/>
        </w:rPr>
        <w:t> </w:t>
      </w:r>
      <w:r>
        <w:rPr>
          <w:rFonts w:ascii="Times New Roman" w:hAnsi="Times New Roman" w:cs="Times New Roman"/>
          <w:sz w:val="24"/>
          <w:szCs w:val="24"/>
        </w:rPr>
        <w:t>Powers Ac</w:t>
      </w:r>
      <w:r w:rsidR="00B20BE2">
        <w:rPr>
          <w:rFonts w:ascii="Times New Roman" w:hAnsi="Times New Roman" w:cs="Times New Roman"/>
          <w:sz w:val="24"/>
          <w:szCs w:val="24"/>
        </w:rPr>
        <w:t>t</w:t>
      </w:r>
      <w:r>
        <w:rPr>
          <w:rFonts w:ascii="Times New Roman" w:hAnsi="Times New Roman" w:cs="Times New Roman"/>
          <w:sz w:val="24"/>
          <w:szCs w:val="24"/>
        </w:rPr>
        <w:t>. Section 62 of the GHG</w:t>
      </w:r>
      <w:r w:rsidR="00AB4FB8">
        <w:rPr>
          <w:rFonts w:ascii="Times New Roman" w:hAnsi="Times New Roman" w:cs="Times New Roman"/>
          <w:sz w:val="24"/>
          <w:szCs w:val="24"/>
        </w:rPr>
        <w:t> </w:t>
      </w:r>
      <w:r>
        <w:rPr>
          <w:rFonts w:ascii="Times New Roman" w:hAnsi="Times New Roman" w:cs="Times New Roman"/>
          <w:sz w:val="24"/>
          <w:szCs w:val="24"/>
        </w:rPr>
        <w:t>Regulations sets out that the maximum civil penalty for each day that a contravention referred to in subsection 39(</w:t>
      </w:r>
      <w:r w:rsidR="00B73688">
        <w:rPr>
          <w:rFonts w:ascii="Times New Roman" w:hAnsi="Times New Roman" w:cs="Times New Roman"/>
          <w:sz w:val="24"/>
          <w:szCs w:val="24"/>
        </w:rPr>
        <w:t>5</w:t>
      </w:r>
      <w:r>
        <w:rPr>
          <w:rFonts w:ascii="Times New Roman" w:hAnsi="Times New Roman" w:cs="Times New Roman"/>
          <w:sz w:val="24"/>
          <w:szCs w:val="24"/>
        </w:rPr>
        <w:t>) continues is 10% of the maximum civil penalty that can be imposed in respect of that contravention.</w:t>
      </w:r>
    </w:p>
    <w:p w14:paraId="1B5F29C6" w14:textId="2AE2A767" w:rsidR="00E31706" w:rsidRPr="00502CAB" w:rsidRDefault="00E31706" w:rsidP="00502CAB">
      <w:pPr>
        <w:pStyle w:val="ActHead5"/>
        <w:spacing w:after="240"/>
      </w:pPr>
      <w:r w:rsidRPr="00502CAB">
        <w:t xml:space="preserve">Section </w:t>
      </w:r>
      <w:r w:rsidR="00234D7B" w:rsidRPr="00502CAB">
        <w:t>40</w:t>
      </w:r>
      <w:r w:rsidRPr="00502CAB">
        <w:t xml:space="preserve"> – Draft variations following occurrence of certain </w:t>
      </w:r>
      <w:proofErr w:type="gramStart"/>
      <w:r w:rsidRPr="00502CAB">
        <w:t>circumstances</w:t>
      </w:r>
      <w:proofErr w:type="gramEnd"/>
    </w:p>
    <w:p w14:paraId="577612F7" w14:textId="7F211239" w:rsidR="005E23C7" w:rsidRDefault="00E31706" w:rsidP="005E23C7">
      <w:pPr>
        <w:rPr>
          <w:rFonts w:ascii="Times New Roman" w:hAnsi="Times New Roman" w:cs="Times New Roman"/>
          <w:sz w:val="24"/>
          <w:szCs w:val="24"/>
        </w:rPr>
      </w:pPr>
      <w:r>
        <w:rPr>
          <w:rFonts w:ascii="Times New Roman" w:hAnsi="Times New Roman" w:cs="Times New Roman"/>
          <w:sz w:val="24"/>
          <w:szCs w:val="24"/>
        </w:rPr>
        <w:t>This section</w:t>
      </w:r>
      <w:r w:rsidR="005E23C7">
        <w:rPr>
          <w:rFonts w:ascii="Times New Roman" w:hAnsi="Times New Roman" w:cs="Times New Roman"/>
          <w:sz w:val="24"/>
          <w:szCs w:val="24"/>
        </w:rPr>
        <w:t xml:space="preserve"> applies if</w:t>
      </w:r>
      <w:r w:rsidR="005E23C7" w:rsidRPr="005E23C7">
        <w:rPr>
          <w:rFonts w:ascii="Times New Roman" w:hAnsi="Times New Roman" w:cs="Times New Roman"/>
          <w:sz w:val="24"/>
          <w:szCs w:val="24"/>
        </w:rPr>
        <w:tab/>
        <w:t xml:space="preserve">an approved site plan is in force in relation to an identified </w:t>
      </w:r>
      <w:r w:rsidR="005E23C7">
        <w:rPr>
          <w:rFonts w:ascii="Times New Roman" w:hAnsi="Times New Roman" w:cs="Times New Roman"/>
          <w:sz w:val="24"/>
          <w:szCs w:val="24"/>
        </w:rPr>
        <w:t xml:space="preserve">GHG </w:t>
      </w:r>
      <w:r w:rsidR="005E23C7" w:rsidRPr="005E23C7">
        <w:rPr>
          <w:rFonts w:ascii="Times New Roman" w:hAnsi="Times New Roman" w:cs="Times New Roman"/>
          <w:sz w:val="24"/>
          <w:szCs w:val="24"/>
        </w:rPr>
        <w:t xml:space="preserve">storage formation </w:t>
      </w:r>
      <w:r w:rsidR="005E23C7">
        <w:rPr>
          <w:rFonts w:ascii="Times New Roman" w:hAnsi="Times New Roman" w:cs="Times New Roman"/>
          <w:sz w:val="24"/>
          <w:szCs w:val="24"/>
        </w:rPr>
        <w:t xml:space="preserve">and </w:t>
      </w:r>
      <w:r w:rsidR="000357BC">
        <w:rPr>
          <w:rFonts w:ascii="Times New Roman" w:hAnsi="Times New Roman" w:cs="Times New Roman"/>
          <w:sz w:val="24"/>
          <w:szCs w:val="24"/>
        </w:rPr>
        <w:t xml:space="preserve">a </w:t>
      </w:r>
      <w:r w:rsidR="005E23C7">
        <w:rPr>
          <w:rFonts w:ascii="Times New Roman" w:hAnsi="Times New Roman" w:cs="Times New Roman"/>
          <w:sz w:val="24"/>
          <w:szCs w:val="24"/>
        </w:rPr>
        <w:t xml:space="preserve">circumstance, </w:t>
      </w:r>
      <w:r w:rsidR="00B73688">
        <w:rPr>
          <w:rFonts w:ascii="Times New Roman" w:hAnsi="Times New Roman" w:cs="Times New Roman"/>
          <w:sz w:val="24"/>
          <w:szCs w:val="24"/>
        </w:rPr>
        <w:t>mentioned</w:t>
      </w:r>
      <w:r w:rsidR="005E23C7">
        <w:rPr>
          <w:rFonts w:ascii="Times New Roman" w:hAnsi="Times New Roman" w:cs="Times New Roman"/>
          <w:sz w:val="24"/>
          <w:szCs w:val="24"/>
        </w:rPr>
        <w:t xml:space="preserve"> in the table</w:t>
      </w:r>
      <w:r w:rsidR="00D9499E">
        <w:rPr>
          <w:rFonts w:ascii="Times New Roman" w:hAnsi="Times New Roman" w:cs="Times New Roman"/>
          <w:sz w:val="24"/>
          <w:szCs w:val="24"/>
        </w:rPr>
        <w:t xml:space="preserve"> in subsection 40(1)</w:t>
      </w:r>
      <w:r w:rsidR="005E23C7">
        <w:rPr>
          <w:rFonts w:ascii="Times New Roman" w:hAnsi="Times New Roman" w:cs="Times New Roman"/>
          <w:sz w:val="24"/>
          <w:szCs w:val="24"/>
        </w:rPr>
        <w:t>, occur</w:t>
      </w:r>
      <w:r w:rsidR="000357BC">
        <w:rPr>
          <w:rFonts w:ascii="Times New Roman" w:hAnsi="Times New Roman" w:cs="Times New Roman"/>
          <w:sz w:val="24"/>
          <w:szCs w:val="24"/>
        </w:rPr>
        <w:t>s</w:t>
      </w:r>
      <w:r w:rsidR="005E23C7">
        <w:rPr>
          <w:rFonts w:ascii="Times New Roman" w:hAnsi="Times New Roman" w:cs="Times New Roman"/>
          <w:sz w:val="24"/>
          <w:szCs w:val="24"/>
        </w:rPr>
        <w:t>.</w:t>
      </w:r>
    </w:p>
    <w:p w14:paraId="61F04FDD" w14:textId="6F9CE0B8" w:rsidR="005E23C7" w:rsidRDefault="007D5472" w:rsidP="005E23C7">
      <w:pPr>
        <w:rPr>
          <w:rFonts w:ascii="Times New Roman" w:hAnsi="Times New Roman" w:cs="Times New Roman"/>
          <w:sz w:val="24"/>
          <w:szCs w:val="24"/>
        </w:rPr>
      </w:pPr>
      <w:r>
        <w:rPr>
          <w:rFonts w:ascii="Times New Roman" w:hAnsi="Times New Roman" w:cs="Times New Roman"/>
          <w:sz w:val="24"/>
          <w:szCs w:val="24"/>
        </w:rPr>
        <w:t>In broad terms t</w:t>
      </w:r>
      <w:r w:rsidR="005E23C7">
        <w:rPr>
          <w:rFonts w:ascii="Times New Roman" w:hAnsi="Times New Roman" w:cs="Times New Roman"/>
          <w:sz w:val="24"/>
          <w:szCs w:val="24"/>
        </w:rPr>
        <w:t xml:space="preserve">hose circumstances </w:t>
      </w:r>
      <w:r w:rsidR="00AC4BDD">
        <w:rPr>
          <w:rFonts w:ascii="Times New Roman" w:hAnsi="Times New Roman" w:cs="Times New Roman"/>
          <w:sz w:val="24"/>
          <w:szCs w:val="24"/>
        </w:rPr>
        <w:t>are where</w:t>
      </w:r>
      <w:r w:rsidR="005E23C7">
        <w:rPr>
          <w:rFonts w:ascii="Times New Roman" w:hAnsi="Times New Roman" w:cs="Times New Roman"/>
          <w:sz w:val="24"/>
          <w:szCs w:val="24"/>
        </w:rPr>
        <w:t>:</w:t>
      </w:r>
    </w:p>
    <w:p w14:paraId="35280A72" w14:textId="30EE0074" w:rsidR="005E23C7" w:rsidRDefault="005E23C7" w:rsidP="005E23C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w:t>
      </w:r>
      <w:r w:rsidRPr="005E23C7">
        <w:rPr>
          <w:rFonts w:ascii="Times New Roman" w:hAnsi="Times New Roman" w:cs="Times New Roman"/>
          <w:sz w:val="24"/>
          <w:szCs w:val="24"/>
        </w:rPr>
        <w:t>he plan is no longer accurate and up to date</w:t>
      </w:r>
      <w:r w:rsidR="00AC4BDD">
        <w:rPr>
          <w:rFonts w:ascii="Times New Roman" w:hAnsi="Times New Roman" w:cs="Times New Roman"/>
          <w:sz w:val="24"/>
          <w:szCs w:val="24"/>
        </w:rPr>
        <w:t xml:space="preserve"> because of new information that significantly alter</w:t>
      </w:r>
      <w:r w:rsidR="00402819">
        <w:rPr>
          <w:rFonts w:ascii="Times New Roman" w:hAnsi="Times New Roman" w:cs="Times New Roman"/>
          <w:sz w:val="24"/>
          <w:szCs w:val="24"/>
        </w:rPr>
        <w:t>s</w:t>
      </w:r>
      <w:r w:rsidR="00AC4BDD">
        <w:rPr>
          <w:rFonts w:ascii="Times New Roman" w:hAnsi="Times New Roman" w:cs="Times New Roman"/>
          <w:sz w:val="24"/>
          <w:szCs w:val="24"/>
        </w:rPr>
        <w:t xml:space="preserve"> the determination of key </w:t>
      </w:r>
      <w:proofErr w:type="gramStart"/>
      <w:r w:rsidR="00AC4BDD">
        <w:rPr>
          <w:rFonts w:ascii="Times New Roman" w:hAnsi="Times New Roman" w:cs="Times New Roman"/>
          <w:sz w:val="24"/>
          <w:szCs w:val="24"/>
        </w:rPr>
        <w:t>matters</w:t>
      </w:r>
      <w:proofErr w:type="gramEnd"/>
    </w:p>
    <w:p w14:paraId="5CF2FBE6" w14:textId="3343C038" w:rsidR="005E23C7" w:rsidRDefault="00AC4BDD" w:rsidP="005E23C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w:t>
      </w:r>
      <w:r w:rsidR="005E23C7" w:rsidRPr="005E23C7">
        <w:rPr>
          <w:rFonts w:ascii="Times New Roman" w:hAnsi="Times New Roman" w:cs="Times New Roman"/>
          <w:sz w:val="24"/>
          <w:szCs w:val="24"/>
        </w:rPr>
        <w:t>he licensee proposes to change the way operations are carried out</w:t>
      </w:r>
      <w:r w:rsidR="00E445DE">
        <w:rPr>
          <w:rFonts w:ascii="Times New Roman" w:hAnsi="Times New Roman" w:cs="Times New Roman"/>
          <w:sz w:val="24"/>
          <w:szCs w:val="24"/>
        </w:rPr>
        <w:t xml:space="preserve"> in a manner that will affect predictions </w:t>
      </w:r>
      <w:r w:rsidR="00B73688">
        <w:rPr>
          <w:rFonts w:ascii="Times New Roman" w:hAnsi="Times New Roman" w:cs="Times New Roman"/>
          <w:sz w:val="24"/>
          <w:szCs w:val="24"/>
        </w:rPr>
        <w:t xml:space="preserve">in Part A of a site plan </w:t>
      </w:r>
      <w:r w:rsidR="00E445DE">
        <w:rPr>
          <w:rFonts w:ascii="Times New Roman" w:hAnsi="Times New Roman" w:cs="Times New Roman"/>
          <w:sz w:val="24"/>
          <w:szCs w:val="24"/>
        </w:rPr>
        <w:t xml:space="preserve">for the behaviour of a GHG substance </w:t>
      </w:r>
      <w:r w:rsidR="00B73688">
        <w:rPr>
          <w:rFonts w:ascii="Times New Roman" w:hAnsi="Times New Roman" w:cs="Times New Roman"/>
          <w:sz w:val="24"/>
          <w:szCs w:val="24"/>
        </w:rPr>
        <w:t xml:space="preserve">stored in, or to be injected and stored </w:t>
      </w:r>
      <w:r w:rsidR="00E445DE">
        <w:rPr>
          <w:rFonts w:ascii="Times New Roman" w:hAnsi="Times New Roman" w:cs="Times New Roman"/>
          <w:sz w:val="24"/>
          <w:szCs w:val="24"/>
        </w:rPr>
        <w:t>in</w:t>
      </w:r>
      <w:r w:rsidR="00B73688">
        <w:rPr>
          <w:rFonts w:ascii="Times New Roman" w:hAnsi="Times New Roman" w:cs="Times New Roman"/>
          <w:sz w:val="24"/>
          <w:szCs w:val="24"/>
        </w:rPr>
        <w:t>,</w:t>
      </w:r>
      <w:r w:rsidR="00E445DE">
        <w:rPr>
          <w:rFonts w:ascii="Times New Roman" w:hAnsi="Times New Roman" w:cs="Times New Roman"/>
          <w:sz w:val="24"/>
          <w:szCs w:val="24"/>
        </w:rPr>
        <w:t xml:space="preserve"> the formation or the risks associated with those </w:t>
      </w:r>
      <w:proofErr w:type="gramStart"/>
      <w:r w:rsidR="00E445DE">
        <w:rPr>
          <w:rFonts w:ascii="Times New Roman" w:hAnsi="Times New Roman" w:cs="Times New Roman"/>
          <w:sz w:val="24"/>
          <w:szCs w:val="24"/>
        </w:rPr>
        <w:t>operations</w:t>
      </w:r>
      <w:proofErr w:type="gramEnd"/>
      <w:r w:rsidR="00E445DE">
        <w:rPr>
          <w:rFonts w:ascii="Times New Roman" w:hAnsi="Times New Roman" w:cs="Times New Roman"/>
          <w:sz w:val="24"/>
          <w:szCs w:val="24"/>
        </w:rPr>
        <w:t xml:space="preserve"> </w:t>
      </w:r>
    </w:p>
    <w:p w14:paraId="1777510B" w14:textId="30F17422" w:rsidR="00AC4BDD" w:rsidRDefault="00AC4BDD" w:rsidP="005E23C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w:t>
      </w:r>
      <w:r w:rsidRPr="00AC4BDD">
        <w:rPr>
          <w:rFonts w:ascii="Times New Roman" w:hAnsi="Times New Roman" w:cs="Times New Roman"/>
          <w:sz w:val="24"/>
          <w:szCs w:val="24"/>
        </w:rPr>
        <w:t>he licensee proposes to make a significant change to the way operations are managed that will affect the integrated operations management plan</w:t>
      </w:r>
      <w:r>
        <w:rPr>
          <w:rFonts w:ascii="Times New Roman" w:hAnsi="Times New Roman" w:cs="Times New Roman"/>
          <w:sz w:val="24"/>
          <w:szCs w:val="24"/>
        </w:rPr>
        <w:t xml:space="preserve"> (</w:t>
      </w:r>
      <w:r w:rsidR="00D9499E">
        <w:rPr>
          <w:rFonts w:ascii="Times New Roman" w:hAnsi="Times New Roman" w:cs="Times New Roman"/>
          <w:sz w:val="24"/>
          <w:szCs w:val="24"/>
        </w:rPr>
        <w:t xml:space="preserve">required </w:t>
      </w:r>
      <w:r w:rsidR="00E445DE">
        <w:rPr>
          <w:rFonts w:ascii="Times New Roman" w:hAnsi="Times New Roman" w:cs="Times New Roman"/>
          <w:sz w:val="24"/>
          <w:szCs w:val="24"/>
        </w:rPr>
        <w:t xml:space="preserve">to be set out in Part B of a site plan </w:t>
      </w:r>
      <w:r w:rsidR="00D9499E">
        <w:rPr>
          <w:rFonts w:ascii="Times New Roman" w:hAnsi="Times New Roman" w:cs="Times New Roman"/>
          <w:sz w:val="24"/>
          <w:szCs w:val="24"/>
        </w:rPr>
        <w:t xml:space="preserve">under </w:t>
      </w:r>
      <w:r w:rsidR="00B83CBA">
        <w:rPr>
          <w:rFonts w:ascii="Times New Roman" w:hAnsi="Times New Roman" w:cs="Times New Roman"/>
          <w:sz w:val="24"/>
          <w:szCs w:val="24"/>
        </w:rPr>
        <w:t>section</w:t>
      </w:r>
      <w:r w:rsidR="00D9499E">
        <w:rPr>
          <w:rFonts w:ascii="Times New Roman" w:hAnsi="Times New Roman" w:cs="Times New Roman"/>
          <w:sz w:val="24"/>
          <w:szCs w:val="24"/>
        </w:rPr>
        <w:t xml:space="preserve"> 20</w:t>
      </w:r>
      <w:r>
        <w:rPr>
          <w:rFonts w:ascii="Times New Roman" w:hAnsi="Times New Roman" w:cs="Times New Roman"/>
          <w:sz w:val="24"/>
          <w:szCs w:val="24"/>
        </w:rPr>
        <w:t>)</w:t>
      </w:r>
      <w:r w:rsidR="00D9499E">
        <w:rPr>
          <w:rFonts w:ascii="Times New Roman" w:hAnsi="Times New Roman" w:cs="Times New Roman"/>
          <w:sz w:val="24"/>
          <w:szCs w:val="24"/>
        </w:rPr>
        <w:t>.</w:t>
      </w:r>
    </w:p>
    <w:p w14:paraId="6EC1C356" w14:textId="5C07E40F" w:rsidR="00E445DE" w:rsidRDefault="00AC4BDD" w:rsidP="00E445DE">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The licensee must, within 60 days </w:t>
      </w:r>
      <w:r w:rsidR="00B73688">
        <w:rPr>
          <w:rFonts w:ascii="Times New Roman" w:hAnsi="Times New Roman" w:cs="Times New Roman"/>
          <w:sz w:val="24"/>
          <w:szCs w:val="24"/>
        </w:rPr>
        <w:t xml:space="preserve">beginning on the day the circumstance occurs </w:t>
      </w:r>
      <w:r>
        <w:rPr>
          <w:rFonts w:ascii="Times New Roman" w:hAnsi="Times New Roman" w:cs="Times New Roman"/>
          <w:sz w:val="24"/>
          <w:szCs w:val="24"/>
        </w:rPr>
        <w:t xml:space="preserve">or a longer period agreed by the </w:t>
      </w:r>
      <w:r w:rsidR="00B73688">
        <w:rPr>
          <w:rFonts w:ascii="Times New Roman" w:hAnsi="Times New Roman" w:cs="Times New Roman"/>
          <w:sz w:val="24"/>
          <w:szCs w:val="24"/>
        </w:rPr>
        <w:t xml:space="preserve">responsible Commonwealth </w:t>
      </w:r>
      <w:r>
        <w:rPr>
          <w:rFonts w:ascii="Times New Roman" w:hAnsi="Times New Roman" w:cs="Times New Roman"/>
          <w:sz w:val="24"/>
          <w:szCs w:val="24"/>
        </w:rPr>
        <w:t>Minister, prepare and give to the Minister a draft variation of the plan</w:t>
      </w:r>
      <w:r w:rsidR="00E445DE">
        <w:rPr>
          <w:rFonts w:ascii="Times New Roman" w:hAnsi="Times New Roman" w:cs="Times New Roman"/>
          <w:sz w:val="24"/>
          <w:szCs w:val="24"/>
        </w:rPr>
        <w:t xml:space="preserve"> </w:t>
      </w:r>
      <w:r w:rsidR="00B73688">
        <w:rPr>
          <w:rFonts w:ascii="Times New Roman" w:hAnsi="Times New Roman" w:cs="Times New Roman"/>
          <w:sz w:val="24"/>
          <w:szCs w:val="24"/>
        </w:rPr>
        <w:t>for the purpose of</w:t>
      </w:r>
      <w:r w:rsidR="00E445DE">
        <w:rPr>
          <w:rFonts w:ascii="Times New Roman" w:hAnsi="Times New Roman" w:cs="Times New Roman"/>
          <w:sz w:val="24"/>
          <w:szCs w:val="24"/>
        </w:rPr>
        <w:t xml:space="preserve"> address</w:t>
      </w:r>
      <w:r w:rsidR="00B73688">
        <w:rPr>
          <w:rFonts w:ascii="Times New Roman" w:hAnsi="Times New Roman" w:cs="Times New Roman"/>
          <w:sz w:val="24"/>
          <w:szCs w:val="24"/>
        </w:rPr>
        <w:t>ing</w:t>
      </w:r>
      <w:r w:rsidR="00E445DE">
        <w:rPr>
          <w:rFonts w:ascii="Times New Roman" w:hAnsi="Times New Roman" w:cs="Times New Roman"/>
          <w:sz w:val="24"/>
          <w:szCs w:val="24"/>
        </w:rPr>
        <w:t xml:space="preserve"> the circumstance</w:t>
      </w:r>
      <w:r>
        <w:rPr>
          <w:rFonts w:ascii="Times New Roman" w:hAnsi="Times New Roman" w:cs="Times New Roman"/>
          <w:sz w:val="24"/>
          <w:szCs w:val="24"/>
        </w:rPr>
        <w:t>.</w:t>
      </w:r>
      <w:r w:rsidR="00E445DE" w:rsidRPr="00E445DE">
        <w:rPr>
          <w:rFonts w:ascii="Times New Roman" w:hAnsi="Times New Roman" w:cs="Times New Roman"/>
          <w:color w:val="333333"/>
          <w:sz w:val="24"/>
          <w:szCs w:val="24"/>
          <w:shd w:val="clear" w:color="auto" w:fill="FFFFFF"/>
        </w:rPr>
        <w:t xml:space="preserve"> </w:t>
      </w:r>
      <w:r w:rsidR="00E445DE">
        <w:rPr>
          <w:rFonts w:ascii="Times New Roman" w:hAnsi="Times New Roman" w:cs="Times New Roman"/>
          <w:color w:val="333333"/>
          <w:sz w:val="24"/>
          <w:szCs w:val="24"/>
          <w:shd w:val="clear" w:color="auto" w:fill="FFFFFF"/>
        </w:rPr>
        <w:t>The ability for the Minister to agree a longer period reflects that, given</w:t>
      </w:r>
      <w:r w:rsidR="00E445DE" w:rsidRPr="0035435B">
        <w:rPr>
          <w:rFonts w:ascii="Times New Roman" w:hAnsi="Times New Roman" w:cs="Times New Roman"/>
          <w:color w:val="333333"/>
          <w:sz w:val="24"/>
          <w:szCs w:val="24"/>
          <w:shd w:val="clear" w:color="auto" w:fill="FFFFFF"/>
        </w:rPr>
        <w:t xml:space="preserve"> the </w:t>
      </w:r>
      <w:r w:rsidR="00E445DE">
        <w:rPr>
          <w:rFonts w:ascii="Times New Roman" w:hAnsi="Times New Roman" w:cs="Times New Roman"/>
          <w:color w:val="333333"/>
          <w:sz w:val="24"/>
          <w:szCs w:val="24"/>
          <w:shd w:val="clear" w:color="auto" w:fill="FFFFFF"/>
        </w:rPr>
        <w:t xml:space="preserve">technical </w:t>
      </w:r>
      <w:r w:rsidR="00E445DE" w:rsidRPr="0035435B">
        <w:rPr>
          <w:rFonts w:ascii="Times New Roman" w:hAnsi="Times New Roman" w:cs="Times New Roman"/>
          <w:color w:val="333333"/>
          <w:sz w:val="24"/>
          <w:szCs w:val="24"/>
          <w:shd w:val="clear" w:color="auto" w:fill="FFFFFF"/>
        </w:rPr>
        <w:t xml:space="preserve">complexity and range of </w:t>
      </w:r>
      <w:r w:rsidR="00E445DE">
        <w:rPr>
          <w:rFonts w:ascii="Times New Roman" w:hAnsi="Times New Roman" w:cs="Times New Roman"/>
          <w:color w:val="333333"/>
          <w:sz w:val="24"/>
          <w:szCs w:val="24"/>
          <w:shd w:val="clear" w:color="auto" w:fill="FFFFFF"/>
        </w:rPr>
        <w:t>matters</w:t>
      </w:r>
      <w:r w:rsidR="00E445DE" w:rsidRPr="0035435B">
        <w:rPr>
          <w:rFonts w:ascii="Times New Roman" w:hAnsi="Times New Roman" w:cs="Times New Roman"/>
          <w:color w:val="333333"/>
          <w:sz w:val="24"/>
          <w:szCs w:val="24"/>
          <w:shd w:val="clear" w:color="auto" w:fill="FFFFFF"/>
        </w:rPr>
        <w:t xml:space="preserve"> that a site plan covers, it may take some months for a licensee to prepare a draft variation.</w:t>
      </w:r>
    </w:p>
    <w:p w14:paraId="1A6FAE4F" w14:textId="2FCADFEF" w:rsidR="00E445DE" w:rsidRPr="0035435B" w:rsidRDefault="00E445DE" w:rsidP="00E445DE">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Section 42 </w:t>
      </w:r>
      <w:r w:rsidR="00B73688">
        <w:rPr>
          <w:rFonts w:ascii="Times New Roman" w:hAnsi="Times New Roman" w:cs="Times New Roman"/>
          <w:color w:val="333333"/>
          <w:sz w:val="24"/>
          <w:szCs w:val="24"/>
          <w:shd w:val="clear" w:color="auto" w:fill="FFFFFF"/>
        </w:rPr>
        <w:t>requires</w:t>
      </w:r>
      <w:r>
        <w:rPr>
          <w:rFonts w:ascii="Times New Roman" w:hAnsi="Times New Roman" w:cs="Times New Roman"/>
          <w:color w:val="333333"/>
          <w:sz w:val="24"/>
          <w:szCs w:val="24"/>
          <w:shd w:val="clear" w:color="auto" w:fill="FFFFFF"/>
        </w:rPr>
        <w:t xml:space="preserve"> the </w:t>
      </w:r>
      <w:r w:rsidR="00B73688">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Minister to approve or refuse to approve a draft variation of a site plan.</w:t>
      </w:r>
    </w:p>
    <w:p w14:paraId="11BFD3EC" w14:textId="575A1846" w:rsidR="00907BF1" w:rsidRPr="002758FA" w:rsidRDefault="00AC4BDD" w:rsidP="002758FA">
      <w:pPr>
        <w:rPr>
          <w:rFonts w:ascii="Times New Roman" w:hAnsi="Times New Roman" w:cs="Times New Roman"/>
          <w:sz w:val="24"/>
          <w:szCs w:val="24"/>
        </w:rPr>
      </w:pPr>
      <w:r w:rsidRPr="002758FA">
        <w:rPr>
          <w:rFonts w:ascii="Times New Roman" w:hAnsi="Times New Roman" w:cs="Times New Roman"/>
          <w:sz w:val="24"/>
          <w:szCs w:val="24"/>
        </w:rPr>
        <w:t xml:space="preserve">It is a strict liability offence, punishable by 100 </w:t>
      </w:r>
      <w:r w:rsidR="00E445DE">
        <w:rPr>
          <w:rFonts w:ascii="Times New Roman" w:hAnsi="Times New Roman" w:cs="Times New Roman"/>
          <w:sz w:val="24"/>
          <w:szCs w:val="24"/>
        </w:rPr>
        <w:t>PU</w:t>
      </w:r>
      <w:r w:rsidRPr="002758FA">
        <w:rPr>
          <w:rFonts w:ascii="Times New Roman" w:hAnsi="Times New Roman" w:cs="Times New Roman"/>
          <w:sz w:val="24"/>
          <w:szCs w:val="24"/>
        </w:rPr>
        <w:t xml:space="preserve">, </w:t>
      </w:r>
      <w:r w:rsidR="00B73688">
        <w:rPr>
          <w:rFonts w:ascii="Times New Roman" w:hAnsi="Times New Roman" w:cs="Times New Roman"/>
          <w:sz w:val="24"/>
          <w:szCs w:val="24"/>
        </w:rPr>
        <w:t xml:space="preserve">for a licensee </w:t>
      </w:r>
      <w:r w:rsidRPr="002758FA">
        <w:rPr>
          <w:rFonts w:ascii="Times New Roman" w:hAnsi="Times New Roman" w:cs="Times New Roman"/>
          <w:sz w:val="24"/>
          <w:szCs w:val="24"/>
        </w:rPr>
        <w:t>not to comply with the requirements</w:t>
      </w:r>
      <w:r w:rsidR="00B73688">
        <w:rPr>
          <w:rFonts w:ascii="Times New Roman" w:hAnsi="Times New Roman" w:cs="Times New Roman"/>
          <w:sz w:val="24"/>
          <w:szCs w:val="24"/>
        </w:rPr>
        <w:t xml:space="preserve"> in subsection 40(2)</w:t>
      </w:r>
      <w:r w:rsidRPr="002758FA">
        <w:rPr>
          <w:rFonts w:ascii="Times New Roman" w:hAnsi="Times New Roman" w:cs="Times New Roman"/>
          <w:sz w:val="24"/>
          <w:szCs w:val="24"/>
        </w:rPr>
        <w:t xml:space="preserve">. </w:t>
      </w:r>
      <w:r w:rsidR="00E445DE">
        <w:rPr>
          <w:rFonts w:ascii="Times New Roman" w:hAnsi="Times New Roman" w:cs="Times New Roman"/>
          <w:sz w:val="24"/>
          <w:szCs w:val="24"/>
        </w:rPr>
        <w:t xml:space="preserve">The maximum </w:t>
      </w:r>
      <w:r w:rsidR="00E445DE" w:rsidRPr="00736A3B">
        <w:rPr>
          <w:rFonts w:ascii="Times New Roman" w:hAnsi="Times New Roman" w:cs="Times New Roman"/>
          <w:sz w:val="24"/>
          <w:szCs w:val="24"/>
        </w:rPr>
        <w:t>penalty for a failure to comply where the offence is committed by a body corporate is five times the specified penalty amount, due to the operation of subsection 4</w:t>
      </w:r>
      <w:proofErr w:type="gramStart"/>
      <w:r w:rsidR="00E445DE" w:rsidRPr="00736A3B">
        <w:rPr>
          <w:rFonts w:ascii="Times New Roman" w:hAnsi="Times New Roman" w:cs="Times New Roman"/>
          <w:sz w:val="24"/>
          <w:szCs w:val="24"/>
        </w:rPr>
        <w:t>B(</w:t>
      </w:r>
      <w:proofErr w:type="gramEnd"/>
      <w:r w:rsidR="00E445DE" w:rsidRPr="00736A3B">
        <w:rPr>
          <w:rFonts w:ascii="Times New Roman" w:hAnsi="Times New Roman" w:cs="Times New Roman"/>
          <w:sz w:val="24"/>
          <w:szCs w:val="24"/>
        </w:rPr>
        <w:t xml:space="preserve">3) of the </w:t>
      </w:r>
      <w:r w:rsidR="00E445DE" w:rsidRPr="00736A3B">
        <w:rPr>
          <w:rFonts w:ascii="Times New Roman" w:hAnsi="Times New Roman" w:cs="Times New Roman"/>
          <w:i/>
          <w:iCs/>
          <w:sz w:val="24"/>
          <w:szCs w:val="24"/>
        </w:rPr>
        <w:t>Crimes Act 1914</w:t>
      </w:r>
      <w:r w:rsidR="00E445DE" w:rsidRPr="00736A3B">
        <w:rPr>
          <w:rFonts w:ascii="Times New Roman" w:hAnsi="Times New Roman" w:cs="Times New Roman"/>
          <w:sz w:val="24"/>
          <w:szCs w:val="24"/>
        </w:rPr>
        <w:t>.</w:t>
      </w:r>
    </w:p>
    <w:p w14:paraId="71ACC00B" w14:textId="591AD2E9" w:rsidR="0011714E" w:rsidRPr="002758FA" w:rsidRDefault="00E445DE" w:rsidP="002758FA">
      <w:pPr>
        <w:rPr>
          <w:rFonts w:ascii="Times New Roman" w:hAnsi="Times New Roman" w:cs="Times New Roman"/>
          <w:sz w:val="24"/>
          <w:szCs w:val="24"/>
        </w:rPr>
      </w:pPr>
      <w:r>
        <w:rPr>
          <w:rFonts w:ascii="Times New Roman" w:hAnsi="Times New Roman" w:cs="Times New Roman"/>
          <w:sz w:val="24"/>
          <w:szCs w:val="24"/>
        </w:rPr>
        <w:t>I</w:t>
      </w:r>
      <w:r w:rsidR="00907BF1" w:rsidRPr="002758FA">
        <w:rPr>
          <w:rFonts w:ascii="Times New Roman" w:hAnsi="Times New Roman" w:cs="Times New Roman"/>
          <w:sz w:val="24"/>
          <w:szCs w:val="24"/>
        </w:rPr>
        <w:t xml:space="preserve">t is appropriate to impose a criminal </w:t>
      </w:r>
      <w:r>
        <w:rPr>
          <w:rFonts w:ascii="Times New Roman" w:hAnsi="Times New Roman" w:cs="Times New Roman"/>
          <w:sz w:val="24"/>
          <w:szCs w:val="24"/>
        </w:rPr>
        <w:t>penalty</w:t>
      </w:r>
      <w:r w:rsidR="00907BF1" w:rsidRPr="002758FA">
        <w:rPr>
          <w:rFonts w:ascii="Times New Roman" w:hAnsi="Times New Roman" w:cs="Times New Roman"/>
          <w:sz w:val="24"/>
          <w:szCs w:val="24"/>
        </w:rPr>
        <w:t xml:space="preserve"> for breach of these obligations </w:t>
      </w:r>
      <w:r w:rsidRPr="0035435B">
        <w:rPr>
          <w:rFonts w:ascii="Times New Roman" w:hAnsi="Times New Roman" w:cs="Times New Roman"/>
          <w:color w:val="333333"/>
          <w:sz w:val="24"/>
          <w:szCs w:val="24"/>
          <w:shd w:val="clear" w:color="auto" w:fill="FFFFFF"/>
        </w:rPr>
        <w:t>because of the potential for considerable harm to be caused to the environment and</w:t>
      </w:r>
      <w:r>
        <w:rPr>
          <w:rFonts w:ascii="Times New Roman" w:hAnsi="Times New Roman" w:cs="Times New Roman"/>
          <w:color w:val="333333"/>
          <w:sz w:val="24"/>
          <w:szCs w:val="24"/>
          <w:shd w:val="clear" w:color="auto" w:fill="FFFFFF"/>
        </w:rPr>
        <w:t>/or</w:t>
      </w:r>
      <w:r w:rsidRPr="0035435B">
        <w:rPr>
          <w:rFonts w:ascii="Times New Roman" w:hAnsi="Times New Roman" w:cs="Times New Roman"/>
          <w:color w:val="333333"/>
          <w:sz w:val="24"/>
          <w:szCs w:val="24"/>
          <w:shd w:val="clear" w:color="auto" w:fill="FFFFFF"/>
        </w:rPr>
        <w:t xml:space="preserve"> to the operations of other titleholders if the approved site plan is no longer </w:t>
      </w:r>
      <w:r>
        <w:rPr>
          <w:rFonts w:ascii="Times New Roman" w:hAnsi="Times New Roman" w:cs="Times New Roman"/>
          <w:color w:val="333333"/>
          <w:sz w:val="24"/>
          <w:szCs w:val="24"/>
          <w:shd w:val="clear" w:color="auto" w:fill="FFFFFF"/>
        </w:rPr>
        <w:t>suitable for the safe and sustainable operations for injection and storage of a GHG substance.</w:t>
      </w:r>
    </w:p>
    <w:p w14:paraId="6873F812" w14:textId="2060B166" w:rsidR="00E445DE" w:rsidRDefault="00907BF1" w:rsidP="002758FA">
      <w:pPr>
        <w:rPr>
          <w:rFonts w:ascii="Times New Roman" w:hAnsi="Times New Roman" w:cs="Times New Roman"/>
          <w:sz w:val="24"/>
          <w:szCs w:val="24"/>
        </w:rPr>
      </w:pPr>
      <w:bookmarkStart w:id="21" w:name="_Hlk147992433"/>
      <w:r w:rsidRPr="002758FA">
        <w:rPr>
          <w:rFonts w:ascii="Times New Roman" w:hAnsi="Times New Roman" w:cs="Times New Roman"/>
          <w:sz w:val="24"/>
          <w:szCs w:val="24"/>
        </w:rPr>
        <w:lastRenderedPageBreak/>
        <w:t>It is also appropriate to a</w:t>
      </w:r>
      <w:r w:rsidR="00E445DE">
        <w:rPr>
          <w:rFonts w:ascii="Times New Roman" w:hAnsi="Times New Roman" w:cs="Times New Roman"/>
          <w:sz w:val="24"/>
          <w:szCs w:val="24"/>
        </w:rPr>
        <w:t>pply</w:t>
      </w:r>
      <w:r w:rsidRPr="002758FA">
        <w:rPr>
          <w:rFonts w:ascii="Times New Roman" w:hAnsi="Times New Roman" w:cs="Times New Roman"/>
          <w:sz w:val="24"/>
          <w:szCs w:val="24"/>
        </w:rPr>
        <w:t xml:space="preserve"> strict liability</w:t>
      </w:r>
      <w:r w:rsidR="00E445DE">
        <w:rPr>
          <w:rFonts w:ascii="Times New Roman" w:hAnsi="Times New Roman" w:cs="Times New Roman"/>
          <w:sz w:val="24"/>
          <w:szCs w:val="24"/>
        </w:rPr>
        <w:t xml:space="preserve"> to the</w:t>
      </w:r>
      <w:r w:rsidRPr="002758FA">
        <w:rPr>
          <w:rFonts w:ascii="Times New Roman" w:hAnsi="Times New Roman" w:cs="Times New Roman"/>
          <w:sz w:val="24"/>
          <w:szCs w:val="24"/>
        </w:rPr>
        <w:t xml:space="preserve"> offence</w:t>
      </w:r>
      <w:r w:rsidR="00E445DE">
        <w:rPr>
          <w:rFonts w:ascii="Times New Roman" w:hAnsi="Times New Roman" w:cs="Times New Roman"/>
          <w:sz w:val="24"/>
          <w:szCs w:val="24"/>
        </w:rPr>
        <w:t xml:space="preserve"> to promote compliance with the regulatory regime and ensure section 40 can be effectively enforced, particularly given the risks to containment of a GHG substance if a licensee carries on operations when an approved site plan is no longer suitable</w:t>
      </w:r>
      <w:r w:rsidR="00E445DE" w:rsidRPr="00420D8A">
        <w:rPr>
          <w:rFonts w:ascii="Times New Roman" w:hAnsi="Times New Roman" w:cs="Times New Roman"/>
          <w:sz w:val="24"/>
          <w:szCs w:val="24"/>
        </w:rPr>
        <w:t xml:space="preserve">. </w:t>
      </w:r>
      <w:r w:rsidR="00E445DE">
        <w:rPr>
          <w:rFonts w:ascii="Times New Roman" w:hAnsi="Times New Roman" w:cs="Times New Roman"/>
          <w:sz w:val="24"/>
          <w:szCs w:val="24"/>
        </w:rPr>
        <w:t>This is</w:t>
      </w:r>
      <w:r w:rsidR="00E445DE" w:rsidRPr="00420D8A">
        <w:rPr>
          <w:rFonts w:ascii="Times New Roman" w:hAnsi="Times New Roman" w:cs="Times New Roman"/>
          <w:sz w:val="24"/>
          <w:szCs w:val="24"/>
        </w:rPr>
        <w:t xml:space="preserve"> consistent with the principles outlined in</w:t>
      </w:r>
      <w:r w:rsidR="00E445DE">
        <w:rPr>
          <w:rFonts w:ascii="Times New Roman" w:hAnsi="Times New Roman" w:cs="Times New Roman"/>
          <w:sz w:val="24"/>
          <w:szCs w:val="24"/>
        </w:rPr>
        <w:t xml:space="preserve"> section 2.2.6 of the Guide</w:t>
      </w:r>
      <w:r w:rsidR="00E445DE" w:rsidRPr="00420D8A">
        <w:rPr>
          <w:rFonts w:ascii="Times New Roman" w:hAnsi="Times New Roman" w:cs="Times New Roman"/>
          <w:sz w:val="24"/>
          <w:szCs w:val="24"/>
        </w:rPr>
        <w:t>. Given the remote and complex nature of offshore operations,</w:t>
      </w:r>
      <w:r w:rsidR="00E445DE">
        <w:rPr>
          <w:rFonts w:ascii="Times New Roman" w:hAnsi="Times New Roman" w:cs="Times New Roman"/>
          <w:sz w:val="24"/>
          <w:szCs w:val="24"/>
        </w:rPr>
        <w:t xml:space="preserve"> and the prevalence of joint venture titleholder arrangements,</w:t>
      </w:r>
      <w:r w:rsidR="00E445DE" w:rsidRPr="00420D8A">
        <w:rPr>
          <w:rFonts w:ascii="Times New Roman" w:hAnsi="Times New Roman" w:cs="Times New Roman"/>
          <w:sz w:val="24"/>
          <w:szCs w:val="24"/>
        </w:rPr>
        <w:t xml:space="preserve"> it can be extremely difficult to prove intent, and requiring that proof may make it impractical to enforce the regime. </w:t>
      </w:r>
      <w:r w:rsidR="00E445DE">
        <w:rPr>
          <w:rFonts w:ascii="Times New Roman" w:hAnsi="Times New Roman" w:cs="Times New Roman"/>
          <w:sz w:val="24"/>
          <w:szCs w:val="24"/>
        </w:rPr>
        <w:t>A</w:t>
      </w:r>
      <w:r w:rsidR="00E445DE" w:rsidRPr="00420D8A">
        <w:rPr>
          <w:rFonts w:ascii="Times New Roman" w:hAnsi="Times New Roman" w:cs="Times New Roman"/>
          <w:sz w:val="24"/>
          <w:szCs w:val="24"/>
        </w:rPr>
        <w:t xml:space="preserve"> GHG injection licensee is responsible for preparing </w:t>
      </w:r>
      <w:r w:rsidR="00E445DE">
        <w:rPr>
          <w:rFonts w:ascii="Times New Roman" w:hAnsi="Times New Roman" w:cs="Times New Roman"/>
          <w:sz w:val="24"/>
          <w:szCs w:val="24"/>
        </w:rPr>
        <w:t xml:space="preserve">a variation of a </w:t>
      </w:r>
      <w:r w:rsidR="00E445DE" w:rsidRPr="00420D8A">
        <w:rPr>
          <w:rFonts w:ascii="Times New Roman" w:hAnsi="Times New Roman" w:cs="Times New Roman"/>
          <w:sz w:val="24"/>
          <w:szCs w:val="24"/>
        </w:rPr>
        <w:t xml:space="preserve">site plan </w:t>
      </w:r>
      <w:r w:rsidR="00E445DE">
        <w:rPr>
          <w:rFonts w:ascii="Times New Roman" w:hAnsi="Times New Roman" w:cs="Times New Roman"/>
          <w:sz w:val="24"/>
          <w:szCs w:val="24"/>
        </w:rPr>
        <w:t>for</w:t>
      </w:r>
      <w:r w:rsidR="00E445DE" w:rsidRPr="00420D8A">
        <w:rPr>
          <w:rFonts w:ascii="Times New Roman" w:hAnsi="Times New Roman" w:cs="Times New Roman"/>
          <w:sz w:val="24"/>
          <w:szCs w:val="24"/>
        </w:rPr>
        <w:t xml:space="preserve"> approv</w:t>
      </w:r>
      <w:r w:rsidR="00E445DE">
        <w:rPr>
          <w:rFonts w:ascii="Times New Roman" w:hAnsi="Times New Roman" w:cs="Times New Roman"/>
          <w:sz w:val="24"/>
          <w:szCs w:val="24"/>
        </w:rPr>
        <w:t>al</w:t>
      </w:r>
      <w:r w:rsidR="00E445DE" w:rsidRPr="00420D8A">
        <w:rPr>
          <w:rFonts w:ascii="Times New Roman" w:hAnsi="Times New Roman" w:cs="Times New Roman"/>
          <w:sz w:val="24"/>
          <w:szCs w:val="24"/>
        </w:rPr>
        <w:t xml:space="preserve"> by the </w:t>
      </w:r>
      <w:r w:rsidR="00B84F3E">
        <w:rPr>
          <w:rFonts w:ascii="Times New Roman" w:hAnsi="Times New Roman" w:cs="Times New Roman"/>
          <w:sz w:val="24"/>
          <w:szCs w:val="24"/>
        </w:rPr>
        <w:t xml:space="preserve">responsible Commonwealth </w:t>
      </w:r>
      <w:r w:rsidR="00E445DE" w:rsidRPr="00420D8A">
        <w:rPr>
          <w:rFonts w:ascii="Times New Roman" w:hAnsi="Times New Roman" w:cs="Times New Roman"/>
          <w:sz w:val="24"/>
          <w:szCs w:val="24"/>
        </w:rPr>
        <w:t>Minister</w:t>
      </w:r>
      <w:r w:rsidR="00E445DE">
        <w:rPr>
          <w:rFonts w:ascii="Times New Roman" w:hAnsi="Times New Roman" w:cs="Times New Roman"/>
          <w:sz w:val="24"/>
          <w:szCs w:val="24"/>
        </w:rPr>
        <w:t xml:space="preserve"> in the circumstances set out in section 40. The licensee would </w:t>
      </w:r>
      <w:r w:rsidR="00E445DE" w:rsidRPr="00420D8A">
        <w:rPr>
          <w:rFonts w:ascii="Times New Roman" w:hAnsi="Times New Roman" w:cs="Times New Roman"/>
          <w:sz w:val="24"/>
          <w:szCs w:val="24"/>
        </w:rPr>
        <w:t>be aware of the</w:t>
      </w:r>
      <w:r w:rsidR="00E445DE">
        <w:rPr>
          <w:rFonts w:ascii="Times New Roman" w:hAnsi="Times New Roman" w:cs="Times New Roman"/>
          <w:sz w:val="24"/>
          <w:szCs w:val="24"/>
        </w:rPr>
        <w:t>ir obligations in relation to an approved site plan</w:t>
      </w:r>
      <w:r w:rsidR="00E445DE">
        <w:rPr>
          <w:rFonts w:ascii="Times New Roman" w:hAnsi="Times New Roman" w:cs="Times New Roman"/>
          <w:sz w:val="24"/>
          <w:szCs w:val="24"/>
          <w:shd w:val="clear" w:color="auto" w:fill="FFFFFF"/>
        </w:rPr>
        <w:t xml:space="preserve"> and of the need to have an up to date and suitable site plan to authorise their operations.</w:t>
      </w:r>
      <w:r w:rsidR="00E445DE" w:rsidRPr="00420D8A">
        <w:rPr>
          <w:rFonts w:ascii="Times New Roman" w:hAnsi="Times New Roman" w:cs="Times New Roman"/>
          <w:sz w:val="24"/>
          <w:szCs w:val="24"/>
        </w:rPr>
        <w:t xml:space="preserve"> </w:t>
      </w:r>
      <w:r w:rsidR="00E445DE">
        <w:rPr>
          <w:rFonts w:ascii="Times New Roman" w:hAnsi="Times New Roman" w:cs="Times New Roman"/>
          <w:sz w:val="24"/>
          <w:szCs w:val="24"/>
        </w:rPr>
        <w:t xml:space="preserve">The licensee would also be aware that a licence is granted on the understanding that licensees will take all reasonable steps to ensure that regulatory obligations are complied with, noting the high-hazard nature of operations, and that tenure over the relevant licence area is granted to the licensee based on factors such as their capacity to undertake safe and sustainable operations. </w:t>
      </w:r>
      <w:r w:rsidR="00E445DE" w:rsidRPr="00420D8A">
        <w:rPr>
          <w:rFonts w:ascii="Times New Roman" w:hAnsi="Times New Roman" w:cs="Times New Roman"/>
          <w:sz w:val="24"/>
          <w:szCs w:val="24"/>
        </w:rPr>
        <w:t>If there is an honest and reasonable mistake of fact</w:t>
      </w:r>
      <w:r w:rsidR="00E445DE">
        <w:rPr>
          <w:rFonts w:ascii="Times New Roman" w:hAnsi="Times New Roman" w:cs="Times New Roman"/>
          <w:sz w:val="24"/>
          <w:szCs w:val="24"/>
        </w:rPr>
        <w:t xml:space="preserve"> on the licensee’s part</w:t>
      </w:r>
      <w:r w:rsidR="00E445DE" w:rsidRPr="00420D8A">
        <w:rPr>
          <w:rFonts w:ascii="Times New Roman" w:hAnsi="Times New Roman" w:cs="Times New Roman"/>
          <w:sz w:val="24"/>
          <w:szCs w:val="24"/>
        </w:rPr>
        <w:t xml:space="preserve">, </w:t>
      </w:r>
      <w:r w:rsidR="00E445DE">
        <w:rPr>
          <w:rFonts w:ascii="Times New Roman" w:hAnsi="Times New Roman" w:cs="Times New Roman"/>
          <w:sz w:val="24"/>
          <w:szCs w:val="24"/>
        </w:rPr>
        <w:t xml:space="preserve">this may be </w:t>
      </w:r>
      <w:r w:rsidR="00E445DE" w:rsidRPr="00420D8A">
        <w:rPr>
          <w:rFonts w:ascii="Times New Roman" w:hAnsi="Times New Roman" w:cs="Times New Roman"/>
          <w:sz w:val="24"/>
          <w:szCs w:val="24"/>
        </w:rPr>
        <w:t>raise</w:t>
      </w:r>
      <w:r w:rsidR="00E445DE">
        <w:rPr>
          <w:rFonts w:ascii="Times New Roman" w:hAnsi="Times New Roman" w:cs="Times New Roman"/>
          <w:sz w:val="24"/>
          <w:szCs w:val="24"/>
        </w:rPr>
        <w:t>d</w:t>
      </w:r>
      <w:r w:rsidR="00E445DE" w:rsidRPr="00420D8A">
        <w:rPr>
          <w:rFonts w:ascii="Times New Roman" w:hAnsi="Times New Roman" w:cs="Times New Roman"/>
          <w:sz w:val="24"/>
          <w:szCs w:val="24"/>
        </w:rPr>
        <w:t xml:space="preserve"> in defence to a prosecution</w:t>
      </w:r>
      <w:r w:rsidRPr="002758FA">
        <w:rPr>
          <w:rFonts w:ascii="Times New Roman" w:hAnsi="Times New Roman" w:cs="Times New Roman"/>
          <w:sz w:val="24"/>
          <w:szCs w:val="24"/>
        </w:rPr>
        <w:t xml:space="preserve">. </w:t>
      </w:r>
    </w:p>
    <w:bookmarkEnd w:id="21"/>
    <w:p w14:paraId="36292E3C" w14:textId="3EA86B5A" w:rsidR="00907BF1" w:rsidRPr="002758FA" w:rsidRDefault="00316EAC" w:rsidP="002758FA">
      <w:pPr>
        <w:rPr>
          <w:rFonts w:ascii="Times New Roman" w:hAnsi="Times New Roman" w:cs="Times New Roman"/>
          <w:sz w:val="24"/>
          <w:szCs w:val="24"/>
        </w:rPr>
      </w:pPr>
      <w:r>
        <w:rPr>
          <w:rFonts w:ascii="Times New Roman" w:hAnsi="Times New Roman" w:cs="Times New Roman"/>
          <w:sz w:val="24"/>
          <w:szCs w:val="24"/>
        </w:rPr>
        <w:t>As discussed above in relation to section 22, a</w:t>
      </w:r>
      <w:r w:rsidRPr="00420D8A">
        <w:rPr>
          <w:rFonts w:ascii="Times New Roman" w:hAnsi="Times New Roman" w:cs="Times New Roman"/>
          <w:sz w:val="24"/>
          <w:szCs w:val="24"/>
        </w:rPr>
        <w:t xml:space="preserve"> </w:t>
      </w:r>
      <w:r>
        <w:rPr>
          <w:rFonts w:ascii="Times New Roman" w:hAnsi="Times New Roman" w:cs="Times New Roman"/>
          <w:sz w:val="24"/>
          <w:szCs w:val="24"/>
        </w:rPr>
        <w:t xml:space="preserve">maximum </w:t>
      </w:r>
      <w:r w:rsidRPr="00420D8A">
        <w:rPr>
          <w:rFonts w:ascii="Times New Roman" w:hAnsi="Times New Roman" w:cs="Times New Roman"/>
          <w:sz w:val="24"/>
          <w:szCs w:val="24"/>
        </w:rPr>
        <w:t xml:space="preserve">penalty </w:t>
      </w:r>
      <w:r>
        <w:rPr>
          <w:rFonts w:ascii="Times New Roman" w:hAnsi="Times New Roman" w:cs="Times New Roman"/>
          <w:sz w:val="24"/>
          <w:szCs w:val="24"/>
        </w:rPr>
        <w:t xml:space="preserve">of 100 PU </w:t>
      </w:r>
      <w:r w:rsidRPr="00420D8A">
        <w:rPr>
          <w:rFonts w:ascii="Times New Roman" w:hAnsi="Times New Roman" w:cs="Times New Roman"/>
          <w:sz w:val="24"/>
          <w:szCs w:val="24"/>
        </w:rPr>
        <w:t xml:space="preserve">is authorised by section 790 of the OPGGS Act. </w:t>
      </w:r>
      <w:r w:rsidR="00907BF1" w:rsidRPr="00420D8A">
        <w:rPr>
          <w:rFonts w:ascii="Times New Roman" w:hAnsi="Times New Roman" w:cs="Times New Roman"/>
          <w:sz w:val="24"/>
          <w:szCs w:val="24"/>
        </w:rPr>
        <w:t xml:space="preserve">The maximum penalty of 100 </w:t>
      </w:r>
      <w:r w:rsidR="00E445DE">
        <w:rPr>
          <w:rFonts w:ascii="Times New Roman" w:hAnsi="Times New Roman" w:cs="Times New Roman"/>
          <w:sz w:val="24"/>
          <w:szCs w:val="24"/>
        </w:rPr>
        <w:t>PU is appropriate</w:t>
      </w:r>
      <w:r w:rsidR="0011714E" w:rsidRPr="002758FA">
        <w:rPr>
          <w:rFonts w:ascii="Times New Roman" w:hAnsi="Times New Roman" w:cs="Times New Roman"/>
          <w:sz w:val="24"/>
          <w:szCs w:val="24"/>
        </w:rPr>
        <w:t xml:space="preserve">, </w:t>
      </w:r>
      <w:r w:rsidR="00E445DE">
        <w:rPr>
          <w:rFonts w:ascii="Times New Roman" w:hAnsi="Times New Roman" w:cs="Times New Roman"/>
          <w:sz w:val="24"/>
          <w:szCs w:val="24"/>
        </w:rPr>
        <w:t xml:space="preserve">noting that it </w:t>
      </w:r>
      <w:r w:rsidR="00907BF1" w:rsidRPr="00420D8A">
        <w:rPr>
          <w:rFonts w:ascii="Times New Roman" w:hAnsi="Times New Roman" w:cs="Times New Roman"/>
          <w:sz w:val="24"/>
          <w:szCs w:val="24"/>
        </w:rPr>
        <w:t xml:space="preserve">is higher than the preference stated in the Guide for </w:t>
      </w:r>
      <w:r w:rsidR="00E445DE">
        <w:rPr>
          <w:rFonts w:ascii="Times New Roman" w:hAnsi="Times New Roman" w:cs="Times New Roman"/>
          <w:sz w:val="24"/>
          <w:szCs w:val="24"/>
        </w:rPr>
        <w:t xml:space="preserve">a maximum of 60 PU for an individual (300 PU for a body corporate) for </w:t>
      </w:r>
      <w:r w:rsidR="00907BF1" w:rsidRPr="00420D8A">
        <w:rPr>
          <w:rFonts w:ascii="Times New Roman" w:hAnsi="Times New Roman" w:cs="Times New Roman"/>
          <w:sz w:val="24"/>
          <w:szCs w:val="24"/>
        </w:rPr>
        <w:t xml:space="preserve">strict liability offences. </w:t>
      </w:r>
      <w:r w:rsidR="00907BF1">
        <w:rPr>
          <w:rFonts w:ascii="Times New Roman" w:hAnsi="Times New Roman" w:cs="Times New Roman"/>
          <w:sz w:val="24"/>
          <w:szCs w:val="24"/>
        </w:rPr>
        <w:t>O</w:t>
      </w:r>
      <w:r w:rsidR="00907BF1" w:rsidRPr="00420D8A">
        <w:rPr>
          <w:rFonts w:ascii="Times New Roman" w:hAnsi="Times New Roman" w:cs="Times New Roman"/>
          <w:sz w:val="24"/>
          <w:szCs w:val="24"/>
        </w:rPr>
        <w:t xml:space="preserve">ffshore </w:t>
      </w:r>
      <w:r w:rsidR="00907BF1">
        <w:rPr>
          <w:rFonts w:ascii="Times New Roman" w:hAnsi="Times New Roman" w:cs="Times New Roman"/>
          <w:sz w:val="24"/>
          <w:szCs w:val="24"/>
        </w:rPr>
        <w:t>operations</w:t>
      </w:r>
      <w:r w:rsidR="00907BF1" w:rsidRPr="00420D8A">
        <w:rPr>
          <w:rFonts w:ascii="Times New Roman" w:hAnsi="Times New Roman" w:cs="Times New Roman"/>
          <w:sz w:val="24"/>
          <w:szCs w:val="24"/>
        </w:rPr>
        <w:t xml:space="preserve"> </w:t>
      </w:r>
      <w:r w:rsidR="00E445DE" w:rsidRPr="00420D8A">
        <w:rPr>
          <w:rFonts w:ascii="Times New Roman" w:hAnsi="Times New Roman" w:cs="Times New Roman"/>
          <w:sz w:val="24"/>
          <w:szCs w:val="24"/>
        </w:rPr>
        <w:t xml:space="preserve">require </w:t>
      </w:r>
      <w:r w:rsidR="00E445DE">
        <w:rPr>
          <w:rFonts w:ascii="Times New Roman" w:hAnsi="Times New Roman" w:cs="Times New Roman"/>
          <w:sz w:val="24"/>
          <w:szCs w:val="24"/>
        </w:rPr>
        <w:t>a very high level of expenditure, and therefore licensees are well</w:t>
      </w:r>
      <w:r w:rsidR="00C60F15">
        <w:rPr>
          <w:rFonts w:ascii="Times New Roman" w:hAnsi="Times New Roman" w:cs="Times New Roman"/>
          <w:sz w:val="24"/>
          <w:szCs w:val="24"/>
        </w:rPr>
        <w:noBreakHyphen/>
      </w:r>
      <w:r w:rsidR="00E445DE">
        <w:rPr>
          <w:rFonts w:ascii="Times New Roman" w:hAnsi="Times New Roman" w:cs="Times New Roman"/>
          <w:sz w:val="24"/>
          <w:szCs w:val="24"/>
        </w:rPr>
        <w:t xml:space="preserve">resourced, sophisticated entities. In this context, a smaller penalty for a significant offence would not be sufficient to appropriately punish the offending conduct. </w:t>
      </w:r>
      <w:r w:rsidR="0011714E" w:rsidRPr="002758FA">
        <w:rPr>
          <w:rFonts w:ascii="Times New Roman" w:hAnsi="Times New Roman" w:cs="Times New Roman"/>
          <w:sz w:val="24"/>
          <w:szCs w:val="24"/>
        </w:rPr>
        <w:t>Given that the approved site plan authorises the operations that are carried out in relation to the injection and storage of GHG substances, it is vital to effective industry regulation that the plan is accurate and up to date and the operations are managed and carried out in accordance with it.</w:t>
      </w:r>
      <w:r w:rsidR="00E445DE">
        <w:rPr>
          <w:rFonts w:ascii="Times New Roman" w:hAnsi="Times New Roman" w:cs="Times New Roman"/>
          <w:sz w:val="24"/>
          <w:szCs w:val="24"/>
        </w:rPr>
        <w:t xml:space="preserve"> There may be significant consequences in relation to containment of a GHG substance in an identified GHG storage formation that result from the failure of a licensee to revise a plan.</w:t>
      </w:r>
    </w:p>
    <w:p w14:paraId="7AB66E12" w14:textId="734DE059" w:rsidR="004851B7" w:rsidRPr="003E4855" w:rsidRDefault="004851B7" w:rsidP="004851B7">
      <w:pPr>
        <w:rPr>
          <w:rFonts w:ascii="Times New Roman" w:hAnsi="Times New Roman" w:cs="Times New Roman"/>
          <w:sz w:val="24"/>
          <w:szCs w:val="24"/>
        </w:rPr>
      </w:pPr>
      <w:r>
        <w:rPr>
          <w:rFonts w:ascii="Times New Roman" w:hAnsi="Times New Roman" w:cs="Times New Roman"/>
          <w:sz w:val="24"/>
          <w:szCs w:val="24"/>
        </w:rPr>
        <w:t>The offence provision has been included in the GHG Regulations, rather than the OPGGS</w:t>
      </w:r>
      <w:r w:rsidR="00925CCB">
        <w:rPr>
          <w:rFonts w:ascii="Times New Roman" w:hAnsi="Times New Roman" w:cs="Times New Roman"/>
          <w:sz w:val="24"/>
          <w:szCs w:val="24"/>
        </w:rPr>
        <w:t> </w:t>
      </w:r>
      <w:r>
        <w:rPr>
          <w:rFonts w:ascii="Times New Roman" w:hAnsi="Times New Roman" w:cs="Times New Roman"/>
          <w:sz w:val="24"/>
          <w:szCs w:val="24"/>
        </w:rPr>
        <w:t xml:space="preserve">Act, despite the relatively high penalties that may be imposed for non-compliance. The OPGGS Act sets out a range of regulation-making powers to prescribe matters in relation to GHG injection and storage. This includes subsection 457(6) of the OPGGS Act, which states that the regulations may make provision for and in relation to the variation of approved site plans. Section 40 of the GHG Regulations is made for the purposes of subsection 457(6) of the OPGGS Act. It is considered that setting out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provisions (including enforcement provisions) in one instrument provides greater clarity to licensees, rather than including the substantive provisions in the regulations, and matters relating to enforcement of those provisions in the OPGGS Act.  </w:t>
      </w:r>
    </w:p>
    <w:p w14:paraId="0206B401" w14:textId="33C3CF3A" w:rsidR="00F23CA6" w:rsidRPr="00FA7784" w:rsidRDefault="00F23CA6" w:rsidP="00F23CA6">
      <w:pPr>
        <w:rPr>
          <w:rFonts w:ascii="Times New Roman" w:hAnsi="Times New Roman" w:cs="Times New Roman"/>
          <w:sz w:val="24"/>
          <w:szCs w:val="24"/>
        </w:rPr>
      </w:pPr>
      <w:r>
        <w:rPr>
          <w:rFonts w:ascii="Times New Roman" w:hAnsi="Times New Roman" w:cs="Times New Roman"/>
          <w:sz w:val="24"/>
          <w:szCs w:val="24"/>
        </w:rPr>
        <w:t xml:space="preserve">Subsection 40(4) is a continuing offence under section 4K of the </w:t>
      </w:r>
      <w:r>
        <w:rPr>
          <w:rFonts w:ascii="Times New Roman" w:hAnsi="Times New Roman" w:cs="Times New Roman"/>
          <w:i/>
          <w:iCs/>
          <w:sz w:val="24"/>
          <w:szCs w:val="24"/>
        </w:rPr>
        <w:t>Crimes Act 1914</w:t>
      </w:r>
      <w:r>
        <w:rPr>
          <w:rFonts w:ascii="Times New Roman" w:hAnsi="Times New Roman" w:cs="Times New Roman"/>
          <w:sz w:val="24"/>
          <w:szCs w:val="24"/>
        </w:rPr>
        <w:t>. Section 62 of the GHG Regulations sets out that the maximum penalty for each day that an offence under subsection 40(4) continues is 10% of the maximum penalty that can be imposed in respect of that offence.</w:t>
      </w:r>
    </w:p>
    <w:p w14:paraId="35093C9E" w14:textId="277F7A00" w:rsidR="00F23CA6" w:rsidRDefault="00F23CA6" w:rsidP="00F23CA6">
      <w:pP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The licensee is also liable to a civil penalty of 1,000 PU for a failure to comply with </w:t>
      </w:r>
      <w:r w:rsidR="00776C3C">
        <w:rPr>
          <w:rFonts w:ascii="Times New Roman" w:hAnsi="Times New Roman" w:cs="Times New Roman"/>
          <w:sz w:val="24"/>
          <w:szCs w:val="24"/>
          <w:shd w:val="clear" w:color="auto" w:fill="FFFFFF"/>
        </w:rPr>
        <w:t>sub</w:t>
      </w:r>
      <w:r>
        <w:rPr>
          <w:rFonts w:ascii="Times New Roman" w:hAnsi="Times New Roman" w:cs="Times New Roman"/>
          <w:sz w:val="24"/>
          <w:szCs w:val="24"/>
          <w:shd w:val="clear" w:color="auto" w:fill="FFFFFF"/>
        </w:rPr>
        <w:t>section 40</w:t>
      </w:r>
      <w:r w:rsidR="00776C3C">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As noted above, o</w:t>
      </w:r>
      <w:r w:rsidRPr="00420D8A">
        <w:rPr>
          <w:rFonts w:ascii="Times New Roman" w:hAnsi="Times New Roman" w:cs="Times New Roman"/>
          <w:sz w:val="24"/>
          <w:szCs w:val="24"/>
        </w:rPr>
        <w:t xml:space="preserve">ffshore </w:t>
      </w:r>
      <w:r>
        <w:rPr>
          <w:rFonts w:ascii="Times New Roman" w:hAnsi="Times New Roman" w:cs="Times New Roman"/>
          <w:sz w:val="24"/>
          <w:szCs w:val="24"/>
        </w:rPr>
        <w:t>operations</w:t>
      </w:r>
      <w:r w:rsidRPr="00420D8A">
        <w:rPr>
          <w:rFonts w:ascii="Times New Roman" w:hAnsi="Times New Roman" w:cs="Times New Roman"/>
          <w:sz w:val="24"/>
          <w:szCs w:val="24"/>
        </w:rPr>
        <w:t xml:space="preserve"> require a very high level of expenditure</w:t>
      </w:r>
      <w:r>
        <w:rPr>
          <w:rFonts w:ascii="Times New Roman" w:hAnsi="Times New Roman" w:cs="Times New Roman"/>
          <w:sz w:val="24"/>
          <w:szCs w:val="24"/>
        </w:rPr>
        <w:t>, and therefore licensees are well-resourced, sophisticated entities.</w:t>
      </w:r>
      <w:r>
        <w:rPr>
          <w:rFonts w:ascii="Times New Roman" w:hAnsi="Times New Roman" w:cs="Times New Roman"/>
          <w:sz w:val="24"/>
          <w:szCs w:val="24"/>
          <w:shd w:val="clear" w:color="auto" w:fill="FFFFFF"/>
        </w:rPr>
        <w:t xml:space="preserve"> To be an effective deterrent, the penalty must be sufficiently significant to overcome any sense that the potential imposition of a fine for non-compliance might otherwise be perceived as a ‘cost of doing </w:t>
      </w:r>
      <w:proofErr w:type="gramStart"/>
      <w:r>
        <w:rPr>
          <w:rFonts w:ascii="Times New Roman" w:hAnsi="Times New Roman" w:cs="Times New Roman"/>
          <w:sz w:val="24"/>
          <w:szCs w:val="24"/>
          <w:shd w:val="clear" w:color="auto" w:fill="FFFFFF"/>
        </w:rPr>
        <w:t>business’</w:t>
      </w:r>
      <w:proofErr w:type="gramEnd"/>
      <w:r>
        <w:rPr>
          <w:rFonts w:ascii="Times New Roman" w:hAnsi="Times New Roman" w:cs="Times New Roman"/>
          <w:sz w:val="24"/>
          <w:szCs w:val="24"/>
          <w:shd w:val="clear" w:color="auto" w:fill="FFFFFF"/>
        </w:rPr>
        <w:t>. The size of the penalty also reflects the cost of court proceedings that may be necessary to enforce the penalty (see further at section 57 below).</w:t>
      </w:r>
      <w:r w:rsidRPr="008A7FC6">
        <w:rPr>
          <w:rFonts w:ascii="Times New Roman" w:hAnsi="Times New Roman" w:cs="Times New Roman"/>
          <w:sz w:val="24"/>
          <w:szCs w:val="24"/>
        </w:rPr>
        <w:t xml:space="preserve"> </w:t>
      </w:r>
    </w:p>
    <w:p w14:paraId="32F8D13E" w14:textId="77777777" w:rsidR="00F23CA6" w:rsidRDefault="00F23CA6" w:rsidP="00F23CA6">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As noted above in relation to section 22, it is appropriate for regulators to have recourse to both civil and criminal penalties</w:t>
      </w:r>
      <w:r>
        <w:rPr>
          <w:rFonts w:ascii="Times New Roman" w:hAnsi="Times New Roman" w:cs="Times New Roman"/>
          <w:color w:val="333333"/>
          <w:sz w:val="24"/>
          <w:szCs w:val="24"/>
          <w:shd w:val="clear" w:color="auto" w:fill="FFFFFF"/>
        </w:rPr>
        <w:t xml:space="preserve"> – see the discussion at that section.</w:t>
      </w:r>
    </w:p>
    <w:p w14:paraId="0E801676" w14:textId="4E1773AE" w:rsidR="00F23CA6" w:rsidRDefault="00F23CA6" w:rsidP="00F23CA6">
      <w:r>
        <w:rPr>
          <w:rFonts w:ascii="Times New Roman" w:hAnsi="Times New Roman" w:cs="Times New Roman"/>
          <w:sz w:val="24"/>
          <w:szCs w:val="24"/>
        </w:rPr>
        <w:t>Subsection 40(5) is a continuing civil penalty provision under section 93 of the Regulatory</w:t>
      </w:r>
      <w:r w:rsidR="007C64E8">
        <w:rPr>
          <w:rFonts w:ascii="Times New Roman" w:hAnsi="Times New Roman" w:cs="Times New Roman"/>
          <w:sz w:val="24"/>
          <w:szCs w:val="24"/>
        </w:rPr>
        <w:t> </w:t>
      </w:r>
      <w:r>
        <w:rPr>
          <w:rFonts w:ascii="Times New Roman" w:hAnsi="Times New Roman" w:cs="Times New Roman"/>
          <w:sz w:val="24"/>
          <w:szCs w:val="24"/>
        </w:rPr>
        <w:t>Powers Act. Section 62 of the GHG Regulations sets out that the maximum civil penalty for each day that a contravention referred to in subsection 40(5) continues is 10% of the maximum civil penalty that can be imposed in respect of that contravention.</w:t>
      </w:r>
    </w:p>
    <w:p w14:paraId="2F9ABEAE" w14:textId="103D9D55" w:rsidR="00B62817" w:rsidRDefault="00B62817" w:rsidP="00B62817">
      <w:pPr>
        <w:rPr>
          <w:rFonts w:ascii="Times New Roman" w:hAnsi="Times New Roman" w:cs="Times New Roman"/>
          <w:sz w:val="24"/>
          <w:szCs w:val="24"/>
        </w:rPr>
      </w:pPr>
      <w:r>
        <w:rPr>
          <w:rFonts w:ascii="Times New Roman" w:hAnsi="Times New Roman" w:cs="Times New Roman"/>
          <w:sz w:val="24"/>
          <w:szCs w:val="24"/>
        </w:rPr>
        <w:t xml:space="preserve">The criminal and civil penalties that may apply for a failure to vary a plan following the occurrence of certain circumstances under section 40 are twice those imposed for a failure to vary a plan to remove inconsistency with a direction under section 376, 380 or 383 of the OPGGS Act under section 39. A direction under section 376, 380 or 383 prevails over anything in an approved site plan, to the extent of any inconsistency. Therefore, while it is important that the site plan is varied for consistency with the direction, </w:t>
      </w:r>
      <w:r w:rsidR="008E2D5F">
        <w:rPr>
          <w:rFonts w:ascii="Times New Roman" w:hAnsi="Times New Roman" w:cs="Times New Roman"/>
          <w:sz w:val="24"/>
          <w:szCs w:val="24"/>
        </w:rPr>
        <w:t>the impact of a failure to do so is likely to be less severe than a failure to vary a plan to take account of circumstances such as new information or changes in operations. Non-compliance with section 40</w:t>
      </w:r>
      <w:r>
        <w:rPr>
          <w:rFonts w:ascii="Times New Roman" w:hAnsi="Times New Roman" w:cs="Times New Roman"/>
          <w:sz w:val="24"/>
          <w:szCs w:val="24"/>
        </w:rPr>
        <w:t xml:space="preserve"> </w:t>
      </w:r>
      <w:r w:rsidR="008E2D5F">
        <w:rPr>
          <w:rFonts w:ascii="Times New Roman" w:hAnsi="Times New Roman" w:cs="Times New Roman"/>
          <w:sz w:val="24"/>
          <w:szCs w:val="24"/>
        </w:rPr>
        <w:t xml:space="preserve">therefore </w:t>
      </w:r>
      <w:r>
        <w:rPr>
          <w:rFonts w:ascii="Times New Roman" w:hAnsi="Times New Roman" w:cs="Times New Roman"/>
          <w:sz w:val="24"/>
          <w:szCs w:val="24"/>
        </w:rPr>
        <w:t xml:space="preserve">warrants a higher deterrent against non-compliance by imposing a larger penalty. </w:t>
      </w:r>
    </w:p>
    <w:p w14:paraId="3D74CA00" w14:textId="146A5883" w:rsidR="00E31706" w:rsidRPr="00502CAB" w:rsidRDefault="00E31706" w:rsidP="00502CAB">
      <w:pPr>
        <w:pStyle w:val="ActHead5"/>
        <w:spacing w:after="240"/>
      </w:pPr>
      <w:r w:rsidRPr="00502CAB">
        <w:t xml:space="preserve">Section </w:t>
      </w:r>
      <w:r w:rsidR="00234D7B" w:rsidRPr="00502CAB">
        <w:t>41</w:t>
      </w:r>
      <w:r w:rsidRPr="00502CAB">
        <w:t xml:space="preserve"> – Draft variations initiated by </w:t>
      </w:r>
      <w:proofErr w:type="gramStart"/>
      <w:r w:rsidRPr="00502CAB">
        <w:t>licensee</w:t>
      </w:r>
      <w:r w:rsidR="00234D7B" w:rsidRPr="00502CAB">
        <w:t>s</w:t>
      </w:r>
      <w:proofErr w:type="gramEnd"/>
    </w:p>
    <w:p w14:paraId="61794BAD" w14:textId="7507A279" w:rsidR="00876F84" w:rsidRDefault="00DE71C9" w:rsidP="0016414E">
      <w:pPr>
        <w:rPr>
          <w:rFonts w:ascii="Times New Roman" w:hAnsi="Times New Roman" w:cs="Times New Roman"/>
          <w:sz w:val="24"/>
          <w:szCs w:val="24"/>
        </w:rPr>
      </w:pPr>
      <w:r>
        <w:rPr>
          <w:rFonts w:ascii="Times New Roman" w:hAnsi="Times New Roman" w:cs="Times New Roman"/>
          <w:sz w:val="24"/>
          <w:szCs w:val="24"/>
        </w:rPr>
        <w:t xml:space="preserve">This section </w:t>
      </w:r>
      <w:r w:rsidR="00AC4BDD">
        <w:rPr>
          <w:rFonts w:ascii="Times New Roman" w:hAnsi="Times New Roman" w:cs="Times New Roman"/>
          <w:sz w:val="24"/>
          <w:szCs w:val="24"/>
        </w:rPr>
        <w:t xml:space="preserve">allows </w:t>
      </w:r>
      <w:r w:rsidR="00876F84">
        <w:rPr>
          <w:rFonts w:ascii="Times New Roman" w:hAnsi="Times New Roman" w:cs="Times New Roman"/>
          <w:sz w:val="24"/>
          <w:szCs w:val="24"/>
        </w:rPr>
        <w:t>a GHG injection</w:t>
      </w:r>
      <w:r w:rsidR="00AC4BDD">
        <w:rPr>
          <w:rFonts w:ascii="Times New Roman" w:hAnsi="Times New Roman" w:cs="Times New Roman"/>
          <w:sz w:val="24"/>
          <w:szCs w:val="24"/>
        </w:rPr>
        <w:t xml:space="preserve"> </w:t>
      </w:r>
      <w:r w:rsidR="00AC4BDD" w:rsidRPr="00AC4BDD">
        <w:rPr>
          <w:rFonts w:ascii="Times New Roman" w:hAnsi="Times New Roman" w:cs="Times New Roman"/>
          <w:sz w:val="24"/>
          <w:szCs w:val="24"/>
        </w:rPr>
        <w:t xml:space="preserve">licensee </w:t>
      </w:r>
      <w:r w:rsidR="00AC4BDD">
        <w:rPr>
          <w:rFonts w:ascii="Times New Roman" w:hAnsi="Times New Roman" w:cs="Times New Roman"/>
          <w:sz w:val="24"/>
          <w:szCs w:val="24"/>
        </w:rPr>
        <w:t>to</w:t>
      </w:r>
      <w:r w:rsidR="00AC4BDD" w:rsidRPr="00AC4BDD">
        <w:rPr>
          <w:rFonts w:ascii="Times New Roman" w:hAnsi="Times New Roman" w:cs="Times New Roman"/>
          <w:sz w:val="24"/>
          <w:szCs w:val="24"/>
        </w:rPr>
        <w:t xml:space="preserve"> apply to the </w:t>
      </w:r>
      <w:r w:rsidR="00B84F3E">
        <w:rPr>
          <w:rFonts w:ascii="Times New Roman" w:hAnsi="Times New Roman" w:cs="Times New Roman"/>
          <w:sz w:val="24"/>
          <w:szCs w:val="24"/>
        </w:rPr>
        <w:t xml:space="preserve">responsible Commonwealth </w:t>
      </w:r>
      <w:r w:rsidR="00AC4BDD" w:rsidRPr="00AC4BDD">
        <w:rPr>
          <w:rFonts w:ascii="Times New Roman" w:hAnsi="Times New Roman" w:cs="Times New Roman"/>
          <w:sz w:val="24"/>
          <w:szCs w:val="24"/>
        </w:rPr>
        <w:t xml:space="preserve">Minister for approval to vary </w:t>
      </w:r>
      <w:r w:rsidR="007A28E4">
        <w:rPr>
          <w:rFonts w:ascii="Times New Roman" w:hAnsi="Times New Roman" w:cs="Times New Roman"/>
          <w:sz w:val="24"/>
          <w:szCs w:val="24"/>
        </w:rPr>
        <w:t>an</w:t>
      </w:r>
      <w:r w:rsidR="00AC4BDD" w:rsidRPr="00AC4BDD">
        <w:rPr>
          <w:rFonts w:ascii="Times New Roman" w:hAnsi="Times New Roman" w:cs="Times New Roman"/>
          <w:sz w:val="24"/>
          <w:szCs w:val="24"/>
        </w:rPr>
        <w:t xml:space="preserve"> approved site plan</w:t>
      </w:r>
      <w:r w:rsidR="00AC4BDD">
        <w:rPr>
          <w:rFonts w:ascii="Times New Roman" w:hAnsi="Times New Roman" w:cs="Times New Roman"/>
          <w:sz w:val="24"/>
          <w:szCs w:val="24"/>
        </w:rPr>
        <w:t xml:space="preserve">. </w:t>
      </w:r>
      <w:r w:rsidR="00876F84">
        <w:rPr>
          <w:rFonts w:ascii="Times New Roman" w:hAnsi="Times New Roman" w:cs="Times New Roman"/>
          <w:sz w:val="24"/>
          <w:szCs w:val="24"/>
        </w:rPr>
        <w:t xml:space="preserve">The application must be in </w:t>
      </w:r>
      <w:r w:rsidR="00876F84" w:rsidRPr="00AC4BDD">
        <w:rPr>
          <w:rFonts w:ascii="Times New Roman" w:hAnsi="Times New Roman" w:cs="Times New Roman"/>
          <w:sz w:val="24"/>
          <w:szCs w:val="24"/>
        </w:rPr>
        <w:t xml:space="preserve">writing and </w:t>
      </w:r>
      <w:r w:rsidR="00876F84">
        <w:rPr>
          <w:rFonts w:ascii="Times New Roman" w:hAnsi="Times New Roman" w:cs="Times New Roman"/>
          <w:sz w:val="24"/>
          <w:szCs w:val="24"/>
        </w:rPr>
        <w:t xml:space="preserve">must include </w:t>
      </w:r>
      <w:r w:rsidR="00876F84" w:rsidRPr="00AC4BDD">
        <w:rPr>
          <w:rFonts w:ascii="Times New Roman" w:hAnsi="Times New Roman" w:cs="Times New Roman"/>
          <w:sz w:val="24"/>
          <w:szCs w:val="24"/>
        </w:rPr>
        <w:t>the draft variation</w:t>
      </w:r>
      <w:r w:rsidR="00876F84">
        <w:rPr>
          <w:rFonts w:ascii="Times New Roman" w:hAnsi="Times New Roman" w:cs="Times New Roman"/>
          <w:sz w:val="24"/>
          <w:szCs w:val="24"/>
        </w:rPr>
        <w:t>.</w:t>
      </w:r>
    </w:p>
    <w:p w14:paraId="282BCF6A" w14:textId="56020210" w:rsidR="00E31706" w:rsidRDefault="00876F84" w:rsidP="0016414E">
      <w:pPr>
        <w:rPr>
          <w:rFonts w:ascii="Times New Roman" w:hAnsi="Times New Roman" w:cs="Times New Roman"/>
          <w:sz w:val="24"/>
          <w:szCs w:val="24"/>
        </w:rPr>
      </w:pPr>
      <w:r>
        <w:rPr>
          <w:rFonts w:ascii="Times New Roman" w:hAnsi="Times New Roman" w:cs="Times New Roman"/>
          <w:sz w:val="24"/>
          <w:szCs w:val="24"/>
        </w:rPr>
        <w:t>The licensee may wish to vary a site plan to reflect matters such as updated operational or risk management matters, in circumstances other than those envisaged by sections 36, 37, 39 or 40. This is particularly the case where a licensee proposes to undertake future operations other than in accordance with the existing site plan in force, but does not wish to breach the obligation to comply with the plan in subsection 22(2).</w:t>
      </w:r>
    </w:p>
    <w:p w14:paraId="4577BFA7" w14:textId="4FB931A1" w:rsidR="00876F84" w:rsidRPr="0035435B" w:rsidRDefault="00876F84" w:rsidP="00876F8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Section 42 </w:t>
      </w:r>
      <w:r w:rsidR="00776C3C">
        <w:rPr>
          <w:rFonts w:ascii="Times New Roman" w:hAnsi="Times New Roman" w:cs="Times New Roman"/>
          <w:color w:val="333333"/>
          <w:sz w:val="24"/>
          <w:szCs w:val="24"/>
          <w:shd w:val="clear" w:color="auto" w:fill="FFFFFF"/>
        </w:rPr>
        <w:t>requires</w:t>
      </w:r>
      <w:r>
        <w:rPr>
          <w:rFonts w:ascii="Times New Roman" w:hAnsi="Times New Roman" w:cs="Times New Roman"/>
          <w:color w:val="333333"/>
          <w:sz w:val="24"/>
          <w:szCs w:val="24"/>
          <w:shd w:val="clear" w:color="auto" w:fill="FFFFFF"/>
        </w:rPr>
        <w:t xml:space="preserve"> the </w:t>
      </w:r>
      <w:r w:rsidR="00776C3C">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Minister to approve or refuse to approve a draft variation of a site plan.</w:t>
      </w:r>
    </w:p>
    <w:p w14:paraId="2BA849A5" w14:textId="33E49727" w:rsidR="00DE71C9" w:rsidRPr="00502CAB" w:rsidRDefault="00DE71C9" w:rsidP="00502CAB">
      <w:pPr>
        <w:pStyle w:val="ActHead5"/>
        <w:spacing w:after="240"/>
      </w:pPr>
      <w:bookmarkStart w:id="22" w:name="_Hlk160637697"/>
      <w:r w:rsidRPr="00502CAB">
        <w:t xml:space="preserve">Section </w:t>
      </w:r>
      <w:r w:rsidR="00234D7B" w:rsidRPr="00502CAB">
        <w:t>42</w:t>
      </w:r>
      <w:r w:rsidRPr="00502CAB">
        <w:t xml:space="preserve"> – Decision on approval of draft variation</w:t>
      </w:r>
    </w:p>
    <w:bookmarkEnd w:id="22"/>
    <w:p w14:paraId="53A2131A" w14:textId="1C4A7AAE" w:rsidR="00AC4BDD" w:rsidRDefault="00DE71C9" w:rsidP="00DE71C9">
      <w:pPr>
        <w:rPr>
          <w:rFonts w:ascii="Times New Roman" w:hAnsi="Times New Roman" w:cs="Times New Roman"/>
          <w:sz w:val="24"/>
          <w:szCs w:val="24"/>
        </w:rPr>
      </w:pPr>
      <w:r>
        <w:rPr>
          <w:rFonts w:ascii="Times New Roman" w:hAnsi="Times New Roman" w:cs="Times New Roman"/>
          <w:sz w:val="24"/>
          <w:szCs w:val="24"/>
        </w:rPr>
        <w:t xml:space="preserve">This section </w:t>
      </w:r>
      <w:r w:rsidR="00AC4BDD">
        <w:rPr>
          <w:rFonts w:ascii="Times New Roman" w:hAnsi="Times New Roman" w:cs="Times New Roman"/>
          <w:sz w:val="24"/>
          <w:szCs w:val="24"/>
        </w:rPr>
        <w:t xml:space="preserve">requires </w:t>
      </w:r>
      <w:r w:rsidR="00AC4BDD" w:rsidRPr="00AC4BDD">
        <w:rPr>
          <w:rFonts w:ascii="Times New Roman" w:hAnsi="Times New Roman" w:cs="Times New Roman"/>
          <w:sz w:val="24"/>
          <w:szCs w:val="24"/>
        </w:rPr>
        <w:t xml:space="preserve">the </w:t>
      </w:r>
      <w:r w:rsidR="00B84F3E">
        <w:rPr>
          <w:rFonts w:ascii="Times New Roman" w:hAnsi="Times New Roman" w:cs="Times New Roman"/>
          <w:sz w:val="24"/>
          <w:szCs w:val="24"/>
        </w:rPr>
        <w:t xml:space="preserve">responsible Commonwealth </w:t>
      </w:r>
      <w:r w:rsidR="00AC4BDD" w:rsidRPr="00AC4BDD">
        <w:rPr>
          <w:rFonts w:ascii="Times New Roman" w:hAnsi="Times New Roman" w:cs="Times New Roman"/>
          <w:sz w:val="24"/>
          <w:szCs w:val="24"/>
        </w:rPr>
        <w:t xml:space="preserve">Minister </w:t>
      </w:r>
      <w:r w:rsidR="00AC4BDD">
        <w:rPr>
          <w:rFonts w:ascii="Times New Roman" w:hAnsi="Times New Roman" w:cs="Times New Roman"/>
          <w:sz w:val="24"/>
          <w:szCs w:val="24"/>
        </w:rPr>
        <w:t xml:space="preserve">to </w:t>
      </w:r>
      <w:r w:rsidR="00BE2E2E">
        <w:rPr>
          <w:rFonts w:ascii="Times New Roman" w:hAnsi="Times New Roman" w:cs="Times New Roman"/>
          <w:sz w:val="24"/>
          <w:szCs w:val="24"/>
        </w:rPr>
        <w:t xml:space="preserve">either </w:t>
      </w:r>
      <w:r w:rsidR="00AC4BDD" w:rsidRPr="00AC4BDD">
        <w:rPr>
          <w:rFonts w:ascii="Times New Roman" w:hAnsi="Times New Roman" w:cs="Times New Roman"/>
          <w:sz w:val="24"/>
          <w:szCs w:val="24"/>
        </w:rPr>
        <w:t>approv</w:t>
      </w:r>
      <w:r w:rsidR="00AC4BDD">
        <w:rPr>
          <w:rFonts w:ascii="Times New Roman" w:hAnsi="Times New Roman" w:cs="Times New Roman"/>
          <w:sz w:val="24"/>
          <w:szCs w:val="24"/>
        </w:rPr>
        <w:t xml:space="preserve">e or refuse to approve </w:t>
      </w:r>
      <w:r w:rsidR="00BE2E2E">
        <w:rPr>
          <w:rFonts w:ascii="Times New Roman" w:hAnsi="Times New Roman" w:cs="Times New Roman"/>
          <w:sz w:val="24"/>
          <w:szCs w:val="24"/>
        </w:rPr>
        <w:t>a</w:t>
      </w:r>
      <w:r w:rsidR="00AC4BDD">
        <w:rPr>
          <w:rFonts w:ascii="Times New Roman" w:hAnsi="Times New Roman" w:cs="Times New Roman"/>
          <w:sz w:val="24"/>
          <w:szCs w:val="24"/>
        </w:rPr>
        <w:t xml:space="preserve"> draft variation </w:t>
      </w:r>
      <w:r w:rsidR="00BE2E2E">
        <w:rPr>
          <w:rFonts w:ascii="Times New Roman" w:hAnsi="Times New Roman" w:cs="Times New Roman"/>
          <w:sz w:val="24"/>
          <w:szCs w:val="24"/>
        </w:rPr>
        <w:t xml:space="preserve">of a site plan submitted by a GHG injection </w:t>
      </w:r>
      <w:r w:rsidR="00AC4BDD">
        <w:rPr>
          <w:rFonts w:ascii="Times New Roman" w:hAnsi="Times New Roman" w:cs="Times New Roman"/>
          <w:sz w:val="24"/>
          <w:szCs w:val="24"/>
        </w:rPr>
        <w:t>licensee.</w:t>
      </w:r>
    </w:p>
    <w:p w14:paraId="230C7D5B" w14:textId="173298AC" w:rsidR="00AC4BDD" w:rsidRPr="00AC4BDD" w:rsidRDefault="00AC4BDD" w:rsidP="00AC4BDD">
      <w:pPr>
        <w:rPr>
          <w:rFonts w:ascii="Times New Roman" w:hAnsi="Times New Roman" w:cs="Times New Roman"/>
          <w:sz w:val="24"/>
          <w:szCs w:val="24"/>
        </w:rPr>
      </w:pPr>
      <w:r w:rsidRPr="00AC4BDD">
        <w:rPr>
          <w:rFonts w:ascii="Times New Roman" w:hAnsi="Times New Roman" w:cs="Times New Roman"/>
          <w:sz w:val="24"/>
          <w:szCs w:val="24"/>
        </w:rPr>
        <w:t xml:space="preserve">The </w:t>
      </w:r>
      <w:r w:rsidR="009E4060">
        <w:rPr>
          <w:rFonts w:ascii="Times New Roman" w:hAnsi="Times New Roman" w:cs="Times New Roman"/>
          <w:sz w:val="24"/>
          <w:szCs w:val="24"/>
        </w:rPr>
        <w:t xml:space="preserve">responsible Commonwealth </w:t>
      </w:r>
      <w:r w:rsidRPr="00AC4BDD">
        <w:rPr>
          <w:rFonts w:ascii="Times New Roman" w:hAnsi="Times New Roman" w:cs="Times New Roman"/>
          <w:sz w:val="24"/>
          <w:szCs w:val="24"/>
        </w:rPr>
        <w:t>Minister may approve the draft variation if reasonably satisfied that:</w:t>
      </w:r>
    </w:p>
    <w:p w14:paraId="3131DC15" w14:textId="7E89D8ED" w:rsidR="00AC4BDD" w:rsidRPr="00AC4BDD" w:rsidRDefault="00AC4BDD" w:rsidP="00556EFD">
      <w:pPr>
        <w:ind w:left="567" w:hanging="567"/>
        <w:rPr>
          <w:rFonts w:ascii="Times New Roman" w:hAnsi="Times New Roman" w:cs="Times New Roman"/>
          <w:sz w:val="24"/>
          <w:szCs w:val="24"/>
        </w:rPr>
      </w:pPr>
      <w:r w:rsidRPr="00AC4BDD">
        <w:rPr>
          <w:rFonts w:ascii="Times New Roman" w:hAnsi="Times New Roman" w:cs="Times New Roman"/>
          <w:sz w:val="24"/>
          <w:szCs w:val="24"/>
        </w:rPr>
        <w:lastRenderedPageBreak/>
        <w:t>(a)</w:t>
      </w:r>
      <w:r w:rsidRPr="00AC4BDD">
        <w:rPr>
          <w:rFonts w:ascii="Times New Roman" w:hAnsi="Times New Roman" w:cs="Times New Roman"/>
          <w:sz w:val="24"/>
          <w:szCs w:val="24"/>
        </w:rPr>
        <w:tab/>
        <w:t>if the draft variation was prepared under section 36</w:t>
      </w:r>
      <w:r w:rsidR="00BE2E2E">
        <w:rPr>
          <w:rFonts w:ascii="Times New Roman" w:hAnsi="Times New Roman" w:cs="Times New Roman"/>
          <w:sz w:val="24"/>
          <w:szCs w:val="24"/>
        </w:rPr>
        <w:t xml:space="preserve"> (five-yearly review)</w:t>
      </w:r>
      <w:r w:rsidRPr="00AC4BDD">
        <w:rPr>
          <w:rFonts w:ascii="Times New Roman" w:hAnsi="Times New Roman" w:cs="Times New Roman"/>
          <w:sz w:val="24"/>
          <w:szCs w:val="24"/>
        </w:rPr>
        <w:t>, 37</w:t>
      </w:r>
      <w:r w:rsidR="00BE2E2E">
        <w:rPr>
          <w:rFonts w:ascii="Times New Roman" w:hAnsi="Times New Roman" w:cs="Times New Roman"/>
          <w:sz w:val="24"/>
          <w:szCs w:val="24"/>
        </w:rPr>
        <w:t xml:space="preserve"> (review requested by the Minister)</w:t>
      </w:r>
      <w:r w:rsidRPr="00AC4BDD">
        <w:rPr>
          <w:rFonts w:ascii="Times New Roman" w:hAnsi="Times New Roman" w:cs="Times New Roman"/>
          <w:sz w:val="24"/>
          <w:szCs w:val="24"/>
        </w:rPr>
        <w:t xml:space="preserve"> or 41</w:t>
      </w:r>
      <w:r w:rsidR="00BE2E2E">
        <w:rPr>
          <w:rFonts w:ascii="Times New Roman" w:hAnsi="Times New Roman" w:cs="Times New Roman"/>
          <w:sz w:val="24"/>
          <w:szCs w:val="24"/>
        </w:rPr>
        <w:t xml:space="preserve"> (variation initiated by licensee)</w:t>
      </w:r>
      <w:r>
        <w:rPr>
          <w:rFonts w:ascii="Times New Roman" w:hAnsi="Times New Roman" w:cs="Times New Roman"/>
          <w:sz w:val="24"/>
          <w:szCs w:val="24"/>
        </w:rPr>
        <w:t xml:space="preserve">, </w:t>
      </w:r>
      <w:r w:rsidRPr="00AC4BDD">
        <w:rPr>
          <w:rFonts w:ascii="Times New Roman" w:hAnsi="Times New Roman" w:cs="Times New Roman"/>
          <w:sz w:val="24"/>
          <w:szCs w:val="24"/>
        </w:rPr>
        <w:t xml:space="preserve">the approved site plan should be varied as </w:t>
      </w:r>
      <w:r w:rsidR="00BE2E2E">
        <w:rPr>
          <w:rFonts w:ascii="Times New Roman" w:hAnsi="Times New Roman" w:cs="Times New Roman"/>
          <w:sz w:val="24"/>
          <w:szCs w:val="24"/>
        </w:rPr>
        <w:t>set out in the draft variation</w:t>
      </w:r>
    </w:p>
    <w:p w14:paraId="356121CB" w14:textId="4559D610" w:rsidR="00AC4BDD" w:rsidRDefault="00AC4BDD" w:rsidP="00556EFD">
      <w:pPr>
        <w:ind w:left="567" w:hanging="567"/>
        <w:rPr>
          <w:rFonts w:ascii="Times New Roman" w:hAnsi="Times New Roman" w:cs="Times New Roman"/>
          <w:sz w:val="24"/>
          <w:szCs w:val="24"/>
        </w:rPr>
      </w:pPr>
      <w:r w:rsidRPr="00AC4BDD">
        <w:rPr>
          <w:rFonts w:ascii="Times New Roman" w:hAnsi="Times New Roman" w:cs="Times New Roman"/>
          <w:sz w:val="24"/>
          <w:szCs w:val="24"/>
        </w:rPr>
        <w:t>(b)</w:t>
      </w:r>
      <w:r w:rsidRPr="00AC4BDD">
        <w:rPr>
          <w:rFonts w:ascii="Times New Roman" w:hAnsi="Times New Roman" w:cs="Times New Roman"/>
          <w:sz w:val="24"/>
          <w:szCs w:val="24"/>
        </w:rPr>
        <w:tab/>
        <w:t>if the draft variation was prepared under section 39</w:t>
      </w:r>
      <w:r w:rsidR="00BE2E2E">
        <w:rPr>
          <w:rFonts w:ascii="Times New Roman" w:hAnsi="Times New Roman" w:cs="Times New Roman"/>
          <w:sz w:val="24"/>
          <w:szCs w:val="24"/>
        </w:rPr>
        <w:t xml:space="preserve"> (variation to remove inconsistency with direction</w:t>
      </w:r>
      <w:r w:rsidR="009E4060">
        <w:rPr>
          <w:rFonts w:ascii="Times New Roman" w:hAnsi="Times New Roman" w:cs="Times New Roman"/>
          <w:sz w:val="24"/>
          <w:szCs w:val="24"/>
        </w:rPr>
        <w:t>s</w:t>
      </w:r>
      <w:r w:rsidR="00BE2E2E">
        <w:rPr>
          <w:rFonts w:ascii="Times New Roman" w:hAnsi="Times New Roman" w:cs="Times New Roman"/>
          <w:sz w:val="24"/>
          <w:szCs w:val="24"/>
        </w:rPr>
        <w:t xml:space="preserve"> under section 376, 380 or 383 of the OPGGS Act)</w:t>
      </w:r>
      <w:r>
        <w:rPr>
          <w:rFonts w:ascii="Times New Roman" w:hAnsi="Times New Roman" w:cs="Times New Roman"/>
          <w:sz w:val="24"/>
          <w:szCs w:val="24"/>
        </w:rPr>
        <w:t xml:space="preserve">, it </w:t>
      </w:r>
      <w:r w:rsidRPr="00AC4BDD">
        <w:rPr>
          <w:rFonts w:ascii="Times New Roman" w:hAnsi="Times New Roman" w:cs="Times New Roman"/>
          <w:sz w:val="24"/>
          <w:szCs w:val="24"/>
        </w:rPr>
        <w:t>would remove the inconsistency with the direction</w:t>
      </w:r>
    </w:p>
    <w:p w14:paraId="6AAAEFCA" w14:textId="006D8463" w:rsidR="00D9499E" w:rsidRDefault="00AC4BDD" w:rsidP="00D9499E">
      <w:pPr>
        <w:ind w:left="567" w:hanging="56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AC4BDD">
        <w:rPr>
          <w:rFonts w:ascii="Times New Roman" w:hAnsi="Times New Roman" w:cs="Times New Roman"/>
          <w:sz w:val="24"/>
          <w:szCs w:val="24"/>
        </w:rPr>
        <w:t>if the draft variation was prepared under section 40</w:t>
      </w:r>
      <w:r w:rsidR="00BE2E2E">
        <w:rPr>
          <w:rFonts w:ascii="Times New Roman" w:hAnsi="Times New Roman" w:cs="Times New Roman"/>
          <w:sz w:val="24"/>
          <w:szCs w:val="24"/>
        </w:rPr>
        <w:t xml:space="preserve"> (variation following occurrence of certain circumstances)</w:t>
      </w:r>
      <w:r>
        <w:rPr>
          <w:rFonts w:ascii="Times New Roman" w:hAnsi="Times New Roman" w:cs="Times New Roman"/>
          <w:sz w:val="24"/>
          <w:szCs w:val="24"/>
        </w:rPr>
        <w:t>, it</w:t>
      </w:r>
      <w:r w:rsidRPr="00AC4BDD">
        <w:rPr>
          <w:rFonts w:ascii="Times New Roman" w:hAnsi="Times New Roman" w:cs="Times New Roman"/>
          <w:sz w:val="24"/>
          <w:szCs w:val="24"/>
        </w:rPr>
        <w:t xml:space="preserve"> would address the circumstance</w:t>
      </w:r>
      <w:r>
        <w:rPr>
          <w:rFonts w:ascii="Times New Roman" w:hAnsi="Times New Roman" w:cs="Times New Roman"/>
          <w:sz w:val="24"/>
          <w:szCs w:val="24"/>
        </w:rPr>
        <w:t xml:space="preserve"> in relat</w:t>
      </w:r>
      <w:r w:rsidR="00624062">
        <w:rPr>
          <w:rFonts w:ascii="Times New Roman" w:hAnsi="Times New Roman" w:cs="Times New Roman"/>
          <w:sz w:val="24"/>
          <w:szCs w:val="24"/>
        </w:rPr>
        <w:t>i</w:t>
      </w:r>
      <w:r>
        <w:rPr>
          <w:rFonts w:ascii="Times New Roman" w:hAnsi="Times New Roman" w:cs="Times New Roman"/>
          <w:sz w:val="24"/>
          <w:szCs w:val="24"/>
        </w:rPr>
        <w:t>on to which it was prepared and</w:t>
      </w:r>
      <w:r w:rsidR="00BE2E2E">
        <w:rPr>
          <w:rFonts w:ascii="Times New Roman" w:hAnsi="Times New Roman" w:cs="Times New Roman"/>
          <w:sz w:val="24"/>
          <w:szCs w:val="24"/>
        </w:rPr>
        <w:t>,</w:t>
      </w:r>
      <w:r>
        <w:rPr>
          <w:rFonts w:ascii="Times New Roman" w:hAnsi="Times New Roman" w:cs="Times New Roman"/>
          <w:sz w:val="24"/>
          <w:szCs w:val="24"/>
        </w:rPr>
        <w:t xml:space="preserve"> if the circumstance</w:t>
      </w:r>
      <w:r w:rsidR="00BE2E2E">
        <w:rPr>
          <w:rFonts w:ascii="Times New Roman" w:hAnsi="Times New Roman" w:cs="Times New Roman"/>
          <w:sz w:val="24"/>
          <w:szCs w:val="24"/>
        </w:rPr>
        <w:t xml:space="preserve"> in relation to which the draft variation was prepared</w:t>
      </w:r>
      <w:r>
        <w:rPr>
          <w:rFonts w:ascii="Times New Roman" w:hAnsi="Times New Roman" w:cs="Times New Roman"/>
          <w:sz w:val="24"/>
          <w:szCs w:val="24"/>
        </w:rPr>
        <w:t xml:space="preserve"> is mentioned in item </w:t>
      </w:r>
      <w:r w:rsidRPr="00AC4BDD">
        <w:rPr>
          <w:rFonts w:ascii="Times New Roman" w:hAnsi="Times New Roman" w:cs="Times New Roman"/>
          <w:sz w:val="24"/>
          <w:szCs w:val="24"/>
        </w:rPr>
        <w:t>2 of the table in subsection 40(1)</w:t>
      </w:r>
      <w:r>
        <w:rPr>
          <w:rFonts w:ascii="Times New Roman" w:hAnsi="Times New Roman" w:cs="Times New Roman"/>
          <w:sz w:val="24"/>
          <w:szCs w:val="24"/>
        </w:rPr>
        <w:t>,</w:t>
      </w:r>
      <w:r w:rsidRPr="00AC4BDD">
        <w:rPr>
          <w:rFonts w:ascii="Times New Roman" w:hAnsi="Times New Roman" w:cs="Times New Roman"/>
          <w:sz w:val="24"/>
          <w:szCs w:val="24"/>
        </w:rPr>
        <w:t xml:space="preserve"> the approved site plan</w:t>
      </w:r>
      <w:r w:rsidR="00624062">
        <w:rPr>
          <w:rFonts w:ascii="Times New Roman" w:hAnsi="Times New Roman" w:cs="Times New Roman"/>
          <w:sz w:val="24"/>
          <w:szCs w:val="24"/>
        </w:rPr>
        <w:t xml:space="preserve"> </w:t>
      </w:r>
      <w:r w:rsidRPr="00AC4BDD">
        <w:rPr>
          <w:rFonts w:ascii="Times New Roman" w:hAnsi="Times New Roman" w:cs="Times New Roman"/>
          <w:sz w:val="24"/>
          <w:szCs w:val="24"/>
        </w:rPr>
        <w:t>as varied would meet the criteria set out in Division 2 of Part</w:t>
      </w:r>
      <w:r w:rsidR="00BE2E2E">
        <w:rPr>
          <w:rFonts w:ascii="Times New Roman" w:hAnsi="Times New Roman" w:cs="Times New Roman"/>
          <w:sz w:val="24"/>
          <w:szCs w:val="24"/>
        </w:rPr>
        <w:t xml:space="preserve"> 4</w:t>
      </w:r>
      <w:r w:rsidRPr="00AC4BDD">
        <w:rPr>
          <w:rFonts w:ascii="Times New Roman" w:hAnsi="Times New Roman" w:cs="Times New Roman"/>
          <w:sz w:val="24"/>
          <w:szCs w:val="24"/>
        </w:rPr>
        <w:t>.</w:t>
      </w:r>
      <w:r w:rsidR="00624062">
        <w:rPr>
          <w:rFonts w:ascii="Times New Roman" w:hAnsi="Times New Roman" w:cs="Times New Roman"/>
          <w:sz w:val="24"/>
          <w:szCs w:val="24"/>
        </w:rPr>
        <w:t xml:space="preserve"> </w:t>
      </w:r>
    </w:p>
    <w:p w14:paraId="22D7D10A" w14:textId="77777777" w:rsidR="00243B53" w:rsidRDefault="00427D2C" w:rsidP="007E40DA">
      <w:pPr>
        <w:rPr>
          <w:rFonts w:ascii="Times New Roman" w:hAnsi="Times New Roman" w:cs="Times New Roman"/>
        </w:rPr>
      </w:pPr>
      <w:bookmarkStart w:id="23" w:name="_Hlk160637691"/>
      <w:r w:rsidRPr="00F85892">
        <w:rPr>
          <w:rFonts w:ascii="Times New Roman" w:hAnsi="Times New Roman" w:cs="Times New Roman"/>
          <w:sz w:val="24"/>
          <w:szCs w:val="24"/>
        </w:rPr>
        <w:t xml:space="preserve">Subsection 42(3) also provides that the Minister may have regard to any other matters the Minister considers relevant when </w:t>
      </w:r>
      <w:proofErr w:type="gramStart"/>
      <w:r w:rsidRPr="00F85892">
        <w:rPr>
          <w:rFonts w:ascii="Times New Roman" w:hAnsi="Times New Roman" w:cs="Times New Roman"/>
          <w:sz w:val="24"/>
          <w:szCs w:val="24"/>
        </w:rPr>
        <w:t>making a decision</w:t>
      </w:r>
      <w:proofErr w:type="gramEnd"/>
      <w:r w:rsidRPr="00F85892">
        <w:rPr>
          <w:rFonts w:ascii="Times New Roman" w:hAnsi="Times New Roman" w:cs="Times New Roman"/>
          <w:sz w:val="24"/>
          <w:szCs w:val="24"/>
        </w:rPr>
        <w:t xml:space="preserve"> as to approve or refuse a draft variation to an approved plan. This provision allows the Minister to take relevant matters into account on a case-by-case basis when making these decisions.</w:t>
      </w:r>
      <w:r w:rsidR="00DA4D4C" w:rsidRPr="00F85892">
        <w:rPr>
          <w:rFonts w:ascii="Times New Roman" w:hAnsi="Times New Roman" w:cs="Times New Roman"/>
          <w:sz w:val="24"/>
          <w:szCs w:val="24"/>
        </w:rPr>
        <w:t xml:space="preserve"> The discretion for the Minister to consider any other relevant matters afforded by subsection 42(3) is necessary given the complexity of site plans. Each greenhouse gas injection and storage operation will differ in relation to relevant matters including location, the nature of the identified greenhouse gas storage formation, potential behaviour of an injected greenhouse substance, and infrastructure and equipment to be used for operations. Importantly, this discretion is appropriately constrained by the wording of the provision which ensures that any other relevant matter that the Minister may have regard to must be directly relevant to the decision under consideration. As such, other relevant matters the Minister may have regard to in relation to a draft variation to an approved site plan may include consideration of relevant government policy or requirements as set out in guidelines. The Minister cannot </w:t>
      </w:r>
      <w:proofErr w:type="gramStart"/>
      <w:r w:rsidR="00DA4D4C" w:rsidRPr="00F85892">
        <w:rPr>
          <w:rFonts w:ascii="Times New Roman" w:hAnsi="Times New Roman" w:cs="Times New Roman"/>
          <w:sz w:val="24"/>
          <w:szCs w:val="24"/>
        </w:rPr>
        <w:t>take into account</w:t>
      </w:r>
      <w:proofErr w:type="gramEnd"/>
      <w:r w:rsidR="00DA4D4C" w:rsidRPr="00F85892">
        <w:rPr>
          <w:rFonts w:ascii="Times New Roman" w:hAnsi="Times New Roman" w:cs="Times New Roman"/>
          <w:sz w:val="24"/>
          <w:szCs w:val="24"/>
        </w:rPr>
        <w:t xml:space="preserve"> irrelevant considerations.</w:t>
      </w:r>
      <w:r w:rsidR="00DA4D4C">
        <w:rPr>
          <w:rFonts w:ascii="Times New Roman" w:hAnsi="Times New Roman" w:cs="Times New Roman"/>
        </w:rPr>
        <w:t xml:space="preserve"> </w:t>
      </w:r>
      <w:r>
        <w:rPr>
          <w:rFonts w:ascii="Times New Roman" w:hAnsi="Times New Roman" w:cs="Times New Roman"/>
        </w:rPr>
        <w:t xml:space="preserve"> </w:t>
      </w:r>
      <w:bookmarkEnd w:id="23"/>
    </w:p>
    <w:p w14:paraId="777EBD4B" w14:textId="2C7515F3" w:rsidR="007E40DA" w:rsidRDefault="000515E8" w:rsidP="007E40DA">
      <w:pPr>
        <w:rPr>
          <w:rFonts w:ascii="Times New Roman" w:hAnsi="Times New Roman" w:cs="Times New Roman"/>
          <w:sz w:val="24"/>
          <w:szCs w:val="24"/>
        </w:rPr>
      </w:pPr>
      <w:r w:rsidRPr="000515E8">
        <w:rPr>
          <w:rFonts w:ascii="Times New Roman" w:hAnsi="Times New Roman" w:cs="Times New Roman"/>
          <w:sz w:val="24"/>
          <w:szCs w:val="24"/>
        </w:rPr>
        <w:t xml:space="preserve">The </w:t>
      </w:r>
      <w:r w:rsidR="009E4060">
        <w:rPr>
          <w:rFonts w:ascii="Times New Roman" w:hAnsi="Times New Roman" w:cs="Times New Roman"/>
          <w:sz w:val="24"/>
          <w:szCs w:val="24"/>
        </w:rPr>
        <w:t xml:space="preserve">responsible Commonwealth </w:t>
      </w:r>
      <w:r w:rsidRPr="000515E8">
        <w:rPr>
          <w:rFonts w:ascii="Times New Roman" w:hAnsi="Times New Roman" w:cs="Times New Roman"/>
          <w:sz w:val="24"/>
          <w:szCs w:val="24"/>
        </w:rPr>
        <w:t xml:space="preserve">Minister’s decision under section </w:t>
      </w:r>
      <w:r>
        <w:rPr>
          <w:rFonts w:ascii="Times New Roman" w:hAnsi="Times New Roman" w:cs="Times New Roman"/>
          <w:sz w:val="24"/>
          <w:szCs w:val="24"/>
        </w:rPr>
        <w:t>4</w:t>
      </w:r>
      <w:r w:rsidRPr="000515E8">
        <w:rPr>
          <w:rFonts w:ascii="Times New Roman" w:hAnsi="Times New Roman" w:cs="Times New Roman"/>
          <w:sz w:val="24"/>
          <w:szCs w:val="24"/>
        </w:rPr>
        <w:t>2 is not subject to merits review.</w:t>
      </w:r>
      <w:r>
        <w:rPr>
          <w:rFonts w:ascii="Times New Roman" w:hAnsi="Times New Roman" w:cs="Times New Roman"/>
          <w:sz w:val="24"/>
          <w:szCs w:val="24"/>
        </w:rPr>
        <w:t xml:space="preserve"> </w:t>
      </w:r>
      <w:r w:rsidR="007E40DA">
        <w:rPr>
          <w:rFonts w:ascii="Times New Roman" w:hAnsi="Times New Roman" w:cs="Times New Roman"/>
          <w:sz w:val="24"/>
          <w:szCs w:val="24"/>
        </w:rPr>
        <w:t xml:space="preserve">A decision to approve or refuse to approve a draft variation involves the evaluation of complex and competing facts, and highly technical matters such as predictions of the behaviour of a GHG substance within an identified GHG storage formation. A merits review tribunal would be required to possess or obtain expertise in relation to the risks and management of GHG storage operations. The costs, difficulty and potential delays in finding expertise may outweigh any impact a lack of merits review may have on the applicant. </w:t>
      </w:r>
      <w:r w:rsidR="0068082B">
        <w:rPr>
          <w:rFonts w:ascii="Times New Roman" w:hAnsi="Times New Roman" w:cs="Times New Roman"/>
          <w:sz w:val="24"/>
          <w:szCs w:val="24"/>
        </w:rPr>
        <w:t>I</w:t>
      </w:r>
      <w:r w:rsidR="007E40DA">
        <w:rPr>
          <w:rFonts w:ascii="Times New Roman" w:hAnsi="Times New Roman" w:cs="Times New Roman"/>
          <w:sz w:val="24"/>
          <w:szCs w:val="24"/>
        </w:rPr>
        <w:t xml:space="preserve">f the Minister refuses to approve a </w:t>
      </w:r>
      <w:r w:rsidR="0068082B">
        <w:rPr>
          <w:rFonts w:ascii="Times New Roman" w:hAnsi="Times New Roman" w:cs="Times New Roman"/>
          <w:sz w:val="24"/>
          <w:szCs w:val="24"/>
        </w:rPr>
        <w:t>d</w:t>
      </w:r>
      <w:r w:rsidR="007E40DA">
        <w:rPr>
          <w:rFonts w:ascii="Times New Roman" w:hAnsi="Times New Roman" w:cs="Times New Roman"/>
          <w:sz w:val="24"/>
          <w:szCs w:val="24"/>
        </w:rPr>
        <w:t>raft</w:t>
      </w:r>
      <w:r w:rsidR="0068082B">
        <w:rPr>
          <w:rFonts w:ascii="Times New Roman" w:hAnsi="Times New Roman" w:cs="Times New Roman"/>
          <w:sz w:val="24"/>
          <w:szCs w:val="24"/>
        </w:rPr>
        <w:t xml:space="preserve"> variation of a</w:t>
      </w:r>
      <w:r w:rsidR="007E40DA">
        <w:rPr>
          <w:rFonts w:ascii="Times New Roman" w:hAnsi="Times New Roman" w:cs="Times New Roman"/>
          <w:sz w:val="24"/>
          <w:szCs w:val="24"/>
        </w:rPr>
        <w:t xml:space="preserve"> site plan, the Minister must provide reasons (under</w:t>
      </w:r>
      <w:r w:rsidR="00302B3A">
        <w:rPr>
          <w:rFonts w:ascii="Times New Roman" w:hAnsi="Times New Roman" w:cs="Times New Roman"/>
          <w:sz w:val="24"/>
          <w:szCs w:val="24"/>
        </w:rPr>
        <w:t> </w:t>
      </w:r>
      <w:r w:rsidR="007E40DA">
        <w:rPr>
          <w:rFonts w:ascii="Times New Roman" w:hAnsi="Times New Roman" w:cs="Times New Roman"/>
          <w:sz w:val="24"/>
          <w:szCs w:val="24"/>
        </w:rPr>
        <w:t xml:space="preserve">section </w:t>
      </w:r>
      <w:r w:rsidR="0068082B">
        <w:rPr>
          <w:rFonts w:ascii="Times New Roman" w:hAnsi="Times New Roman" w:cs="Times New Roman"/>
          <w:sz w:val="24"/>
          <w:szCs w:val="24"/>
        </w:rPr>
        <w:t>44</w:t>
      </w:r>
      <w:r w:rsidR="007E40DA">
        <w:rPr>
          <w:rFonts w:ascii="Times New Roman" w:hAnsi="Times New Roman" w:cs="Times New Roman"/>
          <w:sz w:val="24"/>
          <w:szCs w:val="24"/>
        </w:rPr>
        <w:t xml:space="preserve"> of the GHG Regulations). </w:t>
      </w:r>
      <w:r w:rsidR="0068082B">
        <w:rPr>
          <w:rFonts w:ascii="Times New Roman" w:hAnsi="Times New Roman" w:cs="Times New Roman"/>
          <w:sz w:val="24"/>
          <w:szCs w:val="24"/>
        </w:rPr>
        <w:t>T</w:t>
      </w:r>
      <w:r w:rsidR="007E40DA">
        <w:rPr>
          <w:rFonts w:ascii="Times New Roman" w:hAnsi="Times New Roman" w:cs="Times New Roman"/>
          <w:sz w:val="24"/>
          <w:szCs w:val="24"/>
        </w:rPr>
        <w:t xml:space="preserve">he </w:t>
      </w:r>
      <w:r w:rsidR="0068082B">
        <w:rPr>
          <w:rFonts w:ascii="Times New Roman" w:hAnsi="Times New Roman" w:cs="Times New Roman"/>
          <w:sz w:val="24"/>
          <w:szCs w:val="24"/>
        </w:rPr>
        <w:t>licensee</w:t>
      </w:r>
      <w:r w:rsidR="007E40DA">
        <w:rPr>
          <w:rFonts w:ascii="Times New Roman" w:hAnsi="Times New Roman" w:cs="Times New Roman"/>
          <w:sz w:val="24"/>
          <w:szCs w:val="24"/>
        </w:rPr>
        <w:t xml:space="preserve"> will </w:t>
      </w:r>
      <w:r w:rsidR="0068082B">
        <w:rPr>
          <w:rFonts w:ascii="Times New Roman" w:hAnsi="Times New Roman" w:cs="Times New Roman"/>
          <w:sz w:val="24"/>
          <w:szCs w:val="24"/>
        </w:rPr>
        <w:t>have the option</w:t>
      </w:r>
      <w:r w:rsidR="007E40DA">
        <w:rPr>
          <w:rFonts w:ascii="Times New Roman" w:hAnsi="Times New Roman" w:cs="Times New Roman"/>
          <w:sz w:val="24"/>
          <w:szCs w:val="24"/>
        </w:rPr>
        <w:t xml:space="preserve"> to submit a further </w:t>
      </w:r>
      <w:r w:rsidR="0068082B">
        <w:rPr>
          <w:rFonts w:ascii="Times New Roman" w:hAnsi="Times New Roman" w:cs="Times New Roman"/>
          <w:sz w:val="24"/>
          <w:szCs w:val="24"/>
        </w:rPr>
        <w:t>draft variation of the site plan</w:t>
      </w:r>
      <w:r w:rsidR="007E40DA">
        <w:rPr>
          <w:rFonts w:ascii="Times New Roman" w:hAnsi="Times New Roman" w:cs="Times New Roman"/>
          <w:sz w:val="24"/>
          <w:szCs w:val="24"/>
        </w:rPr>
        <w:t xml:space="preserve"> that takes account of those reasons.</w:t>
      </w:r>
      <w:r w:rsidR="0068082B">
        <w:rPr>
          <w:rFonts w:ascii="Times New Roman" w:hAnsi="Times New Roman" w:cs="Times New Roman"/>
          <w:sz w:val="24"/>
          <w:szCs w:val="24"/>
        </w:rPr>
        <w:t xml:space="preserve"> In the meantime, the licensee’s existing plan will continue in force.</w:t>
      </w:r>
      <w:r w:rsidR="007E40DA">
        <w:rPr>
          <w:rFonts w:ascii="Times New Roman" w:hAnsi="Times New Roman" w:cs="Times New Roman"/>
          <w:sz w:val="24"/>
          <w:szCs w:val="24"/>
        </w:rPr>
        <w:t xml:space="preserve">  </w:t>
      </w:r>
    </w:p>
    <w:p w14:paraId="65B99201" w14:textId="4C846292" w:rsidR="00624062" w:rsidRPr="00502CAB" w:rsidRDefault="00624062" w:rsidP="00502CAB">
      <w:pPr>
        <w:pStyle w:val="ActHead5"/>
        <w:spacing w:after="240"/>
      </w:pPr>
      <w:r w:rsidRPr="00502CAB">
        <w:t xml:space="preserve">Section </w:t>
      </w:r>
      <w:r w:rsidR="00234D7B" w:rsidRPr="00502CAB">
        <w:t>4</w:t>
      </w:r>
      <w:r w:rsidRPr="00502CAB">
        <w:t>3</w:t>
      </w:r>
      <w:r w:rsidR="00234D7B" w:rsidRPr="00502CAB">
        <w:t xml:space="preserve"> –</w:t>
      </w:r>
      <w:r w:rsidRPr="00502CAB">
        <w:t xml:space="preserve"> Decision</w:t>
      </w:r>
      <w:r w:rsidR="00BC1143">
        <w:t>-</w:t>
      </w:r>
      <w:r w:rsidRPr="00502CAB">
        <w:t>making process</w:t>
      </w:r>
      <w:r w:rsidR="005552D6">
        <w:t xml:space="preserve"> </w:t>
      </w:r>
      <w:r w:rsidR="005552D6" w:rsidRPr="00502CAB">
        <w:t>–</w:t>
      </w:r>
      <w:r w:rsidR="005552D6">
        <w:t xml:space="preserve"> </w:t>
      </w:r>
      <w:r w:rsidRPr="00502CAB">
        <w:t>request</w:t>
      </w:r>
      <w:r w:rsidR="00BC1143">
        <w:t>s for</w:t>
      </w:r>
      <w:r w:rsidRPr="00502CAB">
        <w:t xml:space="preserve"> further information</w:t>
      </w:r>
    </w:p>
    <w:p w14:paraId="13FB8BCF" w14:textId="37FD0BFB" w:rsidR="004F7047" w:rsidRDefault="00624062" w:rsidP="00624062">
      <w:pPr>
        <w:rPr>
          <w:rFonts w:ascii="Times New Roman" w:hAnsi="Times New Roman" w:cs="Times New Roman"/>
          <w:sz w:val="24"/>
          <w:szCs w:val="24"/>
        </w:rPr>
      </w:pPr>
      <w:r>
        <w:rPr>
          <w:rFonts w:ascii="Times New Roman" w:hAnsi="Times New Roman" w:cs="Times New Roman"/>
          <w:sz w:val="24"/>
          <w:szCs w:val="24"/>
        </w:rPr>
        <w:t>This section allows t</w:t>
      </w:r>
      <w:r w:rsidRPr="00624062">
        <w:rPr>
          <w:rFonts w:ascii="Times New Roman" w:hAnsi="Times New Roman" w:cs="Times New Roman"/>
          <w:sz w:val="24"/>
          <w:szCs w:val="24"/>
        </w:rPr>
        <w:t xml:space="preserve">he </w:t>
      </w:r>
      <w:r w:rsidR="00B84F3E">
        <w:rPr>
          <w:rFonts w:ascii="Times New Roman" w:hAnsi="Times New Roman" w:cs="Times New Roman"/>
          <w:sz w:val="24"/>
          <w:szCs w:val="24"/>
        </w:rPr>
        <w:t xml:space="preserve">responsible Commonwealth </w:t>
      </w:r>
      <w:r w:rsidRPr="00624062">
        <w:rPr>
          <w:rFonts w:ascii="Times New Roman" w:hAnsi="Times New Roman" w:cs="Times New Roman"/>
          <w:sz w:val="24"/>
          <w:szCs w:val="24"/>
        </w:rPr>
        <w:t>Minister</w:t>
      </w:r>
      <w:r w:rsidR="004F7047">
        <w:rPr>
          <w:rFonts w:ascii="Times New Roman" w:hAnsi="Times New Roman" w:cs="Times New Roman"/>
          <w:sz w:val="24"/>
          <w:szCs w:val="24"/>
        </w:rPr>
        <w:t xml:space="preserve"> or NOPTA</w:t>
      </w:r>
      <w:r>
        <w:rPr>
          <w:rFonts w:ascii="Times New Roman" w:hAnsi="Times New Roman" w:cs="Times New Roman"/>
          <w:sz w:val="24"/>
          <w:szCs w:val="24"/>
        </w:rPr>
        <w:t xml:space="preserve"> to </w:t>
      </w:r>
      <w:r w:rsidRPr="00624062">
        <w:rPr>
          <w:rFonts w:ascii="Times New Roman" w:hAnsi="Times New Roman" w:cs="Times New Roman"/>
          <w:sz w:val="24"/>
          <w:szCs w:val="24"/>
        </w:rPr>
        <w:t xml:space="preserve">ask </w:t>
      </w:r>
      <w:r w:rsidR="004F7047">
        <w:rPr>
          <w:rFonts w:ascii="Times New Roman" w:hAnsi="Times New Roman" w:cs="Times New Roman"/>
          <w:sz w:val="24"/>
          <w:szCs w:val="24"/>
        </w:rPr>
        <w:t>a GHG</w:t>
      </w:r>
      <w:r w:rsidR="00B84F3E">
        <w:rPr>
          <w:rFonts w:ascii="Times New Roman" w:hAnsi="Times New Roman" w:cs="Times New Roman"/>
          <w:sz w:val="24"/>
          <w:szCs w:val="24"/>
        </w:rPr>
        <w:t> </w:t>
      </w:r>
      <w:r w:rsidR="004F7047">
        <w:rPr>
          <w:rFonts w:ascii="Times New Roman" w:hAnsi="Times New Roman" w:cs="Times New Roman"/>
          <w:sz w:val="24"/>
          <w:szCs w:val="24"/>
        </w:rPr>
        <w:t>injection</w:t>
      </w:r>
      <w:r w:rsidRPr="00624062">
        <w:rPr>
          <w:rFonts w:ascii="Times New Roman" w:hAnsi="Times New Roman" w:cs="Times New Roman"/>
          <w:sz w:val="24"/>
          <w:szCs w:val="24"/>
        </w:rPr>
        <w:t xml:space="preserve"> licensee to provide further written information relating to </w:t>
      </w:r>
      <w:r w:rsidR="004F7047">
        <w:rPr>
          <w:rFonts w:ascii="Times New Roman" w:hAnsi="Times New Roman" w:cs="Times New Roman"/>
          <w:sz w:val="24"/>
          <w:szCs w:val="24"/>
        </w:rPr>
        <w:t>a</w:t>
      </w:r>
      <w:r w:rsidRPr="00624062">
        <w:rPr>
          <w:rFonts w:ascii="Times New Roman" w:hAnsi="Times New Roman" w:cs="Times New Roman"/>
          <w:sz w:val="24"/>
          <w:szCs w:val="24"/>
        </w:rPr>
        <w:t xml:space="preserve"> draft variation</w:t>
      </w:r>
      <w:r w:rsidR="004F7047">
        <w:rPr>
          <w:rFonts w:ascii="Times New Roman" w:hAnsi="Times New Roman" w:cs="Times New Roman"/>
          <w:sz w:val="24"/>
          <w:szCs w:val="24"/>
        </w:rPr>
        <w:t xml:space="preserve"> of a site plan submitted by the licensee</w:t>
      </w:r>
      <w:r w:rsidRPr="00624062">
        <w:rPr>
          <w:rFonts w:ascii="Times New Roman" w:hAnsi="Times New Roman" w:cs="Times New Roman"/>
          <w:sz w:val="24"/>
          <w:szCs w:val="24"/>
        </w:rPr>
        <w:t>.</w:t>
      </w:r>
      <w:r>
        <w:rPr>
          <w:rFonts w:ascii="Times New Roman" w:hAnsi="Times New Roman" w:cs="Times New Roman"/>
          <w:sz w:val="24"/>
          <w:szCs w:val="24"/>
        </w:rPr>
        <w:t xml:space="preserve"> </w:t>
      </w:r>
    </w:p>
    <w:p w14:paraId="618042F9" w14:textId="48662D53" w:rsidR="004F7047" w:rsidRDefault="004F7047" w:rsidP="00624062">
      <w:pPr>
        <w:rPr>
          <w:rFonts w:ascii="Times New Roman" w:hAnsi="Times New Roman" w:cs="Times New Roman"/>
          <w:sz w:val="24"/>
          <w:szCs w:val="24"/>
        </w:rPr>
      </w:pPr>
      <w:r>
        <w:rPr>
          <w:rFonts w:ascii="Times New Roman" w:hAnsi="Times New Roman" w:cs="Times New Roman"/>
          <w:sz w:val="24"/>
          <w:szCs w:val="24"/>
        </w:rPr>
        <w:lastRenderedPageBreak/>
        <w:t xml:space="preserve">The provision allows flexibility for the </w:t>
      </w:r>
      <w:r w:rsidR="009E4060">
        <w:rPr>
          <w:rFonts w:ascii="Times New Roman" w:hAnsi="Times New Roman" w:cs="Times New Roman"/>
          <w:sz w:val="24"/>
          <w:szCs w:val="24"/>
        </w:rPr>
        <w:t xml:space="preserve">responsible Commonwealth </w:t>
      </w:r>
      <w:r>
        <w:rPr>
          <w:rFonts w:ascii="Times New Roman" w:hAnsi="Times New Roman" w:cs="Times New Roman"/>
          <w:sz w:val="24"/>
          <w:szCs w:val="24"/>
        </w:rPr>
        <w:t>Minister or NOPTA to request additional information during assessment of the draft variation (i.e., prior to the Minister deciding whether to approve, or refuse to approve, the draft variation). This ensures that, if a draft variation does not include relevant information, or information in the draft variation requires clarification, the Minister or NOPTA can request the information</w:t>
      </w:r>
      <w:r w:rsidR="009E4060">
        <w:rPr>
          <w:rFonts w:ascii="Times New Roman" w:hAnsi="Times New Roman" w:cs="Times New Roman"/>
          <w:sz w:val="24"/>
          <w:szCs w:val="24"/>
        </w:rPr>
        <w:t xml:space="preserve"> to enable the Minister to have regard to that information</w:t>
      </w:r>
      <w:r>
        <w:rPr>
          <w:rFonts w:ascii="Times New Roman" w:hAnsi="Times New Roman" w:cs="Times New Roman"/>
          <w:sz w:val="24"/>
          <w:szCs w:val="24"/>
        </w:rPr>
        <w:t>.</w:t>
      </w:r>
    </w:p>
    <w:p w14:paraId="59478A94" w14:textId="37B24A00" w:rsidR="00624062" w:rsidRPr="00624062" w:rsidRDefault="00624062" w:rsidP="00624062">
      <w:pPr>
        <w:rPr>
          <w:rFonts w:ascii="Times New Roman" w:hAnsi="Times New Roman" w:cs="Times New Roman"/>
          <w:sz w:val="24"/>
          <w:szCs w:val="24"/>
        </w:rPr>
      </w:pPr>
      <w:r w:rsidRPr="00624062">
        <w:rPr>
          <w:rFonts w:ascii="Times New Roman" w:hAnsi="Times New Roman" w:cs="Times New Roman"/>
          <w:sz w:val="24"/>
          <w:szCs w:val="24"/>
        </w:rPr>
        <w:t>The request</w:t>
      </w:r>
      <w:r w:rsidR="004F7047">
        <w:rPr>
          <w:rFonts w:ascii="Times New Roman" w:hAnsi="Times New Roman" w:cs="Times New Roman"/>
          <w:sz w:val="24"/>
          <w:szCs w:val="24"/>
        </w:rPr>
        <w:t>, which must be by written notice to the licensee,</w:t>
      </w:r>
      <w:r w:rsidRPr="00624062">
        <w:rPr>
          <w:rFonts w:ascii="Times New Roman" w:hAnsi="Times New Roman" w:cs="Times New Roman"/>
          <w:sz w:val="24"/>
          <w:szCs w:val="24"/>
        </w:rPr>
        <w:t xml:space="preserve"> must specify</w:t>
      </w:r>
      <w:r>
        <w:rPr>
          <w:rFonts w:ascii="Times New Roman" w:hAnsi="Times New Roman" w:cs="Times New Roman"/>
          <w:sz w:val="24"/>
          <w:szCs w:val="24"/>
        </w:rPr>
        <w:t xml:space="preserve"> </w:t>
      </w:r>
      <w:r w:rsidRPr="00624062">
        <w:rPr>
          <w:rFonts w:ascii="Times New Roman" w:hAnsi="Times New Roman" w:cs="Times New Roman"/>
          <w:sz w:val="24"/>
          <w:szCs w:val="24"/>
        </w:rPr>
        <w:t>each matter in relation to which information is requested</w:t>
      </w:r>
      <w:r w:rsidR="004F7047">
        <w:rPr>
          <w:rFonts w:ascii="Times New Roman" w:hAnsi="Times New Roman" w:cs="Times New Roman"/>
          <w:sz w:val="24"/>
          <w:szCs w:val="24"/>
        </w:rPr>
        <w:t>,</w:t>
      </w:r>
      <w:r w:rsidRPr="00624062">
        <w:rPr>
          <w:rFonts w:ascii="Times New Roman" w:hAnsi="Times New Roman" w:cs="Times New Roman"/>
          <w:sz w:val="24"/>
          <w:szCs w:val="24"/>
        </w:rPr>
        <w:t xml:space="preserve"> and</w:t>
      </w:r>
      <w:r w:rsidR="004F7047">
        <w:rPr>
          <w:rFonts w:ascii="Times New Roman" w:hAnsi="Times New Roman" w:cs="Times New Roman"/>
          <w:sz w:val="24"/>
          <w:szCs w:val="24"/>
        </w:rPr>
        <w:t xml:space="preserve"> give </w:t>
      </w:r>
      <w:r w:rsidRPr="00624062">
        <w:rPr>
          <w:rFonts w:ascii="Times New Roman" w:hAnsi="Times New Roman" w:cs="Times New Roman"/>
          <w:sz w:val="24"/>
          <w:szCs w:val="24"/>
        </w:rPr>
        <w:t xml:space="preserve">a reasonable period </w:t>
      </w:r>
      <w:r w:rsidR="004F7047">
        <w:rPr>
          <w:rFonts w:ascii="Times New Roman" w:hAnsi="Times New Roman" w:cs="Times New Roman"/>
          <w:sz w:val="24"/>
          <w:szCs w:val="24"/>
        </w:rPr>
        <w:t>for</w:t>
      </w:r>
      <w:r w:rsidRPr="00624062">
        <w:rPr>
          <w:rFonts w:ascii="Times New Roman" w:hAnsi="Times New Roman" w:cs="Times New Roman"/>
          <w:sz w:val="24"/>
          <w:szCs w:val="24"/>
        </w:rPr>
        <w:t xml:space="preserve"> provid</w:t>
      </w:r>
      <w:r w:rsidR="004F7047">
        <w:rPr>
          <w:rFonts w:ascii="Times New Roman" w:hAnsi="Times New Roman" w:cs="Times New Roman"/>
          <w:sz w:val="24"/>
          <w:szCs w:val="24"/>
        </w:rPr>
        <w:t>ing</w:t>
      </w:r>
      <w:r>
        <w:rPr>
          <w:rFonts w:ascii="Times New Roman" w:hAnsi="Times New Roman" w:cs="Times New Roman"/>
          <w:sz w:val="24"/>
          <w:szCs w:val="24"/>
        </w:rPr>
        <w:t xml:space="preserve"> the information</w:t>
      </w:r>
      <w:r w:rsidRPr="00624062">
        <w:rPr>
          <w:rFonts w:ascii="Times New Roman" w:hAnsi="Times New Roman" w:cs="Times New Roman"/>
          <w:sz w:val="24"/>
          <w:szCs w:val="24"/>
        </w:rPr>
        <w:t>.</w:t>
      </w:r>
      <w:r w:rsidR="004F7047">
        <w:rPr>
          <w:rFonts w:ascii="Times New Roman" w:hAnsi="Times New Roman" w:cs="Times New Roman"/>
          <w:sz w:val="24"/>
          <w:szCs w:val="24"/>
        </w:rPr>
        <w:t xml:space="preserve"> What is a reasonable period will be considered on a case-by-case basis, depending on matters such as the nature of the information sought, and the number of matters in relation to which further information is sought.</w:t>
      </w:r>
    </w:p>
    <w:p w14:paraId="2CA2DF52" w14:textId="7D78A8BD" w:rsidR="00624062" w:rsidRDefault="00624062" w:rsidP="00624062">
      <w:pPr>
        <w:rPr>
          <w:rFonts w:ascii="Times New Roman" w:hAnsi="Times New Roman" w:cs="Times New Roman"/>
          <w:sz w:val="24"/>
          <w:szCs w:val="24"/>
        </w:rPr>
      </w:pPr>
      <w:r w:rsidRPr="00624062">
        <w:rPr>
          <w:rFonts w:ascii="Times New Roman" w:hAnsi="Times New Roman" w:cs="Times New Roman"/>
          <w:sz w:val="24"/>
          <w:szCs w:val="24"/>
        </w:rPr>
        <w:t xml:space="preserve">If the licensee provides the information within the specified period, or a longer period agreed to by the </w:t>
      </w:r>
      <w:r w:rsidR="009E4060">
        <w:rPr>
          <w:rFonts w:ascii="Times New Roman" w:hAnsi="Times New Roman" w:cs="Times New Roman"/>
          <w:sz w:val="24"/>
          <w:szCs w:val="24"/>
        </w:rPr>
        <w:t xml:space="preserve">responsible Commonwealth </w:t>
      </w:r>
      <w:r w:rsidRPr="00624062">
        <w:rPr>
          <w:rFonts w:ascii="Times New Roman" w:hAnsi="Times New Roman" w:cs="Times New Roman"/>
          <w:sz w:val="24"/>
          <w:szCs w:val="24"/>
        </w:rPr>
        <w:t>Minister</w:t>
      </w:r>
      <w:r w:rsidR="004F7047">
        <w:rPr>
          <w:rFonts w:ascii="Times New Roman" w:hAnsi="Times New Roman" w:cs="Times New Roman"/>
          <w:sz w:val="24"/>
          <w:szCs w:val="24"/>
        </w:rPr>
        <w:t xml:space="preserve"> or NOPTA</w:t>
      </w:r>
      <w:r w:rsidRPr="00624062">
        <w:rPr>
          <w:rFonts w:ascii="Times New Roman" w:hAnsi="Times New Roman" w:cs="Times New Roman"/>
          <w:sz w:val="24"/>
          <w:szCs w:val="24"/>
        </w:rPr>
        <w:t>, a reference in Division</w:t>
      </w:r>
      <w:r w:rsidR="004F7047">
        <w:rPr>
          <w:rFonts w:ascii="Times New Roman" w:hAnsi="Times New Roman" w:cs="Times New Roman"/>
          <w:sz w:val="24"/>
          <w:szCs w:val="24"/>
        </w:rPr>
        <w:t xml:space="preserve"> 7 of Part 4</w:t>
      </w:r>
      <w:r w:rsidRPr="00624062">
        <w:rPr>
          <w:rFonts w:ascii="Times New Roman" w:hAnsi="Times New Roman" w:cs="Times New Roman"/>
          <w:sz w:val="24"/>
          <w:szCs w:val="24"/>
        </w:rPr>
        <w:t xml:space="preserve"> to the draft variation includes a reference to the draft variation as including the further information.</w:t>
      </w:r>
      <w:r w:rsidR="004F7047">
        <w:rPr>
          <w:rFonts w:ascii="Times New Roman" w:hAnsi="Times New Roman" w:cs="Times New Roman"/>
          <w:sz w:val="24"/>
          <w:szCs w:val="24"/>
        </w:rPr>
        <w:t xml:space="preserve"> This ensures </w:t>
      </w:r>
      <w:proofErr w:type="gramStart"/>
      <w:r w:rsidR="004F7047">
        <w:rPr>
          <w:rFonts w:ascii="Times New Roman" w:hAnsi="Times New Roman" w:cs="Times New Roman"/>
          <w:sz w:val="24"/>
          <w:szCs w:val="24"/>
        </w:rPr>
        <w:t>it is clear that the</w:t>
      </w:r>
      <w:proofErr w:type="gramEnd"/>
      <w:r w:rsidR="004F7047">
        <w:rPr>
          <w:rFonts w:ascii="Times New Roman" w:hAnsi="Times New Roman" w:cs="Times New Roman"/>
          <w:sz w:val="24"/>
          <w:szCs w:val="24"/>
        </w:rPr>
        <w:t xml:space="preserve"> Minister must consider the further information provided when deciding whether to approve, or refuse to approve, the draft variation.</w:t>
      </w:r>
    </w:p>
    <w:p w14:paraId="0B3402A1" w14:textId="46B13C0F" w:rsidR="00624062" w:rsidRPr="00624062" w:rsidRDefault="00624062" w:rsidP="00624062">
      <w:pPr>
        <w:rPr>
          <w:rFonts w:ascii="Times New Roman" w:hAnsi="Times New Roman" w:cs="Times New Roman"/>
          <w:sz w:val="24"/>
          <w:szCs w:val="24"/>
        </w:rPr>
      </w:pPr>
      <w:r>
        <w:rPr>
          <w:rFonts w:ascii="Times New Roman" w:hAnsi="Times New Roman" w:cs="Times New Roman"/>
          <w:sz w:val="24"/>
          <w:szCs w:val="24"/>
        </w:rPr>
        <w:t>T</w:t>
      </w:r>
      <w:r w:rsidRPr="00624062">
        <w:rPr>
          <w:rFonts w:ascii="Times New Roman" w:hAnsi="Times New Roman" w:cs="Times New Roman"/>
          <w:sz w:val="24"/>
          <w:szCs w:val="24"/>
        </w:rPr>
        <w:t xml:space="preserve">he </w:t>
      </w:r>
      <w:r w:rsidR="009E4060">
        <w:rPr>
          <w:rFonts w:ascii="Times New Roman" w:hAnsi="Times New Roman" w:cs="Times New Roman"/>
          <w:sz w:val="24"/>
          <w:szCs w:val="24"/>
        </w:rPr>
        <w:t xml:space="preserve">responsible Commonwealth </w:t>
      </w:r>
      <w:r w:rsidRPr="00624062">
        <w:rPr>
          <w:rFonts w:ascii="Times New Roman" w:hAnsi="Times New Roman" w:cs="Times New Roman"/>
          <w:sz w:val="24"/>
          <w:szCs w:val="24"/>
        </w:rPr>
        <w:t xml:space="preserve">Minister is not required to consider the draft variation further until the </w:t>
      </w:r>
      <w:r w:rsidR="004F7047">
        <w:rPr>
          <w:rFonts w:ascii="Times New Roman" w:hAnsi="Times New Roman" w:cs="Times New Roman"/>
          <w:sz w:val="24"/>
          <w:szCs w:val="24"/>
        </w:rPr>
        <w:t>licensee</w:t>
      </w:r>
      <w:r w:rsidRPr="00624062">
        <w:rPr>
          <w:rFonts w:ascii="Times New Roman" w:hAnsi="Times New Roman" w:cs="Times New Roman"/>
          <w:sz w:val="24"/>
          <w:szCs w:val="24"/>
        </w:rPr>
        <w:t xml:space="preserve"> has provided the further information.</w:t>
      </w:r>
      <w:r w:rsidR="004F7047">
        <w:rPr>
          <w:rFonts w:ascii="Times New Roman" w:hAnsi="Times New Roman" w:cs="Times New Roman"/>
          <w:sz w:val="24"/>
          <w:szCs w:val="24"/>
        </w:rPr>
        <w:t xml:space="preserve"> This ensures that the Minister can assess and </w:t>
      </w:r>
      <w:proofErr w:type="gramStart"/>
      <w:r w:rsidR="004F7047">
        <w:rPr>
          <w:rFonts w:ascii="Times New Roman" w:hAnsi="Times New Roman" w:cs="Times New Roman"/>
          <w:sz w:val="24"/>
          <w:szCs w:val="24"/>
        </w:rPr>
        <w:t>make a decision</w:t>
      </w:r>
      <w:proofErr w:type="gramEnd"/>
      <w:r w:rsidR="004F7047">
        <w:rPr>
          <w:rFonts w:ascii="Times New Roman" w:hAnsi="Times New Roman" w:cs="Times New Roman"/>
          <w:sz w:val="24"/>
          <w:szCs w:val="24"/>
        </w:rPr>
        <w:t xml:space="preserve"> in relation to the draft variation on the basis of all of the relevant information.</w:t>
      </w:r>
    </w:p>
    <w:p w14:paraId="6555906F" w14:textId="7F04F3E0" w:rsidR="00624062" w:rsidRPr="00502CAB" w:rsidRDefault="00624062" w:rsidP="00502CAB">
      <w:pPr>
        <w:pStyle w:val="ActHead5"/>
        <w:spacing w:after="240"/>
      </w:pPr>
      <w:r w:rsidRPr="00502CAB">
        <w:t xml:space="preserve">Section </w:t>
      </w:r>
      <w:r w:rsidR="00234D7B" w:rsidRPr="00502CAB">
        <w:t>44</w:t>
      </w:r>
      <w:r w:rsidRPr="00502CAB">
        <w:t xml:space="preserve"> </w:t>
      </w:r>
      <w:r w:rsidR="0059399D" w:rsidRPr="00502CAB">
        <w:t xml:space="preserve">– </w:t>
      </w:r>
      <w:r w:rsidRPr="00502CAB">
        <w:t>Notice of decision</w:t>
      </w:r>
    </w:p>
    <w:p w14:paraId="0690791B" w14:textId="30B70AF2" w:rsidR="00A23126" w:rsidRDefault="00A23126" w:rsidP="00624062">
      <w:pPr>
        <w:rPr>
          <w:rFonts w:ascii="Times New Roman" w:hAnsi="Times New Roman" w:cs="Times New Roman"/>
          <w:sz w:val="24"/>
          <w:szCs w:val="24"/>
        </w:rPr>
      </w:pPr>
      <w:r>
        <w:rPr>
          <w:rFonts w:ascii="Times New Roman" w:hAnsi="Times New Roman" w:cs="Times New Roman"/>
          <w:sz w:val="24"/>
          <w:szCs w:val="24"/>
        </w:rPr>
        <w:t>This section provides that t</w:t>
      </w:r>
      <w:r w:rsidR="00624062" w:rsidRPr="00624062">
        <w:rPr>
          <w:rFonts w:ascii="Times New Roman" w:hAnsi="Times New Roman" w:cs="Times New Roman"/>
          <w:sz w:val="24"/>
          <w:szCs w:val="24"/>
        </w:rPr>
        <w:t xml:space="preserve">he </w:t>
      </w:r>
      <w:r w:rsidR="00B84F3E">
        <w:rPr>
          <w:rFonts w:ascii="Times New Roman" w:hAnsi="Times New Roman" w:cs="Times New Roman"/>
          <w:sz w:val="24"/>
          <w:szCs w:val="24"/>
        </w:rPr>
        <w:t xml:space="preserve">responsible Commonwealth </w:t>
      </w:r>
      <w:r w:rsidR="00624062" w:rsidRPr="00624062">
        <w:rPr>
          <w:rFonts w:ascii="Times New Roman" w:hAnsi="Times New Roman" w:cs="Times New Roman"/>
          <w:sz w:val="24"/>
          <w:szCs w:val="24"/>
        </w:rPr>
        <w:t xml:space="preserve">Minister must give the licensee written notice of </w:t>
      </w:r>
      <w:r>
        <w:rPr>
          <w:rFonts w:ascii="Times New Roman" w:hAnsi="Times New Roman" w:cs="Times New Roman"/>
          <w:sz w:val="24"/>
          <w:szCs w:val="24"/>
        </w:rPr>
        <w:t>the</w:t>
      </w:r>
      <w:r w:rsidR="00624062" w:rsidRPr="00624062">
        <w:rPr>
          <w:rFonts w:ascii="Times New Roman" w:hAnsi="Times New Roman" w:cs="Times New Roman"/>
          <w:sz w:val="24"/>
          <w:szCs w:val="24"/>
        </w:rPr>
        <w:t xml:space="preserve"> decision</w:t>
      </w:r>
      <w:r>
        <w:rPr>
          <w:rFonts w:ascii="Times New Roman" w:hAnsi="Times New Roman" w:cs="Times New Roman"/>
          <w:sz w:val="24"/>
          <w:szCs w:val="24"/>
        </w:rPr>
        <w:t xml:space="preserve"> to approve, or </w:t>
      </w:r>
      <w:r w:rsidR="009E4060">
        <w:rPr>
          <w:rFonts w:ascii="Times New Roman" w:hAnsi="Times New Roman" w:cs="Times New Roman"/>
          <w:sz w:val="24"/>
          <w:szCs w:val="24"/>
        </w:rPr>
        <w:t xml:space="preserve">to </w:t>
      </w:r>
      <w:r>
        <w:rPr>
          <w:rFonts w:ascii="Times New Roman" w:hAnsi="Times New Roman" w:cs="Times New Roman"/>
          <w:sz w:val="24"/>
          <w:szCs w:val="24"/>
        </w:rPr>
        <w:t>refuse to approve, a draft variation of a site plan</w:t>
      </w:r>
      <w:r w:rsidR="00624062" w:rsidRPr="00624062">
        <w:rPr>
          <w:rFonts w:ascii="Times New Roman" w:hAnsi="Times New Roman" w:cs="Times New Roman"/>
          <w:sz w:val="24"/>
          <w:szCs w:val="24"/>
        </w:rPr>
        <w:t xml:space="preserve"> under </w:t>
      </w:r>
      <w:r w:rsidR="00624062" w:rsidRPr="0059399D">
        <w:rPr>
          <w:rFonts w:ascii="Times New Roman" w:hAnsi="Times New Roman" w:cs="Times New Roman"/>
          <w:sz w:val="24"/>
          <w:szCs w:val="24"/>
        </w:rPr>
        <w:t xml:space="preserve">section 42. </w:t>
      </w:r>
    </w:p>
    <w:p w14:paraId="59CBC906" w14:textId="29A1D86F" w:rsidR="00624062" w:rsidRPr="00624062" w:rsidRDefault="00624062" w:rsidP="00624062">
      <w:pPr>
        <w:rPr>
          <w:rFonts w:ascii="Times New Roman" w:hAnsi="Times New Roman" w:cs="Times New Roman"/>
          <w:sz w:val="24"/>
          <w:szCs w:val="24"/>
        </w:rPr>
      </w:pPr>
      <w:r w:rsidRPr="0059399D">
        <w:rPr>
          <w:rFonts w:ascii="Times New Roman" w:hAnsi="Times New Roman" w:cs="Times New Roman"/>
          <w:sz w:val="24"/>
          <w:szCs w:val="24"/>
        </w:rPr>
        <w:t>If the</w:t>
      </w:r>
      <w:r w:rsidRPr="00624062">
        <w:rPr>
          <w:rFonts w:ascii="Times New Roman" w:hAnsi="Times New Roman" w:cs="Times New Roman"/>
          <w:sz w:val="24"/>
          <w:szCs w:val="24"/>
        </w:rPr>
        <w:t xml:space="preserve"> </w:t>
      </w:r>
      <w:r w:rsidR="009E4060">
        <w:rPr>
          <w:rFonts w:ascii="Times New Roman" w:hAnsi="Times New Roman" w:cs="Times New Roman"/>
          <w:sz w:val="24"/>
          <w:szCs w:val="24"/>
        </w:rPr>
        <w:t xml:space="preserve">responsible Commonwealth </w:t>
      </w:r>
      <w:r w:rsidR="00A327E7">
        <w:rPr>
          <w:rFonts w:ascii="Times New Roman" w:hAnsi="Times New Roman" w:cs="Times New Roman"/>
          <w:sz w:val="24"/>
          <w:szCs w:val="24"/>
        </w:rPr>
        <w:t>Minister</w:t>
      </w:r>
      <w:r w:rsidRPr="00624062">
        <w:rPr>
          <w:rFonts w:ascii="Times New Roman" w:hAnsi="Times New Roman" w:cs="Times New Roman"/>
          <w:sz w:val="24"/>
          <w:szCs w:val="24"/>
        </w:rPr>
        <w:t xml:space="preserve"> refuse</w:t>
      </w:r>
      <w:r w:rsidR="00A327E7">
        <w:rPr>
          <w:rFonts w:ascii="Times New Roman" w:hAnsi="Times New Roman" w:cs="Times New Roman"/>
          <w:sz w:val="24"/>
          <w:szCs w:val="24"/>
        </w:rPr>
        <w:t>d</w:t>
      </w:r>
      <w:r w:rsidRPr="00624062">
        <w:rPr>
          <w:rFonts w:ascii="Times New Roman" w:hAnsi="Times New Roman" w:cs="Times New Roman"/>
          <w:sz w:val="24"/>
          <w:szCs w:val="24"/>
        </w:rPr>
        <w:t xml:space="preserve"> to approve the draft variation, the notice must include the reasons for the refusal.</w:t>
      </w:r>
    </w:p>
    <w:p w14:paraId="75F9E468" w14:textId="780EA927" w:rsidR="00DE71C9" w:rsidRPr="00502CAB" w:rsidRDefault="00DE71C9" w:rsidP="00502CAB">
      <w:pPr>
        <w:pStyle w:val="ActHead5"/>
        <w:spacing w:after="240"/>
      </w:pPr>
      <w:r w:rsidRPr="00502CAB">
        <w:t>Section 4</w:t>
      </w:r>
      <w:r w:rsidR="00234D7B" w:rsidRPr="00502CAB">
        <w:t>5</w:t>
      </w:r>
      <w:r w:rsidRPr="00502CAB">
        <w:t xml:space="preserve"> – Effect of approval of draft variations</w:t>
      </w:r>
    </w:p>
    <w:p w14:paraId="6BACC76D" w14:textId="2ECC1D7C" w:rsidR="00234D7B" w:rsidRDefault="00DE71C9" w:rsidP="0016414E">
      <w:pPr>
        <w:rPr>
          <w:rFonts w:ascii="Times New Roman" w:hAnsi="Times New Roman" w:cs="Times New Roman"/>
          <w:sz w:val="24"/>
          <w:szCs w:val="24"/>
        </w:rPr>
      </w:pPr>
      <w:r>
        <w:rPr>
          <w:rFonts w:ascii="Times New Roman" w:hAnsi="Times New Roman" w:cs="Times New Roman"/>
          <w:sz w:val="24"/>
          <w:szCs w:val="24"/>
        </w:rPr>
        <w:t xml:space="preserve">This section </w:t>
      </w:r>
      <w:r w:rsidR="00624062">
        <w:rPr>
          <w:rFonts w:ascii="Times New Roman" w:hAnsi="Times New Roman" w:cs="Times New Roman"/>
          <w:sz w:val="24"/>
          <w:szCs w:val="24"/>
        </w:rPr>
        <w:t>provides that i</w:t>
      </w:r>
      <w:r w:rsidR="00624062" w:rsidRPr="00624062">
        <w:rPr>
          <w:rFonts w:ascii="Times New Roman" w:hAnsi="Times New Roman" w:cs="Times New Roman"/>
          <w:sz w:val="24"/>
          <w:szCs w:val="24"/>
        </w:rPr>
        <w:t xml:space="preserve">f a draft variation of an approved site plan is approved under section </w:t>
      </w:r>
      <w:r w:rsidR="00234D7B">
        <w:rPr>
          <w:rFonts w:ascii="Times New Roman" w:hAnsi="Times New Roman" w:cs="Times New Roman"/>
          <w:sz w:val="24"/>
          <w:szCs w:val="24"/>
        </w:rPr>
        <w:t>42</w:t>
      </w:r>
      <w:r w:rsidR="00624062" w:rsidRPr="00624062">
        <w:rPr>
          <w:rFonts w:ascii="Times New Roman" w:hAnsi="Times New Roman" w:cs="Times New Roman"/>
          <w:sz w:val="24"/>
          <w:szCs w:val="24"/>
        </w:rPr>
        <w:t>, the approved site plan is varied accordingly</w:t>
      </w:r>
      <w:r w:rsidR="00F01455">
        <w:rPr>
          <w:rFonts w:ascii="Times New Roman" w:hAnsi="Times New Roman" w:cs="Times New Roman"/>
          <w:sz w:val="24"/>
          <w:szCs w:val="24"/>
        </w:rPr>
        <w:t>.</w:t>
      </w:r>
      <w:r w:rsidR="00985793">
        <w:rPr>
          <w:rFonts w:ascii="Times New Roman" w:hAnsi="Times New Roman" w:cs="Times New Roman"/>
          <w:sz w:val="24"/>
          <w:szCs w:val="24"/>
        </w:rPr>
        <w:t xml:space="preserve"> The licensee is required to comply with the approved site plan as varied.</w:t>
      </w:r>
    </w:p>
    <w:p w14:paraId="09268947" w14:textId="7E87ABA8" w:rsidR="00DE71C9" w:rsidRPr="00502CAB" w:rsidRDefault="00E3716E" w:rsidP="00502CAB">
      <w:pPr>
        <w:pStyle w:val="ActHead5"/>
        <w:spacing w:after="240"/>
      </w:pPr>
      <w:r w:rsidRPr="00502CAB">
        <w:t xml:space="preserve">Section </w:t>
      </w:r>
      <w:r w:rsidR="00234D7B" w:rsidRPr="00502CAB">
        <w:t>46</w:t>
      </w:r>
      <w:r w:rsidRPr="00502CAB">
        <w:t xml:space="preserve"> – References to approved site plans</w:t>
      </w:r>
    </w:p>
    <w:p w14:paraId="452E9084" w14:textId="1805CA83" w:rsidR="00E3716E" w:rsidRDefault="00E3716E" w:rsidP="0016414E">
      <w:pPr>
        <w:rPr>
          <w:rFonts w:ascii="Times New Roman" w:hAnsi="Times New Roman" w:cs="Times New Roman"/>
          <w:sz w:val="24"/>
          <w:szCs w:val="24"/>
        </w:rPr>
      </w:pPr>
      <w:r>
        <w:rPr>
          <w:rFonts w:ascii="Times New Roman" w:hAnsi="Times New Roman" w:cs="Times New Roman"/>
          <w:sz w:val="24"/>
          <w:szCs w:val="24"/>
        </w:rPr>
        <w:t xml:space="preserve">This section </w:t>
      </w:r>
      <w:r w:rsidR="00624062">
        <w:rPr>
          <w:rFonts w:ascii="Times New Roman" w:hAnsi="Times New Roman" w:cs="Times New Roman"/>
          <w:sz w:val="24"/>
          <w:szCs w:val="24"/>
        </w:rPr>
        <w:t>provides that i</w:t>
      </w:r>
      <w:r w:rsidR="00624062" w:rsidRPr="00624062">
        <w:rPr>
          <w:rFonts w:ascii="Times New Roman" w:hAnsi="Times New Roman" w:cs="Times New Roman"/>
          <w:sz w:val="24"/>
          <w:szCs w:val="24"/>
        </w:rPr>
        <w:t xml:space="preserve">f an approved site plan is varied under section </w:t>
      </w:r>
      <w:r w:rsidR="00234D7B">
        <w:rPr>
          <w:rFonts w:ascii="Times New Roman" w:hAnsi="Times New Roman" w:cs="Times New Roman"/>
          <w:sz w:val="24"/>
          <w:szCs w:val="24"/>
        </w:rPr>
        <w:t>45</w:t>
      </w:r>
      <w:r w:rsidR="00624062" w:rsidRPr="00624062">
        <w:rPr>
          <w:rFonts w:ascii="Times New Roman" w:hAnsi="Times New Roman" w:cs="Times New Roman"/>
          <w:sz w:val="24"/>
          <w:szCs w:val="24"/>
        </w:rPr>
        <w:t xml:space="preserve">, a reference </w:t>
      </w:r>
      <w:r w:rsidR="00624062">
        <w:rPr>
          <w:rFonts w:ascii="Times New Roman" w:hAnsi="Times New Roman" w:cs="Times New Roman"/>
          <w:sz w:val="24"/>
          <w:szCs w:val="24"/>
        </w:rPr>
        <w:t xml:space="preserve">in the GHG </w:t>
      </w:r>
      <w:r w:rsidR="006C4B26">
        <w:rPr>
          <w:rFonts w:ascii="Times New Roman" w:hAnsi="Times New Roman" w:cs="Times New Roman"/>
          <w:sz w:val="24"/>
          <w:szCs w:val="24"/>
        </w:rPr>
        <w:t>R</w:t>
      </w:r>
      <w:r w:rsidR="00624062">
        <w:rPr>
          <w:rFonts w:ascii="Times New Roman" w:hAnsi="Times New Roman" w:cs="Times New Roman"/>
          <w:sz w:val="24"/>
          <w:szCs w:val="24"/>
        </w:rPr>
        <w:t>egulations</w:t>
      </w:r>
      <w:r w:rsidR="00624062" w:rsidRPr="00624062">
        <w:rPr>
          <w:rFonts w:ascii="Times New Roman" w:hAnsi="Times New Roman" w:cs="Times New Roman"/>
          <w:sz w:val="24"/>
          <w:szCs w:val="24"/>
        </w:rPr>
        <w:t xml:space="preserve"> to the approved site plan is a reference to the approved site plan as varied.</w:t>
      </w:r>
      <w:r w:rsidR="00985793">
        <w:rPr>
          <w:rFonts w:ascii="Times New Roman" w:hAnsi="Times New Roman" w:cs="Times New Roman"/>
          <w:sz w:val="24"/>
          <w:szCs w:val="24"/>
        </w:rPr>
        <w:t xml:space="preserve"> This ensures </w:t>
      </w:r>
      <w:proofErr w:type="gramStart"/>
      <w:r w:rsidR="00985793">
        <w:rPr>
          <w:rFonts w:ascii="Times New Roman" w:hAnsi="Times New Roman" w:cs="Times New Roman"/>
          <w:sz w:val="24"/>
          <w:szCs w:val="24"/>
        </w:rPr>
        <w:t>it is clear that the</w:t>
      </w:r>
      <w:proofErr w:type="gramEnd"/>
      <w:r w:rsidR="00985793">
        <w:rPr>
          <w:rFonts w:ascii="Times New Roman" w:hAnsi="Times New Roman" w:cs="Times New Roman"/>
          <w:sz w:val="24"/>
          <w:szCs w:val="24"/>
        </w:rPr>
        <w:t xml:space="preserve"> provisions of the GHG Regulations that relate to approved site plans apply in relation to the most current version of the approved site plan.</w:t>
      </w:r>
    </w:p>
    <w:p w14:paraId="1B9AEBAD" w14:textId="3F6EB7EE" w:rsidR="00E3716E" w:rsidRPr="00E3716E" w:rsidRDefault="00E3716E" w:rsidP="00502CAB">
      <w:pPr>
        <w:pStyle w:val="ActHead2"/>
      </w:pPr>
      <w:r w:rsidRPr="00E3716E">
        <w:lastRenderedPageBreak/>
        <w:t xml:space="preserve">Part </w:t>
      </w:r>
      <w:r w:rsidR="005B484A">
        <w:t>5</w:t>
      </w:r>
      <w:r w:rsidRPr="00E3716E">
        <w:t xml:space="preserve"> – Reportable incidents</w:t>
      </w:r>
    </w:p>
    <w:p w14:paraId="140276FF" w14:textId="3D146BB2" w:rsidR="00E3716E" w:rsidRPr="00502CAB" w:rsidRDefault="00E3716E" w:rsidP="00502CAB">
      <w:pPr>
        <w:pStyle w:val="ActHead3"/>
        <w:rPr>
          <w:rStyle w:val="CharDivNo"/>
        </w:rPr>
      </w:pPr>
      <w:r w:rsidRPr="00502CAB">
        <w:rPr>
          <w:rStyle w:val="CharDivNo"/>
        </w:rPr>
        <w:t>Division 1 – Preliminary</w:t>
      </w:r>
    </w:p>
    <w:p w14:paraId="4F123C72" w14:textId="06234F42" w:rsidR="00E3716E" w:rsidRPr="00502CAB" w:rsidRDefault="00E3716E" w:rsidP="00502CAB">
      <w:pPr>
        <w:pStyle w:val="ActHead5"/>
        <w:spacing w:after="240"/>
      </w:pPr>
      <w:r w:rsidRPr="00502CAB">
        <w:t>Section 4</w:t>
      </w:r>
      <w:r w:rsidR="00234D7B" w:rsidRPr="00502CAB">
        <w:t>7</w:t>
      </w:r>
      <w:r w:rsidRPr="00502CAB">
        <w:t xml:space="preserve"> – Simplified outline</w:t>
      </w:r>
      <w:r w:rsidR="00234D7B" w:rsidRPr="00502CAB">
        <w:t xml:space="preserve"> of this Part</w:t>
      </w:r>
    </w:p>
    <w:p w14:paraId="3BEBAE14" w14:textId="2559070D" w:rsidR="00A95BB0" w:rsidRDefault="00A95BB0" w:rsidP="00A95BB0">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sets out </w:t>
      </w:r>
      <w:r>
        <w:rPr>
          <w:rFonts w:ascii="Times New Roman" w:hAnsi="Times New Roman" w:cs="Times New Roman"/>
          <w:sz w:val="24"/>
          <w:szCs w:val="24"/>
        </w:rPr>
        <w:t>a</w:t>
      </w:r>
      <w:r w:rsidRPr="0071367A">
        <w:rPr>
          <w:rFonts w:ascii="Times New Roman" w:hAnsi="Times New Roman" w:cs="Times New Roman"/>
          <w:sz w:val="24"/>
          <w:szCs w:val="24"/>
        </w:rPr>
        <w:t xml:space="preserve"> </w:t>
      </w:r>
      <w:r>
        <w:rPr>
          <w:rFonts w:ascii="Times New Roman" w:hAnsi="Times New Roman" w:cs="Times New Roman"/>
          <w:sz w:val="24"/>
          <w:szCs w:val="24"/>
        </w:rPr>
        <w:t xml:space="preserve">simplified outline </w:t>
      </w:r>
      <w:r w:rsidRPr="0071367A">
        <w:rPr>
          <w:rFonts w:ascii="Times New Roman" w:hAnsi="Times New Roman" w:cs="Times New Roman"/>
          <w:sz w:val="24"/>
          <w:szCs w:val="24"/>
        </w:rPr>
        <w:t xml:space="preserve">of </w:t>
      </w:r>
      <w:r>
        <w:rPr>
          <w:rFonts w:ascii="Times New Roman" w:hAnsi="Times New Roman" w:cs="Times New Roman"/>
          <w:sz w:val="24"/>
          <w:szCs w:val="24"/>
        </w:rPr>
        <w:t xml:space="preserve">Part 5 of </w:t>
      </w:r>
      <w:r w:rsidRPr="0071367A">
        <w:rPr>
          <w:rFonts w:ascii="Times New Roman" w:hAnsi="Times New Roman" w:cs="Times New Roman"/>
          <w:sz w:val="24"/>
          <w:szCs w:val="24"/>
        </w:rPr>
        <w:t xml:space="preserve">the </w:t>
      </w:r>
      <w:r>
        <w:rPr>
          <w:rFonts w:ascii="Times New Roman" w:hAnsi="Times New Roman" w:cs="Times New Roman"/>
          <w:sz w:val="24"/>
          <w:szCs w:val="24"/>
        </w:rPr>
        <w:t xml:space="preserve">GHG </w:t>
      </w:r>
      <w:r w:rsidRPr="0071367A">
        <w:rPr>
          <w:rFonts w:ascii="Times New Roman" w:hAnsi="Times New Roman" w:cs="Times New Roman"/>
          <w:sz w:val="24"/>
          <w:szCs w:val="24"/>
        </w:rPr>
        <w:t>Regulations</w:t>
      </w:r>
      <w:r w:rsidRPr="00E32A1E">
        <w:rPr>
          <w:rFonts w:ascii="Times New Roman" w:hAnsi="Times New Roman" w:cs="Times New Roman"/>
          <w:sz w:val="24"/>
          <w:szCs w:val="24"/>
        </w:rPr>
        <w:t xml:space="preserve">. </w:t>
      </w:r>
      <w:r>
        <w:rPr>
          <w:rFonts w:ascii="Times New Roman" w:hAnsi="Times New Roman" w:cs="Times New Roman"/>
          <w:sz w:val="24"/>
          <w:szCs w:val="24"/>
        </w:rPr>
        <w:t>While s</w:t>
      </w:r>
      <w:r w:rsidRPr="00E32A1E">
        <w:rPr>
          <w:rFonts w:ascii="Times New Roman" w:hAnsi="Times New Roman" w:cs="Times New Roman"/>
          <w:sz w:val="24"/>
          <w:szCs w:val="24"/>
        </w:rPr>
        <w:t>implified outlines are included to assist readers to understand the substantive provisions, the outlines are not intended to be comprehensive. It is intended that readers should rely on the substantive provisions</w:t>
      </w:r>
      <w:r>
        <w:rPr>
          <w:rFonts w:ascii="Times New Roman" w:hAnsi="Times New Roman" w:cs="Times New Roman"/>
          <w:sz w:val="24"/>
          <w:szCs w:val="24"/>
        </w:rPr>
        <w:t>.</w:t>
      </w:r>
    </w:p>
    <w:p w14:paraId="78934EB0" w14:textId="285EE3B1" w:rsidR="00E3716E" w:rsidRPr="00502CAB" w:rsidRDefault="00E3716E" w:rsidP="00502CAB">
      <w:pPr>
        <w:pStyle w:val="ActHead5"/>
        <w:spacing w:after="240"/>
      </w:pPr>
      <w:r w:rsidRPr="00502CAB">
        <w:t>Section 4</w:t>
      </w:r>
      <w:r w:rsidR="00234D7B" w:rsidRPr="00502CAB">
        <w:t xml:space="preserve">8 </w:t>
      </w:r>
      <w:r w:rsidRPr="00502CAB">
        <w:t>– Purpose of this Part</w:t>
      </w:r>
    </w:p>
    <w:p w14:paraId="7334A2F4" w14:textId="7579DFC4" w:rsidR="00B83CBA" w:rsidRPr="00BC1751" w:rsidRDefault="00E3716E" w:rsidP="00BC1751">
      <w:pPr>
        <w:rPr>
          <w:rFonts w:ascii="Times New Roman" w:hAnsi="Times New Roman" w:cs="Times New Roman"/>
          <w:sz w:val="24"/>
          <w:szCs w:val="24"/>
        </w:rPr>
      </w:pPr>
      <w:r w:rsidRPr="00BC1751">
        <w:rPr>
          <w:rFonts w:ascii="Times New Roman" w:hAnsi="Times New Roman" w:cs="Times New Roman"/>
          <w:sz w:val="24"/>
          <w:szCs w:val="24"/>
        </w:rPr>
        <w:t xml:space="preserve">This section </w:t>
      </w:r>
      <w:r w:rsidR="00C03AC6" w:rsidRPr="00BC1751">
        <w:rPr>
          <w:rFonts w:ascii="Times New Roman" w:hAnsi="Times New Roman" w:cs="Times New Roman"/>
          <w:sz w:val="24"/>
          <w:szCs w:val="24"/>
        </w:rPr>
        <w:t xml:space="preserve">states that Part </w:t>
      </w:r>
      <w:r w:rsidR="00BC2C64">
        <w:rPr>
          <w:rFonts w:ascii="Times New Roman" w:hAnsi="Times New Roman" w:cs="Times New Roman"/>
          <w:sz w:val="24"/>
          <w:szCs w:val="24"/>
        </w:rPr>
        <w:t>5</w:t>
      </w:r>
      <w:r w:rsidR="00C03AC6" w:rsidRPr="00BC1751">
        <w:rPr>
          <w:rFonts w:ascii="Times New Roman" w:hAnsi="Times New Roman" w:cs="Times New Roman"/>
          <w:sz w:val="24"/>
          <w:szCs w:val="24"/>
        </w:rPr>
        <w:t xml:space="preserve"> is made for the purposes of item 2B of the table in subsection 782(1) of the </w:t>
      </w:r>
      <w:r w:rsidR="004E24DB" w:rsidRPr="00BC1751">
        <w:rPr>
          <w:rFonts w:ascii="Times New Roman" w:hAnsi="Times New Roman" w:cs="Times New Roman"/>
          <w:sz w:val="24"/>
          <w:szCs w:val="24"/>
        </w:rPr>
        <w:t xml:space="preserve">OPGGS </w:t>
      </w:r>
      <w:r w:rsidR="00C03AC6" w:rsidRPr="00BC1751">
        <w:rPr>
          <w:rFonts w:ascii="Times New Roman" w:hAnsi="Times New Roman" w:cs="Times New Roman"/>
          <w:sz w:val="24"/>
          <w:szCs w:val="24"/>
        </w:rPr>
        <w:t xml:space="preserve">Act. Subsection 782(1) </w:t>
      </w:r>
      <w:r w:rsidR="000A199A" w:rsidRPr="00BC1751">
        <w:rPr>
          <w:rFonts w:ascii="Times New Roman" w:hAnsi="Times New Roman" w:cs="Times New Roman"/>
          <w:sz w:val="24"/>
          <w:szCs w:val="24"/>
        </w:rPr>
        <w:t>states</w:t>
      </w:r>
      <w:r w:rsidR="00C03AC6" w:rsidRPr="00BC1751">
        <w:rPr>
          <w:rFonts w:ascii="Times New Roman" w:hAnsi="Times New Roman" w:cs="Times New Roman"/>
          <w:sz w:val="24"/>
          <w:szCs w:val="24"/>
        </w:rPr>
        <w:t xml:space="preserve"> that regulation</w:t>
      </w:r>
      <w:r w:rsidR="000A199A" w:rsidRPr="00BC1751">
        <w:rPr>
          <w:rFonts w:ascii="Times New Roman" w:hAnsi="Times New Roman" w:cs="Times New Roman"/>
          <w:sz w:val="24"/>
          <w:szCs w:val="24"/>
        </w:rPr>
        <w:t>s</w:t>
      </w:r>
      <w:r w:rsidR="00C03AC6" w:rsidRPr="00BC1751">
        <w:rPr>
          <w:rFonts w:ascii="Times New Roman" w:hAnsi="Times New Roman" w:cs="Times New Roman"/>
          <w:sz w:val="24"/>
          <w:szCs w:val="24"/>
        </w:rPr>
        <w:t xml:space="preserve"> may provi</w:t>
      </w:r>
      <w:r w:rsidR="000A199A" w:rsidRPr="00BC1751">
        <w:rPr>
          <w:rFonts w:ascii="Times New Roman" w:hAnsi="Times New Roman" w:cs="Times New Roman"/>
          <w:sz w:val="24"/>
          <w:szCs w:val="24"/>
        </w:rPr>
        <w:t>de</w:t>
      </w:r>
      <w:r w:rsidR="00C03AC6" w:rsidRPr="00BC1751">
        <w:rPr>
          <w:rFonts w:ascii="Times New Roman" w:hAnsi="Times New Roman" w:cs="Times New Roman"/>
          <w:sz w:val="24"/>
          <w:szCs w:val="24"/>
        </w:rPr>
        <w:t xml:space="preserve"> for securing, regulating, controlling or restricting the matters set out in the table</w:t>
      </w:r>
      <w:r w:rsidR="00F365B7">
        <w:rPr>
          <w:rFonts w:ascii="Times New Roman" w:hAnsi="Times New Roman" w:cs="Times New Roman"/>
          <w:sz w:val="24"/>
          <w:szCs w:val="24"/>
        </w:rPr>
        <w:t xml:space="preserve"> in that subsection</w:t>
      </w:r>
      <w:r w:rsidR="00C03AC6" w:rsidRPr="00BC1751">
        <w:rPr>
          <w:rFonts w:ascii="Times New Roman" w:hAnsi="Times New Roman" w:cs="Times New Roman"/>
          <w:sz w:val="24"/>
          <w:szCs w:val="24"/>
        </w:rPr>
        <w:t xml:space="preserve">. </w:t>
      </w:r>
      <w:r w:rsidR="000A199A" w:rsidRPr="00BC1751">
        <w:rPr>
          <w:rFonts w:ascii="Times New Roman" w:hAnsi="Times New Roman" w:cs="Times New Roman"/>
          <w:sz w:val="24"/>
          <w:szCs w:val="24"/>
        </w:rPr>
        <w:t xml:space="preserve">Item 2B of the table </w:t>
      </w:r>
      <w:r w:rsidR="00F365B7">
        <w:rPr>
          <w:rFonts w:ascii="Times New Roman" w:hAnsi="Times New Roman" w:cs="Times New Roman"/>
          <w:sz w:val="24"/>
          <w:szCs w:val="24"/>
        </w:rPr>
        <w:t>specifies</w:t>
      </w:r>
      <w:r w:rsidR="000A199A" w:rsidRPr="00BC1751">
        <w:rPr>
          <w:rFonts w:ascii="Times New Roman" w:hAnsi="Times New Roman" w:cs="Times New Roman"/>
          <w:sz w:val="24"/>
          <w:szCs w:val="24"/>
        </w:rPr>
        <w:t xml:space="preserve"> the injection </w:t>
      </w:r>
      <w:r w:rsidR="00F365B7">
        <w:rPr>
          <w:rFonts w:ascii="Times New Roman" w:hAnsi="Times New Roman" w:cs="Times New Roman"/>
          <w:sz w:val="24"/>
          <w:szCs w:val="24"/>
        </w:rPr>
        <w:t xml:space="preserve">and storage </w:t>
      </w:r>
      <w:r w:rsidR="000A199A" w:rsidRPr="00BC1751">
        <w:rPr>
          <w:rFonts w:ascii="Times New Roman" w:hAnsi="Times New Roman" w:cs="Times New Roman"/>
          <w:sz w:val="24"/>
          <w:szCs w:val="24"/>
        </w:rPr>
        <w:t xml:space="preserve">of a GHG substance into a part of a geological formation, and </w:t>
      </w:r>
      <w:r w:rsidR="00F365B7">
        <w:rPr>
          <w:rFonts w:ascii="Times New Roman" w:hAnsi="Times New Roman" w:cs="Times New Roman"/>
          <w:sz w:val="24"/>
          <w:szCs w:val="24"/>
        </w:rPr>
        <w:t xml:space="preserve">the carrying </w:t>
      </w:r>
      <w:r w:rsidR="009E4060">
        <w:rPr>
          <w:rFonts w:ascii="Times New Roman" w:hAnsi="Times New Roman" w:cs="Times New Roman"/>
          <w:sz w:val="24"/>
          <w:szCs w:val="24"/>
        </w:rPr>
        <w:t xml:space="preserve">on </w:t>
      </w:r>
      <w:r w:rsidR="00F365B7">
        <w:rPr>
          <w:rFonts w:ascii="Times New Roman" w:hAnsi="Times New Roman" w:cs="Times New Roman"/>
          <w:sz w:val="24"/>
          <w:szCs w:val="24"/>
        </w:rPr>
        <w:t xml:space="preserve">of </w:t>
      </w:r>
      <w:r w:rsidR="000A199A" w:rsidRPr="00BC1751">
        <w:rPr>
          <w:rFonts w:ascii="Times New Roman" w:hAnsi="Times New Roman" w:cs="Times New Roman"/>
          <w:sz w:val="24"/>
          <w:szCs w:val="24"/>
        </w:rPr>
        <w:t xml:space="preserve">operations and </w:t>
      </w:r>
      <w:r w:rsidR="009E4060">
        <w:rPr>
          <w:rFonts w:ascii="Times New Roman" w:hAnsi="Times New Roman" w:cs="Times New Roman"/>
          <w:sz w:val="24"/>
          <w:szCs w:val="24"/>
        </w:rPr>
        <w:t xml:space="preserve">the execution of </w:t>
      </w:r>
      <w:r w:rsidR="000A199A" w:rsidRPr="00BC1751">
        <w:rPr>
          <w:rFonts w:ascii="Times New Roman" w:hAnsi="Times New Roman" w:cs="Times New Roman"/>
          <w:sz w:val="24"/>
          <w:szCs w:val="24"/>
        </w:rPr>
        <w:t>works for those purposes.</w:t>
      </w:r>
    </w:p>
    <w:p w14:paraId="6485FC46" w14:textId="71C78083" w:rsidR="00E3716E" w:rsidRPr="00502CAB" w:rsidRDefault="00E3716E" w:rsidP="00502CAB">
      <w:pPr>
        <w:pStyle w:val="ActHead5"/>
        <w:spacing w:after="240"/>
      </w:pPr>
      <w:r w:rsidRPr="00502CAB">
        <w:t>Section 4</w:t>
      </w:r>
      <w:r w:rsidR="00234D7B" w:rsidRPr="00502CAB">
        <w:t>9</w:t>
      </w:r>
      <w:r w:rsidRPr="00502CAB">
        <w:t xml:space="preserve"> – Reportable incidents, notification periods and reporting deadlines</w:t>
      </w:r>
    </w:p>
    <w:p w14:paraId="4190D7EB" w14:textId="0911DE7E" w:rsidR="001A5587" w:rsidRDefault="001A5587" w:rsidP="0016414E">
      <w:pPr>
        <w:rPr>
          <w:rFonts w:ascii="Times New Roman" w:hAnsi="Times New Roman" w:cs="Times New Roman"/>
          <w:sz w:val="24"/>
          <w:szCs w:val="24"/>
        </w:rPr>
      </w:pPr>
      <w:r>
        <w:rPr>
          <w:rFonts w:ascii="Times New Roman" w:hAnsi="Times New Roman" w:cs="Times New Roman"/>
          <w:sz w:val="24"/>
          <w:szCs w:val="24"/>
        </w:rPr>
        <w:t xml:space="preserve">This section sets out incidents that are </w:t>
      </w:r>
      <w:r w:rsidR="009E4060">
        <w:rPr>
          <w:rFonts w:ascii="Times New Roman" w:hAnsi="Times New Roman" w:cs="Times New Roman"/>
          <w:sz w:val="24"/>
          <w:szCs w:val="24"/>
        </w:rPr>
        <w:t xml:space="preserve">reportable incidents and which are </w:t>
      </w:r>
      <w:r>
        <w:rPr>
          <w:rFonts w:ascii="Times New Roman" w:hAnsi="Times New Roman" w:cs="Times New Roman"/>
          <w:sz w:val="24"/>
          <w:szCs w:val="24"/>
        </w:rPr>
        <w:t xml:space="preserve">required to be notified and reported by a GHG injection licensee to the </w:t>
      </w:r>
      <w:r w:rsidR="00B84F3E">
        <w:rPr>
          <w:rFonts w:ascii="Times New Roman" w:hAnsi="Times New Roman" w:cs="Times New Roman"/>
          <w:sz w:val="24"/>
          <w:szCs w:val="24"/>
        </w:rPr>
        <w:t xml:space="preserve">responsible Commonwealth </w:t>
      </w:r>
      <w:r>
        <w:rPr>
          <w:rFonts w:ascii="Times New Roman" w:hAnsi="Times New Roman" w:cs="Times New Roman"/>
          <w:sz w:val="24"/>
          <w:szCs w:val="24"/>
        </w:rPr>
        <w:t>Minister and relevant responsible State or Territory Minister, and the deadlines for providing notifications and reports.</w:t>
      </w:r>
    </w:p>
    <w:p w14:paraId="03AD9930" w14:textId="4A1270A5" w:rsidR="0009449F" w:rsidRDefault="0009449F" w:rsidP="0016414E">
      <w:pPr>
        <w:rPr>
          <w:rFonts w:ascii="Times New Roman" w:hAnsi="Times New Roman" w:cs="Times New Roman"/>
          <w:sz w:val="24"/>
          <w:szCs w:val="24"/>
        </w:rPr>
      </w:pPr>
      <w:r>
        <w:rPr>
          <w:rFonts w:ascii="Times New Roman" w:hAnsi="Times New Roman" w:cs="Times New Roman"/>
          <w:sz w:val="24"/>
          <w:szCs w:val="24"/>
        </w:rPr>
        <w:t>Subsection 4</w:t>
      </w:r>
      <w:r w:rsidR="00286D19">
        <w:rPr>
          <w:rFonts w:ascii="Times New Roman" w:hAnsi="Times New Roman" w:cs="Times New Roman"/>
          <w:sz w:val="24"/>
          <w:szCs w:val="24"/>
        </w:rPr>
        <w:t>9</w:t>
      </w:r>
      <w:r>
        <w:rPr>
          <w:rFonts w:ascii="Times New Roman" w:hAnsi="Times New Roman" w:cs="Times New Roman"/>
          <w:sz w:val="24"/>
          <w:szCs w:val="24"/>
        </w:rPr>
        <w:t>(1)</w:t>
      </w:r>
      <w:r w:rsidR="00E3716E">
        <w:rPr>
          <w:rFonts w:ascii="Times New Roman" w:hAnsi="Times New Roman" w:cs="Times New Roman"/>
          <w:sz w:val="24"/>
          <w:szCs w:val="24"/>
        </w:rPr>
        <w:t xml:space="preserve"> </w:t>
      </w:r>
      <w:r>
        <w:rPr>
          <w:rFonts w:ascii="Times New Roman" w:hAnsi="Times New Roman" w:cs="Times New Roman"/>
          <w:sz w:val="24"/>
          <w:szCs w:val="24"/>
        </w:rPr>
        <w:t xml:space="preserve">defines four </w:t>
      </w:r>
      <w:r w:rsidR="003972DE">
        <w:rPr>
          <w:rFonts w:ascii="Times New Roman" w:hAnsi="Times New Roman" w:cs="Times New Roman"/>
          <w:sz w:val="24"/>
          <w:szCs w:val="24"/>
        </w:rPr>
        <w:t>types</w:t>
      </w:r>
      <w:r>
        <w:rPr>
          <w:rFonts w:ascii="Times New Roman" w:hAnsi="Times New Roman" w:cs="Times New Roman"/>
          <w:sz w:val="24"/>
          <w:szCs w:val="24"/>
        </w:rPr>
        <w:t xml:space="preserve"> of ‘reportable incidents’</w:t>
      </w:r>
      <w:r w:rsidR="001A5587">
        <w:rPr>
          <w:rFonts w:ascii="Times New Roman" w:hAnsi="Times New Roman" w:cs="Times New Roman"/>
          <w:sz w:val="24"/>
          <w:szCs w:val="24"/>
        </w:rPr>
        <w:t xml:space="preserve"> in relation to an identified GHG storage formation specifi</w:t>
      </w:r>
      <w:r w:rsidR="009E4060">
        <w:rPr>
          <w:rFonts w:ascii="Times New Roman" w:hAnsi="Times New Roman" w:cs="Times New Roman"/>
          <w:sz w:val="24"/>
          <w:szCs w:val="24"/>
        </w:rPr>
        <w:t>ed</w:t>
      </w:r>
      <w:r w:rsidR="001A5587">
        <w:rPr>
          <w:rFonts w:ascii="Times New Roman" w:hAnsi="Times New Roman" w:cs="Times New Roman"/>
          <w:sz w:val="24"/>
          <w:szCs w:val="24"/>
        </w:rPr>
        <w:t xml:space="preserve"> in a </w:t>
      </w:r>
      <w:r w:rsidR="009E4060">
        <w:rPr>
          <w:rFonts w:ascii="Times New Roman" w:hAnsi="Times New Roman" w:cs="Times New Roman"/>
          <w:sz w:val="24"/>
          <w:szCs w:val="24"/>
        </w:rPr>
        <w:t xml:space="preserve">GHG injection </w:t>
      </w:r>
      <w:r w:rsidR="001A5587">
        <w:rPr>
          <w:rFonts w:ascii="Times New Roman" w:hAnsi="Times New Roman" w:cs="Times New Roman"/>
          <w:sz w:val="24"/>
          <w:szCs w:val="24"/>
        </w:rPr>
        <w:t>licence</w:t>
      </w:r>
      <w:r>
        <w:rPr>
          <w:rFonts w:ascii="Times New Roman" w:hAnsi="Times New Roman" w:cs="Times New Roman"/>
          <w:sz w:val="24"/>
          <w:szCs w:val="24"/>
        </w:rPr>
        <w:t xml:space="preserve">. </w:t>
      </w:r>
      <w:r w:rsidR="00E464AD">
        <w:rPr>
          <w:rFonts w:ascii="Times New Roman" w:hAnsi="Times New Roman" w:cs="Times New Roman"/>
          <w:sz w:val="24"/>
          <w:szCs w:val="24"/>
        </w:rPr>
        <w:t>In broad terms t</w:t>
      </w:r>
      <w:r>
        <w:rPr>
          <w:rFonts w:ascii="Times New Roman" w:hAnsi="Times New Roman" w:cs="Times New Roman"/>
          <w:sz w:val="24"/>
          <w:szCs w:val="24"/>
        </w:rPr>
        <w:t>hey are:</w:t>
      </w:r>
    </w:p>
    <w:p w14:paraId="3EF987C1" w14:textId="2D038092" w:rsidR="0009449F" w:rsidRDefault="001A5587" w:rsidP="004A627F">
      <w:pPr>
        <w:pStyle w:val="ListParagraph"/>
        <w:numPr>
          <w:ilvl w:val="0"/>
          <w:numId w:val="13"/>
        </w:numPr>
        <w:ind w:hanging="720"/>
        <w:rPr>
          <w:rFonts w:ascii="Times New Roman" w:hAnsi="Times New Roman" w:cs="Times New Roman"/>
          <w:sz w:val="24"/>
          <w:szCs w:val="24"/>
        </w:rPr>
      </w:pPr>
      <w:r>
        <w:rPr>
          <w:rFonts w:ascii="Times New Roman" w:hAnsi="Times New Roman" w:cs="Times New Roman"/>
          <w:sz w:val="24"/>
          <w:szCs w:val="24"/>
        </w:rPr>
        <w:t>An</w:t>
      </w:r>
      <w:r w:rsidR="0009449F">
        <w:rPr>
          <w:rFonts w:ascii="Times New Roman" w:hAnsi="Times New Roman" w:cs="Times New Roman"/>
          <w:sz w:val="24"/>
          <w:szCs w:val="24"/>
        </w:rPr>
        <w:t xml:space="preserve"> event </w:t>
      </w:r>
      <w:r>
        <w:rPr>
          <w:rFonts w:ascii="Times New Roman" w:hAnsi="Times New Roman" w:cs="Times New Roman"/>
          <w:sz w:val="24"/>
          <w:szCs w:val="24"/>
        </w:rPr>
        <w:t xml:space="preserve">set out in Part B of the site plan </w:t>
      </w:r>
      <w:r w:rsidR="009E4060">
        <w:rPr>
          <w:rFonts w:ascii="Times New Roman" w:hAnsi="Times New Roman" w:cs="Times New Roman"/>
          <w:sz w:val="24"/>
          <w:szCs w:val="24"/>
        </w:rPr>
        <w:t xml:space="preserve">in relation to the formation in accordance with subclause 6(3) of Schedule 2 </w:t>
      </w:r>
      <w:r w:rsidR="0009449F">
        <w:rPr>
          <w:rFonts w:ascii="Times New Roman" w:hAnsi="Times New Roman" w:cs="Times New Roman"/>
          <w:sz w:val="24"/>
          <w:szCs w:val="24"/>
        </w:rPr>
        <w:t>that causes or has the potential to cause a serious situation in relation to the formation</w:t>
      </w:r>
      <w:r>
        <w:rPr>
          <w:rFonts w:ascii="Times New Roman" w:hAnsi="Times New Roman" w:cs="Times New Roman"/>
          <w:sz w:val="24"/>
          <w:szCs w:val="24"/>
        </w:rPr>
        <w:t>. Under subclause 6(3) of Schedule 2, Part</w:t>
      </w:r>
      <w:r w:rsidR="00302B3A">
        <w:rPr>
          <w:rFonts w:ascii="Times New Roman" w:hAnsi="Times New Roman" w:cs="Times New Roman"/>
          <w:sz w:val="24"/>
          <w:szCs w:val="24"/>
        </w:rPr>
        <w:t> </w:t>
      </w:r>
      <w:r>
        <w:rPr>
          <w:rFonts w:ascii="Times New Roman" w:hAnsi="Times New Roman" w:cs="Times New Roman"/>
          <w:sz w:val="24"/>
          <w:szCs w:val="24"/>
        </w:rPr>
        <w:t xml:space="preserve">B of a site plan is required to set out each event in the behaviour of a GHG substance that </w:t>
      </w:r>
      <w:r w:rsidR="009E4060">
        <w:rPr>
          <w:rFonts w:ascii="Times New Roman" w:hAnsi="Times New Roman" w:cs="Times New Roman"/>
          <w:sz w:val="24"/>
          <w:szCs w:val="24"/>
        </w:rPr>
        <w:t>is</w:t>
      </w:r>
      <w:r>
        <w:rPr>
          <w:rFonts w:ascii="Times New Roman" w:hAnsi="Times New Roman" w:cs="Times New Roman"/>
          <w:sz w:val="24"/>
          <w:szCs w:val="24"/>
        </w:rPr>
        <w:t xml:space="preserve"> a reportable incident.</w:t>
      </w:r>
    </w:p>
    <w:p w14:paraId="3FA8A5C7" w14:textId="07D6CFB4" w:rsidR="00E3716E" w:rsidRDefault="001A5587" w:rsidP="004A627F">
      <w:pPr>
        <w:pStyle w:val="ListParagraph"/>
        <w:numPr>
          <w:ilvl w:val="0"/>
          <w:numId w:val="13"/>
        </w:numPr>
        <w:ind w:hanging="720"/>
        <w:rPr>
          <w:rFonts w:ascii="Times New Roman" w:hAnsi="Times New Roman" w:cs="Times New Roman"/>
          <w:sz w:val="24"/>
          <w:szCs w:val="24"/>
        </w:rPr>
      </w:pPr>
      <w:r>
        <w:rPr>
          <w:rFonts w:ascii="Times New Roman" w:hAnsi="Times New Roman" w:cs="Times New Roman"/>
          <w:sz w:val="24"/>
          <w:szCs w:val="24"/>
        </w:rPr>
        <w:t>A</w:t>
      </w:r>
      <w:r w:rsidR="0009449F">
        <w:rPr>
          <w:rFonts w:ascii="Times New Roman" w:hAnsi="Times New Roman" w:cs="Times New Roman"/>
          <w:sz w:val="24"/>
          <w:szCs w:val="24"/>
        </w:rPr>
        <w:t xml:space="preserve"> serious situation </w:t>
      </w:r>
      <w:r>
        <w:rPr>
          <w:rFonts w:ascii="Times New Roman" w:hAnsi="Times New Roman" w:cs="Times New Roman"/>
          <w:sz w:val="24"/>
          <w:szCs w:val="24"/>
        </w:rPr>
        <w:t xml:space="preserve">in relation to the formation of the kind mentioned in paragraph 379(1)(a) of the OPGGS Act which </w:t>
      </w:r>
      <w:r w:rsidR="0009449F">
        <w:rPr>
          <w:rFonts w:ascii="Times New Roman" w:hAnsi="Times New Roman" w:cs="Times New Roman"/>
          <w:sz w:val="24"/>
          <w:szCs w:val="24"/>
        </w:rPr>
        <w:t>involv</w:t>
      </w:r>
      <w:r>
        <w:rPr>
          <w:rFonts w:ascii="Times New Roman" w:hAnsi="Times New Roman" w:cs="Times New Roman"/>
          <w:sz w:val="24"/>
          <w:szCs w:val="24"/>
        </w:rPr>
        <w:t>es</w:t>
      </w:r>
      <w:r w:rsidR="0009449F">
        <w:rPr>
          <w:rFonts w:ascii="Times New Roman" w:hAnsi="Times New Roman" w:cs="Times New Roman"/>
          <w:sz w:val="24"/>
          <w:szCs w:val="24"/>
        </w:rPr>
        <w:t xml:space="preserve"> </w:t>
      </w:r>
      <w:r w:rsidR="0009449F" w:rsidRPr="0009449F">
        <w:rPr>
          <w:rFonts w:ascii="Times New Roman" w:hAnsi="Times New Roman" w:cs="Times New Roman"/>
          <w:sz w:val="24"/>
          <w:szCs w:val="24"/>
        </w:rPr>
        <w:t xml:space="preserve">a leakage of </w:t>
      </w:r>
      <w:r w:rsidR="00391437">
        <w:rPr>
          <w:rFonts w:ascii="Times New Roman" w:hAnsi="Times New Roman" w:cs="Times New Roman"/>
          <w:sz w:val="24"/>
          <w:szCs w:val="24"/>
        </w:rPr>
        <w:t xml:space="preserve">a </w:t>
      </w:r>
      <w:r w:rsidR="0009449F">
        <w:rPr>
          <w:rFonts w:ascii="Times New Roman" w:hAnsi="Times New Roman" w:cs="Times New Roman"/>
          <w:sz w:val="24"/>
          <w:szCs w:val="24"/>
        </w:rPr>
        <w:t xml:space="preserve">GHG </w:t>
      </w:r>
      <w:r w:rsidR="0009449F" w:rsidRPr="0009449F">
        <w:rPr>
          <w:rFonts w:ascii="Times New Roman" w:hAnsi="Times New Roman" w:cs="Times New Roman"/>
          <w:sz w:val="24"/>
          <w:szCs w:val="24"/>
        </w:rPr>
        <w:t>substance to the seabed</w:t>
      </w:r>
      <w:r>
        <w:rPr>
          <w:rFonts w:ascii="Times New Roman" w:hAnsi="Times New Roman" w:cs="Times New Roman"/>
          <w:sz w:val="24"/>
          <w:szCs w:val="24"/>
        </w:rPr>
        <w:t>. Under subsection 379(1)(a), a serious situation exists if a GHG substance injected into the formation has leaked or is leaking from the formation.</w:t>
      </w:r>
    </w:p>
    <w:p w14:paraId="7AA515CB" w14:textId="23E12E9E" w:rsidR="0009449F" w:rsidRDefault="001A5587" w:rsidP="004A627F">
      <w:pPr>
        <w:pStyle w:val="ListParagraph"/>
        <w:numPr>
          <w:ilvl w:val="0"/>
          <w:numId w:val="13"/>
        </w:numPr>
        <w:ind w:hanging="720"/>
        <w:rPr>
          <w:rFonts w:ascii="Times New Roman" w:hAnsi="Times New Roman" w:cs="Times New Roman"/>
          <w:sz w:val="24"/>
          <w:szCs w:val="24"/>
        </w:rPr>
      </w:pPr>
      <w:r>
        <w:rPr>
          <w:rFonts w:ascii="Times New Roman" w:hAnsi="Times New Roman" w:cs="Times New Roman"/>
          <w:sz w:val="24"/>
          <w:szCs w:val="24"/>
        </w:rPr>
        <w:t>A</w:t>
      </w:r>
      <w:r w:rsidR="009E4060">
        <w:rPr>
          <w:rFonts w:ascii="Times New Roman" w:hAnsi="Times New Roman" w:cs="Times New Roman"/>
          <w:sz w:val="24"/>
          <w:szCs w:val="24"/>
        </w:rPr>
        <w:t>n event that causes a</w:t>
      </w:r>
      <w:r w:rsidR="0009449F">
        <w:rPr>
          <w:rFonts w:ascii="Times New Roman" w:hAnsi="Times New Roman" w:cs="Times New Roman"/>
          <w:sz w:val="24"/>
          <w:szCs w:val="24"/>
        </w:rPr>
        <w:t xml:space="preserve"> serious situation</w:t>
      </w:r>
      <w:r>
        <w:rPr>
          <w:rFonts w:ascii="Times New Roman" w:hAnsi="Times New Roman" w:cs="Times New Roman"/>
          <w:sz w:val="24"/>
          <w:szCs w:val="24"/>
        </w:rPr>
        <w:t xml:space="preserve"> in relation to the formation of the kind mentioned in paragraph 379(1)(b) of the OPGGS Act</w:t>
      </w:r>
      <w:r w:rsidR="0009449F">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09449F">
        <w:rPr>
          <w:rFonts w:ascii="Times New Roman" w:hAnsi="Times New Roman" w:cs="Times New Roman"/>
          <w:sz w:val="24"/>
          <w:szCs w:val="24"/>
        </w:rPr>
        <w:t>involv</w:t>
      </w:r>
      <w:r>
        <w:rPr>
          <w:rFonts w:ascii="Times New Roman" w:hAnsi="Times New Roman" w:cs="Times New Roman"/>
          <w:sz w:val="24"/>
          <w:szCs w:val="24"/>
        </w:rPr>
        <w:t>es</w:t>
      </w:r>
      <w:r w:rsidR="0009449F" w:rsidRPr="0009449F">
        <w:rPr>
          <w:rFonts w:ascii="Times New Roman" w:hAnsi="Times New Roman" w:cs="Times New Roman"/>
          <w:sz w:val="24"/>
          <w:szCs w:val="24"/>
        </w:rPr>
        <w:t xml:space="preserve"> a</w:t>
      </w:r>
      <w:r w:rsidR="003972DE">
        <w:rPr>
          <w:rFonts w:ascii="Times New Roman" w:hAnsi="Times New Roman" w:cs="Times New Roman"/>
          <w:sz w:val="24"/>
          <w:szCs w:val="24"/>
        </w:rPr>
        <w:t xml:space="preserve"> </w:t>
      </w:r>
      <w:r w:rsidR="0009449F">
        <w:rPr>
          <w:rFonts w:ascii="Times New Roman" w:hAnsi="Times New Roman" w:cs="Times New Roman"/>
          <w:sz w:val="24"/>
          <w:szCs w:val="24"/>
        </w:rPr>
        <w:t xml:space="preserve">risk of </w:t>
      </w:r>
      <w:r w:rsidR="0009449F" w:rsidRPr="0009449F">
        <w:rPr>
          <w:rFonts w:ascii="Times New Roman" w:hAnsi="Times New Roman" w:cs="Times New Roman"/>
          <w:sz w:val="24"/>
          <w:szCs w:val="24"/>
        </w:rPr>
        <w:t xml:space="preserve">leakage of </w:t>
      </w:r>
      <w:r w:rsidR="00391437">
        <w:rPr>
          <w:rFonts w:ascii="Times New Roman" w:hAnsi="Times New Roman" w:cs="Times New Roman"/>
          <w:sz w:val="24"/>
          <w:szCs w:val="24"/>
        </w:rPr>
        <w:t xml:space="preserve">a </w:t>
      </w:r>
      <w:r w:rsidR="0009449F">
        <w:rPr>
          <w:rFonts w:ascii="Times New Roman" w:hAnsi="Times New Roman" w:cs="Times New Roman"/>
          <w:sz w:val="24"/>
          <w:szCs w:val="24"/>
        </w:rPr>
        <w:t xml:space="preserve">GHG </w:t>
      </w:r>
      <w:r w:rsidR="0009449F" w:rsidRPr="0009449F">
        <w:rPr>
          <w:rFonts w:ascii="Times New Roman" w:hAnsi="Times New Roman" w:cs="Times New Roman"/>
          <w:sz w:val="24"/>
          <w:szCs w:val="24"/>
        </w:rPr>
        <w:t>substance to the seabed</w:t>
      </w:r>
      <w:r w:rsidR="00401EC0">
        <w:rPr>
          <w:rFonts w:ascii="Times New Roman" w:hAnsi="Times New Roman" w:cs="Times New Roman"/>
          <w:sz w:val="24"/>
          <w:szCs w:val="24"/>
        </w:rPr>
        <w:t>. Under subsection 379(1)(b), a serious situation exists if there is a significant risk that a GHG substance injected into the formation will leak from the formation.</w:t>
      </w:r>
    </w:p>
    <w:p w14:paraId="55440F33" w14:textId="0E934B6E" w:rsidR="0009449F" w:rsidRPr="0009449F" w:rsidRDefault="00401EC0" w:rsidP="004A627F">
      <w:pPr>
        <w:pStyle w:val="ListParagraph"/>
        <w:numPr>
          <w:ilvl w:val="0"/>
          <w:numId w:val="13"/>
        </w:numPr>
        <w:ind w:hanging="720"/>
        <w:rPr>
          <w:rFonts w:ascii="Times New Roman" w:hAnsi="Times New Roman" w:cs="Times New Roman"/>
          <w:sz w:val="24"/>
          <w:szCs w:val="24"/>
        </w:rPr>
      </w:pPr>
      <w:r>
        <w:rPr>
          <w:rFonts w:ascii="Times New Roman" w:hAnsi="Times New Roman" w:cs="Times New Roman"/>
          <w:sz w:val="24"/>
          <w:szCs w:val="24"/>
        </w:rPr>
        <w:t>A</w:t>
      </w:r>
      <w:r w:rsidR="0009449F" w:rsidRPr="0009449F">
        <w:rPr>
          <w:rFonts w:ascii="Times New Roman" w:hAnsi="Times New Roman" w:cs="Times New Roman"/>
          <w:sz w:val="24"/>
          <w:szCs w:val="24"/>
        </w:rPr>
        <w:t xml:space="preserve"> leakage of a </w:t>
      </w:r>
      <w:r w:rsidR="0009449F">
        <w:rPr>
          <w:rFonts w:ascii="Times New Roman" w:hAnsi="Times New Roman" w:cs="Times New Roman"/>
          <w:sz w:val="24"/>
          <w:szCs w:val="24"/>
        </w:rPr>
        <w:t xml:space="preserve">GHG </w:t>
      </w:r>
      <w:r w:rsidR="0009449F" w:rsidRPr="0009449F">
        <w:rPr>
          <w:rFonts w:ascii="Times New Roman" w:hAnsi="Times New Roman" w:cs="Times New Roman"/>
          <w:sz w:val="24"/>
          <w:szCs w:val="24"/>
        </w:rPr>
        <w:t>substance from the bore of a well</w:t>
      </w:r>
      <w:r>
        <w:rPr>
          <w:rFonts w:ascii="Times New Roman" w:hAnsi="Times New Roman" w:cs="Times New Roman"/>
          <w:sz w:val="24"/>
          <w:szCs w:val="24"/>
        </w:rPr>
        <w:t xml:space="preserve"> that forms part of the operations </w:t>
      </w:r>
      <w:r w:rsidR="009E4060">
        <w:rPr>
          <w:rFonts w:ascii="Times New Roman" w:hAnsi="Times New Roman" w:cs="Times New Roman"/>
          <w:sz w:val="24"/>
          <w:szCs w:val="24"/>
        </w:rPr>
        <w:t xml:space="preserve">carried out </w:t>
      </w:r>
      <w:r>
        <w:rPr>
          <w:rFonts w:ascii="Times New Roman" w:hAnsi="Times New Roman" w:cs="Times New Roman"/>
          <w:sz w:val="24"/>
          <w:szCs w:val="24"/>
        </w:rPr>
        <w:t>under the licence</w:t>
      </w:r>
      <w:r w:rsidR="00391437">
        <w:rPr>
          <w:rFonts w:ascii="Times New Roman" w:hAnsi="Times New Roman" w:cs="Times New Roman"/>
          <w:sz w:val="24"/>
          <w:szCs w:val="24"/>
        </w:rPr>
        <w:t xml:space="preserve"> </w:t>
      </w:r>
      <w:r w:rsidR="0009449F" w:rsidRPr="0009449F">
        <w:rPr>
          <w:rFonts w:ascii="Times New Roman" w:hAnsi="Times New Roman" w:cs="Times New Roman"/>
          <w:sz w:val="24"/>
          <w:szCs w:val="24"/>
        </w:rPr>
        <w:t>that causes or has the potential to cause a serious situation in relation to the formation.</w:t>
      </w:r>
      <w:r w:rsidR="005D57CF">
        <w:rPr>
          <w:rFonts w:ascii="Times New Roman" w:hAnsi="Times New Roman" w:cs="Times New Roman"/>
          <w:sz w:val="24"/>
          <w:szCs w:val="24"/>
        </w:rPr>
        <w:t xml:space="preserve"> The reference to a well “that forms part of the operations </w:t>
      </w:r>
      <w:r w:rsidR="009E4060">
        <w:rPr>
          <w:rFonts w:ascii="Times New Roman" w:hAnsi="Times New Roman" w:cs="Times New Roman"/>
          <w:sz w:val="24"/>
          <w:szCs w:val="24"/>
        </w:rPr>
        <w:t xml:space="preserve">carried out </w:t>
      </w:r>
      <w:r w:rsidR="005D57CF">
        <w:rPr>
          <w:rFonts w:ascii="Times New Roman" w:hAnsi="Times New Roman" w:cs="Times New Roman"/>
          <w:sz w:val="24"/>
          <w:szCs w:val="24"/>
        </w:rPr>
        <w:t xml:space="preserve">under the licence” is to differentiate from pre-existing </w:t>
      </w:r>
      <w:r w:rsidR="005D57CF">
        <w:rPr>
          <w:rFonts w:ascii="Times New Roman" w:hAnsi="Times New Roman" w:cs="Times New Roman"/>
          <w:sz w:val="24"/>
          <w:szCs w:val="24"/>
        </w:rPr>
        <w:lastRenderedPageBreak/>
        <w:t xml:space="preserve">wells that are not drilled or used for the purpose of the GHG injection and storage operations. Wells that form part of operations may include injection wells, monitoring wells and pressure management wells.   </w:t>
      </w:r>
    </w:p>
    <w:p w14:paraId="5CD48630" w14:textId="57EADC26" w:rsidR="006B15AA" w:rsidRDefault="00286D19" w:rsidP="0016414E">
      <w:pPr>
        <w:rPr>
          <w:rFonts w:ascii="Times New Roman" w:hAnsi="Times New Roman" w:cs="Times New Roman"/>
          <w:sz w:val="24"/>
          <w:szCs w:val="24"/>
        </w:rPr>
      </w:pPr>
      <w:r>
        <w:rPr>
          <w:rFonts w:ascii="Times New Roman" w:hAnsi="Times New Roman" w:cs="Times New Roman"/>
          <w:sz w:val="24"/>
          <w:szCs w:val="24"/>
        </w:rPr>
        <w:t>A</w:t>
      </w:r>
      <w:r w:rsidRPr="00286D19">
        <w:rPr>
          <w:rFonts w:ascii="Times New Roman" w:hAnsi="Times New Roman" w:cs="Times New Roman"/>
          <w:sz w:val="24"/>
          <w:szCs w:val="24"/>
        </w:rPr>
        <w:t xml:space="preserve"> </w:t>
      </w:r>
      <w:r w:rsidRPr="005D57CF">
        <w:rPr>
          <w:rFonts w:ascii="Times New Roman" w:hAnsi="Times New Roman" w:cs="Times New Roman"/>
          <w:b/>
          <w:bCs/>
          <w:i/>
          <w:iCs/>
          <w:sz w:val="24"/>
          <w:szCs w:val="24"/>
        </w:rPr>
        <w:t>serious situation</w:t>
      </w:r>
      <w:r w:rsidRPr="00286D19">
        <w:rPr>
          <w:rFonts w:ascii="Times New Roman" w:hAnsi="Times New Roman" w:cs="Times New Roman"/>
          <w:sz w:val="24"/>
          <w:szCs w:val="24"/>
        </w:rPr>
        <w:t xml:space="preserve"> </w:t>
      </w:r>
      <w:r w:rsidR="005D57CF">
        <w:rPr>
          <w:rFonts w:ascii="Times New Roman" w:hAnsi="Times New Roman" w:cs="Times New Roman"/>
          <w:sz w:val="24"/>
          <w:szCs w:val="24"/>
        </w:rPr>
        <w:t xml:space="preserve">in relation to an identified GHG storage formation specified in a licence </w:t>
      </w:r>
      <w:r w:rsidRPr="00286D19">
        <w:rPr>
          <w:rFonts w:ascii="Times New Roman" w:hAnsi="Times New Roman" w:cs="Times New Roman"/>
          <w:sz w:val="24"/>
          <w:szCs w:val="24"/>
        </w:rPr>
        <w:t xml:space="preserve">is defined in section 379 of the OPGGS Act. </w:t>
      </w:r>
    </w:p>
    <w:p w14:paraId="448DCBC8" w14:textId="4B25F497" w:rsidR="0009449F" w:rsidRDefault="0009449F" w:rsidP="0016414E">
      <w:pPr>
        <w:rPr>
          <w:rFonts w:ascii="Times New Roman" w:hAnsi="Times New Roman" w:cs="Times New Roman"/>
          <w:sz w:val="24"/>
          <w:szCs w:val="24"/>
        </w:rPr>
      </w:pPr>
      <w:r>
        <w:rPr>
          <w:rFonts w:ascii="Times New Roman" w:hAnsi="Times New Roman" w:cs="Times New Roman"/>
          <w:sz w:val="24"/>
          <w:szCs w:val="24"/>
        </w:rPr>
        <w:t xml:space="preserve">Subsection </w:t>
      </w:r>
      <w:r w:rsidR="0059399D">
        <w:rPr>
          <w:rFonts w:ascii="Times New Roman" w:hAnsi="Times New Roman" w:cs="Times New Roman"/>
          <w:sz w:val="24"/>
          <w:szCs w:val="24"/>
        </w:rPr>
        <w:t>49(2)</w:t>
      </w:r>
      <w:r>
        <w:rPr>
          <w:rFonts w:ascii="Times New Roman" w:hAnsi="Times New Roman" w:cs="Times New Roman"/>
          <w:sz w:val="24"/>
          <w:szCs w:val="24"/>
        </w:rPr>
        <w:t xml:space="preserve"> </w:t>
      </w:r>
      <w:r w:rsidR="0059399D">
        <w:rPr>
          <w:rFonts w:ascii="Times New Roman" w:hAnsi="Times New Roman" w:cs="Times New Roman"/>
          <w:sz w:val="24"/>
          <w:szCs w:val="24"/>
        </w:rPr>
        <w:t>includes</w:t>
      </w:r>
      <w:r>
        <w:rPr>
          <w:rFonts w:ascii="Times New Roman" w:hAnsi="Times New Roman" w:cs="Times New Roman"/>
          <w:sz w:val="24"/>
          <w:szCs w:val="24"/>
        </w:rPr>
        <w:t xml:space="preserve"> a table which sets out notification </w:t>
      </w:r>
      <w:r w:rsidR="009E4060">
        <w:rPr>
          <w:rFonts w:ascii="Times New Roman" w:hAnsi="Times New Roman" w:cs="Times New Roman"/>
          <w:sz w:val="24"/>
          <w:szCs w:val="24"/>
        </w:rPr>
        <w:t xml:space="preserve">periods </w:t>
      </w:r>
      <w:r>
        <w:rPr>
          <w:rFonts w:ascii="Times New Roman" w:hAnsi="Times New Roman" w:cs="Times New Roman"/>
          <w:sz w:val="24"/>
          <w:szCs w:val="24"/>
        </w:rPr>
        <w:t xml:space="preserve">and reporting deadlines for each </w:t>
      </w:r>
      <w:r w:rsidR="003972DE">
        <w:rPr>
          <w:rFonts w:ascii="Times New Roman" w:hAnsi="Times New Roman" w:cs="Times New Roman"/>
          <w:sz w:val="24"/>
          <w:szCs w:val="24"/>
        </w:rPr>
        <w:t>type</w:t>
      </w:r>
      <w:r>
        <w:rPr>
          <w:rFonts w:ascii="Times New Roman" w:hAnsi="Times New Roman" w:cs="Times New Roman"/>
          <w:sz w:val="24"/>
          <w:szCs w:val="24"/>
        </w:rPr>
        <w:t xml:space="preserve"> of reportable incident. </w:t>
      </w:r>
      <w:r w:rsidR="003972DE">
        <w:rPr>
          <w:rFonts w:ascii="Times New Roman" w:hAnsi="Times New Roman" w:cs="Times New Roman"/>
          <w:sz w:val="24"/>
          <w:szCs w:val="24"/>
        </w:rPr>
        <w:t>The notification periods and reporting deadlines are shortest in the case of a serious situation involving a leakage or risk of leakage of a GHG substance to the seabed (paragraphs (b) and (c) above)</w:t>
      </w:r>
      <w:r w:rsidR="00CD328B">
        <w:rPr>
          <w:rFonts w:ascii="Times New Roman" w:hAnsi="Times New Roman" w:cs="Times New Roman"/>
          <w:sz w:val="24"/>
          <w:szCs w:val="24"/>
        </w:rPr>
        <w:t>.</w:t>
      </w:r>
      <w:r w:rsidR="003972DE">
        <w:rPr>
          <w:rFonts w:ascii="Times New Roman" w:hAnsi="Times New Roman" w:cs="Times New Roman"/>
          <w:sz w:val="24"/>
          <w:szCs w:val="24"/>
        </w:rPr>
        <w:t xml:space="preserve"> </w:t>
      </w:r>
    </w:p>
    <w:p w14:paraId="3118A95A" w14:textId="32B49F8E" w:rsidR="00E3716E" w:rsidRPr="00502CAB" w:rsidRDefault="00E3716E" w:rsidP="00502CAB">
      <w:pPr>
        <w:pStyle w:val="ActHead3"/>
        <w:rPr>
          <w:rStyle w:val="CharDivNo"/>
        </w:rPr>
      </w:pPr>
      <w:r w:rsidRPr="00502CAB">
        <w:rPr>
          <w:rStyle w:val="CharDivNo"/>
        </w:rPr>
        <w:t xml:space="preserve">Division 2 – Notifying and </w:t>
      </w:r>
      <w:proofErr w:type="gramStart"/>
      <w:r w:rsidRPr="00502CAB">
        <w:rPr>
          <w:rStyle w:val="CharDivNo"/>
        </w:rPr>
        <w:t>reporting</w:t>
      </w:r>
      <w:proofErr w:type="gramEnd"/>
    </w:p>
    <w:p w14:paraId="26494324" w14:textId="566650B4" w:rsidR="00E3716E" w:rsidRPr="00502CAB" w:rsidRDefault="00E3716E" w:rsidP="00502CAB">
      <w:pPr>
        <w:pStyle w:val="ActHead5"/>
        <w:spacing w:after="240"/>
      </w:pPr>
      <w:r w:rsidRPr="00502CAB">
        <w:t>Section</w:t>
      </w:r>
      <w:r w:rsidR="00234D7B" w:rsidRPr="00502CAB">
        <w:t xml:space="preserve"> 50</w:t>
      </w:r>
      <w:r w:rsidRPr="00502CAB">
        <w:t xml:space="preserve"> – Application of </w:t>
      </w:r>
      <w:r w:rsidR="00234D7B" w:rsidRPr="00502CAB">
        <w:t xml:space="preserve">this </w:t>
      </w:r>
      <w:r w:rsidRPr="00502CAB">
        <w:t>Division</w:t>
      </w:r>
    </w:p>
    <w:p w14:paraId="6AE47827" w14:textId="74127688" w:rsidR="00E3716E" w:rsidRPr="00DA2B9D" w:rsidRDefault="00E3716E" w:rsidP="0009449F">
      <w:pPr>
        <w:rPr>
          <w:rFonts w:ascii="Times New Roman" w:hAnsi="Times New Roman" w:cs="Times New Roman"/>
          <w:sz w:val="24"/>
          <w:szCs w:val="24"/>
        </w:rPr>
      </w:pPr>
      <w:r>
        <w:rPr>
          <w:rFonts w:ascii="Times New Roman" w:hAnsi="Times New Roman" w:cs="Times New Roman"/>
          <w:sz w:val="24"/>
          <w:szCs w:val="24"/>
        </w:rPr>
        <w:t xml:space="preserve">This section </w:t>
      </w:r>
      <w:r w:rsidR="00740F49">
        <w:rPr>
          <w:rFonts w:ascii="Times New Roman" w:hAnsi="Times New Roman" w:cs="Times New Roman"/>
          <w:sz w:val="24"/>
          <w:szCs w:val="24"/>
        </w:rPr>
        <w:t>provides</w:t>
      </w:r>
      <w:r w:rsidR="0009449F">
        <w:rPr>
          <w:rFonts w:ascii="Times New Roman" w:hAnsi="Times New Roman" w:cs="Times New Roman"/>
          <w:sz w:val="24"/>
          <w:szCs w:val="24"/>
        </w:rPr>
        <w:t xml:space="preserve"> that Division 2 </w:t>
      </w:r>
      <w:r w:rsidR="0009449F" w:rsidRPr="0009449F">
        <w:rPr>
          <w:rFonts w:ascii="Times New Roman" w:hAnsi="Times New Roman" w:cs="Times New Roman"/>
          <w:sz w:val="24"/>
          <w:szCs w:val="24"/>
        </w:rPr>
        <w:t>applies if</w:t>
      </w:r>
      <w:r w:rsidR="0009449F">
        <w:rPr>
          <w:rFonts w:ascii="Times New Roman" w:hAnsi="Times New Roman" w:cs="Times New Roman"/>
          <w:sz w:val="24"/>
          <w:szCs w:val="24"/>
        </w:rPr>
        <w:t xml:space="preserve"> </w:t>
      </w:r>
      <w:r w:rsidR="00394619">
        <w:rPr>
          <w:rFonts w:ascii="Times New Roman" w:hAnsi="Times New Roman" w:cs="Times New Roman"/>
          <w:sz w:val="24"/>
          <w:szCs w:val="24"/>
        </w:rPr>
        <w:t xml:space="preserve">a reportable incident in relation to an identified GHG storage formation specified in a GHG injection licence occurs and </w:t>
      </w:r>
      <w:r w:rsidR="00DA2B9D">
        <w:rPr>
          <w:rFonts w:ascii="Times New Roman" w:hAnsi="Times New Roman" w:cs="Times New Roman"/>
          <w:sz w:val="24"/>
          <w:szCs w:val="24"/>
        </w:rPr>
        <w:t>a GHG</w:t>
      </w:r>
      <w:r w:rsidR="0009449F">
        <w:rPr>
          <w:rFonts w:ascii="Times New Roman" w:hAnsi="Times New Roman" w:cs="Times New Roman"/>
          <w:sz w:val="24"/>
          <w:szCs w:val="24"/>
        </w:rPr>
        <w:t xml:space="preserve"> injection licensee becomes aware </w:t>
      </w:r>
      <w:r w:rsidR="00DA2B9D">
        <w:rPr>
          <w:rFonts w:ascii="Times New Roman" w:hAnsi="Times New Roman" w:cs="Times New Roman"/>
          <w:sz w:val="24"/>
          <w:szCs w:val="24"/>
        </w:rPr>
        <w:t xml:space="preserve">of the occurrence of </w:t>
      </w:r>
      <w:r w:rsidR="00394619">
        <w:rPr>
          <w:rFonts w:ascii="Times New Roman" w:hAnsi="Times New Roman" w:cs="Times New Roman"/>
          <w:sz w:val="24"/>
          <w:szCs w:val="24"/>
        </w:rPr>
        <w:t>the</w:t>
      </w:r>
      <w:r w:rsidR="0009449F">
        <w:rPr>
          <w:rFonts w:ascii="Times New Roman" w:hAnsi="Times New Roman" w:cs="Times New Roman"/>
          <w:sz w:val="24"/>
          <w:szCs w:val="24"/>
        </w:rPr>
        <w:t xml:space="preserve"> incident</w:t>
      </w:r>
      <w:r w:rsidR="0009449F" w:rsidRPr="0009449F">
        <w:rPr>
          <w:rFonts w:ascii="Times New Roman" w:hAnsi="Times New Roman" w:cs="Times New Roman"/>
          <w:sz w:val="24"/>
          <w:szCs w:val="24"/>
        </w:rPr>
        <w:t>.</w:t>
      </w:r>
      <w:r w:rsidR="00DA2B9D">
        <w:rPr>
          <w:rFonts w:ascii="Times New Roman" w:hAnsi="Times New Roman" w:cs="Times New Roman"/>
          <w:sz w:val="24"/>
          <w:szCs w:val="24"/>
        </w:rPr>
        <w:t xml:space="preserve"> See the definition of </w:t>
      </w:r>
      <w:r w:rsidR="00DA2B9D">
        <w:rPr>
          <w:rFonts w:ascii="Times New Roman" w:hAnsi="Times New Roman" w:cs="Times New Roman"/>
          <w:b/>
          <w:bCs/>
          <w:i/>
          <w:iCs/>
          <w:sz w:val="24"/>
          <w:szCs w:val="24"/>
        </w:rPr>
        <w:t>reportable incident</w:t>
      </w:r>
      <w:r w:rsidR="00DA2B9D">
        <w:rPr>
          <w:rFonts w:ascii="Times New Roman" w:hAnsi="Times New Roman" w:cs="Times New Roman"/>
          <w:sz w:val="24"/>
          <w:szCs w:val="24"/>
        </w:rPr>
        <w:t xml:space="preserve"> in subsection 49(1).</w:t>
      </w:r>
    </w:p>
    <w:p w14:paraId="04A1627B" w14:textId="39591D72" w:rsidR="00E3716E" w:rsidRPr="00502CAB" w:rsidRDefault="00E3716E" w:rsidP="00502CAB">
      <w:pPr>
        <w:pStyle w:val="ActHead5"/>
        <w:spacing w:after="240"/>
      </w:pPr>
      <w:r w:rsidRPr="00502CAB">
        <w:t xml:space="preserve">Section </w:t>
      </w:r>
      <w:r w:rsidR="00234D7B" w:rsidRPr="00502CAB">
        <w:t>51</w:t>
      </w:r>
      <w:r w:rsidRPr="00502CAB">
        <w:t xml:space="preserve"> – Notifying responsible Commonwealth and State</w:t>
      </w:r>
      <w:r w:rsidR="00632C96" w:rsidRPr="00502CAB">
        <w:t>/</w:t>
      </w:r>
      <w:r w:rsidRPr="00502CAB">
        <w:t>Territory Ministers</w:t>
      </w:r>
    </w:p>
    <w:p w14:paraId="63C1A581" w14:textId="6E69638B" w:rsidR="00DA2B9D" w:rsidRPr="0071367A" w:rsidRDefault="00394619" w:rsidP="00DA2B9D">
      <w:pPr>
        <w:rPr>
          <w:rFonts w:ascii="Times New Roman" w:hAnsi="Times New Roman" w:cs="Times New Roman"/>
          <w:sz w:val="24"/>
          <w:szCs w:val="24"/>
        </w:rPr>
      </w:pPr>
      <w:r>
        <w:rPr>
          <w:rFonts w:ascii="Times New Roman" w:hAnsi="Times New Roman" w:cs="Times New Roman"/>
          <w:sz w:val="24"/>
          <w:szCs w:val="24"/>
        </w:rPr>
        <w:t>Sub</w:t>
      </w:r>
      <w:r w:rsidR="00632C96" w:rsidRPr="007D1E0E">
        <w:rPr>
          <w:rFonts w:ascii="Times New Roman" w:hAnsi="Times New Roman" w:cs="Times New Roman"/>
          <w:sz w:val="24"/>
          <w:szCs w:val="24"/>
        </w:rPr>
        <w:t>section</w:t>
      </w:r>
      <w:r>
        <w:rPr>
          <w:rFonts w:ascii="Times New Roman" w:hAnsi="Times New Roman" w:cs="Times New Roman"/>
          <w:sz w:val="24"/>
          <w:szCs w:val="24"/>
        </w:rPr>
        <w:t xml:space="preserve"> 51(1)</w:t>
      </w:r>
      <w:r w:rsidR="00632C96" w:rsidRPr="007D1E0E">
        <w:rPr>
          <w:rFonts w:ascii="Times New Roman" w:hAnsi="Times New Roman" w:cs="Times New Roman"/>
          <w:sz w:val="24"/>
          <w:szCs w:val="24"/>
        </w:rPr>
        <w:t xml:space="preserve"> </w:t>
      </w:r>
      <w:r w:rsidR="00DA2B9D">
        <w:rPr>
          <w:rFonts w:ascii="Times New Roman" w:hAnsi="Times New Roman" w:cs="Times New Roman"/>
          <w:color w:val="333333"/>
          <w:sz w:val="24"/>
          <w:szCs w:val="24"/>
          <w:shd w:val="clear" w:color="auto" w:fill="FFFFFF"/>
        </w:rPr>
        <w:t>requires</w:t>
      </w:r>
      <w:r w:rsidR="002B5ED0" w:rsidRPr="007D1E0E">
        <w:rPr>
          <w:rFonts w:ascii="Times New Roman" w:hAnsi="Times New Roman" w:cs="Times New Roman"/>
          <w:color w:val="333333"/>
          <w:sz w:val="24"/>
          <w:szCs w:val="24"/>
          <w:shd w:val="clear" w:color="auto" w:fill="FFFFFF"/>
        </w:rPr>
        <w:t xml:space="preserve"> </w:t>
      </w:r>
      <w:r w:rsidR="00DA2B9D">
        <w:rPr>
          <w:rFonts w:ascii="Times New Roman" w:hAnsi="Times New Roman" w:cs="Times New Roman"/>
          <w:color w:val="333333"/>
          <w:sz w:val="24"/>
          <w:szCs w:val="24"/>
          <w:shd w:val="clear" w:color="auto" w:fill="FFFFFF"/>
        </w:rPr>
        <w:t>a GHG injection</w:t>
      </w:r>
      <w:r w:rsidR="00390A9E">
        <w:rPr>
          <w:rFonts w:ascii="Times New Roman" w:hAnsi="Times New Roman" w:cs="Times New Roman"/>
          <w:color w:val="333333"/>
          <w:sz w:val="24"/>
          <w:szCs w:val="24"/>
          <w:shd w:val="clear" w:color="auto" w:fill="FFFFFF"/>
        </w:rPr>
        <w:t xml:space="preserve"> licensee</w:t>
      </w:r>
      <w:r w:rsidR="00B83CBA" w:rsidRPr="007D1E0E" w:rsidDel="00390A9E">
        <w:rPr>
          <w:rFonts w:ascii="Times New Roman" w:hAnsi="Times New Roman" w:cs="Times New Roman"/>
          <w:color w:val="333333"/>
          <w:sz w:val="24"/>
          <w:szCs w:val="24"/>
          <w:shd w:val="clear" w:color="auto" w:fill="FFFFFF"/>
        </w:rPr>
        <w:t xml:space="preserve"> </w:t>
      </w:r>
      <w:r w:rsidR="00DA2B9D">
        <w:rPr>
          <w:rFonts w:ascii="Times New Roman" w:hAnsi="Times New Roman" w:cs="Times New Roman"/>
          <w:color w:val="333333"/>
          <w:sz w:val="24"/>
          <w:szCs w:val="24"/>
          <w:shd w:val="clear" w:color="auto" w:fill="FFFFFF"/>
        </w:rPr>
        <w:t>to</w:t>
      </w:r>
      <w:r w:rsidR="002B5ED0" w:rsidRPr="007D1E0E">
        <w:rPr>
          <w:rFonts w:ascii="Times New Roman" w:hAnsi="Times New Roman" w:cs="Times New Roman"/>
          <w:color w:val="333333"/>
          <w:sz w:val="24"/>
          <w:szCs w:val="24"/>
          <w:shd w:val="clear" w:color="auto" w:fill="FFFFFF"/>
        </w:rPr>
        <w:t xml:space="preserve"> notify the </w:t>
      </w:r>
      <w:r w:rsidR="00B84F3E">
        <w:rPr>
          <w:rFonts w:ascii="Times New Roman" w:hAnsi="Times New Roman" w:cs="Times New Roman"/>
          <w:color w:val="333333"/>
          <w:sz w:val="24"/>
          <w:szCs w:val="24"/>
          <w:shd w:val="clear" w:color="auto" w:fill="FFFFFF"/>
        </w:rPr>
        <w:t xml:space="preserve">responsible Commonwealth </w:t>
      </w:r>
      <w:r w:rsidR="00390A9E">
        <w:rPr>
          <w:rFonts w:ascii="Times New Roman" w:hAnsi="Times New Roman" w:cs="Times New Roman"/>
          <w:color w:val="333333"/>
          <w:sz w:val="24"/>
          <w:szCs w:val="24"/>
          <w:shd w:val="clear" w:color="auto" w:fill="FFFFFF"/>
        </w:rPr>
        <w:t>Minister</w:t>
      </w:r>
      <w:r w:rsidR="00390A9E" w:rsidRPr="007D1E0E">
        <w:rPr>
          <w:rFonts w:ascii="Times New Roman" w:hAnsi="Times New Roman" w:cs="Times New Roman"/>
          <w:color w:val="333333"/>
          <w:sz w:val="24"/>
          <w:szCs w:val="24"/>
          <w:shd w:val="clear" w:color="auto" w:fill="FFFFFF"/>
        </w:rPr>
        <w:t xml:space="preserve"> </w:t>
      </w:r>
      <w:r w:rsidR="00390A9E">
        <w:rPr>
          <w:rFonts w:ascii="Times New Roman" w:hAnsi="Times New Roman" w:cs="Times New Roman"/>
          <w:color w:val="333333"/>
          <w:sz w:val="24"/>
          <w:szCs w:val="24"/>
          <w:shd w:val="clear" w:color="auto" w:fill="FFFFFF"/>
        </w:rPr>
        <w:t xml:space="preserve">that </w:t>
      </w:r>
      <w:r w:rsidR="002B5ED0" w:rsidRPr="007D1E0E">
        <w:rPr>
          <w:rFonts w:ascii="Times New Roman" w:hAnsi="Times New Roman" w:cs="Times New Roman"/>
          <w:color w:val="333333"/>
          <w:sz w:val="24"/>
          <w:szCs w:val="24"/>
          <w:shd w:val="clear" w:color="auto" w:fill="FFFFFF"/>
        </w:rPr>
        <w:t>a reportable incident</w:t>
      </w:r>
      <w:r w:rsidR="00390A9E">
        <w:rPr>
          <w:rFonts w:ascii="Times New Roman" w:hAnsi="Times New Roman" w:cs="Times New Roman"/>
          <w:color w:val="333333"/>
          <w:sz w:val="24"/>
          <w:szCs w:val="24"/>
          <w:shd w:val="clear" w:color="auto" w:fill="FFFFFF"/>
        </w:rPr>
        <w:t xml:space="preserve"> has occurred</w:t>
      </w:r>
      <w:r w:rsidR="00DA2B9D">
        <w:rPr>
          <w:rFonts w:ascii="Times New Roman" w:hAnsi="Times New Roman" w:cs="Times New Roman"/>
          <w:color w:val="333333"/>
          <w:sz w:val="24"/>
          <w:szCs w:val="24"/>
          <w:shd w:val="clear" w:color="auto" w:fill="FFFFFF"/>
        </w:rPr>
        <w:t xml:space="preserve">, before the notification deadline set out in subsection 49(2) for the </w:t>
      </w:r>
      <w:proofErr w:type="gramStart"/>
      <w:r w:rsidR="00DA2B9D">
        <w:rPr>
          <w:rFonts w:ascii="Times New Roman" w:hAnsi="Times New Roman" w:cs="Times New Roman"/>
          <w:color w:val="333333"/>
          <w:sz w:val="24"/>
          <w:szCs w:val="24"/>
          <w:shd w:val="clear" w:color="auto" w:fill="FFFFFF"/>
        </w:rPr>
        <w:t>particular type of reportable</w:t>
      </w:r>
      <w:proofErr w:type="gramEnd"/>
      <w:r w:rsidR="00DA2B9D">
        <w:rPr>
          <w:rFonts w:ascii="Times New Roman" w:hAnsi="Times New Roman" w:cs="Times New Roman"/>
          <w:color w:val="333333"/>
          <w:sz w:val="24"/>
          <w:szCs w:val="24"/>
          <w:shd w:val="clear" w:color="auto" w:fill="FFFFFF"/>
        </w:rPr>
        <w:t xml:space="preserve"> incident</w:t>
      </w:r>
      <w:r w:rsidR="002B5ED0" w:rsidRPr="007D1E0E">
        <w:rPr>
          <w:rFonts w:ascii="Times New Roman" w:hAnsi="Times New Roman" w:cs="Times New Roman"/>
          <w:color w:val="333333"/>
          <w:sz w:val="24"/>
          <w:szCs w:val="24"/>
          <w:shd w:val="clear" w:color="auto" w:fill="FFFFFF"/>
        </w:rPr>
        <w:t xml:space="preserve">. The notification </w:t>
      </w:r>
      <w:r w:rsidR="00792607">
        <w:rPr>
          <w:rFonts w:ascii="Times New Roman" w:hAnsi="Times New Roman" w:cs="Times New Roman"/>
          <w:color w:val="333333"/>
          <w:sz w:val="24"/>
          <w:szCs w:val="24"/>
          <w:shd w:val="clear" w:color="auto" w:fill="FFFFFF"/>
        </w:rPr>
        <w:t>may be</w:t>
      </w:r>
      <w:r w:rsidR="00792607" w:rsidRPr="007D1E0E">
        <w:rPr>
          <w:rFonts w:ascii="Times New Roman" w:hAnsi="Times New Roman" w:cs="Times New Roman"/>
          <w:color w:val="333333"/>
          <w:sz w:val="24"/>
          <w:szCs w:val="24"/>
          <w:shd w:val="clear" w:color="auto" w:fill="FFFFFF"/>
        </w:rPr>
        <w:t xml:space="preserve"> </w:t>
      </w:r>
      <w:r w:rsidR="002B5ED0" w:rsidRPr="007D1E0E">
        <w:rPr>
          <w:rFonts w:ascii="Times New Roman" w:hAnsi="Times New Roman" w:cs="Times New Roman"/>
          <w:color w:val="333333"/>
          <w:sz w:val="24"/>
          <w:szCs w:val="24"/>
          <w:shd w:val="clear" w:color="auto" w:fill="FFFFFF"/>
        </w:rPr>
        <w:t xml:space="preserve">either oral or in writing and must contain </w:t>
      </w:r>
      <w:bookmarkStart w:id="24" w:name="_Hlk125468139"/>
      <w:r w:rsidR="00DA2B9D" w:rsidRPr="0071367A">
        <w:rPr>
          <w:rFonts w:ascii="Times New Roman" w:hAnsi="Times New Roman" w:cs="Times New Roman"/>
          <w:sz w:val="24"/>
          <w:szCs w:val="24"/>
        </w:rPr>
        <w:t xml:space="preserve">all material facts and circumstances </w:t>
      </w:r>
      <w:r>
        <w:rPr>
          <w:rFonts w:ascii="Times New Roman" w:hAnsi="Times New Roman" w:cs="Times New Roman"/>
          <w:sz w:val="24"/>
          <w:szCs w:val="24"/>
        </w:rPr>
        <w:t xml:space="preserve">concerning the </w:t>
      </w:r>
      <w:proofErr w:type="gramStart"/>
      <w:r>
        <w:rPr>
          <w:rFonts w:ascii="Times New Roman" w:hAnsi="Times New Roman" w:cs="Times New Roman"/>
          <w:sz w:val="24"/>
          <w:szCs w:val="24"/>
        </w:rPr>
        <w:t>incident</w:t>
      </w:r>
      <w:proofErr w:type="gramEnd"/>
      <w:r>
        <w:rPr>
          <w:rFonts w:ascii="Times New Roman" w:hAnsi="Times New Roman" w:cs="Times New Roman"/>
          <w:sz w:val="24"/>
          <w:szCs w:val="24"/>
        </w:rPr>
        <w:t xml:space="preserve"> </w:t>
      </w:r>
      <w:r w:rsidR="00DA2B9D" w:rsidRPr="0071367A">
        <w:rPr>
          <w:rFonts w:ascii="Times New Roman" w:hAnsi="Times New Roman" w:cs="Times New Roman"/>
          <w:sz w:val="24"/>
          <w:szCs w:val="24"/>
        </w:rPr>
        <w:t xml:space="preserve">that are known or can be obtained by reasonable search or enquiry, </w:t>
      </w:r>
      <w:r>
        <w:rPr>
          <w:rFonts w:ascii="Times New Roman" w:hAnsi="Times New Roman" w:cs="Times New Roman"/>
          <w:sz w:val="24"/>
          <w:szCs w:val="24"/>
        </w:rPr>
        <w:t xml:space="preserve">details of </w:t>
      </w:r>
      <w:r w:rsidR="00DA2B9D" w:rsidRPr="0071367A">
        <w:rPr>
          <w:rFonts w:ascii="Times New Roman" w:hAnsi="Times New Roman" w:cs="Times New Roman"/>
          <w:sz w:val="24"/>
          <w:szCs w:val="24"/>
        </w:rPr>
        <w:t>any action taken to</w:t>
      </w:r>
      <w:r w:rsidR="00DA2B9D">
        <w:rPr>
          <w:rFonts w:ascii="Times New Roman" w:hAnsi="Times New Roman" w:cs="Times New Roman"/>
          <w:sz w:val="24"/>
          <w:szCs w:val="24"/>
        </w:rPr>
        <w:t xml:space="preserve"> avoid or</w:t>
      </w:r>
      <w:r w:rsidR="00DA2B9D" w:rsidRPr="0071367A">
        <w:rPr>
          <w:rFonts w:ascii="Times New Roman" w:hAnsi="Times New Roman" w:cs="Times New Roman"/>
          <w:sz w:val="24"/>
          <w:szCs w:val="24"/>
        </w:rPr>
        <w:t xml:space="preserve"> mitigate adverse environmental impacts, and </w:t>
      </w:r>
      <w:r>
        <w:rPr>
          <w:rFonts w:ascii="Times New Roman" w:hAnsi="Times New Roman" w:cs="Times New Roman"/>
          <w:sz w:val="24"/>
          <w:szCs w:val="24"/>
        </w:rPr>
        <w:t xml:space="preserve">details of </w:t>
      </w:r>
      <w:r w:rsidR="00DA2B9D" w:rsidRPr="0071367A">
        <w:rPr>
          <w:rFonts w:ascii="Times New Roman" w:hAnsi="Times New Roman" w:cs="Times New Roman"/>
          <w:sz w:val="24"/>
          <w:szCs w:val="24"/>
        </w:rPr>
        <w:t>corrective action already taken or proposed to be taken to</w:t>
      </w:r>
      <w:r w:rsidR="00DA2B9D">
        <w:rPr>
          <w:rFonts w:ascii="Times New Roman" w:hAnsi="Times New Roman" w:cs="Times New Roman"/>
          <w:sz w:val="24"/>
          <w:szCs w:val="24"/>
        </w:rPr>
        <w:t xml:space="preserve"> prevent</w:t>
      </w:r>
      <w:r w:rsidR="00DA2B9D" w:rsidRPr="0071367A">
        <w:rPr>
          <w:rFonts w:ascii="Times New Roman" w:hAnsi="Times New Roman" w:cs="Times New Roman"/>
          <w:sz w:val="24"/>
          <w:szCs w:val="24"/>
        </w:rPr>
        <w:t xml:space="preserve"> the</w:t>
      </w:r>
      <w:r w:rsidR="00DA2B9D">
        <w:rPr>
          <w:rFonts w:ascii="Times New Roman" w:hAnsi="Times New Roman" w:cs="Times New Roman"/>
          <w:sz w:val="24"/>
          <w:szCs w:val="24"/>
        </w:rPr>
        <w:t xml:space="preserve"> occurrence of a similar</w:t>
      </w:r>
      <w:r w:rsidR="00DA2B9D" w:rsidRPr="0071367A">
        <w:rPr>
          <w:rFonts w:ascii="Times New Roman" w:hAnsi="Times New Roman" w:cs="Times New Roman"/>
          <w:sz w:val="24"/>
          <w:szCs w:val="24"/>
        </w:rPr>
        <w:t xml:space="preserve"> incident.   </w:t>
      </w:r>
      <w:bookmarkEnd w:id="24"/>
    </w:p>
    <w:p w14:paraId="26CD55F7" w14:textId="79C7F4A9" w:rsidR="00A21133" w:rsidRDefault="00394619" w:rsidP="00A21133">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Subsection 51(2) requires a GHG injection</w:t>
      </w:r>
      <w:r w:rsidR="00390A9E">
        <w:rPr>
          <w:rFonts w:ascii="Times New Roman" w:hAnsi="Times New Roman" w:cs="Times New Roman"/>
          <w:color w:val="333333"/>
          <w:sz w:val="24"/>
          <w:szCs w:val="24"/>
          <w:shd w:val="clear" w:color="auto" w:fill="FFFFFF"/>
        </w:rPr>
        <w:t xml:space="preserve"> licensee </w:t>
      </w:r>
      <w:r>
        <w:rPr>
          <w:rFonts w:ascii="Times New Roman" w:hAnsi="Times New Roman" w:cs="Times New Roman"/>
          <w:color w:val="333333"/>
          <w:sz w:val="24"/>
          <w:szCs w:val="24"/>
          <w:shd w:val="clear" w:color="auto" w:fill="FFFFFF"/>
        </w:rPr>
        <w:t>to</w:t>
      </w:r>
      <w:r w:rsidR="00A21133">
        <w:rPr>
          <w:rFonts w:ascii="Times New Roman" w:hAnsi="Times New Roman" w:cs="Times New Roman"/>
          <w:color w:val="333333"/>
          <w:sz w:val="24"/>
          <w:szCs w:val="24"/>
          <w:shd w:val="clear" w:color="auto" w:fill="FFFFFF"/>
        </w:rPr>
        <w:t xml:space="preserve"> </w:t>
      </w:r>
      <w:r w:rsidR="00452420">
        <w:rPr>
          <w:rFonts w:ascii="Times New Roman" w:hAnsi="Times New Roman" w:cs="Times New Roman"/>
          <w:color w:val="333333"/>
          <w:sz w:val="24"/>
          <w:szCs w:val="24"/>
          <w:shd w:val="clear" w:color="auto" w:fill="FFFFFF"/>
        </w:rPr>
        <w:t>notify</w:t>
      </w:r>
      <w:r w:rsidR="00390A9E">
        <w:rPr>
          <w:rFonts w:ascii="Times New Roman" w:hAnsi="Times New Roman" w:cs="Times New Roman"/>
          <w:color w:val="333333"/>
          <w:sz w:val="24"/>
          <w:szCs w:val="24"/>
          <w:shd w:val="clear" w:color="auto" w:fill="FFFFFF"/>
        </w:rPr>
        <w:t xml:space="preserve"> the responsible </w:t>
      </w:r>
      <w:r w:rsidR="00A21133">
        <w:rPr>
          <w:rFonts w:ascii="Times New Roman" w:hAnsi="Times New Roman" w:cs="Times New Roman"/>
          <w:color w:val="333333"/>
          <w:sz w:val="24"/>
          <w:szCs w:val="24"/>
          <w:shd w:val="clear" w:color="auto" w:fill="FFFFFF"/>
        </w:rPr>
        <w:t>S</w:t>
      </w:r>
      <w:r w:rsidR="00390A9E">
        <w:rPr>
          <w:rFonts w:ascii="Times New Roman" w:hAnsi="Times New Roman" w:cs="Times New Roman"/>
          <w:color w:val="333333"/>
          <w:sz w:val="24"/>
          <w:szCs w:val="24"/>
          <w:shd w:val="clear" w:color="auto" w:fill="FFFFFF"/>
        </w:rPr>
        <w:t xml:space="preserve">tate or </w:t>
      </w:r>
      <w:r w:rsidR="00A21133">
        <w:rPr>
          <w:rFonts w:ascii="Times New Roman" w:hAnsi="Times New Roman" w:cs="Times New Roman"/>
          <w:color w:val="333333"/>
          <w:sz w:val="24"/>
          <w:szCs w:val="24"/>
          <w:shd w:val="clear" w:color="auto" w:fill="FFFFFF"/>
        </w:rPr>
        <w:t>T</w:t>
      </w:r>
      <w:r w:rsidR="00390A9E">
        <w:rPr>
          <w:rFonts w:ascii="Times New Roman" w:hAnsi="Times New Roman" w:cs="Times New Roman"/>
          <w:color w:val="333333"/>
          <w:sz w:val="24"/>
          <w:szCs w:val="24"/>
          <w:shd w:val="clear" w:color="auto" w:fill="FFFFFF"/>
        </w:rPr>
        <w:t xml:space="preserve">erritory </w:t>
      </w:r>
      <w:r w:rsidR="00A21133">
        <w:rPr>
          <w:rFonts w:ascii="Times New Roman" w:hAnsi="Times New Roman" w:cs="Times New Roman"/>
          <w:color w:val="333333"/>
          <w:sz w:val="24"/>
          <w:szCs w:val="24"/>
          <w:shd w:val="clear" w:color="auto" w:fill="FFFFFF"/>
        </w:rPr>
        <w:t>M</w:t>
      </w:r>
      <w:r w:rsidR="00390A9E">
        <w:rPr>
          <w:rFonts w:ascii="Times New Roman" w:hAnsi="Times New Roman" w:cs="Times New Roman"/>
          <w:color w:val="333333"/>
          <w:sz w:val="24"/>
          <w:szCs w:val="24"/>
          <w:shd w:val="clear" w:color="auto" w:fill="FFFFFF"/>
        </w:rPr>
        <w:t xml:space="preserve">inister </w:t>
      </w:r>
      <w:r w:rsidR="00A21133">
        <w:rPr>
          <w:rFonts w:ascii="Times New Roman" w:hAnsi="Times New Roman" w:cs="Times New Roman"/>
          <w:color w:val="333333"/>
          <w:sz w:val="24"/>
          <w:szCs w:val="24"/>
          <w:shd w:val="clear" w:color="auto" w:fill="FFFFFF"/>
        </w:rPr>
        <w:t xml:space="preserve">of the reportable incident </w:t>
      </w:r>
      <w:r w:rsidR="00390A9E">
        <w:rPr>
          <w:rFonts w:ascii="Times New Roman" w:hAnsi="Times New Roman" w:cs="Times New Roman"/>
          <w:color w:val="333333"/>
          <w:sz w:val="24"/>
          <w:szCs w:val="24"/>
          <w:shd w:val="clear" w:color="auto" w:fill="FFFFFF"/>
        </w:rPr>
        <w:t xml:space="preserve">within </w:t>
      </w:r>
      <w:r w:rsidR="00A21133">
        <w:rPr>
          <w:rFonts w:ascii="Times New Roman" w:hAnsi="Times New Roman" w:cs="Times New Roman"/>
          <w:color w:val="333333"/>
          <w:sz w:val="24"/>
          <w:szCs w:val="24"/>
          <w:shd w:val="clear" w:color="auto" w:fill="FFFFFF"/>
        </w:rPr>
        <w:t xml:space="preserve">three </w:t>
      </w:r>
      <w:r w:rsidR="00390A9E">
        <w:rPr>
          <w:rFonts w:ascii="Times New Roman" w:hAnsi="Times New Roman" w:cs="Times New Roman"/>
          <w:color w:val="333333"/>
          <w:sz w:val="24"/>
          <w:szCs w:val="24"/>
          <w:shd w:val="clear" w:color="auto" w:fill="FFFFFF"/>
        </w:rPr>
        <w:t xml:space="preserve">days of giving </w:t>
      </w:r>
      <w:r w:rsidR="00A21133">
        <w:rPr>
          <w:rFonts w:ascii="Times New Roman" w:hAnsi="Times New Roman" w:cs="Times New Roman"/>
          <w:color w:val="333333"/>
          <w:sz w:val="24"/>
          <w:szCs w:val="24"/>
          <w:shd w:val="clear" w:color="auto" w:fill="FFFFFF"/>
        </w:rPr>
        <w:t xml:space="preserve">the </w:t>
      </w:r>
      <w:r w:rsidR="006949F6">
        <w:rPr>
          <w:rFonts w:ascii="Times New Roman" w:hAnsi="Times New Roman" w:cs="Times New Roman"/>
          <w:color w:val="333333"/>
          <w:sz w:val="24"/>
          <w:szCs w:val="24"/>
          <w:shd w:val="clear" w:color="auto" w:fill="FFFFFF"/>
        </w:rPr>
        <w:t>noti</w:t>
      </w:r>
      <w:r w:rsidR="00A21133">
        <w:rPr>
          <w:rFonts w:ascii="Times New Roman" w:hAnsi="Times New Roman" w:cs="Times New Roman"/>
          <w:color w:val="333333"/>
          <w:sz w:val="24"/>
          <w:szCs w:val="24"/>
          <w:shd w:val="clear" w:color="auto" w:fill="FFFFFF"/>
        </w:rPr>
        <w:t>fication</w:t>
      </w:r>
      <w:r w:rsidR="006949F6">
        <w:rPr>
          <w:rFonts w:ascii="Times New Roman" w:hAnsi="Times New Roman" w:cs="Times New Roman"/>
          <w:color w:val="333333"/>
          <w:sz w:val="24"/>
          <w:szCs w:val="24"/>
          <w:shd w:val="clear" w:color="auto" w:fill="FFFFFF"/>
        </w:rPr>
        <w:t xml:space="preserve"> to </w:t>
      </w:r>
      <w:r w:rsidR="00390A9E">
        <w:rPr>
          <w:rFonts w:ascii="Times New Roman" w:hAnsi="Times New Roman" w:cs="Times New Roman"/>
          <w:color w:val="333333"/>
          <w:sz w:val="24"/>
          <w:szCs w:val="24"/>
          <w:shd w:val="clear" w:color="auto" w:fill="FFFFFF"/>
        </w:rPr>
        <w:t xml:space="preserve">the </w:t>
      </w:r>
      <w:r w:rsidR="003947B2">
        <w:rPr>
          <w:rFonts w:ascii="Times New Roman" w:hAnsi="Times New Roman" w:cs="Times New Roman"/>
          <w:color w:val="333333"/>
          <w:sz w:val="24"/>
          <w:szCs w:val="24"/>
          <w:shd w:val="clear" w:color="auto" w:fill="FFFFFF"/>
        </w:rPr>
        <w:t xml:space="preserve">responsible Commonwealth </w:t>
      </w:r>
      <w:r w:rsidR="002D4EED">
        <w:rPr>
          <w:rFonts w:ascii="Times New Roman" w:hAnsi="Times New Roman" w:cs="Times New Roman"/>
          <w:color w:val="333333"/>
          <w:sz w:val="24"/>
          <w:szCs w:val="24"/>
          <w:shd w:val="clear" w:color="auto" w:fill="FFFFFF"/>
        </w:rPr>
        <w:t>Mini</w:t>
      </w:r>
      <w:r w:rsidR="00B83CBA">
        <w:rPr>
          <w:rFonts w:ascii="Times New Roman" w:hAnsi="Times New Roman" w:cs="Times New Roman"/>
          <w:color w:val="333333"/>
          <w:sz w:val="24"/>
          <w:szCs w:val="24"/>
          <w:shd w:val="clear" w:color="auto" w:fill="FFFFFF"/>
        </w:rPr>
        <w:t>ster</w:t>
      </w:r>
      <w:r w:rsidR="00390A9E">
        <w:rPr>
          <w:rFonts w:ascii="Times New Roman" w:hAnsi="Times New Roman" w:cs="Times New Roman"/>
          <w:color w:val="333333"/>
          <w:sz w:val="24"/>
          <w:szCs w:val="24"/>
          <w:shd w:val="clear" w:color="auto" w:fill="FFFFFF"/>
        </w:rPr>
        <w:t>.</w:t>
      </w:r>
      <w:r w:rsidR="00A21133">
        <w:rPr>
          <w:rFonts w:ascii="Times New Roman" w:hAnsi="Times New Roman" w:cs="Times New Roman"/>
          <w:color w:val="333333"/>
          <w:sz w:val="24"/>
          <w:szCs w:val="24"/>
          <w:shd w:val="clear" w:color="auto" w:fill="FFFFFF"/>
        </w:rPr>
        <w:t xml:space="preserve"> This ensures that the relevant State or Territory Minister is </w:t>
      </w:r>
      <w:r w:rsidR="00814003">
        <w:rPr>
          <w:rFonts w:ascii="Times New Roman" w:hAnsi="Times New Roman" w:cs="Times New Roman"/>
          <w:color w:val="333333"/>
          <w:sz w:val="24"/>
          <w:szCs w:val="24"/>
          <w:shd w:val="clear" w:color="auto" w:fill="FFFFFF"/>
        </w:rPr>
        <w:t xml:space="preserve">also </w:t>
      </w:r>
      <w:r w:rsidR="00A21133">
        <w:rPr>
          <w:rFonts w:ascii="Times New Roman" w:hAnsi="Times New Roman" w:cs="Times New Roman"/>
          <w:color w:val="333333"/>
          <w:sz w:val="24"/>
          <w:szCs w:val="24"/>
          <w:shd w:val="clear" w:color="auto" w:fill="FFFFFF"/>
        </w:rPr>
        <w:t>made aware of the occurrence of the incident.</w:t>
      </w:r>
    </w:p>
    <w:p w14:paraId="5F5E1506" w14:textId="34104E4C" w:rsidR="00A21133" w:rsidRPr="0071367A" w:rsidRDefault="00A21133" w:rsidP="00A21133">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The term </w:t>
      </w:r>
      <w:r>
        <w:rPr>
          <w:rFonts w:ascii="Times New Roman" w:hAnsi="Times New Roman" w:cs="Times New Roman"/>
          <w:b/>
          <w:bCs/>
          <w:i/>
          <w:iCs/>
          <w:color w:val="333333"/>
          <w:sz w:val="24"/>
          <w:szCs w:val="24"/>
          <w:shd w:val="clear" w:color="auto" w:fill="FFFFFF"/>
        </w:rPr>
        <w:t>responsible State/Territory Minister</w:t>
      </w:r>
      <w:r>
        <w:rPr>
          <w:rFonts w:ascii="Times New Roman" w:hAnsi="Times New Roman" w:cs="Times New Roman"/>
          <w:color w:val="333333"/>
          <w:sz w:val="24"/>
          <w:szCs w:val="24"/>
          <w:shd w:val="clear" w:color="auto" w:fill="FFFFFF"/>
        </w:rPr>
        <w:t xml:space="preserve"> is defined in section 5. If the incident occurred in the offshore area of a State, the responsible State Minister in relation to that State must be notified. If the incident occurred in the Principal Northern Territory offshore area, the responsible Northern Territory Minister must be notified. </w:t>
      </w:r>
      <w:r w:rsidRPr="0071367A">
        <w:rPr>
          <w:rFonts w:ascii="Times New Roman" w:hAnsi="Times New Roman" w:cs="Times New Roman"/>
          <w:sz w:val="24"/>
          <w:szCs w:val="24"/>
        </w:rPr>
        <w:t xml:space="preserve">The terms ‘responsible State Minister’ and ‘responsible Northern Territory Minister’ are defined in section 7 of the OPGGS Act. The responsible State Minister for all States other than Tasmania is the Minister who is the State member of the Joint Authority for the offshore area of the relevant State. The responsible State Minister for Tasmania is the Minister of Tasmania who is responsible for administering the Tasmanian </w:t>
      </w:r>
      <w:r w:rsidRPr="006F4AA4">
        <w:rPr>
          <w:rFonts w:ascii="Times New Roman" w:hAnsi="Times New Roman" w:cs="Times New Roman"/>
          <w:i/>
          <w:iCs/>
          <w:sz w:val="24"/>
          <w:szCs w:val="24"/>
        </w:rPr>
        <w:t xml:space="preserve">Petroleum </w:t>
      </w:r>
      <w:r w:rsidR="006F4AA4">
        <w:rPr>
          <w:rFonts w:ascii="Times New Roman" w:hAnsi="Times New Roman" w:cs="Times New Roman"/>
          <w:i/>
          <w:iCs/>
          <w:sz w:val="24"/>
          <w:szCs w:val="24"/>
        </w:rPr>
        <w:t>(</w:t>
      </w:r>
      <w:r w:rsidRPr="006F4AA4">
        <w:rPr>
          <w:rFonts w:ascii="Times New Roman" w:hAnsi="Times New Roman" w:cs="Times New Roman"/>
          <w:i/>
          <w:iCs/>
          <w:sz w:val="24"/>
          <w:szCs w:val="24"/>
        </w:rPr>
        <w:t>Submerged Lands</w:t>
      </w:r>
      <w:r w:rsidR="006F4AA4">
        <w:rPr>
          <w:rFonts w:ascii="Times New Roman" w:hAnsi="Times New Roman" w:cs="Times New Roman"/>
          <w:i/>
          <w:iCs/>
          <w:sz w:val="24"/>
          <w:szCs w:val="24"/>
        </w:rPr>
        <w:t>)</w:t>
      </w:r>
      <w:r w:rsidRPr="006F4AA4">
        <w:rPr>
          <w:rFonts w:ascii="Times New Roman" w:hAnsi="Times New Roman" w:cs="Times New Roman"/>
          <w:i/>
          <w:iCs/>
          <w:sz w:val="24"/>
          <w:szCs w:val="24"/>
        </w:rPr>
        <w:t xml:space="preserve"> Act</w:t>
      </w:r>
      <w:r w:rsidR="006F4AA4">
        <w:rPr>
          <w:rFonts w:ascii="Times New Roman" w:hAnsi="Times New Roman" w:cs="Times New Roman"/>
          <w:i/>
          <w:iCs/>
          <w:sz w:val="24"/>
          <w:szCs w:val="24"/>
        </w:rPr>
        <w:t xml:space="preserve"> 1982</w:t>
      </w:r>
      <w:r w:rsidRPr="0071367A">
        <w:rPr>
          <w:rFonts w:ascii="Times New Roman" w:hAnsi="Times New Roman" w:cs="Times New Roman"/>
          <w:sz w:val="24"/>
          <w:szCs w:val="24"/>
        </w:rPr>
        <w:t>. The responsible Northern Territory Minister is the Minister who is the Northern Territory member of the Joint Authority for the Principal Northern Territory offshore area. </w:t>
      </w:r>
    </w:p>
    <w:p w14:paraId="375966F0" w14:textId="3D861A69" w:rsidR="00A21133" w:rsidRPr="0071367A" w:rsidRDefault="00A21133" w:rsidP="00A21133">
      <w:pPr>
        <w:spacing w:before="240" w:line="252" w:lineRule="auto"/>
        <w:rPr>
          <w:rFonts w:cs="Times New Roman"/>
          <w:sz w:val="24"/>
          <w:szCs w:val="24"/>
        </w:rPr>
      </w:pPr>
      <w:r w:rsidRPr="0071367A">
        <w:rPr>
          <w:rFonts w:ascii="Times New Roman" w:hAnsi="Times New Roman" w:cs="Times New Roman"/>
          <w:sz w:val="24"/>
          <w:szCs w:val="24"/>
        </w:rPr>
        <w:lastRenderedPageBreak/>
        <w:t>As an example, if the incident occurred in the offshore area of Western Australia, the titleholder is required to give notification to the Western Australian Minister who is the State member of the Joint Authority for Western Australia.</w:t>
      </w:r>
    </w:p>
    <w:p w14:paraId="555AC379" w14:textId="5A30E8F9" w:rsidR="00390A9E" w:rsidRDefault="00652E13" w:rsidP="00632C96">
      <w:pPr>
        <w:rPr>
          <w:rFonts w:ascii="Times New Roman" w:hAnsi="Times New Roman" w:cs="Times New Roman"/>
          <w:sz w:val="24"/>
          <w:szCs w:val="24"/>
        </w:rPr>
      </w:pPr>
      <w:r>
        <w:rPr>
          <w:rFonts w:ascii="Times New Roman" w:hAnsi="Times New Roman" w:cs="Times New Roman"/>
          <w:sz w:val="24"/>
          <w:szCs w:val="24"/>
        </w:rPr>
        <w:t>A f</w:t>
      </w:r>
      <w:r w:rsidR="00390A9E">
        <w:rPr>
          <w:rFonts w:ascii="Times New Roman" w:hAnsi="Times New Roman" w:cs="Times New Roman"/>
          <w:sz w:val="24"/>
          <w:szCs w:val="24"/>
        </w:rPr>
        <w:t xml:space="preserve">ailure to </w:t>
      </w:r>
      <w:r w:rsidR="003F5CFF">
        <w:rPr>
          <w:rFonts w:ascii="Times New Roman" w:hAnsi="Times New Roman" w:cs="Times New Roman"/>
          <w:sz w:val="24"/>
          <w:szCs w:val="24"/>
        </w:rPr>
        <w:t>comply</w:t>
      </w:r>
      <w:r w:rsidR="00390A9E">
        <w:rPr>
          <w:rFonts w:ascii="Times New Roman" w:hAnsi="Times New Roman" w:cs="Times New Roman"/>
          <w:sz w:val="24"/>
          <w:szCs w:val="24"/>
        </w:rPr>
        <w:t xml:space="preserve"> </w:t>
      </w:r>
      <w:r>
        <w:rPr>
          <w:rFonts w:ascii="Times New Roman" w:hAnsi="Times New Roman" w:cs="Times New Roman"/>
          <w:sz w:val="24"/>
          <w:szCs w:val="24"/>
        </w:rPr>
        <w:t xml:space="preserve">with the requirement to give notification of a reportable incident </w:t>
      </w:r>
      <w:r w:rsidR="00390A9E">
        <w:rPr>
          <w:rFonts w:ascii="Times New Roman" w:hAnsi="Times New Roman" w:cs="Times New Roman"/>
          <w:sz w:val="24"/>
          <w:szCs w:val="24"/>
        </w:rPr>
        <w:t>is a</w:t>
      </w:r>
      <w:r>
        <w:rPr>
          <w:rFonts w:ascii="Times New Roman" w:hAnsi="Times New Roman" w:cs="Times New Roman"/>
          <w:sz w:val="24"/>
          <w:szCs w:val="24"/>
        </w:rPr>
        <w:t>n offence of</w:t>
      </w:r>
      <w:r w:rsidR="00390A9E">
        <w:rPr>
          <w:rFonts w:ascii="Times New Roman" w:hAnsi="Times New Roman" w:cs="Times New Roman"/>
          <w:sz w:val="24"/>
          <w:szCs w:val="24"/>
        </w:rPr>
        <w:t xml:space="preserve"> strict liability</w:t>
      </w:r>
      <w:r>
        <w:rPr>
          <w:rFonts w:ascii="Times New Roman" w:hAnsi="Times New Roman" w:cs="Times New Roman"/>
          <w:sz w:val="24"/>
          <w:szCs w:val="24"/>
        </w:rPr>
        <w:t>,</w:t>
      </w:r>
      <w:r w:rsidR="00390A9E">
        <w:rPr>
          <w:rFonts w:ascii="Times New Roman" w:hAnsi="Times New Roman" w:cs="Times New Roman"/>
          <w:sz w:val="24"/>
          <w:szCs w:val="24"/>
        </w:rPr>
        <w:t xml:space="preserve"> </w:t>
      </w:r>
      <w:r w:rsidR="00B83CBA">
        <w:rPr>
          <w:rFonts w:ascii="Times New Roman" w:hAnsi="Times New Roman" w:cs="Times New Roman"/>
          <w:sz w:val="24"/>
          <w:szCs w:val="24"/>
        </w:rPr>
        <w:t xml:space="preserve">punishable by </w:t>
      </w:r>
      <w:r>
        <w:rPr>
          <w:rFonts w:ascii="Times New Roman" w:hAnsi="Times New Roman" w:cs="Times New Roman"/>
          <w:sz w:val="24"/>
          <w:szCs w:val="24"/>
        </w:rPr>
        <w:t xml:space="preserve">a maximum penalty of </w:t>
      </w:r>
      <w:r w:rsidR="003F5CFF">
        <w:rPr>
          <w:rFonts w:ascii="Times New Roman" w:hAnsi="Times New Roman" w:cs="Times New Roman"/>
          <w:sz w:val="24"/>
          <w:szCs w:val="24"/>
        </w:rPr>
        <w:t xml:space="preserve">100 </w:t>
      </w:r>
      <w:r>
        <w:rPr>
          <w:rFonts w:ascii="Times New Roman" w:hAnsi="Times New Roman" w:cs="Times New Roman"/>
          <w:sz w:val="24"/>
          <w:szCs w:val="24"/>
        </w:rPr>
        <w:t>PU</w:t>
      </w:r>
      <w:r w:rsidR="003F5CFF">
        <w:rPr>
          <w:rFonts w:ascii="Times New Roman" w:hAnsi="Times New Roman" w:cs="Times New Roman"/>
          <w:sz w:val="24"/>
          <w:szCs w:val="24"/>
        </w:rPr>
        <w:t xml:space="preserve"> in the case of</w:t>
      </w:r>
      <w:r w:rsidR="00814003">
        <w:rPr>
          <w:rFonts w:ascii="Times New Roman" w:hAnsi="Times New Roman" w:cs="Times New Roman"/>
          <w:sz w:val="24"/>
          <w:szCs w:val="24"/>
        </w:rPr>
        <w:t xml:space="preserve"> failing to</w:t>
      </w:r>
      <w:r w:rsidR="003F5CFF">
        <w:rPr>
          <w:rFonts w:ascii="Times New Roman" w:hAnsi="Times New Roman" w:cs="Times New Roman"/>
          <w:sz w:val="24"/>
          <w:szCs w:val="24"/>
        </w:rPr>
        <w:t xml:space="preserve"> notify the </w:t>
      </w:r>
      <w:r w:rsidR="003947B2">
        <w:rPr>
          <w:rFonts w:ascii="Times New Roman" w:hAnsi="Times New Roman" w:cs="Times New Roman"/>
          <w:sz w:val="24"/>
          <w:szCs w:val="24"/>
        </w:rPr>
        <w:t xml:space="preserve">responsible Commonwealth </w:t>
      </w:r>
      <w:r w:rsidR="003F5CFF">
        <w:rPr>
          <w:rFonts w:ascii="Times New Roman" w:hAnsi="Times New Roman" w:cs="Times New Roman"/>
          <w:color w:val="333333"/>
          <w:sz w:val="24"/>
          <w:szCs w:val="24"/>
          <w:shd w:val="clear" w:color="auto" w:fill="FFFFFF"/>
        </w:rPr>
        <w:t xml:space="preserve">Minister </w:t>
      </w:r>
      <w:r w:rsidR="003F5CFF">
        <w:rPr>
          <w:rFonts w:ascii="Times New Roman" w:hAnsi="Times New Roman" w:cs="Times New Roman"/>
          <w:sz w:val="24"/>
          <w:szCs w:val="24"/>
        </w:rPr>
        <w:t xml:space="preserve">and </w:t>
      </w:r>
      <w:r w:rsidR="003470EC" w:rsidRPr="00652E13">
        <w:rPr>
          <w:rFonts w:ascii="Times New Roman" w:hAnsi="Times New Roman" w:cs="Times New Roman"/>
          <w:sz w:val="24"/>
          <w:szCs w:val="24"/>
        </w:rPr>
        <w:t>5</w:t>
      </w:r>
      <w:r w:rsidR="003F5CFF" w:rsidRPr="00652E13">
        <w:rPr>
          <w:rFonts w:ascii="Times New Roman" w:hAnsi="Times New Roman" w:cs="Times New Roman"/>
          <w:sz w:val="24"/>
          <w:szCs w:val="24"/>
        </w:rPr>
        <w:t xml:space="preserve">0 </w:t>
      </w:r>
      <w:r>
        <w:rPr>
          <w:rFonts w:ascii="Times New Roman" w:hAnsi="Times New Roman" w:cs="Times New Roman"/>
          <w:sz w:val="24"/>
          <w:szCs w:val="24"/>
        </w:rPr>
        <w:t>PU</w:t>
      </w:r>
      <w:r w:rsidR="003F5CFF">
        <w:rPr>
          <w:rFonts w:ascii="Times New Roman" w:hAnsi="Times New Roman" w:cs="Times New Roman"/>
          <w:sz w:val="24"/>
          <w:szCs w:val="24"/>
        </w:rPr>
        <w:t xml:space="preserve"> in the case of </w:t>
      </w:r>
      <w:r w:rsidR="00814003">
        <w:rPr>
          <w:rFonts w:ascii="Times New Roman" w:hAnsi="Times New Roman" w:cs="Times New Roman"/>
          <w:sz w:val="24"/>
          <w:szCs w:val="24"/>
        </w:rPr>
        <w:t xml:space="preserve">failing to </w:t>
      </w:r>
      <w:r w:rsidR="003F5CFF">
        <w:rPr>
          <w:rFonts w:ascii="Times New Roman" w:hAnsi="Times New Roman" w:cs="Times New Roman"/>
          <w:color w:val="333333"/>
          <w:sz w:val="24"/>
          <w:szCs w:val="24"/>
          <w:shd w:val="clear" w:color="auto" w:fill="FFFFFF"/>
        </w:rPr>
        <w:t xml:space="preserve">notify the responsible </w:t>
      </w:r>
      <w:r>
        <w:rPr>
          <w:rFonts w:ascii="Times New Roman" w:hAnsi="Times New Roman" w:cs="Times New Roman"/>
          <w:color w:val="333333"/>
          <w:sz w:val="24"/>
          <w:szCs w:val="24"/>
          <w:shd w:val="clear" w:color="auto" w:fill="FFFFFF"/>
        </w:rPr>
        <w:t>S</w:t>
      </w:r>
      <w:r w:rsidR="003F5CFF">
        <w:rPr>
          <w:rFonts w:ascii="Times New Roman" w:hAnsi="Times New Roman" w:cs="Times New Roman"/>
          <w:color w:val="333333"/>
          <w:sz w:val="24"/>
          <w:szCs w:val="24"/>
          <w:shd w:val="clear" w:color="auto" w:fill="FFFFFF"/>
        </w:rPr>
        <w:t xml:space="preserve">tate or </w:t>
      </w:r>
      <w:r>
        <w:rPr>
          <w:rFonts w:ascii="Times New Roman" w:hAnsi="Times New Roman" w:cs="Times New Roman"/>
          <w:color w:val="333333"/>
          <w:sz w:val="24"/>
          <w:szCs w:val="24"/>
          <w:shd w:val="clear" w:color="auto" w:fill="FFFFFF"/>
        </w:rPr>
        <w:t>T</w:t>
      </w:r>
      <w:r w:rsidR="003F5CFF">
        <w:rPr>
          <w:rFonts w:ascii="Times New Roman" w:hAnsi="Times New Roman" w:cs="Times New Roman"/>
          <w:color w:val="333333"/>
          <w:sz w:val="24"/>
          <w:szCs w:val="24"/>
          <w:shd w:val="clear" w:color="auto" w:fill="FFFFFF"/>
        </w:rPr>
        <w:t xml:space="preserve">erritory </w:t>
      </w:r>
      <w:r>
        <w:rPr>
          <w:rFonts w:ascii="Times New Roman" w:hAnsi="Times New Roman" w:cs="Times New Roman"/>
          <w:color w:val="333333"/>
          <w:sz w:val="24"/>
          <w:szCs w:val="24"/>
          <w:shd w:val="clear" w:color="auto" w:fill="FFFFFF"/>
        </w:rPr>
        <w:t>M</w:t>
      </w:r>
      <w:r w:rsidR="003F5CFF">
        <w:rPr>
          <w:rFonts w:ascii="Times New Roman" w:hAnsi="Times New Roman" w:cs="Times New Roman"/>
          <w:color w:val="333333"/>
          <w:sz w:val="24"/>
          <w:szCs w:val="24"/>
          <w:shd w:val="clear" w:color="auto" w:fill="FFFFFF"/>
        </w:rPr>
        <w:t>inister.</w:t>
      </w:r>
      <w:r w:rsidR="00994869">
        <w:rPr>
          <w:rFonts w:ascii="Times New Roman" w:hAnsi="Times New Roman" w:cs="Times New Roman"/>
          <w:color w:val="333333"/>
          <w:sz w:val="24"/>
          <w:szCs w:val="24"/>
          <w:shd w:val="clear" w:color="auto" w:fill="FFFFFF"/>
        </w:rPr>
        <w:t xml:space="preserve"> </w:t>
      </w:r>
      <w:r w:rsidR="00994869">
        <w:rPr>
          <w:rFonts w:ascii="Times New Roman" w:hAnsi="Times New Roman" w:cs="Times New Roman"/>
          <w:sz w:val="24"/>
          <w:szCs w:val="24"/>
          <w:shd w:val="clear" w:color="auto" w:fill="FFFFFF"/>
        </w:rPr>
        <w:t>T</w:t>
      </w:r>
      <w:r w:rsidR="00994869" w:rsidRPr="00C562E0">
        <w:rPr>
          <w:rFonts w:ascii="Times New Roman" w:hAnsi="Times New Roman" w:cs="Times New Roman"/>
          <w:sz w:val="24"/>
          <w:szCs w:val="24"/>
          <w:shd w:val="clear" w:color="auto" w:fill="FFFFFF"/>
        </w:rPr>
        <w:t xml:space="preserve">he maximum penalty for a failure to comply </w:t>
      </w:r>
      <w:r w:rsidR="00994869">
        <w:rPr>
          <w:rFonts w:ascii="Times New Roman" w:hAnsi="Times New Roman" w:cs="Times New Roman"/>
          <w:sz w:val="24"/>
          <w:szCs w:val="24"/>
          <w:shd w:val="clear" w:color="auto" w:fill="FFFFFF"/>
        </w:rPr>
        <w:t xml:space="preserve">where the </w:t>
      </w:r>
      <w:r w:rsidR="00994869" w:rsidRPr="00C562E0">
        <w:rPr>
          <w:rFonts w:ascii="Times New Roman" w:hAnsi="Times New Roman" w:cs="Times New Roman"/>
          <w:sz w:val="24"/>
          <w:szCs w:val="24"/>
          <w:shd w:val="clear" w:color="auto" w:fill="FFFFFF"/>
        </w:rPr>
        <w:t xml:space="preserve">offence </w:t>
      </w:r>
      <w:r w:rsidR="00994869">
        <w:rPr>
          <w:rFonts w:ascii="Times New Roman" w:hAnsi="Times New Roman" w:cs="Times New Roman"/>
          <w:sz w:val="24"/>
          <w:szCs w:val="24"/>
          <w:shd w:val="clear" w:color="auto" w:fill="FFFFFF"/>
        </w:rPr>
        <w:t xml:space="preserve">is </w:t>
      </w:r>
      <w:r w:rsidR="00994869" w:rsidRPr="00C562E0">
        <w:rPr>
          <w:rFonts w:ascii="Times New Roman" w:hAnsi="Times New Roman" w:cs="Times New Roman"/>
          <w:sz w:val="24"/>
          <w:szCs w:val="24"/>
          <w:shd w:val="clear" w:color="auto" w:fill="FFFFFF"/>
        </w:rPr>
        <w:t xml:space="preserve">committed by a body corporate </w:t>
      </w:r>
      <w:r w:rsidR="00994869">
        <w:rPr>
          <w:rFonts w:ascii="Times New Roman" w:hAnsi="Times New Roman" w:cs="Times New Roman"/>
          <w:sz w:val="24"/>
          <w:szCs w:val="24"/>
          <w:shd w:val="clear" w:color="auto" w:fill="FFFFFF"/>
        </w:rPr>
        <w:t xml:space="preserve">is five times that amount, </w:t>
      </w:r>
      <w:r w:rsidR="00994869" w:rsidRPr="00C562E0">
        <w:rPr>
          <w:rFonts w:ascii="Times New Roman" w:hAnsi="Times New Roman" w:cs="Times New Roman"/>
          <w:sz w:val="24"/>
          <w:szCs w:val="24"/>
          <w:shd w:val="clear" w:color="auto" w:fill="FFFFFF"/>
        </w:rPr>
        <w:t>due to the operation of subsection 4</w:t>
      </w:r>
      <w:proofErr w:type="gramStart"/>
      <w:r w:rsidR="00994869" w:rsidRPr="00C562E0">
        <w:rPr>
          <w:rFonts w:ascii="Times New Roman" w:hAnsi="Times New Roman" w:cs="Times New Roman"/>
          <w:sz w:val="24"/>
          <w:szCs w:val="24"/>
          <w:shd w:val="clear" w:color="auto" w:fill="FFFFFF"/>
        </w:rPr>
        <w:t>B</w:t>
      </w:r>
      <w:r w:rsidR="00994869">
        <w:rPr>
          <w:rFonts w:ascii="Times New Roman" w:hAnsi="Times New Roman" w:cs="Times New Roman"/>
          <w:sz w:val="24"/>
          <w:szCs w:val="24"/>
          <w:shd w:val="clear" w:color="auto" w:fill="FFFFFF"/>
        </w:rPr>
        <w:t>(</w:t>
      </w:r>
      <w:proofErr w:type="gramEnd"/>
      <w:r w:rsidR="00994869">
        <w:rPr>
          <w:rFonts w:ascii="Times New Roman" w:hAnsi="Times New Roman" w:cs="Times New Roman"/>
          <w:sz w:val="24"/>
          <w:szCs w:val="24"/>
          <w:shd w:val="clear" w:color="auto" w:fill="FFFFFF"/>
        </w:rPr>
        <w:t>3)</w:t>
      </w:r>
      <w:r w:rsidR="00994869" w:rsidRPr="00C562E0">
        <w:rPr>
          <w:rFonts w:ascii="Times New Roman" w:hAnsi="Times New Roman" w:cs="Times New Roman"/>
          <w:sz w:val="24"/>
          <w:szCs w:val="24"/>
          <w:shd w:val="clear" w:color="auto" w:fill="FFFFFF"/>
        </w:rPr>
        <w:t xml:space="preserve"> of the </w:t>
      </w:r>
      <w:r w:rsidR="00994869" w:rsidRPr="00C562E0">
        <w:rPr>
          <w:rFonts w:ascii="Times New Roman" w:hAnsi="Times New Roman" w:cs="Times New Roman"/>
          <w:i/>
          <w:iCs/>
          <w:sz w:val="24"/>
          <w:szCs w:val="24"/>
          <w:shd w:val="clear" w:color="auto" w:fill="FFFFFF"/>
        </w:rPr>
        <w:t>Crimes Act 1914</w:t>
      </w:r>
      <w:r w:rsidR="00994869" w:rsidRPr="00C562E0">
        <w:rPr>
          <w:rFonts w:ascii="Times New Roman" w:hAnsi="Times New Roman" w:cs="Times New Roman"/>
          <w:sz w:val="24"/>
          <w:szCs w:val="24"/>
          <w:shd w:val="clear" w:color="auto" w:fill="FFFFFF"/>
        </w:rPr>
        <w:t>.</w:t>
      </w:r>
      <w:r w:rsidR="00994869">
        <w:rPr>
          <w:rFonts w:ascii="Times New Roman" w:hAnsi="Times New Roman" w:cs="Times New Roman"/>
          <w:sz w:val="24"/>
          <w:szCs w:val="24"/>
          <w:shd w:val="clear" w:color="auto" w:fill="FFFFFF"/>
        </w:rPr>
        <w:t xml:space="preserve"> </w:t>
      </w:r>
      <w:r w:rsidR="003F5CFF">
        <w:rPr>
          <w:rFonts w:ascii="Times New Roman" w:hAnsi="Times New Roman" w:cs="Times New Roman"/>
          <w:sz w:val="24"/>
          <w:szCs w:val="24"/>
        </w:rPr>
        <w:t xml:space="preserve">The person is also liable </w:t>
      </w:r>
      <w:r w:rsidR="00390A9E">
        <w:rPr>
          <w:rFonts w:ascii="Times New Roman" w:hAnsi="Times New Roman" w:cs="Times New Roman"/>
          <w:sz w:val="24"/>
          <w:szCs w:val="24"/>
        </w:rPr>
        <w:t>for a civil penalty</w:t>
      </w:r>
      <w:r w:rsidR="003F5CFF">
        <w:rPr>
          <w:rFonts w:ascii="Times New Roman" w:hAnsi="Times New Roman" w:cs="Times New Roman"/>
          <w:sz w:val="24"/>
          <w:szCs w:val="24"/>
        </w:rPr>
        <w:t xml:space="preserve"> of 1,000 </w:t>
      </w:r>
      <w:r>
        <w:rPr>
          <w:rFonts w:ascii="Times New Roman" w:hAnsi="Times New Roman" w:cs="Times New Roman"/>
          <w:sz w:val="24"/>
          <w:szCs w:val="24"/>
        </w:rPr>
        <w:t>PU</w:t>
      </w:r>
      <w:r w:rsidR="003F5CFF">
        <w:rPr>
          <w:rFonts w:ascii="Times New Roman" w:hAnsi="Times New Roman" w:cs="Times New Roman"/>
          <w:sz w:val="24"/>
          <w:szCs w:val="24"/>
        </w:rPr>
        <w:t xml:space="preserve"> for contravening the requirement to notify the </w:t>
      </w:r>
      <w:r w:rsidR="003947B2">
        <w:rPr>
          <w:rFonts w:ascii="Times New Roman" w:hAnsi="Times New Roman" w:cs="Times New Roman"/>
          <w:sz w:val="24"/>
          <w:szCs w:val="24"/>
        </w:rPr>
        <w:t xml:space="preserve">responsible Commonwealth </w:t>
      </w:r>
      <w:r w:rsidR="003F5CFF">
        <w:rPr>
          <w:rFonts w:ascii="Times New Roman" w:hAnsi="Times New Roman" w:cs="Times New Roman"/>
          <w:color w:val="333333"/>
          <w:sz w:val="24"/>
          <w:szCs w:val="24"/>
          <w:shd w:val="clear" w:color="auto" w:fill="FFFFFF"/>
        </w:rPr>
        <w:t xml:space="preserve">Minister and </w:t>
      </w:r>
      <w:r w:rsidR="003F5CFF" w:rsidRPr="00652E13">
        <w:rPr>
          <w:rFonts w:ascii="Times New Roman" w:hAnsi="Times New Roman" w:cs="Times New Roman"/>
          <w:color w:val="333333"/>
          <w:sz w:val="24"/>
          <w:szCs w:val="24"/>
          <w:shd w:val="clear" w:color="auto" w:fill="FFFFFF"/>
        </w:rPr>
        <w:t>500</w:t>
      </w:r>
      <w:r>
        <w:rPr>
          <w:rFonts w:ascii="Times New Roman" w:hAnsi="Times New Roman" w:cs="Times New Roman"/>
          <w:color w:val="333333"/>
          <w:sz w:val="24"/>
          <w:szCs w:val="24"/>
          <w:shd w:val="clear" w:color="auto" w:fill="FFFFFF"/>
        </w:rPr>
        <w:t xml:space="preserve"> PU</w:t>
      </w:r>
      <w:r w:rsidR="003F5CFF">
        <w:rPr>
          <w:rFonts w:ascii="Times New Roman" w:hAnsi="Times New Roman" w:cs="Times New Roman"/>
          <w:color w:val="333333"/>
          <w:sz w:val="24"/>
          <w:szCs w:val="24"/>
          <w:shd w:val="clear" w:color="auto" w:fill="FFFFFF"/>
        </w:rPr>
        <w:t xml:space="preserve"> for contravening the requirement to notify the responsible </w:t>
      </w:r>
      <w:r>
        <w:rPr>
          <w:rFonts w:ascii="Times New Roman" w:hAnsi="Times New Roman" w:cs="Times New Roman"/>
          <w:color w:val="333333"/>
          <w:sz w:val="24"/>
          <w:szCs w:val="24"/>
          <w:shd w:val="clear" w:color="auto" w:fill="FFFFFF"/>
        </w:rPr>
        <w:t>S</w:t>
      </w:r>
      <w:r w:rsidR="003F5CFF">
        <w:rPr>
          <w:rFonts w:ascii="Times New Roman" w:hAnsi="Times New Roman" w:cs="Times New Roman"/>
          <w:color w:val="333333"/>
          <w:sz w:val="24"/>
          <w:szCs w:val="24"/>
          <w:shd w:val="clear" w:color="auto" w:fill="FFFFFF"/>
        </w:rPr>
        <w:t xml:space="preserve">tate or </w:t>
      </w:r>
      <w:r>
        <w:rPr>
          <w:rFonts w:ascii="Times New Roman" w:hAnsi="Times New Roman" w:cs="Times New Roman"/>
          <w:color w:val="333333"/>
          <w:sz w:val="24"/>
          <w:szCs w:val="24"/>
          <w:shd w:val="clear" w:color="auto" w:fill="FFFFFF"/>
        </w:rPr>
        <w:t>T</w:t>
      </w:r>
      <w:r w:rsidR="003F5CFF">
        <w:rPr>
          <w:rFonts w:ascii="Times New Roman" w:hAnsi="Times New Roman" w:cs="Times New Roman"/>
          <w:color w:val="333333"/>
          <w:sz w:val="24"/>
          <w:szCs w:val="24"/>
          <w:shd w:val="clear" w:color="auto" w:fill="FFFFFF"/>
        </w:rPr>
        <w:t xml:space="preserve">erritory </w:t>
      </w:r>
      <w:r>
        <w:rPr>
          <w:rFonts w:ascii="Times New Roman" w:hAnsi="Times New Roman" w:cs="Times New Roman"/>
          <w:color w:val="333333"/>
          <w:sz w:val="24"/>
          <w:szCs w:val="24"/>
          <w:shd w:val="clear" w:color="auto" w:fill="FFFFFF"/>
        </w:rPr>
        <w:t>M</w:t>
      </w:r>
      <w:r w:rsidR="003F5CFF">
        <w:rPr>
          <w:rFonts w:ascii="Times New Roman" w:hAnsi="Times New Roman" w:cs="Times New Roman"/>
          <w:color w:val="333333"/>
          <w:sz w:val="24"/>
          <w:szCs w:val="24"/>
          <w:shd w:val="clear" w:color="auto" w:fill="FFFFFF"/>
        </w:rPr>
        <w:t>inister</w:t>
      </w:r>
      <w:r w:rsidR="00390A9E">
        <w:rPr>
          <w:rFonts w:ascii="Times New Roman" w:hAnsi="Times New Roman" w:cs="Times New Roman"/>
          <w:sz w:val="24"/>
          <w:szCs w:val="24"/>
        </w:rPr>
        <w:t>.</w:t>
      </w:r>
    </w:p>
    <w:p w14:paraId="047FE397" w14:textId="77CAF33E" w:rsidR="002758FA" w:rsidRPr="002758FA" w:rsidRDefault="00994869" w:rsidP="002758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I</w:t>
      </w:r>
      <w:r w:rsidR="002758FA" w:rsidRPr="002758FA">
        <w:rPr>
          <w:rFonts w:ascii="Times New Roman" w:hAnsi="Times New Roman" w:cs="Times New Roman"/>
          <w:color w:val="333333"/>
          <w:sz w:val="24"/>
          <w:szCs w:val="24"/>
          <w:shd w:val="clear" w:color="auto" w:fill="FFFFFF"/>
        </w:rPr>
        <w:t xml:space="preserve">t is appropriate to impose a criminal </w:t>
      </w:r>
      <w:r>
        <w:rPr>
          <w:rFonts w:ascii="Times New Roman" w:hAnsi="Times New Roman" w:cs="Times New Roman"/>
          <w:color w:val="333333"/>
          <w:sz w:val="24"/>
          <w:szCs w:val="24"/>
          <w:shd w:val="clear" w:color="auto" w:fill="FFFFFF"/>
        </w:rPr>
        <w:t>penalty</w:t>
      </w:r>
      <w:r w:rsidR="002758FA" w:rsidRPr="002758FA">
        <w:rPr>
          <w:rFonts w:ascii="Times New Roman" w:hAnsi="Times New Roman" w:cs="Times New Roman"/>
          <w:color w:val="333333"/>
          <w:sz w:val="24"/>
          <w:szCs w:val="24"/>
          <w:shd w:val="clear" w:color="auto" w:fill="FFFFFF"/>
        </w:rPr>
        <w:t xml:space="preserve"> for breach of these obligations</w:t>
      </w:r>
      <w:r w:rsidR="00316EAC">
        <w:rPr>
          <w:rFonts w:ascii="Times New Roman" w:hAnsi="Times New Roman" w:cs="Times New Roman"/>
          <w:color w:val="333333"/>
          <w:sz w:val="24"/>
          <w:szCs w:val="24"/>
          <w:shd w:val="clear" w:color="auto" w:fill="FFFFFF"/>
        </w:rPr>
        <w:t xml:space="preserve"> given the importance of ensuring that Ministers are made aware of the occurrence of a reportable incident</w:t>
      </w:r>
      <w:r w:rsidR="002758FA" w:rsidRPr="002758FA">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The requirement to notify the </w:t>
      </w:r>
      <w:r w:rsidR="003947B2">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 xml:space="preserve">Minister </w:t>
      </w:r>
      <w:proofErr w:type="gramStart"/>
      <w:r>
        <w:rPr>
          <w:rFonts w:ascii="Times New Roman" w:hAnsi="Times New Roman" w:cs="Times New Roman"/>
          <w:color w:val="333333"/>
          <w:sz w:val="24"/>
          <w:szCs w:val="24"/>
          <w:shd w:val="clear" w:color="auto" w:fill="FFFFFF"/>
        </w:rPr>
        <w:t>in particular is</w:t>
      </w:r>
      <w:proofErr w:type="gramEnd"/>
      <w:r>
        <w:rPr>
          <w:rFonts w:ascii="Times New Roman" w:hAnsi="Times New Roman" w:cs="Times New Roman"/>
          <w:color w:val="333333"/>
          <w:sz w:val="24"/>
          <w:szCs w:val="24"/>
          <w:shd w:val="clear" w:color="auto" w:fill="FFFFFF"/>
        </w:rPr>
        <w:t xml:space="preserve"> intended to ensure that the Minister is made aware of the incident to enable any regulatory action to be taken where required, such as issuing a direction under the OPGGS Act. </w:t>
      </w:r>
      <w:r>
        <w:rPr>
          <w:rFonts w:ascii="Times New Roman" w:hAnsi="Times New Roman" w:cs="Times New Roman"/>
          <w:sz w:val="24"/>
          <w:szCs w:val="24"/>
          <w:shd w:val="clear" w:color="auto" w:fill="FFFFFF"/>
        </w:rPr>
        <w:t>A GHG</w:t>
      </w:r>
      <w:r w:rsidR="003947B2">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injection licensee will be aware of the legislative requirements regulating their operations.</w:t>
      </w:r>
      <w:r>
        <w:rPr>
          <w:rFonts w:ascii="Times New Roman" w:hAnsi="Times New Roman" w:cs="Times New Roman"/>
          <w:color w:val="333333"/>
          <w:sz w:val="24"/>
          <w:szCs w:val="24"/>
          <w:shd w:val="clear" w:color="auto" w:fill="FFFFFF"/>
        </w:rPr>
        <w:t xml:space="preserve"> </w:t>
      </w:r>
      <w:r w:rsidR="002758FA" w:rsidRPr="002758FA">
        <w:rPr>
          <w:rFonts w:ascii="Times New Roman" w:hAnsi="Times New Roman" w:cs="Times New Roman"/>
          <w:color w:val="333333"/>
          <w:sz w:val="24"/>
          <w:szCs w:val="24"/>
          <w:shd w:val="clear" w:color="auto" w:fill="FFFFFF"/>
        </w:rPr>
        <w:t xml:space="preserve"> </w:t>
      </w:r>
    </w:p>
    <w:p w14:paraId="5BF42DE2" w14:textId="4E533482" w:rsidR="00994869" w:rsidRDefault="002758FA" w:rsidP="002758FA">
      <w:pPr>
        <w:rPr>
          <w:rFonts w:ascii="Times New Roman" w:hAnsi="Times New Roman" w:cs="Times New Roman"/>
          <w:color w:val="333333"/>
          <w:sz w:val="24"/>
          <w:szCs w:val="24"/>
          <w:shd w:val="clear" w:color="auto" w:fill="FFFFFF"/>
        </w:rPr>
      </w:pPr>
      <w:bookmarkStart w:id="25" w:name="_Hlk147992450"/>
      <w:r w:rsidRPr="002758FA">
        <w:rPr>
          <w:rFonts w:ascii="Times New Roman" w:hAnsi="Times New Roman" w:cs="Times New Roman"/>
          <w:color w:val="333333"/>
          <w:sz w:val="24"/>
          <w:szCs w:val="24"/>
          <w:shd w:val="clear" w:color="auto" w:fill="FFFFFF"/>
        </w:rPr>
        <w:t xml:space="preserve">It is also appropriate </w:t>
      </w:r>
      <w:r w:rsidR="00994869">
        <w:rPr>
          <w:rFonts w:ascii="Times New Roman" w:hAnsi="Times New Roman" w:cs="Times New Roman"/>
          <w:color w:val="333333"/>
          <w:sz w:val="24"/>
          <w:szCs w:val="24"/>
          <w:shd w:val="clear" w:color="auto" w:fill="FFFFFF"/>
        </w:rPr>
        <w:t>to apply strict liability to the</w:t>
      </w:r>
      <w:r w:rsidRPr="002758FA">
        <w:rPr>
          <w:rFonts w:ascii="Times New Roman" w:hAnsi="Times New Roman" w:cs="Times New Roman"/>
          <w:color w:val="333333"/>
          <w:sz w:val="24"/>
          <w:szCs w:val="24"/>
          <w:shd w:val="clear" w:color="auto" w:fill="FFFFFF"/>
        </w:rPr>
        <w:t xml:space="preserve"> offence </w:t>
      </w:r>
      <w:r w:rsidR="00F10C09">
        <w:rPr>
          <w:rFonts w:ascii="Times New Roman" w:hAnsi="Times New Roman" w:cs="Times New Roman"/>
          <w:color w:val="333333"/>
          <w:sz w:val="24"/>
          <w:szCs w:val="24"/>
          <w:shd w:val="clear" w:color="auto" w:fill="FFFFFF"/>
        </w:rPr>
        <w:t xml:space="preserve">to promote compliance with the regulatory regime and ensure the notification requirements can be effectively enforced, particularly given the serious consequences that may result from a reportable incident. The nature of the offence provision is to </w:t>
      </w:r>
      <w:proofErr w:type="gramStart"/>
      <w:r w:rsidR="00814003">
        <w:rPr>
          <w:rFonts w:ascii="Times New Roman" w:hAnsi="Times New Roman" w:cs="Times New Roman"/>
          <w:color w:val="333333"/>
          <w:sz w:val="24"/>
          <w:szCs w:val="24"/>
          <w:shd w:val="clear" w:color="auto" w:fill="FFFFFF"/>
        </w:rPr>
        <w:t>intended</w:t>
      </w:r>
      <w:proofErr w:type="gramEnd"/>
      <w:r w:rsidR="00814003">
        <w:rPr>
          <w:rFonts w:ascii="Times New Roman" w:hAnsi="Times New Roman" w:cs="Times New Roman"/>
          <w:color w:val="333333"/>
          <w:sz w:val="24"/>
          <w:szCs w:val="24"/>
          <w:shd w:val="clear" w:color="auto" w:fill="FFFFFF"/>
        </w:rPr>
        <w:t xml:space="preserve"> to ensure</w:t>
      </w:r>
      <w:r w:rsidR="00F10C09">
        <w:rPr>
          <w:rFonts w:ascii="Times New Roman" w:hAnsi="Times New Roman" w:cs="Times New Roman"/>
          <w:color w:val="333333"/>
          <w:sz w:val="24"/>
          <w:szCs w:val="24"/>
          <w:shd w:val="clear" w:color="auto" w:fill="FFFFFF"/>
        </w:rPr>
        <w:t xml:space="preserve"> that the licensee is accountable and </w:t>
      </w:r>
      <w:r w:rsidR="00394619">
        <w:rPr>
          <w:rFonts w:ascii="Times New Roman" w:hAnsi="Times New Roman" w:cs="Times New Roman"/>
          <w:color w:val="333333"/>
          <w:sz w:val="24"/>
          <w:szCs w:val="24"/>
          <w:shd w:val="clear" w:color="auto" w:fill="FFFFFF"/>
        </w:rPr>
        <w:t>notifies of</w:t>
      </w:r>
      <w:r w:rsidR="00F10C09">
        <w:rPr>
          <w:rFonts w:ascii="Times New Roman" w:hAnsi="Times New Roman" w:cs="Times New Roman"/>
          <w:color w:val="333333"/>
          <w:sz w:val="24"/>
          <w:szCs w:val="24"/>
          <w:shd w:val="clear" w:color="auto" w:fill="FFFFFF"/>
        </w:rPr>
        <w:t xml:space="preserve"> incidents in relation to offshore operations. Strict liability is appropriate to ensure this level of accountability. </w:t>
      </w:r>
      <w:r w:rsidR="00F10C09">
        <w:rPr>
          <w:rFonts w:ascii="Times New Roman" w:hAnsi="Times New Roman" w:cs="Times New Roman"/>
          <w:sz w:val="24"/>
          <w:szCs w:val="24"/>
        </w:rPr>
        <w:t>This is</w:t>
      </w:r>
      <w:r w:rsidR="00F10C09" w:rsidRPr="00420D8A">
        <w:rPr>
          <w:rFonts w:ascii="Times New Roman" w:hAnsi="Times New Roman" w:cs="Times New Roman"/>
          <w:sz w:val="24"/>
          <w:szCs w:val="24"/>
        </w:rPr>
        <w:t xml:space="preserve"> consistent with the principles outlined in</w:t>
      </w:r>
      <w:r w:rsidR="00F10C09">
        <w:rPr>
          <w:rFonts w:ascii="Times New Roman" w:hAnsi="Times New Roman" w:cs="Times New Roman"/>
          <w:sz w:val="24"/>
          <w:szCs w:val="24"/>
        </w:rPr>
        <w:t xml:space="preserve"> section 2.2.6 of</w:t>
      </w:r>
      <w:r w:rsidR="00F10C09" w:rsidRPr="009651CC">
        <w:rPr>
          <w:sz w:val="23"/>
          <w:szCs w:val="23"/>
        </w:rPr>
        <w:t xml:space="preserve"> </w:t>
      </w:r>
      <w:r w:rsidR="00F10C09">
        <w:rPr>
          <w:rFonts w:ascii="Times New Roman" w:hAnsi="Times New Roman" w:cs="Times New Roman"/>
          <w:sz w:val="24"/>
          <w:szCs w:val="24"/>
        </w:rPr>
        <w:t>the</w:t>
      </w:r>
      <w:r w:rsidR="00036F15">
        <w:rPr>
          <w:rFonts w:ascii="Times New Roman" w:hAnsi="Times New Roman" w:cs="Times New Roman"/>
          <w:sz w:val="24"/>
          <w:szCs w:val="24"/>
        </w:rPr>
        <w:t> </w:t>
      </w:r>
      <w:r w:rsidR="00F10C09">
        <w:rPr>
          <w:rFonts w:ascii="Times New Roman" w:hAnsi="Times New Roman" w:cs="Times New Roman"/>
          <w:sz w:val="24"/>
          <w:szCs w:val="24"/>
        </w:rPr>
        <w:t>Guide</w:t>
      </w:r>
      <w:r w:rsidR="00F10C09" w:rsidRPr="00420D8A">
        <w:rPr>
          <w:rFonts w:ascii="Times New Roman" w:hAnsi="Times New Roman" w:cs="Times New Roman"/>
          <w:sz w:val="24"/>
          <w:szCs w:val="24"/>
        </w:rPr>
        <w:t>. Given the remote and complex nature of offshore operations,</w:t>
      </w:r>
      <w:r w:rsidR="00F10C09">
        <w:rPr>
          <w:rFonts w:ascii="Times New Roman" w:hAnsi="Times New Roman" w:cs="Times New Roman"/>
          <w:sz w:val="24"/>
          <w:szCs w:val="24"/>
        </w:rPr>
        <w:t xml:space="preserve"> and the prevalence of joint venture titleholder arrangements,</w:t>
      </w:r>
      <w:r w:rsidR="00F10C09" w:rsidRPr="00420D8A">
        <w:rPr>
          <w:rFonts w:ascii="Times New Roman" w:hAnsi="Times New Roman" w:cs="Times New Roman"/>
          <w:sz w:val="24"/>
          <w:szCs w:val="24"/>
        </w:rPr>
        <w:t xml:space="preserve"> it can be extremely difficult to prove intent, and requiring that proof may make it impractical to enforce the regime. </w:t>
      </w:r>
      <w:r w:rsidR="00F10C09">
        <w:rPr>
          <w:rFonts w:ascii="Times New Roman" w:hAnsi="Times New Roman" w:cs="Times New Roman"/>
          <w:sz w:val="24"/>
          <w:szCs w:val="24"/>
        </w:rPr>
        <w:t>A</w:t>
      </w:r>
      <w:r w:rsidR="00F10C09" w:rsidRPr="00420D8A">
        <w:rPr>
          <w:rFonts w:ascii="Times New Roman" w:hAnsi="Times New Roman" w:cs="Times New Roman"/>
          <w:sz w:val="24"/>
          <w:szCs w:val="24"/>
        </w:rPr>
        <w:t xml:space="preserve"> GHG injection licensee</w:t>
      </w:r>
      <w:r w:rsidR="00F10C09">
        <w:rPr>
          <w:rFonts w:ascii="Times New Roman" w:hAnsi="Times New Roman" w:cs="Times New Roman"/>
          <w:sz w:val="24"/>
          <w:szCs w:val="24"/>
        </w:rPr>
        <w:t xml:space="preserve"> would </w:t>
      </w:r>
      <w:r w:rsidR="00F10C09" w:rsidRPr="00420D8A">
        <w:rPr>
          <w:rFonts w:ascii="Times New Roman" w:hAnsi="Times New Roman" w:cs="Times New Roman"/>
          <w:sz w:val="24"/>
          <w:szCs w:val="24"/>
        </w:rPr>
        <w:t xml:space="preserve">be aware of the requirement to </w:t>
      </w:r>
      <w:r w:rsidR="00F10C09">
        <w:rPr>
          <w:rFonts w:ascii="Times New Roman" w:hAnsi="Times New Roman" w:cs="Times New Roman"/>
          <w:sz w:val="24"/>
          <w:szCs w:val="24"/>
        </w:rPr>
        <w:t xml:space="preserve">notify incidents to the </w:t>
      </w:r>
      <w:r w:rsidR="003947B2">
        <w:rPr>
          <w:rFonts w:ascii="Times New Roman" w:hAnsi="Times New Roman" w:cs="Times New Roman"/>
          <w:sz w:val="24"/>
          <w:szCs w:val="24"/>
        </w:rPr>
        <w:t xml:space="preserve">responsible Commonwealth </w:t>
      </w:r>
      <w:r w:rsidR="00F10C09">
        <w:rPr>
          <w:rFonts w:ascii="Times New Roman" w:hAnsi="Times New Roman" w:cs="Times New Roman"/>
          <w:sz w:val="24"/>
          <w:szCs w:val="24"/>
        </w:rPr>
        <w:t>Minister and responsible</w:t>
      </w:r>
      <w:r w:rsidR="00036F15">
        <w:rPr>
          <w:rFonts w:ascii="Times New Roman" w:hAnsi="Times New Roman" w:cs="Times New Roman"/>
          <w:sz w:val="24"/>
          <w:szCs w:val="24"/>
        </w:rPr>
        <w:t> </w:t>
      </w:r>
      <w:r w:rsidR="00F10C09">
        <w:rPr>
          <w:rFonts w:ascii="Times New Roman" w:hAnsi="Times New Roman" w:cs="Times New Roman"/>
          <w:sz w:val="24"/>
          <w:szCs w:val="24"/>
        </w:rPr>
        <w:t>State/Territory Minister</w:t>
      </w:r>
      <w:r w:rsidR="00F10C09" w:rsidRPr="00420D8A">
        <w:rPr>
          <w:rFonts w:ascii="Times New Roman" w:hAnsi="Times New Roman" w:cs="Times New Roman"/>
          <w:sz w:val="24"/>
          <w:szCs w:val="24"/>
        </w:rPr>
        <w:t xml:space="preserve">. </w:t>
      </w:r>
      <w:r w:rsidR="00F10C09">
        <w:rPr>
          <w:rFonts w:ascii="Times New Roman" w:hAnsi="Times New Roman" w:cs="Times New Roman"/>
          <w:sz w:val="24"/>
          <w:szCs w:val="24"/>
        </w:rPr>
        <w:t xml:space="preserve">The licensee would also be aware that a licence is granted on the understanding that licensees will take all reasonable steps to ensure that regulatory obligations are complied with, noting the high-hazard nature of operations, and that tenure over the relevant licence area is granted to the licensee based on factors such as their capacity to undertake safe and sustainable operations. </w:t>
      </w:r>
      <w:r w:rsidR="00F10C09" w:rsidRPr="00420D8A">
        <w:rPr>
          <w:rFonts w:ascii="Times New Roman" w:hAnsi="Times New Roman" w:cs="Times New Roman"/>
          <w:sz w:val="24"/>
          <w:szCs w:val="24"/>
        </w:rPr>
        <w:t>If there is an honest and reasonable mistake of fact</w:t>
      </w:r>
      <w:r w:rsidR="00F10C09">
        <w:rPr>
          <w:rFonts w:ascii="Times New Roman" w:hAnsi="Times New Roman" w:cs="Times New Roman"/>
          <w:sz w:val="24"/>
          <w:szCs w:val="24"/>
        </w:rPr>
        <w:t xml:space="preserve"> on the licensee’s part</w:t>
      </w:r>
      <w:r w:rsidR="00F10C09" w:rsidRPr="00420D8A">
        <w:rPr>
          <w:rFonts w:ascii="Times New Roman" w:hAnsi="Times New Roman" w:cs="Times New Roman"/>
          <w:sz w:val="24"/>
          <w:szCs w:val="24"/>
        </w:rPr>
        <w:t xml:space="preserve">, </w:t>
      </w:r>
      <w:r w:rsidR="00F10C09">
        <w:rPr>
          <w:rFonts w:ascii="Times New Roman" w:hAnsi="Times New Roman" w:cs="Times New Roman"/>
          <w:sz w:val="24"/>
          <w:szCs w:val="24"/>
        </w:rPr>
        <w:t xml:space="preserve">this may be </w:t>
      </w:r>
      <w:r w:rsidR="00F10C09" w:rsidRPr="00420D8A">
        <w:rPr>
          <w:rFonts w:ascii="Times New Roman" w:hAnsi="Times New Roman" w:cs="Times New Roman"/>
          <w:sz w:val="24"/>
          <w:szCs w:val="24"/>
        </w:rPr>
        <w:t>raise</w:t>
      </w:r>
      <w:r w:rsidR="00F10C09">
        <w:rPr>
          <w:rFonts w:ascii="Times New Roman" w:hAnsi="Times New Roman" w:cs="Times New Roman"/>
          <w:sz w:val="24"/>
          <w:szCs w:val="24"/>
        </w:rPr>
        <w:t>d</w:t>
      </w:r>
      <w:r w:rsidR="00F10C09" w:rsidRPr="00420D8A">
        <w:rPr>
          <w:rFonts w:ascii="Times New Roman" w:hAnsi="Times New Roman" w:cs="Times New Roman"/>
          <w:sz w:val="24"/>
          <w:szCs w:val="24"/>
        </w:rPr>
        <w:t xml:space="preserve"> in defence to a prosecution.</w:t>
      </w:r>
      <w:r w:rsidRPr="002758FA">
        <w:rPr>
          <w:rFonts w:ascii="Times New Roman" w:hAnsi="Times New Roman" w:cs="Times New Roman"/>
          <w:color w:val="333333"/>
          <w:sz w:val="24"/>
          <w:szCs w:val="24"/>
          <w:shd w:val="clear" w:color="auto" w:fill="FFFFFF"/>
        </w:rPr>
        <w:t xml:space="preserve"> </w:t>
      </w:r>
    </w:p>
    <w:bookmarkEnd w:id="25"/>
    <w:p w14:paraId="394ABCD5" w14:textId="5C34F2C4" w:rsidR="002758FA" w:rsidRPr="002758FA" w:rsidRDefault="00B95982" w:rsidP="002758FA">
      <w:pPr>
        <w:rPr>
          <w:rFonts w:ascii="Times New Roman" w:hAnsi="Times New Roman" w:cs="Times New Roman"/>
          <w:color w:val="333333"/>
          <w:sz w:val="24"/>
          <w:szCs w:val="24"/>
          <w:shd w:val="clear" w:color="auto" w:fill="FFFFFF"/>
        </w:rPr>
      </w:pPr>
      <w:r w:rsidRPr="00B95982">
        <w:rPr>
          <w:rFonts w:ascii="Times New Roman" w:hAnsi="Times New Roman" w:cs="Times New Roman"/>
          <w:color w:val="333333"/>
          <w:sz w:val="24"/>
          <w:szCs w:val="24"/>
          <w:shd w:val="clear" w:color="auto" w:fill="FFFFFF"/>
        </w:rPr>
        <w:t xml:space="preserve">The </w:t>
      </w:r>
      <w:r w:rsidR="00F10C09">
        <w:rPr>
          <w:rFonts w:ascii="Times New Roman" w:hAnsi="Times New Roman" w:cs="Times New Roman"/>
          <w:color w:val="333333"/>
          <w:sz w:val="24"/>
          <w:szCs w:val="24"/>
          <w:shd w:val="clear" w:color="auto" w:fill="FFFFFF"/>
        </w:rPr>
        <w:t xml:space="preserve">maximum </w:t>
      </w:r>
      <w:r w:rsidRPr="00B95982">
        <w:rPr>
          <w:rFonts w:ascii="Times New Roman" w:hAnsi="Times New Roman" w:cs="Times New Roman"/>
          <w:color w:val="333333"/>
          <w:sz w:val="24"/>
          <w:szCs w:val="24"/>
          <w:shd w:val="clear" w:color="auto" w:fill="FFFFFF"/>
        </w:rPr>
        <w:t xml:space="preserve">penalty of 100 </w:t>
      </w:r>
      <w:r w:rsidR="00F10C09">
        <w:rPr>
          <w:rFonts w:ascii="Times New Roman" w:hAnsi="Times New Roman" w:cs="Times New Roman"/>
          <w:color w:val="333333"/>
          <w:sz w:val="24"/>
          <w:szCs w:val="24"/>
          <w:shd w:val="clear" w:color="auto" w:fill="FFFFFF"/>
        </w:rPr>
        <w:t xml:space="preserve">PU for a failure to notify the </w:t>
      </w:r>
      <w:r w:rsidR="003947B2">
        <w:rPr>
          <w:rFonts w:ascii="Times New Roman" w:hAnsi="Times New Roman" w:cs="Times New Roman"/>
          <w:color w:val="333333"/>
          <w:sz w:val="24"/>
          <w:szCs w:val="24"/>
          <w:shd w:val="clear" w:color="auto" w:fill="FFFFFF"/>
        </w:rPr>
        <w:t xml:space="preserve">responsible Commonwealth </w:t>
      </w:r>
      <w:r w:rsidR="00F10C09">
        <w:rPr>
          <w:rFonts w:ascii="Times New Roman" w:hAnsi="Times New Roman" w:cs="Times New Roman"/>
          <w:color w:val="333333"/>
          <w:sz w:val="24"/>
          <w:szCs w:val="24"/>
          <w:shd w:val="clear" w:color="auto" w:fill="FFFFFF"/>
        </w:rPr>
        <w:t>Minister is also appropriate</w:t>
      </w:r>
      <w:r w:rsidRPr="00B95982">
        <w:rPr>
          <w:rFonts w:ascii="Times New Roman" w:hAnsi="Times New Roman" w:cs="Times New Roman"/>
          <w:color w:val="333333"/>
          <w:sz w:val="24"/>
          <w:szCs w:val="24"/>
          <w:shd w:val="clear" w:color="auto" w:fill="FFFFFF"/>
        </w:rPr>
        <w:t xml:space="preserve">, </w:t>
      </w:r>
      <w:r w:rsidR="00F10C09">
        <w:rPr>
          <w:rFonts w:ascii="Times New Roman" w:hAnsi="Times New Roman" w:cs="Times New Roman"/>
          <w:color w:val="333333"/>
          <w:sz w:val="24"/>
          <w:szCs w:val="24"/>
          <w:shd w:val="clear" w:color="auto" w:fill="FFFFFF"/>
        </w:rPr>
        <w:t>noting that it</w:t>
      </w:r>
      <w:r w:rsidR="002758FA" w:rsidRPr="002758FA">
        <w:rPr>
          <w:rFonts w:ascii="Times New Roman" w:hAnsi="Times New Roman" w:cs="Times New Roman"/>
          <w:color w:val="333333"/>
          <w:sz w:val="24"/>
          <w:szCs w:val="24"/>
          <w:shd w:val="clear" w:color="auto" w:fill="FFFFFF"/>
        </w:rPr>
        <w:t xml:space="preserve"> is higher than the preference stated in the Guide for</w:t>
      </w:r>
      <w:r w:rsidR="00F10C09">
        <w:rPr>
          <w:rFonts w:ascii="Times New Roman" w:hAnsi="Times New Roman" w:cs="Times New Roman"/>
          <w:color w:val="333333"/>
          <w:sz w:val="24"/>
          <w:szCs w:val="24"/>
          <w:shd w:val="clear" w:color="auto" w:fill="FFFFFF"/>
        </w:rPr>
        <w:t xml:space="preserve"> a maximum of 60 PU for an individual (300 PU for a body corporate) for </w:t>
      </w:r>
      <w:r w:rsidR="002758FA" w:rsidRPr="002758FA">
        <w:rPr>
          <w:rFonts w:ascii="Times New Roman" w:hAnsi="Times New Roman" w:cs="Times New Roman"/>
          <w:color w:val="333333"/>
          <w:sz w:val="24"/>
          <w:szCs w:val="24"/>
          <w:shd w:val="clear" w:color="auto" w:fill="FFFFFF"/>
        </w:rPr>
        <w:t>strict liability offences</w:t>
      </w:r>
      <w:r w:rsidR="00F10C09">
        <w:rPr>
          <w:rFonts w:ascii="Times New Roman" w:hAnsi="Times New Roman" w:cs="Times New Roman"/>
          <w:color w:val="333333"/>
          <w:sz w:val="24"/>
          <w:szCs w:val="24"/>
          <w:shd w:val="clear" w:color="auto" w:fill="FFFFFF"/>
        </w:rPr>
        <w:t>. The ma</w:t>
      </w:r>
      <w:r w:rsidR="00D967EB">
        <w:rPr>
          <w:rFonts w:ascii="Times New Roman" w:hAnsi="Times New Roman" w:cs="Times New Roman"/>
          <w:color w:val="333333"/>
          <w:sz w:val="24"/>
          <w:szCs w:val="24"/>
          <w:shd w:val="clear" w:color="auto" w:fill="FFFFFF"/>
        </w:rPr>
        <w:t>ximum penalty</w:t>
      </w:r>
      <w:r w:rsidR="002758FA">
        <w:rPr>
          <w:rFonts w:ascii="Times New Roman" w:hAnsi="Times New Roman" w:cs="Times New Roman"/>
          <w:color w:val="333333"/>
          <w:sz w:val="24"/>
          <w:szCs w:val="24"/>
          <w:shd w:val="clear" w:color="auto" w:fill="FFFFFF"/>
        </w:rPr>
        <w:t xml:space="preserve"> is</w:t>
      </w:r>
      <w:r w:rsidR="002758FA" w:rsidRPr="002758FA">
        <w:rPr>
          <w:rFonts w:ascii="Times New Roman" w:hAnsi="Times New Roman" w:cs="Times New Roman"/>
          <w:color w:val="333333"/>
          <w:sz w:val="24"/>
          <w:szCs w:val="24"/>
          <w:shd w:val="clear" w:color="auto" w:fill="FFFFFF"/>
        </w:rPr>
        <w:t xml:space="preserve"> authorised by section 790 of the OPGGS Act</w:t>
      </w:r>
      <w:r w:rsidR="00D967EB">
        <w:rPr>
          <w:rFonts w:ascii="Times New Roman" w:hAnsi="Times New Roman" w:cs="Times New Roman"/>
          <w:color w:val="333333"/>
          <w:sz w:val="24"/>
          <w:szCs w:val="24"/>
          <w:shd w:val="clear" w:color="auto" w:fill="FFFFFF"/>
        </w:rPr>
        <w:t xml:space="preserve">, which </w:t>
      </w:r>
      <w:r w:rsidR="00D967EB" w:rsidRPr="00420D8A">
        <w:rPr>
          <w:rFonts w:ascii="Times New Roman" w:hAnsi="Times New Roman" w:cs="Times New Roman"/>
          <w:sz w:val="24"/>
          <w:szCs w:val="24"/>
        </w:rPr>
        <w:t xml:space="preserve">provides that regulations may provide for offences </w:t>
      </w:r>
      <w:r w:rsidR="00394619">
        <w:rPr>
          <w:rFonts w:ascii="Times New Roman" w:hAnsi="Times New Roman" w:cs="Times New Roman"/>
          <w:sz w:val="24"/>
          <w:szCs w:val="24"/>
        </w:rPr>
        <w:t xml:space="preserve">against the regulations </w:t>
      </w:r>
      <w:r w:rsidR="00D967EB" w:rsidRPr="00420D8A">
        <w:rPr>
          <w:rFonts w:ascii="Times New Roman" w:hAnsi="Times New Roman" w:cs="Times New Roman"/>
          <w:sz w:val="24"/>
          <w:szCs w:val="24"/>
        </w:rPr>
        <w:t xml:space="preserve">punishable by penalties not exceeding a fine of 100 </w:t>
      </w:r>
      <w:r w:rsidR="00D967EB">
        <w:rPr>
          <w:rFonts w:ascii="Times New Roman" w:hAnsi="Times New Roman" w:cs="Times New Roman"/>
          <w:sz w:val="24"/>
          <w:szCs w:val="24"/>
        </w:rPr>
        <w:t>PU</w:t>
      </w:r>
      <w:r w:rsidR="002758FA" w:rsidRPr="002758FA">
        <w:rPr>
          <w:rFonts w:ascii="Times New Roman" w:hAnsi="Times New Roman" w:cs="Times New Roman"/>
          <w:color w:val="333333"/>
          <w:sz w:val="24"/>
          <w:szCs w:val="24"/>
          <w:shd w:val="clear" w:color="auto" w:fill="FFFFFF"/>
        </w:rPr>
        <w:t xml:space="preserve">. </w:t>
      </w:r>
      <w:r w:rsidR="00D967EB">
        <w:rPr>
          <w:rFonts w:ascii="Times New Roman" w:hAnsi="Times New Roman" w:cs="Times New Roman"/>
          <w:sz w:val="24"/>
          <w:szCs w:val="24"/>
        </w:rPr>
        <w:t>O</w:t>
      </w:r>
      <w:r w:rsidR="00D967EB" w:rsidRPr="00420D8A">
        <w:rPr>
          <w:rFonts w:ascii="Times New Roman" w:hAnsi="Times New Roman" w:cs="Times New Roman"/>
          <w:sz w:val="24"/>
          <w:szCs w:val="24"/>
        </w:rPr>
        <w:t xml:space="preserve">ffshore </w:t>
      </w:r>
      <w:r w:rsidR="00D967EB">
        <w:rPr>
          <w:rFonts w:ascii="Times New Roman" w:hAnsi="Times New Roman" w:cs="Times New Roman"/>
          <w:sz w:val="24"/>
          <w:szCs w:val="24"/>
        </w:rPr>
        <w:t>operations</w:t>
      </w:r>
      <w:r w:rsidR="00D967EB" w:rsidRPr="00420D8A">
        <w:rPr>
          <w:rFonts w:ascii="Times New Roman" w:hAnsi="Times New Roman" w:cs="Times New Roman"/>
          <w:sz w:val="24"/>
          <w:szCs w:val="24"/>
        </w:rPr>
        <w:t xml:space="preserve"> require a very high level of expenditure</w:t>
      </w:r>
      <w:r w:rsidR="00D967EB">
        <w:rPr>
          <w:rFonts w:ascii="Times New Roman" w:hAnsi="Times New Roman" w:cs="Times New Roman"/>
          <w:sz w:val="24"/>
          <w:szCs w:val="24"/>
        </w:rPr>
        <w:t>, and therefore licensees are well-resourced, sophisticated entities.</w:t>
      </w:r>
      <w:r w:rsidR="00D967EB" w:rsidRPr="00420D8A">
        <w:rPr>
          <w:rFonts w:ascii="Times New Roman" w:hAnsi="Times New Roman" w:cs="Times New Roman"/>
          <w:sz w:val="24"/>
          <w:szCs w:val="24"/>
        </w:rPr>
        <w:t xml:space="preserve"> </w:t>
      </w:r>
      <w:r w:rsidR="00D967EB">
        <w:rPr>
          <w:rFonts w:ascii="Times New Roman" w:hAnsi="Times New Roman" w:cs="Times New Roman"/>
          <w:sz w:val="24"/>
          <w:szCs w:val="24"/>
        </w:rPr>
        <w:t>In this context, a</w:t>
      </w:r>
      <w:r w:rsidR="00D967EB" w:rsidRPr="00420D8A">
        <w:rPr>
          <w:rFonts w:ascii="Times New Roman" w:hAnsi="Times New Roman" w:cs="Times New Roman"/>
          <w:sz w:val="24"/>
          <w:szCs w:val="24"/>
        </w:rPr>
        <w:t xml:space="preserve"> smaller penalty for a significant offence would</w:t>
      </w:r>
      <w:r w:rsidR="00D967EB">
        <w:rPr>
          <w:rFonts w:ascii="Times New Roman" w:hAnsi="Times New Roman" w:cs="Times New Roman"/>
          <w:sz w:val="24"/>
          <w:szCs w:val="24"/>
        </w:rPr>
        <w:t xml:space="preserve"> not</w:t>
      </w:r>
      <w:r w:rsidR="00D967EB" w:rsidRPr="00420D8A">
        <w:rPr>
          <w:rFonts w:ascii="Times New Roman" w:hAnsi="Times New Roman" w:cs="Times New Roman"/>
          <w:sz w:val="24"/>
          <w:szCs w:val="24"/>
        </w:rPr>
        <w:t xml:space="preserve"> be </w:t>
      </w:r>
      <w:r w:rsidR="00D967EB">
        <w:rPr>
          <w:rFonts w:ascii="Times New Roman" w:hAnsi="Times New Roman" w:cs="Times New Roman"/>
          <w:sz w:val="24"/>
          <w:szCs w:val="24"/>
        </w:rPr>
        <w:t xml:space="preserve">sufficient to appropriately punish the </w:t>
      </w:r>
      <w:r w:rsidR="00D967EB">
        <w:rPr>
          <w:rFonts w:ascii="Times New Roman" w:hAnsi="Times New Roman" w:cs="Times New Roman"/>
          <w:sz w:val="24"/>
          <w:szCs w:val="24"/>
        </w:rPr>
        <w:lastRenderedPageBreak/>
        <w:t>offending conduct</w:t>
      </w:r>
      <w:r w:rsidR="00D967EB" w:rsidRPr="00420D8A">
        <w:rPr>
          <w:rFonts w:ascii="Times New Roman" w:hAnsi="Times New Roman" w:cs="Times New Roman"/>
          <w:sz w:val="24"/>
          <w:szCs w:val="24"/>
        </w:rPr>
        <w:t xml:space="preserve">, especially considering the potential for severe </w:t>
      </w:r>
      <w:r w:rsidR="00D967EB">
        <w:rPr>
          <w:rFonts w:ascii="Times New Roman" w:hAnsi="Times New Roman" w:cs="Times New Roman"/>
          <w:sz w:val="24"/>
          <w:szCs w:val="24"/>
        </w:rPr>
        <w:t xml:space="preserve">consequences as a result of a reportable incident. </w:t>
      </w:r>
      <w:r w:rsidR="002758FA">
        <w:rPr>
          <w:rFonts w:ascii="Times New Roman" w:hAnsi="Times New Roman" w:cs="Times New Roman"/>
          <w:color w:val="333333"/>
          <w:sz w:val="24"/>
          <w:szCs w:val="24"/>
          <w:shd w:val="clear" w:color="auto" w:fill="FFFFFF"/>
        </w:rPr>
        <w:t>I</w:t>
      </w:r>
      <w:r w:rsidR="002758FA" w:rsidRPr="002758FA">
        <w:rPr>
          <w:rFonts w:ascii="Times New Roman" w:hAnsi="Times New Roman" w:cs="Times New Roman"/>
          <w:color w:val="333333"/>
          <w:sz w:val="24"/>
          <w:szCs w:val="24"/>
          <w:shd w:val="clear" w:color="auto" w:fill="FFFFFF"/>
        </w:rPr>
        <w:t xml:space="preserve">t is vital to effective industry regulation </w:t>
      </w:r>
      <w:r w:rsidR="00211202">
        <w:rPr>
          <w:rFonts w:ascii="Times New Roman" w:hAnsi="Times New Roman" w:cs="Times New Roman"/>
          <w:color w:val="333333"/>
          <w:sz w:val="24"/>
          <w:szCs w:val="24"/>
          <w:shd w:val="clear" w:color="auto" w:fill="FFFFFF"/>
        </w:rPr>
        <w:t>as well as to</w:t>
      </w:r>
      <w:r w:rsidR="002758FA">
        <w:rPr>
          <w:rFonts w:ascii="Times New Roman" w:hAnsi="Times New Roman" w:cs="Times New Roman"/>
          <w:color w:val="333333"/>
          <w:sz w:val="24"/>
          <w:szCs w:val="24"/>
          <w:shd w:val="clear" w:color="auto" w:fill="FFFFFF"/>
        </w:rPr>
        <w:t xml:space="preserve"> an appropriate and timely response </w:t>
      </w:r>
      <w:r w:rsidR="002758FA" w:rsidRPr="002758FA">
        <w:rPr>
          <w:rFonts w:ascii="Times New Roman" w:hAnsi="Times New Roman" w:cs="Times New Roman"/>
          <w:color w:val="333333"/>
          <w:sz w:val="24"/>
          <w:szCs w:val="24"/>
          <w:shd w:val="clear" w:color="auto" w:fill="FFFFFF"/>
        </w:rPr>
        <w:t>that</w:t>
      </w:r>
      <w:r w:rsidR="002758FA">
        <w:rPr>
          <w:rFonts w:ascii="Times New Roman" w:hAnsi="Times New Roman" w:cs="Times New Roman"/>
          <w:color w:val="333333"/>
          <w:sz w:val="24"/>
          <w:szCs w:val="24"/>
          <w:shd w:val="clear" w:color="auto" w:fill="FFFFFF"/>
        </w:rPr>
        <w:t xml:space="preserve"> the Minister is advised of the reportable incident and </w:t>
      </w:r>
      <w:r w:rsidR="00211202">
        <w:rPr>
          <w:rFonts w:ascii="Times New Roman" w:hAnsi="Times New Roman" w:cs="Times New Roman"/>
          <w:color w:val="333333"/>
          <w:sz w:val="24"/>
          <w:szCs w:val="24"/>
          <w:shd w:val="clear" w:color="auto" w:fill="FFFFFF"/>
        </w:rPr>
        <w:t xml:space="preserve">of </w:t>
      </w:r>
      <w:r w:rsidR="002758FA">
        <w:rPr>
          <w:rFonts w:ascii="Times New Roman" w:hAnsi="Times New Roman" w:cs="Times New Roman"/>
          <w:color w:val="333333"/>
          <w:sz w:val="24"/>
          <w:szCs w:val="24"/>
          <w:shd w:val="clear" w:color="auto" w:fill="FFFFFF"/>
        </w:rPr>
        <w:t xml:space="preserve">any action that </w:t>
      </w:r>
      <w:r w:rsidR="00211202">
        <w:rPr>
          <w:rFonts w:ascii="Times New Roman" w:hAnsi="Times New Roman" w:cs="Times New Roman"/>
          <w:color w:val="333333"/>
          <w:sz w:val="24"/>
          <w:szCs w:val="24"/>
          <w:shd w:val="clear" w:color="auto" w:fill="FFFFFF"/>
        </w:rPr>
        <w:t xml:space="preserve">the licensee has </w:t>
      </w:r>
      <w:r w:rsidR="002758FA">
        <w:rPr>
          <w:rFonts w:ascii="Times New Roman" w:hAnsi="Times New Roman" w:cs="Times New Roman"/>
          <w:color w:val="333333"/>
          <w:sz w:val="24"/>
          <w:szCs w:val="24"/>
          <w:shd w:val="clear" w:color="auto" w:fill="FFFFFF"/>
        </w:rPr>
        <w:t xml:space="preserve">taken or </w:t>
      </w:r>
      <w:r w:rsidR="00211202">
        <w:rPr>
          <w:rFonts w:ascii="Times New Roman" w:hAnsi="Times New Roman" w:cs="Times New Roman"/>
          <w:color w:val="333333"/>
          <w:sz w:val="24"/>
          <w:szCs w:val="24"/>
          <w:shd w:val="clear" w:color="auto" w:fill="FFFFFF"/>
        </w:rPr>
        <w:t>is</w:t>
      </w:r>
      <w:r w:rsidR="002758FA">
        <w:rPr>
          <w:rFonts w:ascii="Times New Roman" w:hAnsi="Times New Roman" w:cs="Times New Roman"/>
          <w:color w:val="333333"/>
          <w:sz w:val="24"/>
          <w:szCs w:val="24"/>
          <w:shd w:val="clear" w:color="auto" w:fill="FFFFFF"/>
        </w:rPr>
        <w:t xml:space="preserve"> propos</w:t>
      </w:r>
      <w:r w:rsidR="00211202">
        <w:rPr>
          <w:rFonts w:ascii="Times New Roman" w:hAnsi="Times New Roman" w:cs="Times New Roman"/>
          <w:color w:val="333333"/>
          <w:sz w:val="24"/>
          <w:szCs w:val="24"/>
          <w:shd w:val="clear" w:color="auto" w:fill="FFFFFF"/>
        </w:rPr>
        <w:t>ing</w:t>
      </w:r>
      <w:r w:rsidR="002758FA" w:rsidRPr="002758FA">
        <w:rPr>
          <w:rFonts w:ascii="Times New Roman" w:hAnsi="Times New Roman" w:cs="Times New Roman"/>
          <w:color w:val="333333"/>
          <w:sz w:val="24"/>
          <w:szCs w:val="24"/>
          <w:shd w:val="clear" w:color="auto" w:fill="FFFFFF"/>
        </w:rPr>
        <w:t>.</w:t>
      </w:r>
      <w:r w:rsidR="00211202">
        <w:rPr>
          <w:rFonts w:ascii="Times New Roman" w:hAnsi="Times New Roman" w:cs="Times New Roman"/>
          <w:color w:val="333333"/>
          <w:sz w:val="24"/>
          <w:szCs w:val="24"/>
          <w:shd w:val="clear" w:color="auto" w:fill="FFFFFF"/>
        </w:rPr>
        <w:t xml:space="preserve"> Allowing the notice to be given orally allows for urgent circumstances.</w:t>
      </w:r>
    </w:p>
    <w:p w14:paraId="3AF46691" w14:textId="7C14D763" w:rsidR="004851B7" w:rsidRPr="003E4855" w:rsidRDefault="004851B7" w:rsidP="004851B7">
      <w:pPr>
        <w:rPr>
          <w:rFonts w:ascii="Times New Roman" w:hAnsi="Times New Roman" w:cs="Times New Roman"/>
          <w:sz w:val="24"/>
          <w:szCs w:val="24"/>
        </w:rPr>
      </w:pPr>
      <w:r>
        <w:rPr>
          <w:rFonts w:ascii="Times New Roman" w:hAnsi="Times New Roman" w:cs="Times New Roman"/>
          <w:sz w:val="24"/>
          <w:szCs w:val="24"/>
        </w:rPr>
        <w:t>The offence provision has been included in the GHG Regulations, rather than the OPGGS</w:t>
      </w:r>
      <w:r w:rsidR="00302B3A">
        <w:rPr>
          <w:rFonts w:ascii="Times New Roman" w:hAnsi="Times New Roman" w:cs="Times New Roman"/>
          <w:sz w:val="24"/>
          <w:szCs w:val="24"/>
        </w:rPr>
        <w:t> </w:t>
      </w:r>
      <w:r>
        <w:rPr>
          <w:rFonts w:ascii="Times New Roman" w:hAnsi="Times New Roman" w:cs="Times New Roman"/>
          <w:sz w:val="24"/>
          <w:szCs w:val="24"/>
        </w:rPr>
        <w:t xml:space="preserve">Act, despite the relatively high penalties that may be imposed for non-compliance. All the provisions relating to reporting events in relation to identified GHG storage formations are contained in the GHG Regulations, rather than in the OPGGS Act. It is considered that setting out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provisions (including enforcement provisions) in one instrument provides greater clarity to licensees, rather than including the substantive provisions in the regulations, and matters relating to enforcement of those provisions in the OPGGS Act.  </w:t>
      </w:r>
    </w:p>
    <w:p w14:paraId="29406F45" w14:textId="7AD69790" w:rsidR="00CF1995" w:rsidRDefault="00CF1995" w:rsidP="00CF1995">
      <w:pPr>
        <w:rPr>
          <w:rFonts w:ascii="Times New Roman" w:hAnsi="Times New Roman" w:cs="Times New Roman"/>
          <w:sz w:val="24"/>
          <w:szCs w:val="24"/>
        </w:rPr>
      </w:pPr>
      <w:r>
        <w:rPr>
          <w:rFonts w:ascii="Times New Roman" w:hAnsi="Times New Roman" w:cs="Times New Roman"/>
          <w:sz w:val="24"/>
          <w:szCs w:val="24"/>
        </w:rPr>
        <w:t xml:space="preserve">The maximum penalty of 50 PU for a failure to notify the responsible State/Territory Minister </w:t>
      </w:r>
      <w:r>
        <w:rPr>
          <w:rFonts w:ascii="Times New Roman" w:hAnsi="Times New Roman" w:cs="Times New Roman"/>
          <w:color w:val="333333"/>
          <w:sz w:val="24"/>
          <w:szCs w:val="24"/>
          <w:shd w:val="clear" w:color="auto" w:fill="FFFFFF"/>
        </w:rPr>
        <w:t xml:space="preserve">is consistent with the principles outlined in section 3.3 of </w:t>
      </w:r>
      <w:r>
        <w:rPr>
          <w:rFonts w:ascii="Times New Roman" w:hAnsi="Times New Roman" w:cs="Times New Roman"/>
          <w:sz w:val="24"/>
          <w:szCs w:val="24"/>
        </w:rPr>
        <w:t>the Guide, which states that penalties in regulations generally should not exceed 50 PU. Section 2.2.6 of the Guide also states that application of strict liability is generally only considered appropriate where the offence is punishable by a fine of up to 60 PU.</w:t>
      </w:r>
    </w:p>
    <w:p w14:paraId="110064BD" w14:textId="0A1380CA" w:rsidR="00CF1995" w:rsidRPr="00FA7784" w:rsidRDefault="00CF1995" w:rsidP="00CF1995">
      <w:pPr>
        <w:rPr>
          <w:rFonts w:ascii="Times New Roman" w:hAnsi="Times New Roman" w:cs="Times New Roman"/>
          <w:sz w:val="24"/>
          <w:szCs w:val="24"/>
        </w:rPr>
      </w:pPr>
      <w:r>
        <w:rPr>
          <w:rFonts w:ascii="Times New Roman" w:hAnsi="Times New Roman" w:cs="Times New Roman"/>
          <w:sz w:val="24"/>
          <w:szCs w:val="24"/>
        </w:rPr>
        <w:t xml:space="preserve">Subsections 51(3) and (4) are continuing offences under section 4K of the </w:t>
      </w:r>
      <w:r>
        <w:rPr>
          <w:rFonts w:ascii="Times New Roman" w:hAnsi="Times New Roman" w:cs="Times New Roman"/>
          <w:i/>
          <w:iCs/>
          <w:sz w:val="24"/>
          <w:szCs w:val="24"/>
        </w:rPr>
        <w:t>Crimes Act 1914</w:t>
      </w:r>
      <w:r>
        <w:rPr>
          <w:rFonts w:ascii="Times New Roman" w:hAnsi="Times New Roman" w:cs="Times New Roman"/>
          <w:sz w:val="24"/>
          <w:szCs w:val="24"/>
        </w:rPr>
        <w:t>. Section 62 of the GHG Regulations sets out that the maximum penalty for each day that an offence under subsection 51(3) or (4) continues is 10% of the maximum penalty that can be imposed in respect of that offence.</w:t>
      </w:r>
    </w:p>
    <w:p w14:paraId="0CDDE9CF" w14:textId="7214D5A1" w:rsidR="002758FA" w:rsidRPr="00D967EB" w:rsidRDefault="00D967EB" w:rsidP="002758F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 is also appropriate to have the option of imposing a civil sanction through a civil penalty of 1,000 PU for a failure to notify the </w:t>
      </w:r>
      <w:r w:rsidR="003947B2">
        <w:rPr>
          <w:rFonts w:ascii="Times New Roman" w:hAnsi="Times New Roman" w:cs="Times New Roman"/>
          <w:sz w:val="24"/>
          <w:szCs w:val="24"/>
          <w:shd w:val="clear" w:color="auto" w:fill="FFFFFF"/>
        </w:rPr>
        <w:t xml:space="preserve">responsible Commonwealth </w:t>
      </w:r>
      <w:r>
        <w:rPr>
          <w:rFonts w:ascii="Times New Roman" w:hAnsi="Times New Roman" w:cs="Times New Roman"/>
          <w:sz w:val="24"/>
          <w:szCs w:val="24"/>
          <w:shd w:val="clear" w:color="auto" w:fill="FFFFFF"/>
        </w:rPr>
        <w:t xml:space="preserve">Minister, or 500 PU for a failure to notify the responsible State/Territory Minister. As noted above, </w:t>
      </w:r>
      <w:r w:rsidRPr="00420D8A">
        <w:rPr>
          <w:rFonts w:ascii="Times New Roman" w:hAnsi="Times New Roman" w:cs="Times New Roman"/>
          <w:sz w:val="24"/>
          <w:szCs w:val="24"/>
        </w:rPr>
        <w:t xml:space="preserve">offshore </w:t>
      </w:r>
      <w:r>
        <w:rPr>
          <w:rFonts w:ascii="Times New Roman" w:hAnsi="Times New Roman" w:cs="Times New Roman"/>
          <w:sz w:val="24"/>
          <w:szCs w:val="24"/>
        </w:rPr>
        <w:t>operations</w:t>
      </w:r>
      <w:r w:rsidRPr="00420D8A">
        <w:rPr>
          <w:rFonts w:ascii="Times New Roman" w:hAnsi="Times New Roman" w:cs="Times New Roman"/>
          <w:sz w:val="24"/>
          <w:szCs w:val="24"/>
        </w:rPr>
        <w:t xml:space="preserve"> require a very high level of expenditure</w:t>
      </w:r>
      <w:r>
        <w:rPr>
          <w:rFonts w:ascii="Times New Roman" w:hAnsi="Times New Roman" w:cs="Times New Roman"/>
          <w:sz w:val="24"/>
          <w:szCs w:val="24"/>
        </w:rPr>
        <w:t xml:space="preserve">, and therefore licensees are well-resourced, sophisticated entities. </w:t>
      </w:r>
      <w:r>
        <w:rPr>
          <w:rFonts w:ascii="Times New Roman" w:hAnsi="Times New Roman" w:cs="Times New Roman"/>
          <w:sz w:val="24"/>
          <w:szCs w:val="24"/>
          <w:shd w:val="clear" w:color="auto" w:fill="FFFFFF"/>
        </w:rPr>
        <w:t xml:space="preserve">To be an effective deterrent, the penalty must therefore be sufficiently significant to overcome any sense that the potential imposition of a fine for non-compliance with a fundamental obligation might otherwise be perceived as a ‘cost of doing </w:t>
      </w:r>
      <w:proofErr w:type="gramStart"/>
      <w:r>
        <w:rPr>
          <w:rFonts w:ascii="Times New Roman" w:hAnsi="Times New Roman" w:cs="Times New Roman"/>
          <w:sz w:val="24"/>
          <w:szCs w:val="24"/>
          <w:shd w:val="clear" w:color="auto" w:fill="FFFFFF"/>
        </w:rPr>
        <w:t>business’</w:t>
      </w:r>
      <w:proofErr w:type="gramEnd"/>
      <w:r>
        <w:rPr>
          <w:rFonts w:ascii="Times New Roman" w:hAnsi="Times New Roman" w:cs="Times New Roman"/>
          <w:sz w:val="24"/>
          <w:szCs w:val="24"/>
          <w:shd w:val="clear" w:color="auto" w:fill="FFFFFF"/>
        </w:rPr>
        <w:t xml:space="preserve">. The size of the penalty also reflects the cost of court proceedings that may be necessary to enforce the penalty (see further at section 57 below). </w:t>
      </w:r>
      <w:r w:rsidR="002758FA" w:rsidRPr="002758FA">
        <w:rPr>
          <w:rFonts w:ascii="Times New Roman" w:hAnsi="Times New Roman" w:cs="Times New Roman"/>
          <w:color w:val="333333"/>
          <w:sz w:val="24"/>
          <w:szCs w:val="24"/>
          <w:shd w:val="clear" w:color="auto" w:fill="FFFFFF"/>
        </w:rPr>
        <w:t xml:space="preserve">Significant penalties help to ensure that the industry understands </w:t>
      </w:r>
      <w:r w:rsidR="002758FA">
        <w:rPr>
          <w:rFonts w:ascii="Times New Roman" w:hAnsi="Times New Roman" w:cs="Times New Roman"/>
          <w:color w:val="333333"/>
          <w:sz w:val="24"/>
          <w:szCs w:val="24"/>
          <w:shd w:val="clear" w:color="auto" w:fill="FFFFFF"/>
        </w:rPr>
        <w:t xml:space="preserve">the </w:t>
      </w:r>
      <w:r w:rsidR="002758FA" w:rsidRPr="002758FA">
        <w:rPr>
          <w:rFonts w:ascii="Times New Roman" w:hAnsi="Times New Roman" w:cs="Times New Roman"/>
          <w:color w:val="333333"/>
          <w:sz w:val="24"/>
          <w:szCs w:val="24"/>
          <w:shd w:val="clear" w:color="auto" w:fill="FFFFFF"/>
        </w:rPr>
        <w:t>serious</w:t>
      </w:r>
      <w:r w:rsidR="002758FA">
        <w:rPr>
          <w:rFonts w:ascii="Times New Roman" w:hAnsi="Times New Roman" w:cs="Times New Roman"/>
          <w:color w:val="333333"/>
          <w:sz w:val="24"/>
          <w:szCs w:val="24"/>
          <w:shd w:val="clear" w:color="auto" w:fill="FFFFFF"/>
        </w:rPr>
        <w:t xml:space="preserve">ness of reportable incidents and the need to keep both </w:t>
      </w:r>
      <w:r w:rsidR="00F93DA5">
        <w:rPr>
          <w:rFonts w:ascii="Times New Roman" w:hAnsi="Times New Roman" w:cs="Times New Roman"/>
          <w:color w:val="333333"/>
          <w:sz w:val="24"/>
          <w:szCs w:val="24"/>
          <w:shd w:val="clear" w:color="auto" w:fill="FFFFFF"/>
        </w:rPr>
        <w:t xml:space="preserve">responsible </w:t>
      </w:r>
      <w:r w:rsidR="002758FA">
        <w:rPr>
          <w:rFonts w:ascii="Times New Roman" w:hAnsi="Times New Roman" w:cs="Times New Roman"/>
          <w:color w:val="333333"/>
          <w:sz w:val="24"/>
          <w:szCs w:val="24"/>
          <w:shd w:val="clear" w:color="auto" w:fill="FFFFFF"/>
        </w:rPr>
        <w:t>Commonwealth and State</w:t>
      </w:r>
      <w:r>
        <w:rPr>
          <w:rFonts w:ascii="Times New Roman" w:hAnsi="Times New Roman" w:cs="Times New Roman"/>
          <w:color w:val="333333"/>
          <w:sz w:val="24"/>
          <w:szCs w:val="24"/>
          <w:shd w:val="clear" w:color="auto" w:fill="FFFFFF"/>
        </w:rPr>
        <w:t>/</w:t>
      </w:r>
      <w:r w:rsidR="002758FA">
        <w:rPr>
          <w:rFonts w:ascii="Times New Roman" w:hAnsi="Times New Roman" w:cs="Times New Roman"/>
          <w:color w:val="333333"/>
          <w:sz w:val="24"/>
          <w:szCs w:val="24"/>
          <w:shd w:val="clear" w:color="auto" w:fill="FFFFFF"/>
        </w:rPr>
        <w:t xml:space="preserve">Territory </w:t>
      </w:r>
      <w:r>
        <w:rPr>
          <w:rFonts w:ascii="Times New Roman" w:hAnsi="Times New Roman" w:cs="Times New Roman"/>
          <w:color w:val="333333"/>
          <w:sz w:val="24"/>
          <w:szCs w:val="24"/>
          <w:shd w:val="clear" w:color="auto" w:fill="FFFFFF"/>
        </w:rPr>
        <w:t>M</w:t>
      </w:r>
      <w:r w:rsidR="002758FA">
        <w:rPr>
          <w:rFonts w:ascii="Times New Roman" w:hAnsi="Times New Roman" w:cs="Times New Roman"/>
          <w:color w:val="333333"/>
          <w:sz w:val="24"/>
          <w:szCs w:val="24"/>
          <w:shd w:val="clear" w:color="auto" w:fill="FFFFFF"/>
        </w:rPr>
        <w:t>inisters advised</w:t>
      </w:r>
      <w:r w:rsidR="002758FA" w:rsidRPr="002758FA">
        <w:rPr>
          <w:rFonts w:ascii="Times New Roman" w:hAnsi="Times New Roman" w:cs="Times New Roman"/>
          <w:color w:val="333333"/>
          <w:sz w:val="24"/>
          <w:szCs w:val="24"/>
          <w:shd w:val="clear" w:color="auto" w:fill="FFFFFF"/>
        </w:rPr>
        <w:t>.</w:t>
      </w:r>
    </w:p>
    <w:p w14:paraId="30AFBEE6" w14:textId="77777777" w:rsidR="00CF1995" w:rsidRDefault="00CF1995" w:rsidP="00CF1995">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As noted above in relation to section 22, it is appropriate for regulators to have recourse to both civil and criminal penalties</w:t>
      </w:r>
      <w:r>
        <w:rPr>
          <w:rFonts w:ascii="Times New Roman" w:hAnsi="Times New Roman" w:cs="Times New Roman"/>
          <w:color w:val="333333"/>
          <w:sz w:val="24"/>
          <w:szCs w:val="24"/>
          <w:shd w:val="clear" w:color="auto" w:fill="FFFFFF"/>
        </w:rPr>
        <w:t xml:space="preserve"> – see the discussion at that section.</w:t>
      </w:r>
    </w:p>
    <w:p w14:paraId="2650191A" w14:textId="62D9E3F2" w:rsidR="00CF1995" w:rsidRDefault="00CF1995" w:rsidP="00CF1995">
      <w:r>
        <w:rPr>
          <w:rFonts w:ascii="Times New Roman" w:hAnsi="Times New Roman" w:cs="Times New Roman"/>
          <w:sz w:val="24"/>
          <w:szCs w:val="24"/>
        </w:rPr>
        <w:t>Subsection</w:t>
      </w:r>
      <w:r w:rsidR="00C34B70">
        <w:rPr>
          <w:rFonts w:ascii="Times New Roman" w:hAnsi="Times New Roman" w:cs="Times New Roman"/>
          <w:sz w:val="24"/>
          <w:szCs w:val="24"/>
        </w:rPr>
        <w:t>s</w:t>
      </w:r>
      <w:r>
        <w:rPr>
          <w:rFonts w:ascii="Times New Roman" w:hAnsi="Times New Roman" w:cs="Times New Roman"/>
          <w:sz w:val="24"/>
          <w:szCs w:val="24"/>
        </w:rPr>
        <w:t xml:space="preserve"> 51(5) and (6) are continuing civil penalty provisions under section 93 of the Regulatory Powers Act. Section 62 of the GHG Regulations sets out that the maximum civil penalty for each day that a contravention referred to in subsection 51(5) or (6) continues is 10% of the maximum civil penalty that can be imposed in respect of that contravention.</w:t>
      </w:r>
    </w:p>
    <w:p w14:paraId="531621EC" w14:textId="2AECB35A" w:rsidR="002758FA" w:rsidRDefault="00211202" w:rsidP="00632C96">
      <w:pPr>
        <w:rPr>
          <w:rFonts w:ascii="Times New Roman" w:hAnsi="Times New Roman" w:cs="Times New Roman"/>
          <w:sz w:val="24"/>
          <w:szCs w:val="24"/>
        </w:rPr>
      </w:pPr>
      <w:r>
        <w:rPr>
          <w:rFonts w:ascii="Times New Roman" w:hAnsi="Times New Roman" w:cs="Times New Roman"/>
          <w:sz w:val="24"/>
          <w:szCs w:val="24"/>
        </w:rPr>
        <w:t xml:space="preserve">The criminal and civil penalties for failing to notify the responsible </w:t>
      </w:r>
      <w:r w:rsidR="00D967EB">
        <w:rPr>
          <w:rFonts w:ascii="Times New Roman" w:hAnsi="Times New Roman" w:cs="Times New Roman"/>
          <w:sz w:val="24"/>
          <w:szCs w:val="24"/>
        </w:rPr>
        <w:t>S</w:t>
      </w:r>
      <w:r>
        <w:rPr>
          <w:rFonts w:ascii="Times New Roman" w:hAnsi="Times New Roman" w:cs="Times New Roman"/>
          <w:sz w:val="24"/>
          <w:szCs w:val="24"/>
        </w:rPr>
        <w:t xml:space="preserve">tate or </w:t>
      </w:r>
      <w:r w:rsidR="00D967EB">
        <w:rPr>
          <w:rFonts w:ascii="Times New Roman" w:hAnsi="Times New Roman" w:cs="Times New Roman"/>
          <w:sz w:val="24"/>
          <w:szCs w:val="24"/>
        </w:rPr>
        <w:t>T</w:t>
      </w:r>
      <w:r>
        <w:rPr>
          <w:rFonts w:ascii="Times New Roman" w:hAnsi="Times New Roman" w:cs="Times New Roman"/>
          <w:sz w:val="24"/>
          <w:szCs w:val="24"/>
        </w:rPr>
        <w:t xml:space="preserve">erritory </w:t>
      </w:r>
      <w:r w:rsidR="00D967EB">
        <w:rPr>
          <w:rFonts w:ascii="Times New Roman" w:hAnsi="Times New Roman" w:cs="Times New Roman"/>
          <w:sz w:val="24"/>
          <w:szCs w:val="24"/>
        </w:rPr>
        <w:t>M</w:t>
      </w:r>
      <w:r>
        <w:rPr>
          <w:rFonts w:ascii="Times New Roman" w:hAnsi="Times New Roman" w:cs="Times New Roman"/>
          <w:sz w:val="24"/>
          <w:szCs w:val="24"/>
        </w:rPr>
        <w:t xml:space="preserve">inister </w:t>
      </w:r>
      <w:r w:rsidR="00D86286">
        <w:rPr>
          <w:rFonts w:ascii="Times New Roman" w:hAnsi="Times New Roman" w:cs="Times New Roman"/>
          <w:sz w:val="24"/>
          <w:szCs w:val="24"/>
        </w:rPr>
        <w:t xml:space="preserve">of a reportable incident </w:t>
      </w:r>
      <w:r>
        <w:rPr>
          <w:rFonts w:ascii="Times New Roman" w:hAnsi="Times New Roman" w:cs="Times New Roman"/>
          <w:sz w:val="24"/>
          <w:szCs w:val="24"/>
        </w:rPr>
        <w:t xml:space="preserve">are half those </w:t>
      </w:r>
      <w:r w:rsidR="00B95982">
        <w:rPr>
          <w:rFonts w:ascii="Times New Roman" w:hAnsi="Times New Roman" w:cs="Times New Roman"/>
          <w:sz w:val="24"/>
          <w:szCs w:val="24"/>
        </w:rPr>
        <w:t>for</w:t>
      </w:r>
      <w:r>
        <w:rPr>
          <w:rFonts w:ascii="Times New Roman" w:hAnsi="Times New Roman" w:cs="Times New Roman"/>
          <w:sz w:val="24"/>
          <w:szCs w:val="24"/>
        </w:rPr>
        <w:t xml:space="preserve"> failing to notify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The Commonwealth is responsible for activities in offshore </w:t>
      </w:r>
      <w:proofErr w:type="gramStart"/>
      <w:r>
        <w:rPr>
          <w:rFonts w:ascii="Times New Roman" w:hAnsi="Times New Roman" w:cs="Times New Roman"/>
          <w:sz w:val="24"/>
          <w:szCs w:val="24"/>
        </w:rPr>
        <w:t>areas</w:t>
      </w:r>
      <w:r w:rsidR="00D86286">
        <w:rPr>
          <w:rFonts w:ascii="Times New Roman" w:hAnsi="Times New Roman" w:cs="Times New Roman"/>
          <w:sz w:val="24"/>
          <w:szCs w:val="24"/>
        </w:rPr>
        <w:t>, and</w:t>
      </w:r>
      <w:proofErr w:type="gramEnd"/>
      <w:r w:rsidR="00D86286">
        <w:rPr>
          <w:rFonts w:ascii="Times New Roman" w:hAnsi="Times New Roman" w:cs="Times New Roman"/>
          <w:sz w:val="24"/>
          <w:szCs w:val="24"/>
        </w:rPr>
        <w:t xml:space="preserve"> is best placed to take certain regulatory actions in the event of an incident occurring. This </w:t>
      </w:r>
      <w:r w:rsidR="00D86286">
        <w:rPr>
          <w:rFonts w:ascii="Times New Roman" w:hAnsi="Times New Roman" w:cs="Times New Roman"/>
          <w:sz w:val="24"/>
          <w:szCs w:val="24"/>
        </w:rPr>
        <w:lastRenderedPageBreak/>
        <w:t xml:space="preserve">is reflected in the higher penalty for failure to notify the </w:t>
      </w:r>
      <w:r w:rsidR="003947B2">
        <w:rPr>
          <w:rFonts w:ascii="Times New Roman" w:hAnsi="Times New Roman" w:cs="Times New Roman"/>
          <w:sz w:val="24"/>
          <w:szCs w:val="24"/>
        </w:rPr>
        <w:t xml:space="preserve">responsible Commonwealth </w:t>
      </w:r>
      <w:r w:rsidR="00D86286">
        <w:rPr>
          <w:rFonts w:ascii="Times New Roman" w:hAnsi="Times New Roman" w:cs="Times New Roman"/>
          <w:sz w:val="24"/>
          <w:szCs w:val="24"/>
        </w:rPr>
        <w:t>Minister.</w:t>
      </w:r>
      <w:r>
        <w:rPr>
          <w:rFonts w:ascii="Times New Roman" w:hAnsi="Times New Roman" w:cs="Times New Roman"/>
          <w:sz w:val="24"/>
          <w:szCs w:val="24"/>
        </w:rPr>
        <w:t xml:space="preserve"> </w:t>
      </w:r>
    </w:p>
    <w:p w14:paraId="2B13563E" w14:textId="05CCFFC0" w:rsidR="00E3716E" w:rsidRPr="00502CAB" w:rsidRDefault="00632C96" w:rsidP="00502CAB">
      <w:pPr>
        <w:pStyle w:val="ActHead5"/>
        <w:spacing w:after="240"/>
      </w:pPr>
      <w:r w:rsidRPr="00502CAB">
        <w:t xml:space="preserve">Section </w:t>
      </w:r>
      <w:r w:rsidR="00234D7B" w:rsidRPr="00502CAB">
        <w:t>52</w:t>
      </w:r>
      <w:r w:rsidRPr="00502CAB">
        <w:t xml:space="preserve"> – Reporting to responsible Commonwealth and State/Territory Ministers</w:t>
      </w:r>
    </w:p>
    <w:p w14:paraId="715909ED" w14:textId="7D02CC9E" w:rsidR="00286D19" w:rsidRDefault="00632C96" w:rsidP="00FA307E">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This </w:t>
      </w:r>
      <w:r w:rsidRPr="00845BFD">
        <w:rPr>
          <w:rFonts w:ascii="Times New Roman" w:hAnsi="Times New Roman" w:cs="Times New Roman"/>
          <w:sz w:val="24"/>
          <w:szCs w:val="24"/>
        </w:rPr>
        <w:t xml:space="preserve">section </w:t>
      </w:r>
      <w:r w:rsidR="00962246">
        <w:rPr>
          <w:rFonts w:ascii="Times New Roman" w:hAnsi="Times New Roman" w:cs="Times New Roman"/>
          <w:sz w:val="24"/>
          <w:szCs w:val="24"/>
        </w:rPr>
        <w:t>requires a GHG injection</w:t>
      </w:r>
      <w:r w:rsidR="00390A9E">
        <w:rPr>
          <w:rFonts w:ascii="Times New Roman" w:hAnsi="Times New Roman" w:cs="Times New Roman"/>
          <w:color w:val="333333"/>
          <w:sz w:val="24"/>
          <w:szCs w:val="24"/>
          <w:shd w:val="clear" w:color="auto" w:fill="FFFFFF"/>
        </w:rPr>
        <w:t xml:space="preserve"> licensee </w:t>
      </w:r>
      <w:r w:rsidR="00962246">
        <w:rPr>
          <w:rFonts w:ascii="Times New Roman" w:hAnsi="Times New Roman" w:cs="Times New Roman"/>
          <w:color w:val="333333"/>
          <w:sz w:val="24"/>
          <w:szCs w:val="24"/>
          <w:shd w:val="clear" w:color="auto" w:fill="FFFFFF"/>
        </w:rPr>
        <w:t xml:space="preserve">to give a written report of a reportable incident to the </w:t>
      </w:r>
      <w:r w:rsidR="003947B2">
        <w:rPr>
          <w:rFonts w:ascii="Times New Roman" w:hAnsi="Times New Roman" w:cs="Times New Roman"/>
          <w:color w:val="333333"/>
          <w:sz w:val="24"/>
          <w:szCs w:val="24"/>
          <w:shd w:val="clear" w:color="auto" w:fill="FFFFFF"/>
        </w:rPr>
        <w:t xml:space="preserve">responsible Commonwealth </w:t>
      </w:r>
      <w:r w:rsidR="00962246">
        <w:rPr>
          <w:rFonts w:ascii="Times New Roman" w:hAnsi="Times New Roman" w:cs="Times New Roman"/>
          <w:color w:val="333333"/>
          <w:sz w:val="24"/>
          <w:szCs w:val="24"/>
          <w:shd w:val="clear" w:color="auto" w:fill="FFFFFF"/>
        </w:rPr>
        <w:t>Minister</w:t>
      </w:r>
      <w:r w:rsidR="00390A9E">
        <w:rPr>
          <w:rFonts w:ascii="Times New Roman" w:hAnsi="Times New Roman" w:cs="Times New Roman"/>
          <w:color w:val="333333"/>
          <w:sz w:val="24"/>
          <w:szCs w:val="24"/>
          <w:shd w:val="clear" w:color="auto" w:fill="FFFFFF"/>
        </w:rPr>
        <w:t xml:space="preserve">, </w:t>
      </w:r>
      <w:r w:rsidR="00F93DA5">
        <w:rPr>
          <w:rFonts w:ascii="Times New Roman" w:hAnsi="Times New Roman" w:cs="Times New Roman"/>
          <w:color w:val="333333"/>
          <w:sz w:val="24"/>
          <w:szCs w:val="24"/>
          <w:shd w:val="clear" w:color="auto" w:fill="FFFFFF"/>
        </w:rPr>
        <w:t>no later than</w:t>
      </w:r>
      <w:r w:rsidR="00390A9E">
        <w:rPr>
          <w:rFonts w:ascii="Times New Roman" w:hAnsi="Times New Roman" w:cs="Times New Roman"/>
          <w:color w:val="333333"/>
          <w:sz w:val="24"/>
          <w:szCs w:val="24"/>
          <w:shd w:val="clear" w:color="auto" w:fill="FFFFFF"/>
        </w:rPr>
        <w:t xml:space="preserve"> the reporting deadline set out in </w:t>
      </w:r>
      <w:r w:rsidR="00011F00">
        <w:rPr>
          <w:rFonts w:ascii="Times New Roman" w:hAnsi="Times New Roman" w:cs="Times New Roman"/>
          <w:color w:val="333333"/>
          <w:sz w:val="24"/>
          <w:szCs w:val="24"/>
          <w:shd w:val="clear" w:color="auto" w:fill="FFFFFF"/>
        </w:rPr>
        <w:t>sub</w:t>
      </w:r>
      <w:r w:rsidR="00390A9E">
        <w:rPr>
          <w:rFonts w:ascii="Times New Roman" w:hAnsi="Times New Roman" w:cs="Times New Roman"/>
          <w:color w:val="333333"/>
          <w:sz w:val="24"/>
          <w:szCs w:val="24"/>
          <w:shd w:val="clear" w:color="auto" w:fill="FFFFFF"/>
        </w:rPr>
        <w:t>s</w:t>
      </w:r>
      <w:r w:rsidR="00BC1751">
        <w:rPr>
          <w:rFonts w:ascii="Times New Roman" w:hAnsi="Times New Roman" w:cs="Times New Roman"/>
          <w:color w:val="333333"/>
          <w:sz w:val="24"/>
          <w:szCs w:val="24"/>
          <w:shd w:val="clear" w:color="auto" w:fill="FFFFFF"/>
        </w:rPr>
        <w:t>ection</w:t>
      </w:r>
      <w:r w:rsidR="00390A9E">
        <w:rPr>
          <w:rFonts w:ascii="Times New Roman" w:hAnsi="Times New Roman" w:cs="Times New Roman"/>
          <w:color w:val="333333"/>
          <w:sz w:val="24"/>
          <w:szCs w:val="24"/>
          <w:shd w:val="clear" w:color="auto" w:fill="FFFFFF"/>
        </w:rPr>
        <w:t xml:space="preserve"> </w:t>
      </w:r>
      <w:r w:rsidR="00962246">
        <w:rPr>
          <w:rFonts w:ascii="Times New Roman" w:hAnsi="Times New Roman" w:cs="Times New Roman"/>
          <w:color w:val="333333"/>
          <w:sz w:val="24"/>
          <w:szCs w:val="24"/>
          <w:shd w:val="clear" w:color="auto" w:fill="FFFFFF"/>
        </w:rPr>
        <w:t>49</w:t>
      </w:r>
      <w:r w:rsidR="00011F00">
        <w:rPr>
          <w:rFonts w:ascii="Times New Roman" w:hAnsi="Times New Roman" w:cs="Times New Roman"/>
          <w:color w:val="333333"/>
          <w:sz w:val="24"/>
          <w:szCs w:val="24"/>
          <w:shd w:val="clear" w:color="auto" w:fill="FFFFFF"/>
        </w:rPr>
        <w:t>(2)</w:t>
      </w:r>
      <w:r w:rsidR="00962246">
        <w:rPr>
          <w:rFonts w:ascii="Times New Roman" w:hAnsi="Times New Roman" w:cs="Times New Roman"/>
          <w:color w:val="333333"/>
          <w:sz w:val="24"/>
          <w:szCs w:val="24"/>
          <w:shd w:val="clear" w:color="auto" w:fill="FFFFFF"/>
        </w:rPr>
        <w:t xml:space="preserve"> for the </w:t>
      </w:r>
      <w:proofErr w:type="gramStart"/>
      <w:r w:rsidR="00962246">
        <w:rPr>
          <w:rFonts w:ascii="Times New Roman" w:hAnsi="Times New Roman" w:cs="Times New Roman"/>
          <w:color w:val="333333"/>
          <w:sz w:val="24"/>
          <w:szCs w:val="24"/>
          <w:shd w:val="clear" w:color="auto" w:fill="FFFFFF"/>
        </w:rPr>
        <w:t>particular type of</w:t>
      </w:r>
      <w:r w:rsidR="00845BFD" w:rsidRPr="00845BFD">
        <w:rPr>
          <w:rFonts w:ascii="Times New Roman" w:hAnsi="Times New Roman" w:cs="Times New Roman"/>
          <w:color w:val="333333"/>
          <w:sz w:val="24"/>
          <w:szCs w:val="24"/>
          <w:shd w:val="clear" w:color="auto" w:fill="FFFFFF"/>
        </w:rPr>
        <w:t xml:space="preserve"> reportable</w:t>
      </w:r>
      <w:proofErr w:type="gramEnd"/>
      <w:r w:rsidR="00845BFD" w:rsidRPr="00845BFD">
        <w:rPr>
          <w:rFonts w:ascii="Times New Roman" w:hAnsi="Times New Roman" w:cs="Times New Roman"/>
          <w:color w:val="333333"/>
          <w:sz w:val="24"/>
          <w:szCs w:val="24"/>
          <w:shd w:val="clear" w:color="auto" w:fill="FFFFFF"/>
        </w:rPr>
        <w:t xml:space="preserve"> incident. </w:t>
      </w:r>
      <w:r w:rsidR="00390A9E">
        <w:rPr>
          <w:rFonts w:ascii="Times New Roman" w:hAnsi="Times New Roman" w:cs="Times New Roman"/>
          <w:color w:val="333333"/>
          <w:sz w:val="24"/>
          <w:szCs w:val="24"/>
          <w:shd w:val="clear" w:color="auto" w:fill="FFFFFF"/>
        </w:rPr>
        <w:t>T</w:t>
      </w:r>
      <w:r w:rsidR="00845BFD" w:rsidRPr="00845BFD">
        <w:rPr>
          <w:rFonts w:ascii="Times New Roman" w:hAnsi="Times New Roman" w:cs="Times New Roman"/>
          <w:color w:val="333333"/>
          <w:sz w:val="24"/>
          <w:szCs w:val="24"/>
          <w:shd w:val="clear" w:color="auto" w:fill="FFFFFF"/>
        </w:rPr>
        <w:t xml:space="preserve">he report must contain </w:t>
      </w:r>
      <w:r w:rsidR="00FA307E" w:rsidRPr="007D1E0E">
        <w:rPr>
          <w:rFonts w:ascii="Times New Roman" w:hAnsi="Times New Roman" w:cs="Times New Roman"/>
          <w:color w:val="333333"/>
          <w:sz w:val="24"/>
          <w:szCs w:val="24"/>
          <w:shd w:val="clear" w:color="auto" w:fill="FFFFFF"/>
        </w:rPr>
        <w:t xml:space="preserve">all </w:t>
      </w:r>
      <w:r w:rsidR="00962246">
        <w:rPr>
          <w:rFonts w:ascii="Times New Roman" w:hAnsi="Times New Roman" w:cs="Times New Roman"/>
          <w:color w:val="333333"/>
          <w:sz w:val="24"/>
          <w:szCs w:val="24"/>
          <w:shd w:val="clear" w:color="auto" w:fill="FFFFFF"/>
        </w:rPr>
        <w:t xml:space="preserve">material facts and circumstances </w:t>
      </w:r>
      <w:r w:rsidR="00F93DA5">
        <w:rPr>
          <w:rFonts w:ascii="Times New Roman" w:hAnsi="Times New Roman" w:cs="Times New Roman"/>
          <w:color w:val="333333"/>
          <w:sz w:val="24"/>
          <w:szCs w:val="24"/>
          <w:shd w:val="clear" w:color="auto" w:fill="FFFFFF"/>
        </w:rPr>
        <w:t xml:space="preserve">concerning the </w:t>
      </w:r>
      <w:proofErr w:type="gramStart"/>
      <w:r w:rsidR="00F93DA5">
        <w:rPr>
          <w:rFonts w:ascii="Times New Roman" w:hAnsi="Times New Roman" w:cs="Times New Roman"/>
          <w:color w:val="333333"/>
          <w:sz w:val="24"/>
          <w:szCs w:val="24"/>
          <w:shd w:val="clear" w:color="auto" w:fill="FFFFFF"/>
        </w:rPr>
        <w:t>incident</w:t>
      </w:r>
      <w:proofErr w:type="gramEnd"/>
      <w:r w:rsidR="00F93DA5">
        <w:rPr>
          <w:rFonts w:ascii="Times New Roman" w:hAnsi="Times New Roman" w:cs="Times New Roman"/>
          <w:color w:val="333333"/>
          <w:sz w:val="24"/>
          <w:szCs w:val="24"/>
          <w:shd w:val="clear" w:color="auto" w:fill="FFFFFF"/>
        </w:rPr>
        <w:t xml:space="preserve"> </w:t>
      </w:r>
      <w:r w:rsidR="00962246">
        <w:rPr>
          <w:rFonts w:ascii="Times New Roman" w:hAnsi="Times New Roman" w:cs="Times New Roman"/>
          <w:color w:val="333333"/>
          <w:sz w:val="24"/>
          <w:szCs w:val="24"/>
          <w:shd w:val="clear" w:color="auto" w:fill="FFFFFF"/>
        </w:rPr>
        <w:t>that are known or can be obtained by</w:t>
      </w:r>
      <w:r w:rsidR="00FA307E">
        <w:rPr>
          <w:rFonts w:ascii="Times New Roman" w:hAnsi="Times New Roman" w:cs="Times New Roman"/>
          <w:color w:val="333333"/>
          <w:sz w:val="24"/>
          <w:szCs w:val="24"/>
          <w:shd w:val="clear" w:color="auto" w:fill="FFFFFF"/>
        </w:rPr>
        <w:t xml:space="preserve"> reasonable </w:t>
      </w:r>
      <w:r w:rsidR="00962246">
        <w:rPr>
          <w:rFonts w:ascii="Times New Roman" w:hAnsi="Times New Roman" w:cs="Times New Roman"/>
          <w:color w:val="333333"/>
          <w:sz w:val="24"/>
          <w:szCs w:val="24"/>
          <w:shd w:val="clear" w:color="auto" w:fill="FFFFFF"/>
        </w:rPr>
        <w:t>search or en</w:t>
      </w:r>
      <w:r w:rsidR="00FA307E">
        <w:rPr>
          <w:rFonts w:ascii="Times New Roman" w:hAnsi="Times New Roman" w:cs="Times New Roman"/>
          <w:color w:val="333333"/>
          <w:sz w:val="24"/>
          <w:szCs w:val="24"/>
          <w:shd w:val="clear" w:color="auto" w:fill="FFFFFF"/>
        </w:rPr>
        <w:t>quir</w:t>
      </w:r>
      <w:r w:rsidR="00962246">
        <w:rPr>
          <w:rFonts w:ascii="Times New Roman" w:hAnsi="Times New Roman" w:cs="Times New Roman"/>
          <w:color w:val="333333"/>
          <w:sz w:val="24"/>
          <w:szCs w:val="24"/>
          <w:shd w:val="clear" w:color="auto" w:fill="FFFFFF"/>
        </w:rPr>
        <w:t>y</w:t>
      </w:r>
      <w:r w:rsidR="00FA307E">
        <w:rPr>
          <w:rFonts w:ascii="Times New Roman" w:hAnsi="Times New Roman" w:cs="Times New Roman"/>
          <w:color w:val="333333"/>
          <w:sz w:val="24"/>
          <w:szCs w:val="24"/>
          <w:shd w:val="clear" w:color="auto" w:fill="FFFFFF"/>
        </w:rPr>
        <w:t xml:space="preserve">, </w:t>
      </w:r>
      <w:r w:rsidR="00F93DA5">
        <w:rPr>
          <w:rFonts w:ascii="Times New Roman" w:hAnsi="Times New Roman" w:cs="Times New Roman"/>
          <w:color w:val="333333"/>
          <w:sz w:val="24"/>
          <w:szCs w:val="24"/>
          <w:shd w:val="clear" w:color="auto" w:fill="FFFFFF"/>
        </w:rPr>
        <w:t xml:space="preserve">details of </w:t>
      </w:r>
      <w:r w:rsidR="00FA307E" w:rsidRPr="007D1E0E">
        <w:rPr>
          <w:rFonts w:ascii="Times New Roman" w:hAnsi="Times New Roman" w:cs="Times New Roman"/>
          <w:color w:val="333333"/>
          <w:sz w:val="24"/>
          <w:szCs w:val="24"/>
          <w:shd w:val="clear" w:color="auto" w:fill="FFFFFF"/>
        </w:rPr>
        <w:t xml:space="preserve">any action taken </w:t>
      </w:r>
      <w:r w:rsidR="00FA307E">
        <w:rPr>
          <w:rFonts w:ascii="Times New Roman" w:hAnsi="Times New Roman" w:cs="Times New Roman"/>
          <w:color w:val="333333"/>
          <w:sz w:val="24"/>
          <w:szCs w:val="24"/>
          <w:shd w:val="clear" w:color="auto" w:fill="FFFFFF"/>
        </w:rPr>
        <w:t>to avoid or mitigate adverse environmental impacts</w:t>
      </w:r>
      <w:r w:rsidR="00F93DA5">
        <w:rPr>
          <w:rFonts w:ascii="Times New Roman" w:hAnsi="Times New Roman" w:cs="Times New Roman"/>
          <w:color w:val="333333"/>
          <w:sz w:val="24"/>
          <w:szCs w:val="24"/>
          <w:shd w:val="clear" w:color="auto" w:fill="FFFFFF"/>
        </w:rPr>
        <w:t xml:space="preserve"> of the incident</w:t>
      </w:r>
      <w:r w:rsidR="00FA307E">
        <w:rPr>
          <w:rFonts w:ascii="Times New Roman" w:hAnsi="Times New Roman" w:cs="Times New Roman"/>
          <w:color w:val="333333"/>
          <w:sz w:val="24"/>
          <w:szCs w:val="24"/>
          <w:shd w:val="clear" w:color="auto" w:fill="FFFFFF"/>
        </w:rPr>
        <w:t xml:space="preserve">, and </w:t>
      </w:r>
      <w:r w:rsidR="00F93DA5">
        <w:rPr>
          <w:rFonts w:ascii="Times New Roman" w:hAnsi="Times New Roman" w:cs="Times New Roman"/>
          <w:color w:val="333333"/>
          <w:sz w:val="24"/>
          <w:szCs w:val="24"/>
          <w:shd w:val="clear" w:color="auto" w:fill="FFFFFF"/>
        </w:rPr>
        <w:t xml:space="preserve">details of </w:t>
      </w:r>
      <w:r w:rsidR="00FA307E">
        <w:rPr>
          <w:rFonts w:ascii="Times New Roman" w:hAnsi="Times New Roman" w:cs="Times New Roman"/>
          <w:color w:val="333333"/>
          <w:sz w:val="24"/>
          <w:szCs w:val="24"/>
          <w:shd w:val="clear" w:color="auto" w:fill="FFFFFF"/>
        </w:rPr>
        <w:t xml:space="preserve">corrective action </w:t>
      </w:r>
      <w:r w:rsidR="00962246">
        <w:rPr>
          <w:rFonts w:ascii="Times New Roman" w:hAnsi="Times New Roman" w:cs="Times New Roman"/>
          <w:color w:val="333333"/>
          <w:sz w:val="24"/>
          <w:szCs w:val="24"/>
          <w:shd w:val="clear" w:color="auto" w:fill="FFFFFF"/>
        </w:rPr>
        <w:t xml:space="preserve">already taken or proposed to be taken </w:t>
      </w:r>
      <w:r w:rsidR="00FA307E">
        <w:rPr>
          <w:rFonts w:ascii="Times New Roman" w:hAnsi="Times New Roman" w:cs="Times New Roman"/>
          <w:color w:val="333333"/>
          <w:sz w:val="24"/>
          <w:szCs w:val="24"/>
          <w:shd w:val="clear" w:color="auto" w:fill="FFFFFF"/>
        </w:rPr>
        <w:t xml:space="preserve">to prevent </w:t>
      </w:r>
      <w:r w:rsidR="00962246">
        <w:rPr>
          <w:rFonts w:ascii="Times New Roman" w:hAnsi="Times New Roman" w:cs="Times New Roman"/>
          <w:color w:val="333333"/>
          <w:sz w:val="24"/>
          <w:szCs w:val="24"/>
          <w:shd w:val="clear" w:color="auto" w:fill="FFFFFF"/>
        </w:rPr>
        <w:t xml:space="preserve">the occurrence of </w:t>
      </w:r>
      <w:r w:rsidR="00FA307E">
        <w:rPr>
          <w:rFonts w:ascii="Times New Roman" w:hAnsi="Times New Roman" w:cs="Times New Roman"/>
          <w:color w:val="333333"/>
          <w:sz w:val="24"/>
          <w:szCs w:val="24"/>
          <w:shd w:val="clear" w:color="auto" w:fill="FFFFFF"/>
        </w:rPr>
        <w:t>a similar incident</w:t>
      </w:r>
      <w:r w:rsidR="00FA307E" w:rsidRPr="007D1E0E">
        <w:rPr>
          <w:rFonts w:ascii="Times New Roman" w:hAnsi="Times New Roman" w:cs="Times New Roman"/>
          <w:color w:val="333333"/>
          <w:sz w:val="24"/>
          <w:szCs w:val="24"/>
          <w:shd w:val="clear" w:color="auto" w:fill="FFFFFF"/>
        </w:rPr>
        <w:t>.</w:t>
      </w:r>
      <w:r w:rsidR="00FA307E">
        <w:rPr>
          <w:rFonts w:ascii="Times New Roman" w:hAnsi="Times New Roman" w:cs="Times New Roman"/>
          <w:color w:val="333333"/>
          <w:sz w:val="24"/>
          <w:szCs w:val="24"/>
          <w:shd w:val="clear" w:color="auto" w:fill="FFFFFF"/>
        </w:rPr>
        <w:t xml:space="preserve"> </w:t>
      </w:r>
    </w:p>
    <w:p w14:paraId="765C7BED" w14:textId="7B9F6FCA" w:rsidR="00FA307E" w:rsidRPr="00962246" w:rsidRDefault="00FA307E" w:rsidP="0096224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Where the </w:t>
      </w:r>
      <w:r w:rsidRPr="00FA307E">
        <w:rPr>
          <w:rFonts w:ascii="Times New Roman" w:hAnsi="Times New Roman" w:cs="Times New Roman"/>
          <w:color w:val="333333"/>
          <w:sz w:val="24"/>
          <w:szCs w:val="24"/>
          <w:shd w:val="clear" w:color="auto" w:fill="FFFFFF"/>
        </w:rPr>
        <w:t xml:space="preserve">incident </w:t>
      </w:r>
      <w:r>
        <w:rPr>
          <w:rFonts w:ascii="Times New Roman" w:hAnsi="Times New Roman" w:cs="Times New Roman"/>
          <w:color w:val="333333"/>
          <w:sz w:val="24"/>
          <w:szCs w:val="24"/>
          <w:shd w:val="clear" w:color="auto" w:fill="FFFFFF"/>
        </w:rPr>
        <w:t>i</w:t>
      </w:r>
      <w:r w:rsidR="00962246">
        <w:rPr>
          <w:rFonts w:ascii="Times New Roman" w:hAnsi="Times New Roman" w:cs="Times New Roman"/>
          <w:color w:val="333333"/>
          <w:sz w:val="24"/>
          <w:szCs w:val="24"/>
          <w:shd w:val="clear" w:color="auto" w:fill="FFFFFF"/>
        </w:rPr>
        <w:t>nvolves the existence of</w:t>
      </w:r>
      <w:r>
        <w:rPr>
          <w:rFonts w:ascii="Times New Roman" w:hAnsi="Times New Roman" w:cs="Times New Roman"/>
          <w:color w:val="333333"/>
          <w:sz w:val="24"/>
          <w:szCs w:val="24"/>
          <w:shd w:val="clear" w:color="auto" w:fill="FFFFFF"/>
        </w:rPr>
        <w:t xml:space="preserve"> </w:t>
      </w:r>
      <w:r w:rsidRPr="00FA307E">
        <w:rPr>
          <w:rFonts w:ascii="Times New Roman" w:hAnsi="Times New Roman" w:cs="Times New Roman"/>
          <w:color w:val="333333"/>
          <w:sz w:val="24"/>
          <w:szCs w:val="24"/>
          <w:shd w:val="clear" w:color="auto" w:fill="FFFFFF"/>
        </w:rPr>
        <w:t xml:space="preserve">a serious situation involving a </w:t>
      </w:r>
      <w:r>
        <w:rPr>
          <w:rFonts w:ascii="Times New Roman" w:hAnsi="Times New Roman" w:cs="Times New Roman"/>
          <w:color w:val="333333"/>
          <w:sz w:val="24"/>
          <w:szCs w:val="24"/>
          <w:shd w:val="clear" w:color="auto" w:fill="FFFFFF"/>
        </w:rPr>
        <w:t xml:space="preserve">leakage or </w:t>
      </w:r>
      <w:r w:rsidR="00286D19">
        <w:rPr>
          <w:rFonts w:ascii="Times New Roman" w:hAnsi="Times New Roman" w:cs="Times New Roman"/>
          <w:color w:val="333333"/>
          <w:sz w:val="24"/>
          <w:szCs w:val="24"/>
          <w:shd w:val="clear" w:color="auto" w:fill="FFFFFF"/>
        </w:rPr>
        <w:t xml:space="preserve">a </w:t>
      </w:r>
      <w:r w:rsidRPr="00FA307E">
        <w:rPr>
          <w:rFonts w:ascii="Times New Roman" w:hAnsi="Times New Roman" w:cs="Times New Roman"/>
          <w:color w:val="333333"/>
          <w:sz w:val="24"/>
          <w:szCs w:val="24"/>
          <w:shd w:val="clear" w:color="auto" w:fill="FFFFFF"/>
        </w:rPr>
        <w:t>risk of leakage of a GHG substance to the seabed</w:t>
      </w:r>
      <w:r>
        <w:rPr>
          <w:rFonts w:ascii="Times New Roman" w:hAnsi="Times New Roman" w:cs="Times New Roman"/>
          <w:color w:val="333333"/>
          <w:sz w:val="24"/>
          <w:szCs w:val="24"/>
          <w:shd w:val="clear" w:color="auto" w:fill="FFFFFF"/>
        </w:rPr>
        <w:t xml:space="preserve"> (as set out </w:t>
      </w:r>
      <w:r w:rsidRPr="00011F00">
        <w:rPr>
          <w:rFonts w:ascii="Times New Roman" w:hAnsi="Times New Roman" w:cs="Times New Roman"/>
          <w:color w:val="333333"/>
          <w:sz w:val="24"/>
          <w:szCs w:val="24"/>
          <w:shd w:val="clear" w:color="auto" w:fill="FFFFFF"/>
        </w:rPr>
        <w:t xml:space="preserve">in </w:t>
      </w:r>
      <w:r w:rsidR="00011F00" w:rsidRPr="00011F00">
        <w:rPr>
          <w:rFonts w:ascii="Times New Roman" w:hAnsi="Times New Roman" w:cs="Times New Roman"/>
          <w:color w:val="333333"/>
          <w:sz w:val="24"/>
          <w:szCs w:val="24"/>
          <w:shd w:val="clear" w:color="auto" w:fill="FFFFFF"/>
        </w:rPr>
        <w:t>paragraph</w:t>
      </w:r>
      <w:r w:rsidRPr="00011F00">
        <w:rPr>
          <w:rFonts w:ascii="Times New Roman" w:hAnsi="Times New Roman" w:cs="Times New Roman"/>
          <w:color w:val="333333"/>
          <w:sz w:val="24"/>
          <w:szCs w:val="24"/>
          <w:shd w:val="clear" w:color="auto" w:fill="FFFFFF"/>
        </w:rPr>
        <w:t> 4</w:t>
      </w:r>
      <w:r w:rsidR="00011F00" w:rsidRPr="00011F00">
        <w:rPr>
          <w:rFonts w:ascii="Times New Roman" w:hAnsi="Times New Roman" w:cs="Times New Roman"/>
          <w:color w:val="333333"/>
          <w:sz w:val="24"/>
          <w:szCs w:val="24"/>
          <w:shd w:val="clear" w:color="auto" w:fill="FFFFFF"/>
        </w:rPr>
        <w:t>9</w:t>
      </w:r>
      <w:r w:rsidRPr="00011F00">
        <w:rPr>
          <w:rFonts w:ascii="Times New Roman" w:hAnsi="Times New Roman" w:cs="Times New Roman"/>
          <w:color w:val="333333"/>
          <w:sz w:val="24"/>
          <w:szCs w:val="24"/>
          <w:shd w:val="clear" w:color="auto" w:fill="FFFFFF"/>
        </w:rPr>
        <w:t>(1)(b) or (c)</w:t>
      </w:r>
      <w:r w:rsidR="00962246">
        <w:rPr>
          <w:rFonts w:ascii="Times New Roman" w:hAnsi="Times New Roman" w:cs="Times New Roman"/>
          <w:color w:val="333333"/>
          <w:sz w:val="24"/>
          <w:szCs w:val="24"/>
          <w:shd w:val="clear" w:color="auto" w:fill="FFFFFF"/>
        </w:rPr>
        <w:t>)</w:t>
      </w:r>
      <w:r w:rsidRPr="00011F00">
        <w:rPr>
          <w:rFonts w:ascii="Times New Roman" w:hAnsi="Times New Roman" w:cs="Times New Roman"/>
          <w:color w:val="333333"/>
          <w:sz w:val="24"/>
          <w:szCs w:val="24"/>
          <w:shd w:val="clear" w:color="auto" w:fill="FFFFFF"/>
        </w:rPr>
        <w:t>, the report</w:t>
      </w:r>
      <w:r>
        <w:rPr>
          <w:rFonts w:ascii="Times New Roman" w:hAnsi="Times New Roman" w:cs="Times New Roman"/>
          <w:color w:val="333333"/>
          <w:sz w:val="24"/>
          <w:szCs w:val="24"/>
          <w:shd w:val="clear" w:color="auto" w:fill="FFFFFF"/>
        </w:rPr>
        <w:t xml:space="preserve"> must </w:t>
      </w:r>
      <w:r w:rsidR="00962246">
        <w:rPr>
          <w:rFonts w:ascii="Times New Roman" w:hAnsi="Times New Roman" w:cs="Times New Roman"/>
          <w:color w:val="333333"/>
          <w:sz w:val="24"/>
          <w:szCs w:val="24"/>
          <w:shd w:val="clear" w:color="auto" w:fill="FFFFFF"/>
        </w:rPr>
        <w:t xml:space="preserve">include additional information. The information includes an estimate of the amount of GHG substance that has leaked or is likely to leak to the seabed, and a comparative estimate of the amount of GHG substance that would leak to the seabed if action were taken to avoid or mitigate any adverse environmental impacts </w:t>
      </w:r>
      <w:r w:rsidR="00F93DA5">
        <w:rPr>
          <w:rFonts w:ascii="Times New Roman" w:hAnsi="Times New Roman" w:cs="Times New Roman"/>
          <w:color w:val="333333"/>
          <w:sz w:val="24"/>
          <w:szCs w:val="24"/>
          <w:shd w:val="clear" w:color="auto" w:fill="FFFFFF"/>
        </w:rPr>
        <w:t xml:space="preserve">of the incident </w:t>
      </w:r>
      <w:r w:rsidR="00962246">
        <w:rPr>
          <w:rFonts w:ascii="Times New Roman" w:hAnsi="Times New Roman" w:cs="Times New Roman"/>
          <w:color w:val="333333"/>
          <w:sz w:val="24"/>
          <w:szCs w:val="24"/>
          <w:shd w:val="clear" w:color="auto" w:fill="FFFFFF"/>
        </w:rPr>
        <w:t>and the amount that would leak if no such action were taken</w:t>
      </w:r>
      <w:r w:rsidRPr="00962246">
        <w:rPr>
          <w:rFonts w:ascii="Times New Roman" w:hAnsi="Times New Roman" w:cs="Times New Roman"/>
          <w:color w:val="333333"/>
          <w:sz w:val="24"/>
          <w:szCs w:val="24"/>
          <w:shd w:val="clear" w:color="auto" w:fill="FFFFFF"/>
        </w:rPr>
        <w:t>.</w:t>
      </w:r>
    </w:p>
    <w:p w14:paraId="02DDDE4A" w14:textId="275C34FA" w:rsidR="00FA307E" w:rsidRPr="00F612E2" w:rsidRDefault="00F612E2" w:rsidP="00FA307E">
      <w:pPr>
        <w:rPr>
          <w:rFonts w:ascii="Times New Roman" w:hAnsi="Times New Roman" w:cs="Times New Roman"/>
          <w:sz w:val="24"/>
          <w:szCs w:val="24"/>
        </w:rPr>
      </w:pPr>
      <w:r>
        <w:rPr>
          <w:rFonts w:ascii="Times New Roman" w:hAnsi="Times New Roman" w:cs="Times New Roman"/>
          <w:sz w:val="24"/>
          <w:szCs w:val="24"/>
        </w:rPr>
        <w:t>The licensee must also give a copy of the report to the responsible State or Territory Minister w</w:t>
      </w:r>
      <w:r w:rsidR="003F5CFF" w:rsidRPr="00FA307E">
        <w:rPr>
          <w:rFonts w:ascii="Times New Roman" w:hAnsi="Times New Roman" w:cs="Times New Roman"/>
          <w:sz w:val="24"/>
          <w:szCs w:val="24"/>
        </w:rPr>
        <w:t xml:space="preserve">ithin </w:t>
      </w:r>
      <w:r>
        <w:rPr>
          <w:rFonts w:ascii="Times New Roman" w:hAnsi="Times New Roman" w:cs="Times New Roman"/>
          <w:sz w:val="24"/>
          <w:szCs w:val="24"/>
        </w:rPr>
        <w:t>seven</w:t>
      </w:r>
      <w:r w:rsidR="003F5CFF" w:rsidRPr="00FA307E">
        <w:rPr>
          <w:rFonts w:ascii="Times New Roman" w:hAnsi="Times New Roman" w:cs="Times New Roman"/>
          <w:sz w:val="24"/>
          <w:szCs w:val="24"/>
        </w:rPr>
        <w:t xml:space="preserve"> days </w:t>
      </w:r>
      <w:r w:rsidR="003F5CFF">
        <w:rPr>
          <w:rFonts w:ascii="Times New Roman" w:hAnsi="Times New Roman" w:cs="Times New Roman"/>
          <w:sz w:val="24"/>
          <w:szCs w:val="24"/>
        </w:rPr>
        <w:t xml:space="preserve">of giving the report to the </w:t>
      </w:r>
      <w:r w:rsidR="003947B2">
        <w:rPr>
          <w:rFonts w:ascii="Times New Roman" w:hAnsi="Times New Roman" w:cs="Times New Roman"/>
          <w:sz w:val="24"/>
          <w:szCs w:val="24"/>
        </w:rPr>
        <w:t xml:space="preserve">responsible Commonwealth </w:t>
      </w:r>
      <w:r w:rsidR="003F5CFF">
        <w:rPr>
          <w:rFonts w:ascii="Times New Roman" w:hAnsi="Times New Roman" w:cs="Times New Roman"/>
          <w:sz w:val="24"/>
          <w:szCs w:val="24"/>
        </w:rPr>
        <w:t>Minister</w:t>
      </w:r>
      <w:r w:rsidR="00FA307E" w:rsidRPr="00FA307E">
        <w:rPr>
          <w:rFonts w:ascii="Times New Roman" w:hAnsi="Times New Roman" w:cs="Times New Roman"/>
          <w:sz w:val="24"/>
          <w:szCs w:val="24"/>
        </w:rPr>
        <w:t>.</w:t>
      </w:r>
      <w:r>
        <w:rPr>
          <w:rFonts w:ascii="Times New Roman" w:hAnsi="Times New Roman" w:cs="Times New Roman"/>
          <w:sz w:val="24"/>
          <w:szCs w:val="24"/>
        </w:rPr>
        <w:t xml:space="preserve"> See the discussion at section 51 above regarding the definition of </w:t>
      </w:r>
      <w:r>
        <w:rPr>
          <w:rFonts w:ascii="Times New Roman" w:hAnsi="Times New Roman" w:cs="Times New Roman"/>
          <w:b/>
          <w:bCs/>
          <w:i/>
          <w:iCs/>
          <w:sz w:val="24"/>
          <w:szCs w:val="24"/>
        </w:rPr>
        <w:t>responsible State/Territory Minister</w:t>
      </w:r>
      <w:r>
        <w:rPr>
          <w:rFonts w:ascii="Times New Roman" w:hAnsi="Times New Roman" w:cs="Times New Roman"/>
          <w:sz w:val="24"/>
          <w:szCs w:val="24"/>
        </w:rPr>
        <w:t>.</w:t>
      </w:r>
    </w:p>
    <w:p w14:paraId="38D0BF55" w14:textId="222DAAD1" w:rsidR="003F5CFF" w:rsidRDefault="00F612E2" w:rsidP="003F5CFF">
      <w:pPr>
        <w:rPr>
          <w:rFonts w:ascii="Times New Roman" w:hAnsi="Times New Roman" w:cs="Times New Roman"/>
          <w:sz w:val="24"/>
          <w:szCs w:val="24"/>
        </w:rPr>
      </w:pPr>
      <w:r>
        <w:rPr>
          <w:rFonts w:ascii="Times New Roman" w:hAnsi="Times New Roman" w:cs="Times New Roman"/>
          <w:sz w:val="24"/>
          <w:szCs w:val="24"/>
        </w:rPr>
        <w:t>A f</w:t>
      </w:r>
      <w:r w:rsidR="003F5CFF">
        <w:rPr>
          <w:rFonts w:ascii="Times New Roman" w:hAnsi="Times New Roman" w:cs="Times New Roman"/>
          <w:sz w:val="24"/>
          <w:szCs w:val="24"/>
        </w:rPr>
        <w:t xml:space="preserve">ailure to comply </w:t>
      </w:r>
      <w:r>
        <w:rPr>
          <w:rFonts w:ascii="Times New Roman" w:hAnsi="Times New Roman" w:cs="Times New Roman"/>
          <w:sz w:val="24"/>
          <w:szCs w:val="24"/>
        </w:rPr>
        <w:t xml:space="preserve">with the requirement to give a written report of a reportable incident to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or a copy of a report to the responsible State/Territory Minister, </w:t>
      </w:r>
      <w:r w:rsidR="003F5CFF">
        <w:rPr>
          <w:rFonts w:ascii="Times New Roman" w:hAnsi="Times New Roman" w:cs="Times New Roman"/>
          <w:sz w:val="24"/>
          <w:szCs w:val="24"/>
        </w:rPr>
        <w:t xml:space="preserve">is a strict liability offence punishable by </w:t>
      </w:r>
      <w:r>
        <w:rPr>
          <w:rFonts w:ascii="Times New Roman" w:hAnsi="Times New Roman" w:cs="Times New Roman"/>
          <w:sz w:val="24"/>
          <w:szCs w:val="24"/>
        </w:rPr>
        <w:t xml:space="preserve">a maximum penalty of </w:t>
      </w:r>
      <w:r w:rsidR="003F5CFF">
        <w:rPr>
          <w:rFonts w:ascii="Times New Roman" w:hAnsi="Times New Roman" w:cs="Times New Roman"/>
          <w:sz w:val="24"/>
          <w:szCs w:val="24"/>
        </w:rPr>
        <w:t>50</w:t>
      </w:r>
      <w:r w:rsidR="003947B2">
        <w:rPr>
          <w:rFonts w:ascii="Times New Roman" w:hAnsi="Times New Roman" w:cs="Times New Roman"/>
          <w:sz w:val="24"/>
          <w:szCs w:val="24"/>
        </w:rPr>
        <w:t> </w:t>
      </w:r>
      <w:r>
        <w:rPr>
          <w:rFonts w:ascii="Times New Roman" w:hAnsi="Times New Roman" w:cs="Times New Roman"/>
          <w:sz w:val="24"/>
          <w:szCs w:val="24"/>
        </w:rPr>
        <w:t>PU</w:t>
      </w:r>
      <w:r w:rsidR="003F5CFF">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shd w:val="clear" w:color="auto" w:fill="FFFFFF"/>
        </w:rPr>
        <w:t>T</w:t>
      </w:r>
      <w:r w:rsidRPr="00C562E0">
        <w:rPr>
          <w:rFonts w:ascii="Times New Roman" w:hAnsi="Times New Roman" w:cs="Times New Roman"/>
          <w:sz w:val="24"/>
          <w:szCs w:val="24"/>
          <w:shd w:val="clear" w:color="auto" w:fill="FFFFFF"/>
        </w:rPr>
        <w:t xml:space="preserve">he maximum penalty for a failure to comply </w:t>
      </w:r>
      <w:r>
        <w:rPr>
          <w:rFonts w:ascii="Times New Roman" w:hAnsi="Times New Roman" w:cs="Times New Roman"/>
          <w:sz w:val="24"/>
          <w:szCs w:val="24"/>
          <w:shd w:val="clear" w:color="auto" w:fill="FFFFFF"/>
        </w:rPr>
        <w:t xml:space="preserve">where the </w:t>
      </w:r>
      <w:r w:rsidRPr="00C562E0">
        <w:rPr>
          <w:rFonts w:ascii="Times New Roman" w:hAnsi="Times New Roman" w:cs="Times New Roman"/>
          <w:sz w:val="24"/>
          <w:szCs w:val="24"/>
          <w:shd w:val="clear" w:color="auto" w:fill="FFFFFF"/>
        </w:rPr>
        <w:t xml:space="preserve">offence </w:t>
      </w:r>
      <w:r>
        <w:rPr>
          <w:rFonts w:ascii="Times New Roman" w:hAnsi="Times New Roman" w:cs="Times New Roman"/>
          <w:sz w:val="24"/>
          <w:szCs w:val="24"/>
          <w:shd w:val="clear" w:color="auto" w:fill="FFFFFF"/>
        </w:rPr>
        <w:t xml:space="preserve">is </w:t>
      </w:r>
      <w:r w:rsidRPr="00C562E0">
        <w:rPr>
          <w:rFonts w:ascii="Times New Roman" w:hAnsi="Times New Roman" w:cs="Times New Roman"/>
          <w:sz w:val="24"/>
          <w:szCs w:val="24"/>
          <w:shd w:val="clear" w:color="auto" w:fill="FFFFFF"/>
        </w:rPr>
        <w:t xml:space="preserve">committed by a body corporate </w:t>
      </w:r>
      <w:r>
        <w:rPr>
          <w:rFonts w:ascii="Times New Roman" w:hAnsi="Times New Roman" w:cs="Times New Roman"/>
          <w:sz w:val="24"/>
          <w:szCs w:val="24"/>
          <w:shd w:val="clear" w:color="auto" w:fill="FFFFFF"/>
        </w:rPr>
        <w:t xml:space="preserve">is five times that amount, </w:t>
      </w:r>
      <w:r w:rsidRPr="00C562E0">
        <w:rPr>
          <w:rFonts w:ascii="Times New Roman" w:hAnsi="Times New Roman" w:cs="Times New Roman"/>
          <w:sz w:val="24"/>
          <w:szCs w:val="24"/>
          <w:shd w:val="clear" w:color="auto" w:fill="FFFFFF"/>
        </w:rPr>
        <w:t>due to the operation of subsection 4</w:t>
      </w:r>
      <w:proofErr w:type="gramStart"/>
      <w:r w:rsidRPr="00C562E0">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3)</w:t>
      </w:r>
      <w:r w:rsidRPr="00C562E0">
        <w:rPr>
          <w:rFonts w:ascii="Times New Roman" w:hAnsi="Times New Roman" w:cs="Times New Roman"/>
          <w:sz w:val="24"/>
          <w:szCs w:val="24"/>
          <w:shd w:val="clear" w:color="auto" w:fill="FFFFFF"/>
        </w:rPr>
        <w:t xml:space="preserve"> of the </w:t>
      </w:r>
      <w:r w:rsidRPr="00C562E0">
        <w:rPr>
          <w:rFonts w:ascii="Times New Roman" w:hAnsi="Times New Roman" w:cs="Times New Roman"/>
          <w:i/>
          <w:iCs/>
          <w:sz w:val="24"/>
          <w:szCs w:val="24"/>
          <w:shd w:val="clear" w:color="auto" w:fill="FFFFFF"/>
        </w:rPr>
        <w:t>Crimes Act 1914</w:t>
      </w:r>
      <w:r w:rsidRPr="00C562E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3F5CFF">
        <w:rPr>
          <w:rFonts w:ascii="Times New Roman" w:hAnsi="Times New Roman" w:cs="Times New Roman"/>
          <w:sz w:val="24"/>
          <w:szCs w:val="24"/>
        </w:rPr>
        <w:t xml:space="preserve">The person is also liable for a civil penalty of 500 </w:t>
      </w:r>
      <w:r>
        <w:rPr>
          <w:rFonts w:ascii="Times New Roman" w:hAnsi="Times New Roman" w:cs="Times New Roman"/>
          <w:sz w:val="24"/>
          <w:szCs w:val="24"/>
        </w:rPr>
        <w:t>PU</w:t>
      </w:r>
      <w:r w:rsidR="003F5CFF">
        <w:rPr>
          <w:rFonts w:ascii="Times New Roman" w:hAnsi="Times New Roman" w:cs="Times New Roman"/>
          <w:sz w:val="24"/>
          <w:szCs w:val="24"/>
        </w:rPr>
        <w:t xml:space="preserve"> for contravening the requirement to report to the</w:t>
      </w:r>
      <w:r w:rsidR="003F5CFF">
        <w:rPr>
          <w:rFonts w:ascii="Times New Roman" w:hAnsi="Times New Roman" w:cs="Times New Roman"/>
          <w:color w:val="333333"/>
          <w:sz w:val="24"/>
          <w:szCs w:val="24"/>
          <w:shd w:val="clear" w:color="auto" w:fill="FFFFFF"/>
        </w:rPr>
        <w:t xml:space="preserve"> </w:t>
      </w:r>
      <w:r w:rsidR="003947B2">
        <w:rPr>
          <w:rFonts w:ascii="Times New Roman" w:hAnsi="Times New Roman" w:cs="Times New Roman"/>
          <w:color w:val="333333"/>
          <w:sz w:val="24"/>
          <w:szCs w:val="24"/>
          <w:shd w:val="clear" w:color="auto" w:fill="FFFFFF"/>
        </w:rPr>
        <w:t xml:space="preserve">responsible Commonwealth </w:t>
      </w:r>
      <w:r w:rsidR="003F5CFF">
        <w:rPr>
          <w:rFonts w:ascii="Times New Roman" w:hAnsi="Times New Roman" w:cs="Times New Roman"/>
          <w:color w:val="333333"/>
          <w:sz w:val="24"/>
          <w:szCs w:val="24"/>
          <w:shd w:val="clear" w:color="auto" w:fill="FFFFFF"/>
        </w:rPr>
        <w:t xml:space="preserve">Minister </w:t>
      </w:r>
      <w:r>
        <w:rPr>
          <w:rFonts w:ascii="Times New Roman" w:hAnsi="Times New Roman" w:cs="Times New Roman"/>
          <w:color w:val="333333"/>
          <w:sz w:val="24"/>
          <w:szCs w:val="24"/>
          <w:shd w:val="clear" w:color="auto" w:fill="FFFFFF"/>
        </w:rPr>
        <w:t>or to</w:t>
      </w:r>
      <w:r w:rsidR="003F5CF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give a copy of the</w:t>
      </w:r>
      <w:r w:rsidR="003F5CFF">
        <w:rPr>
          <w:rFonts w:ascii="Times New Roman" w:hAnsi="Times New Roman" w:cs="Times New Roman"/>
          <w:color w:val="333333"/>
          <w:sz w:val="24"/>
          <w:szCs w:val="24"/>
          <w:shd w:val="clear" w:color="auto" w:fill="FFFFFF"/>
        </w:rPr>
        <w:t xml:space="preserve"> </w:t>
      </w:r>
      <w:r w:rsidR="003F5CFF">
        <w:rPr>
          <w:rFonts w:ascii="Times New Roman" w:hAnsi="Times New Roman" w:cs="Times New Roman"/>
          <w:sz w:val="24"/>
          <w:szCs w:val="24"/>
        </w:rPr>
        <w:t>report to</w:t>
      </w:r>
      <w:r w:rsidR="003F5CFF">
        <w:rPr>
          <w:rFonts w:ascii="Times New Roman" w:hAnsi="Times New Roman" w:cs="Times New Roman"/>
          <w:color w:val="333333"/>
          <w:sz w:val="24"/>
          <w:szCs w:val="24"/>
          <w:shd w:val="clear" w:color="auto" w:fill="FFFFFF"/>
        </w:rPr>
        <w:t xml:space="preserve"> the responsible </w:t>
      </w:r>
      <w:r>
        <w:rPr>
          <w:rFonts w:ascii="Times New Roman" w:hAnsi="Times New Roman" w:cs="Times New Roman"/>
          <w:color w:val="333333"/>
          <w:sz w:val="24"/>
          <w:szCs w:val="24"/>
          <w:shd w:val="clear" w:color="auto" w:fill="FFFFFF"/>
        </w:rPr>
        <w:t>S</w:t>
      </w:r>
      <w:r w:rsidR="003F5CFF">
        <w:rPr>
          <w:rFonts w:ascii="Times New Roman" w:hAnsi="Times New Roman" w:cs="Times New Roman"/>
          <w:color w:val="333333"/>
          <w:sz w:val="24"/>
          <w:szCs w:val="24"/>
          <w:shd w:val="clear" w:color="auto" w:fill="FFFFFF"/>
        </w:rPr>
        <w:t xml:space="preserve">tate or </w:t>
      </w:r>
      <w:r>
        <w:rPr>
          <w:rFonts w:ascii="Times New Roman" w:hAnsi="Times New Roman" w:cs="Times New Roman"/>
          <w:color w:val="333333"/>
          <w:sz w:val="24"/>
          <w:szCs w:val="24"/>
          <w:shd w:val="clear" w:color="auto" w:fill="FFFFFF"/>
        </w:rPr>
        <w:t>T</w:t>
      </w:r>
      <w:r w:rsidR="003F5CFF">
        <w:rPr>
          <w:rFonts w:ascii="Times New Roman" w:hAnsi="Times New Roman" w:cs="Times New Roman"/>
          <w:color w:val="333333"/>
          <w:sz w:val="24"/>
          <w:szCs w:val="24"/>
          <w:shd w:val="clear" w:color="auto" w:fill="FFFFFF"/>
        </w:rPr>
        <w:t xml:space="preserve">erritory </w:t>
      </w:r>
      <w:r>
        <w:rPr>
          <w:rFonts w:ascii="Times New Roman" w:hAnsi="Times New Roman" w:cs="Times New Roman"/>
          <w:color w:val="333333"/>
          <w:sz w:val="24"/>
          <w:szCs w:val="24"/>
          <w:shd w:val="clear" w:color="auto" w:fill="FFFFFF"/>
        </w:rPr>
        <w:t>M</w:t>
      </w:r>
      <w:r w:rsidR="003F5CFF">
        <w:rPr>
          <w:rFonts w:ascii="Times New Roman" w:hAnsi="Times New Roman" w:cs="Times New Roman"/>
          <w:color w:val="333333"/>
          <w:sz w:val="24"/>
          <w:szCs w:val="24"/>
          <w:shd w:val="clear" w:color="auto" w:fill="FFFFFF"/>
        </w:rPr>
        <w:t>inister</w:t>
      </w:r>
      <w:r w:rsidR="003F5CFF">
        <w:rPr>
          <w:rFonts w:ascii="Times New Roman" w:hAnsi="Times New Roman" w:cs="Times New Roman"/>
          <w:sz w:val="24"/>
          <w:szCs w:val="24"/>
        </w:rPr>
        <w:t>.</w:t>
      </w:r>
      <w:r w:rsidR="000F34D1">
        <w:rPr>
          <w:rFonts w:ascii="Times New Roman" w:hAnsi="Times New Roman" w:cs="Times New Roman"/>
          <w:sz w:val="24"/>
          <w:szCs w:val="24"/>
        </w:rPr>
        <w:t xml:space="preserve"> </w:t>
      </w:r>
    </w:p>
    <w:p w14:paraId="3F052903" w14:textId="04A04D3A" w:rsidR="006A5783" w:rsidRDefault="006A5783" w:rsidP="003F5CFF">
      <w:pPr>
        <w:rPr>
          <w:rFonts w:ascii="Times New Roman" w:hAnsi="Times New Roman" w:cs="Times New Roman"/>
          <w:sz w:val="24"/>
          <w:szCs w:val="24"/>
        </w:rPr>
      </w:pPr>
      <w:r>
        <w:rPr>
          <w:rFonts w:ascii="Times New Roman" w:hAnsi="Times New Roman" w:cs="Times New Roman"/>
          <w:sz w:val="24"/>
          <w:szCs w:val="24"/>
        </w:rPr>
        <w:t xml:space="preserve">It is appropriate to impose a criminal penalty for </w:t>
      </w:r>
      <w:r w:rsidR="00F93DA5">
        <w:rPr>
          <w:rFonts w:ascii="Times New Roman" w:hAnsi="Times New Roman" w:cs="Times New Roman"/>
          <w:sz w:val="24"/>
          <w:szCs w:val="24"/>
        </w:rPr>
        <w:t xml:space="preserve">a </w:t>
      </w:r>
      <w:r>
        <w:rPr>
          <w:rFonts w:ascii="Times New Roman" w:hAnsi="Times New Roman" w:cs="Times New Roman"/>
          <w:sz w:val="24"/>
          <w:szCs w:val="24"/>
        </w:rPr>
        <w:t xml:space="preserve">breach of these obligations. The requirement to give a written report to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w:t>
      </w:r>
      <w:proofErr w:type="gramStart"/>
      <w:r>
        <w:rPr>
          <w:rFonts w:ascii="Times New Roman" w:hAnsi="Times New Roman" w:cs="Times New Roman"/>
          <w:sz w:val="24"/>
          <w:szCs w:val="24"/>
        </w:rPr>
        <w:t>in particular is</w:t>
      </w:r>
      <w:proofErr w:type="gramEnd"/>
      <w:r>
        <w:rPr>
          <w:rFonts w:ascii="Times New Roman" w:hAnsi="Times New Roman" w:cs="Times New Roman"/>
          <w:sz w:val="24"/>
          <w:szCs w:val="24"/>
        </w:rPr>
        <w:t xml:space="preserve"> intended to ensure that the Minister is provided with additional information in relation to an incident, further to the initial notification under section 51, to ensure it can consider and take </w:t>
      </w:r>
      <w:r w:rsidR="004B3CC6">
        <w:rPr>
          <w:rFonts w:ascii="Times New Roman" w:hAnsi="Times New Roman" w:cs="Times New Roman"/>
          <w:sz w:val="24"/>
          <w:szCs w:val="24"/>
        </w:rPr>
        <w:t>regulatory action where required, such as issuing a direction under the OPGGS Act. A GHG injection licensee will be aware of the legislative requirements regulating their operations.</w:t>
      </w:r>
    </w:p>
    <w:p w14:paraId="5489408B" w14:textId="585EF0FC" w:rsidR="004B3CC6" w:rsidRDefault="004B3CC6" w:rsidP="003F5CFF">
      <w:pPr>
        <w:rPr>
          <w:rFonts w:ascii="Times New Roman" w:hAnsi="Times New Roman" w:cs="Times New Roman"/>
          <w:sz w:val="24"/>
          <w:szCs w:val="24"/>
        </w:rPr>
      </w:pPr>
      <w:r>
        <w:rPr>
          <w:rFonts w:ascii="Times New Roman" w:hAnsi="Times New Roman" w:cs="Times New Roman"/>
          <w:sz w:val="24"/>
          <w:szCs w:val="24"/>
        </w:rPr>
        <w:t>It is also appropriate to apply strict liability to the offence to promote compliance with the regulatory regime and ensure the reporting requirements can be effectively enforced, particularly given the serious consequences that may result from a reportable incident.</w:t>
      </w:r>
      <w:r w:rsidR="00C34B70">
        <w:rPr>
          <w:rFonts w:ascii="Times New Roman" w:hAnsi="Times New Roman" w:cs="Times New Roman"/>
          <w:sz w:val="24"/>
          <w:szCs w:val="24"/>
        </w:rPr>
        <w:t xml:space="preserve"> For further justification,</w:t>
      </w:r>
      <w:r>
        <w:rPr>
          <w:rFonts w:ascii="Times New Roman" w:hAnsi="Times New Roman" w:cs="Times New Roman"/>
          <w:sz w:val="24"/>
          <w:szCs w:val="24"/>
        </w:rPr>
        <w:t xml:space="preserve"> </w:t>
      </w:r>
      <w:r w:rsidR="00C34B70">
        <w:rPr>
          <w:rFonts w:ascii="Times New Roman" w:hAnsi="Times New Roman" w:cs="Times New Roman"/>
          <w:sz w:val="24"/>
          <w:szCs w:val="24"/>
        </w:rPr>
        <w:t>s</w:t>
      </w:r>
      <w:r>
        <w:rPr>
          <w:rFonts w:ascii="Times New Roman" w:hAnsi="Times New Roman" w:cs="Times New Roman"/>
          <w:sz w:val="24"/>
          <w:szCs w:val="24"/>
        </w:rPr>
        <w:t xml:space="preserve">ee the </w:t>
      </w:r>
      <w:r w:rsidR="00C34B70">
        <w:rPr>
          <w:rFonts w:ascii="Times New Roman" w:hAnsi="Times New Roman" w:cs="Times New Roman"/>
          <w:sz w:val="24"/>
          <w:szCs w:val="24"/>
        </w:rPr>
        <w:t>discussion at section 51.</w:t>
      </w:r>
    </w:p>
    <w:p w14:paraId="4D4FD5B4" w14:textId="7D75FA2E" w:rsidR="00C34B70" w:rsidRDefault="00C34B70" w:rsidP="003F5CFF">
      <w:pPr>
        <w:rPr>
          <w:rFonts w:ascii="Times New Roman" w:hAnsi="Times New Roman" w:cs="Times New Roman"/>
          <w:sz w:val="24"/>
          <w:szCs w:val="24"/>
        </w:rPr>
      </w:pPr>
      <w:r>
        <w:rPr>
          <w:rFonts w:ascii="Times New Roman" w:hAnsi="Times New Roman" w:cs="Times New Roman"/>
          <w:sz w:val="24"/>
          <w:szCs w:val="24"/>
        </w:rPr>
        <w:t>The maximum penalty of 50 PU is consistent with the principles outlines in section 3.3 of the</w:t>
      </w:r>
      <w:r w:rsidR="002C0ACE">
        <w:rPr>
          <w:rFonts w:ascii="Times New Roman" w:hAnsi="Times New Roman" w:cs="Times New Roman"/>
          <w:sz w:val="24"/>
          <w:szCs w:val="24"/>
        </w:rPr>
        <w:t> </w:t>
      </w:r>
      <w:r>
        <w:rPr>
          <w:rFonts w:ascii="Times New Roman" w:hAnsi="Times New Roman" w:cs="Times New Roman"/>
          <w:sz w:val="24"/>
          <w:szCs w:val="24"/>
        </w:rPr>
        <w:t xml:space="preserve">Guide, which states that penalties in regulations generally should not exceed 50 PU. </w:t>
      </w:r>
      <w:r>
        <w:rPr>
          <w:rFonts w:ascii="Times New Roman" w:hAnsi="Times New Roman" w:cs="Times New Roman"/>
          <w:sz w:val="24"/>
          <w:szCs w:val="24"/>
        </w:rPr>
        <w:lastRenderedPageBreak/>
        <w:t>Section 2.2.6 of the Guide also states that the application of strict liability is generally only considered appropriate where the offence is punishable by a fine of up to 60</w:t>
      </w:r>
      <w:r w:rsidR="00CA6CD5">
        <w:rPr>
          <w:rFonts w:ascii="Times New Roman" w:hAnsi="Times New Roman" w:cs="Times New Roman"/>
          <w:sz w:val="24"/>
          <w:szCs w:val="24"/>
        </w:rPr>
        <w:t> </w:t>
      </w:r>
      <w:r>
        <w:rPr>
          <w:rFonts w:ascii="Times New Roman" w:hAnsi="Times New Roman" w:cs="Times New Roman"/>
          <w:sz w:val="24"/>
          <w:szCs w:val="24"/>
        </w:rPr>
        <w:t>PU.</w:t>
      </w:r>
    </w:p>
    <w:p w14:paraId="1224E879" w14:textId="58C66C8E" w:rsidR="00C34B70" w:rsidRPr="00FA7784" w:rsidRDefault="00C34B70" w:rsidP="00C34B70">
      <w:pPr>
        <w:rPr>
          <w:rFonts w:ascii="Times New Roman" w:hAnsi="Times New Roman" w:cs="Times New Roman"/>
          <w:sz w:val="24"/>
          <w:szCs w:val="24"/>
        </w:rPr>
      </w:pPr>
      <w:r>
        <w:rPr>
          <w:rFonts w:ascii="Times New Roman" w:hAnsi="Times New Roman" w:cs="Times New Roman"/>
          <w:sz w:val="24"/>
          <w:szCs w:val="24"/>
        </w:rPr>
        <w:t xml:space="preserve">Subsections 52(3) and (4) are continuing offences under section 4K of the </w:t>
      </w:r>
      <w:r>
        <w:rPr>
          <w:rFonts w:ascii="Times New Roman" w:hAnsi="Times New Roman" w:cs="Times New Roman"/>
          <w:i/>
          <w:iCs/>
          <w:sz w:val="24"/>
          <w:szCs w:val="24"/>
        </w:rPr>
        <w:t>Crimes Act 1914</w:t>
      </w:r>
      <w:r>
        <w:rPr>
          <w:rFonts w:ascii="Times New Roman" w:hAnsi="Times New Roman" w:cs="Times New Roman"/>
          <w:sz w:val="24"/>
          <w:szCs w:val="24"/>
        </w:rPr>
        <w:t>. Section 62 of the GHG Regulations sets out that the maximum penalty for each day that an offence under subsection 52(3) or (4) continues is 10% of the maximum penalty that can be imposed in respect of that offence.</w:t>
      </w:r>
    </w:p>
    <w:p w14:paraId="4F31B646" w14:textId="73471AEC" w:rsidR="00C34B70" w:rsidRDefault="00C34B70" w:rsidP="00C34B7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is also appropriate to have the option of imposing a civil sanction through a civil penalty of 500 PU. For a justification of the imposition of a civil penalty, see the discussion at section 51.</w:t>
      </w:r>
    </w:p>
    <w:p w14:paraId="7E7F60E3" w14:textId="77777777" w:rsidR="00C34B70" w:rsidRDefault="00C34B70" w:rsidP="00C34B70">
      <w:pPr>
        <w:rPr>
          <w:rFonts w:ascii="Times New Roman" w:hAnsi="Times New Roman" w:cs="Times New Roman"/>
          <w:color w:val="333333"/>
          <w:sz w:val="24"/>
          <w:szCs w:val="24"/>
          <w:shd w:val="clear" w:color="auto" w:fill="FFFFFF"/>
        </w:rPr>
      </w:pPr>
      <w:r w:rsidRPr="0035435B">
        <w:rPr>
          <w:rFonts w:ascii="Times New Roman" w:hAnsi="Times New Roman" w:cs="Times New Roman"/>
          <w:color w:val="333333"/>
          <w:sz w:val="24"/>
          <w:szCs w:val="24"/>
          <w:shd w:val="clear" w:color="auto" w:fill="FFFFFF"/>
        </w:rPr>
        <w:t>As noted above in relation to section 22, it is appropriate for regulators to have recourse to both civil and criminal penalties</w:t>
      </w:r>
      <w:r>
        <w:rPr>
          <w:rFonts w:ascii="Times New Roman" w:hAnsi="Times New Roman" w:cs="Times New Roman"/>
          <w:color w:val="333333"/>
          <w:sz w:val="24"/>
          <w:szCs w:val="24"/>
          <w:shd w:val="clear" w:color="auto" w:fill="FFFFFF"/>
        </w:rPr>
        <w:t xml:space="preserve"> – see the discussion at that section.</w:t>
      </w:r>
    </w:p>
    <w:p w14:paraId="522BF11E" w14:textId="1CF981CA" w:rsidR="00C34B70" w:rsidRDefault="00C34B70" w:rsidP="00C34B70">
      <w:r>
        <w:rPr>
          <w:rFonts w:ascii="Times New Roman" w:hAnsi="Times New Roman" w:cs="Times New Roman"/>
          <w:sz w:val="24"/>
          <w:szCs w:val="24"/>
        </w:rPr>
        <w:t>Subsections 52(5) and (6) are continuing civil penalty provisions under section 93 of the Regulatory Powers Act. Section 62 of the GHG Regulations sets out that the maximum civil penalty for each day that a contravention referred to in subsection 52(5) or (6) continues is 10% of the maximum civil penalty that can be imposed in respect of that contravention.</w:t>
      </w:r>
    </w:p>
    <w:p w14:paraId="1F3FB542" w14:textId="59ACDF9A" w:rsidR="004D0795" w:rsidRDefault="004D0795" w:rsidP="00C34B70">
      <w:pPr>
        <w:pStyle w:val="ActHead2"/>
        <w:ind w:left="0" w:firstLine="0"/>
      </w:pPr>
      <w:r w:rsidRPr="004D0795">
        <w:t>Part 6</w:t>
      </w:r>
      <w:r w:rsidR="00502CAB">
        <w:t xml:space="preserve"> </w:t>
      </w:r>
      <w:r w:rsidR="00502CAB" w:rsidRPr="000253AC">
        <w:t>–</w:t>
      </w:r>
      <w:r w:rsidR="00502CAB">
        <w:t xml:space="preserve"> </w:t>
      </w:r>
      <w:r w:rsidRPr="004D0795">
        <w:t xml:space="preserve">Information that may be made publicly </w:t>
      </w:r>
      <w:proofErr w:type="gramStart"/>
      <w:r w:rsidRPr="004D0795">
        <w:t>available</w:t>
      </w:r>
      <w:proofErr w:type="gramEnd"/>
    </w:p>
    <w:p w14:paraId="2AB9AC74" w14:textId="662D3693" w:rsidR="004D0795" w:rsidRPr="00502CAB" w:rsidRDefault="004D0795" w:rsidP="00502CAB">
      <w:pPr>
        <w:pStyle w:val="ActHead5"/>
        <w:spacing w:after="240"/>
      </w:pPr>
      <w:r w:rsidRPr="00502CAB">
        <w:t xml:space="preserve">Section </w:t>
      </w:r>
      <w:r w:rsidR="00234D7B" w:rsidRPr="00502CAB">
        <w:t>53</w:t>
      </w:r>
      <w:r w:rsidRPr="00502CAB">
        <w:t xml:space="preserve"> – Simplified outline</w:t>
      </w:r>
      <w:r w:rsidR="00C45B95">
        <w:t xml:space="preserve"> of this Part</w:t>
      </w:r>
    </w:p>
    <w:p w14:paraId="7E7B6C14" w14:textId="6D3A2B54" w:rsidR="00A95BB0" w:rsidRDefault="00A95BB0" w:rsidP="00A95BB0">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sets out </w:t>
      </w:r>
      <w:r>
        <w:rPr>
          <w:rFonts w:ascii="Times New Roman" w:hAnsi="Times New Roman" w:cs="Times New Roman"/>
          <w:sz w:val="24"/>
          <w:szCs w:val="24"/>
        </w:rPr>
        <w:t>a</w:t>
      </w:r>
      <w:r w:rsidRPr="0071367A">
        <w:rPr>
          <w:rFonts w:ascii="Times New Roman" w:hAnsi="Times New Roman" w:cs="Times New Roman"/>
          <w:sz w:val="24"/>
          <w:szCs w:val="24"/>
        </w:rPr>
        <w:t xml:space="preserve"> </w:t>
      </w:r>
      <w:r>
        <w:rPr>
          <w:rFonts w:ascii="Times New Roman" w:hAnsi="Times New Roman" w:cs="Times New Roman"/>
          <w:sz w:val="24"/>
          <w:szCs w:val="24"/>
        </w:rPr>
        <w:t xml:space="preserve">simplified outline </w:t>
      </w:r>
      <w:r w:rsidRPr="0071367A">
        <w:rPr>
          <w:rFonts w:ascii="Times New Roman" w:hAnsi="Times New Roman" w:cs="Times New Roman"/>
          <w:sz w:val="24"/>
          <w:szCs w:val="24"/>
        </w:rPr>
        <w:t xml:space="preserve">of </w:t>
      </w:r>
      <w:r>
        <w:rPr>
          <w:rFonts w:ascii="Times New Roman" w:hAnsi="Times New Roman" w:cs="Times New Roman"/>
          <w:sz w:val="24"/>
          <w:szCs w:val="24"/>
        </w:rPr>
        <w:t xml:space="preserve">Part 6 of </w:t>
      </w:r>
      <w:r w:rsidRPr="0071367A">
        <w:rPr>
          <w:rFonts w:ascii="Times New Roman" w:hAnsi="Times New Roman" w:cs="Times New Roman"/>
          <w:sz w:val="24"/>
          <w:szCs w:val="24"/>
        </w:rPr>
        <w:t xml:space="preserve">the </w:t>
      </w:r>
      <w:r>
        <w:rPr>
          <w:rFonts w:ascii="Times New Roman" w:hAnsi="Times New Roman" w:cs="Times New Roman"/>
          <w:sz w:val="24"/>
          <w:szCs w:val="24"/>
        </w:rPr>
        <w:t xml:space="preserve">GHG </w:t>
      </w:r>
      <w:r w:rsidRPr="0071367A">
        <w:rPr>
          <w:rFonts w:ascii="Times New Roman" w:hAnsi="Times New Roman" w:cs="Times New Roman"/>
          <w:sz w:val="24"/>
          <w:szCs w:val="24"/>
        </w:rPr>
        <w:t>Regulations</w:t>
      </w:r>
      <w:r w:rsidRPr="00E32A1E">
        <w:rPr>
          <w:rFonts w:ascii="Times New Roman" w:hAnsi="Times New Roman" w:cs="Times New Roman"/>
          <w:sz w:val="24"/>
          <w:szCs w:val="24"/>
        </w:rPr>
        <w:t xml:space="preserve">. </w:t>
      </w:r>
      <w:r>
        <w:rPr>
          <w:rFonts w:ascii="Times New Roman" w:hAnsi="Times New Roman" w:cs="Times New Roman"/>
          <w:sz w:val="24"/>
          <w:szCs w:val="24"/>
        </w:rPr>
        <w:t>While s</w:t>
      </w:r>
      <w:r w:rsidRPr="00E32A1E">
        <w:rPr>
          <w:rFonts w:ascii="Times New Roman" w:hAnsi="Times New Roman" w:cs="Times New Roman"/>
          <w:sz w:val="24"/>
          <w:szCs w:val="24"/>
        </w:rPr>
        <w:t>implified outlines are included to assist readers to understand the substantive provisions, the outlines are not intended to be comprehensive. It is intended that readers should rely on the substantive provisions</w:t>
      </w:r>
      <w:r>
        <w:rPr>
          <w:rFonts w:ascii="Times New Roman" w:hAnsi="Times New Roman" w:cs="Times New Roman"/>
          <w:sz w:val="24"/>
          <w:szCs w:val="24"/>
        </w:rPr>
        <w:t>.</w:t>
      </w:r>
    </w:p>
    <w:p w14:paraId="15676CE7" w14:textId="4F93C9C3" w:rsidR="003A475F" w:rsidRPr="00C45B95" w:rsidRDefault="004D0795" w:rsidP="007C6BF2">
      <w:pPr>
        <w:keepNext/>
        <w:spacing w:before="240" w:after="100" w:afterAutospacing="1"/>
        <w:rPr>
          <w:rFonts w:ascii="Times New Roman" w:hAnsi="Times New Roman" w:cs="Times New Roman"/>
          <w:b/>
          <w:bCs/>
          <w:sz w:val="24"/>
          <w:szCs w:val="24"/>
        </w:rPr>
      </w:pPr>
      <w:r w:rsidRPr="00C45B95">
        <w:rPr>
          <w:rFonts w:ascii="Times New Roman" w:hAnsi="Times New Roman" w:cs="Times New Roman"/>
          <w:b/>
          <w:bCs/>
          <w:sz w:val="24"/>
          <w:szCs w:val="24"/>
        </w:rPr>
        <w:t xml:space="preserve">Section </w:t>
      </w:r>
      <w:r w:rsidR="00234D7B" w:rsidRPr="00C45B95">
        <w:rPr>
          <w:rFonts w:ascii="Times New Roman" w:hAnsi="Times New Roman" w:cs="Times New Roman"/>
          <w:b/>
          <w:bCs/>
          <w:sz w:val="24"/>
          <w:szCs w:val="24"/>
        </w:rPr>
        <w:t>54</w:t>
      </w:r>
      <w:r w:rsidR="003A475F" w:rsidRPr="00C45B95">
        <w:rPr>
          <w:rFonts w:ascii="Times New Roman" w:hAnsi="Times New Roman" w:cs="Times New Roman"/>
          <w:b/>
          <w:bCs/>
          <w:sz w:val="24"/>
          <w:szCs w:val="24"/>
        </w:rPr>
        <w:t xml:space="preserve"> – Information relating to leakages during transport or injection or from well </w:t>
      </w:r>
      <w:proofErr w:type="gramStart"/>
      <w:r w:rsidR="003A475F" w:rsidRPr="00C45B95">
        <w:rPr>
          <w:rFonts w:ascii="Times New Roman" w:hAnsi="Times New Roman" w:cs="Times New Roman"/>
          <w:b/>
          <w:bCs/>
          <w:sz w:val="24"/>
          <w:szCs w:val="24"/>
        </w:rPr>
        <w:t>bores</w:t>
      </w:r>
      <w:proofErr w:type="gramEnd"/>
    </w:p>
    <w:p w14:paraId="605BD7EB" w14:textId="0A6C9D02" w:rsidR="00011F00" w:rsidRDefault="00011F00" w:rsidP="0092394B">
      <w:pPr>
        <w:spacing w:before="240"/>
        <w:rPr>
          <w:rFonts w:ascii="Times New Roman" w:hAnsi="Times New Roman" w:cs="Times New Roman"/>
          <w:sz w:val="24"/>
          <w:szCs w:val="24"/>
        </w:rPr>
      </w:pPr>
      <w:r w:rsidRPr="002245AC">
        <w:rPr>
          <w:rFonts w:ascii="Times New Roman" w:hAnsi="Times New Roman" w:cs="Times New Roman"/>
          <w:sz w:val="24"/>
          <w:szCs w:val="24"/>
        </w:rPr>
        <w:t xml:space="preserve">This section is made for the purposes of </w:t>
      </w:r>
      <w:r w:rsidR="00C45B95">
        <w:rPr>
          <w:rFonts w:ascii="Times New Roman" w:hAnsi="Times New Roman" w:cs="Times New Roman"/>
          <w:sz w:val="24"/>
          <w:szCs w:val="24"/>
        </w:rPr>
        <w:t>paragraph</w:t>
      </w:r>
      <w:r w:rsidRPr="002245AC">
        <w:rPr>
          <w:rFonts w:ascii="Times New Roman" w:hAnsi="Times New Roman" w:cs="Times New Roman"/>
          <w:sz w:val="24"/>
          <w:szCs w:val="24"/>
        </w:rPr>
        <w:t xml:space="preserve"> 781(b) of the </w:t>
      </w:r>
      <w:r w:rsidR="00C45B95">
        <w:rPr>
          <w:rFonts w:ascii="Times New Roman" w:hAnsi="Times New Roman" w:cs="Times New Roman"/>
          <w:sz w:val="24"/>
          <w:szCs w:val="24"/>
        </w:rPr>
        <w:t xml:space="preserve">OPGGS </w:t>
      </w:r>
      <w:r w:rsidRPr="002245AC">
        <w:rPr>
          <w:rFonts w:ascii="Times New Roman" w:hAnsi="Times New Roman" w:cs="Times New Roman"/>
          <w:sz w:val="24"/>
          <w:szCs w:val="24"/>
        </w:rPr>
        <w:t xml:space="preserve">Act, being necessary or convenient for carrying out or giving effect to the </w:t>
      </w:r>
      <w:r w:rsidR="00603221">
        <w:rPr>
          <w:rFonts w:ascii="Times New Roman" w:hAnsi="Times New Roman" w:cs="Times New Roman"/>
          <w:sz w:val="24"/>
          <w:szCs w:val="24"/>
        </w:rPr>
        <w:t xml:space="preserve">OPGGS </w:t>
      </w:r>
      <w:r w:rsidRPr="002245AC">
        <w:rPr>
          <w:rFonts w:ascii="Times New Roman" w:hAnsi="Times New Roman" w:cs="Times New Roman"/>
          <w:sz w:val="24"/>
          <w:szCs w:val="24"/>
        </w:rPr>
        <w:t>Act.</w:t>
      </w:r>
    </w:p>
    <w:p w14:paraId="30FA92AD" w14:textId="5417DEAD" w:rsidR="00BE06BC" w:rsidRDefault="00486B21" w:rsidP="0092394B">
      <w:pPr>
        <w:spacing w:before="240"/>
        <w:rPr>
          <w:rFonts w:ascii="Times New Roman" w:hAnsi="Times New Roman" w:cs="Times New Roman"/>
          <w:sz w:val="24"/>
          <w:szCs w:val="24"/>
        </w:rPr>
      </w:pPr>
      <w:r>
        <w:rPr>
          <w:rFonts w:ascii="Times New Roman" w:hAnsi="Times New Roman" w:cs="Times New Roman"/>
          <w:sz w:val="24"/>
          <w:szCs w:val="24"/>
        </w:rPr>
        <w:t>S</w:t>
      </w:r>
      <w:r w:rsidR="003A475F">
        <w:rPr>
          <w:rFonts w:ascii="Times New Roman" w:hAnsi="Times New Roman" w:cs="Times New Roman"/>
          <w:sz w:val="24"/>
          <w:szCs w:val="24"/>
        </w:rPr>
        <w:t xml:space="preserve">ection </w:t>
      </w:r>
      <w:r>
        <w:rPr>
          <w:rFonts w:ascii="Times New Roman" w:hAnsi="Times New Roman" w:cs="Times New Roman"/>
          <w:sz w:val="24"/>
          <w:szCs w:val="24"/>
        </w:rPr>
        <w:t xml:space="preserve">54 </w:t>
      </w:r>
      <w:r w:rsidR="0092394B">
        <w:rPr>
          <w:rFonts w:ascii="Times New Roman" w:hAnsi="Times New Roman" w:cs="Times New Roman"/>
          <w:sz w:val="24"/>
          <w:szCs w:val="24"/>
        </w:rPr>
        <w:t>allows for</w:t>
      </w:r>
      <w:r w:rsidR="00BE06BC">
        <w:rPr>
          <w:rFonts w:ascii="Times New Roman" w:hAnsi="Times New Roman" w:cs="Times New Roman"/>
          <w:sz w:val="24"/>
          <w:szCs w:val="24"/>
        </w:rPr>
        <w:t xml:space="preserve"> publication of information held by the Commonwealth that </w:t>
      </w:r>
      <w:r w:rsidR="00BE06BC" w:rsidRPr="00BE06BC">
        <w:rPr>
          <w:rFonts w:ascii="Times New Roman" w:hAnsi="Times New Roman" w:cs="Times New Roman"/>
          <w:sz w:val="24"/>
          <w:szCs w:val="24"/>
        </w:rPr>
        <w:t xml:space="preserve">relates to detecting and monitoring of leakages of </w:t>
      </w:r>
      <w:r w:rsidR="00BE06BC">
        <w:rPr>
          <w:rFonts w:ascii="Times New Roman" w:hAnsi="Times New Roman" w:cs="Times New Roman"/>
          <w:sz w:val="24"/>
          <w:szCs w:val="24"/>
        </w:rPr>
        <w:t xml:space="preserve">GHG </w:t>
      </w:r>
      <w:r w:rsidR="00BE06BC" w:rsidRPr="00BE06BC">
        <w:rPr>
          <w:rFonts w:ascii="Times New Roman" w:hAnsi="Times New Roman" w:cs="Times New Roman"/>
          <w:sz w:val="24"/>
          <w:szCs w:val="24"/>
        </w:rPr>
        <w:t>substances</w:t>
      </w:r>
      <w:r w:rsidR="0092394B">
        <w:rPr>
          <w:rFonts w:ascii="Times New Roman" w:hAnsi="Times New Roman" w:cs="Times New Roman"/>
          <w:sz w:val="24"/>
          <w:szCs w:val="24"/>
        </w:rPr>
        <w:t>,</w:t>
      </w:r>
      <w:r w:rsidR="00BE06BC">
        <w:rPr>
          <w:rFonts w:ascii="Times New Roman" w:hAnsi="Times New Roman" w:cs="Times New Roman"/>
          <w:sz w:val="24"/>
          <w:szCs w:val="24"/>
        </w:rPr>
        <w:t xml:space="preserve"> either </w:t>
      </w:r>
      <w:r w:rsidR="00BE06BC" w:rsidRPr="00BE06BC">
        <w:rPr>
          <w:rFonts w:ascii="Times New Roman" w:hAnsi="Times New Roman" w:cs="Times New Roman"/>
          <w:sz w:val="24"/>
          <w:szCs w:val="24"/>
        </w:rPr>
        <w:t>during transport and injection or</w:t>
      </w:r>
      <w:r w:rsidR="00BE06BC">
        <w:rPr>
          <w:rFonts w:ascii="Times New Roman" w:hAnsi="Times New Roman" w:cs="Times New Roman"/>
          <w:sz w:val="24"/>
          <w:szCs w:val="24"/>
        </w:rPr>
        <w:t xml:space="preserve"> </w:t>
      </w:r>
      <w:r w:rsidR="00BE06BC" w:rsidRPr="00BE06BC">
        <w:rPr>
          <w:rFonts w:ascii="Times New Roman" w:hAnsi="Times New Roman" w:cs="Times New Roman"/>
          <w:sz w:val="24"/>
          <w:szCs w:val="24"/>
        </w:rPr>
        <w:t>from well bores.</w:t>
      </w:r>
      <w:r w:rsidR="00BE06BC">
        <w:rPr>
          <w:rFonts w:ascii="Times New Roman" w:hAnsi="Times New Roman" w:cs="Times New Roman"/>
          <w:sz w:val="24"/>
          <w:szCs w:val="24"/>
        </w:rPr>
        <w:t xml:space="preserve"> </w:t>
      </w:r>
      <w:r w:rsidR="00F32E1F">
        <w:rPr>
          <w:rFonts w:ascii="Times New Roman" w:hAnsi="Times New Roman" w:cs="Times New Roman"/>
          <w:sz w:val="24"/>
          <w:szCs w:val="24"/>
        </w:rPr>
        <w:t>The d</w:t>
      </w:r>
      <w:r w:rsidR="00BE06BC">
        <w:rPr>
          <w:rFonts w:ascii="Times New Roman" w:hAnsi="Times New Roman" w:cs="Times New Roman"/>
          <w:sz w:val="24"/>
          <w:szCs w:val="24"/>
        </w:rPr>
        <w:t xml:space="preserve">etection and monitoring </w:t>
      </w:r>
      <w:proofErr w:type="gramStart"/>
      <w:r w:rsidR="00BE06BC">
        <w:rPr>
          <w:rFonts w:ascii="Times New Roman" w:hAnsi="Times New Roman" w:cs="Times New Roman"/>
          <w:sz w:val="24"/>
          <w:szCs w:val="24"/>
        </w:rPr>
        <w:t>is</w:t>
      </w:r>
      <w:proofErr w:type="gramEnd"/>
      <w:r w:rsidR="00BE06BC">
        <w:rPr>
          <w:rFonts w:ascii="Times New Roman" w:hAnsi="Times New Roman" w:cs="Times New Roman"/>
          <w:sz w:val="24"/>
          <w:szCs w:val="24"/>
        </w:rPr>
        <w:t xml:space="preserve"> </w:t>
      </w:r>
      <w:r w:rsidR="00BE06BC" w:rsidRPr="00BE06BC">
        <w:rPr>
          <w:rFonts w:ascii="Times New Roman" w:hAnsi="Times New Roman" w:cs="Times New Roman"/>
          <w:sz w:val="24"/>
          <w:szCs w:val="24"/>
        </w:rPr>
        <w:t xml:space="preserve">under the programs </w:t>
      </w:r>
      <w:r w:rsidR="0092394B">
        <w:rPr>
          <w:rFonts w:ascii="Times New Roman" w:hAnsi="Times New Roman" w:cs="Times New Roman"/>
          <w:sz w:val="24"/>
          <w:szCs w:val="24"/>
        </w:rPr>
        <w:t xml:space="preserve">that are </w:t>
      </w:r>
      <w:r w:rsidR="0092394B" w:rsidRPr="00BE06BC">
        <w:rPr>
          <w:rFonts w:ascii="Times New Roman" w:hAnsi="Times New Roman" w:cs="Times New Roman"/>
          <w:sz w:val="24"/>
          <w:szCs w:val="24"/>
        </w:rPr>
        <w:t xml:space="preserve">set out in Part B of a site plan </w:t>
      </w:r>
      <w:r w:rsidR="0092394B">
        <w:rPr>
          <w:rFonts w:ascii="Times New Roman" w:hAnsi="Times New Roman" w:cs="Times New Roman"/>
          <w:sz w:val="24"/>
          <w:szCs w:val="24"/>
        </w:rPr>
        <w:t xml:space="preserve">(see </w:t>
      </w:r>
      <w:r w:rsidR="00BE06BC" w:rsidRPr="00BE06BC">
        <w:rPr>
          <w:rFonts w:ascii="Times New Roman" w:hAnsi="Times New Roman" w:cs="Times New Roman"/>
          <w:sz w:val="24"/>
          <w:szCs w:val="24"/>
        </w:rPr>
        <w:t>clauses 7 and 8 of Schedule 2</w:t>
      </w:r>
      <w:r w:rsidR="005F7BA0">
        <w:rPr>
          <w:rFonts w:ascii="Times New Roman" w:hAnsi="Times New Roman" w:cs="Times New Roman"/>
          <w:sz w:val="24"/>
          <w:szCs w:val="24"/>
        </w:rPr>
        <w:t>)</w:t>
      </w:r>
      <w:r w:rsidR="00BE06BC">
        <w:rPr>
          <w:rFonts w:ascii="Times New Roman" w:hAnsi="Times New Roman" w:cs="Times New Roman"/>
          <w:sz w:val="24"/>
          <w:szCs w:val="24"/>
        </w:rPr>
        <w:t xml:space="preserve">. </w:t>
      </w:r>
    </w:p>
    <w:p w14:paraId="6F7731F3" w14:textId="0D3E8357" w:rsidR="003A7E6C" w:rsidRDefault="00BE06BC" w:rsidP="00BE06BC">
      <w:pPr>
        <w:rPr>
          <w:rFonts w:ascii="Times New Roman" w:hAnsi="Times New Roman" w:cs="Times New Roman"/>
          <w:sz w:val="24"/>
          <w:szCs w:val="24"/>
        </w:rPr>
      </w:pPr>
      <w:r w:rsidRPr="00BE06BC">
        <w:rPr>
          <w:rFonts w:ascii="Times New Roman" w:hAnsi="Times New Roman" w:cs="Times New Roman"/>
          <w:sz w:val="24"/>
          <w:szCs w:val="24"/>
        </w:rPr>
        <w:t xml:space="preserve">The </w:t>
      </w:r>
      <w:r w:rsidR="003947B2">
        <w:rPr>
          <w:rFonts w:ascii="Times New Roman" w:hAnsi="Times New Roman" w:cs="Times New Roman"/>
          <w:sz w:val="24"/>
          <w:szCs w:val="24"/>
        </w:rPr>
        <w:t xml:space="preserve">responsible Commonwealth </w:t>
      </w:r>
      <w:r w:rsidRPr="00BE06BC">
        <w:rPr>
          <w:rFonts w:ascii="Times New Roman" w:hAnsi="Times New Roman" w:cs="Times New Roman"/>
          <w:sz w:val="24"/>
          <w:szCs w:val="24"/>
        </w:rPr>
        <w:t xml:space="preserve">Minister may make </w:t>
      </w:r>
      <w:r w:rsidR="003A7E6C">
        <w:rPr>
          <w:rFonts w:ascii="Times New Roman" w:hAnsi="Times New Roman" w:cs="Times New Roman"/>
          <w:sz w:val="24"/>
          <w:szCs w:val="24"/>
        </w:rPr>
        <w:t>the following</w:t>
      </w:r>
      <w:r>
        <w:rPr>
          <w:rFonts w:ascii="Times New Roman" w:hAnsi="Times New Roman" w:cs="Times New Roman"/>
          <w:sz w:val="24"/>
          <w:szCs w:val="24"/>
        </w:rPr>
        <w:t xml:space="preserve"> information </w:t>
      </w:r>
      <w:r w:rsidR="003A7E6C">
        <w:rPr>
          <w:rFonts w:ascii="Times New Roman" w:hAnsi="Times New Roman" w:cs="Times New Roman"/>
          <w:sz w:val="24"/>
          <w:szCs w:val="24"/>
        </w:rPr>
        <w:t>publicly available:</w:t>
      </w:r>
    </w:p>
    <w:p w14:paraId="20C77B42" w14:textId="77777777" w:rsidR="003A7E6C" w:rsidRPr="003A7E6C" w:rsidRDefault="00BE06BC" w:rsidP="003A7E6C">
      <w:pPr>
        <w:pStyle w:val="ListParagraph"/>
        <w:numPr>
          <w:ilvl w:val="0"/>
          <w:numId w:val="27"/>
        </w:numPr>
        <w:rPr>
          <w:rFonts w:ascii="Times New Roman" w:hAnsi="Times New Roman" w:cs="Times New Roman"/>
          <w:i/>
          <w:iCs/>
          <w:sz w:val="24"/>
          <w:szCs w:val="24"/>
        </w:rPr>
      </w:pPr>
      <w:r w:rsidRPr="003A7E6C">
        <w:rPr>
          <w:rFonts w:ascii="Times New Roman" w:hAnsi="Times New Roman" w:cs="Times New Roman"/>
          <w:sz w:val="24"/>
          <w:szCs w:val="24"/>
        </w:rPr>
        <w:t>the results of the detection and monitoring</w:t>
      </w:r>
      <w:r w:rsidR="003A7E6C">
        <w:rPr>
          <w:rFonts w:ascii="Times New Roman" w:hAnsi="Times New Roman" w:cs="Times New Roman"/>
          <w:sz w:val="24"/>
          <w:szCs w:val="24"/>
        </w:rPr>
        <w:t>;</w:t>
      </w:r>
      <w:r w:rsidRPr="003A7E6C">
        <w:rPr>
          <w:rFonts w:ascii="Times New Roman" w:hAnsi="Times New Roman" w:cs="Times New Roman"/>
          <w:sz w:val="24"/>
          <w:szCs w:val="24"/>
        </w:rPr>
        <w:t xml:space="preserve"> </w:t>
      </w:r>
      <w:r w:rsidR="00CE2135" w:rsidRPr="003A7E6C">
        <w:rPr>
          <w:rFonts w:ascii="Times New Roman" w:hAnsi="Times New Roman" w:cs="Times New Roman"/>
          <w:sz w:val="24"/>
          <w:szCs w:val="24"/>
        </w:rPr>
        <w:t>and</w:t>
      </w:r>
      <w:r w:rsidRPr="003A7E6C">
        <w:rPr>
          <w:rFonts w:ascii="Times New Roman" w:hAnsi="Times New Roman" w:cs="Times New Roman"/>
          <w:sz w:val="24"/>
          <w:szCs w:val="24"/>
        </w:rPr>
        <w:t xml:space="preserve"> </w:t>
      </w:r>
    </w:p>
    <w:p w14:paraId="16B54496" w14:textId="77777777" w:rsidR="003A7E6C" w:rsidRPr="003A7E6C" w:rsidRDefault="00BE06BC" w:rsidP="003A7E6C">
      <w:pPr>
        <w:pStyle w:val="ListParagraph"/>
        <w:numPr>
          <w:ilvl w:val="0"/>
          <w:numId w:val="27"/>
        </w:numPr>
        <w:rPr>
          <w:rFonts w:ascii="Times New Roman" w:hAnsi="Times New Roman" w:cs="Times New Roman"/>
          <w:i/>
          <w:iCs/>
          <w:sz w:val="24"/>
          <w:szCs w:val="24"/>
        </w:rPr>
      </w:pPr>
      <w:r w:rsidRPr="003A7E6C">
        <w:rPr>
          <w:rFonts w:ascii="Times New Roman" w:hAnsi="Times New Roman" w:cs="Times New Roman"/>
          <w:sz w:val="24"/>
          <w:szCs w:val="24"/>
        </w:rPr>
        <w:t>any raw data collected during the detection and monitoring.</w:t>
      </w:r>
      <w:r w:rsidR="007C6BF2" w:rsidRPr="003A7E6C">
        <w:rPr>
          <w:rFonts w:ascii="Times New Roman" w:hAnsi="Times New Roman" w:cs="Times New Roman"/>
          <w:sz w:val="24"/>
          <w:szCs w:val="24"/>
        </w:rPr>
        <w:t xml:space="preserve"> </w:t>
      </w:r>
    </w:p>
    <w:p w14:paraId="2FE2AD9E" w14:textId="7EAE745D" w:rsidR="009A22FB" w:rsidRPr="003A7E6C" w:rsidRDefault="007C6BF2" w:rsidP="003A7E6C">
      <w:pPr>
        <w:rPr>
          <w:rFonts w:ascii="Times New Roman" w:hAnsi="Times New Roman" w:cs="Times New Roman"/>
          <w:i/>
          <w:iCs/>
          <w:sz w:val="24"/>
          <w:szCs w:val="24"/>
        </w:rPr>
      </w:pPr>
      <w:r w:rsidRPr="003A7E6C">
        <w:rPr>
          <w:rFonts w:ascii="Times New Roman" w:hAnsi="Times New Roman" w:cs="Times New Roman"/>
          <w:sz w:val="24"/>
          <w:szCs w:val="24"/>
        </w:rPr>
        <w:t xml:space="preserve">The </w:t>
      </w:r>
      <w:r w:rsidR="003A7E6C">
        <w:rPr>
          <w:rFonts w:ascii="Times New Roman" w:hAnsi="Times New Roman" w:cs="Times New Roman"/>
          <w:sz w:val="24"/>
          <w:szCs w:val="24"/>
        </w:rPr>
        <w:t xml:space="preserve">responsible Commonwealth </w:t>
      </w:r>
      <w:r w:rsidRPr="003A7E6C">
        <w:rPr>
          <w:rFonts w:ascii="Times New Roman" w:hAnsi="Times New Roman" w:cs="Times New Roman"/>
          <w:sz w:val="24"/>
          <w:szCs w:val="24"/>
        </w:rPr>
        <w:t xml:space="preserve">Minister may decide to make information publicly available </w:t>
      </w:r>
      <w:r w:rsidR="00822D86" w:rsidRPr="003A7E6C">
        <w:rPr>
          <w:rFonts w:ascii="Times New Roman" w:hAnsi="Times New Roman" w:cs="Times New Roman"/>
          <w:sz w:val="24"/>
          <w:szCs w:val="24"/>
        </w:rPr>
        <w:t>for</w:t>
      </w:r>
      <w:r w:rsidRPr="003A7E6C">
        <w:rPr>
          <w:rFonts w:ascii="Times New Roman" w:hAnsi="Times New Roman" w:cs="Times New Roman"/>
          <w:sz w:val="24"/>
          <w:szCs w:val="24"/>
        </w:rPr>
        <w:t xml:space="preserve"> transparency, and </w:t>
      </w:r>
      <w:r w:rsidR="00822D86" w:rsidRPr="003A7E6C">
        <w:rPr>
          <w:rFonts w:ascii="Times New Roman" w:hAnsi="Times New Roman" w:cs="Times New Roman"/>
          <w:sz w:val="24"/>
          <w:szCs w:val="24"/>
        </w:rPr>
        <w:t xml:space="preserve">to </w:t>
      </w:r>
      <w:r w:rsidRPr="003A7E6C">
        <w:rPr>
          <w:rFonts w:ascii="Times New Roman" w:hAnsi="Times New Roman" w:cs="Times New Roman"/>
          <w:sz w:val="24"/>
          <w:szCs w:val="24"/>
        </w:rPr>
        <w:t xml:space="preserve">assure the public </w:t>
      </w:r>
      <w:r w:rsidR="00822D86" w:rsidRPr="003A7E6C">
        <w:rPr>
          <w:rFonts w:ascii="Times New Roman" w:hAnsi="Times New Roman" w:cs="Times New Roman"/>
          <w:sz w:val="24"/>
          <w:szCs w:val="24"/>
        </w:rPr>
        <w:t xml:space="preserve">of </w:t>
      </w:r>
      <w:r w:rsidRPr="003A7E6C">
        <w:rPr>
          <w:rFonts w:ascii="Times New Roman" w:hAnsi="Times New Roman" w:cs="Times New Roman"/>
          <w:sz w:val="24"/>
          <w:szCs w:val="24"/>
        </w:rPr>
        <w:t xml:space="preserve">ongoing monitoring to ensure </w:t>
      </w:r>
      <w:r w:rsidR="00822D86" w:rsidRPr="003A7E6C">
        <w:rPr>
          <w:rFonts w:ascii="Times New Roman" w:hAnsi="Times New Roman" w:cs="Times New Roman"/>
          <w:sz w:val="24"/>
          <w:szCs w:val="24"/>
        </w:rPr>
        <w:t xml:space="preserve">continued </w:t>
      </w:r>
      <w:r w:rsidRPr="003A7E6C">
        <w:rPr>
          <w:rFonts w:ascii="Times New Roman" w:hAnsi="Times New Roman" w:cs="Times New Roman"/>
          <w:sz w:val="24"/>
          <w:szCs w:val="24"/>
        </w:rPr>
        <w:t>safe</w:t>
      </w:r>
      <w:r w:rsidR="00822D86" w:rsidRPr="003A7E6C">
        <w:rPr>
          <w:rFonts w:ascii="Times New Roman" w:hAnsi="Times New Roman" w:cs="Times New Roman"/>
          <w:sz w:val="24"/>
          <w:szCs w:val="24"/>
        </w:rPr>
        <w:t xml:space="preserve"> and sustainable</w:t>
      </w:r>
      <w:r w:rsidRPr="003A7E6C">
        <w:rPr>
          <w:rFonts w:ascii="Times New Roman" w:hAnsi="Times New Roman" w:cs="Times New Roman"/>
          <w:sz w:val="24"/>
          <w:szCs w:val="24"/>
        </w:rPr>
        <w:t xml:space="preserve"> operations. </w:t>
      </w:r>
    </w:p>
    <w:p w14:paraId="34C487D4" w14:textId="62CE18CB" w:rsidR="007C0C5F" w:rsidRPr="000253AC" w:rsidRDefault="007C0C5F" w:rsidP="00502CAB">
      <w:pPr>
        <w:pStyle w:val="ActHead2"/>
      </w:pPr>
      <w:r w:rsidRPr="000253AC">
        <w:lastRenderedPageBreak/>
        <w:t xml:space="preserve">Part </w:t>
      </w:r>
      <w:r w:rsidR="004D0795">
        <w:t>7</w:t>
      </w:r>
      <w:r w:rsidRPr="000253AC">
        <w:t xml:space="preserve"> –</w:t>
      </w:r>
      <w:r w:rsidR="00502CAB">
        <w:t xml:space="preserve"> </w:t>
      </w:r>
      <w:r w:rsidR="004D0795">
        <w:t>E</w:t>
      </w:r>
      <w:r w:rsidRPr="000253AC">
        <w:t>nforcement</w:t>
      </w:r>
    </w:p>
    <w:p w14:paraId="4A29A660" w14:textId="3D66F05E" w:rsidR="007C0C5F" w:rsidRPr="000253AC" w:rsidRDefault="007C0C5F" w:rsidP="00502CAB">
      <w:pPr>
        <w:pStyle w:val="ActHead3"/>
      </w:pPr>
      <w:r w:rsidRPr="000253AC">
        <w:t>Division 1 – Preliminary</w:t>
      </w:r>
    </w:p>
    <w:p w14:paraId="05BE6134" w14:textId="6514EBBD" w:rsidR="007C0C5F" w:rsidRPr="00502CAB" w:rsidRDefault="000253AC" w:rsidP="00502CAB">
      <w:pPr>
        <w:pStyle w:val="ActHead5"/>
        <w:spacing w:after="240"/>
      </w:pPr>
      <w:r w:rsidRPr="00502CAB">
        <w:t xml:space="preserve">Section </w:t>
      </w:r>
      <w:r w:rsidR="00234D7B" w:rsidRPr="00502CAB">
        <w:t>55</w:t>
      </w:r>
      <w:r w:rsidRPr="00502CAB">
        <w:t xml:space="preserve"> – Simplified outline of this Part</w:t>
      </w:r>
    </w:p>
    <w:p w14:paraId="039F4A5A" w14:textId="43F07205" w:rsidR="00A95BB0" w:rsidRDefault="00A95BB0" w:rsidP="00A95BB0">
      <w:pPr>
        <w:spacing w:before="240" w:after="100" w:afterAutospacing="1"/>
        <w:rPr>
          <w:rFonts w:ascii="Times New Roman" w:hAnsi="Times New Roman" w:cs="Times New Roman"/>
          <w:sz w:val="24"/>
          <w:szCs w:val="24"/>
        </w:rPr>
      </w:pPr>
      <w:r w:rsidRPr="0071367A">
        <w:rPr>
          <w:rFonts w:ascii="Times New Roman" w:hAnsi="Times New Roman" w:cs="Times New Roman"/>
          <w:sz w:val="24"/>
          <w:szCs w:val="24"/>
        </w:rPr>
        <w:t xml:space="preserve">This section sets out </w:t>
      </w:r>
      <w:r>
        <w:rPr>
          <w:rFonts w:ascii="Times New Roman" w:hAnsi="Times New Roman" w:cs="Times New Roman"/>
          <w:sz w:val="24"/>
          <w:szCs w:val="24"/>
        </w:rPr>
        <w:t>a</w:t>
      </w:r>
      <w:r w:rsidRPr="0071367A">
        <w:rPr>
          <w:rFonts w:ascii="Times New Roman" w:hAnsi="Times New Roman" w:cs="Times New Roman"/>
          <w:sz w:val="24"/>
          <w:szCs w:val="24"/>
        </w:rPr>
        <w:t xml:space="preserve"> </w:t>
      </w:r>
      <w:r>
        <w:rPr>
          <w:rFonts w:ascii="Times New Roman" w:hAnsi="Times New Roman" w:cs="Times New Roman"/>
          <w:sz w:val="24"/>
          <w:szCs w:val="24"/>
        </w:rPr>
        <w:t xml:space="preserve">simplified outline </w:t>
      </w:r>
      <w:r w:rsidRPr="0071367A">
        <w:rPr>
          <w:rFonts w:ascii="Times New Roman" w:hAnsi="Times New Roman" w:cs="Times New Roman"/>
          <w:sz w:val="24"/>
          <w:szCs w:val="24"/>
        </w:rPr>
        <w:t xml:space="preserve">of </w:t>
      </w:r>
      <w:r>
        <w:rPr>
          <w:rFonts w:ascii="Times New Roman" w:hAnsi="Times New Roman" w:cs="Times New Roman"/>
          <w:sz w:val="24"/>
          <w:szCs w:val="24"/>
        </w:rPr>
        <w:t xml:space="preserve">Part 7 of </w:t>
      </w:r>
      <w:r w:rsidRPr="0071367A">
        <w:rPr>
          <w:rFonts w:ascii="Times New Roman" w:hAnsi="Times New Roman" w:cs="Times New Roman"/>
          <w:sz w:val="24"/>
          <w:szCs w:val="24"/>
        </w:rPr>
        <w:t xml:space="preserve">the </w:t>
      </w:r>
      <w:r>
        <w:rPr>
          <w:rFonts w:ascii="Times New Roman" w:hAnsi="Times New Roman" w:cs="Times New Roman"/>
          <w:sz w:val="24"/>
          <w:szCs w:val="24"/>
        </w:rPr>
        <w:t xml:space="preserve">GHG </w:t>
      </w:r>
      <w:r w:rsidRPr="0071367A">
        <w:rPr>
          <w:rFonts w:ascii="Times New Roman" w:hAnsi="Times New Roman" w:cs="Times New Roman"/>
          <w:sz w:val="24"/>
          <w:szCs w:val="24"/>
        </w:rPr>
        <w:t>Regulations</w:t>
      </w:r>
      <w:r w:rsidRPr="00E32A1E">
        <w:rPr>
          <w:rFonts w:ascii="Times New Roman" w:hAnsi="Times New Roman" w:cs="Times New Roman"/>
          <w:sz w:val="24"/>
          <w:szCs w:val="24"/>
        </w:rPr>
        <w:t xml:space="preserve">. </w:t>
      </w:r>
      <w:r>
        <w:rPr>
          <w:rFonts w:ascii="Times New Roman" w:hAnsi="Times New Roman" w:cs="Times New Roman"/>
          <w:sz w:val="24"/>
          <w:szCs w:val="24"/>
        </w:rPr>
        <w:t>While s</w:t>
      </w:r>
      <w:r w:rsidRPr="00E32A1E">
        <w:rPr>
          <w:rFonts w:ascii="Times New Roman" w:hAnsi="Times New Roman" w:cs="Times New Roman"/>
          <w:sz w:val="24"/>
          <w:szCs w:val="24"/>
        </w:rPr>
        <w:t>implified outlines are included to assist readers to understand the substantive provisions, the outlines are not intended to be comprehensive. It is intended that readers should rely on the substantive provisions</w:t>
      </w:r>
      <w:r>
        <w:rPr>
          <w:rFonts w:ascii="Times New Roman" w:hAnsi="Times New Roman" w:cs="Times New Roman"/>
          <w:sz w:val="24"/>
          <w:szCs w:val="24"/>
        </w:rPr>
        <w:t>.</w:t>
      </w:r>
    </w:p>
    <w:p w14:paraId="7A53047A" w14:textId="22F3ED7D" w:rsidR="000D1E68" w:rsidRPr="000D1E68" w:rsidRDefault="000D1E68" w:rsidP="00A95BB0">
      <w:pPr>
        <w:spacing w:before="240" w:after="100" w:afterAutospacing="1"/>
        <w:rPr>
          <w:rFonts w:ascii="Times New Roman" w:hAnsi="Times New Roman" w:cs="Times New Roman"/>
          <w:sz w:val="24"/>
          <w:szCs w:val="24"/>
        </w:rPr>
      </w:pPr>
      <w:r>
        <w:rPr>
          <w:rFonts w:ascii="Times New Roman" w:hAnsi="Times New Roman" w:cs="Times New Roman"/>
          <w:sz w:val="24"/>
          <w:szCs w:val="24"/>
        </w:rPr>
        <w:t xml:space="preserve">The note to section 55 is intended to inform the reader that the GHG Regulations are a </w:t>
      </w:r>
      <w:r>
        <w:rPr>
          <w:rFonts w:ascii="Times New Roman" w:hAnsi="Times New Roman" w:cs="Times New Roman"/>
          <w:b/>
          <w:bCs/>
          <w:i/>
          <w:iCs/>
          <w:sz w:val="24"/>
          <w:szCs w:val="24"/>
        </w:rPr>
        <w:t>listed NOPSEMA law</w:t>
      </w:r>
      <w:r>
        <w:rPr>
          <w:rFonts w:ascii="Times New Roman" w:hAnsi="Times New Roman" w:cs="Times New Roman"/>
          <w:sz w:val="24"/>
          <w:szCs w:val="24"/>
        </w:rPr>
        <w:t xml:space="preserve"> as defined in section 601 of the OPGGS Act. This means that the OPGGS</w:t>
      </w:r>
      <w:r w:rsidR="00302B3A">
        <w:rPr>
          <w:rFonts w:ascii="Times New Roman" w:hAnsi="Times New Roman" w:cs="Times New Roman"/>
          <w:sz w:val="24"/>
          <w:szCs w:val="24"/>
        </w:rPr>
        <w:t> </w:t>
      </w:r>
      <w:r>
        <w:rPr>
          <w:rFonts w:ascii="Times New Roman" w:hAnsi="Times New Roman" w:cs="Times New Roman"/>
          <w:sz w:val="24"/>
          <w:szCs w:val="24"/>
        </w:rPr>
        <w:t>Act makes the GHG Regulations subject to monitoring under Part 2 of the Regulatory Powers Act, and offences and civil penalty provisions of the GHG Regulations subject to investigation under Part 3 of the Regulatory Powers Act.</w:t>
      </w:r>
    </w:p>
    <w:p w14:paraId="2E9E9091" w14:textId="6B4AE0BE" w:rsidR="000253AC" w:rsidRPr="00502CAB" w:rsidRDefault="000A1398" w:rsidP="00502CAB">
      <w:pPr>
        <w:pStyle w:val="ActHead5"/>
        <w:spacing w:after="240"/>
      </w:pPr>
      <w:r w:rsidRPr="00502CAB">
        <w:t xml:space="preserve">Section </w:t>
      </w:r>
      <w:r w:rsidR="00234D7B" w:rsidRPr="00502CAB">
        <w:t>56</w:t>
      </w:r>
      <w:r w:rsidRPr="00502CAB">
        <w:t xml:space="preserve"> – Purpose of this Part</w:t>
      </w:r>
    </w:p>
    <w:p w14:paraId="1BE1FA37" w14:textId="27D6F62A" w:rsidR="006325DA" w:rsidRDefault="000A1398" w:rsidP="000A1398">
      <w:pPr>
        <w:rPr>
          <w:rFonts w:ascii="Times New Roman" w:hAnsi="Times New Roman" w:cs="Times New Roman"/>
          <w:sz w:val="24"/>
          <w:szCs w:val="24"/>
        </w:rPr>
      </w:pPr>
      <w:r>
        <w:rPr>
          <w:rFonts w:ascii="Times New Roman" w:hAnsi="Times New Roman" w:cs="Times New Roman"/>
          <w:sz w:val="24"/>
          <w:szCs w:val="24"/>
        </w:rPr>
        <w:t>This section</w:t>
      </w:r>
      <w:r w:rsidR="00224DBD">
        <w:rPr>
          <w:rFonts w:ascii="Times New Roman" w:hAnsi="Times New Roman" w:cs="Times New Roman"/>
          <w:sz w:val="24"/>
          <w:szCs w:val="24"/>
        </w:rPr>
        <w:t xml:space="preserve"> states that </w:t>
      </w:r>
      <w:r w:rsidR="005C1528">
        <w:rPr>
          <w:rFonts w:ascii="Times New Roman" w:hAnsi="Times New Roman" w:cs="Times New Roman"/>
          <w:sz w:val="24"/>
          <w:szCs w:val="24"/>
        </w:rPr>
        <w:t xml:space="preserve">the provisions of </w:t>
      </w:r>
      <w:r w:rsidR="00224DBD" w:rsidRPr="00224DBD">
        <w:rPr>
          <w:rFonts w:ascii="Times New Roman" w:hAnsi="Times New Roman" w:cs="Times New Roman"/>
          <w:sz w:val="24"/>
          <w:szCs w:val="24"/>
        </w:rPr>
        <w:t>Part</w:t>
      </w:r>
      <w:r w:rsidR="00D81C0E">
        <w:rPr>
          <w:rFonts w:ascii="Times New Roman" w:hAnsi="Times New Roman" w:cs="Times New Roman"/>
          <w:sz w:val="24"/>
          <w:szCs w:val="24"/>
        </w:rPr>
        <w:t xml:space="preserve"> 7</w:t>
      </w:r>
      <w:r w:rsidR="005C1528">
        <w:rPr>
          <w:rFonts w:ascii="Times New Roman" w:hAnsi="Times New Roman" w:cs="Times New Roman"/>
          <w:sz w:val="24"/>
          <w:szCs w:val="24"/>
        </w:rPr>
        <w:t>, other than</w:t>
      </w:r>
      <w:r w:rsidR="00224DBD" w:rsidRPr="00224DBD">
        <w:rPr>
          <w:rFonts w:ascii="Times New Roman" w:hAnsi="Times New Roman" w:cs="Times New Roman"/>
          <w:sz w:val="24"/>
          <w:szCs w:val="24"/>
        </w:rPr>
        <w:t xml:space="preserve"> subsection </w:t>
      </w:r>
      <w:r w:rsidR="001D692C">
        <w:rPr>
          <w:rFonts w:ascii="Times New Roman" w:hAnsi="Times New Roman" w:cs="Times New Roman"/>
          <w:sz w:val="24"/>
          <w:szCs w:val="24"/>
        </w:rPr>
        <w:t xml:space="preserve">62(1) </w:t>
      </w:r>
      <w:r w:rsidR="00224DBD">
        <w:rPr>
          <w:rFonts w:ascii="Times New Roman" w:hAnsi="Times New Roman" w:cs="Times New Roman"/>
          <w:sz w:val="24"/>
          <w:szCs w:val="24"/>
        </w:rPr>
        <w:t>concerning continuing offences</w:t>
      </w:r>
      <w:r w:rsidR="005C1528">
        <w:rPr>
          <w:rFonts w:ascii="Times New Roman" w:hAnsi="Times New Roman" w:cs="Times New Roman"/>
          <w:sz w:val="24"/>
          <w:szCs w:val="24"/>
        </w:rPr>
        <w:t>, are</w:t>
      </w:r>
      <w:r w:rsidR="00224DBD" w:rsidRPr="00224DBD">
        <w:rPr>
          <w:rFonts w:ascii="Times New Roman" w:hAnsi="Times New Roman" w:cs="Times New Roman"/>
          <w:sz w:val="24"/>
          <w:szCs w:val="24"/>
        </w:rPr>
        <w:t xml:space="preserve"> made for the purposes of section 790A of the </w:t>
      </w:r>
      <w:r w:rsidR="00224DBD">
        <w:rPr>
          <w:rFonts w:ascii="Times New Roman" w:hAnsi="Times New Roman" w:cs="Times New Roman"/>
          <w:sz w:val="24"/>
          <w:szCs w:val="24"/>
        </w:rPr>
        <w:t xml:space="preserve">OPGGS </w:t>
      </w:r>
      <w:r w:rsidR="00224DBD" w:rsidRPr="00224DBD">
        <w:rPr>
          <w:rFonts w:ascii="Times New Roman" w:hAnsi="Times New Roman" w:cs="Times New Roman"/>
          <w:sz w:val="24"/>
          <w:szCs w:val="24"/>
        </w:rPr>
        <w:t>Act.</w:t>
      </w:r>
      <w:r w:rsidR="00224DBD">
        <w:rPr>
          <w:rFonts w:ascii="Times New Roman" w:hAnsi="Times New Roman" w:cs="Times New Roman"/>
          <w:sz w:val="24"/>
          <w:szCs w:val="24"/>
        </w:rPr>
        <w:t xml:space="preserve"> Section</w:t>
      </w:r>
      <w:r w:rsidR="00302B3A">
        <w:rPr>
          <w:rFonts w:ascii="Times New Roman" w:hAnsi="Times New Roman" w:cs="Times New Roman"/>
          <w:sz w:val="24"/>
          <w:szCs w:val="24"/>
        </w:rPr>
        <w:t> </w:t>
      </w:r>
      <w:r w:rsidR="00224DBD">
        <w:rPr>
          <w:rFonts w:ascii="Times New Roman" w:hAnsi="Times New Roman" w:cs="Times New Roman"/>
          <w:sz w:val="24"/>
          <w:szCs w:val="24"/>
        </w:rPr>
        <w:t xml:space="preserve">790A </w:t>
      </w:r>
      <w:r w:rsidR="005105A8">
        <w:rPr>
          <w:rFonts w:ascii="Times New Roman" w:hAnsi="Times New Roman" w:cs="Times New Roman"/>
          <w:sz w:val="24"/>
          <w:szCs w:val="24"/>
        </w:rPr>
        <w:t>enables the</w:t>
      </w:r>
      <w:r w:rsidR="00224DBD">
        <w:rPr>
          <w:rFonts w:ascii="Times New Roman" w:hAnsi="Times New Roman" w:cs="Times New Roman"/>
          <w:sz w:val="24"/>
          <w:szCs w:val="24"/>
        </w:rPr>
        <w:t xml:space="preserve"> regulations </w:t>
      </w:r>
      <w:r w:rsidR="005105A8">
        <w:rPr>
          <w:rFonts w:ascii="Times New Roman" w:hAnsi="Times New Roman" w:cs="Times New Roman"/>
          <w:sz w:val="24"/>
          <w:szCs w:val="24"/>
        </w:rPr>
        <w:t>to provide that a civil penalty provision of the regulations may be enforced under Part 4 of the Regulatory Powers Act, and that a provision of the regulations is enforceable under Part 6 (which deals with enforceable undertakings) and Part 7 (which deals with injunctions) of the Regulatory Powers Act. Section 790A also provides for the regulations to specify matters for the purposes of the Regulatory Powers Act (for example, who is an authorised applicant in relation to a civil penalty provision).</w:t>
      </w:r>
    </w:p>
    <w:p w14:paraId="68C8CF9C" w14:textId="7CC900BC" w:rsidR="003E4855" w:rsidRPr="00B84AAA" w:rsidRDefault="0031124F" w:rsidP="000A1398">
      <w:pPr>
        <w:rPr>
          <w:rFonts w:ascii="Times New Roman" w:hAnsi="Times New Roman" w:cs="Times New Roman"/>
          <w:sz w:val="24"/>
          <w:szCs w:val="24"/>
        </w:rPr>
      </w:pPr>
      <w:r>
        <w:rPr>
          <w:rFonts w:ascii="Times New Roman" w:hAnsi="Times New Roman" w:cs="Times New Roman"/>
          <w:sz w:val="24"/>
          <w:szCs w:val="24"/>
        </w:rPr>
        <w:t>The ability to pr</w:t>
      </w:r>
      <w:r w:rsidR="006E4610">
        <w:rPr>
          <w:rFonts w:ascii="Times New Roman" w:hAnsi="Times New Roman" w:cs="Times New Roman"/>
          <w:sz w:val="24"/>
          <w:szCs w:val="24"/>
        </w:rPr>
        <w:t>ovide for</w:t>
      </w:r>
      <w:r>
        <w:rPr>
          <w:rFonts w:ascii="Times New Roman" w:hAnsi="Times New Roman" w:cs="Times New Roman"/>
          <w:sz w:val="24"/>
          <w:szCs w:val="24"/>
        </w:rPr>
        <w:t xml:space="preserve"> the </w:t>
      </w:r>
      <w:r w:rsidR="006E4610">
        <w:rPr>
          <w:rFonts w:ascii="Times New Roman" w:hAnsi="Times New Roman" w:cs="Times New Roman"/>
          <w:sz w:val="24"/>
          <w:szCs w:val="24"/>
        </w:rPr>
        <w:t xml:space="preserve">application of the </w:t>
      </w:r>
      <w:r>
        <w:rPr>
          <w:rFonts w:ascii="Times New Roman" w:hAnsi="Times New Roman" w:cs="Times New Roman"/>
          <w:sz w:val="24"/>
          <w:szCs w:val="24"/>
        </w:rPr>
        <w:t xml:space="preserve">Regulatory Powers Act in regulations under the OPGGS Act was inserted by the </w:t>
      </w:r>
      <w:r>
        <w:rPr>
          <w:rFonts w:ascii="Times New Roman" w:hAnsi="Times New Roman" w:cs="Times New Roman"/>
          <w:i/>
          <w:iCs/>
          <w:sz w:val="24"/>
          <w:szCs w:val="24"/>
        </w:rPr>
        <w:t>Offshore Petroleum and Greenhouse Gas Storage Amendment (Compliance Measures) Act 2013</w:t>
      </w:r>
      <w:r>
        <w:rPr>
          <w:rFonts w:ascii="Times New Roman" w:hAnsi="Times New Roman" w:cs="Times New Roman"/>
          <w:sz w:val="24"/>
          <w:szCs w:val="24"/>
        </w:rPr>
        <w:t xml:space="preserve">, the </w:t>
      </w:r>
      <w:r>
        <w:rPr>
          <w:rFonts w:ascii="Times New Roman" w:hAnsi="Times New Roman" w:cs="Times New Roman"/>
          <w:i/>
          <w:iCs/>
          <w:sz w:val="24"/>
          <w:szCs w:val="24"/>
        </w:rPr>
        <w:t>Offshore Petroleum and Greenhouse Gas Storage Amendment (Compliance Measures No. 2) Act 2013</w:t>
      </w:r>
      <w:r>
        <w:rPr>
          <w:rFonts w:ascii="Times New Roman" w:hAnsi="Times New Roman" w:cs="Times New Roman"/>
          <w:sz w:val="24"/>
          <w:szCs w:val="24"/>
        </w:rPr>
        <w:t xml:space="preserve"> and the </w:t>
      </w:r>
      <w:r>
        <w:rPr>
          <w:rFonts w:ascii="Times New Roman" w:hAnsi="Times New Roman" w:cs="Times New Roman"/>
          <w:i/>
          <w:iCs/>
          <w:sz w:val="24"/>
          <w:szCs w:val="24"/>
        </w:rPr>
        <w:t>Offshore Petroleum and Greenhouse Gas Storage Amendment (Miscellaneous Amendments) Act 2019</w:t>
      </w:r>
      <w:r>
        <w:rPr>
          <w:rFonts w:ascii="Times New Roman" w:hAnsi="Times New Roman" w:cs="Times New Roman"/>
          <w:sz w:val="24"/>
          <w:szCs w:val="24"/>
        </w:rPr>
        <w:t>. In each case, Parliament had the ability to consider the appropriateness of prescribing these matters in regulations</w:t>
      </w:r>
      <w:r w:rsidR="00B34D64">
        <w:rPr>
          <w:rFonts w:ascii="Times New Roman" w:hAnsi="Times New Roman" w:cs="Times New Roman"/>
          <w:sz w:val="24"/>
          <w:szCs w:val="24"/>
        </w:rPr>
        <w:t xml:space="preserve"> prior to passing the legislation.</w:t>
      </w:r>
      <w:r>
        <w:rPr>
          <w:rFonts w:ascii="Times New Roman" w:hAnsi="Times New Roman" w:cs="Times New Roman"/>
          <w:sz w:val="24"/>
          <w:szCs w:val="24"/>
        </w:rPr>
        <w:t xml:space="preserve"> </w:t>
      </w:r>
      <w:r w:rsidR="00B84AAA">
        <w:rPr>
          <w:rFonts w:ascii="Times New Roman" w:hAnsi="Times New Roman" w:cs="Times New Roman"/>
          <w:sz w:val="24"/>
          <w:szCs w:val="24"/>
        </w:rPr>
        <w:t xml:space="preserve">A similar provision is also included in section 308 of the </w:t>
      </w:r>
      <w:r w:rsidR="00B84AAA">
        <w:rPr>
          <w:rFonts w:ascii="Times New Roman" w:hAnsi="Times New Roman" w:cs="Times New Roman"/>
          <w:i/>
          <w:iCs/>
          <w:sz w:val="24"/>
          <w:szCs w:val="24"/>
        </w:rPr>
        <w:t>Offshore Electricity Infrastructure Act 2021</w:t>
      </w:r>
      <w:r w:rsidR="00B84AAA">
        <w:rPr>
          <w:rFonts w:ascii="Times New Roman" w:hAnsi="Times New Roman" w:cs="Times New Roman"/>
          <w:sz w:val="24"/>
          <w:szCs w:val="24"/>
        </w:rPr>
        <w:t>.</w:t>
      </w:r>
    </w:p>
    <w:p w14:paraId="14612DBA" w14:textId="458987F1" w:rsidR="009F6312" w:rsidRDefault="009F6312" w:rsidP="000A1398">
      <w:pPr>
        <w:rPr>
          <w:rFonts w:ascii="Times New Roman" w:hAnsi="Times New Roman" w:cs="Times New Roman"/>
          <w:sz w:val="24"/>
          <w:szCs w:val="24"/>
        </w:rPr>
      </w:pPr>
      <w:r>
        <w:rPr>
          <w:rFonts w:ascii="Times New Roman" w:hAnsi="Times New Roman" w:cs="Times New Roman"/>
          <w:sz w:val="24"/>
          <w:szCs w:val="24"/>
        </w:rPr>
        <w:t xml:space="preserve">In addition, the OPGGS Act sets out a range of regulation-making powers to prescribe matters in relation to GHG injection and storage, such as matters relating to site plans, in the regulations. As a result, the GHG Regulations comprehensively deal with these matters, rather than provisions set out in the OPGGS Act. It is considered that setting out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provisions (including enforcement provisions) in one instrument provides greater clarity to licensees, rather than including the substantive provisions in the regulations, and matters relating to enforcement of those provisions in the OPGGS Act.  </w:t>
      </w:r>
    </w:p>
    <w:p w14:paraId="47CC5DFE" w14:textId="499612B2" w:rsidR="009A5BC0" w:rsidRPr="003E4855" w:rsidRDefault="009A5BC0" w:rsidP="000A1398">
      <w:pPr>
        <w:rPr>
          <w:rFonts w:ascii="Times New Roman" w:hAnsi="Times New Roman" w:cs="Times New Roman"/>
          <w:sz w:val="24"/>
          <w:szCs w:val="24"/>
        </w:rPr>
      </w:pPr>
      <w:r>
        <w:rPr>
          <w:rFonts w:ascii="Times New Roman" w:hAnsi="Times New Roman" w:cs="Times New Roman"/>
          <w:sz w:val="24"/>
          <w:szCs w:val="24"/>
        </w:rPr>
        <w:t xml:space="preserve">It is considered </w:t>
      </w:r>
      <w:r w:rsidRPr="00CE6F57">
        <w:rPr>
          <w:rFonts w:ascii="Times New Roman" w:eastAsia="Times New Roman" w:hAnsi="Times New Roman" w:cs="Times New Roman"/>
          <w:color w:val="000000"/>
          <w:sz w:val="24"/>
          <w:szCs w:val="24"/>
          <w:lang w:eastAsia="en-AU"/>
        </w:rPr>
        <w:t xml:space="preserve">necessary and appropriate that a broad range of enforcement tools be available in relation to regulatory provisions to ensure that sufficient incentive is provided for </w:t>
      </w:r>
      <w:r w:rsidRPr="00CE6F57">
        <w:rPr>
          <w:rFonts w:ascii="Times New Roman" w:eastAsia="Times New Roman" w:hAnsi="Times New Roman" w:cs="Times New Roman"/>
          <w:color w:val="000000"/>
          <w:sz w:val="24"/>
          <w:szCs w:val="24"/>
          <w:lang w:eastAsia="en-AU"/>
        </w:rPr>
        <w:lastRenderedPageBreak/>
        <w:t xml:space="preserve">a </w:t>
      </w:r>
      <w:r>
        <w:rPr>
          <w:rFonts w:ascii="Times New Roman" w:eastAsia="Times New Roman" w:hAnsi="Times New Roman" w:cs="Times New Roman"/>
          <w:color w:val="000000"/>
          <w:sz w:val="24"/>
          <w:szCs w:val="24"/>
          <w:lang w:eastAsia="en-AU"/>
        </w:rPr>
        <w:t>GHG injection licensee</w:t>
      </w:r>
      <w:r w:rsidRPr="00CE6F57">
        <w:rPr>
          <w:rFonts w:ascii="Times New Roman" w:eastAsia="Times New Roman" w:hAnsi="Times New Roman" w:cs="Times New Roman"/>
          <w:color w:val="000000"/>
          <w:sz w:val="24"/>
          <w:szCs w:val="24"/>
          <w:lang w:eastAsia="en-AU"/>
        </w:rPr>
        <w:t xml:space="preserve"> to return to compliance and to ensure that enforcement actions can be targeted, proportionate and effective in </w:t>
      </w:r>
      <w:r>
        <w:rPr>
          <w:rFonts w:ascii="Times New Roman" w:eastAsia="Times New Roman" w:hAnsi="Times New Roman" w:cs="Times New Roman"/>
          <w:color w:val="000000"/>
          <w:sz w:val="24"/>
          <w:szCs w:val="24"/>
          <w:lang w:eastAsia="en-AU"/>
        </w:rPr>
        <w:t>achieving safe and sustainable operations</w:t>
      </w:r>
      <w:r w:rsidRPr="00CE6F57">
        <w:rPr>
          <w:rFonts w:ascii="Times New Roman" w:eastAsia="Times New Roman" w:hAnsi="Times New Roman" w:cs="Times New Roman"/>
          <w:color w:val="000000"/>
          <w:sz w:val="24"/>
          <w:szCs w:val="24"/>
          <w:lang w:eastAsia="en-AU"/>
        </w:rPr>
        <w:t>.</w:t>
      </w:r>
    </w:p>
    <w:p w14:paraId="48D262AE" w14:textId="18C9C926" w:rsidR="00224DBD" w:rsidRDefault="009A5BC0" w:rsidP="000A1398">
      <w:pPr>
        <w:rPr>
          <w:rFonts w:ascii="Times New Roman" w:hAnsi="Times New Roman" w:cs="Times New Roman"/>
          <w:sz w:val="24"/>
          <w:szCs w:val="24"/>
        </w:rPr>
      </w:pPr>
      <w:r>
        <w:rPr>
          <w:rFonts w:ascii="Times New Roman" w:hAnsi="Times New Roman" w:cs="Times New Roman"/>
          <w:sz w:val="24"/>
          <w:szCs w:val="24"/>
        </w:rPr>
        <w:t xml:space="preserve">Section 790 of the OPGGS Act also provides </w:t>
      </w:r>
      <w:r w:rsidR="006325DA">
        <w:rPr>
          <w:rFonts w:ascii="Times New Roman" w:hAnsi="Times New Roman" w:cs="Times New Roman"/>
          <w:sz w:val="24"/>
          <w:szCs w:val="24"/>
        </w:rPr>
        <w:t xml:space="preserve">authority </w:t>
      </w:r>
      <w:r>
        <w:rPr>
          <w:rFonts w:ascii="Times New Roman" w:hAnsi="Times New Roman" w:cs="Times New Roman"/>
          <w:sz w:val="24"/>
          <w:szCs w:val="24"/>
        </w:rPr>
        <w:t xml:space="preserve">for </w:t>
      </w:r>
      <w:r w:rsidR="001D692C">
        <w:rPr>
          <w:rFonts w:ascii="Times New Roman" w:hAnsi="Times New Roman" w:cs="Times New Roman"/>
          <w:sz w:val="24"/>
          <w:szCs w:val="24"/>
        </w:rPr>
        <w:t xml:space="preserve">section </w:t>
      </w:r>
      <w:r w:rsidR="00D81C0E">
        <w:rPr>
          <w:rFonts w:ascii="Times New Roman" w:hAnsi="Times New Roman" w:cs="Times New Roman"/>
          <w:sz w:val="24"/>
          <w:szCs w:val="24"/>
        </w:rPr>
        <w:t>61, which relates to contraventions of offence provisions and civil penalties,</w:t>
      </w:r>
      <w:r w:rsidR="000520F4" w:rsidRPr="00224DBD">
        <w:rPr>
          <w:rFonts w:ascii="Times New Roman" w:hAnsi="Times New Roman" w:cs="Times New Roman"/>
          <w:sz w:val="24"/>
          <w:szCs w:val="24"/>
        </w:rPr>
        <w:t xml:space="preserve"> </w:t>
      </w:r>
      <w:r>
        <w:rPr>
          <w:rFonts w:ascii="Times New Roman" w:hAnsi="Times New Roman" w:cs="Times New Roman"/>
          <w:sz w:val="24"/>
          <w:szCs w:val="24"/>
        </w:rPr>
        <w:t>and</w:t>
      </w:r>
      <w:r w:rsidR="00224DBD">
        <w:rPr>
          <w:rFonts w:ascii="Times New Roman" w:hAnsi="Times New Roman" w:cs="Times New Roman"/>
          <w:sz w:val="24"/>
          <w:szCs w:val="24"/>
        </w:rPr>
        <w:t xml:space="preserve"> s</w:t>
      </w:r>
      <w:r w:rsidR="00224DBD" w:rsidRPr="00224DBD">
        <w:rPr>
          <w:rFonts w:ascii="Times New Roman" w:hAnsi="Times New Roman" w:cs="Times New Roman"/>
          <w:sz w:val="24"/>
          <w:szCs w:val="24"/>
        </w:rPr>
        <w:t xml:space="preserve">ubsection </w:t>
      </w:r>
      <w:r w:rsidR="001D692C">
        <w:rPr>
          <w:rFonts w:ascii="Times New Roman" w:hAnsi="Times New Roman" w:cs="Times New Roman"/>
          <w:sz w:val="24"/>
          <w:szCs w:val="24"/>
        </w:rPr>
        <w:t>6</w:t>
      </w:r>
      <w:r w:rsidR="00D81C0E">
        <w:rPr>
          <w:rFonts w:ascii="Times New Roman" w:hAnsi="Times New Roman" w:cs="Times New Roman"/>
          <w:sz w:val="24"/>
          <w:szCs w:val="24"/>
        </w:rPr>
        <w:t>2</w:t>
      </w:r>
      <w:r w:rsidR="00224DBD" w:rsidRPr="00224DBD">
        <w:rPr>
          <w:rFonts w:ascii="Times New Roman" w:hAnsi="Times New Roman" w:cs="Times New Roman"/>
          <w:sz w:val="24"/>
          <w:szCs w:val="24"/>
        </w:rPr>
        <w:t>(1)</w:t>
      </w:r>
      <w:r w:rsidR="00D81C0E">
        <w:rPr>
          <w:rFonts w:ascii="Times New Roman" w:hAnsi="Times New Roman" w:cs="Times New Roman"/>
          <w:sz w:val="24"/>
          <w:szCs w:val="24"/>
        </w:rPr>
        <w:t>, which concerns continuing offences</w:t>
      </w:r>
      <w:r w:rsidR="000520F4">
        <w:rPr>
          <w:rFonts w:ascii="Times New Roman" w:hAnsi="Times New Roman" w:cs="Times New Roman"/>
          <w:sz w:val="24"/>
          <w:szCs w:val="24"/>
        </w:rPr>
        <w:t>.</w:t>
      </w:r>
      <w:r>
        <w:rPr>
          <w:rFonts w:ascii="Times New Roman" w:hAnsi="Times New Roman" w:cs="Times New Roman"/>
          <w:sz w:val="24"/>
          <w:szCs w:val="24"/>
        </w:rPr>
        <w:t xml:space="preserve"> Section 790 states that regulations may provide for offences against the regulations. Under subsection 790(2), the penalties for offences against the regulations must not exceed a fine of 100 PU, or a fine of 100 PU for each day on which the offence occurs.</w:t>
      </w:r>
    </w:p>
    <w:p w14:paraId="586534F9" w14:textId="7E49B94E" w:rsidR="000A1398" w:rsidRPr="00502CAB" w:rsidRDefault="000A1398" w:rsidP="00502CAB">
      <w:pPr>
        <w:pStyle w:val="ActHead3"/>
      </w:pPr>
      <w:r w:rsidRPr="00502CAB">
        <w:t>Division 2 – Civil penalties</w:t>
      </w:r>
    </w:p>
    <w:p w14:paraId="6D56F100" w14:textId="6E80B91E" w:rsidR="000A1398" w:rsidRPr="00502CAB" w:rsidRDefault="000A1398" w:rsidP="00502CAB">
      <w:pPr>
        <w:pStyle w:val="ActHead5"/>
        <w:spacing w:after="240"/>
      </w:pPr>
      <w:r w:rsidRPr="00502CAB">
        <w:t xml:space="preserve">Section </w:t>
      </w:r>
      <w:r w:rsidR="00234D7B" w:rsidRPr="00502CAB">
        <w:t>5</w:t>
      </w:r>
      <w:r w:rsidR="004D0795" w:rsidRPr="00502CAB">
        <w:t>7</w:t>
      </w:r>
      <w:r w:rsidR="005552D6">
        <w:t xml:space="preserve"> </w:t>
      </w:r>
      <w:r w:rsidRPr="00502CAB">
        <w:t>– Civil penalty provisions</w:t>
      </w:r>
    </w:p>
    <w:p w14:paraId="5769D419" w14:textId="39B7FE84" w:rsidR="000A1398" w:rsidRDefault="000A1398" w:rsidP="0016414E">
      <w:pPr>
        <w:rPr>
          <w:rFonts w:ascii="Times New Roman" w:hAnsi="Times New Roman" w:cs="Times New Roman"/>
          <w:sz w:val="24"/>
          <w:szCs w:val="24"/>
        </w:rPr>
      </w:pPr>
      <w:r>
        <w:rPr>
          <w:rFonts w:ascii="Times New Roman" w:hAnsi="Times New Roman" w:cs="Times New Roman"/>
          <w:sz w:val="24"/>
          <w:szCs w:val="24"/>
        </w:rPr>
        <w:t xml:space="preserve">This section </w:t>
      </w:r>
      <w:r w:rsidR="00933773">
        <w:rPr>
          <w:rFonts w:ascii="Times New Roman" w:hAnsi="Times New Roman" w:cs="Times New Roman"/>
          <w:sz w:val="24"/>
          <w:szCs w:val="24"/>
        </w:rPr>
        <w:t>appli</w:t>
      </w:r>
      <w:r w:rsidR="00795EC1">
        <w:rPr>
          <w:rFonts w:ascii="Times New Roman" w:hAnsi="Times New Roman" w:cs="Times New Roman"/>
          <w:sz w:val="24"/>
          <w:szCs w:val="24"/>
        </w:rPr>
        <w:t>es</w:t>
      </w:r>
      <w:r w:rsidR="00933773">
        <w:rPr>
          <w:rFonts w:ascii="Times New Roman" w:hAnsi="Times New Roman" w:cs="Times New Roman"/>
          <w:sz w:val="24"/>
          <w:szCs w:val="24"/>
        </w:rPr>
        <w:t xml:space="preserve"> </w:t>
      </w:r>
      <w:r w:rsidR="00224DBD" w:rsidRPr="00224DBD">
        <w:rPr>
          <w:rFonts w:ascii="Times New Roman" w:hAnsi="Times New Roman" w:cs="Times New Roman"/>
          <w:sz w:val="24"/>
          <w:szCs w:val="24"/>
        </w:rPr>
        <w:t>Part 4 of the Regulatory Powers Act</w:t>
      </w:r>
      <w:r w:rsidR="00933773">
        <w:rPr>
          <w:rFonts w:ascii="Times New Roman" w:hAnsi="Times New Roman" w:cs="Times New Roman"/>
          <w:sz w:val="24"/>
          <w:szCs w:val="24"/>
        </w:rPr>
        <w:t xml:space="preserve"> to enforce the civil penalty provisions in the GHG Regulations</w:t>
      </w:r>
      <w:r w:rsidR="00224DBD" w:rsidRPr="00224DBD">
        <w:rPr>
          <w:rFonts w:ascii="Times New Roman" w:hAnsi="Times New Roman" w:cs="Times New Roman"/>
          <w:sz w:val="24"/>
          <w:szCs w:val="24"/>
        </w:rPr>
        <w:t>.</w:t>
      </w:r>
      <w:r w:rsidR="00933773">
        <w:rPr>
          <w:rFonts w:ascii="Times New Roman" w:hAnsi="Times New Roman" w:cs="Times New Roman"/>
          <w:sz w:val="24"/>
          <w:szCs w:val="24"/>
        </w:rPr>
        <w:t xml:space="preserve"> Part 4 of the Regulatory Powers Act allows a civil penalty provision to be enforced by obtaining an order for a person to pay a pecuniary penalty for the contravention of the provision.</w:t>
      </w:r>
      <w:r w:rsidR="00221CE3">
        <w:rPr>
          <w:rFonts w:ascii="Times New Roman" w:hAnsi="Times New Roman" w:cs="Times New Roman"/>
          <w:sz w:val="24"/>
          <w:szCs w:val="24"/>
        </w:rPr>
        <w:t xml:space="preserve"> See the discussion at section 56 regarding the authority to trigger application of the Regulatory Powers Act by regulation.</w:t>
      </w:r>
    </w:p>
    <w:p w14:paraId="4C2F958A" w14:textId="3D4E78DC" w:rsidR="00933773" w:rsidRDefault="00933773" w:rsidP="0016414E">
      <w:pPr>
        <w:rPr>
          <w:rFonts w:ascii="Times New Roman" w:hAnsi="Times New Roman" w:cs="Times New Roman"/>
          <w:sz w:val="24"/>
          <w:szCs w:val="24"/>
        </w:rPr>
      </w:pPr>
      <w:r>
        <w:rPr>
          <w:rFonts w:ascii="Times New Roman" w:hAnsi="Times New Roman" w:cs="Times New Roman"/>
          <w:sz w:val="24"/>
          <w:szCs w:val="24"/>
        </w:rPr>
        <w:t xml:space="preserve">Subsection 57(2) provides that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Minister is the “authorised applicant” who can make an application for a civil penalty order.</w:t>
      </w:r>
    </w:p>
    <w:p w14:paraId="1BB67897" w14:textId="44F87275" w:rsidR="00933773" w:rsidRDefault="00933773" w:rsidP="0016414E">
      <w:pPr>
        <w:rPr>
          <w:rFonts w:ascii="Times New Roman" w:hAnsi="Times New Roman" w:cs="Times New Roman"/>
          <w:sz w:val="24"/>
          <w:szCs w:val="24"/>
        </w:rPr>
      </w:pPr>
      <w:r>
        <w:rPr>
          <w:rFonts w:ascii="Times New Roman" w:hAnsi="Times New Roman" w:cs="Times New Roman"/>
          <w:sz w:val="24"/>
          <w:szCs w:val="24"/>
        </w:rPr>
        <w:t xml:space="preserve">Subsection 57(3) </w:t>
      </w:r>
      <w:r w:rsidRPr="005F5DBB">
        <w:rPr>
          <w:rFonts w:ascii="Times New Roman" w:eastAsia="Times New Roman" w:hAnsi="Times New Roman" w:cs="Times New Roman"/>
          <w:color w:val="000000"/>
          <w:sz w:val="24"/>
          <w:szCs w:val="24"/>
          <w:lang w:eastAsia="en-AU"/>
        </w:rPr>
        <w:t>provides for a “relevant court” for the purposes of Part 4 of the Regulatory</w:t>
      </w:r>
      <w:r w:rsidR="007C64E8">
        <w:rPr>
          <w:rFonts w:ascii="Times New Roman" w:eastAsia="Times New Roman" w:hAnsi="Times New Roman" w:cs="Times New Roman"/>
          <w:color w:val="000000"/>
          <w:sz w:val="24"/>
          <w:szCs w:val="24"/>
          <w:lang w:eastAsia="en-AU"/>
        </w:rPr>
        <w:t> </w:t>
      </w:r>
      <w:r w:rsidRPr="005F5DBB">
        <w:rPr>
          <w:rFonts w:ascii="Times New Roman" w:eastAsia="Times New Roman" w:hAnsi="Times New Roman" w:cs="Times New Roman"/>
          <w:color w:val="000000"/>
          <w:sz w:val="24"/>
          <w:szCs w:val="24"/>
          <w:lang w:eastAsia="en-AU"/>
        </w:rPr>
        <w:t xml:space="preserve">Powers Act to be the Federal Court, the Federal Circuit </w:t>
      </w:r>
      <w:r>
        <w:rPr>
          <w:rFonts w:ascii="Times New Roman" w:eastAsia="Times New Roman" w:hAnsi="Times New Roman" w:cs="Times New Roman"/>
          <w:color w:val="000000"/>
          <w:sz w:val="24"/>
          <w:szCs w:val="24"/>
          <w:lang w:eastAsia="en-AU"/>
        </w:rPr>
        <w:t xml:space="preserve">and Family </w:t>
      </w:r>
      <w:r w:rsidRPr="005F5DBB">
        <w:rPr>
          <w:rFonts w:ascii="Times New Roman" w:eastAsia="Times New Roman" w:hAnsi="Times New Roman" w:cs="Times New Roman"/>
          <w:color w:val="000000"/>
          <w:sz w:val="24"/>
          <w:szCs w:val="24"/>
          <w:lang w:eastAsia="en-AU"/>
        </w:rPr>
        <w:t>Court</w:t>
      </w:r>
      <w:r>
        <w:rPr>
          <w:rFonts w:ascii="Times New Roman" w:eastAsia="Times New Roman" w:hAnsi="Times New Roman" w:cs="Times New Roman"/>
          <w:color w:val="000000"/>
          <w:sz w:val="24"/>
          <w:szCs w:val="24"/>
          <w:lang w:eastAsia="en-AU"/>
        </w:rPr>
        <w:t xml:space="preserve"> of Australia (Division 2)</w:t>
      </w:r>
      <w:r w:rsidRPr="005F5DBB">
        <w:rPr>
          <w:rFonts w:ascii="Times New Roman" w:eastAsia="Times New Roman" w:hAnsi="Times New Roman" w:cs="Times New Roman"/>
          <w:color w:val="000000"/>
          <w:sz w:val="24"/>
          <w:szCs w:val="24"/>
          <w:lang w:eastAsia="en-AU"/>
        </w:rPr>
        <w:t>, and the Supreme Court of a State or Territory. An authorised applicant may make an application for a civil penalty order to any one of those courts.</w:t>
      </w:r>
    </w:p>
    <w:p w14:paraId="1323F3B3" w14:textId="4AF3A034" w:rsidR="00E657D2" w:rsidRPr="00E657D2" w:rsidRDefault="00933773" w:rsidP="00E657D2">
      <w:pPr>
        <w:rPr>
          <w:rFonts w:ascii="Times New Roman" w:hAnsi="Times New Roman" w:cs="Times New Roman"/>
          <w:sz w:val="24"/>
          <w:szCs w:val="24"/>
        </w:rPr>
      </w:pPr>
      <w:r>
        <w:rPr>
          <w:rFonts w:ascii="Times New Roman" w:hAnsi="Times New Roman" w:cs="Times New Roman"/>
          <w:sz w:val="24"/>
          <w:szCs w:val="24"/>
        </w:rPr>
        <w:t>S</w:t>
      </w:r>
      <w:r w:rsidR="00E657D2" w:rsidRPr="00E657D2">
        <w:rPr>
          <w:rFonts w:ascii="Times New Roman" w:hAnsi="Times New Roman" w:cs="Times New Roman"/>
          <w:sz w:val="24"/>
          <w:szCs w:val="24"/>
        </w:rPr>
        <w:t>ubsection 82(6) of th</w:t>
      </w:r>
      <w:r w:rsidR="00E657D2">
        <w:rPr>
          <w:rFonts w:ascii="Times New Roman" w:hAnsi="Times New Roman" w:cs="Times New Roman"/>
          <w:sz w:val="24"/>
          <w:szCs w:val="24"/>
        </w:rPr>
        <w:t>e Regulatory Powers</w:t>
      </w:r>
      <w:r w:rsidR="00E657D2" w:rsidRPr="00E657D2">
        <w:rPr>
          <w:rFonts w:ascii="Times New Roman" w:hAnsi="Times New Roman" w:cs="Times New Roman"/>
          <w:sz w:val="24"/>
          <w:szCs w:val="24"/>
        </w:rPr>
        <w:t xml:space="preserve"> Act applies</w:t>
      </w:r>
      <w:r>
        <w:rPr>
          <w:rFonts w:ascii="Times New Roman" w:hAnsi="Times New Roman" w:cs="Times New Roman"/>
          <w:sz w:val="24"/>
          <w:szCs w:val="24"/>
        </w:rPr>
        <w:t xml:space="preserve"> if a relevant court is satisfied that a person has contravened a civil penalty </w:t>
      </w:r>
      <w:proofErr w:type="gramStart"/>
      <w:r>
        <w:rPr>
          <w:rFonts w:ascii="Times New Roman" w:hAnsi="Times New Roman" w:cs="Times New Roman"/>
          <w:sz w:val="24"/>
          <w:szCs w:val="24"/>
        </w:rPr>
        <w:t>provision</w:t>
      </w:r>
      <w:r w:rsidR="00316EAC">
        <w:rPr>
          <w:rFonts w:ascii="Times New Roman" w:hAnsi="Times New Roman" w:cs="Times New Roman"/>
          <w:sz w:val="24"/>
          <w:szCs w:val="24"/>
        </w:rPr>
        <w:t>,</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orders a person to pay a pecuniary penalty</w:t>
      </w:r>
      <w:r w:rsidR="00E657D2" w:rsidRPr="00E657D2">
        <w:rPr>
          <w:rFonts w:ascii="Times New Roman" w:hAnsi="Times New Roman" w:cs="Times New Roman"/>
          <w:sz w:val="24"/>
          <w:szCs w:val="24"/>
        </w:rPr>
        <w:t xml:space="preserve">. </w:t>
      </w:r>
      <w:r>
        <w:rPr>
          <w:rFonts w:ascii="Times New Roman" w:hAnsi="Times New Roman" w:cs="Times New Roman"/>
          <w:sz w:val="24"/>
          <w:szCs w:val="24"/>
        </w:rPr>
        <w:t>I</w:t>
      </w:r>
      <w:r w:rsidR="00E657D2" w:rsidRPr="00E657D2">
        <w:rPr>
          <w:rFonts w:ascii="Times New Roman" w:hAnsi="Times New Roman" w:cs="Times New Roman"/>
          <w:sz w:val="24"/>
          <w:szCs w:val="24"/>
        </w:rPr>
        <w:t>n determining the pecuniary penalty</w:t>
      </w:r>
      <w:r w:rsidR="00E657D2">
        <w:rPr>
          <w:rFonts w:ascii="Times New Roman" w:hAnsi="Times New Roman" w:cs="Times New Roman"/>
          <w:sz w:val="24"/>
          <w:szCs w:val="24"/>
        </w:rPr>
        <w:t>,</w:t>
      </w:r>
      <w:r w:rsidR="00E657D2" w:rsidRPr="00E657D2">
        <w:rPr>
          <w:rFonts w:ascii="Times New Roman" w:hAnsi="Times New Roman" w:cs="Times New Roman"/>
          <w:sz w:val="24"/>
          <w:szCs w:val="24"/>
        </w:rPr>
        <w:t xml:space="preserve"> the court must </w:t>
      </w:r>
      <w:proofErr w:type="gramStart"/>
      <w:r w:rsidR="00E657D2" w:rsidRPr="00E657D2">
        <w:rPr>
          <w:rFonts w:ascii="Times New Roman" w:hAnsi="Times New Roman" w:cs="Times New Roman"/>
          <w:sz w:val="24"/>
          <w:szCs w:val="24"/>
        </w:rPr>
        <w:t>take into account</w:t>
      </w:r>
      <w:proofErr w:type="gramEnd"/>
      <w:r w:rsidR="00E657D2" w:rsidRPr="00E657D2">
        <w:rPr>
          <w:rFonts w:ascii="Times New Roman" w:hAnsi="Times New Roman" w:cs="Times New Roman"/>
          <w:sz w:val="24"/>
          <w:szCs w:val="24"/>
        </w:rPr>
        <w:t xml:space="preserve"> all relevant matters, including:</w:t>
      </w:r>
    </w:p>
    <w:p w14:paraId="6548D2AC" w14:textId="77777777" w:rsidR="00E657D2" w:rsidRPr="00E657D2" w:rsidRDefault="00E657D2" w:rsidP="00E657D2">
      <w:pPr>
        <w:pStyle w:val="ListParagraph"/>
        <w:numPr>
          <w:ilvl w:val="0"/>
          <w:numId w:val="23"/>
        </w:numPr>
        <w:rPr>
          <w:rFonts w:ascii="Times New Roman" w:hAnsi="Times New Roman" w:cs="Times New Roman"/>
          <w:sz w:val="24"/>
          <w:szCs w:val="24"/>
        </w:rPr>
      </w:pPr>
      <w:r w:rsidRPr="00E657D2">
        <w:rPr>
          <w:rFonts w:ascii="Times New Roman" w:hAnsi="Times New Roman" w:cs="Times New Roman"/>
          <w:sz w:val="24"/>
          <w:szCs w:val="24"/>
        </w:rPr>
        <w:t>the nature and extent of the contravention</w:t>
      </w:r>
    </w:p>
    <w:p w14:paraId="35C6F69D" w14:textId="77777777" w:rsidR="00E657D2" w:rsidRPr="00E657D2" w:rsidRDefault="00E657D2" w:rsidP="00E657D2">
      <w:pPr>
        <w:pStyle w:val="ListParagraph"/>
        <w:numPr>
          <w:ilvl w:val="0"/>
          <w:numId w:val="23"/>
        </w:numPr>
        <w:rPr>
          <w:rFonts w:ascii="Times New Roman" w:hAnsi="Times New Roman" w:cs="Times New Roman"/>
          <w:sz w:val="24"/>
          <w:szCs w:val="24"/>
        </w:rPr>
      </w:pPr>
      <w:r w:rsidRPr="00E657D2">
        <w:rPr>
          <w:rFonts w:ascii="Times New Roman" w:hAnsi="Times New Roman" w:cs="Times New Roman"/>
          <w:sz w:val="24"/>
          <w:szCs w:val="24"/>
        </w:rPr>
        <w:t xml:space="preserve">the nature and extent of any loss or damage suffered because of the </w:t>
      </w:r>
      <w:proofErr w:type="gramStart"/>
      <w:r w:rsidRPr="00E657D2">
        <w:rPr>
          <w:rFonts w:ascii="Times New Roman" w:hAnsi="Times New Roman" w:cs="Times New Roman"/>
          <w:sz w:val="24"/>
          <w:szCs w:val="24"/>
        </w:rPr>
        <w:t>contravention</w:t>
      </w:r>
      <w:proofErr w:type="gramEnd"/>
    </w:p>
    <w:p w14:paraId="2CEFAE9E" w14:textId="77777777" w:rsidR="00E657D2" w:rsidRPr="00E657D2" w:rsidRDefault="00E657D2" w:rsidP="00E657D2">
      <w:pPr>
        <w:pStyle w:val="ListParagraph"/>
        <w:numPr>
          <w:ilvl w:val="0"/>
          <w:numId w:val="23"/>
        </w:numPr>
        <w:rPr>
          <w:rFonts w:ascii="Times New Roman" w:hAnsi="Times New Roman" w:cs="Times New Roman"/>
          <w:sz w:val="24"/>
          <w:szCs w:val="24"/>
        </w:rPr>
      </w:pPr>
      <w:r w:rsidRPr="00E657D2">
        <w:rPr>
          <w:rFonts w:ascii="Times New Roman" w:hAnsi="Times New Roman" w:cs="Times New Roman"/>
          <w:sz w:val="24"/>
          <w:szCs w:val="24"/>
        </w:rPr>
        <w:t xml:space="preserve">the circumstances in which the contravention took </w:t>
      </w:r>
      <w:proofErr w:type="gramStart"/>
      <w:r w:rsidRPr="00E657D2">
        <w:rPr>
          <w:rFonts w:ascii="Times New Roman" w:hAnsi="Times New Roman" w:cs="Times New Roman"/>
          <w:sz w:val="24"/>
          <w:szCs w:val="24"/>
        </w:rPr>
        <w:t>place</w:t>
      </w:r>
      <w:proofErr w:type="gramEnd"/>
    </w:p>
    <w:p w14:paraId="020AA51D" w14:textId="77777777" w:rsidR="00E657D2" w:rsidRPr="00E657D2" w:rsidRDefault="00E657D2" w:rsidP="00E657D2">
      <w:pPr>
        <w:pStyle w:val="ListParagraph"/>
        <w:numPr>
          <w:ilvl w:val="0"/>
          <w:numId w:val="23"/>
        </w:numPr>
        <w:rPr>
          <w:rFonts w:ascii="Times New Roman" w:hAnsi="Times New Roman" w:cs="Times New Roman"/>
          <w:sz w:val="24"/>
          <w:szCs w:val="24"/>
        </w:rPr>
      </w:pPr>
      <w:r w:rsidRPr="00E657D2">
        <w:rPr>
          <w:rFonts w:ascii="Times New Roman" w:hAnsi="Times New Roman" w:cs="Times New Roman"/>
          <w:sz w:val="24"/>
          <w:szCs w:val="24"/>
        </w:rPr>
        <w:t>whether the person has previously been found by a court (including a court in a foreign country) to have engaged in any similar conduct.</w:t>
      </w:r>
    </w:p>
    <w:p w14:paraId="3407EF89" w14:textId="5312F815" w:rsidR="000A1398" w:rsidRPr="00502CAB" w:rsidRDefault="000A1398" w:rsidP="00502CAB">
      <w:pPr>
        <w:pStyle w:val="ActHead3"/>
      </w:pPr>
      <w:r w:rsidRPr="00502CAB">
        <w:t>Division 3 – Enforceable undertakings</w:t>
      </w:r>
    </w:p>
    <w:p w14:paraId="19C42D46" w14:textId="30061877" w:rsidR="000A1398" w:rsidRPr="00502CAB" w:rsidRDefault="000A1398" w:rsidP="00502CAB">
      <w:pPr>
        <w:pStyle w:val="ActHead5"/>
        <w:spacing w:after="240"/>
      </w:pPr>
      <w:r w:rsidRPr="00502CAB">
        <w:t xml:space="preserve">Section </w:t>
      </w:r>
      <w:r w:rsidR="00234D7B" w:rsidRPr="00502CAB">
        <w:t>58</w:t>
      </w:r>
      <w:r w:rsidRPr="00502CAB">
        <w:t xml:space="preserve"> – Enforceable undertakings</w:t>
      </w:r>
    </w:p>
    <w:p w14:paraId="7255EA22" w14:textId="66BEB788" w:rsidR="00221CE3" w:rsidRDefault="00221CE3" w:rsidP="0009355B">
      <w:pPr>
        <w:rPr>
          <w:rFonts w:ascii="Times New Roman" w:hAnsi="Times New Roman" w:cs="Times New Roman"/>
          <w:sz w:val="24"/>
          <w:szCs w:val="24"/>
        </w:rPr>
      </w:pPr>
      <w:r>
        <w:rPr>
          <w:rFonts w:ascii="Times New Roman" w:hAnsi="Times New Roman" w:cs="Times New Roman"/>
          <w:sz w:val="24"/>
          <w:szCs w:val="24"/>
        </w:rPr>
        <w:t>This section triggers the application of Part 6 of the Regulatory Powers Act to enforce offence and civil penalty provisions in the GHG Regulations. Part 6 of the Regulatory</w:t>
      </w:r>
      <w:r w:rsidR="007C64E8">
        <w:rPr>
          <w:rFonts w:ascii="Times New Roman" w:hAnsi="Times New Roman" w:cs="Times New Roman"/>
          <w:sz w:val="24"/>
          <w:szCs w:val="24"/>
        </w:rPr>
        <w:t> </w:t>
      </w:r>
      <w:r>
        <w:rPr>
          <w:rFonts w:ascii="Times New Roman" w:hAnsi="Times New Roman" w:cs="Times New Roman"/>
          <w:sz w:val="24"/>
          <w:szCs w:val="24"/>
        </w:rPr>
        <w:t>Powers</w:t>
      </w:r>
      <w:r w:rsidR="007C64E8">
        <w:rPr>
          <w:rFonts w:ascii="Times New Roman" w:hAnsi="Times New Roman" w:cs="Times New Roman"/>
          <w:sz w:val="24"/>
          <w:szCs w:val="24"/>
        </w:rPr>
        <w:t> </w:t>
      </w:r>
      <w:r>
        <w:rPr>
          <w:rFonts w:ascii="Times New Roman" w:hAnsi="Times New Roman" w:cs="Times New Roman"/>
          <w:sz w:val="24"/>
          <w:szCs w:val="24"/>
        </w:rPr>
        <w:t>Act creates a framework for accepting and enforcing undertakings relating to compliance with provisions. See the discussion at section 56 regarding the authority to trigger application of the Regulatory Powers Act by regulation.</w:t>
      </w:r>
    </w:p>
    <w:p w14:paraId="6558C4C2" w14:textId="03DB900F" w:rsidR="00221CE3" w:rsidRDefault="00221CE3" w:rsidP="0009355B">
      <w:pPr>
        <w:rPr>
          <w:rFonts w:ascii="Times New Roman" w:hAnsi="Times New Roman" w:cs="Times New Roman"/>
          <w:sz w:val="24"/>
          <w:szCs w:val="24"/>
        </w:rPr>
      </w:pPr>
      <w:r>
        <w:rPr>
          <w:rFonts w:ascii="Times New Roman" w:hAnsi="Times New Roman" w:cs="Times New Roman"/>
          <w:sz w:val="24"/>
          <w:szCs w:val="24"/>
        </w:rPr>
        <w:lastRenderedPageBreak/>
        <w:t>Subsection 58(2) provides that the Minster is the “authorised person” who can accept written undertakings under Part 6 of the Regulatory Powers Act.</w:t>
      </w:r>
    </w:p>
    <w:p w14:paraId="7024442C" w14:textId="00AAFAA1" w:rsidR="00221CE3" w:rsidRDefault="00221CE3" w:rsidP="0009355B">
      <w:pPr>
        <w:rPr>
          <w:rFonts w:ascii="Times New Roman" w:hAnsi="Times New Roman" w:cs="Times New Roman"/>
          <w:sz w:val="24"/>
          <w:szCs w:val="24"/>
        </w:rPr>
      </w:pPr>
      <w:r>
        <w:rPr>
          <w:rFonts w:ascii="Times New Roman" w:hAnsi="Times New Roman" w:cs="Times New Roman"/>
          <w:sz w:val="24"/>
          <w:szCs w:val="24"/>
        </w:rPr>
        <w:t xml:space="preserve">Subsection 58(3) provides </w:t>
      </w:r>
      <w:r w:rsidRPr="005F5DBB">
        <w:rPr>
          <w:rFonts w:ascii="Times New Roman" w:hAnsi="Times New Roman" w:cs="Times New Roman"/>
          <w:sz w:val="24"/>
          <w:szCs w:val="24"/>
        </w:rPr>
        <w:t xml:space="preserve">for a “relevant court” for the purposes of Part </w:t>
      </w:r>
      <w:r w:rsidRPr="00221CE3">
        <w:rPr>
          <w:rFonts w:ascii="Times New Roman" w:hAnsi="Times New Roman" w:cs="Times New Roman"/>
          <w:sz w:val="24"/>
          <w:szCs w:val="24"/>
        </w:rPr>
        <w:t>6</w:t>
      </w:r>
      <w:r w:rsidRPr="005F5DBB">
        <w:rPr>
          <w:rFonts w:ascii="Times New Roman" w:hAnsi="Times New Roman" w:cs="Times New Roman"/>
          <w:sz w:val="24"/>
          <w:szCs w:val="24"/>
        </w:rPr>
        <w:t xml:space="preserve"> of the Regulatory</w:t>
      </w:r>
      <w:r w:rsidR="007C64E8">
        <w:rPr>
          <w:rFonts w:ascii="Times New Roman" w:hAnsi="Times New Roman" w:cs="Times New Roman"/>
          <w:sz w:val="24"/>
          <w:szCs w:val="24"/>
        </w:rPr>
        <w:t> </w:t>
      </w:r>
      <w:r w:rsidRPr="005F5DBB">
        <w:rPr>
          <w:rFonts w:ascii="Times New Roman" w:hAnsi="Times New Roman" w:cs="Times New Roman"/>
          <w:sz w:val="24"/>
          <w:szCs w:val="24"/>
        </w:rPr>
        <w:t xml:space="preserve">Powers Act to be the Federal Court, the Federal Circuit </w:t>
      </w:r>
      <w:r w:rsidRPr="00221CE3">
        <w:rPr>
          <w:rFonts w:ascii="Times New Roman" w:hAnsi="Times New Roman" w:cs="Times New Roman"/>
          <w:sz w:val="24"/>
          <w:szCs w:val="24"/>
        </w:rPr>
        <w:t xml:space="preserve">and Family </w:t>
      </w:r>
      <w:r w:rsidRPr="005F5DBB">
        <w:rPr>
          <w:rFonts w:ascii="Times New Roman" w:hAnsi="Times New Roman" w:cs="Times New Roman"/>
          <w:sz w:val="24"/>
          <w:szCs w:val="24"/>
        </w:rPr>
        <w:t>Court</w:t>
      </w:r>
      <w:r w:rsidRPr="00221CE3">
        <w:rPr>
          <w:rFonts w:ascii="Times New Roman" w:hAnsi="Times New Roman" w:cs="Times New Roman"/>
          <w:sz w:val="24"/>
          <w:szCs w:val="24"/>
        </w:rPr>
        <w:t xml:space="preserve"> of Australia (Division 2)</w:t>
      </w:r>
      <w:r w:rsidRPr="005F5DBB">
        <w:rPr>
          <w:rFonts w:ascii="Times New Roman" w:hAnsi="Times New Roman" w:cs="Times New Roman"/>
          <w:sz w:val="24"/>
          <w:szCs w:val="24"/>
        </w:rPr>
        <w:t>, and the Supreme Court of a State or Territory. </w:t>
      </w:r>
      <w:r w:rsidRPr="00221CE3">
        <w:rPr>
          <w:rFonts w:ascii="Times New Roman" w:hAnsi="Times New Roman" w:cs="Times New Roman"/>
          <w:sz w:val="24"/>
          <w:szCs w:val="24"/>
        </w:rPr>
        <w:t>An authorised person may make an application to a relevant court for an order in relation to enforcement of undertakings, if the authorised person considers that a person has breached an undertaking.</w:t>
      </w:r>
    </w:p>
    <w:p w14:paraId="76D08BFE" w14:textId="060D2E63" w:rsidR="00DF01BF" w:rsidRPr="00502CAB" w:rsidRDefault="00DF01BF" w:rsidP="00502CAB">
      <w:pPr>
        <w:pStyle w:val="ActHead5"/>
        <w:spacing w:after="240"/>
      </w:pPr>
      <w:r w:rsidRPr="00502CAB">
        <w:t xml:space="preserve">Section </w:t>
      </w:r>
      <w:r w:rsidR="00234D7B" w:rsidRPr="00502CAB">
        <w:t>59</w:t>
      </w:r>
      <w:r w:rsidRPr="00502CAB">
        <w:t xml:space="preserve"> – Publication of enforceable undertakings</w:t>
      </w:r>
    </w:p>
    <w:p w14:paraId="54E2B7B1" w14:textId="0FA6F255" w:rsidR="00DF01BF" w:rsidRDefault="00DF01BF" w:rsidP="00AE18C9">
      <w:pPr>
        <w:rPr>
          <w:rFonts w:ascii="Times New Roman" w:hAnsi="Times New Roman" w:cs="Times New Roman"/>
          <w:sz w:val="24"/>
          <w:szCs w:val="24"/>
        </w:rPr>
      </w:pPr>
      <w:r>
        <w:rPr>
          <w:rFonts w:ascii="Times New Roman" w:hAnsi="Times New Roman" w:cs="Times New Roman"/>
          <w:sz w:val="24"/>
          <w:szCs w:val="24"/>
        </w:rPr>
        <w:t xml:space="preserve">This section </w:t>
      </w:r>
      <w:r w:rsidR="007A1F6E">
        <w:rPr>
          <w:rFonts w:ascii="Times New Roman" w:hAnsi="Times New Roman" w:cs="Times New Roman"/>
          <w:sz w:val="24"/>
          <w:szCs w:val="24"/>
        </w:rPr>
        <w:t xml:space="preserve">requires </w:t>
      </w:r>
      <w:r w:rsidR="00AE18C9">
        <w:rPr>
          <w:rFonts w:ascii="Times New Roman" w:hAnsi="Times New Roman" w:cs="Times New Roman"/>
          <w:sz w:val="24"/>
          <w:szCs w:val="24"/>
        </w:rPr>
        <w:t>that</w:t>
      </w:r>
      <w:r w:rsidR="007A1F6E">
        <w:rPr>
          <w:rFonts w:ascii="Times New Roman" w:hAnsi="Times New Roman" w:cs="Times New Roman"/>
          <w:sz w:val="24"/>
          <w:szCs w:val="24"/>
        </w:rPr>
        <w:t xml:space="preserve"> </w:t>
      </w:r>
      <w:r w:rsidR="00905DDC">
        <w:rPr>
          <w:rFonts w:ascii="Times New Roman" w:hAnsi="Times New Roman" w:cs="Times New Roman"/>
          <w:sz w:val="24"/>
          <w:szCs w:val="24"/>
        </w:rPr>
        <w:t>t</w:t>
      </w:r>
      <w:r w:rsidR="00AE18C9" w:rsidRPr="00AE18C9">
        <w:rPr>
          <w:rFonts w:ascii="Times New Roman" w:hAnsi="Times New Roman" w:cs="Times New Roman"/>
          <w:sz w:val="24"/>
          <w:szCs w:val="24"/>
        </w:rPr>
        <w:t xml:space="preserve">he </w:t>
      </w:r>
      <w:r w:rsidR="003947B2">
        <w:rPr>
          <w:rFonts w:ascii="Times New Roman" w:hAnsi="Times New Roman" w:cs="Times New Roman"/>
          <w:sz w:val="24"/>
          <w:szCs w:val="24"/>
        </w:rPr>
        <w:t xml:space="preserve">responsible Commonwealth </w:t>
      </w:r>
      <w:r w:rsidR="00AE18C9" w:rsidRPr="00AE18C9">
        <w:rPr>
          <w:rFonts w:ascii="Times New Roman" w:hAnsi="Times New Roman" w:cs="Times New Roman"/>
          <w:sz w:val="24"/>
          <w:szCs w:val="24"/>
        </w:rPr>
        <w:t>Minister</w:t>
      </w:r>
      <w:r w:rsidR="00AE18C9">
        <w:rPr>
          <w:rFonts w:ascii="Times New Roman" w:hAnsi="Times New Roman" w:cs="Times New Roman"/>
          <w:sz w:val="24"/>
          <w:szCs w:val="24"/>
        </w:rPr>
        <w:t xml:space="preserve"> </w:t>
      </w:r>
      <w:r w:rsidR="007A1F6E">
        <w:rPr>
          <w:rFonts w:ascii="Times New Roman" w:hAnsi="Times New Roman" w:cs="Times New Roman"/>
          <w:sz w:val="24"/>
          <w:szCs w:val="24"/>
        </w:rPr>
        <w:t xml:space="preserve">publish an undertaking that the Minister has accepted under </w:t>
      </w:r>
      <w:r w:rsidR="00AE18C9">
        <w:rPr>
          <w:rFonts w:ascii="Times New Roman" w:hAnsi="Times New Roman" w:cs="Times New Roman"/>
          <w:sz w:val="24"/>
          <w:szCs w:val="24"/>
        </w:rPr>
        <w:t>s</w:t>
      </w:r>
      <w:r w:rsidR="00627167">
        <w:rPr>
          <w:rFonts w:ascii="Times New Roman" w:hAnsi="Times New Roman" w:cs="Times New Roman"/>
          <w:sz w:val="24"/>
          <w:szCs w:val="24"/>
        </w:rPr>
        <w:t>ection</w:t>
      </w:r>
      <w:r w:rsidR="00AE18C9" w:rsidRPr="00AE18C9">
        <w:rPr>
          <w:rFonts w:ascii="Times New Roman" w:hAnsi="Times New Roman" w:cs="Times New Roman"/>
          <w:sz w:val="24"/>
          <w:szCs w:val="24"/>
        </w:rPr>
        <w:t xml:space="preserve"> 114 of the Regulatory Powers Act</w:t>
      </w:r>
      <w:r w:rsidR="00AE18C9">
        <w:rPr>
          <w:rFonts w:ascii="Times New Roman" w:hAnsi="Times New Roman" w:cs="Times New Roman"/>
          <w:sz w:val="24"/>
          <w:szCs w:val="24"/>
        </w:rPr>
        <w:t xml:space="preserve">, and </w:t>
      </w:r>
      <w:r w:rsidR="00AE18C9" w:rsidRPr="00AE18C9">
        <w:rPr>
          <w:rFonts w:ascii="Times New Roman" w:hAnsi="Times New Roman" w:cs="Times New Roman"/>
          <w:sz w:val="24"/>
          <w:szCs w:val="24"/>
        </w:rPr>
        <w:t>th</w:t>
      </w:r>
      <w:r w:rsidR="007A1F6E">
        <w:rPr>
          <w:rFonts w:ascii="Times New Roman" w:hAnsi="Times New Roman" w:cs="Times New Roman"/>
          <w:sz w:val="24"/>
          <w:szCs w:val="24"/>
        </w:rPr>
        <w:t>at</w:t>
      </w:r>
      <w:r w:rsidR="00AE18C9" w:rsidRPr="00AE18C9">
        <w:rPr>
          <w:rFonts w:ascii="Times New Roman" w:hAnsi="Times New Roman" w:cs="Times New Roman"/>
          <w:sz w:val="24"/>
          <w:szCs w:val="24"/>
        </w:rPr>
        <w:t xml:space="preserve"> has not been withdrawn or cancelled</w:t>
      </w:r>
      <w:r w:rsidR="007A1F6E">
        <w:rPr>
          <w:rFonts w:ascii="Times New Roman" w:hAnsi="Times New Roman" w:cs="Times New Roman"/>
          <w:sz w:val="24"/>
          <w:szCs w:val="24"/>
        </w:rPr>
        <w:t>.</w:t>
      </w:r>
      <w:r w:rsidR="00AE18C9">
        <w:rPr>
          <w:rFonts w:ascii="Times New Roman" w:hAnsi="Times New Roman" w:cs="Times New Roman"/>
          <w:sz w:val="24"/>
          <w:szCs w:val="24"/>
        </w:rPr>
        <w:t xml:space="preserve"> </w:t>
      </w:r>
      <w:r w:rsidR="007A1F6E">
        <w:rPr>
          <w:rFonts w:ascii="Times New Roman" w:hAnsi="Times New Roman" w:cs="Times New Roman"/>
          <w:sz w:val="24"/>
          <w:szCs w:val="24"/>
        </w:rPr>
        <w:t>T</w:t>
      </w:r>
      <w:r w:rsidR="00AE18C9">
        <w:rPr>
          <w:rFonts w:ascii="Times New Roman" w:hAnsi="Times New Roman" w:cs="Times New Roman"/>
          <w:sz w:val="24"/>
          <w:szCs w:val="24"/>
        </w:rPr>
        <w:t xml:space="preserve">he Minister </w:t>
      </w:r>
      <w:r w:rsidR="00AE18C9" w:rsidRPr="00AE18C9">
        <w:rPr>
          <w:rFonts w:ascii="Times New Roman" w:hAnsi="Times New Roman" w:cs="Times New Roman"/>
          <w:sz w:val="24"/>
          <w:szCs w:val="24"/>
        </w:rPr>
        <w:t>must publish the undertaking on the website</w:t>
      </w:r>
      <w:r w:rsidR="007A1F6E">
        <w:rPr>
          <w:rFonts w:ascii="Times New Roman" w:hAnsi="Times New Roman" w:cs="Times New Roman"/>
          <w:sz w:val="24"/>
          <w:szCs w:val="24"/>
        </w:rPr>
        <w:t xml:space="preserve"> of the Minister’s department</w:t>
      </w:r>
      <w:r w:rsidR="00AE18C9" w:rsidRPr="00AE18C9">
        <w:rPr>
          <w:rFonts w:ascii="Times New Roman" w:hAnsi="Times New Roman" w:cs="Times New Roman"/>
          <w:sz w:val="24"/>
          <w:szCs w:val="24"/>
        </w:rPr>
        <w:t>.</w:t>
      </w:r>
    </w:p>
    <w:p w14:paraId="558B1C21" w14:textId="1E0ED919" w:rsidR="007A1F6E" w:rsidRPr="007A1F6E" w:rsidRDefault="007A1F6E" w:rsidP="007A1F6E">
      <w:pPr>
        <w:rPr>
          <w:rFonts w:ascii="Times New Roman" w:hAnsi="Times New Roman" w:cs="Times New Roman"/>
          <w:sz w:val="24"/>
          <w:szCs w:val="24"/>
        </w:rPr>
      </w:pPr>
      <w:r w:rsidRPr="007A1F6E">
        <w:rPr>
          <w:rFonts w:ascii="Times New Roman" w:hAnsi="Times New Roman" w:cs="Times New Roman"/>
          <w:sz w:val="24"/>
          <w:szCs w:val="24"/>
        </w:rPr>
        <w:t xml:space="preserve">It is considered desirable that enforceable undertakings are required to be published, given ongoing work across government to increase transparency. The publicity attached to undertakings may also act as a deterrent for </w:t>
      </w:r>
      <w:r>
        <w:rPr>
          <w:rFonts w:ascii="Times New Roman" w:hAnsi="Times New Roman" w:cs="Times New Roman"/>
          <w:sz w:val="24"/>
          <w:szCs w:val="24"/>
        </w:rPr>
        <w:t>GHG injection licensees</w:t>
      </w:r>
      <w:r w:rsidRPr="007A1F6E">
        <w:rPr>
          <w:rFonts w:ascii="Times New Roman" w:hAnsi="Times New Roman" w:cs="Times New Roman"/>
          <w:sz w:val="24"/>
          <w:szCs w:val="24"/>
        </w:rPr>
        <w:t xml:space="preserve"> from non-compliance with the </w:t>
      </w:r>
      <w:r>
        <w:rPr>
          <w:rFonts w:ascii="Times New Roman" w:hAnsi="Times New Roman" w:cs="Times New Roman"/>
          <w:sz w:val="24"/>
          <w:szCs w:val="24"/>
        </w:rPr>
        <w:t>GHG R</w:t>
      </w:r>
      <w:r w:rsidRPr="007A1F6E">
        <w:rPr>
          <w:rFonts w:ascii="Times New Roman" w:hAnsi="Times New Roman" w:cs="Times New Roman"/>
          <w:sz w:val="24"/>
          <w:szCs w:val="24"/>
        </w:rPr>
        <w:t>egulations.</w:t>
      </w:r>
    </w:p>
    <w:p w14:paraId="62A2062E" w14:textId="7A1CD3DD" w:rsidR="00AE18C9" w:rsidRDefault="007A1F6E" w:rsidP="00AE18C9">
      <w:pPr>
        <w:rPr>
          <w:rFonts w:ascii="Times New Roman" w:hAnsi="Times New Roman" w:cs="Times New Roman"/>
          <w:sz w:val="24"/>
          <w:szCs w:val="24"/>
        </w:rPr>
      </w:pPr>
      <w:r>
        <w:rPr>
          <w:rFonts w:ascii="Times New Roman" w:hAnsi="Times New Roman" w:cs="Times New Roman"/>
          <w:sz w:val="24"/>
          <w:szCs w:val="24"/>
        </w:rPr>
        <w:t xml:space="preserve">Subsection 59(2) requires the </w:t>
      </w:r>
      <w:r w:rsidR="00795EC1">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to take </w:t>
      </w:r>
      <w:r w:rsidR="00795EC1">
        <w:rPr>
          <w:rFonts w:ascii="Times New Roman" w:hAnsi="Times New Roman" w:cs="Times New Roman"/>
          <w:sz w:val="24"/>
          <w:szCs w:val="24"/>
        </w:rPr>
        <w:t>such</w:t>
      </w:r>
      <w:r>
        <w:rPr>
          <w:rFonts w:ascii="Times New Roman" w:hAnsi="Times New Roman" w:cs="Times New Roman"/>
          <w:sz w:val="24"/>
          <w:szCs w:val="24"/>
        </w:rPr>
        <w:t xml:space="preserve"> steps </w:t>
      </w:r>
      <w:r w:rsidR="00795EC1">
        <w:rPr>
          <w:rFonts w:ascii="Times New Roman" w:hAnsi="Times New Roman" w:cs="Times New Roman"/>
          <w:sz w:val="24"/>
          <w:szCs w:val="24"/>
        </w:rPr>
        <w:t xml:space="preserve">as are reasonable in the circumstances </w:t>
      </w:r>
      <w:r>
        <w:rPr>
          <w:rFonts w:ascii="Times New Roman" w:hAnsi="Times New Roman" w:cs="Times New Roman"/>
          <w:sz w:val="24"/>
          <w:szCs w:val="24"/>
        </w:rPr>
        <w:t>to ensure any personal information (</w:t>
      </w:r>
      <w:r w:rsidR="00AE18C9" w:rsidRPr="00AE18C9">
        <w:rPr>
          <w:rFonts w:ascii="Times New Roman" w:hAnsi="Times New Roman" w:cs="Times New Roman"/>
          <w:sz w:val="24"/>
          <w:szCs w:val="24"/>
        </w:rPr>
        <w:t xml:space="preserve">within the meaning of the </w:t>
      </w:r>
      <w:r w:rsidR="00AE18C9" w:rsidRPr="00AE18C9">
        <w:rPr>
          <w:rFonts w:ascii="Times New Roman" w:hAnsi="Times New Roman" w:cs="Times New Roman"/>
          <w:i/>
          <w:iCs/>
          <w:sz w:val="24"/>
          <w:szCs w:val="24"/>
        </w:rPr>
        <w:t>Privacy Act 1988</w:t>
      </w:r>
      <w:r>
        <w:rPr>
          <w:rFonts w:ascii="Times New Roman" w:hAnsi="Times New Roman" w:cs="Times New Roman"/>
          <w:sz w:val="24"/>
          <w:szCs w:val="24"/>
        </w:rPr>
        <w:t xml:space="preserve">) that is contained in the undertaking </w:t>
      </w:r>
      <w:r w:rsidR="00AE18C9" w:rsidRPr="00AE18C9">
        <w:rPr>
          <w:rFonts w:ascii="Times New Roman" w:hAnsi="Times New Roman" w:cs="Times New Roman"/>
          <w:sz w:val="24"/>
          <w:szCs w:val="24"/>
        </w:rPr>
        <w:t>is de</w:t>
      </w:r>
      <w:r w:rsidR="00F7190A">
        <w:rPr>
          <w:rFonts w:ascii="Times New Roman" w:hAnsi="Times New Roman" w:cs="Times New Roman"/>
          <w:sz w:val="24"/>
          <w:szCs w:val="24"/>
        </w:rPr>
        <w:t>-</w:t>
      </w:r>
      <w:r w:rsidR="00AE18C9" w:rsidRPr="00AE18C9">
        <w:rPr>
          <w:rFonts w:ascii="Times New Roman" w:hAnsi="Times New Roman" w:cs="Times New Roman"/>
          <w:sz w:val="24"/>
          <w:szCs w:val="24"/>
        </w:rPr>
        <w:t>identified before</w:t>
      </w:r>
      <w:r w:rsidR="00AE18C9">
        <w:rPr>
          <w:rFonts w:ascii="Times New Roman" w:hAnsi="Times New Roman" w:cs="Times New Roman"/>
          <w:sz w:val="24"/>
          <w:szCs w:val="24"/>
        </w:rPr>
        <w:t xml:space="preserve"> </w:t>
      </w:r>
      <w:r>
        <w:rPr>
          <w:rFonts w:ascii="Times New Roman" w:hAnsi="Times New Roman" w:cs="Times New Roman"/>
          <w:sz w:val="24"/>
          <w:szCs w:val="24"/>
        </w:rPr>
        <w:t xml:space="preserve">the undertaking is </w:t>
      </w:r>
      <w:r w:rsidR="00AE18C9">
        <w:rPr>
          <w:rFonts w:ascii="Times New Roman" w:hAnsi="Times New Roman" w:cs="Times New Roman"/>
          <w:sz w:val="24"/>
          <w:szCs w:val="24"/>
        </w:rPr>
        <w:t>publi</w:t>
      </w:r>
      <w:r>
        <w:rPr>
          <w:rFonts w:ascii="Times New Roman" w:hAnsi="Times New Roman" w:cs="Times New Roman"/>
          <w:sz w:val="24"/>
          <w:szCs w:val="24"/>
        </w:rPr>
        <w:t>shed</w:t>
      </w:r>
      <w:r w:rsidR="00AE18C9">
        <w:rPr>
          <w:rFonts w:ascii="Times New Roman" w:hAnsi="Times New Roman" w:cs="Times New Roman"/>
          <w:sz w:val="24"/>
          <w:szCs w:val="24"/>
        </w:rPr>
        <w:t xml:space="preserve">. </w:t>
      </w:r>
      <w:r>
        <w:rPr>
          <w:rFonts w:ascii="Times New Roman" w:hAnsi="Times New Roman" w:cs="Times New Roman"/>
          <w:sz w:val="24"/>
          <w:szCs w:val="24"/>
        </w:rPr>
        <w:t>This is to ensure the protection of personal information and the right to privacy. Under subsection 59(3), i</w:t>
      </w:r>
      <w:r w:rsidR="00AE18C9">
        <w:rPr>
          <w:rFonts w:ascii="Times New Roman" w:hAnsi="Times New Roman" w:cs="Times New Roman"/>
          <w:sz w:val="24"/>
          <w:szCs w:val="24"/>
        </w:rPr>
        <w:t>nformation is ‘</w:t>
      </w:r>
      <w:r w:rsidR="00AE18C9" w:rsidRPr="00AE18C9">
        <w:rPr>
          <w:rFonts w:ascii="Times New Roman" w:hAnsi="Times New Roman" w:cs="Times New Roman"/>
          <w:sz w:val="24"/>
          <w:szCs w:val="24"/>
        </w:rPr>
        <w:t>de</w:t>
      </w:r>
      <w:r w:rsidR="00302B3A">
        <w:rPr>
          <w:rFonts w:ascii="Times New Roman" w:hAnsi="Times New Roman" w:cs="Times New Roman"/>
          <w:sz w:val="24"/>
          <w:szCs w:val="24"/>
        </w:rPr>
        <w:noBreakHyphen/>
      </w:r>
      <w:r w:rsidR="00AE18C9" w:rsidRPr="00AE18C9">
        <w:rPr>
          <w:rFonts w:ascii="Times New Roman" w:hAnsi="Times New Roman" w:cs="Times New Roman"/>
          <w:sz w:val="24"/>
          <w:szCs w:val="24"/>
        </w:rPr>
        <w:t>identified</w:t>
      </w:r>
      <w:r w:rsidR="00AE18C9">
        <w:rPr>
          <w:rFonts w:ascii="Times New Roman" w:hAnsi="Times New Roman" w:cs="Times New Roman"/>
          <w:sz w:val="24"/>
          <w:szCs w:val="24"/>
        </w:rPr>
        <w:t>’</w:t>
      </w:r>
      <w:r w:rsidR="00AE18C9" w:rsidRPr="00AE18C9">
        <w:rPr>
          <w:rFonts w:ascii="Times New Roman" w:hAnsi="Times New Roman" w:cs="Times New Roman"/>
          <w:sz w:val="24"/>
          <w:szCs w:val="24"/>
        </w:rPr>
        <w:t xml:space="preserve"> if </w:t>
      </w:r>
      <w:r w:rsidR="00AE18C9">
        <w:rPr>
          <w:rFonts w:ascii="Times New Roman" w:hAnsi="Times New Roman" w:cs="Times New Roman"/>
          <w:sz w:val="24"/>
          <w:szCs w:val="24"/>
        </w:rPr>
        <w:t xml:space="preserve">it </w:t>
      </w:r>
      <w:r w:rsidR="00AE18C9" w:rsidRPr="00AE18C9">
        <w:rPr>
          <w:rFonts w:ascii="Times New Roman" w:hAnsi="Times New Roman" w:cs="Times New Roman"/>
          <w:sz w:val="24"/>
          <w:szCs w:val="24"/>
        </w:rPr>
        <w:t xml:space="preserve">is no longer about </w:t>
      </w:r>
      <w:r w:rsidR="00AE18C9">
        <w:rPr>
          <w:rFonts w:ascii="Times New Roman" w:hAnsi="Times New Roman" w:cs="Times New Roman"/>
          <w:sz w:val="24"/>
          <w:szCs w:val="24"/>
        </w:rPr>
        <w:t xml:space="preserve">an </w:t>
      </w:r>
      <w:r w:rsidR="00795EC1">
        <w:rPr>
          <w:rFonts w:ascii="Times New Roman" w:hAnsi="Times New Roman" w:cs="Times New Roman"/>
          <w:sz w:val="24"/>
          <w:szCs w:val="24"/>
        </w:rPr>
        <w:t xml:space="preserve">identifiable </w:t>
      </w:r>
      <w:r w:rsidR="00AE18C9" w:rsidRPr="00AE18C9">
        <w:rPr>
          <w:rFonts w:ascii="Times New Roman" w:hAnsi="Times New Roman" w:cs="Times New Roman"/>
          <w:sz w:val="24"/>
          <w:szCs w:val="24"/>
        </w:rPr>
        <w:t xml:space="preserve">individual </w:t>
      </w:r>
      <w:r w:rsidR="00AE18C9">
        <w:rPr>
          <w:rFonts w:ascii="Times New Roman" w:hAnsi="Times New Roman" w:cs="Times New Roman"/>
          <w:sz w:val="24"/>
          <w:szCs w:val="24"/>
        </w:rPr>
        <w:t>or</w:t>
      </w:r>
      <w:r w:rsidR="00795EC1">
        <w:rPr>
          <w:rFonts w:ascii="Times New Roman" w:hAnsi="Times New Roman" w:cs="Times New Roman"/>
          <w:sz w:val="24"/>
          <w:szCs w:val="24"/>
        </w:rPr>
        <w:t xml:space="preserve"> an individual who is</w:t>
      </w:r>
      <w:r w:rsidR="00AE18C9">
        <w:rPr>
          <w:rFonts w:ascii="Times New Roman" w:hAnsi="Times New Roman" w:cs="Times New Roman"/>
          <w:sz w:val="24"/>
          <w:szCs w:val="24"/>
        </w:rPr>
        <w:t xml:space="preserve"> </w:t>
      </w:r>
      <w:r w:rsidR="00AE18C9" w:rsidRPr="00AE18C9">
        <w:rPr>
          <w:rFonts w:ascii="Times New Roman" w:hAnsi="Times New Roman" w:cs="Times New Roman"/>
          <w:sz w:val="24"/>
          <w:szCs w:val="24"/>
        </w:rPr>
        <w:t>reasonably identifiable.</w:t>
      </w:r>
    </w:p>
    <w:p w14:paraId="57EAB524" w14:textId="62161DB6" w:rsidR="007A1F6E" w:rsidRDefault="007A1F6E" w:rsidP="00AE18C9">
      <w:pPr>
        <w:rPr>
          <w:rFonts w:ascii="Times New Roman" w:hAnsi="Times New Roman" w:cs="Times New Roman"/>
          <w:sz w:val="24"/>
          <w:szCs w:val="24"/>
        </w:rPr>
      </w:pPr>
      <w:r>
        <w:rPr>
          <w:rFonts w:ascii="Times New Roman" w:hAnsi="Times New Roman" w:cs="Times New Roman"/>
          <w:sz w:val="24"/>
          <w:szCs w:val="24"/>
        </w:rPr>
        <w:t xml:space="preserve">A GHG injection licensee and the </w:t>
      </w:r>
      <w:r w:rsidR="00795EC1">
        <w:rPr>
          <w:rFonts w:ascii="Times New Roman" w:hAnsi="Times New Roman" w:cs="Times New Roman"/>
          <w:sz w:val="24"/>
          <w:szCs w:val="24"/>
        </w:rPr>
        <w:t xml:space="preserve">responsible Commonwealth </w:t>
      </w:r>
      <w:r>
        <w:rPr>
          <w:rFonts w:ascii="Times New Roman" w:hAnsi="Times New Roman" w:cs="Times New Roman"/>
          <w:sz w:val="24"/>
          <w:szCs w:val="24"/>
        </w:rPr>
        <w:t>Minister can work together to ensure that undertakings are written in a manner that will avoid or reduce risks of prejudice to commercial interests when they are published.</w:t>
      </w:r>
    </w:p>
    <w:p w14:paraId="17FA7918" w14:textId="1B79156C" w:rsidR="00DF01BF" w:rsidRPr="00DF01BF" w:rsidRDefault="00DF01BF" w:rsidP="00502CAB">
      <w:pPr>
        <w:pStyle w:val="ActHead3"/>
      </w:pPr>
      <w:r w:rsidRPr="00DF01BF">
        <w:t>Division 4 – Injunctions</w:t>
      </w:r>
    </w:p>
    <w:p w14:paraId="0AFB2549" w14:textId="4D92ACA1" w:rsidR="00DF01BF" w:rsidRPr="00502CAB" w:rsidRDefault="00DF01BF" w:rsidP="00502CAB">
      <w:pPr>
        <w:pStyle w:val="ActHead5"/>
        <w:spacing w:after="240"/>
      </w:pPr>
      <w:r w:rsidRPr="00502CAB">
        <w:t xml:space="preserve">Section </w:t>
      </w:r>
      <w:r w:rsidR="00234D7B" w:rsidRPr="00502CAB">
        <w:t>60</w:t>
      </w:r>
      <w:r w:rsidRPr="00502CAB">
        <w:t xml:space="preserve"> – Injunctions</w:t>
      </w:r>
    </w:p>
    <w:p w14:paraId="78EF5775" w14:textId="0A5A390C" w:rsidR="00002A15" w:rsidRDefault="00002A15" w:rsidP="00002A15">
      <w:pPr>
        <w:rPr>
          <w:rFonts w:ascii="Times New Roman" w:hAnsi="Times New Roman" w:cs="Times New Roman"/>
          <w:sz w:val="24"/>
          <w:szCs w:val="24"/>
        </w:rPr>
      </w:pPr>
      <w:r>
        <w:rPr>
          <w:rFonts w:ascii="Times New Roman" w:hAnsi="Times New Roman" w:cs="Times New Roman"/>
          <w:sz w:val="24"/>
          <w:szCs w:val="24"/>
        </w:rPr>
        <w:t>This section triggers the application of Part 7 of the Regulatory Powers Act to enforce offence and civil penalty provisions in the GHG Regulations. Part 7 of the Regulatory</w:t>
      </w:r>
      <w:r w:rsidR="007C64E8">
        <w:rPr>
          <w:rFonts w:ascii="Times New Roman" w:hAnsi="Times New Roman" w:cs="Times New Roman"/>
          <w:sz w:val="24"/>
          <w:szCs w:val="24"/>
        </w:rPr>
        <w:t> </w:t>
      </w:r>
      <w:r>
        <w:rPr>
          <w:rFonts w:ascii="Times New Roman" w:hAnsi="Times New Roman" w:cs="Times New Roman"/>
          <w:sz w:val="24"/>
          <w:szCs w:val="24"/>
        </w:rPr>
        <w:t>Powers</w:t>
      </w:r>
      <w:r w:rsidR="007C64E8">
        <w:rPr>
          <w:rFonts w:ascii="Times New Roman" w:hAnsi="Times New Roman" w:cs="Times New Roman"/>
          <w:sz w:val="24"/>
          <w:szCs w:val="24"/>
        </w:rPr>
        <w:t> </w:t>
      </w:r>
      <w:r>
        <w:rPr>
          <w:rFonts w:ascii="Times New Roman" w:hAnsi="Times New Roman" w:cs="Times New Roman"/>
          <w:sz w:val="24"/>
          <w:szCs w:val="24"/>
        </w:rPr>
        <w:t>Act creates a framework for using injunctions to enforce provisions. See</w:t>
      </w:r>
      <w:r w:rsidR="00A736A1">
        <w:rPr>
          <w:rFonts w:ascii="Times New Roman" w:hAnsi="Times New Roman" w:cs="Times New Roman"/>
          <w:sz w:val="24"/>
          <w:szCs w:val="24"/>
        </w:rPr>
        <w:t> </w:t>
      </w:r>
      <w:r>
        <w:rPr>
          <w:rFonts w:ascii="Times New Roman" w:hAnsi="Times New Roman" w:cs="Times New Roman"/>
          <w:sz w:val="24"/>
          <w:szCs w:val="24"/>
        </w:rPr>
        <w:t>the discussion at section 56 regarding the authority to trigger application of the Regulatory</w:t>
      </w:r>
      <w:r w:rsidR="007C64E8">
        <w:rPr>
          <w:rFonts w:ascii="Times New Roman" w:hAnsi="Times New Roman" w:cs="Times New Roman"/>
          <w:sz w:val="24"/>
          <w:szCs w:val="24"/>
        </w:rPr>
        <w:t> </w:t>
      </w:r>
      <w:r>
        <w:rPr>
          <w:rFonts w:ascii="Times New Roman" w:hAnsi="Times New Roman" w:cs="Times New Roman"/>
          <w:sz w:val="24"/>
          <w:szCs w:val="24"/>
        </w:rPr>
        <w:t>Powers Act by regulation.</w:t>
      </w:r>
    </w:p>
    <w:p w14:paraId="327737FC" w14:textId="7CAF1BE1" w:rsidR="00572097" w:rsidRPr="003D1F74" w:rsidRDefault="00572097" w:rsidP="00572097">
      <w:pPr>
        <w:rPr>
          <w:rFonts w:ascii="Times New Roman" w:hAnsi="Times New Roman" w:cs="Times New Roman"/>
          <w:sz w:val="24"/>
          <w:szCs w:val="24"/>
        </w:rPr>
      </w:pPr>
      <w:r w:rsidRPr="003D1F74">
        <w:rPr>
          <w:rFonts w:ascii="Times New Roman" w:hAnsi="Times New Roman" w:cs="Times New Roman"/>
          <w:sz w:val="24"/>
          <w:szCs w:val="24"/>
        </w:rPr>
        <w:t xml:space="preserve">The ability for a court to grant an injunction will ensure that persons who are failing to meet their regulatory obligations can be required to return to a position of compliance, in addition or as an alternative to the application of any financial penalty for </w:t>
      </w:r>
      <w:r>
        <w:rPr>
          <w:rFonts w:ascii="Times New Roman" w:hAnsi="Times New Roman" w:cs="Times New Roman"/>
          <w:sz w:val="24"/>
          <w:szCs w:val="24"/>
        </w:rPr>
        <w:t>a</w:t>
      </w:r>
      <w:r w:rsidRPr="003D1F74">
        <w:rPr>
          <w:rFonts w:ascii="Times New Roman" w:hAnsi="Times New Roman" w:cs="Times New Roman"/>
          <w:sz w:val="24"/>
          <w:szCs w:val="24"/>
        </w:rPr>
        <w:t xml:space="preserve"> contravention. </w:t>
      </w:r>
      <w:r>
        <w:rPr>
          <w:rFonts w:ascii="Times New Roman" w:hAnsi="Times New Roman" w:cs="Times New Roman"/>
          <w:sz w:val="24"/>
          <w:szCs w:val="24"/>
        </w:rPr>
        <w:t>It</w:t>
      </w:r>
      <w:r w:rsidRPr="003D1F74">
        <w:rPr>
          <w:rFonts w:ascii="Times New Roman" w:hAnsi="Times New Roman" w:cs="Times New Roman"/>
          <w:sz w:val="24"/>
          <w:szCs w:val="24"/>
        </w:rPr>
        <w:t xml:space="preserve"> also aims to encourage future behavioural change; for example, an injunction against a company whose breach is due to poor compliance programs and internal controls will encourage that company to address those internal deficiencies, and thereby reduce the risk of future non-compliance.</w:t>
      </w:r>
    </w:p>
    <w:p w14:paraId="78A7DAE3" w14:textId="7E68C165" w:rsidR="00572097" w:rsidRDefault="00572097" w:rsidP="00572097">
      <w:pPr>
        <w:rPr>
          <w:rFonts w:ascii="Times New Roman" w:hAnsi="Times New Roman" w:cs="Times New Roman"/>
          <w:sz w:val="24"/>
          <w:szCs w:val="24"/>
        </w:rPr>
      </w:pPr>
      <w:r>
        <w:rPr>
          <w:rFonts w:ascii="Times New Roman" w:hAnsi="Times New Roman" w:cs="Times New Roman"/>
          <w:sz w:val="24"/>
          <w:szCs w:val="24"/>
        </w:rPr>
        <w:lastRenderedPageBreak/>
        <w:t>Subsection 60(2) provides that the Minster is the “authorised person” who can apply to the court for an injunction under Part 7 of the Regulatory</w:t>
      </w:r>
      <w:r w:rsidR="007C64E8">
        <w:rPr>
          <w:rFonts w:ascii="Times New Roman" w:hAnsi="Times New Roman" w:cs="Times New Roman"/>
          <w:sz w:val="24"/>
          <w:szCs w:val="24"/>
        </w:rPr>
        <w:t> </w:t>
      </w:r>
      <w:r>
        <w:rPr>
          <w:rFonts w:ascii="Times New Roman" w:hAnsi="Times New Roman" w:cs="Times New Roman"/>
          <w:sz w:val="24"/>
          <w:szCs w:val="24"/>
        </w:rPr>
        <w:t>Powers</w:t>
      </w:r>
      <w:r w:rsidR="007C64E8">
        <w:rPr>
          <w:rFonts w:ascii="Times New Roman" w:hAnsi="Times New Roman" w:cs="Times New Roman"/>
          <w:sz w:val="24"/>
          <w:szCs w:val="24"/>
        </w:rPr>
        <w:t> </w:t>
      </w:r>
      <w:r>
        <w:rPr>
          <w:rFonts w:ascii="Times New Roman" w:hAnsi="Times New Roman" w:cs="Times New Roman"/>
          <w:sz w:val="24"/>
          <w:szCs w:val="24"/>
        </w:rPr>
        <w:t>Act.</w:t>
      </w:r>
    </w:p>
    <w:p w14:paraId="5A8539E3" w14:textId="7FBC33FA" w:rsidR="00572097" w:rsidRDefault="00572097" w:rsidP="00572097">
      <w:pPr>
        <w:rPr>
          <w:rFonts w:ascii="Times New Roman" w:hAnsi="Times New Roman" w:cs="Times New Roman"/>
          <w:sz w:val="24"/>
          <w:szCs w:val="24"/>
        </w:rPr>
      </w:pPr>
      <w:r>
        <w:rPr>
          <w:rFonts w:ascii="Times New Roman" w:hAnsi="Times New Roman" w:cs="Times New Roman"/>
          <w:sz w:val="24"/>
          <w:szCs w:val="24"/>
        </w:rPr>
        <w:t xml:space="preserve">Subsection 60(3) provides </w:t>
      </w:r>
      <w:r w:rsidRPr="005F5DBB">
        <w:rPr>
          <w:rFonts w:ascii="Times New Roman" w:hAnsi="Times New Roman" w:cs="Times New Roman"/>
          <w:sz w:val="24"/>
          <w:szCs w:val="24"/>
        </w:rPr>
        <w:t xml:space="preserve">for a “relevant court” for the purposes of Part </w:t>
      </w:r>
      <w:r>
        <w:rPr>
          <w:rFonts w:ascii="Times New Roman" w:hAnsi="Times New Roman" w:cs="Times New Roman"/>
          <w:sz w:val="24"/>
          <w:szCs w:val="24"/>
        </w:rPr>
        <w:t>7</w:t>
      </w:r>
      <w:r w:rsidRPr="005F5DBB">
        <w:rPr>
          <w:rFonts w:ascii="Times New Roman" w:hAnsi="Times New Roman" w:cs="Times New Roman"/>
          <w:sz w:val="24"/>
          <w:szCs w:val="24"/>
        </w:rPr>
        <w:t xml:space="preserve"> of the Regulatory</w:t>
      </w:r>
      <w:r w:rsidR="00302B3A">
        <w:rPr>
          <w:rFonts w:ascii="Times New Roman" w:hAnsi="Times New Roman" w:cs="Times New Roman"/>
          <w:sz w:val="24"/>
          <w:szCs w:val="24"/>
        </w:rPr>
        <w:t> </w:t>
      </w:r>
      <w:r w:rsidRPr="005F5DBB">
        <w:rPr>
          <w:rFonts w:ascii="Times New Roman" w:hAnsi="Times New Roman" w:cs="Times New Roman"/>
          <w:sz w:val="24"/>
          <w:szCs w:val="24"/>
        </w:rPr>
        <w:t xml:space="preserve">Powers Act to be the Federal Court, the Federal Circuit </w:t>
      </w:r>
      <w:r w:rsidRPr="00221CE3">
        <w:rPr>
          <w:rFonts w:ascii="Times New Roman" w:hAnsi="Times New Roman" w:cs="Times New Roman"/>
          <w:sz w:val="24"/>
          <w:szCs w:val="24"/>
        </w:rPr>
        <w:t xml:space="preserve">and Family </w:t>
      </w:r>
      <w:r w:rsidRPr="005F5DBB">
        <w:rPr>
          <w:rFonts w:ascii="Times New Roman" w:hAnsi="Times New Roman" w:cs="Times New Roman"/>
          <w:sz w:val="24"/>
          <w:szCs w:val="24"/>
        </w:rPr>
        <w:t>Court</w:t>
      </w:r>
      <w:r w:rsidRPr="00221CE3">
        <w:rPr>
          <w:rFonts w:ascii="Times New Roman" w:hAnsi="Times New Roman" w:cs="Times New Roman"/>
          <w:sz w:val="24"/>
          <w:szCs w:val="24"/>
        </w:rPr>
        <w:t xml:space="preserve"> of Australia (Division 2)</w:t>
      </w:r>
      <w:r w:rsidRPr="005F5DBB">
        <w:rPr>
          <w:rFonts w:ascii="Times New Roman" w:hAnsi="Times New Roman" w:cs="Times New Roman"/>
          <w:sz w:val="24"/>
          <w:szCs w:val="24"/>
        </w:rPr>
        <w:t>, and the Supreme Court of a State or Territory. </w:t>
      </w:r>
      <w:r w:rsidRPr="00221CE3">
        <w:rPr>
          <w:rFonts w:ascii="Times New Roman" w:hAnsi="Times New Roman" w:cs="Times New Roman"/>
          <w:sz w:val="24"/>
          <w:szCs w:val="24"/>
        </w:rPr>
        <w:t xml:space="preserve">An authorised person may make an application to a relevant court for an </w:t>
      </w:r>
      <w:r>
        <w:rPr>
          <w:rFonts w:ascii="Times New Roman" w:hAnsi="Times New Roman" w:cs="Times New Roman"/>
          <w:sz w:val="24"/>
          <w:szCs w:val="24"/>
        </w:rPr>
        <w:t>injunction</w:t>
      </w:r>
      <w:r w:rsidRPr="00221CE3">
        <w:rPr>
          <w:rFonts w:ascii="Times New Roman" w:hAnsi="Times New Roman" w:cs="Times New Roman"/>
          <w:sz w:val="24"/>
          <w:szCs w:val="24"/>
        </w:rPr>
        <w:t>.</w:t>
      </w:r>
    </w:p>
    <w:p w14:paraId="338C205E" w14:textId="3C57D36A" w:rsidR="00F7190A" w:rsidRDefault="00572097" w:rsidP="0016414E">
      <w:pPr>
        <w:rPr>
          <w:rFonts w:ascii="Times New Roman" w:hAnsi="Times New Roman" w:cs="Times New Roman"/>
          <w:sz w:val="24"/>
          <w:szCs w:val="24"/>
        </w:rPr>
      </w:pPr>
      <w:r>
        <w:rPr>
          <w:rFonts w:ascii="Times New Roman" w:hAnsi="Times New Roman" w:cs="Times New Roman"/>
          <w:sz w:val="24"/>
          <w:szCs w:val="24"/>
        </w:rPr>
        <w:t>Section 121 of the Regulatory Powers Act sets out the circumstances in which a relevant court may grant an injunction. However, s</w:t>
      </w:r>
      <w:r w:rsidR="00F7190A">
        <w:rPr>
          <w:rFonts w:ascii="Times New Roman" w:hAnsi="Times New Roman" w:cs="Times New Roman"/>
          <w:sz w:val="24"/>
          <w:szCs w:val="24"/>
        </w:rPr>
        <w:t xml:space="preserve">ubsection </w:t>
      </w:r>
      <w:r w:rsidR="00E657D2">
        <w:rPr>
          <w:rFonts w:ascii="Times New Roman" w:hAnsi="Times New Roman" w:cs="Times New Roman"/>
          <w:sz w:val="24"/>
          <w:szCs w:val="24"/>
        </w:rPr>
        <w:t>60</w:t>
      </w:r>
      <w:r w:rsidR="00F7190A">
        <w:rPr>
          <w:rFonts w:ascii="Times New Roman" w:hAnsi="Times New Roman" w:cs="Times New Roman"/>
          <w:sz w:val="24"/>
          <w:szCs w:val="24"/>
        </w:rPr>
        <w:t xml:space="preserve">(4) </w:t>
      </w:r>
      <w:r>
        <w:rPr>
          <w:rFonts w:ascii="Times New Roman" w:hAnsi="Times New Roman" w:cs="Times New Roman"/>
          <w:sz w:val="24"/>
          <w:szCs w:val="24"/>
        </w:rPr>
        <w:t xml:space="preserve">of the GHG Regulations </w:t>
      </w:r>
      <w:r w:rsidR="00F7190A">
        <w:rPr>
          <w:rFonts w:ascii="Times New Roman" w:hAnsi="Times New Roman" w:cs="Times New Roman"/>
          <w:sz w:val="24"/>
          <w:szCs w:val="24"/>
        </w:rPr>
        <w:t>provides that a</w:t>
      </w:r>
      <w:r w:rsidR="00F7190A" w:rsidRPr="00F7190A">
        <w:rPr>
          <w:rFonts w:ascii="Times New Roman" w:hAnsi="Times New Roman" w:cs="Times New Roman"/>
          <w:sz w:val="24"/>
          <w:szCs w:val="24"/>
        </w:rPr>
        <w:t xml:space="preserve"> relevant court may grant an injunction</w:t>
      </w:r>
      <w:r w:rsidR="00F7190A">
        <w:rPr>
          <w:rFonts w:ascii="Times New Roman" w:hAnsi="Times New Roman" w:cs="Times New Roman"/>
          <w:sz w:val="24"/>
          <w:szCs w:val="24"/>
        </w:rPr>
        <w:t xml:space="preserve"> </w:t>
      </w:r>
      <w:r w:rsidR="00F7190A" w:rsidRPr="00F7190A">
        <w:rPr>
          <w:rFonts w:ascii="Times New Roman" w:hAnsi="Times New Roman" w:cs="Times New Roman"/>
          <w:sz w:val="24"/>
          <w:szCs w:val="24"/>
        </w:rPr>
        <w:t xml:space="preserve">by consent of all the parties to proceedings, </w:t>
      </w:r>
      <w:proofErr w:type="gramStart"/>
      <w:r w:rsidR="00F7190A" w:rsidRPr="00F7190A">
        <w:rPr>
          <w:rFonts w:ascii="Times New Roman" w:hAnsi="Times New Roman" w:cs="Times New Roman"/>
          <w:sz w:val="24"/>
          <w:szCs w:val="24"/>
        </w:rPr>
        <w:t>whether or not</w:t>
      </w:r>
      <w:proofErr w:type="gramEnd"/>
      <w:r w:rsidR="00F7190A" w:rsidRPr="00F7190A">
        <w:rPr>
          <w:rFonts w:ascii="Times New Roman" w:hAnsi="Times New Roman" w:cs="Times New Roman"/>
          <w:sz w:val="24"/>
          <w:szCs w:val="24"/>
        </w:rPr>
        <w:t xml:space="preserve"> the court is satisfied that </w:t>
      </w:r>
      <w:r w:rsidR="00F7190A">
        <w:rPr>
          <w:rFonts w:ascii="Times New Roman" w:hAnsi="Times New Roman" w:cs="Times New Roman"/>
          <w:sz w:val="24"/>
          <w:szCs w:val="24"/>
        </w:rPr>
        <w:t>s</w:t>
      </w:r>
      <w:r w:rsidR="00E657D2">
        <w:rPr>
          <w:rFonts w:ascii="Times New Roman" w:hAnsi="Times New Roman" w:cs="Times New Roman"/>
          <w:sz w:val="24"/>
          <w:szCs w:val="24"/>
        </w:rPr>
        <w:t>ection</w:t>
      </w:r>
      <w:r w:rsidR="00F7190A" w:rsidRPr="00F7190A">
        <w:rPr>
          <w:rFonts w:ascii="Times New Roman" w:hAnsi="Times New Roman" w:cs="Times New Roman"/>
          <w:sz w:val="24"/>
          <w:szCs w:val="24"/>
        </w:rPr>
        <w:t xml:space="preserve"> 121 of th</w:t>
      </w:r>
      <w:r w:rsidR="00F7190A">
        <w:rPr>
          <w:rFonts w:ascii="Times New Roman" w:hAnsi="Times New Roman" w:cs="Times New Roman"/>
          <w:sz w:val="24"/>
          <w:szCs w:val="24"/>
        </w:rPr>
        <w:t>e Regulatory Powers</w:t>
      </w:r>
      <w:r w:rsidR="00F7190A" w:rsidRPr="00F7190A">
        <w:rPr>
          <w:rFonts w:ascii="Times New Roman" w:hAnsi="Times New Roman" w:cs="Times New Roman"/>
          <w:sz w:val="24"/>
          <w:szCs w:val="24"/>
        </w:rPr>
        <w:t xml:space="preserve"> Act</w:t>
      </w:r>
      <w:r w:rsidR="00F7190A">
        <w:rPr>
          <w:rFonts w:ascii="Times New Roman" w:hAnsi="Times New Roman" w:cs="Times New Roman"/>
          <w:sz w:val="24"/>
          <w:szCs w:val="24"/>
        </w:rPr>
        <w:t xml:space="preserve"> </w:t>
      </w:r>
      <w:r w:rsidR="00F7190A" w:rsidRPr="00F7190A">
        <w:rPr>
          <w:rFonts w:ascii="Times New Roman" w:hAnsi="Times New Roman" w:cs="Times New Roman"/>
          <w:sz w:val="24"/>
          <w:szCs w:val="24"/>
        </w:rPr>
        <w:t>applies.</w:t>
      </w:r>
      <w:r w:rsidR="00B17DE4">
        <w:rPr>
          <w:rFonts w:ascii="Times New Roman" w:hAnsi="Times New Roman" w:cs="Times New Roman"/>
          <w:sz w:val="24"/>
          <w:szCs w:val="24"/>
        </w:rPr>
        <w:t xml:space="preserve"> </w:t>
      </w:r>
      <w:r w:rsidR="00F779C6" w:rsidRPr="00F779C6">
        <w:rPr>
          <w:rFonts w:ascii="Times New Roman" w:hAnsi="Times New Roman" w:cs="Times New Roman"/>
          <w:sz w:val="24"/>
          <w:szCs w:val="24"/>
        </w:rPr>
        <w:t xml:space="preserve">This would aim to reduce the necessity for the court to consider the merits of an application for an injunction in instances where the parties </w:t>
      </w:r>
      <w:proofErr w:type="gramStart"/>
      <w:r w:rsidR="00F779C6" w:rsidRPr="00F779C6">
        <w:rPr>
          <w:rFonts w:ascii="Times New Roman" w:hAnsi="Times New Roman" w:cs="Times New Roman"/>
          <w:sz w:val="24"/>
          <w:szCs w:val="24"/>
        </w:rPr>
        <w:t>are in agreement</w:t>
      </w:r>
      <w:proofErr w:type="gramEnd"/>
      <w:r w:rsidR="00F779C6" w:rsidRPr="00F779C6">
        <w:rPr>
          <w:rFonts w:ascii="Times New Roman" w:hAnsi="Times New Roman" w:cs="Times New Roman"/>
          <w:sz w:val="24"/>
          <w:szCs w:val="24"/>
        </w:rPr>
        <w:t>, and thereby reduce the time taken for an injunction to be granted, and free up the court’s time for other matters in dispute.</w:t>
      </w:r>
    </w:p>
    <w:p w14:paraId="03182016" w14:textId="721B45C3" w:rsidR="00DF01BF" w:rsidRPr="00F7190A" w:rsidRDefault="00DF01BF" w:rsidP="00502CAB">
      <w:pPr>
        <w:pStyle w:val="ActHead3"/>
      </w:pPr>
      <w:r w:rsidRPr="00F7190A">
        <w:t>Division 5 – Other matters</w:t>
      </w:r>
    </w:p>
    <w:p w14:paraId="1B50330B" w14:textId="0D775BAC" w:rsidR="00DF01BF" w:rsidRPr="00502CAB" w:rsidRDefault="00DF01BF" w:rsidP="00502CAB">
      <w:pPr>
        <w:pStyle w:val="ActHead5"/>
        <w:spacing w:after="240"/>
      </w:pPr>
      <w:r w:rsidRPr="00502CAB">
        <w:t>Section 6</w:t>
      </w:r>
      <w:r w:rsidR="00234D7B" w:rsidRPr="00502CAB">
        <w:t>1</w:t>
      </w:r>
      <w:r w:rsidRPr="00502CAB">
        <w:t xml:space="preserve"> – Contravening offence provision</w:t>
      </w:r>
      <w:r w:rsidR="00234D7B" w:rsidRPr="00502CAB">
        <w:t>s</w:t>
      </w:r>
      <w:r w:rsidRPr="00502CAB">
        <w:t xml:space="preserve"> </w:t>
      </w:r>
      <w:r w:rsidR="00234D7B" w:rsidRPr="00502CAB">
        <w:t xml:space="preserve">and </w:t>
      </w:r>
      <w:r w:rsidRPr="00502CAB">
        <w:t>civil penalty provision</w:t>
      </w:r>
      <w:r w:rsidR="00234D7B" w:rsidRPr="00502CAB">
        <w:t>s</w:t>
      </w:r>
    </w:p>
    <w:p w14:paraId="1965E787" w14:textId="00F84F91" w:rsidR="008B345C" w:rsidRDefault="00DF01BF" w:rsidP="00DF01BF">
      <w:pPr>
        <w:rPr>
          <w:rFonts w:ascii="Times New Roman" w:hAnsi="Times New Roman" w:cs="Times New Roman"/>
          <w:sz w:val="24"/>
          <w:szCs w:val="24"/>
        </w:rPr>
      </w:pPr>
      <w:r>
        <w:rPr>
          <w:rFonts w:ascii="Times New Roman" w:hAnsi="Times New Roman" w:cs="Times New Roman"/>
          <w:sz w:val="24"/>
          <w:szCs w:val="24"/>
        </w:rPr>
        <w:t>This section</w:t>
      </w:r>
      <w:r w:rsidR="000520F4">
        <w:rPr>
          <w:rFonts w:ascii="Times New Roman" w:hAnsi="Times New Roman" w:cs="Times New Roman"/>
          <w:sz w:val="24"/>
          <w:szCs w:val="24"/>
        </w:rPr>
        <w:t xml:space="preserve"> </w:t>
      </w:r>
      <w:r w:rsidR="00905DDC" w:rsidRPr="00905DDC">
        <w:rPr>
          <w:rFonts w:ascii="Times New Roman" w:hAnsi="Times New Roman" w:cs="Times New Roman"/>
          <w:sz w:val="24"/>
          <w:szCs w:val="24"/>
        </w:rPr>
        <w:t xml:space="preserve">applies if a provision of </w:t>
      </w:r>
      <w:r w:rsidR="00905DDC">
        <w:rPr>
          <w:rFonts w:ascii="Times New Roman" w:hAnsi="Times New Roman" w:cs="Times New Roman"/>
          <w:sz w:val="24"/>
          <w:szCs w:val="24"/>
        </w:rPr>
        <w:t xml:space="preserve">the GHG </w:t>
      </w:r>
      <w:r w:rsidR="006C4B26">
        <w:rPr>
          <w:rFonts w:ascii="Times New Roman" w:hAnsi="Times New Roman" w:cs="Times New Roman"/>
          <w:sz w:val="24"/>
          <w:szCs w:val="24"/>
        </w:rPr>
        <w:t>R</w:t>
      </w:r>
      <w:r w:rsidR="00905DDC">
        <w:rPr>
          <w:rFonts w:ascii="Times New Roman" w:hAnsi="Times New Roman" w:cs="Times New Roman"/>
          <w:sz w:val="24"/>
          <w:szCs w:val="24"/>
        </w:rPr>
        <w:t>egulations</w:t>
      </w:r>
      <w:r w:rsidR="00905DDC" w:rsidRPr="00905DDC">
        <w:rPr>
          <w:rFonts w:ascii="Times New Roman" w:hAnsi="Times New Roman" w:cs="Times New Roman"/>
          <w:sz w:val="24"/>
          <w:szCs w:val="24"/>
        </w:rPr>
        <w:t xml:space="preserve"> provides that a person contravening another provision of </w:t>
      </w:r>
      <w:r w:rsidR="00905DDC">
        <w:rPr>
          <w:rFonts w:ascii="Times New Roman" w:hAnsi="Times New Roman" w:cs="Times New Roman"/>
          <w:sz w:val="24"/>
          <w:szCs w:val="24"/>
        </w:rPr>
        <w:t>the regulations</w:t>
      </w:r>
      <w:r w:rsidR="00905DDC" w:rsidRPr="00905DDC">
        <w:rPr>
          <w:rFonts w:ascii="Times New Roman" w:hAnsi="Times New Roman" w:cs="Times New Roman"/>
          <w:sz w:val="24"/>
          <w:szCs w:val="24"/>
        </w:rPr>
        <w:t xml:space="preserve"> (the </w:t>
      </w:r>
      <w:r w:rsidR="00905DDC">
        <w:rPr>
          <w:rFonts w:ascii="Times New Roman" w:hAnsi="Times New Roman" w:cs="Times New Roman"/>
          <w:sz w:val="24"/>
          <w:szCs w:val="24"/>
        </w:rPr>
        <w:t>‘</w:t>
      </w:r>
      <w:r w:rsidR="00905DDC" w:rsidRPr="00905DDC">
        <w:rPr>
          <w:rFonts w:ascii="Times New Roman" w:hAnsi="Times New Roman" w:cs="Times New Roman"/>
          <w:sz w:val="24"/>
          <w:szCs w:val="24"/>
        </w:rPr>
        <w:t>conduct provision</w:t>
      </w:r>
      <w:r w:rsidR="00905DDC">
        <w:rPr>
          <w:rFonts w:ascii="Times New Roman" w:hAnsi="Times New Roman" w:cs="Times New Roman"/>
          <w:sz w:val="24"/>
          <w:szCs w:val="24"/>
        </w:rPr>
        <w:t>’</w:t>
      </w:r>
      <w:r w:rsidR="00905DDC" w:rsidRPr="00905DDC">
        <w:rPr>
          <w:rFonts w:ascii="Times New Roman" w:hAnsi="Times New Roman" w:cs="Times New Roman"/>
          <w:sz w:val="24"/>
          <w:szCs w:val="24"/>
        </w:rPr>
        <w:t>) commits an offence or is liable to a civil penalty</w:t>
      </w:r>
      <w:r w:rsidR="00905DDC">
        <w:rPr>
          <w:rFonts w:ascii="Times New Roman" w:hAnsi="Times New Roman" w:cs="Times New Roman"/>
          <w:sz w:val="24"/>
          <w:szCs w:val="24"/>
        </w:rPr>
        <w:t xml:space="preserve">. </w:t>
      </w:r>
      <w:r w:rsidR="00905DDC" w:rsidRPr="00905DDC">
        <w:rPr>
          <w:rFonts w:ascii="Times New Roman" w:hAnsi="Times New Roman" w:cs="Times New Roman"/>
          <w:sz w:val="24"/>
          <w:szCs w:val="24"/>
        </w:rPr>
        <w:t>For the purposes of</w:t>
      </w:r>
      <w:r w:rsidR="00905DDC">
        <w:rPr>
          <w:rFonts w:ascii="Times New Roman" w:hAnsi="Times New Roman" w:cs="Times New Roman"/>
          <w:sz w:val="24"/>
          <w:szCs w:val="24"/>
        </w:rPr>
        <w:t xml:space="preserve"> the regulations</w:t>
      </w:r>
      <w:r w:rsidR="00905DDC" w:rsidRPr="00905DDC">
        <w:rPr>
          <w:rFonts w:ascii="Times New Roman" w:hAnsi="Times New Roman" w:cs="Times New Roman"/>
          <w:sz w:val="24"/>
          <w:szCs w:val="24"/>
        </w:rPr>
        <w:t xml:space="preserve"> and the Regulatory</w:t>
      </w:r>
      <w:r w:rsidR="00302B3A">
        <w:rPr>
          <w:rFonts w:ascii="Times New Roman" w:hAnsi="Times New Roman" w:cs="Times New Roman"/>
          <w:sz w:val="24"/>
          <w:szCs w:val="24"/>
        </w:rPr>
        <w:t> </w:t>
      </w:r>
      <w:r w:rsidR="00905DDC" w:rsidRPr="00905DDC">
        <w:rPr>
          <w:rFonts w:ascii="Times New Roman" w:hAnsi="Times New Roman" w:cs="Times New Roman"/>
          <w:sz w:val="24"/>
          <w:szCs w:val="24"/>
        </w:rPr>
        <w:t>Powers Act</w:t>
      </w:r>
      <w:r w:rsidR="00905DDC">
        <w:rPr>
          <w:rFonts w:ascii="Times New Roman" w:hAnsi="Times New Roman" w:cs="Times New Roman"/>
          <w:sz w:val="24"/>
          <w:szCs w:val="24"/>
        </w:rPr>
        <w:t xml:space="preserve">, </w:t>
      </w:r>
      <w:r w:rsidR="00905DDC" w:rsidRPr="00905DDC">
        <w:rPr>
          <w:rFonts w:ascii="Times New Roman" w:hAnsi="Times New Roman" w:cs="Times New Roman"/>
          <w:sz w:val="24"/>
          <w:szCs w:val="24"/>
        </w:rPr>
        <w:t>a reference to a contravention of an offence provision or a civil penalty provision includes a reference to a contravention of the conduct provision.</w:t>
      </w:r>
    </w:p>
    <w:p w14:paraId="58B08059" w14:textId="77777777" w:rsidR="00AE485F" w:rsidRDefault="008B345C" w:rsidP="00DF01BF">
      <w:pPr>
        <w:rPr>
          <w:rFonts w:ascii="Times New Roman" w:hAnsi="Times New Roman" w:cs="Times New Roman"/>
          <w:sz w:val="24"/>
          <w:szCs w:val="24"/>
        </w:rPr>
      </w:pPr>
      <w:r>
        <w:rPr>
          <w:rFonts w:ascii="Times New Roman" w:hAnsi="Times New Roman" w:cs="Times New Roman"/>
          <w:sz w:val="24"/>
          <w:szCs w:val="24"/>
        </w:rPr>
        <w:t xml:space="preserve">This section supports references in the GHG Regulations </w:t>
      </w:r>
      <w:r w:rsidR="002C1051">
        <w:rPr>
          <w:rFonts w:ascii="Times New Roman" w:hAnsi="Times New Roman" w:cs="Times New Roman"/>
          <w:sz w:val="24"/>
          <w:szCs w:val="24"/>
        </w:rPr>
        <w:t xml:space="preserve">and the Regulatory Powers Act </w:t>
      </w:r>
      <w:r>
        <w:rPr>
          <w:rFonts w:ascii="Times New Roman" w:hAnsi="Times New Roman" w:cs="Times New Roman"/>
          <w:sz w:val="24"/>
          <w:szCs w:val="24"/>
        </w:rPr>
        <w:t xml:space="preserve">to contraventions of offence and civil penalty provisions. In </w:t>
      </w:r>
      <w:r w:rsidR="002C1051">
        <w:rPr>
          <w:rFonts w:ascii="Times New Roman" w:hAnsi="Times New Roman" w:cs="Times New Roman"/>
          <w:sz w:val="24"/>
          <w:szCs w:val="24"/>
        </w:rPr>
        <w:t>many</w:t>
      </w:r>
      <w:r>
        <w:rPr>
          <w:rFonts w:ascii="Times New Roman" w:hAnsi="Times New Roman" w:cs="Times New Roman"/>
          <w:sz w:val="24"/>
          <w:szCs w:val="24"/>
        </w:rPr>
        <w:t xml:space="preserve"> cases, an offence or civil penalty provision </w:t>
      </w:r>
      <w:r w:rsidR="002C1051">
        <w:rPr>
          <w:rFonts w:ascii="Times New Roman" w:hAnsi="Times New Roman" w:cs="Times New Roman"/>
          <w:sz w:val="24"/>
          <w:szCs w:val="24"/>
        </w:rPr>
        <w:t xml:space="preserve">in the GHG Regulations </w:t>
      </w:r>
      <w:r>
        <w:rPr>
          <w:rFonts w:ascii="Times New Roman" w:hAnsi="Times New Roman" w:cs="Times New Roman"/>
          <w:sz w:val="24"/>
          <w:szCs w:val="24"/>
        </w:rPr>
        <w:t>states that a person is liable to a penalty for a contravention o</w:t>
      </w:r>
      <w:r w:rsidR="002C1051">
        <w:rPr>
          <w:rFonts w:ascii="Times New Roman" w:hAnsi="Times New Roman" w:cs="Times New Roman"/>
          <w:sz w:val="24"/>
          <w:szCs w:val="24"/>
        </w:rPr>
        <w:t>r</w:t>
      </w:r>
      <w:r>
        <w:rPr>
          <w:rFonts w:ascii="Times New Roman" w:hAnsi="Times New Roman" w:cs="Times New Roman"/>
          <w:sz w:val="24"/>
          <w:szCs w:val="24"/>
        </w:rPr>
        <w:t xml:space="preserve"> breach of another provision, which contains a conduct rule.</w:t>
      </w:r>
      <w:r w:rsidR="00FE35F5">
        <w:rPr>
          <w:rFonts w:ascii="Times New Roman" w:hAnsi="Times New Roman" w:cs="Times New Roman"/>
          <w:sz w:val="24"/>
          <w:szCs w:val="24"/>
        </w:rPr>
        <w:t xml:space="preserve"> For example, subsection </w:t>
      </w:r>
      <w:r w:rsidR="002C1051">
        <w:rPr>
          <w:rFonts w:ascii="Times New Roman" w:hAnsi="Times New Roman" w:cs="Times New Roman"/>
          <w:sz w:val="24"/>
          <w:szCs w:val="24"/>
        </w:rPr>
        <w:t>22</w:t>
      </w:r>
      <w:r w:rsidR="00FE35F5">
        <w:rPr>
          <w:rFonts w:ascii="Times New Roman" w:hAnsi="Times New Roman" w:cs="Times New Roman"/>
          <w:sz w:val="24"/>
          <w:szCs w:val="24"/>
        </w:rPr>
        <w:t>(</w:t>
      </w:r>
      <w:r w:rsidR="002C1051">
        <w:rPr>
          <w:rFonts w:ascii="Times New Roman" w:hAnsi="Times New Roman" w:cs="Times New Roman"/>
          <w:sz w:val="24"/>
          <w:szCs w:val="24"/>
        </w:rPr>
        <w:t>4</w:t>
      </w:r>
      <w:r w:rsidR="00FE35F5">
        <w:rPr>
          <w:rFonts w:ascii="Times New Roman" w:hAnsi="Times New Roman" w:cs="Times New Roman"/>
          <w:sz w:val="24"/>
          <w:szCs w:val="24"/>
        </w:rPr>
        <w:t>) states that a person</w:t>
      </w:r>
      <w:r w:rsidR="002C1051">
        <w:rPr>
          <w:rFonts w:ascii="Times New Roman" w:hAnsi="Times New Roman" w:cs="Times New Roman"/>
          <w:sz w:val="24"/>
          <w:szCs w:val="24"/>
        </w:rPr>
        <w:t xml:space="preserve"> is liable to a civil penalty</w:t>
      </w:r>
      <w:r w:rsidR="00FE35F5">
        <w:rPr>
          <w:rFonts w:ascii="Times New Roman" w:hAnsi="Times New Roman" w:cs="Times New Roman"/>
          <w:sz w:val="24"/>
          <w:szCs w:val="24"/>
        </w:rPr>
        <w:t xml:space="preserve"> if the person contravenes subsection </w:t>
      </w:r>
      <w:r w:rsidR="002C1051">
        <w:rPr>
          <w:rFonts w:ascii="Times New Roman" w:hAnsi="Times New Roman" w:cs="Times New Roman"/>
          <w:sz w:val="24"/>
          <w:szCs w:val="24"/>
        </w:rPr>
        <w:t>22</w:t>
      </w:r>
      <w:r w:rsidR="00FE35F5">
        <w:rPr>
          <w:rFonts w:ascii="Times New Roman" w:hAnsi="Times New Roman" w:cs="Times New Roman"/>
          <w:sz w:val="24"/>
          <w:szCs w:val="24"/>
        </w:rPr>
        <w:t xml:space="preserve">(1) or (2). Subsection </w:t>
      </w:r>
      <w:r w:rsidR="002C1051">
        <w:rPr>
          <w:rFonts w:ascii="Times New Roman" w:hAnsi="Times New Roman" w:cs="Times New Roman"/>
          <w:sz w:val="24"/>
          <w:szCs w:val="24"/>
        </w:rPr>
        <w:t>22(</w:t>
      </w:r>
      <w:r w:rsidR="00FE35F5">
        <w:rPr>
          <w:rFonts w:ascii="Times New Roman" w:hAnsi="Times New Roman" w:cs="Times New Roman"/>
          <w:sz w:val="24"/>
          <w:szCs w:val="24"/>
        </w:rPr>
        <w:t>1)</w:t>
      </w:r>
      <w:r w:rsidR="002C1051">
        <w:rPr>
          <w:rFonts w:ascii="Times New Roman" w:hAnsi="Times New Roman" w:cs="Times New Roman"/>
          <w:sz w:val="24"/>
          <w:szCs w:val="24"/>
        </w:rPr>
        <w:t xml:space="preserve"> prohibits a GHG injection licensee from carrying on operations in relation to an identified GHG storage formation unless an approved site plan is in force. Subsection 22(2) requires a licensee to comply with an approved site plan. Subsections 22(1) and (2)</w:t>
      </w:r>
      <w:r w:rsidR="00FE35F5">
        <w:rPr>
          <w:rFonts w:ascii="Times New Roman" w:hAnsi="Times New Roman" w:cs="Times New Roman"/>
          <w:sz w:val="24"/>
          <w:szCs w:val="24"/>
        </w:rPr>
        <w:t xml:space="preserve"> are therefore the</w:t>
      </w:r>
      <w:r w:rsidR="002C1051">
        <w:rPr>
          <w:rFonts w:ascii="Times New Roman" w:hAnsi="Times New Roman" w:cs="Times New Roman"/>
          <w:sz w:val="24"/>
          <w:szCs w:val="24"/>
        </w:rPr>
        <w:t xml:space="preserve"> relevant</w:t>
      </w:r>
      <w:r w:rsidR="00FE35F5">
        <w:rPr>
          <w:rFonts w:ascii="Times New Roman" w:hAnsi="Times New Roman" w:cs="Times New Roman"/>
          <w:sz w:val="24"/>
          <w:szCs w:val="24"/>
        </w:rPr>
        <w:t xml:space="preserve"> conduct provisions</w:t>
      </w:r>
      <w:r w:rsidR="002C1051">
        <w:rPr>
          <w:rFonts w:ascii="Times New Roman" w:hAnsi="Times New Roman" w:cs="Times New Roman"/>
          <w:sz w:val="24"/>
          <w:szCs w:val="24"/>
        </w:rPr>
        <w:t>.</w:t>
      </w:r>
    </w:p>
    <w:p w14:paraId="62269CC4" w14:textId="161790DF" w:rsidR="002C1051" w:rsidRPr="00627167" w:rsidRDefault="00AE485F" w:rsidP="00DF01BF">
      <w:pPr>
        <w:rPr>
          <w:rFonts w:ascii="Times New Roman" w:hAnsi="Times New Roman" w:cs="Times New Roman"/>
          <w:i/>
          <w:iCs/>
          <w:sz w:val="24"/>
          <w:szCs w:val="24"/>
        </w:rPr>
      </w:pPr>
      <w:r>
        <w:rPr>
          <w:rFonts w:ascii="Times New Roman" w:hAnsi="Times New Roman" w:cs="Times New Roman"/>
          <w:sz w:val="24"/>
          <w:szCs w:val="24"/>
        </w:rPr>
        <w:t>Provisions in the GHG Regulations or the Regulatory Powers Act may refer to contravention of an offence or civil penalty provision. For example, subsection 82(3) of the Regulatory</w:t>
      </w:r>
      <w:r w:rsidR="00302B3A">
        <w:rPr>
          <w:rFonts w:ascii="Times New Roman" w:hAnsi="Times New Roman" w:cs="Times New Roman"/>
          <w:sz w:val="24"/>
          <w:szCs w:val="24"/>
        </w:rPr>
        <w:t> </w:t>
      </w:r>
      <w:r>
        <w:rPr>
          <w:rFonts w:ascii="Times New Roman" w:hAnsi="Times New Roman" w:cs="Times New Roman"/>
          <w:sz w:val="24"/>
          <w:szCs w:val="24"/>
        </w:rPr>
        <w:t xml:space="preserve">Powers Act provides that if </w:t>
      </w:r>
      <w:r w:rsidR="00B17DE4">
        <w:rPr>
          <w:rFonts w:ascii="Times New Roman" w:hAnsi="Times New Roman" w:cs="Times New Roman"/>
          <w:sz w:val="24"/>
          <w:szCs w:val="24"/>
        </w:rPr>
        <w:t>a</w:t>
      </w:r>
      <w:r>
        <w:rPr>
          <w:rFonts w:ascii="Times New Roman" w:hAnsi="Times New Roman" w:cs="Times New Roman"/>
          <w:sz w:val="24"/>
          <w:szCs w:val="24"/>
        </w:rPr>
        <w:t xml:space="preserve"> relevant court is satisfied that a person has contravened a civil penalty provision, the court may order the person to pay a pecuniary penalty for the contravention as the court determines to be appropriate. For the purposes of this provision, as a result of the application of section 61 of the GHG Regulations, a person will be taken to have contravened the civil penalty provision if the person has contravened the requirement of the conduct provision. Continuing with the previous example, a person will be taken to have contravened subsection 22(4) if the person has contravened subsection</w:t>
      </w:r>
      <w:r w:rsidR="00A736A1">
        <w:rPr>
          <w:rFonts w:ascii="Times New Roman" w:hAnsi="Times New Roman" w:cs="Times New Roman"/>
          <w:sz w:val="24"/>
          <w:szCs w:val="24"/>
        </w:rPr>
        <w:t> </w:t>
      </w:r>
      <w:r>
        <w:rPr>
          <w:rFonts w:ascii="Times New Roman" w:hAnsi="Times New Roman" w:cs="Times New Roman"/>
          <w:sz w:val="24"/>
          <w:szCs w:val="24"/>
        </w:rPr>
        <w:t>22(1) or (2).</w:t>
      </w:r>
    </w:p>
    <w:p w14:paraId="6FA4620F" w14:textId="1A26670E" w:rsidR="00DF01BF" w:rsidRPr="00B17DE4" w:rsidRDefault="00DF01BF" w:rsidP="00CF0A51">
      <w:pPr>
        <w:keepNext/>
        <w:rPr>
          <w:rFonts w:ascii="Times New Roman" w:hAnsi="Times New Roman" w:cs="Times New Roman"/>
          <w:b/>
          <w:bCs/>
          <w:sz w:val="24"/>
          <w:szCs w:val="24"/>
        </w:rPr>
      </w:pPr>
      <w:r w:rsidRPr="00B17DE4">
        <w:rPr>
          <w:rFonts w:ascii="Times New Roman" w:hAnsi="Times New Roman" w:cs="Times New Roman"/>
          <w:b/>
          <w:bCs/>
          <w:sz w:val="24"/>
          <w:szCs w:val="24"/>
        </w:rPr>
        <w:lastRenderedPageBreak/>
        <w:t xml:space="preserve">Section </w:t>
      </w:r>
      <w:r w:rsidR="00234D7B" w:rsidRPr="00B17DE4">
        <w:rPr>
          <w:rFonts w:ascii="Times New Roman" w:hAnsi="Times New Roman" w:cs="Times New Roman"/>
          <w:b/>
          <w:bCs/>
          <w:sz w:val="24"/>
          <w:szCs w:val="24"/>
        </w:rPr>
        <w:t>62</w:t>
      </w:r>
      <w:r w:rsidRPr="00B17DE4">
        <w:rPr>
          <w:rFonts w:ascii="Times New Roman" w:hAnsi="Times New Roman" w:cs="Times New Roman"/>
          <w:b/>
          <w:bCs/>
          <w:sz w:val="24"/>
          <w:szCs w:val="24"/>
        </w:rPr>
        <w:t xml:space="preserve"> – </w:t>
      </w:r>
      <w:r w:rsidR="00F7190A" w:rsidRPr="00B17DE4">
        <w:rPr>
          <w:rFonts w:ascii="Times New Roman" w:hAnsi="Times New Roman" w:cs="Times New Roman"/>
          <w:b/>
          <w:bCs/>
          <w:sz w:val="24"/>
          <w:szCs w:val="24"/>
        </w:rPr>
        <w:t>Daily p</w:t>
      </w:r>
      <w:r w:rsidRPr="00B17DE4">
        <w:rPr>
          <w:rFonts w:ascii="Times New Roman" w:hAnsi="Times New Roman" w:cs="Times New Roman"/>
          <w:b/>
          <w:bCs/>
          <w:sz w:val="24"/>
          <w:szCs w:val="24"/>
        </w:rPr>
        <w:t>enalties for continuing offences and continuing contraventions of civil penalty provisions</w:t>
      </w:r>
    </w:p>
    <w:p w14:paraId="2AB64225" w14:textId="43EDB69D" w:rsidR="00F03483" w:rsidRDefault="00F74364" w:rsidP="00DF01BF">
      <w:p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the offence provisions in the GHG Regulations (</w:t>
      </w:r>
      <w:r w:rsidR="00D70DC3">
        <w:rPr>
          <w:rFonts w:ascii="Times New Roman" w:hAnsi="Times New Roman" w:cs="Times New Roman"/>
          <w:sz w:val="24"/>
          <w:szCs w:val="24"/>
        </w:rPr>
        <w:t>listed</w:t>
      </w:r>
      <w:r>
        <w:rPr>
          <w:rFonts w:ascii="Times New Roman" w:hAnsi="Times New Roman" w:cs="Times New Roman"/>
          <w:sz w:val="24"/>
          <w:szCs w:val="24"/>
        </w:rPr>
        <w:t xml:space="preserve"> in subsection 62(1)) are continuing offences under section 4K of the </w:t>
      </w:r>
      <w:r>
        <w:rPr>
          <w:rFonts w:ascii="Times New Roman" w:hAnsi="Times New Roman" w:cs="Times New Roman"/>
          <w:i/>
          <w:iCs/>
          <w:sz w:val="24"/>
          <w:szCs w:val="24"/>
        </w:rPr>
        <w:t>Crimes Act 1914</w:t>
      </w:r>
      <w:r>
        <w:rPr>
          <w:rFonts w:ascii="Times New Roman" w:hAnsi="Times New Roman" w:cs="Times New Roman"/>
          <w:sz w:val="24"/>
          <w:szCs w:val="24"/>
        </w:rPr>
        <w:t>. Subs</w:t>
      </w:r>
      <w:r w:rsidR="00DF01BF">
        <w:rPr>
          <w:rFonts w:ascii="Times New Roman" w:hAnsi="Times New Roman" w:cs="Times New Roman"/>
          <w:sz w:val="24"/>
          <w:szCs w:val="24"/>
        </w:rPr>
        <w:t xml:space="preserve">ection </w:t>
      </w:r>
      <w:r>
        <w:rPr>
          <w:rFonts w:ascii="Times New Roman" w:hAnsi="Times New Roman" w:cs="Times New Roman"/>
          <w:sz w:val="24"/>
          <w:szCs w:val="24"/>
        </w:rPr>
        <w:t>62(1) sets out the</w:t>
      </w:r>
      <w:r w:rsidR="00F7190A">
        <w:rPr>
          <w:rFonts w:ascii="Times New Roman" w:hAnsi="Times New Roman" w:cs="Times New Roman"/>
          <w:sz w:val="24"/>
          <w:szCs w:val="24"/>
        </w:rPr>
        <w:t xml:space="preserve"> maximum daily penalty that may be imposed </w:t>
      </w:r>
      <w:r w:rsidR="00F03483">
        <w:rPr>
          <w:rFonts w:ascii="Times New Roman" w:hAnsi="Times New Roman" w:cs="Times New Roman"/>
          <w:sz w:val="24"/>
          <w:szCs w:val="24"/>
        </w:rPr>
        <w:t xml:space="preserve">for a </w:t>
      </w:r>
      <w:r>
        <w:rPr>
          <w:rFonts w:ascii="Times New Roman" w:hAnsi="Times New Roman" w:cs="Times New Roman"/>
          <w:sz w:val="24"/>
          <w:szCs w:val="24"/>
        </w:rPr>
        <w:t xml:space="preserve">continuing </w:t>
      </w:r>
      <w:r w:rsidR="00F03483">
        <w:rPr>
          <w:rFonts w:ascii="Times New Roman" w:hAnsi="Times New Roman" w:cs="Times New Roman"/>
          <w:sz w:val="24"/>
          <w:szCs w:val="24"/>
        </w:rPr>
        <w:t xml:space="preserve">offence </w:t>
      </w:r>
      <w:r>
        <w:rPr>
          <w:rFonts w:ascii="Times New Roman" w:hAnsi="Times New Roman" w:cs="Times New Roman"/>
          <w:sz w:val="24"/>
          <w:szCs w:val="24"/>
        </w:rPr>
        <w:t>a</w:t>
      </w:r>
      <w:r w:rsidR="00F7190A">
        <w:rPr>
          <w:rFonts w:ascii="Times New Roman" w:hAnsi="Times New Roman" w:cs="Times New Roman"/>
          <w:sz w:val="24"/>
          <w:szCs w:val="24"/>
        </w:rPr>
        <w:t>s 10% of the maximum penalty that can be imposed</w:t>
      </w:r>
      <w:r>
        <w:rPr>
          <w:rFonts w:ascii="Times New Roman" w:hAnsi="Times New Roman" w:cs="Times New Roman"/>
          <w:sz w:val="24"/>
          <w:szCs w:val="24"/>
        </w:rPr>
        <w:t xml:space="preserve"> in respect of the relevant offence</w:t>
      </w:r>
      <w:r w:rsidR="00F03483">
        <w:rPr>
          <w:rFonts w:ascii="Times New Roman" w:hAnsi="Times New Roman" w:cs="Times New Roman"/>
          <w:sz w:val="24"/>
          <w:szCs w:val="24"/>
        </w:rPr>
        <w:t xml:space="preserve">. </w:t>
      </w:r>
    </w:p>
    <w:p w14:paraId="7EC390BB" w14:textId="4DCBEC0B" w:rsidR="00D70DC3" w:rsidRDefault="00D70DC3" w:rsidP="00D70DC3">
      <w:pPr>
        <w:rPr>
          <w:rFonts w:ascii="Times New Roman" w:hAnsi="Times New Roman" w:cs="Times New Roman"/>
          <w:sz w:val="24"/>
          <w:szCs w:val="24"/>
        </w:rPr>
      </w:pPr>
      <w:r>
        <w:rPr>
          <w:rFonts w:ascii="Times New Roman" w:hAnsi="Times New Roman" w:cs="Times New Roman"/>
          <w:sz w:val="24"/>
          <w:szCs w:val="24"/>
        </w:rPr>
        <w:t xml:space="preserve">Similarly,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the civil penalty provisions in the GHG Regulations (listed in subsection 62(2)) are continuing civil penalty provisions under section 93 of the Regulatory</w:t>
      </w:r>
      <w:r w:rsidR="00302B3A">
        <w:rPr>
          <w:rFonts w:ascii="Times New Roman" w:hAnsi="Times New Roman" w:cs="Times New Roman"/>
          <w:sz w:val="24"/>
          <w:szCs w:val="24"/>
        </w:rPr>
        <w:t> </w:t>
      </w:r>
      <w:r>
        <w:rPr>
          <w:rFonts w:ascii="Times New Roman" w:hAnsi="Times New Roman" w:cs="Times New Roman"/>
          <w:sz w:val="24"/>
          <w:szCs w:val="24"/>
        </w:rPr>
        <w:t xml:space="preserve">Powers Act. Subsection 62(2) sets out the maximum daily penalty that may be imposed for contravention of a civil penalty provision as 10% of the maximum penalty that can be imposed in respect of the contravention. </w:t>
      </w:r>
    </w:p>
    <w:p w14:paraId="5741A045" w14:textId="3B6F11C1" w:rsidR="00DF01BF" w:rsidRPr="00DF01BF" w:rsidRDefault="00DF01BF" w:rsidP="00502CAB">
      <w:pPr>
        <w:pStyle w:val="ActHead2"/>
      </w:pPr>
      <w:r w:rsidRPr="00DF01BF">
        <w:t xml:space="preserve">Part </w:t>
      </w:r>
      <w:r w:rsidR="00613277">
        <w:t>8</w:t>
      </w:r>
      <w:r w:rsidRPr="00DF01BF">
        <w:t xml:space="preserve"> – Application, saving and transitional </w:t>
      </w:r>
      <w:proofErr w:type="gramStart"/>
      <w:r w:rsidRPr="00DF01BF">
        <w:t>provisions</w:t>
      </w:r>
      <w:proofErr w:type="gramEnd"/>
    </w:p>
    <w:p w14:paraId="2687C1C4" w14:textId="2E9A0509" w:rsidR="00DF01BF" w:rsidRPr="00DF01BF" w:rsidRDefault="00DF01BF" w:rsidP="00502CAB">
      <w:pPr>
        <w:pStyle w:val="ActHead3"/>
      </w:pPr>
      <w:r w:rsidRPr="00DF01BF">
        <w:t>Division 1 – Provisions relating to this instrument</w:t>
      </w:r>
      <w:r w:rsidR="00613277">
        <w:t xml:space="preserve"> as </w:t>
      </w:r>
      <w:proofErr w:type="gramStart"/>
      <w:r w:rsidR="00F03483">
        <w:t>made</w:t>
      </w:r>
      <w:proofErr w:type="gramEnd"/>
    </w:p>
    <w:p w14:paraId="3C1B0FA5" w14:textId="52692AD3" w:rsidR="00DF01BF" w:rsidRPr="00473D4A" w:rsidRDefault="00DF01BF" w:rsidP="00473D4A">
      <w:pPr>
        <w:spacing w:before="280"/>
        <w:rPr>
          <w:rFonts w:ascii="Times New Roman" w:hAnsi="Times New Roman" w:cs="Times New Roman"/>
          <w:b/>
          <w:bCs/>
          <w:sz w:val="24"/>
          <w:szCs w:val="24"/>
        </w:rPr>
      </w:pPr>
      <w:r w:rsidRPr="00473D4A">
        <w:rPr>
          <w:rFonts w:ascii="Times New Roman" w:hAnsi="Times New Roman" w:cs="Times New Roman"/>
          <w:b/>
          <w:bCs/>
          <w:sz w:val="24"/>
          <w:szCs w:val="24"/>
        </w:rPr>
        <w:t xml:space="preserve">Section </w:t>
      </w:r>
      <w:r w:rsidR="00234D7B" w:rsidRPr="00473D4A">
        <w:rPr>
          <w:rFonts w:ascii="Times New Roman" w:hAnsi="Times New Roman" w:cs="Times New Roman"/>
          <w:b/>
          <w:bCs/>
          <w:sz w:val="24"/>
          <w:szCs w:val="24"/>
        </w:rPr>
        <w:t>63</w:t>
      </w:r>
      <w:r w:rsidRPr="00473D4A">
        <w:rPr>
          <w:rFonts w:ascii="Times New Roman" w:hAnsi="Times New Roman" w:cs="Times New Roman"/>
          <w:b/>
          <w:bCs/>
          <w:sz w:val="24"/>
          <w:szCs w:val="24"/>
        </w:rPr>
        <w:t xml:space="preserve"> – </w:t>
      </w:r>
      <w:r w:rsidR="00613277" w:rsidRPr="00473D4A">
        <w:rPr>
          <w:rFonts w:ascii="Times New Roman" w:hAnsi="Times New Roman" w:cs="Times New Roman"/>
          <w:b/>
          <w:bCs/>
          <w:sz w:val="24"/>
          <w:szCs w:val="24"/>
        </w:rPr>
        <w:t>Applications for declarations of identified greenhouse gas storage formations</w:t>
      </w:r>
    </w:p>
    <w:p w14:paraId="37A8DCF2" w14:textId="2EFA7E89" w:rsidR="008C4266" w:rsidRDefault="008C4266" w:rsidP="0016414E">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473D4A">
        <w:rPr>
          <w:rFonts w:ascii="Times New Roman" w:hAnsi="Times New Roman" w:cs="Times New Roman"/>
          <w:sz w:val="24"/>
          <w:szCs w:val="24"/>
        </w:rPr>
        <w:t>the</w:t>
      </w:r>
      <w:proofErr w:type="spellEnd"/>
      <w:r w:rsidR="00473D4A">
        <w:rPr>
          <w:rFonts w:ascii="Times New Roman" w:hAnsi="Times New Roman" w:cs="Times New Roman"/>
          <w:sz w:val="24"/>
          <w:szCs w:val="24"/>
        </w:rPr>
        <w:t xml:space="preserve"> 2011 GHG Regulations</w:t>
      </w:r>
      <w:r>
        <w:rPr>
          <w:rFonts w:ascii="Times New Roman" w:hAnsi="Times New Roman" w:cs="Times New Roman"/>
          <w:sz w:val="24"/>
          <w:szCs w:val="24"/>
        </w:rPr>
        <w:t xml:space="preserve"> were repealed at the same time as the GHG Regulations commenced. T</w:t>
      </w:r>
      <w:r w:rsidR="00DF01BF">
        <w:rPr>
          <w:rFonts w:ascii="Times New Roman" w:hAnsi="Times New Roman" w:cs="Times New Roman"/>
          <w:sz w:val="24"/>
          <w:szCs w:val="24"/>
        </w:rPr>
        <w:t xml:space="preserve">his section </w:t>
      </w:r>
      <w:r w:rsidR="00F03483">
        <w:rPr>
          <w:rFonts w:ascii="Times New Roman" w:hAnsi="Times New Roman" w:cs="Times New Roman"/>
          <w:sz w:val="24"/>
          <w:szCs w:val="24"/>
        </w:rPr>
        <w:t xml:space="preserve">provides for transitional arrangements where </w:t>
      </w:r>
      <w:r w:rsidR="00F03483" w:rsidRPr="00F03483">
        <w:rPr>
          <w:rFonts w:ascii="Times New Roman" w:hAnsi="Times New Roman" w:cs="Times New Roman"/>
          <w:sz w:val="24"/>
          <w:szCs w:val="24"/>
        </w:rPr>
        <w:t xml:space="preserve">an application </w:t>
      </w:r>
      <w:r w:rsidR="006B15AA">
        <w:rPr>
          <w:rFonts w:ascii="Times New Roman" w:hAnsi="Times New Roman" w:cs="Times New Roman"/>
          <w:sz w:val="24"/>
          <w:szCs w:val="24"/>
        </w:rPr>
        <w:t xml:space="preserve">for a declaration </w:t>
      </w:r>
      <w:r w:rsidR="00473D4A">
        <w:rPr>
          <w:rFonts w:ascii="Times New Roman" w:hAnsi="Times New Roman" w:cs="Times New Roman"/>
          <w:sz w:val="24"/>
          <w:szCs w:val="24"/>
        </w:rPr>
        <w:t>of an identified GHG storage formation</w:t>
      </w:r>
      <w:r w:rsidR="006B15AA">
        <w:rPr>
          <w:rFonts w:ascii="Times New Roman" w:hAnsi="Times New Roman" w:cs="Times New Roman"/>
          <w:sz w:val="24"/>
          <w:szCs w:val="24"/>
        </w:rPr>
        <w:t xml:space="preserve"> </w:t>
      </w:r>
      <w:r w:rsidR="00F03483">
        <w:rPr>
          <w:rFonts w:ascii="Times New Roman" w:hAnsi="Times New Roman" w:cs="Times New Roman"/>
          <w:sz w:val="24"/>
          <w:szCs w:val="24"/>
        </w:rPr>
        <w:t xml:space="preserve">was made </w:t>
      </w:r>
      <w:r w:rsidR="00F03483" w:rsidRPr="00F03483">
        <w:rPr>
          <w:rFonts w:ascii="Times New Roman" w:hAnsi="Times New Roman" w:cs="Times New Roman"/>
          <w:sz w:val="24"/>
          <w:szCs w:val="24"/>
        </w:rPr>
        <w:t xml:space="preserve">under section 312 or 312A of the </w:t>
      </w:r>
      <w:r w:rsidR="00F03483">
        <w:rPr>
          <w:rFonts w:ascii="Times New Roman" w:hAnsi="Times New Roman" w:cs="Times New Roman"/>
          <w:sz w:val="24"/>
          <w:szCs w:val="24"/>
        </w:rPr>
        <w:t xml:space="preserve">OPGGS </w:t>
      </w:r>
      <w:r w:rsidR="00F03483" w:rsidRPr="00F03483">
        <w:rPr>
          <w:rFonts w:ascii="Times New Roman" w:hAnsi="Times New Roman" w:cs="Times New Roman"/>
          <w:sz w:val="24"/>
          <w:szCs w:val="24"/>
        </w:rPr>
        <w:t>Act</w:t>
      </w:r>
      <w:r>
        <w:rPr>
          <w:rFonts w:ascii="Times New Roman" w:hAnsi="Times New Roman" w:cs="Times New Roman"/>
          <w:sz w:val="24"/>
          <w:szCs w:val="24"/>
        </w:rPr>
        <w:t xml:space="preserve"> before commencement of the GHG </w:t>
      </w:r>
      <w:proofErr w:type="gramStart"/>
      <w:r>
        <w:rPr>
          <w:rFonts w:ascii="Times New Roman" w:hAnsi="Times New Roman" w:cs="Times New Roman"/>
          <w:sz w:val="24"/>
          <w:szCs w:val="24"/>
        </w:rPr>
        <w:t>Regulations</w:t>
      </w:r>
      <w:r w:rsidR="00473D4A">
        <w:rPr>
          <w:rFonts w:ascii="Times New Roman" w:hAnsi="Times New Roman" w:cs="Times New Roman"/>
          <w:sz w:val="24"/>
          <w:szCs w:val="24"/>
        </w:rPr>
        <w:t xml:space="preserve">, </w:t>
      </w:r>
      <w:r w:rsidR="00F03483" w:rsidRPr="00F03483">
        <w:rPr>
          <w:rFonts w:ascii="Times New Roman" w:hAnsi="Times New Roman" w:cs="Times New Roman"/>
          <w:sz w:val="24"/>
          <w:szCs w:val="24"/>
        </w:rPr>
        <w:t>but</w:t>
      </w:r>
      <w:proofErr w:type="gramEnd"/>
      <w:r w:rsidR="00F03483" w:rsidRPr="00F03483">
        <w:rPr>
          <w:rFonts w:ascii="Times New Roman" w:hAnsi="Times New Roman" w:cs="Times New Roman"/>
          <w:sz w:val="24"/>
          <w:szCs w:val="24"/>
        </w:rPr>
        <w:t xml:space="preserve"> </w:t>
      </w:r>
      <w:r w:rsidR="00F03483">
        <w:rPr>
          <w:rFonts w:ascii="Times New Roman" w:hAnsi="Times New Roman" w:cs="Times New Roman"/>
          <w:sz w:val="24"/>
          <w:szCs w:val="24"/>
        </w:rPr>
        <w:t xml:space="preserve">was </w:t>
      </w:r>
      <w:r w:rsidR="00F03483" w:rsidRPr="00F03483">
        <w:rPr>
          <w:rFonts w:ascii="Times New Roman" w:hAnsi="Times New Roman" w:cs="Times New Roman"/>
          <w:sz w:val="24"/>
          <w:szCs w:val="24"/>
        </w:rPr>
        <w:t>not finally determined</w:t>
      </w:r>
      <w:r>
        <w:rPr>
          <w:rFonts w:ascii="Times New Roman" w:hAnsi="Times New Roman" w:cs="Times New Roman"/>
          <w:sz w:val="24"/>
          <w:szCs w:val="24"/>
        </w:rPr>
        <w:t xml:space="preserve"> by th</w:t>
      </w:r>
      <w:r w:rsidR="00CC410C">
        <w:rPr>
          <w:rFonts w:ascii="Times New Roman" w:hAnsi="Times New Roman" w:cs="Times New Roman"/>
          <w:sz w:val="24"/>
          <w:szCs w:val="24"/>
        </w:rPr>
        <w:t>e</w:t>
      </w:r>
      <w:r>
        <w:rPr>
          <w:rFonts w:ascii="Times New Roman" w:hAnsi="Times New Roman" w:cs="Times New Roman"/>
          <w:sz w:val="24"/>
          <w:szCs w:val="24"/>
        </w:rPr>
        <w:t xml:space="preserve"> time</w:t>
      </w:r>
      <w:r w:rsidR="00CC410C">
        <w:rPr>
          <w:rFonts w:ascii="Times New Roman" w:hAnsi="Times New Roman" w:cs="Times New Roman"/>
          <w:sz w:val="24"/>
          <w:szCs w:val="24"/>
        </w:rPr>
        <w:t xml:space="preserve"> of that commencement (and repeal of the 2011</w:t>
      </w:r>
      <w:r w:rsidR="00AA66A3">
        <w:rPr>
          <w:rFonts w:ascii="Times New Roman" w:hAnsi="Times New Roman" w:cs="Times New Roman"/>
          <w:sz w:val="24"/>
          <w:szCs w:val="24"/>
        </w:rPr>
        <w:t> </w:t>
      </w:r>
      <w:r w:rsidR="00CC410C">
        <w:rPr>
          <w:rFonts w:ascii="Times New Roman" w:hAnsi="Times New Roman" w:cs="Times New Roman"/>
          <w:sz w:val="24"/>
          <w:szCs w:val="24"/>
        </w:rPr>
        <w:t>GHG</w:t>
      </w:r>
      <w:r w:rsidR="00AA66A3">
        <w:rPr>
          <w:rFonts w:ascii="Times New Roman" w:hAnsi="Times New Roman" w:cs="Times New Roman"/>
          <w:sz w:val="24"/>
          <w:szCs w:val="24"/>
        </w:rPr>
        <w:t> </w:t>
      </w:r>
      <w:r w:rsidR="00CC410C">
        <w:rPr>
          <w:rFonts w:ascii="Times New Roman" w:hAnsi="Times New Roman" w:cs="Times New Roman"/>
          <w:sz w:val="24"/>
          <w:szCs w:val="24"/>
        </w:rPr>
        <w:t>Regulations)</w:t>
      </w:r>
      <w:r w:rsidR="00F03483">
        <w:rPr>
          <w:rFonts w:ascii="Times New Roman" w:hAnsi="Times New Roman" w:cs="Times New Roman"/>
          <w:sz w:val="24"/>
          <w:szCs w:val="24"/>
        </w:rPr>
        <w:t xml:space="preserve">. </w:t>
      </w:r>
    </w:p>
    <w:p w14:paraId="62584703" w14:textId="763C9375" w:rsidR="0025412D" w:rsidRDefault="0025412D" w:rsidP="0016414E">
      <w:pPr>
        <w:rPr>
          <w:rFonts w:ascii="Times New Roman" w:hAnsi="Times New Roman" w:cs="Times New Roman"/>
          <w:sz w:val="24"/>
          <w:szCs w:val="24"/>
        </w:rPr>
      </w:pPr>
      <w:r>
        <w:rPr>
          <w:rFonts w:ascii="Times New Roman" w:hAnsi="Times New Roman" w:cs="Times New Roman"/>
          <w:sz w:val="24"/>
          <w:szCs w:val="24"/>
        </w:rPr>
        <w:t>To ensure continuity and certainty for an applicant, t</w:t>
      </w:r>
      <w:r w:rsidR="00F03483">
        <w:rPr>
          <w:rFonts w:ascii="Times New Roman" w:hAnsi="Times New Roman" w:cs="Times New Roman"/>
          <w:sz w:val="24"/>
          <w:szCs w:val="24"/>
        </w:rPr>
        <w:t xml:space="preserve">he </w:t>
      </w:r>
      <w:r w:rsidR="008C4266">
        <w:rPr>
          <w:rFonts w:ascii="Times New Roman" w:hAnsi="Times New Roman" w:cs="Times New Roman"/>
          <w:sz w:val="24"/>
          <w:szCs w:val="24"/>
        </w:rPr>
        <w:t>2011 GHG R</w:t>
      </w:r>
      <w:r w:rsidR="00F03483">
        <w:rPr>
          <w:rFonts w:ascii="Times New Roman" w:hAnsi="Times New Roman" w:cs="Times New Roman"/>
          <w:sz w:val="24"/>
          <w:szCs w:val="24"/>
        </w:rPr>
        <w:t xml:space="preserve">egulations </w:t>
      </w:r>
      <w:r w:rsidR="00150F71">
        <w:rPr>
          <w:rFonts w:ascii="Times New Roman" w:hAnsi="Times New Roman" w:cs="Times New Roman"/>
          <w:sz w:val="24"/>
          <w:szCs w:val="24"/>
        </w:rPr>
        <w:t xml:space="preserve">will </w:t>
      </w:r>
      <w:r w:rsidR="00F03483">
        <w:rPr>
          <w:rFonts w:ascii="Times New Roman" w:hAnsi="Times New Roman" w:cs="Times New Roman"/>
          <w:sz w:val="24"/>
          <w:szCs w:val="24"/>
        </w:rPr>
        <w:t xml:space="preserve">continue to apply in relation </w:t>
      </w:r>
      <w:r w:rsidR="00F03483" w:rsidRPr="00F03483">
        <w:rPr>
          <w:rFonts w:ascii="Times New Roman" w:hAnsi="Times New Roman" w:cs="Times New Roman"/>
          <w:sz w:val="24"/>
          <w:szCs w:val="24"/>
        </w:rPr>
        <w:t xml:space="preserve">to </w:t>
      </w:r>
      <w:r w:rsidR="00F03483">
        <w:rPr>
          <w:rFonts w:ascii="Times New Roman" w:hAnsi="Times New Roman" w:cs="Times New Roman"/>
          <w:sz w:val="24"/>
          <w:szCs w:val="24"/>
        </w:rPr>
        <w:t xml:space="preserve">such applications </w:t>
      </w:r>
      <w:r w:rsidR="00F03483" w:rsidRPr="00F03483">
        <w:rPr>
          <w:rFonts w:ascii="Times New Roman" w:hAnsi="Times New Roman" w:cs="Times New Roman"/>
          <w:sz w:val="24"/>
          <w:szCs w:val="24"/>
        </w:rPr>
        <w:t xml:space="preserve">as if </w:t>
      </w:r>
      <w:r w:rsidR="00F03483">
        <w:rPr>
          <w:rFonts w:ascii="Times New Roman" w:hAnsi="Times New Roman" w:cs="Times New Roman"/>
          <w:sz w:val="24"/>
          <w:szCs w:val="24"/>
        </w:rPr>
        <w:t>th</w:t>
      </w:r>
      <w:r w:rsidR="008C4266">
        <w:rPr>
          <w:rFonts w:ascii="Times New Roman" w:hAnsi="Times New Roman" w:cs="Times New Roman"/>
          <w:sz w:val="24"/>
          <w:szCs w:val="24"/>
        </w:rPr>
        <w:t>os</w:t>
      </w:r>
      <w:r w:rsidR="00F03483">
        <w:rPr>
          <w:rFonts w:ascii="Times New Roman" w:hAnsi="Times New Roman" w:cs="Times New Roman"/>
          <w:sz w:val="24"/>
          <w:szCs w:val="24"/>
        </w:rPr>
        <w:t>e</w:t>
      </w:r>
      <w:r w:rsidR="00D77EFF">
        <w:rPr>
          <w:rFonts w:ascii="Times New Roman" w:hAnsi="Times New Roman" w:cs="Times New Roman"/>
          <w:sz w:val="24"/>
          <w:szCs w:val="24"/>
        </w:rPr>
        <w:t xml:space="preserve"> regulations</w:t>
      </w:r>
      <w:r w:rsidR="00F03483">
        <w:rPr>
          <w:rFonts w:ascii="Times New Roman" w:hAnsi="Times New Roman" w:cs="Times New Roman"/>
          <w:sz w:val="24"/>
          <w:szCs w:val="24"/>
        </w:rPr>
        <w:t xml:space="preserve"> had not been</w:t>
      </w:r>
      <w:r w:rsidR="00F03483" w:rsidRPr="00F03483">
        <w:rPr>
          <w:rFonts w:ascii="Times New Roman" w:hAnsi="Times New Roman" w:cs="Times New Roman"/>
          <w:sz w:val="24"/>
          <w:szCs w:val="24"/>
        </w:rPr>
        <w:t xml:space="preserve"> repeal</w:t>
      </w:r>
      <w:r w:rsidR="00F03483">
        <w:rPr>
          <w:rFonts w:ascii="Times New Roman" w:hAnsi="Times New Roman" w:cs="Times New Roman"/>
          <w:sz w:val="24"/>
          <w:szCs w:val="24"/>
        </w:rPr>
        <w:t>ed.</w:t>
      </w:r>
    </w:p>
    <w:p w14:paraId="507BC505" w14:textId="77777777" w:rsidR="005C1528" w:rsidRDefault="005C1528">
      <w:pPr>
        <w:rPr>
          <w:rFonts w:ascii="Times New Roman" w:hAnsi="Times New Roman" w:cs="Times New Roman"/>
          <w:b/>
          <w:bCs/>
          <w:sz w:val="32"/>
          <w:szCs w:val="32"/>
        </w:rPr>
      </w:pPr>
      <w:r>
        <w:rPr>
          <w:rFonts w:ascii="Times New Roman" w:hAnsi="Times New Roman" w:cs="Times New Roman"/>
          <w:b/>
          <w:bCs/>
          <w:sz w:val="32"/>
          <w:szCs w:val="32"/>
        </w:rPr>
        <w:br w:type="page"/>
      </w:r>
    </w:p>
    <w:p w14:paraId="32EDC6CC" w14:textId="67EE0A98" w:rsidR="00DF01BF" w:rsidRPr="00850E89" w:rsidRDefault="00850E89" w:rsidP="0016414E">
      <w:pPr>
        <w:rPr>
          <w:rFonts w:ascii="Times New Roman" w:hAnsi="Times New Roman" w:cs="Times New Roman"/>
          <w:b/>
          <w:bCs/>
          <w:sz w:val="32"/>
          <w:szCs w:val="32"/>
        </w:rPr>
      </w:pPr>
      <w:bookmarkStart w:id="26" w:name="_Hlk145409252"/>
      <w:r w:rsidRPr="00850E89">
        <w:rPr>
          <w:rFonts w:ascii="Times New Roman" w:hAnsi="Times New Roman" w:cs="Times New Roman"/>
          <w:b/>
          <w:bCs/>
          <w:sz w:val="32"/>
          <w:szCs w:val="32"/>
        </w:rPr>
        <w:lastRenderedPageBreak/>
        <w:t xml:space="preserve">Schedule 1 – Information to be set out in applications </w:t>
      </w:r>
      <w:r w:rsidR="00EA5BE9">
        <w:rPr>
          <w:rFonts w:ascii="Times New Roman" w:hAnsi="Times New Roman" w:cs="Times New Roman"/>
          <w:b/>
          <w:bCs/>
          <w:sz w:val="32"/>
          <w:szCs w:val="32"/>
        </w:rPr>
        <w:t xml:space="preserve">for declarations of identified greenhouse gas storage formations </w:t>
      </w:r>
      <w:r w:rsidRPr="00850E89">
        <w:rPr>
          <w:rFonts w:ascii="Times New Roman" w:hAnsi="Times New Roman" w:cs="Times New Roman"/>
          <w:b/>
          <w:bCs/>
          <w:sz w:val="32"/>
          <w:szCs w:val="32"/>
        </w:rPr>
        <w:t xml:space="preserve">and requirements for estimates of spatial </w:t>
      </w:r>
      <w:proofErr w:type="gramStart"/>
      <w:r w:rsidRPr="00850E89">
        <w:rPr>
          <w:rFonts w:ascii="Times New Roman" w:hAnsi="Times New Roman" w:cs="Times New Roman"/>
          <w:b/>
          <w:bCs/>
          <w:sz w:val="32"/>
          <w:szCs w:val="32"/>
        </w:rPr>
        <w:t>extent</w:t>
      </w:r>
      <w:proofErr w:type="gramEnd"/>
    </w:p>
    <w:bookmarkEnd w:id="26"/>
    <w:p w14:paraId="44F42AB3" w14:textId="6B513629" w:rsidR="00850E89" w:rsidRPr="00850E89" w:rsidRDefault="00850E89" w:rsidP="0016414E">
      <w:pPr>
        <w:rPr>
          <w:rFonts w:ascii="Times New Roman" w:hAnsi="Times New Roman" w:cs="Times New Roman"/>
          <w:b/>
          <w:bCs/>
          <w:sz w:val="32"/>
          <w:szCs w:val="32"/>
        </w:rPr>
      </w:pPr>
      <w:r w:rsidRPr="00850E89">
        <w:rPr>
          <w:rFonts w:ascii="Times New Roman" w:hAnsi="Times New Roman" w:cs="Times New Roman"/>
          <w:b/>
          <w:bCs/>
          <w:sz w:val="32"/>
          <w:szCs w:val="32"/>
        </w:rPr>
        <w:t>Part 1 – Preliminary</w:t>
      </w:r>
    </w:p>
    <w:p w14:paraId="2DE37752" w14:textId="4506EA49" w:rsidR="00850E89"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850E89">
        <w:rPr>
          <w:rFonts w:ascii="Times New Roman" w:hAnsi="Times New Roman" w:cs="Times New Roman"/>
          <w:b/>
          <w:bCs/>
          <w:sz w:val="24"/>
          <w:szCs w:val="24"/>
        </w:rPr>
        <w:t>1 – Preliminary</w:t>
      </w:r>
    </w:p>
    <w:p w14:paraId="5B8B5015" w14:textId="37EC0AD7" w:rsidR="00D96770" w:rsidRDefault="00D96770" w:rsidP="0016414E">
      <w:pPr>
        <w:rPr>
          <w:rFonts w:ascii="Times New Roman" w:hAnsi="Times New Roman" w:cs="Times New Roman"/>
          <w:sz w:val="24"/>
          <w:szCs w:val="24"/>
        </w:rPr>
      </w:pPr>
      <w:r>
        <w:rPr>
          <w:rFonts w:ascii="Times New Roman" w:hAnsi="Times New Roman" w:cs="Times New Roman"/>
          <w:sz w:val="24"/>
          <w:szCs w:val="24"/>
        </w:rPr>
        <w:t>Subclause</w:t>
      </w:r>
      <w:r w:rsidR="00850E89">
        <w:rPr>
          <w:rFonts w:ascii="Times New Roman" w:hAnsi="Times New Roman" w:cs="Times New Roman"/>
          <w:sz w:val="24"/>
          <w:szCs w:val="24"/>
        </w:rPr>
        <w:t xml:space="preserve"> </w:t>
      </w:r>
      <w:r>
        <w:rPr>
          <w:rFonts w:ascii="Times New Roman" w:hAnsi="Times New Roman" w:cs="Times New Roman"/>
          <w:sz w:val="24"/>
          <w:szCs w:val="24"/>
        </w:rPr>
        <w:t xml:space="preserve">1(1) of Schedule 1 </w:t>
      </w:r>
      <w:r w:rsidR="00905DDC">
        <w:rPr>
          <w:rFonts w:ascii="Times New Roman" w:hAnsi="Times New Roman" w:cs="Times New Roman"/>
          <w:sz w:val="24"/>
          <w:szCs w:val="24"/>
        </w:rPr>
        <w:t xml:space="preserve">provides that </w:t>
      </w:r>
      <w:r w:rsidR="00905DDC" w:rsidRPr="00905DDC">
        <w:rPr>
          <w:rFonts w:ascii="Times New Roman" w:hAnsi="Times New Roman" w:cs="Times New Roman"/>
          <w:sz w:val="24"/>
          <w:szCs w:val="24"/>
        </w:rPr>
        <w:t>Parts 2 and 4 of Schedule</w:t>
      </w:r>
      <w:r w:rsidR="00905DDC">
        <w:rPr>
          <w:rFonts w:ascii="Times New Roman" w:hAnsi="Times New Roman" w:cs="Times New Roman"/>
          <w:sz w:val="24"/>
          <w:szCs w:val="24"/>
        </w:rPr>
        <w:t xml:space="preserve"> 1</w:t>
      </w:r>
      <w:r w:rsidR="00905DDC" w:rsidRPr="00905DDC">
        <w:rPr>
          <w:rFonts w:ascii="Times New Roman" w:hAnsi="Times New Roman" w:cs="Times New Roman"/>
          <w:sz w:val="24"/>
          <w:szCs w:val="24"/>
        </w:rPr>
        <w:t xml:space="preserve"> specify information that must be set out in an application for the declaration of a part of a geological formation as an identified </w:t>
      </w:r>
      <w:r w:rsidR="00905DDC">
        <w:rPr>
          <w:rFonts w:ascii="Times New Roman" w:hAnsi="Times New Roman" w:cs="Times New Roman"/>
          <w:sz w:val="24"/>
          <w:szCs w:val="24"/>
        </w:rPr>
        <w:t>GHG</w:t>
      </w:r>
      <w:r w:rsidR="00905DDC" w:rsidRPr="00905DDC">
        <w:rPr>
          <w:rFonts w:ascii="Times New Roman" w:hAnsi="Times New Roman" w:cs="Times New Roman"/>
          <w:sz w:val="24"/>
          <w:szCs w:val="24"/>
        </w:rPr>
        <w:t xml:space="preserve"> storage formation</w:t>
      </w:r>
      <w:r w:rsidR="00905DDC">
        <w:rPr>
          <w:rFonts w:ascii="Times New Roman" w:hAnsi="Times New Roman" w:cs="Times New Roman"/>
          <w:sz w:val="24"/>
          <w:szCs w:val="24"/>
        </w:rPr>
        <w:t>.</w:t>
      </w:r>
      <w:r>
        <w:rPr>
          <w:rFonts w:ascii="Times New Roman" w:hAnsi="Times New Roman" w:cs="Times New Roman"/>
          <w:sz w:val="24"/>
          <w:szCs w:val="24"/>
        </w:rPr>
        <w:t xml:space="preserve"> </w:t>
      </w:r>
    </w:p>
    <w:p w14:paraId="391C3F72" w14:textId="4D7894D3" w:rsidR="00850E89" w:rsidRDefault="00D96770" w:rsidP="0016414E">
      <w:pPr>
        <w:rPr>
          <w:rFonts w:ascii="Times New Roman" w:hAnsi="Times New Roman" w:cs="Times New Roman"/>
          <w:sz w:val="24"/>
          <w:szCs w:val="24"/>
        </w:rPr>
      </w:pPr>
      <w:r>
        <w:rPr>
          <w:rFonts w:ascii="Times New Roman" w:hAnsi="Times New Roman" w:cs="Times New Roman"/>
          <w:sz w:val="24"/>
          <w:szCs w:val="24"/>
        </w:rPr>
        <w:t xml:space="preserve">Subclause 1(2) of Schedule 1 provides that </w:t>
      </w:r>
      <w:r w:rsidRPr="00905DDC">
        <w:rPr>
          <w:rFonts w:ascii="Times New Roman" w:hAnsi="Times New Roman" w:cs="Times New Roman"/>
          <w:sz w:val="24"/>
          <w:szCs w:val="24"/>
        </w:rPr>
        <w:t xml:space="preserve">Part </w:t>
      </w:r>
      <w:r>
        <w:rPr>
          <w:rFonts w:ascii="Times New Roman" w:hAnsi="Times New Roman" w:cs="Times New Roman"/>
          <w:sz w:val="24"/>
          <w:szCs w:val="24"/>
        </w:rPr>
        <w:t>3</w:t>
      </w:r>
      <w:r w:rsidRPr="00905DDC">
        <w:rPr>
          <w:rFonts w:ascii="Times New Roman" w:hAnsi="Times New Roman" w:cs="Times New Roman"/>
          <w:sz w:val="24"/>
          <w:szCs w:val="24"/>
        </w:rPr>
        <w:t xml:space="preserve"> of Schedule</w:t>
      </w:r>
      <w:r>
        <w:rPr>
          <w:rFonts w:ascii="Times New Roman" w:hAnsi="Times New Roman" w:cs="Times New Roman"/>
          <w:sz w:val="24"/>
          <w:szCs w:val="24"/>
        </w:rPr>
        <w:t xml:space="preserve"> 1</w:t>
      </w:r>
      <w:r w:rsidRPr="00905DDC">
        <w:rPr>
          <w:rFonts w:ascii="Times New Roman" w:hAnsi="Times New Roman" w:cs="Times New Roman"/>
          <w:sz w:val="24"/>
          <w:szCs w:val="24"/>
        </w:rPr>
        <w:t xml:space="preserve"> specifies requirements that </w:t>
      </w:r>
      <w:r w:rsidR="002B2F37">
        <w:rPr>
          <w:rFonts w:ascii="Times New Roman" w:hAnsi="Times New Roman" w:cs="Times New Roman"/>
          <w:sz w:val="24"/>
          <w:szCs w:val="24"/>
        </w:rPr>
        <w:t>an</w:t>
      </w:r>
      <w:r w:rsidRPr="00905DDC">
        <w:rPr>
          <w:rFonts w:ascii="Times New Roman" w:hAnsi="Times New Roman" w:cs="Times New Roman"/>
          <w:sz w:val="24"/>
          <w:szCs w:val="24"/>
        </w:rPr>
        <w:t xml:space="preserve"> estimate of the spatial extent of </w:t>
      </w:r>
      <w:r w:rsidR="002B2F37">
        <w:rPr>
          <w:rFonts w:ascii="Times New Roman" w:hAnsi="Times New Roman" w:cs="Times New Roman"/>
          <w:sz w:val="24"/>
          <w:szCs w:val="24"/>
        </w:rPr>
        <w:t>an</w:t>
      </w:r>
      <w:r w:rsidRPr="00905DDC">
        <w:rPr>
          <w:rFonts w:ascii="Times New Roman" w:hAnsi="Times New Roman" w:cs="Times New Roman"/>
          <w:sz w:val="24"/>
          <w:szCs w:val="24"/>
        </w:rPr>
        <w:t xml:space="preserve"> eligible </w:t>
      </w:r>
      <w:r>
        <w:rPr>
          <w:rFonts w:ascii="Times New Roman" w:hAnsi="Times New Roman" w:cs="Times New Roman"/>
          <w:sz w:val="24"/>
          <w:szCs w:val="24"/>
        </w:rPr>
        <w:t xml:space="preserve">GHG </w:t>
      </w:r>
      <w:r w:rsidRPr="00905DDC">
        <w:rPr>
          <w:rFonts w:ascii="Times New Roman" w:hAnsi="Times New Roman" w:cs="Times New Roman"/>
          <w:sz w:val="24"/>
          <w:szCs w:val="24"/>
        </w:rPr>
        <w:t>storage formation must comply with</w:t>
      </w:r>
      <w:r>
        <w:rPr>
          <w:rFonts w:ascii="Times New Roman" w:hAnsi="Times New Roman" w:cs="Times New Roman"/>
          <w:sz w:val="24"/>
          <w:szCs w:val="24"/>
        </w:rPr>
        <w:t>.</w:t>
      </w:r>
    </w:p>
    <w:p w14:paraId="74115B19" w14:textId="7BA99C57" w:rsidR="002B2F37" w:rsidRDefault="002B2F37" w:rsidP="0016414E">
      <w:pPr>
        <w:rPr>
          <w:rFonts w:ascii="Times New Roman" w:hAnsi="Times New Roman" w:cs="Times New Roman"/>
          <w:sz w:val="24"/>
          <w:szCs w:val="24"/>
        </w:rPr>
      </w:pPr>
      <w:r>
        <w:rPr>
          <w:rFonts w:ascii="Times New Roman" w:hAnsi="Times New Roman" w:cs="Times New Roman"/>
          <w:sz w:val="24"/>
          <w:szCs w:val="24"/>
        </w:rPr>
        <w:t>Certain information in the application and the estimate of the spatial extent will assume that the part of a geological formation is an eligible GHG storage formation, noting that this is required in paragraph 312(3)(b) or 312A(3)(b) of the OPGGS Act.</w:t>
      </w:r>
    </w:p>
    <w:p w14:paraId="1FB24531" w14:textId="4D272D3A" w:rsidR="002B2F37" w:rsidRDefault="002B2F37" w:rsidP="0016414E">
      <w:pPr>
        <w:rPr>
          <w:rFonts w:ascii="Times New Roman" w:hAnsi="Times New Roman" w:cs="Times New Roman"/>
          <w:sz w:val="24"/>
          <w:szCs w:val="24"/>
        </w:rPr>
      </w:pPr>
      <w:r>
        <w:rPr>
          <w:rFonts w:ascii="Times New Roman" w:hAnsi="Times New Roman" w:cs="Times New Roman"/>
          <w:sz w:val="24"/>
          <w:szCs w:val="24"/>
        </w:rPr>
        <w:t xml:space="preserve">Part 3 of Schedule 1 </w:t>
      </w:r>
      <w:r w:rsidR="00BE25BE">
        <w:rPr>
          <w:rFonts w:ascii="Times New Roman" w:hAnsi="Times New Roman" w:cs="Times New Roman"/>
          <w:sz w:val="24"/>
          <w:szCs w:val="24"/>
        </w:rPr>
        <w:t>(</w:t>
      </w:r>
      <w:proofErr w:type="gramStart"/>
      <w:r w:rsidR="00BE25BE">
        <w:rPr>
          <w:rFonts w:ascii="Times New Roman" w:hAnsi="Times New Roman" w:cs="Times New Roman"/>
          <w:sz w:val="24"/>
          <w:szCs w:val="24"/>
        </w:rPr>
        <w:t>in particular subclause</w:t>
      </w:r>
      <w:proofErr w:type="gramEnd"/>
      <w:r w:rsidR="00BE25BE">
        <w:rPr>
          <w:rFonts w:ascii="Times New Roman" w:hAnsi="Times New Roman" w:cs="Times New Roman"/>
          <w:sz w:val="24"/>
          <w:szCs w:val="24"/>
        </w:rPr>
        <w:t xml:space="preserve"> 6(1)) </w:t>
      </w:r>
      <w:r>
        <w:rPr>
          <w:rFonts w:ascii="Times New Roman" w:hAnsi="Times New Roman" w:cs="Times New Roman"/>
          <w:sz w:val="24"/>
          <w:szCs w:val="24"/>
        </w:rPr>
        <w:t>is also relevant to subsection 5(2)</w:t>
      </w:r>
      <w:r w:rsidR="00BE25BE">
        <w:rPr>
          <w:rFonts w:ascii="Times New Roman" w:hAnsi="Times New Roman" w:cs="Times New Roman"/>
          <w:sz w:val="24"/>
          <w:szCs w:val="24"/>
        </w:rPr>
        <w:t xml:space="preserve"> – see discussion of that subsection above at section 5.</w:t>
      </w:r>
    </w:p>
    <w:p w14:paraId="1DF797A7" w14:textId="4E981A8B" w:rsidR="00850E89" w:rsidRPr="00850E89" w:rsidRDefault="00850E89" w:rsidP="0016414E">
      <w:pPr>
        <w:rPr>
          <w:rFonts w:ascii="Times New Roman" w:hAnsi="Times New Roman" w:cs="Times New Roman"/>
          <w:b/>
          <w:bCs/>
          <w:sz w:val="32"/>
          <w:szCs w:val="32"/>
        </w:rPr>
      </w:pPr>
      <w:r w:rsidRPr="00850E89">
        <w:rPr>
          <w:rFonts w:ascii="Times New Roman" w:hAnsi="Times New Roman" w:cs="Times New Roman"/>
          <w:b/>
          <w:bCs/>
          <w:sz w:val="32"/>
          <w:szCs w:val="32"/>
        </w:rPr>
        <w:t>Part 2 – Information about the part of the geological formation</w:t>
      </w:r>
    </w:p>
    <w:p w14:paraId="1DCCF5F7" w14:textId="5C2C5B3C" w:rsidR="00905DDC" w:rsidRPr="00793683" w:rsidRDefault="00793683" w:rsidP="0016414E">
      <w:pPr>
        <w:rPr>
          <w:rFonts w:ascii="Times New Roman" w:hAnsi="Times New Roman" w:cs="Times New Roman"/>
          <w:sz w:val="24"/>
          <w:szCs w:val="24"/>
        </w:rPr>
      </w:pPr>
      <w:r w:rsidRPr="00793683">
        <w:rPr>
          <w:rFonts w:ascii="Times New Roman" w:hAnsi="Times New Roman" w:cs="Times New Roman"/>
          <w:sz w:val="24"/>
          <w:szCs w:val="24"/>
        </w:rPr>
        <w:t>This Part specifie</w:t>
      </w:r>
      <w:r>
        <w:rPr>
          <w:rFonts w:ascii="Times New Roman" w:hAnsi="Times New Roman" w:cs="Times New Roman"/>
          <w:sz w:val="24"/>
          <w:szCs w:val="24"/>
        </w:rPr>
        <w:t>s</w:t>
      </w:r>
      <w:r w:rsidRPr="0079368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93683">
        <w:rPr>
          <w:rFonts w:ascii="Times New Roman" w:hAnsi="Times New Roman" w:cs="Times New Roman"/>
          <w:sz w:val="24"/>
          <w:szCs w:val="24"/>
        </w:rPr>
        <w:t xml:space="preserve">information that must be set out </w:t>
      </w:r>
      <w:r w:rsidR="002A6105" w:rsidRPr="00793683">
        <w:rPr>
          <w:rFonts w:ascii="Times New Roman" w:hAnsi="Times New Roman" w:cs="Times New Roman"/>
          <w:sz w:val="24"/>
          <w:szCs w:val="24"/>
        </w:rPr>
        <w:t xml:space="preserve">about </w:t>
      </w:r>
      <w:r w:rsidR="00526980">
        <w:rPr>
          <w:rFonts w:ascii="Times New Roman" w:hAnsi="Times New Roman" w:cs="Times New Roman"/>
          <w:sz w:val="24"/>
          <w:szCs w:val="24"/>
        </w:rPr>
        <w:t>a</w:t>
      </w:r>
      <w:r w:rsidR="002A6105" w:rsidRPr="00793683">
        <w:rPr>
          <w:rFonts w:ascii="Times New Roman" w:hAnsi="Times New Roman" w:cs="Times New Roman"/>
          <w:sz w:val="24"/>
          <w:szCs w:val="24"/>
        </w:rPr>
        <w:t xml:space="preserve"> part of </w:t>
      </w:r>
      <w:r w:rsidR="00526980">
        <w:rPr>
          <w:rFonts w:ascii="Times New Roman" w:hAnsi="Times New Roman" w:cs="Times New Roman"/>
          <w:sz w:val="24"/>
          <w:szCs w:val="24"/>
        </w:rPr>
        <w:t>a</w:t>
      </w:r>
      <w:r w:rsidR="002A6105" w:rsidRPr="00793683">
        <w:rPr>
          <w:rFonts w:ascii="Times New Roman" w:hAnsi="Times New Roman" w:cs="Times New Roman"/>
          <w:sz w:val="24"/>
          <w:szCs w:val="24"/>
        </w:rPr>
        <w:t xml:space="preserve"> geological formation </w:t>
      </w:r>
      <w:r w:rsidRPr="00793683">
        <w:rPr>
          <w:rFonts w:ascii="Times New Roman" w:hAnsi="Times New Roman" w:cs="Times New Roman"/>
          <w:sz w:val="24"/>
          <w:szCs w:val="24"/>
        </w:rPr>
        <w:t>in an application</w:t>
      </w:r>
      <w:r>
        <w:rPr>
          <w:rFonts w:ascii="Times New Roman" w:hAnsi="Times New Roman" w:cs="Times New Roman"/>
          <w:sz w:val="24"/>
          <w:szCs w:val="24"/>
        </w:rPr>
        <w:t xml:space="preserve"> </w:t>
      </w:r>
      <w:r w:rsidRPr="00905DDC">
        <w:rPr>
          <w:rFonts w:ascii="Times New Roman" w:hAnsi="Times New Roman" w:cs="Times New Roman"/>
          <w:sz w:val="24"/>
          <w:szCs w:val="24"/>
        </w:rPr>
        <w:t xml:space="preserve">for </w:t>
      </w:r>
      <w:r w:rsidR="00526980">
        <w:rPr>
          <w:rFonts w:ascii="Times New Roman" w:hAnsi="Times New Roman" w:cs="Times New Roman"/>
          <w:sz w:val="24"/>
          <w:szCs w:val="24"/>
        </w:rPr>
        <w:t>a</w:t>
      </w:r>
      <w:r w:rsidRPr="00905DDC">
        <w:rPr>
          <w:rFonts w:ascii="Times New Roman" w:hAnsi="Times New Roman" w:cs="Times New Roman"/>
          <w:sz w:val="24"/>
          <w:szCs w:val="24"/>
        </w:rPr>
        <w:t xml:space="preserve"> declaration </w:t>
      </w:r>
      <w:r w:rsidR="00526980">
        <w:rPr>
          <w:rFonts w:ascii="Times New Roman" w:hAnsi="Times New Roman" w:cs="Times New Roman"/>
          <w:sz w:val="24"/>
          <w:szCs w:val="24"/>
        </w:rPr>
        <w:t>of</w:t>
      </w:r>
      <w:r w:rsidRPr="00905DDC">
        <w:rPr>
          <w:rFonts w:ascii="Times New Roman" w:hAnsi="Times New Roman" w:cs="Times New Roman"/>
          <w:sz w:val="24"/>
          <w:szCs w:val="24"/>
        </w:rPr>
        <w:t xml:space="preserve"> </w:t>
      </w:r>
      <w:r w:rsidR="00526980">
        <w:rPr>
          <w:rFonts w:ascii="Times New Roman" w:hAnsi="Times New Roman" w:cs="Times New Roman"/>
          <w:sz w:val="24"/>
          <w:szCs w:val="24"/>
        </w:rPr>
        <w:t xml:space="preserve">the part of the formation as </w:t>
      </w:r>
      <w:r w:rsidRPr="00905DDC">
        <w:rPr>
          <w:rFonts w:ascii="Times New Roman" w:hAnsi="Times New Roman" w:cs="Times New Roman"/>
          <w:sz w:val="24"/>
          <w:szCs w:val="24"/>
        </w:rPr>
        <w:t xml:space="preserve">an identified </w:t>
      </w:r>
      <w:r>
        <w:rPr>
          <w:rFonts w:ascii="Times New Roman" w:hAnsi="Times New Roman" w:cs="Times New Roman"/>
          <w:sz w:val="24"/>
          <w:szCs w:val="24"/>
        </w:rPr>
        <w:t>GHG</w:t>
      </w:r>
      <w:r w:rsidRPr="00905DDC">
        <w:rPr>
          <w:rFonts w:ascii="Times New Roman" w:hAnsi="Times New Roman" w:cs="Times New Roman"/>
          <w:sz w:val="24"/>
          <w:szCs w:val="24"/>
        </w:rPr>
        <w:t xml:space="preserve"> storage formation</w:t>
      </w:r>
      <w:r w:rsidR="00526980">
        <w:rPr>
          <w:rFonts w:ascii="Times New Roman" w:hAnsi="Times New Roman" w:cs="Times New Roman"/>
          <w:sz w:val="24"/>
          <w:szCs w:val="24"/>
        </w:rPr>
        <w:t xml:space="preserve"> under section 312 or 312A of the OPGGS Act</w:t>
      </w:r>
      <w:r w:rsidRPr="00793683">
        <w:rPr>
          <w:rFonts w:ascii="Times New Roman" w:hAnsi="Times New Roman" w:cs="Times New Roman"/>
          <w:sz w:val="24"/>
          <w:szCs w:val="24"/>
        </w:rPr>
        <w:t xml:space="preserve">. </w:t>
      </w:r>
    </w:p>
    <w:p w14:paraId="3C3F20A3" w14:textId="60631AA4" w:rsidR="00850E89" w:rsidRDefault="00D26A58" w:rsidP="0016414E">
      <w:pPr>
        <w:rPr>
          <w:rFonts w:ascii="Times New Roman" w:hAnsi="Times New Roman" w:cs="Times New Roman"/>
          <w:sz w:val="24"/>
          <w:szCs w:val="24"/>
        </w:rPr>
      </w:pPr>
      <w:bookmarkStart w:id="27" w:name="_Hlk145409284"/>
      <w:r>
        <w:rPr>
          <w:rFonts w:ascii="Times New Roman" w:hAnsi="Times New Roman" w:cs="Times New Roman"/>
          <w:b/>
          <w:bCs/>
          <w:sz w:val="24"/>
          <w:szCs w:val="24"/>
        </w:rPr>
        <w:t xml:space="preserve">Clause </w:t>
      </w:r>
      <w:r w:rsidR="00850E89">
        <w:rPr>
          <w:rFonts w:ascii="Times New Roman" w:hAnsi="Times New Roman" w:cs="Times New Roman"/>
          <w:b/>
          <w:bCs/>
          <w:sz w:val="24"/>
          <w:szCs w:val="24"/>
        </w:rPr>
        <w:t>2 – Geological features of the part of the geological formation</w:t>
      </w:r>
    </w:p>
    <w:p w14:paraId="5FE8660F" w14:textId="2CD54F40" w:rsidR="00793683" w:rsidRPr="00852C44" w:rsidRDefault="009126BC" w:rsidP="005F546E">
      <w:pPr>
        <w:rPr>
          <w:rFonts w:ascii="Times New Roman" w:hAnsi="Times New Roman" w:cs="Times New Roman"/>
          <w:i/>
          <w:iCs/>
          <w:sz w:val="24"/>
          <w:szCs w:val="24"/>
        </w:rPr>
      </w:pPr>
      <w:r>
        <w:rPr>
          <w:rFonts w:ascii="Times New Roman" w:hAnsi="Times New Roman" w:cs="Times New Roman"/>
          <w:sz w:val="24"/>
          <w:szCs w:val="24"/>
        </w:rPr>
        <w:t>This clause requires an application for a declaration of an identified GHG storage formation to include a</w:t>
      </w:r>
      <w:r w:rsidR="00793683" w:rsidRPr="005F546E">
        <w:rPr>
          <w:rFonts w:ascii="Times New Roman" w:hAnsi="Times New Roman" w:cs="Times New Roman"/>
          <w:sz w:val="24"/>
          <w:szCs w:val="24"/>
        </w:rPr>
        <w:t xml:space="preserve"> description and detailed analysis of the geological features of the part of the geological formation</w:t>
      </w:r>
      <w:r>
        <w:rPr>
          <w:rFonts w:ascii="Times New Roman" w:hAnsi="Times New Roman" w:cs="Times New Roman"/>
          <w:sz w:val="24"/>
          <w:szCs w:val="24"/>
        </w:rPr>
        <w:t xml:space="preserve"> in relation to which the declaration is </w:t>
      </w:r>
      <w:r w:rsidRPr="009126BC">
        <w:rPr>
          <w:rFonts w:ascii="Times New Roman" w:hAnsi="Times New Roman" w:cs="Times New Roman"/>
          <w:sz w:val="24"/>
          <w:szCs w:val="24"/>
        </w:rPr>
        <w:t>sought.</w:t>
      </w:r>
      <w:r w:rsidR="00793683" w:rsidRPr="009126BC">
        <w:rPr>
          <w:rFonts w:ascii="Times New Roman" w:hAnsi="Times New Roman" w:cs="Times New Roman"/>
          <w:sz w:val="24"/>
          <w:szCs w:val="24"/>
        </w:rPr>
        <w:t xml:space="preserve"> </w:t>
      </w:r>
      <w:r>
        <w:rPr>
          <w:rFonts w:ascii="Times New Roman" w:hAnsi="Times New Roman" w:cs="Times New Roman"/>
          <w:sz w:val="24"/>
          <w:szCs w:val="24"/>
        </w:rPr>
        <w:t xml:space="preserve">This must </w:t>
      </w:r>
      <w:r w:rsidR="00793683" w:rsidRPr="009126BC">
        <w:rPr>
          <w:rFonts w:ascii="Times New Roman" w:hAnsi="Times New Roman" w:cs="Times New Roman"/>
          <w:sz w:val="24"/>
          <w:szCs w:val="24"/>
        </w:rPr>
        <w:t>includ</w:t>
      </w:r>
      <w:r>
        <w:rPr>
          <w:rFonts w:ascii="Times New Roman" w:hAnsi="Times New Roman" w:cs="Times New Roman"/>
          <w:sz w:val="24"/>
          <w:szCs w:val="24"/>
        </w:rPr>
        <w:t>e</w:t>
      </w:r>
      <w:r w:rsidR="00793683" w:rsidRPr="009126BC">
        <w:rPr>
          <w:rFonts w:ascii="Times New Roman" w:hAnsi="Times New Roman" w:cs="Times New Roman"/>
          <w:sz w:val="24"/>
          <w:szCs w:val="24"/>
        </w:rPr>
        <w:t xml:space="preserve"> the effective sealing feature, attribute or mechanism.</w:t>
      </w:r>
      <w:bookmarkEnd w:id="27"/>
      <w:r>
        <w:rPr>
          <w:rFonts w:ascii="Times New Roman" w:hAnsi="Times New Roman" w:cs="Times New Roman"/>
          <w:sz w:val="24"/>
          <w:szCs w:val="24"/>
        </w:rPr>
        <w:t xml:space="preserve"> The concept of a “seal” is a term of art in the context of the GHG Regulations that is well understood by the offshore GHG storage industry. The term “effective sealing feature, attribute or mechanism” has therefore not been defined for the purposes of the GHG Regulations.</w:t>
      </w:r>
    </w:p>
    <w:p w14:paraId="3F243BA0" w14:textId="77343597" w:rsidR="00850E89"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234D7B">
        <w:rPr>
          <w:rFonts w:ascii="Times New Roman" w:hAnsi="Times New Roman" w:cs="Times New Roman"/>
          <w:b/>
          <w:bCs/>
          <w:sz w:val="24"/>
          <w:szCs w:val="24"/>
        </w:rPr>
        <w:t>3</w:t>
      </w:r>
      <w:r w:rsidR="00850E89">
        <w:rPr>
          <w:rFonts w:ascii="Times New Roman" w:hAnsi="Times New Roman" w:cs="Times New Roman"/>
          <w:b/>
          <w:bCs/>
          <w:sz w:val="24"/>
          <w:szCs w:val="24"/>
        </w:rPr>
        <w:t xml:space="preserve"> –</w:t>
      </w:r>
      <w:r w:rsidR="00793683">
        <w:rPr>
          <w:rFonts w:ascii="Times New Roman" w:hAnsi="Times New Roman" w:cs="Times New Roman"/>
          <w:b/>
          <w:bCs/>
          <w:sz w:val="24"/>
          <w:szCs w:val="24"/>
        </w:rPr>
        <w:t xml:space="preserve"> Integrity of the part of the geological formation</w:t>
      </w:r>
      <w:r w:rsidR="00850E89">
        <w:rPr>
          <w:rFonts w:ascii="Times New Roman" w:hAnsi="Times New Roman" w:cs="Times New Roman"/>
          <w:b/>
          <w:bCs/>
          <w:sz w:val="24"/>
          <w:szCs w:val="24"/>
        </w:rPr>
        <w:t xml:space="preserve"> </w:t>
      </w:r>
    </w:p>
    <w:p w14:paraId="2B0E81AB" w14:textId="370481B1" w:rsidR="00FD709A" w:rsidRDefault="00793683" w:rsidP="005F546E">
      <w:pPr>
        <w:rPr>
          <w:rFonts w:ascii="Times New Roman" w:hAnsi="Times New Roman" w:cs="Times New Roman"/>
          <w:sz w:val="24"/>
          <w:szCs w:val="24"/>
        </w:rPr>
      </w:pPr>
      <w:r w:rsidRPr="005F546E">
        <w:rPr>
          <w:rFonts w:ascii="Times New Roman" w:hAnsi="Times New Roman" w:cs="Times New Roman"/>
          <w:sz w:val="24"/>
          <w:szCs w:val="24"/>
        </w:rPr>
        <w:t xml:space="preserve">This </w:t>
      </w:r>
      <w:r w:rsidR="00FD709A">
        <w:rPr>
          <w:rFonts w:ascii="Times New Roman" w:hAnsi="Times New Roman" w:cs="Times New Roman"/>
          <w:sz w:val="24"/>
          <w:szCs w:val="24"/>
        </w:rPr>
        <w:t>clause</w:t>
      </w:r>
      <w:r w:rsidRPr="005F546E">
        <w:rPr>
          <w:rFonts w:ascii="Times New Roman" w:hAnsi="Times New Roman" w:cs="Times New Roman"/>
          <w:sz w:val="24"/>
          <w:szCs w:val="24"/>
        </w:rPr>
        <w:t xml:space="preserve"> </w:t>
      </w:r>
      <w:r w:rsidR="00FD709A">
        <w:rPr>
          <w:rFonts w:ascii="Times New Roman" w:hAnsi="Times New Roman" w:cs="Times New Roman"/>
          <w:sz w:val="24"/>
          <w:szCs w:val="24"/>
        </w:rPr>
        <w:t xml:space="preserve">requires an application for a declaration of an identified GHG storage formation </w:t>
      </w:r>
      <w:r w:rsidR="00FC2053">
        <w:rPr>
          <w:rFonts w:ascii="Times New Roman" w:hAnsi="Times New Roman" w:cs="Times New Roman"/>
          <w:sz w:val="24"/>
          <w:szCs w:val="24"/>
        </w:rPr>
        <w:t>to</w:t>
      </w:r>
      <w:r w:rsidR="00FD709A">
        <w:rPr>
          <w:rFonts w:ascii="Times New Roman" w:hAnsi="Times New Roman" w:cs="Times New Roman"/>
          <w:sz w:val="24"/>
          <w:szCs w:val="24"/>
        </w:rPr>
        <w:t xml:space="preserve"> include information </w:t>
      </w:r>
      <w:r w:rsidR="00624E3A">
        <w:rPr>
          <w:rFonts w:ascii="Times New Roman" w:hAnsi="Times New Roman" w:cs="Times New Roman"/>
          <w:sz w:val="24"/>
          <w:szCs w:val="24"/>
        </w:rPr>
        <w:t xml:space="preserve">relating to the integrity of the formation in sufficient detail </w:t>
      </w:r>
      <w:r w:rsidR="00FD709A">
        <w:rPr>
          <w:rFonts w:ascii="Times New Roman" w:hAnsi="Times New Roman" w:cs="Times New Roman"/>
          <w:sz w:val="24"/>
          <w:szCs w:val="24"/>
        </w:rPr>
        <w:t>to demonstrate the applicant</w:t>
      </w:r>
      <w:r w:rsidR="00624E3A">
        <w:rPr>
          <w:rFonts w:ascii="Times New Roman" w:hAnsi="Times New Roman" w:cs="Times New Roman"/>
          <w:sz w:val="24"/>
          <w:szCs w:val="24"/>
        </w:rPr>
        <w:t xml:space="preserve"> </w:t>
      </w:r>
      <w:proofErr w:type="gramStart"/>
      <w:r w:rsidR="00624E3A">
        <w:rPr>
          <w:rFonts w:ascii="Times New Roman" w:hAnsi="Times New Roman" w:cs="Times New Roman"/>
          <w:sz w:val="24"/>
          <w:szCs w:val="24"/>
        </w:rPr>
        <w:t>has an</w:t>
      </w:r>
      <w:r w:rsidR="00FD709A">
        <w:rPr>
          <w:rFonts w:ascii="Times New Roman" w:hAnsi="Times New Roman" w:cs="Times New Roman"/>
          <w:sz w:val="24"/>
          <w:szCs w:val="24"/>
        </w:rPr>
        <w:t xml:space="preserve"> understanding of</w:t>
      </w:r>
      <w:proofErr w:type="gramEnd"/>
      <w:r w:rsidR="00FD709A">
        <w:rPr>
          <w:rFonts w:ascii="Times New Roman" w:hAnsi="Times New Roman" w:cs="Times New Roman"/>
          <w:sz w:val="24"/>
          <w:szCs w:val="24"/>
        </w:rPr>
        <w:t xml:space="preserve"> the geological environment</w:t>
      </w:r>
      <w:r w:rsidR="00624E3A">
        <w:rPr>
          <w:rFonts w:ascii="Times New Roman" w:hAnsi="Times New Roman" w:cs="Times New Roman"/>
          <w:sz w:val="24"/>
          <w:szCs w:val="24"/>
        </w:rPr>
        <w:t>.</w:t>
      </w:r>
    </w:p>
    <w:p w14:paraId="6D6917D7" w14:textId="6245F949" w:rsidR="004446E9" w:rsidRDefault="00FD709A" w:rsidP="00965A70">
      <w:pPr>
        <w:rPr>
          <w:rFonts w:ascii="Times New Roman" w:hAnsi="Times New Roman" w:cs="Times New Roman"/>
          <w:sz w:val="24"/>
          <w:szCs w:val="24"/>
        </w:rPr>
      </w:pPr>
      <w:r>
        <w:rPr>
          <w:rFonts w:ascii="Times New Roman" w:hAnsi="Times New Roman" w:cs="Times New Roman"/>
          <w:sz w:val="24"/>
          <w:szCs w:val="24"/>
        </w:rPr>
        <w:t xml:space="preserve">The information must be set out in sufficient detail to demonstrate that the applicant’s understanding is sufficient to allow the applicant to identify all geological risks relating to containment of the GHG substance to be stored, and to propose strategies for elimination or reduction and management of those risks. </w:t>
      </w:r>
      <w:r w:rsidR="004446E9" w:rsidRPr="004446E9">
        <w:rPr>
          <w:rFonts w:ascii="Times New Roman" w:hAnsi="Times New Roman" w:cs="Times New Roman"/>
          <w:sz w:val="24"/>
          <w:szCs w:val="24"/>
        </w:rPr>
        <w:t>This does not require an applicant to provide the actual strategies for eliminati</w:t>
      </w:r>
      <w:r w:rsidR="004446E9">
        <w:rPr>
          <w:rFonts w:ascii="Times New Roman" w:hAnsi="Times New Roman" w:cs="Times New Roman"/>
          <w:sz w:val="24"/>
          <w:szCs w:val="24"/>
        </w:rPr>
        <w:t>ng</w:t>
      </w:r>
      <w:r w:rsidR="004446E9" w:rsidRPr="004446E9">
        <w:rPr>
          <w:rFonts w:ascii="Times New Roman" w:hAnsi="Times New Roman" w:cs="Times New Roman"/>
          <w:sz w:val="24"/>
          <w:szCs w:val="24"/>
        </w:rPr>
        <w:t xml:space="preserve"> or reduc</w:t>
      </w:r>
      <w:r w:rsidR="004446E9">
        <w:rPr>
          <w:rFonts w:ascii="Times New Roman" w:hAnsi="Times New Roman" w:cs="Times New Roman"/>
          <w:sz w:val="24"/>
          <w:szCs w:val="24"/>
        </w:rPr>
        <w:t>ing</w:t>
      </w:r>
      <w:r w:rsidR="004446E9" w:rsidRPr="004446E9">
        <w:rPr>
          <w:rFonts w:ascii="Times New Roman" w:hAnsi="Times New Roman" w:cs="Times New Roman"/>
          <w:sz w:val="24"/>
          <w:szCs w:val="24"/>
        </w:rPr>
        <w:t xml:space="preserve"> and manag</w:t>
      </w:r>
      <w:r w:rsidR="004446E9">
        <w:rPr>
          <w:rFonts w:ascii="Times New Roman" w:hAnsi="Times New Roman" w:cs="Times New Roman"/>
          <w:sz w:val="24"/>
          <w:szCs w:val="24"/>
        </w:rPr>
        <w:t>ing</w:t>
      </w:r>
      <w:r w:rsidR="004446E9" w:rsidRPr="004446E9">
        <w:rPr>
          <w:rFonts w:ascii="Times New Roman" w:hAnsi="Times New Roman" w:cs="Times New Roman"/>
          <w:sz w:val="24"/>
          <w:szCs w:val="24"/>
        </w:rPr>
        <w:t xml:space="preserve"> risks. Rather, the applicant must show that they have sufficient understanding of the integrity of the part of the geological formation to be able to </w:t>
      </w:r>
      <w:r w:rsidR="004446E9">
        <w:rPr>
          <w:rFonts w:ascii="Times New Roman" w:hAnsi="Times New Roman" w:cs="Times New Roman"/>
          <w:sz w:val="24"/>
          <w:szCs w:val="24"/>
        </w:rPr>
        <w:t>identify risks and propose strategies.</w:t>
      </w:r>
      <w:r w:rsidR="00965A70">
        <w:rPr>
          <w:rFonts w:ascii="Times New Roman" w:hAnsi="Times New Roman" w:cs="Times New Roman"/>
          <w:sz w:val="24"/>
          <w:szCs w:val="24"/>
        </w:rPr>
        <w:t xml:space="preserve"> To support the information in </w:t>
      </w:r>
      <w:r w:rsidR="00965A70">
        <w:rPr>
          <w:rFonts w:ascii="Times New Roman" w:hAnsi="Times New Roman" w:cs="Times New Roman"/>
          <w:sz w:val="24"/>
          <w:szCs w:val="24"/>
        </w:rPr>
        <w:lastRenderedPageBreak/>
        <w:t xml:space="preserve">subclause (1), under subclause (2) the applicant must explain how they can identify risks and proposes strategies </w:t>
      </w:r>
      <w:proofErr w:type="gramStart"/>
      <w:r w:rsidR="00965A70">
        <w:rPr>
          <w:rFonts w:ascii="Times New Roman" w:hAnsi="Times New Roman" w:cs="Times New Roman"/>
          <w:sz w:val="24"/>
          <w:szCs w:val="24"/>
        </w:rPr>
        <w:t>on the basis of</w:t>
      </w:r>
      <w:proofErr w:type="gramEnd"/>
      <w:r w:rsidR="00965A70">
        <w:rPr>
          <w:rFonts w:ascii="Times New Roman" w:hAnsi="Times New Roman" w:cs="Times New Roman"/>
          <w:sz w:val="24"/>
          <w:szCs w:val="24"/>
        </w:rPr>
        <w:t xml:space="preserve"> that information.</w:t>
      </w:r>
    </w:p>
    <w:p w14:paraId="31795696" w14:textId="53129129" w:rsidR="00A67D7C" w:rsidRPr="004446E9" w:rsidRDefault="00A67D7C" w:rsidP="00965A70">
      <w:pPr>
        <w:rPr>
          <w:rFonts w:ascii="Times New Roman" w:hAnsi="Times New Roman" w:cs="Times New Roman"/>
          <w:sz w:val="24"/>
          <w:szCs w:val="24"/>
        </w:rPr>
      </w:pPr>
      <w:r>
        <w:rPr>
          <w:rFonts w:ascii="Times New Roman" w:hAnsi="Times New Roman" w:cs="Times New Roman"/>
          <w:sz w:val="24"/>
          <w:szCs w:val="24"/>
        </w:rPr>
        <w:t xml:space="preserve">Subclause 3(3) sets out information that must be included at a minimum for the purposes of subclause 3(1). Subclause (3) includes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technical terms of art in the context of the GHG Regulations that are well understood by the offshore GHG storage industry. These terms have therefore not been defined for the purposes of the GHG Regulations</w:t>
      </w:r>
      <w:r w:rsidR="00AB2FAB">
        <w:rPr>
          <w:rFonts w:ascii="Times New Roman" w:hAnsi="Times New Roman" w:cs="Times New Roman"/>
          <w:sz w:val="24"/>
          <w:szCs w:val="24"/>
        </w:rPr>
        <w:t>.</w:t>
      </w:r>
    </w:p>
    <w:p w14:paraId="1C4DD642" w14:textId="0AF4E015" w:rsidR="00850E89" w:rsidRDefault="00D26A58" w:rsidP="0016414E">
      <w:pPr>
        <w:rPr>
          <w:rFonts w:ascii="Times New Roman" w:hAnsi="Times New Roman" w:cs="Times New Roman"/>
          <w:sz w:val="24"/>
          <w:szCs w:val="24"/>
        </w:rPr>
      </w:pPr>
      <w:bookmarkStart w:id="28" w:name="_Hlk145409360"/>
      <w:r>
        <w:rPr>
          <w:rFonts w:ascii="Times New Roman" w:hAnsi="Times New Roman" w:cs="Times New Roman"/>
          <w:b/>
          <w:bCs/>
          <w:sz w:val="24"/>
          <w:szCs w:val="24"/>
        </w:rPr>
        <w:t xml:space="preserve">Clause </w:t>
      </w:r>
      <w:r w:rsidR="00234D7B">
        <w:rPr>
          <w:rFonts w:ascii="Times New Roman" w:hAnsi="Times New Roman" w:cs="Times New Roman"/>
          <w:b/>
          <w:bCs/>
          <w:sz w:val="24"/>
          <w:szCs w:val="24"/>
        </w:rPr>
        <w:t>4</w:t>
      </w:r>
      <w:r w:rsidR="007B4238">
        <w:rPr>
          <w:rFonts w:ascii="Times New Roman" w:hAnsi="Times New Roman" w:cs="Times New Roman"/>
          <w:b/>
          <w:bCs/>
          <w:sz w:val="24"/>
          <w:szCs w:val="24"/>
        </w:rPr>
        <w:t xml:space="preserve"> – Model of reservoirs and seal rocks</w:t>
      </w:r>
    </w:p>
    <w:p w14:paraId="6565BF10" w14:textId="697296C4" w:rsidR="00905DDC" w:rsidRPr="00EA5BE9" w:rsidRDefault="0032690A" w:rsidP="00EA5BE9">
      <w:pPr>
        <w:rPr>
          <w:rFonts w:ascii="Times New Roman" w:hAnsi="Times New Roman" w:cs="Times New Roman"/>
          <w:i/>
          <w:iCs/>
          <w:sz w:val="24"/>
          <w:szCs w:val="24"/>
        </w:rPr>
      </w:pPr>
      <w:r>
        <w:rPr>
          <w:rFonts w:ascii="Times New Roman" w:hAnsi="Times New Roman" w:cs="Times New Roman"/>
          <w:sz w:val="24"/>
          <w:szCs w:val="24"/>
        </w:rPr>
        <w:t>This clause requires an application for a declaration of an identified GHG storage to include a</w:t>
      </w:r>
      <w:r w:rsidR="00905DDC" w:rsidRPr="00EA5BE9">
        <w:rPr>
          <w:rFonts w:ascii="Times New Roman" w:hAnsi="Times New Roman" w:cs="Times New Roman"/>
          <w:sz w:val="24"/>
          <w:szCs w:val="24"/>
        </w:rPr>
        <w:t xml:space="preserve"> depositional model of the reservoirs and </w:t>
      </w:r>
      <w:r w:rsidR="00905DDC" w:rsidRPr="0032690A">
        <w:rPr>
          <w:rFonts w:ascii="Times New Roman" w:hAnsi="Times New Roman" w:cs="Times New Roman"/>
          <w:sz w:val="24"/>
          <w:szCs w:val="24"/>
        </w:rPr>
        <w:t>the seal rocks</w:t>
      </w:r>
      <w:r w:rsidR="00905DDC" w:rsidRPr="00EA5BE9">
        <w:rPr>
          <w:rFonts w:ascii="Times New Roman" w:hAnsi="Times New Roman" w:cs="Times New Roman"/>
          <w:sz w:val="24"/>
          <w:szCs w:val="24"/>
        </w:rPr>
        <w:t xml:space="preserve"> of the part of the geological formation</w:t>
      </w:r>
      <w:r>
        <w:rPr>
          <w:rFonts w:ascii="Times New Roman" w:hAnsi="Times New Roman" w:cs="Times New Roman"/>
          <w:sz w:val="24"/>
          <w:szCs w:val="24"/>
        </w:rPr>
        <w:t xml:space="preserve"> in relation to which the declaration is sought</w:t>
      </w:r>
      <w:r w:rsidR="00905DDC" w:rsidRPr="00EA5BE9">
        <w:rPr>
          <w:rFonts w:ascii="Times New Roman" w:hAnsi="Times New Roman" w:cs="Times New Roman"/>
          <w:sz w:val="24"/>
          <w:szCs w:val="24"/>
        </w:rPr>
        <w:t>.</w:t>
      </w:r>
      <w:r w:rsidR="006D307B">
        <w:rPr>
          <w:rFonts w:ascii="Times New Roman" w:hAnsi="Times New Roman" w:cs="Times New Roman"/>
          <w:sz w:val="24"/>
          <w:szCs w:val="24"/>
        </w:rPr>
        <w:t xml:space="preserve"> The terms “depositional model” and “seal rocks” are </w:t>
      </w:r>
      <w:r w:rsidR="003767E2">
        <w:rPr>
          <w:rFonts w:ascii="Times New Roman" w:hAnsi="Times New Roman" w:cs="Times New Roman"/>
          <w:sz w:val="24"/>
          <w:szCs w:val="24"/>
        </w:rPr>
        <w:t>terms of art in the context of the GHG Regulations that are well understood by the offshore GHG storage industry. These terms have therefore not been defined for the purposes of the GHG Regulations.</w:t>
      </w:r>
    </w:p>
    <w:bookmarkEnd w:id="28"/>
    <w:p w14:paraId="62D934A7" w14:textId="3D69E574" w:rsidR="007B4238" w:rsidRDefault="00EA5BE9" w:rsidP="0016414E">
      <w:pPr>
        <w:rPr>
          <w:rFonts w:ascii="Times New Roman" w:hAnsi="Times New Roman" w:cs="Times New Roman"/>
          <w:sz w:val="24"/>
          <w:szCs w:val="24"/>
        </w:rPr>
      </w:pPr>
      <w:r>
        <w:rPr>
          <w:rFonts w:ascii="Times New Roman" w:hAnsi="Times New Roman" w:cs="Times New Roman"/>
          <w:b/>
          <w:bCs/>
          <w:sz w:val="24"/>
          <w:szCs w:val="24"/>
        </w:rPr>
        <w:t>Clause</w:t>
      </w:r>
      <w:r w:rsidR="007B4238">
        <w:rPr>
          <w:rFonts w:ascii="Times New Roman" w:hAnsi="Times New Roman" w:cs="Times New Roman"/>
          <w:b/>
          <w:bCs/>
          <w:sz w:val="24"/>
          <w:szCs w:val="24"/>
        </w:rPr>
        <w:t xml:space="preserve"> </w:t>
      </w:r>
      <w:r w:rsidR="00234D7B">
        <w:rPr>
          <w:rFonts w:ascii="Times New Roman" w:hAnsi="Times New Roman" w:cs="Times New Roman"/>
          <w:b/>
          <w:bCs/>
          <w:sz w:val="24"/>
          <w:szCs w:val="24"/>
        </w:rPr>
        <w:t>5</w:t>
      </w:r>
      <w:r w:rsidR="007B4238">
        <w:rPr>
          <w:rFonts w:ascii="Times New Roman" w:hAnsi="Times New Roman" w:cs="Times New Roman"/>
          <w:b/>
          <w:bCs/>
          <w:sz w:val="24"/>
          <w:szCs w:val="24"/>
        </w:rPr>
        <w:t xml:space="preserve"> – Other relevant geological information</w:t>
      </w:r>
    </w:p>
    <w:p w14:paraId="44316D50" w14:textId="75F886A8" w:rsidR="00793683" w:rsidRPr="00793683" w:rsidRDefault="005C5197" w:rsidP="005C5197">
      <w:pPr>
        <w:rPr>
          <w:rFonts w:ascii="Times New Roman" w:hAnsi="Times New Roman" w:cs="Times New Roman"/>
          <w:sz w:val="24"/>
          <w:szCs w:val="24"/>
        </w:rPr>
      </w:pPr>
      <w:r>
        <w:rPr>
          <w:rFonts w:ascii="Times New Roman" w:hAnsi="Times New Roman" w:cs="Times New Roman"/>
          <w:sz w:val="24"/>
          <w:szCs w:val="24"/>
        </w:rPr>
        <w:t>This clause requires an application for a declaration of an identified GHG storage formation to include a</w:t>
      </w:r>
      <w:r w:rsidR="00793683" w:rsidRPr="00793683">
        <w:rPr>
          <w:rFonts w:ascii="Times New Roman" w:hAnsi="Times New Roman" w:cs="Times New Roman"/>
          <w:sz w:val="24"/>
          <w:szCs w:val="24"/>
        </w:rPr>
        <w:t>ny other geological information that may be relevant to the long</w:t>
      </w:r>
      <w:r>
        <w:rPr>
          <w:rFonts w:ascii="Times New Roman" w:hAnsi="Times New Roman" w:cs="Times New Roman"/>
          <w:sz w:val="24"/>
          <w:szCs w:val="24"/>
        </w:rPr>
        <w:t>-</w:t>
      </w:r>
      <w:r w:rsidR="00793683" w:rsidRPr="00793683">
        <w:rPr>
          <w:rFonts w:ascii="Times New Roman" w:hAnsi="Times New Roman" w:cs="Times New Roman"/>
          <w:sz w:val="24"/>
          <w:szCs w:val="24"/>
        </w:rPr>
        <w:t xml:space="preserve">term safe and secure storage of the </w:t>
      </w:r>
      <w:r w:rsidR="00793683">
        <w:rPr>
          <w:rFonts w:ascii="Times New Roman" w:hAnsi="Times New Roman" w:cs="Times New Roman"/>
          <w:sz w:val="24"/>
          <w:szCs w:val="24"/>
        </w:rPr>
        <w:t>GHG</w:t>
      </w:r>
      <w:r w:rsidR="00793683" w:rsidRPr="00793683">
        <w:rPr>
          <w:rFonts w:ascii="Times New Roman" w:hAnsi="Times New Roman" w:cs="Times New Roman"/>
          <w:sz w:val="24"/>
          <w:szCs w:val="24"/>
        </w:rPr>
        <w:t xml:space="preserve"> substance</w:t>
      </w:r>
      <w:r>
        <w:rPr>
          <w:rFonts w:ascii="Times New Roman" w:hAnsi="Times New Roman" w:cs="Times New Roman"/>
          <w:sz w:val="24"/>
          <w:szCs w:val="24"/>
        </w:rPr>
        <w:t xml:space="preserve"> to be stored.</w:t>
      </w:r>
    </w:p>
    <w:p w14:paraId="0B903621" w14:textId="56FBFC34" w:rsidR="00A26059" w:rsidRDefault="005C5197" w:rsidP="00793683">
      <w:pPr>
        <w:rPr>
          <w:rFonts w:ascii="Times New Roman" w:hAnsi="Times New Roman" w:cs="Times New Roman"/>
          <w:sz w:val="24"/>
          <w:szCs w:val="24"/>
        </w:rPr>
      </w:pPr>
      <w:r>
        <w:rPr>
          <w:rFonts w:ascii="Times New Roman" w:hAnsi="Times New Roman" w:cs="Times New Roman"/>
          <w:sz w:val="24"/>
          <w:szCs w:val="24"/>
        </w:rPr>
        <w:t xml:space="preserve">The </w:t>
      </w:r>
      <w:r w:rsidR="00793683" w:rsidRPr="00793683">
        <w:rPr>
          <w:rFonts w:ascii="Times New Roman" w:hAnsi="Times New Roman" w:cs="Times New Roman"/>
          <w:sz w:val="24"/>
          <w:szCs w:val="24"/>
        </w:rPr>
        <w:t xml:space="preserve">information </w:t>
      </w:r>
      <w:r>
        <w:rPr>
          <w:rFonts w:ascii="Times New Roman" w:hAnsi="Times New Roman" w:cs="Times New Roman"/>
          <w:sz w:val="24"/>
          <w:szCs w:val="24"/>
        </w:rPr>
        <w:t xml:space="preserve">must include information </w:t>
      </w:r>
      <w:r w:rsidR="00793683" w:rsidRPr="00793683">
        <w:rPr>
          <w:rFonts w:ascii="Times New Roman" w:hAnsi="Times New Roman" w:cs="Times New Roman"/>
          <w:sz w:val="24"/>
          <w:szCs w:val="24"/>
        </w:rPr>
        <w:t xml:space="preserve">that would be relevant to the </w:t>
      </w:r>
      <w:r w:rsidR="003947B2">
        <w:rPr>
          <w:rFonts w:ascii="Times New Roman" w:hAnsi="Times New Roman" w:cs="Times New Roman"/>
          <w:sz w:val="24"/>
          <w:szCs w:val="24"/>
        </w:rPr>
        <w:t xml:space="preserve">responsible Commonwealth </w:t>
      </w:r>
      <w:r w:rsidR="00793683" w:rsidRPr="00793683">
        <w:rPr>
          <w:rFonts w:ascii="Times New Roman" w:hAnsi="Times New Roman" w:cs="Times New Roman"/>
          <w:sz w:val="24"/>
          <w:szCs w:val="24"/>
        </w:rPr>
        <w:t>Minister declaring a closure assurance period in relation to the part of the geological formation</w:t>
      </w:r>
      <w:r>
        <w:rPr>
          <w:rFonts w:ascii="Times New Roman" w:hAnsi="Times New Roman" w:cs="Times New Roman"/>
          <w:sz w:val="24"/>
          <w:szCs w:val="24"/>
        </w:rPr>
        <w:t xml:space="preserve"> in relation to which the declaration is sought</w:t>
      </w:r>
      <w:r w:rsidR="00793683" w:rsidRPr="00793683">
        <w:rPr>
          <w:rFonts w:ascii="Times New Roman" w:hAnsi="Times New Roman" w:cs="Times New Roman"/>
          <w:sz w:val="24"/>
          <w:szCs w:val="24"/>
        </w:rPr>
        <w:t>.</w:t>
      </w:r>
      <w:r w:rsidR="004F0315">
        <w:rPr>
          <w:rFonts w:ascii="Times New Roman" w:hAnsi="Times New Roman" w:cs="Times New Roman"/>
          <w:sz w:val="24"/>
          <w:szCs w:val="24"/>
        </w:rPr>
        <w:t xml:space="preserve"> A closure assurance period </w:t>
      </w:r>
      <w:r w:rsidR="00CF2DDE">
        <w:rPr>
          <w:rFonts w:ascii="Times New Roman" w:hAnsi="Times New Roman" w:cs="Times New Roman"/>
          <w:sz w:val="24"/>
          <w:szCs w:val="24"/>
        </w:rPr>
        <w:t>may be</w:t>
      </w:r>
      <w:r w:rsidR="004F0315">
        <w:rPr>
          <w:rFonts w:ascii="Times New Roman" w:hAnsi="Times New Roman" w:cs="Times New Roman"/>
          <w:sz w:val="24"/>
          <w:szCs w:val="24"/>
        </w:rPr>
        <w:t xml:space="preserve"> declared by the Minister under s</w:t>
      </w:r>
      <w:r w:rsidR="00011177">
        <w:rPr>
          <w:rFonts w:ascii="Times New Roman" w:hAnsi="Times New Roman" w:cs="Times New Roman"/>
          <w:sz w:val="24"/>
          <w:szCs w:val="24"/>
        </w:rPr>
        <w:t>ection</w:t>
      </w:r>
      <w:r w:rsidR="004F0315">
        <w:rPr>
          <w:rFonts w:ascii="Times New Roman" w:hAnsi="Times New Roman" w:cs="Times New Roman"/>
          <w:sz w:val="24"/>
          <w:szCs w:val="24"/>
        </w:rPr>
        <w:t xml:space="preserve"> 399 of the OPGGS Act at least 15 years after the issue of the site closing certificate</w:t>
      </w:r>
      <w:r>
        <w:rPr>
          <w:rFonts w:ascii="Times New Roman" w:hAnsi="Times New Roman" w:cs="Times New Roman"/>
          <w:sz w:val="24"/>
          <w:szCs w:val="24"/>
        </w:rPr>
        <w:t xml:space="preserve"> in relation to an identified GHG storage formation</w:t>
      </w:r>
      <w:r w:rsidR="00CF2DDE">
        <w:rPr>
          <w:rFonts w:ascii="Times New Roman" w:hAnsi="Times New Roman" w:cs="Times New Roman"/>
          <w:sz w:val="24"/>
          <w:szCs w:val="24"/>
        </w:rPr>
        <w:t>, where the Minister is satisfied the injected GH</w:t>
      </w:r>
      <w:r w:rsidR="001476ED">
        <w:rPr>
          <w:rFonts w:ascii="Times New Roman" w:hAnsi="Times New Roman" w:cs="Times New Roman"/>
          <w:sz w:val="24"/>
          <w:szCs w:val="24"/>
        </w:rPr>
        <w:t>G</w:t>
      </w:r>
      <w:r w:rsidR="00CF2DDE">
        <w:rPr>
          <w:rFonts w:ascii="Times New Roman" w:hAnsi="Times New Roman" w:cs="Times New Roman"/>
          <w:sz w:val="24"/>
          <w:szCs w:val="24"/>
        </w:rPr>
        <w:t xml:space="preserve"> substance is behaving as predicted and there is no significant risk of significant adverse impacts to the environment or human health or safety, amongst other matters.</w:t>
      </w:r>
      <w:r>
        <w:rPr>
          <w:rFonts w:ascii="Times New Roman" w:hAnsi="Times New Roman" w:cs="Times New Roman"/>
          <w:sz w:val="24"/>
          <w:szCs w:val="24"/>
        </w:rPr>
        <w:t xml:space="preserve"> Once a closure assurance period has been declared, the Commonwealth takes on liability for any damages</w:t>
      </w:r>
      <w:r w:rsidR="00CF2DDE">
        <w:rPr>
          <w:rFonts w:ascii="Times New Roman" w:hAnsi="Times New Roman" w:cs="Times New Roman"/>
          <w:sz w:val="24"/>
          <w:szCs w:val="24"/>
        </w:rPr>
        <w:t xml:space="preserve"> </w:t>
      </w:r>
      <w:r>
        <w:rPr>
          <w:rFonts w:ascii="Times New Roman" w:hAnsi="Times New Roman" w:cs="Times New Roman"/>
          <w:sz w:val="24"/>
          <w:szCs w:val="24"/>
        </w:rPr>
        <w:t>attributable to an act done or omitted to be done in the carrying out of operations authorised by a GHG injection licence in relation to the identified GHG storage formation, where the liability is incurred or accrued after the end of the closure assurance period (see section</w:t>
      </w:r>
      <w:r w:rsidR="00624E3A">
        <w:rPr>
          <w:rFonts w:ascii="Times New Roman" w:hAnsi="Times New Roman" w:cs="Times New Roman"/>
          <w:sz w:val="24"/>
          <w:szCs w:val="24"/>
        </w:rPr>
        <w:t>s</w:t>
      </w:r>
      <w:r>
        <w:rPr>
          <w:rFonts w:ascii="Times New Roman" w:hAnsi="Times New Roman" w:cs="Times New Roman"/>
          <w:sz w:val="24"/>
          <w:szCs w:val="24"/>
        </w:rPr>
        <w:t xml:space="preserve"> 400 and 401 of the OPGGS Act).</w:t>
      </w:r>
    </w:p>
    <w:p w14:paraId="5F4986CF" w14:textId="28EBCD7A" w:rsidR="007B4238" w:rsidRPr="007B4238" w:rsidRDefault="007B4238" w:rsidP="0016414E">
      <w:pPr>
        <w:rPr>
          <w:rFonts w:ascii="Times New Roman" w:hAnsi="Times New Roman" w:cs="Times New Roman"/>
          <w:b/>
          <w:bCs/>
          <w:sz w:val="32"/>
          <w:szCs w:val="32"/>
        </w:rPr>
      </w:pPr>
      <w:bookmarkStart w:id="29" w:name="_Hlk145409444"/>
      <w:r w:rsidRPr="007B4238">
        <w:rPr>
          <w:rFonts w:ascii="Times New Roman" w:hAnsi="Times New Roman" w:cs="Times New Roman"/>
          <w:b/>
          <w:bCs/>
          <w:sz w:val="32"/>
          <w:szCs w:val="32"/>
        </w:rPr>
        <w:t>Part 3 – Requirements for estimates of spatial extent</w:t>
      </w:r>
    </w:p>
    <w:p w14:paraId="79368D4B" w14:textId="5ECA726D" w:rsidR="007B4238"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EA5BE9">
        <w:rPr>
          <w:rFonts w:ascii="Times New Roman" w:hAnsi="Times New Roman" w:cs="Times New Roman"/>
          <w:b/>
          <w:bCs/>
          <w:sz w:val="24"/>
          <w:szCs w:val="24"/>
        </w:rPr>
        <w:t>6</w:t>
      </w:r>
      <w:r w:rsidR="007B4238">
        <w:rPr>
          <w:rFonts w:ascii="Times New Roman" w:hAnsi="Times New Roman" w:cs="Times New Roman"/>
          <w:b/>
          <w:bCs/>
          <w:sz w:val="24"/>
          <w:szCs w:val="24"/>
        </w:rPr>
        <w:t xml:space="preserve"> – Predicted expected migration </w:t>
      </w:r>
      <w:proofErr w:type="gramStart"/>
      <w:r w:rsidR="007B4238">
        <w:rPr>
          <w:rFonts w:ascii="Times New Roman" w:hAnsi="Times New Roman" w:cs="Times New Roman"/>
          <w:b/>
          <w:bCs/>
          <w:sz w:val="24"/>
          <w:szCs w:val="24"/>
        </w:rPr>
        <w:t>pathways</w:t>
      </w:r>
      <w:proofErr w:type="gramEnd"/>
    </w:p>
    <w:bookmarkEnd w:id="29"/>
    <w:p w14:paraId="61112195" w14:textId="61D12C64" w:rsidR="004C4FD4" w:rsidRPr="004C4FD4" w:rsidRDefault="004C4FD4" w:rsidP="004C4FD4">
      <w:pPr>
        <w:rPr>
          <w:rFonts w:ascii="Times New Roman" w:hAnsi="Times New Roman" w:cs="Times New Roman"/>
          <w:sz w:val="24"/>
          <w:szCs w:val="24"/>
        </w:rPr>
      </w:pPr>
      <w:r w:rsidRPr="004C4FD4">
        <w:rPr>
          <w:rFonts w:ascii="Times New Roman" w:hAnsi="Times New Roman" w:cs="Times New Roman"/>
          <w:sz w:val="24"/>
          <w:szCs w:val="24"/>
        </w:rPr>
        <w:t>An application for a declaration of an eligible GHG storage formation as an identified GHG storage formation under section 312 or 312A of the OPGG</w:t>
      </w:r>
      <w:r w:rsidR="00603221">
        <w:rPr>
          <w:rFonts w:ascii="Times New Roman" w:hAnsi="Times New Roman" w:cs="Times New Roman"/>
          <w:sz w:val="24"/>
          <w:szCs w:val="24"/>
        </w:rPr>
        <w:t>S</w:t>
      </w:r>
      <w:r w:rsidRPr="004C4FD4">
        <w:rPr>
          <w:rFonts w:ascii="Times New Roman" w:hAnsi="Times New Roman" w:cs="Times New Roman"/>
          <w:sz w:val="24"/>
          <w:szCs w:val="24"/>
        </w:rPr>
        <w:t xml:space="preserve"> Act is required to include an estimate of the spatial extent of the eligible formation. Clause 6 require</w:t>
      </w:r>
      <w:r>
        <w:rPr>
          <w:rFonts w:ascii="Times New Roman" w:hAnsi="Times New Roman" w:cs="Times New Roman"/>
          <w:sz w:val="24"/>
          <w:szCs w:val="24"/>
        </w:rPr>
        <w:t>s</w:t>
      </w:r>
      <w:r w:rsidRPr="004C4FD4">
        <w:rPr>
          <w:rFonts w:ascii="Times New Roman" w:hAnsi="Times New Roman" w:cs="Times New Roman"/>
          <w:sz w:val="24"/>
          <w:szCs w:val="24"/>
        </w:rPr>
        <w:t xml:space="preserve"> the estimate of the spatial extent to include a description of each predicted expected migration pathway of the </w:t>
      </w:r>
      <w:proofErr w:type="gramStart"/>
      <w:r w:rsidRPr="004C4FD4">
        <w:rPr>
          <w:rFonts w:ascii="Times New Roman" w:hAnsi="Times New Roman" w:cs="Times New Roman"/>
          <w:sz w:val="24"/>
          <w:szCs w:val="24"/>
        </w:rPr>
        <w:t>particular amount</w:t>
      </w:r>
      <w:proofErr w:type="gramEnd"/>
      <w:r w:rsidRPr="004C4FD4">
        <w:rPr>
          <w:rFonts w:ascii="Times New Roman" w:hAnsi="Times New Roman" w:cs="Times New Roman"/>
          <w:sz w:val="24"/>
          <w:szCs w:val="24"/>
        </w:rPr>
        <w:t xml:space="preserve"> of the particular GHG substance to be injected into the part of the geological formation</w:t>
      </w:r>
      <w:r w:rsidR="00E60EAE">
        <w:rPr>
          <w:rFonts w:ascii="Times New Roman" w:hAnsi="Times New Roman" w:cs="Times New Roman"/>
          <w:sz w:val="24"/>
          <w:szCs w:val="24"/>
        </w:rPr>
        <w:t xml:space="preserve"> as mentioned in whichever of paragraph 21(1) or (b) of the OPGGS Act is applicable</w:t>
      </w:r>
      <w:r w:rsidRPr="004C4FD4">
        <w:rPr>
          <w:rFonts w:ascii="Times New Roman" w:hAnsi="Times New Roman" w:cs="Times New Roman"/>
          <w:sz w:val="24"/>
          <w:szCs w:val="24"/>
        </w:rPr>
        <w:t xml:space="preserve">, </w:t>
      </w:r>
      <w:bookmarkStart w:id="30" w:name="_Hlk145409423"/>
      <w:r w:rsidRPr="004C4FD4">
        <w:rPr>
          <w:rFonts w:ascii="Times New Roman" w:hAnsi="Times New Roman" w:cs="Times New Roman"/>
          <w:sz w:val="24"/>
          <w:szCs w:val="24"/>
        </w:rPr>
        <w:t>for which the applicant has estimated the probability of occurrence to be more than 10%.</w:t>
      </w:r>
      <w:bookmarkEnd w:id="30"/>
      <w:r w:rsidRPr="004C4FD4">
        <w:rPr>
          <w:rFonts w:ascii="Times New Roman" w:hAnsi="Times New Roman" w:cs="Times New Roman"/>
          <w:sz w:val="24"/>
          <w:szCs w:val="24"/>
        </w:rPr>
        <w:t xml:space="preserve"> </w:t>
      </w:r>
    </w:p>
    <w:p w14:paraId="4B7F4302" w14:textId="68827C23" w:rsidR="00367955" w:rsidRDefault="00AB5227" w:rsidP="00793683">
      <w:pPr>
        <w:rPr>
          <w:rFonts w:ascii="Times New Roman" w:hAnsi="Times New Roman" w:cs="Times New Roman"/>
          <w:sz w:val="24"/>
          <w:szCs w:val="24"/>
        </w:rPr>
      </w:pPr>
      <w:r>
        <w:rPr>
          <w:rFonts w:ascii="Times New Roman" w:hAnsi="Times New Roman" w:cs="Times New Roman"/>
          <w:sz w:val="24"/>
          <w:szCs w:val="24"/>
        </w:rPr>
        <w:t xml:space="preserve">Subclause 6(1) refers to whichever of paragraph 21(1)(a) or (b) of the </w:t>
      </w:r>
      <w:r w:rsidR="00603221">
        <w:rPr>
          <w:rFonts w:ascii="Times New Roman" w:hAnsi="Times New Roman" w:cs="Times New Roman"/>
          <w:sz w:val="24"/>
          <w:szCs w:val="24"/>
        </w:rPr>
        <w:t xml:space="preserve">OPGGS </w:t>
      </w:r>
      <w:r>
        <w:rPr>
          <w:rFonts w:ascii="Times New Roman" w:hAnsi="Times New Roman" w:cs="Times New Roman"/>
          <w:sz w:val="24"/>
          <w:szCs w:val="24"/>
        </w:rPr>
        <w:t>Act is appli</w:t>
      </w:r>
      <w:r w:rsidR="00DB5AC9">
        <w:rPr>
          <w:rFonts w:ascii="Times New Roman" w:hAnsi="Times New Roman" w:cs="Times New Roman"/>
          <w:sz w:val="24"/>
          <w:szCs w:val="24"/>
        </w:rPr>
        <w:t>c</w:t>
      </w:r>
      <w:r>
        <w:rPr>
          <w:rFonts w:ascii="Times New Roman" w:hAnsi="Times New Roman" w:cs="Times New Roman"/>
          <w:sz w:val="24"/>
          <w:szCs w:val="24"/>
        </w:rPr>
        <w:t xml:space="preserve">able. This means that, if the eligible GHG storage formation is suitable for permanent </w:t>
      </w:r>
      <w:r>
        <w:rPr>
          <w:rFonts w:ascii="Times New Roman" w:hAnsi="Times New Roman" w:cs="Times New Roman"/>
          <w:sz w:val="24"/>
          <w:szCs w:val="24"/>
        </w:rPr>
        <w:lastRenderedPageBreak/>
        <w:t xml:space="preserve">storage of a particular amount of a particular GHG substance with engineering enhancements, the predictions must consider the application of those enhancements. Otherwise, the predictions must consider the expected migration pathways without engineering enhancements. </w:t>
      </w:r>
      <w:r w:rsidR="00192100">
        <w:rPr>
          <w:rFonts w:ascii="Times New Roman" w:hAnsi="Times New Roman" w:cs="Times New Roman"/>
          <w:sz w:val="24"/>
          <w:szCs w:val="24"/>
        </w:rPr>
        <w:t xml:space="preserve"> </w:t>
      </w:r>
    </w:p>
    <w:p w14:paraId="05FD08F2" w14:textId="3E624AE3" w:rsidR="00367955" w:rsidRDefault="00AB5227" w:rsidP="00367955">
      <w:pPr>
        <w:rPr>
          <w:rFonts w:ascii="Times New Roman" w:hAnsi="Times New Roman" w:cs="Times New Roman"/>
          <w:sz w:val="24"/>
          <w:szCs w:val="24"/>
        </w:rPr>
      </w:pPr>
      <w:r>
        <w:rPr>
          <w:rFonts w:ascii="Times New Roman" w:hAnsi="Times New Roman" w:cs="Times New Roman"/>
          <w:sz w:val="24"/>
          <w:szCs w:val="24"/>
        </w:rPr>
        <w:t xml:space="preserve">Subclause 6(1) requires the predictions to cover the period mentioned in subsection 21(3) of the OPGGS Act. </w:t>
      </w:r>
      <w:r w:rsidR="00367955">
        <w:rPr>
          <w:rFonts w:ascii="Times New Roman" w:hAnsi="Times New Roman" w:cs="Times New Roman"/>
          <w:sz w:val="24"/>
          <w:szCs w:val="24"/>
        </w:rPr>
        <w:t>Th</w:t>
      </w:r>
      <w:r>
        <w:rPr>
          <w:rFonts w:ascii="Times New Roman" w:hAnsi="Times New Roman" w:cs="Times New Roman"/>
          <w:sz w:val="24"/>
          <w:szCs w:val="24"/>
        </w:rPr>
        <w:t>at</w:t>
      </w:r>
      <w:r w:rsidR="00367955">
        <w:rPr>
          <w:rFonts w:ascii="Times New Roman" w:hAnsi="Times New Roman" w:cs="Times New Roman"/>
          <w:sz w:val="24"/>
          <w:szCs w:val="24"/>
        </w:rPr>
        <w:t xml:space="preserve"> period is the period beginning at the start of </w:t>
      </w:r>
      <w:r>
        <w:rPr>
          <w:rFonts w:ascii="Times New Roman" w:hAnsi="Times New Roman" w:cs="Times New Roman"/>
          <w:sz w:val="24"/>
          <w:szCs w:val="24"/>
        </w:rPr>
        <w:t>injection operations</w:t>
      </w:r>
      <w:r w:rsidR="00367955">
        <w:rPr>
          <w:rFonts w:ascii="Times New Roman" w:hAnsi="Times New Roman" w:cs="Times New Roman"/>
          <w:sz w:val="24"/>
          <w:szCs w:val="24"/>
        </w:rPr>
        <w:t xml:space="preserve"> and ending at the ‘notional site closing certificate time’. The </w:t>
      </w:r>
      <w:r w:rsidR="00367955" w:rsidRPr="00AB5227">
        <w:rPr>
          <w:rFonts w:ascii="Times New Roman" w:hAnsi="Times New Roman" w:cs="Times New Roman"/>
          <w:b/>
          <w:bCs/>
          <w:i/>
          <w:iCs/>
          <w:sz w:val="24"/>
          <w:szCs w:val="24"/>
        </w:rPr>
        <w:t>notional site closing certificate time</w:t>
      </w:r>
      <w:r w:rsidR="00367955">
        <w:rPr>
          <w:rFonts w:ascii="Times New Roman" w:hAnsi="Times New Roman" w:cs="Times New Roman"/>
          <w:sz w:val="24"/>
          <w:szCs w:val="24"/>
        </w:rPr>
        <w:t xml:space="preserve"> is </w:t>
      </w:r>
      <w:r>
        <w:rPr>
          <w:rFonts w:ascii="Times New Roman" w:hAnsi="Times New Roman" w:cs="Times New Roman"/>
          <w:sz w:val="24"/>
          <w:szCs w:val="24"/>
        </w:rPr>
        <w:t>work</w:t>
      </w:r>
      <w:r w:rsidR="00367955">
        <w:rPr>
          <w:rFonts w:ascii="Times New Roman" w:hAnsi="Times New Roman" w:cs="Times New Roman"/>
          <w:sz w:val="24"/>
          <w:szCs w:val="24"/>
        </w:rPr>
        <w:t xml:space="preserve">ed </w:t>
      </w:r>
      <w:r>
        <w:rPr>
          <w:rFonts w:ascii="Times New Roman" w:hAnsi="Times New Roman" w:cs="Times New Roman"/>
          <w:sz w:val="24"/>
          <w:szCs w:val="24"/>
        </w:rPr>
        <w:t xml:space="preserve">out </w:t>
      </w:r>
      <w:r w:rsidR="00367955">
        <w:rPr>
          <w:rFonts w:ascii="Times New Roman" w:hAnsi="Times New Roman" w:cs="Times New Roman"/>
          <w:sz w:val="24"/>
          <w:szCs w:val="24"/>
        </w:rPr>
        <w:t xml:space="preserve">under subsection 21(6) of the OPGGS Act as the estimated earliest time, after injection operations cease in relation to the identified GHG formation, when the </w:t>
      </w:r>
      <w:r w:rsidR="003947B2">
        <w:rPr>
          <w:rFonts w:ascii="Times New Roman" w:hAnsi="Times New Roman" w:cs="Times New Roman"/>
          <w:sz w:val="24"/>
          <w:szCs w:val="24"/>
        </w:rPr>
        <w:t xml:space="preserve">responsible Commonwealth </w:t>
      </w:r>
      <w:r w:rsidR="00367955">
        <w:rPr>
          <w:rFonts w:ascii="Times New Roman" w:hAnsi="Times New Roman" w:cs="Times New Roman"/>
          <w:sz w:val="24"/>
          <w:szCs w:val="24"/>
        </w:rPr>
        <w:t xml:space="preserve">Minister would be </w:t>
      </w:r>
      <w:proofErr w:type="gramStart"/>
      <w:r w:rsidR="00367955">
        <w:rPr>
          <w:rFonts w:ascii="Times New Roman" w:hAnsi="Times New Roman" w:cs="Times New Roman"/>
          <w:sz w:val="24"/>
          <w:szCs w:val="24"/>
        </w:rPr>
        <w:t>in a position</w:t>
      </w:r>
      <w:proofErr w:type="gramEnd"/>
      <w:r w:rsidR="00367955">
        <w:rPr>
          <w:rFonts w:ascii="Times New Roman" w:hAnsi="Times New Roman" w:cs="Times New Roman"/>
          <w:sz w:val="24"/>
          <w:szCs w:val="24"/>
        </w:rPr>
        <w:t xml:space="preserve"> to issue a site closing certificate under Division 7 of Part 3.4 of the OPGGS Act. </w:t>
      </w:r>
    </w:p>
    <w:p w14:paraId="3780C831" w14:textId="49DA01AE" w:rsidR="00793683" w:rsidRDefault="00192100" w:rsidP="00793683">
      <w:pPr>
        <w:rPr>
          <w:rFonts w:ascii="Times New Roman" w:hAnsi="Times New Roman" w:cs="Times New Roman"/>
          <w:sz w:val="24"/>
          <w:szCs w:val="24"/>
        </w:rPr>
      </w:pPr>
      <w:r>
        <w:rPr>
          <w:rFonts w:ascii="Times New Roman" w:hAnsi="Times New Roman" w:cs="Times New Roman"/>
          <w:sz w:val="24"/>
          <w:szCs w:val="24"/>
        </w:rPr>
        <w:t xml:space="preserve">It is common practice in the oil and gas industry to have a probabilistic view of likely outcomes, where decisions are often based around likelihoods of 10%, 50% and 90% certainty, depending on the type of decision. At the time that an application for </w:t>
      </w:r>
      <w:r w:rsidR="006825EF">
        <w:rPr>
          <w:rFonts w:ascii="Times New Roman" w:hAnsi="Times New Roman" w:cs="Times New Roman"/>
          <w:sz w:val="24"/>
          <w:szCs w:val="24"/>
        </w:rPr>
        <w:t xml:space="preserve">a declaration of </w:t>
      </w:r>
      <w:r>
        <w:rPr>
          <w:rFonts w:ascii="Times New Roman" w:hAnsi="Times New Roman" w:cs="Times New Roman"/>
          <w:sz w:val="24"/>
          <w:szCs w:val="24"/>
        </w:rPr>
        <w:t>an identified GHG storage formation is submitted, understanding of the expected behaviour of a GHG substance in the formation is likely to be lower, compared to at a later time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during operations). It is therefore considered appropriate for predictions of expected migration pathways of a GHG substance to be set at a lower level of probability of occurrence of 10% for the purposes of estimating spatial extent for an application for an identified GHG storage formation.</w:t>
      </w:r>
    </w:p>
    <w:p w14:paraId="296D9FA9" w14:textId="14AC3E50" w:rsidR="00793683" w:rsidRDefault="00793683" w:rsidP="00793683">
      <w:pPr>
        <w:rPr>
          <w:rFonts w:ascii="Times New Roman" w:hAnsi="Times New Roman" w:cs="Times New Roman"/>
          <w:sz w:val="24"/>
          <w:szCs w:val="24"/>
        </w:rPr>
      </w:pPr>
      <w:r w:rsidRPr="00793683">
        <w:rPr>
          <w:rFonts w:ascii="Times New Roman" w:hAnsi="Times New Roman" w:cs="Times New Roman"/>
          <w:sz w:val="24"/>
          <w:szCs w:val="24"/>
        </w:rPr>
        <w:t xml:space="preserve">The description </w:t>
      </w:r>
      <w:r w:rsidR="00046F39">
        <w:rPr>
          <w:rFonts w:ascii="Times New Roman" w:hAnsi="Times New Roman" w:cs="Times New Roman"/>
          <w:sz w:val="24"/>
          <w:szCs w:val="24"/>
        </w:rPr>
        <w:t xml:space="preserve">of each expected migration pathway of the GHG substance </w:t>
      </w:r>
      <w:r w:rsidRPr="00793683">
        <w:rPr>
          <w:rFonts w:ascii="Times New Roman" w:hAnsi="Times New Roman" w:cs="Times New Roman"/>
          <w:sz w:val="24"/>
          <w:szCs w:val="24"/>
        </w:rPr>
        <w:t>must be set out and explained in sufficient detail to demonstrate that the prediction is soundly based</w:t>
      </w:r>
      <w:r w:rsidR="00E60EAE">
        <w:rPr>
          <w:rFonts w:ascii="Times New Roman" w:hAnsi="Times New Roman" w:cs="Times New Roman"/>
          <w:sz w:val="24"/>
          <w:szCs w:val="24"/>
        </w:rPr>
        <w:t xml:space="preserve"> (subclause 6(2))</w:t>
      </w:r>
      <w:r w:rsidRPr="00793683">
        <w:rPr>
          <w:rFonts w:ascii="Times New Roman" w:hAnsi="Times New Roman" w:cs="Times New Roman"/>
          <w:sz w:val="24"/>
          <w:szCs w:val="24"/>
        </w:rPr>
        <w:t>.</w:t>
      </w:r>
      <w:r w:rsidR="008C7B5F">
        <w:rPr>
          <w:rFonts w:ascii="Times New Roman" w:hAnsi="Times New Roman" w:cs="Times New Roman"/>
          <w:sz w:val="24"/>
          <w:szCs w:val="24"/>
        </w:rPr>
        <w:t xml:space="preserve"> </w:t>
      </w:r>
    </w:p>
    <w:p w14:paraId="7C827E8D" w14:textId="4CC639FC" w:rsidR="007B4238"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234D7B">
        <w:rPr>
          <w:rFonts w:ascii="Times New Roman" w:hAnsi="Times New Roman" w:cs="Times New Roman"/>
          <w:b/>
          <w:bCs/>
          <w:sz w:val="24"/>
          <w:szCs w:val="24"/>
        </w:rPr>
        <w:t>7</w:t>
      </w:r>
      <w:r w:rsidR="007507B9">
        <w:rPr>
          <w:rFonts w:ascii="Times New Roman" w:hAnsi="Times New Roman" w:cs="Times New Roman"/>
          <w:b/>
          <w:bCs/>
          <w:sz w:val="24"/>
          <w:szCs w:val="24"/>
        </w:rPr>
        <w:t xml:space="preserve"> – Modelling</w:t>
      </w:r>
    </w:p>
    <w:p w14:paraId="48D19B0C" w14:textId="4C6FA1D4" w:rsidR="00793683" w:rsidRDefault="00745236" w:rsidP="00793683">
      <w:pPr>
        <w:rPr>
          <w:rFonts w:ascii="Times New Roman" w:hAnsi="Times New Roman" w:cs="Times New Roman"/>
          <w:sz w:val="24"/>
          <w:szCs w:val="24"/>
        </w:rPr>
      </w:pPr>
      <w:r>
        <w:rPr>
          <w:rFonts w:ascii="Times New Roman" w:hAnsi="Times New Roman" w:cs="Times New Roman"/>
          <w:sz w:val="24"/>
          <w:szCs w:val="24"/>
        </w:rPr>
        <w:t>This clause requires an applicant for a declaration of an identified GHG storage formation to include in the application d</w:t>
      </w:r>
      <w:r w:rsidR="00793683" w:rsidRPr="00793683">
        <w:rPr>
          <w:rFonts w:ascii="Times New Roman" w:hAnsi="Times New Roman" w:cs="Times New Roman"/>
          <w:sz w:val="24"/>
          <w:szCs w:val="24"/>
        </w:rPr>
        <w:t>etails of any modelling undertaken to make the prediction</w:t>
      </w:r>
      <w:r w:rsidR="008E2AA9">
        <w:rPr>
          <w:rFonts w:ascii="Times New Roman" w:hAnsi="Times New Roman" w:cs="Times New Roman"/>
          <w:sz w:val="24"/>
          <w:szCs w:val="24"/>
        </w:rPr>
        <w:t xml:space="preserve"> of each expected migration pathway</w:t>
      </w:r>
      <w:r>
        <w:rPr>
          <w:rFonts w:ascii="Times New Roman" w:hAnsi="Times New Roman" w:cs="Times New Roman"/>
          <w:sz w:val="24"/>
          <w:szCs w:val="24"/>
        </w:rPr>
        <w:t xml:space="preserve"> required under clause 6 of Schedule 1 – see discussion at that clause. This must</w:t>
      </w:r>
      <w:r w:rsidR="00793683" w:rsidRPr="00793683">
        <w:rPr>
          <w:rFonts w:ascii="Times New Roman" w:hAnsi="Times New Roman" w:cs="Times New Roman"/>
          <w:sz w:val="24"/>
          <w:szCs w:val="24"/>
        </w:rPr>
        <w:t xml:space="preserve"> includ</w:t>
      </w:r>
      <w:r>
        <w:rPr>
          <w:rFonts w:ascii="Times New Roman" w:hAnsi="Times New Roman" w:cs="Times New Roman"/>
          <w:sz w:val="24"/>
          <w:szCs w:val="24"/>
        </w:rPr>
        <w:t>e</w:t>
      </w:r>
      <w:r w:rsidR="00793683" w:rsidRPr="00793683">
        <w:rPr>
          <w:rFonts w:ascii="Times New Roman" w:hAnsi="Times New Roman" w:cs="Times New Roman"/>
          <w:sz w:val="24"/>
          <w:szCs w:val="24"/>
        </w:rPr>
        <w:t xml:space="preserve"> details of</w:t>
      </w:r>
      <w:r w:rsidR="00793683">
        <w:rPr>
          <w:rFonts w:ascii="Times New Roman" w:hAnsi="Times New Roman" w:cs="Times New Roman"/>
          <w:sz w:val="24"/>
          <w:szCs w:val="24"/>
        </w:rPr>
        <w:t xml:space="preserve"> </w:t>
      </w:r>
      <w:r w:rsidR="00793683" w:rsidRPr="00793683">
        <w:rPr>
          <w:rFonts w:ascii="Times New Roman" w:hAnsi="Times New Roman" w:cs="Times New Roman"/>
          <w:sz w:val="24"/>
          <w:szCs w:val="24"/>
        </w:rPr>
        <w:t>the methodology used</w:t>
      </w:r>
      <w:r w:rsidR="00793683">
        <w:rPr>
          <w:rFonts w:ascii="Times New Roman" w:hAnsi="Times New Roman" w:cs="Times New Roman"/>
          <w:sz w:val="24"/>
          <w:szCs w:val="24"/>
        </w:rPr>
        <w:t xml:space="preserve">, </w:t>
      </w:r>
      <w:r w:rsidR="00793683" w:rsidRPr="00793683">
        <w:rPr>
          <w:rFonts w:ascii="Times New Roman" w:hAnsi="Times New Roman" w:cs="Times New Roman"/>
          <w:sz w:val="24"/>
          <w:szCs w:val="24"/>
        </w:rPr>
        <w:t>the types of models used</w:t>
      </w:r>
      <w:r w:rsidR="00793683">
        <w:rPr>
          <w:rFonts w:ascii="Times New Roman" w:hAnsi="Times New Roman" w:cs="Times New Roman"/>
          <w:sz w:val="24"/>
          <w:szCs w:val="24"/>
        </w:rPr>
        <w:t xml:space="preserve">, and </w:t>
      </w:r>
      <w:r w:rsidR="00793683" w:rsidRPr="00793683">
        <w:rPr>
          <w:rFonts w:ascii="Times New Roman" w:hAnsi="Times New Roman" w:cs="Times New Roman"/>
          <w:sz w:val="24"/>
          <w:szCs w:val="24"/>
        </w:rPr>
        <w:t>any assumptions made.</w:t>
      </w:r>
      <w:r>
        <w:rPr>
          <w:rFonts w:ascii="Times New Roman" w:hAnsi="Times New Roman" w:cs="Times New Roman"/>
          <w:sz w:val="24"/>
          <w:szCs w:val="24"/>
        </w:rPr>
        <w:t xml:space="preserve"> The information is intended to assist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to understand the basis of the prediction, in order to </w:t>
      </w:r>
      <w:proofErr w:type="gramStart"/>
      <w:r>
        <w:rPr>
          <w:rFonts w:ascii="Times New Roman" w:hAnsi="Times New Roman" w:cs="Times New Roman"/>
          <w:sz w:val="24"/>
          <w:szCs w:val="24"/>
        </w:rPr>
        <w:t>make an assessment of</w:t>
      </w:r>
      <w:proofErr w:type="gramEnd"/>
      <w:r>
        <w:rPr>
          <w:rFonts w:ascii="Times New Roman" w:hAnsi="Times New Roman" w:cs="Times New Roman"/>
          <w:sz w:val="24"/>
          <w:szCs w:val="24"/>
        </w:rPr>
        <w:t xml:space="preserve"> whether the prediction </w:t>
      </w:r>
      <w:r w:rsidR="008E2AA9">
        <w:rPr>
          <w:rFonts w:ascii="Times New Roman" w:hAnsi="Times New Roman" w:cs="Times New Roman"/>
          <w:sz w:val="24"/>
          <w:szCs w:val="24"/>
        </w:rPr>
        <w:t>is</w:t>
      </w:r>
      <w:r>
        <w:rPr>
          <w:rFonts w:ascii="Times New Roman" w:hAnsi="Times New Roman" w:cs="Times New Roman"/>
          <w:sz w:val="24"/>
          <w:szCs w:val="24"/>
        </w:rPr>
        <w:t xml:space="preserve"> soundly based.</w:t>
      </w:r>
    </w:p>
    <w:p w14:paraId="43859F4C" w14:textId="5C216A3C" w:rsidR="007507B9"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234D7B">
        <w:rPr>
          <w:rFonts w:ascii="Times New Roman" w:hAnsi="Times New Roman" w:cs="Times New Roman"/>
          <w:b/>
          <w:bCs/>
          <w:sz w:val="24"/>
          <w:szCs w:val="24"/>
        </w:rPr>
        <w:t>8</w:t>
      </w:r>
      <w:r w:rsidR="007507B9">
        <w:rPr>
          <w:rFonts w:ascii="Times New Roman" w:hAnsi="Times New Roman" w:cs="Times New Roman"/>
          <w:b/>
          <w:bCs/>
          <w:sz w:val="24"/>
          <w:szCs w:val="24"/>
        </w:rPr>
        <w:t xml:space="preserve"> – Probability distributions</w:t>
      </w:r>
    </w:p>
    <w:p w14:paraId="63623E6A" w14:textId="6FAD4EA6" w:rsidR="00793683" w:rsidRDefault="008E2AA9" w:rsidP="0016414E">
      <w:pPr>
        <w:rPr>
          <w:rFonts w:ascii="Times New Roman" w:hAnsi="Times New Roman" w:cs="Times New Roman"/>
          <w:sz w:val="24"/>
          <w:szCs w:val="24"/>
        </w:rPr>
      </w:pPr>
      <w:r>
        <w:rPr>
          <w:rFonts w:ascii="Times New Roman" w:hAnsi="Times New Roman" w:cs="Times New Roman"/>
          <w:sz w:val="24"/>
          <w:szCs w:val="24"/>
        </w:rPr>
        <w:t>This clause requires an applicant for a declaration of an identified GHG storage formation to include in the application the probability distributions associated with</w:t>
      </w:r>
      <w:r w:rsidRPr="00793683">
        <w:rPr>
          <w:rFonts w:ascii="Times New Roman" w:hAnsi="Times New Roman" w:cs="Times New Roman"/>
          <w:sz w:val="24"/>
          <w:szCs w:val="24"/>
        </w:rPr>
        <w:t xml:space="preserve"> the prediction</w:t>
      </w:r>
      <w:r>
        <w:rPr>
          <w:rFonts w:ascii="Times New Roman" w:hAnsi="Times New Roman" w:cs="Times New Roman"/>
          <w:sz w:val="24"/>
          <w:szCs w:val="24"/>
        </w:rPr>
        <w:t xml:space="preserve"> of each expected migration pathway required under clause 6 of Schedule 1 – see discussion at that clause. A probability distribution is a mathematical function that describes the probability of different possible values of a variable. Probability distributions are often depicted using graphs or probability tables. </w:t>
      </w:r>
    </w:p>
    <w:p w14:paraId="1D44103D" w14:textId="0B0ADFF6" w:rsidR="007507B9" w:rsidRDefault="00D26A58" w:rsidP="00C936A2">
      <w:pPr>
        <w:keepNext/>
        <w:rPr>
          <w:rFonts w:ascii="Times New Roman" w:hAnsi="Times New Roman" w:cs="Times New Roman"/>
          <w:sz w:val="24"/>
          <w:szCs w:val="24"/>
        </w:rPr>
      </w:pPr>
      <w:r>
        <w:rPr>
          <w:rFonts w:ascii="Times New Roman" w:hAnsi="Times New Roman" w:cs="Times New Roman"/>
          <w:b/>
          <w:bCs/>
          <w:sz w:val="24"/>
          <w:szCs w:val="24"/>
        </w:rPr>
        <w:t xml:space="preserve">Clause </w:t>
      </w:r>
      <w:r w:rsidR="00234D7B">
        <w:rPr>
          <w:rFonts w:ascii="Times New Roman" w:hAnsi="Times New Roman" w:cs="Times New Roman"/>
          <w:b/>
          <w:bCs/>
          <w:sz w:val="24"/>
          <w:szCs w:val="24"/>
        </w:rPr>
        <w:t>9</w:t>
      </w:r>
      <w:r w:rsidR="007507B9">
        <w:rPr>
          <w:rFonts w:ascii="Times New Roman" w:hAnsi="Times New Roman" w:cs="Times New Roman"/>
          <w:b/>
          <w:bCs/>
          <w:sz w:val="24"/>
          <w:szCs w:val="24"/>
        </w:rPr>
        <w:t xml:space="preserve"> – Blocks occupied by </w:t>
      </w:r>
      <w:proofErr w:type="gramStart"/>
      <w:r w:rsidR="007507B9">
        <w:rPr>
          <w:rFonts w:ascii="Times New Roman" w:hAnsi="Times New Roman" w:cs="Times New Roman"/>
          <w:b/>
          <w:bCs/>
          <w:sz w:val="24"/>
          <w:szCs w:val="24"/>
        </w:rPr>
        <w:t>pathways</w:t>
      </w:r>
      <w:proofErr w:type="gramEnd"/>
    </w:p>
    <w:p w14:paraId="0F2FDAC9" w14:textId="4E8F8EB2" w:rsidR="00280394" w:rsidRDefault="005123D0" w:rsidP="007507B9">
      <w:pPr>
        <w:rPr>
          <w:rFonts w:ascii="Times New Roman" w:hAnsi="Times New Roman" w:cs="Times New Roman"/>
          <w:sz w:val="24"/>
          <w:szCs w:val="24"/>
        </w:rPr>
      </w:pPr>
      <w:r>
        <w:rPr>
          <w:rFonts w:ascii="Times New Roman" w:hAnsi="Times New Roman" w:cs="Times New Roman"/>
          <w:sz w:val="24"/>
          <w:szCs w:val="24"/>
        </w:rPr>
        <w:t>This clause requires an application for a declaration of an identified GHG storage formation to include a</w:t>
      </w:r>
      <w:r w:rsidR="00315F1A" w:rsidRPr="00315F1A">
        <w:rPr>
          <w:rFonts w:ascii="Times New Roman" w:hAnsi="Times New Roman" w:cs="Times New Roman"/>
          <w:sz w:val="24"/>
          <w:szCs w:val="24"/>
        </w:rPr>
        <w:t xml:space="preserve"> description of each block that the applicant reasonably believes will be occupied by a migration pathway described </w:t>
      </w:r>
      <w:r>
        <w:rPr>
          <w:rFonts w:ascii="Times New Roman" w:hAnsi="Times New Roman" w:cs="Times New Roman"/>
          <w:sz w:val="24"/>
          <w:szCs w:val="24"/>
        </w:rPr>
        <w:t>in accordance with</w:t>
      </w:r>
      <w:r w:rsidR="00315F1A" w:rsidRPr="00315F1A">
        <w:rPr>
          <w:rFonts w:ascii="Times New Roman" w:hAnsi="Times New Roman" w:cs="Times New Roman"/>
          <w:sz w:val="24"/>
          <w:szCs w:val="24"/>
        </w:rPr>
        <w:t xml:space="preserve"> clause </w:t>
      </w:r>
      <w:r w:rsidR="00F706CA">
        <w:rPr>
          <w:rFonts w:ascii="Times New Roman" w:hAnsi="Times New Roman" w:cs="Times New Roman"/>
          <w:sz w:val="24"/>
          <w:szCs w:val="24"/>
        </w:rPr>
        <w:t>6</w:t>
      </w:r>
      <w:r>
        <w:rPr>
          <w:rFonts w:ascii="Times New Roman" w:hAnsi="Times New Roman" w:cs="Times New Roman"/>
          <w:sz w:val="24"/>
          <w:szCs w:val="24"/>
        </w:rPr>
        <w:t xml:space="preserve"> of Schedule 1</w:t>
      </w:r>
      <w:r w:rsidR="00F706CA">
        <w:rPr>
          <w:rFonts w:ascii="Times New Roman" w:hAnsi="Times New Roman" w:cs="Times New Roman"/>
          <w:sz w:val="24"/>
          <w:szCs w:val="24"/>
        </w:rPr>
        <w:t>.</w:t>
      </w:r>
      <w:r>
        <w:rPr>
          <w:rFonts w:ascii="Times New Roman" w:hAnsi="Times New Roman" w:cs="Times New Roman"/>
          <w:sz w:val="24"/>
          <w:szCs w:val="24"/>
        </w:rPr>
        <w:t xml:space="preserve"> For the </w:t>
      </w:r>
      <w:r>
        <w:rPr>
          <w:rFonts w:ascii="Times New Roman" w:hAnsi="Times New Roman" w:cs="Times New Roman"/>
          <w:sz w:val="24"/>
          <w:szCs w:val="24"/>
        </w:rPr>
        <w:lastRenderedPageBreak/>
        <w:t>purposes of clause</w:t>
      </w:r>
      <w:r w:rsidR="00602285">
        <w:rPr>
          <w:rFonts w:ascii="Times New Roman" w:hAnsi="Times New Roman" w:cs="Times New Roman"/>
          <w:sz w:val="24"/>
          <w:szCs w:val="24"/>
        </w:rPr>
        <w:t xml:space="preserve"> 9</w:t>
      </w:r>
      <w:r>
        <w:rPr>
          <w:rFonts w:ascii="Times New Roman" w:hAnsi="Times New Roman" w:cs="Times New Roman"/>
          <w:sz w:val="24"/>
          <w:szCs w:val="24"/>
        </w:rPr>
        <w:t>, a</w:t>
      </w:r>
      <w:r w:rsidR="00280394">
        <w:rPr>
          <w:rFonts w:ascii="Times New Roman" w:hAnsi="Times New Roman" w:cs="Times New Roman"/>
          <w:sz w:val="24"/>
          <w:szCs w:val="24"/>
        </w:rPr>
        <w:t xml:space="preserve"> block means a block as defined in the OPGGS Act (see section 7</w:t>
      </w:r>
      <w:r w:rsidR="00302B3A">
        <w:rPr>
          <w:rFonts w:ascii="Times New Roman" w:hAnsi="Times New Roman" w:cs="Times New Roman"/>
          <w:sz w:val="24"/>
          <w:szCs w:val="24"/>
        </w:rPr>
        <w:t>)</w:t>
      </w:r>
      <w:r w:rsidR="00280394">
        <w:rPr>
          <w:rFonts w:ascii="Times New Roman" w:hAnsi="Times New Roman" w:cs="Times New Roman"/>
          <w:sz w:val="24"/>
          <w:szCs w:val="24"/>
        </w:rPr>
        <w:t>.</w:t>
      </w:r>
      <w:r>
        <w:rPr>
          <w:rFonts w:ascii="Times New Roman" w:hAnsi="Times New Roman" w:cs="Times New Roman"/>
          <w:sz w:val="24"/>
          <w:szCs w:val="24"/>
        </w:rPr>
        <w:t xml:space="preserve"> </w:t>
      </w:r>
      <w:r w:rsidR="00602285">
        <w:rPr>
          <w:rFonts w:ascii="Times New Roman" w:hAnsi="Times New Roman" w:cs="Times New Roman"/>
          <w:sz w:val="24"/>
          <w:szCs w:val="24"/>
        </w:rPr>
        <w:t>If</w:t>
      </w:r>
      <w:r w:rsidR="00A736A1">
        <w:rPr>
          <w:rFonts w:ascii="Times New Roman" w:hAnsi="Times New Roman" w:cs="Times New Roman"/>
          <w:sz w:val="24"/>
          <w:szCs w:val="24"/>
        </w:rPr>
        <w:t> </w:t>
      </w:r>
      <w:r w:rsidR="00602285">
        <w:rPr>
          <w:rFonts w:ascii="Times New Roman" w:hAnsi="Times New Roman" w:cs="Times New Roman"/>
          <w:sz w:val="24"/>
          <w:szCs w:val="24"/>
        </w:rPr>
        <w:t xml:space="preserve">the declaration is made by the </w:t>
      </w:r>
      <w:r w:rsidR="003947B2">
        <w:rPr>
          <w:rFonts w:ascii="Times New Roman" w:hAnsi="Times New Roman" w:cs="Times New Roman"/>
          <w:sz w:val="24"/>
          <w:szCs w:val="24"/>
        </w:rPr>
        <w:t xml:space="preserve">responsible Commonwealth </w:t>
      </w:r>
      <w:r w:rsidR="00602285">
        <w:rPr>
          <w:rFonts w:ascii="Times New Roman" w:hAnsi="Times New Roman" w:cs="Times New Roman"/>
          <w:sz w:val="24"/>
          <w:szCs w:val="24"/>
        </w:rPr>
        <w:t>Minister, t</w:t>
      </w:r>
      <w:r>
        <w:rPr>
          <w:rFonts w:ascii="Times New Roman" w:hAnsi="Times New Roman" w:cs="Times New Roman"/>
          <w:sz w:val="24"/>
          <w:szCs w:val="24"/>
        </w:rPr>
        <w:t xml:space="preserve">he blocks occupied by a migration pathway will be the blocks </w:t>
      </w:r>
      <w:r w:rsidR="00602285">
        <w:rPr>
          <w:rFonts w:ascii="Times New Roman" w:hAnsi="Times New Roman" w:cs="Times New Roman"/>
          <w:sz w:val="24"/>
          <w:szCs w:val="24"/>
        </w:rPr>
        <w:t>to which the identified GHG storage formation extends. These will therefore be the blocks in relation to which a subsequent application may be made for a GHG injection licence under section 361, 368A or 369 of the OPGGS Act.</w:t>
      </w:r>
    </w:p>
    <w:p w14:paraId="15457727" w14:textId="0F58CD8B" w:rsidR="007507B9" w:rsidRDefault="00D26A58" w:rsidP="0016414E">
      <w:pPr>
        <w:rPr>
          <w:rFonts w:ascii="Times New Roman" w:hAnsi="Times New Roman" w:cs="Times New Roman"/>
          <w:b/>
          <w:bCs/>
          <w:sz w:val="24"/>
          <w:szCs w:val="24"/>
        </w:rPr>
      </w:pPr>
      <w:r>
        <w:rPr>
          <w:rFonts w:ascii="Times New Roman" w:hAnsi="Times New Roman" w:cs="Times New Roman"/>
          <w:b/>
          <w:bCs/>
          <w:sz w:val="24"/>
          <w:szCs w:val="24"/>
        </w:rPr>
        <w:t xml:space="preserve">Clause </w:t>
      </w:r>
      <w:r w:rsidR="009F393B">
        <w:rPr>
          <w:rFonts w:ascii="Times New Roman" w:hAnsi="Times New Roman" w:cs="Times New Roman"/>
          <w:b/>
          <w:bCs/>
          <w:sz w:val="24"/>
          <w:szCs w:val="24"/>
        </w:rPr>
        <w:t>10</w:t>
      </w:r>
      <w:r w:rsidR="007507B9">
        <w:rPr>
          <w:rFonts w:ascii="Times New Roman" w:hAnsi="Times New Roman" w:cs="Times New Roman"/>
          <w:b/>
          <w:bCs/>
          <w:sz w:val="24"/>
          <w:szCs w:val="24"/>
        </w:rPr>
        <w:t xml:space="preserve"> – Sealing feature, attribute or </w:t>
      </w:r>
      <w:proofErr w:type="gramStart"/>
      <w:r w:rsidR="007507B9">
        <w:rPr>
          <w:rFonts w:ascii="Times New Roman" w:hAnsi="Times New Roman" w:cs="Times New Roman"/>
          <w:b/>
          <w:bCs/>
          <w:sz w:val="24"/>
          <w:szCs w:val="24"/>
        </w:rPr>
        <w:t>mechanism</w:t>
      </w:r>
      <w:proofErr w:type="gramEnd"/>
    </w:p>
    <w:p w14:paraId="38D6DE00" w14:textId="76BF06CC" w:rsidR="00315F1A" w:rsidRPr="00666BC8" w:rsidRDefault="000C4CFB" w:rsidP="0016414E">
      <w:pPr>
        <w:rPr>
          <w:rFonts w:ascii="Times New Roman" w:hAnsi="Times New Roman" w:cs="Times New Roman"/>
          <w:i/>
          <w:iCs/>
          <w:sz w:val="24"/>
          <w:szCs w:val="24"/>
        </w:rPr>
      </w:pPr>
      <w:r>
        <w:rPr>
          <w:rFonts w:ascii="Times New Roman" w:hAnsi="Times New Roman" w:cs="Times New Roman"/>
          <w:sz w:val="24"/>
          <w:szCs w:val="24"/>
        </w:rPr>
        <w:t>This clause requires an application for a declaration of an identified GHG storage formation to include a</w:t>
      </w:r>
      <w:r w:rsidR="00315F1A" w:rsidRPr="00315F1A">
        <w:rPr>
          <w:rFonts w:ascii="Times New Roman" w:hAnsi="Times New Roman" w:cs="Times New Roman"/>
          <w:sz w:val="24"/>
          <w:szCs w:val="24"/>
        </w:rPr>
        <w:t>n explanation of the three</w:t>
      </w:r>
      <w:r>
        <w:rPr>
          <w:rFonts w:ascii="Times New Roman" w:hAnsi="Times New Roman" w:cs="Times New Roman"/>
          <w:sz w:val="24"/>
          <w:szCs w:val="24"/>
        </w:rPr>
        <w:t>-</w:t>
      </w:r>
      <w:r w:rsidR="00315F1A" w:rsidRPr="00315F1A">
        <w:rPr>
          <w:rFonts w:ascii="Times New Roman" w:hAnsi="Times New Roman" w:cs="Times New Roman"/>
          <w:sz w:val="24"/>
          <w:szCs w:val="24"/>
        </w:rPr>
        <w:t xml:space="preserve">dimensional extent of </w:t>
      </w:r>
      <w:r w:rsidR="00315F1A" w:rsidRPr="000C4CFB">
        <w:rPr>
          <w:rFonts w:ascii="Times New Roman" w:hAnsi="Times New Roman" w:cs="Times New Roman"/>
          <w:sz w:val="24"/>
          <w:szCs w:val="24"/>
        </w:rPr>
        <w:t>the effective sealing feature, attribute or mechanism within the spatial extent of the part</w:t>
      </w:r>
      <w:r w:rsidR="00315F1A" w:rsidRPr="00315F1A">
        <w:rPr>
          <w:rFonts w:ascii="Times New Roman" w:hAnsi="Times New Roman" w:cs="Times New Roman"/>
          <w:sz w:val="24"/>
          <w:szCs w:val="24"/>
        </w:rPr>
        <w:t xml:space="preserve"> of the geological formation</w:t>
      </w:r>
      <w:r>
        <w:rPr>
          <w:rFonts w:ascii="Times New Roman" w:hAnsi="Times New Roman" w:cs="Times New Roman"/>
          <w:sz w:val="24"/>
          <w:szCs w:val="24"/>
        </w:rPr>
        <w:t xml:space="preserve"> in relation to which the declaration is sought. The effective sealing feature, attribute or mechanism will be the same as that described in accordance with clause 2 of Schedule 1. The</w:t>
      </w:r>
      <w:r w:rsidR="00302B3A">
        <w:rPr>
          <w:rFonts w:ascii="Times New Roman" w:hAnsi="Times New Roman" w:cs="Times New Roman"/>
          <w:sz w:val="24"/>
          <w:szCs w:val="24"/>
        </w:rPr>
        <w:t> </w:t>
      </w:r>
      <w:r>
        <w:rPr>
          <w:rFonts w:ascii="Times New Roman" w:hAnsi="Times New Roman" w:cs="Times New Roman"/>
          <w:sz w:val="24"/>
          <w:szCs w:val="24"/>
        </w:rPr>
        <w:t>concept of a “seal” is a term of art in the context of the GHG Regulations that is well understood by the offshore GHG storage industry. The term “effective sealing feature, attribute or mechanism” has therefore not been defined for the purposes of the GHG</w:t>
      </w:r>
      <w:r w:rsidR="00A736A1">
        <w:rPr>
          <w:rFonts w:ascii="Times New Roman" w:hAnsi="Times New Roman" w:cs="Times New Roman"/>
          <w:sz w:val="24"/>
          <w:szCs w:val="24"/>
        </w:rPr>
        <w:t> </w:t>
      </w:r>
      <w:r>
        <w:rPr>
          <w:rFonts w:ascii="Times New Roman" w:hAnsi="Times New Roman" w:cs="Times New Roman"/>
          <w:sz w:val="24"/>
          <w:szCs w:val="24"/>
        </w:rPr>
        <w:t>Regulations.</w:t>
      </w:r>
    </w:p>
    <w:p w14:paraId="468EE203" w14:textId="4D785C9F" w:rsidR="007507B9" w:rsidRPr="007507B9" w:rsidRDefault="007507B9" w:rsidP="009F393B">
      <w:pPr>
        <w:keepNext/>
        <w:rPr>
          <w:rFonts w:ascii="Times New Roman" w:hAnsi="Times New Roman" w:cs="Times New Roman"/>
          <w:b/>
          <w:bCs/>
          <w:sz w:val="32"/>
          <w:szCs w:val="32"/>
        </w:rPr>
      </w:pPr>
      <w:r w:rsidRPr="007507B9">
        <w:rPr>
          <w:rFonts w:ascii="Times New Roman" w:hAnsi="Times New Roman" w:cs="Times New Roman"/>
          <w:b/>
          <w:bCs/>
          <w:sz w:val="32"/>
          <w:szCs w:val="32"/>
        </w:rPr>
        <w:t xml:space="preserve">Part 4 – Information about </w:t>
      </w:r>
      <w:r w:rsidR="00613277">
        <w:rPr>
          <w:rFonts w:ascii="Times New Roman" w:hAnsi="Times New Roman" w:cs="Times New Roman"/>
          <w:b/>
          <w:bCs/>
          <w:sz w:val="32"/>
          <w:szCs w:val="32"/>
        </w:rPr>
        <w:t xml:space="preserve">engineering </w:t>
      </w:r>
      <w:r w:rsidRPr="007507B9">
        <w:rPr>
          <w:rFonts w:ascii="Times New Roman" w:hAnsi="Times New Roman" w:cs="Times New Roman"/>
          <w:b/>
          <w:bCs/>
          <w:sz w:val="32"/>
          <w:szCs w:val="32"/>
        </w:rPr>
        <w:t>enhancements</w:t>
      </w:r>
    </w:p>
    <w:p w14:paraId="0AFB79EC" w14:textId="6666A95C" w:rsidR="007507B9" w:rsidRDefault="00D26A58" w:rsidP="009F393B">
      <w:pPr>
        <w:keepNext/>
        <w:rPr>
          <w:rFonts w:ascii="Times New Roman" w:hAnsi="Times New Roman" w:cs="Times New Roman"/>
          <w:sz w:val="24"/>
          <w:szCs w:val="24"/>
        </w:rPr>
      </w:pPr>
      <w:r>
        <w:rPr>
          <w:rFonts w:ascii="Times New Roman" w:hAnsi="Times New Roman" w:cs="Times New Roman"/>
          <w:b/>
          <w:bCs/>
          <w:sz w:val="24"/>
          <w:szCs w:val="24"/>
        </w:rPr>
        <w:t xml:space="preserve">Clause </w:t>
      </w:r>
      <w:r w:rsidR="009F393B">
        <w:rPr>
          <w:rFonts w:ascii="Times New Roman" w:hAnsi="Times New Roman" w:cs="Times New Roman"/>
          <w:b/>
          <w:bCs/>
          <w:sz w:val="24"/>
          <w:szCs w:val="24"/>
        </w:rPr>
        <w:t>1</w:t>
      </w:r>
      <w:r w:rsidR="007507B9">
        <w:rPr>
          <w:rFonts w:ascii="Times New Roman" w:hAnsi="Times New Roman" w:cs="Times New Roman"/>
          <w:b/>
          <w:bCs/>
          <w:sz w:val="24"/>
          <w:szCs w:val="24"/>
        </w:rPr>
        <w:t>1 – Application</w:t>
      </w:r>
      <w:r w:rsidR="00C13598">
        <w:rPr>
          <w:rFonts w:ascii="Times New Roman" w:hAnsi="Times New Roman" w:cs="Times New Roman"/>
          <w:b/>
          <w:bCs/>
          <w:sz w:val="24"/>
          <w:szCs w:val="24"/>
        </w:rPr>
        <w:t xml:space="preserve"> of this Part</w:t>
      </w:r>
    </w:p>
    <w:p w14:paraId="5A7A04ED" w14:textId="5186F776" w:rsidR="007507B9" w:rsidRDefault="00683F0B" w:rsidP="0016414E">
      <w:pPr>
        <w:rPr>
          <w:rFonts w:ascii="Times New Roman" w:hAnsi="Times New Roman" w:cs="Times New Roman"/>
          <w:sz w:val="24"/>
          <w:szCs w:val="24"/>
        </w:rPr>
      </w:pPr>
      <w:r>
        <w:rPr>
          <w:rFonts w:ascii="Times New Roman" w:hAnsi="Times New Roman" w:cs="Times New Roman"/>
          <w:sz w:val="24"/>
          <w:szCs w:val="24"/>
        </w:rPr>
        <w:t xml:space="preserve">This </w:t>
      </w:r>
      <w:r w:rsidR="00C13598">
        <w:rPr>
          <w:rFonts w:ascii="Times New Roman" w:hAnsi="Times New Roman" w:cs="Times New Roman"/>
          <w:sz w:val="24"/>
          <w:szCs w:val="24"/>
        </w:rPr>
        <w:t>clause</w:t>
      </w:r>
      <w:r>
        <w:rPr>
          <w:rFonts w:ascii="Times New Roman" w:hAnsi="Times New Roman" w:cs="Times New Roman"/>
          <w:sz w:val="24"/>
          <w:szCs w:val="24"/>
        </w:rPr>
        <w:t xml:space="preserve"> </w:t>
      </w:r>
      <w:r w:rsidR="00315F1A">
        <w:rPr>
          <w:rFonts w:ascii="Times New Roman" w:hAnsi="Times New Roman" w:cs="Times New Roman"/>
          <w:sz w:val="24"/>
          <w:szCs w:val="24"/>
        </w:rPr>
        <w:t xml:space="preserve">states that Part 4 </w:t>
      </w:r>
      <w:r w:rsidR="00C13598">
        <w:rPr>
          <w:rFonts w:ascii="Times New Roman" w:hAnsi="Times New Roman" w:cs="Times New Roman"/>
          <w:sz w:val="24"/>
          <w:szCs w:val="24"/>
        </w:rPr>
        <w:t xml:space="preserve">of Schedule 1 </w:t>
      </w:r>
      <w:r w:rsidR="00315F1A">
        <w:rPr>
          <w:rFonts w:ascii="Times New Roman" w:hAnsi="Times New Roman" w:cs="Times New Roman"/>
          <w:sz w:val="24"/>
          <w:szCs w:val="24"/>
        </w:rPr>
        <w:t>applies</w:t>
      </w:r>
      <w:r w:rsidR="00315F1A" w:rsidRPr="00315F1A">
        <w:rPr>
          <w:rFonts w:ascii="Times New Roman" w:hAnsi="Times New Roman" w:cs="Times New Roman"/>
          <w:sz w:val="24"/>
          <w:szCs w:val="24"/>
        </w:rPr>
        <w:t xml:space="preserve"> if the fundamental suitability determinants</w:t>
      </w:r>
      <w:r w:rsidR="00C13598">
        <w:rPr>
          <w:rFonts w:ascii="Times New Roman" w:hAnsi="Times New Roman" w:cs="Times New Roman"/>
          <w:sz w:val="24"/>
          <w:szCs w:val="24"/>
        </w:rPr>
        <w:t xml:space="preserve"> of an eligible GHG storage formation, which are </w:t>
      </w:r>
      <w:r w:rsidR="00315F1A" w:rsidRPr="00315F1A">
        <w:rPr>
          <w:rFonts w:ascii="Times New Roman" w:hAnsi="Times New Roman" w:cs="Times New Roman"/>
          <w:sz w:val="24"/>
          <w:szCs w:val="24"/>
        </w:rPr>
        <w:t xml:space="preserve">set out in </w:t>
      </w:r>
      <w:r w:rsidR="00C13598">
        <w:rPr>
          <w:rFonts w:ascii="Times New Roman" w:hAnsi="Times New Roman" w:cs="Times New Roman"/>
          <w:sz w:val="24"/>
          <w:szCs w:val="24"/>
        </w:rPr>
        <w:t>an</w:t>
      </w:r>
      <w:r w:rsidR="00315F1A" w:rsidRPr="00315F1A">
        <w:rPr>
          <w:rFonts w:ascii="Times New Roman" w:hAnsi="Times New Roman" w:cs="Times New Roman"/>
          <w:sz w:val="24"/>
          <w:szCs w:val="24"/>
        </w:rPr>
        <w:t xml:space="preserve"> application</w:t>
      </w:r>
      <w:r w:rsidR="00C13598">
        <w:rPr>
          <w:rFonts w:ascii="Times New Roman" w:hAnsi="Times New Roman" w:cs="Times New Roman"/>
          <w:sz w:val="24"/>
          <w:szCs w:val="24"/>
        </w:rPr>
        <w:t xml:space="preserve"> for a declaration of an identified GHG storage formation</w:t>
      </w:r>
      <w:r w:rsidR="00315F1A" w:rsidRPr="00315F1A">
        <w:rPr>
          <w:rFonts w:ascii="Times New Roman" w:hAnsi="Times New Roman" w:cs="Times New Roman"/>
          <w:sz w:val="24"/>
          <w:szCs w:val="24"/>
        </w:rPr>
        <w:t xml:space="preserve"> </w:t>
      </w:r>
      <w:r w:rsidR="00C13598">
        <w:rPr>
          <w:rFonts w:ascii="Times New Roman" w:hAnsi="Times New Roman" w:cs="Times New Roman"/>
          <w:sz w:val="24"/>
          <w:szCs w:val="24"/>
        </w:rPr>
        <w:t xml:space="preserve">in accordance with </w:t>
      </w:r>
      <w:r w:rsidR="00315F1A" w:rsidRPr="00315F1A">
        <w:rPr>
          <w:rFonts w:ascii="Times New Roman" w:hAnsi="Times New Roman" w:cs="Times New Roman"/>
          <w:sz w:val="24"/>
          <w:szCs w:val="24"/>
        </w:rPr>
        <w:t>subparagraph 312(3)(b)(</w:t>
      </w:r>
      <w:proofErr w:type="spellStart"/>
      <w:r w:rsidR="00315F1A" w:rsidRPr="00315F1A">
        <w:rPr>
          <w:rFonts w:ascii="Times New Roman" w:hAnsi="Times New Roman" w:cs="Times New Roman"/>
          <w:sz w:val="24"/>
          <w:szCs w:val="24"/>
        </w:rPr>
        <w:t>i</w:t>
      </w:r>
      <w:proofErr w:type="spellEnd"/>
      <w:r w:rsidR="00315F1A" w:rsidRPr="00315F1A">
        <w:rPr>
          <w:rFonts w:ascii="Times New Roman" w:hAnsi="Times New Roman" w:cs="Times New Roman"/>
          <w:sz w:val="24"/>
          <w:szCs w:val="24"/>
        </w:rPr>
        <w:t>) or 312A(3)(b)(</w:t>
      </w:r>
      <w:proofErr w:type="spellStart"/>
      <w:r w:rsidR="00315F1A" w:rsidRPr="00315F1A">
        <w:rPr>
          <w:rFonts w:ascii="Times New Roman" w:hAnsi="Times New Roman" w:cs="Times New Roman"/>
          <w:sz w:val="24"/>
          <w:szCs w:val="24"/>
        </w:rPr>
        <w:t>i</w:t>
      </w:r>
      <w:proofErr w:type="spellEnd"/>
      <w:r w:rsidR="00315F1A" w:rsidRPr="00315F1A">
        <w:rPr>
          <w:rFonts w:ascii="Times New Roman" w:hAnsi="Times New Roman" w:cs="Times New Roman"/>
          <w:sz w:val="24"/>
          <w:szCs w:val="24"/>
        </w:rPr>
        <w:t xml:space="preserve">) of the </w:t>
      </w:r>
      <w:r w:rsidR="00315F1A">
        <w:rPr>
          <w:rFonts w:ascii="Times New Roman" w:hAnsi="Times New Roman" w:cs="Times New Roman"/>
          <w:sz w:val="24"/>
          <w:szCs w:val="24"/>
        </w:rPr>
        <w:t xml:space="preserve">OPGGS </w:t>
      </w:r>
      <w:r w:rsidR="00315F1A" w:rsidRPr="00315F1A">
        <w:rPr>
          <w:rFonts w:ascii="Times New Roman" w:hAnsi="Times New Roman" w:cs="Times New Roman"/>
          <w:sz w:val="24"/>
          <w:szCs w:val="24"/>
        </w:rPr>
        <w:t>Act, include engineering enhancements</w:t>
      </w:r>
      <w:r w:rsidR="00315F1A">
        <w:rPr>
          <w:rFonts w:ascii="Times New Roman" w:hAnsi="Times New Roman" w:cs="Times New Roman"/>
          <w:sz w:val="24"/>
          <w:szCs w:val="24"/>
        </w:rPr>
        <w:t>.</w:t>
      </w:r>
    </w:p>
    <w:p w14:paraId="1C92A287" w14:textId="6A42EAAA" w:rsidR="00625A72" w:rsidRDefault="00625A72" w:rsidP="0016414E">
      <w:pPr>
        <w:rPr>
          <w:rFonts w:ascii="Times New Roman" w:hAnsi="Times New Roman" w:cs="Times New Roman"/>
          <w:sz w:val="24"/>
          <w:szCs w:val="24"/>
        </w:rPr>
      </w:pPr>
      <w:r>
        <w:rPr>
          <w:rFonts w:ascii="Times New Roman" w:hAnsi="Times New Roman" w:cs="Times New Roman"/>
          <w:sz w:val="24"/>
          <w:szCs w:val="24"/>
        </w:rPr>
        <w:t xml:space="preserve">The ‘fundamental suitability determinants’ </w:t>
      </w:r>
      <w:r w:rsidR="00C347A3">
        <w:rPr>
          <w:rFonts w:ascii="Times New Roman" w:hAnsi="Times New Roman" w:cs="Times New Roman"/>
          <w:sz w:val="24"/>
          <w:szCs w:val="24"/>
        </w:rPr>
        <w:t xml:space="preserve">of an eligible GHG storage formation </w:t>
      </w:r>
      <w:r>
        <w:rPr>
          <w:rFonts w:ascii="Times New Roman" w:hAnsi="Times New Roman" w:cs="Times New Roman"/>
          <w:sz w:val="24"/>
          <w:szCs w:val="24"/>
        </w:rPr>
        <w:t xml:space="preserve">are </w:t>
      </w:r>
      <w:r w:rsidR="00F020C4">
        <w:rPr>
          <w:rFonts w:ascii="Times New Roman" w:hAnsi="Times New Roman" w:cs="Times New Roman"/>
          <w:sz w:val="24"/>
          <w:szCs w:val="24"/>
        </w:rPr>
        <w:t xml:space="preserve">defined in </w:t>
      </w:r>
      <w:r w:rsidR="001D692C">
        <w:rPr>
          <w:rFonts w:ascii="Times New Roman" w:hAnsi="Times New Roman" w:cs="Times New Roman"/>
          <w:sz w:val="24"/>
          <w:szCs w:val="24"/>
        </w:rPr>
        <w:t>subsection</w:t>
      </w:r>
      <w:r w:rsidR="00F020C4">
        <w:rPr>
          <w:rFonts w:ascii="Times New Roman" w:hAnsi="Times New Roman" w:cs="Times New Roman"/>
          <w:sz w:val="24"/>
          <w:szCs w:val="24"/>
        </w:rPr>
        <w:t xml:space="preserve"> 21(8) of the OPGGS Act</w:t>
      </w:r>
      <w:r w:rsidR="00C13598">
        <w:rPr>
          <w:rFonts w:ascii="Times New Roman" w:hAnsi="Times New Roman" w:cs="Times New Roman"/>
          <w:sz w:val="24"/>
          <w:szCs w:val="24"/>
        </w:rPr>
        <w:t>. If an eligible GHG storage formation is suitable with engineering enhancements for the permanent storage of a particular amount of a particular GHG substance injected over a particular period, then the fundamental suitability determinants include those engineering enhancements</w:t>
      </w:r>
      <w:r w:rsidR="00F020C4">
        <w:rPr>
          <w:rFonts w:ascii="Times New Roman" w:hAnsi="Times New Roman" w:cs="Times New Roman"/>
          <w:sz w:val="24"/>
          <w:szCs w:val="24"/>
        </w:rPr>
        <w:t>.</w:t>
      </w:r>
    </w:p>
    <w:p w14:paraId="78F1DF76" w14:textId="5D517D8B" w:rsidR="00683F0B" w:rsidRDefault="00D26A58" w:rsidP="0016414E">
      <w:pPr>
        <w:rPr>
          <w:rFonts w:ascii="Times New Roman" w:hAnsi="Times New Roman" w:cs="Times New Roman"/>
          <w:sz w:val="24"/>
          <w:szCs w:val="24"/>
        </w:rPr>
      </w:pPr>
      <w:bookmarkStart w:id="31" w:name="_Hlk145409809"/>
      <w:r>
        <w:rPr>
          <w:rFonts w:ascii="Times New Roman" w:hAnsi="Times New Roman" w:cs="Times New Roman"/>
          <w:b/>
          <w:bCs/>
          <w:sz w:val="24"/>
          <w:szCs w:val="24"/>
        </w:rPr>
        <w:t xml:space="preserve">Clause </w:t>
      </w:r>
      <w:r w:rsidR="009F393B">
        <w:rPr>
          <w:rFonts w:ascii="Times New Roman" w:hAnsi="Times New Roman" w:cs="Times New Roman"/>
          <w:b/>
          <w:bCs/>
          <w:sz w:val="24"/>
          <w:szCs w:val="24"/>
        </w:rPr>
        <w:t>1</w:t>
      </w:r>
      <w:r w:rsidR="00683F0B">
        <w:rPr>
          <w:rFonts w:ascii="Times New Roman" w:hAnsi="Times New Roman" w:cs="Times New Roman"/>
          <w:b/>
          <w:bCs/>
          <w:sz w:val="24"/>
          <w:szCs w:val="24"/>
        </w:rPr>
        <w:t xml:space="preserve">2 – </w:t>
      </w:r>
      <w:r w:rsidR="009F393B">
        <w:rPr>
          <w:rFonts w:ascii="Times New Roman" w:hAnsi="Times New Roman" w:cs="Times New Roman"/>
          <w:b/>
          <w:bCs/>
          <w:sz w:val="24"/>
          <w:szCs w:val="24"/>
        </w:rPr>
        <w:t>Description of engineering</w:t>
      </w:r>
      <w:r w:rsidR="00683F0B">
        <w:rPr>
          <w:rFonts w:ascii="Times New Roman" w:hAnsi="Times New Roman" w:cs="Times New Roman"/>
          <w:b/>
          <w:bCs/>
          <w:sz w:val="24"/>
          <w:szCs w:val="24"/>
        </w:rPr>
        <w:t xml:space="preserve"> enhancements</w:t>
      </w:r>
    </w:p>
    <w:p w14:paraId="0A7CCE90" w14:textId="408EFE90" w:rsidR="00315F1A" w:rsidRDefault="00B25A7B" w:rsidP="0016414E">
      <w:pPr>
        <w:rPr>
          <w:rFonts w:ascii="Times New Roman" w:hAnsi="Times New Roman" w:cs="Times New Roman"/>
          <w:sz w:val="24"/>
          <w:szCs w:val="24"/>
        </w:rPr>
      </w:pPr>
      <w:r>
        <w:rPr>
          <w:rFonts w:ascii="Times New Roman" w:hAnsi="Times New Roman" w:cs="Times New Roman"/>
          <w:sz w:val="24"/>
          <w:szCs w:val="24"/>
        </w:rPr>
        <w:t>This clause applies if the fundamental suitability determinants of an eligible GHG storage formation, to which an application for a declaration of an identified GHG storage formation relates, include engineering enhancements – see discussion above regarding clause 11 of Schedule 1. The application must include a</w:t>
      </w:r>
      <w:r w:rsidR="00315F1A" w:rsidRPr="00315F1A">
        <w:rPr>
          <w:rFonts w:ascii="Times New Roman" w:hAnsi="Times New Roman" w:cs="Times New Roman"/>
          <w:sz w:val="24"/>
          <w:szCs w:val="24"/>
        </w:rPr>
        <w:t xml:space="preserve"> </w:t>
      </w:r>
      <w:r w:rsidR="00625A72">
        <w:rPr>
          <w:rFonts w:ascii="Times New Roman" w:hAnsi="Times New Roman" w:cs="Times New Roman"/>
          <w:sz w:val="24"/>
          <w:szCs w:val="24"/>
        </w:rPr>
        <w:t>d</w:t>
      </w:r>
      <w:r w:rsidR="00315F1A" w:rsidRPr="00315F1A">
        <w:rPr>
          <w:rFonts w:ascii="Times New Roman" w:hAnsi="Times New Roman" w:cs="Times New Roman"/>
          <w:sz w:val="24"/>
          <w:szCs w:val="24"/>
        </w:rPr>
        <w:t>escription of the engineering enhancements</w:t>
      </w:r>
      <w:r>
        <w:rPr>
          <w:rFonts w:ascii="Times New Roman" w:hAnsi="Times New Roman" w:cs="Times New Roman"/>
          <w:sz w:val="24"/>
          <w:szCs w:val="24"/>
        </w:rPr>
        <w:t>. The description must be</w:t>
      </w:r>
      <w:r w:rsidR="00315F1A" w:rsidRPr="00315F1A">
        <w:rPr>
          <w:rFonts w:ascii="Times New Roman" w:hAnsi="Times New Roman" w:cs="Times New Roman"/>
          <w:sz w:val="24"/>
          <w:szCs w:val="24"/>
        </w:rPr>
        <w:t xml:space="preserve"> set out in sufficient detail to demonstrate that, </w:t>
      </w:r>
      <w:proofErr w:type="gramStart"/>
      <w:r w:rsidR="00315F1A" w:rsidRPr="00315F1A">
        <w:rPr>
          <w:rFonts w:ascii="Times New Roman" w:hAnsi="Times New Roman" w:cs="Times New Roman"/>
          <w:sz w:val="24"/>
          <w:szCs w:val="24"/>
        </w:rPr>
        <w:t>taking into account</w:t>
      </w:r>
      <w:proofErr w:type="gramEnd"/>
      <w:r w:rsidR="00315F1A" w:rsidRPr="00315F1A">
        <w:rPr>
          <w:rFonts w:ascii="Times New Roman" w:hAnsi="Times New Roman" w:cs="Times New Roman"/>
          <w:sz w:val="24"/>
          <w:szCs w:val="24"/>
        </w:rPr>
        <w:t xml:space="preserve"> those enhancements, the risks relating to the containment of the </w:t>
      </w:r>
      <w:r w:rsidR="00315F1A">
        <w:rPr>
          <w:rFonts w:ascii="Times New Roman" w:hAnsi="Times New Roman" w:cs="Times New Roman"/>
          <w:sz w:val="24"/>
          <w:szCs w:val="24"/>
        </w:rPr>
        <w:t xml:space="preserve">GHG </w:t>
      </w:r>
      <w:r w:rsidR="00315F1A" w:rsidRPr="00315F1A">
        <w:rPr>
          <w:rFonts w:ascii="Times New Roman" w:hAnsi="Times New Roman" w:cs="Times New Roman"/>
          <w:sz w:val="24"/>
          <w:szCs w:val="24"/>
        </w:rPr>
        <w:t>substance to be stored in the part of the geological formation are likely to be acceptable.</w:t>
      </w:r>
      <w:r>
        <w:rPr>
          <w:rFonts w:ascii="Times New Roman" w:hAnsi="Times New Roman" w:cs="Times New Roman"/>
          <w:sz w:val="24"/>
          <w:szCs w:val="24"/>
        </w:rPr>
        <w:t xml:space="preserve"> </w:t>
      </w:r>
    </w:p>
    <w:p w14:paraId="162123F4" w14:textId="78A6B954" w:rsidR="00A367D2" w:rsidRPr="001808CD" w:rsidRDefault="00C24D0C" w:rsidP="00A367D2">
      <w:pPr>
        <w:rPr>
          <w:rFonts w:ascii="Times New Roman" w:hAnsi="Times New Roman" w:cs="Times New Roman"/>
          <w:b/>
          <w:bCs/>
          <w:color w:val="0070C0"/>
          <w:sz w:val="24"/>
          <w:szCs w:val="24"/>
        </w:rPr>
      </w:pPr>
      <w:r>
        <w:rPr>
          <w:rFonts w:ascii="Times New Roman" w:hAnsi="Times New Roman" w:cs="Times New Roman"/>
          <w:sz w:val="24"/>
          <w:szCs w:val="24"/>
        </w:rPr>
        <w:t xml:space="preserve">Generally, “engineering enhancements” refer to anything that is done by persons (as opposed to natural features) to assist with GHG storage, primarily with regards to reducing risks of leakage, but also any measures to significantly enhancement reservoir properties. This may include, for example, remediating any existing wells from previous operations that </w:t>
      </w:r>
      <w:proofErr w:type="gramStart"/>
      <w:r>
        <w:rPr>
          <w:rFonts w:ascii="Times New Roman" w:hAnsi="Times New Roman" w:cs="Times New Roman"/>
          <w:sz w:val="24"/>
          <w:szCs w:val="24"/>
        </w:rPr>
        <w:t>penetrate into</w:t>
      </w:r>
      <w:proofErr w:type="gramEnd"/>
      <w:r>
        <w:rPr>
          <w:rFonts w:ascii="Times New Roman" w:hAnsi="Times New Roman" w:cs="Times New Roman"/>
          <w:sz w:val="24"/>
          <w:szCs w:val="24"/>
        </w:rPr>
        <w:t xml:space="preserve"> the storage formation, pressure management (such as injection and potential extraction of water, or increasing the injectivity potential via various methods.</w:t>
      </w:r>
    </w:p>
    <w:bookmarkEnd w:id="31"/>
    <w:p w14:paraId="27E5D0AE" w14:textId="39D8F275" w:rsidR="00683F0B" w:rsidRDefault="00D26A58" w:rsidP="005552D6">
      <w:pPr>
        <w:keepNext/>
        <w:rPr>
          <w:rFonts w:ascii="Times New Roman" w:hAnsi="Times New Roman" w:cs="Times New Roman"/>
          <w:sz w:val="24"/>
          <w:szCs w:val="24"/>
        </w:rPr>
      </w:pPr>
      <w:r>
        <w:rPr>
          <w:rFonts w:ascii="Times New Roman" w:hAnsi="Times New Roman" w:cs="Times New Roman"/>
          <w:b/>
          <w:bCs/>
          <w:sz w:val="24"/>
          <w:szCs w:val="24"/>
        </w:rPr>
        <w:lastRenderedPageBreak/>
        <w:t xml:space="preserve">Clause </w:t>
      </w:r>
      <w:r w:rsidR="009F393B">
        <w:rPr>
          <w:rFonts w:ascii="Times New Roman" w:hAnsi="Times New Roman" w:cs="Times New Roman"/>
          <w:b/>
          <w:bCs/>
          <w:sz w:val="24"/>
          <w:szCs w:val="24"/>
        </w:rPr>
        <w:t>1</w:t>
      </w:r>
      <w:r w:rsidR="00683F0B">
        <w:rPr>
          <w:rFonts w:ascii="Times New Roman" w:hAnsi="Times New Roman" w:cs="Times New Roman"/>
          <w:b/>
          <w:bCs/>
          <w:sz w:val="24"/>
          <w:szCs w:val="24"/>
        </w:rPr>
        <w:t>3 – Risk assessment analysis</w:t>
      </w:r>
    </w:p>
    <w:p w14:paraId="2DBE8532" w14:textId="4D108318" w:rsidR="00A82509" w:rsidRPr="00A82509" w:rsidRDefault="003C24B8" w:rsidP="0016414E">
      <w:pPr>
        <w:rPr>
          <w:rFonts w:ascii="Times New Roman" w:hAnsi="Times New Roman" w:cs="Times New Roman"/>
          <w:sz w:val="24"/>
          <w:szCs w:val="24"/>
        </w:rPr>
      </w:pPr>
      <w:r>
        <w:rPr>
          <w:rFonts w:ascii="Times New Roman" w:hAnsi="Times New Roman" w:cs="Times New Roman"/>
          <w:sz w:val="24"/>
          <w:szCs w:val="24"/>
        </w:rPr>
        <w:t xml:space="preserve">This clause </w:t>
      </w:r>
      <w:r w:rsidR="006825EF">
        <w:rPr>
          <w:rFonts w:ascii="Times New Roman" w:hAnsi="Times New Roman" w:cs="Times New Roman"/>
          <w:sz w:val="24"/>
          <w:szCs w:val="24"/>
        </w:rPr>
        <w:t xml:space="preserve">requires an application for a declaration of an identified GHG storage formation to include </w:t>
      </w:r>
      <w:r w:rsidR="00E60EAE">
        <w:rPr>
          <w:rFonts w:ascii="Times New Roman" w:hAnsi="Times New Roman" w:cs="Times New Roman"/>
          <w:sz w:val="24"/>
          <w:szCs w:val="24"/>
        </w:rPr>
        <w:t>details of</w:t>
      </w:r>
      <w:r w:rsidR="006825EF">
        <w:rPr>
          <w:rFonts w:ascii="Times New Roman" w:hAnsi="Times New Roman" w:cs="Times New Roman"/>
          <w:sz w:val="24"/>
          <w:szCs w:val="24"/>
        </w:rPr>
        <w:t xml:space="preserve"> the</w:t>
      </w:r>
      <w:r w:rsidR="00315F1A" w:rsidRPr="00315F1A">
        <w:rPr>
          <w:rFonts w:ascii="Times New Roman" w:hAnsi="Times New Roman" w:cs="Times New Roman"/>
          <w:sz w:val="24"/>
          <w:szCs w:val="24"/>
        </w:rPr>
        <w:t xml:space="preserve"> risk assessment analysis used by the applicant to support the engineering enhancements</w:t>
      </w:r>
      <w:r w:rsidR="006825EF">
        <w:rPr>
          <w:rFonts w:ascii="Times New Roman" w:hAnsi="Times New Roman" w:cs="Times New Roman"/>
          <w:sz w:val="24"/>
          <w:szCs w:val="24"/>
        </w:rPr>
        <w:t xml:space="preserve"> described in accordance with clause 12 of Schedule 1</w:t>
      </w:r>
      <w:r w:rsidR="00A82509">
        <w:rPr>
          <w:rFonts w:ascii="Times New Roman" w:hAnsi="Times New Roman" w:cs="Times New Roman"/>
          <w:sz w:val="24"/>
          <w:szCs w:val="24"/>
        </w:rPr>
        <w:t xml:space="preserve"> – see discussion above</w:t>
      </w:r>
      <w:r w:rsidR="006825EF">
        <w:rPr>
          <w:rFonts w:ascii="Times New Roman" w:hAnsi="Times New Roman" w:cs="Times New Roman"/>
          <w:sz w:val="24"/>
          <w:szCs w:val="24"/>
        </w:rPr>
        <w:t>. At the time that an application is submitted, understanding of the risks relating to containment of a GHG substance is likely to be lower, compared to at a later time (</w:t>
      </w:r>
      <w:proofErr w:type="gramStart"/>
      <w:r w:rsidR="006825EF">
        <w:rPr>
          <w:rFonts w:ascii="Times New Roman" w:hAnsi="Times New Roman" w:cs="Times New Roman"/>
          <w:sz w:val="24"/>
          <w:szCs w:val="24"/>
        </w:rPr>
        <w:t>e.g.</w:t>
      </w:r>
      <w:proofErr w:type="gramEnd"/>
      <w:r w:rsidR="006825EF">
        <w:rPr>
          <w:rFonts w:ascii="Times New Roman" w:hAnsi="Times New Roman" w:cs="Times New Roman"/>
          <w:sz w:val="24"/>
          <w:szCs w:val="24"/>
        </w:rPr>
        <w:t xml:space="preserve"> during operations). The risk assessment will therefore only be expected to reflect the level of project definition and maturity at the stage of the application. </w:t>
      </w:r>
    </w:p>
    <w:p w14:paraId="118DE7F3" w14:textId="56D31D72" w:rsidR="00683F0B" w:rsidRPr="00683F0B" w:rsidRDefault="00683F0B" w:rsidP="0016414E">
      <w:pPr>
        <w:rPr>
          <w:rFonts w:ascii="Times New Roman" w:hAnsi="Times New Roman" w:cs="Times New Roman"/>
          <w:sz w:val="32"/>
          <w:szCs w:val="32"/>
        </w:rPr>
      </w:pPr>
      <w:bookmarkStart w:id="32" w:name="_Hlk145409998"/>
      <w:r w:rsidRPr="00683F0B">
        <w:rPr>
          <w:rFonts w:ascii="Times New Roman" w:hAnsi="Times New Roman" w:cs="Times New Roman"/>
          <w:b/>
          <w:bCs/>
          <w:sz w:val="32"/>
          <w:szCs w:val="32"/>
        </w:rPr>
        <w:t>Schedule 2 – Information in Part B of draft site plan</w:t>
      </w:r>
    </w:p>
    <w:bookmarkEnd w:id="32"/>
    <w:p w14:paraId="05BCE38B" w14:textId="6C2B3FC0" w:rsidR="00683F0B" w:rsidRDefault="00EA5BE9" w:rsidP="00683F0B">
      <w:pPr>
        <w:rPr>
          <w:rFonts w:ascii="Times New Roman" w:hAnsi="Times New Roman" w:cs="Times New Roman"/>
          <w:sz w:val="24"/>
          <w:szCs w:val="24"/>
        </w:rPr>
      </w:pPr>
      <w:r>
        <w:rPr>
          <w:rFonts w:ascii="Times New Roman" w:hAnsi="Times New Roman" w:cs="Times New Roman"/>
          <w:sz w:val="24"/>
          <w:szCs w:val="24"/>
        </w:rPr>
        <w:t>A n</w:t>
      </w:r>
      <w:r w:rsidR="00913005" w:rsidRPr="00913005">
        <w:rPr>
          <w:rFonts w:ascii="Times New Roman" w:hAnsi="Times New Roman" w:cs="Times New Roman"/>
          <w:sz w:val="24"/>
          <w:szCs w:val="24"/>
        </w:rPr>
        <w:t>ote</w:t>
      </w:r>
      <w:r>
        <w:rPr>
          <w:rFonts w:ascii="Times New Roman" w:hAnsi="Times New Roman" w:cs="Times New Roman"/>
          <w:sz w:val="24"/>
          <w:szCs w:val="24"/>
        </w:rPr>
        <w:t xml:space="preserve"> points the reader to </w:t>
      </w:r>
      <w:r w:rsidR="00913005" w:rsidRPr="00913005">
        <w:rPr>
          <w:rFonts w:ascii="Times New Roman" w:hAnsi="Times New Roman" w:cs="Times New Roman"/>
          <w:sz w:val="24"/>
          <w:szCs w:val="24"/>
        </w:rPr>
        <w:t xml:space="preserve">paragraph </w:t>
      </w:r>
      <w:r w:rsidR="009F393B">
        <w:rPr>
          <w:rFonts w:ascii="Times New Roman" w:hAnsi="Times New Roman" w:cs="Times New Roman"/>
          <w:sz w:val="24"/>
          <w:szCs w:val="24"/>
        </w:rPr>
        <w:t>20</w:t>
      </w:r>
      <w:r w:rsidR="00913005" w:rsidRPr="00913005">
        <w:rPr>
          <w:rFonts w:ascii="Times New Roman" w:hAnsi="Times New Roman" w:cs="Times New Roman"/>
          <w:sz w:val="24"/>
          <w:szCs w:val="24"/>
        </w:rPr>
        <w:t>(1)(b)</w:t>
      </w:r>
      <w:r>
        <w:rPr>
          <w:rFonts w:ascii="Times New Roman" w:hAnsi="Times New Roman" w:cs="Times New Roman"/>
          <w:sz w:val="24"/>
          <w:szCs w:val="24"/>
        </w:rPr>
        <w:t xml:space="preserve"> of the</w:t>
      </w:r>
      <w:r w:rsidR="00612819">
        <w:rPr>
          <w:rFonts w:ascii="Times New Roman" w:hAnsi="Times New Roman" w:cs="Times New Roman"/>
          <w:sz w:val="24"/>
          <w:szCs w:val="24"/>
        </w:rPr>
        <w:t xml:space="preserve"> GHG</w:t>
      </w:r>
      <w:r>
        <w:rPr>
          <w:rFonts w:ascii="Times New Roman" w:hAnsi="Times New Roman" w:cs="Times New Roman"/>
          <w:sz w:val="24"/>
          <w:szCs w:val="24"/>
        </w:rPr>
        <w:t xml:space="preserve"> </w:t>
      </w:r>
      <w:r w:rsidR="00612819">
        <w:rPr>
          <w:rFonts w:ascii="Times New Roman" w:hAnsi="Times New Roman" w:cs="Times New Roman"/>
          <w:sz w:val="24"/>
          <w:szCs w:val="24"/>
        </w:rPr>
        <w:t>R</w:t>
      </w:r>
      <w:r>
        <w:rPr>
          <w:rFonts w:ascii="Times New Roman" w:hAnsi="Times New Roman" w:cs="Times New Roman"/>
          <w:sz w:val="24"/>
          <w:szCs w:val="24"/>
        </w:rPr>
        <w:t xml:space="preserve">egulations, </w:t>
      </w:r>
      <w:r w:rsidR="006462DC">
        <w:rPr>
          <w:rFonts w:ascii="Times New Roman" w:hAnsi="Times New Roman" w:cs="Times New Roman"/>
          <w:sz w:val="24"/>
          <w:szCs w:val="24"/>
        </w:rPr>
        <w:t xml:space="preserve">which requires Part B </w:t>
      </w:r>
      <w:r w:rsidR="001F47B1">
        <w:rPr>
          <w:rFonts w:ascii="Times New Roman" w:hAnsi="Times New Roman" w:cs="Times New Roman"/>
          <w:sz w:val="24"/>
          <w:szCs w:val="24"/>
        </w:rPr>
        <w:t xml:space="preserve">of a draft site plan </w:t>
      </w:r>
      <w:r w:rsidR="006462DC">
        <w:rPr>
          <w:rFonts w:ascii="Times New Roman" w:hAnsi="Times New Roman" w:cs="Times New Roman"/>
          <w:sz w:val="24"/>
          <w:szCs w:val="24"/>
        </w:rPr>
        <w:t xml:space="preserve">to set out the information </w:t>
      </w:r>
      <w:r w:rsidR="00612819">
        <w:rPr>
          <w:rFonts w:ascii="Times New Roman" w:hAnsi="Times New Roman" w:cs="Times New Roman"/>
          <w:sz w:val="24"/>
          <w:szCs w:val="24"/>
        </w:rPr>
        <w:t>specified in</w:t>
      </w:r>
      <w:r w:rsidR="006462DC">
        <w:rPr>
          <w:rFonts w:ascii="Times New Roman" w:hAnsi="Times New Roman" w:cs="Times New Roman"/>
          <w:sz w:val="24"/>
          <w:szCs w:val="24"/>
        </w:rPr>
        <w:t xml:space="preserve"> Schedule 2</w:t>
      </w:r>
      <w:r w:rsidR="00913005" w:rsidRPr="00913005">
        <w:rPr>
          <w:rFonts w:ascii="Times New Roman" w:hAnsi="Times New Roman" w:cs="Times New Roman"/>
          <w:sz w:val="24"/>
          <w:szCs w:val="24"/>
        </w:rPr>
        <w:t>.</w:t>
      </w:r>
      <w:r w:rsidR="005944B1">
        <w:rPr>
          <w:rFonts w:ascii="Times New Roman" w:hAnsi="Times New Roman" w:cs="Times New Roman"/>
          <w:sz w:val="24"/>
          <w:szCs w:val="24"/>
        </w:rPr>
        <w:t xml:space="preserve"> </w:t>
      </w:r>
    </w:p>
    <w:p w14:paraId="49ACD038" w14:textId="514A36F7" w:rsidR="00683F0B"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683F0B">
        <w:rPr>
          <w:rFonts w:ascii="Times New Roman" w:hAnsi="Times New Roman" w:cs="Times New Roman"/>
          <w:b/>
          <w:bCs/>
          <w:sz w:val="24"/>
          <w:szCs w:val="24"/>
        </w:rPr>
        <w:t>1 – Preliminary</w:t>
      </w:r>
    </w:p>
    <w:p w14:paraId="111C34CB" w14:textId="31C731F9" w:rsidR="00683F0B" w:rsidRDefault="00612819" w:rsidP="0016414E">
      <w:pPr>
        <w:rPr>
          <w:rFonts w:ascii="Times New Roman" w:hAnsi="Times New Roman" w:cs="Times New Roman"/>
          <w:sz w:val="24"/>
          <w:szCs w:val="24"/>
        </w:rPr>
      </w:pPr>
      <w:r>
        <w:rPr>
          <w:rFonts w:ascii="Times New Roman" w:hAnsi="Times New Roman" w:cs="Times New Roman"/>
          <w:sz w:val="24"/>
          <w:szCs w:val="24"/>
        </w:rPr>
        <w:t>Section 24 of the OPGGS Act states that a site plan, in relation to an identified GHG storage formation, is divided into two parts. Part B deals with “other matters”. C</w:t>
      </w:r>
      <w:r w:rsidR="00D26A58">
        <w:rPr>
          <w:rFonts w:ascii="Times New Roman" w:hAnsi="Times New Roman" w:cs="Times New Roman"/>
          <w:sz w:val="24"/>
          <w:szCs w:val="24"/>
        </w:rPr>
        <w:t xml:space="preserve">lause </w:t>
      </w:r>
      <w:r>
        <w:rPr>
          <w:rFonts w:ascii="Times New Roman" w:hAnsi="Times New Roman" w:cs="Times New Roman"/>
          <w:sz w:val="24"/>
          <w:szCs w:val="24"/>
        </w:rPr>
        <w:t xml:space="preserve">1 of Schedule 2 </w:t>
      </w:r>
      <w:r w:rsidR="00913005">
        <w:rPr>
          <w:rFonts w:ascii="Times New Roman" w:hAnsi="Times New Roman" w:cs="Times New Roman"/>
          <w:sz w:val="24"/>
          <w:szCs w:val="24"/>
        </w:rPr>
        <w:t xml:space="preserve">provides that </w:t>
      </w:r>
      <w:r w:rsidR="00913005" w:rsidRPr="00913005">
        <w:rPr>
          <w:rFonts w:ascii="Times New Roman" w:hAnsi="Times New Roman" w:cs="Times New Roman"/>
          <w:sz w:val="24"/>
          <w:szCs w:val="24"/>
        </w:rPr>
        <w:t xml:space="preserve">Schedule </w:t>
      </w:r>
      <w:r w:rsidR="00913005">
        <w:rPr>
          <w:rFonts w:ascii="Times New Roman" w:hAnsi="Times New Roman" w:cs="Times New Roman"/>
          <w:sz w:val="24"/>
          <w:szCs w:val="24"/>
        </w:rPr>
        <w:t xml:space="preserve">2 </w:t>
      </w:r>
      <w:r w:rsidR="00913005" w:rsidRPr="00913005">
        <w:rPr>
          <w:rFonts w:ascii="Times New Roman" w:hAnsi="Times New Roman" w:cs="Times New Roman"/>
          <w:sz w:val="24"/>
          <w:szCs w:val="24"/>
        </w:rPr>
        <w:t>specifies information that must be set out in Part B of a draft site plan that accompanies a</w:t>
      </w:r>
      <w:r>
        <w:rPr>
          <w:rFonts w:ascii="Times New Roman" w:hAnsi="Times New Roman" w:cs="Times New Roman"/>
          <w:sz w:val="24"/>
          <w:szCs w:val="24"/>
        </w:rPr>
        <w:t>n application for a GHG injection</w:t>
      </w:r>
      <w:r w:rsidR="00913005" w:rsidRPr="00913005">
        <w:rPr>
          <w:rFonts w:ascii="Times New Roman" w:hAnsi="Times New Roman" w:cs="Times New Roman"/>
          <w:sz w:val="24"/>
          <w:szCs w:val="24"/>
        </w:rPr>
        <w:t xml:space="preserve"> licence</w:t>
      </w:r>
      <w:r w:rsidR="00913005">
        <w:rPr>
          <w:rFonts w:ascii="Times New Roman" w:hAnsi="Times New Roman" w:cs="Times New Roman"/>
          <w:sz w:val="24"/>
          <w:szCs w:val="24"/>
        </w:rPr>
        <w:t>.</w:t>
      </w:r>
    </w:p>
    <w:p w14:paraId="191DB154" w14:textId="4BD40ED4" w:rsidR="00683F0B" w:rsidRDefault="00D26A58" w:rsidP="00046F39">
      <w:pPr>
        <w:keepNext/>
        <w:rPr>
          <w:rFonts w:ascii="Times New Roman" w:hAnsi="Times New Roman" w:cs="Times New Roman"/>
          <w:sz w:val="24"/>
          <w:szCs w:val="24"/>
        </w:rPr>
      </w:pPr>
      <w:r>
        <w:rPr>
          <w:rFonts w:ascii="Times New Roman" w:hAnsi="Times New Roman" w:cs="Times New Roman"/>
          <w:b/>
          <w:bCs/>
          <w:sz w:val="24"/>
          <w:szCs w:val="24"/>
        </w:rPr>
        <w:t xml:space="preserve">Clause </w:t>
      </w:r>
      <w:r w:rsidR="00683F0B">
        <w:rPr>
          <w:rFonts w:ascii="Times New Roman" w:hAnsi="Times New Roman" w:cs="Times New Roman"/>
          <w:b/>
          <w:bCs/>
          <w:sz w:val="24"/>
          <w:szCs w:val="24"/>
        </w:rPr>
        <w:t xml:space="preserve">2 – Operations planning and </w:t>
      </w:r>
      <w:proofErr w:type="gramStart"/>
      <w:r w:rsidR="00683F0B">
        <w:rPr>
          <w:rFonts w:ascii="Times New Roman" w:hAnsi="Times New Roman" w:cs="Times New Roman"/>
          <w:b/>
          <w:bCs/>
          <w:sz w:val="24"/>
          <w:szCs w:val="24"/>
        </w:rPr>
        <w:t>management</w:t>
      </w:r>
      <w:proofErr w:type="gramEnd"/>
    </w:p>
    <w:p w14:paraId="2C2B0CF5" w14:textId="21FF4642" w:rsidR="00AA66A3" w:rsidRDefault="00A77676" w:rsidP="0016414E">
      <w:pPr>
        <w:rPr>
          <w:rFonts w:ascii="Times New Roman" w:hAnsi="Times New Roman" w:cs="Times New Roman"/>
          <w:sz w:val="24"/>
          <w:szCs w:val="24"/>
        </w:rPr>
      </w:pPr>
      <w:r>
        <w:rPr>
          <w:rFonts w:ascii="Times New Roman" w:hAnsi="Times New Roman" w:cs="Times New Roman"/>
          <w:sz w:val="24"/>
          <w:szCs w:val="24"/>
        </w:rPr>
        <w:t>This clause requires Part B of a draft site plan to include i</w:t>
      </w:r>
      <w:r w:rsidR="00913005" w:rsidRPr="00913005">
        <w:rPr>
          <w:rFonts w:ascii="Times New Roman" w:hAnsi="Times New Roman" w:cs="Times New Roman"/>
          <w:sz w:val="24"/>
          <w:szCs w:val="24"/>
        </w:rPr>
        <w:t>nformation set out in sufficient detail to demonstrate that adequate planning has taken place in relation to the proposed operations for the plan</w:t>
      </w:r>
      <w:r>
        <w:rPr>
          <w:rFonts w:ascii="Times New Roman" w:hAnsi="Times New Roman" w:cs="Times New Roman"/>
          <w:sz w:val="24"/>
          <w:szCs w:val="24"/>
        </w:rPr>
        <w:t>, that would be carried out under the GHG injection licence (if granted)</w:t>
      </w:r>
      <w:r w:rsidR="00913005" w:rsidRPr="00913005">
        <w:rPr>
          <w:rFonts w:ascii="Times New Roman" w:hAnsi="Times New Roman" w:cs="Times New Roman"/>
          <w:sz w:val="24"/>
          <w:szCs w:val="24"/>
        </w:rPr>
        <w:t>.</w:t>
      </w:r>
      <w:r>
        <w:rPr>
          <w:rFonts w:ascii="Times New Roman" w:hAnsi="Times New Roman" w:cs="Times New Roman"/>
          <w:sz w:val="24"/>
          <w:szCs w:val="24"/>
        </w:rPr>
        <w:t xml:space="preserve"> The information would assist to assure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that adequate consideration has been given to the nature and manner of carrying out the proposed operations.  </w:t>
      </w:r>
    </w:p>
    <w:p w14:paraId="7EE90687" w14:textId="68EABB82" w:rsidR="00683F0B"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683F0B">
        <w:rPr>
          <w:rFonts w:ascii="Times New Roman" w:hAnsi="Times New Roman" w:cs="Times New Roman"/>
          <w:b/>
          <w:bCs/>
          <w:sz w:val="24"/>
          <w:szCs w:val="24"/>
        </w:rPr>
        <w:t>3 – Overview of proposed operations</w:t>
      </w:r>
    </w:p>
    <w:p w14:paraId="63132B6A" w14:textId="0797313F" w:rsidR="00D26A58" w:rsidRDefault="00683F0B" w:rsidP="00683F0B">
      <w:pPr>
        <w:rPr>
          <w:rFonts w:ascii="Times New Roman" w:hAnsi="Times New Roman" w:cs="Times New Roman"/>
          <w:sz w:val="24"/>
          <w:szCs w:val="24"/>
        </w:rPr>
      </w:pPr>
      <w:r>
        <w:rPr>
          <w:rFonts w:ascii="Times New Roman" w:hAnsi="Times New Roman" w:cs="Times New Roman"/>
          <w:sz w:val="24"/>
          <w:szCs w:val="24"/>
        </w:rPr>
        <w:t xml:space="preserve">This </w:t>
      </w:r>
      <w:r w:rsidR="00D26A58">
        <w:rPr>
          <w:rFonts w:ascii="Times New Roman" w:hAnsi="Times New Roman" w:cs="Times New Roman"/>
          <w:sz w:val="24"/>
          <w:szCs w:val="24"/>
        </w:rPr>
        <w:t xml:space="preserve">clause </w:t>
      </w:r>
      <w:r w:rsidR="00304F4C">
        <w:rPr>
          <w:rFonts w:ascii="Times New Roman" w:hAnsi="Times New Roman" w:cs="Times New Roman"/>
          <w:sz w:val="24"/>
          <w:szCs w:val="24"/>
        </w:rPr>
        <w:t xml:space="preserve">requires </w:t>
      </w:r>
      <w:r w:rsidR="00946695">
        <w:rPr>
          <w:rFonts w:ascii="Times New Roman" w:hAnsi="Times New Roman" w:cs="Times New Roman"/>
          <w:sz w:val="24"/>
          <w:szCs w:val="24"/>
        </w:rPr>
        <w:t xml:space="preserve">Part B of a draft site plan to include </w:t>
      </w:r>
      <w:r w:rsidR="00304F4C">
        <w:rPr>
          <w:rFonts w:ascii="Times New Roman" w:hAnsi="Times New Roman" w:cs="Times New Roman"/>
          <w:sz w:val="24"/>
          <w:szCs w:val="24"/>
        </w:rPr>
        <w:t>information about matters</w:t>
      </w:r>
      <w:r w:rsidR="00E43396">
        <w:rPr>
          <w:rFonts w:ascii="Times New Roman" w:hAnsi="Times New Roman" w:cs="Times New Roman"/>
          <w:sz w:val="24"/>
          <w:szCs w:val="24"/>
        </w:rPr>
        <w:t xml:space="preserve"> relating to the proposed operations</w:t>
      </w:r>
      <w:r w:rsidR="00946695">
        <w:rPr>
          <w:rFonts w:ascii="Times New Roman" w:hAnsi="Times New Roman" w:cs="Times New Roman"/>
          <w:sz w:val="24"/>
          <w:szCs w:val="24"/>
        </w:rPr>
        <w:t xml:space="preserve"> that would be carried out under a GHG injection licence (if granted). The information must include:</w:t>
      </w:r>
    </w:p>
    <w:p w14:paraId="4172F658" w14:textId="15DC4527" w:rsidR="00E43396" w:rsidRDefault="00E43396" w:rsidP="00304F4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w</w:t>
      </w:r>
      <w:r w:rsidRPr="00E43396">
        <w:rPr>
          <w:rFonts w:ascii="Times New Roman" w:hAnsi="Times New Roman" w:cs="Times New Roman"/>
          <w:sz w:val="24"/>
          <w:szCs w:val="24"/>
        </w:rPr>
        <w:t>hether the application is made by m</w:t>
      </w:r>
      <w:r w:rsidR="00304F4C" w:rsidRPr="00E43396">
        <w:rPr>
          <w:rFonts w:ascii="Times New Roman" w:hAnsi="Times New Roman" w:cs="Times New Roman"/>
          <w:sz w:val="24"/>
          <w:szCs w:val="24"/>
        </w:rPr>
        <w:t xml:space="preserve">ultiple </w:t>
      </w:r>
      <w:r w:rsidR="00946695">
        <w:rPr>
          <w:rFonts w:ascii="Times New Roman" w:hAnsi="Times New Roman" w:cs="Times New Roman"/>
          <w:sz w:val="24"/>
          <w:szCs w:val="24"/>
        </w:rPr>
        <w:t xml:space="preserve">registered </w:t>
      </w:r>
      <w:r w:rsidR="00304F4C" w:rsidRPr="00E43396">
        <w:rPr>
          <w:rFonts w:ascii="Times New Roman" w:hAnsi="Times New Roman" w:cs="Times New Roman"/>
          <w:sz w:val="24"/>
          <w:szCs w:val="24"/>
        </w:rPr>
        <w:t>holders</w:t>
      </w:r>
      <w:r w:rsidRPr="00E43396">
        <w:rPr>
          <w:rFonts w:ascii="Times New Roman" w:hAnsi="Times New Roman" w:cs="Times New Roman"/>
          <w:sz w:val="24"/>
          <w:szCs w:val="24"/>
        </w:rPr>
        <w:t xml:space="preserve"> </w:t>
      </w:r>
      <w:r w:rsidR="00A77676">
        <w:rPr>
          <w:rFonts w:ascii="Times New Roman" w:hAnsi="Times New Roman" w:cs="Times New Roman"/>
          <w:sz w:val="24"/>
          <w:szCs w:val="24"/>
        </w:rPr>
        <w:t xml:space="preserve">of a title under the OPGGS Act </w:t>
      </w:r>
      <w:r w:rsidR="00304F4C" w:rsidRPr="00E43396">
        <w:rPr>
          <w:rFonts w:ascii="Times New Roman" w:hAnsi="Times New Roman" w:cs="Times New Roman"/>
          <w:sz w:val="24"/>
          <w:szCs w:val="24"/>
        </w:rPr>
        <w:t>and</w:t>
      </w:r>
      <w:r w:rsidR="00A77676">
        <w:rPr>
          <w:rFonts w:ascii="Times New Roman" w:hAnsi="Times New Roman" w:cs="Times New Roman"/>
          <w:sz w:val="24"/>
          <w:szCs w:val="24"/>
        </w:rPr>
        <w:t>, if so,</w:t>
      </w:r>
      <w:r w:rsidRPr="00E43396">
        <w:rPr>
          <w:rFonts w:ascii="Times New Roman" w:hAnsi="Times New Roman" w:cs="Times New Roman"/>
          <w:sz w:val="24"/>
          <w:szCs w:val="24"/>
        </w:rPr>
        <w:t xml:space="preserve"> </w:t>
      </w:r>
      <w:r w:rsidR="00304F4C" w:rsidRPr="00E43396">
        <w:rPr>
          <w:rFonts w:ascii="Times New Roman" w:hAnsi="Times New Roman" w:cs="Times New Roman"/>
          <w:sz w:val="24"/>
          <w:szCs w:val="24"/>
        </w:rPr>
        <w:t>details of any joint venture arrangements between the</w:t>
      </w:r>
      <w:r w:rsidRPr="00E43396">
        <w:rPr>
          <w:rFonts w:ascii="Times New Roman" w:hAnsi="Times New Roman" w:cs="Times New Roman"/>
          <w:sz w:val="24"/>
          <w:szCs w:val="24"/>
        </w:rPr>
        <w:t>m</w:t>
      </w:r>
    </w:p>
    <w:p w14:paraId="7C1DF5C2" w14:textId="6C1BC2DD" w:rsidR="00E43396" w:rsidRDefault="00E43396" w:rsidP="00A240C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d</w:t>
      </w:r>
      <w:r w:rsidR="00304F4C" w:rsidRPr="00E43396">
        <w:rPr>
          <w:rFonts w:ascii="Times New Roman" w:hAnsi="Times New Roman" w:cs="Times New Roman"/>
          <w:sz w:val="24"/>
          <w:szCs w:val="24"/>
        </w:rPr>
        <w:t xml:space="preserve">etails of any commercial agreements, or negotiations undertaken, with suppliers of </w:t>
      </w:r>
      <w:r w:rsidRPr="00E43396">
        <w:rPr>
          <w:rFonts w:ascii="Times New Roman" w:hAnsi="Times New Roman" w:cs="Times New Roman"/>
          <w:sz w:val="24"/>
          <w:szCs w:val="24"/>
        </w:rPr>
        <w:t xml:space="preserve">GHG </w:t>
      </w:r>
      <w:r w:rsidR="00304F4C" w:rsidRPr="00E43396">
        <w:rPr>
          <w:rFonts w:ascii="Times New Roman" w:hAnsi="Times New Roman" w:cs="Times New Roman"/>
          <w:sz w:val="24"/>
          <w:szCs w:val="24"/>
        </w:rPr>
        <w:t>gas substances</w:t>
      </w:r>
      <w:r w:rsidR="00E60EAE">
        <w:rPr>
          <w:rFonts w:ascii="Times New Roman" w:hAnsi="Times New Roman" w:cs="Times New Roman"/>
          <w:sz w:val="24"/>
          <w:szCs w:val="24"/>
        </w:rPr>
        <w:t xml:space="preserve"> in relation to the injection of a GHG substance into the formation</w:t>
      </w:r>
    </w:p>
    <w:p w14:paraId="7C3B4402" w14:textId="7DD8AC96" w:rsidR="00E43396" w:rsidRPr="00E43396" w:rsidRDefault="00E43396" w:rsidP="00995C92">
      <w:pPr>
        <w:pStyle w:val="ListParagraph"/>
        <w:numPr>
          <w:ilvl w:val="0"/>
          <w:numId w:val="18"/>
        </w:numPr>
      </w:pPr>
      <w:r>
        <w:rPr>
          <w:rFonts w:ascii="Times New Roman" w:hAnsi="Times New Roman" w:cs="Times New Roman"/>
          <w:sz w:val="24"/>
          <w:szCs w:val="24"/>
        </w:rPr>
        <w:t>a</w:t>
      </w:r>
      <w:r w:rsidRPr="00E43396">
        <w:rPr>
          <w:rFonts w:ascii="Times New Roman" w:hAnsi="Times New Roman" w:cs="Times New Roman"/>
          <w:sz w:val="24"/>
          <w:szCs w:val="24"/>
        </w:rPr>
        <w:t xml:space="preserve"> description of </w:t>
      </w:r>
      <w:r>
        <w:rPr>
          <w:rFonts w:ascii="Times New Roman" w:hAnsi="Times New Roman" w:cs="Times New Roman"/>
          <w:sz w:val="24"/>
          <w:szCs w:val="24"/>
        </w:rPr>
        <w:t xml:space="preserve">the </w:t>
      </w:r>
      <w:r w:rsidRPr="00E43396">
        <w:rPr>
          <w:rFonts w:ascii="Times New Roman" w:hAnsi="Times New Roman" w:cs="Times New Roman"/>
          <w:sz w:val="24"/>
          <w:szCs w:val="24"/>
        </w:rPr>
        <w:t>i</w:t>
      </w:r>
      <w:r w:rsidR="00304F4C" w:rsidRPr="00E43396">
        <w:rPr>
          <w:rFonts w:ascii="Times New Roman" w:hAnsi="Times New Roman" w:cs="Times New Roman"/>
          <w:sz w:val="24"/>
          <w:szCs w:val="24"/>
        </w:rPr>
        <w:t>nfrastructure facilities</w:t>
      </w:r>
      <w:r w:rsidR="00E60EAE">
        <w:rPr>
          <w:rFonts w:ascii="Times New Roman" w:hAnsi="Times New Roman" w:cs="Times New Roman"/>
          <w:sz w:val="24"/>
          <w:szCs w:val="24"/>
        </w:rPr>
        <w:t xml:space="preserve"> for engaging in the activities</w:t>
      </w:r>
      <w:r w:rsidR="00304F4C" w:rsidRPr="00E43396">
        <w:rPr>
          <w:rFonts w:ascii="Times New Roman" w:hAnsi="Times New Roman" w:cs="Times New Roman"/>
          <w:sz w:val="24"/>
          <w:szCs w:val="24"/>
        </w:rPr>
        <w:t xml:space="preserve"> </w:t>
      </w:r>
      <w:r w:rsidRPr="00E43396">
        <w:rPr>
          <w:rFonts w:ascii="Times New Roman" w:hAnsi="Times New Roman" w:cs="Times New Roman"/>
          <w:sz w:val="24"/>
          <w:szCs w:val="24"/>
        </w:rPr>
        <w:t xml:space="preserve">involved in the </w:t>
      </w:r>
      <w:r w:rsidR="00946695">
        <w:rPr>
          <w:rFonts w:ascii="Times New Roman" w:hAnsi="Times New Roman" w:cs="Times New Roman"/>
          <w:sz w:val="24"/>
          <w:szCs w:val="24"/>
        </w:rPr>
        <w:t xml:space="preserve">proposed </w:t>
      </w:r>
      <w:r w:rsidRPr="00E43396">
        <w:rPr>
          <w:rFonts w:ascii="Times New Roman" w:hAnsi="Times New Roman" w:cs="Times New Roman"/>
          <w:sz w:val="24"/>
          <w:szCs w:val="24"/>
        </w:rPr>
        <w:t xml:space="preserve">operations </w:t>
      </w:r>
      <w:r w:rsidR="00304F4C" w:rsidRPr="00E43396">
        <w:rPr>
          <w:rFonts w:ascii="Times New Roman" w:hAnsi="Times New Roman" w:cs="Times New Roman"/>
          <w:sz w:val="24"/>
          <w:szCs w:val="24"/>
        </w:rPr>
        <w:t xml:space="preserve">and </w:t>
      </w:r>
      <w:r w:rsidRPr="00E43396">
        <w:rPr>
          <w:rFonts w:ascii="Times New Roman" w:hAnsi="Times New Roman" w:cs="Times New Roman"/>
          <w:sz w:val="24"/>
          <w:szCs w:val="24"/>
        </w:rPr>
        <w:t>details</w:t>
      </w:r>
      <w:r w:rsidR="00E60EAE">
        <w:rPr>
          <w:rFonts w:ascii="Times New Roman" w:hAnsi="Times New Roman" w:cs="Times New Roman"/>
          <w:sz w:val="24"/>
          <w:szCs w:val="24"/>
        </w:rPr>
        <w:t>, as specified in paragraph 3(3)(b) of Schedule 2,</w:t>
      </w:r>
      <w:r w:rsidRPr="00E43396">
        <w:rPr>
          <w:rFonts w:ascii="Times New Roman" w:hAnsi="Times New Roman" w:cs="Times New Roman"/>
          <w:sz w:val="24"/>
          <w:szCs w:val="24"/>
        </w:rPr>
        <w:t xml:space="preserve"> of each kind of GHG</w:t>
      </w:r>
      <w:r w:rsidR="00304F4C" w:rsidRPr="00E43396">
        <w:rPr>
          <w:rFonts w:ascii="Times New Roman" w:hAnsi="Times New Roman" w:cs="Times New Roman"/>
          <w:sz w:val="24"/>
          <w:szCs w:val="24"/>
        </w:rPr>
        <w:t xml:space="preserve"> substance</w:t>
      </w:r>
      <w:r w:rsidRPr="00E43396">
        <w:rPr>
          <w:rFonts w:ascii="Times New Roman" w:hAnsi="Times New Roman" w:cs="Times New Roman"/>
          <w:sz w:val="24"/>
          <w:szCs w:val="24"/>
        </w:rPr>
        <w:t xml:space="preserve"> that </w:t>
      </w:r>
      <w:r w:rsidR="00946695">
        <w:rPr>
          <w:rFonts w:ascii="Times New Roman" w:hAnsi="Times New Roman" w:cs="Times New Roman"/>
          <w:sz w:val="24"/>
          <w:szCs w:val="24"/>
        </w:rPr>
        <w:t>is proposed to b</w:t>
      </w:r>
      <w:r w:rsidRPr="00E43396">
        <w:rPr>
          <w:rFonts w:ascii="Times New Roman" w:hAnsi="Times New Roman" w:cs="Times New Roman"/>
          <w:sz w:val="24"/>
          <w:szCs w:val="24"/>
        </w:rPr>
        <w:t xml:space="preserve">e </w:t>
      </w:r>
      <w:proofErr w:type="gramStart"/>
      <w:r w:rsidRPr="00E43396">
        <w:rPr>
          <w:rFonts w:ascii="Times New Roman" w:hAnsi="Times New Roman" w:cs="Times New Roman"/>
          <w:sz w:val="24"/>
          <w:szCs w:val="24"/>
        </w:rPr>
        <w:t>injected</w:t>
      </w:r>
      <w:proofErr w:type="gramEnd"/>
    </w:p>
    <w:p w14:paraId="72AC81A2" w14:textId="15F7B410" w:rsidR="00E43396" w:rsidRPr="00E43396" w:rsidRDefault="00E43396" w:rsidP="00E4339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w:t>
      </w:r>
      <w:r w:rsidR="00304F4C" w:rsidRPr="00E43396">
        <w:rPr>
          <w:rFonts w:ascii="Times New Roman" w:hAnsi="Times New Roman" w:cs="Times New Roman"/>
          <w:sz w:val="24"/>
          <w:szCs w:val="24"/>
        </w:rPr>
        <w:t xml:space="preserve"> schedule for carrying out the </w:t>
      </w:r>
      <w:r w:rsidR="00946695">
        <w:rPr>
          <w:rFonts w:ascii="Times New Roman" w:hAnsi="Times New Roman" w:cs="Times New Roman"/>
          <w:sz w:val="24"/>
          <w:szCs w:val="24"/>
        </w:rPr>
        <w:t xml:space="preserve">proposed </w:t>
      </w:r>
      <w:r w:rsidR="00304F4C" w:rsidRPr="00E43396">
        <w:rPr>
          <w:rFonts w:ascii="Times New Roman" w:hAnsi="Times New Roman" w:cs="Times New Roman"/>
          <w:sz w:val="24"/>
          <w:szCs w:val="24"/>
        </w:rPr>
        <w:t xml:space="preserve">operations, including the timing for each major </w:t>
      </w:r>
      <w:proofErr w:type="gramStart"/>
      <w:r w:rsidR="00304F4C" w:rsidRPr="00E43396">
        <w:rPr>
          <w:rFonts w:ascii="Times New Roman" w:hAnsi="Times New Roman" w:cs="Times New Roman"/>
          <w:sz w:val="24"/>
          <w:szCs w:val="24"/>
        </w:rPr>
        <w:t>mileston</w:t>
      </w:r>
      <w:r w:rsidRPr="00E43396">
        <w:rPr>
          <w:rFonts w:ascii="Times New Roman" w:hAnsi="Times New Roman" w:cs="Times New Roman"/>
          <w:sz w:val="24"/>
          <w:szCs w:val="24"/>
        </w:rPr>
        <w:t>e</w:t>
      </w:r>
      <w:proofErr w:type="gramEnd"/>
      <w:r w:rsidRPr="00E43396">
        <w:rPr>
          <w:rFonts w:ascii="Times New Roman" w:hAnsi="Times New Roman" w:cs="Times New Roman"/>
          <w:sz w:val="24"/>
          <w:szCs w:val="24"/>
        </w:rPr>
        <w:t xml:space="preserve"> </w:t>
      </w:r>
    </w:p>
    <w:p w14:paraId="2E525382" w14:textId="673E3296" w:rsidR="00304F4C" w:rsidRDefault="00E43396" w:rsidP="00E4339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w:t>
      </w:r>
      <w:r w:rsidR="00304F4C" w:rsidRPr="00E43396">
        <w:rPr>
          <w:rFonts w:ascii="Times New Roman" w:hAnsi="Times New Roman" w:cs="Times New Roman"/>
          <w:sz w:val="24"/>
          <w:szCs w:val="24"/>
        </w:rPr>
        <w:t xml:space="preserve">nformation about significant works and upgrades that are planned over the life of the </w:t>
      </w:r>
      <w:r w:rsidR="00946695">
        <w:rPr>
          <w:rFonts w:ascii="Times New Roman" w:hAnsi="Times New Roman" w:cs="Times New Roman"/>
          <w:sz w:val="24"/>
          <w:szCs w:val="24"/>
        </w:rPr>
        <w:t xml:space="preserve">proposed </w:t>
      </w:r>
      <w:r w:rsidR="00304F4C" w:rsidRPr="00E43396">
        <w:rPr>
          <w:rFonts w:ascii="Times New Roman" w:hAnsi="Times New Roman" w:cs="Times New Roman"/>
          <w:sz w:val="24"/>
          <w:szCs w:val="24"/>
        </w:rPr>
        <w:t>operations.</w:t>
      </w:r>
    </w:p>
    <w:p w14:paraId="0826B316" w14:textId="2276306F" w:rsidR="00280394" w:rsidRDefault="00280394" w:rsidP="00B006BC">
      <w:pPr>
        <w:rPr>
          <w:rFonts w:ascii="Times New Roman" w:hAnsi="Times New Roman" w:cs="Times New Roman"/>
          <w:sz w:val="24"/>
          <w:szCs w:val="24"/>
        </w:rPr>
      </w:pPr>
      <w:r>
        <w:rPr>
          <w:rFonts w:ascii="Times New Roman" w:hAnsi="Times New Roman" w:cs="Times New Roman"/>
          <w:sz w:val="24"/>
          <w:szCs w:val="24"/>
        </w:rPr>
        <w:lastRenderedPageBreak/>
        <w:t>In relation to details of commercial agreements or negotiations undertaken with suppliers of GHG substances,</w:t>
      </w:r>
      <w:r w:rsidR="00CD269C">
        <w:rPr>
          <w:rFonts w:ascii="Times New Roman" w:hAnsi="Times New Roman" w:cs="Times New Roman"/>
          <w:sz w:val="24"/>
          <w:szCs w:val="24"/>
        </w:rPr>
        <w:t xml:space="preserve"> it is</w:t>
      </w:r>
      <w:r>
        <w:rPr>
          <w:rFonts w:ascii="Times New Roman" w:hAnsi="Times New Roman" w:cs="Times New Roman"/>
          <w:sz w:val="24"/>
          <w:szCs w:val="24"/>
        </w:rPr>
        <w:t xml:space="preserve"> </w:t>
      </w:r>
      <w:r w:rsidR="00FD3D68">
        <w:rPr>
          <w:rFonts w:ascii="Times New Roman" w:hAnsi="Times New Roman" w:cs="Times New Roman"/>
          <w:sz w:val="24"/>
          <w:szCs w:val="24"/>
        </w:rPr>
        <w:t xml:space="preserve">important </w:t>
      </w:r>
      <w:r w:rsidR="00CD269C">
        <w:rPr>
          <w:rFonts w:ascii="Times New Roman" w:hAnsi="Times New Roman" w:cs="Times New Roman"/>
          <w:sz w:val="24"/>
          <w:szCs w:val="24"/>
        </w:rPr>
        <w:t xml:space="preserve">for the </w:t>
      </w:r>
      <w:r w:rsidR="003947B2">
        <w:rPr>
          <w:rFonts w:ascii="Times New Roman" w:hAnsi="Times New Roman" w:cs="Times New Roman"/>
          <w:sz w:val="24"/>
          <w:szCs w:val="24"/>
        </w:rPr>
        <w:t xml:space="preserve">responsible Commonwealth </w:t>
      </w:r>
      <w:r w:rsidR="00CD269C">
        <w:rPr>
          <w:rFonts w:ascii="Times New Roman" w:hAnsi="Times New Roman" w:cs="Times New Roman"/>
          <w:sz w:val="24"/>
          <w:szCs w:val="24"/>
        </w:rPr>
        <w:t xml:space="preserve">Minister </w:t>
      </w:r>
      <w:r w:rsidR="00FD3D68">
        <w:rPr>
          <w:rFonts w:ascii="Times New Roman" w:hAnsi="Times New Roman" w:cs="Times New Roman"/>
          <w:sz w:val="24"/>
          <w:szCs w:val="24"/>
        </w:rPr>
        <w:t xml:space="preserve">to </w:t>
      </w:r>
      <w:r w:rsidR="002C561E">
        <w:rPr>
          <w:rFonts w:ascii="Times New Roman" w:hAnsi="Times New Roman" w:cs="Times New Roman"/>
          <w:sz w:val="24"/>
          <w:szCs w:val="24"/>
        </w:rPr>
        <w:t>obtain</w:t>
      </w:r>
      <w:r w:rsidR="00CD269C">
        <w:rPr>
          <w:rFonts w:ascii="Times New Roman" w:hAnsi="Times New Roman" w:cs="Times New Roman"/>
          <w:sz w:val="24"/>
          <w:szCs w:val="24"/>
        </w:rPr>
        <w:t xml:space="preserve"> an </w:t>
      </w:r>
      <w:r w:rsidR="00FD3D68">
        <w:rPr>
          <w:rFonts w:ascii="Times New Roman" w:hAnsi="Times New Roman" w:cs="Times New Roman"/>
          <w:sz w:val="24"/>
          <w:szCs w:val="24"/>
        </w:rPr>
        <w:t>understand</w:t>
      </w:r>
      <w:r w:rsidR="00CD269C">
        <w:rPr>
          <w:rFonts w:ascii="Times New Roman" w:hAnsi="Times New Roman" w:cs="Times New Roman"/>
          <w:sz w:val="24"/>
          <w:szCs w:val="24"/>
        </w:rPr>
        <w:t>ing of the source and certainty of potential GHG streams that will support the ongoing viability of operations. Under section 736 of the OPGGS Act, a document accompanying an application for a GHG</w:t>
      </w:r>
      <w:r w:rsidR="006F4AA4">
        <w:rPr>
          <w:rFonts w:ascii="Times New Roman" w:hAnsi="Times New Roman" w:cs="Times New Roman"/>
          <w:sz w:val="24"/>
          <w:szCs w:val="24"/>
        </w:rPr>
        <w:t> </w:t>
      </w:r>
      <w:r w:rsidR="00CD269C">
        <w:rPr>
          <w:rFonts w:ascii="Times New Roman" w:hAnsi="Times New Roman" w:cs="Times New Roman"/>
          <w:sz w:val="24"/>
          <w:szCs w:val="24"/>
        </w:rPr>
        <w:t xml:space="preserve">injection licence is an “applicable document”. This includes a draft site plan submitted with an application for a licence. Confidentiality provisions apply to information contained in an applicable document under Part 8.3 of the OPGGS Act. For example, the </w:t>
      </w:r>
      <w:r w:rsidR="003947B2">
        <w:rPr>
          <w:rFonts w:ascii="Times New Roman" w:hAnsi="Times New Roman" w:cs="Times New Roman"/>
          <w:sz w:val="24"/>
          <w:szCs w:val="24"/>
        </w:rPr>
        <w:t xml:space="preserve">responsible Commonwealth </w:t>
      </w:r>
      <w:r w:rsidR="00CD269C">
        <w:rPr>
          <w:rFonts w:ascii="Times New Roman" w:hAnsi="Times New Roman" w:cs="Times New Roman"/>
          <w:sz w:val="24"/>
          <w:szCs w:val="24"/>
        </w:rPr>
        <w:t xml:space="preserve">Minister and NOPTA must not make the information publicly available, or make the information known to another person (other than a Commonwealth, State or Northern Territory Minister), unless the Minister or NOPTA does so in accordance with </w:t>
      </w:r>
      <w:proofErr w:type="gramStart"/>
      <w:r w:rsidR="00CD269C">
        <w:rPr>
          <w:rFonts w:ascii="Times New Roman" w:hAnsi="Times New Roman" w:cs="Times New Roman"/>
          <w:sz w:val="24"/>
          <w:szCs w:val="24"/>
        </w:rPr>
        <w:t>particular regulations</w:t>
      </w:r>
      <w:proofErr w:type="gramEnd"/>
      <w:r w:rsidR="00CD269C">
        <w:rPr>
          <w:rFonts w:ascii="Times New Roman" w:hAnsi="Times New Roman" w:cs="Times New Roman"/>
          <w:sz w:val="24"/>
          <w:szCs w:val="24"/>
        </w:rPr>
        <w:t xml:space="preserve"> or for the purposes of the administration of the OPGGS Act or regulations.</w:t>
      </w:r>
    </w:p>
    <w:p w14:paraId="47F565D1" w14:textId="2526A72D" w:rsidR="00280394" w:rsidRPr="00B006BC" w:rsidRDefault="00280394" w:rsidP="00B006BC">
      <w:pPr>
        <w:rPr>
          <w:rFonts w:ascii="Times New Roman" w:hAnsi="Times New Roman" w:cs="Times New Roman"/>
          <w:sz w:val="24"/>
          <w:szCs w:val="24"/>
        </w:rPr>
      </w:pPr>
      <w:r>
        <w:rPr>
          <w:rFonts w:ascii="Times New Roman" w:hAnsi="Times New Roman" w:cs="Times New Roman"/>
          <w:sz w:val="24"/>
          <w:szCs w:val="24"/>
        </w:rPr>
        <w:t>In relation to i</w:t>
      </w:r>
      <w:r w:rsidRPr="00E43396">
        <w:rPr>
          <w:rFonts w:ascii="Times New Roman" w:hAnsi="Times New Roman" w:cs="Times New Roman"/>
          <w:sz w:val="24"/>
          <w:szCs w:val="24"/>
        </w:rPr>
        <w:t xml:space="preserve">nformation about significant works and upgrades that are planned over the life of the </w:t>
      </w:r>
      <w:r w:rsidR="005E633F">
        <w:rPr>
          <w:rFonts w:ascii="Times New Roman" w:hAnsi="Times New Roman" w:cs="Times New Roman"/>
          <w:sz w:val="24"/>
          <w:szCs w:val="24"/>
        </w:rPr>
        <w:t xml:space="preserve">proposed </w:t>
      </w:r>
      <w:r w:rsidRPr="00E43396">
        <w:rPr>
          <w:rFonts w:ascii="Times New Roman" w:hAnsi="Times New Roman" w:cs="Times New Roman"/>
          <w:sz w:val="24"/>
          <w:szCs w:val="24"/>
        </w:rPr>
        <w:t>operations</w:t>
      </w:r>
      <w:r w:rsidR="005E633F">
        <w:rPr>
          <w:rFonts w:ascii="Times New Roman" w:hAnsi="Times New Roman" w:cs="Times New Roman"/>
          <w:sz w:val="24"/>
          <w:szCs w:val="24"/>
        </w:rPr>
        <w:t xml:space="preserve"> (subclause (5))</w:t>
      </w:r>
      <w:r>
        <w:rPr>
          <w:rFonts w:ascii="Times New Roman" w:hAnsi="Times New Roman" w:cs="Times New Roman"/>
          <w:sz w:val="24"/>
          <w:szCs w:val="24"/>
        </w:rPr>
        <w:t xml:space="preserve">, </w:t>
      </w:r>
      <w:r w:rsidRPr="00280394">
        <w:rPr>
          <w:rFonts w:ascii="Times New Roman" w:hAnsi="Times New Roman" w:cs="Times New Roman"/>
          <w:sz w:val="24"/>
          <w:szCs w:val="24"/>
        </w:rPr>
        <w:t>the information</w:t>
      </w:r>
      <w:r w:rsidR="005E633F">
        <w:rPr>
          <w:rFonts w:ascii="Times New Roman" w:hAnsi="Times New Roman" w:cs="Times New Roman"/>
          <w:sz w:val="24"/>
          <w:szCs w:val="24"/>
        </w:rPr>
        <w:t xml:space="preserve"> expected to be provided</w:t>
      </w:r>
      <w:r w:rsidRPr="00280394">
        <w:rPr>
          <w:rFonts w:ascii="Times New Roman" w:hAnsi="Times New Roman" w:cs="Times New Roman"/>
          <w:sz w:val="24"/>
          <w:szCs w:val="24"/>
        </w:rPr>
        <w:t xml:space="preserve"> would only be that which is reasonably known to the applicant at the time</w:t>
      </w:r>
      <w:r w:rsidR="005E633F">
        <w:rPr>
          <w:rFonts w:ascii="Times New Roman" w:hAnsi="Times New Roman" w:cs="Times New Roman"/>
          <w:sz w:val="24"/>
          <w:szCs w:val="24"/>
        </w:rPr>
        <w:t>, given the length of time over which operations to inject and permanently store GHG substances are conducted</w:t>
      </w:r>
      <w:r w:rsidRPr="00280394">
        <w:rPr>
          <w:rFonts w:ascii="Times New Roman" w:hAnsi="Times New Roman" w:cs="Times New Roman"/>
          <w:sz w:val="24"/>
          <w:szCs w:val="24"/>
        </w:rPr>
        <w:t xml:space="preserve">. </w:t>
      </w:r>
      <w:r>
        <w:rPr>
          <w:rFonts w:ascii="Times New Roman" w:hAnsi="Times New Roman" w:cs="Times New Roman"/>
          <w:sz w:val="24"/>
          <w:szCs w:val="24"/>
        </w:rPr>
        <w:t>An approved</w:t>
      </w:r>
      <w:r w:rsidRPr="00280394">
        <w:rPr>
          <w:rFonts w:ascii="Times New Roman" w:hAnsi="Times New Roman" w:cs="Times New Roman"/>
          <w:sz w:val="24"/>
          <w:szCs w:val="24"/>
        </w:rPr>
        <w:t xml:space="preserve"> site plan </w:t>
      </w:r>
      <w:r>
        <w:rPr>
          <w:rFonts w:ascii="Times New Roman" w:hAnsi="Times New Roman" w:cs="Times New Roman"/>
          <w:sz w:val="24"/>
          <w:szCs w:val="24"/>
        </w:rPr>
        <w:t>may later be varied to take account of updates</w:t>
      </w:r>
      <w:r w:rsidR="005E633F">
        <w:rPr>
          <w:rFonts w:ascii="Times New Roman" w:hAnsi="Times New Roman" w:cs="Times New Roman"/>
          <w:sz w:val="24"/>
          <w:szCs w:val="24"/>
        </w:rPr>
        <w:t>, such as</w:t>
      </w:r>
      <w:r>
        <w:rPr>
          <w:rFonts w:ascii="Times New Roman" w:hAnsi="Times New Roman" w:cs="Times New Roman"/>
          <w:sz w:val="24"/>
          <w:szCs w:val="24"/>
        </w:rPr>
        <w:t xml:space="preserve"> </w:t>
      </w:r>
      <w:r w:rsidR="005E633F">
        <w:rPr>
          <w:rFonts w:ascii="Times New Roman" w:hAnsi="Times New Roman" w:cs="Times New Roman"/>
          <w:sz w:val="24"/>
          <w:szCs w:val="24"/>
        </w:rPr>
        <w:t>for the purposes of a five-year</w:t>
      </w:r>
      <w:r>
        <w:rPr>
          <w:rFonts w:ascii="Times New Roman" w:hAnsi="Times New Roman" w:cs="Times New Roman"/>
          <w:sz w:val="24"/>
          <w:szCs w:val="24"/>
        </w:rPr>
        <w:t xml:space="preserve"> </w:t>
      </w:r>
      <w:r w:rsidRPr="00280394">
        <w:rPr>
          <w:rFonts w:ascii="Times New Roman" w:hAnsi="Times New Roman" w:cs="Times New Roman"/>
          <w:sz w:val="24"/>
          <w:szCs w:val="24"/>
        </w:rPr>
        <w:t>review</w:t>
      </w:r>
      <w:r>
        <w:rPr>
          <w:rFonts w:ascii="Times New Roman" w:hAnsi="Times New Roman" w:cs="Times New Roman"/>
          <w:sz w:val="24"/>
          <w:szCs w:val="24"/>
        </w:rPr>
        <w:t xml:space="preserve"> or where </w:t>
      </w:r>
      <w:r w:rsidR="004446E9">
        <w:rPr>
          <w:rFonts w:ascii="Times New Roman" w:hAnsi="Times New Roman" w:cs="Times New Roman"/>
          <w:sz w:val="24"/>
          <w:szCs w:val="24"/>
        </w:rPr>
        <w:t xml:space="preserve">the licensee proposes </w:t>
      </w:r>
      <w:r w:rsidRPr="00280394">
        <w:rPr>
          <w:rFonts w:ascii="Times New Roman" w:hAnsi="Times New Roman" w:cs="Times New Roman"/>
          <w:sz w:val="24"/>
          <w:szCs w:val="24"/>
        </w:rPr>
        <w:t>certain changes to operations</w:t>
      </w:r>
      <w:r>
        <w:rPr>
          <w:rFonts w:ascii="Times New Roman" w:hAnsi="Times New Roman" w:cs="Times New Roman"/>
          <w:sz w:val="24"/>
          <w:szCs w:val="24"/>
        </w:rPr>
        <w:t xml:space="preserve"> (see </w:t>
      </w:r>
      <w:r w:rsidR="005E633F">
        <w:rPr>
          <w:rFonts w:ascii="Times New Roman" w:hAnsi="Times New Roman" w:cs="Times New Roman"/>
          <w:sz w:val="24"/>
          <w:szCs w:val="24"/>
        </w:rPr>
        <w:t xml:space="preserve">the discussion of </w:t>
      </w:r>
      <w:r>
        <w:rPr>
          <w:rFonts w:ascii="Times New Roman" w:hAnsi="Times New Roman" w:cs="Times New Roman"/>
          <w:sz w:val="24"/>
          <w:szCs w:val="24"/>
        </w:rPr>
        <w:t xml:space="preserve">sections 36 </w:t>
      </w:r>
      <w:r w:rsidR="00AB2FAB">
        <w:rPr>
          <w:rFonts w:ascii="Times New Roman" w:hAnsi="Times New Roman" w:cs="Times New Roman"/>
          <w:sz w:val="24"/>
          <w:szCs w:val="24"/>
        </w:rPr>
        <w:t>to</w:t>
      </w:r>
      <w:r>
        <w:rPr>
          <w:rFonts w:ascii="Times New Roman" w:hAnsi="Times New Roman" w:cs="Times New Roman"/>
          <w:sz w:val="24"/>
          <w:szCs w:val="24"/>
        </w:rPr>
        <w:t xml:space="preserve"> 41 of the </w:t>
      </w:r>
      <w:r w:rsidR="005E633F">
        <w:rPr>
          <w:rFonts w:ascii="Times New Roman" w:hAnsi="Times New Roman" w:cs="Times New Roman"/>
          <w:sz w:val="24"/>
          <w:szCs w:val="24"/>
        </w:rPr>
        <w:t>GHG R</w:t>
      </w:r>
      <w:r>
        <w:rPr>
          <w:rFonts w:ascii="Times New Roman" w:hAnsi="Times New Roman" w:cs="Times New Roman"/>
          <w:sz w:val="24"/>
          <w:szCs w:val="24"/>
        </w:rPr>
        <w:t>egulations above)</w:t>
      </w:r>
      <w:r w:rsidRPr="00280394">
        <w:rPr>
          <w:rFonts w:ascii="Times New Roman" w:hAnsi="Times New Roman" w:cs="Times New Roman"/>
          <w:sz w:val="24"/>
          <w:szCs w:val="24"/>
        </w:rPr>
        <w:t xml:space="preserve">.  </w:t>
      </w:r>
    </w:p>
    <w:p w14:paraId="6AEA017A" w14:textId="4963B9BA" w:rsidR="00683F0B" w:rsidRDefault="00D26A58" w:rsidP="0016414E">
      <w:pPr>
        <w:rPr>
          <w:rFonts w:ascii="Times New Roman" w:hAnsi="Times New Roman" w:cs="Times New Roman"/>
          <w:sz w:val="24"/>
          <w:szCs w:val="24"/>
        </w:rPr>
      </w:pPr>
      <w:r>
        <w:rPr>
          <w:rFonts w:ascii="Times New Roman" w:hAnsi="Times New Roman" w:cs="Times New Roman"/>
          <w:b/>
          <w:bCs/>
          <w:sz w:val="24"/>
          <w:szCs w:val="24"/>
        </w:rPr>
        <w:t xml:space="preserve">Clause </w:t>
      </w:r>
      <w:r w:rsidR="00380EBB">
        <w:rPr>
          <w:rFonts w:ascii="Times New Roman" w:hAnsi="Times New Roman" w:cs="Times New Roman"/>
          <w:b/>
          <w:bCs/>
          <w:sz w:val="24"/>
          <w:szCs w:val="24"/>
        </w:rPr>
        <w:t xml:space="preserve">4 – </w:t>
      </w:r>
      <w:r w:rsidR="00913005" w:rsidRPr="00913005">
        <w:rPr>
          <w:rFonts w:ascii="Times New Roman" w:hAnsi="Times New Roman" w:cs="Times New Roman"/>
          <w:b/>
          <w:bCs/>
          <w:sz w:val="24"/>
          <w:szCs w:val="24"/>
        </w:rPr>
        <w:t>Engineering enhancements</w:t>
      </w:r>
    </w:p>
    <w:p w14:paraId="2FDBE1CA" w14:textId="1E8B3C0D" w:rsidR="00913005" w:rsidRPr="00AB2FAB" w:rsidRDefault="00F020C4" w:rsidP="00AB2FAB">
      <w:pPr>
        <w:rPr>
          <w:rFonts w:ascii="Times New Roman" w:hAnsi="Times New Roman" w:cs="Times New Roman"/>
          <w:sz w:val="24"/>
          <w:szCs w:val="24"/>
        </w:rPr>
      </w:pPr>
      <w:r>
        <w:rPr>
          <w:rFonts w:ascii="Times New Roman" w:hAnsi="Times New Roman" w:cs="Times New Roman"/>
          <w:sz w:val="24"/>
          <w:szCs w:val="24"/>
        </w:rPr>
        <w:t xml:space="preserve">This </w:t>
      </w:r>
      <w:r w:rsidR="00D26A58">
        <w:rPr>
          <w:rFonts w:ascii="Times New Roman" w:hAnsi="Times New Roman" w:cs="Times New Roman"/>
          <w:sz w:val="24"/>
          <w:szCs w:val="24"/>
        </w:rPr>
        <w:t>clause</w:t>
      </w:r>
      <w:r>
        <w:rPr>
          <w:rFonts w:ascii="Times New Roman" w:hAnsi="Times New Roman" w:cs="Times New Roman"/>
          <w:sz w:val="24"/>
          <w:szCs w:val="24"/>
        </w:rPr>
        <w:t xml:space="preserve"> requires </w:t>
      </w:r>
      <w:r w:rsidR="00AB2FAB">
        <w:rPr>
          <w:rFonts w:ascii="Times New Roman" w:hAnsi="Times New Roman" w:cs="Times New Roman"/>
          <w:sz w:val="24"/>
          <w:szCs w:val="24"/>
        </w:rPr>
        <w:t>Part B of a draft site plan to include</w:t>
      </w:r>
      <w:r w:rsidR="00905DA0">
        <w:rPr>
          <w:rFonts w:ascii="Times New Roman" w:hAnsi="Times New Roman" w:cs="Times New Roman"/>
          <w:sz w:val="24"/>
          <w:szCs w:val="24"/>
        </w:rPr>
        <w:t xml:space="preserve"> </w:t>
      </w:r>
      <w:r w:rsidR="007E1ADD">
        <w:rPr>
          <w:rFonts w:ascii="Times New Roman" w:hAnsi="Times New Roman" w:cs="Times New Roman"/>
          <w:sz w:val="24"/>
          <w:szCs w:val="24"/>
        </w:rPr>
        <w:t xml:space="preserve">the </w:t>
      </w:r>
      <w:r>
        <w:rPr>
          <w:rFonts w:ascii="Times New Roman" w:hAnsi="Times New Roman" w:cs="Times New Roman"/>
          <w:sz w:val="24"/>
          <w:szCs w:val="24"/>
        </w:rPr>
        <w:t xml:space="preserve">information about engineering enhancements </w:t>
      </w:r>
      <w:r w:rsidR="007E1ADD">
        <w:rPr>
          <w:rFonts w:ascii="Times New Roman" w:hAnsi="Times New Roman" w:cs="Times New Roman"/>
          <w:sz w:val="24"/>
          <w:szCs w:val="24"/>
        </w:rPr>
        <w:t xml:space="preserve">(if any) </w:t>
      </w:r>
      <w:r w:rsidR="00AB2FAB">
        <w:rPr>
          <w:rFonts w:ascii="Times New Roman" w:hAnsi="Times New Roman" w:cs="Times New Roman"/>
          <w:sz w:val="24"/>
          <w:szCs w:val="24"/>
        </w:rPr>
        <w:t>that was</w:t>
      </w:r>
      <w:r w:rsidR="008B6ACC">
        <w:rPr>
          <w:rFonts w:ascii="Times New Roman" w:hAnsi="Times New Roman" w:cs="Times New Roman"/>
          <w:sz w:val="24"/>
          <w:szCs w:val="24"/>
        </w:rPr>
        <w:t xml:space="preserve"> included </w:t>
      </w:r>
      <w:r>
        <w:rPr>
          <w:rFonts w:ascii="Times New Roman" w:hAnsi="Times New Roman" w:cs="Times New Roman"/>
          <w:sz w:val="24"/>
          <w:szCs w:val="24"/>
        </w:rPr>
        <w:t xml:space="preserve">in an application for declaration </w:t>
      </w:r>
      <w:r w:rsidR="008B6ACC">
        <w:rPr>
          <w:rFonts w:ascii="Times New Roman" w:hAnsi="Times New Roman" w:cs="Times New Roman"/>
          <w:sz w:val="24"/>
          <w:szCs w:val="24"/>
        </w:rPr>
        <w:t>of a</w:t>
      </w:r>
      <w:r w:rsidR="00AB2FAB">
        <w:rPr>
          <w:rFonts w:ascii="Times New Roman" w:hAnsi="Times New Roman" w:cs="Times New Roman"/>
          <w:sz w:val="24"/>
          <w:szCs w:val="24"/>
        </w:rPr>
        <w:t>n identified GHG storage</w:t>
      </w:r>
      <w:r w:rsidR="008B6ACC">
        <w:rPr>
          <w:rFonts w:ascii="Times New Roman" w:hAnsi="Times New Roman" w:cs="Times New Roman"/>
          <w:sz w:val="24"/>
          <w:szCs w:val="24"/>
        </w:rPr>
        <w:t xml:space="preserve"> formation</w:t>
      </w:r>
      <w:r w:rsidR="00AB2FAB">
        <w:rPr>
          <w:rFonts w:ascii="Times New Roman" w:hAnsi="Times New Roman" w:cs="Times New Roman"/>
          <w:sz w:val="24"/>
          <w:szCs w:val="24"/>
        </w:rPr>
        <w:t xml:space="preserve"> (including the application as varied),</w:t>
      </w:r>
      <w:r w:rsidR="008B6ACC">
        <w:rPr>
          <w:rFonts w:ascii="Times New Roman" w:hAnsi="Times New Roman" w:cs="Times New Roman"/>
          <w:sz w:val="24"/>
          <w:szCs w:val="24"/>
        </w:rPr>
        <w:t xml:space="preserve"> </w:t>
      </w:r>
      <w:r>
        <w:rPr>
          <w:rFonts w:ascii="Times New Roman" w:hAnsi="Times New Roman" w:cs="Times New Roman"/>
          <w:sz w:val="24"/>
          <w:szCs w:val="24"/>
        </w:rPr>
        <w:t xml:space="preserve">or </w:t>
      </w:r>
      <w:r w:rsidR="00AB2FAB">
        <w:rPr>
          <w:rFonts w:ascii="Times New Roman" w:hAnsi="Times New Roman" w:cs="Times New Roman"/>
          <w:sz w:val="24"/>
          <w:szCs w:val="24"/>
        </w:rPr>
        <w:t xml:space="preserve">in any application for a </w:t>
      </w:r>
      <w:r>
        <w:rPr>
          <w:rFonts w:ascii="Times New Roman" w:hAnsi="Times New Roman" w:cs="Times New Roman"/>
          <w:sz w:val="24"/>
          <w:szCs w:val="24"/>
        </w:rPr>
        <w:t>variation of a declaration</w:t>
      </w:r>
      <w:r w:rsidR="00913005" w:rsidRPr="00AB2FAB">
        <w:rPr>
          <w:rFonts w:ascii="Times New Roman" w:hAnsi="Times New Roman" w:cs="Times New Roman"/>
          <w:sz w:val="24"/>
          <w:szCs w:val="24"/>
        </w:rPr>
        <w:t>.</w:t>
      </w:r>
      <w:r w:rsidR="00AB2FAB">
        <w:rPr>
          <w:rFonts w:ascii="Times New Roman" w:hAnsi="Times New Roman" w:cs="Times New Roman"/>
          <w:sz w:val="24"/>
          <w:szCs w:val="24"/>
        </w:rPr>
        <w:t xml:space="preserve"> This ensures that </w:t>
      </w:r>
      <w:r w:rsidR="007E1ADD">
        <w:rPr>
          <w:rFonts w:ascii="Times New Roman" w:hAnsi="Times New Roman" w:cs="Times New Roman"/>
          <w:sz w:val="24"/>
          <w:szCs w:val="24"/>
        </w:rPr>
        <w:t xml:space="preserve">up-to-date </w:t>
      </w:r>
      <w:r w:rsidR="00AB2FAB">
        <w:rPr>
          <w:rFonts w:ascii="Times New Roman" w:hAnsi="Times New Roman" w:cs="Times New Roman"/>
          <w:sz w:val="24"/>
          <w:szCs w:val="24"/>
        </w:rPr>
        <w:t>information about the engineering enhancements is included in the site plan.</w:t>
      </w:r>
    </w:p>
    <w:p w14:paraId="52C1D14A" w14:textId="55F550EF" w:rsidR="007E1ADD" w:rsidRPr="00AB2FAB" w:rsidRDefault="00AB2FAB" w:rsidP="00AB2FAB">
      <w:pPr>
        <w:rPr>
          <w:rFonts w:ascii="Times New Roman" w:hAnsi="Times New Roman" w:cs="Times New Roman"/>
          <w:sz w:val="24"/>
          <w:szCs w:val="24"/>
        </w:rPr>
      </w:pPr>
      <w:r>
        <w:rPr>
          <w:rFonts w:ascii="Times New Roman" w:hAnsi="Times New Roman" w:cs="Times New Roman"/>
          <w:sz w:val="24"/>
          <w:szCs w:val="24"/>
        </w:rPr>
        <w:t>For subclause (1), the application (or varied application) w</w:t>
      </w:r>
      <w:r w:rsidR="007E1ADD">
        <w:rPr>
          <w:rFonts w:ascii="Times New Roman" w:hAnsi="Times New Roman" w:cs="Times New Roman"/>
          <w:sz w:val="24"/>
          <w:szCs w:val="24"/>
        </w:rPr>
        <w:t>ould</w:t>
      </w:r>
      <w:r>
        <w:rPr>
          <w:rFonts w:ascii="Times New Roman" w:hAnsi="Times New Roman" w:cs="Times New Roman"/>
          <w:sz w:val="24"/>
          <w:szCs w:val="24"/>
        </w:rPr>
        <w:t xml:space="preserve"> only </w:t>
      </w:r>
      <w:r w:rsidR="007E1ADD">
        <w:rPr>
          <w:rFonts w:ascii="Times New Roman" w:hAnsi="Times New Roman" w:cs="Times New Roman"/>
          <w:sz w:val="24"/>
          <w:szCs w:val="24"/>
        </w:rPr>
        <w:t xml:space="preserve">have </w:t>
      </w:r>
      <w:r>
        <w:rPr>
          <w:rFonts w:ascii="Times New Roman" w:hAnsi="Times New Roman" w:cs="Times New Roman"/>
          <w:sz w:val="24"/>
          <w:szCs w:val="24"/>
        </w:rPr>
        <w:t>include</w:t>
      </w:r>
      <w:r w:rsidR="007E1ADD">
        <w:rPr>
          <w:rFonts w:ascii="Times New Roman" w:hAnsi="Times New Roman" w:cs="Times New Roman"/>
          <w:sz w:val="24"/>
          <w:szCs w:val="24"/>
        </w:rPr>
        <w:t>d</w:t>
      </w:r>
      <w:r>
        <w:rPr>
          <w:rFonts w:ascii="Times New Roman" w:hAnsi="Times New Roman" w:cs="Times New Roman"/>
          <w:sz w:val="24"/>
          <w:szCs w:val="24"/>
        </w:rPr>
        <w:t xml:space="preserve"> information about engineering enhancements if the fundamental suitability determinants of the eligible GHG storage formation in relation to which the declaration was sought included engineering enhancements – see discussion above regarding clause 11 of Schedule 1</w:t>
      </w:r>
      <w:r w:rsidR="007E1ADD">
        <w:rPr>
          <w:rFonts w:ascii="Times New Roman" w:hAnsi="Times New Roman" w:cs="Times New Roman"/>
          <w:sz w:val="24"/>
          <w:szCs w:val="24"/>
        </w:rPr>
        <w:t>. The information about engineering enhancements that is required for an application for a declaration is set out in Part 4 of Schedule 1.</w:t>
      </w:r>
    </w:p>
    <w:p w14:paraId="4B712A14" w14:textId="5028E6D2" w:rsidR="00913005" w:rsidRDefault="00D26A58" w:rsidP="00913005">
      <w:pPr>
        <w:rPr>
          <w:rFonts w:ascii="Times New Roman" w:hAnsi="Times New Roman" w:cs="Times New Roman"/>
          <w:sz w:val="24"/>
          <w:szCs w:val="24"/>
        </w:rPr>
      </w:pPr>
      <w:r>
        <w:rPr>
          <w:rFonts w:ascii="Times New Roman" w:hAnsi="Times New Roman" w:cs="Times New Roman"/>
          <w:b/>
          <w:bCs/>
          <w:sz w:val="24"/>
          <w:szCs w:val="24"/>
        </w:rPr>
        <w:t xml:space="preserve">Clause </w:t>
      </w:r>
      <w:r w:rsidR="00380EBB">
        <w:rPr>
          <w:rFonts w:ascii="Times New Roman" w:hAnsi="Times New Roman" w:cs="Times New Roman"/>
          <w:b/>
          <w:bCs/>
          <w:sz w:val="24"/>
          <w:szCs w:val="24"/>
        </w:rPr>
        <w:t xml:space="preserve">5 – </w:t>
      </w:r>
      <w:r w:rsidR="00913005">
        <w:rPr>
          <w:rFonts w:ascii="Times New Roman" w:hAnsi="Times New Roman" w:cs="Times New Roman"/>
          <w:b/>
          <w:bCs/>
          <w:sz w:val="24"/>
          <w:szCs w:val="24"/>
        </w:rPr>
        <w:t xml:space="preserve">Risks relating to </w:t>
      </w:r>
      <w:r w:rsidR="00913005" w:rsidRPr="00913005">
        <w:rPr>
          <w:rFonts w:ascii="Times New Roman" w:hAnsi="Times New Roman" w:cs="Times New Roman"/>
          <w:b/>
          <w:bCs/>
          <w:sz w:val="24"/>
          <w:szCs w:val="24"/>
        </w:rPr>
        <w:t xml:space="preserve">containment of greenhouse gas </w:t>
      </w:r>
      <w:proofErr w:type="gramStart"/>
      <w:r w:rsidR="00913005" w:rsidRPr="00913005">
        <w:rPr>
          <w:rFonts w:ascii="Times New Roman" w:hAnsi="Times New Roman" w:cs="Times New Roman"/>
          <w:b/>
          <w:bCs/>
          <w:sz w:val="24"/>
          <w:szCs w:val="24"/>
        </w:rPr>
        <w:t>substances</w:t>
      </w:r>
      <w:proofErr w:type="gramEnd"/>
    </w:p>
    <w:p w14:paraId="72B9ACF9" w14:textId="2D950F1A" w:rsidR="00905DA0" w:rsidRDefault="00380EBB" w:rsidP="00905DA0">
      <w:pPr>
        <w:rPr>
          <w:rFonts w:ascii="Times New Roman" w:hAnsi="Times New Roman" w:cs="Times New Roman"/>
          <w:sz w:val="24"/>
          <w:szCs w:val="24"/>
        </w:rPr>
      </w:pPr>
      <w:r>
        <w:rPr>
          <w:rFonts w:ascii="Times New Roman" w:hAnsi="Times New Roman" w:cs="Times New Roman"/>
          <w:sz w:val="24"/>
          <w:szCs w:val="24"/>
        </w:rPr>
        <w:t xml:space="preserve">This </w:t>
      </w:r>
      <w:r w:rsidR="00D26A58">
        <w:rPr>
          <w:rFonts w:ascii="Times New Roman" w:hAnsi="Times New Roman" w:cs="Times New Roman"/>
          <w:sz w:val="24"/>
          <w:szCs w:val="24"/>
        </w:rPr>
        <w:t xml:space="preserve">clause </w:t>
      </w:r>
      <w:r w:rsidR="00905DA0">
        <w:rPr>
          <w:rFonts w:ascii="Times New Roman" w:hAnsi="Times New Roman" w:cs="Times New Roman"/>
          <w:sz w:val="24"/>
          <w:szCs w:val="24"/>
        </w:rPr>
        <w:t xml:space="preserve">requires </w:t>
      </w:r>
      <w:r w:rsidR="004B0C65">
        <w:rPr>
          <w:rFonts w:ascii="Times New Roman" w:hAnsi="Times New Roman" w:cs="Times New Roman"/>
          <w:sz w:val="24"/>
          <w:szCs w:val="24"/>
        </w:rPr>
        <w:t xml:space="preserve">Part B of a draft site plan to include </w:t>
      </w:r>
      <w:r w:rsidR="00905DA0">
        <w:rPr>
          <w:rFonts w:ascii="Times New Roman" w:hAnsi="Times New Roman" w:cs="Times New Roman"/>
          <w:sz w:val="24"/>
          <w:szCs w:val="24"/>
        </w:rPr>
        <w:t xml:space="preserve">information about any identified risks </w:t>
      </w:r>
      <w:r w:rsidR="004B0C65">
        <w:rPr>
          <w:rFonts w:ascii="Times New Roman" w:hAnsi="Times New Roman" w:cs="Times New Roman"/>
          <w:sz w:val="24"/>
          <w:szCs w:val="24"/>
        </w:rPr>
        <w:t xml:space="preserve">to containment of a GHG substance </w:t>
      </w:r>
      <w:r w:rsidR="00905DA0">
        <w:rPr>
          <w:rFonts w:ascii="Times New Roman" w:hAnsi="Times New Roman" w:cs="Times New Roman"/>
          <w:sz w:val="24"/>
          <w:szCs w:val="24"/>
        </w:rPr>
        <w:t>that were not included in the application for declaration of an identified GHG storage formation</w:t>
      </w:r>
      <w:r w:rsidR="000D2062">
        <w:rPr>
          <w:rFonts w:ascii="Times New Roman" w:hAnsi="Times New Roman" w:cs="Times New Roman"/>
          <w:sz w:val="24"/>
          <w:szCs w:val="24"/>
        </w:rPr>
        <w:t xml:space="preserve"> (</w:t>
      </w:r>
      <w:r w:rsidR="00E60EAE">
        <w:rPr>
          <w:rFonts w:ascii="Times New Roman" w:hAnsi="Times New Roman" w:cs="Times New Roman"/>
          <w:sz w:val="24"/>
          <w:szCs w:val="24"/>
        </w:rPr>
        <w:t>s</w:t>
      </w:r>
      <w:r w:rsidR="000D2062">
        <w:rPr>
          <w:rFonts w:ascii="Times New Roman" w:hAnsi="Times New Roman" w:cs="Times New Roman"/>
          <w:sz w:val="24"/>
          <w:szCs w:val="24"/>
        </w:rPr>
        <w:t>ee, for example, clause 13 of Schedule</w:t>
      </w:r>
      <w:r w:rsidR="00F703AE">
        <w:rPr>
          <w:rFonts w:ascii="Times New Roman" w:hAnsi="Times New Roman" w:cs="Times New Roman"/>
          <w:sz w:val="24"/>
          <w:szCs w:val="24"/>
        </w:rPr>
        <w:t> </w:t>
      </w:r>
      <w:r w:rsidR="000D2062">
        <w:rPr>
          <w:rFonts w:ascii="Times New Roman" w:hAnsi="Times New Roman" w:cs="Times New Roman"/>
          <w:sz w:val="24"/>
          <w:szCs w:val="24"/>
        </w:rPr>
        <w:t>1 for information about risks that is included in an application for a declaration)</w:t>
      </w:r>
      <w:r w:rsidR="00E60EAE">
        <w:rPr>
          <w:rFonts w:ascii="Times New Roman" w:hAnsi="Times New Roman" w:cs="Times New Roman"/>
          <w:sz w:val="24"/>
          <w:szCs w:val="24"/>
        </w:rPr>
        <w:t>.</w:t>
      </w:r>
      <w:r w:rsidR="004B0C65">
        <w:rPr>
          <w:rFonts w:ascii="Times New Roman" w:hAnsi="Times New Roman" w:cs="Times New Roman"/>
          <w:sz w:val="24"/>
          <w:szCs w:val="24"/>
        </w:rPr>
        <w:t xml:space="preserve"> Part B must also include</w:t>
      </w:r>
      <w:r w:rsidR="00905DA0">
        <w:rPr>
          <w:rFonts w:ascii="Times New Roman" w:hAnsi="Times New Roman" w:cs="Times New Roman"/>
          <w:sz w:val="24"/>
          <w:szCs w:val="24"/>
        </w:rPr>
        <w:t xml:space="preserve"> details of the risk assessment analysis used to identify each of those risks. The details that must be provided </w:t>
      </w:r>
      <w:r w:rsidR="00E60EAE">
        <w:rPr>
          <w:rFonts w:ascii="Times New Roman" w:hAnsi="Times New Roman" w:cs="Times New Roman"/>
          <w:sz w:val="24"/>
          <w:szCs w:val="24"/>
        </w:rPr>
        <w:t xml:space="preserve">(see subclause 5(2)) </w:t>
      </w:r>
      <w:r w:rsidR="00905DA0">
        <w:rPr>
          <w:rFonts w:ascii="Times New Roman" w:hAnsi="Times New Roman" w:cs="Times New Roman"/>
          <w:sz w:val="24"/>
          <w:szCs w:val="24"/>
        </w:rPr>
        <w:t xml:space="preserve">include strategies for </w:t>
      </w:r>
      <w:r w:rsidR="00905DA0" w:rsidRPr="00905DA0">
        <w:rPr>
          <w:rFonts w:ascii="Times New Roman" w:hAnsi="Times New Roman" w:cs="Times New Roman"/>
          <w:sz w:val="24"/>
          <w:szCs w:val="24"/>
        </w:rPr>
        <w:t xml:space="preserve">eliminating the risk or reducing </w:t>
      </w:r>
      <w:r w:rsidR="00905DA0">
        <w:rPr>
          <w:rFonts w:ascii="Times New Roman" w:hAnsi="Times New Roman" w:cs="Times New Roman"/>
          <w:sz w:val="24"/>
          <w:szCs w:val="24"/>
        </w:rPr>
        <w:t>it</w:t>
      </w:r>
      <w:r w:rsidR="00905DA0" w:rsidRPr="00905DA0">
        <w:rPr>
          <w:rFonts w:ascii="Times New Roman" w:hAnsi="Times New Roman" w:cs="Times New Roman"/>
          <w:sz w:val="24"/>
          <w:szCs w:val="24"/>
        </w:rPr>
        <w:t xml:space="preserve"> to as low as is reasonably practicable</w:t>
      </w:r>
      <w:r w:rsidR="00905DA0">
        <w:rPr>
          <w:rFonts w:ascii="Times New Roman" w:hAnsi="Times New Roman" w:cs="Times New Roman"/>
          <w:sz w:val="24"/>
          <w:szCs w:val="24"/>
        </w:rPr>
        <w:t xml:space="preserve">, and </w:t>
      </w:r>
      <w:r w:rsidR="00E60EAE">
        <w:rPr>
          <w:rFonts w:ascii="Times New Roman" w:hAnsi="Times New Roman" w:cs="Times New Roman"/>
          <w:sz w:val="24"/>
          <w:szCs w:val="24"/>
        </w:rPr>
        <w:t xml:space="preserve">information </w:t>
      </w:r>
      <w:r w:rsidR="00905DA0">
        <w:rPr>
          <w:rFonts w:ascii="Times New Roman" w:hAnsi="Times New Roman" w:cs="Times New Roman"/>
          <w:sz w:val="24"/>
          <w:szCs w:val="24"/>
        </w:rPr>
        <w:t xml:space="preserve">demonstrating that </w:t>
      </w:r>
      <w:r w:rsidR="004B0C65">
        <w:rPr>
          <w:rFonts w:ascii="Times New Roman" w:hAnsi="Times New Roman" w:cs="Times New Roman"/>
          <w:sz w:val="24"/>
          <w:szCs w:val="24"/>
        </w:rPr>
        <w:t>any residual</w:t>
      </w:r>
      <w:r w:rsidR="00905DA0">
        <w:rPr>
          <w:rFonts w:ascii="Times New Roman" w:hAnsi="Times New Roman" w:cs="Times New Roman"/>
          <w:sz w:val="24"/>
          <w:szCs w:val="24"/>
        </w:rPr>
        <w:t xml:space="preserve"> risk will be acceptable. </w:t>
      </w:r>
    </w:p>
    <w:p w14:paraId="49B66FCA" w14:textId="77777777" w:rsidR="004B0C65" w:rsidRDefault="004B0C65" w:rsidP="004B0C65">
      <w:pPr>
        <w:rPr>
          <w:rFonts w:ascii="Times New Roman" w:hAnsi="Times New Roman" w:cs="Times New Roman"/>
          <w:sz w:val="24"/>
          <w:szCs w:val="24"/>
        </w:rPr>
      </w:pPr>
      <w:bookmarkStart w:id="33" w:name="_Hlk145409961"/>
      <w:r>
        <w:rPr>
          <w:rFonts w:ascii="Times New Roman" w:hAnsi="Times New Roman" w:cs="Times New Roman"/>
          <w:sz w:val="24"/>
          <w:szCs w:val="24"/>
        </w:rPr>
        <w:t xml:space="preserve">Regulation of other risks arising from GHG operations will occur under other parts of the OPGGS Act and regulations, particularly through the requirements to prepare an environment plan for environmental management of offshore GHG activities, a well operations </w:t>
      </w:r>
      <w:r>
        <w:rPr>
          <w:rFonts w:ascii="Times New Roman" w:hAnsi="Times New Roman" w:cs="Times New Roman"/>
          <w:sz w:val="24"/>
          <w:szCs w:val="24"/>
        </w:rPr>
        <w:lastRenderedPageBreak/>
        <w:t>management plan for well activities, and a safety case to address occupational health and safety at offshore facilities.</w:t>
      </w:r>
    </w:p>
    <w:p w14:paraId="7C2D98E0" w14:textId="21213533" w:rsidR="00380EBB" w:rsidRDefault="00D26A58" w:rsidP="00B006BC">
      <w:pPr>
        <w:keepNext/>
        <w:rPr>
          <w:rFonts w:ascii="Times New Roman" w:hAnsi="Times New Roman" w:cs="Times New Roman"/>
          <w:sz w:val="24"/>
          <w:szCs w:val="24"/>
        </w:rPr>
      </w:pPr>
      <w:r>
        <w:rPr>
          <w:rFonts w:ascii="Times New Roman" w:hAnsi="Times New Roman" w:cs="Times New Roman"/>
          <w:b/>
          <w:bCs/>
          <w:sz w:val="24"/>
          <w:szCs w:val="24"/>
        </w:rPr>
        <w:t xml:space="preserve">Clause </w:t>
      </w:r>
      <w:r w:rsidR="00913005">
        <w:rPr>
          <w:rFonts w:ascii="Times New Roman" w:hAnsi="Times New Roman" w:cs="Times New Roman"/>
          <w:b/>
          <w:bCs/>
          <w:sz w:val="24"/>
          <w:szCs w:val="24"/>
        </w:rPr>
        <w:t>6</w:t>
      </w:r>
      <w:r w:rsidR="00380EBB">
        <w:rPr>
          <w:rFonts w:ascii="Times New Roman" w:hAnsi="Times New Roman" w:cs="Times New Roman"/>
          <w:b/>
          <w:bCs/>
          <w:sz w:val="24"/>
          <w:szCs w:val="24"/>
        </w:rPr>
        <w:t xml:space="preserve"> – Monitoring behaviour of stored greenhouse gas substances</w:t>
      </w:r>
    </w:p>
    <w:bookmarkEnd w:id="33"/>
    <w:p w14:paraId="1AC147A4" w14:textId="127B66D0" w:rsidR="002B3B63" w:rsidRDefault="00180C8B" w:rsidP="00A52969">
      <w:pPr>
        <w:rPr>
          <w:rFonts w:ascii="Times New Roman" w:hAnsi="Times New Roman" w:cs="Times New Roman"/>
          <w:sz w:val="24"/>
          <w:szCs w:val="24"/>
        </w:rPr>
      </w:pPr>
      <w:r>
        <w:rPr>
          <w:rFonts w:ascii="Times New Roman" w:hAnsi="Times New Roman" w:cs="Times New Roman"/>
          <w:sz w:val="24"/>
          <w:szCs w:val="24"/>
        </w:rPr>
        <w:t xml:space="preserve">This clause requires </w:t>
      </w:r>
      <w:r w:rsidR="008C6974">
        <w:rPr>
          <w:rFonts w:ascii="Times New Roman" w:hAnsi="Times New Roman" w:cs="Times New Roman"/>
          <w:sz w:val="24"/>
          <w:szCs w:val="24"/>
        </w:rPr>
        <w:t xml:space="preserve">Part B of a draft site plan to include </w:t>
      </w:r>
      <w:r>
        <w:rPr>
          <w:rFonts w:ascii="Times New Roman" w:hAnsi="Times New Roman" w:cs="Times New Roman"/>
          <w:sz w:val="24"/>
          <w:szCs w:val="24"/>
        </w:rPr>
        <w:t>information relat</w:t>
      </w:r>
      <w:r w:rsidR="00B006BC">
        <w:rPr>
          <w:rFonts w:ascii="Times New Roman" w:hAnsi="Times New Roman" w:cs="Times New Roman"/>
          <w:sz w:val="24"/>
          <w:szCs w:val="24"/>
        </w:rPr>
        <w:t>ing</w:t>
      </w:r>
      <w:r>
        <w:rPr>
          <w:rFonts w:ascii="Times New Roman" w:hAnsi="Times New Roman" w:cs="Times New Roman"/>
          <w:sz w:val="24"/>
          <w:szCs w:val="24"/>
        </w:rPr>
        <w:t xml:space="preserve"> to how the behaviour of GHG substances </w:t>
      </w:r>
      <w:r w:rsidR="0071716D">
        <w:rPr>
          <w:rFonts w:ascii="Times New Roman" w:hAnsi="Times New Roman" w:cs="Times New Roman"/>
          <w:sz w:val="24"/>
          <w:szCs w:val="24"/>
        </w:rPr>
        <w:t xml:space="preserve">in </w:t>
      </w:r>
      <w:r w:rsidR="00AE499E">
        <w:rPr>
          <w:rFonts w:ascii="Times New Roman" w:hAnsi="Times New Roman" w:cs="Times New Roman"/>
          <w:sz w:val="24"/>
          <w:szCs w:val="24"/>
        </w:rPr>
        <w:t>an</w:t>
      </w:r>
      <w:r w:rsidR="0071716D">
        <w:rPr>
          <w:rFonts w:ascii="Times New Roman" w:hAnsi="Times New Roman" w:cs="Times New Roman"/>
          <w:sz w:val="24"/>
          <w:szCs w:val="24"/>
        </w:rPr>
        <w:t xml:space="preserve"> identified GHG storage formation </w:t>
      </w:r>
      <w:r>
        <w:rPr>
          <w:rFonts w:ascii="Times New Roman" w:hAnsi="Times New Roman" w:cs="Times New Roman"/>
          <w:sz w:val="24"/>
          <w:szCs w:val="24"/>
        </w:rPr>
        <w:t>will be monitored.</w:t>
      </w:r>
    </w:p>
    <w:p w14:paraId="588DE286" w14:textId="6E015DAB" w:rsidR="00E44B85" w:rsidRDefault="002B3B63" w:rsidP="00A52969">
      <w:pPr>
        <w:rPr>
          <w:rFonts w:ascii="Times New Roman" w:hAnsi="Times New Roman" w:cs="Times New Roman"/>
          <w:sz w:val="24"/>
          <w:szCs w:val="24"/>
        </w:rPr>
      </w:pPr>
      <w:r>
        <w:rPr>
          <w:rFonts w:ascii="Times New Roman" w:hAnsi="Times New Roman" w:cs="Times New Roman"/>
          <w:sz w:val="24"/>
          <w:szCs w:val="24"/>
        </w:rPr>
        <w:t>Under subclause (1), t</w:t>
      </w:r>
      <w:r w:rsidR="00E44B85">
        <w:rPr>
          <w:rFonts w:ascii="Times New Roman" w:hAnsi="Times New Roman" w:cs="Times New Roman"/>
          <w:sz w:val="24"/>
          <w:szCs w:val="24"/>
        </w:rPr>
        <w:t xml:space="preserve">he draft site plan </w:t>
      </w:r>
      <w:r>
        <w:rPr>
          <w:rFonts w:ascii="Times New Roman" w:hAnsi="Times New Roman" w:cs="Times New Roman"/>
          <w:sz w:val="24"/>
          <w:szCs w:val="24"/>
        </w:rPr>
        <w:t>must</w:t>
      </w:r>
      <w:r w:rsidR="00E44B85">
        <w:rPr>
          <w:rFonts w:ascii="Times New Roman" w:hAnsi="Times New Roman" w:cs="Times New Roman"/>
          <w:sz w:val="24"/>
          <w:szCs w:val="24"/>
        </w:rPr>
        <w:t xml:space="preserve"> include a plan for monitoring the behaviour of GHG substances in the reservoirs of the formation (a monitoring plan).</w:t>
      </w:r>
      <w:r>
        <w:rPr>
          <w:rFonts w:ascii="Times New Roman" w:hAnsi="Times New Roman" w:cs="Times New Roman"/>
          <w:sz w:val="24"/>
          <w:szCs w:val="24"/>
        </w:rPr>
        <w:t xml:space="preserve"> Monitoring is a key part of the management of a GHG storage site. The GHG Regulations do not specify what sort of monitoring should be undertaken, as this will be highly site specific. However, the monitoring plan must be set out in sufficient detail to demonstrate that significant events in the reservoirs will be detected in a timely manner. This is important to ensure that any necessary mitigation and remediation activities can be initiated as soon as practicable. The monitoring plan must also be set out in sufficient detail to demonstrate that the timing and nature of the monitoring will detect any variations from the predictions set out in Part A of the draft site plan (see discussion at section 19). Under section 379 of the OPGGS Act, a serious situation exists if a GHG substance has behaved or is behaving otherwise than as predicted in Part A.</w:t>
      </w:r>
    </w:p>
    <w:p w14:paraId="11661FCA" w14:textId="4139E54D" w:rsidR="00AE499E" w:rsidRDefault="002B3B63" w:rsidP="00A52969">
      <w:pPr>
        <w:rPr>
          <w:rFonts w:ascii="Times New Roman" w:hAnsi="Times New Roman" w:cs="Times New Roman"/>
          <w:sz w:val="24"/>
          <w:szCs w:val="24"/>
        </w:rPr>
      </w:pPr>
      <w:r>
        <w:rPr>
          <w:rFonts w:ascii="Times New Roman" w:hAnsi="Times New Roman" w:cs="Times New Roman"/>
          <w:sz w:val="24"/>
          <w:szCs w:val="24"/>
        </w:rPr>
        <w:t>Under subclause (2), if it is proposed that any substance would be used to facilitate the monitoring of the behaviour of a GHG substance, Part B of the draft site plan must set out details</w:t>
      </w:r>
      <w:r w:rsidR="00B36991">
        <w:rPr>
          <w:rFonts w:ascii="Times New Roman" w:hAnsi="Times New Roman" w:cs="Times New Roman"/>
          <w:sz w:val="24"/>
          <w:szCs w:val="24"/>
        </w:rPr>
        <w:t xml:space="preserve"> of the substance</w:t>
      </w:r>
      <w:r>
        <w:rPr>
          <w:rFonts w:ascii="Times New Roman" w:hAnsi="Times New Roman" w:cs="Times New Roman"/>
          <w:sz w:val="24"/>
          <w:szCs w:val="24"/>
        </w:rPr>
        <w:t>, including the concentration of the substance. Broadly speaking, such substances would be injected with the GHG substance to distinguish it from naturally occurring substances in the formation</w:t>
      </w:r>
      <w:r w:rsidR="00AE499E">
        <w:rPr>
          <w:rFonts w:ascii="Times New Roman" w:hAnsi="Times New Roman" w:cs="Times New Roman"/>
          <w:sz w:val="24"/>
          <w:szCs w:val="24"/>
        </w:rPr>
        <w:t xml:space="preserve"> and enable an understanding of the migration of the injected substance.</w:t>
      </w:r>
    </w:p>
    <w:p w14:paraId="45735E29" w14:textId="4BEE7387" w:rsidR="002B3B63" w:rsidRDefault="00AE499E" w:rsidP="00A52969">
      <w:pPr>
        <w:rPr>
          <w:rFonts w:ascii="Times New Roman" w:hAnsi="Times New Roman" w:cs="Times New Roman"/>
          <w:sz w:val="24"/>
          <w:szCs w:val="24"/>
        </w:rPr>
      </w:pPr>
      <w:r>
        <w:rPr>
          <w:rFonts w:ascii="Times New Roman" w:hAnsi="Times New Roman" w:cs="Times New Roman"/>
          <w:sz w:val="24"/>
          <w:szCs w:val="24"/>
        </w:rPr>
        <w:t>Under subclause (3), Part B of the draft site plan must establish triggers for incident reporting. Section 49 of the GHG Regulations provides that a reportable incident includes an event set out in Part B of the site plan (as per subclause 6(3)</w:t>
      </w:r>
      <w:r w:rsidR="00B932B0">
        <w:rPr>
          <w:rFonts w:ascii="Times New Roman" w:hAnsi="Times New Roman" w:cs="Times New Roman"/>
          <w:sz w:val="24"/>
          <w:szCs w:val="24"/>
        </w:rPr>
        <w:t>)</w:t>
      </w:r>
      <w:r>
        <w:rPr>
          <w:rFonts w:ascii="Times New Roman" w:hAnsi="Times New Roman" w:cs="Times New Roman"/>
          <w:sz w:val="24"/>
          <w:szCs w:val="24"/>
        </w:rPr>
        <w:t xml:space="preserve"> that causes or has the potential to cause a serious situation (as defined in section 379 of the OPGGS Act) to exist – see discussion at that section.</w:t>
      </w:r>
      <w:r w:rsidR="002B3B63">
        <w:rPr>
          <w:rFonts w:ascii="Times New Roman" w:hAnsi="Times New Roman" w:cs="Times New Roman"/>
          <w:sz w:val="24"/>
          <w:szCs w:val="24"/>
        </w:rPr>
        <w:t xml:space="preserve"> </w:t>
      </w:r>
      <w:r>
        <w:rPr>
          <w:rFonts w:ascii="Times New Roman" w:hAnsi="Times New Roman" w:cs="Times New Roman"/>
          <w:sz w:val="24"/>
          <w:szCs w:val="24"/>
        </w:rPr>
        <w:t xml:space="preserve">The event would be in the behaviour of the GHG </w:t>
      </w:r>
      <w:proofErr w:type="gramStart"/>
      <w:r>
        <w:rPr>
          <w:rFonts w:ascii="Times New Roman" w:hAnsi="Times New Roman" w:cs="Times New Roman"/>
          <w:sz w:val="24"/>
          <w:szCs w:val="24"/>
        </w:rPr>
        <w:t>substance, and</w:t>
      </w:r>
      <w:proofErr w:type="gramEnd"/>
      <w:r>
        <w:rPr>
          <w:rFonts w:ascii="Times New Roman" w:hAnsi="Times New Roman" w:cs="Times New Roman"/>
          <w:sz w:val="24"/>
          <w:szCs w:val="24"/>
        </w:rPr>
        <w:t xml:space="preserve"> would include a departure from a predicted migration pathway or predicted migration rate of the substance.</w:t>
      </w:r>
    </w:p>
    <w:p w14:paraId="55289795" w14:textId="79F0965D" w:rsidR="00AE499E" w:rsidRDefault="00AE499E" w:rsidP="00A52969">
      <w:pPr>
        <w:rPr>
          <w:rFonts w:ascii="Times New Roman" w:hAnsi="Times New Roman" w:cs="Times New Roman"/>
          <w:sz w:val="24"/>
          <w:szCs w:val="24"/>
        </w:rPr>
      </w:pPr>
      <w:r>
        <w:rPr>
          <w:rFonts w:ascii="Times New Roman" w:hAnsi="Times New Roman" w:cs="Times New Roman"/>
          <w:sz w:val="24"/>
          <w:szCs w:val="24"/>
        </w:rPr>
        <w:t xml:space="preserve">Part B of the draft site plan must also include a plan for detecting and monitoring any leakage of a GHG substance stored in the formation to the seabed. This will enable the early detection of potential reportable incidents and/or serious situations, so that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can be </w:t>
      </w:r>
      <w:proofErr w:type="gramStart"/>
      <w:r>
        <w:rPr>
          <w:rFonts w:ascii="Times New Roman" w:hAnsi="Times New Roman" w:cs="Times New Roman"/>
          <w:sz w:val="24"/>
          <w:szCs w:val="24"/>
        </w:rPr>
        <w:t>advised</w:t>
      </w:r>
      <w:proofErr w:type="gramEnd"/>
      <w:r>
        <w:rPr>
          <w:rFonts w:ascii="Times New Roman" w:hAnsi="Times New Roman" w:cs="Times New Roman"/>
          <w:sz w:val="24"/>
          <w:szCs w:val="24"/>
        </w:rPr>
        <w:t xml:space="preserve"> and action can be taken to remedy the leakage.</w:t>
      </w:r>
    </w:p>
    <w:p w14:paraId="5875546E" w14:textId="0AC2955F" w:rsidR="00380EBB" w:rsidRDefault="00D26A58" w:rsidP="002E7A02">
      <w:pPr>
        <w:keepNext/>
        <w:rPr>
          <w:rFonts w:ascii="Times New Roman" w:hAnsi="Times New Roman" w:cs="Times New Roman"/>
          <w:sz w:val="24"/>
          <w:szCs w:val="24"/>
        </w:rPr>
      </w:pPr>
      <w:r>
        <w:rPr>
          <w:rFonts w:ascii="Times New Roman" w:hAnsi="Times New Roman" w:cs="Times New Roman"/>
          <w:b/>
          <w:bCs/>
          <w:sz w:val="24"/>
          <w:szCs w:val="24"/>
        </w:rPr>
        <w:t xml:space="preserve">Clause </w:t>
      </w:r>
      <w:r w:rsidR="00913005">
        <w:rPr>
          <w:rFonts w:ascii="Times New Roman" w:hAnsi="Times New Roman" w:cs="Times New Roman"/>
          <w:b/>
          <w:bCs/>
          <w:sz w:val="24"/>
          <w:szCs w:val="24"/>
        </w:rPr>
        <w:t>7</w:t>
      </w:r>
      <w:r w:rsidR="00380EBB">
        <w:rPr>
          <w:rFonts w:ascii="Times New Roman" w:hAnsi="Times New Roman" w:cs="Times New Roman"/>
          <w:b/>
          <w:bCs/>
          <w:sz w:val="24"/>
          <w:szCs w:val="24"/>
        </w:rPr>
        <w:t xml:space="preserve"> – Detecting and monitoring leakages during transport and </w:t>
      </w:r>
      <w:proofErr w:type="gramStart"/>
      <w:r w:rsidR="00380EBB">
        <w:rPr>
          <w:rFonts w:ascii="Times New Roman" w:hAnsi="Times New Roman" w:cs="Times New Roman"/>
          <w:b/>
          <w:bCs/>
          <w:sz w:val="24"/>
          <w:szCs w:val="24"/>
        </w:rPr>
        <w:t>injection</w:t>
      </w:r>
      <w:proofErr w:type="gramEnd"/>
    </w:p>
    <w:p w14:paraId="4AC89E08" w14:textId="6F979551" w:rsidR="00A52969" w:rsidRDefault="005C5C7E" w:rsidP="00A52969">
      <w:pPr>
        <w:rPr>
          <w:rFonts w:ascii="Times New Roman" w:hAnsi="Times New Roman" w:cs="Times New Roman"/>
          <w:sz w:val="24"/>
          <w:szCs w:val="24"/>
        </w:rPr>
      </w:pPr>
      <w:r>
        <w:rPr>
          <w:rFonts w:ascii="Times New Roman" w:hAnsi="Times New Roman" w:cs="Times New Roman"/>
          <w:sz w:val="24"/>
          <w:szCs w:val="24"/>
        </w:rPr>
        <w:t>This clause requires Part B of a draft site plan to include a program for detecting and monitoring any leakages of a GHG substance during transport for the purpose of injection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transport by pipeline), </w:t>
      </w:r>
      <w:r w:rsidR="00B36991">
        <w:rPr>
          <w:rFonts w:ascii="Times New Roman" w:hAnsi="Times New Roman" w:cs="Times New Roman"/>
          <w:sz w:val="24"/>
          <w:szCs w:val="24"/>
        </w:rPr>
        <w:t>and</w:t>
      </w:r>
      <w:r>
        <w:rPr>
          <w:rFonts w:ascii="Times New Roman" w:hAnsi="Times New Roman" w:cs="Times New Roman"/>
          <w:sz w:val="24"/>
          <w:szCs w:val="24"/>
        </w:rPr>
        <w:t xml:space="preserve"> at the point of injection into an identified GHG storage formation. The program should enable early detection of leakages to enable action to be taken to remedy or mitigate the leakage as soon as practicable.</w:t>
      </w:r>
    </w:p>
    <w:p w14:paraId="12580C17" w14:textId="3B2355BA" w:rsidR="00380EBB" w:rsidRDefault="00D26A58" w:rsidP="00C90FC8">
      <w:pPr>
        <w:keepNext/>
        <w:rPr>
          <w:rFonts w:ascii="Times New Roman" w:hAnsi="Times New Roman" w:cs="Times New Roman"/>
          <w:sz w:val="24"/>
          <w:szCs w:val="24"/>
        </w:rPr>
      </w:pPr>
      <w:r>
        <w:rPr>
          <w:rFonts w:ascii="Times New Roman" w:hAnsi="Times New Roman" w:cs="Times New Roman"/>
          <w:b/>
          <w:bCs/>
          <w:sz w:val="24"/>
          <w:szCs w:val="24"/>
        </w:rPr>
        <w:lastRenderedPageBreak/>
        <w:t xml:space="preserve">Clause </w:t>
      </w:r>
      <w:r w:rsidR="00913005">
        <w:rPr>
          <w:rFonts w:ascii="Times New Roman" w:hAnsi="Times New Roman" w:cs="Times New Roman"/>
          <w:b/>
          <w:bCs/>
          <w:sz w:val="24"/>
          <w:szCs w:val="24"/>
        </w:rPr>
        <w:t>8</w:t>
      </w:r>
      <w:r w:rsidR="00380EBB">
        <w:rPr>
          <w:rFonts w:ascii="Times New Roman" w:hAnsi="Times New Roman" w:cs="Times New Roman"/>
          <w:b/>
          <w:bCs/>
          <w:sz w:val="24"/>
          <w:szCs w:val="24"/>
        </w:rPr>
        <w:t xml:space="preserve"> – Detecting and monitoring leakages from well </w:t>
      </w:r>
      <w:proofErr w:type="gramStart"/>
      <w:r w:rsidR="00380EBB">
        <w:rPr>
          <w:rFonts w:ascii="Times New Roman" w:hAnsi="Times New Roman" w:cs="Times New Roman"/>
          <w:b/>
          <w:bCs/>
          <w:sz w:val="24"/>
          <w:szCs w:val="24"/>
        </w:rPr>
        <w:t>bores</w:t>
      </w:r>
      <w:proofErr w:type="gramEnd"/>
    </w:p>
    <w:p w14:paraId="40FA7BA9" w14:textId="10551F9E" w:rsidR="00307C68" w:rsidRDefault="00307C68" w:rsidP="00307C68">
      <w:pPr>
        <w:rPr>
          <w:rFonts w:ascii="Times New Roman" w:hAnsi="Times New Roman" w:cs="Times New Roman"/>
          <w:sz w:val="24"/>
          <w:szCs w:val="24"/>
        </w:rPr>
      </w:pPr>
      <w:r>
        <w:rPr>
          <w:rFonts w:ascii="Times New Roman" w:hAnsi="Times New Roman" w:cs="Times New Roman"/>
          <w:sz w:val="24"/>
          <w:szCs w:val="24"/>
        </w:rPr>
        <w:t>This clause requires Part B of a draft site plan to include a program for detecting and monitoring any leakages of a GHG substance from a well bore. The program should enable early detection of leakages to enable action to be taken to remedy or mitigate the leakage as soon as practicable.</w:t>
      </w:r>
    </w:p>
    <w:p w14:paraId="66049226" w14:textId="72E82ACE" w:rsidR="00123964" w:rsidRDefault="00D26A58" w:rsidP="0016414E">
      <w:pPr>
        <w:rPr>
          <w:rFonts w:ascii="Times New Roman" w:hAnsi="Times New Roman" w:cs="Times New Roman"/>
          <w:b/>
          <w:bCs/>
          <w:sz w:val="24"/>
          <w:szCs w:val="24"/>
        </w:rPr>
      </w:pPr>
      <w:r>
        <w:rPr>
          <w:rFonts w:ascii="Times New Roman" w:hAnsi="Times New Roman" w:cs="Times New Roman"/>
          <w:b/>
          <w:bCs/>
          <w:sz w:val="24"/>
          <w:szCs w:val="24"/>
        </w:rPr>
        <w:t xml:space="preserve">Clause </w:t>
      </w:r>
      <w:r w:rsidR="00913005">
        <w:rPr>
          <w:rFonts w:ascii="Times New Roman" w:hAnsi="Times New Roman" w:cs="Times New Roman"/>
          <w:b/>
          <w:bCs/>
          <w:sz w:val="24"/>
          <w:szCs w:val="24"/>
        </w:rPr>
        <w:t>9</w:t>
      </w:r>
      <w:r w:rsidR="00123964">
        <w:rPr>
          <w:rFonts w:ascii="Times New Roman" w:hAnsi="Times New Roman" w:cs="Times New Roman"/>
          <w:b/>
          <w:bCs/>
          <w:sz w:val="24"/>
          <w:szCs w:val="24"/>
        </w:rPr>
        <w:t xml:space="preserve"> – Site closure – remediation and monitoring</w:t>
      </w:r>
    </w:p>
    <w:p w14:paraId="2FF4DE2E" w14:textId="32502F0A" w:rsidR="00913005" w:rsidRDefault="00123964" w:rsidP="00123964">
      <w:pPr>
        <w:rPr>
          <w:rFonts w:ascii="Times New Roman" w:hAnsi="Times New Roman" w:cs="Times New Roman"/>
          <w:sz w:val="24"/>
          <w:szCs w:val="24"/>
        </w:rPr>
      </w:pPr>
      <w:r>
        <w:rPr>
          <w:rFonts w:ascii="Times New Roman" w:hAnsi="Times New Roman" w:cs="Times New Roman"/>
          <w:sz w:val="24"/>
          <w:szCs w:val="24"/>
        </w:rPr>
        <w:t xml:space="preserve">This </w:t>
      </w:r>
      <w:r w:rsidR="00D26A58">
        <w:rPr>
          <w:rFonts w:ascii="Times New Roman" w:hAnsi="Times New Roman" w:cs="Times New Roman"/>
          <w:sz w:val="24"/>
          <w:szCs w:val="24"/>
        </w:rPr>
        <w:t xml:space="preserve">clause </w:t>
      </w:r>
      <w:r w:rsidR="00913005">
        <w:rPr>
          <w:rFonts w:ascii="Times New Roman" w:hAnsi="Times New Roman" w:cs="Times New Roman"/>
          <w:sz w:val="24"/>
          <w:szCs w:val="24"/>
        </w:rPr>
        <w:t xml:space="preserve">requires </w:t>
      </w:r>
      <w:r w:rsidR="0038324A">
        <w:rPr>
          <w:rFonts w:ascii="Times New Roman" w:hAnsi="Times New Roman" w:cs="Times New Roman"/>
          <w:sz w:val="24"/>
          <w:szCs w:val="24"/>
        </w:rPr>
        <w:t>Part B of a draft site plan for an identified GHG storage formation to include</w:t>
      </w:r>
      <w:r w:rsidR="00913005">
        <w:rPr>
          <w:rFonts w:ascii="Times New Roman" w:hAnsi="Times New Roman" w:cs="Times New Roman"/>
          <w:sz w:val="24"/>
          <w:szCs w:val="24"/>
        </w:rPr>
        <w:t>:</w:t>
      </w:r>
    </w:p>
    <w:p w14:paraId="6644A932" w14:textId="46051A85" w:rsidR="00913005" w:rsidRPr="00913005" w:rsidRDefault="00913005" w:rsidP="00913005">
      <w:pPr>
        <w:pStyle w:val="ListParagraph"/>
        <w:numPr>
          <w:ilvl w:val="0"/>
          <w:numId w:val="17"/>
        </w:numPr>
        <w:rPr>
          <w:rFonts w:ascii="Times New Roman" w:hAnsi="Times New Roman" w:cs="Times New Roman"/>
          <w:sz w:val="24"/>
          <w:szCs w:val="24"/>
        </w:rPr>
      </w:pPr>
      <w:r w:rsidRPr="00913005">
        <w:rPr>
          <w:rFonts w:ascii="Times New Roman" w:hAnsi="Times New Roman" w:cs="Times New Roman"/>
          <w:sz w:val="24"/>
          <w:szCs w:val="24"/>
        </w:rPr>
        <w:t>a plan for carrying out any work that is required to remediate the formation</w:t>
      </w:r>
      <w:r w:rsidR="0038324A">
        <w:rPr>
          <w:rFonts w:ascii="Times New Roman" w:hAnsi="Times New Roman" w:cs="Times New Roman"/>
          <w:sz w:val="24"/>
          <w:szCs w:val="24"/>
        </w:rPr>
        <w:t xml:space="preserve"> once operations to inject and store a GHG substance have ceased</w:t>
      </w:r>
      <w:r w:rsidRPr="00913005">
        <w:rPr>
          <w:rFonts w:ascii="Times New Roman" w:hAnsi="Times New Roman" w:cs="Times New Roman"/>
          <w:sz w:val="24"/>
          <w:szCs w:val="24"/>
        </w:rPr>
        <w:t xml:space="preserve"> </w:t>
      </w:r>
      <w:r w:rsidR="006462DC">
        <w:rPr>
          <w:rFonts w:ascii="Times New Roman" w:hAnsi="Times New Roman" w:cs="Times New Roman"/>
          <w:sz w:val="24"/>
          <w:szCs w:val="24"/>
        </w:rPr>
        <w:t>(subclause 9(1))</w:t>
      </w:r>
    </w:p>
    <w:p w14:paraId="4AE05535" w14:textId="28237BDB" w:rsidR="00913005" w:rsidRDefault="00A52969" w:rsidP="00A52969">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w:t>
      </w:r>
      <w:r w:rsidR="00913005" w:rsidRPr="00913005">
        <w:rPr>
          <w:rFonts w:ascii="Times New Roman" w:hAnsi="Times New Roman" w:cs="Times New Roman"/>
          <w:sz w:val="24"/>
          <w:szCs w:val="24"/>
        </w:rPr>
        <w:t xml:space="preserve"> plan for monitoring the behaviour of </w:t>
      </w:r>
      <w:r>
        <w:rPr>
          <w:rFonts w:ascii="Times New Roman" w:hAnsi="Times New Roman" w:cs="Times New Roman"/>
          <w:sz w:val="24"/>
          <w:szCs w:val="24"/>
        </w:rPr>
        <w:t xml:space="preserve">GHG </w:t>
      </w:r>
      <w:r w:rsidR="00913005" w:rsidRPr="00913005">
        <w:rPr>
          <w:rFonts w:ascii="Times New Roman" w:hAnsi="Times New Roman" w:cs="Times New Roman"/>
          <w:sz w:val="24"/>
          <w:szCs w:val="24"/>
        </w:rPr>
        <w:t xml:space="preserve">substances stored in the formation after operations </w:t>
      </w:r>
      <w:r>
        <w:rPr>
          <w:rFonts w:ascii="Times New Roman" w:hAnsi="Times New Roman" w:cs="Times New Roman"/>
          <w:sz w:val="24"/>
          <w:szCs w:val="24"/>
        </w:rPr>
        <w:t>have ceased</w:t>
      </w:r>
      <w:r w:rsidR="006462DC">
        <w:rPr>
          <w:rFonts w:ascii="Times New Roman" w:hAnsi="Times New Roman" w:cs="Times New Roman"/>
          <w:sz w:val="24"/>
          <w:szCs w:val="24"/>
        </w:rPr>
        <w:t xml:space="preserve"> (subclause 9(2)).</w:t>
      </w:r>
    </w:p>
    <w:p w14:paraId="74533DD9" w14:textId="59B5CCA9" w:rsidR="0038324A" w:rsidRDefault="0038324A" w:rsidP="0038324A">
      <w:pPr>
        <w:rPr>
          <w:rFonts w:ascii="Times New Roman" w:hAnsi="Times New Roman" w:cs="Times New Roman"/>
          <w:sz w:val="24"/>
          <w:szCs w:val="24"/>
        </w:rPr>
      </w:pPr>
      <w:r>
        <w:rPr>
          <w:rFonts w:ascii="Times New Roman" w:hAnsi="Times New Roman" w:cs="Times New Roman"/>
          <w:sz w:val="24"/>
          <w:szCs w:val="24"/>
        </w:rPr>
        <w:t>Noting that a draft site plan is submitted with an application for a GHG injection licence (</w:t>
      </w:r>
      <w:proofErr w:type="gramStart"/>
      <w:r>
        <w:rPr>
          <w:rFonts w:ascii="Times New Roman" w:hAnsi="Times New Roman" w:cs="Times New Roman"/>
          <w:sz w:val="24"/>
          <w:szCs w:val="24"/>
        </w:rPr>
        <w:t>i.e.</w:t>
      </w:r>
      <w:proofErr w:type="gramEnd"/>
      <w:r w:rsidR="00F703AE">
        <w:rPr>
          <w:rFonts w:ascii="Times New Roman" w:hAnsi="Times New Roman" w:cs="Times New Roman"/>
          <w:sz w:val="24"/>
          <w:szCs w:val="24"/>
        </w:rPr>
        <w:t> </w:t>
      </w:r>
      <w:r>
        <w:rPr>
          <w:rFonts w:ascii="Times New Roman" w:hAnsi="Times New Roman" w:cs="Times New Roman"/>
          <w:sz w:val="24"/>
          <w:szCs w:val="24"/>
        </w:rPr>
        <w:t>before the licence is granted and operations have commenced), the information provided in accordance with clause 9 will necessarily be at a high level. However, the plan in Part B for carrying out any work required to remediate the formation</w:t>
      </w:r>
      <w:r w:rsidR="00B36991">
        <w:rPr>
          <w:rFonts w:ascii="Times New Roman" w:hAnsi="Times New Roman" w:cs="Times New Roman"/>
          <w:sz w:val="24"/>
          <w:szCs w:val="24"/>
        </w:rPr>
        <w:t xml:space="preserve"> will be </w:t>
      </w:r>
      <w:proofErr w:type="gramStart"/>
      <w:r w:rsidR="00B36991">
        <w:rPr>
          <w:rFonts w:ascii="Times New Roman" w:hAnsi="Times New Roman" w:cs="Times New Roman"/>
          <w:sz w:val="24"/>
          <w:szCs w:val="24"/>
        </w:rPr>
        <w:t>taken into account</w:t>
      </w:r>
      <w:proofErr w:type="gramEnd"/>
      <w:r w:rsidR="00B36991">
        <w:rPr>
          <w:rFonts w:ascii="Times New Roman" w:hAnsi="Times New Roman" w:cs="Times New Roman"/>
          <w:sz w:val="24"/>
          <w:szCs w:val="24"/>
        </w:rPr>
        <w:t xml:space="preserve"> in reviews of a site plan (once approved)</w:t>
      </w:r>
      <w:r>
        <w:rPr>
          <w:rFonts w:ascii="Times New Roman" w:hAnsi="Times New Roman" w:cs="Times New Roman"/>
          <w:sz w:val="24"/>
          <w:szCs w:val="24"/>
        </w:rPr>
        <w:t xml:space="preserve"> – see paragraph 38(3)(d). This means that the information can be updated as operations progress and a greater understanding of what is required to remediate the formation is obtained. </w:t>
      </w:r>
    </w:p>
    <w:p w14:paraId="1DF065BA" w14:textId="55FB651F" w:rsidR="00E96E12" w:rsidRPr="00E96E12" w:rsidRDefault="003D3A03" w:rsidP="00E96E12">
      <w:pPr>
        <w:rPr>
          <w:rFonts w:ascii="Times New Roman" w:hAnsi="Times New Roman" w:cs="Times New Roman"/>
          <w:sz w:val="24"/>
          <w:szCs w:val="24"/>
        </w:rPr>
      </w:pPr>
      <w:r>
        <w:rPr>
          <w:rFonts w:ascii="Times New Roman" w:hAnsi="Times New Roman" w:cs="Times New Roman"/>
          <w:sz w:val="24"/>
          <w:szCs w:val="24"/>
        </w:rPr>
        <w:t xml:space="preserve">When injection and storage operations cease at the end of a project, the licensee must apply for a site closing certificate under Division 7 of Part 3.4 of the OPGGS Act. </w:t>
      </w:r>
      <w:r w:rsidR="00E96E12">
        <w:rPr>
          <w:rFonts w:ascii="Times New Roman" w:hAnsi="Times New Roman" w:cs="Times New Roman"/>
          <w:sz w:val="24"/>
          <w:szCs w:val="24"/>
        </w:rPr>
        <w:t xml:space="preserve">A site closing certificate </w:t>
      </w:r>
      <w:r>
        <w:rPr>
          <w:rFonts w:ascii="Times New Roman" w:hAnsi="Times New Roman" w:cs="Times New Roman"/>
          <w:sz w:val="24"/>
          <w:szCs w:val="24"/>
        </w:rPr>
        <w:t>may be</w:t>
      </w:r>
      <w:r w:rsidR="00E96E12">
        <w:rPr>
          <w:rFonts w:ascii="Times New Roman" w:hAnsi="Times New Roman" w:cs="Times New Roman"/>
          <w:sz w:val="24"/>
          <w:szCs w:val="24"/>
        </w:rPr>
        <w:t xml:space="preserve"> issued by the </w:t>
      </w:r>
      <w:r w:rsidR="003947B2">
        <w:rPr>
          <w:rFonts w:ascii="Times New Roman" w:hAnsi="Times New Roman" w:cs="Times New Roman"/>
          <w:sz w:val="24"/>
          <w:szCs w:val="24"/>
        </w:rPr>
        <w:t xml:space="preserve">responsible Commonwealth </w:t>
      </w:r>
      <w:r w:rsidR="00E96E12">
        <w:rPr>
          <w:rFonts w:ascii="Times New Roman" w:hAnsi="Times New Roman" w:cs="Times New Roman"/>
          <w:sz w:val="24"/>
          <w:szCs w:val="24"/>
        </w:rPr>
        <w:t>Minister under s</w:t>
      </w:r>
      <w:r w:rsidR="001D692C">
        <w:rPr>
          <w:rFonts w:ascii="Times New Roman" w:hAnsi="Times New Roman" w:cs="Times New Roman"/>
          <w:sz w:val="24"/>
          <w:szCs w:val="24"/>
        </w:rPr>
        <w:t>ection</w:t>
      </w:r>
      <w:r w:rsidR="005552D6">
        <w:rPr>
          <w:rFonts w:ascii="Times New Roman" w:hAnsi="Times New Roman" w:cs="Times New Roman"/>
          <w:sz w:val="24"/>
          <w:szCs w:val="24"/>
        </w:rPr>
        <w:t> </w:t>
      </w:r>
      <w:r w:rsidR="00E96E12">
        <w:rPr>
          <w:rFonts w:ascii="Times New Roman" w:hAnsi="Times New Roman" w:cs="Times New Roman"/>
          <w:sz w:val="24"/>
          <w:szCs w:val="24"/>
        </w:rPr>
        <w:t>392 of the OPGGS Act once certain requirements have been satisfied.</w:t>
      </w:r>
    </w:p>
    <w:p w14:paraId="3A7AABB2" w14:textId="586B3F70" w:rsidR="00E96E12" w:rsidRPr="006462DC" w:rsidRDefault="00E96E12" w:rsidP="00E96E12">
      <w:pPr>
        <w:rPr>
          <w:rFonts w:ascii="Times New Roman" w:hAnsi="Times New Roman" w:cs="Times New Roman"/>
          <w:sz w:val="24"/>
          <w:szCs w:val="24"/>
        </w:rPr>
      </w:pPr>
      <w:r w:rsidRPr="006462DC">
        <w:rPr>
          <w:rFonts w:ascii="Times New Roman" w:hAnsi="Times New Roman" w:cs="Times New Roman"/>
          <w:sz w:val="24"/>
          <w:szCs w:val="24"/>
        </w:rPr>
        <w:t xml:space="preserve">To </w:t>
      </w:r>
      <w:r w:rsidR="006462DC" w:rsidRPr="006462DC">
        <w:rPr>
          <w:rFonts w:ascii="Times New Roman" w:hAnsi="Times New Roman" w:cs="Times New Roman"/>
          <w:sz w:val="24"/>
          <w:szCs w:val="24"/>
        </w:rPr>
        <w:t>some</w:t>
      </w:r>
      <w:r w:rsidRPr="006462DC">
        <w:rPr>
          <w:rFonts w:ascii="Times New Roman" w:hAnsi="Times New Roman" w:cs="Times New Roman"/>
          <w:sz w:val="24"/>
          <w:szCs w:val="24"/>
        </w:rPr>
        <w:t xml:space="preserve"> extent, the information required in subclause </w:t>
      </w:r>
      <w:r w:rsidR="006462DC" w:rsidRPr="006462DC">
        <w:rPr>
          <w:rFonts w:ascii="Times New Roman" w:hAnsi="Times New Roman" w:cs="Times New Roman"/>
          <w:sz w:val="24"/>
          <w:szCs w:val="24"/>
        </w:rPr>
        <w:t>9</w:t>
      </w:r>
      <w:r w:rsidRPr="006462DC">
        <w:rPr>
          <w:rFonts w:ascii="Times New Roman" w:hAnsi="Times New Roman" w:cs="Times New Roman"/>
          <w:sz w:val="24"/>
          <w:szCs w:val="24"/>
        </w:rPr>
        <w:t xml:space="preserve">(1) would duplicate information required in </w:t>
      </w:r>
      <w:r w:rsidR="006462DC">
        <w:rPr>
          <w:rFonts w:ascii="Times New Roman" w:hAnsi="Times New Roman" w:cs="Times New Roman"/>
          <w:sz w:val="24"/>
          <w:szCs w:val="24"/>
        </w:rPr>
        <w:t>the</w:t>
      </w:r>
      <w:r w:rsidRPr="006462DC">
        <w:rPr>
          <w:rFonts w:ascii="Times New Roman" w:hAnsi="Times New Roman" w:cs="Times New Roman"/>
          <w:sz w:val="24"/>
          <w:szCs w:val="24"/>
        </w:rPr>
        <w:t xml:space="preserve"> environment plan under the</w:t>
      </w:r>
      <w:r w:rsidR="000D2062">
        <w:rPr>
          <w:rFonts w:ascii="Times New Roman" w:hAnsi="Times New Roman" w:cs="Times New Roman"/>
          <w:sz w:val="24"/>
          <w:szCs w:val="24"/>
        </w:rPr>
        <w:t xml:space="preserve"> </w:t>
      </w:r>
      <w:r w:rsidR="000D2062">
        <w:rPr>
          <w:rFonts w:ascii="Times New Roman" w:hAnsi="Times New Roman" w:cs="Times New Roman"/>
          <w:i/>
          <w:iCs/>
          <w:sz w:val="24"/>
          <w:szCs w:val="24"/>
        </w:rPr>
        <w:t>Offshore Petroleum and Greenhouse Gas Storage (Environment) Regulations 2023</w:t>
      </w:r>
      <w:r w:rsidRPr="006462DC">
        <w:rPr>
          <w:rFonts w:ascii="Times New Roman" w:hAnsi="Times New Roman" w:cs="Times New Roman"/>
          <w:sz w:val="24"/>
          <w:szCs w:val="24"/>
        </w:rPr>
        <w:t xml:space="preserve">. However, given the decision-making role of the </w:t>
      </w:r>
      <w:r w:rsidR="003947B2">
        <w:rPr>
          <w:rFonts w:ascii="Times New Roman" w:hAnsi="Times New Roman" w:cs="Times New Roman"/>
          <w:sz w:val="24"/>
          <w:szCs w:val="24"/>
        </w:rPr>
        <w:t xml:space="preserve">responsible Commonwealth </w:t>
      </w:r>
      <w:r w:rsidRPr="006462DC">
        <w:rPr>
          <w:rFonts w:ascii="Times New Roman" w:hAnsi="Times New Roman" w:cs="Times New Roman"/>
          <w:sz w:val="24"/>
          <w:szCs w:val="24"/>
        </w:rPr>
        <w:t xml:space="preserve">Minister in relation to </w:t>
      </w:r>
      <w:r w:rsidR="006462DC" w:rsidRPr="006462DC">
        <w:rPr>
          <w:rFonts w:ascii="Times New Roman" w:hAnsi="Times New Roman" w:cs="Times New Roman"/>
          <w:sz w:val="24"/>
          <w:szCs w:val="24"/>
        </w:rPr>
        <w:t xml:space="preserve">a </w:t>
      </w:r>
      <w:r w:rsidRPr="006462DC">
        <w:rPr>
          <w:rFonts w:ascii="Times New Roman" w:hAnsi="Times New Roman" w:cs="Times New Roman"/>
          <w:sz w:val="24"/>
          <w:szCs w:val="24"/>
        </w:rPr>
        <w:t>site closing</w:t>
      </w:r>
      <w:r w:rsidR="006462DC" w:rsidRPr="006462DC">
        <w:rPr>
          <w:rFonts w:ascii="Times New Roman" w:hAnsi="Times New Roman" w:cs="Times New Roman"/>
          <w:sz w:val="24"/>
          <w:szCs w:val="24"/>
        </w:rPr>
        <w:t xml:space="preserve"> certificate</w:t>
      </w:r>
      <w:r w:rsidRPr="006462DC">
        <w:rPr>
          <w:rFonts w:ascii="Times New Roman" w:hAnsi="Times New Roman" w:cs="Times New Roman"/>
          <w:sz w:val="24"/>
          <w:szCs w:val="24"/>
        </w:rPr>
        <w:t xml:space="preserve">, </w:t>
      </w:r>
      <w:r w:rsidR="006462DC">
        <w:rPr>
          <w:rFonts w:ascii="Times New Roman" w:hAnsi="Times New Roman" w:cs="Times New Roman"/>
          <w:sz w:val="24"/>
          <w:szCs w:val="24"/>
        </w:rPr>
        <w:t>a higher</w:t>
      </w:r>
      <w:r w:rsidR="003D3A03">
        <w:rPr>
          <w:rFonts w:ascii="Times New Roman" w:hAnsi="Times New Roman" w:cs="Times New Roman"/>
          <w:sz w:val="24"/>
          <w:szCs w:val="24"/>
        </w:rPr>
        <w:t>-</w:t>
      </w:r>
      <w:r w:rsidR="006462DC">
        <w:rPr>
          <w:rFonts w:ascii="Times New Roman" w:hAnsi="Times New Roman" w:cs="Times New Roman"/>
          <w:sz w:val="24"/>
          <w:szCs w:val="24"/>
        </w:rPr>
        <w:t>level plan</w:t>
      </w:r>
      <w:r w:rsidR="003D3A03">
        <w:rPr>
          <w:rFonts w:ascii="Times New Roman" w:hAnsi="Times New Roman" w:cs="Times New Roman"/>
          <w:sz w:val="24"/>
          <w:szCs w:val="24"/>
        </w:rPr>
        <w:t xml:space="preserve"> for remediation</w:t>
      </w:r>
      <w:r w:rsidR="006462DC">
        <w:rPr>
          <w:rFonts w:ascii="Times New Roman" w:hAnsi="Times New Roman" w:cs="Times New Roman"/>
          <w:sz w:val="24"/>
          <w:szCs w:val="24"/>
        </w:rPr>
        <w:t xml:space="preserve"> should be included in </w:t>
      </w:r>
      <w:r w:rsidR="006462DC" w:rsidRPr="006462DC">
        <w:rPr>
          <w:rFonts w:ascii="Times New Roman" w:hAnsi="Times New Roman" w:cs="Times New Roman"/>
          <w:sz w:val="24"/>
          <w:szCs w:val="24"/>
        </w:rPr>
        <w:t xml:space="preserve">the </w:t>
      </w:r>
      <w:r w:rsidR="006462DC">
        <w:rPr>
          <w:rFonts w:ascii="Times New Roman" w:hAnsi="Times New Roman" w:cs="Times New Roman"/>
          <w:sz w:val="24"/>
          <w:szCs w:val="24"/>
        </w:rPr>
        <w:t xml:space="preserve">information required for the </w:t>
      </w:r>
      <w:r w:rsidR="006462DC" w:rsidRPr="006462DC">
        <w:rPr>
          <w:rFonts w:ascii="Times New Roman" w:hAnsi="Times New Roman" w:cs="Times New Roman"/>
          <w:sz w:val="24"/>
          <w:szCs w:val="24"/>
        </w:rPr>
        <w:t>draft site plan</w:t>
      </w:r>
      <w:r w:rsidRPr="006462DC">
        <w:rPr>
          <w:rFonts w:ascii="Times New Roman" w:hAnsi="Times New Roman" w:cs="Times New Roman"/>
          <w:sz w:val="24"/>
          <w:szCs w:val="24"/>
        </w:rPr>
        <w:t xml:space="preserve">. </w:t>
      </w:r>
    </w:p>
    <w:p w14:paraId="33322AB0" w14:textId="77777777" w:rsidR="00B05E55" w:rsidRPr="006462DC" w:rsidRDefault="00B05E55">
      <w:pPr>
        <w:rPr>
          <w:rFonts w:ascii="Times New Roman" w:hAnsi="Times New Roman" w:cs="Times New Roman"/>
          <w:color w:val="0070C0"/>
          <w:sz w:val="24"/>
          <w:szCs w:val="24"/>
        </w:rPr>
      </w:pPr>
    </w:p>
    <w:p w14:paraId="4AA6AC01" w14:textId="3DFAEE35" w:rsidR="00A367D2" w:rsidRPr="006462DC" w:rsidRDefault="00A367D2">
      <w:pPr>
        <w:rPr>
          <w:rFonts w:ascii="Times New Roman" w:hAnsi="Times New Roman" w:cs="Times New Roman"/>
          <w:sz w:val="24"/>
          <w:szCs w:val="24"/>
        </w:rPr>
      </w:pPr>
      <w:r w:rsidRPr="006462DC">
        <w:rPr>
          <w:rFonts w:ascii="Times New Roman" w:hAnsi="Times New Roman" w:cs="Times New Roman"/>
          <w:sz w:val="24"/>
          <w:szCs w:val="24"/>
        </w:rPr>
        <w:br w:type="page"/>
      </w:r>
    </w:p>
    <w:p w14:paraId="5E3E09EF" w14:textId="317131EE" w:rsidR="005145EC" w:rsidRDefault="005145EC" w:rsidP="005145EC">
      <w:pPr>
        <w:spacing w:before="360" w:after="120"/>
        <w:jc w:val="right"/>
        <w:rPr>
          <w:rFonts w:ascii="Times New Roman" w:hAnsi="Times New Roman" w:cs="Times New Roman"/>
          <w:bCs/>
          <w:sz w:val="24"/>
          <w:szCs w:val="24"/>
        </w:rPr>
      </w:pPr>
      <w:r w:rsidRPr="00F541AE">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B</w:t>
      </w:r>
    </w:p>
    <w:p w14:paraId="7F9BABA3" w14:textId="77777777" w:rsidR="001A7A85" w:rsidRPr="00F67A3E" w:rsidRDefault="001A7A85" w:rsidP="001A7A85">
      <w:pPr>
        <w:shd w:val="clear" w:color="auto" w:fill="FFFFFF"/>
        <w:spacing w:after="180" w:line="240" w:lineRule="auto"/>
        <w:rPr>
          <w:rFonts w:ascii="Source Sans Pro" w:eastAsia="Times New Roman" w:hAnsi="Source Sans Pro" w:cs="Times New Roman"/>
          <w:color w:val="333333"/>
          <w:sz w:val="24"/>
          <w:szCs w:val="24"/>
          <w:lang w:eastAsia="en-AU"/>
        </w:rPr>
      </w:pPr>
      <w:r w:rsidRPr="00F67A3E">
        <w:rPr>
          <w:rFonts w:ascii="Source Sans Pro" w:eastAsia="Times New Roman" w:hAnsi="Source Sans Pro" w:cs="Times New Roman"/>
          <w:b/>
          <w:bCs/>
          <w:color w:val="333333"/>
          <w:sz w:val="24"/>
          <w:szCs w:val="24"/>
          <w:u w:val="single"/>
          <w:lang w:eastAsia="en-AU"/>
        </w:rPr>
        <w:t>Renumbering table - </w:t>
      </w:r>
      <w:r w:rsidRPr="00F67A3E">
        <w:rPr>
          <w:rFonts w:ascii="Source Sans Pro" w:eastAsia="Times New Roman" w:hAnsi="Source Sans Pro" w:cs="Times New Roman"/>
          <w:b/>
          <w:bCs/>
          <w:i/>
          <w:iCs/>
          <w:color w:val="333333"/>
          <w:sz w:val="24"/>
          <w:szCs w:val="24"/>
          <w:u w:val="single"/>
          <w:lang w:eastAsia="en-AU"/>
        </w:rPr>
        <w:t>Offshore Petroleum and Greenhouse Gas Storage (Greenhouse Gas Injection and Storage) Regulations 2011</w:t>
      </w:r>
      <w:r w:rsidRPr="00F67A3E">
        <w:rPr>
          <w:rFonts w:ascii="Source Sans Pro" w:eastAsia="Times New Roman" w:hAnsi="Source Sans Pro" w:cs="Times New Roman"/>
          <w:b/>
          <w:bCs/>
          <w:color w:val="333333"/>
          <w:sz w:val="24"/>
          <w:szCs w:val="24"/>
          <w:u w:val="single"/>
          <w:lang w:eastAsia="en-AU"/>
        </w:rPr>
        <w:t> and </w:t>
      </w:r>
      <w:r w:rsidRPr="00F67A3E">
        <w:rPr>
          <w:rFonts w:ascii="Source Sans Pro" w:eastAsia="Times New Roman" w:hAnsi="Source Sans Pro" w:cs="Times New Roman"/>
          <w:b/>
          <w:bCs/>
          <w:i/>
          <w:iCs/>
          <w:color w:val="333333"/>
          <w:sz w:val="24"/>
          <w:szCs w:val="24"/>
          <w:u w:val="single"/>
          <w:lang w:eastAsia="en-AU"/>
        </w:rPr>
        <w:t>Offshore Petroleum and Greenhouse Gas Storage (Greenhouse Gas Injection and Storage) Regulations 2023</w:t>
      </w:r>
    </w:p>
    <w:tbl>
      <w:tblPr>
        <w:tblW w:w="9341" w:type="dxa"/>
        <w:shd w:val="clear" w:color="auto" w:fill="FFFFFF"/>
        <w:tblCellMar>
          <w:left w:w="0" w:type="dxa"/>
          <w:right w:w="0" w:type="dxa"/>
        </w:tblCellMar>
        <w:tblLook w:val="04A0" w:firstRow="1" w:lastRow="0" w:firstColumn="1" w:lastColumn="0" w:noHBand="0" w:noVBand="1"/>
      </w:tblPr>
      <w:tblGrid>
        <w:gridCol w:w="4900"/>
        <w:gridCol w:w="4441"/>
      </w:tblGrid>
      <w:tr w:rsidR="001A7A85" w:rsidRPr="0075677C" w14:paraId="00EB3519" w14:textId="77777777" w:rsidTr="00891C34">
        <w:trPr>
          <w:tblHeader/>
        </w:trPr>
        <w:tc>
          <w:tcPr>
            <w:tcW w:w="4900"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14:paraId="12148347"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i/>
                <w:iCs/>
                <w:color w:val="333333"/>
                <w:sz w:val="23"/>
                <w:szCs w:val="23"/>
                <w:lang w:eastAsia="en-AU"/>
              </w:rPr>
              <w:t>Old number (20</w:t>
            </w:r>
            <w:r>
              <w:rPr>
                <w:rFonts w:ascii="Source Sans Pro" w:eastAsia="Times New Roman" w:hAnsi="Source Sans Pro" w:cs="Times New Roman"/>
                <w:i/>
                <w:iCs/>
                <w:color w:val="333333"/>
                <w:sz w:val="23"/>
                <w:szCs w:val="23"/>
                <w:lang w:eastAsia="en-AU"/>
              </w:rPr>
              <w:t>11</w:t>
            </w:r>
            <w:r w:rsidRPr="0075677C">
              <w:rPr>
                <w:rFonts w:ascii="Source Sans Pro" w:eastAsia="Times New Roman" w:hAnsi="Source Sans Pro" w:cs="Times New Roman"/>
                <w:i/>
                <w:iCs/>
                <w:color w:val="333333"/>
                <w:sz w:val="23"/>
                <w:szCs w:val="23"/>
                <w:lang w:eastAsia="en-AU"/>
              </w:rPr>
              <w:t xml:space="preserve"> Regulations)</w:t>
            </w:r>
          </w:p>
        </w:tc>
        <w:tc>
          <w:tcPr>
            <w:tcW w:w="4441"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hideMark/>
          </w:tcPr>
          <w:p w14:paraId="37FD0665"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i/>
                <w:iCs/>
                <w:color w:val="333333"/>
                <w:sz w:val="23"/>
                <w:szCs w:val="23"/>
                <w:lang w:eastAsia="en-AU"/>
              </w:rPr>
              <w:t>New number (2023 Regulations)</w:t>
            </w:r>
          </w:p>
        </w:tc>
      </w:tr>
      <w:tr w:rsidR="001A7A85" w:rsidRPr="0075677C" w14:paraId="531F884F"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60C2D8"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r>
              <w:rPr>
                <w:rFonts w:ascii="Source Sans Pro" w:eastAsia="Times New Roman" w:hAnsi="Source Sans Pro" w:cs="Times New Roman"/>
                <w:color w:val="333333"/>
                <w:sz w:val="23"/>
                <w:szCs w:val="23"/>
                <w:lang w:eastAsia="en-AU"/>
              </w:rPr>
              <w:t>.1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FAC3D"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p>
        </w:tc>
      </w:tr>
      <w:tr w:rsidR="001A7A85" w:rsidRPr="0075677C" w14:paraId="110A7455"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BD2AF8"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2657FE"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2</w:t>
            </w:r>
          </w:p>
        </w:tc>
      </w:tr>
      <w:tr w:rsidR="001A7A85" w:rsidRPr="0075677C" w14:paraId="13814FC0"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1D982D"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63D222"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3</w:t>
            </w:r>
          </w:p>
        </w:tc>
      </w:tr>
      <w:tr w:rsidR="001A7A85" w:rsidRPr="0075677C" w14:paraId="73EA757A"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DD33B7" w14:textId="77777777" w:rsidR="001A7A85"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15F1CF" w14:textId="77777777"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w:t>
            </w:r>
          </w:p>
        </w:tc>
      </w:tr>
      <w:tr w:rsidR="001A7A85" w:rsidRPr="0075677C" w14:paraId="61F6A158"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A9BD03"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1.3</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C4E0F2"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5</w:t>
            </w:r>
          </w:p>
        </w:tc>
      </w:tr>
      <w:tr w:rsidR="001A7A85" w:rsidRPr="0075677C" w14:paraId="02ED790A"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D1DD04" w14:textId="77777777" w:rsidR="001A7A85"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18CFEC" w14:textId="77777777" w:rsidR="001A7A85" w:rsidRPr="0075677C" w:rsidDel="00012F81"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6</w:t>
            </w:r>
          </w:p>
        </w:tc>
      </w:tr>
      <w:tr w:rsidR="00F67A3E" w:rsidRPr="0075677C" w14:paraId="6127FAA7" w14:textId="77777777" w:rsidTr="002F168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912D21" w14:textId="77777777" w:rsidR="00F67A3E" w:rsidRDefault="00F67A3E" w:rsidP="002F168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7D40B3" w14:textId="77777777" w:rsidR="00F67A3E" w:rsidRPr="0075677C" w:rsidDel="00012F81" w:rsidRDefault="00F67A3E"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7</w:t>
            </w:r>
          </w:p>
        </w:tc>
      </w:tr>
      <w:tr w:rsidR="00F67A3E" w:rsidRPr="0075677C" w14:paraId="5D1C5B22" w14:textId="77777777" w:rsidTr="002F168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C7BA99" w14:textId="77777777" w:rsidR="00F67A3E" w:rsidRDefault="00F67A3E" w:rsidP="002F168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4E68EE" w14:textId="77777777" w:rsidR="00F67A3E" w:rsidRPr="0075677C" w:rsidDel="00012F81" w:rsidRDefault="00F67A3E"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8</w:t>
            </w:r>
          </w:p>
        </w:tc>
      </w:tr>
      <w:tr w:rsidR="00F67A3E" w:rsidRPr="0075677C" w14:paraId="3A0A9702" w14:textId="77777777" w:rsidTr="002F168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9C5B2B" w14:textId="77777777" w:rsidR="00F67A3E" w:rsidRPr="0075677C" w:rsidRDefault="00F67A3E"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624555" w14:textId="77777777" w:rsidR="00F67A3E" w:rsidRPr="0075677C" w:rsidRDefault="00F67A3E"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75677C" w14:paraId="253CAA94"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6E148D"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1.5</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74846"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9</w:t>
            </w:r>
          </w:p>
        </w:tc>
      </w:tr>
      <w:tr w:rsidR="001A7A85" w:rsidRPr="0075677C" w14:paraId="563C1F09"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68C111" w14:textId="4E412396"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B633BA">
              <w:rPr>
                <w:color w:val="000000" w:themeColor="text1"/>
              </w:rPr>
              <w:t xml:space="preserve">1.5(7) </w:t>
            </w:r>
            <w:r w:rsidR="00F67A3E">
              <w:rPr>
                <w:color w:val="000000" w:themeColor="text1"/>
              </w:rPr>
              <w:t>(</w:t>
            </w:r>
            <w:r w:rsidRPr="00B633BA">
              <w:rPr>
                <w:color w:val="000000" w:themeColor="text1"/>
              </w:rPr>
              <w:t>table item 7</w:t>
            </w:r>
            <w:r w:rsidR="00F67A3E">
              <w:rPr>
                <w:color w:val="000000" w:themeColor="text1"/>
              </w:rPr>
              <w:t>)</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35FBA"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10</w:t>
            </w:r>
          </w:p>
        </w:tc>
      </w:tr>
      <w:tr w:rsidR="001A7A85" w:rsidRPr="0075677C" w14:paraId="3E3CA22B"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F8C83"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1.6</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3E5B2D"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11</w:t>
            </w:r>
          </w:p>
        </w:tc>
      </w:tr>
      <w:tr w:rsidR="001A7A85" w:rsidRPr="0075677C" w14:paraId="1F9101F4"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2616C6"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1.7</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448AE3"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12</w:t>
            </w:r>
          </w:p>
        </w:tc>
      </w:tr>
      <w:tr w:rsidR="001A7A85" w:rsidRPr="0075677C" w14:paraId="6D181195"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04BF2A"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1.8</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2679B5"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12</w:t>
            </w:r>
          </w:p>
        </w:tc>
      </w:tr>
      <w:tr w:rsidR="001A7A85" w:rsidRPr="0075677C" w14:paraId="758CD321"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67727F"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r w:rsidRPr="0075677C" w:rsidDel="00B633BA">
              <w:rPr>
                <w:rFonts w:ascii="Source Sans Pro" w:eastAsia="Times New Roman" w:hAnsi="Source Sans Pro" w:cs="Times New Roman"/>
                <w:color w:val="333333"/>
                <w:sz w:val="23"/>
                <w:szCs w:val="23"/>
                <w:lang w:eastAsia="en-AU"/>
              </w:rPr>
              <w:t xml:space="preserve"> </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0453B"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13</w:t>
            </w:r>
          </w:p>
        </w:tc>
      </w:tr>
      <w:tr w:rsidR="001A7A85" w:rsidRPr="0075677C" w14:paraId="677B1475"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8C8C01"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E3D54F" w14:textId="508857C6"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r>
              <w:rPr>
                <w:rFonts w:ascii="Source Sans Pro" w:eastAsia="Times New Roman" w:hAnsi="Source Sans Pro" w:cs="Times New Roman"/>
                <w:color w:val="333333"/>
                <w:sz w:val="23"/>
                <w:szCs w:val="23"/>
                <w:lang w:eastAsia="en-AU"/>
              </w:rPr>
              <w:t>4</w:t>
            </w:r>
          </w:p>
        </w:tc>
      </w:tr>
      <w:tr w:rsidR="00C34714" w:rsidRPr="0075677C" w14:paraId="46CFA2EF"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96B07C" w14:textId="6E31E620" w:rsidR="00C34714" w:rsidRDefault="00C34714"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2.2(1) </w:t>
            </w:r>
            <w:r w:rsidR="00BA5D22">
              <w:rPr>
                <w:rFonts w:ascii="Source Sans Pro" w:eastAsia="Times New Roman" w:hAnsi="Source Sans Pro" w:cs="Times New Roman"/>
                <w:color w:val="333333"/>
                <w:sz w:val="23"/>
                <w:szCs w:val="23"/>
                <w:lang w:eastAsia="en-AU"/>
              </w:rPr>
              <w:t>and</w:t>
            </w:r>
            <w:r>
              <w:rPr>
                <w:rFonts w:ascii="Source Sans Pro" w:eastAsia="Times New Roman" w:hAnsi="Source Sans Pro" w:cs="Times New Roman"/>
                <w:color w:val="333333"/>
                <w:sz w:val="23"/>
                <w:szCs w:val="23"/>
                <w:lang w:eastAsia="en-AU"/>
              </w:rPr>
              <w:t xml:space="preserve"> (2)</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FD4869" w14:textId="6C602DDC" w:rsidR="00C34714" w:rsidRPr="0075677C" w:rsidRDefault="00C34714"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75677C" w14:paraId="6EA69B33"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CCC7C2" w14:textId="09066966"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2.2(3) </w:t>
            </w:r>
            <w:r w:rsidR="00BA5D22">
              <w:rPr>
                <w:rFonts w:ascii="Source Sans Pro" w:eastAsia="Times New Roman" w:hAnsi="Source Sans Pro" w:cs="Times New Roman"/>
                <w:color w:val="333333"/>
                <w:sz w:val="23"/>
                <w:szCs w:val="23"/>
                <w:lang w:eastAsia="en-AU"/>
              </w:rPr>
              <w:t>and</w:t>
            </w:r>
            <w:r>
              <w:rPr>
                <w:rFonts w:ascii="Source Sans Pro" w:eastAsia="Times New Roman" w:hAnsi="Source Sans Pro" w:cs="Times New Roman"/>
                <w:color w:val="333333"/>
                <w:sz w:val="23"/>
                <w:szCs w:val="23"/>
                <w:lang w:eastAsia="en-AU"/>
              </w:rPr>
              <w:t xml:space="preserve"> (4)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1855F7"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r>
              <w:rPr>
                <w:rFonts w:ascii="Source Sans Pro" w:eastAsia="Times New Roman" w:hAnsi="Source Sans Pro" w:cs="Times New Roman"/>
                <w:color w:val="333333"/>
                <w:sz w:val="23"/>
                <w:szCs w:val="23"/>
                <w:lang w:eastAsia="en-AU"/>
              </w:rPr>
              <w:t>5</w:t>
            </w:r>
          </w:p>
        </w:tc>
      </w:tr>
      <w:tr w:rsidR="001A7A85" w:rsidRPr="0075677C" w14:paraId="19F8E47D"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9CF5C2"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r w:rsidRPr="0075677C" w:rsidDel="00B633BA">
              <w:rPr>
                <w:rFonts w:ascii="Source Sans Pro" w:eastAsia="Times New Roman" w:hAnsi="Source Sans Pro" w:cs="Times New Roman"/>
                <w:color w:val="333333"/>
                <w:sz w:val="23"/>
                <w:szCs w:val="23"/>
                <w:lang w:eastAsia="en-AU"/>
              </w:rPr>
              <w:t xml:space="preserve"> </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CBB44"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r>
              <w:rPr>
                <w:rFonts w:ascii="Source Sans Pro" w:eastAsia="Times New Roman" w:hAnsi="Source Sans Pro" w:cs="Times New Roman"/>
                <w:color w:val="333333"/>
                <w:sz w:val="23"/>
                <w:szCs w:val="23"/>
                <w:lang w:eastAsia="en-AU"/>
              </w:rPr>
              <w:t>6</w:t>
            </w:r>
          </w:p>
        </w:tc>
      </w:tr>
      <w:tr w:rsidR="001A7A85" w:rsidRPr="0075677C" w14:paraId="6DCBAA56"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625F81"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r w:rsidRPr="0075677C" w:rsidDel="00B633BA">
              <w:rPr>
                <w:rFonts w:ascii="Source Sans Pro" w:eastAsia="Times New Roman" w:hAnsi="Source Sans Pro" w:cs="Times New Roman"/>
                <w:color w:val="333333"/>
                <w:sz w:val="23"/>
                <w:szCs w:val="23"/>
                <w:lang w:eastAsia="en-AU"/>
              </w:rPr>
              <w:t xml:space="preserve"> </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F6DEBB"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r>
              <w:rPr>
                <w:rFonts w:ascii="Source Sans Pro" w:eastAsia="Times New Roman" w:hAnsi="Source Sans Pro" w:cs="Times New Roman"/>
                <w:color w:val="333333"/>
                <w:sz w:val="23"/>
                <w:szCs w:val="23"/>
                <w:lang w:eastAsia="en-AU"/>
              </w:rPr>
              <w:t>7</w:t>
            </w:r>
          </w:p>
        </w:tc>
      </w:tr>
      <w:tr w:rsidR="001A7A85" w:rsidRPr="0075677C" w14:paraId="4F5A2B28"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528F7E"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79E21"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C34714" w:rsidRPr="0075677C" w14:paraId="0B567B6D"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FCB5B2" w14:textId="3A54B92D" w:rsidR="00C34714" w:rsidRDefault="00C34714"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3.2(1) </w:t>
            </w:r>
            <w:r w:rsidR="00BA5D22">
              <w:rPr>
                <w:rFonts w:ascii="Source Sans Pro" w:eastAsia="Times New Roman" w:hAnsi="Source Sans Pro" w:cs="Times New Roman"/>
                <w:color w:val="333333"/>
                <w:sz w:val="23"/>
                <w:szCs w:val="23"/>
                <w:lang w:eastAsia="en-AU"/>
              </w:rPr>
              <w:t>and</w:t>
            </w:r>
            <w:r>
              <w:rPr>
                <w:rFonts w:ascii="Source Sans Pro" w:eastAsia="Times New Roman" w:hAnsi="Source Sans Pro" w:cs="Times New Roman"/>
                <w:color w:val="333333"/>
                <w:sz w:val="23"/>
                <w:szCs w:val="23"/>
                <w:lang w:eastAsia="en-AU"/>
              </w:rPr>
              <w:t xml:space="preserve"> (2)</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D35452" w14:textId="337605EE" w:rsidR="00C34714" w:rsidRDefault="00656C0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21 and </w:t>
            </w:r>
            <w:r w:rsidR="00C34714">
              <w:rPr>
                <w:rFonts w:ascii="Source Sans Pro" w:eastAsia="Times New Roman" w:hAnsi="Source Sans Pro" w:cs="Times New Roman"/>
                <w:color w:val="333333"/>
                <w:sz w:val="23"/>
                <w:szCs w:val="23"/>
                <w:lang w:eastAsia="en-AU"/>
              </w:rPr>
              <w:t>22</w:t>
            </w:r>
          </w:p>
        </w:tc>
      </w:tr>
      <w:tr w:rsidR="001A7A85" w:rsidRPr="0075677C" w14:paraId="3611F2B2"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368F32" w14:textId="1593AC29"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3.2</w:t>
            </w:r>
            <w:r w:rsidR="00C34714">
              <w:rPr>
                <w:rFonts w:ascii="Source Sans Pro" w:eastAsia="Times New Roman" w:hAnsi="Source Sans Pro" w:cs="Times New Roman"/>
                <w:color w:val="333333"/>
                <w:sz w:val="23"/>
                <w:szCs w:val="23"/>
                <w:lang w:eastAsia="en-AU"/>
              </w:rPr>
              <w:t>(3)</w:t>
            </w:r>
            <w:r w:rsidR="00BA5D22">
              <w:rPr>
                <w:rFonts w:ascii="Source Sans Pro" w:eastAsia="Times New Roman" w:hAnsi="Source Sans Pro" w:cs="Times New Roman"/>
                <w:color w:val="333333"/>
                <w:sz w:val="23"/>
                <w:szCs w:val="23"/>
                <w:lang w:eastAsia="en-AU"/>
              </w:rPr>
              <w:t xml:space="preserve"> to</w:t>
            </w:r>
            <w:r w:rsidR="00C34714">
              <w:rPr>
                <w:rFonts w:ascii="Source Sans Pro" w:eastAsia="Times New Roman" w:hAnsi="Source Sans Pro" w:cs="Times New Roman"/>
                <w:color w:val="333333"/>
                <w:sz w:val="23"/>
                <w:szCs w:val="23"/>
                <w:lang w:eastAsia="en-AU"/>
              </w:rPr>
              <w:t xml:space="preserve"> (5)</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20600F"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BA5D22" w:rsidRPr="0075677C" w14:paraId="76C90484"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550672" w14:textId="19C26C34" w:rsidR="00BA5D22"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E503A1" w14:textId="51D457B6" w:rsidR="00BA5D22" w:rsidRPr="0075677C" w:rsidRDefault="00656C0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23 and </w:t>
            </w:r>
            <w:r w:rsidR="00BA5D22">
              <w:rPr>
                <w:rFonts w:ascii="Source Sans Pro" w:eastAsia="Times New Roman" w:hAnsi="Source Sans Pro" w:cs="Times New Roman"/>
                <w:color w:val="333333"/>
                <w:sz w:val="23"/>
                <w:szCs w:val="23"/>
                <w:lang w:eastAsia="en-AU"/>
              </w:rPr>
              <w:t>25</w:t>
            </w:r>
          </w:p>
        </w:tc>
      </w:tr>
      <w:tr w:rsidR="001A7A85" w:rsidRPr="0075677C" w14:paraId="3D0B5834"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9868EF" w14:textId="2D3D362F"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3.3(2)</w:t>
            </w:r>
            <w:r w:rsidR="00BA5D22">
              <w:rPr>
                <w:rFonts w:ascii="Source Sans Pro" w:eastAsia="Times New Roman" w:hAnsi="Source Sans Pro" w:cs="Times New Roman"/>
                <w:color w:val="333333"/>
                <w:sz w:val="23"/>
                <w:szCs w:val="23"/>
                <w:lang w:eastAsia="en-AU"/>
              </w:rPr>
              <w:t xml:space="preserve"> and</w:t>
            </w:r>
            <w:r>
              <w:rPr>
                <w:rFonts w:ascii="Source Sans Pro" w:eastAsia="Times New Roman" w:hAnsi="Source Sans Pro" w:cs="Times New Roman"/>
                <w:color w:val="333333"/>
                <w:sz w:val="23"/>
                <w:szCs w:val="23"/>
                <w:lang w:eastAsia="en-AU"/>
              </w:rPr>
              <w:t xml:space="preserve"> (3)</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E839A" w14:textId="7BA813AC"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r>
              <w:rPr>
                <w:rFonts w:ascii="Source Sans Pro" w:eastAsia="Times New Roman" w:hAnsi="Source Sans Pro" w:cs="Times New Roman"/>
                <w:color w:val="333333"/>
                <w:sz w:val="23"/>
                <w:szCs w:val="23"/>
                <w:lang w:eastAsia="en-AU"/>
              </w:rPr>
              <w:t>8</w:t>
            </w:r>
            <w:r w:rsidR="00BA5D22">
              <w:rPr>
                <w:rFonts w:ascii="Source Sans Pro" w:eastAsia="Times New Roman" w:hAnsi="Source Sans Pro" w:cs="Times New Roman"/>
                <w:color w:val="333333"/>
                <w:sz w:val="23"/>
                <w:szCs w:val="23"/>
                <w:lang w:eastAsia="en-AU"/>
              </w:rPr>
              <w:t>(1) and (2)</w:t>
            </w:r>
          </w:p>
        </w:tc>
      </w:tr>
      <w:tr w:rsidR="00BA5D22" w:rsidRPr="0075677C" w14:paraId="10F5903D"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D2063A" w14:textId="4F1A1A1F" w:rsidR="00BA5D22"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45CDD2" w14:textId="628A5813" w:rsidR="00BA5D22" w:rsidRPr="0075677C"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20(1)(c)</w:t>
            </w:r>
          </w:p>
        </w:tc>
      </w:tr>
      <w:tr w:rsidR="00BA5D22" w:rsidRPr="0075677C" w14:paraId="652B6391"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3707D2" w14:textId="66981A78" w:rsidR="00BA5D22"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3.3(5) to (7)</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3AAC6" w14:textId="3713EFB3" w:rsidR="00BA5D22" w:rsidRPr="0075677C"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18(3)</w:t>
            </w:r>
          </w:p>
        </w:tc>
      </w:tr>
      <w:tr w:rsidR="00BA5D22" w:rsidRPr="0075677C" w14:paraId="6A5B953C"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ED8500" w14:textId="572B6A56" w:rsidR="00BA5D22"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3.3(8) and (9)</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140048" w14:textId="1EF68602" w:rsidR="00BA5D22" w:rsidRPr="0075677C"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20(1)(d) and (e)</w:t>
            </w:r>
          </w:p>
        </w:tc>
      </w:tr>
      <w:tr w:rsidR="00BA5D22" w:rsidRPr="0075677C" w14:paraId="13C8F4D3"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883E6D" w14:textId="2049DC2D" w:rsidR="00BA5D22"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3.3(10) to (12)</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CFCBC4" w14:textId="74B2C8DB" w:rsidR="00BA5D22" w:rsidRPr="0075677C"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BA5D22" w:rsidRPr="0075677C" w14:paraId="17D8E352"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199AC34" w14:textId="1E1D6E85" w:rsidR="00BA5D22"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3.3(13) and (14)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700767" w14:textId="3FE990A9" w:rsidR="00BA5D22" w:rsidRPr="0075677C" w:rsidRDefault="00BA5D22"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27</w:t>
            </w:r>
          </w:p>
        </w:tc>
      </w:tr>
      <w:tr w:rsidR="00030A1F" w:rsidRPr="0075677C" w14:paraId="5BA19F0B"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189C09" w14:textId="497DDB09" w:rsidR="00030A1F" w:rsidRDefault="00030A1F"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3.4(1)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6AC01" w14:textId="09C64DD2" w:rsidR="00030A1F" w:rsidRPr="0075677C" w:rsidRDefault="00656C0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23 and </w:t>
            </w:r>
            <w:r w:rsidR="00030A1F">
              <w:rPr>
                <w:rFonts w:ascii="Source Sans Pro" w:eastAsia="Times New Roman" w:hAnsi="Source Sans Pro" w:cs="Times New Roman"/>
                <w:color w:val="333333"/>
                <w:sz w:val="23"/>
                <w:szCs w:val="23"/>
                <w:lang w:eastAsia="en-AU"/>
              </w:rPr>
              <w:t>25</w:t>
            </w:r>
          </w:p>
        </w:tc>
      </w:tr>
      <w:tr w:rsidR="001A7A85" w:rsidRPr="0075677C" w14:paraId="3A707308"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4391A3"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3.4(2) to (5)</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716BE"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1</w:t>
            </w:r>
            <w:r>
              <w:rPr>
                <w:rFonts w:ascii="Source Sans Pro" w:eastAsia="Times New Roman" w:hAnsi="Source Sans Pro" w:cs="Times New Roman"/>
                <w:color w:val="333333"/>
                <w:sz w:val="23"/>
                <w:szCs w:val="23"/>
                <w:lang w:eastAsia="en-AU"/>
              </w:rPr>
              <w:t>9</w:t>
            </w:r>
          </w:p>
        </w:tc>
      </w:tr>
      <w:tr w:rsidR="00030A1F" w:rsidRPr="0075677C" w14:paraId="3DC9D1CE"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53F9B" w14:textId="2449E7CA" w:rsidR="00030A1F" w:rsidRDefault="00030A1F"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3.5(1)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061114" w14:textId="3F353E55" w:rsidR="00030A1F" w:rsidRDefault="00656C0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23 and </w:t>
            </w:r>
            <w:r w:rsidR="00030A1F">
              <w:rPr>
                <w:rFonts w:ascii="Source Sans Pro" w:eastAsia="Times New Roman" w:hAnsi="Source Sans Pro" w:cs="Times New Roman"/>
                <w:color w:val="333333"/>
                <w:sz w:val="23"/>
                <w:szCs w:val="23"/>
                <w:lang w:eastAsia="en-AU"/>
              </w:rPr>
              <w:t>25</w:t>
            </w:r>
          </w:p>
        </w:tc>
      </w:tr>
      <w:tr w:rsidR="00030A1F" w:rsidRPr="0075677C" w14:paraId="6D9D17B0"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71211" w14:textId="65C0A76A" w:rsidR="00030A1F" w:rsidRDefault="00030A1F"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3.5(2) to (4)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ED1721" w14:textId="7206273C" w:rsidR="00030A1F" w:rsidRDefault="00030A1F"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20</w:t>
            </w:r>
          </w:p>
        </w:tc>
      </w:tr>
      <w:tr w:rsidR="00030A1F" w:rsidRPr="0075677C" w14:paraId="720182C4"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B140B5" w14:textId="1B9BBDA2" w:rsidR="00030A1F" w:rsidRDefault="00030A1F"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3.5(5)</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0C4009" w14:textId="21BF04CF" w:rsidR="00030A1F" w:rsidRDefault="00030A1F"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54</w:t>
            </w:r>
          </w:p>
        </w:tc>
      </w:tr>
      <w:tr w:rsidR="00BB535B" w:rsidRPr="0075677C" w14:paraId="2E8BDC87"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177ADD" w14:textId="1706916F" w:rsidR="00BB535B" w:rsidRDefault="00BB535B"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3.6</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D13932" w14:textId="3BEC2823" w:rsidR="00BB535B" w:rsidRDefault="00BB535B"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656C0A" w:rsidRPr="0075677C" w14:paraId="0D8CCA1E"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8FFC95" w14:textId="0C355191" w:rsidR="00656C0A" w:rsidRDefault="00656C0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3.7(1)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D9AB48" w14:textId="74D735BC" w:rsidR="00656C0A" w:rsidRDefault="00656C0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24</w:t>
            </w:r>
          </w:p>
        </w:tc>
      </w:tr>
      <w:tr w:rsidR="001A7A85" w:rsidRPr="0075677C" w14:paraId="4E91EBDD"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27C660" w14:textId="021CD2DD"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3.7</w:t>
            </w:r>
            <w:r w:rsidR="00656C0A">
              <w:rPr>
                <w:rFonts w:ascii="Source Sans Pro" w:eastAsia="Times New Roman" w:hAnsi="Source Sans Pro" w:cs="Times New Roman"/>
                <w:color w:val="333333"/>
                <w:sz w:val="23"/>
                <w:szCs w:val="23"/>
                <w:lang w:eastAsia="en-AU"/>
              </w:rPr>
              <w:t>(2) and (3)</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21163" w14:textId="15C283C8" w:rsidR="001A7A85" w:rsidRPr="0075677C" w:rsidRDefault="00BB535B"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75677C" w14:paraId="2EEC291B"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C9D77B" w14:textId="77777777" w:rsidR="001A7A85" w:rsidRPr="00280EC4" w:rsidRDefault="001A7A8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t>Not in 2011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5C81CC" w14:textId="77777777" w:rsidR="001A7A85" w:rsidRPr="00280EC4" w:rsidRDefault="001A7A8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t>26</w:t>
            </w:r>
          </w:p>
        </w:tc>
      </w:tr>
      <w:tr w:rsidR="001A7A85" w:rsidRPr="0075677C" w14:paraId="70F79654"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701643" w14:textId="77777777" w:rsidR="001A7A85" w:rsidRPr="00280EC4" w:rsidRDefault="001A7A8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lastRenderedPageBreak/>
              <w:t>Not in 2011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2DEBB" w14:textId="77777777" w:rsidR="001A7A85" w:rsidRPr="00280EC4" w:rsidRDefault="001A7A8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t>28</w:t>
            </w:r>
          </w:p>
        </w:tc>
      </w:tr>
      <w:tr w:rsidR="001A7A85" w:rsidRPr="0075677C" w14:paraId="4E9BA526"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4F1205"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3.8</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732D40" w14:textId="7439EBA3"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29</w:t>
            </w:r>
            <w:r w:rsidR="00DB50B5">
              <w:rPr>
                <w:rFonts w:ascii="Source Sans Pro" w:eastAsia="Times New Roman" w:hAnsi="Source Sans Pro" w:cs="Times New Roman"/>
                <w:color w:val="333333"/>
                <w:sz w:val="23"/>
                <w:szCs w:val="23"/>
                <w:lang w:eastAsia="en-AU"/>
              </w:rPr>
              <w:t xml:space="preserve"> and 30</w:t>
            </w:r>
          </w:p>
        </w:tc>
      </w:tr>
      <w:tr w:rsidR="001A7A85" w:rsidRPr="00280EC4" w14:paraId="4924C07C" w14:textId="77777777" w:rsidTr="00280EC4">
        <w:tc>
          <w:tcPr>
            <w:tcW w:w="4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375B8B" w14:textId="5DF491FF" w:rsidR="001A7A85" w:rsidRPr="00280EC4" w:rsidRDefault="001A7A8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t>3.9</w:t>
            </w:r>
            <w:r w:rsidR="00DB50B5" w:rsidRPr="00280EC4">
              <w:rPr>
                <w:rFonts w:ascii="Source Sans Pro" w:eastAsia="Times New Roman" w:hAnsi="Source Sans Pro" w:cs="Times New Roman"/>
                <w:color w:val="333333"/>
                <w:sz w:val="23"/>
                <w:szCs w:val="23"/>
                <w:lang w:eastAsia="en-AU"/>
              </w:rPr>
              <w:t>(1)</w:t>
            </w:r>
          </w:p>
        </w:tc>
        <w:tc>
          <w:tcPr>
            <w:tcW w:w="4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BFE0ED" w14:textId="59CEF976" w:rsidR="001A7A85" w:rsidRPr="00280EC4" w:rsidRDefault="00DB50B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t xml:space="preserve">31 and </w:t>
            </w:r>
            <w:r w:rsidR="001A7A85" w:rsidRPr="00280EC4">
              <w:rPr>
                <w:rFonts w:ascii="Source Sans Pro" w:eastAsia="Times New Roman" w:hAnsi="Source Sans Pro" w:cs="Times New Roman"/>
                <w:color w:val="333333"/>
                <w:sz w:val="23"/>
                <w:szCs w:val="23"/>
                <w:lang w:eastAsia="en-AU"/>
              </w:rPr>
              <w:t>32</w:t>
            </w:r>
          </w:p>
        </w:tc>
      </w:tr>
      <w:tr w:rsidR="00DB50B5" w:rsidRPr="0075677C" w14:paraId="0F1ABF9D" w14:textId="77777777" w:rsidTr="00280EC4">
        <w:tc>
          <w:tcPr>
            <w:tcW w:w="4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D22F0A" w14:textId="2859D003" w:rsidR="00DB50B5" w:rsidRPr="00280EC4" w:rsidRDefault="00DB50B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t>3.9(2)</w:t>
            </w:r>
          </w:p>
        </w:tc>
        <w:tc>
          <w:tcPr>
            <w:tcW w:w="4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6350AD" w14:textId="085E85D3" w:rsidR="00DB50B5" w:rsidRDefault="00DB50B5" w:rsidP="00891C34">
            <w:pPr>
              <w:spacing w:after="0" w:line="240" w:lineRule="auto"/>
              <w:rPr>
                <w:rFonts w:ascii="Source Sans Pro" w:eastAsia="Times New Roman" w:hAnsi="Source Sans Pro" w:cs="Times New Roman"/>
                <w:color w:val="333333"/>
                <w:sz w:val="23"/>
                <w:szCs w:val="23"/>
                <w:lang w:eastAsia="en-AU"/>
              </w:rPr>
            </w:pPr>
            <w:r w:rsidRPr="00280EC4">
              <w:rPr>
                <w:rFonts w:ascii="Source Sans Pro" w:eastAsia="Times New Roman" w:hAnsi="Source Sans Pro" w:cs="Times New Roman"/>
                <w:color w:val="333333"/>
                <w:sz w:val="23"/>
                <w:szCs w:val="23"/>
                <w:lang w:eastAsia="en-AU"/>
              </w:rPr>
              <w:t>33 and 34</w:t>
            </w:r>
          </w:p>
        </w:tc>
      </w:tr>
      <w:tr w:rsidR="001A7A85" w:rsidRPr="0075677C" w14:paraId="2C2945BA"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7B54CB"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3.10(1) and (2)</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70BDAD"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36</w:t>
            </w:r>
          </w:p>
        </w:tc>
      </w:tr>
      <w:tr w:rsidR="001A7A85" w:rsidRPr="0075677C" w14:paraId="295E787D"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4CD08"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3.10(3) and (4)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1A8B4B"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37</w:t>
            </w:r>
          </w:p>
        </w:tc>
      </w:tr>
      <w:tr w:rsidR="001A7A85" w:rsidRPr="0075677C" w14:paraId="2FA999F0"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412EC0"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3.10(5) and (6)</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B3F55"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38</w:t>
            </w:r>
          </w:p>
        </w:tc>
      </w:tr>
      <w:tr w:rsidR="001A7A85" w:rsidRPr="0075677C" w14:paraId="286B1363"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8361E8"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3.11(1) to (3)</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FD355" w14:textId="6F9A0C3B" w:rsidR="001A7A85" w:rsidRPr="0075677C" w:rsidRDefault="00280EC4"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35(2) and </w:t>
            </w:r>
            <w:r w:rsidR="001A7A85">
              <w:rPr>
                <w:rFonts w:ascii="Source Sans Pro" w:eastAsia="Times New Roman" w:hAnsi="Source Sans Pro" w:cs="Times New Roman"/>
                <w:color w:val="333333"/>
                <w:sz w:val="23"/>
                <w:szCs w:val="23"/>
                <w:lang w:eastAsia="en-AU"/>
              </w:rPr>
              <w:t>39</w:t>
            </w:r>
          </w:p>
        </w:tc>
      </w:tr>
      <w:tr w:rsidR="001A7A85" w:rsidRPr="0075677C" w14:paraId="232AA5EE"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D37697"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3.11(4)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793D20" w14:textId="28305930" w:rsidR="001A7A85" w:rsidRPr="0075677C" w:rsidRDefault="00280EC4"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35(1) and </w:t>
            </w:r>
            <w:r w:rsidR="001A7A85">
              <w:rPr>
                <w:rFonts w:ascii="Source Sans Pro" w:eastAsia="Times New Roman" w:hAnsi="Source Sans Pro" w:cs="Times New Roman"/>
                <w:color w:val="333333"/>
                <w:sz w:val="23"/>
                <w:szCs w:val="23"/>
                <w:lang w:eastAsia="en-AU"/>
              </w:rPr>
              <w:t>40</w:t>
            </w:r>
          </w:p>
        </w:tc>
      </w:tr>
      <w:tr w:rsidR="001A7A85" w:rsidRPr="0075677C" w14:paraId="40D8FA57"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2C62DF"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9C7F5"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41</w:t>
            </w:r>
          </w:p>
        </w:tc>
      </w:tr>
      <w:tr w:rsidR="001A7A85" w:rsidRPr="0075677C" w14:paraId="1785C959"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08AA81"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1FAF7"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42</w:t>
            </w:r>
          </w:p>
        </w:tc>
      </w:tr>
      <w:tr w:rsidR="001A7A85" w:rsidRPr="0075677C" w14:paraId="38D57F35"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8A193A"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F67AE6"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43</w:t>
            </w:r>
          </w:p>
        </w:tc>
      </w:tr>
      <w:tr w:rsidR="001A7A85" w:rsidRPr="0075677C" w14:paraId="39EB1DF5"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7DE0D2"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6BB46"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44</w:t>
            </w:r>
          </w:p>
        </w:tc>
      </w:tr>
      <w:tr w:rsidR="001A7A85" w:rsidRPr="0075677C" w14:paraId="7F29F5DB"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E91C52"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020E0"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4</w:t>
            </w:r>
            <w:r>
              <w:rPr>
                <w:rFonts w:ascii="Source Sans Pro" w:eastAsia="Times New Roman" w:hAnsi="Source Sans Pro" w:cs="Times New Roman"/>
                <w:color w:val="333333"/>
                <w:sz w:val="23"/>
                <w:szCs w:val="23"/>
                <w:lang w:eastAsia="en-AU"/>
              </w:rPr>
              <w:t>5</w:t>
            </w:r>
          </w:p>
        </w:tc>
      </w:tr>
      <w:tr w:rsidR="001A7A85" w:rsidRPr="0075677C" w14:paraId="512501C2"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C9D384" w14:textId="77777777" w:rsidR="001A7A85" w:rsidRPr="005A7D29" w:rsidRDefault="001A7A85" w:rsidP="00891C34">
            <w:pPr>
              <w:spacing w:after="0" w:line="240" w:lineRule="auto"/>
              <w:rPr>
                <w:rFonts w:ascii="Source Sans Pro" w:eastAsia="Times New Roman" w:hAnsi="Source Sans Pro" w:cs="Times New Roman"/>
                <w:color w:val="333333"/>
                <w:sz w:val="23"/>
                <w:szCs w:val="23"/>
                <w:lang w:eastAsia="en-AU"/>
              </w:rPr>
            </w:pPr>
            <w:r w:rsidRPr="005A7D29">
              <w:rPr>
                <w:rFonts w:ascii="Source Sans Pro" w:eastAsia="Times New Roman" w:hAnsi="Source Sans Pro" w:cs="Times New Roman"/>
                <w:color w:val="333333"/>
                <w:sz w:val="23"/>
                <w:szCs w:val="23"/>
                <w:lang w:eastAsia="en-AU"/>
              </w:rPr>
              <w:t>Not in 2011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4134B"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5A7D29">
              <w:rPr>
                <w:rFonts w:ascii="Source Sans Pro" w:eastAsia="Times New Roman" w:hAnsi="Source Sans Pro" w:cs="Times New Roman"/>
                <w:color w:val="333333"/>
                <w:sz w:val="23"/>
                <w:szCs w:val="23"/>
                <w:lang w:eastAsia="en-AU"/>
              </w:rPr>
              <w:t>46</w:t>
            </w:r>
          </w:p>
        </w:tc>
      </w:tr>
      <w:tr w:rsidR="001A7A85" w:rsidRPr="0075677C" w14:paraId="6824BBF7"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C13D55"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5A8EC9"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4</w:t>
            </w:r>
            <w:r>
              <w:rPr>
                <w:rFonts w:ascii="Source Sans Pro" w:eastAsia="Times New Roman" w:hAnsi="Source Sans Pro" w:cs="Times New Roman"/>
                <w:color w:val="333333"/>
                <w:sz w:val="23"/>
                <w:szCs w:val="23"/>
                <w:lang w:eastAsia="en-AU"/>
              </w:rPr>
              <w:t>7</w:t>
            </w:r>
          </w:p>
        </w:tc>
      </w:tr>
      <w:tr w:rsidR="001A7A85" w:rsidRPr="0075677C" w14:paraId="2D8EE9DB"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4BD1D0"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BD05A8"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48</w:t>
            </w:r>
          </w:p>
        </w:tc>
      </w:tr>
      <w:tr w:rsidR="001A7A85" w:rsidRPr="0075677C" w14:paraId="6C7A7217"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F72D50" w14:textId="420106E2"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924C00" w14:textId="69AAB91D"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49</w:t>
            </w:r>
            <w:r w:rsidR="005A7D29">
              <w:rPr>
                <w:rFonts w:ascii="Source Sans Pro" w:eastAsia="Times New Roman" w:hAnsi="Source Sans Pro" w:cs="Times New Roman"/>
                <w:color w:val="333333"/>
                <w:sz w:val="23"/>
                <w:szCs w:val="23"/>
                <w:lang w:eastAsia="en-AU"/>
              </w:rPr>
              <w:t>(1)</w:t>
            </w:r>
          </w:p>
        </w:tc>
      </w:tr>
      <w:tr w:rsidR="001A7A85" w:rsidRPr="0075677C" w14:paraId="2FEED6AA"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77D13F" w14:textId="77777777" w:rsidR="001A7A85" w:rsidRPr="005B4237" w:rsidRDefault="001A7A85" w:rsidP="00891C34">
            <w:pPr>
              <w:spacing w:after="0" w:line="240" w:lineRule="auto"/>
              <w:rPr>
                <w:rFonts w:ascii="Source Sans Pro" w:eastAsia="Times New Roman" w:hAnsi="Source Sans Pro" w:cs="Times New Roman"/>
                <w:color w:val="333333"/>
                <w:sz w:val="23"/>
                <w:szCs w:val="23"/>
                <w:lang w:eastAsia="en-AU"/>
              </w:rPr>
            </w:pPr>
            <w:r w:rsidRPr="005B4237">
              <w:rPr>
                <w:rFonts w:ascii="Source Sans Pro" w:eastAsia="Times New Roman" w:hAnsi="Source Sans Pro" w:cs="Times New Roman"/>
                <w:color w:val="333333"/>
                <w:sz w:val="23"/>
                <w:szCs w:val="23"/>
                <w:lang w:eastAsia="en-AU"/>
              </w:rPr>
              <w:t>Not in 2011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A31F25"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5B4237">
              <w:rPr>
                <w:rFonts w:ascii="Source Sans Pro" w:eastAsia="Times New Roman" w:hAnsi="Source Sans Pro" w:cs="Times New Roman"/>
                <w:color w:val="333333"/>
                <w:sz w:val="23"/>
                <w:szCs w:val="23"/>
                <w:lang w:eastAsia="en-AU"/>
              </w:rPr>
              <w:t>50</w:t>
            </w:r>
          </w:p>
        </w:tc>
      </w:tr>
      <w:tr w:rsidR="001A7A85" w:rsidRPr="0075677C" w14:paraId="4267CB09"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739F78" w14:textId="0854F06D"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4.2</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98674"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F422F4">
              <w:rPr>
                <w:rFonts w:ascii="Source Sans Pro" w:eastAsia="Times New Roman" w:hAnsi="Source Sans Pro" w:cs="Times New Roman"/>
                <w:color w:val="333333"/>
                <w:sz w:val="23"/>
                <w:szCs w:val="23"/>
                <w:lang w:eastAsia="en-AU"/>
              </w:rPr>
              <w:t>51</w:t>
            </w:r>
          </w:p>
        </w:tc>
      </w:tr>
      <w:tr w:rsidR="005A7D29" w:rsidRPr="0075677C" w14:paraId="29426F8C"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4239EA" w14:textId="6B3A4C90"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4.2A</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B4A59E" w14:textId="157EEAAE" w:rsidR="005A7D29" w:rsidRPr="00F422F4"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51</w:t>
            </w:r>
          </w:p>
        </w:tc>
      </w:tr>
      <w:tr w:rsidR="001A7A85" w:rsidRPr="0075677C" w14:paraId="39B2DE39"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D5BD1B" w14:textId="5869E7D0"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4.3</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481C3" w14:textId="77777777"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52</w:t>
            </w:r>
          </w:p>
        </w:tc>
      </w:tr>
      <w:tr w:rsidR="005A7D29" w:rsidRPr="0075677C" w14:paraId="68A3947C"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26984A" w14:textId="725AB072" w:rsidR="005A7D29" w:rsidRPr="0075677C"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4.4</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AD3A55" w14:textId="28520615"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49(2)</w:t>
            </w:r>
          </w:p>
        </w:tc>
      </w:tr>
      <w:tr w:rsidR="005A7D29" w:rsidRPr="0075677C" w14:paraId="07806E80"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B0089" w14:textId="586F8085"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4.5(1) and (2)</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F08739" w14:textId="5C435FCD"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49(2)</w:t>
            </w:r>
          </w:p>
        </w:tc>
      </w:tr>
      <w:tr w:rsidR="005A7D29" w:rsidRPr="0075677C" w14:paraId="6FBDEC8E"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114CE0" w14:textId="45440D46"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4.5(3)</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BF0F61" w14:textId="6EAD32E1"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52(1)</w:t>
            </w:r>
          </w:p>
        </w:tc>
      </w:tr>
      <w:tr w:rsidR="005A7D29" w:rsidRPr="0075677C" w14:paraId="72F111B7"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4EFF009" w14:textId="312BE3C5"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4.6</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D87AF0" w14:textId="32F018AF" w:rsidR="005A7D29" w:rsidRDefault="005A7D29"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49(2)</w:t>
            </w:r>
          </w:p>
        </w:tc>
      </w:tr>
      <w:tr w:rsidR="007930EE" w:rsidRPr="0075677C" w14:paraId="389EF38B"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5ADE664" w14:textId="417E3265" w:rsidR="007930EE" w:rsidRPr="007930EE" w:rsidRDefault="007930E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4.7</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6C6656" w14:textId="55C20903" w:rsidR="007930EE" w:rsidRPr="007930EE" w:rsidRDefault="007930E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7930EE" w:rsidRPr="0075677C" w14:paraId="66D08159"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222DEE1" w14:textId="08BB63D4" w:rsidR="007930EE" w:rsidRDefault="007930E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4.8</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CD58B2" w14:textId="30DF8F53" w:rsidR="007930EE" w:rsidRDefault="007930E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7930EE" w:rsidRPr="0075677C" w14:paraId="20D8C538"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88B4C" w14:textId="5657DF01" w:rsidR="007930EE" w:rsidRDefault="007930E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4.9</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A4B5A1" w14:textId="09B19986" w:rsidR="007930EE" w:rsidRDefault="007930E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5B4237" w:rsidRPr="0075677C" w14:paraId="68AFBBA3" w14:textId="77777777" w:rsidTr="002F168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57240D" w14:textId="77777777" w:rsidR="005B4237" w:rsidRPr="005B4237" w:rsidRDefault="005B4237" w:rsidP="002F1684">
            <w:pPr>
              <w:spacing w:after="0" w:line="240" w:lineRule="auto"/>
              <w:rPr>
                <w:rFonts w:ascii="Source Sans Pro" w:eastAsia="Times New Roman" w:hAnsi="Source Sans Pro" w:cs="Times New Roman"/>
                <w:color w:val="333333"/>
                <w:sz w:val="23"/>
                <w:szCs w:val="23"/>
                <w:lang w:eastAsia="en-AU"/>
              </w:rPr>
            </w:pPr>
            <w:r w:rsidRPr="005B4237">
              <w:rPr>
                <w:rFonts w:ascii="Source Sans Pro" w:eastAsia="Times New Roman" w:hAnsi="Source Sans Pro" w:cs="Times New Roman"/>
                <w:color w:val="333333"/>
                <w:sz w:val="23"/>
                <w:szCs w:val="23"/>
                <w:lang w:eastAsia="en-AU"/>
              </w:rPr>
              <w:t>Not in 2011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0EE68E" w14:textId="77777777" w:rsidR="005B4237" w:rsidRPr="0075677C" w:rsidRDefault="005B4237" w:rsidP="002F1684">
            <w:pPr>
              <w:spacing w:after="0" w:line="240" w:lineRule="auto"/>
              <w:rPr>
                <w:rFonts w:ascii="Source Sans Pro" w:eastAsia="Times New Roman" w:hAnsi="Source Sans Pro" w:cs="Times New Roman"/>
                <w:color w:val="333333"/>
                <w:sz w:val="23"/>
                <w:szCs w:val="23"/>
                <w:lang w:eastAsia="en-AU"/>
              </w:rPr>
            </w:pPr>
            <w:r w:rsidRPr="005B4237">
              <w:rPr>
                <w:rFonts w:ascii="Source Sans Pro" w:eastAsia="Times New Roman" w:hAnsi="Source Sans Pro" w:cs="Times New Roman"/>
                <w:color w:val="333333"/>
                <w:sz w:val="23"/>
                <w:szCs w:val="23"/>
                <w:lang w:eastAsia="en-AU"/>
              </w:rPr>
              <w:t>53</w:t>
            </w:r>
          </w:p>
        </w:tc>
      </w:tr>
      <w:tr w:rsidR="005B4237" w:rsidRPr="005B4237" w14:paraId="6F16E1C7" w14:textId="77777777" w:rsidTr="002F168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E4531" w14:textId="77777777" w:rsidR="005B4237" w:rsidRPr="005B4237" w:rsidRDefault="005B4237" w:rsidP="002F1684">
            <w:pPr>
              <w:spacing w:after="0" w:line="240" w:lineRule="auto"/>
              <w:rPr>
                <w:rFonts w:ascii="Source Sans Pro" w:eastAsia="Times New Roman" w:hAnsi="Source Sans Pro" w:cs="Times New Roman"/>
                <w:color w:val="333333"/>
                <w:sz w:val="23"/>
                <w:szCs w:val="23"/>
                <w:lang w:eastAsia="en-AU"/>
              </w:rPr>
            </w:pPr>
            <w:r w:rsidRPr="005B4237">
              <w:rPr>
                <w:rFonts w:ascii="Source Sans Pro" w:eastAsia="Times New Roman" w:hAnsi="Source Sans Pro" w:cs="Times New Roman"/>
                <w:color w:val="333333"/>
                <w:sz w:val="23"/>
                <w:szCs w:val="23"/>
                <w:lang w:eastAsia="en-AU"/>
              </w:rPr>
              <w:t>Not in 2011 Regulations</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712EA2" w14:textId="384D0E6C" w:rsidR="005B4237" w:rsidRPr="005B4237" w:rsidRDefault="005B4237"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7 (55 to 62)</w:t>
            </w:r>
          </w:p>
        </w:tc>
      </w:tr>
      <w:tr w:rsidR="005B4237" w:rsidRPr="0075677C" w14:paraId="44CAF56F" w14:textId="77777777" w:rsidTr="005E670D">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A8B6CCC" w14:textId="101082BB" w:rsidR="005B4237" w:rsidRPr="005B4237" w:rsidRDefault="005B4237" w:rsidP="002F1684">
            <w:pPr>
              <w:spacing w:after="0" w:line="240" w:lineRule="auto"/>
              <w:rPr>
                <w:rFonts w:ascii="Source Sans Pro" w:eastAsia="Times New Roman" w:hAnsi="Source Sans Pro" w:cs="Times New Roman"/>
                <w:color w:val="333333"/>
                <w:sz w:val="23"/>
                <w:szCs w:val="23"/>
                <w:lang w:eastAsia="en-AU"/>
              </w:rPr>
            </w:pPr>
            <w:r w:rsidRPr="005B4237">
              <w:rPr>
                <w:rFonts w:ascii="Source Sans Pro" w:eastAsia="Times New Roman" w:hAnsi="Source Sans Pro" w:cs="Times New Roman"/>
                <w:color w:val="333333"/>
                <w:sz w:val="23"/>
                <w:szCs w:val="23"/>
                <w:lang w:eastAsia="en-AU"/>
              </w:rPr>
              <w:t>Not in 2011 Regulations</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71D99F8E" w14:textId="77777777" w:rsidR="005B4237" w:rsidRPr="0075677C" w:rsidRDefault="005B4237" w:rsidP="002F1684">
            <w:pPr>
              <w:spacing w:after="0" w:line="240" w:lineRule="auto"/>
              <w:rPr>
                <w:rFonts w:ascii="Source Sans Pro" w:eastAsia="Times New Roman" w:hAnsi="Source Sans Pro" w:cs="Times New Roman"/>
                <w:color w:val="333333"/>
                <w:sz w:val="23"/>
                <w:szCs w:val="23"/>
                <w:lang w:eastAsia="en-AU"/>
              </w:rPr>
            </w:pPr>
            <w:r w:rsidRPr="005B4237">
              <w:rPr>
                <w:rFonts w:ascii="Source Sans Pro" w:eastAsia="Times New Roman" w:hAnsi="Source Sans Pro" w:cs="Times New Roman"/>
                <w:color w:val="333333"/>
                <w:sz w:val="23"/>
                <w:szCs w:val="23"/>
                <w:lang w:eastAsia="en-AU"/>
              </w:rPr>
              <w:t>63</w:t>
            </w:r>
          </w:p>
        </w:tc>
      </w:tr>
      <w:tr w:rsidR="001A7A85" w:rsidRPr="0075677C" w14:paraId="7849EFC8" w14:textId="77777777" w:rsidTr="005E670D">
        <w:tc>
          <w:tcPr>
            <w:tcW w:w="490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D72B0B" w14:textId="77777777" w:rsidR="001A7A85" w:rsidRPr="00D144F1" w:rsidRDefault="001A7A85" w:rsidP="00891C34">
            <w:pPr>
              <w:spacing w:after="0" w:line="240" w:lineRule="auto"/>
              <w:rPr>
                <w:rFonts w:ascii="Source Sans Pro" w:eastAsia="Times New Roman" w:hAnsi="Source Sans Pro" w:cs="Times New Roman"/>
                <w:color w:val="333333"/>
                <w:sz w:val="23"/>
                <w:szCs w:val="23"/>
                <w:lang w:eastAsia="en-AU"/>
              </w:rPr>
            </w:pPr>
            <w:r w:rsidRPr="00D144F1">
              <w:rPr>
                <w:rFonts w:ascii="Source Sans Pro" w:eastAsia="Times New Roman" w:hAnsi="Source Sans Pro" w:cs="Times New Roman"/>
                <w:color w:val="333333"/>
                <w:sz w:val="23"/>
                <w:szCs w:val="23"/>
                <w:lang w:eastAsia="en-AU"/>
              </w:rPr>
              <w:t>Not in 2011 Regulations</w:t>
            </w:r>
          </w:p>
        </w:tc>
        <w:tc>
          <w:tcPr>
            <w:tcW w:w="444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028F8D" w14:textId="02B066CA"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sidRPr="00D144F1">
              <w:rPr>
                <w:rFonts w:ascii="Source Sans Pro" w:eastAsia="Times New Roman" w:hAnsi="Source Sans Pro" w:cs="Times New Roman"/>
                <w:color w:val="333333"/>
                <w:sz w:val="23"/>
                <w:szCs w:val="23"/>
                <w:lang w:eastAsia="en-AU"/>
              </w:rPr>
              <w:t>1</w:t>
            </w:r>
            <w:r w:rsidR="00D144F1">
              <w:rPr>
                <w:rFonts w:ascii="Source Sans Pro" w:eastAsia="Times New Roman" w:hAnsi="Source Sans Pro" w:cs="Times New Roman"/>
                <w:color w:val="333333"/>
                <w:sz w:val="23"/>
                <w:szCs w:val="23"/>
                <w:lang w:eastAsia="en-AU"/>
              </w:rPr>
              <w:t xml:space="preserve"> of Schedule 1</w:t>
            </w:r>
          </w:p>
        </w:tc>
      </w:tr>
      <w:tr w:rsidR="001A7A85" w:rsidRPr="0075677C" w14:paraId="6431DD23"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E5CAFF" w14:textId="21467CA6"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1.1</w:t>
            </w:r>
            <w:r w:rsidR="00D144F1">
              <w:rPr>
                <w:rFonts w:ascii="Source Sans Pro" w:eastAsia="Times New Roman" w:hAnsi="Source Sans Pro" w:cs="Times New Roman"/>
                <w:color w:val="333333"/>
                <w:sz w:val="23"/>
                <w:szCs w:val="23"/>
                <w:lang w:eastAsia="en-AU"/>
              </w:rPr>
              <w:t xml:space="preserve">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A97673" w14:textId="1D914702"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w:t>
            </w:r>
            <w:r w:rsidR="00D144F1">
              <w:rPr>
                <w:rFonts w:ascii="Source Sans Pro" w:eastAsia="Times New Roman" w:hAnsi="Source Sans Pro" w:cs="Times New Roman"/>
                <w:color w:val="333333"/>
                <w:sz w:val="23"/>
                <w:szCs w:val="23"/>
                <w:lang w:eastAsia="en-AU"/>
              </w:rPr>
              <w:t xml:space="preserve"> of Schedule 1</w:t>
            </w:r>
          </w:p>
        </w:tc>
      </w:tr>
      <w:tr w:rsidR="00D144F1" w:rsidRPr="0075677C" w14:paraId="45423FD8"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85A782" w14:textId="33A28E80" w:rsidR="00D144F1" w:rsidRDefault="00D144F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1.2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81174" w14:textId="53A2AAA3" w:rsidR="00D144F1" w:rsidRDefault="00D144F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 of Schedule 1</w:t>
            </w:r>
          </w:p>
        </w:tc>
      </w:tr>
      <w:tr w:rsidR="001A7A85" w:rsidRPr="0075677C" w14:paraId="274670DC"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FD6CDE" w14:textId="1E1036FC" w:rsidR="001A7A85" w:rsidRPr="0075677C" w:rsidRDefault="001A7A85" w:rsidP="008C1E88">
            <w:pPr>
              <w:tabs>
                <w:tab w:val="left" w:pos="1282"/>
              </w:tabs>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1.3</w:t>
            </w:r>
            <w:r w:rsidR="008C1E88">
              <w:rPr>
                <w:rFonts w:ascii="Source Sans Pro" w:eastAsia="Times New Roman" w:hAnsi="Source Sans Pro" w:cs="Times New Roman"/>
                <w:color w:val="333333"/>
                <w:sz w:val="23"/>
                <w:szCs w:val="23"/>
                <w:lang w:eastAsia="en-AU"/>
              </w:rPr>
              <w:t xml:space="preserve"> of Schedule 1</w:t>
            </w:r>
            <w:r w:rsidR="008C1E88">
              <w:rPr>
                <w:rFonts w:ascii="Source Sans Pro" w:eastAsia="Times New Roman" w:hAnsi="Source Sans Pro" w:cs="Times New Roman"/>
                <w:color w:val="333333"/>
                <w:sz w:val="23"/>
                <w:szCs w:val="23"/>
                <w:lang w:eastAsia="en-AU"/>
              </w:rPr>
              <w:tab/>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4662BC" w14:textId="3F494885"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w:t>
            </w:r>
            <w:r w:rsidR="008C1E88">
              <w:rPr>
                <w:rFonts w:ascii="Source Sans Pro" w:eastAsia="Times New Roman" w:hAnsi="Source Sans Pro" w:cs="Times New Roman"/>
                <w:color w:val="333333"/>
                <w:sz w:val="23"/>
                <w:szCs w:val="23"/>
                <w:lang w:eastAsia="en-AU"/>
              </w:rPr>
              <w:t xml:space="preserve"> of Schedule 1</w:t>
            </w:r>
          </w:p>
        </w:tc>
      </w:tr>
      <w:tr w:rsidR="001A7A85" w:rsidRPr="0075677C" w14:paraId="4990EB82"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6461FE" w14:textId="3C76A773"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1.4</w:t>
            </w:r>
            <w:r w:rsidR="008C1E88">
              <w:rPr>
                <w:rFonts w:ascii="Source Sans Pro" w:eastAsia="Times New Roman" w:hAnsi="Source Sans Pro" w:cs="Times New Roman"/>
                <w:color w:val="333333"/>
                <w:sz w:val="23"/>
                <w:szCs w:val="23"/>
                <w:lang w:eastAsia="en-AU"/>
              </w:rPr>
              <w:t xml:space="preserve">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02CBC" w14:textId="718CC75A"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w:t>
            </w:r>
            <w:r w:rsidR="008C1E88">
              <w:rPr>
                <w:rFonts w:ascii="Source Sans Pro" w:eastAsia="Times New Roman" w:hAnsi="Source Sans Pro" w:cs="Times New Roman"/>
                <w:color w:val="333333"/>
                <w:sz w:val="23"/>
                <w:szCs w:val="23"/>
                <w:lang w:eastAsia="en-AU"/>
              </w:rPr>
              <w:t xml:space="preserve"> of Schedule 1</w:t>
            </w:r>
          </w:p>
        </w:tc>
      </w:tr>
      <w:tr w:rsidR="001A7A85" w:rsidRPr="0075677C" w14:paraId="1280010D"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7B171" w14:textId="1BFE7E2C" w:rsidR="001A7A85" w:rsidRPr="0075677C" w:rsidRDefault="001A7A85" w:rsidP="008C1E88">
            <w:pPr>
              <w:tabs>
                <w:tab w:val="left" w:pos="683"/>
              </w:tabs>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1.5</w:t>
            </w:r>
            <w:r w:rsidR="008C1E88">
              <w:rPr>
                <w:rFonts w:ascii="Source Sans Pro" w:eastAsia="Times New Roman" w:hAnsi="Source Sans Pro" w:cs="Times New Roman"/>
                <w:color w:val="333333"/>
                <w:sz w:val="23"/>
                <w:szCs w:val="23"/>
                <w:lang w:eastAsia="en-AU"/>
              </w:rPr>
              <w:t xml:space="preserve"> of Schedule 1</w:t>
            </w:r>
            <w:r w:rsidR="008C1E88">
              <w:rPr>
                <w:rFonts w:ascii="Source Sans Pro" w:eastAsia="Times New Roman" w:hAnsi="Source Sans Pro" w:cs="Times New Roman"/>
                <w:color w:val="333333"/>
                <w:sz w:val="23"/>
                <w:szCs w:val="23"/>
                <w:lang w:eastAsia="en-AU"/>
              </w:rPr>
              <w:tab/>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F265F" w14:textId="4C0A04D6"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5</w:t>
            </w:r>
            <w:r w:rsidR="008C1E88">
              <w:rPr>
                <w:rFonts w:ascii="Source Sans Pro" w:eastAsia="Times New Roman" w:hAnsi="Source Sans Pro" w:cs="Times New Roman"/>
                <w:color w:val="333333"/>
                <w:sz w:val="23"/>
                <w:szCs w:val="23"/>
                <w:lang w:eastAsia="en-AU"/>
              </w:rPr>
              <w:t xml:space="preserve"> of Schedule 1</w:t>
            </w:r>
          </w:p>
        </w:tc>
      </w:tr>
      <w:tr w:rsidR="001A7A85" w:rsidRPr="0075677C" w14:paraId="7A6CFF04"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B510D6" w14:textId="75D8F123"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2.1</w:t>
            </w:r>
            <w:r w:rsidR="005E670D">
              <w:rPr>
                <w:rFonts w:ascii="Source Sans Pro" w:eastAsia="Times New Roman" w:hAnsi="Source Sans Pro" w:cs="Times New Roman"/>
                <w:color w:val="333333"/>
                <w:sz w:val="23"/>
                <w:szCs w:val="23"/>
                <w:lang w:eastAsia="en-AU"/>
              </w:rPr>
              <w:t xml:space="preserve">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3B5A9" w14:textId="12DFC4F4"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6</w:t>
            </w:r>
            <w:r w:rsidR="005E670D">
              <w:rPr>
                <w:rFonts w:ascii="Source Sans Pro" w:eastAsia="Times New Roman" w:hAnsi="Source Sans Pro" w:cs="Times New Roman"/>
                <w:color w:val="333333"/>
                <w:sz w:val="23"/>
                <w:szCs w:val="23"/>
                <w:lang w:eastAsia="en-AU"/>
              </w:rPr>
              <w:t xml:space="preserve"> of Schedule 1</w:t>
            </w:r>
          </w:p>
        </w:tc>
      </w:tr>
      <w:tr w:rsidR="001A7A85" w:rsidRPr="0075677C" w14:paraId="62ACAFEE"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802880" w14:textId="726474F5"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2.2</w:t>
            </w:r>
            <w:r w:rsidR="005E670D">
              <w:rPr>
                <w:rFonts w:ascii="Source Sans Pro" w:eastAsia="Times New Roman" w:hAnsi="Source Sans Pro" w:cs="Times New Roman"/>
                <w:color w:val="333333"/>
                <w:sz w:val="23"/>
                <w:szCs w:val="23"/>
                <w:lang w:eastAsia="en-AU"/>
              </w:rPr>
              <w:t xml:space="preserve">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E8DA4" w14:textId="0B2789AF"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7</w:t>
            </w:r>
            <w:r w:rsidR="005E670D">
              <w:rPr>
                <w:rFonts w:ascii="Source Sans Pro" w:eastAsia="Times New Roman" w:hAnsi="Source Sans Pro" w:cs="Times New Roman"/>
                <w:color w:val="333333"/>
                <w:sz w:val="23"/>
                <w:szCs w:val="23"/>
                <w:lang w:eastAsia="en-AU"/>
              </w:rPr>
              <w:t xml:space="preserve"> of Schedule 1</w:t>
            </w:r>
          </w:p>
        </w:tc>
      </w:tr>
      <w:tr w:rsidR="001A7A85" w:rsidRPr="0075677C" w14:paraId="769CDD70"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E6381F" w14:textId="49299095"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2.3</w:t>
            </w:r>
            <w:r w:rsidR="005E670D">
              <w:rPr>
                <w:rFonts w:ascii="Source Sans Pro" w:eastAsia="Times New Roman" w:hAnsi="Source Sans Pro" w:cs="Times New Roman"/>
                <w:color w:val="333333"/>
                <w:sz w:val="23"/>
                <w:szCs w:val="23"/>
                <w:lang w:eastAsia="en-AU"/>
              </w:rPr>
              <w:t xml:space="preserve">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3BE00" w14:textId="1405FF51"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8</w:t>
            </w:r>
            <w:r w:rsidR="005E670D">
              <w:rPr>
                <w:rFonts w:ascii="Source Sans Pro" w:eastAsia="Times New Roman" w:hAnsi="Source Sans Pro" w:cs="Times New Roman"/>
                <w:color w:val="333333"/>
                <w:sz w:val="23"/>
                <w:szCs w:val="23"/>
                <w:lang w:eastAsia="en-AU"/>
              </w:rPr>
              <w:t xml:space="preserve"> of Schedule 1</w:t>
            </w:r>
          </w:p>
        </w:tc>
      </w:tr>
      <w:tr w:rsidR="005E670D" w:rsidRPr="0075677C" w14:paraId="1E6C3124" w14:textId="77777777" w:rsidTr="002F168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3F54E32" w14:textId="77777777" w:rsidR="005E670D" w:rsidRPr="0075677C" w:rsidRDefault="005E670D" w:rsidP="002F168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34C5AC35" w14:textId="7EA16B23" w:rsidR="005E670D" w:rsidRPr="0075677C" w:rsidRDefault="005E670D"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11 of Schedule 1</w:t>
            </w:r>
          </w:p>
        </w:tc>
      </w:tr>
      <w:tr w:rsidR="005E670D" w:rsidRPr="0075677C" w14:paraId="6B37ED7A" w14:textId="77777777" w:rsidTr="002F168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6E1DD95" w14:textId="04557102" w:rsidR="005E670D" w:rsidRPr="0075677C" w:rsidRDefault="005E670D"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 of Schedule 1</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1FE7E17" w14:textId="2FD660C6" w:rsidR="005E670D" w:rsidRDefault="005E670D"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12 of Schedule 1</w:t>
            </w:r>
          </w:p>
        </w:tc>
      </w:tr>
      <w:tr w:rsidR="005E670D" w:rsidRPr="0075677C" w14:paraId="4BEBE714" w14:textId="77777777" w:rsidTr="002F168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9B1E11B" w14:textId="7F4C2EC8" w:rsidR="005E670D" w:rsidRDefault="005E670D"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3.2 of Schedule 1</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8158067" w14:textId="38848215" w:rsidR="005E670D" w:rsidRDefault="005E670D" w:rsidP="002F168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13 of Schedule 1</w:t>
            </w:r>
          </w:p>
        </w:tc>
      </w:tr>
      <w:tr w:rsidR="001A7A85" w:rsidRPr="0075677C" w14:paraId="5ECE4C20"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E810EA" w14:textId="55B7656E" w:rsidR="001A7A85" w:rsidRPr="0075677C" w:rsidRDefault="001A7A85" w:rsidP="005E670D">
            <w:pPr>
              <w:tabs>
                <w:tab w:val="left" w:pos="857"/>
              </w:tabs>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lastRenderedPageBreak/>
              <w:t>4.1</w:t>
            </w:r>
            <w:r w:rsidR="005E670D">
              <w:rPr>
                <w:rFonts w:ascii="Source Sans Pro" w:eastAsia="Times New Roman" w:hAnsi="Source Sans Pro" w:cs="Times New Roman"/>
                <w:color w:val="333333"/>
                <w:sz w:val="23"/>
                <w:szCs w:val="23"/>
                <w:lang w:eastAsia="en-AU"/>
              </w:rPr>
              <w:t>(1) of Schedule 1</w:t>
            </w:r>
            <w:r w:rsidR="005E670D">
              <w:rPr>
                <w:rFonts w:ascii="Source Sans Pro" w:eastAsia="Times New Roman" w:hAnsi="Source Sans Pro" w:cs="Times New Roman"/>
                <w:color w:val="333333"/>
                <w:sz w:val="23"/>
                <w:szCs w:val="23"/>
                <w:lang w:eastAsia="en-AU"/>
              </w:rPr>
              <w:tab/>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DCB55" w14:textId="662A2E60"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9</w:t>
            </w:r>
            <w:r w:rsidR="005E670D">
              <w:rPr>
                <w:rFonts w:ascii="Source Sans Pro" w:eastAsia="Times New Roman" w:hAnsi="Source Sans Pro" w:cs="Times New Roman"/>
                <w:color w:val="333333"/>
                <w:sz w:val="23"/>
                <w:szCs w:val="23"/>
                <w:lang w:eastAsia="en-AU"/>
              </w:rPr>
              <w:t xml:space="preserve"> of Schedule 1</w:t>
            </w:r>
          </w:p>
        </w:tc>
      </w:tr>
      <w:tr w:rsidR="005E670D" w:rsidRPr="000C0248" w14:paraId="21974959"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1DB8" w14:textId="2C2A77AE" w:rsidR="005E670D" w:rsidRDefault="005E670D"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4.1(2)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40E4D3" w14:textId="0BAD6DB0" w:rsidR="005E670D" w:rsidRDefault="005E670D"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5E670D" w:rsidRPr="000C0248" w14:paraId="12CEA7C7"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08BC04" w14:textId="3A45698B" w:rsidR="005E670D" w:rsidRDefault="005E670D"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4.2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21B2A1" w14:textId="300D8331" w:rsidR="005E670D" w:rsidRDefault="005E670D"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0C0248" w14:paraId="03AC8E3E" w14:textId="77777777" w:rsidTr="00891C34">
        <w:tc>
          <w:tcPr>
            <w:tcW w:w="4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4B5612" w14:textId="64B9A70D"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4.3</w:t>
            </w:r>
            <w:r w:rsidR="005E670D">
              <w:rPr>
                <w:rFonts w:ascii="Source Sans Pro" w:eastAsia="Times New Roman" w:hAnsi="Source Sans Pro" w:cs="Times New Roman"/>
                <w:color w:val="333333"/>
                <w:sz w:val="23"/>
                <w:szCs w:val="23"/>
                <w:lang w:eastAsia="en-AU"/>
              </w:rPr>
              <w:t xml:space="preserve"> of Schedule 1</w:t>
            </w:r>
          </w:p>
        </w:tc>
        <w:tc>
          <w:tcPr>
            <w:tcW w:w="44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31C057" w14:textId="7F33B0DE" w:rsidR="001A7A85" w:rsidRPr="0075677C"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10</w:t>
            </w:r>
            <w:r w:rsidR="005E670D">
              <w:rPr>
                <w:rFonts w:ascii="Source Sans Pro" w:eastAsia="Times New Roman" w:hAnsi="Source Sans Pro" w:cs="Times New Roman"/>
                <w:color w:val="333333"/>
                <w:sz w:val="23"/>
                <w:szCs w:val="23"/>
                <w:lang w:eastAsia="en-AU"/>
              </w:rPr>
              <w:t xml:space="preserve"> of Schedule 1</w:t>
            </w:r>
          </w:p>
        </w:tc>
      </w:tr>
      <w:tr w:rsidR="001A7A85" w:rsidRPr="0075677C" w14:paraId="46FB8A7F"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59BDB43" w14:textId="77777777" w:rsidR="001A7A85"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2288177" w14:textId="6B540C46"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w:t>
            </w:r>
            <w:r w:rsidR="000C0248">
              <w:rPr>
                <w:rFonts w:ascii="Source Sans Pro" w:eastAsia="Times New Roman" w:hAnsi="Source Sans Pro" w:cs="Times New Roman"/>
                <w:color w:val="333333"/>
                <w:sz w:val="23"/>
                <w:szCs w:val="23"/>
                <w:lang w:eastAsia="en-AU"/>
              </w:rPr>
              <w:t xml:space="preserve"> of Schedule 2</w:t>
            </w:r>
          </w:p>
        </w:tc>
      </w:tr>
      <w:tr w:rsidR="001A7A85" w:rsidRPr="0075677C" w14:paraId="441873B2"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AFD02ED" w14:textId="76520BD7"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1.1</w:t>
            </w:r>
            <w:r w:rsidR="000C0248">
              <w:rPr>
                <w:rFonts w:ascii="Source Sans Pro" w:eastAsia="Times New Roman" w:hAnsi="Source Sans Pro" w:cs="Times New Roman"/>
                <w:color w:val="333333"/>
                <w:sz w:val="23"/>
                <w:szCs w:val="23"/>
                <w:lang w:eastAsia="en-AU"/>
              </w:rPr>
              <w:t xml:space="preserve">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766214E" w14:textId="7638999B"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w:t>
            </w:r>
            <w:r w:rsidR="000C0248">
              <w:rPr>
                <w:rFonts w:ascii="Source Sans Pro" w:eastAsia="Times New Roman" w:hAnsi="Source Sans Pro" w:cs="Times New Roman"/>
                <w:color w:val="333333"/>
                <w:sz w:val="23"/>
                <w:szCs w:val="23"/>
                <w:lang w:eastAsia="en-AU"/>
              </w:rPr>
              <w:t xml:space="preserve"> of Schedule 2</w:t>
            </w:r>
          </w:p>
        </w:tc>
      </w:tr>
      <w:tr w:rsidR="001A7A85" w:rsidRPr="0075677C" w14:paraId="0F85E95F"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4F25CA3" w14:textId="129F009B"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1.2</w:t>
            </w:r>
            <w:r w:rsidR="000C0248">
              <w:rPr>
                <w:rFonts w:ascii="Source Sans Pro" w:eastAsia="Times New Roman" w:hAnsi="Source Sans Pro" w:cs="Times New Roman"/>
                <w:color w:val="333333"/>
                <w:sz w:val="23"/>
                <w:szCs w:val="23"/>
                <w:lang w:eastAsia="en-AU"/>
              </w:rPr>
              <w:t xml:space="preserve">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0D892D7" w14:textId="38FDB7A1"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w:t>
            </w:r>
            <w:r w:rsidR="000C0248">
              <w:rPr>
                <w:rFonts w:ascii="Source Sans Pro" w:eastAsia="Times New Roman" w:hAnsi="Source Sans Pro" w:cs="Times New Roman"/>
                <w:color w:val="333333"/>
                <w:sz w:val="23"/>
                <w:szCs w:val="23"/>
                <w:lang w:eastAsia="en-AU"/>
              </w:rPr>
              <w:t>(1) and (2) of Schedule 2</w:t>
            </w:r>
          </w:p>
        </w:tc>
      </w:tr>
      <w:tr w:rsidR="000C0248" w:rsidRPr="0075677C" w14:paraId="659CBA93"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3A4A0DA" w14:textId="372164D2" w:rsidR="000C0248" w:rsidRPr="0075677C" w:rsidRDefault="000C0248"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1.3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DBBB85E" w14:textId="45E1399B" w:rsidR="000C0248" w:rsidRDefault="000C0248"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20(1)(c)</w:t>
            </w:r>
          </w:p>
        </w:tc>
      </w:tr>
      <w:tr w:rsidR="00F1417E" w:rsidRPr="0075677C" w14:paraId="2EC4DB76"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DFCEF5F" w14:textId="40344B04" w:rsidR="00F1417E" w:rsidRPr="0075677C"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2.1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B77D220" w14:textId="409EDD50" w:rsidR="00F1417E"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3(3)(a) of Schedule 2</w:t>
            </w:r>
          </w:p>
        </w:tc>
      </w:tr>
      <w:tr w:rsidR="00F1417E" w:rsidRPr="0075677C" w14:paraId="1073FEA1"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51BDFAC" w14:textId="707F0E32" w:rsidR="00F1417E" w:rsidRPr="0075677C"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2.2 to 2.5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960C50A" w14:textId="0B56E1CE" w:rsidR="00F1417E"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3(3)(b) of Schedule 2</w:t>
            </w:r>
          </w:p>
        </w:tc>
      </w:tr>
      <w:tr w:rsidR="00F1417E" w:rsidRPr="0075677C" w14:paraId="059D93CD"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CFA1F07" w14:textId="4B420393" w:rsidR="00F1417E" w:rsidRPr="0075677C"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2.6 and 2.7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2850F02" w14:textId="1A844E5A" w:rsidR="00F1417E"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3(4) of Schedule 2</w:t>
            </w:r>
          </w:p>
        </w:tc>
      </w:tr>
      <w:tr w:rsidR="00F1417E" w:rsidRPr="0075677C" w14:paraId="08D98E1B"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F46BC17" w14:textId="1835D314" w:rsidR="00F1417E" w:rsidRPr="0075677C"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2.8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7AAA71C" w14:textId="353FA67C" w:rsidR="00F1417E" w:rsidRDefault="00F1417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3(5) of Schedule 2</w:t>
            </w:r>
          </w:p>
        </w:tc>
      </w:tr>
      <w:tr w:rsidR="00E011DA" w:rsidRPr="0075677C" w14:paraId="5817309A"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C7D4C8D" w14:textId="5A049D33" w:rsidR="00E011DA" w:rsidRPr="0075677C" w:rsidRDefault="00E011D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3.1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DEEAAB1" w14:textId="3A476958" w:rsidR="00E011DA" w:rsidRDefault="00E011DA"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19(3)</w:t>
            </w:r>
          </w:p>
        </w:tc>
      </w:tr>
      <w:tr w:rsidR="001A7A85" w:rsidRPr="0075677C" w14:paraId="19989A9C"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F569BE2" w14:textId="77777777" w:rsidR="001A7A85" w:rsidRPr="002E21B7" w:rsidRDefault="001A7A85" w:rsidP="00891C34">
            <w:pPr>
              <w:spacing w:after="0" w:line="240" w:lineRule="auto"/>
              <w:rPr>
                <w:rFonts w:ascii="Source Sans Pro" w:eastAsia="Times New Roman" w:hAnsi="Source Sans Pro" w:cs="Times New Roman"/>
                <w:color w:val="333333"/>
                <w:sz w:val="23"/>
                <w:szCs w:val="23"/>
                <w:lang w:eastAsia="en-AU"/>
              </w:rPr>
            </w:pPr>
            <w:r w:rsidRPr="0075677C">
              <w:rPr>
                <w:rFonts w:ascii="Source Sans Pro" w:eastAsia="Times New Roman" w:hAnsi="Source Sans Pro" w:cs="Times New Roman"/>
                <w:color w:val="333333"/>
                <w:sz w:val="23"/>
                <w:szCs w:val="23"/>
                <w:lang w:eastAsia="en-AU"/>
              </w:rPr>
              <w:t>Not in 20</w:t>
            </w:r>
            <w:r>
              <w:rPr>
                <w:rFonts w:ascii="Source Sans Pro" w:eastAsia="Times New Roman" w:hAnsi="Source Sans Pro" w:cs="Times New Roman"/>
                <w:color w:val="333333"/>
                <w:sz w:val="23"/>
                <w:szCs w:val="23"/>
                <w:lang w:eastAsia="en-AU"/>
              </w:rPr>
              <w:t>11</w:t>
            </w:r>
            <w:r w:rsidRPr="0075677C">
              <w:rPr>
                <w:rFonts w:ascii="Source Sans Pro" w:eastAsia="Times New Roman" w:hAnsi="Source Sans Pro" w:cs="Times New Roman"/>
                <w:color w:val="333333"/>
                <w:sz w:val="23"/>
                <w:szCs w:val="23"/>
                <w:lang w:eastAsia="en-AU"/>
              </w:rPr>
              <w:t xml:space="preserve"> Regulations</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8A6FF2F" w14:textId="4066377F"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4</w:t>
            </w:r>
            <w:r w:rsidR="00EF3DCE">
              <w:rPr>
                <w:rFonts w:ascii="Source Sans Pro" w:eastAsia="Times New Roman" w:hAnsi="Source Sans Pro" w:cs="Times New Roman"/>
                <w:color w:val="333333"/>
                <w:sz w:val="23"/>
                <w:szCs w:val="23"/>
                <w:lang w:eastAsia="en-AU"/>
              </w:rPr>
              <w:t xml:space="preserve"> of Schedule 2</w:t>
            </w:r>
          </w:p>
        </w:tc>
      </w:tr>
      <w:tr w:rsidR="00EF3DCE" w:rsidRPr="0075677C" w14:paraId="59CCCA33"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7E78547" w14:textId="4AC4D0C4" w:rsidR="00EF3DCE" w:rsidRDefault="00EF3DCE"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4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7F0BE99" w14:textId="4659E748" w:rsidR="00EF3DCE" w:rsidRDefault="00F2188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19(3)</w:t>
            </w:r>
          </w:p>
        </w:tc>
      </w:tr>
      <w:tr w:rsidR="00F21887" w:rsidRPr="0075677C" w14:paraId="567001C8"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1DDAC6C" w14:textId="2588C492" w:rsidR="00F21887" w:rsidRDefault="00F2188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5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02C817A" w14:textId="05250CB6" w:rsidR="00F21887" w:rsidRDefault="00F2188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19</w:t>
            </w:r>
          </w:p>
        </w:tc>
      </w:tr>
      <w:tr w:rsidR="000F5997" w:rsidRPr="0075677C" w14:paraId="325CE0CE"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2418356" w14:textId="23EB5650"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 xml:space="preserve">6.1 of Schedule 2 </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583E59" w14:textId="26AEE25D"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75677C" w14:paraId="2C3812B5"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E701D74" w14:textId="3D044757" w:rsidR="001A7A85" w:rsidRDefault="003967A3"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6.2 and</w:t>
            </w:r>
            <w:r w:rsidR="000F5997">
              <w:rPr>
                <w:rFonts w:ascii="Source Sans Pro" w:eastAsia="Times New Roman" w:hAnsi="Source Sans Pro" w:cs="Times New Roman"/>
                <w:color w:val="333333"/>
                <w:sz w:val="23"/>
                <w:szCs w:val="23"/>
                <w:lang w:eastAsia="en-AU"/>
              </w:rPr>
              <w:t xml:space="preserve"> 6.3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E26A941" w14:textId="7AEEE788"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5</w:t>
            </w:r>
            <w:r w:rsidR="003967A3">
              <w:rPr>
                <w:rFonts w:ascii="Source Sans Pro" w:eastAsia="Times New Roman" w:hAnsi="Source Sans Pro" w:cs="Times New Roman"/>
                <w:color w:val="333333"/>
                <w:sz w:val="23"/>
                <w:szCs w:val="23"/>
                <w:lang w:eastAsia="en-AU"/>
              </w:rPr>
              <w:t xml:space="preserve"> of Schedule 2</w:t>
            </w:r>
          </w:p>
        </w:tc>
      </w:tr>
      <w:tr w:rsidR="000F5997" w:rsidRPr="0075677C" w14:paraId="354A50B8"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A11D0A3" w14:textId="0EE5FE62"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6.4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87E031E" w14:textId="50EBEBCC"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75677C" w14:paraId="47A4D63D"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E327966" w14:textId="465CAC11"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7</w:t>
            </w:r>
            <w:r w:rsidR="000F5997">
              <w:rPr>
                <w:rFonts w:ascii="Source Sans Pro" w:eastAsia="Times New Roman" w:hAnsi="Source Sans Pro" w:cs="Times New Roman"/>
                <w:color w:val="333333"/>
                <w:sz w:val="23"/>
                <w:szCs w:val="23"/>
                <w:lang w:eastAsia="en-AU"/>
              </w:rPr>
              <w:t xml:space="preserve">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68417A" w14:textId="0B1314E1"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6</w:t>
            </w:r>
            <w:r w:rsidR="000F5997">
              <w:rPr>
                <w:rFonts w:ascii="Source Sans Pro" w:eastAsia="Times New Roman" w:hAnsi="Source Sans Pro" w:cs="Times New Roman"/>
                <w:color w:val="333333"/>
                <w:sz w:val="23"/>
                <w:szCs w:val="23"/>
                <w:lang w:eastAsia="en-AU"/>
              </w:rPr>
              <w:t xml:space="preserve"> of Schedule 2</w:t>
            </w:r>
          </w:p>
        </w:tc>
      </w:tr>
      <w:tr w:rsidR="001A7A85" w:rsidRPr="0075677C" w14:paraId="529EE7BE"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9BBB1D0" w14:textId="5A8181D2" w:rsidR="001A7A85"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8.1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0A12F42" w14:textId="6C752608"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7</w:t>
            </w:r>
            <w:r w:rsidR="000F5997">
              <w:rPr>
                <w:rFonts w:ascii="Source Sans Pro" w:eastAsia="Times New Roman" w:hAnsi="Source Sans Pro" w:cs="Times New Roman"/>
                <w:color w:val="333333"/>
                <w:sz w:val="23"/>
                <w:szCs w:val="23"/>
                <w:lang w:eastAsia="en-AU"/>
              </w:rPr>
              <w:t xml:space="preserve"> of Schedule 2</w:t>
            </w:r>
          </w:p>
        </w:tc>
      </w:tr>
      <w:tr w:rsidR="000F5997" w:rsidRPr="0075677C" w14:paraId="46FF803F"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AEBB834" w14:textId="7EF687AE"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8.2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0069142" w14:textId="0787E90E"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75677C" w14:paraId="5FE575BA"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52D4C06" w14:textId="38C9428A"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9</w:t>
            </w:r>
            <w:r w:rsidR="000F5997">
              <w:rPr>
                <w:rFonts w:ascii="Source Sans Pro" w:eastAsia="Times New Roman" w:hAnsi="Source Sans Pro" w:cs="Times New Roman"/>
                <w:color w:val="333333"/>
                <w:sz w:val="23"/>
                <w:szCs w:val="23"/>
                <w:lang w:eastAsia="en-AU"/>
              </w:rPr>
              <w:t>.1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5CA6084" w14:textId="46A8B0F7"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8</w:t>
            </w:r>
            <w:r w:rsidR="000F5997">
              <w:rPr>
                <w:rFonts w:ascii="Source Sans Pro" w:eastAsia="Times New Roman" w:hAnsi="Source Sans Pro" w:cs="Times New Roman"/>
                <w:color w:val="333333"/>
                <w:sz w:val="23"/>
                <w:szCs w:val="23"/>
                <w:lang w:eastAsia="en-AU"/>
              </w:rPr>
              <w:t xml:space="preserve"> of Schedule 2</w:t>
            </w:r>
          </w:p>
        </w:tc>
      </w:tr>
      <w:tr w:rsidR="000F5997" w:rsidRPr="0075677C" w14:paraId="3D9415FC"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FFDDF13" w14:textId="0E1637C1"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9.2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9639D3E" w14:textId="3981518D" w:rsidR="000F5997" w:rsidRDefault="000F5997"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FA5F81" w:rsidRPr="0075677C" w14:paraId="3E4ACE47"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8A63D7E" w14:textId="016AA965"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10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C91BEA0" w14:textId="65745424"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FA5F81" w:rsidRPr="0075677C" w14:paraId="40BD5899" w14:textId="77777777" w:rsidTr="00891C34">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D21F48A" w14:textId="4F48FDCB"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11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AAF4380" w14:textId="60F1E32D"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1A7A85" w:rsidRPr="0075677C" w14:paraId="6E61EBEB" w14:textId="77777777" w:rsidTr="00FA5F81">
        <w:tc>
          <w:tcPr>
            <w:tcW w:w="49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0E24F3E" w14:textId="238846A7"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12</w:t>
            </w:r>
            <w:r w:rsidR="00FA5F81">
              <w:rPr>
                <w:rFonts w:ascii="Source Sans Pro" w:eastAsia="Times New Roman" w:hAnsi="Source Sans Pro" w:cs="Times New Roman"/>
                <w:color w:val="333333"/>
                <w:sz w:val="23"/>
                <w:szCs w:val="23"/>
                <w:lang w:eastAsia="en-AU"/>
              </w:rPr>
              <w:t xml:space="preserve"> of Schedule 2</w:t>
            </w:r>
          </w:p>
        </w:tc>
        <w:tc>
          <w:tcPr>
            <w:tcW w:w="444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506BBDE" w14:textId="306A2EB6" w:rsidR="001A7A85" w:rsidRDefault="001A7A85"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9</w:t>
            </w:r>
            <w:r w:rsidR="00FA5F81">
              <w:rPr>
                <w:rFonts w:ascii="Source Sans Pro" w:eastAsia="Times New Roman" w:hAnsi="Source Sans Pro" w:cs="Times New Roman"/>
                <w:color w:val="333333"/>
                <w:sz w:val="23"/>
                <w:szCs w:val="23"/>
                <w:lang w:eastAsia="en-AU"/>
              </w:rPr>
              <w:t xml:space="preserve"> of Schedule 2</w:t>
            </w:r>
          </w:p>
        </w:tc>
      </w:tr>
      <w:tr w:rsidR="00FA5F81" w:rsidRPr="0075677C" w14:paraId="676774F9" w14:textId="77777777" w:rsidTr="00FA5F81">
        <w:tc>
          <w:tcPr>
            <w:tcW w:w="490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9B64DD5" w14:textId="37D516BD"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Part 13 of Schedule 2</w:t>
            </w:r>
          </w:p>
        </w:tc>
        <w:tc>
          <w:tcPr>
            <w:tcW w:w="444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1D4AFC2" w14:textId="0B8D8ECF"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r w:rsidR="00FA5F81" w:rsidRPr="0075677C" w14:paraId="0CCFCD02" w14:textId="77777777" w:rsidTr="00FA5F81">
        <w:tc>
          <w:tcPr>
            <w:tcW w:w="490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BD612C4" w14:textId="64C9F24D"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Schedule 3</w:t>
            </w:r>
          </w:p>
        </w:tc>
        <w:tc>
          <w:tcPr>
            <w:tcW w:w="444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E9A9EEC" w14:textId="360D20D3" w:rsidR="00FA5F81" w:rsidRDefault="00FA5F81" w:rsidP="00891C34">
            <w:pPr>
              <w:spacing w:after="0" w:line="240" w:lineRule="auto"/>
              <w:rPr>
                <w:rFonts w:ascii="Source Sans Pro" w:eastAsia="Times New Roman" w:hAnsi="Source Sans Pro" w:cs="Times New Roman"/>
                <w:color w:val="333333"/>
                <w:sz w:val="23"/>
                <w:szCs w:val="23"/>
                <w:lang w:eastAsia="en-AU"/>
              </w:rPr>
            </w:pPr>
            <w:r>
              <w:rPr>
                <w:rFonts w:ascii="Source Sans Pro" w:eastAsia="Times New Roman" w:hAnsi="Source Sans Pro" w:cs="Times New Roman"/>
                <w:color w:val="333333"/>
                <w:sz w:val="23"/>
                <w:szCs w:val="23"/>
                <w:lang w:eastAsia="en-AU"/>
              </w:rPr>
              <w:t>Not in 2023 Regulations</w:t>
            </w:r>
          </w:p>
        </w:tc>
      </w:tr>
    </w:tbl>
    <w:p w14:paraId="3A433350" w14:textId="77777777" w:rsidR="005145EC" w:rsidRPr="00710250" w:rsidRDefault="005145EC" w:rsidP="005145EC">
      <w:pPr>
        <w:rPr>
          <w:b/>
          <w:u w:val="single"/>
        </w:rPr>
      </w:pPr>
    </w:p>
    <w:p w14:paraId="5E955592" w14:textId="77777777" w:rsidR="005145EC" w:rsidRPr="005145EC" w:rsidRDefault="005145EC" w:rsidP="005145EC">
      <w:pPr>
        <w:spacing w:before="360" w:after="120"/>
        <w:rPr>
          <w:rFonts w:ascii="Times New Roman" w:hAnsi="Times New Roman" w:cs="Times New Roman"/>
          <w:bCs/>
          <w:sz w:val="24"/>
          <w:szCs w:val="24"/>
        </w:rPr>
      </w:pPr>
    </w:p>
    <w:p w14:paraId="732B9321" w14:textId="77777777" w:rsidR="00EB4E48" w:rsidRPr="00D533CE" w:rsidRDefault="00EB4E48" w:rsidP="00EB4E48">
      <w:pPr>
        <w:shd w:val="clear" w:color="auto" w:fill="FFFFFF"/>
        <w:spacing w:line="240" w:lineRule="auto"/>
        <w:ind w:right="91"/>
        <w:rPr>
          <w:rFonts w:ascii="Times New Roman" w:hAnsi="Times New Roman" w:cs="Times New Roman"/>
          <w:sz w:val="24"/>
          <w:szCs w:val="24"/>
        </w:rPr>
      </w:pPr>
    </w:p>
    <w:p w14:paraId="67312F1D" w14:textId="62D55EC2" w:rsidR="00EB4E48" w:rsidRDefault="00EB4E48">
      <w:pPr>
        <w:rPr>
          <w:rFonts w:ascii="Times New Roman" w:hAnsi="Times New Roman" w:cs="Times New Roman"/>
        </w:rPr>
      </w:pPr>
      <w:r>
        <w:rPr>
          <w:rFonts w:ascii="Times New Roman" w:hAnsi="Times New Roman" w:cs="Times New Roman"/>
        </w:rPr>
        <w:br w:type="page"/>
      </w:r>
    </w:p>
    <w:p w14:paraId="24921A01" w14:textId="4B1217D1" w:rsidR="00F32842" w:rsidRPr="00F541AE" w:rsidRDefault="00F32842" w:rsidP="00F32842">
      <w:pPr>
        <w:spacing w:before="360" w:after="120"/>
        <w:jc w:val="right"/>
        <w:rPr>
          <w:rFonts w:ascii="Times New Roman" w:hAnsi="Times New Roman" w:cs="Times New Roman"/>
          <w:b/>
          <w:sz w:val="24"/>
          <w:szCs w:val="24"/>
          <w:u w:val="single"/>
        </w:rPr>
      </w:pPr>
      <w:r w:rsidRPr="00F541AE">
        <w:rPr>
          <w:rFonts w:ascii="Times New Roman" w:hAnsi="Times New Roman" w:cs="Times New Roman"/>
          <w:b/>
          <w:sz w:val="24"/>
          <w:szCs w:val="24"/>
          <w:u w:val="single"/>
        </w:rPr>
        <w:lastRenderedPageBreak/>
        <w:t xml:space="preserve">Attachment </w:t>
      </w:r>
      <w:r w:rsidR="005145EC">
        <w:rPr>
          <w:rFonts w:ascii="Times New Roman" w:hAnsi="Times New Roman" w:cs="Times New Roman"/>
          <w:b/>
          <w:sz w:val="24"/>
          <w:szCs w:val="24"/>
          <w:u w:val="single"/>
        </w:rPr>
        <w:t>C</w:t>
      </w:r>
    </w:p>
    <w:p w14:paraId="16B98805" w14:textId="77777777" w:rsidR="00F32842" w:rsidRPr="00843199" w:rsidRDefault="00F32842" w:rsidP="00F32842">
      <w:pPr>
        <w:spacing w:before="360" w:after="120"/>
        <w:jc w:val="center"/>
        <w:rPr>
          <w:rFonts w:ascii="Times New Roman" w:hAnsi="Times New Roman" w:cs="Times New Roman"/>
          <w:b/>
          <w:sz w:val="28"/>
          <w:szCs w:val="28"/>
        </w:rPr>
      </w:pPr>
      <w:r w:rsidRPr="00843199">
        <w:rPr>
          <w:rFonts w:ascii="Times New Roman" w:hAnsi="Times New Roman" w:cs="Times New Roman"/>
          <w:b/>
          <w:sz w:val="28"/>
          <w:szCs w:val="28"/>
        </w:rPr>
        <w:t>Statement of Compatibility with Human Rights</w:t>
      </w:r>
    </w:p>
    <w:p w14:paraId="114AA741" w14:textId="77777777" w:rsidR="0071367A" w:rsidRPr="00547F8D" w:rsidRDefault="0071367A" w:rsidP="0071367A">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18BC0F14" w14:textId="65A77E5E" w:rsidR="0071367A" w:rsidRPr="00731C6F" w:rsidRDefault="0071367A" w:rsidP="0071367A">
      <w:pPr>
        <w:spacing w:before="240" w:after="240"/>
        <w:jc w:val="center"/>
        <w:rPr>
          <w:rFonts w:ascii="Times New Roman" w:hAnsi="Times New Roman" w:cs="Times New Roman"/>
          <w:i/>
          <w:sz w:val="24"/>
          <w:szCs w:val="24"/>
        </w:rPr>
      </w:pPr>
      <w:r w:rsidRPr="009C7FE7">
        <w:rPr>
          <w:rFonts w:ascii="Times New Roman" w:hAnsi="Times New Roman" w:cs="Times New Roman"/>
          <w:i/>
          <w:sz w:val="24"/>
          <w:szCs w:val="24"/>
        </w:rPr>
        <w:t>Offshore Petroleum and Greenhouse Gas Storage (</w:t>
      </w:r>
      <w:r w:rsidR="009C7FE7" w:rsidRPr="009C7FE7">
        <w:rPr>
          <w:rFonts w:ascii="Times New Roman" w:hAnsi="Times New Roman" w:cs="Times New Roman"/>
          <w:i/>
          <w:sz w:val="24"/>
          <w:szCs w:val="24"/>
        </w:rPr>
        <w:t xml:space="preserve">Greenhouse Gas Injection </w:t>
      </w:r>
      <w:r w:rsidR="00906126">
        <w:rPr>
          <w:rFonts w:ascii="Times New Roman" w:hAnsi="Times New Roman" w:cs="Times New Roman"/>
          <w:i/>
          <w:sz w:val="24"/>
          <w:szCs w:val="24"/>
        </w:rPr>
        <w:br/>
      </w:r>
      <w:r w:rsidR="009C7FE7" w:rsidRPr="009C7FE7">
        <w:rPr>
          <w:rFonts w:ascii="Times New Roman" w:hAnsi="Times New Roman" w:cs="Times New Roman"/>
          <w:i/>
          <w:sz w:val="24"/>
          <w:szCs w:val="24"/>
        </w:rPr>
        <w:t>and Storage</w:t>
      </w:r>
      <w:r w:rsidRPr="009C7FE7">
        <w:rPr>
          <w:rFonts w:ascii="Times New Roman" w:hAnsi="Times New Roman" w:cs="Times New Roman"/>
          <w:i/>
          <w:sz w:val="24"/>
          <w:szCs w:val="24"/>
        </w:rPr>
        <w:t>) Regulations 2023</w:t>
      </w:r>
    </w:p>
    <w:p w14:paraId="7AFD9371" w14:textId="77777777" w:rsidR="0071367A" w:rsidRPr="00547F8D" w:rsidRDefault="0071367A" w:rsidP="0071367A">
      <w:pPr>
        <w:spacing w:before="240" w:after="240"/>
        <w:rPr>
          <w:rFonts w:ascii="Times New Roman" w:hAnsi="Times New Roman" w:cs="Times New Roman"/>
          <w:sz w:val="24"/>
          <w:szCs w:val="24"/>
        </w:rPr>
      </w:pPr>
      <w:r>
        <w:rPr>
          <w:rFonts w:ascii="Times New Roman" w:hAnsi="Times New Roman" w:cs="Times New Roman"/>
          <w:sz w:val="24"/>
          <w:szCs w:val="24"/>
        </w:rPr>
        <w:t>This Instrument is</w:t>
      </w:r>
      <w:r w:rsidRPr="00547F8D">
        <w:rPr>
          <w:rFonts w:ascii="Times New Roman" w:hAnsi="Times New Roman" w:cs="Times New Roman"/>
          <w:sz w:val="24"/>
          <w:szCs w:val="24"/>
        </w:rPr>
        <w:t xml:space="preserve">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3B0207E7" w14:textId="77777777" w:rsidR="0071367A" w:rsidRPr="00547F8D" w:rsidRDefault="0071367A" w:rsidP="0071367A">
      <w:pPr>
        <w:spacing w:before="240" w:after="240" w:line="240" w:lineRule="auto"/>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76DE31B1" w14:textId="41C26767" w:rsidR="00872902" w:rsidRPr="00872902" w:rsidRDefault="00872902" w:rsidP="00584BC6">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Offshore Petroleum and Greenhouse Gas Storage (Greenhouse Gas Injection and Storage) Regulations 2023</w:t>
      </w:r>
      <w:r>
        <w:rPr>
          <w:rFonts w:ascii="Times New Roman" w:hAnsi="Times New Roman" w:cs="Times New Roman"/>
          <w:sz w:val="24"/>
          <w:szCs w:val="24"/>
        </w:rPr>
        <w:t xml:space="preserve"> (the Regulations) is a legislative instrument for the purposes of the </w:t>
      </w:r>
      <w:r>
        <w:rPr>
          <w:rFonts w:ascii="Times New Roman" w:hAnsi="Times New Roman" w:cs="Times New Roman"/>
          <w:i/>
          <w:iCs/>
          <w:sz w:val="24"/>
          <w:szCs w:val="24"/>
        </w:rPr>
        <w:t>Legislation Act 2003</w:t>
      </w:r>
      <w:r>
        <w:rPr>
          <w:rFonts w:ascii="Times New Roman" w:hAnsi="Times New Roman" w:cs="Times New Roman"/>
          <w:sz w:val="24"/>
          <w:szCs w:val="24"/>
        </w:rPr>
        <w:t>.</w:t>
      </w:r>
    </w:p>
    <w:p w14:paraId="1C523DAC" w14:textId="6EB9461B" w:rsidR="00872902" w:rsidRDefault="00872902" w:rsidP="00872902">
      <w:pPr>
        <w:spacing w:before="120" w:after="120"/>
        <w:rPr>
          <w:rFonts w:ascii="Times New Roman" w:hAnsi="Times New Roman" w:cs="Times New Roman"/>
          <w:sz w:val="24"/>
          <w:szCs w:val="24"/>
        </w:rPr>
      </w:pPr>
      <w:r>
        <w:rPr>
          <w:rFonts w:ascii="Times New Roman" w:hAnsi="Times New Roman" w:cs="Times New Roman"/>
          <w:sz w:val="24"/>
          <w:szCs w:val="24"/>
        </w:rPr>
        <w:t xml:space="preserve">The Regulations deal with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matters to facilitate and regulate safe and secure greenhouse gas (GHG) injection and storage operations in offshore areas. These matters include:</w:t>
      </w:r>
    </w:p>
    <w:p w14:paraId="70AEAAE8" w14:textId="21A95793" w:rsidR="00DE29AE" w:rsidRPr="00F81FE6" w:rsidRDefault="00DE29AE" w:rsidP="00DE29AE">
      <w:pPr>
        <w:spacing w:after="100" w:afterAutospacing="1"/>
        <w:ind w:left="567" w:hanging="567"/>
        <w:rPr>
          <w:rFonts w:ascii="Times New Roman" w:hAnsi="Times New Roman" w:cs="Times New Roman"/>
          <w:sz w:val="24"/>
          <w:szCs w:val="24"/>
        </w:rPr>
      </w:pPr>
      <w:r w:rsidRPr="00F81FE6">
        <w:rPr>
          <w:rFonts w:ascii="Times New Roman" w:hAnsi="Times New Roman" w:cs="Times New Roman"/>
          <w:sz w:val="24"/>
          <w:szCs w:val="24"/>
        </w:rPr>
        <w:t>(a)</w:t>
      </w:r>
      <w:r w:rsidRPr="00F81FE6">
        <w:rPr>
          <w:rFonts w:ascii="Times New Roman" w:hAnsi="Times New Roman" w:cs="Times New Roman"/>
          <w:sz w:val="24"/>
          <w:szCs w:val="24"/>
        </w:rPr>
        <w:tab/>
        <w:t>determining whether there is a significant risk that an operation carried o</w:t>
      </w:r>
      <w:r w:rsidR="00872902">
        <w:rPr>
          <w:rFonts w:ascii="Times New Roman" w:hAnsi="Times New Roman" w:cs="Times New Roman"/>
          <w:sz w:val="24"/>
          <w:szCs w:val="24"/>
        </w:rPr>
        <w:t>n</w:t>
      </w:r>
      <w:r w:rsidRPr="00F81FE6">
        <w:rPr>
          <w:rFonts w:ascii="Times New Roman" w:hAnsi="Times New Roman" w:cs="Times New Roman"/>
          <w:sz w:val="24"/>
          <w:szCs w:val="24"/>
        </w:rPr>
        <w:t xml:space="preserve"> under a permit, lease or licence will have a significant adverse impact on other </w:t>
      </w:r>
      <w:proofErr w:type="gramStart"/>
      <w:r w:rsidRPr="00F81FE6">
        <w:rPr>
          <w:rFonts w:ascii="Times New Roman" w:hAnsi="Times New Roman" w:cs="Times New Roman"/>
          <w:sz w:val="24"/>
          <w:szCs w:val="24"/>
        </w:rPr>
        <w:t>operations;</w:t>
      </w:r>
      <w:proofErr w:type="gramEnd"/>
    </w:p>
    <w:p w14:paraId="77DF880E" w14:textId="34E602B1" w:rsidR="00DE29AE" w:rsidRPr="00F81FE6" w:rsidRDefault="00DE29AE" w:rsidP="00DE29AE">
      <w:pPr>
        <w:spacing w:before="120" w:after="100" w:afterAutospacing="1"/>
        <w:ind w:left="567" w:hanging="567"/>
        <w:rPr>
          <w:rFonts w:ascii="Times New Roman" w:hAnsi="Times New Roman" w:cs="Times New Roman"/>
          <w:sz w:val="24"/>
          <w:szCs w:val="24"/>
        </w:rPr>
      </w:pPr>
      <w:r w:rsidRPr="00F81FE6">
        <w:rPr>
          <w:rFonts w:ascii="Times New Roman" w:hAnsi="Times New Roman" w:cs="Times New Roman"/>
          <w:sz w:val="24"/>
          <w:szCs w:val="24"/>
        </w:rPr>
        <w:t>(b)</w:t>
      </w:r>
      <w:r w:rsidRPr="00F81FE6">
        <w:rPr>
          <w:rFonts w:ascii="Times New Roman" w:hAnsi="Times New Roman" w:cs="Times New Roman"/>
          <w:sz w:val="24"/>
          <w:szCs w:val="24"/>
        </w:rPr>
        <w:tab/>
        <w:t xml:space="preserve">applications for declarations </w:t>
      </w:r>
      <w:r>
        <w:rPr>
          <w:rFonts w:ascii="Times New Roman" w:hAnsi="Times New Roman" w:cs="Times New Roman"/>
          <w:sz w:val="24"/>
          <w:szCs w:val="24"/>
        </w:rPr>
        <w:t>by the responsible Commonwealth Minister</w:t>
      </w:r>
      <w:r w:rsidR="00CA6CD5">
        <w:rPr>
          <w:rFonts w:ascii="Times New Roman" w:hAnsi="Times New Roman" w:cs="Times New Roman"/>
          <w:sz w:val="24"/>
          <w:szCs w:val="24"/>
        </w:rPr>
        <w:t xml:space="preserve"> </w:t>
      </w:r>
      <w:r w:rsidRPr="00F81FE6">
        <w:rPr>
          <w:rFonts w:ascii="Times New Roman" w:hAnsi="Times New Roman" w:cs="Times New Roman"/>
          <w:sz w:val="24"/>
          <w:szCs w:val="24"/>
        </w:rPr>
        <w:t xml:space="preserve">of parts of geological formations as identified </w:t>
      </w:r>
      <w:r>
        <w:rPr>
          <w:rFonts w:ascii="Times New Roman" w:hAnsi="Times New Roman" w:cs="Times New Roman"/>
          <w:sz w:val="24"/>
          <w:szCs w:val="24"/>
        </w:rPr>
        <w:t>GHG</w:t>
      </w:r>
      <w:r w:rsidRPr="00F81FE6">
        <w:rPr>
          <w:rFonts w:ascii="Times New Roman" w:hAnsi="Times New Roman" w:cs="Times New Roman"/>
          <w:sz w:val="24"/>
          <w:szCs w:val="24"/>
        </w:rPr>
        <w:t xml:space="preserve"> storage </w:t>
      </w:r>
      <w:proofErr w:type="gramStart"/>
      <w:r w:rsidRPr="00F81FE6">
        <w:rPr>
          <w:rFonts w:ascii="Times New Roman" w:hAnsi="Times New Roman" w:cs="Times New Roman"/>
          <w:sz w:val="24"/>
          <w:szCs w:val="24"/>
        </w:rPr>
        <w:t>formations;</w:t>
      </w:r>
      <w:proofErr w:type="gramEnd"/>
    </w:p>
    <w:p w14:paraId="55737200" w14:textId="13F31BEE" w:rsidR="00DE29AE" w:rsidRPr="00F81FE6" w:rsidRDefault="00DE29AE" w:rsidP="00DE29AE">
      <w:pPr>
        <w:spacing w:before="120" w:after="100" w:afterAutospacing="1"/>
        <w:ind w:left="567" w:hanging="567"/>
        <w:rPr>
          <w:rFonts w:ascii="Times New Roman" w:hAnsi="Times New Roman" w:cs="Times New Roman"/>
          <w:sz w:val="24"/>
          <w:szCs w:val="24"/>
        </w:rPr>
      </w:pPr>
      <w:r w:rsidRPr="00F81FE6">
        <w:rPr>
          <w:rFonts w:ascii="Times New Roman" w:hAnsi="Times New Roman" w:cs="Times New Roman"/>
          <w:sz w:val="24"/>
          <w:szCs w:val="24"/>
        </w:rPr>
        <w:t>(c)</w:t>
      </w:r>
      <w:r w:rsidRPr="00F81FE6">
        <w:rPr>
          <w:rFonts w:ascii="Times New Roman" w:hAnsi="Times New Roman" w:cs="Times New Roman"/>
          <w:sz w:val="24"/>
          <w:szCs w:val="24"/>
        </w:rPr>
        <w:tab/>
        <w:t xml:space="preserve">site plans </w:t>
      </w:r>
      <w:r w:rsidR="00872902">
        <w:rPr>
          <w:rFonts w:ascii="Times New Roman" w:hAnsi="Times New Roman" w:cs="Times New Roman"/>
          <w:sz w:val="24"/>
          <w:szCs w:val="24"/>
        </w:rPr>
        <w:t>in relation</w:t>
      </w:r>
      <w:r w:rsidRPr="00F81FE6">
        <w:rPr>
          <w:rFonts w:ascii="Times New Roman" w:hAnsi="Times New Roman" w:cs="Times New Roman"/>
          <w:sz w:val="24"/>
          <w:szCs w:val="24"/>
        </w:rPr>
        <w:t xml:space="preserve"> to identified </w:t>
      </w:r>
      <w:r>
        <w:rPr>
          <w:rFonts w:ascii="Times New Roman" w:hAnsi="Times New Roman" w:cs="Times New Roman"/>
          <w:sz w:val="24"/>
          <w:szCs w:val="24"/>
        </w:rPr>
        <w:t xml:space="preserve">GHG </w:t>
      </w:r>
      <w:r w:rsidRPr="00F81FE6">
        <w:rPr>
          <w:rFonts w:ascii="Times New Roman" w:hAnsi="Times New Roman" w:cs="Times New Roman"/>
          <w:sz w:val="24"/>
          <w:szCs w:val="24"/>
        </w:rPr>
        <w:t xml:space="preserve">storage </w:t>
      </w:r>
      <w:proofErr w:type="gramStart"/>
      <w:r w:rsidRPr="00F81FE6">
        <w:rPr>
          <w:rFonts w:ascii="Times New Roman" w:hAnsi="Times New Roman" w:cs="Times New Roman"/>
          <w:sz w:val="24"/>
          <w:szCs w:val="24"/>
        </w:rPr>
        <w:t>formations;</w:t>
      </w:r>
      <w:proofErr w:type="gramEnd"/>
    </w:p>
    <w:p w14:paraId="48E96003" w14:textId="2C665951" w:rsidR="00DE29AE" w:rsidRPr="00F81FE6" w:rsidRDefault="00DE29AE" w:rsidP="00DE29AE">
      <w:pPr>
        <w:spacing w:before="120" w:after="100" w:afterAutospacing="1"/>
        <w:ind w:left="567" w:hanging="567"/>
        <w:rPr>
          <w:rFonts w:ascii="Times New Roman" w:hAnsi="Times New Roman" w:cs="Times New Roman"/>
          <w:sz w:val="24"/>
          <w:szCs w:val="24"/>
        </w:rPr>
      </w:pPr>
      <w:r w:rsidRPr="00F81FE6">
        <w:rPr>
          <w:rFonts w:ascii="Times New Roman" w:hAnsi="Times New Roman" w:cs="Times New Roman"/>
          <w:sz w:val="24"/>
          <w:szCs w:val="24"/>
        </w:rPr>
        <w:t>(d)</w:t>
      </w:r>
      <w:r w:rsidRPr="00F81FE6">
        <w:rPr>
          <w:rFonts w:ascii="Times New Roman" w:hAnsi="Times New Roman" w:cs="Times New Roman"/>
          <w:sz w:val="24"/>
          <w:szCs w:val="24"/>
        </w:rPr>
        <w:tab/>
        <w:t xml:space="preserve">reporting about events, known as reportable incidents, in relation to identified </w:t>
      </w:r>
      <w:r>
        <w:rPr>
          <w:rFonts w:ascii="Times New Roman" w:hAnsi="Times New Roman" w:cs="Times New Roman"/>
          <w:sz w:val="24"/>
          <w:szCs w:val="24"/>
        </w:rPr>
        <w:t>GHG</w:t>
      </w:r>
      <w:r w:rsidRPr="00F81FE6">
        <w:rPr>
          <w:rFonts w:ascii="Times New Roman" w:hAnsi="Times New Roman" w:cs="Times New Roman"/>
          <w:sz w:val="24"/>
          <w:szCs w:val="24"/>
        </w:rPr>
        <w:t xml:space="preserve"> storage </w:t>
      </w:r>
      <w:proofErr w:type="gramStart"/>
      <w:r w:rsidRPr="00F81FE6">
        <w:rPr>
          <w:rFonts w:ascii="Times New Roman" w:hAnsi="Times New Roman" w:cs="Times New Roman"/>
          <w:sz w:val="24"/>
          <w:szCs w:val="24"/>
        </w:rPr>
        <w:t>formations;</w:t>
      </w:r>
      <w:proofErr w:type="gramEnd"/>
    </w:p>
    <w:p w14:paraId="3C153027" w14:textId="79FA19DD" w:rsidR="00DE29AE" w:rsidRPr="00F81FE6" w:rsidRDefault="00DE29AE" w:rsidP="00DE29AE">
      <w:pPr>
        <w:spacing w:before="120" w:after="100" w:afterAutospacing="1"/>
        <w:ind w:left="567" w:hanging="567"/>
        <w:rPr>
          <w:rFonts w:ascii="Times New Roman" w:hAnsi="Times New Roman" w:cs="Times New Roman"/>
          <w:sz w:val="24"/>
          <w:szCs w:val="24"/>
        </w:rPr>
      </w:pPr>
      <w:r w:rsidRPr="00F81FE6">
        <w:rPr>
          <w:rFonts w:ascii="Times New Roman" w:hAnsi="Times New Roman" w:cs="Times New Roman"/>
          <w:sz w:val="24"/>
          <w:szCs w:val="24"/>
        </w:rPr>
        <w:t>(e)</w:t>
      </w:r>
      <w:r w:rsidRPr="00F81FE6">
        <w:rPr>
          <w:rFonts w:ascii="Times New Roman" w:hAnsi="Times New Roman" w:cs="Times New Roman"/>
          <w:sz w:val="24"/>
          <w:szCs w:val="24"/>
        </w:rPr>
        <w:tab/>
        <w:t xml:space="preserve">information that the </w:t>
      </w:r>
      <w:r w:rsidR="003947B2">
        <w:rPr>
          <w:rFonts w:ascii="Times New Roman" w:hAnsi="Times New Roman" w:cs="Times New Roman"/>
          <w:sz w:val="24"/>
          <w:szCs w:val="24"/>
        </w:rPr>
        <w:t xml:space="preserve">responsible Commonwealth </w:t>
      </w:r>
      <w:r w:rsidRPr="00F81FE6">
        <w:rPr>
          <w:rFonts w:ascii="Times New Roman" w:hAnsi="Times New Roman" w:cs="Times New Roman"/>
          <w:sz w:val="24"/>
          <w:szCs w:val="24"/>
        </w:rPr>
        <w:t xml:space="preserve">Minister may make publicly </w:t>
      </w:r>
      <w:proofErr w:type="gramStart"/>
      <w:r w:rsidRPr="00F81FE6">
        <w:rPr>
          <w:rFonts w:ascii="Times New Roman" w:hAnsi="Times New Roman" w:cs="Times New Roman"/>
          <w:sz w:val="24"/>
          <w:szCs w:val="24"/>
        </w:rPr>
        <w:t>available;</w:t>
      </w:r>
      <w:proofErr w:type="gramEnd"/>
    </w:p>
    <w:p w14:paraId="13E51293" w14:textId="6D7D4C0B" w:rsidR="00DE29AE" w:rsidRPr="00F81FE6" w:rsidRDefault="00DE29AE" w:rsidP="00DE29AE">
      <w:pPr>
        <w:spacing w:before="120" w:after="100" w:afterAutospacing="1"/>
        <w:ind w:left="567" w:hanging="567"/>
        <w:rPr>
          <w:rFonts w:ascii="Times New Roman" w:hAnsi="Times New Roman" w:cs="Times New Roman"/>
          <w:sz w:val="24"/>
          <w:szCs w:val="24"/>
        </w:rPr>
      </w:pPr>
      <w:r w:rsidRPr="00F81FE6">
        <w:rPr>
          <w:rFonts w:ascii="Times New Roman" w:hAnsi="Times New Roman" w:cs="Times New Roman"/>
          <w:sz w:val="24"/>
          <w:szCs w:val="24"/>
        </w:rPr>
        <w:t>(f)</w:t>
      </w:r>
      <w:r w:rsidRPr="00F81FE6">
        <w:rPr>
          <w:rFonts w:ascii="Times New Roman" w:hAnsi="Times New Roman" w:cs="Times New Roman"/>
          <w:sz w:val="24"/>
          <w:szCs w:val="24"/>
        </w:rPr>
        <w:tab/>
        <w:t xml:space="preserve">enforcement of the provisions of </w:t>
      </w:r>
      <w:r>
        <w:rPr>
          <w:rFonts w:ascii="Times New Roman" w:hAnsi="Times New Roman" w:cs="Times New Roman"/>
          <w:sz w:val="24"/>
          <w:szCs w:val="24"/>
        </w:rPr>
        <w:t>the Regulations</w:t>
      </w:r>
      <w:r w:rsidRPr="00F81FE6">
        <w:rPr>
          <w:rFonts w:ascii="Times New Roman" w:hAnsi="Times New Roman" w:cs="Times New Roman"/>
          <w:sz w:val="24"/>
          <w:szCs w:val="24"/>
        </w:rPr>
        <w:t xml:space="preserve">. </w:t>
      </w:r>
    </w:p>
    <w:p w14:paraId="5068F441" w14:textId="77777777" w:rsidR="001408A3" w:rsidRDefault="00584BC6" w:rsidP="00584BC6">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DE29AE">
        <w:rPr>
          <w:rFonts w:ascii="Times New Roman" w:hAnsi="Times New Roman" w:cs="Times New Roman"/>
          <w:sz w:val="24"/>
          <w:szCs w:val="24"/>
        </w:rPr>
        <w:t xml:space="preserve">purpose </w:t>
      </w:r>
      <w:r>
        <w:rPr>
          <w:rFonts w:ascii="Times New Roman" w:hAnsi="Times New Roman" w:cs="Times New Roman"/>
          <w:sz w:val="24"/>
          <w:szCs w:val="24"/>
        </w:rPr>
        <w:t xml:space="preserve">of the Regulations is </w:t>
      </w:r>
      <w:r w:rsidRPr="00DE29AE">
        <w:rPr>
          <w:rFonts w:ascii="Times New Roman" w:hAnsi="Times New Roman" w:cs="Times New Roman"/>
          <w:sz w:val="24"/>
          <w:szCs w:val="24"/>
        </w:rPr>
        <w:t xml:space="preserve">to remake the </w:t>
      </w:r>
      <w:r w:rsidRPr="00DE29AE">
        <w:rPr>
          <w:rFonts w:ascii="Times New Roman" w:hAnsi="Times New Roman" w:cs="Times New Roman"/>
          <w:i/>
          <w:iCs/>
          <w:sz w:val="24"/>
          <w:szCs w:val="24"/>
        </w:rPr>
        <w:t>Offshore Petroleum and Greenhouse Gas Storage (Greenhouse Gas Injection and Storage) Regulations 2011</w:t>
      </w:r>
      <w:r w:rsidRPr="00DE29AE">
        <w:rPr>
          <w:rFonts w:ascii="Times New Roman" w:hAnsi="Times New Roman" w:cs="Times New Roman"/>
          <w:sz w:val="24"/>
          <w:szCs w:val="24"/>
        </w:rPr>
        <w:t xml:space="preserve"> (the</w:t>
      </w:r>
      <w:r w:rsidR="00AA66A3">
        <w:rPr>
          <w:rFonts w:ascii="Times New Roman" w:hAnsi="Times New Roman" w:cs="Times New Roman"/>
          <w:sz w:val="24"/>
          <w:szCs w:val="24"/>
        </w:rPr>
        <w:t> </w:t>
      </w:r>
      <w:r w:rsidRPr="00DE29AE">
        <w:rPr>
          <w:rFonts w:ascii="Times New Roman" w:hAnsi="Times New Roman" w:cs="Times New Roman"/>
          <w:sz w:val="24"/>
          <w:szCs w:val="24"/>
        </w:rPr>
        <w:t>2011</w:t>
      </w:r>
      <w:r w:rsidR="00AA66A3">
        <w:rPr>
          <w:rFonts w:ascii="Times New Roman" w:hAnsi="Times New Roman" w:cs="Times New Roman"/>
          <w:sz w:val="24"/>
          <w:szCs w:val="24"/>
        </w:rPr>
        <w:t> </w:t>
      </w:r>
      <w:r w:rsidRPr="00DE29AE">
        <w:rPr>
          <w:rFonts w:ascii="Times New Roman" w:hAnsi="Times New Roman" w:cs="Times New Roman"/>
          <w:sz w:val="24"/>
          <w:szCs w:val="24"/>
        </w:rPr>
        <w:t>GHG</w:t>
      </w:r>
      <w:r w:rsidR="00AA66A3">
        <w:rPr>
          <w:rFonts w:ascii="Times New Roman" w:hAnsi="Times New Roman" w:cs="Times New Roman"/>
          <w:sz w:val="24"/>
          <w:szCs w:val="24"/>
        </w:rPr>
        <w:t> </w:t>
      </w:r>
      <w:r w:rsidRPr="00DE29AE">
        <w:rPr>
          <w:rFonts w:ascii="Times New Roman" w:hAnsi="Times New Roman" w:cs="Times New Roman"/>
          <w:sz w:val="24"/>
          <w:szCs w:val="24"/>
        </w:rPr>
        <w:t>Regulations)</w:t>
      </w:r>
      <w:r w:rsidR="00872902">
        <w:rPr>
          <w:rFonts w:ascii="Times New Roman" w:hAnsi="Times New Roman" w:cs="Times New Roman"/>
          <w:sz w:val="24"/>
          <w:szCs w:val="24"/>
        </w:rPr>
        <w:t xml:space="preserve"> in substantially the same form, with minor </w:t>
      </w:r>
      <w:r w:rsidR="00872902" w:rsidRPr="00DE29AE">
        <w:rPr>
          <w:rFonts w:ascii="Times New Roman" w:hAnsi="Times New Roman" w:cs="Times New Roman"/>
          <w:sz w:val="24"/>
          <w:szCs w:val="24"/>
        </w:rPr>
        <w:t xml:space="preserve">amendments to provide consistency with current drafting practices, simplify language, restructure provisions to provide </w:t>
      </w:r>
      <w:r w:rsidR="00872902">
        <w:rPr>
          <w:rFonts w:ascii="Times New Roman" w:hAnsi="Times New Roman" w:cs="Times New Roman"/>
          <w:sz w:val="24"/>
          <w:szCs w:val="24"/>
        </w:rPr>
        <w:t>for ease of</w:t>
      </w:r>
      <w:r w:rsidR="00872902" w:rsidRPr="00DE29AE">
        <w:rPr>
          <w:rFonts w:ascii="Times New Roman" w:hAnsi="Times New Roman" w:cs="Times New Roman"/>
          <w:sz w:val="24"/>
          <w:szCs w:val="24"/>
        </w:rPr>
        <w:t xml:space="preserve"> navigation and remove duplicative processes</w:t>
      </w:r>
      <w:r w:rsidR="00872902">
        <w:rPr>
          <w:rFonts w:ascii="Times New Roman" w:hAnsi="Times New Roman" w:cs="Times New Roman"/>
          <w:sz w:val="24"/>
          <w:szCs w:val="24"/>
        </w:rPr>
        <w:t xml:space="preserve">. </w:t>
      </w:r>
    </w:p>
    <w:p w14:paraId="0170C418" w14:textId="5764C867" w:rsidR="00872902" w:rsidRDefault="00872902" w:rsidP="00584BC6">
      <w:pPr>
        <w:spacing w:before="120" w:after="120"/>
        <w:rPr>
          <w:rFonts w:ascii="Times New Roman" w:hAnsi="Times New Roman" w:cs="Times New Roman"/>
          <w:sz w:val="24"/>
          <w:szCs w:val="24"/>
        </w:rPr>
      </w:pPr>
      <w:r>
        <w:rPr>
          <w:rFonts w:ascii="Times New Roman" w:hAnsi="Times New Roman" w:cs="Times New Roman"/>
          <w:sz w:val="24"/>
          <w:szCs w:val="24"/>
        </w:rPr>
        <w:t>The</w:t>
      </w:r>
      <w:r w:rsidR="00AA66A3">
        <w:rPr>
          <w:rFonts w:ascii="Times New Roman" w:hAnsi="Times New Roman" w:cs="Times New Roman"/>
          <w:sz w:val="24"/>
          <w:szCs w:val="24"/>
        </w:rPr>
        <w:t> </w:t>
      </w:r>
      <w:r>
        <w:rPr>
          <w:rFonts w:ascii="Times New Roman" w:hAnsi="Times New Roman" w:cs="Times New Roman"/>
          <w:sz w:val="24"/>
          <w:szCs w:val="24"/>
        </w:rPr>
        <w:t>2011</w:t>
      </w:r>
      <w:r w:rsidR="00AA66A3">
        <w:rPr>
          <w:rFonts w:ascii="Times New Roman" w:hAnsi="Times New Roman" w:cs="Times New Roman"/>
          <w:sz w:val="24"/>
          <w:szCs w:val="24"/>
        </w:rPr>
        <w:t> </w:t>
      </w:r>
      <w:r>
        <w:rPr>
          <w:rFonts w:ascii="Times New Roman" w:hAnsi="Times New Roman" w:cs="Times New Roman"/>
          <w:sz w:val="24"/>
          <w:szCs w:val="24"/>
        </w:rPr>
        <w:t>GHG</w:t>
      </w:r>
      <w:r w:rsidR="00AA66A3">
        <w:rPr>
          <w:rFonts w:ascii="Times New Roman" w:hAnsi="Times New Roman" w:cs="Times New Roman"/>
          <w:sz w:val="24"/>
          <w:szCs w:val="24"/>
        </w:rPr>
        <w:t> </w:t>
      </w:r>
      <w:r>
        <w:rPr>
          <w:rFonts w:ascii="Times New Roman" w:hAnsi="Times New Roman" w:cs="Times New Roman"/>
          <w:sz w:val="24"/>
          <w:szCs w:val="24"/>
        </w:rPr>
        <w:t>Regulations</w:t>
      </w:r>
      <w:r w:rsidR="00906126">
        <w:rPr>
          <w:rFonts w:ascii="Times New Roman" w:hAnsi="Times New Roman" w:cs="Times New Roman"/>
          <w:sz w:val="24"/>
          <w:szCs w:val="24"/>
        </w:rPr>
        <w:t xml:space="preserve"> are due to sunset on 1 April 2024.</w:t>
      </w:r>
      <w:r w:rsidR="00584BC6" w:rsidRPr="00DE29AE">
        <w:rPr>
          <w:rFonts w:ascii="Times New Roman" w:hAnsi="Times New Roman" w:cs="Times New Roman"/>
          <w:sz w:val="24"/>
          <w:szCs w:val="24"/>
        </w:rPr>
        <w:t xml:space="preserve"> </w:t>
      </w:r>
    </w:p>
    <w:p w14:paraId="1523BF8B" w14:textId="352BCA10" w:rsidR="00DE29AE" w:rsidRPr="00DB48BF" w:rsidRDefault="00872902" w:rsidP="00872902">
      <w:pPr>
        <w:spacing w:before="120" w:after="120"/>
        <w:rPr>
          <w:rFonts w:ascii="Times New Roman" w:hAnsi="Times New Roman" w:cs="Times New Roman"/>
          <w:bCs/>
          <w:sz w:val="24"/>
          <w:szCs w:val="24"/>
        </w:rPr>
      </w:pPr>
      <w:r>
        <w:rPr>
          <w:rFonts w:ascii="Times New Roman" w:hAnsi="Times New Roman" w:cs="Times New Roman"/>
          <w:sz w:val="24"/>
          <w:szCs w:val="24"/>
        </w:rPr>
        <w:t>T</w:t>
      </w:r>
      <w:r w:rsidR="00584BC6">
        <w:rPr>
          <w:rFonts w:ascii="Times New Roman" w:hAnsi="Times New Roman" w:cs="Times New Roman"/>
          <w:sz w:val="24"/>
          <w:szCs w:val="24"/>
        </w:rPr>
        <w:t>he Department of Industry, Science and Resources (the department)</w:t>
      </w:r>
      <w:r>
        <w:rPr>
          <w:rFonts w:ascii="Times New Roman" w:hAnsi="Times New Roman" w:cs="Times New Roman"/>
          <w:sz w:val="24"/>
          <w:szCs w:val="24"/>
        </w:rPr>
        <w:t>,</w:t>
      </w:r>
      <w:r w:rsidR="00584BC6">
        <w:rPr>
          <w:rFonts w:ascii="Times New Roman" w:hAnsi="Times New Roman" w:cs="Times New Roman"/>
          <w:sz w:val="24"/>
          <w:szCs w:val="24"/>
        </w:rPr>
        <w:t xml:space="preserve"> in consultation with the National Offshore Petroleum Safety and Environmental Management Authority</w:t>
      </w:r>
      <w:r w:rsidR="00584BC6" w:rsidRPr="005C3731">
        <w:rPr>
          <w:rFonts w:ascii="Times New Roman" w:hAnsi="Times New Roman" w:cs="Times New Roman"/>
          <w:sz w:val="24"/>
          <w:szCs w:val="24"/>
        </w:rPr>
        <w:t xml:space="preserve"> and the National Offshore Petroleum Titles Administrator</w:t>
      </w:r>
      <w:r w:rsidR="00906126">
        <w:rPr>
          <w:rFonts w:ascii="Times New Roman" w:hAnsi="Times New Roman" w:cs="Times New Roman"/>
          <w:sz w:val="24"/>
          <w:szCs w:val="24"/>
        </w:rPr>
        <w:t xml:space="preserve">, </w:t>
      </w:r>
      <w:r>
        <w:rPr>
          <w:rFonts w:ascii="Times New Roman" w:hAnsi="Times New Roman" w:cs="Times New Roman"/>
          <w:sz w:val="24"/>
          <w:szCs w:val="24"/>
        </w:rPr>
        <w:t xml:space="preserve">reviewed the effectiveness and efficiency </w:t>
      </w:r>
      <w:r>
        <w:rPr>
          <w:rFonts w:ascii="Times New Roman" w:hAnsi="Times New Roman" w:cs="Times New Roman"/>
          <w:sz w:val="24"/>
          <w:szCs w:val="24"/>
        </w:rPr>
        <w:lastRenderedPageBreak/>
        <w:t xml:space="preserve">of </w:t>
      </w:r>
      <w:r w:rsidR="00906126">
        <w:rPr>
          <w:rFonts w:ascii="Times New Roman" w:hAnsi="Times New Roman" w:cs="Times New Roman"/>
          <w:sz w:val="24"/>
          <w:szCs w:val="24"/>
        </w:rPr>
        <w:t>the 2011 GHG Regulations</w:t>
      </w:r>
      <w:r>
        <w:rPr>
          <w:rFonts w:ascii="Times New Roman" w:hAnsi="Times New Roman" w:cs="Times New Roman"/>
          <w:sz w:val="24"/>
          <w:szCs w:val="24"/>
        </w:rPr>
        <w:t>. The department</w:t>
      </w:r>
      <w:r w:rsidR="00906126">
        <w:rPr>
          <w:rFonts w:ascii="Times New Roman" w:hAnsi="Times New Roman" w:cs="Times New Roman"/>
          <w:sz w:val="24"/>
          <w:szCs w:val="24"/>
        </w:rPr>
        <w:t xml:space="preserve"> found </w:t>
      </w:r>
      <w:r>
        <w:rPr>
          <w:rFonts w:ascii="Times New Roman" w:hAnsi="Times New Roman" w:cs="Times New Roman"/>
          <w:sz w:val="24"/>
          <w:szCs w:val="24"/>
        </w:rPr>
        <w:t>that the 2011 GHG Regulations are</w:t>
      </w:r>
      <w:r w:rsidR="008573C3">
        <w:rPr>
          <w:rFonts w:ascii="Times New Roman" w:hAnsi="Times New Roman" w:cs="Times New Roman"/>
          <w:sz w:val="24"/>
          <w:szCs w:val="24"/>
        </w:rPr>
        <w:t xml:space="preserve"> still required</w:t>
      </w:r>
      <w:r>
        <w:rPr>
          <w:rFonts w:ascii="Times New Roman" w:hAnsi="Times New Roman" w:cs="Times New Roman"/>
          <w:sz w:val="24"/>
          <w:szCs w:val="24"/>
        </w:rPr>
        <w:t xml:space="preserve"> and fit for purpose, and that they should be remade without substantive change</w:t>
      </w:r>
      <w:r w:rsidR="008573C3">
        <w:rPr>
          <w:rFonts w:ascii="Times New Roman" w:hAnsi="Times New Roman" w:cs="Times New Roman"/>
          <w:sz w:val="24"/>
          <w:szCs w:val="24"/>
        </w:rPr>
        <w:t>.</w:t>
      </w:r>
      <w:r w:rsidR="00584BC6" w:rsidRPr="00DE29AE">
        <w:rPr>
          <w:rFonts w:ascii="Times New Roman" w:hAnsi="Times New Roman" w:cs="Times New Roman"/>
          <w:sz w:val="24"/>
          <w:szCs w:val="24"/>
        </w:rPr>
        <w:t xml:space="preserve"> </w:t>
      </w:r>
    </w:p>
    <w:p w14:paraId="1926BCDF" w14:textId="1F62488B" w:rsidR="00F358DC" w:rsidRPr="00547F8D" w:rsidRDefault="00F358DC" w:rsidP="00F358DC">
      <w:pPr>
        <w:spacing w:before="240" w:after="240" w:line="240" w:lineRule="auto"/>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704206CD" w14:textId="3D777F1F" w:rsidR="00F358DC" w:rsidRDefault="00F358DC" w:rsidP="00F358DC">
      <w:pPr>
        <w:spacing w:before="120" w:after="120"/>
        <w:rPr>
          <w:rFonts w:ascii="Times New Roman" w:hAnsi="Times New Roman" w:cs="Times New Roman"/>
          <w:sz w:val="24"/>
          <w:szCs w:val="24"/>
        </w:rPr>
      </w:pPr>
      <w:r w:rsidRPr="00F358DC">
        <w:rPr>
          <w:rFonts w:ascii="Times New Roman" w:hAnsi="Times New Roman" w:cs="Times New Roman"/>
          <w:sz w:val="24"/>
          <w:szCs w:val="24"/>
        </w:rPr>
        <w:t>The Regulations</w:t>
      </w:r>
      <w:r>
        <w:rPr>
          <w:rFonts w:ascii="Times New Roman" w:hAnsi="Times New Roman" w:cs="Times New Roman"/>
          <w:sz w:val="24"/>
          <w:szCs w:val="24"/>
        </w:rPr>
        <w:t xml:space="preserve"> engage, or have the potential to engage, the following rights:</w:t>
      </w:r>
    </w:p>
    <w:p w14:paraId="7D270AA0" w14:textId="0E6B276D" w:rsidR="00F358DC" w:rsidRDefault="00F358DC" w:rsidP="00F96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Article 14 of the International Covenant on Civil and Political Rights (the ICCPR) –</w:t>
      </w:r>
      <w:r w:rsidR="009C7FE7">
        <w:rPr>
          <w:rFonts w:ascii="Times New Roman" w:hAnsi="Times New Roman" w:cs="Times New Roman"/>
          <w:sz w:val="24"/>
          <w:szCs w:val="24"/>
        </w:rPr>
        <w:t xml:space="preserve"> </w:t>
      </w:r>
      <w:r w:rsidR="00872902">
        <w:rPr>
          <w:rFonts w:ascii="Times New Roman" w:hAnsi="Times New Roman" w:cs="Times New Roman"/>
          <w:sz w:val="24"/>
          <w:szCs w:val="24"/>
        </w:rPr>
        <w:t xml:space="preserve">criminal process rights, specifically </w:t>
      </w:r>
      <w:r>
        <w:rPr>
          <w:rFonts w:ascii="Times New Roman" w:hAnsi="Times New Roman" w:cs="Times New Roman"/>
          <w:sz w:val="24"/>
          <w:szCs w:val="24"/>
        </w:rPr>
        <w:t xml:space="preserve">the right to be presumed innocent until proven guilty according to </w:t>
      </w:r>
      <w:proofErr w:type="gramStart"/>
      <w:r>
        <w:rPr>
          <w:rFonts w:ascii="Times New Roman" w:hAnsi="Times New Roman" w:cs="Times New Roman"/>
          <w:sz w:val="24"/>
          <w:szCs w:val="24"/>
        </w:rPr>
        <w:t>law</w:t>
      </w:r>
      <w:proofErr w:type="gramEnd"/>
    </w:p>
    <w:p w14:paraId="07C64B76" w14:textId="3C179443" w:rsidR="00F358DC" w:rsidRDefault="00F358DC" w:rsidP="00F964C6">
      <w:pPr>
        <w:pStyle w:val="ListParagraph"/>
        <w:numPr>
          <w:ilvl w:val="0"/>
          <w:numId w:val="1"/>
        </w:numPr>
        <w:spacing w:before="120" w:after="120"/>
        <w:rPr>
          <w:rFonts w:ascii="Times New Roman" w:hAnsi="Times New Roman" w:cs="Times New Roman"/>
          <w:sz w:val="24"/>
          <w:szCs w:val="24"/>
        </w:rPr>
      </w:pPr>
      <w:r>
        <w:rPr>
          <w:rFonts w:ascii="Times New Roman" w:hAnsi="Times New Roman" w:cs="Times New Roman"/>
          <w:sz w:val="24"/>
          <w:szCs w:val="24"/>
        </w:rPr>
        <w:t>Article 17 of the ICCPR – right to privacy and reputation</w:t>
      </w:r>
      <w:r w:rsidR="00503524">
        <w:rPr>
          <w:rFonts w:ascii="Times New Roman" w:hAnsi="Times New Roman" w:cs="Times New Roman"/>
          <w:sz w:val="24"/>
          <w:szCs w:val="24"/>
        </w:rPr>
        <w:t>.</w:t>
      </w:r>
    </w:p>
    <w:p w14:paraId="72084C1E" w14:textId="2D0FA187" w:rsidR="00D572FC" w:rsidRPr="00F358DC" w:rsidRDefault="00A768CA" w:rsidP="00F358DC">
      <w:pPr>
        <w:spacing w:before="240" w:after="240" w:line="240" w:lineRule="auto"/>
        <w:rPr>
          <w:rFonts w:ascii="Times New Roman" w:hAnsi="Times New Roman" w:cs="Times New Roman"/>
          <w:b/>
          <w:i/>
          <w:iCs/>
          <w:sz w:val="24"/>
          <w:szCs w:val="24"/>
        </w:rPr>
      </w:pPr>
      <w:r w:rsidRPr="00F358DC">
        <w:rPr>
          <w:rFonts w:ascii="Times New Roman" w:hAnsi="Times New Roman" w:cs="Times New Roman"/>
          <w:b/>
          <w:i/>
          <w:iCs/>
          <w:sz w:val="24"/>
          <w:szCs w:val="24"/>
        </w:rPr>
        <w:t xml:space="preserve">Right to </w:t>
      </w:r>
      <w:r w:rsidR="009C7FE7">
        <w:rPr>
          <w:rFonts w:ascii="Times New Roman" w:hAnsi="Times New Roman" w:cs="Times New Roman"/>
          <w:b/>
          <w:i/>
          <w:iCs/>
          <w:sz w:val="24"/>
          <w:szCs w:val="24"/>
        </w:rPr>
        <w:t xml:space="preserve">be </w:t>
      </w:r>
      <w:r w:rsidRPr="00F358DC">
        <w:rPr>
          <w:rFonts w:ascii="Times New Roman" w:hAnsi="Times New Roman" w:cs="Times New Roman"/>
          <w:b/>
          <w:i/>
          <w:iCs/>
          <w:sz w:val="24"/>
          <w:szCs w:val="24"/>
        </w:rPr>
        <w:t>presum</w:t>
      </w:r>
      <w:r w:rsidR="00F358DC" w:rsidRPr="00F358DC">
        <w:rPr>
          <w:rFonts w:ascii="Times New Roman" w:hAnsi="Times New Roman" w:cs="Times New Roman"/>
          <w:b/>
          <w:i/>
          <w:iCs/>
          <w:sz w:val="24"/>
          <w:szCs w:val="24"/>
        </w:rPr>
        <w:t>ed</w:t>
      </w:r>
      <w:r w:rsidRPr="00F358DC">
        <w:rPr>
          <w:rFonts w:ascii="Times New Roman" w:hAnsi="Times New Roman" w:cs="Times New Roman"/>
          <w:b/>
          <w:i/>
          <w:iCs/>
          <w:sz w:val="24"/>
          <w:szCs w:val="24"/>
        </w:rPr>
        <w:t xml:space="preserve"> innocen</w:t>
      </w:r>
      <w:r w:rsidR="00F358DC" w:rsidRPr="00F358DC">
        <w:rPr>
          <w:rFonts w:ascii="Times New Roman" w:hAnsi="Times New Roman" w:cs="Times New Roman"/>
          <w:b/>
          <w:i/>
          <w:iCs/>
          <w:sz w:val="24"/>
          <w:szCs w:val="24"/>
        </w:rPr>
        <w:t>t until proven guilty (Article 14(2) of the ICCP</w:t>
      </w:r>
      <w:r w:rsidR="006021FB">
        <w:rPr>
          <w:rFonts w:ascii="Times New Roman" w:hAnsi="Times New Roman" w:cs="Times New Roman"/>
          <w:b/>
          <w:i/>
          <w:iCs/>
          <w:sz w:val="24"/>
          <w:szCs w:val="24"/>
        </w:rPr>
        <w:t>R</w:t>
      </w:r>
      <w:r w:rsidR="00F358DC" w:rsidRPr="00F358DC">
        <w:rPr>
          <w:rFonts w:ascii="Times New Roman" w:hAnsi="Times New Roman" w:cs="Times New Roman"/>
          <w:b/>
          <w:i/>
          <w:iCs/>
          <w:sz w:val="24"/>
          <w:szCs w:val="24"/>
        </w:rPr>
        <w:t>)</w:t>
      </w:r>
    </w:p>
    <w:p w14:paraId="52BEF352" w14:textId="75D559CE" w:rsidR="00F358DC" w:rsidRDefault="00F358DC" w:rsidP="00F358DC">
      <w:pPr>
        <w:spacing w:before="120" w:after="120"/>
        <w:rPr>
          <w:rFonts w:ascii="Times New Roman" w:hAnsi="Times New Roman" w:cs="Times New Roman"/>
          <w:sz w:val="24"/>
          <w:szCs w:val="24"/>
        </w:rPr>
      </w:pPr>
      <w:r w:rsidRPr="00F358DC">
        <w:rPr>
          <w:rFonts w:ascii="Times New Roman" w:hAnsi="Times New Roman" w:cs="Times New Roman"/>
          <w:sz w:val="24"/>
          <w:szCs w:val="24"/>
        </w:rPr>
        <w:t xml:space="preserve">Article 14(2) of the ICCPR provides that everyone charged with a criminal offence </w:t>
      </w:r>
      <w:r w:rsidR="00534F9A">
        <w:rPr>
          <w:rFonts w:ascii="Times New Roman" w:hAnsi="Times New Roman" w:cs="Times New Roman"/>
          <w:sz w:val="24"/>
          <w:szCs w:val="24"/>
        </w:rPr>
        <w:t>has</w:t>
      </w:r>
      <w:r w:rsidRPr="00F358DC">
        <w:rPr>
          <w:rFonts w:ascii="Times New Roman" w:hAnsi="Times New Roman" w:cs="Times New Roman"/>
          <w:sz w:val="24"/>
          <w:szCs w:val="24"/>
        </w:rPr>
        <w:t xml:space="preserve"> the right to be presumed innocent until proven guilty according to law. Generally, consistency with the presumption of innocence requires the prosecution to prove each element of an offence beyond reasonable doubt. </w:t>
      </w:r>
      <w:r w:rsidR="0038270A">
        <w:rPr>
          <w:rFonts w:ascii="Times New Roman" w:hAnsi="Times New Roman" w:cs="Times New Roman"/>
          <w:sz w:val="24"/>
          <w:szCs w:val="24"/>
        </w:rPr>
        <w:t>Offences of strict liability engage the presumption of innocence</w:t>
      </w:r>
      <w:r w:rsidR="00200DC4">
        <w:rPr>
          <w:rFonts w:ascii="Times New Roman" w:hAnsi="Times New Roman" w:cs="Times New Roman"/>
          <w:sz w:val="24"/>
          <w:szCs w:val="24"/>
        </w:rPr>
        <w:t>. This is</w:t>
      </w:r>
      <w:r w:rsidR="00F03912">
        <w:rPr>
          <w:rFonts w:ascii="Times New Roman" w:hAnsi="Times New Roman" w:cs="Times New Roman"/>
          <w:sz w:val="24"/>
          <w:szCs w:val="24"/>
        </w:rPr>
        <w:t xml:space="preserve"> </w:t>
      </w:r>
      <w:r w:rsidR="0038270A">
        <w:rPr>
          <w:rFonts w:ascii="Times New Roman" w:hAnsi="Times New Roman" w:cs="Times New Roman"/>
          <w:sz w:val="24"/>
          <w:szCs w:val="24"/>
        </w:rPr>
        <w:t xml:space="preserve">because </w:t>
      </w:r>
      <w:r w:rsidR="00200DC4">
        <w:rPr>
          <w:rFonts w:ascii="Times New Roman" w:hAnsi="Times New Roman" w:cs="Times New Roman"/>
          <w:sz w:val="24"/>
          <w:szCs w:val="24"/>
        </w:rPr>
        <w:t xml:space="preserve">a </w:t>
      </w:r>
      <w:r w:rsidR="0038270A" w:rsidRPr="0071367A">
        <w:rPr>
          <w:rFonts w:ascii="Times New Roman" w:hAnsi="Times New Roman" w:cs="Times New Roman"/>
          <w:sz w:val="24"/>
          <w:szCs w:val="24"/>
        </w:rPr>
        <w:t>fault element</w:t>
      </w:r>
      <w:r w:rsidR="0038270A">
        <w:rPr>
          <w:rFonts w:ascii="Times New Roman" w:hAnsi="Times New Roman" w:cs="Times New Roman"/>
          <w:sz w:val="24"/>
          <w:szCs w:val="24"/>
        </w:rPr>
        <w:t>,</w:t>
      </w:r>
      <w:r w:rsidR="0038270A" w:rsidRPr="0071367A">
        <w:rPr>
          <w:rFonts w:ascii="Times New Roman" w:hAnsi="Times New Roman" w:cs="Times New Roman"/>
          <w:sz w:val="24"/>
          <w:szCs w:val="24"/>
        </w:rPr>
        <w:t xml:space="preserve"> such as intention to do </w:t>
      </w:r>
      <w:r w:rsidR="0038270A">
        <w:rPr>
          <w:rFonts w:ascii="Times New Roman" w:hAnsi="Times New Roman" w:cs="Times New Roman"/>
          <w:sz w:val="24"/>
          <w:szCs w:val="24"/>
        </w:rPr>
        <w:t>an</w:t>
      </w:r>
      <w:r w:rsidR="0038270A" w:rsidRPr="0071367A">
        <w:rPr>
          <w:rFonts w:ascii="Times New Roman" w:hAnsi="Times New Roman" w:cs="Times New Roman"/>
          <w:sz w:val="24"/>
          <w:szCs w:val="24"/>
        </w:rPr>
        <w:t xml:space="preserve"> act or not do </w:t>
      </w:r>
      <w:r w:rsidR="0038270A">
        <w:rPr>
          <w:rFonts w:ascii="Times New Roman" w:hAnsi="Times New Roman" w:cs="Times New Roman"/>
          <w:sz w:val="24"/>
          <w:szCs w:val="24"/>
        </w:rPr>
        <w:t>an</w:t>
      </w:r>
      <w:r w:rsidR="0038270A" w:rsidRPr="0071367A">
        <w:rPr>
          <w:rFonts w:ascii="Times New Roman" w:hAnsi="Times New Roman" w:cs="Times New Roman"/>
          <w:sz w:val="24"/>
          <w:szCs w:val="24"/>
        </w:rPr>
        <w:t xml:space="preserve"> act, is</w:t>
      </w:r>
      <w:r w:rsidR="00200DC4">
        <w:rPr>
          <w:rFonts w:ascii="Times New Roman" w:hAnsi="Times New Roman" w:cs="Times New Roman"/>
          <w:sz w:val="24"/>
          <w:szCs w:val="24"/>
        </w:rPr>
        <w:t xml:space="preserve"> not</w:t>
      </w:r>
      <w:r w:rsidR="0038270A" w:rsidRPr="0071367A">
        <w:rPr>
          <w:rFonts w:ascii="Times New Roman" w:hAnsi="Times New Roman" w:cs="Times New Roman"/>
          <w:sz w:val="24"/>
          <w:szCs w:val="24"/>
        </w:rPr>
        <w:t xml:space="preserve"> required to be proved</w:t>
      </w:r>
      <w:r w:rsidR="0038270A">
        <w:rPr>
          <w:rFonts w:ascii="Times New Roman" w:hAnsi="Times New Roman" w:cs="Times New Roman"/>
          <w:sz w:val="24"/>
          <w:szCs w:val="24"/>
        </w:rPr>
        <w:t>.</w:t>
      </w:r>
      <w:r w:rsidR="0038270A" w:rsidRPr="00F358DC">
        <w:rPr>
          <w:rFonts w:ascii="Times New Roman" w:hAnsi="Times New Roman" w:cs="Times New Roman"/>
          <w:sz w:val="24"/>
          <w:szCs w:val="24"/>
        </w:rPr>
        <w:t xml:space="preserve"> </w:t>
      </w:r>
    </w:p>
    <w:p w14:paraId="13D6F87F" w14:textId="30542806" w:rsidR="00F358DC" w:rsidRDefault="00F358DC" w:rsidP="00F358DC">
      <w:pPr>
        <w:spacing w:before="120" w:after="120"/>
        <w:rPr>
          <w:rFonts w:ascii="Times New Roman" w:hAnsi="Times New Roman" w:cs="Times New Roman"/>
          <w:sz w:val="24"/>
          <w:szCs w:val="24"/>
        </w:rPr>
      </w:pPr>
      <w:r>
        <w:rPr>
          <w:rFonts w:ascii="Times New Roman" w:hAnsi="Times New Roman" w:cs="Times New Roman"/>
          <w:sz w:val="24"/>
          <w:szCs w:val="24"/>
        </w:rPr>
        <w:t xml:space="preserve">This right may be subject to permissible limitations where those limitations are provided by law and non-arbitrary.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limitations not to be arbitrary, they must be aimed at a legitimate objective and be reasonable, necessary and proportionate to that objective.</w:t>
      </w:r>
    </w:p>
    <w:p w14:paraId="3DAA3EAD" w14:textId="0712B24E" w:rsidR="00627C87" w:rsidRDefault="00627C87" w:rsidP="00F358DC">
      <w:pPr>
        <w:spacing w:before="120" w:after="120"/>
        <w:rPr>
          <w:rFonts w:ascii="Times New Roman" w:hAnsi="Times New Roman" w:cs="Times New Roman"/>
          <w:sz w:val="24"/>
          <w:szCs w:val="24"/>
        </w:rPr>
      </w:pPr>
      <w:r w:rsidRPr="00627C87">
        <w:rPr>
          <w:rFonts w:ascii="Times New Roman" w:hAnsi="Times New Roman" w:cs="Times New Roman"/>
          <w:sz w:val="24"/>
          <w:szCs w:val="24"/>
        </w:rPr>
        <w:t xml:space="preserve">The Regulations provide that </w:t>
      </w:r>
      <w:r>
        <w:rPr>
          <w:rFonts w:ascii="Times New Roman" w:hAnsi="Times New Roman" w:cs="Times New Roman"/>
          <w:sz w:val="24"/>
          <w:szCs w:val="24"/>
        </w:rPr>
        <w:t xml:space="preserve">a GHG injection licensee commits </w:t>
      </w:r>
      <w:r w:rsidRPr="00627C87">
        <w:rPr>
          <w:rFonts w:ascii="Times New Roman" w:hAnsi="Times New Roman" w:cs="Times New Roman"/>
          <w:sz w:val="24"/>
          <w:szCs w:val="24"/>
        </w:rPr>
        <w:t>an offence of strict liability</w:t>
      </w:r>
      <w:r>
        <w:rPr>
          <w:rFonts w:ascii="Times New Roman" w:hAnsi="Times New Roman" w:cs="Times New Roman"/>
          <w:sz w:val="24"/>
          <w:szCs w:val="24"/>
        </w:rPr>
        <w:t xml:space="preserve"> </w:t>
      </w:r>
      <w:r w:rsidR="00401CB0">
        <w:rPr>
          <w:rFonts w:ascii="Times New Roman" w:hAnsi="Times New Roman" w:cs="Times New Roman"/>
          <w:sz w:val="24"/>
          <w:szCs w:val="24"/>
        </w:rPr>
        <w:t>if they</w:t>
      </w:r>
      <w:r>
        <w:rPr>
          <w:rFonts w:ascii="Times New Roman" w:hAnsi="Times New Roman" w:cs="Times New Roman"/>
          <w:sz w:val="24"/>
          <w:szCs w:val="24"/>
        </w:rPr>
        <w:t>:</w:t>
      </w:r>
    </w:p>
    <w:p w14:paraId="40145C65" w14:textId="0623F84A" w:rsidR="009C7FE7" w:rsidRDefault="00627C87" w:rsidP="00627C87">
      <w:pPr>
        <w:pStyle w:val="ListParagraph"/>
        <w:numPr>
          <w:ilvl w:val="0"/>
          <w:numId w:val="24"/>
        </w:numPr>
        <w:spacing w:before="120" w:after="120"/>
        <w:rPr>
          <w:rFonts w:ascii="Times New Roman" w:hAnsi="Times New Roman" w:cs="Times New Roman"/>
          <w:sz w:val="24"/>
          <w:szCs w:val="24"/>
        </w:rPr>
      </w:pPr>
      <w:r w:rsidRPr="00627C87">
        <w:rPr>
          <w:rFonts w:ascii="Times New Roman" w:hAnsi="Times New Roman" w:cs="Times New Roman"/>
          <w:sz w:val="24"/>
          <w:szCs w:val="24"/>
        </w:rPr>
        <w:t xml:space="preserve">carry </w:t>
      </w:r>
      <w:r w:rsidR="00200DC4">
        <w:rPr>
          <w:rFonts w:ascii="Times New Roman" w:hAnsi="Times New Roman" w:cs="Times New Roman"/>
          <w:sz w:val="24"/>
          <w:szCs w:val="24"/>
        </w:rPr>
        <w:t>on</w:t>
      </w:r>
      <w:r w:rsidRPr="00627C87">
        <w:rPr>
          <w:rFonts w:ascii="Times New Roman" w:hAnsi="Times New Roman" w:cs="Times New Roman"/>
          <w:sz w:val="24"/>
          <w:szCs w:val="24"/>
        </w:rPr>
        <w:t xml:space="preserve"> any operations </w:t>
      </w:r>
      <w:r w:rsidR="00200DC4">
        <w:rPr>
          <w:rFonts w:ascii="Times New Roman" w:hAnsi="Times New Roman" w:cs="Times New Roman"/>
          <w:sz w:val="24"/>
          <w:szCs w:val="24"/>
        </w:rPr>
        <w:t xml:space="preserve">in </w:t>
      </w:r>
      <w:r w:rsidRPr="00627C87">
        <w:rPr>
          <w:rFonts w:ascii="Times New Roman" w:hAnsi="Times New Roman" w:cs="Times New Roman"/>
          <w:sz w:val="24"/>
          <w:szCs w:val="24"/>
        </w:rPr>
        <w:t>relati</w:t>
      </w:r>
      <w:r w:rsidR="00200DC4">
        <w:rPr>
          <w:rFonts w:ascii="Times New Roman" w:hAnsi="Times New Roman" w:cs="Times New Roman"/>
          <w:sz w:val="24"/>
          <w:szCs w:val="24"/>
        </w:rPr>
        <w:t>o</w:t>
      </w:r>
      <w:r w:rsidRPr="00627C87">
        <w:rPr>
          <w:rFonts w:ascii="Times New Roman" w:hAnsi="Times New Roman" w:cs="Times New Roman"/>
          <w:sz w:val="24"/>
          <w:szCs w:val="24"/>
        </w:rPr>
        <w:t>n to an identified GHG storage formation without an approved site plan</w:t>
      </w:r>
      <w:r w:rsidR="00200DC4">
        <w:rPr>
          <w:rFonts w:ascii="Times New Roman" w:hAnsi="Times New Roman" w:cs="Times New Roman"/>
          <w:sz w:val="24"/>
          <w:szCs w:val="24"/>
        </w:rPr>
        <w:t xml:space="preserve"> in force in relation to the formation</w:t>
      </w:r>
      <w:r w:rsidR="00401CB0">
        <w:rPr>
          <w:rFonts w:ascii="Times New Roman" w:hAnsi="Times New Roman" w:cs="Times New Roman"/>
          <w:sz w:val="24"/>
          <w:szCs w:val="24"/>
        </w:rPr>
        <w:t xml:space="preserve">, or fail to </w:t>
      </w:r>
      <w:r w:rsidRPr="00627C87">
        <w:rPr>
          <w:rFonts w:ascii="Times New Roman" w:hAnsi="Times New Roman" w:cs="Times New Roman"/>
          <w:sz w:val="24"/>
          <w:szCs w:val="24"/>
        </w:rPr>
        <w:t>comply with an approved site plan that is in force</w:t>
      </w:r>
      <w:r>
        <w:rPr>
          <w:rFonts w:ascii="Times New Roman" w:hAnsi="Times New Roman" w:cs="Times New Roman"/>
          <w:sz w:val="24"/>
          <w:szCs w:val="24"/>
        </w:rPr>
        <w:t xml:space="preserve"> (section 22)</w:t>
      </w:r>
    </w:p>
    <w:p w14:paraId="2CF8DA6B" w14:textId="1458BF4C" w:rsidR="00200DC4" w:rsidRDefault="00200DC4" w:rsidP="00627C87">
      <w:pPr>
        <w:pStyle w:val="ListParagraph"/>
        <w:numPr>
          <w:ilvl w:val="0"/>
          <w:numId w:val="24"/>
        </w:numPr>
        <w:spacing w:before="120" w:after="120"/>
        <w:rPr>
          <w:rFonts w:ascii="Times New Roman" w:hAnsi="Times New Roman" w:cs="Times New Roman"/>
          <w:sz w:val="24"/>
          <w:szCs w:val="24"/>
        </w:rPr>
      </w:pPr>
      <w:r>
        <w:rPr>
          <w:rFonts w:ascii="Times New Roman" w:hAnsi="Times New Roman" w:cs="Times New Roman"/>
          <w:sz w:val="24"/>
          <w:szCs w:val="24"/>
        </w:rPr>
        <w:t>fail to review an approved site plan</w:t>
      </w:r>
      <w:r w:rsidR="001408A3">
        <w:rPr>
          <w:rFonts w:ascii="Times New Roman" w:hAnsi="Times New Roman" w:cs="Times New Roman"/>
          <w:sz w:val="24"/>
          <w:szCs w:val="24"/>
        </w:rPr>
        <w:t xml:space="preserve"> and decide whether the plan should be varied</w:t>
      </w:r>
      <w:r>
        <w:rPr>
          <w:rFonts w:ascii="Times New Roman" w:hAnsi="Times New Roman" w:cs="Times New Roman"/>
          <w:sz w:val="24"/>
          <w:szCs w:val="24"/>
        </w:rPr>
        <w:t xml:space="preserve"> at least once in each period of five years during which the plan is in force</w:t>
      </w:r>
      <w:r w:rsidR="001408A3">
        <w:rPr>
          <w:rFonts w:ascii="Times New Roman" w:hAnsi="Times New Roman" w:cs="Times New Roman"/>
          <w:sz w:val="24"/>
          <w:szCs w:val="24"/>
        </w:rPr>
        <w:t>;</w:t>
      </w:r>
      <w:r>
        <w:rPr>
          <w:rFonts w:ascii="Times New Roman" w:hAnsi="Times New Roman" w:cs="Times New Roman"/>
          <w:sz w:val="24"/>
          <w:szCs w:val="24"/>
        </w:rPr>
        <w:t xml:space="preserve"> </w:t>
      </w:r>
      <w:r w:rsidR="001408A3">
        <w:rPr>
          <w:rFonts w:ascii="Times New Roman" w:hAnsi="Times New Roman" w:cs="Times New Roman"/>
          <w:sz w:val="24"/>
          <w:szCs w:val="24"/>
        </w:rPr>
        <w:t xml:space="preserve">fail </w:t>
      </w:r>
      <w:r>
        <w:rPr>
          <w:rFonts w:ascii="Times New Roman" w:hAnsi="Times New Roman" w:cs="Times New Roman"/>
          <w:sz w:val="24"/>
          <w:szCs w:val="24"/>
        </w:rPr>
        <w:t xml:space="preserve">to notify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 xml:space="preserve">Minister </w:t>
      </w:r>
      <w:r w:rsidR="001408A3">
        <w:rPr>
          <w:rFonts w:ascii="Times New Roman" w:hAnsi="Times New Roman" w:cs="Times New Roman"/>
          <w:sz w:val="24"/>
          <w:szCs w:val="24"/>
        </w:rPr>
        <w:t xml:space="preserve">of the decision as to whether the plan should be varied, the date of the decision and the reasons for the decision, </w:t>
      </w:r>
      <w:r>
        <w:rPr>
          <w:rFonts w:ascii="Times New Roman" w:hAnsi="Times New Roman" w:cs="Times New Roman"/>
          <w:sz w:val="24"/>
          <w:szCs w:val="24"/>
        </w:rPr>
        <w:t xml:space="preserve">within 30 days </w:t>
      </w:r>
      <w:r w:rsidR="001408A3">
        <w:rPr>
          <w:rFonts w:ascii="Times New Roman" w:hAnsi="Times New Roman" w:cs="Times New Roman"/>
          <w:sz w:val="24"/>
          <w:szCs w:val="24"/>
        </w:rPr>
        <w:t>after making the</w:t>
      </w:r>
      <w:r>
        <w:rPr>
          <w:rFonts w:ascii="Times New Roman" w:hAnsi="Times New Roman" w:cs="Times New Roman"/>
          <w:sz w:val="24"/>
          <w:szCs w:val="24"/>
        </w:rPr>
        <w:t xml:space="preserve"> decision</w:t>
      </w:r>
      <w:r w:rsidR="001408A3">
        <w:rPr>
          <w:rFonts w:ascii="Times New Roman" w:hAnsi="Times New Roman" w:cs="Times New Roman"/>
          <w:sz w:val="24"/>
          <w:szCs w:val="24"/>
        </w:rPr>
        <w:t>;</w:t>
      </w:r>
      <w:r>
        <w:rPr>
          <w:rFonts w:ascii="Times New Roman" w:hAnsi="Times New Roman" w:cs="Times New Roman"/>
          <w:sz w:val="24"/>
          <w:szCs w:val="24"/>
        </w:rPr>
        <w:t xml:space="preserve"> or </w:t>
      </w:r>
      <w:r w:rsidR="001408A3">
        <w:rPr>
          <w:rFonts w:ascii="Times New Roman" w:hAnsi="Times New Roman" w:cs="Times New Roman"/>
          <w:sz w:val="24"/>
          <w:szCs w:val="24"/>
        </w:rPr>
        <w:t xml:space="preserve">fail </w:t>
      </w:r>
      <w:r>
        <w:rPr>
          <w:rFonts w:ascii="Times New Roman" w:hAnsi="Times New Roman" w:cs="Times New Roman"/>
          <w:sz w:val="24"/>
          <w:szCs w:val="24"/>
        </w:rPr>
        <w:t xml:space="preserve">to </w:t>
      </w:r>
      <w:r w:rsidR="001408A3">
        <w:rPr>
          <w:rFonts w:ascii="Times New Roman" w:hAnsi="Times New Roman" w:cs="Times New Roman"/>
          <w:sz w:val="24"/>
          <w:szCs w:val="24"/>
        </w:rPr>
        <w:t>give</w:t>
      </w:r>
      <w:r>
        <w:rPr>
          <w:rFonts w:ascii="Times New Roman" w:hAnsi="Times New Roman" w:cs="Times New Roman"/>
          <w:sz w:val="24"/>
          <w:szCs w:val="24"/>
        </w:rPr>
        <w:t xml:space="preserve"> a draft variation of the plan </w:t>
      </w:r>
      <w:r w:rsidR="001408A3">
        <w:rPr>
          <w:rFonts w:ascii="Times New Roman" w:hAnsi="Times New Roman" w:cs="Times New Roman"/>
          <w:sz w:val="24"/>
          <w:szCs w:val="24"/>
        </w:rPr>
        <w:t xml:space="preserve">to the Minister </w:t>
      </w:r>
      <w:r>
        <w:rPr>
          <w:rFonts w:ascii="Times New Roman" w:hAnsi="Times New Roman" w:cs="Times New Roman"/>
          <w:sz w:val="24"/>
          <w:szCs w:val="24"/>
        </w:rPr>
        <w:t>within the applicable period if the decision was that the plan should be varied (section 36)</w:t>
      </w:r>
    </w:p>
    <w:p w14:paraId="04061BF9" w14:textId="60198AC2" w:rsidR="00627C87" w:rsidRPr="00627C87" w:rsidRDefault="00401CB0" w:rsidP="00DB1BCA">
      <w:pPr>
        <w:pStyle w:val="ListParagraph"/>
        <w:numPr>
          <w:ilvl w:val="0"/>
          <w:numId w:val="24"/>
        </w:numPr>
        <w:spacing w:before="120" w:after="120"/>
        <w:rPr>
          <w:rFonts w:ascii="Times New Roman" w:hAnsi="Times New Roman" w:cs="Times New Roman"/>
          <w:sz w:val="24"/>
          <w:szCs w:val="24"/>
        </w:rPr>
      </w:pPr>
      <w:r>
        <w:rPr>
          <w:rFonts w:ascii="Times New Roman" w:hAnsi="Times New Roman" w:cs="Times New Roman"/>
          <w:sz w:val="24"/>
          <w:szCs w:val="24"/>
        </w:rPr>
        <w:t xml:space="preserve">fail to review an approved site plan on request by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Minister</w:t>
      </w:r>
      <w:r w:rsidR="00D86D1A">
        <w:rPr>
          <w:rFonts w:ascii="Times New Roman" w:hAnsi="Times New Roman" w:cs="Times New Roman"/>
          <w:sz w:val="24"/>
          <w:szCs w:val="24"/>
        </w:rPr>
        <w:t>,</w:t>
      </w:r>
      <w:r w:rsidR="00200DC4">
        <w:rPr>
          <w:rFonts w:ascii="Times New Roman" w:hAnsi="Times New Roman" w:cs="Times New Roman"/>
          <w:sz w:val="24"/>
          <w:szCs w:val="24"/>
        </w:rPr>
        <w:t xml:space="preserve"> </w:t>
      </w:r>
      <w:r w:rsidR="001408A3">
        <w:rPr>
          <w:rFonts w:ascii="Times New Roman" w:hAnsi="Times New Roman" w:cs="Times New Roman"/>
          <w:sz w:val="24"/>
          <w:szCs w:val="24"/>
        </w:rPr>
        <w:t>decide whether the plan should be varied, prepare or give to the Minister</w:t>
      </w:r>
      <w:r w:rsidR="00D86D1A">
        <w:rPr>
          <w:rFonts w:ascii="Times New Roman" w:hAnsi="Times New Roman" w:cs="Times New Roman"/>
          <w:sz w:val="24"/>
          <w:szCs w:val="24"/>
        </w:rPr>
        <w:t xml:space="preserve"> </w:t>
      </w:r>
      <w:r w:rsidR="00200DC4">
        <w:rPr>
          <w:rFonts w:ascii="Times New Roman" w:hAnsi="Times New Roman" w:cs="Times New Roman"/>
          <w:sz w:val="24"/>
          <w:szCs w:val="24"/>
        </w:rPr>
        <w:t>a</w:t>
      </w:r>
      <w:r w:rsidRPr="00627C87">
        <w:rPr>
          <w:rFonts w:ascii="Times New Roman" w:hAnsi="Times New Roman" w:cs="Times New Roman"/>
          <w:sz w:val="24"/>
          <w:szCs w:val="24"/>
        </w:rPr>
        <w:t xml:space="preserve"> draft variation of the plan</w:t>
      </w:r>
      <w:r>
        <w:rPr>
          <w:rFonts w:ascii="Times New Roman" w:hAnsi="Times New Roman" w:cs="Times New Roman"/>
          <w:sz w:val="24"/>
          <w:szCs w:val="24"/>
        </w:rPr>
        <w:t xml:space="preserve"> </w:t>
      </w:r>
      <w:r w:rsidR="001408A3">
        <w:rPr>
          <w:rFonts w:ascii="Times New Roman" w:hAnsi="Times New Roman" w:cs="Times New Roman"/>
          <w:sz w:val="24"/>
          <w:szCs w:val="24"/>
        </w:rPr>
        <w:t>if decided the plan should be varied, or give notice to the Minister of the decision</w:t>
      </w:r>
      <w:r w:rsidR="00F005C1">
        <w:rPr>
          <w:rFonts w:ascii="Times New Roman" w:hAnsi="Times New Roman" w:cs="Times New Roman"/>
          <w:sz w:val="24"/>
          <w:szCs w:val="24"/>
        </w:rPr>
        <w:t xml:space="preserve"> as to whether the plan should be varied, the date of the decision or reasons for the decision, </w:t>
      </w:r>
      <w:r>
        <w:rPr>
          <w:rFonts w:ascii="Times New Roman" w:hAnsi="Times New Roman" w:cs="Times New Roman"/>
          <w:sz w:val="24"/>
          <w:szCs w:val="24"/>
        </w:rPr>
        <w:t xml:space="preserve">within the specified </w:t>
      </w:r>
      <w:r w:rsidR="004A3853">
        <w:rPr>
          <w:rFonts w:ascii="Times New Roman" w:hAnsi="Times New Roman" w:cs="Times New Roman"/>
          <w:sz w:val="24"/>
          <w:szCs w:val="24"/>
        </w:rPr>
        <w:t xml:space="preserve">period </w:t>
      </w:r>
      <w:r w:rsidR="00627C87">
        <w:rPr>
          <w:rFonts w:ascii="Times New Roman" w:hAnsi="Times New Roman" w:cs="Times New Roman"/>
          <w:sz w:val="24"/>
          <w:szCs w:val="24"/>
        </w:rPr>
        <w:t>(section 37)</w:t>
      </w:r>
    </w:p>
    <w:p w14:paraId="44F046C8" w14:textId="28B5774C" w:rsidR="00627C87" w:rsidRPr="00627C87" w:rsidRDefault="00401CB0" w:rsidP="00627C87">
      <w:pPr>
        <w:pStyle w:val="ListParagraph"/>
        <w:numPr>
          <w:ilvl w:val="0"/>
          <w:numId w:val="24"/>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fail to </w:t>
      </w:r>
      <w:r w:rsidR="00627C87" w:rsidRPr="00627C87">
        <w:rPr>
          <w:rFonts w:ascii="Times New Roman" w:hAnsi="Times New Roman" w:cs="Times New Roman"/>
          <w:color w:val="333333"/>
          <w:sz w:val="24"/>
          <w:szCs w:val="24"/>
          <w:shd w:val="clear" w:color="auto" w:fill="FFFFFF"/>
        </w:rPr>
        <w:t xml:space="preserve">prepare </w:t>
      </w:r>
      <w:r w:rsidR="00F005C1">
        <w:rPr>
          <w:rFonts w:ascii="Times New Roman" w:hAnsi="Times New Roman" w:cs="Times New Roman"/>
          <w:color w:val="333333"/>
          <w:sz w:val="24"/>
          <w:szCs w:val="24"/>
          <w:shd w:val="clear" w:color="auto" w:fill="FFFFFF"/>
        </w:rPr>
        <w:t>or</w:t>
      </w:r>
      <w:r w:rsidR="00D86D1A">
        <w:rPr>
          <w:rFonts w:ascii="Times New Roman" w:hAnsi="Times New Roman" w:cs="Times New Roman"/>
          <w:color w:val="333333"/>
          <w:sz w:val="24"/>
          <w:szCs w:val="24"/>
          <w:shd w:val="clear" w:color="auto" w:fill="FFFFFF"/>
        </w:rPr>
        <w:t xml:space="preserve"> give to the </w:t>
      </w:r>
      <w:r w:rsidR="003947B2">
        <w:rPr>
          <w:rFonts w:ascii="Times New Roman" w:hAnsi="Times New Roman" w:cs="Times New Roman"/>
          <w:color w:val="333333"/>
          <w:sz w:val="24"/>
          <w:szCs w:val="24"/>
          <w:shd w:val="clear" w:color="auto" w:fill="FFFFFF"/>
        </w:rPr>
        <w:t xml:space="preserve">responsible Commonwealth </w:t>
      </w:r>
      <w:r w:rsidR="00D86D1A">
        <w:rPr>
          <w:rFonts w:ascii="Times New Roman" w:hAnsi="Times New Roman" w:cs="Times New Roman"/>
          <w:color w:val="333333"/>
          <w:sz w:val="24"/>
          <w:szCs w:val="24"/>
          <w:shd w:val="clear" w:color="auto" w:fill="FFFFFF"/>
        </w:rPr>
        <w:t xml:space="preserve">Minister </w:t>
      </w:r>
      <w:r w:rsidR="00627C87" w:rsidRPr="00627C87">
        <w:rPr>
          <w:rFonts w:ascii="Times New Roman" w:hAnsi="Times New Roman" w:cs="Times New Roman"/>
          <w:color w:val="333333"/>
          <w:sz w:val="24"/>
          <w:szCs w:val="24"/>
          <w:shd w:val="clear" w:color="auto" w:fill="FFFFFF"/>
        </w:rPr>
        <w:t xml:space="preserve">a draft variation to </w:t>
      </w:r>
      <w:r>
        <w:rPr>
          <w:rFonts w:ascii="Times New Roman" w:hAnsi="Times New Roman" w:cs="Times New Roman"/>
          <w:color w:val="333333"/>
          <w:sz w:val="24"/>
          <w:szCs w:val="24"/>
          <w:shd w:val="clear" w:color="auto" w:fill="FFFFFF"/>
        </w:rPr>
        <w:t xml:space="preserve">an </w:t>
      </w:r>
      <w:r w:rsidR="00627C87" w:rsidRPr="00627C87">
        <w:rPr>
          <w:rFonts w:ascii="Times New Roman" w:hAnsi="Times New Roman" w:cs="Times New Roman"/>
          <w:color w:val="333333"/>
          <w:sz w:val="24"/>
          <w:szCs w:val="24"/>
          <w:shd w:val="clear" w:color="auto" w:fill="FFFFFF"/>
        </w:rPr>
        <w:t xml:space="preserve">approved site plan </w:t>
      </w:r>
      <w:r>
        <w:rPr>
          <w:rFonts w:ascii="Times New Roman" w:hAnsi="Times New Roman" w:cs="Times New Roman"/>
          <w:color w:val="333333"/>
          <w:sz w:val="24"/>
          <w:szCs w:val="24"/>
          <w:shd w:val="clear" w:color="auto" w:fill="FFFFFF"/>
        </w:rPr>
        <w:t>to</w:t>
      </w:r>
      <w:r w:rsidR="00627C87" w:rsidRPr="00627C87">
        <w:rPr>
          <w:rFonts w:ascii="Times New Roman" w:hAnsi="Times New Roman" w:cs="Times New Roman"/>
          <w:color w:val="333333"/>
          <w:sz w:val="24"/>
          <w:szCs w:val="24"/>
          <w:shd w:val="clear" w:color="auto" w:fill="FFFFFF"/>
        </w:rPr>
        <w:t xml:space="preserve"> remove </w:t>
      </w:r>
      <w:r>
        <w:rPr>
          <w:rFonts w:ascii="Times New Roman" w:hAnsi="Times New Roman" w:cs="Times New Roman"/>
          <w:color w:val="333333"/>
          <w:sz w:val="24"/>
          <w:szCs w:val="24"/>
          <w:shd w:val="clear" w:color="auto" w:fill="FFFFFF"/>
        </w:rPr>
        <w:t>an</w:t>
      </w:r>
      <w:r w:rsidR="00627C87" w:rsidRPr="00627C87">
        <w:rPr>
          <w:rFonts w:ascii="Times New Roman" w:hAnsi="Times New Roman" w:cs="Times New Roman"/>
          <w:color w:val="333333"/>
          <w:sz w:val="24"/>
          <w:szCs w:val="24"/>
          <w:shd w:val="clear" w:color="auto" w:fill="FFFFFF"/>
        </w:rPr>
        <w:t xml:space="preserve"> inconsistency</w:t>
      </w:r>
      <w:r>
        <w:rPr>
          <w:rFonts w:ascii="Times New Roman" w:hAnsi="Times New Roman" w:cs="Times New Roman"/>
          <w:color w:val="333333"/>
          <w:sz w:val="24"/>
          <w:szCs w:val="24"/>
          <w:shd w:val="clear" w:color="auto" w:fill="FFFFFF"/>
        </w:rPr>
        <w:t xml:space="preserve"> with a direction</w:t>
      </w:r>
      <w:r w:rsidR="00627C87" w:rsidRPr="00627C87">
        <w:rPr>
          <w:rFonts w:ascii="Times New Roman" w:hAnsi="Times New Roman" w:cs="Times New Roman"/>
          <w:color w:val="333333"/>
          <w:sz w:val="24"/>
          <w:szCs w:val="24"/>
          <w:shd w:val="clear" w:color="auto" w:fill="FFFFFF"/>
        </w:rPr>
        <w:t xml:space="preserve"> </w:t>
      </w:r>
      <w:r w:rsidR="00200DC4">
        <w:rPr>
          <w:rFonts w:ascii="Times New Roman" w:hAnsi="Times New Roman" w:cs="Times New Roman"/>
          <w:color w:val="333333"/>
          <w:sz w:val="24"/>
          <w:szCs w:val="24"/>
          <w:shd w:val="clear" w:color="auto" w:fill="FFFFFF"/>
        </w:rPr>
        <w:t xml:space="preserve">under section 376, 380 or 383 of the </w:t>
      </w:r>
      <w:r w:rsidR="00200DC4">
        <w:rPr>
          <w:rFonts w:ascii="Times New Roman" w:hAnsi="Times New Roman" w:cs="Times New Roman"/>
          <w:i/>
          <w:iCs/>
          <w:color w:val="333333"/>
          <w:sz w:val="24"/>
          <w:szCs w:val="24"/>
          <w:shd w:val="clear" w:color="auto" w:fill="FFFFFF"/>
        </w:rPr>
        <w:t>Offshore Petroleum and Greenhouse Gas Storage Act 2006</w:t>
      </w:r>
      <w:r w:rsidR="00200DC4">
        <w:rPr>
          <w:rFonts w:ascii="Times New Roman" w:hAnsi="Times New Roman" w:cs="Times New Roman"/>
          <w:color w:val="333333"/>
          <w:sz w:val="24"/>
          <w:szCs w:val="24"/>
          <w:shd w:val="clear" w:color="auto" w:fill="FFFFFF"/>
        </w:rPr>
        <w:t xml:space="preserve"> </w:t>
      </w:r>
      <w:r w:rsidR="009D72D4">
        <w:rPr>
          <w:rFonts w:ascii="Times New Roman" w:hAnsi="Times New Roman" w:cs="Times New Roman"/>
          <w:color w:val="333333"/>
          <w:sz w:val="24"/>
          <w:szCs w:val="24"/>
          <w:shd w:val="clear" w:color="auto" w:fill="FFFFFF"/>
        </w:rPr>
        <w:t>(</w:t>
      </w:r>
      <w:r w:rsidR="00F005C1">
        <w:rPr>
          <w:rFonts w:ascii="Times New Roman" w:hAnsi="Times New Roman" w:cs="Times New Roman"/>
          <w:color w:val="333333"/>
          <w:sz w:val="24"/>
          <w:szCs w:val="24"/>
          <w:shd w:val="clear" w:color="auto" w:fill="FFFFFF"/>
        </w:rPr>
        <w:t xml:space="preserve">the </w:t>
      </w:r>
      <w:r w:rsidR="009D72D4">
        <w:rPr>
          <w:rFonts w:ascii="Times New Roman" w:hAnsi="Times New Roman" w:cs="Times New Roman"/>
          <w:color w:val="333333"/>
          <w:sz w:val="24"/>
          <w:szCs w:val="24"/>
          <w:shd w:val="clear" w:color="auto" w:fill="FFFFFF"/>
        </w:rPr>
        <w:t>OPGGS Act)</w:t>
      </w:r>
      <w:r w:rsidR="00F005C1">
        <w:rPr>
          <w:rFonts w:ascii="Times New Roman" w:hAnsi="Times New Roman" w:cs="Times New Roman"/>
          <w:color w:val="333333"/>
          <w:sz w:val="24"/>
          <w:szCs w:val="24"/>
          <w:shd w:val="clear" w:color="auto" w:fill="FFFFFF"/>
        </w:rPr>
        <w:t>, within 60 days of the direction coming into force or such longer period agreed by the Minister</w:t>
      </w:r>
      <w:r w:rsidR="009D72D4">
        <w:rPr>
          <w:rFonts w:ascii="Times New Roman" w:hAnsi="Times New Roman" w:cs="Times New Roman"/>
          <w:color w:val="333333"/>
          <w:sz w:val="24"/>
          <w:szCs w:val="24"/>
          <w:shd w:val="clear" w:color="auto" w:fill="FFFFFF"/>
        </w:rPr>
        <w:t xml:space="preserve"> </w:t>
      </w:r>
      <w:r w:rsidR="00627C87">
        <w:rPr>
          <w:rFonts w:ascii="Times New Roman" w:hAnsi="Times New Roman" w:cs="Times New Roman"/>
          <w:color w:val="333333"/>
          <w:sz w:val="24"/>
          <w:szCs w:val="24"/>
          <w:shd w:val="clear" w:color="auto" w:fill="FFFFFF"/>
        </w:rPr>
        <w:t>(section 39)</w:t>
      </w:r>
    </w:p>
    <w:p w14:paraId="551BDDAD" w14:textId="45359285" w:rsidR="00627C87" w:rsidRPr="00D86D1A" w:rsidRDefault="00401CB0" w:rsidP="00FF3C47">
      <w:pPr>
        <w:pStyle w:val="ListParagraph"/>
        <w:numPr>
          <w:ilvl w:val="0"/>
          <w:numId w:val="24"/>
        </w:numPr>
        <w:spacing w:before="120" w:after="120"/>
        <w:rPr>
          <w:rFonts w:ascii="Times New Roman" w:hAnsi="Times New Roman" w:cs="Times New Roman"/>
          <w:sz w:val="24"/>
          <w:szCs w:val="24"/>
        </w:rPr>
      </w:pPr>
      <w:r w:rsidRPr="00D86D1A">
        <w:rPr>
          <w:rFonts w:ascii="Times New Roman" w:hAnsi="Times New Roman" w:cs="Times New Roman"/>
          <w:sz w:val="24"/>
          <w:szCs w:val="24"/>
        </w:rPr>
        <w:lastRenderedPageBreak/>
        <w:t xml:space="preserve">fail to prepare </w:t>
      </w:r>
      <w:r w:rsidR="00F005C1">
        <w:rPr>
          <w:rFonts w:ascii="Times New Roman" w:hAnsi="Times New Roman" w:cs="Times New Roman"/>
          <w:sz w:val="24"/>
          <w:szCs w:val="24"/>
        </w:rPr>
        <w:t>or</w:t>
      </w:r>
      <w:r w:rsidRPr="00D86D1A">
        <w:rPr>
          <w:rFonts w:ascii="Times New Roman" w:hAnsi="Times New Roman" w:cs="Times New Roman"/>
          <w:sz w:val="24"/>
          <w:szCs w:val="24"/>
        </w:rPr>
        <w:t xml:space="preserve"> give to the </w:t>
      </w:r>
      <w:r w:rsidR="003947B2">
        <w:rPr>
          <w:rFonts w:ascii="Times New Roman" w:hAnsi="Times New Roman" w:cs="Times New Roman"/>
          <w:sz w:val="24"/>
          <w:szCs w:val="24"/>
        </w:rPr>
        <w:t xml:space="preserve">responsible Commonwealth </w:t>
      </w:r>
      <w:r w:rsidRPr="00D86D1A">
        <w:rPr>
          <w:rFonts w:ascii="Times New Roman" w:hAnsi="Times New Roman" w:cs="Times New Roman"/>
          <w:sz w:val="24"/>
          <w:szCs w:val="24"/>
        </w:rPr>
        <w:t xml:space="preserve">Minister a draft variation of an approved site plan </w:t>
      </w:r>
      <w:r w:rsidR="00F005C1">
        <w:rPr>
          <w:rFonts w:ascii="Times New Roman" w:hAnsi="Times New Roman" w:cs="Times New Roman"/>
          <w:sz w:val="24"/>
          <w:szCs w:val="24"/>
        </w:rPr>
        <w:t>to address</w:t>
      </w:r>
      <w:r w:rsidR="00627C87" w:rsidRPr="00D86D1A">
        <w:rPr>
          <w:rFonts w:ascii="Times New Roman" w:hAnsi="Times New Roman" w:cs="Times New Roman"/>
          <w:sz w:val="24"/>
          <w:szCs w:val="24"/>
        </w:rPr>
        <w:t xml:space="preserve"> </w:t>
      </w:r>
      <w:r w:rsidR="00200DC4">
        <w:rPr>
          <w:rFonts w:ascii="Times New Roman" w:hAnsi="Times New Roman" w:cs="Times New Roman"/>
          <w:sz w:val="24"/>
          <w:szCs w:val="24"/>
        </w:rPr>
        <w:t xml:space="preserve">a </w:t>
      </w:r>
      <w:r w:rsidR="00627C87" w:rsidRPr="00D86D1A">
        <w:rPr>
          <w:rFonts w:ascii="Times New Roman" w:hAnsi="Times New Roman" w:cs="Times New Roman"/>
          <w:sz w:val="24"/>
          <w:szCs w:val="24"/>
        </w:rPr>
        <w:t>certain circumstance</w:t>
      </w:r>
      <w:r w:rsidRPr="00D86D1A">
        <w:rPr>
          <w:rFonts w:ascii="Times New Roman" w:hAnsi="Times New Roman" w:cs="Times New Roman"/>
          <w:sz w:val="24"/>
          <w:szCs w:val="24"/>
        </w:rPr>
        <w:t xml:space="preserve"> </w:t>
      </w:r>
      <w:r w:rsidR="00F005C1">
        <w:rPr>
          <w:rFonts w:ascii="Times New Roman" w:hAnsi="Times New Roman" w:cs="Times New Roman"/>
          <w:sz w:val="24"/>
          <w:szCs w:val="24"/>
        </w:rPr>
        <w:t xml:space="preserve">that </w:t>
      </w:r>
      <w:r w:rsidRPr="00D86D1A">
        <w:rPr>
          <w:rFonts w:ascii="Times New Roman" w:hAnsi="Times New Roman" w:cs="Times New Roman"/>
          <w:sz w:val="24"/>
          <w:szCs w:val="24"/>
        </w:rPr>
        <w:t>ha</w:t>
      </w:r>
      <w:r w:rsidR="00200DC4">
        <w:rPr>
          <w:rFonts w:ascii="Times New Roman" w:hAnsi="Times New Roman" w:cs="Times New Roman"/>
          <w:sz w:val="24"/>
          <w:szCs w:val="24"/>
        </w:rPr>
        <w:t>s</w:t>
      </w:r>
      <w:r w:rsidRPr="00D86D1A">
        <w:rPr>
          <w:rFonts w:ascii="Times New Roman" w:hAnsi="Times New Roman" w:cs="Times New Roman"/>
          <w:sz w:val="24"/>
          <w:szCs w:val="24"/>
        </w:rPr>
        <w:t xml:space="preserve"> occurred, </w:t>
      </w:r>
      <w:r w:rsidR="00F005C1">
        <w:rPr>
          <w:rFonts w:ascii="Times New Roman" w:hAnsi="Times New Roman" w:cs="Times New Roman"/>
          <w:sz w:val="24"/>
          <w:szCs w:val="24"/>
        </w:rPr>
        <w:t>within 60 days of the circumstance occurring or such longer period agreed by the Minister</w:t>
      </w:r>
      <w:r w:rsidRPr="00D86D1A">
        <w:rPr>
          <w:rFonts w:ascii="Times New Roman" w:hAnsi="Times New Roman" w:cs="Times New Roman"/>
          <w:sz w:val="24"/>
          <w:szCs w:val="24"/>
        </w:rPr>
        <w:t xml:space="preserve"> (section 40)</w:t>
      </w:r>
    </w:p>
    <w:p w14:paraId="2526EB3C" w14:textId="21F16DFE" w:rsidR="00627C87" w:rsidRDefault="00D86D1A" w:rsidP="00A2194B">
      <w:pPr>
        <w:pStyle w:val="ListParagraph"/>
        <w:numPr>
          <w:ilvl w:val="0"/>
          <w:numId w:val="24"/>
        </w:numPr>
        <w:spacing w:before="120" w:after="120"/>
        <w:rPr>
          <w:rFonts w:ascii="Times New Roman" w:hAnsi="Times New Roman" w:cs="Times New Roman"/>
          <w:sz w:val="24"/>
          <w:szCs w:val="24"/>
        </w:rPr>
      </w:pPr>
      <w:r>
        <w:rPr>
          <w:rFonts w:ascii="Times New Roman" w:hAnsi="Times New Roman" w:cs="Times New Roman"/>
          <w:sz w:val="24"/>
          <w:szCs w:val="24"/>
        </w:rPr>
        <w:t xml:space="preserve">fail to </w:t>
      </w:r>
      <w:r w:rsidR="00627C87" w:rsidRPr="00627C87">
        <w:rPr>
          <w:rFonts w:ascii="Times New Roman" w:hAnsi="Times New Roman" w:cs="Times New Roman"/>
          <w:sz w:val="24"/>
          <w:szCs w:val="24"/>
        </w:rPr>
        <w:t xml:space="preserve">notify </w:t>
      </w:r>
      <w:r w:rsidR="001B162B">
        <w:rPr>
          <w:rFonts w:ascii="Times New Roman" w:hAnsi="Times New Roman" w:cs="Times New Roman"/>
          <w:sz w:val="24"/>
          <w:szCs w:val="24"/>
        </w:rPr>
        <w:t>t</w:t>
      </w:r>
      <w:r w:rsidR="00627C87" w:rsidRPr="00627C87">
        <w:rPr>
          <w:rFonts w:ascii="Times New Roman" w:hAnsi="Times New Roman" w:cs="Times New Roman"/>
          <w:sz w:val="24"/>
          <w:szCs w:val="24"/>
        </w:rPr>
        <w:t xml:space="preserve">he </w:t>
      </w:r>
      <w:r w:rsidR="003947B2">
        <w:rPr>
          <w:rFonts w:ascii="Times New Roman" w:hAnsi="Times New Roman" w:cs="Times New Roman"/>
          <w:sz w:val="24"/>
          <w:szCs w:val="24"/>
        </w:rPr>
        <w:t xml:space="preserve">responsible Commonwealth </w:t>
      </w:r>
      <w:r w:rsidR="00627C87" w:rsidRPr="00627C87">
        <w:rPr>
          <w:rFonts w:ascii="Times New Roman" w:hAnsi="Times New Roman" w:cs="Times New Roman"/>
          <w:sz w:val="24"/>
          <w:szCs w:val="24"/>
        </w:rPr>
        <w:t>Minister</w:t>
      </w:r>
      <w:r>
        <w:rPr>
          <w:rFonts w:ascii="Times New Roman" w:hAnsi="Times New Roman" w:cs="Times New Roman"/>
          <w:sz w:val="24"/>
          <w:szCs w:val="24"/>
        </w:rPr>
        <w:t xml:space="preserve"> within the specified</w:t>
      </w:r>
      <w:r w:rsidR="00627C87" w:rsidRPr="00627C87">
        <w:rPr>
          <w:rFonts w:ascii="Times New Roman" w:hAnsi="Times New Roman" w:cs="Times New Roman"/>
          <w:sz w:val="24"/>
          <w:szCs w:val="24"/>
        </w:rPr>
        <w:t xml:space="preserve"> </w:t>
      </w:r>
      <w:r>
        <w:rPr>
          <w:rFonts w:ascii="Times New Roman" w:hAnsi="Times New Roman" w:cs="Times New Roman"/>
          <w:sz w:val="24"/>
          <w:szCs w:val="24"/>
        </w:rPr>
        <w:t xml:space="preserve">time </w:t>
      </w:r>
      <w:r w:rsidR="00627C87" w:rsidRPr="00627C87">
        <w:rPr>
          <w:rFonts w:ascii="Times New Roman" w:hAnsi="Times New Roman" w:cs="Times New Roman"/>
          <w:sz w:val="24"/>
          <w:szCs w:val="24"/>
        </w:rPr>
        <w:t>that a reportable incident has occurred</w:t>
      </w:r>
      <w:r>
        <w:rPr>
          <w:rFonts w:ascii="Times New Roman" w:hAnsi="Times New Roman" w:cs="Times New Roman"/>
          <w:sz w:val="24"/>
          <w:szCs w:val="24"/>
        </w:rPr>
        <w:t xml:space="preserve">, </w:t>
      </w:r>
      <w:r w:rsidR="001B162B">
        <w:rPr>
          <w:rFonts w:ascii="Times New Roman" w:hAnsi="Times New Roman" w:cs="Times New Roman"/>
          <w:sz w:val="24"/>
          <w:szCs w:val="24"/>
        </w:rPr>
        <w:t xml:space="preserve">or </w:t>
      </w:r>
      <w:r>
        <w:rPr>
          <w:rFonts w:ascii="Times New Roman" w:hAnsi="Times New Roman" w:cs="Times New Roman"/>
          <w:sz w:val="24"/>
          <w:szCs w:val="24"/>
        </w:rPr>
        <w:t xml:space="preserve">fail to </w:t>
      </w:r>
      <w:r w:rsidR="00627C87" w:rsidRPr="00627C87">
        <w:rPr>
          <w:rFonts w:ascii="Times New Roman" w:hAnsi="Times New Roman" w:cs="Times New Roman"/>
          <w:sz w:val="24"/>
          <w:szCs w:val="24"/>
        </w:rPr>
        <w:t xml:space="preserve">notify the responsible </w:t>
      </w:r>
      <w:r w:rsidR="001B162B">
        <w:rPr>
          <w:rFonts w:ascii="Times New Roman" w:hAnsi="Times New Roman" w:cs="Times New Roman"/>
          <w:sz w:val="24"/>
          <w:szCs w:val="24"/>
        </w:rPr>
        <w:t>S</w:t>
      </w:r>
      <w:r w:rsidR="00627C87" w:rsidRPr="00627C87">
        <w:rPr>
          <w:rFonts w:ascii="Times New Roman" w:hAnsi="Times New Roman" w:cs="Times New Roman"/>
          <w:sz w:val="24"/>
          <w:szCs w:val="24"/>
        </w:rPr>
        <w:t xml:space="preserve">tate or </w:t>
      </w:r>
      <w:r w:rsidR="001B162B">
        <w:rPr>
          <w:rFonts w:ascii="Times New Roman" w:hAnsi="Times New Roman" w:cs="Times New Roman"/>
          <w:sz w:val="24"/>
          <w:szCs w:val="24"/>
        </w:rPr>
        <w:t>T</w:t>
      </w:r>
      <w:r w:rsidR="00627C87" w:rsidRPr="00627C87">
        <w:rPr>
          <w:rFonts w:ascii="Times New Roman" w:hAnsi="Times New Roman" w:cs="Times New Roman"/>
          <w:sz w:val="24"/>
          <w:szCs w:val="24"/>
        </w:rPr>
        <w:t>erritory</w:t>
      </w:r>
      <w:r w:rsidR="00242602">
        <w:rPr>
          <w:rFonts w:ascii="Times New Roman" w:hAnsi="Times New Roman" w:cs="Times New Roman"/>
          <w:sz w:val="24"/>
          <w:szCs w:val="24"/>
        </w:rPr>
        <w:t> </w:t>
      </w:r>
      <w:r w:rsidR="001B162B">
        <w:rPr>
          <w:rFonts w:ascii="Times New Roman" w:hAnsi="Times New Roman" w:cs="Times New Roman"/>
          <w:sz w:val="24"/>
          <w:szCs w:val="24"/>
        </w:rPr>
        <w:t>M</w:t>
      </w:r>
      <w:r w:rsidR="00627C87" w:rsidRPr="00627C87">
        <w:rPr>
          <w:rFonts w:ascii="Times New Roman" w:hAnsi="Times New Roman" w:cs="Times New Roman"/>
          <w:sz w:val="24"/>
          <w:szCs w:val="24"/>
        </w:rPr>
        <w:t xml:space="preserve">inister within </w:t>
      </w:r>
      <w:r w:rsidR="001B162B">
        <w:rPr>
          <w:rFonts w:ascii="Times New Roman" w:hAnsi="Times New Roman" w:cs="Times New Roman"/>
          <w:sz w:val="24"/>
          <w:szCs w:val="24"/>
        </w:rPr>
        <w:t>three</w:t>
      </w:r>
      <w:r w:rsidR="00627C87" w:rsidRPr="00627C87">
        <w:rPr>
          <w:rFonts w:ascii="Times New Roman" w:hAnsi="Times New Roman" w:cs="Times New Roman"/>
          <w:sz w:val="24"/>
          <w:szCs w:val="24"/>
        </w:rPr>
        <w:t xml:space="preserve"> days</w:t>
      </w:r>
      <w:r w:rsidR="002F25FB">
        <w:rPr>
          <w:rFonts w:ascii="Times New Roman" w:hAnsi="Times New Roman" w:cs="Times New Roman"/>
          <w:sz w:val="24"/>
          <w:szCs w:val="24"/>
        </w:rPr>
        <w:t xml:space="preserve"> of notifying the </w:t>
      </w:r>
      <w:r w:rsidR="003947B2">
        <w:rPr>
          <w:rFonts w:ascii="Times New Roman" w:hAnsi="Times New Roman" w:cs="Times New Roman"/>
          <w:sz w:val="24"/>
          <w:szCs w:val="24"/>
        </w:rPr>
        <w:t xml:space="preserve">responsible Commonwealth </w:t>
      </w:r>
      <w:r w:rsidR="002F25FB">
        <w:rPr>
          <w:rFonts w:ascii="Times New Roman" w:hAnsi="Times New Roman" w:cs="Times New Roman"/>
          <w:sz w:val="24"/>
          <w:szCs w:val="24"/>
        </w:rPr>
        <w:t>Minister</w:t>
      </w:r>
      <w:r w:rsidR="00627C87" w:rsidRPr="00627C87">
        <w:rPr>
          <w:rFonts w:ascii="Times New Roman" w:hAnsi="Times New Roman" w:cs="Times New Roman"/>
          <w:sz w:val="24"/>
          <w:szCs w:val="24"/>
        </w:rPr>
        <w:t xml:space="preserve"> </w:t>
      </w:r>
      <w:r w:rsidR="00627C87">
        <w:rPr>
          <w:rFonts w:ascii="Times New Roman" w:hAnsi="Times New Roman" w:cs="Times New Roman"/>
          <w:sz w:val="24"/>
          <w:szCs w:val="24"/>
        </w:rPr>
        <w:t>(section 51)</w:t>
      </w:r>
    </w:p>
    <w:p w14:paraId="32AA0579" w14:textId="079E4D73" w:rsidR="00401CB0" w:rsidRDefault="00401CB0" w:rsidP="00A2194B">
      <w:pPr>
        <w:pStyle w:val="ListParagraph"/>
        <w:numPr>
          <w:ilvl w:val="0"/>
          <w:numId w:val="24"/>
        </w:numPr>
        <w:spacing w:before="120" w:after="120"/>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fail to give a </w:t>
      </w:r>
      <w:r w:rsidRPr="00845BFD">
        <w:rPr>
          <w:rFonts w:ascii="Times New Roman" w:hAnsi="Times New Roman" w:cs="Times New Roman"/>
          <w:color w:val="333333"/>
          <w:sz w:val="24"/>
          <w:szCs w:val="24"/>
          <w:shd w:val="clear" w:color="auto" w:fill="FFFFFF"/>
        </w:rPr>
        <w:t>written report of a reportable incident</w:t>
      </w:r>
      <w:r>
        <w:rPr>
          <w:rFonts w:ascii="Times New Roman" w:hAnsi="Times New Roman" w:cs="Times New Roman"/>
          <w:color w:val="333333"/>
          <w:sz w:val="24"/>
          <w:szCs w:val="24"/>
          <w:shd w:val="clear" w:color="auto" w:fill="FFFFFF"/>
        </w:rPr>
        <w:t xml:space="preserve"> to the </w:t>
      </w:r>
      <w:r w:rsidR="003947B2">
        <w:rPr>
          <w:rFonts w:ascii="Times New Roman" w:hAnsi="Times New Roman" w:cs="Times New Roman"/>
          <w:color w:val="333333"/>
          <w:sz w:val="24"/>
          <w:szCs w:val="24"/>
          <w:shd w:val="clear" w:color="auto" w:fill="FFFFFF"/>
        </w:rPr>
        <w:t xml:space="preserve">responsible Commonwealth </w:t>
      </w:r>
      <w:r>
        <w:rPr>
          <w:rFonts w:ascii="Times New Roman" w:hAnsi="Times New Roman" w:cs="Times New Roman"/>
          <w:color w:val="333333"/>
          <w:sz w:val="24"/>
          <w:szCs w:val="24"/>
          <w:shd w:val="clear" w:color="auto" w:fill="FFFFFF"/>
        </w:rPr>
        <w:t>Minister</w:t>
      </w:r>
      <w:r w:rsidR="00D86D1A">
        <w:rPr>
          <w:rFonts w:ascii="Times New Roman" w:hAnsi="Times New Roman" w:cs="Times New Roman"/>
          <w:color w:val="333333"/>
          <w:sz w:val="24"/>
          <w:szCs w:val="24"/>
          <w:shd w:val="clear" w:color="auto" w:fill="FFFFFF"/>
        </w:rPr>
        <w:t xml:space="preserve"> </w:t>
      </w:r>
      <w:r w:rsidR="001B162B">
        <w:rPr>
          <w:rFonts w:ascii="Times New Roman" w:hAnsi="Times New Roman" w:cs="Times New Roman"/>
          <w:color w:val="333333"/>
          <w:sz w:val="24"/>
          <w:szCs w:val="24"/>
          <w:shd w:val="clear" w:color="auto" w:fill="FFFFFF"/>
        </w:rPr>
        <w:t xml:space="preserve">within the specified </w:t>
      </w:r>
      <w:proofErr w:type="gramStart"/>
      <w:r w:rsidR="001B162B">
        <w:rPr>
          <w:rFonts w:ascii="Times New Roman" w:hAnsi="Times New Roman" w:cs="Times New Roman"/>
          <w:color w:val="333333"/>
          <w:sz w:val="24"/>
          <w:szCs w:val="24"/>
          <w:shd w:val="clear" w:color="auto" w:fill="FFFFFF"/>
        </w:rPr>
        <w:t>time, or</w:t>
      </w:r>
      <w:proofErr w:type="gramEnd"/>
      <w:r w:rsidR="001B162B">
        <w:rPr>
          <w:rFonts w:ascii="Times New Roman" w:hAnsi="Times New Roman" w:cs="Times New Roman"/>
          <w:color w:val="333333"/>
          <w:sz w:val="24"/>
          <w:szCs w:val="24"/>
          <w:shd w:val="clear" w:color="auto" w:fill="FFFFFF"/>
        </w:rPr>
        <w:t xml:space="preserve"> fail to give a copy of the report to</w:t>
      </w:r>
      <w:r w:rsidR="00D86D1A">
        <w:rPr>
          <w:rFonts w:ascii="Times New Roman" w:hAnsi="Times New Roman" w:cs="Times New Roman"/>
          <w:color w:val="333333"/>
          <w:sz w:val="24"/>
          <w:szCs w:val="24"/>
          <w:shd w:val="clear" w:color="auto" w:fill="FFFFFF"/>
        </w:rPr>
        <w:t xml:space="preserve"> the </w:t>
      </w:r>
      <w:r w:rsidR="001B162B">
        <w:rPr>
          <w:rFonts w:ascii="Times New Roman" w:hAnsi="Times New Roman" w:cs="Times New Roman"/>
          <w:color w:val="333333"/>
          <w:sz w:val="24"/>
          <w:szCs w:val="24"/>
          <w:shd w:val="clear" w:color="auto" w:fill="FFFFFF"/>
        </w:rPr>
        <w:t>responsible S</w:t>
      </w:r>
      <w:r w:rsidR="00D86D1A">
        <w:rPr>
          <w:rFonts w:ascii="Times New Roman" w:hAnsi="Times New Roman" w:cs="Times New Roman"/>
          <w:color w:val="333333"/>
          <w:sz w:val="24"/>
          <w:szCs w:val="24"/>
          <w:shd w:val="clear" w:color="auto" w:fill="FFFFFF"/>
        </w:rPr>
        <w:t xml:space="preserve">tate or </w:t>
      </w:r>
      <w:r w:rsidR="001B162B">
        <w:rPr>
          <w:rFonts w:ascii="Times New Roman" w:hAnsi="Times New Roman" w:cs="Times New Roman"/>
          <w:color w:val="333333"/>
          <w:sz w:val="24"/>
          <w:szCs w:val="24"/>
          <w:shd w:val="clear" w:color="auto" w:fill="FFFFFF"/>
        </w:rPr>
        <w:t>T</w:t>
      </w:r>
      <w:r w:rsidR="00D86D1A">
        <w:rPr>
          <w:rFonts w:ascii="Times New Roman" w:hAnsi="Times New Roman" w:cs="Times New Roman"/>
          <w:color w:val="333333"/>
          <w:sz w:val="24"/>
          <w:szCs w:val="24"/>
          <w:shd w:val="clear" w:color="auto" w:fill="FFFFFF"/>
        </w:rPr>
        <w:t xml:space="preserve">erritory </w:t>
      </w:r>
      <w:r w:rsidR="001B162B">
        <w:rPr>
          <w:rFonts w:ascii="Times New Roman" w:hAnsi="Times New Roman" w:cs="Times New Roman"/>
          <w:color w:val="333333"/>
          <w:sz w:val="24"/>
          <w:szCs w:val="24"/>
          <w:shd w:val="clear" w:color="auto" w:fill="FFFFFF"/>
        </w:rPr>
        <w:t>M</w:t>
      </w:r>
      <w:r w:rsidR="00D86D1A">
        <w:rPr>
          <w:rFonts w:ascii="Times New Roman" w:hAnsi="Times New Roman" w:cs="Times New Roman"/>
          <w:color w:val="333333"/>
          <w:sz w:val="24"/>
          <w:szCs w:val="24"/>
          <w:shd w:val="clear" w:color="auto" w:fill="FFFFFF"/>
        </w:rPr>
        <w:t xml:space="preserve">inister within </w:t>
      </w:r>
      <w:r w:rsidR="001B162B">
        <w:rPr>
          <w:rFonts w:ascii="Times New Roman" w:hAnsi="Times New Roman" w:cs="Times New Roman"/>
          <w:color w:val="333333"/>
          <w:sz w:val="24"/>
          <w:szCs w:val="24"/>
          <w:shd w:val="clear" w:color="auto" w:fill="FFFFFF"/>
        </w:rPr>
        <w:t>seven days of giving the report to the</w:t>
      </w:r>
      <w:r w:rsidR="003947B2">
        <w:rPr>
          <w:rFonts w:ascii="Times New Roman" w:hAnsi="Times New Roman" w:cs="Times New Roman"/>
          <w:color w:val="333333"/>
          <w:sz w:val="24"/>
          <w:szCs w:val="24"/>
          <w:shd w:val="clear" w:color="auto" w:fill="FFFFFF"/>
        </w:rPr>
        <w:t xml:space="preserve"> responsible Commonwealth</w:t>
      </w:r>
      <w:r w:rsidR="001B162B">
        <w:rPr>
          <w:rFonts w:ascii="Times New Roman" w:hAnsi="Times New Roman" w:cs="Times New Roman"/>
          <w:color w:val="333333"/>
          <w:sz w:val="24"/>
          <w:szCs w:val="24"/>
          <w:shd w:val="clear" w:color="auto" w:fill="FFFFFF"/>
        </w:rPr>
        <w:t xml:space="preserve"> Minister</w:t>
      </w:r>
      <w:r w:rsidR="00D86D1A">
        <w:rPr>
          <w:rFonts w:ascii="Times New Roman" w:hAnsi="Times New Roman" w:cs="Times New Roman"/>
          <w:color w:val="333333"/>
          <w:sz w:val="24"/>
          <w:szCs w:val="24"/>
          <w:shd w:val="clear" w:color="auto" w:fill="FFFFFF"/>
        </w:rPr>
        <w:t xml:space="preserve"> (section 52)</w:t>
      </w:r>
      <w:r w:rsidRPr="00845BFD">
        <w:rPr>
          <w:rFonts w:ascii="Times New Roman" w:hAnsi="Times New Roman" w:cs="Times New Roman"/>
          <w:color w:val="333333"/>
          <w:sz w:val="24"/>
          <w:szCs w:val="24"/>
          <w:shd w:val="clear" w:color="auto" w:fill="FFFFFF"/>
        </w:rPr>
        <w:t>.</w:t>
      </w:r>
    </w:p>
    <w:p w14:paraId="3313DF67" w14:textId="5AF13DD1" w:rsidR="009D72D4" w:rsidRDefault="00D86D1A" w:rsidP="00D86D1A">
      <w:pPr>
        <w:spacing w:before="120" w:after="120"/>
        <w:rPr>
          <w:rFonts w:ascii="Times New Roman" w:hAnsi="Times New Roman" w:cs="Times New Roman"/>
          <w:sz w:val="24"/>
          <w:szCs w:val="24"/>
        </w:rPr>
      </w:pPr>
      <w:r w:rsidRPr="00D86D1A">
        <w:rPr>
          <w:rFonts w:ascii="Times New Roman" w:hAnsi="Times New Roman" w:cs="Times New Roman"/>
          <w:sz w:val="24"/>
          <w:szCs w:val="24"/>
        </w:rPr>
        <w:t xml:space="preserve">Strict liability is applied to these offence provisions to enhance the effectiveness </w:t>
      </w:r>
      <w:r w:rsidR="009D72D4">
        <w:rPr>
          <w:rFonts w:ascii="Times New Roman" w:hAnsi="Times New Roman" w:cs="Times New Roman"/>
          <w:sz w:val="24"/>
          <w:szCs w:val="24"/>
        </w:rPr>
        <w:t xml:space="preserve">of the provisions </w:t>
      </w:r>
      <w:r w:rsidRPr="00D86D1A">
        <w:rPr>
          <w:rFonts w:ascii="Times New Roman" w:hAnsi="Times New Roman" w:cs="Times New Roman"/>
          <w:sz w:val="24"/>
          <w:szCs w:val="24"/>
        </w:rPr>
        <w:t>in deterring certain conduct, and thereby reduce the likelihood of non-compliance.</w:t>
      </w:r>
      <w:r w:rsidR="003453A0">
        <w:rPr>
          <w:rFonts w:ascii="Times New Roman" w:hAnsi="Times New Roman" w:cs="Times New Roman"/>
          <w:sz w:val="24"/>
          <w:szCs w:val="24"/>
        </w:rPr>
        <w:t xml:space="preserve"> Strict liability will also ensure that the provisions can be effectively enforced.</w:t>
      </w:r>
    </w:p>
    <w:p w14:paraId="1E366118" w14:textId="175967CA" w:rsidR="00D86D1A" w:rsidRDefault="006B3AEA" w:rsidP="00D86D1A">
      <w:pPr>
        <w:spacing w:before="120" w:after="120"/>
        <w:rPr>
          <w:rFonts w:ascii="Times New Roman" w:hAnsi="Times New Roman" w:cs="Times New Roman"/>
          <w:sz w:val="24"/>
          <w:szCs w:val="24"/>
        </w:rPr>
      </w:pPr>
      <w:r>
        <w:rPr>
          <w:rFonts w:ascii="Times New Roman" w:hAnsi="Times New Roman" w:cs="Times New Roman"/>
          <w:sz w:val="24"/>
          <w:szCs w:val="24"/>
        </w:rPr>
        <w:t>There would be</w:t>
      </w:r>
      <w:r w:rsidR="00D86D1A" w:rsidRPr="00D86D1A">
        <w:rPr>
          <w:rFonts w:ascii="Times New Roman" w:hAnsi="Times New Roman" w:cs="Times New Roman"/>
          <w:sz w:val="24"/>
          <w:szCs w:val="24"/>
        </w:rPr>
        <w:t xml:space="preserve"> </w:t>
      </w:r>
      <w:r w:rsidR="003453A0">
        <w:rPr>
          <w:rFonts w:ascii="Times New Roman" w:hAnsi="Times New Roman" w:cs="Times New Roman"/>
          <w:sz w:val="24"/>
          <w:szCs w:val="24"/>
        </w:rPr>
        <w:t xml:space="preserve">risks to the containment of GHG substances and </w:t>
      </w:r>
      <w:r w:rsidR="00D86D1A" w:rsidRPr="00D86D1A">
        <w:rPr>
          <w:rFonts w:ascii="Times New Roman" w:hAnsi="Times New Roman" w:cs="Times New Roman"/>
          <w:sz w:val="24"/>
          <w:szCs w:val="24"/>
        </w:rPr>
        <w:t>potentially severe consequences if a</w:t>
      </w:r>
      <w:r>
        <w:rPr>
          <w:rFonts w:ascii="Times New Roman" w:hAnsi="Times New Roman" w:cs="Times New Roman"/>
          <w:sz w:val="24"/>
          <w:szCs w:val="24"/>
        </w:rPr>
        <w:t xml:space="preserve"> GHG injection</w:t>
      </w:r>
      <w:r w:rsidR="00D86D1A" w:rsidRPr="00D86D1A">
        <w:rPr>
          <w:rFonts w:ascii="Times New Roman" w:hAnsi="Times New Roman" w:cs="Times New Roman"/>
          <w:sz w:val="24"/>
          <w:szCs w:val="24"/>
        </w:rPr>
        <w:t xml:space="preserve"> </w:t>
      </w:r>
      <w:r w:rsidR="007E1A04">
        <w:rPr>
          <w:rFonts w:ascii="Times New Roman" w:hAnsi="Times New Roman" w:cs="Times New Roman"/>
          <w:sz w:val="24"/>
          <w:szCs w:val="24"/>
        </w:rPr>
        <w:t>licensee</w:t>
      </w:r>
      <w:r w:rsidR="00D86D1A" w:rsidRPr="00D86D1A">
        <w:rPr>
          <w:rFonts w:ascii="Times New Roman" w:hAnsi="Times New Roman" w:cs="Times New Roman"/>
          <w:sz w:val="24"/>
          <w:szCs w:val="24"/>
        </w:rPr>
        <w:t xml:space="preserve"> were to undertake an activity without an </w:t>
      </w:r>
      <w:r w:rsidR="007E1A04">
        <w:rPr>
          <w:rFonts w:ascii="Times New Roman" w:hAnsi="Times New Roman" w:cs="Times New Roman"/>
          <w:sz w:val="24"/>
          <w:szCs w:val="24"/>
        </w:rPr>
        <w:t>approved site</w:t>
      </w:r>
      <w:r w:rsidR="00D86D1A" w:rsidRPr="00D86D1A">
        <w:rPr>
          <w:rFonts w:ascii="Times New Roman" w:hAnsi="Times New Roman" w:cs="Times New Roman"/>
          <w:sz w:val="24"/>
          <w:szCs w:val="24"/>
        </w:rPr>
        <w:t xml:space="preserve"> plan </w:t>
      </w:r>
      <w:r w:rsidR="007E1A04">
        <w:rPr>
          <w:rFonts w:ascii="Times New Roman" w:hAnsi="Times New Roman" w:cs="Times New Roman"/>
          <w:sz w:val="24"/>
          <w:szCs w:val="24"/>
        </w:rPr>
        <w:t xml:space="preserve">or </w:t>
      </w:r>
      <w:r w:rsidR="00D86D1A" w:rsidRPr="00D86D1A">
        <w:rPr>
          <w:rFonts w:ascii="Times New Roman" w:hAnsi="Times New Roman" w:cs="Times New Roman"/>
          <w:sz w:val="24"/>
          <w:szCs w:val="24"/>
        </w:rPr>
        <w:t xml:space="preserve">contrary to </w:t>
      </w:r>
      <w:r w:rsidR="00DD1BB2">
        <w:rPr>
          <w:rFonts w:ascii="Times New Roman" w:hAnsi="Times New Roman" w:cs="Times New Roman"/>
          <w:sz w:val="24"/>
          <w:szCs w:val="24"/>
        </w:rPr>
        <w:t>an approved</w:t>
      </w:r>
      <w:r w:rsidR="00D86D1A" w:rsidRPr="00D86D1A">
        <w:rPr>
          <w:rFonts w:ascii="Times New Roman" w:hAnsi="Times New Roman" w:cs="Times New Roman"/>
          <w:sz w:val="24"/>
          <w:szCs w:val="24"/>
        </w:rPr>
        <w:t xml:space="preserve"> plan </w:t>
      </w:r>
      <w:r w:rsidR="00DD1BB2">
        <w:rPr>
          <w:rFonts w:ascii="Times New Roman" w:hAnsi="Times New Roman" w:cs="Times New Roman"/>
          <w:sz w:val="24"/>
          <w:szCs w:val="24"/>
        </w:rPr>
        <w:t xml:space="preserve">that is </w:t>
      </w:r>
      <w:r w:rsidR="00D86D1A" w:rsidRPr="00D86D1A">
        <w:rPr>
          <w:rFonts w:ascii="Times New Roman" w:hAnsi="Times New Roman" w:cs="Times New Roman"/>
          <w:sz w:val="24"/>
          <w:szCs w:val="24"/>
        </w:rPr>
        <w:t>in force</w:t>
      </w:r>
      <w:r w:rsidR="00DD1BB2">
        <w:rPr>
          <w:rFonts w:ascii="Times New Roman" w:hAnsi="Times New Roman" w:cs="Times New Roman"/>
          <w:sz w:val="24"/>
          <w:szCs w:val="24"/>
        </w:rPr>
        <w:t xml:space="preserve">. </w:t>
      </w:r>
      <w:r>
        <w:rPr>
          <w:rFonts w:ascii="Times New Roman" w:hAnsi="Times New Roman" w:cs="Times New Roman"/>
          <w:sz w:val="24"/>
          <w:szCs w:val="24"/>
        </w:rPr>
        <w:t xml:space="preserve">Site plan requirements under the Regulations are complex and detailed, requiring amongst other things an assessment of all relevant risks based on predictions of </w:t>
      </w:r>
      <w:r w:rsidR="00CD2330">
        <w:rPr>
          <w:rFonts w:ascii="Times New Roman" w:hAnsi="Times New Roman" w:cs="Times New Roman"/>
          <w:sz w:val="24"/>
          <w:szCs w:val="24"/>
        </w:rPr>
        <w:t xml:space="preserve">the behaviour of a </w:t>
      </w:r>
      <w:r>
        <w:rPr>
          <w:rFonts w:ascii="Times New Roman" w:hAnsi="Times New Roman" w:cs="Times New Roman"/>
          <w:sz w:val="24"/>
          <w:szCs w:val="24"/>
        </w:rPr>
        <w:t xml:space="preserve">GHG substance in </w:t>
      </w:r>
      <w:r w:rsidR="00CD2330">
        <w:rPr>
          <w:rFonts w:ascii="Times New Roman" w:hAnsi="Times New Roman" w:cs="Times New Roman"/>
          <w:sz w:val="24"/>
          <w:szCs w:val="24"/>
        </w:rPr>
        <w:t>an</w:t>
      </w:r>
      <w:r>
        <w:rPr>
          <w:rFonts w:ascii="Times New Roman" w:hAnsi="Times New Roman" w:cs="Times New Roman"/>
          <w:sz w:val="24"/>
          <w:szCs w:val="24"/>
        </w:rPr>
        <w:t xml:space="preserve"> identified GHG </w:t>
      </w:r>
      <w:r w:rsidR="00CD2330">
        <w:rPr>
          <w:rFonts w:ascii="Times New Roman" w:hAnsi="Times New Roman" w:cs="Times New Roman"/>
          <w:sz w:val="24"/>
          <w:szCs w:val="24"/>
        </w:rPr>
        <w:t xml:space="preserve">storage </w:t>
      </w:r>
      <w:r>
        <w:rPr>
          <w:rFonts w:ascii="Times New Roman" w:hAnsi="Times New Roman" w:cs="Times New Roman"/>
          <w:sz w:val="24"/>
          <w:szCs w:val="24"/>
        </w:rPr>
        <w:t xml:space="preserve">formation, strategies for eliminating those risks or reducing them to an acceptable level, and monitoring of the behaviour of </w:t>
      </w:r>
      <w:r w:rsidR="00F005C1">
        <w:rPr>
          <w:rFonts w:ascii="Times New Roman" w:hAnsi="Times New Roman" w:cs="Times New Roman"/>
          <w:sz w:val="24"/>
          <w:szCs w:val="24"/>
        </w:rPr>
        <w:t>stored</w:t>
      </w:r>
      <w:r w:rsidR="00312166">
        <w:rPr>
          <w:rFonts w:ascii="Times New Roman" w:hAnsi="Times New Roman" w:cs="Times New Roman"/>
          <w:sz w:val="24"/>
          <w:szCs w:val="24"/>
        </w:rPr>
        <w:t xml:space="preserve"> GHG</w:t>
      </w:r>
      <w:r>
        <w:rPr>
          <w:rFonts w:ascii="Times New Roman" w:hAnsi="Times New Roman" w:cs="Times New Roman"/>
          <w:sz w:val="24"/>
          <w:szCs w:val="24"/>
        </w:rPr>
        <w:t xml:space="preserve"> substances </w:t>
      </w:r>
      <w:r w:rsidR="00312166">
        <w:rPr>
          <w:rFonts w:ascii="Times New Roman" w:hAnsi="Times New Roman" w:cs="Times New Roman"/>
          <w:sz w:val="24"/>
          <w:szCs w:val="24"/>
        </w:rPr>
        <w:t xml:space="preserve">in the formation </w:t>
      </w:r>
      <w:r>
        <w:rPr>
          <w:rFonts w:ascii="Times New Roman" w:hAnsi="Times New Roman" w:cs="Times New Roman"/>
          <w:sz w:val="24"/>
          <w:szCs w:val="24"/>
        </w:rPr>
        <w:t>over time.</w:t>
      </w:r>
    </w:p>
    <w:p w14:paraId="60C41C3E" w14:textId="712A1AFD" w:rsidR="00D86D1A" w:rsidRDefault="00DD1BB2" w:rsidP="00D86D1A">
      <w:pPr>
        <w:spacing w:before="120" w:after="120"/>
        <w:rPr>
          <w:rFonts w:ascii="Times New Roman" w:hAnsi="Times New Roman" w:cs="Times New Roman"/>
          <w:sz w:val="24"/>
          <w:szCs w:val="24"/>
        </w:rPr>
      </w:pPr>
      <w:r w:rsidRPr="00D86D1A">
        <w:rPr>
          <w:rFonts w:ascii="Times New Roman" w:hAnsi="Times New Roman" w:cs="Times New Roman"/>
          <w:sz w:val="24"/>
          <w:szCs w:val="24"/>
        </w:rPr>
        <w:t xml:space="preserve">Strict liability is </w:t>
      </w:r>
      <w:r w:rsidR="00312166">
        <w:rPr>
          <w:rFonts w:ascii="Times New Roman" w:hAnsi="Times New Roman" w:cs="Times New Roman"/>
          <w:sz w:val="24"/>
          <w:szCs w:val="24"/>
        </w:rPr>
        <w:t xml:space="preserve">also </w:t>
      </w:r>
      <w:r w:rsidRPr="00D86D1A">
        <w:rPr>
          <w:rFonts w:ascii="Times New Roman" w:hAnsi="Times New Roman" w:cs="Times New Roman"/>
          <w:sz w:val="24"/>
          <w:szCs w:val="24"/>
        </w:rPr>
        <w:t xml:space="preserve">appropriate to ensure </w:t>
      </w:r>
      <w:r>
        <w:rPr>
          <w:rFonts w:ascii="Times New Roman" w:hAnsi="Times New Roman" w:cs="Times New Roman"/>
          <w:sz w:val="24"/>
          <w:szCs w:val="24"/>
        </w:rPr>
        <w:t xml:space="preserve">licensees </w:t>
      </w:r>
      <w:r w:rsidR="00312166">
        <w:rPr>
          <w:rFonts w:ascii="Times New Roman" w:hAnsi="Times New Roman" w:cs="Times New Roman"/>
          <w:sz w:val="24"/>
          <w:szCs w:val="24"/>
        </w:rPr>
        <w:t xml:space="preserve">are accountable for </w:t>
      </w:r>
      <w:r>
        <w:rPr>
          <w:rFonts w:ascii="Times New Roman" w:hAnsi="Times New Roman" w:cs="Times New Roman"/>
          <w:sz w:val="24"/>
          <w:szCs w:val="24"/>
        </w:rPr>
        <w:t>notify</w:t>
      </w:r>
      <w:r w:rsidR="00312166">
        <w:rPr>
          <w:rFonts w:ascii="Times New Roman" w:hAnsi="Times New Roman" w:cs="Times New Roman"/>
          <w:sz w:val="24"/>
          <w:szCs w:val="24"/>
        </w:rPr>
        <w:t>ing</w:t>
      </w:r>
      <w:r>
        <w:rPr>
          <w:rFonts w:ascii="Times New Roman" w:hAnsi="Times New Roman" w:cs="Times New Roman"/>
          <w:sz w:val="24"/>
          <w:szCs w:val="24"/>
        </w:rPr>
        <w:t xml:space="preserve"> and report</w:t>
      </w:r>
      <w:r w:rsidR="00312166">
        <w:rPr>
          <w:rFonts w:ascii="Times New Roman" w:hAnsi="Times New Roman" w:cs="Times New Roman"/>
          <w:sz w:val="24"/>
          <w:szCs w:val="24"/>
        </w:rPr>
        <w:t>ing</w:t>
      </w:r>
      <w:r>
        <w:rPr>
          <w:rFonts w:ascii="Times New Roman" w:hAnsi="Times New Roman" w:cs="Times New Roman"/>
          <w:sz w:val="24"/>
          <w:szCs w:val="24"/>
        </w:rPr>
        <w:t xml:space="preserve"> on </w:t>
      </w:r>
      <w:r w:rsidR="00D86D1A" w:rsidRPr="00D86D1A">
        <w:rPr>
          <w:rFonts w:ascii="Times New Roman" w:hAnsi="Times New Roman" w:cs="Times New Roman"/>
          <w:sz w:val="24"/>
          <w:szCs w:val="24"/>
        </w:rPr>
        <w:t>incidents relatin</w:t>
      </w:r>
      <w:r>
        <w:rPr>
          <w:rFonts w:ascii="Times New Roman" w:hAnsi="Times New Roman" w:cs="Times New Roman"/>
          <w:sz w:val="24"/>
          <w:szCs w:val="24"/>
        </w:rPr>
        <w:t>g</w:t>
      </w:r>
      <w:r w:rsidR="00D86D1A" w:rsidRPr="00D86D1A">
        <w:rPr>
          <w:rFonts w:ascii="Times New Roman" w:hAnsi="Times New Roman" w:cs="Times New Roman"/>
          <w:sz w:val="24"/>
          <w:szCs w:val="24"/>
        </w:rPr>
        <w:t xml:space="preserve"> to offshore operations</w:t>
      </w:r>
      <w:r w:rsidR="000C4A3C">
        <w:rPr>
          <w:rFonts w:ascii="Times New Roman" w:hAnsi="Times New Roman" w:cs="Times New Roman"/>
          <w:sz w:val="24"/>
          <w:szCs w:val="24"/>
        </w:rPr>
        <w:t xml:space="preserve"> given the serious consequences that may result from an incident, particularly if remedial action is not taken quickly.</w:t>
      </w:r>
      <w:r>
        <w:rPr>
          <w:rFonts w:ascii="Times New Roman" w:hAnsi="Times New Roman" w:cs="Times New Roman"/>
          <w:sz w:val="24"/>
          <w:szCs w:val="24"/>
        </w:rPr>
        <w:t xml:space="preserve"> </w:t>
      </w:r>
      <w:r w:rsidR="000C4A3C">
        <w:rPr>
          <w:rFonts w:ascii="Times New Roman" w:hAnsi="Times New Roman" w:cs="Times New Roman"/>
          <w:sz w:val="24"/>
          <w:szCs w:val="24"/>
        </w:rPr>
        <w:t xml:space="preserve">It is also appropriate to ensure </w:t>
      </w:r>
      <w:r w:rsidR="00CD2330">
        <w:rPr>
          <w:rFonts w:ascii="Times New Roman" w:hAnsi="Times New Roman" w:cs="Times New Roman"/>
          <w:sz w:val="24"/>
          <w:szCs w:val="24"/>
        </w:rPr>
        <w:t xml:space="preserve">that licensees are </w:t>
      </w:r>
      <w:r w:rsidR="000C4A3C">
        <w:rPr>
          <w:rFonts w:ascii="Times New Roman" w:hAnsi="Times New Roman" w:cs="Times New Roman"/>
          <w:sz w:val="24"/>
          <w:szCs w:val="24"/>
        </w:rPr>
        <w:t>accountabl</w:t>
      </w:r>
      <w:r w:rsidR="00CD2330">
        <w:rPr>
          <w:rFonts w:ascii="Times New Roman" w:hAnsi="Times New Roman" w:cs="Times New Roman"/>
          <w:sz w:val="24"/>
          <w:szCs w:val="24"/>
        </w:rPr>
        <w:t>e</w:t>
      </w:r>
      <w:r w:rsidR="000C4A3C">
        <w:rPr>
          <w:rFonts w:ascii="Times New Roman" w:hAnsi="Times New Roman" w:cs="Times New Roman"/>
          <w:sz w:val="24"/>
          <w:szCs w:val="24"/>
        </w:rPr>
        <w:t xml:space="preserve"> for</w:t>
      </w:r>
      <w:r>
        <w:rPr>
          <w:rFonts w:ascii="Times New Roman" w:hAnsi="Times New Roman" w:cs="Times New Roman"/>
          <w:sz w:val="24"/>
          <w:szCs w:val="24"/>
        </w:rPr>
        <w:t xml:space="preserve"> ensur</w:t>
      </w:r>
      <w:r w:rsidR="000C4A3C">
        <w:rPr>
          <w:rFonts w:ascii="Times New Roman" w:hAnsi="Times New Roman" w:cs="Times New Roman"/>
          <w:sz w:val="24"/>
          <w:szCs w:val="24"/>
        </w:rPr>
        <w:t>ing</w:t>
      </w:r>
      <w:r>
        <w:rPr>
          <w:rFonts w:ascii="Times New Roman" w:hAnsi="Times New Roman" w:cs="Times New Roman"/>
          <w:sz w:val="24"/>
          <w:szCs w:val="24"/>
        </w:rPr>
        <w:t xml:space="preserve"> that </w:t>
      </w:r>
      <w:r w:rsidR="00312166">
        <w:rPr>
          <w:rFonts w:ascii="Times New Roman" w:hAnsi="Times New Roman" w:cs="Times New Roman"/>
          <w:sz w:val="24"/>
          <w:szCs w:val="24"/>
        </w:rPr>
        <w:t xml:space="preserve">the </w:t>
      </w:r>
      <w:r>
        <w:rPr>
          <w:rFonts w:ascii="Times New Roman" w:hAnsi="Times New Roman" w:cs="Times New Roman"/>
          <w:sz w:val="24"/>
          <w:szCs w:val="24"/>
        </w:rPr>
        <w:t xml:space="preserve">site plans </w:t>
      </w:r>
      <w:r w:rsidR="00CD2330">
        <w:rPr>
          <w:rFonts w:ascii="Times New Roman" w:hAnsi="Times New Roman" w:cs="Times New Roman"/>
          <w:sz w:val="24"/>
          <w:szCs w:val="24"/>
        </w:rPr>
        <w:t>for their</w:t>
      </w:r>
      <w:r w:rsidR="000C4A3C">
        <w:rPr>
          <w:rFonts w:ascii="Times New Roman" w:hAnsi="Times New Roman" w:cs="Times New Roman"/>
          <w:sz w:val="24"/>
          <w:szCs w:val="24"/>
        </w:rPr>
        <w:t xml:space="preserve"> operations</w:t>
      </w:r>
      <w:r>
        <w:rPr>
          <w:rFonts w:ascii="Times New Roman" w:hAnsi="Times New Roman" w:cs="Times New Roman"/>
          <w:sz w:val="24"/>
          <w:szCs w:val="24"/>
        </w:rPr>
        <w:t xml:space="preserve"> are kept up to date and fit for purpose</w:t>
      </w:r>
      <w:r w:rsidR="003453A0">
        <w:rPr>
          <w:rFonts w:ascii="Times New Roman" w:hAnsi="Times New Roman" w:cs="Times New Roman"/>
          <w:sz w:val="24"/>
          <w:szCs w:val="24"/>
        </w:rPr>
        <w:t xml:space="preserve"> to ensure safe and sustainable operations</w:t>
      </w:r>
      <w:r w:rsidR="000C4A3C">
        <w:rPr>
          <w:rFonts w:ascii="Times New Roman" w:hAnsi="Times New Roman" w:cs="Times New Roman"/>
          <w:sz w:val="24"/>
          <w:szCs w:val="24"/>
        </w:rPr>
        <w:t>, given the risks to containment of a GHG substance</w:t>
      </w:r>
      <w:r w:rsidR="00E71970">
        <w:rPr>
          <w:rFonts w:ascii="Times New Roman" w:hAnsi="Times New Roman" w:cs="Times New Roman"/>
          <w:sz w:val="24"/>
          <w:szCs w:val="24"/>
        </w:rPr>
        <w:t>, and consequent risks to the environment and operations of other titleholders,</w:t>
      </w:r>
      <w:r w:rsidR="000C4A3C">
        <w:rPr>
          <w:rFonts w:ascii="Times New Roman" w:hAnsi="Times New Roman" w:cs="Times New Roman"/>
          <w:sz w:val="24"/>
          <w:szCs w:val="24"/>
        </w:rPr>
        <w:t xml:space="preserve"> if an approved site plan is no longer suitable</w:t>
      </w:r>
      <w:r>
        <w:rPr>
          <w:rFonts w:ascii="Times New Roman" w:hAnsi="Times New Roman" w:cs="Times New Roman"/>
          <w:sz w:val="24"/>
          <w:szCs w:val="24"/>
        </w:rPr>
        <w:t>.</w:t>
      </w:r>
    </w:p>
    <w:p w14:paraId="71D608EA" w14:textId="0B0D32A1" w:rsidR="00D86D1A" w:rsidRDefault="00312166" w:rsidP="00D86D1A">
      <w:pPr>
        <w:spacing w:before="120" w:after="120"/>
        <w:rPr>
          <w:rFonts w:ascii="Times New Roman" w:hAnsi="Times New Roman" w:cs="Times New Roman"/>
          <w:sz w:val="24"/>
          <w:szCs w:val="24"/>
        </w:rPr>
      </w:pPr>
      <w:r>
        <w:rPr>
          <w:rFonts w:ascii="Times New Roman" w:hAnsi="Times New Roman" w:cs="Times New Roman"/>
          <w:sz w:val="24"/>
          <w:szCs w:val="24"/>
        </w:rPr>
        <w:t>F</w:t>
      </w:r>
      <w:r w:rsidR="00D86D1A" w:rsidRPr="00D86D1A">
        <w:rPr>
          <w:rFonts w:ascii="Times New Roman" w:hAnsi="Times New Roman" w:cs="Times New Roman"/>
          <w:sz w:val="24"/>
          <w:szCs w:val="24"/>
        </w:rPr>
        <w:t xml:space="preserve">or all </w:t>
      </w:r>
      <w:r w:rsidR="003453A0">
        <w:rPr>
          <w:rFonts w:ascii="Times New Roman" w:hAnsi="Times New Roman" w:cs="Times New Roman"/>
          <w:sz w:val="24"/>
          <w:szCs w:val="24"/>
        </w:rPr>
        <w:t xml:space="preserve">of </w:t>
      </w:r>
      <w:r w:rsidR="00D86D1A" w:rsidRPr="00D86D1A">
        <w:rPr>
          <w:rFonts w:ascii="Times New Roman" w:hAnsi="Times New Roman" w:cs="Times New Roman"/>
          <w:sz w:val="24"/>
          <w:szCs w:val="24"/>
        </w:rPr>
        <w:t xml:space="preserve">the </w:t>
      </w:r>
      <w:r>
        <w:rPr>
          <w:rFonts w:ascii="Times New Roman" w:hAnsi="Times New Roman" w:cs="Times New Roman"/>
          <w:sz w:val="24"/>
          <w:szCs w:val="24"/>
        </w:rPr>
        <w:t xml:space="preserve">strict liability </w:t>
      </w:r>
      <w:r w:rsidR="00D86D1A" w:rsidRPr="00D86D1A">
        <w:rPr>
          <w:rFonts w:ascii="Times New Roman" w:hAnsi="Times New Roman" w:cs="Times New Roman"/>
          <w:sz w:val="24"/>
          <w:szCs w:val="24"/>
        </w:rPr>
        <w:t xml:space="preserve">offences, </w:t>
      </w:r>
      <w:r w:rsidR="00D86D1A" w:rsidRPr="00312166">
        <w:rPr>
          <w:rFonts w:ascii="Times New Roman" w:hAnsi="Times New Roman" w:cs="Times New Roman"/>
          <w:sz w:val="24"/>
          <w:szCs w:val="24"/>
        </w:rPr>
        <w:t xml:space="preserve">the remote and complex nature of offshore operations </w:t>
      </w:r>
      <w:r w:rsidR="00D86D1A" w:rsidRPr="00FF4EC5">
        <w:rPr>
          <w:rFonts w:ascii="Times New Roman" w:hAnsi="Times New Roman" w:cs="Times New Roman"/>
          <w:sz w:val="24"/>
          <w:szCs w:val="24"/>
        </w:rPr>
        <w:t xml:space="preserve">and the prevalence of </w:t>
      </w:r>
      <w:r w:rsidR="003453A0">
        <w:rPr>
          <w:rFonts w:ascii="Times New Roman" w:hAnsi="Times New Roman" w:cs="Times New Roman"/>
          <w:sz w:val="24"/>
          <w:szCs w:val="24"/>
        </w:rPr>
        <w:t>joint venture</w:t>
      </w:r>
      <w:r w:rsidR="00D86D1A" w:rsidRPr="00FF4EC5">
        <w:rPr>
          <w:rFonts w:ascii="Times New Roman" w:hAnsi="Times New Roman" w:cs="Times New Roman"/>
          <w:sz w:val="24"/>
          <w:szCs w:val="24"/>
        </w:rPr>
        <w:t xml:space="preserve"> titleholder arrangements means it </w:t>
      </w:r>
      <w:r w:rsidRPr="00FF4EC5">
        <w:rPr>
          <w:rFonts w:ascii="Times New Roman" w:hAnsi="Times New Roman" w:cs="Times New Roman"/>
          <w:sz w:val="24"/>
          <w:szCs w:val="24"/>
        </w:rPr>
        <w:t>can be</w:t>
      </w:r>
      <w:r w:rsidR="00D86D1A" w:rsidRPr="00FF4EC5">
        <w:rPr>
          <w:rFonts w:ascii="Times New Roman" w:hAnsi="Times New Roman" w:cs="Times New Roman"/>
          <w:sz w:val="24"/>
          <w:szCs w:val="24"/>
        </w:rPr>
        <w:t xml:space="preserve"> extremely diff</w:t>
      </w:r>
      <w:r w:rsidR="00D86D1A" w:rsidRPr="00312166">
        <w:rPr>
          <w:rFonts w:ascii="Times New Roman" w:hAnsi="Times New Roman" w:cs="Times New Roman"/>
          <w:sz w:val="24"/>
          <w:szCs w:val="24"/>
        </w:rPr>
        <w:t xml:space="preserve">icult to prove </w:t>
      </w:r>
      <w:proofErr w:type="gramStart"/>
      <w:r w:rsidR="00D86D1A" w:rsidRPr="00312166">
        <w:rPr>
          <w:rFonts w:ascii="Times New Roman" w:hAnsi="Times New Roman" w:cs="Times New Roman"/>
          <w:sz w:val="24"/>
          <w:szCs w:val="24"/>
        </w:rPr>
        <w:t>intent</w:t>
      </w:r>
      <w:r w:rsidR="003453A0">
        <w:rPr>
          <w:rFonts w:ascii="Times New Roman" w:hAnsi="Times New Roman" w:cs="Times New Roman"/>
          <w:sz w:val="24"/>
          <w:szCs w:val="24"/>
        </w:rPr>
        <w:t>, and</w:t>
      </w:r>
      <w:proofErr w:type="gramEnd"/>
      <w:r w:rsidR="003453A0">
        <w:rPr>
          <w:rFonts w:ascii="Times New Roman" w:hAnsi="Times New Roman" w:cs="Times New Roman"/>
          <w:sz w:val="24"/>
          <w:szCs w:val="24"/>
        </w:rPr>
        <w:t xml:space="preserve"> requiring that proof may make it impractical to enforce the regime</w:t>
      </w:r>
      <w:r w:rsidR="00D86D1A" w:rsidRPr="00312166">
        <w:rPr>
          <w:rFonts w:ascii="Times New Roman" w:hAnsi="Times New Roman" w:cs="Times New Roman"/>
          <w:sz w:val="24"/>
          <w:szCs w:val="24"/>
        </w:rPr>
        <w:t>.</w:t>
      </w:r>
      <w:r w:rsidRPr="00312166">
        <w:rPr>
          <w:rFonts w:ascii="Times New Roman" w:hAnsi="Times New Roman" w:cs="Times New Roman"/>
          <w:sz w:val="24"/>
          <w:szCs w:val="24"/>
        </w:rPr>
        <w:t xml:space="preserve"> </w:t>
      </w:r>
      <w:r w:rsidR="003453A0">
        <w:rPr>
          <w:rFonts w:ascii="Times New Roman" w:hAnsi="Times New Roman" w:cs="Times New Roman"/>
          <w:sz w:val="24"/>
          <w:szCs w:val="24"/>
        </w:rPr>
        <w:t>A</w:t>
      </w:r>
      <w:r w:rsidR="00D86D1A" w:rsidRPr="00312166">
        <w:rPr>
          <w:rFonts w:ascii="Times New Roman" w:hAnsi="Times New Roman" w:cs="Times New Roman"/>
          <w:sz w:val="24"/>
          <w:szCs w:val="24"/>
        </w:rPr>
        <w:t>pplication</w:t>
      </w:r>
      <w:r w:rsidR="00D86D1A" w:rsidRPr="00D86D1A">
        <w:rPr>
          <w:rFonts w:ascii="Times New Roman" w:hAnsi="Times New Roman" w:cs="Times New Roman"/>
          <w:sz w:val="24"/>
          <w:szCs w:val="24"/>
        </w:rPr>
        <w:t xml:space="preserve"> of strict liability is </w:t>
      </w:r>
      <w:r w:rsidR="003453A0">
        <w:rPr>
          <w:rFonts w:ascii="Times New Roman" w:hAnsi="Times New Roman" w:cs="Times New Roman"/>
          <w:sz w:val="24"/>
          <w:szCs w:val="24"/>
        </w:rPr>
        <w:t xml:space="preserve">therefore </w:t>
      </w:r>
      <w:r w:rsidR="00D86D1A" w:rsidRPr="00D86D1A">
        <w:rPr>
          <w:rFonts w:ascii="Times New Roman" w:hAnsi="Times New Roman" w:cs="Times New Roman"/>
          <w:sz w:val="24"/>
          <w:szCs w:val="24"/>
        </w:rPr>
        <w:t xml:space="preserve">necessary to ensure that the </w:t>
      </w:r>
      <w:r w:rsidR="00F005C1">
        <w:rPr>
          <w:rFonts w:ascii="Times New Roman" w:hAnsi="Times New Roman" w:cs="Times New Roman"/>
          <w:sz w:val="24"/>
          <w:szCs w:val="24"/>
        </w:rPr>
        <w:t>R</w:t>
      </w:r>
      <w:r w:rsidR="00D86D1A" w:rsidRPr="00D86D1A">
        <w:rPr>
          <w:rFonts w:ascii="Times New Roman" w:hAnsi="Times New Roman" w:cs="Times New Roman"/>
          <w:sz w:val="24"/>
          <w:szCs w:val="24"/>
        </w:rPr>
        <w:t xml:space="preserve">egulations can be enforced more effectively and thereby improve compliance with the regulatory regime. This is consistent with the principles outlined in </w:t>
      </w:r>
      <w:hyperlink r:id="rId17" w:history="1">
        <w:r w:rsidR="008D52C8" w:rsidRPr="00420D8A">
          <w:rPr>
            <w:rStyle w:val="Hyperlink"/>
            <w:rFonts w:ascii="Times New Roman" w:hAnsi="Times New Roman" w:cs="Times New Roman"/>
            <w:i/>
            <w:iCs/>
            <w:color w:val="2E74B5" w:themeColor="accent1" w:themeShade="BF"/>
            <w:sz w:val="23"/>
            <w:szCs w:val="23"/>
          </w:rPr>
          <w:t>A Guide to Framing Commonwealth Offences, Infringement Notices and Enforcement Powers</w:t>
        </w:r>
      </w:hyperlink>
      <w:r w:rsidR="008D52C8" w:rsidRPr="009651CC">
        <w:rPr>
          <w:i/>
          <w:iCs/>
          <w:sz w:val="23"/>
          <w:szCs w:val="23"/>
        </w:rPr>
        <w:t>,</w:t>
      </w:r>
      <w:r w:rsidR="008D52C8" w:rsidRPr="009651CC">
        <w:rPr>
          <w:sz w:val="23"/>
          <w:szCs w:val="23"/>
        </w:rPr>
        <w:t xml:space="preserve"> </w:t>
      </w:r>
      <w:r w:rsidR="00D86D1A" w:rsidRPr="00D86D1A">
        <w:rPr>
          <w:rFonts w:ascii="Times New Roman" w:hAnsi="Times New Roman" w:cs="Times New Roman"/>
          <w:sz w:val="24"/>
          <w:szCs w:val="24"/>
        </w:rPr>
        <w:t>September 2011</w:t>
      </w:r>
      <w:r w:rsidR="000C4A3C">
        <w:rPr>
          <w:rFonts w:ascii="Times New Roman" w:hAnsi="Times New Roman" w:cs="Times New Roman"/>
          <w:sz w:val="24"/>
          <w:szCs w:val="24"/>
        </w:rPr>
        <w:t xml:space="preserve"> (the Guide),</w:t>
      </w:r>
      <w:r w:rsidR="00D86D1A" w:rsidRPr="00D86D1A">
        <w:rPr>
          <w:rFonts w:ascii="Times New Roman" w:hAnsi="Times New Roman" w:cs="Times New Roman"/>
          <w:sz w:val="24"/>
          <w:szCs w:val="24"/>
        </w:rPr>
        <w:t xml:space="preserve"> includ</w:t>
      </w:r>
      <w:r w:rsidR="008D52C8">
        <w:rPr>
          <w:rFonts w:ascii="Times New Roman" w:hAnsi="Times New Roman" w:cs="Times New Roman"/>
          <w:sz w:val="24"/>
          <w:szCs w:val="24"/>
        </w:rPr>
        <w:t>ing</w:t>
      </w:r>
      <w:r w:rsidR="004A3853">
        <w:rPr>
          <w:rFonts w:ascii="Times New Roman" w:hAnsi="Times New Roman" w:cs="Times New Roman"/>
          <w:sz w:val="24"/>
          <w:szCs w:val="24"/>
        </w:rPr>
        <w:t xml:space="preserve"> the principle</w:t>
      </w:r>
      <w:r w:rsidR="00D86D1A" w:rsidRPr="00D86D1A">
        <w:rPr>
          <w:rFonts w:ascii="Times New Roman" w:hAnsi="Times New Roman" w:cs="Times New Roman"/>
          <w:sz w:val="24"/>
          <w:szCs w:val="24"/>
        </w:rPr>
        <w:t xml:space="preserve"> that the punishment of offences not involving fault may be appropriate where it is likely to significantly enhance the effectiveness of the enforcement regime in deterring certain conduct.</w:t>
      </w:r>
    </w:p>
    <w:p w14:paraId="5CED1A4A" w14:textId="55C83972" w:rsidR="003453A0" w:rsidRDefault="003453A0" w:rsidP="00D86D1A">
      <w:pPr>
        <w:spacing w:before="120" w:after="120"/>
        <w:rPr>
          <w:rFonts w:ascii="Times New Roman" w:hAnsi="Times New Roman" w:cs="Times New Roman"/>
          <w:sz w:val="24"/>
          <w:szCs w:val="24"/>
        </w:rPr>
      </w:pPr>
      <w:r>
        <w:rPr>
          <w:rFonts w:ascii="Times New Roman" w:hAnsi="Times New Roman" w:cs="Times New Roman"/>
          <w:sz w:val="24"/>
          <w:szCs w:val="24"/>
        </w:rPr>
        <w:t xml:space="preserve">A GHG injection licensee would be </w:t>
      </w:r>
      <w:proofErr w:type="gramStart"/>
      <w:r>
        <w:rPr>
          <w:rFonts w:ascii="Times New Roman" w:hAnsi="Times New Roman" w:cs="Times New Roman"/>
          <w:sz w:val="24"/>
          <w:szCs w:val="24"/>
        </w:rPr>
        <w:t>well aware</w:t>
      </w:r>
      <w:proofErr w:type="gramEnd"/>
      <w:r>
        <w:rPr>
          <w:rFonts w:ascii="Times New Roman" w:hAnsi="Times New Roman" w:cs="Times New Roman"/>
          <w:sz w:val="24"/>
          <w:szCs w:val="24"/>
        </w:rPr>
        <w:t xml:space="preserve"> of their obligations under the Regulations. A</w:t>
      </w:r>
      <w:r w:rsidR="00242602">
        <w:rPr>
          <w:rFonts w:ascii="Times New Roman" w:hAnsi="Times New Roman" w:cs="Times New Roman"/>
          <w:sz w:val="24"/>
          <w:szCs w:val="24"/>
        </w:rPr>
        <w:t> </w:t>
      </w:r>
      <w:r>
        <w:rPr>
          <w:rFonts w:ascii="Times New Roman" w:hAnsi="Times New Roman" w:cs="Times New Roman"/>
          <w:sz w:val="24"/>
          <w:szCs w:val="24"/>
        </w:rPr>
        <w:t xml:space="preserve">licensee would also be aware that a licence is granted on the understanding that licensees will take all reasonable steps to ensure that regulatory obligations are complied with, </w:t>
      </w:r>
      <w:r w:rsidR="000C4A3C">
        <w:rPr>
          <w:rFonts w:ascii="Times New Roman" w:hAnsi="Times New Roman" w:cs="Times New Roman"/>
          <w:sz w:val="24"/>
          <w:szCs w:val="24"/>
        </w:rPr>
        <w:t xml:space="preserve">noting the high-hazard nature of operations, and that tenure over the relevant licence area is granted </w:t>
      </w:r>
      <w:r w:rsidR="000C4A3C">
        <w:rPr>
          <w:rFonts w:ascii="Times New Roman" w:hAnsi="Times New Roman" w:cs="Times New Roman"/>
          <w:sz w:val="24"/>
          <w:szCs w:val="24"/>
        </w:rPr>
        <w:lastRenderedPageBreak/>
        <w:t>to the licensee based on factors such as their capacity to undertake safe and sustainable operations.</w:t>
      </w:r>
    </w:p>
    <w:p w14:paraId="449F7731" w14:textId="77777777" w:rsidR="009D72D4" w:rsidRDefault="007E1A04" w:rsidP="00D86D1A">
      <w:pPr>
        <w:spacing w:before="120" w:after="120"/>
        <w:rPr>
          <w:rFonts w:ascii="Times New Roman" w:hAnsi="Times New Roman" w:cs="Times New Roman"/>
          <w:sz w:val="24"/>
          <w:szCs w:val="24"/>
        </w:rPr>
      </w:pPr>
      <w:r w:rsidRPr="007E1A04">
        <w:rPr>
          <w:rFonts w:ascii="Times New Roman" w:hAnsi="Times New Roman" w:cs="Times New Roman"/>
          <w:sz w:val="24"/>
          <w:szCs w:val="24"/>
        </w:rPr>
        <w:t>The penalt</w:t>
      </w:r>
      <w:r w:rsidR="004A3853">
        <w:rPr>
          <w:rFonts w:ascii="Times New Roman" w:hAnsi="Times New Roman" w:cs="Times New Roman"/>
          <w:sz w:val="24"/>
          <w:szCs w:val="24"/>
        </w:rPr>
        <w:t>y</w:t>
      </w:r>
      <w:r w:rsidRPr="007E1A04">
        <w:rPr>
          <w:rFonts w:ascii="Times New Roman" w:hAnsi="Times New Roman" w:cs="Times New Roman"/>
          <w:sz w:val="24"/>
          <w:szCs w:val="24"/>
        </w:rPr>
        <w:t xml:space="preserve"> imposed for failure to comply with </w:t>
      </w:r>
      <w:r w:rsidR="004A3853">
        <w:rPr>
          <w:rFonts w:ascii="Times New Roman" w:hAnsi="Times New Roman" w:cs="Times New Roman"/>
          <w:sz w:val="24"/>
          <w:szCs w:val="24"/>
        </w:rPr>
        <w:t>several</w:t>
      </w:r>
      <w:r w:rsidRPr="007E1A04">
        <w:rPr>
          <w:rFonts w:ascii="Times New Roman" w:hAnsi="Times New Roman" w:cs="Times New Roman"/>
          <w:sz w:val="24"/>
          <w:szCs w:val="24"/>
        </w:rPr>
        <w:t xml:space="preserve"> of the strict liability offence</w:t>
      </w:r>
      <w:r>
        <w:rPr>
          <w:rFonts w:ascii="Times New Roman" w:hAnsi="Times New Roman" w:cs="Times New Roman"/>
          <w:sz w:val="24"/>
          <w:szCs w:val="24"/>
        </w:rPr>
        <w:t xml:space="preserve"> provisions</w:t>
      </w:r>
      <w:r w:rsidRPr="007E1A04">
        <w:rPr>
          <w:rFonts w:ascii="Times New Roman" w:hAnsi="Times New Roman" w:cs="Times New Roman"/>
          <w:sz w:val="24"/>
          <w:szCs w:val="24"/>
        </w:rPr>
        <w:t xml:space="preserve"> </w:t>
      </w:r>
      <w:r w:rsidR="004A3853">
        <w:rPr>
          <w:rFonts w:ascii="Times New Roman" w:hAnsi="Times New Roman" w:cs="Times New Roman"/>
          <w:sz w:val="24"/>
          <w:szCs w:val="24"/>
        </w:rPr>
        <w:t>is</w:t>
      </w:r>
      <w:r w:rsidRPr="007E1A04">
        <w:rPr>
          <w:rFonts w:ascii="Times New Roman" w:hAnsi="Times New Roman" w:cs="Times New Roman"/>
          <w:sz w:val="24"/>
          <w:szCs w:val="24"/>
        </w:rPr>
        <w:t xml:space="preserve"> </w:t>
      </w:r>
      <w:r w:rsidR="004A3853">
        <w:rPr>
          <w:rFonts w:ascii="Times New Roman" w:hAnsi="Times New Roman" w:cs="Times New Roman"/>
          <w:sz w:val="24"/>
          <w:szCs w:val="24"/>
        </w:rPr>
        <w:t xml:space="preserve">50 penalty units, which is </w:t>
      </w:r>
      <w:r w:rsidRPr="007E1A04">
        <w:rPr>
          <w:rFonts w:ascii="Times New Roman" w:hAnsi="Times New Roman" w:cs="Times New Roman"/>
          <w:sz w:val="24"/>
          <w:szCs w:val="24"/>
        </w:rPr>
        <w:t>consistent with the Guide</w:t>
      </w:r>
      <w:r w:rsidR="004A3853">
        <w:rPr>
          <w:rFonts w:ascii="Times New Roman" w:hAnsi="Times New Roman" w:cs="Times New Roman"/>
          <w:sz w:val="24"/>
          <w:szCs w:val="24"/>
        </w:rPr>
        <w:t>’s</w:t>
      </w:r>
      <w:r w:rsidRPr="007E1A04">
        <w:rPr>
          <w:rFonts w:ascii="Times New Roman" w:hAnsi="Times New Roman" w:cs="Times New Roman"/>
          <w:sz w:val="24"/>
          <w:szCs w:val="24"/>
        </w:rPr>
        <w:t xml:space="preserve"> preference for a maximum of 60 penalty units for offences of strict liability.</w:t>
      </w:r>
      <w:r>
        <w:rPr>
          <w:rFonts w:ascii="Times New Roman" w:hAnsi="Times New Roman" w:cs="Times New Roman"/>
          <w:sz w:val="24"/>
          <w:szCs w:val="24"/>
        </w:rPr>
        <w:t xml:space="preserve"> </w:t>
      </w:r>
    </w:p>
    <w:p w14:paraId="57BEC015" w14:textId="2A63E4CC" w:rsidR="00D86D1A" w:rsidRDefault="007E1A04" w:rsidP="00D86D1A">
      <w:pPr>
        <w:spacing w:before="120" w:after="120"/>
        <w:rPr>
          <w:rFonts w:ascii="Times New Roman" w:hAnsi="Times New Roman" w:cs="Times New Roman"/>
          <w:sz w:val="24"/>
          <w:szCs w:val="24"/>
        </w:rPr>
      </w:pPr>
      <w:r>
        <w:rPr>
          <w:rFonts w:ascii="Times New Roman" w:hAnsi="Times New Roman" w:cs="Times New Roman"/>
          <w:sz w:val="24"/>
          <w:szCs w:val="24"/>
        </w:rPr>
        <w:t>Four</w:t>
      </w:r>
      <w:r w:rsidRPr="007E1A04">
        <w:rPr>
          <w:rFonts w:ascii="Times New Roman" w:hAnsi="Times New Roman" w:cs="Times New Roman"/>
          <w:sz w:val="24"/>
          <w:szCs w:val="24"/>
        </w:rPr>
        <w:t xml:space="preserve"> of the strict liability offences </w:t>
      </w:r>
      <w:r w:rsidR="008D52C8">
        <w:rPr>
          <w:rFonts w:ascii="Times New Roman" w:hAnsi="Times New Roman" w:cs="Times New Roman"/>
          <w:sz w:val="24"/>
          <w:szCs w:val="24"/>
        </w:rPr>
        <w:t xml:space="preserve">in the Regulations </w:t>
      </w:r>
      <w:r>
        <w:rPr>
          <w:rFonts w:ascii="Times New Roman" w:hAnsi="Times New Roman" w:cs="Times New Roman"/>
          <w:sz w:val="24"/>
          <w:szCs w:val="24"/>
        </w:rPr>
        <w:t>a</w:t>
      </w:r>
      <w:r w:rsidR="009D72D4">
        <w:rPr>
          <w:rFonts w:ascii="Times New Roman" w:hAnsi="Times New Roman" w:cs="Times New Roman"/>
          <w:sz w:val="24"/>
          <w:szCs w:val="24"/>
        </w:rPr>
        <w:t>pply</w:t>
      </w:r>
      <w:r w:rsidRPr="007E1A04">
        <w:rPr>
          <w:rFonts w:ascii="Times New Roman" w:hAnsi="Times New Roman" w:cs="Times New Roman"/>
          <w:sz w:val="24"/>
          <w:szCs w:val="24"/>
        </w:rPr>
        <w:t xml:space="preserve"> a penalty of </w:t>
      </w:r>
      <w:r>
        <w:rPr>
          <w:rFonts w:ascii="Times New Roman" w:hAnsi="Times New Roman" w:cs="Times New Roman"/>
          <w:sz w:val="24"/>
          <w:szCs w:val="24"/>
        </w:rPr>
        <w:t>100</w:t>
      </w:r>
      <w:r w:rsidRPr="007E1A04">
        <w:rPr>
          <w:rFonts w:ascii="Times New Roman" w:hAnsi="Times New Roman" w:cs="Times New Roman"/>
          <w:sz w:val="24"/>
          <w:szCs w:val="24"/>
        </w:rPr>
        <w:t xml:space="preserve"> penalty units (</w:t>
      </w:r>
      <w:r>
        <w:rPr>
          <w:rFonts w:ascii="Times New Roman" w:hAnsi="Times New Roman" w:cs="Times New Roman"/>
          <w:sz w:val="24"/>
          <w:szCs w:val="24"/>
        </w:rPr>
        <w:t>sub</w:t>
      </w:r>
      <w:r w:rsidRPr="007E1A04">
        <w:rPr>
          <w:rFonts w:ascii="Times New Roman" w:hAnsi="Times New Roman" w:cs="Times New Roman"/>
          <w:sz w:val="24"/>
          <w:szCs w:val="24"/>
        </w:rPr>
        <w:t xml:space="preserve">sections </w:t>
      </w:r>
      <w:r>
        <w:rPr>
          <w:rFonts w:ascii="Times New Roman" w:hAnsi="Times New Roman" w:cs="Times New Roman"/>
          <w:sz w:val="24"/>
          <w:szCs w:val="24"/>
        </w:rPr>
        <w:t xml:space="preserve">22(3), 37(5), 40(4) and 51(3)). </w:t>
      </w:r>
      <w:r w:rsidR="008D52C8">
        <w:rPr>
          <w:rFonts w:ascii="Times New Roman" w:hAnsi="Times New Roman" w:cs="Times New Roman"/>
          <w:sz w:val="24"/>
          <w:szCs w:val="24"/>
        </w:rPr>
        <w:t>The imposition of a penalty of up to 100</w:t>
      </w:r>
      <w:r w:rsidR="00CA6CD5">
        <w:rPr>
          <w:rFonts w:ascii="Times New Roman" w:hAnsi="Times New Roman" w:cs="Times New Roman"/>
          <w:sz w:val="24"/>
          <w:szCs w:val="24"/>
        </w:rPr>
        <w:t> </w:t>
      </w:r>
      <w:r w:rsidR="008D52C8">
        <w:rPr>
          <w:rFonts w:ascii="Times New Roman" w:hAnsi="Times New Roman" w:cs="Times New Roman"/>
          <w:sz w:val="24"/>
          <w:szCs w:val="24"/>
        </w:rPr>
        <w:t>p</w:t>
      </w:r>
      <w:r w:rsidR="009D72D4">
        <w:rPr>
          <w:rFonts w:ascii="Times New Roman" w:hAnsi="Times New Roman" w:cs="Times New Roman"/>
          <w:sz w:val="24"/>
          <w:szCs w:val="24"/>
        </w:rPr>
        <w:t>enalty</w:t>
      </w:r>
      <w:r w:rsidR="00CA6CD5">
        <w:rPr>
          <w:rFonts w:ascii="Times New Roman" w:hAnsi="Times New Roman" w:cs="Times New Roman"/>
          <w:sz w:val="24"/>
          <w:szCs w:val="24"/>
        </w:rPr>
        <w:t> </w:t>
      </w:r>
      <w:r w:rsidR="008D52C8">
        <w:rPr>
          <w:rFonts w:ascii="Times New Roman" w:hAnsi="Times New Roman" w:cs="Times New Roman"/>
          <w:sz w:val="24"/>
          <w:szCs w:val="24"/>
        </w:rPr>
        <w:t>u</w:t>
      </w:r>
      <w:r w:rsidR="009D72D4">
        <w:rPr>
          <w:rFonts w:ascii="Times New Roman" w:hAnsi="Times New Roman" w:cs="Times New Roman"/>
          <w:sz w:val="24"/>
          <w:szCs w:val="24"/>
        </w:rPr>
        <w:t>nits</w:t>
      </w:r>
      <w:r w:rsidR="008D52C8">
        <w:rPr>
          <w:rFonts w:ascii="Times New Roman" w:hAnsi="Times New Roman" w:cs="Times New Roman"/>
          <w:sz w:val="24"/>
          <w:szCs w:val="24"/>
        </w:rPr>
        <w:t xml:space="preserve"> for a</w:t>
      </w:r>
      <w:r w:rsidR="006B3AEA">
        <w:rPr>
          <w:rFonts w:ascii="Times New Roman" w:hAnsi="Times New Roman" w:cs="Times New Roman"/>
          <w:sz w:val="24"/>
          <w:szCs w:val="24"/>
        </w:rPr>
        <w:t xml:space="preserve">n offence against the </w:t>
      </w:r>
      <w:r w:rsidR="00F005C1">
        <w:rPr>
          <w:rFonts w:ascii="Times New Roman" w:hAnsi="Times New Roman" w:cs="Times New Roman"/>
          <w:sz w:val="24"/>
          <w:szCs w:val="24"/>
        </w:rPr>
        <w:t>R</w:t>
      </w:r>
      <w:r w:rsidR="008D52C8">
        <w:rPr>
          <w:rFonts w:ascii="Times New Roman" w:hAnsi="Times New Roman" w:cs="Times New Roman"/>
          <w:sz w:val="24"/>
          <w:szCs w:val="24"/>
        </w:rPr>
        <w:t>egulations is authorised by section 790</w:t>
      </w:r>
      <w:r w:rsidR="006B3AEA">
        <w:rPr>
          <w:rFonts w:ascii="Times New Roman" w:hAnsi="Times New Roman" w:cs="Times New Roman"/>
          <w:sz w:val="24"/>
          <w:szCs w:val="24"/>
        </w:rPr>
        <w:t xml:space="preserve"> of the OPGGS Act. </w:t>
      </w:r>
      <w:r w:rsidRPr="007E1A04">
        <w:rPr>
          <w:rFonts w:ascii="Times New Roman" w:hAnsi="Times New Roman" w:cs="Times New Roman"/>
          <w:sz w:val="24"/>
          <w:szCs w:val="24"/>
        </w:rPr>
        <w:t>It is appropriate to apply this penalty</w:t>
      </w:r>
      <w:r w:rsidR="00734D04">
        <w:rPr>
          <w:rFonts w:ascii="Times New Roman" w:hAnsi="Times New Roman" w:cs="Times New Roman"/>
          <w:sz w:val="24"/>
          <w:szCs w:val="24"/>
        </w:rPr>
        <w:t xml:space="preserve">, noting this is higher than the preference stated in the Guide for a maximum of 60 penalty units. The penalty of 100 penalty units applies </w:t>
      </w:r>
      <w:r>
        <w:rPr>
          <w:rFonts w:ascii="Times New Roman" w:hAnsi="Times New Roman" w:cs="Times New Roman"/>
          <w:sz w:val="24"/>
          <w:szCs w:val="24"/>
        </w:rPr>
        <w:t>to the four</w:t>
      </w:r>
      <w:r w:rsidRPr="007E1A04">
        <w:rPr>
          <w:rFonts w:ascii="Times New Roman" w:hAnsi="Times New Roman" w:cs="Times New Roman"/>
          <w:sz w:val="24"/>
          <w:szCs w:val="24"/>
        </w:rPr>
        <w:t xml:space="preserve"> most serious offences within the Regulations</w:t>
      </w:r>
      <w:r w:rsidR="00734D04">
        <w:rPr>
          <w:rFonts w:ascii="Times New Roman" w:hAnsi="Times New Roman" w:cs="Times New Roman"/>
          <w:sz w:val="24"/>
          <w:szCs w:val="24"/>
        </w:rPr>
        <w:t>.</w:t>
      </w:r>
      <w:r>
        <w:rPr>
          <w:rFonts w:ascii="Times New Roman" w:hAnsi="Times New Roman" w:cs="Times New Roman"/>
          <w:sz w:val="24"/>
          <w:szCs w:val="24"/>
        </w:rPr>
        <w:t xml:space="preserve"> </w:t>
      </w:r>
      <w:r w:rsidR="00734D04">
        <w:rPr>
          <w:rFonts w:ascii="Times New Roman" w:hAnsi="Times New Roman" w:cs="Times New Roman"/>
          <w:sz w:val="24"/>
          <w:szCs w:val="24"/>
        </w:rPr>
        <w:t xml:space="preserve">The potential for serious consequences resulting from a breach of these provisions justifies the application of a higher penalty. </w:t>
      </w:r>
      <w:r w:rsidRPr="007E1A04">
        <w:rPr>
          <w:rFonts w:ascii="Times New Roman" w:hAnsi="Times New Roman" w:cs="Times New Roman"/>
          <w:sz w:val="24"/>
          <w:szCs w:val="24"/>
        </w:rPr>
        <w:t>In addition, offshore resources activities, as a matter of course, require a very high level of expenditure</w:t>
      </w:r>
      <w:r w:rsidR="007D280A">
        <w:rPr>
          <w:rFonts w:ascii="Times New Roman" w:hAnsi="Times New Roman" w:cs="Times New Roman"/>
          <w:sz w:val="24"/>
          <w:szCs w:val="24"/>
        </w:rPr>
        <w:t xml:space="preserve"> and therefore GHG injection licensees are well-resourced, sophisticated entities</w:t>
      </w:r>
      <w:r w:rsidRPr="007E1A04">
        <w:rPr>
          <w:rFonts w:ascii="Times New Roman" w:hAnsi="Times New Roman" w:cs="Times New Roman"/>
          <w:sz w:val="24"/>
          <w:szCs w:val="24"/>
        </w:rPr>
        <w:t xml:space="preserve">. </w:t>
      </w:r>
      <w:r w:rsidR="007D280A" w:rsidRPr="007D280A">
        <w:rPr>
          <w:rFonts w:ascii="Times New Roman" w:hAnsi="Times New Roman" w:cs="Times New Roman"/>
          <w:sz w:val="24"/>
          <w:szCs w:val="24"/>
        </w:rPr>
        <w:t>In this context, a smaller penalty for a significant offence would not be sufficient to appropriately punish the offending conduct, especially considering the potential for severe risks to or impact on the environment as well as on the operations of other titleholders.</w:t>
      </w:r>
    </w:p>
    <w:p w14:paraId="5317D46E" w14:textId="5618B551" w:rsidR="005631E7" w:rsidRDefault="00534F9A" w:rsidP="00D86D1A">
      <w:pPr>
        <w:spacing w:before="120" w:after="120"/>
        <w:rPr>
          <w:rFonts w:ascii="Times New Roman" w:hAnsi="Times New Roman" w:cs="Times New Roman"/>
          <w:sz w:val="24"/>
          <w:szCs w:val="24"/>
        </w:rPr>
      </w:pPr>
      <w:r w:rsidRPr="009D72D4">
        <w:rPr>
          <w:rFonts w:ascii="Times New Roman" w:hAnsi="Times New Roman" w:cs="Times New Roman"/>
          <w:sz w:val="24"/>
          <w:szCs w:val="24"/>
        </w:rPr>
        <w:t>Offences of strict liability allow the accused person to raise a defence of honest and reasonable mistake of fact. While the burden is on the accused to raise evidence in support of the defence</w:t>
      </w:r>
      <w:r w:rsidR="009D72D4" w:rsidRPr="009D72D4">
        <w:rPr>
          <w:rFonts w:ascii="Times New Roman" w:hAnsi="Times New Roman" w:cs="Times New Roman"/>
          <w:sz w:val="24"/>
          <w:szCs w:val="24"/>
        </w:rPr>
        <w:t xml:space="preserve"> (noting that the circumstances are likely to be exclusively within the knowledge of the defendant)</w:t>
      </w:r>
      <w:r w:rsidRPr="009D72D4">
        <w:rPr>
          <w:rFonts w:ascii="Times New Roman" w:hAnsi="Times New Roman" w:cs="Times New Roman"/>
          <w:sz w:val="24"/>
          <w:szCs w:val="24"/>
        </w:rPr>
        <w:t xml:space="preserve">, the prosecution is </w:t>
      </w:r>
      <w:r w:rsidR="00AC12B7" w:rsidRPr="009D72D4">
        <w:rPr>
          <w:rFonts w:ascii="Times New Roman" w:hAnsi="Times New Roman" w:cs="Times New Roman"/>
          <w:sz w:val="24"/>
          <w:szCs w:val="24"/>
        </w:rPr>
        <w:t xml:space="preserve">then </w:t>
      </w:r>
      <w:r w:rsidRPr="009D72D4">
        <w:rPr>
          <w:rFonts w:ascii="Times New Roman" w:hAnsi="Times New Roman" w:cs="Times New Roman"/>
          <w:sz w:val="24"/>
          <w:szCs w:val="24"/>
        </w:rPr>
        <w:t xml:space="preserve">required to persuade the court that there was no mistake or that the mistake was unreasonable. This is in keeping with the </w:t>
      </w:r>
      <w:r w:rsidR="00AC12B7" w:rsidRPr="009D72D4">
        <w:rPr>
          <w:rFonts w:ascii="Times New Roman" w:hAnsi="Times New Roman" w:cs="Times New Roman"/>
          <w:sz w:val="24"/>
          <w:szCs w:val="24"/>
        </w:rPr>
        <w:t xml:space="preserve">fundamental </w:t>
      </w:r>
      <w:r w:rsidRPr="009D72D4">
        <w:rPr>
          <w:rFonts w:ascii="Times New Roman" w:hAnsi="Times New Roman" w:cs="Times New Roman"/>
          <w:sz w:val="24"/>
          <w:szCs w:val="24"/>
        </w:rPr>
        <w:t>principle that a person is innocent until guilt is proved beyond reasonable doubt.</w:t>
      </w:r>
      <w:r>
        <w:rPr>
          <w:rFonts w:ascii="Times New Roman" w:hAnsi="Times New Roman" w:cs="Times New Roman"/>
          <w:sz w:val="24"/>
          <w:szCs w:val="24"/>
        </w:rPr>
        <w:t xml:space="preserve"> </w:t>
      </w:r>
    </w:p>
    <w:p w14:paraId="289E830D" w14:textId="6155DA94" w:rsidR="009D72D4" w:rsidRPr="00CC478E" w:rsidRDefault="009D72D4" w:rsidP="009D72D4">
      <w:pPr>
        <w:spacing w:before="120" w:after="120"/>
        <w:rPr>
          <w:rFonts w:ascii="Times New Roman" w:hAnsi="Times New Roman" w:cs="Times New Roman"/>
          <w:sz w:val="24"/>
          <w:szCs w:val="24"/>
        </w:rPr>
      </w:pPr>
      <w:r>
        <w:rPr>
          <w:rFonts w:ascii="Times New Roman" w:hAnsi="Times New Roman" w:cs="Times New Roman"/>
          <w:sz w:val="24"/>
          <w:szCs w:val="24"/>
        </w:rPr>
        <w:t>T</w:t>
      </w:r>
      <w:r w:rsidRPr="00CC478E">
        <w:rPr>
          <w:rFonts w:ascii="Times New Roman" w:hAnsi="Times New Roman" w:cs="Times New Roman"/>
          <w:sz w:val="24"/>
          <w:szCs w:val="24"/>
        </w:rPr>
        <w:t xml:space="preserve">he presumption of innocence </w:t>
      </w:r>
      <w:r>
        <w:rPr>
          <w:rFonts w:ascii="Times New Roman" w:hAnsi="Times New Roman" w:cs="Times New Roman"/>
          <w:sz w:val="24"/>
          <w:szCs w:val="24"/>
        </w:rPr>
        <w:t>i</w:t>
      </w:r>
      <w:r w:rsidRPr="00CC478E">
        <w:rPr>
          <w:rFonts w:ascii="Times New Roman" w:hAnsi="Times New Roman" w:cs="Times New Roman"/>
          <w:sz w:val="24"/>
          <w:szCs w:val="24"/>
        </w:rPr>
        <w:t xml:space="preserve">s afforded to </w:t>
      </w:r>
      <w:r w:rsidRPr="00CC478E">
        <w:rPr>
          <w:rFonts w:ascii="Times New Roman" w:hAnsi="Times New Roman" w:cs="Times New Roman"/>
          <w:i/>
          <w:iCs/>
          <w:sz w:val="24"/>
          <w:szCs w:val="24"/>
        </w:rPr>
        <w:t>individuals</w:t>
      </w:r>
      <w:r w:rsidRPr="00CC478E">
        <w:rPr>
          <w:rFonts w:ascii="Times New Roman" w:hAnsi="Times New Roman" w:cs="Times New Roman"/>
          <w:sz w:val="24"/>
          <w:szCs w:val="24"/>
        </w:rPr>
        <w:t xml:space="preserve">, </w:t>
      </w:r>
      <w:r>
        <w:rPr>
          <w:rFonts w:ascii="Times New Roman" w:hAnsi="Times New Roman" w:cs="Times New Roman"/>
          <w:sz w:val="24"/>
          <w:szCs w:val="24"/>
        </w:rPr>
        <w:t>whereas</w:t>
      </w:r>
      <w:r w:rsidRPr="00CC478E">
        <w:rPr>
          <w:rFonts w:ascii="Times New Roman" w:hAnsi="Times New Roman" w:cs="Times New Roman"/>
          <w:sz w:val="24"/>
          <w:szCs w:val="24"/>
        </w:rPr>
        <w:t xml:space="preserve"> in the offshore regulatory regime investigations and prosecutions are conducted largely, if not solely, in relation to co</w:t>
      </w:r>
      <w:r>
        <w:rPr>
          <w:rFonts w:ascii="Times New Roman" w:hAnsi="Times New Roman" w:cs="Times New Roman"/>
          <w:sz w:val="24"/>
          <w:szCs w:val="24"/>
        </w:rPr>
        <w:t>rporations</w:t>
      </w:r>
      <w:r w:rsidRPr="00CC478E">
        <w:rPr>
          <w:rFonts w:ascii="Times New Roman" w:hAnsi="Times New Roman" w:cs="Times New Roman"/>
          <w:sz w:val="24"/>
          <w:szCs w:val="24"/>
        </w:rPr>
        <w:t>. Prosecutions to date have only been in relation to co</w:t>
      </w:r>
      <w:r>
        <w:rPr>
          <w:rFonts w:ascii="Times New Roman" w:hAnsi="Times New Roman" w:cs="Times New Roman"/>
          <w:sz w:val="24"/>
          <w:szCs w:val="24"/>
        </w:rPr>
        <w:t>rporations</w:t>
      </w:r>
      <w:r w:rsidRPr="00CC478E">
        <w:rPr>
          <w:rFonts w:ascii="Times New Roman" w:hAnsi="Times New Roman" w:cs="Times New Roman"/>
          <w:sz w:val="24"/>
          <w:szCs w:val="24"/>
        </w:rPr>
        <w:t>, and it is not anticipated that this regulatory approach would change in the future given the nature of the industry and the requirements imposed.</w:t>
      </w:r>
    </w:p>
    <w:p w14:paraId="4FFDF6D4" w14:textId="5230BDFB" w:rsidR="00AC12B7" w:rsidRDefault="00312166" w:rsidP="00AC12B7">
      <w:pPr>
        <w:spacing w:before="120" w:after="120"/>
        <w:rPr>
          <w:rFonts w:ascii="Times New Roman" w:hAnsi="Times New Roman" w:cs="Times New Roman"/>
          <w:sz w:val="24"/>
          <w:szCs w:val="24"/>
        </w:rPr>
      </w:pPr>
      <w:r>
        <w:rPr>
          <w:rFonts w:ascii="Times New Roman" w:hAnsi="Times New Roman" w:cs="Times New Roman"/>
          <w:sz w:val="24"/>
          <w:szCs w:val="24"/>
        </w:rPr>
        <w:t>T</w:t>
      </w:r>
      <w:r w:rsidR="00AC12B7">
        <w:rPr>
          <w:rFonts w:ascii="Times New Roman" w:hAnsi="Times New Roman" w:cs="Times New Roman"/>
          <w:sz w:val="24"/>
          <w:szCs w:val="24"/>
        </w:rPr>
        <w:t xml:space="preserve">he inclusion of strict liability offences in the Regulations is aimed at the legitimate objective of </w:t>
      </w:r>
      <w:r w:rsidR="00AC12B7" w:rsidRPr="00D86D1A">
        <w:rPr>
          <w:rFonts w:ascii="Times New Roman" w:hAnsi="Times New Roman" w:cs="Times New Roman"/>
          <w:sz w:val="24"/>
          <w:szCs w:val="24"/>
        </w:rPr>
        <w:t xml:space="preserve">deterring </w:t>
      </w:r>
      <w:r w:rsidR="00AC12B7">
        <w:rPr>
          <w:rFonts w:ascii="Times New Roman" w:hAnsi="Times New Roman" w:cs="Times New Roman"/>
          <w:sz w:val="24"/>
          <w:szCs w:val="24"/>
        </w:rPr>
        <w:t>mis</w:t>
      </w:r>
      <w:r w:rsidR="00AC12B7" w:rsidRPr="00D86D1A">
        <w:rPr>
          <w:rFonts w:ascii="Times New Roman" w:hAnsi="Times New Roman" w:cs="Times New Roman"/>
          <w:sz w:val="24"/>
          <w:szCs w:val="24"/>
        </w:rPr>
        <w:t>conduct</w:t>
      </w:r>
      <w:r w:rsidR="00AC12B7">
        <w:rPr>
          <w:rFonts w:ascii="Times New Roman" w:hAnsi="Times New Roman" w:cs="Times New Roman"/>
          <w:sz w:val="24"/>
          <w:szCs w:val="24"/>
        </w:rPr>
        <w:t xml:space="preserve"> and</w:t>
      </w:r>
      <w:r w:rsidR="00AC12B7" w:rsidRPr="00D86D1A">
        <w:rPr>
          <w:rFonts w:ascii="Times New Roman" w:hAnsi="Times New Roman" w:cs="Times New Roman"/>
          <w:sz w:val="24"/>
          <w:szCs w:val="24"/>
        </w:rPr>
        <w:t xml:space="preserve"> reduc</w:t>
      </w:r>
      <w:r w:rsidR="00AC12B7">
        <w:rPr>
          <w:rFonts w:ascii="Times New Roman" w:hAnsi="Times New Roman" w:cs="Times New Roman"/>
          <w:sz w:val="24"/>
          <w:szCs w:val="24"/>
        </w:rPr>
        <w:t>ing</w:t>
      </w:r>
      <w:r w:rsidR="00AC12B7" w:rsidRPr="00D86D1A">
        <w:rPr>
          <w:rFonts w:ascii="Times New Roman" w:hAnsi="Times New Roman" w:cs="Times New Roman"/>
          <w:sz w:val="24"/>
          <w:szCs w:val="24"/>
        </w:rPr>
        <w:t xml:space="preserve"> the likelihood of non-compliance</w:t>
      </w:r>
      <w:r w:rsidR="00AC12B7">
        <w:rPr>
          <w:rFonts w:ascii="Times New Roman" w:hAnsi="Times New Roman" w:cs="Times New Roman"/>
          <w:sz w:val="24"/>
          <w:szCs w:val="24"/>
        </w:rPr>
        <w:t xml:space="preserve"> with licensee obligations that </w:t>
      </w:r>
      <w:r w:rsidR="005509F7">
        <w:rPr>
          <w:rFonts w:ascii="Times New Roman" w:hAnsi="Times New Roman" w:cs="Times New Roman"/>
          <w:sz w:val="24"/>
          <w:szCs w:val="24"/>
        </w:rPr>
        <w:t>have been put in place</w:t>
      </w:r>
      <w:r w:rsidR="00AC12B7">
        <w:rPr>
          <w:rFonts w:ascii="Times New Roman" w:hAnsi="Times New Roman" w:cs="Times New Roman"/>
          <w:sz w:val="24"/>
          <w:szCs w:val="24"/>
        </w:rPr>
        <w:t xml:space="preserve"> to eliminate or </w:t>
      </w:r>
      <w:r w:rsidR="005509F7">
        <w:rPr>
          <w:rFonts w:ascii="Times New Roman" w:hAnsi="Times New Roman" w:cs="Times New Roman"/>
          <w:sz w:val="24"/>
          <w:szCs w:val="24"/>
        </w:rPr>
        <w:t xml:space="preserve">reduce </w:t>
      </w:r>
      <w:r w:rsidR="00AC12B7">
        <w:rPr>
          <w:rFonts w:ascii="Times New Roman" w:hAnsi="Times New Roman" w:cs="Times New Roman"/>
          <w:sz w:val="24"/>
          <w:szCs w:val="24"/>
        </w:rPr>
        <w:t xml:space="preserve">the risk of serious adverse consequences to the environment and the operations of other titleholders. The </w:t>
      </w:r>
      <w:r w:rsidR="005509F7">
        <w:rPr>
          <w:rFonts w:ascii="Times New Roman" w:hAnsi="Times New Roman" w:cs="Times New Roman"/>
          <w:sz w:val="24"/>
          <w:szCs w:val="24"/>
        </w:rPr>
        <w:t xml:space="preserve">strict liability </w:t>
      </w:r>
      <w:r w:rsidR="00AC12B7">
        <w:rPr>
          <w:rFonts w:ascii="Times New Roman" w:hAnsi="Times New Roman" w:cs="Times New Roman"/>
          <w:sz w:val="24"/>
          <w:szCs w:val="24"/>
        </w:rPr>
        <w:t>offences are reasonable, necessary and proportionate to that objective.</w:t>
      </w:r>
    </w:p>
    <w:p w14:paraId="16BC2811" w14:textId="4135DEEE" w:rsidR="006021FB" w:rsidRPr="00F358DC" w:rsidRDefault="006021FB" w:rsidP="006021FB">
      <w:pPr>
        <w:spacing w:before="240" w:after="240" w:line="240" w:lineRule="auto"/>
        <w:rPr>
          <w:rFonts w:ascii="Times New Roman" w:hAnsi="Times New Roman" w:cs="Times New Roman"/>
          <w:b/>
          <w:i/>
          <w:iCs/>
          <w:sz w:val="24"/>
          <w:szCs w:val="24"/>
        </w:rPr>
      </w:pPr>
      <w:r w:rsidRPr="00F358DC">
        <w:rPr>
          <w:rFonts w:ascii="Times New Roman" w:hAnsi="Times New Roman" w:cs="Times New Roman"/>
          <w:b/>
          <w:i/>
          <w:iCs/>
          <w:sz w:val="24"/>
          <w:szCs w:val="24"/>
        </w:rPr>
        <w:t>Right to pr</w:t>
      </w:r>
      <w:r>
        <w:rPr>
          <w:rFonts w:ascii="Times New Roman" w:hAnsi="Times New Roman" w:cs="Times New Roman"/>
          <w:b/>
          <w:i/>
          <w:iCs/>
          <w:sz w:val="24"/>
          <w:szCs w:val="24"/>
        </w:rPr>
        <w:t>ivacy and reputation</w:t>
      </w:r>
      <w:r w:rsidRPr="00F358DC">
        <w:rPr>
          <w:rFonts w:ascii="Times New Roman" w:hAnsi="Times New Roman" w:cs="Times New Roman"/>
          <w:b/>
          <w:i/>
          <w:iCs/>
          <w:sz w:val="24"/>
          <w:szCs w:val="24"/>
        </w:rPr>
        <w:t xml:space="preserve"> (Article 1</w:t>
      </w:r>
      <w:r>
        <w:rPr>
          <w:rFonts w:ascii="Times New Roman" w:hAnsi="Times New Roman" w:cs="Times New Roman"/>
          <w:b/>
          <w:i/>
          <w:iCs/>
          <w:sz w:val="24"/>
          <w:szCs w:val="24"/>
        </w:rPr>
        <w:t>7</w:t>
      </w:r>
      <w:r w:rsidRPr="00F358DC">
        <w:rPr>
          <w:rFonts w:ascii="Times New Roman" w:hAnsi="Times New Roman" w:cs="Times New Roman"/>
          <w:b/>
          <w:i/>
          <w:iCs/>
          <w:sz w:val="24"/>
          <w:szCs w:val="24"/>
        </w:rPr>
        <w:t xml:space="preserve"> of the ICCP</w:t>
      </w:r>
      <w:r>
        <w:rPr>
          <w:rFonts w:ascii="Times New Roman" w:hAnsi="Times New Roman" w:cs="Times New Roman"/>
          <w:b/>
          <w:i/>
          <w:iCs/>
          <w:sz w:val="24"/>
          <w:szCs w:val="24"/>
        </w:rPr>
        <w:t>R</w:t>
      </w:r>
      <w:r w:rsidRPr="00F358DC">
        <w:rPr>
          <w:rFonts w:ascii="Times New Roman" w:hAnsi="Times New Roman" w:cs="Times New Roman"/>
          <w:b/>
          <w:i/>
          <w:iCs/>
          <w:sz w:val="24"/>
          <w:szCs w:val="24"/>
        </w:rPr>
        <w:t>)</w:t>
      </w:r>
    </w:p>
    <w:p w14:paraId="635ADB95" w14:textId="77777777" w:rsidR="006021FB" w:rsidRPr="006021FB" w:rsidRDefault="006021FB" w:rsidP="006021FB">
      <w:pPr>
        <w:spacing w:before="120" w:after="120"/>
        <w:rPr>
          <w:rFonts w:ascii="Times New Roman" w:hAnsi="Times New Roman" w:cs="Times New Roman"/>
          <w:sz w:val="24"/>
          <w:szCs w:val="24"/>
        </w:rPr>
      </w:pPr>
      <w:r w:rsidRPr="006021FB">
        <w:rPr>
          <w:rFonts w:ascii="Times New Roman" w:hAnsi="Times New Roman" w:cs="Times New Roman"/>
          <w:sz w:val="24"/>
          <w:szCs w:val="24"/>
        </w:rPr>
        <w:t xml:space="preserve">Article 17 of the ICCPR provides for the right of every person to be protected against arbitrary or unlawful interference with their privacy, family, home or correspondence, as well as unlawful attacks on their honour and reputation. It also provides that a person has the right to the protection of the law against such interference or attacks. </w:t>
      </w:r>
    </w:p>
    <w:p w14:paraId="644255F9" w14:textId="77777777" w:rsidR="0079156C" w:rsidRDefault="006021FB" w:rsidP="0038268B">
      <w:pPr>
        <w:spacing w:before="120" w:after="120"/>
        <w:rPr>
          <w:rFonts w:ascii="Times New Roman" w:hAnsi="Times New Roman" w:cs="Times New Roman"/>
          <w:sz w:val="24"/>
          <w:szCs w:val="24"/>
        </w:rPr>
      </w:pPr>
      <w:r w:rsidRPr="006021FB">
        <w:rPr>
          <w:rFonts w:ascii="Times New Roman" w:hAnsi="Times New Roman" w:cs="Times New Roman"/>
          <w:sz w:val="24"/>
          <w:szCs w:val="24"/>
        </w:rPr>
        <w:t xml:space="preserve">The right to privacy and reputation may be limited, provided that the interference with the right is authorised by law and not arbitrary. </w:t>
      </w:r>
      <w:proofErr w:type="gramStart"/>
      <w:r w:rsidRPr="006021FB">
        <w:rPr>
          <w:rFonts w:ascii="Times New Roman" w:hAnsi="Times New Roman" w:cs="Times New Roman"/>
          <w:sz w:val="24"/>
          <w:szCs w:val="24"/>
        </w:rPr>
        <w:t>In order for</w:t>
      </w:r>
      <w:proofErr w:type="gramEnd"/>
      <w:r w:rsidRPr="006021FB">
        <w:rPr>
          <w:rFonts w:ascii="Times New Roman" w:hAnsi="Times New Roman" w:cs="Times New Roman"/>
          <w:sz w:val="24"/>
          <w:szCs w:val="24"/>
        </w:rPr>
        <w:t xml:space="preserve"> limitations not to be arbitrary, they must be aimed at a legitimate objective and be reasonable, necessary and proportionate to that objective. </w:t>
      </w:r>
    </w:p>
    <w:p w14:paraId="21E8383B" w14:textId="57CE4790" w:rsidR="00001756" w:rsidRDefault="008479B1" w:rsidP="00534F9A">
      <w:pPr>
        <w:spacing w:before="120" w:after="120"/>
        <w:rPr>
          <w:rFonts w:ascii="Times New Roman" w:hAnsi="Times New Roman" w:cs="Times New Roman"/>
          <w:sz w:val="24"/>
          <w:szCs w:val="24"/>
        </w:rPr>
      </w:pPr>
      <w:r>
        <w:rPr>
          <w:rFonts w:ascii="Times New Roman" w:hAnsi="Times New Roman" w:cs="Times New Roman"/>
          <w:sz w:val="24"/>
          <w:szCs w:val="24"/>
        </w:rPr>
        <w:lastRenderedPageBreak/>
        <w:t>Section 59 of the Regulations provides if that t</w:t>
      </w:r>
      <w:r w:rsidRPr="00AE18C9">
        <w:rPr>
          <w:rFonts w:ascii="Times New Roman" w:hAnsi="Times New Roman" w:cs="Times New Roman"/>
          <w:sz w:val="24"/>
          <w:szCs w:val="24"/>
        </w:rPr>
        <w:t xml:space="preserve">he </w:t>
      </w:r>
      <w:r w:rsidR="003947B2">
        <w:rPr>
          <w:rFonts w:ascii="Times New Roman" w:hAnsi="Times New Roman" w:cs="Times New Roman"/>
          <w:sz w:val="24"/>
          <w:szCs w:val="24"/>
        </w:rPr>
        <w:t xml:space="preserve">responsible Commonwealth </w:t>
      </w:r>
      <w:r w:rsidRPr="00AE18C9">
        <w:rPr>
          <w:rFonts w:ascii="Times New Roman" w:hAnsi="Times New Roman" w:cs="Times New Roman"/>
          <w:sz w:val="24"/>
          <w:szCs w:val="24"/>
        </w:rPr>
        <w:t>Minister</w:t>
      </w:r>
      <w:r>
        <w:rPr>
          <w:rFonts w:ascii="Times New Roman" w:hAnsi="Times New Roman" w:cs="Times New Roman"/>
          <w:sz w:val="24"/>
          <w:szCs w:val="24"/>
        </w:rPr>
        <w:t xml:space="preserve"> has accepted</w:t>
      </w:r>
      <w:r w:rsidRPr="00AE18C9">
        <w:rPr>
          <w:rFonts w:ascii="Times New Roman" w:hAnsi="Times New Roman" w:cs="Times New Roman"/>
          <w:sz w:val="24"/>
          <w:szCs w:val="24"/>
        </w:rPr>
        <w:t xml:space="preserve"> an undertaking </w:t>
      </w:r>
      <w:r w:rsidR="0065288B">
        <w:rPr>
          <w:rFonts w:ascii="Times New Roman" w:hAnsi="Times New Roman" w:cs="Times New Roman"/>
          <w:sz w:val="24"/>
          <w:szCs w:val="24"/>
        </w:rPr>
        <w:t xml:space="preserve">under section </w:t>
      </w:r>
      <w:r w:rsidR="00001756">
        <w:rPr>
          <w:rFonts w:ascii="Times New Roman" w:hAnsi="Times New Roman" w:cs="Times New Roman"/>
          <w:sz w:val="24"/>
          <w:szCs w:val="24"/>
        </w:rPr>
        <w:t>1</w:t>
      </w:r>
      <w:r w:rsidR="0065288B">
        <w:rPr>
          <w:rFonts w:ascii="Times New Roman" w:hAnsi="Times New Roman" w:cs="Times New Roman"/>
          <w:sz w:val="24"/>
          <w:szCs w:val="24"/>
        </w:rPr>
        <w:t xml:space="preserve">14 of the </w:t>
      </w:r>
      <w:r w:rsidR="0065288B">
        <w:rPr>
          <w:rFonts w:ascii="Times New Roman" w:hAnsi="Times New Roman" w:cs="Times New Roman"/>
          <w:i/>
          <w:iCs/>
          <w:sz w:val="24"/>
          <w:szCs w:val="24"/>
        </w:rPr>
        <w:t>Regulatory Powers (Standard Provisions) Act 2014</w:t>
      </w:r>
      <w:r w:rsidR="0065288B">
        <w:rPr>
          <w:rFonts w:ascii="Times New Roman" w:hAnsi="Times New Roman" w:cs="Times New Roman"/>
          <w:sz w:val="24"/>
          <w:szCs w:val="24"/>
        </w:rPr>
        <w:t xml:space="preserve"> </w:t>
      </w:r>
      <w:r>
        <w:rPr>
          <w:rFonts w:ascii="Times New Roman" w:hAnsi="Times New Roman" w:cs="Times New Roman"/>
          <w:sz w:val="24"/>
          <w:szCs w:val="24"/>
        </w:rPr>
        <w:t xml:space="preserve">relating to compliance with </w:t>
      </w:r>
      <w:r w:rsidR="0065288B">
        <w:rPr>
          <w:rFonts w:ascii="Times New Roman" w:hAnsi="Times New Roman" w:cs="Times New Roman"/>
          <w:sz w:val="24"/>
          <w:szCs w:val="24"/>
        </w:rPr>
        <w:t xml:space="preserve">a </w:t>
      </w:r>
      <w:r>
        <w:rPr>
          <w:rFonts w:ascii="Times New Roman" w:hAnsi="Times New Roman" w:cs="Times New Roman"/>
          <w:sz w:val="24"/>
          <w:szCs w:val="24"/>
        </w:rPr>
        <w:t>provision</w:t>
      </w:r>
      <w:r w:rsidR="00906126">
        <w:rPr>
          <w:rFonts w:ascii="Times New Roman" w:hAnsi="Times New Roman" w:cs="Times New Roman"/>
          <w:sz w:val="24"/>
          <w:szCs w:val="24"/>
        </w:rPr>
        <w:t xml:space="preserve"> of the </w:t>
      </w:r>
      <w:r w:rsidR="0065288B">
        <w:rPr>
          <w:rFonts w:ascii="Times New Roman" w:hAnsi="Times New Roman" w:cs="Times New Roman"/>
          <w:sz w:val="24"/>
          <w:szCs w:val="24"/>
        </w:rPr>
        <w:t>R</w:t>
      </w:r>
      <w:r w:rsidR="00906126">
        <w:rPr>
          <w:rFonts w:ascii="Times New Roman" w:hAnsi="Times New Roman" w:cs="Times New Roman"/>
          <w:sz w:val="24"/>
          <w:szCs w:val="24"/>
        </w:rPr>
        <w:t>egulations</w:t>
      </w:r>
      <w:r>
        <w:rPr>
          <w:rFonts w:ascii="Times New Roman" w:hAnsi="Times New Roman" w:cs="Times New Roman"/>
          <w:sz w:val="24"/>
          <w:szCs w:val="24"/>
        </w:rPr>
        <w:t xml:space="preserve">, and </w:t>
      </w:r>
      <w:r w:rsidRPr="00AE18C9">
        <w:rPr>
          <w:rFonts w:ascii="Times New Roman" w:hAnsi="Times New Roman" w:cs="Times New Roman"/>
          <w:sz w:val="24"/>
          <w:szCs w:val="24"/>
        </w:rPr>
        <w:t>the undertaking has not been withdrawn or cancelled</w:t>
      </w:r>
      <w:r>
        <w:rPr>
          <w:rFonts w:ascii="Times New Roman" w:hAnsi="Times New Roman" w:cs="Times New Roman"/>
          <w:sz w:val="24"/>
          <w:szCs w:val="24"/>
        </w:rPr>
        <w:t xml:space="preserve">, the Minister </w:t>
      </w:r>
      <w:r w:rsidRPr="00AE18C9">
        <w:rPr>
          <w:rFonts w:ascii="Times New Roman" w:hAnsi="Times New Roman" w:cs="Times New Roman"/>
          <w:sz w:val="24"/>
          <w:szCs w:val="24"/>
        </w:rPr>
        <w:t xml:space="preserve">must publish the undertaking on the </w:t>
      </w:r>
      <w:r>
        <w:rPr>
          <w:rFonts w:ascii="Times New Roman" w:hAnsi="Times New Roman" w:cs="Times New Roman"/>
          <w:sz w:val="24"/>
          <w:szCs w:val="24"/>
        </w:rPr>
        <w:t>d</w:t>
      </w:r>
      <w:r w:rsidRPr="00AE18C9">
        <w:rPr>
          <w:rFonts w:ascii="Times New Roman" w:hAnsi="Times New Roman" w:cs="Times New Roman"/>
          <w:sz w:val="24"/>
          <w:szCs w:val="24"/>
        </w:rPr>
        <w:t>epartment’s website.</w:t>
      </w:r>
      <w:r>
        <w:rPr>
          <w:rFonts w:ascii="Times New Roman" w:hAnsi="Times New Roman" w:cs="Times New Roman"/>
          <w:sz w:val="24"/>
          <w:szCs w:val="24"/>
        </w:rPr>
        <w:t xml:space="preserve"> </w:t>
      </w:r>
      <w:r w:rsidR="0065288B">
        <w:rPr>
          <w:rFonts w:ascii="Times New Roman" w:hAnsi="Times New Roman" w:cs="Times New Roman"/>
          <w:sz w:val="24"/>
          <w:szCs w:val="24"/>
        </w:rPr>
        <w:t xml:space="preserve">This requirement is considered important in the context of ongoing work across government to increase transparency. </w:t>
      </w:r>
    </w:p>
    <w:p w14:paraId="0E3892EA" w14:textId="5A0148EA" w:rsidR="008479B1" w:rsidRDefault="00001756" w:rsidP="00534F9A">
      <w:pPr>
        <w:spacing w:before="120" w:after="120"/>
        <w:rPr>
          <w:rFonts w:ascii="Times New Roman" w:hAnsi="Times New Roman" w:cs="Times New Roman"/>
          <w:sz w:val="24"/>
          <w:szCs w:val="24"/>
        </w:rPr>
      </w:pPr>
      <w:r>
        <w:rPr>
          <w:rFonts w:ascii="Times New Roman" w:hAnsi="Times New Roman" w:cs="Times New Roman"/>
          <w:sz w:val="24"/>
          <w:szCs w:val="24"/>
        </w:rPr>
        <w:t>To ensure the right to privacy is safeguarded, s</w:t>
      </w:r>
      <w:r w:rsidR="00906126">
        <w:rPr>
          <w:rFonts w:ascii="Times New Roman" w:hAnsi="Times New Roman" w:cs="Times New Roman"/>
          <w:sz w:val="24"/>
          <w:szCs w:val="24"/>
        </w:rPr>
        <w:t xml:space="preserve">ubsection 59(2) </w:t>
      </w:r>
      <w:r>
        <w:rPr>
          <w:rFonts w:ascii="Times New Roman" w:hAnsi="Times New Roman" w:cs="Times New Roman"/>
          <w:sz w:val="24"/>
          <w:szCs w:val="24"/>
        </w:rPr>
        <w:t xml:space="preserve">of the Regulations </w:t>
      </w:r>
      <w:r w:rsidR="00906126">
        <w:rPr>
          <w:rFonts w:ascii="Times New Roman" w:hAnsi="Times New Roman" w:cs="Times New Roman"/>
          <w:sz w:val="24"/>
          <w:szCs w:val="24"/>
        </w:rPr>
        <w:t>provides that i</w:t>
      </w:r>
      <w:r w:rsidR="008479B1" w:rsidRPr="00AE18C9">
        <w:rPr>
          <w:rFonts w:ascii="Times New Roman" w:hAnsi="Times New Roman" w:cs="Times New Roman"/>
          <w:sz w:val="24"/>
          <w:szCs w:val="24"/>
        </w:rPr>
        <w:t>f an undertaking contains personal information within the meaning of the</w:t>
      </w:r>
      <w:r w:rsidR="00906126">
        <w:rPr>
          <w:rFonts w:ascii="Times New Roman" w:hAnsi="Times New Roman" w:cs="Times New Roman"/>
          <w:sz w:val="24"/>
          <w:szCs w:val="24"/>
        </w:rPr>
        <w:t xml:space="preserve"> </w:t>
      </w:r>
      <w:r w:rsidR="00906126">
        <w:rPr>
          <w:rFonts w:ascii="Times New Roman" w:hAnsi="Times New Roman" w:cs="Times New Roman"/>
          <w:i/>
          <w:iCs/>
          <w:sz w:val="24"/>
          <w:szCs w:val="24"/>
        </w:rPr>
        <w:t>Privacy Act 1988</w:t>
      </w:r>
      <w:r>
        <w:rPr>
          <w:rFonts w:ascii="Times New Roman" w:hAnsi="Times New Roman" w:cs="Times New Roman"/>
          <w:sz w:val="24"/>
          <w:szCs w:val="24"/>
        </w:rPr>
        <w:t xml:space="preserve"> (the Privacy Act)</w:t>
      </w:r>
      <w:r w:rsidR="008479B1" w:rsidRPr="00AE18C9">
        <w:rPr>
          <w:rFonts w:ascii="Times New Roman" w:hAnsi="Times New Roman" w:cs="Times New Roman"/>
          <w:sz w:val="24"/>
          <w:szCs w:val="24"/>
        </w:rPr>
        <w:t xml:space="preserve">, the </w:t>
      </w:r>
      <w:r w:rsidR="003947B2">
        <w:rPr>
          <w:rFonts w:ascii="Times New Roman" w:hAnsi="Times New Roman" w:cs="Times New Roman"/>
          <w:sz w:val="24"/>
          <w:szCs w:val="24"/>
        </w:rPr>
        <w:t xml:space="preserve">responsible Commonwealth </w:t>
      </w:r>
      <w:r w:rsidR="008479B1" w:rsidRPr="00AE18C9">
        <w:rPr>
          <w:rFonts w:ascii="Times New Roman" w:hAnsi="Times New Roman" w:cs="Times New Roman"/>
          <w:sz w:val="24"/>
          <w:szCs w:val="24"/>
        </w:rPr>
        <w:t xml:space="preserve">Minister must take steps </w:t>
      </w:r>
      <w:r w:rsidR="008479B1">
        <w:rPr>
          <w:rFonts w:ascii="Times New Roman" w:hAnsi="Times New Roman" w:cs="Times New Roman"/>
          <w:sz w:val="24"/>
          <w:szCs w:val="24"/>
        </w:rPr>
        <w:t>that</w:t>
      </w:r>
      <w:r w:rsidR="008479B1" w:rsidRPr="00AE18C9">
        <w:rPr>
          <w:rFonts w:ascii="Times New Roman" w:hAnsi="Times New Roman" w:cs="Times New Roman"/>
          <w:sz w:val="24"/>
          <w:szCs w:val="24"/>
        </w:rPr>
        <w:t xml:space="preserve"> are reasonable in the circumstances to ensure that the information is de</w:t>
      </w:r>
      <w:r w:rsidR="008479B1">
        <w:rPr>
          <w:rFonts w:ascii="Times New Roman" w:hAnsi="Times New Roman" w:cs="Times New Roman"/>
          <w:sz w:val="24"/>
          <w:szCs w:val="24"/>
        </w:rPr>
        <w:t>-</w:t>
      </w:r>
      <w:r w:rsidR="008479B1" w:rsidRPr="00AE18C9">
        <w:rPr>
          <w:rFonts w:ascii="Times New Roman" w:hAnsi="Times New Roman" w:cs="Times New Roman"/>
          <w:sz w:val="24"/>
          <w:szCs w:val="24"/>
        </w:rPr>
        <w:t>identified before</w:t>
      </w:r>
      <w:r w:rsidR="008479B1">
        <w:rPr>
          <w:rFonts w:ascii="Times New Roman" w:hAnsi="Times New Roman" w:cs="Times New Roman"/>
          <w:sz w:val="24"/>
          <w:szCs w:val="24"/>
        </w:rPr>
        <w:t xml:space="preserve"> publication. </w:t>
      </w:r>
      <w:r w:rsidR="00906126">
        <w:rPr>
          <w:rFonts w:ascii="Times New Roman" w:hAnsi="Times New Roman" w:cs="Times New Roman"/>
          <w:sz w:val="24"/>
          <w:szCs w:val="24"/>
        </w:rPr>
        <w:t>Subsection 59(3) provides that i</w:t>
      </w:r>
      <w:r w:rsidR="008479B1">
        <w:rPr>
          <w:rFonts w:ascii="Times New Roman" w:hAnsi="Times New Roman" w:cs="Times New Roman"/>
          <w:sz w:val="24"/>
          <w:szCs w:val="24"/>
        </w:rPr>
        <w:t>nformation is ‘</w:t>
      </w:r>
      <w:r w:rsidR="008479B1" w:rsidRPr="00AE18C9">
        <w:rPr>
          <w:rFonts w:ascii="Times New Roman" w:hAnsi="Times New Roman" w:cs="Times New Roman"/>
          <w:sz w:val="24"/>
          <w:szCs w:val="24"/>
        </w:rPr>
        <w:t>de</w:t>
      </w:r>
      <w:r w:rsidR="008479B1">
        <w:rPr>
          <w:rFonts w:ascii="Times New Roman" w:hAnsi="Times New Roman" w:cs="Times New Roman"/>
          <w:sz w:val="24"/>
          <w:szCs w:val="24"/>
        </w:rPr>
        <w:t>-</w:t>
      </w:r>
      <w:r w:rsidR="008479B1" w:rsidRPr="00AE18C9">
        <w:rPr>
          <w:rFonts w:ascii="Times New Roman" w:hAnsi="Times New Roman" w:cs="Times New Roman"/>
          <w:sz w:val="24"/>
          <w:szCs w:val="24"/>
        </w:rPr>
        <w:t>identified</w:t>
      </w:r>
      <w:r w:rsidR="008479B1">
        <w:rPr>
          <w:rFonts w:ascii="Times New Roman" w:hAnsi="Times New Roman" w:cs="Times New Roman"/>
          <w:sz w:val="24"/>
          <w:szCs w:val="24"/>
        </w:rPr>
        <w:t>’</w:t>
      </w:r>
      <w:r w:rsidR="008479B1" w:rsidRPr="00AE18C9">
        <w:rPr>
          <w:rFonts w:ascii="Times New Roman" w:hAnsi="Times New Roman" w:cs="Times New Roman"/>
          <w:sz w:val="24"/>
          <w:szCs w:val="24"/>
        </w:rPr>
        <w:t xml:space="preserve"> if </w:t>
      </w:r>
      <w:r w:rsidR="008479B1">
        <w:rPr>
          <w:rFonts w:ascii="Times New Roman" w:hAnsi="Times New Roman" w:cs="Times New Roman"/>
          <w:sz w:val="24"/>
          <w:szCs w:val="24"/>
        </w:rPr>
        <w:t xml:space="preserve">it </w:t>
      </w:r>
      <w:r w:rsidR="008479B1" w:rsidRPr="00AE18C9">
        <w:rPr>
          <w:rFonts w:ascii="Times New Roman" w:hAnsi="Times New Roman" w:cs="Times New Roman"/>
          <w:sz w:val="24"/>
          <w:szCs w:val="24"/>
        </w:rPr>
        <w:t xml:space="preserve">is no longer about </w:t>
      </w:r>
      <w:r w:rsidR="008479B1">
        <w:rPr>
          <w:rFonts w:ascii="Times New Roman" w:hAnsi="Times New Roman" w:cs="Times New Roman"/>
          <w:sz w:val="24"/>
          <w:szCs w:val="24"/>
        </w:rPr>
        <w:t xml:space="preserve">an </w:t>
      </w:r>
      <w:r>
        <w:rPr>
          <w:rFonts w:ascii="Times New Roman" w:hAnsi="Times New Roman" w:cs="Times New Roman"/>
          <w:sz w:val="24"/>
          <w:szCs w:val="24"/>
        </w:rPr>
        <w:t xml:space="preserve">identifiable </w:t>
      </w:r>
      <w:r w:rsidR="008479B1" w:rsidRPr="00AE18C9">
        <w:rPr>
          <w:rFonts w:ascii="Times New Roman" w:hAnsi="Times New Roman" w:cs="Times New Roman"/>
          <w:sz w:val="24"/>
          <w:szCs w:val="24"/>
        </w:rPr>
        <w:t xml:space="preserve">individual </w:t>
      </w:r>
      <w:r w:rsidR="008479B1">
        <w:rPr>
          <w:rFonts w:ascii="Times New Roman" w:hAnsi="Times New Roman" w:cs="Times New Roman"/>
          <w:sz w:val="24"/>
          <w:szCs w:val="24"/>
        </w:rPr>
        <w:t xml:space="preserve">or </w:t>
      </w:r>
      <w:r>
        <w:rPr>
          <w:rFonts w:ascii="Times New Roman" w:hAnsi="Times New Roman" w:cs="Times New Roman"/>
          <w:sz w:val="24"/>
          <w:szCs w:val="24"/>
        </w:rPr>
        <w:t xml:space="preserve">an individual who is </w:t>
      </w:r>
      <w:r w:rsidR="008479B1" w:rsidRPr="00AE18C9">
        <w:rPr>
          <w:rFonts w:ascii="Times New Roman" w:hAnsi="Times New Roman" w:cs="Times New Roman"/>
          <w:sz w:val="24"/>
          <w:szCs w:val="24"/>
        </w:rPr>
        <w:t>reasonably identifiable.</w:t>
      </w:r>
    </w:p>
    <w:p w14:paraId="2193CA34" w14:textId="4557BB38" w:rsidR="00906126" w:rsidRPr="00906126" w:rsidRDefault="00906126" w:rsidP="008479B1">
      <w:pPr>
        <w:rPr>
          <w:rFonts w:ascii="Times New Roman" w:hAnsi="Times New Roman" w:cs="Times New Roman"/>
          <w:sz w:val="24"/>
          <w:szCs w:val="24"/>
        </w:rPr>
      </w:pPr>
      <w:r>
        <w:rPr>
          <w:rFonts w:ascii="Times New Roman" w:hAnsi="Times New Roman" w:cs="Times New Roman"/>
          <w:sz w:val="24"/>
          <w:szCs w:val="24"/>
        </w:rPr>
        <w:t xml:space="preserve">The protection of a person’s personal information by de-identification before the </w:t>
      </w:r>
      <w:r w:rsidR="003947B2">
        <w:rPr>
          <w:rFonts w:ascii="Times New Roman" w:hAnsi="Times New Roman" w:cs="Times New Roman"/>
          <w:sz w:val="24"/>
          <w:szCs w:val="24"/>
        </w:rPr>
        <w:t xml:space="preserve">responsible Commonwealth </w:t>
      </w:r>
      <w:r>
        <w:rPr>
          <w:rFonts w:ascii="Times New Roman" w:hAnsi="Times New Roman" w:cs="Times New Roman"/>
          <w:sz w:val="24"/>
          <w:szCs w:val="24"/>
        </w:rPr>
        <w:t>Minister publishes an enforceable undertaking is in accordance with the principles of the</w:t>
      </w:r>
      <w:r w:rsidR="00001756">
        <w:rPr>
          <w:rFonts w:ascii="Times New Roman" w:hAnsi="Times New Roman" w:cs="Times New Roman"/>
          <w:sz w:val="24"/>
          <w:szCs w:val="24"/>
        </w:rPr>
        <w:t xml:space="preserve"> Privacy Act</w:t>
      </w:r>
      <w:r>
        <w:rPr>
          <w:rFonts w:ascii="Times New Roman" w:hAnsi="Times New Roman" w:cs="Times New Roman"/>
          <w:i/>
          <w:iCs/>
          <w:sz w:val="24"/>
          <w:szCs w:val="24"/>
        </w:rPr>
        <w:t>.</w:t>
      </w:r>
      <w:r>
        <w:rPr>
          <w:rFonts w:ascii="Times New Roman" w:hAnsi="Times New Roman" w:cs="Times New Roman"/>
          <w:sz w:val="24"/>
          <w:szCs w:val="24"/>
        </w:rPr>
        <w:t xml:space="preserve"> </w:t>
      </w:r>
      <w:r w:rsidR="0065288B">
        <w:rPr>
          <w:rFonts w:ascii="Times New Roman" w:hAnsi="Times New Roman" w:cs="Times New Roman"/>
          <w:sz w:val="24"/>
          <w:szCs w:val="24"/>
        </w:rPr>
        <w:t>A</w:t>
      </w:r>
      <w:r>
        <w:rPr>
          <w:rFonts w:ascii="Times New Roman" w:hAnsi="Times New Roman" w:cs="Times New Roman"/>
          <w:sz w:val="24"/>
          <w:szCs w:val="24"/>
        </w:rPr>
        <w:t>ccordingly</w:t>
      </w:r>
      <w:r w:rsidR="0065288B">
        <w:rPr>
          <w:rFonts w:ascii="Times New Roman" w:hAnsi="Times New Roman" w:cs="Times New Roman"/>
          <w:sz w:val="24"/>
          <w:szCs w:val="24"/>
        </w:rPr>
        <w:t>,</w:t>
      </w:r>
      <w:r>
        <w:rPr>
          <w:rFonts w:ascii="Times New Roman" w:hAnsi="Times New Roman" w:cs="Times New Roman"/>
          <w:sz w:val="24"/>
          <w:szCs w:val="24"/>
        </w:rPr>
        <w:t xml:space="preserve"> the right to privacy and reputation under Article</w:t>
      </w:r>
      <w:r w:rsidR="003947B2">
        <w:rPr>
          <w:rFonts w:ascii="Times New Roman" w:hAnsi="Times New Roman" w:cs="Times New Roman"/>
          <w:sz w:val="24"/>
          <w:szCs w:val="24"/>
        </w:rPr>
        <w:t> </w:t>
      </w:r>
      <w:r>
        <w:rPr>
          <w:rFonts w:ascii="Times New Roman" w:hAnsi="Times New Roman" w:cs="Times New Roman"/>
          <w:sz w:val="24"/>
          <w:szCs w:val="24"/>
        </w:rPr>
        <w:t xml:space="preserve">17 of the ICCPR is </w:t>
      </w:r>
      <w:r w:rsidR="00312166">
        <w:rPr>
          <w:rFonts w:ascii="Times New Roman" w:hAnsi="Times New Roman" w:cs="Times New Roman"/>
          <w:sz w:val="24"/>
          <w:szCs w:val="24"/>
        </w:rPr>
        <w:t>promoted by the Regulations</w:t>
      </w:r>
      <w:r>
        <w:rPr>
          <w:rFonts w:ascii="Times New Roman" w:hAnsi="Times New Roman" w:cs="Times New Roman"/>
          <w:sz w:val="24"/>
          <w:szCs w:val="24"/>
        </w:rPr>
        <w:t>.</w:t>
      </w:r>
    </w:p>
    <w:p w14:paraId="0209FAD6" w14:textId="58E5E3E6" w:rsidR="00E06640" w:rsidRPr="00F55DFC" w:rsidRDefault="00E06640" w:rsidP="00F55DFC">
      <w:pPr>
        <w:spacing w:before="240" w:after="240" w:line="240" w:lineRule="auto"/>
        <w:rPr>
          <w:rFonts w:ascii="Times New Roman" w:hAnsi="Times New Roman" w:cs="Times New Roman"/>
          <w:b/>
          <w:sz w:val="24"/>
          <w:szCs w:val="24"/>
        </w:rPr>
      </w:pPr>
      <w:r w:rsidRPr="00F55DFC">
        <w:rPr>
          <w:rFonts w:ascii="Times New Roman" w:hAnsi="Times New Roman" w:cs="Times New Roman"/>
          <w:b/>
          <w:sz w:val="24"/>
          <w:szCs w:val="24"/>
        </w:rPr>
        <w:t>Conclusion</w:t>
      </w:r>
    </w:p>
    <w:p w14:paraId="53E896D8" w14:textId="6562AFCA" w:rsidR="00E06640" w:rsidRDefault="00E06640" w:rsidP="00F55DFC">
      <w:pPr>
        <w:spacing w:before="120" w:after="120"/>
        <w:rPr>
          <w:rFonts w:ascii="Times New Roman" w:hAnsi="Times New Roman" w:cs="Times New Roman"/>
          <w:sz w:val="24"/>
          <w:szCs w:val="24"/>
        </w:rPr>
      </w:pPr>
      <w:r w:rsidRPr="00F55DFC">
        <w:rPr>
          <w:rFonts w:ascii="Times New Roman" w:hAnsi="Times New Roman" w:cs="Times New Roman"/>
          <w:sz w:val="24"/>
          <w:szCs w:val="24"/>
        </w:rPr>
        <w:t>The Regulations are compatible with human rights because to the extent that they may limit human rights, those limitations are reasonable, necessary and proportionate.</w:t>
      </w:r>
    </w:p>
    <w:p w14:paraId="15FED13F" w14:textId="77777777" w:rsidR="00F55DFC" w:rsidRDefault="00F55DFC" w:rsidP="00F55DFC">
      <w:pPr>
        <w:spacing w:before="120" w:after="120"/>
        <w:rPr>
          <w:rFonts w:ascii="Times New Roman" w:hAnsi="Times New Roman" w:cs="Times New Roman"/>
          <w:sz w:val="24"/>
          <w:szCs w:val="24"/>
        </w:rPr>
      </w:pPr>
    </w:p>
    <w:p w14:paraId="50A3B062" w14:textId="77777777" w:rsidR="00F55DFC" w:rsidRDefault="00F55DFC" w:rsidP="00F55DFC">
      <w:pPr>
        <w:spacing w:before="120" w:after="120"/>
        <w:jc w:val="center"/>
        <w:rPr>
          <w:rFonts w:ascii="Times New Roman" w:hAnsi="Times New Roman" w:cs="Times New Roman"/>
          <w:b/>
          <w:sz w:val="24"/>
          <w:szCs w:val="24"/>
        </w:rPr>
      </w:pPr>
      <w:r>
        <w:rPr>
          <w:rFonts w:ascii="Times New Roman" w:hAnsi="Times New Roman" w:cs="Times New Roman"/>
          <w:b/>
          <w:sz w:val="24"/>
          <w:szCs w:val="24"/>
        </w:rPr>
        <w:t>The Hon Madeleine King MP</w:t>
      </w:r>
    </w:p>
    <w:p w14:paraId="165C1302" w14:textId="7A45A875" w:rsidR="001D2C4C" w:rsidRPr="00346D50" w:rsidRDefault="00F55DFC" w:rsidP="004A3853">
      <w:pPr>
        <w:tabs>
          <w:tab w:val="center" w:pos="4513"/>
          <w:tab w:val="left" w:pos="6515"/>
        </w:tabs>
        <w:spacing w:before="120" w:after="120"/>
        <w:rPr>
          <w:rFonts w:ascii="Times New Roman" w:hAnsi="Times New Roman" w:cs="Times New Roman"/>
          <w:b/>
        </w:rPr>
      </w:pPr>
      <w:r>
        <w:rPr>
          <w:rFonts w:ascii="Times New Roman" w:hAnsi="Times New Roman" w:cs="Times New Roman"/>
          <w:b/>
          <w:sz w:val="24"/>
          <w:szCs w:val="24"/>
        </w:rPr>
        <w:tab/>
        <w:t>Minister for Resources</w:t>
      </w:r>
    </w:p>
    <w:sectPr w:rsidR="001D2C4C" w:rsidRPr="00346D50" w:rsidSect="00BB7869">
      <w:footerReference w:type="defaul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ED5B" w14:textId="77777777" w:rsidR="00E631D4" w:rsidRDefault="00E631D4" w:rsidP="00E631D4">
      <w:pPr>
        <w:spacing w:after="0" w:line="240" w:lineRule="auto"/>
      </w:pPr>
      <w:r>
        <w:separator/>
      </w:r>
    </w:p>
  </w:endnote>
  <w:endnote w:type="continuationSeparator" w:id="0">
    <w:p w14:paraId="0F2FFE68" w14:textId="77777777" w:rsidR="00E631D4" w:rsidRDefault="00E631D4" w:rsidP="00E631D4">
      <w:pPr>
        <w:spacing w:after="0" w:line="240" w:lineRule="auto"/>
      </w:pPr>
      <w:r>
        <w:continuationSeparator/>
      </w:r>
    </w:p>
  </w:endnote>
  <w:endnote w:type="continuationNotice" w:id="1">
    <w:p w14:paraId="02F7B935" w14:textId="77777777" w:rsidR="00A13AE2" w:rsidRDefault="00A13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599590"/>
      <w:docPartObj>
        <w:docPartGallery w:val="Page Numbers (Bottom of Page)"/>
        <w:docPartUnique/>
      </w:docPartObj>
    </w:sdtPr>
    <w:sdtEndPr>
      <w:rPr>
        <w:noProof/>
      </w:rPr>
    </w:sdtEndPr>
    <w:sdtContent>
      <w:p w14:paraId="4E3EDF33" w14:textId="64292FAA" w:rsidR="00BB7869" w:rsidRDefault="00BB78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A85A8" w14:textId="77777777" w:rsidR="00BB7869" w:rsidRDefault="00BB7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77989"/>
      <w:docPartObj>
        <w:docPartGallery w:val="Page Numbers (Bottom of Page)"/>
        <w:docPartUnique/>
      </w:docPartObj>
    </w:sdtPr>
    <w:sdtEndPr>
      <w:rPr>
        <w:noProof/>
      </w:rPr>
    </w:sdtEndPr>
    <w:sdtContent>
      <w:p w14:paraId="6BCCF0AD" w14:textId="013F9485" w:rsidR="002F6A2A" w:rsidRDefault="002F6A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10D6E" w14:textId="77777777" w:rsidR="002F6A2A" w:rsidRDefault="002F6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B54A" w14:textId="77777777" w:rsidR="00E631D4" w:rsidRDefault="00E631D4" w:rsidP="00E631D4">
      <w:pPr>
        <w:spacing w:after="0" w:line="240" w:lineRule="auto"/>
      </w:pPr>
      <w:r>
        <w:separator/>
      </w:r>
    </w:p>
  </w:footnote>
  <w:footnote w:type="continuationSeparator" w:id="0">
    <w:p w14:paraId="1DE33642" w14:textId="77777777" w:rsidR="00E631D4" w:rsidRDefault="00E631D4" w:rsidP="00E631D4">
      <w:pPr>
        <w:spacing w:after="0" w:line="240" w:lineRule="auto"/>
      </w:pPr>
      <w:r>
        <w:continuationSeparator/>
      </w:r>
    </w:p>
  </w:footnote>
  <w:footnote w:type="continuationNotice" w:id="1">
    <w:p w14:paraId="4D5C70AC" w14:textId="77777777" w:rsidR="00A13AE2" w:rsidRDefault="00A13A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9C4"/>
    <w:multiLevelType w:val="hybridMultilevel"/>
    <w:tmpl w:val="BF1E7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93971"/>
    <w:multiLevelType w:val="hybridMultilevel"/>
    <w:tmpl w:val="D5BC19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DE1221"/>
    <w:multiLevelType w:val="hybridMultilevel"/>
    <w:tmpl w:val="70862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4769B7"/>
    <w:multiLevelType w:val="hybridMultilevel"/>
    <w:tmpl w:val="92EE5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385027"/>
    <w:multiLevelType w:val="hybridMultilevel"/>
    <w:tmpl w:val="CC7C3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886E3D"/>
    <w:multiLevelType w:val="hybridMultilevel"/>
    <w:tmpl w:val="C2106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D3B9A"/>
    <w:multiLevelType w:val="hybridMultilevel"/>
    <w:tmpl w:val="24204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5C7701"/>
    <w:multiLevelType w:val="hybridMultilevel"/>
    <w:tmpl w:val="7880580E"/>
    <w:lvl w:ilvl="0" w:tplc="59B8572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1901521"/>
    <w:multiLevelType w:val="hybridMultilevel"/>
    <w:tmpl w:val="BDE21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04AFC"/>
    <w:multiLevelType w:val="hybridMultilevel"/>
    <w:tmpl w:val="CFFC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627429"/>
    <w:multiLevelType w:val="hybridMultilevel"/>
    <w:tmpl w:val="46BE3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F9005F"/>
    <w:multiLevelType w:val="hybridMultilevel"/>
    <w:tmpl w:val="F2B2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000D2"/>
    <w:multiLevelType w:val="hybridMultilevel"/>
    <w:tmpl w:val="53600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9C74F6"/>
    <w:multiLevelType w:val="hybridMultilevel"/>
    <w:tmpl w:val="C4F20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A21D06"/>
    <w:multiLevelType w:val="hybridMultilevel"/>
    <w:tmpl w:val="2D3E1AA2"/>
    <w:lvl w:ilvl="0" w:tplc="67D84E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CE01F7"/>
    <w:multiLevelType w:val="hybridMultilevel"/>
    <w:tmpl w:val="2926F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951A36"/>
    <w:multiLevelType w:val="hybridMultilevel"/>
    <w:tmpl w:val="7416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3C0247"/>
    <w:multiLevelType w:val="hybridMultilevel"/>
    <w:tmpl w:val="1D6E6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8F60EB"/>
    <w:multiLevelType w:val="hybridMultilevel"/>
    <w:tmpl w:val="E5128D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79D4C3F"/>
    <w:multiLevelType w:val="hybridMultilevel"/>
    <w:tmpl w:val="621094F4"/>
    <w:lvl w:ilvl="0" w:tplc="59B8572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8554BE6"/>
    <w:multiLevelType w:val="hybridMultilevel"/>
    <w:tmpl w:val="F274F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49478A"/>
    <w:multiLevelType w:val="hybridMultilevel"/>
    <w:tmpl w:val="615217E2"/>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B60D12"/>
    <w:multiLevelType w:val="hybridMultilevel"/>
    <w:tmpl w:val="5448D14C"/>
    <w:lvl w:ilvl="0" w:tplc="59B8572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0F073E8"/>
    <w:multiLevelType w:val="hybridMultilevel"/>
    <w:tmpl w:val="BFD843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3C76267"/>
    <w:multiLevelType w:val="hybridMultilevel"/>
    <w:tmpl w:val="78CED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8B7050"/>
    <w:multiLevelType w:val="hybridMultilevel"/>
    <w:tmpl w:val="F8AA3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3302685">
    <w:abstractNumId w:val="15"/>
  </w:num>
  <w:num w:numId="2" w16cid:durableId="261181961">
    <w:abstractNumId w:val="9"/>
  </w:num>
  <w:num w:numId="3" w16cid:durableId="990325882">
    <w:abstractNumId w:val="0"/>
  </w:num>
  <w:num w:numId="4" w16cid:durableId="1363242866">
    <w:abstractNumId w:val="22"/>
  </w:num>
  <w:num w:numId="5" w16cid:durableId="1664775822">
    <w:abstractNumId w:val="19"/>
  </w:num>
  <w:num w:numId="6" w16cid:durableId="1002705930">
    <w:abstractNumId w:val="1"/>
  </w:num>
  <w:num w:numId="7" w16cid:durableId="165826456">
    <w:abstractNumId w:val="7"/>
  </w:num>
  <w:num w:numId="8" w16cid:durableId="1809518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0744484">
    <w:abstractNumId w:val="17"/>
  </w:num>
  <w:num w:numId="10" w16cid:durableId="1453017230">
    <w:abstractNumId w:val="6"/>
  </w:num>
  <w:num w:numId="11" w16cid:durableId="1363046012">
    <w:abstractNumId w:val="20"/>
  </w:num>
  <w:num w:numId="12" w16cid:durableId="911938209">
    <w:abstractNumId w:val="12"/>
  </w:num>
  <w:num w:numId="13" w16cid:durableId="258489021">
    <w:abstractNumId w:val="14"/>
  </w:num>
  <w:num w:numId="14" w16cid:durableId="389380523">
    <w:abstractNumId w:val="23"/>
  </w:num>
  <w:num w:numId="15" w16cid:durableId="267079574">
    <w:abstractNumId w:val="16"/>
  </w:num>
  <w:num w:numId="16" w16cid:durableId="107163882">
    <w:abstractNumId w:val="10"/>
  </w:num>
  <w:num w:numId="17" w16cid:durableId="1201817164">
    <w:abstractNumId w:val="3"/>
  </w:num>
  <w:num w:numId="18" w16cid:durableId="162625897">
    <w:abstractNumId w:val="24"/>
  </w:num>
  <w:num w:numId="19" w16cid:durableId="1322194399">
    <w:abstractNumId w:val="8"/>
  </w:num>
  <w:num w:numId="20" w16cid:durableId="772438694">
    <w:abstractNumId w:val="25"/>
  </w:num>
  <w:num w:numId="21" w16cid:durableId="1781099420">
    <w:abstractNumId w:val="2"/>
  </w:num>
  <w:num w:numId="22" w16cid:durableId="1126122823">
    <w:abstractNumId w:val="21"/>
  </w:num>
  <w:num w:numId="23" w16cid:durableId="33240801">
    <w:abstractNumId w:val="5"/>
  </w:num>
  <w:num w:numId="24" w16cid:durableId="412893163">
    <w:abstractNumId w:val="18"/>
  </w:num>
  <w:num w:numId="25" w16cid:durableId="1400832442">
    <w:abstractNumId w:val="4"/>
  </w:num>
  <w:num w:numId="26" w16cid:durableId="222185471">
    <w:abstractNumId w:val="11"/>
  </w:num>
  <w:num w:numId="27" w16cid:durableId="16378554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AB"/>
    <w:rsid w:val="00000CFE"/>
    <w:rsid w:val="00001756"/>
    <w:rsid w:val="00002A15"/>
    <w:rsid w:val="00004C67"/>
    <w:rsid w:val="000052C7"/>
    <w:rsid w:val="000109F7"/>
    <w:rsid w:val="000110DE"/>
    <w:rsid w:val="00011177"/>
    <w:rsid w:val="00011F00"/>
    <w:rsid w:val="000120C2"/>
    <w:rsid w:val="00012556"/>
    <w:rsid w:val="00013B9A"/>
    <w:rsid w:val="00013D95"/>
    <w:rsid w:val="00015235"/>
    <w:rsid w:val="0001700D"/>
    <w:rsid w:val="00020766"/>
    <w:rsid w:val="000207EB"/>
    <w:rsid w:val="00020B77"/>
    <w:rsid w:val="00020C98"/>
    <w:rsid w:val="00021066"/>
    <w:rsid w:val="00022A65"/>
    <w:rsid w:val="00022ECB"/>
    <w:rsid w:val="00024582"/>
    <w:rsid w:val="00024D33"/>
    <w:rsid w:val="000253AC"/>
    <w:rsid w:val="00027202"/>
    <w:rsid w:val="000278E0"/>
    <w:rsid w:val="00027B5D"/>
    <w:rsid w:val="00030A1F"/>
    <w:rsid w:val="00030A4B"/>
    <w:rsid w:val="00030A66"/>
    <w:rsid w:val="00031320"/>
    <w:rsid w:val="00033141"/>
    <w:rsid w:val="00034366"/>
    <w:rsid w:val="0003531A"/>
    <w:rsid w:val="000357BC"/>
    <w:rsid w:val="00035A44"/>
    <w:rsid w:val="00036A1E"/>
    <w:rsid w:val="00036F15"/>
    <w:rsid w:val="00040080"/>
    <w:rsid w:val="0004133E"/>
    <w:rsid w:val="000415D0"/>
    <w:rsid w:val="0004203B"/>
    <w:rsid w:val="00042095"/>
    <w:rsid w:val="00044213"/>
    <w:rsid w:val="00046F39"/>
    <w:rsid w:val="0005123E"/>
    <w:rsid w:val="000515E8"/>
    <w:rsid w:val="000520F4"/>
    <w:rsid w:val="00052589"/>
    <w:rsid w:val="000528AC"/>
    <w:rsid w:val="00052998"/>
    <w:rsid w:val="00053D47"/>
    <w:rsid w:val="000540EB"/>
    <w:rsid w:val="0005724E"/>
    <w:rsid w:val="000601BC"/>
    <w:rsid w:val="00062220"/>
    <w:rsid w:val="00063079"/>
    <w:rsid w:val="00064AF9"/>
    <w:rsid w:val="000651B2"/>
    <w:rsid w:val="000662BB"/>
    <w:rsid w:val="000668E8"/>
    <w:rsid w:val="0006761E"/>
    <w:rsid w:val="000711AC"/>
    <w:rsid w:val="00076193"/>
    <w:rsid w:val="00081396"/>
    <w:rsid w:val="00081B8F"/>
    <w:rsid w:val="0008222E"/>
    <w:rsid w:val="00082344"/>
    <w:rsid w:val="00082BC4"/>
    <w:rsid w:val="00083DB0"/>
    <w:rsid w:val="00084F50"/>
    <w:rsid w:val="00091087"/>
    <w:rsid w:val="00091A59"/>
    <w:rsid w:val="00092C43"/>
    <w:rsid w:val="0009355B"/>
    <w:rsid w:val="00094119"/>
    <w:rsid w:val="0009449F"/>
    <w:rsid w:val="00094586"/>
    <w:rsid w:val="00095578"/>
    <w:rsid w:val="00096931"/>
    <w:rsid w:val="00097E67"/>
    <w:rsid w:val="000A1398"/>
    <w:rsid w:val="000A199A"/>
    <w:rsid w:val="000A2A53"/>
    <w:rsid w:val="000A4559"/>
    <w:rsid w:val="000A7458"/>
    <w:rsid w:val="000A75E1"/>
    <w:rsid w:val="000B19E2"/>
    <w:rsid w:val="000B48F9"/>
    <w:rsid w:val="000B56FE"/>
    <w:rsid w:val="000B63A1"/>
    <w:rsid w:val="000B7575"/>
    <w:rsid w:val="000B7916"/>
    <w:rsid w:val="000C0248"/>
    <w:rsid w:val="000C3B34"/>
    <w:rsid w:val="000C3D54"/>
    <w:rsid w:val="000C493C"/>
    <w:rsid w:val="000C4A3C"/>
    <w:rsid w:val="000C4CFB"/>
    <w:rsid w:val="000C5B91"/>
    <w:rsid w:val="000C5CCF"/>
    <w:rsid w:val="000D0EDA"/>
    <w:rsid w:val="000D1E68"/>
    <w:rsid w:val="000D2062"/>
    <w:rsid w:val="000D2B14"/>
    <w:rsid w:val="000D399B"/>
    <w:rsid w:val="000D54A1"/>
    <w:rsid w:val="000D66A2"/>
    <w:rsid w:val="000D77DA"/>
    <w:rsid w:val="000D7A8B"/>
    <w:rsid w:val="000E1E00"/>
    <w:rsid w:val="000E323C"/>
    <w:rsid w:val="000E76CA"/>
    <w:rsid w:val="000F19D1"/>
    <w:rsid w:val="000F1D08"/>
    <w:rsid w:val="000F22AA"/>
    <w:rsid w:val="000F34D1"/>
    <w:rsid w:val="000F5377"/>
    <w:rsid w:val="000F53C5"/>
    <w:rsid w:val="000F5997"/>
    <w:rsid w:val="00101047"/>
    <w:rsid w:val="00103802"/>
    <w:rsid w:val="001068BF"/>
    <w:rsid w:val="00107C89"/>
    <w:rsid w:val="0011022E"/>
    <w:rsid w:val="0011081E"/>
    <w:rsid w:val="001108EA"/>
    <w:rsid w:val="00110B41"/>
    <w:rsid w:val="00112D7E"/>
    <w:rsid w:val="00115CEE"/>
    <w:rsid w:val="00115E4A"/>
    <w:rsid w:val="00115F06"/>
    <w:rsid w:val="0011714E"/>
    <w:rsid w:val="00117F7F"/>
    <w:rsid w:val="00121DF8"/>
    <w:rsid w:val="00121F3C"/>
    <w:rsid w:val="00122725"/>
    <w:rsid w:val="001233E5"/>
    <w:rsid w:val="00123964"/>
    <w:rsid w:val="001247C9"/>
    <w:rsid w:val="00127117"/>
    <w:rsid w:val="00127169"/>
    <w:rsid w:val="0013006D"/>
    <w:rsid w:val="00130271"/>
    <w:rsid w:val="00130283"/>
    <w:rsid w:val="00130E2F"/>
    <w:rsid w:val="00133274"/>
    <w:rsid w:val="00133BD2"/>
    <w:rsid w:val="001345BA"/>
    <w:rsid w:val="00135D01"/>
    <w:rsid w:val="00136529"/>
    <w:rsid w:val="001408A3"/>
    <w:rsid w:val="0014156E"/>
    <w:rsid w:val="001416D7"/>
    <w:rsid w:val="00141AF2"/>
    <w:rsid w:val="00142066"/>
    <w:rsid w:val="00142734"/>
    <w:rsid w:val="001429C1"/>
    <w:rsid w:val="00144F3F"/>
    <w:rsid w:val="001476ED"/>
    <w:rsid w:val="00147C9D"/>
    <w:rsid w:val="00150F71"/>
    <w:rsid w:val="001518F5"/>
    <w:rsid w:val="00151FD5"/>
    <w:rsid w:val="00153F91"/>
    <w:rsid w:val="00157905"/>
    <w:rsid w:val="00161650"/>
    <w:rsid w:val="001624F8"/>
    <w:rsid w:val="00162A6E"/>
    <w:rsid w:val="0016346C"/>
    <w:rsid w:val="0016414E"/>
    <w:rsid w:val="00165353"/>
    <w:rsid w:val="00166392"/>
    <w:rsid w:val="001666EA"/>
    <w:rsid w:val="00170B49"/>
    <w:rsid w:val="00171081"/>
    <w:rsid w:val="001733C7"/>
    <w:rsid w:val="00175187"/>
    <w:rsid w:val="00176C71"/>
    <w:rsid w:val="001808CD"/>
    <w:rsid w:val="00180C8B"/>
    <w:rsid w:val="00180F92"/>
    <w:rsid w:val="001811ED"/>
    <w:rsid w:val="001813BA"/>
    <w:rsid w:val="001845BB"/>
    <w:rsid w:val="001873FE"/>
    <w:rsid w:val="00187F34"/>
    <w:rsid w:val="00190435"/>
    <w:rsid w:val="00192100"/>
    <w:rsid w:val="001947A8"/>
    <w:rsid w:val="00194FAC"/>
    <w:rsid w:val="001952E5"/>
    <w:rsid w:val="00195ABD"/>
    <w:rsid w:val="001979D4"/>
    <w:rsid w:val="001A1AA0"/>
    <w:rsid w:val="001A20EA"/>
    <w:rsid w:val="001A332E"/>
    <w:rsid w:val="001A3351"/>
    <w:rsid w:val="001A3A8B"/>
    <w:rsid w:val="001A51B7"/>
    <w:rsid w:val="001A5587"/>
    <w:rsid w:val="001A5751"/>
    <w:rsid w:val="001A7341"/>
    <w:rsid w:val="001A7A85"/>
    <w:rsid w:val="001B0404"/>
    <w:rsid w:val="001B0975"/>
    <w:rsid w:val="001B162B"/>
    <w:rsid w:val="001B1F81"/>
    <w:rsid w:val="001B45AC"/>
    <w:rsid w:val="001B66F6"/>
    <w:rsid w:val="001C0053"/>
    <w:rsid w:val="001C0269"/>
    <w:rsid w:val="001C11E4"/>
    <w:rsid w:val="001C1C20"/>
    <w:rsid w:val="001C2151"/>
    <w:rsid w:val="001C2962"/>
    <w:rsid w:val="001C36CB"/>
    <w:rsid w:val="001C5715"/>
    <w:rsid w:val="001D1AC7"/>
    <w:rsid w:val="001D227C"/>
    <w:rsid w:val="001D2C4C"/>
    <w:rsid w:val="001D38AD"/>
    <w:rsid w:val="001D4F0F"/>
    <w:rsid w:val="001D5177"/>
    <w:rsid w:val="001D54C7"/>
    <w:rsid w:val="001D6827"/>
    <w:rsid w:val="001D692C"/>
    <w:rsid w:val="001D70BB"/>
    <w:rsid w:val="001E0ABC"/>
    <w:rsid w:val="001E2859"/>
    <w:rsid w:val="001E2942"/>
    <w:rsid w:val="001E3D24"/>
    <w:rsid w:val="001E4D62"/>
    <w:rsid w:val="001E5133"/>
    <w:rsid w:val="001E51B6"/>
    <w:rsid w:val="001F0B4D"/>
    <w:rsid w:val="001F47B1"/>
    <w:rsid w:val="001F498A"/>
    <w:rsid w:val="001F5A3A"/>
    <w:rsid w:val="001F69D4"/>
    <w:rsid w:val="001F7E89"/>
    <w:rsid w:val="00200111"/>
    <w:rsid w:val="00200DC4"/>
    <w:rsid w:val="00202051"/>
    <w:rsid w:val="002024D2"/>
    <w:rsid w:val="00202689"/>
    <w:rsid w:val="0020432F"/>
    <w:rsid w:val="00204947"/>
    <w:rsid w:val="00205A66"/>
    <w:rsid w:val="002078AD"/>
    <w:rsid w:val="00211202"/>
    <w:rsid w:val="002134F3"/>
    <w:rsid w:val="00213805"/>
    <w:rsid w:val="002159AA"/>
    <w:rsid w:val="00216D10"/>
    <w:rsid w:val="00221CE3"/>
    <w:rsid w:val="00221D7F"/>
    <w:rsid w:val="00221EA6"/>
    <w:rsid w:val="00223031"/>
    <w:rsid w:val="00224310"/>
    <w:rsid w:val="002245AC"/>
    <w:rsid w:val="00224DBD"/>
    <w:rsid w:val="002261C5"/>
    <w:rsid w:val="002263B0"/>
    <w:rsid w:val="00231A3A"/>
    <w:rsid w:val="002325B9"/>
    <w:rsid w:val="00234AB1"/>
    <w:rsid w:val="00234AE1"/>
    <w:rsid w:val="00234D7B"/>
    <w:rsid w:val="0024177C"/>
    <w:rsid w:val="00241B39"/>
    <w:rsid w:val="00241C25"/>
    <w:rsid w:val="00242602"/>
    <w:rsid w:val="002432FA"/>
    <w:rsid w:val="00243B53"/>
    <w:rsid w:val="002443EC"/>
    <w:rsid w:val="00244AE7"/>
    <w:rsid w:val="00246C11"/>
    <w:rsid w:val="00252E62"/>
    <w:rsid w:val="00253DDA"/>
    <w:rsid w:val="0025412D"/>
    <w:rsid w:val="00257124"/>
    <w:rsid w:val="00257414"/>
    <w:rsid w:val="00257702"/>
    <w:rsid w:val="00257E96"/>
    <w:rsid w:val="002604E1"/>
    <w:rsid w:val="0026134A"/>
    <w:rsid w:val="00262C3A"/>
    <w:rsid w:val="00263480"/>
    <w:rsid w:val="00263FE6"/>
    <w:rsid w:val="0026435D"/>
    <w:rsid w:val="00264524"/>
    <w:rsid w:val="0026458D"/>
    <w:rsid w:val="0027110D"/>
    <w:rsid w:val="00271A45"/>
    <w:rsid w:val="00271CD6"/>
    <w:rsid w:val="00274D96"/>
    <w:rsid w:val="002758FA"/>
    <w:rsid w:val="00275E2E"/>
    <w:rsid w:val="00276107"/>
    <w:rsid w:val="00276330"/>
    <w:rsid w:val="00276871"/>
    <w:rsid w:val="00280394"/>
    <w:rsid w:val="00280EC4"/>
    <w:rsid w:val="002818CE"/>
    <w:rsid w:val="00286ACB"/>
    <w:rsid w:val="00286D19"/>
    <w:rsid w:val="0029178B"/>
    <w:rsid w:val="00294793"/>
    <w:rsid w:val="00294CC5"/>
    <w:rsid w:val="0029508B"/>
    <w:rsid w:val="00296186"/>
    <w:rsid w:val="002A18C8"/>
    <w:rsid w:val="002A1A0C"/>
    <w:rsid w:val="002A38B4"/>
    <w:rsid w:val="002A3D5D"/>
    <w:rsid w:val="002A4866"/>
    <w:rsid w:val="002A6105"/>
    <w:rsid w:val="002A6E20"/>
    <w:rsid w:val="002B0012"/>
    <w:rsid w:val="002B05BC"/>
    <w:rsid w:val="002B2F37"/>
    <w:rsid w:val="002B3B63"/>
    <w:rsid w:val="002B5ED0"/>
    <w:rsid w:val="002C042A"/>
    <w:rsid w:val="002C0ACE"/>
    <w:rsid w:val="002C0E28"/>
    <w:rsid w:val="002C1051"/>
    <w:rsid w:val="002C3088"/>
    <w:rsid w:val="002C33A9"/>
    <w:rsid w:val="002C44BB"/>
    <w:rsid w:val="002C561E"/>
    <w:rsid w:val="002C62D9"/>
    <w:rsid w:val="002C6855"/>
    <w:rsid w:val="002C708C"/>
    <w:rsid w:val="002D4EED"/>
    <w:rsid w:val="002D533E"/>
    <w:rsid w:val="002E128B"/>
    <w:rsid w:val="002E1D99"/>
    <w:rsid w:val="002E1F7B"/>
    <w:rsid w:val="002E4042"/>
    <w:rsid w:val="002E61FB"/>
    <w:rsid w:val="002E6B3E"/>
    <w:rsid w:val="002E71AD"/>
    <w:rsid w:val="002E7436"/>
    <w:rsid w:val="002E7A02"/>
    <w:rsid w:val="002E7AC7"/>
    <w:rsid w:val="002E7E0E"/>
    <w:rsid w:val="002F03B8"/>
    <w:rsid w:val="002F15BF"/>
    <w:rsid w:val="002F19FF"/>
    <w:rsid w:val="002F25FB"/>
    <w:rsid w:val="002F38B6"/>
    <w:rsid w:val="002F6711"/>
    <w:rsid w:val="002F6A2A"/>
    <w:rsid w:val="002F6C23"/>
    <w:rsid w:val="003002EB"/>
    <w:rsid w:val="00300EEC"/>
    <w:rsid w:val="00301E79"/>
    <w:rsid w:val="003028A9"/>
    <w:rsid w:val="00302B3A"/>
    <w:rsid w:val="00302FDB"/>
    <w:rsid w:val="003037F6"/>
    <w:rsid w:val="0030429F"/>
    <w:rsid w:val="0030494E"/>
    <w:rsid w:val="00304CC0"/>
    <w:rsid w:val="00304F4C"/>
    <w:rsid w:val="00307C68"/>
    <w:rsid w:val="0031004C"/>
    <w:rsid w:val="00310F9C"/>
    <w:rsid w:val="0031124F"/>
    <w:rsid w:val="00312166"/>
    <w:rsid w:val="00312876"/>
    <w:rsid w:val="00314553"/>
    <w:rsid w:val="0031485F"/>
    <w:rsid w:val="003148FA"/>
    <w:rsid w:val="00315F1A"/>
    <w:rsid w:val="00316EAC"/>
    <w:rsid w:val="003235A5"/>
    <w:rsid w:val="0032522E"/>
    <w:rsid w:val="00325896"/>
    <w:rsid w:val="00325A26"/>
    <w:rsid w:val="0032690A"/>
    <w:rsid w:val="00327436"/>
    <w:rsid w:val="00330FB0"/>
    <w:rsid w:val="00331FA2"/>
    <w:rsid w:val="00332C8B"/>
    <w:rsid w:val="00334304"/>
    <w:rsid w:val="003345B3"/>
    <w:rsid w:val="00335A62"/>
    <w:rsid w:val="00337B66"/>
    <w:rsid w:val="00340C33"/>
    <w:rsid w:val="003425D0"/>
    <w:rsid w:val="003427AB"/>
    <w:rsid w:val="003453A0"/>
    <w:rsid w:val="00346D50"/>
    <w:rsid w:val="003470EC"/>
    <w:rsid w:val="003474CC"/>
    <w:rsid w:val="00352C52"/>
    <w:rsid w:val="003541A8"/>
    <w:rsid w:val="0035435B"/>
    <w:rsid w:val="0035666A"/>
    <w:rsid w:val="00356A17"/>
    <w:rsid w:val="00360431"/>
    <w:rsid w:val="00361685"/>
    <w:rsid w:val="00362897"/>
    <w:rsid w:val="00362A5A"/>
    <w:rsid w:val="003632A1"/>
    <w:rsid w:val="00363B91"/>
    <w:rsid w:val="003653E0"/>
    <w:rsid w:val="003667CA"/>
    <w:rsid w:val="00367955"/>
    <w:rsid w:val="00370D14"/>
    <w:rsid w:val="00371C78"/>
    <w:rsid w:val="00374D88"/>
    <w:rsid w:val="003767E2"/>
    <w:rsid w:val="00380EBB"/>
    <w:rsid w:val="003812B6"/>
    <w:rsid w:val="0038268B"/>
    <w:rsid w:val="0038270A"/>
    <w:rsid w:val="0038324A"/>
    <w:rsid w:val="00383ED1"/>
    <w:rsid w:val="00384F07"/>
    <w:rsid w:val="00385AAE"/>
    <w:rsid w:val="00387666"/>
    <w:rsid w:val="00387988"/>
    <w:rsid w:val="00390A9E"/>
    <w:rsid w:val="00391437"/>
    <w:rsid w:val="0039147F"/>
    <w:rsid w:val="00391E67"/>
    <w:rsid w:val="00393FA5"/>
    <w:rsid w:val="00394619"/>
    <w:rsid w:val="003947B2"/>
    <w:rsid w:val="00395162"/>
    <w:rsid w:val="00395FA8"/>
    <w:rsid w:val="00395FF3"/>
    <w:rsid w:val="003963D3"/>
    <w:rsid w:val="003967A3"/>
    <w:rsid w:val="0039684D"/>
    <w:rsid w:val="003972DE"/>
    <w:rsid w:val="00397FB5"/>
    <w:rsid w:val="003A0E23"/>
    <w:rsid w:val="003A1659"/>
    <w:rsid w:val="003A3BE8"/>
    <w:rsid w:val="003A475F"/>
    <w:rsid w:val="003A7E6C"/>
    <w:rsid w:val="003B0D53"/>
    <w:rsid w:val="003B20EF"/>
    <w:rsid w:val="003B508C"/>
    <w:rsid w:val="003B6C67"/>
    <w:rsid w:val="003B74E7"/>
    <w:rsid w:val="003C24B8"/>
    <w:rsid w:val="003C2ABE"/>
    <w:rsid w:val="003C4D70"/>
    <w:rsid w:val="003C5426"/>
    <w:rsid w:val="003C5EB6"/>
    <w:rsid w:val="003D1100"/>
    <w:rsid w:val="003D2DBF"/>
    <w:rsid w:val="003D3A03"/>
    <w:rsid w:val="003D3CB4"/>
    <w:rsid w:val="003D4380"/>
    <w:rsid w:val="003D4888"/>
    <w:rsid w:val="003D5514"/>
    <w:rsid w:val="003D7126"/>
    <w:rsid w:val="003E31EB"/>
    <w:rsid w:val="003E4855"/>
    <w:rsid w:val="003E76FA"/>
    <w:rsid w:val="003E7C26"/>
    <w:rsid w:val="003F2759"/>
    <w:rsid w:val="003F43A2"/>
    <w:rsid w:val="003F4D7D"/>
    <w:rsid w:val="003F5CFF"/>
    <w:rsid w:val="003F61A9"/>
    <w:rsid w:val="003F73CE"/>
    <w:rsid w:val="00401CB0"/>
    <w:rsid w:val="00401EC0"/>
    <w:rsid w:val="00402819"/>
    <w:rsid w:val="00403A51"/>
    <w:rsid w:val="00406FCA"/>
    <w:rsid w:val="00407D57"/>
    <w:rsid w:val="0041132F"/>
    <w:rsid w:val="004128F4"/>
    <w:rsid w:val="0041474E"/>
    <w:rsid w:val="00415757"/>
    <w:rsid w:val="00416AA2"/>
    <w:rsid w:val="00416B09"/>
    <w:rsid w:val="00420AF9"/>
    <w:rsid w:val="00420D8A"/>
    <w:rsid w:val="00425237"/>
    <w:rsid w:val="00426D92"/>
    <w:rsid w:val="00427D20"/>
    <w:rsid w:val="00427D2C"/>
    <w:rsid w:val="004302B0"/>
    <w:rsid w:val="00430D81"/>
    <w:rsid w:val="004311DA"/>
    <w:rsid w:val="00432488"/>
    <w:rsid w:val="00435273"/>
    <w:rsid w:val="00435462"/>
    <w:rsid w:val="00436220"/>
    <w:rsid w:val="004373ED"/>
    <w:rsid w:val="004444C6"/>
    <w:rsid w:val="004446E9"/>
    <w:rsid w:val="004464B1"/>
    <w:rsid w:val="004474E7"/>
    <w:rsid w:val="004475B6"/>
    <w:rsid w:val="0045037E"/>
    <w:rsid w:val="00452420"/>
    <w:rsid w:val="00453562"/>
    <w:rsid w:val="0045388D"/>
    <w:rsid w:val="00456C3C"/>
    <w:rsid w:val="00457520"/>
    <w:rsid w:val="0046073D"/>
    <w:rsid w:val="00460C49"/>
    <w:rsid w:val="00461487"/>
    <w:rsid w:val="0046277A"/>
    <w:rsid w:val="0046338F"/>
    <w:rsid w:val="00465C84"/>
    <w:rsid w:val="00465D9C"/>
    <w:rsid w:val="00466467"/>
    <w:rsid w:val="00467E8A"/>
    <w:rsid w:val="00472741"/>
    <w:rsid w:val="00473D4A"/>
    <w:rsid w:val="00476302"/>
    <w:rsid w:val="004763EB"/>
    <w:rsid w:val="004774E3"/>
    <w:rsid w:val="00477721"/>
    <w:rsid w:val="00477E7B"/>
    <w:rsid w:val="004829AF"/>
    <w:rsid w:val="004851B7"/>
    <w:rsid w:val="004856F0"/>
    <w:rsid w:val="0048623A"/>
    <w:rsid w:val="00486B21"/>
    <w:rsid w:val="004877C6"/>
    <w:rsid w:val="00487F7B"/>
    <w:rsid w:val="004906EC"/>
    <w:rsid w:val="004924C2"/>
    <w:rsid w:val="00493528"/>
    <w:rsid w:val="004961BB"/>
    <w:rsid w:val="004971C2"/>
    <w:rsid w:val="004973EA"/>
    <w:rsid w:val="004A01BF"/>
    <w:rsid w:val="004A3853"/>
    <w:rsid w:val="004A476F"/>
    <w:rsid w:val="004A5BD5"/>
    <w:rsid w:val="004A627F"/>
    <w:rsid w:val="004B052D"/>
    <w:rsid w:val="004B0C65"/>
    <w:rsid w:val="004B24AA"/>
    <w:rsid w:val="004B3CC6"/>
    <w:rsid w:val="004B4ED6"/>
    <w:rsid w:val="004B5252"/>
    <w:rsid w:val="004C0DE3"/>
    <w:rsid w:val="004C2ABE"/>
    <w:rsid w:val="004C3010"/>
    <w:rsid w:val="004C4674"/>
    <w:rsid w:val="004C4FD4"/>
    <w:rsid w:val="004C5373"/>
    <w:rsid w:val="004C6F8A"/>
    <w:rsid w:val="004D02E0"/>
    <w:rsid w:val="004D0795"/>
    <w:rsid w:val="004D30DB"/>
    <w:rsid w:val="004D4D16"/>
    <w:rsid w:val="004D4D91"/>
    <w:rsid w:val="004D73C6"/>
    <w:rsid w:val="004E1697"/>
    <w:rsid w:val="004E1BD3"/>
    <w:rsid w:val="004E24DB"/>
    <w:rsid w:val="004E3F6B"/>
    <w:rsid w:val="004E432F"/>
    <w:rsid w:val="004F0315"/>
    <w:rsid w:val="004F0327"/>
    <w:rsid w:val="004F09ED"/>
    <w:rsid w:val="004F0CB4"/>
    <w:rsid w:val="004F1AF5"/>
    <w:rsid w:val="004F2B32"/>
    <w:rsid w:val="004F3442"/>
    <w:rsid w:val="004F3D07"/>
    <w:rsid w:val="004F68E5"/>
    <w:rsid w:val="004F7047"/>
    <w:rsid w:val="00502CAB"/>
    <w:rsid w:val="00503524"/>
    <w:rsid w:val="005105A8"/>
    <w:rsid w:val="00511BED"/>
    <w:rsid w:val="005123D0"/>
    <w:rsid w:val="005124D8"/>
    <w:rsid w:val="005145EC"/>
    <w:rsid w:val="00516D1C"/>
    <w:rsid w:val="00517232"/>
    <w:rsid w:val="0052026E"/>
    <w:rsid w:val="00524695"/>
    <w:rsid w:val="00525FEB"/>
    <w:rsid w:val="00526980"/>
    <w:rsid w:val="005275A8"/>
    <w:rsid w:val="005305CC"/>
    <w:rsid w:val="00533266"/>
    <w:rsid w:val="00533377"/>
    <w:rsid w:val="00534F9A"/>
    <w:rsid w:val="00536275"/>
    <w:rsid w:val="0054273A"/>
    <w:rsid w:val="0054606F"/>
    <w:rsid w:val="0054660F"/>
    <w:rsid w:val="00547156"/>
    <w:rsid w:val="00547728"/>
    <w:rsid w:val="00547934"/>
    <w:rsid w:val="005509F7"/>
    <w:rsid w:val="00550C70"/>
    <w:rsid w:val="00551725"/>
    <w:rsid w:val="005524D1"/>
    <w:rsid w:val="00553908"/>
    <w:rsid w:val="005552D6"/>
    <w:rsid w:val="00555CDE"/>
    <w:rsid w:val="00556EFD"/>
    <w:rsid w:val="00560CAE"/>
    <w:rsid w:val="0056127D"/>
    <w:rsid w:val="00561773"/>
    <w:rsid w:val="005631E7"/>
    <w:rsid w:val="00563723"/>
    <w:rsid w:val="005648C7"/>
    <w:rsid w:val="00564D3E"/>
    <w:rsid w:val="00565E1F"/>
    <w:rsid w:val="0056700D"/>
    <w:rsid w:val="0057082A"/>
    <w:rsid w:val="00572097"/>
    <w:rsid w:val="00572D74"/>
    <w:rsid w:val="00573072"/>
    <w:rsid w:val="00573E05"/>
    <w:rsid w:val="00574094"/>
    <w:rsid w:val="00575E7B"/>
    <w:rsid w:val="00583C17"/>
    <w:rsid w:val="00584BC6"/>
    <w:rsid w:val="00586E82"/>
    <w:rsid w:val="00592A9D"/>
    <w:rsid w:val="00592C82"/>
    <w:rsid w:val="00592DBE"/>
    <w:rsid w:val="005932C1"/>
    <w:rsid w:val="0059399D"/>
    <w:rsid w:val="005944B1"/>
    <w:rsid w:val="005A0A54"/>
    <w:rsid w:val="005A2B3E"/>
    <w:rsid w:val="005A3824"/>
    <w:rsid w:val="005A3D13"/>
    <w:rsid w:val="005A5231"/>
    <w:rsid w:val="005A5666"/>
    <w:rsid w:val="005A72C2"/>
    <w:rsid w:val="005A7771"/>
    <w:rsid w:val="005A7D29"/>
    <w:rsid w:val="005B0B47"/>
    <w:rsid w:val="005B2890"/>
    <w:rsid w:val="005B4237"/>
    <w:rsid w:val="005B484A"/>
    <w:rsid w:val="005B5206"/>
    <w:rsid w:val="005B5D0E"/>
    <w:rsid w:val="005B5EF2"/>
    <w:rsid w:val="005B63E6"/>
    <w:rsid w:val="005B65BC"/>
    <w:rsid w:val="005C1528"/>
    <w:rsid w:val="005C3731"/>
    <w:rsid w:val="005C5197"/>
    <w:rsid w:val="005C5C7E"/>
    <w:rsid w:val="005D3DDB"/>
    <w:rsid w:val="005D57CF"/>
    <w:rsid w:val="005D63D7"/>
    <w:rsid w:val="005D7141"/>
    <w:rsid w:val="005E03B1"/>
    <w:rsid w:val="005E0B7B"/>
    <w:rsid w:val="005E1151"/>
    <w:rsid w:val="005E23C7"/>
    <w:rsid w:val="005E25D2"/>
    <w:rsid w:val="005E4662"/>
    <w:rsid w:val="005E6218"/>
    <w:rsid w:val="005E633F"/>
    <w:rsid w:val="005E670D"/>
    <w:rsid w:val="005F1557"/>
    <w:rsid w:val="005F546E"/>
    <w:rsid w:val="005F7B10"/>
    <w:rsid w:val="005F7BA0"/>
    <w:rsid w:val="006003DB"/>
    <w:rsid w:val="0060075E"/>
    <w:rsid w:val="006021FB"/>
    <w:rsid w:val="00602285"/>
    <w:rsid w:val="00602596"/>
    <w:rsid w:val="00603221"/>
    <w:rsid w:val="0060331F"/>
    <w:rsid w:val="00604C26"/>
    <w:rsid w:val="00607E83"/>
    <w:rsid w:val="00610335"/>
    <w:rsid w:val="00612819"/>
    <w:rsid w:val="00613277"/>
    <w:rsid w:val="006141C1"/>
    <w:rsid w:val="00614FF3"/>
    <w:rsid w:val="00616248"/>
    <w:rsid w:val="0062084E"/>
    <w:rsid w:val="00623343"/>
    <w:rsid w:val="00624062"/>
    <w:rsid w:val="00624E3A"/>
    <w:rsid w:val="00624EB8"/>
    <w:rsid w:val="00625938"/>
    <w:rsid w:val="00625A72"/>
    <w:rsid w:val="00627167"/>
    <w:rsid w:val="006277AA"/>
    <w:rsid w:val="00627C87"/>
    <w:rsid w:val="006301D5"/>
    <w:rsid w:val="0063112F"/>
    <w:rsid w:val="00631901"/>
    <w:rsid w:val="006325DA"/>
    <w:rsid w:val="00632C96"/>
    <w:rsid w:val="0063388F"/>
    <w:rsid w:val="00633DBB"/>
    <w:rsid w:val="00640C8F"/>
    <w:rsid w:val="00641523"/>
    <w:rsid w:val="006423ED"/>
    <w:rsid w:val="006436D8"/>
    <w:rsid w:val="006446F9"/>
    <w:rsid w:val="006453C7"/>
    <w:rsid w:val="006462DC"/>
    <w:rsid w:val="00647D27"/>
    <w:rsid w:val="00651228"/>
    <w:rsid w:val="0065288B"/>
    <w:rsid w:val="00652E13"/>
    <w:rsid w:val="00652E83"/>
    <w:rsid w:val="0065469D"/>
    <w:rsid w:val="006550AF"/>
    <w:rsid w:val="00656458"/>
    <w:rsid w:val="0065646A"/>
    <w:rsid w:val="00656C0A"/>
    <w:rsid w:val="00657F1D"/>
    <w:rsid w:val="00663553"/>
    <w:rsid w:val="00663E54"/>
    <w:rsid w:val="00664C71"/>
    <w:rsid w:val="00665202"/>
    <w:rsid w:val="006652FB"/>
    <w:rsid w:val="006655DF"/>
    <w:rsid w:val="0066644C"/>
    <w:rsid w:val="00666BC8"/>
    <w:rsid w:val="00666E59"/>
    <w:rsid w:val="00667C75"/>
    <w:rsid w:val="00667F0B"/>
    <w:rsid w:val="00672292"/>
    <w:rsid w:val="00673FB3"/>
    <w:rsid w:val="00674D46"/>
    <w:rsid w:val="0067619E"/>
    <w:rsid w:val="0068082B"/>
    <w:rsid w:val="006813F3"/>
    <w:rsid w:val="006825EF"/>
    <w:rsid w:val="00683556"/>
    <w:rsid w:val="00683F0B"/>
    <w:rsid w:val="00685B00"/>
    <w:rsid w:val="00687854"/>
    <w:rsid w:val="00687EA3"/>
    <w:rsid w:val="00690FFE"/>
    <w:rsid w:val="00691D36"/>
    <w:rsid w:val="00692571"/>
    <w:rsid w:val="00692899"/>
    <w:rsid w:val="006935D6"/>
    <w:rsid w:val="006949F6"/>
    <w:rsid w:val="006A0DC9"/>
    <w:rsid w:val="006A0E3D"/>
    <w:rsid w:val="006A2723"/>
    <w:rsid w:val="006A4E48"/>
    <w:rsid w:val="006A5319"/>
    <w:rsid w:val="006A5783"/>
    <w:rsid w:val="006A628E"/>
    <w:rsid w:val="006A7BE9"/>
    <w:rsid w:val="006B15AA"/>
    <w:rsid w:val="006B365B"/>
    <w:rsid w:val="006B38D7"/>
    <w:rsid w:val="006B3AEA"/>
    <w:rsid w:val="006B5328"/>
    <w:rsid w:val="006B587F"/>
    <w:rsid w:val="006B5999"/>
    <w:rsid w:val="006B5F53"/>
    <w:rsid w:val="006B64D9"/>
    <w:rsid w:val="006B6DA0"/>
    <w:rsid w:val="006B6DBA"/>
    <w:rsid w:val="006C0F87"/>
    <w:rsid w:val="006C1128"/>
    <w:rsid w:val="006C1838"/>
    <w:rsid w:val="006C1A0D"/>
    <w:rsid w:val="006C1CA8"/>
    <w:rsid w:val="006C21A5"/>
    <w:rsid w:val="006C2692"/>
    <w:rsid w:val="006C29A4"/>
    <w:rsid w:val="006C39D3"/>
    <w:rsid w:val="006C43B1"/>
    <w:rsid w:val="006C4B26"/>
    <w:rsid w:val="006C5916"/>
    <w:rsid w:val="006C7053"/>
    <w:rsid w:val="006C7293"/>
    <w:rsid w:val="006D2EFF"/>
    <w:rsid w:val="006D307B"/>
    <w:rsid w:val="006D3710"/>
    <w:rsid w:val="006D40C6"/>
    <w:rsid w:val="006D4F50"/>
    <w:rsid w:val="006E0E26"/>
    <w:rsid w:val="006E369F"/>
    <w:rsid w:val="006E4610"/>
    <w:rsid w:val="006E5057"/>
    <w:rsid w:val="006E6D9C"/>
    <w:rsid w:val="006E794F"/>
    <w:rsid w:val="006F073A"/>
    <w:rsid w:val="006F07B6"/>
    <w:rsid w:val="006F0AF3"/>
    <w:rsid w:val="006F2149"/>
    <w:rsid w:val="006F2E03"/>
    <w:rsid w:val="006F4AA4"/>
    <w:rsid w:val="006F4CC2"/>
    <w:rsid w:val="006F62E0"/>
    <w:rsid w:val="00704727"/>
    <w:rsid w:val="0070573B"/>
    <w:rsid w:val="00706416"/>
    <w:rsid w:val="00706A14"/>
    <w:rsid w:val="00710689"/>
    <w:rsid w:val="00710AA3"/>
    <w:rsid w:val="00710E5A"/>
    <w:rsid w:val="0071367A"/>
    <w:rsid w:val="0071716D"/>
    <w:rsid w:val="00720AFD"/>
    <w:rsid w:val="0072180E"/>
    <w:rsid w:val="00724DF2"/>
    <w:rsid w:val="00725637"/>
    <w:rsid w:val="007261B0"/>
    <w:rsid w:val="007266CD"/>
    <w:rsid w:val="007271E0"/>
    <w:rsid w:val="00727AD6"/>
    <w:rsid w:val="00727F61"/>
    <w:rsid w:val="0073017E"/>
    <w:rsid w:val="007307CB"/>
    <w:rsid w:val="0073120F"/>
    <w:rsid w:val="00731644"/>
    <w:rsid w:val="00731F85"/>
    <w:rsid w:val="00732384"/>
    <w:rsid w:val="00734D04"/>
    <w:rsid w:val="00735BB1"/>
    <w:rsid w:val="007361A6"/>
    <w:rsid w:val="00736A3B"/>
    <w:rsid w:val="00736BCE"/>
    <w:rsid w:val="00736F74"/>
    <w:rsid w:val="00737335"/>
    <w:rsid w:val="00740E0F"/>
    <w:rsid w:val="00740F49"/>
    <w:rsid w:val="007445D2"/>
    <w:rsid w:val="00744AA2"/>
    <w:rsid w:val="00745236"/>
    <w:rsid w:val="00746189"/>
    <w:rsid w:val="007465F3"/>
    <w:rsid w:val="00747907"/>
    <w:rsid w:val="00747ACE"/>
    <w:rsid w:val="007507B9"/>
    <w:rsid w:val="0075140A"/>
    <w:rsid w:val="00751553"/>
    <w:rsid w:val="007612BF"/>
    <w:rsid w:val="00762482"/>
    <w:rsid w:val="00762F3D"/>
    <w:rsid w:val="00763CA0"/>
    <w:rsid w:val="0077016D"/>
    <w:rsid w:val="00772C25"/>
    <w:rsid w:val="00774231"/>
    <w:rsid w:val="00774857"/>
    <w:rsid w:val="007752CE"/>
    <w:rsid w:val="0077614A"/>
    <w:rsid w:val="0077639D"/>
    <w:rsid w:val="00776A62"/>
    <w:rsid w:val="00776C3C"/>
    <w:rsid w:val="00776CA5"/>
    <w:rsid w:val="00781777"/>
    <w:rsid w:val="0078442F"/>
    <w:rsid w:val="007853AE"/>
    <w:rsid w:val="007906CE"/>
    <w:rsid w:val="007911AC"/>
    <w:rsid w:val="007911C6"/>
    <w:rsid w:val="0079156C"/>
    <w:rsid w:val="00791E84"/>
    <w:rsid w:val="00792607"/>
    <w:rsid w:val="007930EE"/>
    <w:rsid w:val="00793683"/>
    <w:rsid w:val="00794B00"/>
    <w:rsid w:val="00795EC1"/>
    <w:rsid w:val="007960F0"/>
    <w:rsid w:val="00796683"/>
    <w:rsid w:val="00796FF4"/>
    <w:rsid w:val="007973D6"/>
    <w:rsid w:val="007A1BAB"/>
    <w:rsid w:val="007A1F6E"/>
    <w:rsid w:val="007A2143"/>
    <w:rsid w:val="007A2890"/>
    <w:rsid w:val="007A28E4"/>
    <w:rsid w:val="007A36CF"/>
    <w:rsid w:val="007A4DFC"/>
    <w:rsid w:val="007A56E1"/>
    <w:rsid w:val="007A64D1"/>
    <w:rsid w:val="007A65B4"/>
    <w:rsid w:val="007B0383"/>
    <w:rsid w:val="007B0AC7"/>
    <w:rsid w:val="007B10CF"/>
    <w:rsid w:val="007B2F4B"/>
    <w:rsid w:val="007B3B4F"/>
    <w:rsid w:val="007B4238"/>
    <w:rsid w:val="007C0C5F"/>
    <w:rsid w:val="007C20A0"/>
    <w:rsid w:val="007C325F"/>
    <w:rsid w:val="007C626F"/>
    <w:rsid w:val="007C64E8"/>
    <w:rsid w:val="007C6BF2"/>
    <w:rsid w:val="007D1C0A"/>
    <w:rsid w:val="007D1C28"/>
    <w:rsid w:val="007D1E0E"/>
    <w:rsid w:val="007D280A"/>
    <w:rsid w:val="007D2F1A"/>
    <w:rsid w:val="007D2F7B"/>
    <w:rsid w:val="007D33B2"/>
    <w:rsid w:val="007D5472"/>
    <w:rsid w:val="007D7459"/>
    <w:rsid w:val="007D79A7"/>
    <w:rsid w:val="007E14A3"/>
    <w:rsid w:val="007E1A04"/>
    <w:rsid w:val="007E1ADD"/>
    <w:rsid w:val="007E1B5F"/>
    <w:rsid w:val="007E40DA"/>
    <w:rsid w:val="007E4631"/>
    <w:rsid w:val="007E5070"/>
    <w:rsid w:val="007E564E"/>
    <w:rsid w:val="007E739A"/>
    <w:rsid w:val="007E7748"/>
    <w:rsid w:val="007E7E63"/>
    <w:rsid w:val="007F11CC"/>
    <w:rsid w:val="007F2B56"/>
    <w:rsid w:val="007F3C1A"/>
    <w:rsid w:val="007F57EE"/>
    <w:rsid w:val="007F71E5"/>
    <w:rsid w:val="007F74F7"/>
    <w:rsid w:val="007F7A77"/>
    <w:rsid w:val="007F7F93"/>
    <w:rsid w:val="008002E4"/>
    <w:rsid w:val="00801CA4"/>
    <w:rsid w:val="00805222"/>
    <w:rsid w:val="00807AED"/>
    <w:rsid w:val="0081045F"/>
    <w:rsid w:val="0081200B"/>
    <w:rsid w:val="00814003"/>
    <w:rsid w:val="00814175"/>
    <w:rsid w:val="00816601"/>
    <w:rsid w:val="00820B96"/>
    <w:rsid w:val="00820B9D"/>
    <w:rsid w:val="00822866"/>
    <w:rsid w:val="00822D86"/>
    <w:rsid w:val="008246EE"/>
    <w:rsid w:val="0083122B"/>
    <w:rsid w:val="0083307A"/>
    <w:rsid w:val="00834498"/>
    <w:rsid w:val="008344E7"/>
    <w:rsid w:val="00840866"/>
    <w:rsid w:val="008416F8"/>
    <w:rsid w:val="00844246"/>
    <w:rsid w:val="00844C9E"/>
    <w:rsid w:val="00845BFD"/>
    <w:rsid w:val="008479B1"/>
    <w:rsid w:val="00850212"/>
    <w:rsid w:val="008504E7"/>
    <w:rsid w:val="00850E89"/>
    <w:rsid w:val="0085131D"/>
    <w:rsid w:val="00852C44"/>
    <w:rsid w:val="00855B8E"/>
    <w:rsid w:val="00856C5E"/>
    <w:rsid w:val="008573C3"/>
    <w:rsid w:val="008603F2"/>
    <w:rsid w:val="0086056F"/>
    <w:rsid w:val="00861372"/>
    <w:rsid w:val="00861FAB"/>
    <w:rsid w:val="0086255B"/>
    <w:rsid w:val="0086304F"/>
    <w:rsid w:val="00863BE7"/>
    <w:rsid w:val="00864C0D"/>
    <w:rsid w:val="00867266"/>
    <w:rsid w:val="0087151B"/>
    <w:rsid w:val="0087232F"/>
    <w:rsid w:val="0087259E"/>
    <w:rsid w:val="00872902"/>
    <w:rsid w:val="00873DAE"/>
    <w:rsid w:val="008757C3"/>
    <w:rsid w:val="00876B7C"/>
    <w:rsid w:val="00876F84"/>
    <w:rsid w:val="00880749"/>
    <w:rsid w:val="008832BE"/>
    <w:rsid w:val="00884E1C"/>
    <w:rsid w:val="0088531D"/>
    <w:rsid w:val="008857E5"/>
    <w:rsid w:val="00885A5A"/>
    <w:rsid w:val="00890A0F"/>
    <w:rsid w:val="00891A1C"/>
    <w:rsid w:val="008923CC"/>
    <w:rsid w:val="00894818"/>
    <w:rsid w:val="008951B7"/>
    <w:rsid w:val="00895AAB"/>
    <w:rsid w:val="008A12A0"/>
    <w:rsid w:val="008A1A4A"/>
    <w:rsid w:val="008A1AD8"/>
    <w:rsid w:val="008A283C"/>
    <w:rsid w:val="008A3C1A"/>
    <w:rsid w:val="008A547C"/>
    <w:rsid w:val="008A784B"/>
    <w:rsid w:val="008A7FC6"/>
    <w:rsid w:val="008B08DE"/>
    <w:rsid w:val="008B0938"/>
    <w:rsid w:val="008B0A42"/>
    <w:rsid w:val="008B0E5B"/>
    <w:rsid w:val="008B13C8"/>
    <w:rsid w:val="008B1FD9"/>
    <w:rsid w:val="008B2527"/>
    <w:rsid w:val="008B345C"/>
    <w:rsid w:val="008B435D"/>
    <w:rsid w:val="008B4C4F"/>
    <w:rsid w:val="008B503D"/>
    <w:rsid w:val="008B6ACC"/>
    <w:rsid w:val="008C1E88"/>
    <w:rsid w:val="008C4266"/>
    <w:rsid w:val="008C4B98"/>
    <w:rsid w:val="008C5373"/>
    <w:rsid w:val="008C608A"/>
    <w:rsid w:val="008C6141"/>
    <w:rsid w:val="008C6974"/>
    <w:rsid w:val="008C782F"/>
    <w:rsid w:val="008C7B5F"/>
    <w:rsid w:val="008D02C0"/>
    <w:rsid w:val="008D050C"/>
    <w:rsid w:val="008D0AA1"/>
    <w:rsid w:val="008D153C"/>
    <w:rsid w:val="008D1640"/>
    <w:rsid w:val="008D272D"/>
    <w:rsid w:val="008D3514"/>
    <w:rsid w:val="008D52C8"/>
    <w:rsid w:val="008D7A95"/>
    <w:rsid w:val="008D7C53"/>
    <w:rsid w:val="008E2AA9"/>
    <w:rsid w:val="008E2D5F"/>
    <w:rsid w:val="008E34D1"/>
    <w:rsid w:val="008E7BE4"/>
    <w:rsid w:val="008F15C7"/>
    <w:rsid w:val="008F1AE9"/>
    <w:rsid w:val="008F1DBB"/>
    <w:rsid w:val="008F348A"/>
    <w:rsid w:val="008F5D04"/>
    <w:rsid w:val="008F5EC2"/>
    <w:rsid w:val="008F61D7"/>
    <w:rsid w:val="00901131"/>
    <w:rsid w:val="00901DFA"/>
    <w:rsid w:val="00902521"/>
    <w:rsid w:val="00902F8B"/>
    <w:rsid w:val="009037A0"/>
    <w:rsid w:val="00905DA0"/>
    <w:rsid w:val="00905DDC"/>
    <w:rsid w:val="00906126"/>
    <w:rsid w:val="00907BF1"/>
    <w:rsid w:val="009125B7"/>
    <w:rsid w:val="009126BC"/>
    <w:rsid w:val="00913005"/>
    <w:rsid w:val="00913F29"/>
    <w:rsid w:val="00914368"/>
    <w:rsid w:val="00914907"/>
    <w:rsid w:val="0091516C"/>
    <w:rsid w:val="00915DE5"/>
    <w:rsid w:val="009165A8"/>
    <w:rsid w:val="009175D1"/>
    <w:rsid w:val="00917CD4"/>
    <w:rsid w:val="00921A15"/>
    <w:rsid w:val="00921C00"/>
    <w:rsid w:val="0092394B"/>
    <w:rsid w:val="00925452"/>
    <w:rsid w:val="00925CCB"/>
    <w:rsid w:val="00926405"/>
    <w:rsid w:val="00927839"/>
    <w:rsid w:val="00930A65"/>
    <w:rsid w:val="00933773"/>
    <w:rsid w:val="00934627"/>
    <w:rsid w:val="00934B59"/>
    <w:rsid w:val="00935232"/>
    <w:rsid w:val="00935E44"/>
    <w:rsid w:val="00937C84"/>
    <w:rsid w:val="009408E6"/>
    <w:rsid w:val="0094158B"/>
    <w:rsid w:val="009436F5"/>
    <w:rsid w:val="00943774"/>
    <w:rsid w:val="00946634"/>
    <w:rsid w:val="00946695"/>
    <w:rsid w:val="00946C05"/>
    <w:rsid w:val="0094732F"/>
    <w:rsid w:val="009502C0"/>
    <w:rsid w:val="00950753"/>
    <w:rsid w:val="0095165F"/>
    <w:rsid w:val="00952225"/>
    <w:rsid w:val="009522BF"/>
    <w:rsid w:val="0095255B"/>
    <w:rsid w:val="00952C7E"/>
    <w:rsid w:val="00955AFE"/>
    <w:rsid w:val="00956BBD"/>
    <w:rsid w:val="00956F84"/>
    <w:rsid w:val="009620A9"/>
    <w:rsid w:val="00962246"/>
    <w:rsid w:val="00964AFD"/>
    <w:rsid w:val="00964DD2"/>
    <w:rsid w:val="0096517B"/>
    <w:rsid w:val="009651CC"/>
    <w:rsid w:val="00965A70"/>
    <w:rsid w:val="00966FF2"/>
    <w:rsid w:val="0097332F"/>
    <w:rsid w:val="009752B9"/>
    <w:rsid w:val="00975C08"/>
    <w:rsid w:val="00977EBB"/>
    <w:rsid w:val="009824C9"/>
    <w:rsid w:val="00983381"/>
    <w:rsid w:val="00983F07"/>
    <w:rsid w:val="00985793"/>
    <w:rsid w:val="00987D0A"/>
    <w:rsid w:val="00992385"/>
    <w:rsid w:val="00993353"/>
    <w:rsid w:val="00993692"/>
    <w:rsid w:val="0099443D"/>
    <w:rsid w:val="00994869"/>
    <w:rsid w:val="009951B3"/>
    <w:rsid w:val="00997A87"/>
    <w:rsid w:val="00997D55"/>
    <w:rsid w:val="009A22FB"/>
    <w:rsid w:val="009A2DAC"/>
    <w:rsid w:val="009A52C8"/>
    <w:rsid w:val="009A5A3A"/>
    <w:rsid w:val="009A5BC0"/>
    <w:rsid w:val="009B08D0"/>
    <w:rsid w:val="009B2B86"/>
    <w:rsid w:val="009B2E02"/>
    <w:rsid w:val="009B31F9"/>
    <w:rsid w:val="009B479B"/>
    <w:rsid w:val="009B57A4"/>
    <w:rsid w:val="009B5836"/>
    <w:rsid w:val="009B5EC5"/>
    <w:rsid w:val="009B6F7B"/>
    <w:rsid w:val="009B7581"/>
    <w:rsid w:val="009B7E17"/>
    <w:rsid w:val="009B7F1C"/>
    <w:rsid w:val="009C43C2"/>
    <w:rsid w:val="009C506F"/>
    <w:rsid w:val="009C5421"/>
    <w:rsid w:val="009C55C0"/>
    <w:rsid w:val="009C5C04"/>
    <w:rsid w:val="009C620F"/>
    <w:rsid w:val="009C76D2"/>
    <w:rsid w:val="009C7FE7"/>
    <w:rsid w:val="009D0363"/>
    <w:rsid w:val="009D1D40"/>
    <w:rsid w:val="009D3AB8"/>
    <w:rsid w:val="009D4291"/>
    <w:rsid w:val="009D5124"/>
    <w:rsid w:val="009D6328"/>
    <w:rsid w:val="009D6870"/>
    <w:rsid w:val="009D72D4"/>
    <w:rsid w:val="009E0572"/>
    <w:rsid w:val="009E1638"/>
    <w:rsid w:val="009E3ED7"/>
    <w:rsid w:val="009E4060"/>
    <w:rsid w:val="009E46E2"/>
    <w:rsid w:val="009E663F"/>
    <w:rsid w:val="009F0397"/>
    <w:rsid w:val="009F1A4A"/>
    <w:rsid w:val="009F2C73"/>
    <w:rsid w:val="009F393B"/>
    <w:rsid w:val="009F3991"/>
    <w:rsid w:val="009F4DF5"/>
    <w:rsid w:val="009F57FE"/>
    <w:rsid w:val="009F62B8"/>
    <w:rsid w:val="009F6312"/>
    <w:rsid w:val="00A0062C"/>
    <w:rsid w:val="00A016E0"/>
    <w:rsid w:val="00A02C4C"/>
    <w:rsid w:val="00A044FD"/>
    <w:rsid w:val="00A06118"/>
    <w:rsid w:val="00A071C6"/>
    <w:rsid w:val="00A104A7"/>
    <w:rsid w:val="00A13AE2"/>
    <w:rsid w:val="00A13F74"/>
    <w:rsid w:val="00A15DC8"/>
    <w:rsid w:val="00A21133"/>
    <w:rsid w:val="00A21E59"/>
    <w:rsid w:val="00A22185"/>
    <w:rsid w:val="00A23126"/>
    <w:rsid w:val="00A242D3"/>
    <w:rsid w:val="00A2539A"/>
    <w:rsid w:val="00A258DC"/>
    <w:rsid w:val="00A26059"/>
    <w:rsid w:val="00A26F93"/>
    <w:rsid w:val="00A308EB"/>
    <w:rsid w:val="00A327E7"/>
    <w:rsid w:val="00A33348"/>
    <w:rsid w:val="00A34876"/>
    <w:rsid w:val="00A367D2"/>
    <w:rsid w:val="00A36CD4"/>
    <w:rsid w:val="00A37B63"/>
    <w:rsid w:val="00A4117B"/>
    <w:rsid w:val="00A43CCC"/>
    <w:rsid w:val="00A44375"/>
    <w:rsid w:val="00A475E6"/>
    <w:rsid w:val="00A5036E"/>
    <w:rsid w:val="00A51B77"/>
    <w:rsid w:val="00A51EEC"/>
    <w:rsid w:val="00A521D1"/>
    <w:rsid w:val="00A5240D"/>
    <w:rsid w:val="00A52969"/>
    <w:rsid w:val="00A52A5D"/>
    <w:rsid w:val="00A55CCC"/>
    <w:rsid w:val="00A56163"/>
    <w:rsid w:val="00A56357"/>
    <w:rsid w:val="00A60A45"/>
    <w:rsid w:val="00A60A4B"/>
    <w:rsid w:val="00A61517"/>
    <w:rsid w:val="00A6154E"/>
    <w:rsid w:val="00A6169E"/>
    <w:rsid w:val="00A62E95"/>
    <w:rsid w:val="00A660F1"/>
    <w:rsid w:val="00A667B3"/>
    <w:rsid w:val="00A669C7"/>
    <w:rsid w:val="00A676B6"/>
    <w:rsid w:val="00A67B99"/>
    <w:rsid w:val="00A67D7C"/>
    <w:rsid w:val="00A67DD8"/>
    <w:rsid w:val="00A7341F"/>
    <w:rsid w:val="00A736A1"/>
    <w:rsid w:val="00A744B1"/>
    <w:rsid w:val="00A768CA"/>
    <w:rsid w:val="00A77676"/>
    <w:rsid w:val="00A7784F"/>
    <w:rsid w:val="00A77907"/>
    <w:rsid w:val="00A8149B"/>
    <w:rsid w:val="00A822C9"/>
    <w:rsid w:val="00A824F3"/>
    <w:rsid w:val="00A82509"/>
    <w:rsid w:val="00A844F3"/>
    <w:rsid w:val="00A85073"/>
    <w:rsid w:val="00A851E6"/>
    <w:rsid w:val="00A85749"/>
    <w:rsid w:val="00A87373"/>
    <w:rsid w:val="00A873D9"/>
    <w:rsid w:val="00A94F9B"/>
    <w:rsid w:val="00A95BB0"/>
    <w:rsid w:val="00A969D0"/>
    <w:rsid w:val="00A974AD"/>
    <w:rsid w:val="00AA1479"/>
    <w:rsid w:val="00AA2D81"/>
    <w:rsid w:val="00AA5FCC"/>
    <w:rsid w:val="00AA66A3"/>
    <w:rsid w:val="00AA66D2"/>
    <w:rsid w:val="00AA6929"/>
    <w:rsid w:val="00AA76A7"/>
    <w:rsid w:val="00AA7C3B"/>
    <w:rsid w:val="00AB068A"/>
    <w:rsid w:val="00AB18B5"/>
    <w:rsid w:val="00AB2FAB"/>
    <w:rsid w:val="00AB3042"/>
    <w:rsid w:val="00AB4FB8"/>
    <w:rsid w:val="00AB5227"/>
    <w:rsid w:val="00AB7A13"/>
    <w:rsid w:val="00AC1181"/>
    <w:rsid w:val="00AC12B7"/>
    <w:rsid w:val="00AC22C2"/>
    <w:rsid w:val="00AC3123"/>
    <w:rsid w:val="00AC34D4"/>
    <w:rsid w:val="00AC34EE"/>
    <w:rsid w:val="00AC4BDD"/>
    <w:rsid w:val="00AD08B4"/>
    <w:rsid w:val="00AD1B3E"/>
    <w:rsid w:val="00AD207F"/>
    <w:rsid w:val="00AD24B4"/>
    <w:rsid w:val="00AD2FD8"/>
    <w:rsid w:val="00AD67D0"/>
    <w:rsid w:val="00AD78AF"/>
    <w:rsid w:val="00AE18C9"/>
    <w:rsid w:val="00AE4137"/>
    <w:rsid w:val="00AE485F"/>
    <w:rsid w:val="00AE499E"/>
    <w:rsid w:val="00AE5428"/>
    <w:rsid w:val="00AE55AE"/>
    <w:rsid w:val="00AE569B"/>
    <w:rsid w:val="00AE5F3E"/>
    <w:rsid w:val="00AE76F7"/>
    <w:rsid w:val="00AE7A22"/>
    <w:rsid w:val="00AF1669"/>
    <w:rsid w:val="00AF18F2"/>
    <w:rsid w:val="00AF2EBF"/>
    <w:rsid w:val="00AF3250"/>
    <w:rsid w:val="00AF3252"/>
    <w:rsid w:val="00AF45D4"/>
    <w:rsid w:val="00AF5117"/>
    <w:rsid w:val="00AF5CFF"/>
    <w:rsid w:val="00AF6800"/>
    <w:rsid w:val="00B006BC"/>
    <w:rsid w:val="00B01633"/>
    <w:rsid w:val="00B0183E"/>
    <w:rsid w:val="00B02558"/>
    <w:rsid w:val="00B0285F"/>
    <w:rsid w:val="00B0383C"/>
    <w:rsid w:val="00B041DD"/>
    <w:rsid w:val="00B0431C"/>
    <w:rsid w:val="00B043AC"/>
    <w:rsid w:val="00B05E55"/>
    <w:rsid w:val="00B05E94"/>
    <w:rsid w:val="00B06EC2"/>
    <w:rsid w:val="00B11532"/>
    <w:rsid w:val="00B139E1"/>
    <w:rsid w:val="00B14B98"/>
    <w:rsid w:val="00B1581A"/>
    <w:rsid w:val="00B17DE4"/>
    <w:rsid w:val="00B20BE2"/>
    <w:rsid w:val="00B21045"/>
    <w:rsid w:val="00B21334"/>
    <w:rsid w:val="00B22ACD"/>
    <w:rsid w:val="00B25116"/>
    <w:rsid w:val="00B25313"/>
    <w:rsid w:val="00B25A7B"/>
    <w:rsid w:val="00B25C86"/>
    <w:rsid w:val="00B25D20"/>
    <w:rsid w:val="00B266F1"/>
    <w:rsid w:val="00B26F08"/>
    <w:rsid w:val="00B26FC3"/>
    <w:rsid w:val="00B27996"/>
    <w:rsid w:val="00B30DED"/>
    <w:rsid w:val="00B32B06"/>
    <w:rsid w:val="00B33532"/>
    <w:rsid w:val="00B335C3"/>
    <w:rsid w:val="00B34D64"/>
    <w:rsid w:val="00B35946"/>
    <w:rsid w:val="00B35EBC"/>
    <w:rsid w:val="00B35F74"/>
    <w:rsid w:val="00B36991"/>
    <w:rsid w:val="00B369D9"/>
    <w:rsid w:val="00B40CBC"/>
    <w:rsid w:val="00B4122A"/>
    <w:rsid w:val="00B41CE5"/>
    <w:rsid w:val="00B42024"/>
    <w:rsid w:val="00B439A4"/>
    <w:rsid w:val="00B44031"/>
    <w:rsid w:val="00B44AC6"/>
    <w:rsid w:val="00B47498"/>
    <w:rsid w:val="00B50198"/>
    <w:rsid w:val="00B51B65"/>
    <w:rsid w:val="00B5218C"/>
    <w:rsid w:val="00B52374"/>
    <w:rsid w:val="00B530C4"/>
    <w:rsid w:val="00B57908"/>
    <w:rsid w:val="00B57B0B"/>
    <w:rsid w:val="00B60FBA"/>
    <w:rsid w:val="00B613D6"/>
    <w:rsid w:val="00B62817"/>
    <w:rsid w:val="00B645D3"/>
    <w:rsid w:val="00B65D50"/>
    <w:rsid w:val="00B65DD1"/>
    <w:rsid w:val="00B7101A"/>
    <w:rsid w:val="00B73688"/>
    <w:rsid w:val="00B73B2E"/>
    <w:rsid w:val="00B73BFC"/>
    <w:rsid w:val="00B7438F"/>
    <w:rsid w:val="00B8029A"/>
    <w:rsid w:val="00B80712"/>
    <w:rsid w:val="00B80A5F"/>
    <w:rsid w:val="00B818D6"/>
    <w:rsid w:val="00B81920"/>
    <w:rsid w:val="00B83CBA"/>
    <w:rsid w:val="00B843B2"/>
    <w:rsid w:val="00B84AAA"/>
    <w:rsid w:val="00B84F3E"/>
    <w:rsid w:val="00B864E5"/>
    <w:rsid w:val="00B868D3"/>
    <w:rsid w:val="00B874D1"/>
    <w:rsid w:val="00B90825"/>
    <w:rsid w:val="00B91317"/>
    <w:rsid w:val="00B932B0"/>
    <w:rsid w:val="00B941FA"/>
    <w:rsid w:val="00B942BD"/>
    <w:rsid w:val="00B94973"/>
    <w:rsid w:val="00B95982"/>
    <w:rsid w:val="00B97FAD"/>
    <w:rsid w:val="00BA0864"/>
    <w:rsid w:val="00BA1D8A"/>
    <w:rsid w:val="00BA2A9C"/>
    <w:rsid w:val="00BA5D22"/>
    <w:rsid w:val="00BA65B3"/>
    <w:rsid w:val="00BB007A"/>
    <w:rsid w:val="00BB0B5F"/>
    <w:rsid w:val="00BB1094"/>
    <w:rsid w:val="00BB154E"/>
    <w:rsid w:val="00BB2C6F"/>
    <w:rsid w:val="00BB3D44"/>
    <w:rsid w:val="00BB4024"/>
    <w:rsid w:val="00BB535B"/>
    <w:rsid w:val="00BB55FD"/>
    <w:rsid w:val="00BB75BA"/>
    <w:rsid w:val="00BB7869"/>
    <w:rsid w:val="00BB7A4D"/>
    <w:rsid w:val="00BB7ED6"/>
    <w:rsid w:val="00BC0785"/>
    <w:rsid w:val="00BC110E"/>
    <w:rsid w:val="00BC1143"/>
    <w:rsid w:val="00BC1751"/>
    <w:rsid w:val="00BC2C64"/>
    <w:rsid w:val="00BC2E1D"/>
    <w:rsid w:val="00BC3E55"/>
    <w:rsid w:val="00BC54F6"/>
    <w:rsid w:val="00BC5694"/>
    <w:rsid w:val="00BC5BE0"/>
    <w:rsid w:val="00BC7588"/>
    <w:rsid w:val="00BC780C"/>
    <w:rsid w:val="00BD2C80"/>
    <w:rsid w:val="00BD2EB3"/>
    <w:rsid w:val="00BD75A3"/>
    <w:rsid w:val="00BE06BC"/>
    <w:rsid w:val="00BE14EB"/>
    <w:rsid w:val="00BE1F4B"/>
    <w:rsid w:val="00BE25B7"/>
    <w:rsid w:val="00BE25BE"/>
    <w:rsid w:val="00BE2E2E"/>
    <w:rsid w:val="00BE3AB5"/>
    <w:rsid w:val="00BE7BBF"/>
    <w:rsid w:val="00BF0DAA"/>
    <w:rsid w:val="00BF2E53"/>
    <w:rsid w:val="00BF3943"/>
    <w:rsid w:val="00BF4693"/>
    <w:rsid w:val="00BF550A"/>
    <w:rsid w:val="00C03AC6"/>
    <w:rsid w:val="00C04812"/>
    <w:rsid w:val="00C04AC3"/>
    <w:rsid w:val="00C062D5"/>
    <w:rsid w:val="00C1055E"/>
    <w:rsid w:val="00C118A5"/>
    <w:rsid w:val="00C13598"/>
    <w:rsid w:val="00C13EAD"/>
    <w:rsid w:val="00C143CA"/>
    <w:rsid w:val="00C151F4"/>
    <w:rsid w:val="00C16DE2"/>
    <w:rsid w:val="00C2216B"/>
    <w:rsid w:val="00C23627"/>
    <w:rsid w:val="00C249E5"/>
    <w:rsid w:val="00C24D0C"/>
    <w:rsid w:val="00C25C48"/>
    <w:rsid w:val="00C27142"/>
    <w:rsid w:val="00C27245"/>
    <w:rsid w:val="00C30A46"/>
    <w:rsid w:val="00C31F4D"/>
    <w:rsid w:val="00C33CA0"/>
    <w:rsid w:val="00C34714"/>
    <w:rsid w:val="00C347A3"/>
    <w:rsid w:val="00C34B70"/>
    <w:rsid w:val="00C3602E"/>
    <w:rsid w:val="00C364A7"/>
    <w:rsid w:val="00C3666C"/>
    <w:rsid w:val="00C40616"/>
    <w:rsid w:val="00C40E3B"/>
    <w:rsid w:val="00C42B5E"/>
    <w:rsid w:val="00C42C30"/>
    <w:rsid w:val="00C43275"/>
    <w:rsid w:val="00C44A86"/>
    <w:rsid w:val="00C45B95"/>
    <w:rsid w:val="00C47481"/>
    <w:rsid w:val="00C51C13"/>
    <w:rsid w:val="00C524B5"/>
    <w:rsid w:val="00C55516"/>
    <w:rsid w:val="00C556CC"/>
    <w:rsid w:val="00C562E0"/>
    <w:rsid w:val="00C56C01"/>
    <w:rsid w:val="00C57425"/>
    <w:rsid w:val="00C57FB1"/>
    <w:rsid w:val="00C60F15"/>
    <w:rsid w:val="00C647FC"/>
    <w:rsid w:val="00C653A0"/>
    <w:rsid w:val="00C702B7"/>
    <w:rsid w:val="00C74F10"/>
    <w:rsid w:val="00C75801"/>
    <w:rsid w:val="00C77735"/>
    <w:rsid w:val="00C81629"/>
    <w:rsid w:val="00C81712"/>
    <w:rsid w:val="00C81944"/>
    <w:rsid w:val="00C832FB"/>
    <w:rsid w:val="00C8419E"/>
    <w:rsid w:val="00C90FC8"/>
    <w:rsid w:val="00C910B2"/>
    <w:rsid w:val="00C936A2"/>
    <w:rsid w:val="00C93C19"/>
    <w:rsid w:val="00C94B75"/>
    <w:rsid w:val="00C95444"/>
    <w:rsid w:val="00C95604"/>
    <w:rsid w:val="00CA2843"/>
    <w:rsid w:val="00CA348E"/>
    <w:rsid w:val="00CA41D7"/>
    <w:rsid w:val="00CA4420"/>
    <w:rsid w:val="00CA4CB6"/>
    <w:rsid w:val="00CA68F9"/>
    <w:rsid w:val="00CA6CD5"/>
    <w:rsid w:val="00CA7C19"/>
    <w:rsid w:val="00CB00F2"/>
    <w:rsid w:val="00CB0CCC"/>
    <w:rsid w:val="00CB1E7C"/>
    <w:rsid w:val="00CB268A"/>
    <w:rsid w:val="00CB288A"/>
    <w:rsid w:val="00CB33DB"/>
    <w:rsid w:val="00CB38E2"/>
    <w:rsid w:val="00CB538E"/>
    <w:rsid w:val="00CB5C99"/>
    <w:rsid w:val="00CC01BE"/>
    <w:rsid w:val="00CC01C8"/>
    <w:rsid w:val="00CC023B"/>
    <w:rsid w:val="00CC410C"/>
    <w:rsid w:val="00CC478E"/>
    <w:rsid w:val="00CC48AD"/>
    <w:rsid w:val="00CC57E8"/>
    <w:rsid w:val="00CC67A3"/>
    <w:rsid w:val="00CD05EB"/>
    <w:rsid w:val="00CD1194"/>
    <w:rsid w:val="00CD170B"/>
    <w:rsid w:val="00CD2330"/>
    <w:rsid w:val="00CD269C"/>
    <w:rsid w:val="00CD2E5C"/>
    <w:rsid w:val="00CD328B"/>
    <w:rsid w:val="00CD7065"/>
    <w:rsid w:val="00CD7E0C"/>
    <w:rsid w:val="00CE1F74"/>
    <w:rsid w:val="00CE2135"/>
    <w:rsid w:val="00CE286C"/>
    <w:rsid w:val="00CE4691"/>
    <w:rsid w:val="00CE51C2"/>
    <w:rsid w:val="00CE546E"/>
    <w:rsid w:val="00CE7EDF"/>
    <w:rsid w:val="00CF0A51"/>
    <w:rsid w:val="00CF1188"/>
    <w:rsid w:val="00CF12A7"/>
    <w:rsid w:val="00CF1995"/>
    <w:rsid w:val="00CF2DDE"/>
    <w:rsid w:val="00CF2F1A"/>
    <w:rsid w:val="00CF4393"/>
    <w:rsid w:val="00CF4998"/>
    <w:rsid w:val="00CF64DC"/>
    <w:rsid w:val="00D00856"/>
    <w:rsid w:val="00D00DFA"/>
    <w:rsid w:val="00D03545"/>
    <w:rsid w:val="00D0704D"/>
    <w:rsid w:val="00D10324"/>
    <w:rsid w:val="00D10CE5"/>
    <w:rsid w:val="00D126C9"/>
    <w:rsid w:val="00D12A1D"/>
    <w:rsid w:val="00D13006"/>
    <w:rsid w:val="00D13B98"/>
    <w:rsid w:val="00D13D2A"/>
    <w:rsid w:val="00D144F1"/>
    <w:rsid w:val="00D16D2E"/>
    <w:rsid w:val="00D17CE3"/>
    <w:rsid w:val="00D20D27"/>
    <w:rsid w:val="00D2216E"/>
    <w:rsid w:val="00D22FD9"/>
    <w:rsid w:val="00D2590E"/>
    <w:rsid w:val="00D26A58"/>
    <w:rsid w:val="00D2742C"/>
    <w:rsid w:val="00D308F7"/>
    <w:rsid w:val="00D31762"/>
    <w:rsid w:val="00D32B77"/>
    <w:rsid w:val="00D339D1"/>
    <w:rsid w:val="00D36749"/>
    <w:rsid w:val="00D40B26"/>
    <w:rsid w:val="00D40B35"/>
    <w:rsid w:val="00D42D91"/>
    <w:rsid w:val="00D43100"/>
    <w:rsid w:val="00D4397E"/>
    <w:rsid w:val="00D462D5"/>
    <w:rsid w:val="00D533CE"/>
    <w:rsid w:val="00D542C2"/>
    <w:rsid w:val="00D558A2"/>
    <w:rsid w:val="00D572FC"/>
    <w:rsid w:val="00D57C02"/>
    <w:rsid w:val="00D613E1"/>
    <w:rsid w:val="00D61601"/>
    <w:rsid w:val="00D6322C"/>
    <w:rsid w:val="00D63B04"/>
    <w:rsid w:val="00D64DD9"/>
    <w:rsid w:val="00D65312"/>
    <w:rsid w:val="00D66947"/>
    <w:rsid w:val="00D67441"/>
    <w:rsid w:val="00D67F2F"/>
    <w:rsid w:val="00D70857"/>
    <w:rsid w:val="00D70DC3"/>
    <w:rsid w:val="00D71356"/>
    <w:rsid w:val="00D72EC2"/>
    <w:rsid w:val="00D73004"/>
    <w:rsid w:val="00D758FD"/>
    <w:rsid w:val="00D75B57"/>
    <w:rsid w:val="00D776D1"/>
    <w:rsid w:val="00D777AA"/>
    <w:rsid w:val="00D77EFF"/>
    <w:rsid w:val="00D81C0E"/>
    <w:rsid w:val="00D82C18"/>
    <w:rsid w:val="00D84483"/>
    <w:rsid w:val="00D851B6"/>
    <w:rsid w:val="00D86286"/>
    <w:rsid w:val="00D86D1A"/>
    <w:rsid w:val="00D87D9A"/>
    <w:rsid w:val="00D900F2"/>
    <w:rsid w:val="00D90BE9"/>
    <w:rsid w:val="00D918EA"/>
    <w:rsid w:val="00D91E6C"/>
    <w:rsid w:val="00D9499E"/>
    <w:rsid w:val="00D96770"/>
    <w:rsid w:val="00D967EB"/>
    <w:rsid w:val="00DA22BE"/>
    <w:rsid w:val="00DA2582"/>
    <w:rsid w:val="00DA2B9D"/>
    <w:rsid w:val="00DA4D4C"/>
    <w:rsid w:val="00DA4DA4"/>
    <w:rsid w:val="00DA4E4E"/>
    <w:rsid w:val="00DA707C"/>
    <w:rsid w:val="00DA7EA4"/>
    <w:rsid w:val="00DB00C7"/>
    <w:rsid w:val="00DB48BF"/>
    <w:rsid w:val="00DB50B5"/>
    <w:rsid w:val="00DB58FB"/>
    <w:rsid w:val="00DB5AC9"/>
    <w:rsid w:val="00DC05F4"/>
    <w:rsid w:val="00DC1F8F"/>
    <w:rsid w:val="00DC2055"/>
    <w:rsid w:val="00DC32C5"/>
    <w:rsid w:val="00DC4292"/>
    <w:rsid w:val="00DC61FE"/>
    <w:rsid w:val="00DC6520"/>
    <w:rsid w:val="00DD1BB2"/>
    <w:rsid w:val="00DD5894"/>
    <w:rsid w:val="00DE29AE"/>
    <w:rsid w:val="00DE71C9"/>
    <w:rsid w:val="00DE74A4"/>
    <w:rsid w:val="00DF00AF"/>
    <w:rsid w:val="00DF01BF"/>
    <w:rsid w:val="00DF2586"/>
    <w:rsid w:val="00DF2680"/>
    <w:rsid w:val="00DF5459"/>
    <w:rsid w:val="00DF69A7"/>
    <w:rsid w:val="00DF7DF4"/>
    <w:rsid w:val="00E011DA"/>
    <w:rsid w:val="00E0355A"/>
    <w:rsid w:val="00E06640"/>
    <w:rsid w:val="00E06F43"/>
    <w:rsid w:val="00E07162"/>
    <w:rsid w:val="00E102D1"/>
    <w:rsid w:val="00E11037"/>
    <w:rsid w:val="00E114B1"/>
    <w:rsid w:val="00E12F47"/>
    <w:rsid w:val="00E1431E"/>
    <w:rsid w:val="00E22E40"/>
    <w:rsid w:val="00E26107"/>
    <w:rsid w:val="00E26805"/>
    <w:rsid w:val="00E26955"/>
    <w:rsid w:val="00E27273"/>
    <w:rsid w:val="00E30241"/>
    <w:rsid w:val="00E30F12"/>
    <w:rsid w:val="00E31034"/>
    <w:rsid w:val="00E31706"/>
    <w:rsid w:val="00E3185B"/>
    <w:rsid w:val="00E32A1E"/>
    <w:rsid w:val="00E33A48"/>
    <w:rsid w:val="00E35685"/>
    <w:rsid w:val="00E3716E"/>
    <w:rsid w:val="00E3771F"/>
    <w:rsid w:val="00E43396"/>
    <w:rsid w:val="00E445DE"/>
    <w:rsid w:val="00E44B85"/>
    <w:rsid w:val="00E44D7A"/>
    <w:rsid w:val="00E464AD"/>
    <w:rsid w:val="00E4655D"/>
    <w:rsid w:val="00E46874"/>
    <w:rsid w:val="00E47A04"/>
    <w:rsid w:val="00E51B65"/>
    <w:rsid w:val="00E5437D"/>
    <w:rsid w:val="00E5523A"/>
    <w:rsid w:val="00E60EAE"/>
    <w:rsid w:val="00E631D4"/>
    <w:rsid w:val="00E64134"/>
    <w:rsid w:val="00E64A5C"/>
    <w:rsid w:val="00E64A87"/>
    <w:rsid w:val="00E64D10"/>
    <w:rsid w:val="00E65652"/>
    <w:rsid w:val="00E657D2"/>
    <w:rsid w:val="00E661A8"/>
    <w:rsid w:val="00E70030"/>
    <w:rsid w:val="00E7057A"/>
    <w:rsid w:val="00E7160C"/>
    <w:rsid w:val="00E71970"/>
    <w:rsid w:val="00E73B9A"/>
    <w:rsid w:val="00E73F4B"/>
    <w:rsid w:val="00E77493"/>
    <w:rsid w:val="00E83270"/>
    <w:rsid w:val="00E84D68"/>
    <w:rsid w:val="00E8508F"/>
    <w:rsid w:val="00E855CD"/>
    <w:rsid w:val="00E87360"/>
    <w:rsid w:val="00E90569"/>
    <w:rsid w:val="00E92C13"/>
    <w:rsid w:val="00E94379"/>
    <w:rsid w:val="00E94D2F"/>
    <w:rsid w:val="00E95A93"/>
    <w:rsid w:val="00E95BA2"/>
    <w:rsid w:val="00E96E12"/>
    <w:rsid w:val="00E97544"/>
    <w:rsid w:val="00E97963"/>
    <w:rsid w:val="00E97A5D"/>
    <w:rsid w:val="00EA04AE"/>
    <w:rsid w:val="00EA2563"/>
    <w:rsid w:val="00EA2EE9"/>
    <w:rsid w:val="00EA34BC"/>
    <w:rsid w:val="00EA4B5E"/>
    <w:rsid w:val="00EA5AA3"/>
    <w:rsid w:val="00EA5BE9"/>
    <w:rsid w:val="00EA5C32"/>
    <w:rsid w:val="00EA6D4E"/>
    <w:rsid w:val="00EA714B"/>
    <w:rsid w:val="00EB2ECB"/>
    <w:rsid w:val="00EB3095"/>
    <w:rsid w:val="00EB4DF4"/>
    <w:rsid w:val="00EB4E48"/>
    <w:rsid w:val="00EB51D7"/>
    <w:rsid w:val="00EB5AFE"/>
    <w:rsid w:val="00EB74D6"/>
    <w:rsid w:val="00EC5CD7"/>
    <w:rsid w:val="00EC63E9"/>
    <w:rsid w:val="00EC6A57"/>
    <w:rsid w:val="00EC6B1A"/>
    <w:rsid w:val="00EC77B9"/>
    <w:rsid w:val="00ED0604"/>
    <w:rsid w:val="00ED0962"/>
    <w:rsid w:val="00ED1884"/>
    <w:rsid w:val="00ED1CFD"/>
    <w:rsid w:val="00ED6742"/>
    <w:rsid w:val="00EE5907"/>
    <w:rsid w:val="00EE59CE"/>
    <w:rsid w:val="00EE5A48"/>
    <w:rsid w:val="00EF0757"/>
    <w:rsid w:val="00EF1690"/>
    <w:rsid w:val="00EF20D5"/>
    <w:rsid w:val="00EF37FA"/>
    <w:rsid w:val="00EF38A0"/>
    <w:rsid w:val="00EF3DCE"/>
    <w:rsid w:val="00EF5421"/>
    <w:rsid w:val="00F005C1"/>
    <w:rsid w:val="00F01455"/>
    <w:rsid w:val="00F020C4"/>
    <w:rsid w:val="00F03483"/>
    <w:rsid w:val="00F03912"/>
    <w:rsid w:val="00F040EE"/>
    <w:rsid w:val="00F0507A"/>
    <w:rsid w:val="00F0589C"/>
    <w:rsid w:val="00F05918"/>
    <w:rsid w:val="00F06143"/>
    <w:rsid w:val="00F06984"/>
    <w:rsid w:val="00F06E3B"/>
    <w:rsid w:val="00F07BD3"/>
    <w:rsid w:val="00F10C09"/>
    <w:rsid w:val="00F11950"/>
    <w:rsid w:val="00F12784"/>
    <w:rsid w:val="00F12960"/>
    <w:rsid w:val="00F13136"/>
    <w:rsid w:val="00F1417E"/>
    <w:rsid w:val="00F15316"/>
    <w:rsid w:val="00F164FE"/>
    <w:rsid w:val="00F16C20"/>
    <w:rsid w:val="00F203CB"/>
    <w:rsid w:val="00F203D3"/>
    <w:rsid w:val="00F21887"/>
    <w:rsid w:val="00F229D6"/>
    <w:rsid w:val="00F23CA6"/>
    <w:rsid w:val="00F24473"/>
    <w:rsid w:val="00F2760F"/>
    <w:rsid w:val="00F3058F"/>
    <w:rsid w:val="00F32112"/>
    <w:rsid w:val="00F32842"/>
    <w:rsid w:val="00F32E1F"/>
    <w:rsid w:val="00F32F82"/>
    <w:rsid w:val="00F33DBF"/>
    <w:rsid w:val="00F33FC6"/>
    <w:rsid w:val="00F356AF"/>
    <w:rsid w:val="00F358DC"/>
    <w:rsid w:val="00F365B7"/>
    <w:rsid w:val="00F366AC"/>
    <w:rsid w:val="00F55DFC"/>
    <w:rsid w:val="00F57D5E"/>
    <w:rsid w:val="00F612E2"/>
    <w:rsid w:val="00F617D7"/>
    <w:rsid w:val="00F61B29"/>
    <w:rsid w:val="00F623E5"/>
    <w:rsid w:val="00F65E33"/>
    <w:rsid w:val="00F67A3E"/>
    <w:rsid w:val="00F703AE"/>
    <w:rsid w:val="00F706CA"/>
    <w:rsid w:val="00F7190A"/>
    <w:rsid w:val="00F71B87"/>
    <w:rsid w:val="00F71F94"/>
    <w:rsid w:val="00F74364"/>
    <w:rsid w:val="00F743EE"/>
    <w:rsid w:val="00F779C6"/>
    <w:rsid w:val="00F81A93"/>
    <w:rsid w:val="00F81FE6"/>
    <w:rsid w:val="00F82843"/>
    <w:rsid w:val="00F8355B"/>
    <w:rsid w:val="00F8412E"/>
    <w:rsid w:val="00F85892"/>
    <w:rsid w:val="00F872CD"/>
    <w:rsid w:val="00F9003A"/>
    <w:rsid w:val="00F9075B"/>
    <w:rsid w:val="00F90E31"/>
    <w:rsid w:val="00F91AF7"/>
    <w:rsid w:val="00F93DA5"/>
    <w:rsid w:val="00F95FA8"/>
    <w:rsid w:val="00F964C6"/>
    <w:rsid w:val="00F96D95"/>
    <w:rsid w:val="00F97490"/>
    <w:rsid w:val="00F978A1"/>
    <w:rsid w:val="00FA05A2"/>
    <w:rsid w:val="00FA05DE"/>
    <w:rsid w:val="00FA05EE"/>
    <w:rsid w:val="00FA0AC5"/>
    <w:rsid w:val="00FA126E"/>
    <w:rsid w:val="00FA1780"/>
    <w:rsid w:val="00FA307E"/>
    <w:rsid w:val="00FA37D4"/>
    <w:rsid w:val="00FA3820"/>
    <w:rsid w:val="00FA5F81"/>
    <w:rsid w:val="00FA66FE"/>
    <w:rsid w:val="00FA7784"/>
    <w:rsid w:val="00FB2CDB"/>
    <w:rsid w:val="00FB4169"/>
    <w:rsid w:val="00FB4AFC"/>
    <w:rsid w:val="00FB599C"/>
    <w:rsid w:val="00FB7541"/>
    <w:rsid w:val="00FC1418"/>
    <w:rsid w:val="00FC2053"/>
    <w:rsid w:val="00FC22D5"/>
    <w:rsid w:val="00FC5829"/>
    <w:rsid w:val="00FC722C"/>
    <w:rsid w:val="00FC7281"/>
    <w:rsid w:val="00FC72E6"/>
    <w:rsid w:val="00FC7681"/>
    <w:rsid w:val="00FD0CC6"/>
    <w:rsid w:val="00FD1411"/>
    <w:rsid w:val="00FD3D68"/>
    <w:rsid w:val="00FD3F85"/>
    <w:rsid w:val="00FD709A"/>
    <w:rsid w:val="00FD7127"/>
    <w:rsid w:val="00FD769E"/>
    <w:rsid w:val="00FD7D39"/>
    <w:rsid w:val="00FE041E"/>
    <w:rsid w:val="00FE35F5"/>
    <w:rsid w:val="00FE424C"/>
    <w:rsid w:val="00FE433A"/>
    <w:rsid w:val="00FE5933"/>
    <w:rsid w:val="00FE5A7F"/>
    <w:rsid w:val="00FE5D85"/>
    <w:rsid w:val="00FE6181"/>
    <w:rsid w:val="00FE6621"/>
    <w:rsid w:val="00FE6C59"/>
    <w:rsid w:val="00FF4C7C"/>
    <w:rsid w:val="00FF4EC5"/>
    <w:rsid w:val="00FF5D9D"/>
    <w:rsid w:val="00FF6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BE42"/>
  <w15:chartTrackingRefBased/>
  <w15:docId w15:val="{5810E84D-B967-42C5-8F33-85A77FED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1 heading,Bullet point,Dot point 1.5 line spacing,L,List Paragraph - bullets,NFP GP Bulleted List,bullet point list,List Paragraph2,FooterText,numbered,Paragraphe de liste1,列出段落,CV text,lp1"/>
    <w:basedOn w:val="Normal"/>
    <w:link w:val="ListParagraphChar"/>
    <w:uiPriority w:val="34"/>
    <w:qFormat/>
    <w:rsid w:val="00D17CE3"/>
    <w:pPr>
      <w:ind w:left="720"/>
      <w:contextualSpacing/>
    </w:pPr>
  </w:style>
  <w:style w:type="character" w:styleId="CommentReference">
    <w:name w:val="annotation reference"/>
    <w:basedOn w:val="DefaultParagraphFont"/>
    <w:uiPriority w:val="99"/>
    <w:semiHidden/>
    <w:unhideWhenUsed/>
    <w:rsid w:val="00F15316"/>
    <w:rPr>
      <w:sz w:val="16"/>
      <w:szCs w:val="16"/>
    </w:rPr>
  </w:style>
  <w:style w:type="paragraph" w:styleId="CommentText">
    <w:name w:val="annotation text"/>
    <w:basedOn w:val="Normal"/>
    <w:link w:val="CommentTextChar"/>
    <w:unhideWhenUsed/>
    <w:rsid w:val="00F15316"/>
    <w:pPr>
      <w:spacing w:line="240" w:lineRule="auto"/>
    </w:pPr>
    <w:rPr>
      <w:sz w:val="20"/>
      <w:szCs w:val="20"/>
    </w:rPr>
  </w:style>
  <w:style w:type="character" w:customStyle="1" w:styleId="CommentTextChar">
    <w:name w:val="Comment Text Char"/>
    <w:basedOn w:val="DefaultParagraphFont"/>
    <w:link w:val="CommentText"/>
    <w:rsid w:val="00F15316"/>
    <w:rPr>
      <w:sz w:val="20"/>
      <w:szCs w:val="20"/>
    </w:rPr>
  </w:style>
  <w:style w:type="paragraph" w:styleId="CommentSubject">
    <w:name w:val="annotation subject"/>
    <w:basedOn w:val="CommentText"/>
    <w:next w:val="CommentText"/>
    <w:link w:val="CommentSubjectChar"/>
    <w:uiPriority w:val="99"/>
    <w:semiHidden/>
    <w:unhideWhenUsed/>
    <w:rsid w:val="00F15316"/>
    <w:rPr>
      <w:b/>
      <w:bCs/>
    </w:rPr>
  </w:style>
  <w:style w:type="character" w:customStyle="1" w:styleId="CommentSubjectChar">
    <w:name w:val="Comment Subject Char"/>
    <w:basedOn w:val="CommentTextChar"/>
    <w:link w:val="CommentSubject"/>
    <w:uiPriority w:val="99"/>
    <w:semiHidden/>
    <w:rsid w:val="00F15316"/>
    <w:rPr>
      <w:b/>
      <w:bCs/>
      <w:sz w:val="20"/>
      <w:szCs w:val="20"/>
    </w:rPr>
  </w:style>
  <w:style w:type="paragraph" w:styleId="BalloonText">
    <w:name w:val="Balloon Text"/>
    <w:basedOn w:val="Normal"/>
    <w:link w:val="BalloonTextChar"/>
    <w:uiPriority w:val="99"/>
    <w:semiHidden/>
    <w:unhideWhenUsed/>
    <w:rsid w:val="00F15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316"/>
    <w:rPr>
      <w:rFonts w:ascii="Segoe UI" w:hAnsi="Segoe UI" w:cs="Segoe UI"/>
      <w:sz w:val="18"/>
      <w:szCs w:val="18"/>
    </w:rPr>
  </w:style>
  <w:style w:type="character" w:customStyle="1" w:styleId="ListParagraphChar">
    <w:name w:val="List Paragraph Char"/>
    <w:aliases w:val="List Paragraph1 Char,List Paragraph11 Char,Recommendation Char,1 heading Char,Bullet point Char,Dot point 1.5 line spacing Char,L Char,List Paragraph - bullets Char,NFP GP Bulleted List Char,bullet point list Char,FooterText Char"/>
    <w:link w:val="ListParagraph"/>
    <w:uiPriority w:val="34"/>
    <w:qFormat/>
    <w:rsid w:val="00564D3E"/>
  </w:style>
  <w:style w:type="character" w:styleId="Hyperlink">
    <w:name w:val="Hyperlink"/>
    <w:basedOn w:val="DefaultParagraphFont"/>
    <w:uiPriority w:val="99"/>
    <w:unhideWhenUsed/>
    <w:rsid w:val="00176C71"/>
    <w:rPr>
      <w:color w:val="0563C1" w:themeColor="hyperlink"/>
      <w:u w:val="single"/>
    </w:rPr>
  </w:style>
  <w:style w:type="table" w:styleId="TableGrid">
    <w:name w:val="Table Grid"/>
    <w:basedOn w:val="TableNormal"/>
    <w:uiPriority w:val="39"/>
    <w:rsid w:val="0051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604"/>
    <w:pPr>
      <w:spacing w:after="0" w:line="240" w:lineRule="auto"/>
    </w:pPr>
  </w:style>
  <w:style w:type="paragraph" w:styleId="Header">
    <w:name w:val="header"/>
    <w:basedOn w:val="Normal"/>
    <w:link w:val="HeaderChar"/>
    <w:uiPriority w:val="99"/>
    <w:unhideWhenUsed/>
    <w:rsid w:val="00E63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1D4"/>
  </w:style>
  <w:style w:type="paragraph" w:styleId="Footer">
    <w:name w:val="footer"/>
    <w:basedOn w:val="Normal"/>
    <w:link w:val="FooterChar"/>
    <w:uiPriority w:val="99"/>
    <w:unhideWhenUsed/>
    <w:rsid w:val="00E63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1D4"/>
  </w:style>
  <w:style w:type="paragraph" w:customStyle="1" w:styleId="notedraft">
    <w:name w:val="note(draft)"/>
    <w:aliases w:val="nd"/>
    <w:basedOn w:val="Normal"/>
    <w:rsid w:val="00A36CD4"/>
    <w:pPr>
      <w:spacing w:before="240" w:after="0" w:line="240" w:lineRule="auto"/>
      <w:ind w:left="284" w:hanging="284"/>
    </w:pPr>
    <w:rPr>
      <w:rFonts w:ascii="Times New Roman" w:eastAsia="Times New Roman" w:hAnsi="Times New Roman" w:cs="Times New Roman"/>
      <w:i/>
      <w:sz w:val="24"/>
      <w:szCs w:val="20"/>
      <w:lang w:eastAsia="en-AU"/>
    </w:rPr>
  </w:style>
  <w:style w:type="paragraph" w:styleId="NormalWeb">
    <w:name w:val="Normal (Web)"/>
    <w:basedOn w:val="Normal"/>
    <w:uiPriority w:val="99"/>
    <w:unhideWhenUsed/>
    <w:rsid w:val="0049352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basedOn w:val="Normal"/>
    <w:uiPriority w:val="1"/>
    <w:qFormat/>
    <w:rsid w:val="00F964C6"/>
    <w:pPr>
      <w:spacing w:after="0" w:line="240" w:lineRule="auto"/>
    </w:pPr>
    <w:rPr>
      <w:rFonts w:ascii="Calibri" w:hAnsi="Calibri" w:cs="Calibri"/>
    </w:rPr>
  </w:style>
  <w:style w:type="character" w:customStyle="1" w:styleId="subsectionChar">
    <w:name w:val="subsection Char"/>
    <w:aliases w:val="ss Char"/>
    <w:basedOn w:val="DefaultParagraphFont"/>
    <w:link w:val="subsection"/>
    <w:locked/>
    <w:rsid w:val="00880749"/>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880749"/>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paragraphChar">
    <w:name w:val="paragraph Char"/>
    <w:aliases w:val="a Char"/>
    <w:link w:val="paragraph"/>
    <w:locked/>
    <w:rsid w:val="001A20EA"/>
    <w:rPr>
      <w:rFonts w:ascii="Times New Roman" w:eastAsia="Times New Roman" w:hAnsi="Times New Roman" w:cs="Times New Roman"/>
      <w:lang w:eastAsia="en-AU"/>
    </w:rPr>
  </w:style>
  <w:style w:type="paragraph" w:customStyle="1" w:styleId="paragraph">
    <w:name w:val="paragraph"/>
    <w:aliases w:val="a,Paragraph"/>
    <w:basedOn w:val="Normal"/>
    <w:link w:val="paragraphChar"/>
    <w:rsid w:val="001A20EA"/>
    <w:pPr>
      <w:tabs>
        <w:tab w:val="right" w:pos="1531"/>
      </w:tabs>
      <w:spacing w:before="40" w:after="0" w:line="240" w:lineRule="auto"/>
      <w:ind w:left="1644" w:hanging="1644"/>
    </w:pPr>
    <w:rPr>
      <w:rFonts w:ascii="Times New Roman" w:eastAsia="Times New Roman" w:hAnsi="Times New Roman" w:cs="Times New Roman"/>
      <w:lang w:eastAsia="en-AU"/>
    </w:rPr>
  </w:style>
  <w:style w:type="paragraph" w:customStyle="1" w:styleId="definition">
    <w:name w:val="definition"/>
    <w:basedOn w:val="Normal"/>
    <w:rsid w:val="00AA76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tHead5Char">
    <w:name w:val="ActHead 5 Char"/>
    <w:aliases w:val="s Char"/>
    <w:link w:val="ActHead5"/>
    <w:locked/>
    <w:rsid w:val="00FB599C"/>
    <w:rPr>
      <w:rFonts w:ascii="Times New Roman" w:eastAsia="Times New Roman" w:hAnsi="Times New Roman" w:cs="Times New Roman"/>
      <w:b/>
      <w:kern w:val="28"/>
      <w:sz w:val="24"/>
      <w:lang w:eastAsia="en-AU"/>
    </w:rPr>
  </w:style>
  <w:style w:type="paragraph" w:customStyle="1" w:styleId="ActHead5">
    <w:name w:val="ActHead 5"/>
    <w:aliases w:val="s"/>
    <w:basedOn w:val="Normal"/>
    <w:next w:val="subsection"/>
    <w:link w:val="ActHead5Char"/>
    <w:qFormat/>
    <w:rsid w:val="00FB599C"/>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FB599C"/>
  </w:style>
  <w:style w:type="character" w:styleId="FollowedHyperlink">
    <w:name w:val="FollowedHyperlink"/>
    <w:basedOn w:val="DefaultParagraphFont"/>
    <w:uiPriority w:val="99"/>
    <w:semiHidden/>
    <w:unhideWhenUsed/>
    <w:rsid w:val="00BC780C"/>
    <w:rPr>
      <w:color w:val="954F72" w:themeColor="followedHyperlink"/>
      <w:u w:val="single"/>
    </w:rPr>
  </w:style>
  <w:style w:type="paragraph" w:customStyle="1" w:styleId="subsection2">
    <w:name w:val="subsection2"/>
    <w:aliases w:val="ss2"/>
    <w:basedOn w:val="Normal"/>
    <w:next w:val="subsection"/>
    <w:rsid w:val="00C56C01"/>
    <w:pPr>
      <w:spacing w:before="40" w:after="0" w:line="240" w:lineRule="auto"/>
      <w:ind w:left="1134"/>
    </w:pPr>
    <w:rPr>
      <w:rFonts w:ascii="Times New Roman" w:eastAsia="Times New Roman" w:hAnsi="Times New Roman" w:cs="Times New Roman"/>
      <w:szCs w:val="20"/>
      <w:lang w:eastAsia="en-AU"/>
    </w:rPr>
  </w:style>
  <w:style w:type="paragraph" w:styleId="EndnoteText">
    <w:name w:val="endnote text"/>
    <w:basedOn w:val="Normal"/>
    <w:link w:val="EndnoteTextChar"/>
    <w:uiPriority w:val="99"/>
    <w:semiHidden/>
    <w:unhideWhenUsed/>
    <w:rsid w:val="00AC4B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4BDD"/>
    <w:rPr>
      <w:sz w:val="20"/>
      <w:szCs w:val="20"/>
    </w:rPr>
  </w:style>
  <w:style w:type="character" w:styleId="EndnoteReference">
    <w:name w:val="endnote reference"/>
    <w:basedOn w:val="DefaultParagraphFont"/>
    <w:uiPriority w:val="99"/>
    <w:semiHidden/>
    <w:unhideWhenUsed/>
    <w:rsid w:val="00AC4BDD"/>
    <w:rPr>
      <w:vertAlign w:val="superscript"/>
    </w:rPr>
  </w:style>
  <w:style w:type="paragraph" w:customStyle="1" w:styleId="SubsectionHead">
    <w:name w:val="SubsectionHead"/>
    <w:aliases w:val="ssh"/>
    <w:basedOn w:val="Normal"/>
    <w:next w:val="subsection"/>
    <w:rsid w:val="00304F4C"/>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Definition0">
    <w:name w:val="Definition"/>
    <w:aliases w:val="dd"/>
    <w:basedOn w:val="Normal"/>
    <w:rsid w:val="00B05E55"/>
    <w:pPr>
      <w:spacing w:before="180" w:after="0" w:line="240" w:lineRule="auto"/>
      <w:ind w:left="1134"/>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1068BF"/>
    <w:rPr>
      <w:color w:val="605E5C"/>
      <w:shd w:val="clear" w:color="auto" w:fill="E1DFDD"/>
    </w:rPr>
  </w:style>
  <w:style w:type="paragraph" w:customStyle="1" w:styleId="ActHead3">
    <w:name w:val="ActHead 3"/>
    <w:aliases w:val="d"/>
    <w:basedOn w:val="Normal"/>
    <w:next w:val="Normal"/>
    <w:qFormat/>
    <w:rsid w:val="00502CAB"/>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uiPriority w:val="1"/>
    <w:qFormat/>
    <w:rsid w:val="00502CAB"/>
  </w:style>
  <w:style w:type="paragraph" w:customStyle="1" w:styleId="ActHead2">
    <w:name w:val="ActHead 2"/>
    <w:aliases w:val="p"/>
    <w:basedOn w:val="Normal"/>
    <w:next w:val="ActHead3"/>
    <w:qFormat/>
    <w:rsid w:val="00502CAB"/>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uiPriority w:val="1"/>
    <w:qFormat/>
    <w:rsid w:val="0050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169">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275185865">
      <w:bodyDiv w:val="1"/>
      <w:marLeft w:val="0"/>
      <w:marRight w:val="0"/>
      <w:marTop w:val="0"/>
      <w:marBottom w:val="0"/>
      <w:divBdr>
        <w:top w:val="none" w:sz="0" w:space="0" w:color="auto"/>
        <w:left w:val="none" w:sz="0" w:space="0" w:color="auto"/>
        <w:bottom w:val="none" w:sz="0" w:space="0" w:color="auto"/>
        <w:right w:val="none" w:sz="0" w:space="0" w:color="auto"/>
      </w:divBdr>
    </w:div>
    <w:div w:id="293799864">
      <w:bodyDiv w:val="1"/>
      <w:marLeft w:val="0"/>
      <w:marRight w:val="0"/>
      <w:marTop w:val="0"/>
      <w:marBottom w:val="0"/>
      <w:divBdr>
        <w:top w:val="none" w:sz="0" w:space="0" w:color="auto"/>
        <w:left w:val="none" w:sz="0" w:space="0" w:color="auto"/>
        <w:bottom w:val="none" w:sz="0" w:space="0" w:color="auto"/>
        <w:right w:val="none" w:sz="0" w:space="0" w:color="auto"/>
      </w:divBdr>
    </w:div>
    <w:div w:id="453254643">
      <w:bodyDiv w:val="1"/>
      <w:marLeft w:val="0"/>
      <w:marRight w:val="0"/>
      <w:marTop w:val="0"/>
      <w:marBottom w:val="0"/>
      <w:divBdr>
        <w:top w:val="none" w:sz="0" w:space="0" w:color="auto"/>
        <w:left w:val="none" w:sz="0" w:space="0" w:color="auto"/>
        <w:bottom w:val="none" w:sz="0" w:space="0" w:color="auto"/>
        <w:right w:val="none" w:sz="0" w:space="0" w:color="auto"/>
      </w:divBdr>
    </w:div>
    <w:div w:id="461927558">
      <w:bodyDiv w:val="1"/>
      <w:marLeft w:val="0"/>
      <w:marRight w:val="0"/>
      <w:marTop w:val="0"/>
      <w:marBottom w:val="0"/>
      <w:divBdr>
        <w:top w:val="none" w:sz="0" w:space="0" w:color="auto"/>
        <w:left w:val="none" w:sz="0" w:space="0" w:color="auto"/>
        <w:bottom w:val="none" w:sz="0" w:space="0" w:color="auto"/>
        <w:right w:val="none" w:sz="0" w:space="0" w:color="auto"/>
      </w:divBdr>
    </w:div>
    <w:div w:id="464196860">
      <w:bodyDiv w:val="1"/>
      <w:marLeft w:val="0"/>
      <w:marRight w:val="0"/>
      <w:marTop w:val="0"/>
      <w:marBottom w:val="0"/>
      <w:divBdr>
        <w:top w:val="none" w:sz="0" w:space="0" w:color="auto"/>
        <w:left w:val="none" w:sz="0" w:space="0" w:color="auto"/>
        <w:bottom w:val="none" w:sz="0" w:space="0" w:color="auto"/>
        <w:right w:val="none" w:sz="0" w:space="0" w:color="auto"/>
      </w:divBdr>
    </w:div>
    <w:div w:id="469716767">
      <w:bodyDiv w:val="1"/>
      <w:marLeft w:val="0"/>
      <w:marRight w:val="0"/>
      <w:marTop w:val="0"/>
      <w:marBottom w:val="0"/>
      <w:divBdr>
        <w:top w:val="none" w:sz="0" w:space="0" w:color="auto"/>
        <w:left w:val="none" w:sz="0" w:space="0" w:color="auto"/>
        <w:bottom w:val="none" w:sz="0" w:space="0" w:color="auto"/>
        <w:right w:val="none" w:sz="0" w:space="0" w:color="auto"/>
      </w:divBdr>
    </w:div>
    <w:div w:id="477040387">
      <w:bodyDiv w:val="1"/>
      <w:marLeft w:val="0"/>
      <w:marRight w:val="0"/>
      <w:marTop w:val="0"/>
      <w:marBottom w:val="0"/>
      <w:divBdr>
        <w:top w:val="none" w:sz="0" w:space="0" w:color="auto"/>
        <w:left w:val="none" w:sz="0" w:space="0" w:color="auto"/>
        <w:bottom w:val="none" w:sz="0" w:space="0" w:color="auto"/>
        <w:right w:val="none" w:sz="0" w:space="0" w:color="auto"/>
      </w:divBdr>
    </w:div>
    <w:div w:id="487018186">
      <w:bodyDiv w:val="1"/>
      <w:marLeft w:val="0"/>
      <w:marRight w:val="0"/>
      <w:marTop w:val="0"/>
      <w:marBottom w:val="0"/>
      <w:divBdr>
        <w:top w:val="none" w:sz="0" w:space="0" w:color="auto"/>
        <w:left w:val="none" w:sz="0" w:space="0" w:color="auto"/>
        <w:bottom w:val="none" w:sz="0" w:space="0" w:color="auto"/>
        <w:right w:val="none" w:sz="0" w:space="0" w:color="auto"/>
      </w:divBdr>
    </w:div>
    <w:div w:id="510686508">
      <w:bodyDiv w:val="1"/>
      <w:marLeft w:val="0"/>
      <w:marRight w:val="0"/>
      <w:marTop w:val="0"/>
      <w:marBottom w:val="0"/>
      <w:divBdr>
        <w:top w:val="none" w:sz="0" w:space="0" w:color="auto"/>
        <w:left w:val="none" w:sz="0" w:space="0" w:color="auto"/>
        <w:bottom w:val="none" w:sz="0" w:space="0" w:color="auto"/>
        <w:right w:val="none" w:sz="0" w:space="0" w:color="auto"/>
      </w:divBdr>
    </w:div>
    <w:div w:id="513959517">
      <w:bodyDiv w:val="1"/>
      <w:marLeft w:val="0"/>
      <w:marRight w:val="0"/>
      <w:marTop w:val="0"/>
      <w:marBottom w:val="0"/>
      <w:divBdr>
        <w:top w:val="none" w:sz="0" w:space="0" w:color="auto"/>
        <w:left w:val="none" w:sz="0" w:space="0" w:color="auto"/>
        <w:bottom w:val="none" w:sz="0" w:space="0" w:color="auto"/>
        <w:right w:val="none" w:sz="0" w:space="0" w:color="auto"/>
      </w:divBdr>
    </w:div>
    <w:div w:id="541358447">
      <w:bodyDiv w:val="1"/>
      <w:marLeft w:val="0"/>
      <w:marRight w:val="0"/>
      <w:marTop w:val="0"/>
      <w:marBottom w:val="0"/>
      <w:divBdr>
        <w:top w:val="none" w:sz="0" w:space="0" w:color="auto"/>
        <w:left w:val="none" w:sz="0" w:space="0" w:color="auto"/>
        <w:bottom w:val="none" w:sz="0" w:space="0" w:color="auto"/>
        <w:right w:val="none" w:sz="0" w:space="0" w:color="auto"/>
      </w:divBdr>
    </w:div>
    <w:div w:id="544760006">
      <w:bodyDiv w:val="1"/>
      <w:marLeft w:val="0"/>
      <w:marRight w:val="0"/>
      <w:marTop w:val="0"/>
      <w:marBottom w:val="0"/>
      <w:divBdr>
        <w:top w:val="none" w:sz="0" w:space="0" w:color="auto"/>
        <w:left w:val="none" w:sz="0" w:space="0" w:color="auto"/>
        <w:bottom w:val="none" w:sz="0" w:space="0" w:color="auto"/>
        <w:right w:val="none" w:sz="0" w:space="0" w:color="auto"/>
      </w:divBdr>
    </w:div>
    <w:div w:id="549804141">
      <w:bodyDiv w:val="1"/>
      <w:marLeft w:val="0"/>
      <w:marRight w:val="0"/>
      <w:marTop w:val="0"/>
      <w:marBottom w:val="0"/>
      <w:divBdr>
        <w:top w:val="none" w:sz="0" w:space="0" w:color="auto"/>
        <w:left w:val="none" w:sz="0" w:space="0" w:color="auto"/>
        <w:bottom w:val="none" w:sz="0" w:space="0" w:color="auto"/>
        <w:right w:val="none" w:sz="0" w:space="0" w:color="auto"/>
      </w:divBdr>
    </w:div>
    <w:div w:id="573122984">
      <w:bodyDiv w:val="1"/>
      <w:marLeft w:val="0"/>
      <w:marRight w:val="0"/>
      <w:marTop w:val="0"/>
      <w:marBottom w:val="0"/>
      <w:divBdr>
        <w:top w:val="none" w:sz="0" w:space="0" w:color="auto"/>
        <w:left w:val="none" w:sz="0" w:space="0" w:color="auto"/>
        <w:bottom w:val="none" w:sz="0" w:space="0" w:color="auto"/>
        <w:right w:val="none" w:sz="0" w:space="0" w:color="auto"/>
      </w:divBdr>
    </w:div>
    <w:div w:id="580025058">
      <w:bodyDiv w:val="1"/>
      <w:marLeft w:val="0"/>
      <w:marRight w:val="0"/>
      <w:marTop w:val="0"/>
      <w:marBottom w:val="0"/>
      <w:divBdr>
        <w:top w:val="none" w:sz="0" w:space="0" w:color="auto"/>
        <w:left w:val="none" w:sz="0" w:space="0" w:color="auto"/>
        <w:bottom w:val="none" w:sz="0" w:space="0" w:color="auto"/>
        <w:right w:val="none" w:sz="0" w:space="0" w:color="auto"/>
      </w:divBdr>
    </w:div>
    <w:div w:id="632447580">
      <w:bodyDiv w:val="1"/>
      <w:marLeft w:val="0"/>
      <w:marRight w:val="0"/>
      <w:marTop w:val="0"/>
      <w:marBottom w:val="0"/>
      <w:divBdr>
        <w:top w:val="none" w:sz="0" w:space="0" w:color="auto"/>
        <w:left w:val="none" w:sz="0" w:space="0" w:color="auto"/>
        <w:bottom w:val="none" w:sz="0" w:space="0" w:color="auto"/>
        <w:right w:val="none" w:sz="0" w:space="0" w:color="auto"/>
      </w:divBdr>
    </w:div>
    <w:div w:id="743644087">
      <w:bodyDiv w:val="1"/>
      <w:marLeft w:val="0"/>
      <w:marRight w:val="0"/>
      <w:marTop w:val="0"/>
      <w:marBottom w:val="0"/>
      <w:divBdr>
        <w:top w:val="none" w:sz="0" w:space="0" w:color="auto"/>
        <w:left w:val="none" w:sz="0" w:space="0" w:color="auto"/>
        <w:bottom w:val="none" w:sz="0" w:space="0" w:color="auto"/>
        <w:right w:val="none" w:sz="0" w:space="0" w:color="auto"/>
      </w:divBdr>
    </w:div>
    <w:div w:id="748768399">
      <w:bodyDiv w:val="1"/>
      <w:marLeft w:val="0"/>
      <w:marRight w:val="0"/>
      <w:marTop w:val="0"/>
      <w:marBottom w:val="0"/>
      <w:divBdr>
        <w:top w:val="none" w:sz="0" w:space="0" w:color="auto"/>
        <w:left w:val="none" w:sz="0" w:space="0" w:color="auto"/>
        <w:bottom w:val="none" w:sz="0" w:space="0" w:color="auto"/>
        <w:right w:val="none" w:sz="0" w:space="0" w:color="auto"/>
      </w:divBdr>
    </w:div>
    <w:div w:id="792940346">
      <w:bodyDiv w:val="1"/>
      <w:marLeft w:val="0"/>
      <w:marRight w:val="0"/>
      <w:marTop w:val="0"/>
      <w:marBottom w:val="0"/>
      <w:divBdr>
        <w:top w:val="none" w:sz="0" w:space="0" w:color="auto"/>
        <w:left w:val="none" w:sz="0" w:space="0" w:color="auto"/>
        <w:bottom w:val="none" w:sz="0" w:space="0" w:color="auto"/>
        <w:right w:val="none" w:sz="0" w:space="0" w:color="auto"/>
      </w:divBdr>
    </w:div>
    <w:div w:id="835801054">
      <w:bodyDiv w:val="1"/>
      <w:marLeft w:val="0"/>
      <w:marRight w:val="0"/>
      <w:marTop w:val="0"/>
      <w:marBottom w:val="0"/>
      <w:divBdr>
        <w:top w:val="none" w:sz="0" w:space="0" w:color="auto"/>
        <w:left w:val="none" w:sz="0" w:space="0" w:color="auto"/>
        <w:bottom w:val="none" w:sz="0" w:space="0" w:color="auto"/>
        <w:right w:val="none" w:sz="0" w:space="0" w:color="auto"/>
      </w:divBdr>
    </w:div>
    <w:div w:id="893472014">
      <w:bodyDiv w:val="1"/>
      <w:marLeft w:val="0"/>
      <w:marRight w:val="0"/>
      <w:marTop w:val="0"/>
      <w:marBottom w:val="0"/>
      <w:divBdr>
        <w:top w:val="none" w:sz="0" w:space="0" w:color="auto"/>
        <w:left w:val="none" w:sz="0" w:space="0" w:color="auto"/>
        <w:bottom w:val="none" w:sz="0" w:space="0" w:color="auto"/>
        <w:right w:val="none" w:sz="0" w:space="0" w:color="auto"/>
      </w:divBdr>
    </w:div>
    <w:div w:id="963274720">
      <w:bodyDiv w:val="1"/>
      <w:marLeft w:val="0"/>
      <w:marRight w:val="0"/>
      <w:marTop w:val="0"/>
      <w:marBottom w:val="0"/>
      <w:divBdr>
        <w:top w:val="none" w:sz="0" w:space="0" w:color="auto"/>
        <w:left w:val="none" w:sz="0" w:space="0" w:color="auto"/>
        <w:bottom w:val="none" w:sz="0" w:space="0" w:color="auto"/>
        <w:right w:val="none" w:sz="0" w:space="0" w:color="auto"/>
      </w:divBdr>
    </w:div>
    <w:div w:id="967324735">
      <w:bodyDiv w:val="1"/>
      <w:marLeft w:val="0"/>
      <w:marRight w:val="0"/>
      <w:marTop w:val="0"/>
      <w:marBottom w:val="0"/>
      <w:divBdr>
        <w:top w:val="none" w:sz="0" w:space="0" w:color="auto"/>
        <w:left w:val="none" w:sz="0" w:space="0" w:color="auto"/>
        <w:bottom w:val="none" w:sz="0" w:space="0" w:color="auto"/>
        <w:right w:val="none" w:sz="0" w:space="0" w:color="auto"/>
      </w:divBdr>
    </w:div>
    <w:div w:id="1163276810">
      <w:bodyDiv w:val="1"/>
      <w:marLeft w:val="0"/>
      <w:marRight w:val="0"/>
      <w:marTop w:val="0"/>
      <w:marBottom w:val="0"/>
      <w:divBdr>
        <w:top w:val="none" w:sz="0" w:space="0" w:color="auto"/>
        <w:left w:val="none" w:sz="0" w:space="0" w:color="auto"/>
        <w:bottom w:val="none" w:sz="0" w:space="0" w:color="auto"/>
        <w:right w:val="none" w:sz="0" w:space="0" w:color="auto"/>
      </w:divBdr>
    </w:div>
    <w:div w:id="1254823005">
      <w:bodyDiv w:val="1"/>
      <w:marLeft w:val="0"/>
      <w:marRight w:val="0"/>
      <w:marTop w:val="0"/>
      <w:marBottom w:val="0"/>
      <w:divBdr>
        <w:top w:val="none" w:sz="0" w:space="0" w:color="auto"/>
        <w:left w:val="none" w:sz="0" w:space="0" w:color="auto"/>
        <w:bottom w:val="none" w:sz="0" w:space="0" w:color="auto"/>
        <w:right w:val="none" w:sz="0" w:space="0" w:color="auto"/>
      </w:divBdr>
    </w:div>
    <w:div w:id="1343167142">
      <w:bodyDiv w:val="1"/>
      <w:marLeft w:val="0"/>
      <w:marRight w:val="0"/>
      <w:marTop w:val="0"/>
      <w:marBottom w:val="0"/>
      <w:divBdr>
        <w:top w:val="none" w:sz="0" w:space="0" w:color="auto"/>
        <w:left w:val="none" w:sz="0" w:space="0" w:color="auto"/>
        <w:bottom w:val="none" w:sz="0" w:space="0" w:color="auto"/>
        <w:right w:val="none" w:sz="0" w:space="0" w:color="auto"/>
      </w:divBdr>
    </w:div>
    <w:div w:id="1443064216">
      <w:bodyDiv w:val="1"/>
      <w:marLeft w:val="0"/>
      <w:marRight w:val="0"/>
      <w:marTop w:val="0"/>
      <w:marBottom w:val="0"/>
      <w:divBdr>
        <w:top w:val="none" w:sz="0" w:space="0" w:color="auto"/>
        <w:left w:val="none" w:sz="0" w:space="0" w:color="auto"/>
        <w:bottom w:val="none" w:sz="0" w:space="0" w:color="auto"/>
        <w:right w:val="none" w:sz="0" w:space="0" w:color="auto"/>
      </w:divBdr>
    </w:div>
    <w:div w:id="1463577878">
      <w:bodyDiv w:val="1"/>
      <w:marLeft w:val="0"/>
      <w:marRight w:val="0"/>
      <w:marTop w:val="0"/>
      <w:marBottom w:val="0"/>
      <w:divBdr>
        <w:top w:val="none" w:sz="0" w:space="0" w:color="auto"/>
        <w:left w:val="none" w:sz="0" w:space="0" w:color="auto"/>
        <w:bottom w:val="none" w:sz="0" w:space="0" w:color="auto"/>
        <w:right w:val="none" w:sz="0" w:space="0" w:color="auto"/>
      </w:divBdr>
    </w:div>
    <w:div w:id="1603339181">
      <w:bodyDiv w:val="1"/>
      <w:marLeft w:val="0"/>
      <w:marRight w:val="0"/>
      <w:marTop w:val="0"/>
      <w:marBottom w:val="0"/>
      <w:divBdr>
        <w:top w:val="none" w:sz="0" w:space="0" w:color="auto"/>
        <w:left w:val="none" w:sz="0" w:space="0" w:color="auto"/>
        <w:bottom w:val="none" w:sz="0" w:space="0" w:color="auto"/>
        <w:right w:val="none" w:sz="0" w:space="0" w:color="auto"/>
      </w:divBdr>
    </w:div>
    <w:div w:id="1617132500">
      <w:bodyDiv w:val="1"/>
      <w:marLeft w:val="0"/>
      <w:marRight w:val="0"/>
      <w:marTop w:val="0"/>
      <w:marBottom w:val="0"/>
      <w:divBdr>
        <w:top w:val="none" w:sz="0" w:space="0" w:color="auto"/>
        <w:left w:val="none" w:sz="0" w:space="0" w:color="auto"/>
        <w:bottom w:val="none" w:sz="0" w:space="0" w:color="auto"/>
        <w:right w:val="none" w:sz="0" w:space="0" w:color="auto"/>
      </w:divBdr>
    </w:div>
    <w:div w:id="1640957114">
      <w:bodyDiv w:val="1"/>
      <w:marLeft w:val="0"/>
      <w:marRight w:val="0"/>
      <w:marTop w:val="0"/>
      <w:marBottom w:val="0"/>
      <w:divBdr>
        <w:top w:val="none" w:sz="0" w:space="0" w:color="auto"/>
        <w:left w:val="none" w:sz="0" w:space="0" w:color="auto"/>
        <w:bottom w:val="none" w:sz="0" w:space="0" w:color="auto"/>
        <w:right w:val="none" w:sz="0" w:space="0" w:color="auto"/>
      </w:divBdr>
    </w:div>
    <w:div w:id="1655599440">
      <w:bodyDiv w:val="1"/>
      <w:marLeft w:val="0"/>
      <w:marRight w:val="0"/>
      <w:marTop w:val="0"/>
      <w:marBottom w:val="0"/>
      <w:divBdr>
        <w:top w:val="none" w:sz="0" w:space="0" w:color="auto"/>
        <w:left w:val="none" w:sz="0" w:space="0" w:color="auto"/>
        <w:bottom w:val="none" w:sz="0" w:space="0" w:color="auto"/>
        <w:right w:val="none" w:sz="0" w:space="0" w:color="auto"/>
      </w:divBdr>
    </w:div>
    <w:div w:id="1712069274">
      <w:bodyDiv w:val="1"/>
      <w:marLeft w:val="0"/>
      <w:marRight w:val="0"/>
      <w:marTop w:val="0"/>
      <w:marBottom w:val="0"/>
      <w:divBdr>
        <w:top w:val="none" w:sz="0" w:space="0" w:color="auto"/>
        <w:left w:val="none" w:sz="0" w:space="0" w:color="auto"/>
        <w:bottom w:val="none" w:sz="0" w:space="0" w:color="auto"/>
        <w:right w:val="none" w:sz="0" w:space="0" w:color="auto"/>
      </w:divBdr>
    </w:div>
    <w:div w:id="1713456537">
      <w:bodyDiv w:val="1"/>
      <w:marLeft w:val="0"/>
      <w:marRight w:val="0"/>
      <w:marTop w:val="0"/>
      <w:marBottom w:val="0"/>
      <w:divBdr>
        <w:top w:val="none" w:sz="0" w:space="0" w:color="auto"/>
        <w:left w:val="none" w:sz="0" w:space="0" w:color="auto"/>
        <w:bottom w:val="none" w:sz="0" w:space="0" w:color="auto"/>
        <w:right w:val="none" w:sz="0" w:space="0" w:color="auto"/>
      </w:divBdr>
    </w:div>
    <w:div w:id="1732145862">
      <w:bodyDiv w:val="1"/>
      <w:marLeft w:val="0"/>
      <w:marRight w:val="0"/>
      <w:marTop w:val="0"/>
      <w:marBottom w:val="0"/>
      <w:divBdr>
        <w:top w:val="none" w:sz="0" w:space="0" w:color="auto"/>
        <w:left w:val="none" w:sz="0" w:space="0" w:color="auto"/>
        <w:bottom w:val="none" w:sz="0" w:space="0" w:color="auto"/>
        <w:right w:val="none" w:sz="0" w:space="0" w:color="auto"/>
      </w:divBdr>
    </w:div>
    <w:div w:id="1777869707">
      <w:bodyDiv w:val="1"/>
      <w:marLeft w:val="0"/>
      <w:marRight w:val="0"/>
      <w:marTop w:val="0"/>
      <w:marBottom w:val="0"/>
      <w:divBdr>
        <w:top w:val="none" w:sz="0" w:space="0" w:color="auto"/>
        <w:left w:val="none" w:sz="0" w:space="0" w:color="auto"/>
        <w:bottom w:val="none" w:sz="0" w:space="0" w:color="auto"/>
        <w:right w:val="none" w:sz="0" w:space="0" w:color="auto"/>
      </w:divBdr>
    </w:div>
    <w:div w:id="1798913965">
      <w:bodyDiv w:val="1"/>
      <w:marLeft w:val="0"/>
      <w:marRight w:val="0"/>
      <w:marTop w:val="0"/>
      <w:marBottom w:val="0"/>
      <w:divBdr>
        <w:top w:val="none" w:sz="0" w:space="0" w:color="auto"/>
        <w:left w:val="none" w:sz="0" w:space="0" w:color="auto"/>
        <w:bottom w:val="none" w:sz="0" w:space="0" w:color="auto"/>
        <w:right w:val="none" w:sz="0" w:space="0" w:color="auto"/>
      </w:divBdr>
    </w:div>
    <w:div w:id="1849443104">
      <w:bodyDiv w:val="1"/>
      <w:marLeft w:val="0"/>
      <w:marRight w:val="0"/>
      <w:marTop w:val="0"/>
      <w:marBottom w:val="0"/>
      <w:divBdr>
        <w:top w:val="none" w:sz="0" w:space="0" w:color="auto"/>
        <w:left w:val="none" w:sz="0" w:space="0" w:color="auto"/>
        <w:bottom w:val="none" w:sz="0" w:space="0" w:color="auto"/>
        <w:right w:val="none" w:sz="0" w:space="0" w:color="auto"/>
      </w:divBdr>
    </w:div>
    <w:div w:id="1879856635">
      <w:bodyDiv w:val="1"/>
      <w:marLeft w:val="0"/>
      <w:marRight w:val="0"/>
      <w:marTop w:val="0"/>
      <w:marBottom w:val="0"/>
      <w:divBdr>
        <w:top w:val="none" w:sz="0" w:space="0" w:color="auto"/>
        <w:left w:val="none" w:sz="0" w:space="0" w:color="auto"/>
        <w:bottom w:val="none" w:sz="0" w:space="0" w:color="auto"/>
        <w:right w:val="none" w:sz="0" w:space="0" w:color="auto"/>
      </w:divBdr>
    </w:div>
    <w:div w:id="1965622745">
      <w:bodyDiv w:val="1"/>
      <w:marLeft w:val="0"/>
      <w:marRight w:val="0"/>
      <w:marTop w:val="0"/>
      <w:marBottom w:val="0"/>
      <w:divBdr>
        <w:top w:val="none" w:sz="0" w:space="0" w:color="auto"/>
        <w:left w:val="none" w:sz="0" w:space="0" w:color="auto"/>
        <w:bottom w:val="none" w:sz="0" w:space="0" w:color="auto"/>
        <w:right w:val="none" w:sz="0" w:space="0" w:color="auto"/>
      </w:divBdr>
    </w:div>
    <w:div w:id="1980185430">
      <w:bodyDiv w:val="1"/>
      <w:marLeft w:val="0"/>
      <w:marRight w:val="0"/>
      <w:marTop w:val="0"/>
      <w:marBottom w:val="0"/>
      <w:divBdr>
        <w:top w:val="none" w:sz="0" w:space="0" w:color="auto"/>
        <w:left w:val="none" w:sz="0" w:space="0" w:color="auto"/>
        <w:bottom w:val="none" w:sz="0" w:space="0" w:color="auto"/>
        <w:right w:val="none" w:sz="0" w:space="0" w:color="auto"/>
      </w:divBdr>
    </w:div>
    <w:div w:id="1981575173">
      <w:bodyDiv w:val="1"/>
      <w:marLeft w:val="0"/>
      <w:marRight w:val="0"/>
      <w:marTop w:val="0"/>
      <w:marBottom w:val="0"/>
      <w:divBdr>
        <w:top w:val="none" w:sz="0" w:space="0" w:color="auto"/>
        <w:left w:val="none" w:sz="0" w:space="0" w:color="auto"/>
        <w:bottom w:val="none" w:sz="0" w:space="0" w:color="auto"/>
        <w:right w:val="none" w:sz="0" w:space="0" w:color="auto"/>
      </w:divBdr>
    </w:div>
    <w:div w:id="1987514355">
      <w:bodyDiv w:val="1"/>
      <w:marLeft w:val="0"/>
      <w:marRight w:val="0"/>
      <w:marTop w:val="0"/>
      <w:marBottom w:val="0"/>
      <w:divBdr>
        <w:top w:val="none" w:sz="0" w:space="0" w:color="auto"/>
        <w:left w:val="none" w:sz="0" w:space="0" w:color="auto"/>
        <w:bottom w:val="none" w:sz="0" w:space="0" w:color="auto"/>
        <w:right w:val="none" w:sz="0" w:space="0" w:color="auto"/>
      </w:divBdr>
    </w:div>
    <w:div w:id="2006859327">
      <w:bodyDiv w:val="1"/>
      <w:marLeft w:val="0"/>
      <w:marRight w:val="0"/>
      <w:marTop w:val="0"/>
      <w:marBottom w:val="0"/>
      <w:divBdr>
        <w:top w:val="none" w:sz="0" w:space="0" w:color="auto"/>
        <w:left w:val="none" w:sz="0" w:space="0" w:color="auto"/>
        <w:bottom w:val="none" w:sz="0" w:space="0" w:color="auto"/>
        <w:right w:val="none" w:sz="0" w:space="0" w:color="auto"/>
      </w:divBdr>
    </w:div>
    <w:div w:id="20846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economy/national-accou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ba.gov.au/statistics/tables/" TargetMode="External"/><Relationship Id="rId17" Type="http://schemas.openxmlformats.org/officeDocument/2006/relationships/hyperlink" Target="https://www.ag.gov.au/legal-system/publications/guide-framing-commonwealth-offences-infringement-notices-and-enforcement-powers" TargetMode="External"/><Relationship Id="rId2" Type="http://schemas.openxmlformats.org/officeDocument/2006/relationships/customXml" Target="../customXml/item2.xml"/><Relationship Id="rId16" Type="http://schemas.openxmlformats.org/officeDocument/2006/relationships/hyperlink" Target="https://www.ag.gov.au/legal-system/administrative-law/administrative-review-council-publications/what-decisions-should-be-subject-merit-review-19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gov.au/legal-system/publications/guide-framing-commonwealth-offences-infringement-notices-and-enforcement-powers" TargetMode="External"/><Relationship Id="rId5" Type="http://schemas.openxmlformats.org/officeDocument/2006/relationships/numbering" Target="numbering.xml"/><Relationship Id="rId15" Type="http://schemas.openxmlformats.org/officeDocument/2006/relationships/hyperlink" Target="https://www.ag.gov.au/legal-system/administrative-law/administrative-review-council-publications/what-decisions-should-be-subject-merit-review-199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gov.au/legal-system/administrative-law/administrative-review-council-publications/what-decisions-should-be-subject-merit-review-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B9709AFF014846A5C64889AEF1B327" ma:contentTypeVersion="" ma:contentTypeDescription="PDMS Document Site Content Type" ma:contentTypeScope="" ma:versionID="5862fe2175f506f41b065299782b1c14">
  <xsd:schema xmlns:xsd="http://www.w3.org/2001/XMLSchema" xmlns:xs="http://www.w3.org/2001/XMLSchema" xmlns:p="http://schemas.microsoft.com/office/2006/metadata/properties" xmlns:ns2="ACD4D927-7CBF-4F65-9D15-4A66A19BAD22" targetNamespace="http://schemas.microsoft.com/office/2006/metadata/properties" ma:root="true" ma:fieldsID="ce7c340149a7d6190c8bbb2f9eea4f7f" ns2:_="">
    <xsd:import namespace="ACD4D927-7CBF-4F65-9D15-4A66A19BAD2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D927-7CBF-4F65-9D15-4A66A19BAD2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D4D927-7CBF-4F65-9D15-4A66A19BAD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7AAC4-CFD0-4C2E-8F52-DD721F95A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D927-7CBF-4F65-9D15-4A66A19BA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1E7AC-7441-441D-A0F4-0F2A6FB9867F}">
  <ds:schemaRefs>
    <ds:schemaRef ds:uri="http://schemas.openxmlformats.org/officeDocument/2006/bibliography"/>
  </ds:schemaRefs>
</ds:datastoreItem>
</file>

<file path=customXml/itemProps3.xml><?xml version="1.0" encoding="utf-8"?>
<ds:datastoreItem xmlns:ds="http://schemas.openxmlformats.org/officeDocument/2006/customXml" ds:itemID="{62292B30-E11B-47A2-8DB5-0326AF19ABD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ACD4D927-7CBF-4F65-9D15-4A66A19BAD22"/>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EF27175-1E69-48F4-80EF-4605F05FB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60</Pages>
  <Words>28857</Words>
  <Characters>150636</Characters>
  <Application>Microsoft Office Word</Application>
  <DocSecurity>0</DocSecurity>
  <Lines>2510</Lines>
  <Paragraphs>934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178559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Tsakalos, Nick</dc:creator>
  <cp:keywords/>
  <dc:description/>
  <cp:lastModifiedBy>Tsakalos, Nick</cp:lastModifiedBy>
  <cp:revision>2</cp:revision>
  <cp:lastPrinted>2021-02-01T23:20:00Z</cp:lastPrinted>
  <dcterms:created xsi:type="dcterms:W3CDTF">2024-03-13T22:41:00Z</dcterms:created>
  <dcterms:modified xsi:type="dcterms:W3CDTF">2024-03-13T22:41:00Z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0x010100266966F133664895A6EE3632470D45F5009CB9709AFF014846A5C64889AEF1B327</vt:lpwstr>
  </property>
  <property fmtid="{D5CDD505-2E9C-101B-9397-08002B2CF9AE}" pid="3" name="_dlc_DocIdItemGuid">
    <vt:lpwstr>fd84398e-4f17-48a7-b4f0-941a33fb85a5</vt:lpwstr>
  </property>
  <property fmtid="{D5CDD505-2E9C-101B-9397-08002B2CF9AE}" pid="4" name="DocHub_Year">
    <vt:lpwstr>5209;#2024|a9509632-5de2-45f9-9fc7-c24df7848880</vt:lpwstr>
  </property>
  <property fmtid="{D5CDD505-2E9C-101B-9397-08002B2CF9AE}" pid="5" name="DocHub_DocumentType">
    <vt:lpwstr>3826;#Publication|06e93801-71cb-48e6-a8b7-fc1a9a5a1404</vt:lpwstr>
  </property>
  <property fmtid="{D5CDD505-2E9C-101B-9397-08002B2CF9AE}" pid="6" name="DocHub_GroupsOtherEntities">
    <vt:lpwstr>4005;#NOPSEMA|cc53b07b-c14f-48b1-be7e-9756949a5699;#2468;#NOPTA|ea786328-997b-4962-9e39-ee8618e638f6;#4350;#Legal|7c208dad-b611-473b-9bfc-8e9bb0cd2bf6</vt:lpwstr>
  </property>
  <property fmtid="{D5CDD505-2E9C-101B-9397-08002B2CF9AE}" pid="7" name="DocHub_SecurityClassification">
    <vt:lpwstr>1;#OFFICIAL|6106d03b-a1a0-4e30-9d91-d5e9fb4314f9</vt:lpwstr>
  </property>
  <property fmtid="{D5CDD505-2E9C-101B-9397-08002B2CF9AE}" pid="8" name="DocHub_GovernmentEntities">
    <vt:lpwstr/>
  </property>
  <property fmtid="{D5CDD505-2E9C-101B-9397-08002B2CF9AE}" pid="9" name="DocHub_OrganisationEntities">
    <vt:lpwstr/>
  </property>
  <property fmtid="{D5CDD505-2E9C-101B-9397-08002B2CF9AE}" pid="10" name="DocHub_WorkActivity">
    <vt:lpwstr>102;#Legislation and Regulation|6cbc66f5-f4a2-4565-a58b-d5f2d2ac9bd0</vt:lpwstr>
  </property>
  <property fmtid="{D5CDD505-2E9C-101B-9397-08002B2CF9AE}" pid="11" name="DocHub_WorkTopic">
    <vt:lpwstr>1254;#Regulation|ae5f25ba-83a2-4026-930f-577a837a312f</vt:lpwstr>
  </property>
  <property fmtid="{D5CDD505-2E9C-101B-9397-08002B2CF9AE}" pid="12" name="DocHub_EnergyMineralResources">
    <vt:lpwstr>362;#oil and gas|4fed0506-c6d7-4291-934d-6d7ae81d0f22</vt:lpwstr>
  </property>
  <property fmtid="{D5CDD505-2E9C-101B-9397-08002B2CF9AE}" pid="13" name="DocHub_Keywords">
    <vt:lpwstr>2600;#Policy Reforms|b210526c-dbd2-4e48-9897-36f5bdab64c4;#1055;#Environmental Impacts|63d7a099-4274-404e-9f6a-dda434f4c78f</vt:lpwstr>
  </property>
  <property fmtid="{D5CDD505-2E9C-101B-9397-08002B2CF9AE}" pid="14" name="DocHub_State">
    <vt:lpwstr/>
  </property>
</Properties>
</file>