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41649" w14:textId="77777777" w:rsidR="00DF3082" w:rsidRPr="00C816A2" w:rsidRDefault="0057002B" w:rsidP="00BB0CF2">
      <w:pPr>
        <w:pStyle w:val="ESTitleHeader"/>
        <w:rPr>
          <w:sz w:val="24"/>
          <w:szCs w:val="24"/>
        </w:rPr>
      </w:pPr>
      <w:bookmarkStart w:id="0" w:name="_GoBack"/>
      <w:bookmarkEnd w:id="0"/>
      <w:r w:rsidRPr="00C816A2">
        <w:rPr>
          <w:sz w:val="24"/>
          <w:szCs w:val="24"/>
        </w:rPr>
        <w:t>EXPLANATORY STATEMENT</w:t>
      </w:r>
    </w:p>
    <w:p w14:paraId="5F07D625" w14:textId="77777777" w:rsidR="0057002B" w:rsidRPr="00C816A2" w:rsidRDefault="0057002B" w:rsidP="00BB0CF2">
      <w:pPr>
        <w:pStyle w:val="ESTitleDecisionMaker"/>
        <w:rPr>
          <w:sz w:val="24"/>
          <w:szCs w:val="24"/>
        </w:rPr>
      </w:pPr>
      <w:r w:rsidRPr="00C816A2">
        <w:rPr>
          <w:sz w:val="24"/>
          <w:szCs w:val="24"/>
        </w:rPr>
        <w:t xml:space="preserve">Issued by authority of the </w:t>
      </w:r>
      <w:r w:rsidR="00E83B2D" w:rsidRPr="00C816A2">
        <w:rPr>
          <w:sz w:val="24"/>
          <w:szCs w:val="24"/>
        </w:rPr>
        <w:t>Minister of Immigration, Citizenship and Multicultural Affairs</w:t>
      </w:r>
    </w:p>
    <w:p w14:paraId="4AAF2B5F" w14:textId="77777777" w:rsidR="0057002B" w:rsidRPr="00C816A2" w:rsidRDefault="00E83B2D" w:rsidP="00BB0CF2">
      <w:pPr>
        <w:pStyle w:val="ESTitleEnablingLegislation"/>
        <w:rPr>
          <w:sz w:val="24"/>
          <w:szCs w:val="24"/>
        </w:rPr>
      </w:pPr>
      <w:r w:rsidRPr="00C816A2">
        <w:rPr>
          <w:sz w:val="24"/>
          <w:szCs w:val="24"/>
        </w:rPr>
        <w:t>Migration Regulations 1994</w:t>
      </w:r>
    </w:p>
    <w:p w14:paraId="3D1FC4DD" w14:textId="12B639E9" w:rsidR="0057002B" w:rsidRPr="00C816A2" w:rsidRDefault="00E83B2D" w:rsidP="00BB0CF2">
      <w:pPr>
        <w:pStyle w:val="ESTitleInstrumentName"/>
        <w:rPr>
          <w:i w:val="0"/>
          <w:sz w:val="24"/>
          <w:szCs w:val="24"/>
        </w:rPr>
      </w:pPr>
      <w:r w:rsidRPr="00C816A2">
        <w:rPr>
          <w:sz w:val="24"/>
          <w:szCs w:val="24"/>
        </w:rPr>
        <w:t>Migration (Ending the COVID</w:t>
      </w:r>
      <w:r w:rsidR="00623BD1" w:rsidRPr="00C816A2">
        <w:rPr>
          <w:sz w:val="24"/>
          <w:szCs w:val="24"/>
        </w:rPr>
        <w:t>-19</w:t>
      </w:r>
      <w:r w:rsidR="00C41F32" w:rsidRPr="00C816A2">
        <w:rPr>
          <w:sz w:val="24"/>
          <w:szCs w:val="24"/>
        </w:rPr>
        <w:t xml:space="preserve"> C</w:t>
      </w:r>
      <w:r w:rsidRPr="00C816A2">
        <w:rPr>
          <w:sz w:val="24"/>
          <w:szCs w:val="24"/>
        </w:rPr>
        <w:t>oncessi</w:t>
      </w:r>
      <w:r w:rsidR="00C41F32" w:rsidRPr="00C816A2">
        <w:rPr>
          <w:sz w:val="24"/>
          <w:szCs w:val="24"/>
        </w:rPr>
        <w:t>on P</w:t>
      </w:r>
      <w:r w:rsidR="001D4B01" w:rsidRPr="00C816A2">
        <w:rPr>
          <w:sz w:val="24"/>
          <w:szCs w:val="24"/>
        </w:rPr>
        <w:t>eriod)</w:t>
      </w:r>
      <w:r w:rsidR="00C41F32" w:rsidRPr="00C816A2">
        <w:rPr>
          <w:sz w:val="24"/>
          <w:szCs w:val="24"/>
        </w:rPr>
        <w:t xml:space="preserve"> (LIN23/063) Specification</w:t>
      </w:r>
      <w:r w:rsidR="001D4B01" w:rsidRPr="00C816A2">
        <w:rPr>
          <w:sz w:val="24"/>
          <w:szCs w:val="24"/>
        </w:rPr>
        <w:t xml:space="preserve"> </w:t>
      </w:r>
      <w:r w:rsidRPr="00C816A2">
        <w:rPr>
          <w:sz w:val="24"/>
          <w:szCs w:val="24"/>
        </w:rPr>
        <w:t>2023</w:t>
      </w:r>
    </w:p>
    <w:p w14:paraId="06D0149A" w14:textId="63D2C72D" w:rsidR="00EA12C9" w:rsidRPr="00C816A2" w:rsidRDefault="0057002B" w:rsidP="00D863B0">
      <w:pPr>
        <w:pStyle w:val="ESSubparaHeader"/>
        <w:rPr>
          <w:sz w:val="24"/>
          <w:szCs w:val="24"/>
        </w:rPr>
      </w:pPr>
      <w:r w:rsidRPr="00C816A2">
        <w:rPr>
          <w:sz w:val="24"/>
          <w:szCs w:val="24"/>
        </w:rPr>
        <w:t xml:space="preserve">The instrument, </w:t>
      </w:r>
      <w:r w:rsidR="00C41F32" w:rsidRPr="00C816A2">
        <w:rPr>
          <w:sz w:val="24"/>
          <w:szCs w:val="24"/>
        </w:rPr>
        <w:t>d</w:t>
      </w:r>
      <w:r w:rsidRPr="00C816A2">
        <w:rPr>
          <w:sz w:val="24"/>
          <w:szCs w:val="24"/>
        </w:rPr>
        <w:t xml:space="preserve">epartmental reference </w:t>
      </w:r>
      <w:r w:rsidR="00E83B2D" w:rsidRPr="00C816A2">
        <w:rPr>
          <w:sz w:val="24"/>
          <w:szCs w:val="24"/>
        </w:rPr>
        <w:t>LIN23/</w:t>
      </w:r>
      <w:r w:rsidR="006B2AEA" w:rsidRPr="00C816A2">
        <w:rPr>
          <w:sz w:val="24"/>
          <w:szCs w:val="24"/>
        </w:rPr>
        <w:t>063</w:t>
      </w:r>
      <w:r w:rsidRPr="00C816A2">
        <w:rPr>
          <w:sz w:val="24"/>
          <w:szCs w:val="24"/>
        </w:rPr>
        <w:t xml:space="preserve">, is made under </w:t>
      </w:r>
      <w:proofErr w:type="spellStart"/>
      <w:r w:rsidR="00E83B2D" w:rsidRPr="00C816A2">
        <w:rPr>
          <w:sz w:val="24"/>
          <w:szCs w:val="24"/>
        </w:rPr>
        <w:t>subregulation</w:t>
      </w:r>
      <w:proofErr w:type="spellEnd"/>
      <w:r w:rsidR="00E83B2D" w:rsidRPr="00C816A2">
        <w:rPr>
          <w:sz w:val="24"/>
          <w:szCs w:val="24"/>
        </w:rPr>
        <w:t xml:space="preserve"> </w:t>
      </w:r>
      <w:proofErr w:type="gramStart"/>
      <w:r w:rsidR="00E83B2D" w:rsidRPr="00C816A2">
        <w:rPr>
          <w:sz w:val="24"/>
          <w:szCs w:val="24"/>
        </w:rPr>
        <w:t>1.15N(</w:t>
      </w:r>
      <w:proofErr w:type="gramEnd"/>
      <w:r w:rsidR="00E83B2D" w:rsidRPr="00C816A2">
        <w:rPr>
          <w:sz w:val="24"/>
          <w:szCs w:val="24"/>
        </w:rPr>
        <w:t>2)</w:t>
      </w:r>
      <w:r w:rsidRPr="00C816A2">
        <w:rPr>
          <w:sz w:val="24"/>
          <w:szCs w:val="24"/>
        </w:rPr>
        <w:t xml:space="preserve"> of the </w:t>
      </w:r>
      <w:r w:rsidRPr="00C816A2">
        <w:rPr>
          <w:i/>
          <w:sz w:val="24"/>
          <w:szCs w:val="24"/>
        </w:rPr>
        <w:t>Migration Regulations 1994</w:t>
      </w:r>
      <w:r w:rsidR="00E83B2D" w:rsidRPr="00C816A2">
        <w:rPr>
          <w:sz w:val="24"/>
          <w:szCs w:val="24"/>
        </w:rPr>
        <w:t xml:space="preserve"> (the Regulations)</w:t>
      </w:r>
      <w:r w:rsidR="00C41F32" w:rsidRPr="00C816A2">
        <w:rPr>
          <w:sz w:val="24"/>
          <w:szCs w:val="24"/>
        </w:rPr>
        <w:t>, for the purposes of paragraph 1.15N(1)(b) of the Regulations</w:t>
      </w:r>
      <w:r w:rsidR="00B31210" w:rsidRPr="00C816A2">
        <w:rPr>
          <w:sz w:val="24"/>
          <w:szCs w:val="24"/>
        </w:rPr>
        <w:t xml:space="preserve">. </w:t>
      </w:r>
    </w:p>
    <w:p w14:paraId="77B301E7" w14:textId="2F07C111" w:rsidR="00BD598E" w:rsidRPr="00C816A2" w:rsidRDefault="00E83B2D" w:rsidP="00586713">
      <w:pPr>
        <w:pStyle w:val="ESSubparaHeader"/>
        <w:rPr>
          <w:sz w:val="24"/>
          <w:szCs w:val="24"/>
        </w:rPr>
      </w:pPr>
      <w:r w:rsidRPr="00C816A2">
        <w:rPr>
          <w:sz w:val="24"/>
          <w:szCs w:val="24"/>
        </w:rPr>
        <w:t xml:space="preserve">The instrument commences </w:t>
      </w:r>
      <w:r w:rsidR="00F35B86" w:rsidRPr="00C816A2">
        <w:rPr>
          <w:sz w:val="24"/>
          <w:szCs w:val="24"/>
        </w:rPr>
        <w:t xml:space="preserve">on </w:t>
      </w:r>
      <w:r w:rsidR="00BE2E78" w:rsidRPr="00C816A2">
        <w:rPr>
          <w:sz w:val="24"/>
          <w:szCs w:val="24"/>
        </w:rPr>
        <w:t xml:space="preserve">the day after it is registered on the Federal Register of Legislation. The instrument </w:t>
      </w:r>
      <w:r w:rsidR="00AA4557" w:rsidRPr="00C816A2">
        <w:rPr>
          <w:sz w:val="24"/>
          <w:szCs w:val="24"/>
        </w:rPr>
        <w:t>i</w:t>
      </w:r>
      <w:r w:rsidR="00BD598E" w:rsidRPr="00C816A2">
        <w:rPr>
          <w:sz w:val="24"/>
          <w:szCs w:val="24"/>
        </w:rPr>
        <w:t xml:space="preserve">s a </w:t>
      </w:r>
      <w:r w:rsidR="00AA4557" w:rsidRPr="00C816A2">
        <w:rPr>
          <w:sz w:val="24"/>
          <w:szCs w:val="24"/>
        </w:rPr>
        <w:t>legislative</w:t>
      </w:r>
      <w:r w:rsidR="00BD598E" w:rsidRPr="00C816A2">
        <w:rPr>
          <w:sz w:val="24"/>
          <w:szCs w:val="24"/>
        </w:rPr>
        <w:t xml:space="preserve"> instrument for </w:t>
      </w:r>
      <w:r w:rsidR="00B75478" w:rsidRPr="00C816A2">
        <w:rPr>
          <w:sz w:val="24"/>
          <w:szCs w:val="24"/>
        </w:rPr>
        <w:t>the</w:t>
      </w:r>
      <w:r w:rsidR="00F35B86" w:rsidRPr="00C816A2">
        <w:rPr>
          <w:sz w:val="24"/>
          <w:szCs w:val="24"/>
        </w:rPr>
        <w:t xml:space="preserve"> purposes of the</w:t>
      </w:r>
      <w:r w:rsidR="00B75478" w:rsidRPr="00C816A2">
        <w:rPr>
          <w:sz w:val="24"/>
          <w:szCs w:val="24"/>
        </w:rPr>
        <w:t xml:space="preserve"> </w:t>
      </w:r>
      <w:r w:rsidR="00100DFC" w:rsidRPr="00C816A2">
        <w:rPr>
          <w:i/>
          <w:sz w:val="24"/>
          <w:szCs w:val="24"/>
        </w:rPr>
        <w:t>Legislation Act 2003</w:t>
      </w:r>
      <w:r w:rsidR="00100DFC" w:rsidRPr="00C816A2">
        <w:rPr>
          <w:sz w:val="24"/>
          <w:szCs w:val="24"/>
        </w:rPr>
        <w:t xml:space="preserve"> (the Legislation Act)</w:t>
      </w:r>
      <w:r w:rsidR="00BD598E" w:rsidRPr="00C816A2">
        <w:rPr>
          <w:sz w:val="24"/>
          <w:szCs w:val="24"/>
        </w:rPr>
        <w:t xml:space="preserve">.  </w:t>
      </w:r>
    </w:p>
    <w:p w14:paraId="295CF055" w14:textId="77777777" w:rsidR="00EA12C9" w:rsidRPr="00C816A2" w:rsidRDefault="00BD598E" w:rsidP="00100DFC">
      <w:pPr>
        <w:pStyle w:val="ESHeading"/>
        <w:rPr>
          <w:b w:val="0"/>
          <w:i w:val="0"/>
          <w:sz w:val="24"/>
          <w:szCs w:val="24"/>
        </w:rPr>
      </w:pPr>
      <w:r w:rsidRPr="00C816A2">
        <w:rPr>
          <w:sz w:val="24"/>
          <w:szCs w:val="24"/>
        </w:rPr>
        <w:t>Purpose</w:t>
      </w:r>
      <w:r w:rsidR="00BB0CF2" w:rsidRPr="00C816A2">
        <w:rPr>
          <w:sz w:val="24"/>
          <w:szCs w:val="24"/>
        </w:rPr>
        <w:t xml:space="preserve"> </w:t>
      </w:r>
    </w:p>
    <w:p w14:paraId="05F7F523" w14:textId="531577DD" w:rsidR="0077447D" w:rsidRPr="00C816A2" w:rsidRDefault="00366CA7" w:rsidP="00BE2E78">
      <w:pPr>
        <w:pStyle w:val="ESSubparaHeader"/>
        <w:rPr>
          <w:sz w:val="24"/>
          <w:szCs w:val="24"/>
        </w:rPr>
      </w:pPr>
      <w:r w:rsidRPr="00C816A2">
        <w:rPr>
          <w:sz w:val="24"/>
          <w:szCs w:val="24"/>
        </w:rPr>
        <w:t xml:space="preserve">Regulation 1.15N </w:t>
      </w:r>
      <w:r w:rsidR="00BE2E78" w:rsidRPr="00C816A2">
        <w:rPr>
          <w:sz w:val="24"/>
          <w:szCs w:val="24"/>
        </w:rPr>
        <w:t>in</w:t>
      </w:r>
      <w:r w:rsidRPr="00C816A2">
        <w:rPr>
          <w:sz w:val="24"/>
          <w:szCs w:val="24"/>
        </w:rPr>
        <w:t xml:space="preserve"> Part 1</w:t>
      </w:r>
      <w:r w:rsidR="00BE2E78" w:rsidRPr="00C816A2">
        <w:rPr>
          <w:sz w:val="24"/>
          <w:szCs w:val="24"/>
        </w:rPr>
        <w:t xml:space="preserve"> of</w:t>
      </w:r>
      <w:r w:rsidRPr="00C816A2">
        <w:rPr>
          <w:sz w:val="24"/>
          <w:szCs w:val="24"/>
        </w:rPr>
        <w:t xml:space="preserve"> the Regulations</w:t>
      </w:r>
      <w:r w:rsidR="00C838F3" w:rsidRPr="00C816A2">
        <w:rPr>
          <w:sz w:val="24"/>
          <w:szCs w:val="24"/>
        </w:rPr>
        <w:t xml:space="preserve"> </w:t>
      </w:r>
      <w:r w:rsidRPr="00C816A2">
        <w:rPr>
          <w:sz w:val="24"/>
          <w:szCs w:val="24"/>
        </w:rPr>
        <w:t xml:space="preserve">sets out the </w:t>
      </w:r>
      <w:r w:rsidR="00BE2E78" w:rsidRPr="00C816A2">
        <w:rPr>
          <w:sz w:val="24"/>
          <w:szCs w:val="24"/>
        </w:rPr>
        <w:t>meaning</w:t>
      </w:r>
      <w:r w:rsidR="00C35AA7" w:rsidRPr="00C816A2">
        <w:rPr>
          <w:sz w:val="24"/>
          <w:szCs w:val="24"/>
        </w:rPr>
        <w:t xml:space="preserve"> of </w:t>
      </w:r>
      <w:r w:rsidR="00BE2E78" w:rsidRPr="00C816A2">
        <w:rPr>
          <w:sz w:val="24"/>
          <w:szCs w:val="24"/>
        </w:rPr>
        <w:t>‘</w:t>
      </w:r>
      <w:r w:rsidR="00C35AA7" w:rsidRPr="00C816A2">
        <w:rPr>
          <w:sz w:val="24"/>
          <w:szCs w:val="24"/>
        </w:rPr>
        <w:t>concession period</w:t>
      </w:r>
      <w:r w:rsidR="00BE2E78" w:rsidRPr="00C816A2">
        <w:rPr>
          <w:sz w:val="24"/>
          <w:szCs w:val="24"/>
        </w:rPr>
        <w:t>’</w:t>
      </w:r>
      <w:r w:rsidR="003D0CFF" w:rsidRPr="00C816A2">
        <w:rPr>
          <w:sz w:val="24"/>
          <w:szCs w:val="24"/>
        </w:rPr>
        <w:t xml:space="preserve"> </w:t>
      </w:r>
      <w:r w:rsidR="00BE2E78" w:rsidRPr="00C816A2">
        <w:rPr>
          <w:sz w:val="24"/>
          <w:szCs w:val="24"/>
        </w:rPr>
        <w:t xml:space="preserve">for the purposes of the Regulations. </w:t>
      </w:r>
      <w:r w:rsidR="00900729" w:rsidRPr="00C816A2">
        <w:rPr>
          <w:sz w:val="24"/>
          <w:szCs w:val="24"/>
        </w:rPr>
        <w:t xml:space="preserve">Regulation 1.15N was inserted in the Regulations on 19 September 2020 as part of </w:t>
      </w:r>
      <w:r w:rsidR="000B0733" w:rsidRPr="00C816A2">
        <w:rPr>
          <w:sz w:val="24"/>
          <w:szCs w:val="24"/>
        </w:rPr>
        <w:t>Australia’s</w:t>
      </w:r>
      <w:r w:rsidR="00900729" w:rsidRPr="00C816A2">
        <w:rPr>
          <w:sz w:val="24"/>
          <w:szCs w:val="24"/>
        </w:rPr>
        <w:t xml:space="preserve"> response to the COVID-19 Pandemic.</w:t>
      </w:r>
    </w:p>
    <w:p w14:paraId="30FA2319" w14:textId="2D696BDB" w:rsidR="00BE2E78" w:rsidRPr="00C816A2" w:rsidRDefault="00BE2E78" w:rsidP="00BE2E78">
      <w:pPr>
        <w:pStyle w:val="ESSubparaHeader"/>
        <w:rPr>
          <w:sz w:val="24"/>
          <w:szCs w:val="24"/>
        </w:rPr>
      </w:pPr>
      <w:r w:rsidRPr="00C816A2">
        <w:rPr>
          <w:sz w:val="24"/>
          <w:szCs w:val="24"/>
        </w:rPr>
        <w:t>Regulation 1.15N makes provision for both an ‘initial concession period’</w:t>
      </w:r>
      <w:r w:rsidR="000B0733" w:rsidRPr="00C816A2">
        <w:rPr>
          <w:sz w:val="24"/>
          <w:szCs w:val="24"/>
        </w:rPr>
        <w:t>,</w:t>
      </w:r>
      <w:r w:rsidRPr="00C816A2">
        <w:rPr>
          <w:sz w:val="24"/>
          <w:szCs w:val="24"/>
        </w:rPr>
        <w:t xml:space="preserve"> and </w:t>
      </w:r>
      <w:r w:rsidR="000B0733" w:rsidRPr="00C816A2">
        <w:rPr>
          <w:sz w:val="24"/>
          <w:szCs w:val="24"/>
        </w:rPr>
        <w:t xml:space="preserve">also </w:t>
      </w:r>
      <w:r w:rsidRPr="00C816A2">
        <w:rPr>
          <w:sz w:val="24"/>
          <w:szCs w:val="24"/>
        </w:rPr>
        <w:t>for later concession periods for the purposes of specified provisions</w:t>
      </w:r>
      <w:r w:rsidR="0077447D" w:rsidRPr="00C816A2">
        <w:rPr>
          <w:sz w:val="24"/>
          <w:szCs w:val="24"/>
        </w:rPr>
        <w:t xml:space="preserve"> of the Regulations</w:t>
      </w:r>
      <w:r w:rsidRPr="00C816A2">
        <w:rPr>
          <w:sz w:val="24"/>
          <w:szCs w:val="24"/>
        </w:rPr>
        <w:t xml:space="preserve">. </w:t>
      </w:r>
      <w:proofErr w:type="spellStart"/>
      <w:r w:rsidRPr="00C816A2">
        <w:rPr>
          <w:sz w:val="24"/>
          <w:szCs w:val="24"/>
        </w:rPr>
        <w:t>Subregulations</w:t>
      </w:r>
      <w:proofErr w:type="spellEnd"/>
      <w:r w:rsidRPr="00C816A2">
        <w:rPr>
          <w:sz w:val="24"/>
          <w:szCs w:val="24"/>
        </w:rPr>
        <w:t xml:space="preserve"> 1.15N(1) and (2) provide for the initial concession period, which is a period </w:t>
      </w:r>
      <w:r w:rsidR="000B0733" w:rsidRPr="00C816A2">
        <w:rPr>
          <w:sz w:val="24"/>
          <w:szCs w:val="24"/>
        </w:rPr>
        <w:t xml:space="preserve">that </w:t>
      </w:r>
      <w:r w:rsidRPr="00C816A2">
        <w:rPr>
          <w:sz w:val="24"/>
          <w:szCs w:val="24"/>
        </w:rPr>
        <w:t>commenc</w:t>
      </w:r>
      <w:r w:rsidR="000B0733" w:rsidRPr="00C816A2">
        <w:rPr>
          <w:sz w:val="24"/>
          <w:szCs w:val="24"/>
        </w:rPr>
        <w:t>ed</w:t>
      </w:r>
      <w:r w:rsidRPr="00C816A2">
        <w:rPr>
          <w:sz w:val="24"/>
          <w:szCs w:val="24"/>
        </w:rPr>
        <w:t xml:space="preserve"> </w:t>
      </w:r>
      <w:proofErr w:type="gramStart"/>
      <w:r w:rsidRPr="00C816A2">
        <w:rPr>
          <w:sz w:val="24"/>
          <w:szCs w:val="24"/>
        </w:rPr>
        <w:t>on</w:t>
      </w:r>
      <w:proofErr w:type="gramEnd"/>
      <w:r w:rsidRPr="00C816A2">
        <w:rPr>
          <w:sz w:val="24"/>
          <w:szCs w:val="24"/>
        </w:rPr>
        <w:t xml:space="preserve"> 1 February 2020 and </w:t>
      </w:r>
      <w:r w:rsidR="000B0733" w:rsidRPr="00C816A2">
        <w:rPr>
          <w:sz w:val="24"/>
          <w:szCs w:val="24"/>
        </w:rPr>
        <w:t xml:space="preserve">which ends </w:t>
      </w:r>
      <w:r w:rsidRPr="00C816A2">
        <w:rPr>
          <w:sz w:val="24"/>
          <w:szCs w:val="24"/>
        </w:rPr>
        <w:t xml:space="preserve">on a day specified by the Minister by legislative instrument </w:t>
      </w:r>
      <w:r w:rsidR="0077447D" w:rsidRPr="00C816A2">
        <w:rPr>
          <w:sz w:val="24"/>
          <w:szCs w:val="24"/>
        </w:rPr>
        <w:t xml:space="preserve">under </w:t>
      </w:r>
      <w:proofErr w:type="spellStart"/>
      <w:r w:rsidR="0077447D" w:rsidRPr="00C816A2">
        <w:rPr>
          <w:sz w:val="24"/>
          <w:szCs w:val="24"/>
        </w:rPr>
        <w:t>subregulation</w:t>
      </w:r>
      <w:proofErr w:type="spellEnd"/>
      <w:r w:rsidR="0077447D" w:rsidRPr="00C816A2">
        <w:rPr>
          <w:sz w:val="24"/>
          <w:szCs w:val="24"/>
        </w:rPr>
        <w:t xml:space="preserve"> 1.15N(2).</w:t>
      </w:r>
    </w:p>
    <w:p w14:paraId="53CEACD7" w14:textId="3E5612B4" w:rsidR="0077447D" w:rsidRPr="00C816A2" w:rsidRDefault="0077447D" w:rsidP="0077447D">
      <w:pPr>
        <w:pStyle w:val="ESSubparaHeader"/>
        <w:rPr>
          <w:sz w:val="24"/>
          <w:szCs w:val="24"/>
        </w:rPr>
      </w:pPr>
      <w:r w:rsidRPr="00C816A2">
        <w:rPr>
          <w:sz w:val="24"/>
          <w:szCs w:val="24"/>
        </w:rPr>
        <w:t>The purpose of this instrument is to specify 25 November 2023, for the purposes of paragraph </w:t>
      </w:r>
      <w:proofErr w:type="gramStart"/>
      <w:r w:rsidRPr="00C816A2">
        <w:rPr>
          <w:sz w:val="24"/>
          <w:szCs w:val="24"/>
        </w:rPr>
        <w:t>1.15N(</w:t>
      </w:r>
      <w:proofErr w:type="gramEnd"/>
      <w:r w:rsidRPr="00C816A2">
        <w:rPr>
          <w:sz w:val="24"/>
          <w:szCs w:val="24"/>
        </w:rPr>
        <w:t xml:space="preserve">1)(b), as the day on which the concession period ends. </w:t>
      </w:r>
      <w:r w:rsidR="00900729" w:rsidRPr="00C816A2">
        <w:rPr>
          <w:sz w:val="24"/>
          <w:szCs w:val="24"/>
        </w:rPr>
        <w:t xml:space="preserve">In accordance with table item 4 in subsection 36(1) of the </w:t>
      </w:r>
      <w:r w:rsidR="00900729" w:rsidRPr="00C816A2">
        <w:rPr>
          <w:i/>
          <w:sz w:val="24"/>
          <w:szCs w:val="24"/>
        </w:rPr>
        <w:t>Acts Interpretation Act 1901</w:t>
      </w:r>
      <w:r w:rsidR="00900729" w:rsidRPr="00C816A2">
        <w:rPr>
          <w:sz w:val="24"/>
          <w:szCs w:val="24"/>
        </w:rPr>
        <w:t>, the concession period includes 25 November 2023</w:t>
      </w:r>
      <w:r w:rsidR="000B0733" w:rsidRPr="00C816A2">
        <w:rPr>
          <w:sz w:val="24"/>
          <w:szCs w:val="24"/>
        </w:rPr>
        <w:t>,</w:t>
      </w:r>
      <w:r w:rsidR="00900729" w:rsidRPr="00C816A2">
        <w:rPr>
          <w:sz w:val="24"/>
          <w:szCs w:val="24"/>
        </w:rPr>
        <w:t xml:space="preserve"> and ends at the end of that day</w:t>
      </w:r>
      <w:r w:rsidRPr="00C816A2">
        <w:rPr>
          <w:sz w:val="24"/>
          <w:szCs w:val="24"/>
        </w:rPr>
        <w:t>.</w:t>
      </w:r>
    </w:p>
    <w:p w14:paraId="0E281CDE" w14:textId="00A4F45C" w:rsidR="00900729" w:rsidRPr="00C816A2" w:rsidRDefault="00900729" w:rsidP="00BE2E78">
      <w:pPr>
        <w:pStyle w:val="ESSubparaHeader"/>
        <w:rPr>
          <w:sz w:val="24"/>
          <w:szCs w:val="24"/>
        </w:rPr>
      </w:pPr>
      <w:r w:rsidRPr="00C816A2">
        <w:rPr>
          <w:sz w:val="24"/>
          <w:szCs w:val="24"/>
        </w:rPr>
        <w:t xml:space="preserve">On commencement of this instrument, </w:t>
      </w:r>
      <w:r w:rsidR="002853B6" w:rsidRPr="00C816A2">
        <w:rPr>
          <w:sz w:val="24"/>
          <w:szCs w:val="24"/>
        </w:rPr>
        <w:t>any</w:t>
      </w:r>
      <w:r w:rsidR="00BE2E78" w:rsidRPr="00C816A2">
        <w:rPr>
          <w:sz w:val="24"/>
          <w:szCs w:val="24"/>
        </w:rPr>
        <w:t xml:space="preserve"> reference to a ‘concession period’ in the Migration Regulations is </w:t>
      </w:r>
      <w:r w:rsidR="0077447D" w:rsidRPr="00C816A2">
        <w:rPr>
          <w:sz w:val="24"/>
          <w:szCs w:val="24"/>
        </w:rPr>
        <w:t xml:space="preserve">therefore </w:t>
      </w:r>
      <w:r w:rsidR="00BE2E78" w:rsidRPr="00C816A2">
        <w:rPr>
          <w:sz w:val="24"/>
          <w:szCs w:val="24"/>
        </w:rPr>
        <w:t xml:space="preserve">a reference to a period commencing on 1 February 2020 and ending on </w:t>
      </w:r>
      <w:r w:rsidRPr="00C816A2">
        <w:rPr>
          <w:sz w:val="24"/>
          <w:szCs w:val="24"/>
        </w:rPr>
        <w:t>25 November 2023</w:t>
      </w:r>
      <w:r w:rsidR="00BE2E78" w:rsidRPr="00C816A2">
        <w:rPr>
          <w:sz w:val="24"/>
          <w:szCs w:val="24"/>
        </w:rPr>
        <w:t xml:space="preserve">. </w:t>
      </w:r>
    </w:p>
    <w:p w14:paraId="77DF6243" w14:textId="77777777" w:rsidR="001B1503" w:rsidRDefault="00A148DC" w:rsidP="001B1503">
      <w:pPr>
        <w:pStyle w:val="ESSubparaHeader"/>
        <w:keepNext w:val="0"/>
        <w:ind w:left="641" w:hanging="357"/>
        <w:rPr>
          <w:sz w:val="24"/>
          <w:szCs w:val="24"/>
        </w:rPr>
      </w:pPr>
      <w:r w:rsidRPr="00C816A2">
        <w:rPr>
          <w:sz w:val="24"/>
          <w:szCs w:val="24"/>
        </w:rPr>
        <w:t xml:space="preserve">Regulation 1.15N was inserted by the </w:t>
      </w:r>
      <w:r w:rsidRPr="00C816A2">
        <w:rPr>
          <w:i/>
          <w:sz w:val="24"/>
          <w:szCs w:val="24"/>
        </w:rPr>
        <w:t>Migration Amendment (COVID-19 Concessions) Regulations 2020</w:t>
      </w:r>
      <w:r w:rsidRPr="00C816A2">
        <w:rPr>
          <w:sz w:val="24"/>
          <w:szCs w:val="24"/>
        </w:rPr>
        <w:t xml:space="preserve"> (the COVID-19 Concessions Regulations) on 19 September 2020. The COVID-19 Concessions Regulations amended the Migration Regulations to assist certain temporary and provisional visa holders, including individuals on a pathway to permanent residence, who were disadvantaged by the consequences of the COVID-19 Pandemic, such as border closures, restrictions imposed on businesses and the general economic downturn. </w:t>
      </w:r>
    </w:p>
    <w:p w14:paraId="5ACBC3F1" w14:textId="397C7D4A" w:rsidR="00F7691D" w:rsidRPr="00C816A2" w:rsidRDefault="00A148DC" w:rsidP="001B1503">
      <w:pPr>
        <w:pStyle w:val="ESSubparaHeader"/>
        <w:keepLines/>
        <w:ind w:left="641" w:hanging="357"/>
        <w:rPr>
          <w:sz w:val="24"/>
          <w:szCs w:val="24"/>
        </w:rPr>
      </w:pPr>
      <w:r w:rsidRPr="00C816A2">
        <w:rPr>
          <w:sz w:val="24"/>
          <w:szCs w:val="24"/>
        </w:rPr>
        <w:lastRenderedPageBreak/>
        <w:t>In particular, travel</w:t>
      </w:r>
      <w:r w:rsidR="00D30A64" w:rsidRPr="00C816A2">
        <w:rPr>
          <w:sz w:val="24"/>
          <w:szCs w:val="24"/>
        </w:rPr>
        <w:t xml:space="preserve"> restrictions</w:t>
      </w:r>
      <w:r w:rsidRPr="00C816A2">
        <w:rPr>
          <w:sz w:val="24"/>
          <w:szCs w:val="24"/>
        </w:rPr>
        <w:t xml:space="preserve"> associated with the COVID-19 Pandemic</w:t>
      </w:r>
      <w:r w:rsidR="00D30A64" w:rsidRPr="00C816A2">
        <w:rPr>
          <w:sz w:val="24"/>
          <w:szCs w:val="24"/>
        </w:rPr>
        <w:t xml:space="preserve"> made it difficult for visa applicants </w:t>
      </w:r>
      <w:r w:rsidR="00F7691D" w:rsidRPr="00C816A2">
        <w:rPr>
          <w:sz w:val="24"/>
          <w:szCs w:val="24"/>
        </w:rPr>
        <w:t xml:space="preserve">to </w:t>
      </w:r>
      <w:r w:rsidR="0077447D" w:rsidRPr="00C816A2">
        <w:rPr>
          <w:sz w:val="24"/>
          <w:szCs w:val="24"/>
        </w:rPr>
        <w:t>satisfy</w:t>
      </w:r>
      <w:r w:rsidR="00F7691D" w:rsidRPr="00C816A2">
        <w:rPr>
          <w:sz w:val="24"/>
          <w:szCs w:val="24"/>
        </w:rPr>
        <w:t xml:space="preserve"> some of the criteria a</w:t>
      </w:r>
      <w:r w:rsidR="000D711C" w:rsidRPr="00C816A2">
        <w:rPr>
          <w:sz w:val="24"/>
          <w:szCs w:val="24"/>
        </w:rPr>
        <w:t>nd requirements for the grant of</w:t>
      </w:r>
      <w:r w:rsidR="00F7691D" w:rsidRPr="00C816A2">
        <w:rPr>
          <w:sz w:val="24"/>
          <w:szCs w:val="24"/>
        </w:rPr>
        <w:t xml:space="preserve"> </w:t>
      </w:r>
      <w:r w:rsidR="0077447D" w:rsidRPr="00C816A2">
        <w:rPr>
          <w:sz w:val="24"/>
          <w:szCs w:val="24"/>
        </w:rPr>
        <w:t xml:space="preserve">certain </w:t>
      </w:r>
      <w:r w:rsidR="00F7691D" w:rsidRPr="00C816A2">
        <w:rPr>
          <w:sz w:val="24"/>
          <w:szCs w:val="24"/>
        </w:rPr>
        <w:t>visa</w:t>
      </w:r>
      <w:r w:rsidR="000D711C" w:rsidRPr="00C816A2">
        <w:rPr>
          <w:sz w:val="24"/>
          <w:szCs w:val="24"/>
        </w:rPr>
        <w:t>s</w:t>
      </w:r>
      <w:r w:rsidR="0077447D" w:rsidRPr="00C816A2">
        <w:rPr>
          <w:sz w:val="24"/>
          <w:szCs w:val="24"/>
        </w:rPr>
        <w:t>,</w:t>
      </w:r>
      <w:r w:rsidR="00F7691D" w:rsidRPr="00C816A2">
        <w:rPr>
          <w:sz w:val="24"/>
          <w:szCs w:val="24"/>
        </w:rPr>
        <w:t xml:space="preserve"> </w:t>
      </w:r>
      <w:r w:rsidR="00D30A64" w:rsidRPr="00C816A2">
        <w:rPr>
          <w:sz w:val="24"/>
          <w:szCs w:val="24"/>
        </w:rPr>
        <w:t>including requirements in relation to</w:t>
      </w:r>
      <w:r w:rsidR="00F7691D" w:rsidRPr="00C816A2">
        <w:rPr>
          <w:sz w:val="24"/>
          <w:szCs w:val="24"/>
        </w:rPr>
        <w:t xml:space="preserve"> where the applicant must be locate</w:t>
      </w:r>
      <w:r w:rsidR="00D30A64" w:rsidRPr="00C816A2">
        <w:rPr>
          <w:sz w:val="24"/>
          <w:szCs w:val="24"/>
        </w:rPr>
        <w:t xml:space="preserve">d at the time of visa grant. </w:t>
      </w:r>
    </w:p>
    <w:p w14:paraId="135EB9F3" w14:textId="72C70C51" w:rsidR="00C315F5" w:rsidRPr="00C816A2" w:rsidRDefault="004B0E4E" w:rsidP="00586713">
      <w:pPr>
        <w:pStyle w:val="ESSubparaHeader"/>
        <w:rPr>
          <w:sz w:val="24"/>
          <w:szCs w:val="24"/>
        </w:rPr>
      </w:pPr>
      <w:r w:rsidRPr="00C816A2">
        <w:rPr>
          <w:sz w:val="24"/>
          <w:szCs w:val="24"/>
        </w:rPr>
        <w:t>All</w:t>
      </w:r>
      <w:r w:rsidR="00945335" w:rsidRPr="00C816A2">
        <w:rPr>
          <w:sz w:val="24"/>
          <w:szCs w:val="24"/>
        </w:rPr>
        <w:t xml:space="preserve"> COVID-19</w:t>
      </w:r>
      <w:r w:rsidR="00900729" w:rsidRPr="00C816A2">
        <w:rPr>
          <w:sz w:val="24"/>
          <w:szCs w:val="24"/>
        </w:rPr>
        <w:t xml:space="preserve"> Pandemic-related</w:t>
      </w:r>
      <w:r w:rsidR="00945335" w:rsidRPr="00C816A2">
        <w:rPr>
          <w:sz w:val="24"/>
          <w:szCs w:val="24"/>
        </w:rPr>
        <w:t xml:space="preserve"> international travel restrictions </w:t>
      </w:r>
      <w:r w:rsidRPr="00C816A2">
        <w:rPr>
          <w:sz w:val="24"/>
          <w:szCs w:val="24"/>
        </w:rPr>
        <w:t>have now been</w:t>
      </w:r>
      <w:r w:rsidR="00945335" w:rsidRPr="00C816A2">
        <w:rPr>
          <w:sz w:val="24"/>
          <w:szCs w:val="24"/>
        </w:rPr>
        <w:t xml:space="preserve"> lifted</w:t>
      </w:r>
      <w:r w:rsidR="00900729" w:rsidRPr="00C816A2">
        <w:rPr>
          <w:sz w:val="24"/>
          <w:szCs w:val="24"/>
        </w:rPr>
        <w:t>,</w:t>
      </w:r>
      <w:r w:rsidR="00945335" w:rsidRPr="00C816A2">
        <w:rPr>
          <w:sz w:val="24"/>
          <w:szCs w:val="24"/>
        </w:rPr>
        <w:t xml:space="preserve"> and travellers to Australia no</w:t>
      </w:r>
      <w:r w:rsidR="0009143B" w:rsidRPr="00C816A2">
        <w:rPr>
          <w:sz w:val="24"/>
          <w:szCs w:val="24"/>
        </w:rPr>
        <w:t xml:space="preserve"> longer need </w:t>
      </w:r>
      <w:r w:rsidR="00945335" w:rsidRPr="00C816A2">
        <w:rPr>
          <w:sz w:val="24"/>
          <w:szCs w:val="24"/>
        </w:rPr>
        <w:t xml:space="preserve">to provide information </w:t>
      </w:r>
      <w:r w:rsidRPr="00C816A2">
        <w:rPr>
          <w:sz w:val="24"/>
          <w:szCs w:val="24"/>
        </w:rPr>
        <w:t xml:space="preserve">in </w:t>
      </w:r>
      <w:r w:rsidR="00945335" w:rsidRPr="00C816A2">
        <w:rPr>
          <w:sz w:val="24"/>
          <w:szCs w:val="24"/>
        </w:rPr>
        <w:t xml:space="preserve">relation to their vaccination status or seek travel exemptions. </w:t>
      </w:r>
      <w:r w:rsidR="000D711C" w:rsidRPr="00C816A2">
        <w:rPr>
          <w:sz w:val="24"/>
          <w:szCs w:val="24"/>
        </w:rPr>
        <w:t xml:space="preserve">It is therefore appropriate to </w:t>
      </w:r>
      <w:r w:rsidR="00A148DC" w:rsidRPr="00C816A2">
        <w:rPr>
          <w:sz w:val="24"/>
          <w:szCs w:val="24"/>
        </w:rPr>
        <w:t xml:space="preserve">end </w:t>
      </w:r>
      <w:r w:rsidR="000D711C" w:rsidRPr="00C816A2">
        <w:rPr>
          <w:sz w:val="24"/>
          <w:szCs w:val="24"/>
        </w:rPr>
        <w:t>the concession period</w:t>
      </w:r>
      <w:r w:rsidR="00D7116C" w:rsidRPr="00C816A2">
        <w:rPr>
          <w:sz w:val="24"/>
          <w:szCs w:val="24"/>
        </w:rPr>
        <w:t>.</w:t>
      </w:r>
    </w:p>
    <w:p w14:paraId="727FB6D0" w14:textId="144803DC" w:rsidR="00945335" w:rsidRPr="00C816A2" w:rsidRDefault="00C315F5" w:rsidP="00586713">
      <w:pPr>
        <w:pStyle w:val="ESSubparaHeader"/>
        <w:rPr>
          <w:sz w:val="24"/>
          <w:szCs w:val="24"/>
        </w:rPr>
      </w:pPr>
      <w:r w:rsidRPr="00C816A2">
        <w:rPr>
          <w:sz w:val="24"/>
          <w:szCs w:val="24"/>
        </w:rPr>
        <w:t xml:space="preserve">The concessions provided in the Migration Regulations are not being repealed </w:t>
      </w:r>
      <w:r w:rsidR="00A148DC" w:rsidRPr="00C816A2">
        <w:rPr>
          <w:sz w:val="24"/>
          <w:szCs w:val="24"/>
        </w:rPr>
        <w:t>at this time</w:t>
      </w:r>
      <w:r w:rsidRPr="00C816A2">
        <w:rPr>
          <w:sz w:val="24"/>
          <w:szCs w:val="24"/>
        </w:rPr>
        <w:t xml:space="preserve">, as there </w:t>
      </w:r>
      <w:r w:rsidR="00A148DC" w:rsidRPr="00C816A2">
        <w:rPr>
          <w:sz w:val="24"/>
          <w:szCs w:val="24"/>
        </w:rPr>
        <w:t>remains</w:t>
      </w:r>
      <w:r w:rsidRPr="00C816A2">
        <w:rPr>
          <w:sz w:val="24"/>
          <w:szCs w:val="24"/>
        </w:rPr>
        <w:t xml:space="preserve"> a legacy cohort for whom the concessions still apply, for example, applicants who applied </w:t>
      </w:r>
      <w:r w:rsidR="00A148DC" w:rsidRPr="00C816A2">
        <w:rPr>
          <w:sz w:val="24"/>
          <w:szCs w:val="24"/>
        </w:rPr>
        <w:t xml:space="preserve">for a visa </w:t>
      </w:r>
      <w:r w:rsidRPr="00C816A2">
        <w:rPr>
          <w:sz w:val="24"/>
          <w:szCs w:val="24"/>
        </w:rPr>
        <w:t xml:space="preserve">during the concession period but who have not </w:t>
      </w:r>
      <w:r w:rsidR="00A148DC" w:rsidRPr="00C816A2">
        <w:rPr>
          <w:sz w:val="24"/>
          <w:szCs w:val="24"/>
        </w:rPr>
        <w:t xml:space="preserve">yet </w:t>
      </w:r>
      <w:r w:rsidRPr="00C816A2">
        <w:rPr>
          <w:sz w:val="24"/>
          <w:szCs w:val="24"/>
        </w:rPr>
        <w:t>had a visa decision. The concession provisions remain in effect for this legacy cohort.</w:t>
      </w:r>
    </w:p>
    <w:p w14:paraId="13ECBE8F" w14:textId="5F86DA4B" w:rsidR="000B0733" w:rsidRPr="00C816A2" w:rsidRDefault="000B0733" w:rsidP="00C816A2">
      <w:pPr>
        <w:pStyle w:val="ESSubparaHeader"/>
        <w:rPr>
          <w:sz w:val="24"/>
          <w:szCs w:val="24"/>
        </w:rPr>
      </w:pPr>
      <w:proofErr w:type="spellStart"/>
      <w:r w:rsidRPr="00C816A2">
        <w:rPr>
          <w:sz w:val="24"/>
          <w:szCs w:val="24"/>
        </w:rPr>
        <w:t>Subregulation</w:t>
      </w:r>
      <w:proofErr w:type="spellEnd"/>
      <w:r w:rsidRPr="00C816A2">
        <w:rPr>
          <w:sz w:val="24"/>
          <w:szCs w:val="24"/>
        </w:rPr>
        <w:t xml:space="preserve"> 1.15N(3) allows the Minister to determine, by legislative instrument, a later period as a concession period for the purposes of a specified provision of the Regulations in which the expression ‘concession period’ is used; however, no later concession periods have been determined under </w:t>
      </w:r>
      <w:proofErr w:type="spellStart"/>
      <w:r w:rsidRPr="00C816A2">
        <w:rPr>
          <w:sz w:val="24"/>
          <w:szCs w:val="24"/>
        </w:rPr>
        <w:t>subregulation</w:t>
      </w:r>
      <w:proofErr w:type="spellEnd"/>
      <w:r w:rsidRPr="00C816A2">
        <w:rPr>
          <w:sz w:val="24"/>
          <w:szCs w:val="24"/>
        </w:rPr>
        <w:t xml:space="preserve"> 1.15N(3).</w:t>
      </w:r>
    </w:p>
    <w:p w14:paraId="005E8B6C" w14:textId="77777777" w:rsidR="008B24C8" w:rsidRPr="00C816A2" w:rsidRDefault="008B24C8" w:rsidP="00100DFC">
      <w:pPr>
        <w:pStyle w:val="ESHeading"/>
        <w:rPr>
          <w:sz w:val="24"/>
          <w:szCs w:val="24"/>
        </w:rPr>
      </w:pPr>
      <w:r w:rsidRPr="00C816A2">
        <w:rPr>
          <w:sz w:val="24"/>
          <w:szCs w:val="24"/>
        </w:rPr>
        <w:t>Consultation</w:t>
      </w:r>
    </w:p>
    <w:p w14:paraId="461761C9" w14:textId="6803D81F" w:rsidR="008B24C8" w:rsidRPr="00C816A2" w:rsidRDefault="00EE5D7B" w:rsidP="00586713">
      <w:pPr>
        <w:pStyle w:val="ESSubparaHeader"/>
        <w:rPr>
          <w:sz w:val="24"/>
          <w:szCs w:val="24"/>
        </w:rPr>
      </w:pPr>
      <w:r w:rsidRPr="00C816A2">
        <w:rPr>
          <w:sz w:val="24"/>
          <w:szCs w:val="24"/>
        </w:rPr>
        <w:t xml:space="preserve">Consultation was undertaken with the Department of Foreign Affairs and Trade, </w:t>
      </w:r>
      <w:r w:rsidR="0077447D" w:rsidRPr="00C816A2">
        <w:rPr>
          <w:sz w:val="24"/>
          <w:szCs w:val="24"/>
        </w:rPr>
        <w:t xml:space="preserve">the </w:t>
      </w:r>
      <w:r w:rsidRPr="00C816A2">
        <w:rPr>
          <w:sz w:val="24"/>
          <w:szCs w:val="24"/>
        </w:rPr>
        <w:t>Department of Agriculture, Fisheries and Forestry, the Department of Employment and Wo</w:t>
      </w:r>
      <w:r w:rsidR="0077447D" w:rsidRPr="00C816A2">
        <w:rPr>
          <w:sz w:val="24"/>
          <w:szCs w:val="24"/>
        </w:rPr>
        <w:t>rkplace Relations and Austrade.</w:t>
      </w:r>
    </w:p>
    <w:p w14:paraId="0A0F34AA" w14:textId="33830974" w:rsidR="008B24C8" w:rsidRPr="00C816A2" w:rsidRDefault="008B24C8" w:rsidP="00586713">
      <w:pPr>
        <w:pStyle w:val="ESSubparaHeader"/>
        <w:rPr>
          <w:sz w:val="24"/>
          <w:szCs w:val="24"/>
        </w:rPr>
      </w:pPr>
      <w:r w:rsidRPr="00C816A2">
        <w:rPr>
          <w:sz w:val="24"/>
          <w:szCs w:val="24"/>
        </w:rPr>
        <w:t xml:space="preserve">The Office of </w:t>
      </w:r>
      <w:r w:rsidR="00F35B86" w:rsidRPr="00C816A2">
        <w:rPr>
          <w:sz w:val="24"/>
          <w:szCs w:val="24"/>
        </w:rPr>
        <w:t>Impact Analysis (OIA</w:t>
      </w:r>
      <w:r w:rsidR="00EE5D7B" w:rsidRPr="00C816A2">
        <w:rPr>
          <w:sz w:val="24"/>
          <w:szCs w:val="24"/>
        </w:rPr>
        <w:t>) was also</w:t>
      </w:r>
      <w:r w:rsidRPr="00C816A2">
        <w:rPr>
          <w:sz w:val="24"/>
          <w:szCs w:val="24"/>
        </w:rPr>
        <w:t xml:space="preserve"> consulted and considered that the instrument dealt with m</w:t>
      </w:r>
      <w:r w:rsidR="00946F65" w:rsidRPr="00C816A2">
        <w:rPr>
          <w:sz w:val="24"/>
          <w:szCs w:val="24"/>
        </w:rPr>
        <w:t xml:space="preserve">atters of a </w:t>
      </w:r>
      <w:r w:rsidRPr="00C816A2">
        <w:rPr>
          <w:sz w:val="24"/>
          <w:szCs w:val="24"/>
        </w:rPr>
        <w:t xml:space="preserve">minor nature and no regulatory </w:t>
      </w:r>
      <w:r w:rsidR="0077447D" w:rsidRPr="00C816A2">
        <w:rPr>
          <w:sz w:val="24"/>
          <w:szCs w:val="24"/>
        </w:rPr>
        <w:t xml:space="preserve">impact statement was required. </w:t>
      </w:r>
      <w:r w:rsidRPr="00C816A2">
        <w:rPr>
          <w:sz w:val="24"/>
          <w:szCs w:val="24"/>
        </w:rPr>
        <w:t xml:space="preserve">The </w:t>
      </w:r>
      <w:r w:rsidR="00F35B86" w:rsidRPr="00C816A2">
        <w:rPr>
          <w:sz w:val="24"/>
          <w:szCs w:val="24"/>
        </w:rPr>
        <w:t xml:space="preserve">OIA </w:t>
      </w:r>
      <w:r w:rsidRPr="00C816A2">
        <w:rPr>
          <w:sz w:val="24"/>
          <w:szCs w:val="24"/>
        </w:rPr>
        <w:t xml:space="preserve">reference number </w:t>
      </w:r>
      <w:r w:rsidR="00946F65" w:rsidRPr="00C816A2">
        <w:rPr>
          <w:sz w:val="24"/>
          <w:szCs w:val="24"/>
        </w:rPr>
        <w:t>is OIA23-05291.</w:t>
      </w:r>
    </w:p>
    <w:p w14:paraId="04641B0E" w14:textId="77777777" w:rsidR="00AA4557" w:rsidRPr="00C816A2" w:rsidRDefault="00AA4557" w:rsidP="00100DFC">
      <w:pPr>
        <w:pStyle w:val="ESHeading"/>
        <w:rPr>
          <w:sz w:val="24"/>
          <w:szCs w:val="24"/>
        </w:rPr>
      </w:pPr>
      <w:r w:rsidRPr="00C816A2">
        <w:rPr>
          <w:sz w:val="24"/>
          <w:szCs w:val="24"/>
        </w:rPr>
        <w:t xml:space="preserve">Parliamentary scrutiny </w:t>
      </w:r>
    </w:p>
    <w:p w14:paraId="0F6E8B88" w14:textId="6B34F5FD" w:rsidR="00131D39" w:rsidRPr="00C816A2" w:rsidRDefault="00E03DCC" w:rsidP="00586713">
      <w:pPr>
        <w:pStyle w:val="ESSubparaHeader"/>
        <w:rPr>
          <w:sz w:val="24"/>
          <w:szCs w:val="24"/>
        </w:rPr>
      </w:pPr>
      <w:r w:rsidRPr="00C816A2">
        <w:rPr>
          <w:sz w:val="24"/>
          <w:szCs w:val="24"/>
        </w:rPr>
        <w:t xml:space="preserve">The instrument is exempt from disallowance under section 42 of the Legislation Act.  </w:t>
      </w:r>
      <w:r w:rsidR="009F1518" w:rsidRPr="00C816A2">
        <w:rPr>
          <w:sz w:val="24"/>
          <w:szCs w:val="24"/>
        </w:rPr>
        <w:t xml:space="preserve">This is because instruments made under Part 1 of the Migration Regulations are prescribed as exempt from disallowance by </w:t>
      </w:r>
      <w:r w:rsidR="00D327DD" w:rsidRPr="00C816A2">
        <w:rPr>
          <w:sz w:val="24"/>
          <w:szCs w:val="24"/>
        </w:rPr>
        <w:t xml:space="preserve">effect of table </w:t>
      </w:r>
      <w:r w:rsidR="009F1518" w:rsidRPr="00C816A2">
        <w:rPr>
          <w:sz w:val="24"/>
          <w:szCs w:val="24"/>
        </w:rPr>
        <w:t>i</w:t>
      </w:r>
      <w:r w:rsidR="00131D39" w:rsidRPr="00C816A2">
        <w:rPr>
          <w:sz w:val="24"/>
          <w:szCs w:val="24"/>
        </w:rPr>
        <w:t xml:space="preserve">tem 20 in section 10 of the </w:t>
      </w:r>
      <w:r w:rsidR="00131D39" w:rsidRPr="00C816A2">
        <w:rPr>
          <w:i/>
          <w:sz w:val="24"/>
          <w:szCs w:val="24"/>
        </w:rPr>
        <w:t>Legislation (Exemptions and Other Matters) Regulation 2015</w:t>
      </w:r>
      <w:r w:rsidR="0077447D" w:rsidRPr="00C816A2">
        <w:rPr>
          <w:sz w:val="24"/>
          <w:szCs w:val="24"/>
        </w:rPr>
        <w:t>.</w:t>
      </w:r>
    </w:p>
    <w:p w14:paraId="426DFBFA" w14:textId="77777777" w:rsidR="00D77456" w:rsidRPr="00C816A2" w:rsidRDefault="00D77456" w:rsidP="00C816A2">
      <w:pPr>
        <w:pStyle w:val="ESSubparaHeader"/>
        <w:rPr>
          <w:sz w:val="24"/>
          <w:szCs w:val="24"/>
        </w:rPr>
      </w:pPr>
      <w:r w:rsidRPr="00C816A2">
        <w:rPr>
          <w:sz w:val="24"/>
          <w:szCs w:val="24"/>
        </w:rPr>
        <w:t>As the instrument is exempt from disallowance, a Statement of Compatibility with Human Rights is not required.</w:t>
      </w:r>
    </w:p>
    <w:p w14:paraId="4E197C55" w14:textId="6EC2E2F5" w:rsidR="00915032" w:rsidRPr="00C816A2" w:rsidRDefault="00B75478" w:rsidP="009F1518">
      <w:pPr>
        <w:pStyle w:val="ESSubparaHeader"/>
        <w:rPr>
          <w:sz w:val="24"/>
          <w:szCs w:val="24"/>
        </w:rPr>
      </w:pPr>
      <w:r w:rsidRPr="00C816A2">
        <w:rPr>
          <w:sz w:val="24"/>
          <w:szCs w:val="24"/>
        </w:rPr>
        <w:t xml:space="preserve">The instrument was made by </w:t>
      </w:r>
      <w:r w:rsidR="009F1518" w:rsidRPr="00C816A2">
        <w:rPr>
          <w:sz w:val="24"/>
          <w:szCs w:val="24"/>
        </w:rPr>
        <w:t>the Minister for Immigration, Citizen</w:t>
      </w:r>
      <w:r w:rsidR="0077447D" w:rsidRPr="00C816A2">
        <w:rPr>
          <w:sz w:val="24"/>
          <w:szCs w:val="24"/>
        </w:rPr>
        <w:t>ship and Multicultural Affairs under</w:t>
      </w:r>
      <w:r w:rsidR="009F1518" w:rsidRPr="00C816A2">
        <w:rPr>
          <w:sz w:val="24"/>
          <w:szCs w:val="24"/>
        </w:rPr>
        <w:t xml:space="preserve"> </w:t>
      </w:r>
      <w:proofErr w:type="spellStart"/>
      <w:r w:rsidR="0077447D" w:rsidRPr="00C816A2">
        <w:rPr>
          <w:sz w:val="24"/>
          <w:szCs w:val="24"/>
        </w:rPr>
        <w:t>sub</w:t>
      </w:r>
      <w:r w:rsidR="009F1518" w:rsidRPr="00C816A2">
        <w:rPr>
          <w:sz w:val="24"/>
          <w:szCs w:val="24"/>
        </w:rPr>
        <w:t>regulation</w:t>
      </w:r>
      <w:proofErr w:type="spellEnd"/>
      <w:r w:rsidR="009F1518" w:rsidRPr="00C816A2">
        <w:rPr>
          <w:sz w:val="24"/>
          <w:szCs w:val="24"/>
        </w:rPr>
        <w:t xml:space="preserve"> </w:t>
      </w:r>
      <w:proofErr w:type="gramStart"/>
      <w:r w:rsidR="009F1518" w:rsidRPr="00C816A2">
        <w:rPr>
          <w:sz w:val="24"/>
          <w:szCs w:val="24"/>
        </w:rPr>
        <w:t>1.15N(</w:t>
      </w:r>
      <w:proofErr w:type="gramEnd"/>
      <w:r w:rsidR="009F1518" w:rsidRPr="00C816A2">
        <w:rPr>
          <w:sz w:val="24"/>
          <w:szCs w:val="24"/>
        </w:rPr>
        <w:t xml:space="preserve">2) of the Migration Regulations. </w:t>
      </w:r>
    </w:p>
    <w:sectPr w:rsidR="00915032" w:rsidRPr="00C816A2" w:rsidSect="004F5C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95D82" w14:textId="77777777" w:rsidR="00C816A2" w:rsidRDefault="00C816A2" w:rsidP="00C816A2">
      <w:pPr>
        <w:spacing w:after="0" w:line="240" w:lineRule="auto"/>
      </w:pPr>
      <w:r>
        <w:separator/>
      </w:r>
    </w:p>
  </w:endnote>
  <w:endnote w:type="continuationSeparator" w:id="0">
    <w:p w14:paraId="1AC7C1A9" w14:textId="77777777" w:rsidR="00C816A2" w:rsidRDefault="00C816A2" w:rsidP="00C81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D9C85" w14:textId="77777777" w:rsidR="00A871FD" w:rsidRDefault="00A871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29997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A2E0BD6" w14:textId="60FA1B01" w:rsidR="00C816A2" w:rsidRPr="00C816A2" w:rsidRDefault="00C816A2" w:rsidP="00C816A2">
        <w:pPr>
          <w:pStyle w:val="Footer"/>
          <w:jc w:val="center"/>
          <w:rPr>
            <w:rFonts w:ascii="Times New Roman" w:hAnsi="Times New Roman" w:cs="Times New Roman"/>
          </w:rPr>
        </w:pPr>
        <w:r w:rsidRPr="00C816A2">
          <w:rPr>
            <w:rFonts w:ascii="Times New Roman" w:hAnsi="Times New Roman" w:cs="Times New Roman"/>
          </w:rPr>
          <w:fldChar w:fldCharType="begin"/>
        </w:r>
        <w:r w:rsidRPr="00C816A2">
          <w:rPr>
            <w:rFonts w:ascii="Times New Roman" w:hAnsi="Times New Roman" w:cs="Times New Roman"/>
          </w:rPr>
          <w:instrText xml:space="preserve"> PAGE   \* MERGEFORMAT </w:instrText>
        </w:r>
        <w:r w:rsidRPr="00C816A2">
          <w:rPr>
            <w:rFonts w:ascii="Times New Roman" w:hAnsi="Times New Roman" w:cs="Times New Roman"/>
          </w:rPr>
          <w:fldChar w:fldCharType="separate"/>
        </w:r>
        <w:r w:rsidR="00A871FD">
          <w:rPr>
            <w:rFonts w:ascii="Times New Roman" w:hAnsi="Times New Roman" w:cs="Times New Roman"/>
            <w:noProof/>
          </w:rPr>
          <w:t>2</w:t>
        </w:r>
        <w:r w:rsidRPr="00C816A2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160DE" w14:textId="77777777" w:rsidR="00A871FD" w:rsidRDefault="00A871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F8D6F" w14:textId="77777777" w:rsidR="00C816A2" w:rsidRDefault="00C816A2" w:rsidP="00C816A2">
      <w:pPr>
        <w:spacing w:after="0" w:line="240" w:lineRule="auto"/>
      </w:pPr>
      <w:r>
        <w:separator/>
      </w:r>
    </w:p>
  </w:footnote>
  <w:footnote w:type="continuationSeparator" w:id="0">
    <w:p w14:paraId="3FED4983" w14:textId="77777777" w:rsidR="00C816A2" w:rsidRDefault="00C816A2" w:rsidP="00C81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49E04" w14:textId="77777777" w:rsidR="00A871FD" w:rsidRDefault="00A871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44281" w14:textId="77777777" w:rsidR="00A871FD" w:rsidRDefault="00A871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CB3F1" w14:textId="77777777" w:rsidR="00A871FD" w:rsidRDefault="00A871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532A9"/>
    <w:multiLevelType w:val="hybridMultilevel"/>
    <w:tmpl w:val="44168E48"/>
    <w:lvl w:ilvl="0" w:tplc="C80632DA">
      <w:start w:val="1"/>
      <w:numFmt w:val="decimal"/>
      <w:pStyle w:val="ESSubparaHeader"/>
      <w:lvlText w:val="%1"/>
      <w:lvlJc w:val="left"/>
      <w:pPr>
        <w:ind w:left="644" w:hanging="360"/>
      </w:pPr>
      <w:rPr>
        <w:rFonts w:hint="default"/>
        <w:b w:val="0"/>
        <w:i w:val="0"/>
      </w:rPr>
    </w:lvl>
    <w:lvl w:ilvl="1" w:tplc="ABC2DF26">
      <w:start w:val="1"/>
      <w:numFmt w:val="bullet"/>
      <w:pStyle w:val="ESSubparaLis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B22CF"/>
    <w:multiLevelType w:val="hybridMultilevel"/>
    <w:tmpl w:val="2DCEB73C"/>
    <w:lvl w:ilvl="0" w:tplc="2A36B062">
      <w:start w:val="2"/>
      <w:numFmt w:val="bullet"/>
      <w:pStyle w:val="ESAttLis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61"/>
    <w:rsid w:val="0007373D"/>
    <w:rsid w:val="000760AE"/>
    <w:rsid w:val="0009143B"/>
    <w:rsid w:val="000A5747"/>
    <w:rsid w:val="000B0733"/>
    <w:rsid w:val="000D014F"/>
    <w:rsid w:val="000D711C"/>
    <w:rsid w:val="00100DFC"/>
    <w:rsid w:val="00131D39"/>
    <w:rsid w:val="0019164E"/>
    <w:rsid w:val="001B1503"/>
    <w:rsid w:val="001D4B01"/>
    <w:rsid w:val="001E5456"/>
    <w:rsid w:val="00214412"/>
    <w:rsid w:val="002402E0"/>
    <w:rsid w:val="002853B6"/>
    <w:rsid w:val="002D167E"/>
    <w:rsid w:val="00366CA7"/>
    <w:rsid w:val="00373EBD"/>
    <w:rsid w:val="003A3CA3"/>
    <w:rsid w:val="003D0CFF"/>
    <w:rsid w:val="00457D4A"/>
    <w:rsid w:val="00464080"/>
    <w:rsid w:val="004B0E4E"/>
    <w:rsid w:val="004D4C60"/>
    <w:rsid w:val="004F5CE4"/>
    <w:rsid w:val="00560B24"/>
    <w:rsid w:val="00560B51"/>
    <w:rsid w:val="0057002B"/>
    <w:rsid w:val="00586713"/>
    <w:rsid w:val="005A3733"/>
    <w:rsid w:val="00604E06"/>
    <w:rsid w:val="00623BD1"/>
    <w:rsid w:val="006B2AEA"/>
    <w:rsid w:val="00731231"/>
    <w:rsid w:val="0077441F"/>
    <w:rsid w:val="0077447D"/>
    <w:rsid w:val="007E4691"/>
    <w:rsid w:val="00823361"/>
    <w:rsid w:val="00853703"/>
    <w:rsid w:val="0088407D"/>
    <w:rsid w:val="008B24C8"/>
    <w:rsid w:val="00900729"/>
    <w:rsid w:val="00915032"/>
    <w:rsid w:val="00945335"/>
    <w:rsid w:val="00946F65"/>
    <w:rsid w:val="00966DBD"/>
    <w:rsid w:val="009F1518"/>
    <w:rsid w:val="00A148DC"/>
    <w:rsid w:val="00A871FD"/>
    <w:rsid w:val="00AA4557"/>
    <w:rsid w:val="00AA4F77"/>
    <w:rsid w:val="00B31210"/>
    <w:rsid w:val="00B31F07"/>
    <w:rsid w:val="00B445D9"/>
    <w:rsid w:val="00B65A06"/>
    <w:rsid w:val="00B75478"/>
    <w:rsid w:val="00BB0CF2"/>
    <w:rsid w:val="00BB68E6"/>
    <w:rsid w:val="00BD164E"/>
    <w:rsid w:val="00BD598E"/>
    <w:rsid w:val="00BE2E78"/>
    <w:rsid w:val="00BE3E7F"/>
    <w:rsid w:val="00C0225E"/>
    <w:rsid w:val="00C171C3"/>
    <w:rsid w:val="00C315F5"/>
    <w:rsid w:val="00C35AA7"/>
    <w:rsid w:val="00C41F32"/>
    <w:rsid w:val="00C816A2"/>
    <w:rsid w:val="00C81A5E"/>
    <w:rsid w:val="00C838F3"/>
    <w:rsid w:val="00C930F2"/>
    <w:rsid w:val="00D30A64"/>
    <w:rsid w:val="00D327DD"/>
    <w:rsid w:val="00D40E1E"/>
    <w:rsid w:val="00D636C0"/>
    <w:rsid w:val="00D7116C"/>
    <w:rsid w:val="00D77456"/>
    <w:rsid w:val="00D863B0"/>
    <w:rsid w:val="00DB67D8"/>
    <w:rsid w:val="00DB7351"/>
    <w:rsid w:val="00DF3082"/>
    <w:rsid w:val="00E03DCC"/>
    <w:rsid w:val="00E1311E"/>
    <w:rsid w:val="00E45FE2"/>
    <w:rsid w:val="00E83B2D"/>
    <w:rsid w:val="00E86A8A"/>
    <w:rsid w:val="00EA12C9"/>
    <w:rsid w:val="00EE5D7B"/>
    <w:rsid w:val="00F35B86"/>
    <w:rsid w:val="00F7691D"/>
    <w:rsid w:val="00FE0FEE"/>
    <w:rsid w:val="00FF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9D2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7002B"/>
    <w:pPr>
      <w:ind w:left="720"/>
      <w:contextualSpacing/>
    </w:pPr>
  </w:style>
  <w:style w:type="paragraph" w:customStyle="1" w:styleId="ESParagraph">
    <w:name w:val="ES_Paragraph"/>
    <w:basedOn w:val="ListParagraph"/>
    <w:link w:val="ESParagraphChar"/>
    <w:rsid w:val="00100DFC"/>
    <w:pPr>
      <w:spacing w:before="240" w:after="240" w:line="276" w:lineRule="auto"/>
      <w:ind w:left="567" w:hanging="567"/>
      <w:contextualSpacing w:val="0"/>
    </w:pPr>
    <w:rPr>
      <w:rFonts w:ascii="Times New Roman" w:hAnsi="Times New Roman" w:cs="Times New Roman"/>
    </w:rPr>
  </w:style>
  <w:style w:type="paragraph" w:customStyle="1" w:styleId="ESHeading">
    <w:name w:val="ES_Heading"/>
    <w:basedOn w:val="ListParagraph"/>
    <w:link w:val="ESHeadingChar"/>
    <w:qFormat/>
    <w:rsid w:val="00100DFC"/>
    <w:pPr>
      <w:keepNext/>
      <w:spacing w:before="240" w:after="240" w:line="276" w:lineRule="auto"/>
      <w:ind w:left="0"/>
      <w:contextualSpacing w:val="0"/>
    </w:pPr>
    <w:rPr>
      <w:rFonts w:ascii="Times New Roman" w:hAnsi="Times New Roman" w:cs="Times New Roman"/>
      <w:b/>
      <w:i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00DFC"/>
  </w:style>
  <w:style w:type="character" w:customStyle="1" w:styleId="ESParagraphChar">
    <w:name w:val="ES_Paragraph Char"/>
    <w:basedOn w:val="ListParagraphChar"/>
    <w:link w:val="ESParagraph"/>
    <w:rsid w:val="00100DFC"/>
    <w:rPr>
      <w:rFonts w:ascii="Times New Roman" w:hAnsi="Times New Roman" w:cs="Times New Roman"/>
    </w:rPr>
  </w:style>
  <w:style w:type="paragraph" w:customStyle="1" w:styleId="ESAttAttName">
    <w:name w:val="ESAtt_AttName"/>
    <w:basedOn w:val="Normal"/>
    <w:link w:val="ESAttAttNameChar"/>
    <w:qFormat/>
    <w:rsid w:val="00100DFC"/>
    <w:pPr>
      <w:spacing w:before="240" w:after="240" w:line="276" w:lineRule="auto"/>
      <w:jc w:val="right"/>
    </w:pPr>
    <w:rPr>
      <w:rFonts w:ascii="Times New Roman" w:hAnsi="Times New Roman" w:cs="Times New Roman"/>
      <w:b/>
      <w:u w:val="single"/>
    </w:rPr>
  </w:style>
  <w:style w:type="character" w:customStyle="1" w:styleId="ESHeadingChar">
    <w:name w:val="ES_Heading Char"/>
    <w:basedOn w:val="ListParagraphChar"/>
    <w:link w:val="ESHeading"/>
    <w:rsid w:val="00100DFC"/>
    <w:rPr>
      <w:rFonts w:ascii="Times New Roman" w:hAnsi="Times New Roman" w:cs="Times New Roman"/>
      <w:b/>
      <w:i/>
    </w:rPr>
  </w:style>
  <w:style w:type="paragraph" w:customStyle="1" w:styleId="ESAttHeading">
    <w:name w:val="ESAtt_Heading"/>
    <w:basedOn w:val="Normal"/>
    <w:link w:val="ESAttHeadingChar"/>
    <w:qFormat/>
    <w:rsid w:val="00100DFC"/>
    <w:pPr>
      <w:keepNext/>
      <w:spacing w:before="240" w:after="240" w:line="276" w:lineRule="auto"/>
    </w:pPr>
    <w:rPr>
      <w:rFonts w:ascii="Times New Roman" w:hAnsi="Times New Roman" w:cs="Times New Roman"/>
      <w:b/>
    </w:rPr>
  </w:style>
  <w:style w:type="character" w:customStyle="1" w:styleId="ESAttAttNameChar">
    <w:name w:val="ESAtt_AttName Char"/>
    <w:basedOn w:val="DefaultParagraphFont"/>
    <w:link w:val="ESAttAttName"/>
    <w:rsid w:val="00100DFC"/>
    <w:rPr>
      <w:rFonts w:ascii="Times New Roman" w:hAnsi="Times New Roman" w:cs="Times New Roman"/>
      <w:b/>
      <w:u w:val="single"/>
    </w:rPr>
  </w:style>
  <w:style w:type="paragraph" w:customStyle="1" w:styleId="ESAttNormal">
    <w:name w:val="ESAtt_Normal"/>
    <w:basedOn w:val="Normal"/>
    <w:link w:val="ESAttNormalChar"/>
    <w:qFormat/>
    <w:rsid w:val="00100DFC"/>
    <w:pPr>
      <w:spacing w:before="240" w:after="240" w:line="276" w:lineRule="auto"/>
    </w:pPr>
    <w:rPr>
      <w:rFonts w:ascii="Times New Roman" w:hAnsi="Times New Roman" w:cs="Times New Roman"/>
    </w:rPr>
  </w:style>
  <w:style w:type="character" w:customStyle="1" w:styleId="ESAttHeadingChar">
    <w:name w:val="ESAtt_Heading Char"/>
    <w:basedOn w:val="DefaultParagraphFont"/>
    <w:link w:val="ESAttHeading"/>
    <w:rsid w:val="00100DFC"/>
    <w:rPr>
      <w:rFonts w:ascii="Times New Roman" w:hAnsi="Times New Roman" w:cs="Times New Roman"/>
      <w:b/>
    </w:rPr>
  </w:style>
  <w:style w:type="paragraph" w:customStyle="1" w:styleId="ESAttListHeader">
    <w:name w:val="ESAtt_ListHeader"/>
    <w:basedOn w:val="Normal"/>
    <w:link w:val="ESAttListHeaderChar"/>
    <w:qFormat/>
    <w:rsid w:val="00100DFC"/>
    <w:pPr>
      <w:keepNext/>
      <w:spacing w:before="240" w:after="240" w:line="276" w:lineRule="auto"/>
    </w:pPr>
    <w:rPr>
      <w:rFonts w:ascii="Times New Roman" w:hAnsi="Times New Roman" w:cs="Times New Roman"/>
    </w:rPr>
  </w:style>
  <w:style w:type="character" w:customStyle="1" w:styleId="ESAttNormalChar">
    <w:name w:val="ESAtt_Normal Char"/>
    <w:basedOn w:val="DefaultParagraphFont"/>
    <w:link w:val="ESAttNormal"/>
    <w:rsid w:val="00100DFC"/>
    <w:rPr>
      <w:rFonts w:ascii="Times New Roman" w:hAnsi="Times New Roman" w:cs="Times New Roman"/>
    </w:rPr>
  </w:style>
  <w:style w:type="paragraph" w:customStyle="1" w:styleId="ESAttList">
    <w:name w:val="ESAtt_List"/>
    <w:basedOn w:val="ListParagraph"/>
    <w:link w:val="ESAttListChar"/>
    <w:qFormat/>
    <w:rsid w:val="00100DFC"/>
    <w:pPr>
      <w:numPr>
        <w:numId w:val="2"/>
      </w:numPr>
      <w:spacing w:before="240" w:after="240" w:line="276" w:lineRule="auto"/>
      <w:contextualSpacing w:val="0"/>
    </w:pPr>
    <w:rPr>
      <w:rFonts w:ascii="Times New Roman" w:hAnsi="Times New Roman" w:cs="Times New Roman"/>
    </w:rPr>
  </w:style>
  <w:style w:type="character" w:customStyle="1" w:styleId="ESAttListHeaderChar">
    <w:name w:val="ESAtt_ListHeader Char"/>
    <w:basedOn w:val="DefaultParagraphFont"/>
    <w:link w:val="ESAttListHeader"/>
    <w:rsid w:val="00100DFC"/>
    <w:rPr>
      <w:rFonts w:ascii="Times New Roman" w:hAnsi="Times New Roman" w:cs="Times New Roman"/>
    </w:rPr>
  </w:style>
  <w:style w:type="paragraph" w:customStyle="1" w:styleId="ESSubHeading">
    <w:name w:val="ES_SubHeading"/>
    <w:basedOn w:val="ESHeading"/>
    <w:link w:val="ESSubHeadingChar"/>
    <w:qFormat/>
    <w:rsid w:val="00BB0CF2"/>
    <w:rPr>
      <w:b w:val="0"/>
    </w:rPr>
  </w:style>
  <w:style w:type="character" w:customStyle="1" w:styleId="ESAttListChar">
    <w:name w:val="ESAtt_List Char"/>
    <w:basedOn w:val="ListParagraphChar"/>
    <w:link w:val="ESAttList"/>
    <w:rsid w:val="00100DFC"/>
    <w:rPr>
      <w:rFonts w:ascii="Times New Roman" w:hAnsi="Times New Roman" w:cs="Times New Roman"/>
    </w:rPr>
  </w:style>
  <w:style w:type="paragraph" w:customStyle="1" w:styleId="ESTitleInstrumentName">
    <w:name w:val="ESTitle_InstrumentName"/>
    <w:basedOn w:val="Normal"/>
    <w:link w:val="ESTitleInstrumentNameChar"/>
    <w:qFormat/>
    <w:rsid w:val="00BB0CF2"/>
    <w:pPr>
      <w:spacing w:before="360" w:after="600" w:line="276" w:lineRule="auto"/>
      <w:jc w:val="center"/>
    </w:pPr>
    <w:rPr>
      <w:rFonts w:ascii="Times New Roman" w:hAnsi="Times New Roman" w:cs="Times New Roman"/>
      <w:b/>
      <w:i/>
    </w:rPr>
  </w:style>
  <w:style w:type="character" w:customStyle="1" w:styleId="ESSubHeadingChar">
    <w:name w:val="ES_SubHeading Char"/>
    <w:basedOn w:val="ESHeadingChar"/>
    <w:link w:val="ESSubHeading"/>
    <w:rsid w:val="00BB0CF2"/>
    <w:rPr>
      <w:rFonts w:ascii="Times New Roman" w:hAnsi="Times New Roman" w:cs="Times New Roman"/>
      <w:b w:val="0"/>
      <w:i/>
    </w:rPr>
  </w:style>
  <w:style w:type="paragraph" w:customStyle="1" w:styleId="ESTitleEnablingLegislation">
    <w:name w:val="ESTitle_EnablingLegislation"/>
    <w:basedOn w:val="Normal"/>
    <w:link w:val="ESTitleEnablingLegislationChar"/>
    <w:qFormat/>
    <w:rsid w:val="00BB0CF2"/>
    <w:pPr>
      <w:spacing w:line="276" w:lineRule="auto"/>
      <w:jc w:val="center"/>
    </w:pPr>
    <w:rPr>
      <w:rFonts w:ascii="Times New Roman" w:hAnsi="Times New Roman" w:cs="Times New Roman"/>
      <w:i/>
    </w:rPr>
  </w:style>
  <w:style w:type="character" w:customStyle="1" w:styleId="ESTitleInstrumentNameChar">
    <w:name w:val="ESTitle_InstrumentName Char"/>
    <w:basedOn w:val="DefaultParagraphFont"/>
    <w:link w:val="ESTitleInstrumentName"/>
    <w:rsid w:val="00BB0CF2"/>
    <w:rPr>
      <w:rFonts w:ascii="Times New Roman" w:hAnsi="Times New Roman" w:cs="Times New Roman"/>
      <w:b/>
      <w:i/>
    </w:rPr>
  </w:style>
  <w:style w:type="paragraph" w:customStyle="1" w:styleId="ESTitleDecisionMaker">
    <w:name w:val="ESTitle_DecisionMaker"/>
    <w:basedOn w:val="Normal"/>
    <w:link w:val="ESTitleDecisionMakerChar"/>
    <w:qFormat/>
    <w:rsid w:val="00BB0CF2"/>
    <w:pPr>
      <w:spacing w:line="276" w:lineRule="auto"/>
      <w:jc w:val="center"/>
    </w:pPr>
    <w:rPr>
      <w:rFonts w:ascii="Times New Roman" w:hAnsi="Times New Roman" w:cs="Times New Roman"/>
    </w:rPr>
  </w:style>
  <w:style w:type="character" w:customStyle="1" w:styleId="ESTitleEnablingLegislationChar">
    <w:name w:val="ESTitle_EnablingLegislation Char"/>
    <w:basedOn w:val="DefaultParagraphFont"/>
    <w:link w:val="ESTitleEnablingLegislation"/>
    <w:rsid w:val="00BB0CF2"/>
    <w:rPr>
      <w:rFonts w:ascii="Times New Roman" w:hAnsi="Times New Roman" w:cs="Times New Roman"/>
      <w:i/>
    </w:rPr>
  </w:style>
  <w:style w:type="paragraph" w:customStyle="1" w:styleId="ESTitleHeader">
    <w:name w:val="ESTitle_Header"/>
    <w:basedOn w:val="Normal"/>
    <w:link w:val="ESTitleHeaderChar"/>
    <w:qFormat/>
    <w:rsid w:val="00BB0CF2"/>
    <w:pPr>
      <w:spacing w:line="276" w:lineRule="auto"/>
      <w:jc w:val="center"/>
    </w:pPr>
    <w:rPr>
      <w:rFonts w:ascii="Times New Roman" w:hAnsi="Times New Roman" w:cs="Times New Roman"/>
      <w:u w:val="single"/>
    </w:rPr>
  </w:style>
  <w:style w:type="character" w:customStyle="1" w:styleId="ESTitleDecisionMakerChar">
    <w:name w:val="ESTitle_DecisionMaker Char"/>
    <w:basedOn w:val="DefaultParagraphFont"/>
    <w:link w:val="ESTitleDecisionMaker"/>
    <w:rsid w:val="00BB0CF2"/>
    <w:rPr>
      <w:rFonts w:ascii="Times New Roman" w:hAnsi="Times New Roman" w:cs="Times New Roman"/>
    </w:rPr>
  </w:style>
  <w:style w:type="paragraph" w:customStyle="1" w:styleId="ESSubparaHeader">
    <w:name w:val="ES_SubparaHeader"/>
    <w:basedOn w:val="ListParagraph"/>
    <w:next w:val="ESSubparaList"/>
    <w:link w:val="ESSubparaHeaderChar"/>
    <w:qFormat/>
    <w:rsid w:val="00BB0CF2"/>
    <w:pPr>
      <w:keepNext/>
      <w:numPr>
        <w:numId w:val="1"/>
      </w:numPr>
      <w:spacing w:before="240" w:after="240" w:line="276" w:lineRule="auto"/>
      <w:contextualSpacing w:val="0"/>
    </w:pPr>
    <w:rPr>
      <w:rFonts w:ascii="Times New Roman" w:hAnsi="Times New Roman" w:cs="Times New Roman"/>
    </w:rPr>
  </w:style>
  <w:style w:type="character" w:customStyle="1" w:styleId="ESTitleHeaderChar">
    <w:name w:val="ESTitle_Header Char"/>
    <w:basedOn w:val="DefaultParagraphFont"/>
    <w:link w:val="ESTitleHeader"/>
    <w:rsid w:val="00BB0CF2"/>
    <w:rPr>
      <w:rFonts w:ascii="Times New Roman" w:hAnsi="Times New Roman" w:cs="Times New Roman"/>
      <w:u w:val="single"/>
    </w:rPr>
  </w:style>
  <w:style w:type="paragraph" w:customStyle="1" w:styleId="ESSubparaList">
    <w:name w:val="ES_SubparaList"/>
    <w:basedOn w:val="ListParagraph"/>
    <w:link w:val="ESSubparaListChar"/>
    <w:qFormat/>
    <w:rsid w:val="00BB0CF2"/>
    <w:pPr>
      <w:numPr>
        <w:ilvl w:val="1"/>
        <w:numId w:val="1"/>
      </w:numPr>
      <w:spacing w:before="240" w:after="240" w:line="276" w:lineRule="auto"/>
      <w:ind w:left="1276" w:hanging="425"/>
      <w:contextualSpacing w:val="0"/>
    </w:pPr>
    <w:rPr>
      <w:rFonts w:ascii="Times New Roman" w:hAnsi="Times New Roman" w:cs="Times New Roman"/>
    </w:rPr>
  </w:style>
  <w:style w:type="character" w:customStyle="1" w:styleId="ESSubparaHeaderChar">
    <w:name w:val="ES_SubparaHeader Char"/>
    <w:basedOn w:val="ListParagraphChar"/>
    <w:link w:val="ESSubparaHeader"/>
    <w:rsid w:val="00BB0CF2"/>
    <w:rPr>
      <w:rFonts w:ascii="Times New Roman" w:hAnsi="Times New Roman" w:cs="Times New Roman"/>
    </w:rPr>
  </w:style>
  <w:style w:type="character" w:customStyle="1" w:styleId="ESSubparaListChar">
    <w:name w:val="ES_SubparaList Char"/>
    <w:basedOn w:val="ListParagraphChar"/>
    <w:link w:val="ESSubparaList"/>
    <w:rsid w:val="00BB0CF2"/>
    <w:rPr>
      <w:rFonts w:ascii="Times New Roman" w:hAnsi="Times New Roman" w:cs="Times New Roman"/>
    </w:rPr>
  </w:style>
  <w:style w:type="paragraph" w:customStyle="1" w:styleId="ESPara">
    <w:name w:val="ES_Para"/>
    <w:basedOn w:val="ESSubparaHeader"/>
    <w:link w:val="ESParaChar"/>
    <w:qFormat/>
    <w:rsid w:val="002D167E"/>
    <w:pPr>
      <w:keepNext w:val="0"/>
      <w:ind w:left="720"/>
    </w:pPr>
  </w:style>
  <w:style w:type="character" w:customStyle="1" w:styleId="ESParaChar">
    <w:name w:val="ES_Para Char"/>
    <w:basedOn w:val="ESSubparaHeaderChar"/>
    <w:link w:val="ESPara"/>
    <w:rsid w:val="002D167E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14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44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44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4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41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1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6A2"/>
  </w:style>
  <w:style w:type="paragraph" w:styleId="Footer">
    <w:name w:val="footer"/>
    <w:basedOn w:val="Normal"/>
    <w:link w:val="FooterChar"/>
    <w:uiPriority w:val="99"/>
    <w:unhideWhenUsed/>
    <w:rsid w:val="00C81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2023-11-23T01:28:00Z</dcterms:created>
  <dcterms:modified xsi:type="dcterms:W3CDTF">2023-11-23T01:28:00Z</dcterms:modified>
</cp:coreProperties>
</file>